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400"/>
        <w:spacing w:after="0"/>
        <w:rPr>
          <w:sz w:val="20"/>
          <w:szCs w:val="20"/>
          <w:color w:val="auto"/>
        </w:rPr>
      </w:pPr>
      <w:r>
        <w:rPr>
          <w:rFonts w:ascii="Arial" w:cs="Arial" w:eastAsia="Arial" w:hAnsi="Arial"/>
          <w:sz w:val="14"/>
          <w:szCs w:val="14"/>
          <w:b w:val="1"/>
          <w:bCs w:val="1"/>
          <w:color w:val="auto"/>
        </w:rPr>
        <w:t>UNITED STATES SECURITIES AND EXCHANGE COMMISSION</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2"/>
          <w:szCs w:val="12"/>
          <w:color w:val="auto"/>
        </w:rPr>
        <w:t>Washington, D.C. 20549</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FORM 10-K</w:t>
      </w:r>
    </w:p>
    <w:p>
      <w:pPr>
        <w:ind w:left="340" w:hanging="119"/>
        <w:spacing w:after="0" w:line="236" w:lineRule="auto"/>
        <w:tabs>
          <w:tab w:leader="none" w:pos="340" w:val="left"/>
        </w:tabs>
        <w:numPr>
          <w:ilvl w:val="0"/>
          <w:numId w:val="1"/>
        </w:numPr>
        <w:rPr>
          <w:rFonts w:ascii="Arial" w:cs="Arial" w:eastAsia="Arial" w:hAnsi="Arial"/>
          <w:sz w:val="13"/>
          <w:szCs w:val="13"/>
          <w:color w:val="auto"/>
        </w:rPr>
      </w:pPr>
      <w:r>
        <w:rPr>
          <w:rFonts w:ascii="Arial" w:cs="Arial" w:eastAsia="Arial" w:hAnsi="Arial"/>
          <w:sz w:val="12"/>
          <w:szCs w:val="12"/>
          <w:color w:val="auto"/>
        </w:rPr>
        <w:t>ANNUAL REPORT PURSUANT TO SECTION 13 OR 15(d) OF THE SECURITIES EXCHANGE ACT OF 1934</w:t>
      </w:r>
    </w:p>
    <w:p>
      <w:pPr>
        <w:spacing w:after="0" w:line="100" w:lineRule="exact"/>
        <w:rPr>
          <w:sz w:val="24"/>
          <w:szCs w:val="24"/>
          <w:color w:val="auto"/>
        </w:rPr>
      </w:pPr>
    </w:p>
    <w:p>
      <w:pPr>
        <w:ind w:left="440"/>
        <w:spacing w:after="0"/>
        <w:rPr>
          <w:sz w:val="20"/>
          <w:szCs w:val="20"/>
          <w:color w:val="auto"/>
        </w:rPr>
      </w:pPr>
      <w:r>
        <w:rPr>
          <w:rFonts w:ascii="Arial" w:cs="Arial" w:eastAsia="Arial" w:hAnsi="Arial"/>
          <w:sz w:val="12"/>
          <w:szCs w:val="12"/>
          <w:color w:val="auto"/>
        </w:rPr>
        <w:t>For the fiscal year ended December 31, 2015 or</w:t>
      </w:r>
    </w:p>
    <w:p>
      <w:pPr>
        <w:spacing w:after="0" w:line="105" w:lineRule="exact"/>
        <w:rPr>
          <w:sz w:val="24"/>
          <w:szCs w:val="24"/>
          <w:color w:val="auto"/>
        </w:rPr>
      </w:pPr>
    </w:p>
    <w:p>
      <w:pPr>
        <w:ind w:left="440" w:right="4500" w:hanging="219"/>
        <w:spacing w:after="0" w:line="276" w:lineRule="auto"/>
        <w:tabs>
          <w:tab w:leader="none" w:pos="296" w:val="left"/>
        </w:tabs>
        <w:numPr>
          <w:ilvl w:val="0"/>
          <w:numId w:val="2"/>
        </w:numPr>
        <w:rPr>
          <w:rFonts w:ascii="Arial" w:cs="Arial" w:eastAsia="Arial" w:hAnsi="Arial"/>
          <w:sz w:val="12"/>
          <w:szCs w:val="12"/>
          <w:color w:val="auto"/>
        </w:rPr>
      </w:pPr>
      <w:r>
        <w:rPr>
          <w:rFonts w:ascii="Arial" w:cs="Arial" w:eastAsia="Arial" w:hAnsi="Arial"/>
          <w:sz w:val="12"/>
          <w:szCs w:val="12"/>
          <w:color w:val="auto"/>
        </w:rPr>
        <w:t>TRANSITION REPORT PURSUANT TO SECTION 13 OR 15(d) OF THE SECURITIES EXCHANGE ACT OF 1934 For the transition period from _______ to ______</w:t>
      </w:r>
    </w:p>
    <w:p>
      <w:pPr>
        <w:spacing w:after="0" w:line="70" w:lineRule="exact"/>
        <w:rPr>
          <w:sz w:val="24"/>
          <w:szCs w:val="24"/>
          <w:color w:val="auto"/>
        </w:rPr>
      </w:pPr>
    </w:p>
    <w:p>
      <w:pPr>
        <w:jc w:val="center"/>
        <w:ind w:right="-19"/>
        <w:spacing w:after="0"/>
        <w:rPr>
          <w:sz w:val="20"/>
          <w:szCs w:val="20"/>
          <w:color w:val="auto"/>
        </w:rPr>
      </w:pPr>
      <w:r>
        <w:rPr>
          <w:rFonts w:ascii="Arial" w:cs="Arial" w:eastAsia="Arial" w:hAnsi="Arial"/>
          <w:sz w:val="12"/>
          <w:szCs w:val="12"/>
          <w:color w:val="auto"/>
        </w:rPr>
        <w:t>Commission File No. 1-8625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2816860</wp:posOffset>
            </wp:positionH>
            <wp:positionV relativeFrom="paragraph">
              <wp:posOffset>72390</wp:posOffset>
            </wp:positionV>
            <wp:extent cx="1097915" cy="5264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97915" cy="5264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260" w:type="dxa"/>
            <w:vAlign w:val="bottom"/>
          </w:tcPr>
          <w:p>
            <w:pPr>
              <w:spacing w:after="0"/>
              <w:rPr>
                <w:sz w:val="14"/>
                <w:szCs w:val="14"/>
                <w:color w:val="auto"/>
              </w:rPr>
            </w:pPr>
          </w:p>
        </w:tc>
        <w:tc>
          <w:tcPr>
            <w:tcW w:w="3740" w:type="dxa"/>
            <w:vAlign w:val="bottom"/>
            <w:gridSpan w:val="2"/>
          </w:tcPr>
          <w:p>
            <w:pPr>
              <w:jc w:val="center"/>
              <w:ind w:left="299"/>
              <w:spacing w:after="0"/>
              <w:rPr>
                <w:sz w:val="20"/>
                <w:szCs w:val="20"/>
                <w:color w:val="auto"/>
              </w:rPr>
            </w:pPr>
            <w:r>
              <w:rPr>
                <w:rFonts w:ascii="Arial" w:cs="Arial" w:eastAsia="Arial" w:hAnsi="Arial"/>
                <w:sz w:val="14"/>
                <w:szCs w:val="14"/>
                <w:b w:val="1"/>
                <w:bCs w:val="1"/>
                <w:color w:val="auto"/>
              </w:rPr>
              <w:t>READING INTERNATIONAL, INC.</w:t>
            </w:r>
          </w:p>
        </w:tc>
      </w:tr>
      <w:tr>
        <w:trPr>
          <w:trHeight w:val="153"/>
        </w:trPr>
        <w:tc>
          <w:tcPr>
            <w:tcW w:w="3260" w:type="dxa"/>
            <w:vAlign w:val="bottom"/>
          </w:tcPr>
          <w:p>
            <w:pPr>
              <w:spacing w:after="0"/>
              <w:rPr>
                <w:sz w:val="13"/>
                <w:szCs w:val="13"/>
                <w:color w:val="auto"/>
              </w:rPr>
            </w:pPr>
          </w:p>
        </w:tc>
        <w:tc>
          <w:tcPr>
            <w:tcW w:w="3740" w:type="dxa"/>
            <w:vAlign w:val="bottom"/>
            <w:gridSpan w:val="2"/>
          </w:tcPr>
          <w:p>
            <w:pPr>
              <w:jc w:val="center"/>
              <w:ind w:left="319"/>
              <w:spacing w:after="0"/>
              <w:rPr>
                <w:sz w:val="20"/>
                <w:szCs w:val="20"/>
                <w:color w:val="auto"/>
              </w:rPr>
            </w:pPr>
            <w:r>
              <w:rPr>
                <w:rFonts w:ascii="Arial" w:cs="Arial" w:eastAsia="Arial" w:hAnsi="Arial"/>
                <w:sz w:val="12"/>
                <w:szCs w:val="12"/>
                <w:color w:val="auto"/>
                <w:w w:val="90"/>
              </w:rPr>
              <w:t>(Exact name of registrant as specified in its charter)</w:t>
            </w:r>
          </w:p>
        </w:tc>
      </w:tr>
      <w:tr>
        <w:trPr>
          <w:trHeight w:val="360"/>
        </w:trPr>
        <w:tc>
          <w:tcPr>
            <w:tcW w:w="3260" w:type="dxa"/>
            <w:vAlign w:val="bottom"/>
          </w:tcPr>
          <w:p>
            <w:pPr>
              <w:jc w:val="center"/>
              <w:spacing w:after="0"/>
              <w:rPr>
                <w:sz w:val="20"/>
                <w:szCs w:val="20"/>
                <w:color w:val="auto"/>
              </w:rPr>
            </w:pPr>
            <w:r>
              <w:rPr>
                <w:rFonts w:ascii="Arial" w:cs="Arial" w:eastAsia="Arial" w:hAnsi="Arial"/>
                <w:sz w:val="12"/>
                <w:szCs w:val="12"/>
                <w:b w:val="1"/>
                <w:bCs w:val="1"/>
                <w:color w:val="auto"/>
                <w:w w:val="98"/>
              </w:rPr>
              <w:t>NEVADA</w:t>
            </w:r>
          </w:p>
        </w:tc>
        <w:tc>
          <w:tcPr>
            <w:tcW w:w="2820" w:type="dxa"/>
            <w:vAlign w:val="bottom"/>
          </w:tcPr>
          <w:p>
            <w:pPr>
              <w:jc w:val="right"/>
              <w:ind w:right="1099"/>
              <w:spacing w:after="0"/>
              <w:rPr>
                <w:sz w:val="20"/>
                <w:szCs w:val="20"/>
                <w:color w:val="auto"/>
              </w:rPr>
            </w:pPr>
            <w:r>
              <w:rPr>
                <w:rFonts w:ascii="Arial" w:cs="Arial" w:eastAsia="Arial" w:hAnsi="Arial"/>
                <w:sz w:val="12"/>
                <w:szCs w:val="12"/>
                <w:b w:val="1"/>
                <w:bCs w:val="1"/>
                <w:color w:val="auto"/>
              </w:rPr>
              <w:t>95-3885184</w:t>
            </w:r>
          </w:p>
        </w:tc>
        <w:tc>
          <w:tcPr>
            <w:tcW w:w="920" w:type="dxa"/>
            <w:vAlign w:val="bottom"/>
          </w:tcPr>
          <w:p>
            <w:pPr>
              <w:spacing w:after="0"/>
              <w:rPr>
                <w:sz w:val="24"/>
                <w:szCs w:val="24"/>
                <w:color w:val="auto"/>
              </w:rPr>
            </w:pPr>
          </w:p>
        </w:tc>
      </w:tr>
      <w:tr>
        <w:trPr>
          <w:trHeight w:val="144"/>
        </w:trPr>
        <w:tc>
          <w:tcPr>
            <w:tcW w:w="3260" w:type="dxa"/>
            <w:vAlign w:val="bottom"/>
          </w:tcPr>
          <w:p>
            <w:pPr>
              <w:jc w:val="center"/>
              <w:spacing w:after="0"/>
              <w:rPr>
                <w:sz w:val="20"/>
                <w:szCs w:val="20"/>
                <w:color w:val="auto"/>
              </w:rPr>
            </w:pPr>
            <w:r>
              <w:rPr>
                <w:rFonts w:ascii="Arial" w:cs="Arial" w:eastAsia="Arial" w:hAnsi="Arial"/>
                <w:sz w:val="12"/>
                <w:szCs w:val="12"/>
                <w:color w:val="auto"/>
                <w:w w:val="92"/>
              </w:rPr>
              <w:t>(State or other jurisdiction of incorporation or organization)</w:t>
            </w:r>
          </w:p>
        </w:tc>
        <w:tc>
          <w:tcPr>
            <w:tcW w:w="3740" w:type="dxa"/>
            <w:vAlign w:val="bottom"/>
            <w:gridSpan w:val="2"/>
          </w:tcPr>
          <w:p>
            <w:pPr>
              <w:jc w:val="center"/>
              <w:ind w:right="980"/>
              <w:spacing w:after="0"/>
              <w:rPr>
                <w:sz w:val="20"/>
                <w:szCs w:val="20"/>
                <w:color w:val="auto"/>
              </w:rPr>
            </w:pPr>
            <w:r>
              <w:rPr>
                <w:rFonts w:ascii="Arial" w:cs="Arial" w:eastAsia="Arial" w:hAnsi="Arial"/>
                <w:sz w:val="12"/>
                <w:szCs w:val="12"/>
                <w:color w:val="auto"/>
                <w:w w:val="93"/>
              </w:rPr>
              <w:t>(I.R.S. Employer Identification Number)</w:t>
            </w:r>
          </w:p>
        </w:tc>
      </w:tr>
      <w:tr>
        <w:trPr>
          <w:trHeight w:val="144"/>
        </w:trPr>
        <w:tc>
          <w:tcPr>
            <w:tcW w:w="3260" w:type="dxa"/>
            <w:vAlign w:val="bottom"/>
          </w:tcPr>
          <w:p>
            <w:pPr>
              <w:jc w:val="center"/>
              <w:spacing w:after="0"/>
              <w:rPr>
                <w:sz w:val="20"/>
                <w:szCs w:val="20"/>
                <w:color w:val="auto"/>
              </w:rPr>
            </w:pPr>
            <w:r>
              <w:rPr>
                <w:rFonts w:ascii="Arial" w:cs="Arial" w:eastAsia="Arial" w:hAnsi="Arial"/>
                <w:sz w:val="12"/>
                <w:szCs w:val="12"/>
                <w:color w:val="auto"/>
                <w:w w:val="91"/>
              </w:rPr>
              <w:t>6100 Center Drive, Suite 900</w:t>
            </w:r>
          </w:p>
        </w:tc>
        <w:tc>
          <w:tcPr>
            <w:tcW w:w="282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44"/>
        </w:trPr>
        <w:tc>
          <w:tcPr>
            <w:tcW w:w="3260" w:type="dxa"/>
            <w:vAlign w:val="bottom"/>
          </w:tcPr>
          <w:p>
            <w:pPr>
              <w:jc w:val="center"/>
              <w:spacing w:after="0"/>
              <w:rPr>
                <w:sz w:val="20"/>
                <w:szCs w:val="20"/>
                <w:color w:val="auto"/>
              </w:rPr>
            </w:pPr>
            <w:r>
              <w:rPr>
                <w:rFonts w:ascii="Arial" w:cs="Arial" w:eastAsia="Arial" w:hAnsi="Arial"/>
                <w:sz w:val="12"/>
                <w:szCs w:val="12"/>
                <w:color w:val="auto"/>
                <w:w w:val="91"/>
              </w:rPr>
              <w:t>Los Angeles, CA</w:t>
            </w:r>
          </w:p>
        </w:tc>
        <w:tc>
          <w:tcPr>
            <w:tcW w:w="2820" w:type="dxa"/>
            <w:vAlign w:val="bottom"/>
          </w:tcPr>
          <w:p>
            <w:pPr>
              <w:jc w:val="right"/>
              <w:ind w:right="1239"/>
              <w:spacing w:after="0"/>
              <w:rPr>
                <w:sz w:val="20"/>
                <w:szCs w:val="20"/>
                <w:color w:val="auto"/>
              </w:rPr>
            </w:pPr>
            <w:r>
              <w:rPr>
                <w:rFonts w:ascii="Arial" w:cs="Arial" w:eastAsia="Arial" w:hAnsi="Arial"/>
                <w:sz w:val="12"/>
                <w:szCs w:val="12"/>
                <w:color w:val="auto"/>
              </w:rPr>
              <w:t>90045</w:t>
            </w:r>
          </w:p>
        </w:tc>
        <w:tc>
          <w:tcPr>
            <w:tcW w:w="920" w:type="dxa"/>
            <w:vAlign w:val="bottom"/>
          </w:tcPr>
          <w:p>
            <w:pPr>
              <w:spacing w:after="0"/>
              <w:rPr>
                <w:sz w:val="12"/>
                <w:szCs w:val="12"/>
                <w:color w:val="auto"/>
              </w:rPr>
            </w:pPr>
          </w:p>
        </w:tc>
      </w:tr>
      <w:tr>
        <w:trPr>
          <w:trHeight w:val="144"/>
        </w:trPr>
        <w:tc>
          <w:tcPr>
            <w:tcW w:w="3260" w:type="dxa"/>
            <w:vAlign w:val="bottom"/>
          </w:tcPr>
          <w:p>
            <w:pPr>
              <w:jc w:val="center"/>
              <w:spacing w:after="0"/>
              <w:rPr>
                <w:sz w:val="20"/>
                <w:szCs w:val="20"/>
                <w:color w:val="auto"/>
              </w:rPr>
            </w:pPr>
            <w:r>
              <w:rPr>
                <w:rFonts w:ascii="Arial" w:cs="Arial" w:eastAsia="Arial" w:hAnsi="Arial"/>
                <w:sz w:val="12"/>
                <w:szCs w:val="12"/>
                <w:color w:val="auto"/>
                <w:w w:val="92"/>
              </w:rPr>
              <w:t>(Address of principal executive offices)</w:t>
            </w:r>
          </w:p>
        </w:tc>
        <w:tc>
          <w:tcPr>
            <w:tcW w:w="3740" w:type="dxa"/>
            <w:vAlign w:val="bottom"/>
            <w:gridSpan w:val="2"/>
          </w:tcPr>
          <w:p>
            <w:pPr>
              <w:jc w:val="center"/>
              <w:ind w:right="980"/>
              <w:spacing w:after="0"/>
              <w:rPr>
                <w:sz w:val="20"/>
                <w:szCs w:val="20"/>
                <w:color w:val="auto"/>
              </w:rPr>
            </w:pPr>
            <w:r>
              <w:rPr>
                <w:rFonts w:ascii="Arial" w:cs="Arial" w:eastAsia="Arial" w:hAnsi="Arial"/>
                <w:sz w:val="12"/>
                <w:szCs w:val="12"/>
                <w:color w:val="auto"/>
                <w:w w:val="91"/>
              </w:rPr>
              <w:t>(Zip Code)</w:t>
            </w:r>
          </w:p>
        </w:tc>
      </w:tr>
      <w:tr>
        <w:trPr>
          <w:trHeight w:val="144"/>
        </w:trPr>
        <w:tc>
          <w:tcPr>
            <w:tcW w:w="3260" w:type="dxa"/>
            <w:vAlign w:val="bottom"/>
          </w:tcPr>
          <w:p>
            <w:pPr>
              <w:spacing w:after="0"/>
              <w:rPr>
                <w:sz w:val="12"/>
                <w:szCs w:val="12"/>
                <w:color w:val="auto"/>
              </w:rPr>
            </w:pPr>
          </w:p>
        </w:tc>
        <w:tc>
          <w:tcPr>
            <w:tcW w:w="3740" w:type="dxa"/>
            <w:vAlign w:val="bottom"/>
            <w:gridSpan w:val="2"/>
          </w:tcPr>
          <w:p>
            <w:pPr>
              <w:jc w:val="center"/>
              <w:ind w:left="319"/>
              <w:spacing w:after="0"/>
              <w:rPr>
                <w:sz w:val="20"/>
                <w:szCs w:val="20"/>
                <w:color w:val="auto"/>
              </w:rPr>
            </w:pPr>
            <w:r>
              <w:rPr>
                <w:rFonts w:ascii="Arial" w:cs="Arial" w:eastAsia="Arial" w:hAnsi="Arial"/>
                <w:sz w:val="12"/>
                <w:szCs w:val="12"/>
                <w:color w:val="auto"/>
                <w:w w:val="91"/>
              </w:rPr>
              <w:t>Registrant’s telephone number, including Area Code: (213) 235-2240</w:t>
            </w:r>
          </w:p>
        </w:tc>
      </w:tr>
      <w:tr>
        <w:trPr>
          <w:trHeight w:val="153"/>
        </w:trPr>
        <w:tc>
          <w:tcPr>
            <w:tcW w:w="3260" w:type="dxa"/>
            <w:vAlign w:val="bottom"/>
          </w:tcPr>
          <w:p>
            <w:pPr>
              <w:spacing w:after="0"/>
              <w:rPr>
                <w:sz w:val="13"/>
                <w:szCs w:val="13"/>
                <w:color w:val="auto"/>
              </w:rPr>
            </w:pPr>
          </w:p>
        </w:tc>
        <w:tc>
          <w:tcPr>
            <w:tcW w:w="3740" w:type="dxa"/>
            <w:vAlign w:val="bottom"/>
            <w:gridSpan w:val="2"/>
          </w:tcPr>
          <w:p>
            <w:pPr>
              <w:jc w:val="center"/>
              <w:ind w:left="319"/>
              <w:spacing w:after="0"/>
              <w:rPr>
                <w:sz w:val="20"/>
                <w:szCs w:val="20"/>
                <w:color w:val="auto"/>
              </w:rPr>
            </w:pPr>
            <w:r>
              <w:rPr>
                <w:rFonts w:ascii="Arial" w:cs="Arial" w:eastAsia="Arial" w:hAnsi="Arial"/>
                <w:sz w:val="12"/>
                <w:szCs w:val="12"/>
                <w:color w:val="auto"/>
                <w:w w:val="90"/>
              </w:rPr>
              <w:t>Securities Registered pursuant to Section 12(b) of the Act:</w:t>
            </w:r>
          </w:p>
        </w:tc>
      </w:tr>
      <w:tr>
        <w:trPr>
          <w:trHeight w:val="252"/>
        </w:trPr>
        <w:tc>
          <w:tcPr>
            <w:tcW w:w="3260" w:type="dxa"/>
            <w:vAlign w:val="bottom"/>
          </w:tcPr>
          <w:p>
            <w:pPr>
              <w:jc w:val="center"/>
              <w:ind w:right="160"/>
              <w:spacing w:after="0"/>
              <w:rPr>
                <w:sz w:val="20"/>
                <w:szCs w:val="20"/>
                <w:color w:val="auto"/>
              </w:rPr>
            </w:pPr>
            <w:r>
              <w:rPr>
                <w:rFonts w:ascii="Arial" w:cs="Arial" w:eastAsia="Arial" w:hAnsi="Arial"/>
                <w:sz w:val="12"/>
                <w:szCs w:val="12"/>
                <w:color w:val="auto"/>
                <w:w w:val="91"/>
              </w:rPr>
              <w:t>Title of each class</w:t>
            </w:r>
          </w:p>
        </w:tc>
        <w:tc>
          <w:tcPr>
            <w:tcW w:w="3740" w:type="dxa"/>
            <w:vAlign w:val="bottom"/>
            <w:gridSpan w:val="2"/>
          </w:tcPr>
          <w:p>
            <w:pPr>
              <w:jc w:val="center"/>
              <w:ind w:right="1140"/>
              <w:spacing w:after="0"/>
              <w:rPr>
                <w:sz w:val="20"/>
                <w:szCs w:val="20"/>
                <w:color w:val="auto"/>
              </w:rPr>
            </w:pPr>
            <w:r>
              <w:rPr>
                <w:rFonts w:ascii="Arial" w:cs="Arial" w:eastAsia="Arial" w:hAnsi="Arial"/>
                <w:sz w:val="12"/>
                <w:szCs w:val="12"/>
                <w:color w:val="auto"/>
                <w:w w:val="89"/>
              </w:rPr>
              <w:t>Name of each exchange on which registered</w:t>
            </w:r>
          </w:p>
        </w:tc>
      </w:tr>
      <w:tr>
        <w:trPr>
          <w:trHeight w:val="120"/>
        </w:trPr>
        <w:tc>
          <w:tcPr>
            <w:tcW w:w="3260" w:type="dxa"/>
            <w:vAlign w:val="bottom"/>
            <w:tcBorders>
              <w:top w:val="single" w:sz="8" w:color="auto"/>
            </w:tcBorders>
          </w:tcPr>
          <w:p>
            <w:pPr>
              <w:jc w:val="center"/>
              <w:ind w:right="140"/>
              <w:spacing w:after="0" w:line="121" w:lineRule="exact"/>
              <w:rPr>
                <w:sz w:val="20"/>
                <w:szCs w:val="20"/>
                <w:color w:val="auto"/>
              </w:rPr>
            </w:pPr>
            <w:r>
              <w:rPr>
                <w:rFonts w:ascii="Arial" w:cs="Arial" w:eastAsia="Arial" w:hAnsi="Arial"/>
                <w:sz w:val="12"/>
                <w:szCs w:val="12"/>
                <w:b w:val="1"/>
                <w:bCs w:val="1"/>
                <w:color w:val="auto"/>
                <w:w w:val="90"/>
              </w:rPr>
              <w:t>Class A Nonvoting Common Stock, $0.01 par value</w:t>
            </w:r>
          </w:p>
        </w:tc>
        <w:tc>
          <w:tcPr>
            <w:tcW w:w="2820" w:type="dxa"/>
            <w:vAlign w:val="bottom"/>
            <w:tcBorders>
              <w:top w:val="single" w:sz="8" w:color="auto"/>
            </w:tcBorders>
          </w:tcPr>
          <w:p>
            <w:pPr>
              <w:jc w:val="center"/>
              <w:ind w:right="159"/>
              <w:spacing w:after="0" w:line="121" w:lineRule="exact"/>
              <w:rPr>
                <w:sz w:val="20"/>
                <w:szCs w:val="20"/>
                <w:color w:val="auto"/>
              </w:rPr>
            </w:pPr>
            <w:r>
              <w:rPr>
                <w:rFonts w:ascii="Arial" w:cs="Arial" w:eastAsia="Arial" w:hAnsi="Arial"/>
                <w:sz w:val="12"/>
                <w:szCs w:val="12"/>
                <w:b w:val="1"/>
                <w:bCs w:val="1"/>
                <w:color w:val="auto"/>
                <w:w w:val="99"/>
              </w:rPr>
              <w:t>NASDAQ</w:t>
            </w:r>
          </w:p>
        </w:tc>
        <w:tc>
          <w:tcPr>
            <w:tcW w:w="920" w:type="dxa"/>
            <w:vAlign w:val="bottom"/>
          </w:tcPr>
          <w:p>
            <w:pPr>
              <w:spacing w:after="0"/>
              <w:rPr>
                <w:sz w:val="10"/>
                <w:szCs w:val="10"/>
                <w:color w:val="auto"/>
              </w:rPr>
            </w:pPr>
          </w:p>
        </w:tc>
      </w:tr>
      <w:tr>
        <w:trPr>
          <w:trHeight w:val="157"/>
        </w:trPr>
        <w:tc>
          <w:tcPr>
            <w:tcW w:w="3260" w:type="dxa"/>
            <w:vAlign w:val="bottom"/>
          </w:tcPr>
          <w:p>
            <w:pPr>
              <w:jc w:val="center"/>
              <w:ind w:right="160"/>
              <w:spacing w:after="0"/>
              <w:rPr>
                <w:sz w:val="20"/>
                <w:szCs w:val="20"/>
                <w:color w:val="auto"/>
              </w:rPr>
            </w:pPr>
            <w:r>
              <w:rPr>
                <w:rFonts w:ascii="Arial" w:cs="Arial" w:eastAsia="Arial" w:hAnsi="Arial"/>
                <w:sz w:val="12"/>
                <w:szCs w:val="12"/>
                <w:b w:val="1"/>
                <w:bCs w:val="1"/>
                <w:color w:val="auto"/>
                <w:w w:val="89"/>
              </w:rPr>
              <w:t>Class B Voting Common Stock, $0.01 par value</w:t>
            </w:r>
          </w:p>
        </w:tc>
        <w:tc>
          <w:tcPr>
            <w:tcW w:w="3740" w:type="dxa"/>
            <w:vAlign w:val="bottom"/>
            <w:gridSpan w:val="2"/>
          </w:tcPr>
          <w:p>
            <w:pPr>
              <w:jc w:val="center"/>
              <w:ind w:right="1140"/>
              <w:spacing w:after="0"/>
              <w:rPr>
                <w:sz w:val="20"/>
                <w:szCs w:val="20"/>
                <w:color w:val="auto"/>
              </w:rPr>
            </w:pPr>
            <w:r>
              <w:rPr>
                <w:rFonts w:ascii="Arial" w:cs="Arial" w:eastAsia="Arial" w:hAnsi="Arial"/>
                <w:sz w:val="12"/>
                <w:szCs w:val="12"/>
                <w:b w:val="1"/>
                <w:bCs w:val="1"/>
                <w:color w:val="auto"/>
                <w:w w:val="99"/>
              </w:rPr>
              <w:t>NASDAQ</w:t>
            </w:r>
          </w:p>
        </w:tc>
      </w:tr>
      <w:tr>
        <w:trPr>
          <w:trHeight w:val="243"/>
        </w:trPr>
        <w:tc>
          <w:tcPr>
            <w:tcW w:w="3260" w:type="dxa"/>
            <w:vAlign w:val="bottom"/>
          </w:tcPr>
          <w:p>
            <w:pPr>
              <w:spacing w:after="0"/>
              <w:rPr>
                <w:sz w:val="21"/>
                <w:szCs w:val="21"/>
                <w:color w:val="auto"/>
              </w:rPr>
            </w:pPr>
          </w:p>
        </w:tc>
        <w:tc>
          <w:tcPr>
            <w:tcW w:w="3740" w:type="dxa"/>
            <w:vAlign w:val="bottom"/>
            <w:gridSpan w:val="2"/>
          </w:tcPr>
          <w:p>
            <w:pPr>
              <w:jc w:val="center"/>
              <w:ind w:left="299"/>
              <w:spacing w:after="0"/>
              <w:rPr>
                <w:sz w:val="20"/>
                <w:szCs w:val="20"/>
                <w:color w:val="auto"/>
              </w:rPr>
            </w:pPr>
            <w:r>
              <w:rPr>
                <w:rFonts w:ascii="Arial" w:cs="Arial" w:eastAsia="Arial" w:hAnsi="Arial"/>
                <w:sz w:val="12"/>
                <w:szCs w:val="12"/>
                <w:b w:val="1"/>
                <w:bCs w:val="1"/>
                <w:color w:val="auto"/>
                <w:w w:val="89"/>
              </w:rPr>
              <w:t>Securities registered pursuant to Section 12(g) of the Act: None</w:t>
            </w:r>
          </w:p>
        </w:tc>
      </w:tr>
    </w:tbl>
    <w:p>
      <w:pPr>
        <w:spacing w:after="0" w:line="56" w:lineRule="exact"/>
        <w:rPr>
          <w:sz w:val="24"/>
          <w:szCs w:val="24"/>
          <w:color w:val="auto"/>
        </w:rPr>
      </w:pPr>
    </w:p>
    <w:p>
      <w:pPr>
        <w:ind w:left="440"/>
        <w:spacing w:after="0" w:line="127" w:lineRule="exact"/>
        <w:rPr>
          <w:sz w:val="20"/>
          <w:szCs w:val="20"/>
          <w:color w:val="auto"/>
        </w:rPr>
      </w:pPr>
      <w:r>
        <w:rPr>
          <w:rFonts w:ascii="Arial" w:cs="Arial" w:eastAsia="Arial" w:hAnsi="Arial"/>
          <w:sz w:val="11"/>
          <w:szCs w:val="11"/>
          <w:color w:val="auto"/>
        </w:rPr>
        <w:t xml:space="preserve">Indicate by check mark if the registrant is a well-known seasoned issuer, as defined in Rule 405 of the Securities Act. Yes </w:t>
      </w:r>
      <w:r>
        <w:rPr>
          <w:rFonts w:ascii="MS PGothic" w:cs="MS PGothic" w:eastAsia="MS PGothic" w:hAnsi="MS PGothic"/>
          <w:sz w:val="11"/>
          <w:szCs w:val="11"/>
          <w:color w:val="auto"/>
        </w:rPr>
        <w:t>☐</w:t>
      </w:r>
      <w:r>
        <w:rPr>
          <w:rFonts w:ascii="Arial" w:cs="Arial" w:eastAsia="Arial" w:hAnsi="Arial"/>
          <w:sz w:val="11"/>
          <w:szCs w:val="11"/>
          <w:color w:val="auto"/>
        </w:rPr>
        <w:t xml:space="preserve"> No </w:t>
      </w:r>
      <w:r>
        <w:rPr>
          <w:rFonts w:ascii="MS PGothic" w:cs="MS PGothic" w:eastAsia="MS PGothic" w:hAnsi="MS PGothic"/>
          <w:sz w:val="11"/>
          <w:szCs w:val="11"/>
          <w:color w:val="auto"/>
        </w:rPr>
        <w:t>☑</w:t>
      </w:r>
    </w:p>
    <w:p>
      <w:pPr>
        <w:spacing w:after="0" w:line="81" w:lineRule="exact"/>
        <w:rPr>
          <w:sz w:val="24"/>
          <w:szCs w:val="24"/>
          <w:color w:val="auto"/>
        </w:rPr>
      </w:pPr>
    </w:p>
    <w:p>
      <w:pPr>
        <w:ind w:left="440"/>
        <w:spacing w:after="0" w:line="127" w:lineRule="exact"/>
        <w:rPr>
          <w:sz w:val="20"/>
          <w:szCs w:val="20"/>
          <w:color w:val="auto"/>
        </w:rPr>
      </w:pPr>
      <w:r>
        <w:rPr>
          <w:rFonts w:ascii="Arial" w:cs="Arial" w:eastAsia="Arial" w:hAnsi="Arial"/>
          <w:sz w:val="11"/>
          <w:szCs w:val="11"/>
          <w:color w:val="auto"/>
        </w:rPr>
        <w:t xml:space="preserve">If this report is an annual or transition report, indicate by check mark if the registrant is not required to file reports pursuant to Section 13 or 15(d) of the Securities Exchange Act of 1934. Yes </w:t>
      </w:r>
      <w:r>
        <w:rPr>
          <w:rFonts w:ascii="MS PGothic" w:cs="MS PGothic" w:eastAsia="MS PGothic" w:hAnsi="MS PGothic"/>
          <w:sz w:val="11"/>
          <w:szCs w:val="11"/>
          <w:color w:val="auto"/>
        </w:rPr>
        <w:t>☐</w:t>
      </w:r>
      <w:r>
        <w:rPr>
          <w:rFonts w:ascii="Arial" w:cs="Arial" w:eastAsia="Arial" w:hAnsi="Arial"/>
          <w:sz w:val="11"/>
          <w:szCs w:val="11"/>
          <w:color w:val="auto"/>
        </w:rPr>
        <w:t xml:space="preserve"> No </w:t>
      </w:r>
      <w:r>
        <w:rPr>
          <w:rFonts w:ascii="MS PGothic" w:cs="MS PGothic" w:eastAsia="MS PGothic" w:hAnsi="MS PGothic"/>
          <w:sz w:val="11"/>
          <w:szCs w:val="11"/>
          <w:color w:val="auto"/>
        </w:rPr>
        <w:t>☑</w:t>
      </w:r>
    </w:p>
    <w:p>
      <w:pPr>
        <w:spacing w:after="0" w:line="92" w:lineRule="exact"/>
        <w:rPr>
          <w:sz w:val="24"/>
          <w:szCs w:val="24"/>
          <w:color w:val="auto"/>
        </w:rPr>
      </w:pPr>
    </w:p>
    <w:p>
      <w:pPr>
        <w:ind w:right="160" w:firstLine="432"/>
        <w:spacing w:after="0" w:line="129" w:lineRule="exact"/>
        <w:rPr>
          <w:sz w:val="20"/>
          <w:szCs w:val="20"/>
          <w:color w:val="auto"/>
        </w:rPr>
      </w:pPr>
      <w:r>
        <w:rPr>
          <w:rFonts w:ascii="Arial" w:cs="Arial" w:eastAsia="Arial" w:hAnsi="Arial"/>
          <w:sz w:val="11"/>
          <w:szCs w:val="11"/>
          <w:color w:val="auto"/>
        </w:rPr>
        <w:t xml:space="preserve">Indicate by check mark whether registrant (1) has filed all reports required to be filed by Section 13 or 15(d) of the Exchange Act of 1934 during the preceding 12 months (or for shorter period than the Registrant was required to file such reports), and (2) has been subject to such filing requirements for the past 90 days. Yes </w:t>
      </w:r>
      <w:r>
        <w:rPr>
          <w:rFonts w:ascii="MS PGothic" w:cs="MS PGothic" w:eastAsia="MS PGothic" w:hAnsi="MS PGothic"/>
          <w:sz w:val="11"/>
          <w:szCs w:val="11"/>
          <w:color w:val="auto"/>
        </w:rPr>
        <w:t>☑</w:t>
      </w:r>
      <w:r>
        <w:rPr>
          <w:rFonts w:ascii="Arial" w:cs="Arial" w:eastAsia="Arial" w:hAnsi="Arial"/>
          <w:sz w:val="11"/>
          <w:szCs w:val="11"/>
          <w:color w:val="auto"/>
        </w:rPr>
        <w:t xml:space="preserve"> No </w:t>
      </w:r>
      <w:r>
        <w:rPr>
          <w:rFonts w:ascii="MS PGothic" w:cs="MS PGothic" w:eastAsia="MS PGothic" w:hAnsi="MS PGothic"/>
          <w:sz w:val="11"/>
          <w:szCs w:val="11"/>
          <w:color w:val="auto"/>
        </w:rPr>
        <w:t>☐</w:t>
      </w:r>
    </w:p>
    <w:p>
      <w:pPr>
        <w:spacing w:after="0" w:line="41" w:lineRule="exact"/>
        <w:rPr>
          <w:sz w:val="24"/>
          <w:szCs w:val="24"/>
          <w:color w:val="auto"/>
        </w:rPr>
      </w:pPr>
    </w:p>
    <w:p>
      <w:pPr>
        <w:ind w:right="40" w:firstLine="432"/>
        <w:spacing w:after="0" w:line="142" w:lineRule="exact"/>
        <w:rPr>
          <w:sz w:val="20"/>
          <w:szCs w:val="20"/>
          <w:color w:val="auto"/>
        </w:rPr>
      </w:pPr>
      <w:r>
        <w:rPr>
          <w:rFonts w:ascii="Arial" w:cs="Arial" w:eastAsia="Arial" w:hAnsi="Arial"/>
          <w:sz w:val="11"/>
          <w:szCs w:val="11"/>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1"/>
          <w:szCs w:val="11"/>
          <w:color w:val="auto"/>
        </w:rPr>
        <w:t>☑</w:t>
      </w:r>
      <w:r>
        <w:rPr>
          <w:rFonts w:ascii="Arial" w:cs="Arial" w:eastAsia="Arial" w:hAnsi="Arial"/>
          <w:sz w:val="11"/>
          <w:szCs w:val="11"/>
          <w:color w:val="auto"/>
        </w:rPr>
        <w:t xml:space="preserve"> No </w:t>
      </w:r>
      <w:r>
        <w:rPr>
          <w:rFonts w:ascii="MS PGothic" w:cs="MS PGothic" w:eastAsia="MS PGothic" w:hAnsi="MS PGothic"/>
          <w:sz w:val="11"/>
          <w:szCs w:val="11"/>
          <w:color w:val="auto"/>
        </w:rPr>
        <w:t>☐</w:t>
      </w:r>
    </w:p>
    <w:p>
      <w:pPr>
        <w:spacing w:after="0" w:line="60" w:lineRule="exact"/>
        <w:rPr>
          <w:sz w:val="24"/>
          <w:szCs w:val="24"/>
          <w:color w:val="auto"/>
        </w:rPr>
      </w:pPr>
    </w:p>
    <w:p>
      <w:pPr>
        <w:ind w:right="100" w:firstLine="432"/>
        <w:spacing w:after="0" w:line="142" w:lineRule="exact"/>
        <w:rPr>
          <w:sz w:val="20"/>
          <w:szCs w:val="20"/>
          <w:color w:val="auto"/>
        </w:rPr>
      </w:pPr>
      <w:r>
        <w:rPr>
          <w:rFonts w:ascii="Arial" w:cs="Arial" w:eastAsia="Arial" w:hAnsi="Arial"/>
          <w:sz w:val="11"/>
          <w:szCs w:val="11"/>
          <w:color w:val="auto"/>
        </w:rPr>
        <w:t xml:space="preserve">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of any amendments to this Form 10-K. </w:t>
      </w:r>
      <w:r>
        <w:rPr>
          <w:rFonts w:ascii="MS PGothic" w:cs="MS PGothic" w:eastAsia="MS PGothic" w:hAnsi="MS PGothic"/>
          <w:sz w:val="11"/>
          <w:szCs w:val="11"/>
          <w:color w:val="auto"/>
        </w:rPr>
        <w:t>☐</w:t>
      </w:r>
    </w:p>
    <w:p>
      <w:pPr>
        <w:spacing w:after="0" w:line="51" w:lineRule="exact"/>
        <w:rPr>
          <w:sz w:val="24"/>
          <w:szCs w:val="24"/>
          <w:color w:val="auto"/>
        </w:rPr>
      </w:pPr>
    </w:p>
    <w:p>
      <w:pPr>
        <w:ind w:right="40" w:firstLine="432"/>
        <w:spacing w:after="0" w:line="231" w:lineRule="auto"/>
        <w:rPr>
          <w:sz w:val="20"/>
          <w:szCs w:val="20"/>
          <w:color w:val="auto"/>
        </w:rPr>
      </w:pPr>
      <w:r>
        <w:rPr>
          <w:rFonts w:ascii="Arial" w:cs="Arial" w:eastAsia="Arial" w:hAnsi="Arial"/>
          <w:sz w:val="11"/>
          <w:szCs w:val="11"/>
          <w:color w:val="auto"/>
        </w:rPr>
        <w:t>Indicate by check mark whether the registrant is a large accelerated filer, an accelerated filer, a non-accelerated filer, or a smaller reporting company. See definition of “large accelerated filer,” “accelerated filer” and “smaller reporting company” in Rule 12b-2 of the Exchange Act.</w:t>
      </w:r>
    </w:p>
    <w:p>
      <w:pPr>
        <w:spacing w:after="0" w:line="25" w:lineRule="exact"/>
        <w:rPr>
          <w:sz w:val="24"/>
          <w:szCs w:val="24"/>
          <w:color w:val="auto"/>
        </w:rPr>
      </w:pPr>
    </w:p>
    <w:p>
      <w:pPr>
        <w:ind w:left="440" w:right="3000" w:firstLine="2584"/>
        <w:spacing w:after="0" w:line="174" w:lineRule="exact"/>
        <w:rPr>
          <w:sz w:val="20"/>
          <w:szCs w:val="20"/>
          <w:color w:val="auto"/>
        </w:rPr>
      </w:pPr>
      <w:r>
        <w:rPr>
          <w:rFonts w:ascii="Arial" w:cs="Arial" w:eastAsia="Arial" w:hAnsi="Arial"/>
          <w:sz w:val="11"/>
          <w:szCs w:val="11"/>
          <w:color w:val="auto"/>
        </w:rPr>
        <w:t xml:space="preserve">Large accelerated filer </w:t>
      </w:r>
      <w:r>
        <w:rPr>
          <w:rFonts w:ascii="MS PGothic" w:cs="MS PGothic" w:eastAsia="MS PGothic" w:hAnsi="MS PGothic"/>
          <w:sz w:val="11"/>
          <w:szCs w:val="11"/>
          <w:color w:val="auto"/>
        </w:rPr>
        <w:t>☐</w:t>
      </w:r>
      <w:r>
        <w:rPr>
          <w:rFonts w:ascii="Arial" w:cs="Arial" w:eastAsia="Arial" w:hAnsi="Arial"/>
          <w:sz w:val="11"/>
          <w:szCs w:val="11"/>
          <w:color w:val="auto"/>
        </w:rPr>
        <w:t xml:space="preserve"> Accelerated filer </w:t>
      </w:r>
      <w:r>
        <w:rPr>
          <w:rFonts w:ascii="MS PGothic" w:cs="MS PGothic" w:eastAsia="MS PGothic" w:hAnsi="MS PGothic"/>
          <w:sz w:val="11"/>
          <w:szCs w:val="11"/>
          <w:color w:val="auto"/>
        </w:rPr>
        <w:t>☑</w:t>
      </w:r>
      <w:r>
        <w:rPr>
          <w:rFonts w:ascii="Arial" w:cs="Arial" w:eastAsia="Arial" w:hAnsi="Arial"/>
          <w:sz w:val="11"/>
          <w:szCs w:val="11"/>
          <w:color w:val="auto"/>
        </w:rPr>
        <w:t xml:space="preserve"> Non-accelerated filer </w:t>
      </w:r>
      <w:r>
        <w:rPr>
          <w:rFonts w:ascii="MS PGothic" w:cs="MS PGothic" w:eastAsia="MS PGothic" w:hAnsi="MS PGothic"/>
          <w:sz w:val="11"/>
          <w:szCs w:val="11"/>
          <w:color w:val="auto"/>
        </w:rPr>
        <w:t>☐</w:t>
      </w:r>
      <w:r>
        <w:rPr>
          <w:rFonts w:ascii="Arial" w:cs="Arial" w:eastAsia="Arial" w:hAnsi="Arial"/>
          <w:sz w:val="11"/>
          <w:szCs w:val="11"/>
          <w:color w:val="auto"/>
        </w:rPr>
        <w:t xml:space="preserve"> Smaller reporting company </w:t>
      </w:r>
      <w:r>
        <w:rPr>
          <w:rFonts w:ascii="MS PGothic" w:cs="MS PGothic" w:eastAsia="MS PGothic" w:hAnsi="MS PGothic"/>
          <w:sz w:val="11"/>
          <w:szCs w:val="11"/>
          <w:color w:val="auto"/>
        </w:rPr>
        <w:t>☐</w:t>
      </w:r>
      <w:r>
        <w:rPr>
          <w:rFonts w:ascii="Arial" w:cs="Arial" w:eastAsia="Arial" w:hAnsi="Arial"/>
          <w:sz w:val="11"/>
          <w:szCs w:val="11"/>
          <w:color w:val="auto"/>
        </w:rPr>
        <w:t xml:space="preserve"> Indicate by check mark whether the registrant is a shell company (as defined in Rule 12b-2 of the Exchange Act). Yes </w:t>
      </w:r>
      <w:r>
        <w:rPr>
          <w:rFonts w:ascii="MS PGothic" w:cs="MS PGothic" w:eastAsia="MS PGothic" w:hAnsi="MS PGothic"/>
          <w:sz w:val="11"/>
          <w:szCs w:val="11"/>
          <w:color w:val="auto"/>
        </w:rPr>
        <w:t>☐</w:t>
      </w:r>
      <w:r>
        <w:rPr>
          <w:rFonts w:ascii="Arial" w:cs="Arial" w:eastAsia="Arial" w:hAnsi="Arial"/>
          <w:sz w:val="11"/>
          <w:szCs w:val="11"/>
          <w:color w:val="auto"/>
        </w:rPr>
        <w:t xml:space="preserve"> No </w:t>
      </w:r>
      <w:r>
        <w:rPr>
          <w:rFonts w:ascii="MS PGothic" w:cs="MS PGothic" w:eastAsia="MS PGothic" w:hAnsi="MS PGothic"/>
          <w:sz w:val="11"/>
          <w:szCs w:val="11"/>
          <w:color w:val="auto"/>
        </w:rPr>
        <w:t>☑</w:t>
      </w:r>
    </w:p>
    <w:p>
      <w:pPr>
        <w:spacing w:after="0" w:line="32" w:lineRule="exact"/>
        <w:rPr>
          <w:sz w:val="24"/>
          <w:szCs w:val="24"/>
          <w:color w:val="auto"/>
        </w:rPr>
      </w:pPr>
    </w:p>
    <w:p>
      <w:pPr>
        <w:ind w:firstLine="432"/>
        <w:spacing w:after="0" w:line="258" w:lineRule="auto"/>
        <w:rPr>
          <w:sz w:val="20"/>
          <w:szCs w:val="20"/>
          <w:color w:val="auto"/>
        </w:rPr>
      </w:pPr>
      <w:r>
        <w:rPr>
          <w:rFonts w:ascii="Arial" w:cs="Arial" w:eastAsia="Arial" w:hAnsi="Arial"/>
          <w:sz w:val="9"/>
          <w:szCs w:val="9"/>
          <w:color w:val="auto"/>
        </w:rPr>
        <w:t>Indicate the number of shares outstanding of each of the issuer’s classes of common stock, as of the latest practicable date. As of April 25, 2016, there were 21,654,302 shares of class A non-voting common stock, par value $0.01 per share and 1,680,590 shares of class B voting common stock, par value $0.01 per share, outstanding. The aggregate market value of voting and nonvoting stock held by non-affiliates of the Registrant was $195,571,016 as of December 31, 2015.</w:t>
      </w:r>
    </w:p>
    <w:p>
      <w:pPr>
        <w:jc w:val="center"/>
        <w:spacing w:after="0"/>
        <w:rPr>
          <w:sz w:val="20"/>
          <w:szCs w:val="20"/>
          <w:color w:val="auto"/>
        </w:rPr>
      </w:pPr>
      <w:r>
        <w:rPr>
          <w:rFonts w:ascii="Arial" w:cs="Arial" w:eastAsia="Arial" w:hAnsi="Arial"/>
          <w:sz w:val="12"/>
          <w:szCs w:val="12"/>
          <w:b w:val="1"/>
          <w:bCs w:val="1"/>
          <w:color w:val="auto"/>
        </w:rPr>
        <w:t>Documents Incorporated by Reference</w:t>
      </w:r>
    </w:p>
    <w:p>
      <w:pPr>
        <w:spacing w:after="0" w:line="54" w:lineRule="exact"/>
        <w:rPr>
          <w:sz w:val="24"/>
          <w:szCs w:val="24"/>
          <w:color w:val="auto"/>
        </w:rPr>
      </w:pPr>
    </w:p>
    <w:p>
      <w:pPr>
        <w:ind w:right="140" w:firstLine="432"/>
        <w:spacing w:after="0" w:line="257" w:lineRule="auto"/>
        <w:rPr>
          <w:sz w:val="20"/>
          <w:szCs w:val="20"/>
          <w:color w:val="auto"/>
        </w:rPr>
      </w:pPr>
      <w:r>
        <w:rPr>
          <w:rFonts w:ascii="Arial" w:cs="Arial" w:eastAsia="Arial" w:hAnsi="Arial"/>
          <w:sz w:val="11"/>
          <w:szCs w:val="11"/>
          <w:color w:val="auto"/>
        </w:rPr>
        <w:t>Certain portions of the registrant’s definitive proxy statement, in connection with its 2016 annual meeting of stockholders, to be filed within 120 days of December 31, 2015, are incorporated by reference into Part III, Items 10-14,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70485</wp:posOffset>
            </wp:positionV>
            <wp:extent cx="677989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79895" cy="42545"/>
                    </a:xfrm>
                    <a:prstGeom prst="rect">
                      <a:avLst/>
                    </a:prstGeom>
                    <a:noFill/>
                  </pic:spPr>
                </pic:pic>
              </a:graphicData>
            </a:graphic>
          </wp:anchor>
        </w:drawing>
      </w:r>
    </w:p>
    <w:p>
      <w:pPr>
        <w:sectPr>
          <w:pgSz w:w="11900" w:h="16838" w:orient="portrait"/>
          <w:cols w:equalWidth="0" w:num="1">
            <w:col w:w="10600"/>
          </w:cols>
          <w:pgMar w:left="640" w:top="193" w:right="65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40"/>
        </w:trPr>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740" w:type="dxa"/>
            <w:vAlign w:val="bottom"/>
            <w:gridSpan w:val="5"/>
          </w:tcPr>
          <w:p>
            <w:pPr>
              <w:jc w:val="center"/>
              <w:ind w:right="1920"/>
              <w:spacing w:after="0"/>
              <w:rPr>
                <w:sz w:val="20"/>
                <w:szCs w:val="20"/>
                <w:color w:val="auto"/>
              </w:rPr>
            </w:pPr>
            <w:r>
              <w:rPr>
                <w:rFonts w:ascii="Arial" w:cs="Arial" w:eastAsia="Arial" w:hAnsi="Arial"/>
                <w:sz w:val="11"/>
                <w:szCs w:val="11"/>
                <w:b w:val="1"/>
                <w:bCs w:val="1"/>
                <w:color w:val="auto"/>
              </w:rPr>
              <w:t>READING INTERNATIONAL, INC.</w:t>
            </w:r>
          </w:p>
        </w:tc>
        <w:tc>
          <w:tcPr>
            <w:tcW w:w="24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02"/>
        </w:trPr>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740" w:type="dxa"/>
            <w:vAlign w:val="bottom"/>
            <w:gridSpan w:val="5"/>
          </w:tcPr>
          <w:p>
            <w:pPr>
              <w:jc w:val="center"/>
              <w:ind w:right="1920"/>
              <w:spacing w:after="0"/>
              <w:rPr>
                <w:sz w:val="20"/>
                <w:szCs w:val="20"/>
                <w:color w:val="auto"/>
              </w:rPr>
            </w:pPr>
            <w:r>
              <w:rPr>
                <w:rFonts w:ascii="Arial" w:cs="Arial" w:eastAsia="Arial" w:hAnsi="Arial"/>
                <w:sz w:val="11"/>
                <w:szCs w:val="11"/>
                <w:b w:val="1"/>
                <w:bCs w:val="1"/>
                <w:color w:val="auto"/>
                <w:w w:val="98"/>
              </w:rPr>
              <w:t>ANNUAL REPORT ON FORM 10-K</w:t>
            </w:r>
          </w:p>
        </w:tc>
        <w:tc>
          <w:tcPr>
            <w:tcW w:w="24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35"/>
        </w:trPr>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5"/>
          </w:tcPr>
          <w:p>
            <w:pPr>
              <w:jc w:val="center"/>
              <w:ind w:right="1920"/>
              <w:spacing w:after="0"/>
              <w:rPr>
                <w:sz w:val="20"/>
                <w:szCs w:val="20"/>
                <w:color w:val="auto"/>
              </w:rPr>
            </w:pPr>
            <w:r>
              <w:rPr>
                <w:rFonts w:ascii="Arial" w:cs="Arial" w:eastAsia="Arial" w:hAnsi="Arial"/>
                <w:sz w:val="11"/>
                <w:szCs w:val="11"/>
                <w:b w:val="1"/>
                <w:bCs w:val="1"/>
                <w:color w:val="auto"/>
                <w:w w:val="96"/>
              </w:rPr>
              <w:t>YEAR ENDED DECEMBER 31, 2015</w:t>
            </w:r>
          </w:p>
        </w:tc>
        <w:tc>
          <w:tcPr>
            <w:tcW w:w="248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17"/>
        </w:trPr>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000" w:type="dxa"/>
            <w:vAlign w:val="bottom"/>
            <w:gridSpan w:val="3"/>
          </w:tcPr>
          <w:p>
            <w:pPr>
              <w:jc w:val="center"/>
              <w:ind w:right="2660"/>
              <w:spacing w:after="0" w:line="117" w:lineRule="exact"/>
              <w:rPr>
                <w:sz w:val="20"/>
                <w:szCs w:val="20"/>
                <w:color w:val="auto"/>
              </w:rPr>
            </w:pPr>
            <w:r>
              <w:rPr>
                <w:rFonts w:ascii="Arial" w:cs="Arial" w:eastAsia="Arial" w:hAnsi="Arial"/>
                <w:sz w:val="11"/>
                <w:szCs w:val="11"/>
                <w:b w:val="1"/>
                <w:bCs w:val="1"/>
                <w:color w:val="auto"/>
              </w:rPr>
              <w:t>INDEX</w:t>
            </w:r>
          </w:p>
        </w:tc>
        <w:tc>
          <w:tcPr>
            <w:tcW w:w="248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439"/>
        </w:trPr>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66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80"/>
        </w:trPr>
        <w:tc>
          <w:tcPr>
            <w:tcW w:w="80" w:type="dxa"/>
            <w:vAlign w:val="bottom"/>
            <w:shd w:val="clear" w:color="auto" w:fill="CCEEFF"/>
          </w:tcPr>
          <w:p>
            <w:pPr>
              <w:spacing w:after="0"/>
              <w:rPr>
                <w:sz w:val="15"/>
                <w:szCs w:val="15"/>
                <w:color w:val="auto"/>
              </w:rPr>
            </w:pPr>
          </w:p>
        </w:tc>
        <w:tc>
          <w:tcPr>
            <w:tcW w:w="8060" w:type="dxa"/>
            <w:vAlign w:val="bottom"/>
            <w:gridSpan w:val="28"/>
            <w:shd w:val="clear" w:color="auto" w:fill="CCEEFF"/>
          </w:tcPr>
          <w:p>
            <w:pPr>
              <w:spacing w:after="0"/>
              <w:rPr>
                <w:rFonts w:ascii="Arial" w:cs="Arial" w:eastAsia="Arial" w:hAnsi="Arial"/>
                <w:sz w:val="11"/>
                <w:szCs w:val="11"/>
                <w:b w:val="1"/>
                <w:bCs w:val="1"/>
                <w:color w:val="0000EE"/>
              </w:rPr>
            </w:pPr>
            <w:hyperlink w:anchor="page3">
              <w:r>
                <w:rPr>
                  <w:rFonts w:ascii="Arial" w:cs="Arial" w:eastAsia="Arial" w:hAnsi="Arial"/>
                  <w:sz w:val="11"/>
                  <w:szCs w:val="11"/>
                  <w:b w:val="1"/>
                  <w:bCs w:val="1"/>
                  <w:color w:val="0000EE"/>
                </w:rPr>
                <w:t>PART I</w:t>
              </w:r>
            </w:hyperlink>
          </w:p>
        </w:tc>
        <w:tc>
          <w:tcPr>
            <w:tcW w:w="2480" w:type="dxa"/>
            <w:vAlign w:val="bottom"/>
            <w:shd w:val="clear" w:color="auto" w:fill="CCEEFF"/>
          </w:tcPr>
          <w:p>
            <w:pPr>
              <w:ind w:left="1960"/>
              <w:spacing w:after="0"/>
              <w:rPr>
                <w:sz w:val="20"/>
                <w:szCs w:val="20"/>
                <w:color w:val="auto"/>
              </w:rPr>
            </w:pPr>
            <w:r>
              <w:rPr>
                <w:rFonts w:ascii="Arial" w:cs="Arial" w:eastAsia="Arial" w:hAnsi="Arial"/>
                <w:sz w:val="11"/>
                <w:szCs w:val="11"/>
                <w:b w:val="1"/>
                <w:bCs w:val="1"/>
                <w:color w:val="auto"/>
              </w:rPr>
              <w:t>3</w:t>
            </w:r>
          </w:p>
        </w:tc>
        <w:tc>
          <w:tcPr>
            <w:tcW w:w="20" w:type="dxa"/>
            <w:vAlign w:val="bottom"/>
          </w:tcPr>
          <w:p>
            <w:pPr>
              <w:spacing w:after="0"/>
              <w:rPr>
                <w:sz w:val="15"/>
                <w:szCs w:val="15"/>
                <w:color w:val="auto"/>
              </w:rPr>
            </w:pPr>
          </w:p>
        </w:tc>
      </w:tr>
      <w:tr>
        <w:trPr>
          <w:trHeight w:val="79"/>
        </w:trPr>
        <w:tc>
          <w:tcPr>
            <w:tcW w:w="8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7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4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660" w:type="dxa"/>
            <w:vAlign w:val="bottom"/>
            <w:tcBorders>
              <w:top w:val="single" w:sz="8" w:color="CCEEFF"/>
            </w:tcBorders>
            <w:shd w:val="clear" w:color="auto" w:fill="CCEEFF"/>
          </w:tcPr>
          <w:p>
            <w:pPr>
              <w:spacing w:after="0"/>
              <w:rPr>
                <w:sz w:val="6"/>
                <w:szCs w:val="6"/>
                <w:color w:val="auto"/>
              </w:rPr>
            </w:pPr>
          </w:p>
        </w:tc>
        <w:tc>
          <w:tcPr>
            <w:tcW w:w="2480" w:type="dxa"/>
            <w:vAlign w:val="bottom"/>
            <w:tcBorders>
              <w:top w:val="single" w:sz="8" w:color="CCEEFF"/>
            </w:tcBorders>
            <w:shd w:val="clear" w:color="auto" w:fill="CCEEFF"/>
          </w:tcPr>
          <w:p>
            <w:pPr>
              <w:spacing w:after="0"/>
              <w:rPr>
                <w:sz w:val="6"/>
                <w:szCs w:val="6"/>
                <w:color w:val="auto"/>
              </w:rPr>
            </w:pPr>
          </w:p>
        </w:tc>
        <w:tc>
          <w:tcPr>
            <w:tcW w:w="20" w:type="dxa"/>
            <w:vAlign w:val="bottom"/>
          </w:tcPr>
          <w:p>
            <w:pPr>
              <w:spacing w:after="0"/>
              <w:rPr>
                <w:sz w:val="6"/>
                <w:szCs w:val="6"/>
                <w:color w:val="auto"/>
              </w:rPr>
            </w:pPr>
          </w:p>
        </w:tc>
      </w:tr>
      <w:tr>
        <w:trPr>
          <w:trHeight w:val="180"/>
        </w:trPr>
        <w:tc>
          <w:tcPr>
            <w:tcW w:w="80" w:type="dxa"/>
            <w:vAlign w:val="bottom"/>
          </w:tcPr>
          <w:p>
            <w:pPr>
              <w:spacing w:after="0"/>
              <w:rPr>
                <w:sz w:val="15"/>
                <w:szCs w:val="15"/>
                <w:color w:val="auto"/>
              </w:rPr>
            </w:pPr>
          </w:p>
        </w:tc>
        <w:tc>
          <w:tcPr>
            <w:tcW w:w="8060" w:type="dxa"/>
            <w:vAlign w:val="bottom"/>
            <w:gridSpan w:val="28"/>
          </w:tcPr>
          <w:p>
            <w:pPr>
              <w:spacing w:after="0"/>
              <w:rPr>
                <w:rFonts w:ascii="Arial" w:cs="Arial" w:eastAsia="Arial" w:hAnsi="Arial"/>
                <w:sz w:val="11"/>
                <w:szCs w:val="11"/>
                <w:color w:val="0000EE"/>
              </w:rPr>
            </w:pPr>
            <w:hyperlink w:anchor="page3">
              <w:r>
                <w:rPr>
                  <w:rFonts w:ascii="Arial" w:cs="Arial" w:eastAsia="Arial" w:hAnsi="Arial"/>
                  <w:sz w:val="11"/>
                  <w:szCs w:val="11"/>
                  <w:color w:val="0000EE"/>
                </w:rPr>
                <w:t>Item 1 – Our Business</w:t>
              </w:r>
            </w:hyperlink>
          </w:p>
        </w:tc>
        <w:tc>
          <w:tcPr>
            <w:tcW w:w="2480" w:type="dxa"/>
            <w:vAlign w:val="bottom"/>
          </w:tcPr>
          <w:p>
            <w:pPr>
              <w:ind w:left="1960"/>
              <w:spacing w:after="0"/>
              <w:rPr>
                <w:sz w:val="20"/>
                <w:szCs w:val="20"/>
                <w:color w:val="auto"/>
              </w:rPr>
            </w:pPr>
            <w:r>
              <w:rPr>
                <w:rFonts w:ascii="Arial" w:cs="Arial" w:eastAsia="Arial" w:hAnsi="Arial"/>
                <w:sz w:val="11"/>
                <w:szCs w:val="11"/>
                <w:b w:val="1"/>
                <w:bCs w:val="1"/>
                <w:color w:val="auto"/>
              </w:rPr>
              <w:t>3</w:t>
            </w:r>
          </w:p>
        </w:tc>
        <w:tc>
          <w:tcPr>
            <w:tcW w:w="20" w:type="dxa"/>
            <w:vAlign w:val="bottom"/>
          </w:tcPr>
          <w:p>
            <w:pPr>
              <w:spacing w:after="0"/>
              <w:rPr>
                <w:sz w:val="15"/>
                <w:szCs w:val="15"/>
                <w:color w:val="auto"/>
              </w:rPr>
            </w:pPr>
          </w:p>
        </w:tc>
      </w:tr>
      <w:tr>
        <w:trPr>
          <w:trHeight w:val="79"/>
        </w:trPr>
        <w:tc>
          <w:tcPr>
            <w:tcW w:w="80" w:type="dxa"/>
            <w:vAlign w:val="bottom"/>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c>
          <w:tcPr>
            <w:tcW w:w="1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2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60" w:type="dxa"/>
            <w:vAlign w:val="bottom"/>
          </w:tcPr>
          <w:p>
            <w:pPr>
              <w:spacing w:after="0"/>
              <w:rPr>
                <w:sz w:val="6"/>
                <w:szCs w:val="6"/>
                <w:color w:val="auto"/>
              </w:rPr>
            </w:pPr>
          </w:p>
        </w:tc>
        <w:tc>
          <w:tcPr>
            <w:tcW w:w="260" w:type="dxa"/>
            <w:vAlign w:val="bottom"/>
          </w:tcPr>
          <w:p>
            <w:pPr>
              <w:spacing w:after="0"/>
              <w:rPr>
                <w:sz w:val="6"/>
                <w:szCs w:val="6"/>
                <w:color w:val="auto"/>
              </w:rPr>
            </w:pPr>
          </w:p>
        </w:tc>
        <w:tc>
          <w:tcPr>
            <w:tcW w:w="22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60" w:type="dxa"/>
            <w:vAlign w:val="bottom"/>
          </w:tcPr>
          <w:p>
            <w:pPr>
              <w:spacing w:after="0"/>
              <w:rPr>
                <w:sz w:val="6"/>
                <w:szCs w:val="6"/>
                <w:color w:val="auto"/>
              </w:rPr>
            </w:pPr>
          </w:p>
        </w:tc>
        <w:tc>
          <w:tcPr>
            <w:tcW w:w="2660" w:type="dxa"/>
            <w:vAlign w:val="bottom"/>
          </w:tcPr>
          <w:p>
            <w:pPr>
              <w:spacing w:after="0"/>
              <w:rPr>
                <w:sz w:val="6"/>
                <w:szCs w:val="6"/>
                <w:color w:val="auto"/>
              </w:rPr>
            </w:pPr>
          </w:p>
        </w:tc>
        <w:tc>
          <w:tcPr>
            <w:tcW w:w="2480" w:type="dxa"/>
            <w:vAlign w:val="bottom"/>
          </w:tcPr>
          <w:p>
            <w:pPr>
              <w:spacing w:after="0"/>
              <w:rPr>
                <w:sz w:val="6"/>
                <w:szCs w:val="6"/>
                <w:color w:val="auto"/>
              </w:rPr>
            </w:pPr>
          </w:p>
        </w:tc>
        <w:tc>
          <w:tcPr>
            <w:tcW w:w="20" w:type="dxa"/>
            <w:vAlign w:val="bottom"/>
          </w:tcPr>
          <w:p>
            <w:pPr>
              <w:spacing w:after="0"/>
              <w:rPr>
                <w:sz w:val="6"/>
                <w:szCs w:val="6"/>
                <w:color w:val="auto"/>
              </w:rPr>
            </w:pPr>
          </w:p>
        </w:tc>
      </w:tr>
      <w:tr>
        <w:trPr>
          <w:trHeight w:val="180"/>
        </w:trPr>
        <w:tc>
          <w:tcPr>
            <w:tcW w:w="80" w:type="dxa"/>
            <w:vAlign w:val="bottom"/>
            <w:shd w:val="clear" w:color="auto" w:fill="CCEEFF"/>
          </w:tcPr>
          <w:p>
            <w:pPr>
              <w:spacing w:after="0"/>
              <w:rPr>
                <w:sz w:val="15"/>
                <w:szCs w:val="15"/>
                <w:color w:val="auto"/>
              </w:rPr>
            </w:pPr>
          </w:p>
        </w:tc>
        <w:tc>
          <w:tcPr>
            <w:tcW w:w="8060" w:type="dxa"/>
            <w:vAlign w:val="bottom"/>
            <w:gridSpan w:val="28"/>
            <w:shd w:val="clear" w:color="auto" w:fill="CCEEFF"/>
          </w:tcPr>
          <w:p>
            <w:pPr>
              <w:spacing w:after="0"/>
              <w:rPr>
                <w:rFonts w:ascii="Arial" w:cs="Arial" w:eastAsia="Arial" w:hAnsi="Arial"/>
                <w:sz w:val="11"/>
                <w:szCs w:val="11"/>
                <w:color w:val="0000EE"/>
              </w:rPr>
            </w:pPr>
            <w:hyperlink w:anchor="page11">
              <w:r>
                <w:rPr>
                  <w:rFonts w:ascii="Arial" w:cs="Arial" w:eastAsia="Arial" w:hAnsi="Arial"/>
                  <w:sz w:val="11"/>
                  <w:szCs w:val="11"/>
                  <w:color w:val="0000EE"/>
                </w:rPr>
                <w:t>Item 1A – Risk Factors</w:t>
              </w:r>
            </w:hyperlink>
          </w:p>
        </w:tc>
        <w:tc>
          <w:tcPr>
            <w:tcW w:w="2480" w:type="dxa"/>
            <w:vAlign w:val="bottom"/>
            <w:shd w:val="clear" w:color="auto" w:fill="CCEEFF"/>
          </w:tcPr>
          <w:p>
            <w:pPr>
              <w:ind w:left="1960"/>
              <w:spacing w:after="0"/>
              <w:rPr>
                <w:sz w:val="20"/>
                <w:szCs w:val="20"/>
                <w:color w:val="auto"/>
              </w:rPr>
            </w:pPr>
            <w:r>
              <w:rPr>
                <w:rFonts w:ascii="Arial" w:cs="Arial" w:eastAsia="Arial" w:hAnsi="Arial"/>
                <w:sz w:val="11"/>
                <w:szCs w:val="11"/>
                <w:b w:val="1"/>
                <w:bCs w:val="1"/>
                <w:color w:val="auto"/>
              </w:rPr>
              <w:t>11</w:t>
            </w:r>
          </w:p>
        </w:tc>
        <w:tc>
          <w:tcPr>
            <w:tcW w:w="20" w:type="dxa"/>
            <w:vAlign w:val="bottom"/>
          </w:tcPr>
          <w:p>
            <w:pPr>
              <w:spacing w:after="0"/>
              <w:rPr>
                <w:sz w:val="15"/>
                <w:szCs w:val="15"/>
                <w:color w:val="auto"/>
              </w:rPr>
            </w:pPr>
          </w:p>
        </w:tc>
      </w:tr>
      <w:tr>
        <w:trPr>
          <w:trHeight w:val="79"/>
        </w:trPr>
        <w:tc>
          <w:tcPr>
            <w:tcW w:w="8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7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4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660" w:type="dxa"/>
            <w:vAlign w:val="bottom"/>
            <w:tcBorders>
              <w:top w:val="single" w:sz="8" w:color="CCEEFF"/>
            </w:tcBorders>
            <w:shd w:val="clear" w:color="auto" w:fill="CCEEFF"/>
          </w:tcPr>
          <w:p>
            <w:pPr>
              <w:spacing w:after="0"/>
              <w:rPr>
                <w:sz w:val="6"/>
                <w:szCs w:val="6"/>
                <w:color w:val="auto"/>
              </w:rPr>
            </w:pPr>
          </w:p>
        </w:tc>
        <w:tc>
          <w:tcPr>
            <w:tcW w:w="2480" w:type="dxa"/>
            <w:vAlign w:val="bottom"/>
            <w:tcBorders>
              <w:top w:val="single" w:sz="8" w:color="CCEEFF"/>
            </w:tcBorders>
            <w:shd w:val="clear" w:color="auto" w:fill="CCEEFF"/>
          </w:tcPr>
          <w:p>
            <w:pPr>
              <w:spacing w:after="0"/>
              <w:rPr>
                <w:sz w:val="6"/>
                <w:szCs w:val="6"/>
                <w:color w:val="auto"/>
              </w:rPr>
            </w:pPr>
          </w:p>
        </w:tc>
        <w:tc>
          <w:tcPr>
            <w:tcW w:w="20" w:type="dxa"/>
            <w:vAlign w:val="bottom"/>
          </w:tcPr>
          <w:p>
            <w:pPr>
              <w:spacing w:after="0"/>
              <w:rPr>
                <w:sz w:val="6"/>
                <w:szCs w:val="6"/>
                <w:color w:val="auto"/>
              </w:rPr>
            </w:pPr>
          </w:p>
        </w:tc>
      </w:tr>
      <w:tr>
        <w:trPr>
          <w:trHeight w:val="180"/>
        </w:trPr>
        <w:tc>
          <w:tcPr>
            <w:tcW w:w="80" w:type="dxa"/>
            <w:vAlign w:val="bottom"/>
          </w:tcPr>
          <w:p>
            <w:pPr>
              <w:spacing w:after="0"/>
              <w:rPr>
                <w:sz w:val="15"/>
                <w:szCs w:val="15"/>
                <w:color w:val="auto"/>
              </w:rPr>
            </w:pPr>
          </w:p>
        </w:tc>
        <w:tc>
          <w:tcPr>
            <w:tcW w:w="8060" w:type="dxa"/>
            <w:vAlign w:val="bottom"/>
            <w:gridSpan w:val="28"/>
          </w:tcPr>
          <w:p>
            <w:pPr>
              <w:spacing w:after="0"/>
              <w:rPr>
                <w:rFonts w:ascii="Arial" w:cs="Arial" w:eastAsia="Arial" w:hAnsi="Arial"/>
                <w:sz w:val="11"/>
                <w:szCs w:val="11"/>
                <w:color w:val="0000EE"/>
              </w:rPr>
            </w:pPr>
            <w:hyperlink w:anchor="page19">
              <w:r>
                <w:rPr>
                  <w:rFonts w:ascii="Arial" w:cs="Arial" w:eastAsia="Arial" w:hAnsi="Arial"/>
                  <w:sz w:val="11"/>
                  <w:szCs w:val="11"/>
                  <w:color w:val="0000EE"/>
                </w:rPr>
                <w:t>Item 1B - Unresolved Staff Comments</w:t>
              </w:r>
            </w:hyperlink>
          </w:p>
        </w:tc>
        <w:tc>
          <w:tcPr>
            <w:tcW w:w="2480" w:type="dxa"/>
            <w:vAlign w:val="bottom"/>
          </w:tcPr>
          <w:p>
            <w:pPr>
              <w:ind w:left="1960"/>
              <w:spacing w:after="0"/>
              <w:rPr>
                <w:sz w:val="20"/>
                <w:szCs w:val="20"/>
                <w:color w:val="auto"/>
              </w:rPr>
            </w:pPr>
            <w:r>
              <w:rPr>
                <w:rFonts w:ascii="Arial" w:cs="Arial" w:eastAsia="Arial" w:hAnsi="Arial"/>
                <w:sz w:val="11"/>
                <w:szCs w:val="11"/>
                <w:b w:val="1"/>
                <w:bCs w:val="1"/>
                <w:color w:val="auto"/>
              </w:rPr>
              <w:t>19</w:t>
            </w:r>
          </w:p>
        </w:tc>
        <w:tc>
          <w:tcPr>
            <w:tcW w:w="20" w:type="dxa"/>
            <w:vAlign w:val="bottom"/>
          </w:tcPr>
          <w:p>
            <w:pPr>
              <w:spacing w:after="0"/>
              <w:rPr>
                <w:sz w:val="15"/>
                <w:szCs w:val="15"/>
                <w:color w:val="auto"/>
              </w:rPr>
            </w:pPr>
          </w:p>
        </w:tc>
      </w:tr>
      <w:tr>
        <w:trPr>
          <w:trHeight w:val="79"/>
        </w:trPr>
        <w:tc>
          <w:tcPr>
            <w:tcW w:w="80" w:type="dxa"/>
            <w:vAlign w:val="bottom"/>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2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60" w:type="dxa"/>
            <w:vAlign w:val="bottom"/>
          </w:tcPr>
          <w:p>
            <w:pPr>
              <w:spacing w:after="0"/>
              <w:rPr>
                <w:sz w:val="6"/>
                <w:szCs w:val="6"/>
                <w:color w:val="auto"/>
              </w:rPr>
            </w:pPr>
          </w:p>
        </w:tc>
        <w:tc>
          <w:tcPr>
            <w:tcW w:w="260" w:type="dxa"/>
            <w:vAlign w:val="bottom"/>
          </w:tcPr>
          <w:p>
            <w:pPr>
              <w:spacing w:after="0"/>
              <w:rPr>
                <w:sz w:val="6"/>
                <w:szCs w:val="6"/>
                <w:color w:val="auto"/>
              </w:rPr>
            </w:pPr>
          </w:p>
        </w:tc>
        <w:tc>
          <w:tcPr>
            <w:tcW w:w="22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60" w:type="dxa"/>
            <w:vAlign w:val="bottom"/>
          </w:tcPr>
          <w:p>
            <w:pPr>
              <w:spacing w:after="0"/>
              <w:rPr>
                <w:sz w:val="6"/>
                <w:szCs w:val="6"/>
                <w:color w:val="auto"/>
              </w:rPr>
            </w:pPr>
          </w:p>
        </w:tc>
        <w:tc>
          <w:tcPr>
            <w:tcW w:w="2660" w:type="dxa"/>
            <w:vAlign w:val="bottom"/>
          </w:tcPr>
          <w:p>
            <w:pPr>
              <w:spacing w:after="0"/>
              <w:rPr>
                <w:sz w:val="6"/>
                <w:szCs w:val="6"/>
                <w:color w:val="auto"/>
              </w:rPr>
            </w:pPr>
          </w:p>
        </w:tc>
        <w:tc>
          <w:tcPr>
            <w:tcW w:w="2480" w:type="dxa"/>
            <w:vAlign w:val="bottom"/>
          </w:tcPr>
          <w:p>
            <w:pPr>
              <w:spacing w:after="0"/>
              <w:rPr>
                <w:sz w:val="6"/>
                <w:szCs w:val="6"/>
                <w:color w:val="auto"/>
              </w:rPr>
            </w:pPr>
          </w:p>
        </w:tc>
        <w:tc>
          <w:tcPr>
            <w:tcW w:w="20" w:type="dxa"/>
            <w:vAlign w:val="bottom"/>
          </w:tcPr>
          <w:p>
            <w:pPr>
              <w:spacing w:after="0"/>
              <w:rPr>
                <w:sz w:val="6"/>
                <w:szCs w:val="6"/>
                <w:color w:val="auto"/>
              </w:rPr>
            </w:pPr>
          </w:p>
        </w:tc>
      </w:tr>
      <w:tr>
        <w:trPr>
          <w:trHeight w:val="180"/>
        </w:trPr>
        <w:tc>
          <w:tcPr>
            <w:tcW w:w="80" w:type="dxa"/>
            <w:vAlign w:val="bottom"/>
            <w:shd w:val="clear" w:color="auto" w:fill="CCEEFF"/>
          </w:tcPr>
          <w:p>
            <w:pPr>
              <w:spacing w:after="0"/>
              <w:rPr>
                <w:sz w:val="15"/>
                <w:szCs w:val="15"/>
                <w:color w:val="auto"/>
              </w:rPr>
            </w:pPr>
          </w:p>
        </w:tc>
        <w:tc>
          <w:tcPr>
            <w:tcW w:w="8060" w:type="dxa"/>
            <w:vAlign w:val="bottom"/>
            <w:gridSpan w:val="28"/>
            <w:shd w:val="clear" w:color="auto" w:fill="CCEEFF"/>
          </w:tcPr>
          <w:p>
            <w:pPr>
              <w:spacing w:after="0"/>
              <w:rPr>
                <w:rFonts w:ascii="Arial" w:cs="Arial" w:eastAsia="Arial" w:hAnsi="Arial"/>
                <w:sz w:val="11"/>
                <w:szCs w:val="11"/>
                <w:color w:val="0000EE"/>
              </w:rPr>
            </w:pPr>
            <w:hyperlink w:anchor="page20">
              <w:r>
                <w:rPr>
                  <w:rFonts w:ascii="Arial" w:cs="Arial" w:eastAsia="Arial" w:hAnsi="Arial"/>
                  <w:sz w:val="11"/>
                  <w:szCs w:val="11"/>
                  <w:color w:val="0000EE"/>
                </w:rPr>
                <w:t>Item 2 – Properties</w:t>
              </w:r>
            </w:hyperlink>
          </w:p>
        </w:tc>
        <w:tc>
          <w:tcPr>
            <w:tcW w:w="2480" w:type="dxa"/>
            <w:vAlign w:val="bottom"/>
            <w:shd w:val="clear" w:color="auto" w:fill="CCEEFF"/>
          </w:tcPr>
          <w:p>
            <w:pPr>
              <w:ind w:left="1960"/>
              <w:spacing w:after="0"/>
              <w:rPr>
                <w:sz w:val="20"/>
                <w:szCs w:val="20"/>
                <w:color w:val="auto"/>
              </w:rPr>
            </w:pPr>
            <w:r>
              <w:rPr>
                <w:rFonts w:ascii="Arial" w:cs="Arial" w:eastAsia="Arial" w:hAnsi="Arial"/>
                <w:sz w:val="11"/>
                <w:szCs w:val="11"/>
                <w:b w:val="1"/>
                <w:bCs w:val="1"/>
                <w:color w:val="auto"/>
              </w:rPr>
              <w:t>20</w:t>
            </w:r>
          </w:p>
        </w:tc>
        <w:tc>
          <w:tcPr>
            <w:tcW w:w="20" w:type="dxa"/>
            <w:vAlign w:val="bottom"/>
          </w:tcPr>
          <w:p>
            <w:pPr>
              <w:spacing w:after="0"/>
              <w:rPr>
                <w:sz w:val="15"/>
                <w:szCs w:val="15"/>
                <w:color w:val="auto"/>
              </w:rPr>
            </w:pPr>
          </w:p>
        </w:tc>
      </w:tr>
      <w:tr>
        <w:trPr>
          <w:trHeight w:val="79"/>
        </w:trPr>
        <w:tc>
          <w:tcPr>
            <w:tcW w:w="8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7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4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660" w:type="dxa"/>
            <w:vAlign w:val="bottom"/>
            <w:tcBorders>
              <w:top w:val="single" w:sz="8" w:color="CCEEFF"/>
            </w:tcBorders>
            <w:shd w:val="clear" w:color="auto" w:fill="CCEEFF"/>
          </w:tcPr>
          <w:p>
            <w:pPr>
              <w:spacing w:after="0"/>
              <w:rPr>
                <w:sz w:val="6"/>
                <w:szCs w:val="6"/>
                <w:color w:val="auto"/>
              </w:rPr>
            </w:pPr>
          </w:p>
        </w:tc>
        <w:tc>
          <w:tcPr>
            <w:tcW w:w="2480" w:type="dxa"/>
            <w:vAlign w:val="bottom"/>
            <w:tcBorders>
              <w:top w:val="single" w:sz="8" w:color="CCEEFF"/>
            </w:tcBorders>
            <w:shd w:val="clear" w:color="auto" w:fill="CCEEFF"/>
          </w:tcPr>
          <w:p>
            <w:pPr>
              <w:spacing w:after="0"/>
              <w:rPr>
                <w:sz w:val="6"/>
                <w:szCs w:val="6"/>
                <w:color w:val="auto"/>
              </w:rPr>
            </w:pPr>
          </w:p>
        </w:tc>
        <w:tc>
          <w:tcPr>
            <w:tcW w:w="20" w:type="dxa"/>
            <w:vAlign w:val="bottom"/>
          </w:tcPr>
          <w:p>
            <w:pPr>
              <w:spacing w:after="0"/>
              <w:rPr>
                <w:sz w:val="6"/>
                <w:szCs w:val="6"/>
                <w:color w:val="auto"/>
              </w:rPr>
            </w:pPr>
          </w:p>
        </w:tc>
      </w:tr>
      <w:tr>
        <w:trPr>
          <w:trHeight w:val="180"/>
        </w:trPr>
        <w:tc>
          <w:tcPr>
            <w:tcW w:w="80" w:type="dxa"/>
            <w:vAlign w:val="bottom"/>
          </w:tcPr>
          <w:p>
            <w:pPr>
              <w:spacing w:after="0"/>
              <w:rPr>
                <w:sz w:val="15"/>
                <w:szCs w:val="15"/>
                <w:color w:val="auto"/>
              </w:rPr>
            </w:pPr>
          </w:p>
        </w:tc>
        <w:tc>
          <w:tcPr>
            <w:tcW w:w="8060" w:type="dxa"/>
            <w:vAlign w:val="bottom"/>
            <w:gridSpan w:val="28"/>
          </w:tcPr>
          <w:p>
            <w:pPr>
              <w:spacing w:after="0"/>
              <w:rPr>
                <w:rFonts w:ascii="Arial" w:cs="Arial" w:eastAsia="Arial" w:hAnsi="Arial"/>
                <w:sz w:val="11"/>
                <w:szCs w:val="11"/>
                <w:color w:val="0000EE"/>
              </w:rPr>
            </w:pPr>
            <w:hyperlink w:anchor="page24">
              <w:r>
                <w:rPr>
                  <w:rFonts w:ascii="Arial" w:cs="Arial" w:eastAsia="Arial" w:hAnsi="Arial"/>
                  <w:sz w:val="11"/>
                  <w:szCs w:val="11"/>
                  <w:color w:val="0000EE"/>
                </w:rPr>
                <w:t>Item 3 – Legal Proceedings</w:t>
              </w:r>
            </w:hyperlink>
          </w:p>
        </w:tc>
        <w:tc>
          <w:tcPr>
            <w:tcW w:w="2480" w:type="dxa"/>
            <w:vAlign w:val="bottom"/>
          </w:tcPr>
          <w:p>
            <w:pPr>
              <w:ind w:left="1960"/>
              <w:spacing w:after="0"/>
              <w:rPr>
                <w:sz w:val="20"/>
                <w:szCs w:val="20"/>
                <w:color w:val="auto"/>
              </w:rPr>
            </w:pPr>
            <w:r>
              <w:rPr>
                <w:rFonts w:ascii="Arial" w:cs="Arial" w:eastAsia="Arial" w:hAnsi="Arial"/>
                <w:sz w:val="11"/>
                <w:szCs w:val="11"/>
                <w:b w:val="1"/>
                <w:bCs w:val="1"/>
                <w:color w:val="auto"/>
              </w:rPr>
              <w:t>24</w:t>
            </w:r>
          </w:p>
        </w:tc>
        <w:tc>
          <w:tcPr>
            <w:tcW w:w="20" w:type="dxa"/>
            <w:vAlign w:val="bottom"/>
          </w:tcPr>
          <w:p>
            <w:pPr>
              <w:spacing w:after="0"/>
              <w:rPr>
                <w:sz w:val="15"/>
                <w:szCs w:val="15"/>
                <w:color w:val="auto"/>
              </w:rPr>
            </w:pPr>
          </w:p>
        </w:tc>
      </w:tr>
      <w:tr>
        <w:trPr>
          <w:trHeight w:val="79"/>
        </w:trPr>
        <w:tc>
          <w:tcPr>
            <w:tcW w:w="80" w:type="dxa"/>
            <w:vAlign w:val="bottom"/>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2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2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60" w:type="dxa"/>
            <w:vAlign w:val="bottom"/>
          </w:tcPr>
          <w:p>
            <w:pPr>
              <w:spacing w:after="0"/>
              <w:rPr>
                <w:sz w:val="6"/>
                <w:szCs w:val="6"/>
                <w:color w:val="auto"/>
              </w:rPr>
            </w:pPr>
          </w:p>
        </w:tc>
        <w:tc>
          <w:tcPr>
            <w:tcW w:w="260" w:type="dxa"/>
            <w:vAlign w:val="bottom"/>
          </w:tcPr>
          <w:p>
            <w:pPr>
              <w:spacing w:after="0"/>
              <w:rPr>
                <w:sz w:val="6"/>
                <w:szCs w:val="6"/>
                <w:color w:val="auto"/>
              </w:rPr>
            </w:pPr>
          </w:p>
        </w:tc>
        <w:tc>
          <w:tcPr>
            <w:tcW w:w="22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60" w:type="dxa"/>
            <w:vAlign w:val="bottom"/>
          </w:tcPr>
          <w:p>
            <w:pPr>
              <w:spacing w:after="0"/>
              <w:rPr>
                <w:sz w:val="6"/>
                <w:szCs w:val="6"/>
                <w:color w:val="auto"/>
              </w:rPr>
            </w:pPr>
          </w:p>
        </w:tc>
        <w:tc>
          <w:tcPr>
            <w:tcW w:w="2660" w:type="dxa"/>
            <w:vAlign w:val="bottom"/>
          </w:tcPr>
          <w:p>
            <w:pPr>
              <w:spacing w:after="0"/>
              <w:rPr>
                <w:sz w:val="6"/>
                <w:szCs w:val="6"/>
                <w:color w:val="auto"/>
              </w:rPr>
            </w:pPr>
          </w:p>
        </w:tc>
        <w:tc>
          <w:tcPr>
            <w:tcW w:w="2480" w:type="dxa"/>
            <w:vAlign w:val="bottom"/>
          </w:tcPr>
          <w:p>
            <w:pPr>
              <w:spacing w:after="0"/>
              <w:rPr>
                <w:sz w:val="6"/>
                <w:szCs w:val="6"/>
                <w:color w:val="auto"/>
              </w:rPr>
            </w:pPr>
          </w:p>
        </w:tc>
        <w:tc>
          <w:tcPr>
            <w:tcW w:w="20" w:type="dxa"/>
            <w:vAlign w:val="bottom"/>
          </w:tcPr>
          <w:p>
            <w:pPr>
              <w:spacing w:after="0"/>
              <w:rPr>
                <w:sz w:val="6"/>
                <w:szCs w:val="6"/>
                <w:color w:val="auto"/>
              </w:rPr>
            </w:pPr>
          </w:p>
        </w:tc>
      </w:tr>
      <w:tr>
        <w:trPr>
          <w:trHeight w:val="180"/>
        </w:trPr>
        <w:tc>
          <w:tcPr>
            <w:tcW w:w="80" w:type="dxa"/>
            <w:vAlign w:val="bottom"/>
            <w:shd w:val="clear" w:color="auto" w:fill="CCEEFF"/>
          </w:tcPr>
          <w:p>
            <w:pPr>
              <w:spacing w:after="0"/>
              <w:rPr>
                <w:sz w:val="15"/>
                <w:szCs w:val="15"/>
                <w:color w:val="auto"/>
              </w:rPr>
            </w:pPr>
          </w:p>
        </w:tc>
        <w:tc>
          <w:tcPr>
            <w:tcW w:w="8060" w:type="dxa"/>
            <w:vAlign w:val="bottom"/>
            <w:gridSpan w:val="28"/>
            <w:shd w:val="clear" w:color="auto" w:fill="CCEEFF"/>
          </w:tcPr>
          <w:p>
            <w:pPr>
              <w:spacing w:after="0"/>
              <w:rPr>
                <w:rFonts w:ascii="Arial" w:cs="Arial" w:eastAsia="Arial" w:hAnsi="Arial"/>
                <w:sz w:val="11"/>
                <w:szCs w:val="11"/>
                <w:b w:val="1"/>
                <w:bCs w:val="1"/>
                <w:color w:val="0000EE"/>
              </w:rPr>
            </w:pPr>
            <w:hyperlink w:anchor="page28">
              <w:r>
                <w:rPr>
                  <w:rFonts w:ascii="Arial" w:cs="Arial" w:eastAsia="Arial" w:hAnsi="Arial"/>
                  <w:sz w:val="11"/>
                  <w:szCs w:val="11"/>
                  <w:b w:val="1"/>
                  <w:bCs w:val="1"/>
                  <w:color w:val="0000EE"/>
                </w:rPr>
                <w:t>PART II</w:t>
              </w:r>
            </w:hyperlink>
          </w:p>
        </w:tc>
        <w:tc>
          <w:tcPr>
            <w:tcW w:w="2480" w:type="dxa"/>
            <w:vAlign w:val="bottom"/>
            <w:shd w:val="clear" w:color="auto" w:fill="CCEEFF"/>
          </w:tcPr>
          <w:p>
            <w:pPr>
              <w:ind w:left="1960"/>
              <w:spacing w:after="0"/>
              <w:rPr>
                <w:sz w:val="20"/>
                <w:szCs w:val="20"/>
                <w:color w:val="auto"/>
              </w:rPr>
            </w:pPr>
            <w:r>
              <w:rPr>
                <w:rFonts w:ascii="Arial" w:cs="Arial" w:eastAsia="Arial" w:hAnsi="Arial"/>
                <w:sz w:val="11"/>
                <w:szCs w:val="11"/>
                <w:b w:val="1"/>
                <w:bCs w:val="1"/>
                <w:color w:val="auto"/>
              </w:rPr>
              <w:t>28</w:t>
            </w:r>
          </w:p>
        </w:tc>
        <w:tc>
          <w:tcPr>
            <w:tcW w:w="20" w:type="dxa"/>
            <w:vAlign w:val="bottom"/>
          </w:tcPr>
          <w:p>
            <w:pPr>
              <w:spacing w:after="0"/>
              <w:rPr>
                <w:sz w:val="15"/>
                <w:szCs w:val="15"/>
                <w:color w:val="auto"/>
              </w:rPr>
            </w:pPr>
          </w:p>
        </w:tc>
      </w:tr>
      <w:tr>
        <w:trPr>
          <w:trHeight w:val="79"/>
        </w:trPr>
        <w:tc>
          <w:tcPr>
            <w:tcW w:w="8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7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4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660" w:type="dxa"/>
            <w:vAlign w:val="bottom"/>
            <w:tcBorders>
              <w:top w:val="single" w:sz="8" w:color="CCEEFF"/>
            </w:tcBorders>
            <w:shd w:val="clear" w:color="auto" w:fill="CCEEFF"/>
          </w:tcPr>
          <w:p>
            <w:pPr>
              <w:spacing w:after="0"/>
              <w:rPr>
                <w:sz w:val="6"/>
                <w:szCs w:val="6"/>
                <w:color w:val="auto"/>
              </w:rPr>
            </w:pPr>
          </w:p>
        </w:tc>
        <w:tc>
          <w:tcPr>
            <w:tcW w:w="2480" w:type="dxa"/>
            <w:vAlign w:val="bottom"/>
            <w:tcBorders>
              <w:top w:val="single" w:sz="8" w:color="CCEEFF"/>
            </w:tcBorders>
            <w:shd w:val="clear" w:color="auto" w:fill="CCEEFF"/>
          </w:tcPr>
          <w:p>
            <w:pPr>
              <w:spacing w:after="0"/>
              <w:rPr>
                <w:sz w:val="6"/>
                <w:szCs w:val="6"/>
                <w:color w:val="auto"/>
              </w:rPr>
            </w:pPr>
          </w:p>
        </w:tc>
        <w:tc>
          <w:tcPr>
            <w:tcW w:w="20" w:type="dxa"/>
            <w:vAlign w:val="bottom"/>
          </w:tcPr>
          <w:p>
            <w:pPr>
              <w:spacing w:after="0"/>
              <w:rPr>
                <w:sz w:val="6"/>
                <w:szCs w:val="6"/>
                <w:color w:val="auto"/>
              </w:rPr>
            </w:pPr>
          </w:p>
        </w:tc>
      </w:tr>
      <w:tr>
        <w:trPr>
          <w:trHeight w:val="180"/>
        </w:trPr>
        <w:tc>
          <w:tcPr>
            <w:tcW w:w="80" w:type="dxa"/>
            <w:vAlign w:val="bottom"/>
          </w:tcPr>
          <w:p>
            <w:pPr>
              <w:spacing w:after="0"/>
              <w:rPr>
                <w:sz w:val="15"/>
                <w:szCs w:val="15"/>
                <w:color w:val="auto"/>
              </w:rPr>
            </w:pPr>
          </w:p>
        </w:tc>
        <w:tc>
          <w:tcPr>
            <w:tcW w:w="8060" w:type="dxa"/>
            <w:vAlign w:val="bottom"/>
            <w:gridSpan w:val="28"/>
          </w:tcPr>
          <w:p>
            <w:pPr>
              <w:spacing w:after="0"/>
              <w:rPr>
                <w:rFonts w:ascii="Arial" w:cs="Arial" w:eastAsia="Arial" w:hAnsi="Arial"/>
                <w:sz w:val="11"/>
                <w:szCs w:val="11"/>
                <w:color w:val="0000EE"/>
              </w:rPr>
            </w:pPr>
            <w:hyperlink w:anchor="page28">
              <w:r>
                <w:rPr>
                  <w:rFonts w:ascii="Arial" w:cs="Arial" w:eastAsia="Arial" w:hAnsi="Arial"/>
                  <w:sz w:val="11"/>
                  <w:szCs w:val="11"/>
                  <w:color w:val="0000EE"/>
                </w:rPr>
                <w:t>Item 5 – Market for Registrant’s Common Equity, Related Stockholder Matters and Issuer Purchases of Equity Securities</w:t>
              </w:r>
            </w:hyperlink>
          </w:p>
        </w:tc>
        <w:tc>
          <w:tcPr>
            <w:tcW w:w="2480" w:type="dxa"/>
            <w:vAlign w:val="bottom"/>
          </w:tcPr>
          <w:p>
            <w:pPr>
              <w:ind w:left="1960"/>
              <w:spacing w:after="0"/>
              <w:rPr>
                <w:sz w:val="20"/>
                <w:szCs w:val="20"/>
                <w:color w:val="auto"/>
              </w:rPr>
            </w:pPr>
            <w:r>
              <w:rPr>
                <w:rFonts w:ascii="Arial" w:cs="Arial" w:eastAsia="Arial" w:hAnsi="Arial"/>
                <w:sz w:val="11"/>
                <w:szCs w:val="11"/>
                <w:b w:val="1"/>
                <w:bCs w:val="1"/>
                <w:color w:val="auto"/>
              </w:rPr>
              <w:t>28</w:t>
            </w:r>
          </w:p>
        </w:tc>
        <w:tc>
          <w:tcPr>
            <w:tcW w:w="20" w:type="dxa"/>
            <w:vAlign w:val="bottom"/>
          </w:tcPr>
          <w:p>
            <w:pPr>
              <w:spacing w:after="0"/>
              <w:rPr>
                <w:sz w:val="15"/>
                <w:szCs w:val="15"/>
                <w:color w:val="auto"/>
              </w:rPr>
            </w:pPr>
          </w:p>
        </w:tc>
      </w:tr>
      <w:tr>
        <w:trPr>
          <w:trHeight w:val="79"/>
        </w:trPr>
        <w:tc>
          <w:tcPr>
            <w:tcW w:w="80" w:type="dxa"/>
            <w:vAlign w:val="bottom"/>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7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48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60" w:type="dxa"/>
            <w:vAlign w:val="bottom"/>
          </w:tcPr>
          <w:p>
            <w:pPr>
              <w:spacing w:after="0"/>
              <w:rPr>
                <w:sz w:val="6"/>
                <w:szCs w:val="6"/>
                <w:color w:val="auto"/>
              </w:rPr>
            </w:pPr>
          </w:p>
        </w:tc>
        <w:tc>
          <w:tcPr>
            <w:tcW w:w="2660" w:type="dxa"/>
            <w:vAlign w:val="bottom"/>
          </w:tcPr>
          <w:p>
            <w:pPr>
              <w:spacing w:after="0"/>
              <w:rPr>
                <w:sz w:val="6"/>
                <w:szCs w:val="6"/>
                <w:color w:val="auto"/>
              </w:rPr>
            </w:pPr>
          </w:p>
        </w:tc>
        <w:tc>
          <w:tcPr>
            <w:tcW w:w="2480" w:type="dxa"/>
            <w:vAlign w:val="bottom"/>
          </w:tcPr>
          <w:p>
            <w:pPr>
              <w:spacing w:after="0"/>
              <w:rPr>
                <w:sz w:val="6"/>
                <w:szCs w:val="6"/>
                <w:color w:val="auto"/>
              </w:rPr>
            </w:pPr>
          </w:p>
        </w:tc>
        <w:tc>
          <w:tcPr>
            <w:tcW w:w="20" w:type="dxa"/>
            <w:vAlign w:val="bottom"/>
          </w:tcPr>
          <w:p>
            <w:pPr>
              <w:spacing w:after="0"/>
              <w:rPr>
                <w:sz w:val="6"/>
                <w:szCs w:val="6"/>
                <w:color w:val="auto"/>
              </w:rPr>
            </w:pPr>
          </w:p>
        </w:tc>
      </w:tr>
      <w:tr>
        <w:trPr>
          <w:trHeight w:val="180"/>
        </w:trPr>
        <w:tc>
          <w:tcPr>
            <w:tcW w:w="80" w:type="dxa"/>
            <w:vAlign w:val="bottom"/>
            <w:shd w:val="clear" w:color="auto" w:fill="CCEEFF"/>
          </w:tcPr>
          <w:p>
            <w:pPr>
              <w:spacing w:after="0"/>
              <w:rPr>
                <w:sz w:val="15"/>
                <w:szCs w:val="15"/>
                <w:color w:val="auto"/>
              </w:rPr>
            </w:pPr>
          </w:p>
        </w:tc>
        <w:tc>
          <w:tcPr>
            <w:tcW w:w="8060" w:type="dxa"/>
            <w:vAlign w:val="bottom"/>
            <w:gridSpan w:val="28"/>
            <w:shd w:val="clear" w:color="auto" w:fill="CCEEFF"/>
          </w:tcPr>
          <w:p>
            <w:pPr>
              <w:spacing w:after="0"/>
              <w:rPr>
                <w:rFonts w:ascii="Arial" w:cs="Arial" w:eastAsia="Arial" w:hAnsi="Arial"/>
                <w:sz w:val="11"/>
                <w:szCs w:val="11"/>
                <w:color w:val="0000EE"/>
              </w:rPr>
            </w:pPr>
            <w:hyperlink w:anchor="page30">
              <w:r>
                <w:rPr>
                  <w:rFonts w:ascii="Arial" w:cs="Arial" w:eastAsia="Arial" w:hAnsi="Arial"/>
                  <w:sz w:val="11"/>
                  <w:szCs w:val="11"/>
                  <w:color w:val="0000EE"/>
                </w:rPr>
                <w:t>Item 6 – Selected Financial Data</w:t>
              </w:r>
            </w:hyperlink>
          </w:p>
        </w:tc>
        <w:tc>
          <w:tcPr>
            <w:tcW w:w="2480" w:type="dxa"/>
            <w:vAlign w:val="bottom"/>
            <w:shd w:val="clear" w:color="auto" w:fill="CCEEFF"/>
          </w:tcPr>
          <w:p>
            <w:pPr>
              <w:ind w:left="1960"/>
              <w:spacing w:after="0"/>
              <w:rPr>
                <w:sz w:val="20"/>
                <w:szCs w:val="20"/>
                <w:color w:val="auto"/>
              </w:rPr>
            </w:pPr>
            <w:r>
              <w:rPr>
                <w:rFonts w:ascii="Arial" w:cs="Arial" w:eastAsia="Arial" w:hAnsi="Arial"/>
                <w:sz w:val="11"/>
                <w:szCs w:val="11"/>
                <w:b w:val="1"/>
                <w:bCs w:val="1"/>
                <w:color w:val="auto"/>
              </w:rPr>
              <w:t>30</w:t>
            </w:r>
          </w:p>
        </w:tc>
        <w:tc>
          <w:tcPr>
            <w:tcW w:w="20" w:type="dxa"/>
            <w:vAlign w:val="bottom"/>
          </w:tcPr>
          <w:p>
            <w:pPr>
              <w:spacing w:after="0"/>
              <w:rPr>
                <w:sz w:val="15"/>
                <w:szCs w:val="15"/>
                <w:color w:val="auto"/>
              </w:rPr>
            </w:pPr>
          </w:p>
        </w:tc>
      </w:tr>
      <w:tr>
        <w:trPr>
          <w:trHeight w:val="79"/>
        </w:trPr>
        <w:tc>
          <w:tcPr>
            <w:tcW w:w="8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7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4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660" w:type="dxa"/>
            <w:vAlign w:val="bottom"/>
            <w:tcBorders>
              <w:top w:val="single" w:sz="8" w:color="CCEEFF"/>
            </w:tcBorders>
            <w:shd w:val="clear" w:color="auto" w:fill="CCEEFF"/>
          </w:tcPr>
          <w:p>
            <w:pPr>
              <w:spacing w:after="0"/>
              <w:rPr>
                <w:sz w:val="6"/>
                <w:szCs w:val="6"/>
                <w:color w:val="auto"/>
              </w:rPr>
            </w:pPr>
          </w:p>
        </w:tc>
        <w:tc>
          <w:tcPr>
            <w:tcW w:w="2480" w:type="dxa"/>
            <w:vAlign w:val="bottom"/>
            <w:tcBorders>
              <w:top w:val="single" w:sz="8" w:color="CCEEFF"/>
            </w:tcBorders>
            <w:shd w:val="clear" w:color="auto" w:fill="CCEEFF"/>
          </w:tcPr>
          <w:p>
            <w:pPr>
              <w:spacing w:after="0"/>
              <w:rPr>
                <w:sz w:val="6"/>
                <w:szCs w:val="6"/>
                <w:color w:val="auto"/>
              </w:rPr>
            </w:pPr>
          </w:p>
        </w:tc>
        <w:tc>
          <w:tcPr>
            <w:tcW w:w="20" w:type="dxa"/>
            <w:vAlign w:val="bottom"/>
          </w:tcPr>
          <w:p>
            <w:pPr>
              <w:spacing w:after="0"/>
              <w:rPr>
                <w:sz w:val="6"/>
                <w:szCs w:val="6"/>
                <w:color w:val="auto"/>
              </w:rPr>
            </w:pPr>
          </w:p>
        </w:tc>
      </w:tr>
      <w:tr>
        <w:trPr>
          <w:trHeight w:val="180"/>
        </w:trPr>
        <w:tc>
          <w:tcPr>
            <w:tcW w:w="80" w:type="dxa"/>
            <w:vAlign w:val="bottom"/>
          </w:tcPr>
          <w:p>
            <w:pPr>
              <w:spacing w:after="0"/>
              <w:rPr>
                <w:sz w:val="15"/>
                <w:szCs w:val="15"/>
                <w:color w:val="auto"/>
              </w:rPr>
            </w:pPr>
          </w:p>
        </w:tc>
        <w:tc>
          <w:tcPr>
            <w:tcW w:w="8060" w:type="dxa"/>
            <w:vAlign w:val="bottom"/>
            <w:gridSpan w:val="28"/>
          </w:tcPr>
          <w:p>
            <w:pPr>
              <w:spacing w:after="0"/>
              <w:rPr>
                <w:rFonts w:ascii="Arial" w:cs="Arial" w:eastAsia="Arial" w:hAnsi="Arial"/>
                <w:sz w:val="11"/>
                <w:szCs w:val="11"/>
                <w:color w:val="0000EE"/>
              </w:rPr>
            </w:pPr>
            <w:hyperlink w:anchor="page32">
              <w:r>
                <w:rPr>
                  <w:rFonts w:ascii="Arial" w:cs="Arial" w:eastAsia="Arial" w:hAnsi="Arial"/>
                  <w:sz w:val="11"/>
                  <w:szCs w:val="11"/>
                  <w:color w:val="0000EE"/>
                </w:rPr>
                <w:t>Item 7 – Management’s Discussions and Analysis of Financial Condition and Results of Operations</w:t>
              </w:r>
            </w:hyperlink>
          </w:p>
        </w:tc>
        <w:tc>
          <w:tcPr>
            <w:tcW w:w="2480" w:type="dxa"/>
            <w:vAlign w:val="bottom"/>
          </w:tcPr>
          <w:p>
            <w:pPr>
              <w:ind w:left="1960"/>
              <w:spacing w:after="0"/>
              <w:rPr>
                <w:sz w:val="20"/>
                <w:szCs w:val="20"/>
                <w:color w:val="auto"/>
              </w:rPr>
            </w:pPr>
            <w:r>
              <w:rPr>
                <w:rFonts w:ascii="Arial" w:cs="Arial" w:eastAsia="Arial" w:hAnsi="Arial"/>
                <w:sz w:val="11"/>
                <w:szCs w:val="11"/>
                <w:b w:val="1"/>
                <w:bCs w:val="1"/>
                <w:color w:val="auto"/>
              </w:rPr>
              <w:t>32</w:t>
            </w:r>
          </w:p>
        </w:tc>
        <w:tc>
          <w:tcPr>
            <w:tcW w:w="20" w:type="dxa"/>
            <w:vAlign w:val="bottom"/>
          </w:tcPr>
          <w:p>
            <w:pPr>
              <w:spacing w:after="0"/>
              <w:rPr>
                <w:sz w:val="15"/>
                <w:szCs w:val="15"/>
                <w:color w:val="auto"/>
              </w:rPr>
            </w:pPr>
          </w:p>
        </w:tc>
      </w:tr>
      <w:tr>
        <w:trPr>
          <w:trHeight w:val="79"/>
        </w:trPr>
        <w:tc>
          <w:tcPr>
            <w:tcW w:w="80" w:type="dxa"/>
            <w:vAlign w:val="bottom"/>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7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60" w:type="dxa"/>
            <w:vAlign w:val="bottom"/>
          </w:tcPr>
          <w:p>
            <w:pPr>
              <w:spacing w:after="0"/>
              <w:rPr>
                <w:sz w:val="6"/>
                <w:szCs w:val="6"/>
                <w:color w:val="auto"/>
              </w:rPr>
            </w:pPr>
          </w:p>
        </w:tc>
        <w:tc>
          <w:tcPr>
            <w:tcW w:w="4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60" w:type="dxa"/>
            <w:vAlign w:val="bottom"/>
          </w:tcPr>
          <w:p>
            <w:pPr>
              <w:spacing w:after="0"/>
              <w:rPr>
                <w:sz w:val="6"/>
                <w:szCs w:val="6"/>
                <w:color w:val="auto"/>
              </w:rPr>
            </w:pPr>
          </w:p>
        </w:tc>
        <w:tc>
          <w:tcPr>
            <w:tcW w:w="2660" w:type="dxa"/>
            <w:vAlign w:val="bottom"/>
          </w:tcPr>
          <w:p>
            <w:pPr>
              <w:spacing w:after="0"/>
              <w:rPr>
                <w:sz w:val="6"/>
                <w:szCs w:val="6"/>
                <w:color w:val="auto"/>
              </w:rPr>
            </w:pPr>
          </w:p>
        </w:tc>
        <w:tc>
          <w:tcPr>
            <w:tcW w:w="2480" w:type="dxa"/>
            <w:vAlign w:val="bottom"/>
          </w:tcPr>
          <w:p>
            <w:pPr>
              <w:spacing w:after="0"/>
              <w:rPr>
                <w:sz w:val="6"/>
                <w:szCs w:val="6"/>
                <w:color w:val="auto"/>
              </w:rPr>
            </w:pPr>
          </w:p>
        </w:tc>
        <w:tc>
          <w:tcPr>
            <w:tcW w:w="20" w:type="dxa"/>
            <w:vAlign w:val="bottom"/>
          </w:tcPr>
          <w:p>
            <w:pPr>
              <w:spacing w:after="0"/>
              <w:rPr>
                <w:sz w:val="6"/>
                <w:szCs w:val="6"/>
                <w:color w:val="auto"/>
              </w:rPr>
            </w:pPr>
          </w:p>
        </w:tc>
      </w:tr>
      <w:tr>
        <w:trPr>
          <w:trHeight w:val="180"/>
        </w:trPr>
        <w:tc>
          <w:tcPr>
            <w:tcW w:w="80" w:type="dxa"/>
            <w:vAlign w:val="bottom"/>
            <w:shd w:val="clear" w:color="auto" w:fill="CCEEFF"/>
          </w:tcPr>
          <w:p>
            <w:pPr>
              <w:spacing w:after="0"/>
              <w:rPr>
                <w:sz w:val="15"/>
                <w:szCs w:val="15"/>
                <w:color w:val="auto"/>
              </w:rPr>
            </w:pPr>
          </w:p>
        </w:tc>
        <w:tc>
          <w:tcPr>
            <w:tcW w:w="8060" w:type="dxa"/>
            <w:vAlign w:val="bottom"/>
            <w:gridSpan w:val="28"/>
            <w:shd w:val="clear" w:color="auto" w:fill="CCEEFF"/>
          </w:tcPr>
          <w:p>
            <w:pPr>
              <w:spacing w:after="0"/>
              <w:rPr>
                <w:rFonts w:ascii="Arial" w:cs="Arial" w:eastAsia="Arial" w:hAnsi="Arial"/>
                <w:sz w:val="11"/>
                <w:szCs w:val="11"/>
                <w:color w:val="0000EE"/>
              </w:rPr>
            </w:pPr>
            <w:hyperlink w:anchor="page52">
              <w:r>
                <w:rPr>
                  <w:rFonts w:ascii="Arial" w:cs="Arial" w:eastAsia="Arial" w:hAnsi="Arial"/>
                  <w:sz w:val="11"/>
                  <w:szCs w:val="11"/>
                  <w:color w:val="0000EE"/>
                </w:rPr>
                <w:t>Item 7A – Quantitative and Qualitative Disclosure about Market Risk</w:t>
              </w:r>
            </w:hyperlink>
          </w:p>
        </w:tc>
        <w:tc>
          <w:tcPr>
            <w:tcW w:w="2480" w:type="dxa"/>
            <w:vAlign w:val="bottom"/>
            <w:shd w:val="clear" w:color="auto" w:fill="CCEEFF"/>
          </w:tcPr>
          <w:p>
            <w:pPr>
              <w:ind w:left="1960"/>
              <w:spacing w:after="0"/>
              <w:rPr>
                <w:sz w:val="20"/>
                <w:szCs w:val="20"/>
                <w:color w:val="auto"/>
              </w:rPr>
            </w:pPr>
            <w:r>
              <w:rPr>
                <w:rFonts w:ascii="Arial" w:cs="Arial" w:eastAsia="Arial" w:hAnsi="Arial"/>
                <w:sz w:val="11"/>
                <w:szCs w:val="11"/>
                <w:b w:val="1"/>
                <w:bCs w:val="1"/>
                <w:color w:val="auto"/>
              </w:rPr>
              <w:t>52</w:t>
            </w:r>
          </w:p>
        </w:tc>
        <w:tc>
          <w:tcPr>
            <w:tcW w:w="20" w:type="dxa"/>
            <w:vAlign w:val="bottom"/>
          </w:tcPr>
          <w:p>
            <w:pPr>
              <w:spacing w:after="0"/>
              <w:rPr>
                <w:sz w:val="15"/>
                <w:szCs w:val="15"/>
                <w:color w:val="auto"/>
              </w:rPr>
            </w:pPr>
          </w:p>
        </w:tc>
      </w:tr>
      <w:tr>
        <w:trPr>
          <w:trHeight w:val="79"/>
        </w:trPr>
        <w:tc>
          <w:tcPr>
            <w:tcW w:w="8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7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4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660" w:type="dxa"/>
            <w:vAlign w:val="bottom"/>
            <w:tcBorders>
              <w:top w:val="single" w:sz="8" w:color="CCEEFF"/>
            </w:tcBorders>
            <w:shd w:val="clear" w:color="auto" w:fill="CCEEFF"/>
          </w:tcPr>
          <w:p>
            <w:pPr>
              <w:spacing w:after="0"/>
              <w:rPr>
                <w:sz w:val="6"/>
                <w:szCs w:val="6"/>
                <w:color w:val="auto"/>
              </w:rPr>
            </w:pPr>
          </w:p>
        </w:tc>
        <w:tc>
          <w:tcPr>
            <w:tcW w:w="2480" w:type="dxa"/>
            <w:vAlign w:val="bottom"/>
            <w:tcBorders>
              <w:top w:val="single" w:sz="8" w:color="CCEEFF"/>
            </w:tcBorders>
            <w:shd w:val="clear" w:color="auto" w:fill="CCEEFF"/>
          </w:tcPr>
          <w:p>
            <w:pPr>
              <w:spacing w:after="0"/>
              <w:rPr>
                <w:sz w:val="6"/>
                <w:szCs w:val="6"/>
                <w:color w:val="auto"/>
              </w:rPr>
            </w:pPr>
          </w:p>
        </w:tc>
        <w:tc>
          <w:tcPr>
            <w:tcW w:w="20" w:type="dxa"/>
            <w:vAlign w:val="bottom"/>
          </w:tcPr>
          <w:p>
            <w:pPr>
              <w:spacing w:after="0"/>
              <w:rPr>
                <w:sz w:val="6"/>
                <w:szCs w:val="6"/>
                <w:color w:val="auto"/>
              </w:rPr>
            </w:pPr>
          </w:p>
        </w:tc>
      </w:tr>
      <w:tr>
        <w:trPr>
          <w:trHeight w:val="180"/>
        </w:trPr>
        <w:tc>
          <w:tcPr>
            <w:tcW w:w="80" w:type="dxa"/>
            <w:vAlign w:val="bottom"/>
          </w:tcPr>
          <w:p>
            <w:pPr>
              <w:spacing w:after="0"/>
              <w:rPr>
                <w:sz w:val="15"/>
                <w:szCs w:val="15"/>
                <w:color w:val="auto"/>
              </w:rPr>
            </w:pPr>
          </w:p>
        </w:tc>
        <w:tc>
          <w:tcPr>
            <w:tcW w:w="8060" w:type="dxa"/>
            <w:vAlign w:val="bottom"/>
            <w:gridSpan w:val="28"/>
          </w:tcPr>
          <w:p>
            <w:pPr>
              <w:spacing w:after="0"/>
              <w:rPr>
                <w:rFonts w:ascii="Arial" w:cs="Arial" w:eastAsia="Arial" w:hAnsi="Arial"/>
                <w:sz w:val="11"/>
                <w:szCs w:val="11"/>
                <w:color w:val="0000EE"/>
              </w:rPr>
            </w:pPr>
            <w:hyperlink w:anchor="page53">
              <w:r>
                <w:rPr>
                  <w:rFonts w:ascii="Arial" w:cs="Arial" w:eastAsia="Arial" w:hAnsi="Arial"/>
                  <w:sz w:val="11"/>
                  <w:szCs w:val="11"/>
                  <w:color w:val="0000EE"/>
                </w:rPr>
                <w:t>Item 8 – Financial Statements and Supplementary Data</w:t>
              </w:r>
            </w:hyperlink>
          </w:p>
        </w:tc>
        <w:tc>
          <w:tcPr>
            <w:tcW w:w="2480" w:type="dxa"/>
            <w:vAlign w:val="bottom"/>
          </w:tcPr>
          <w:p>
            <w:pPr>
              <w:ind w:left="1960"/>
              <w:spacing w:after="0"/>
              <w:rPr>
                <w:sz w:val="20"/>
                <w:szCs w:val="20"/>
                <w:color w:val="auto"/>
              </w:rPr>
            </w:pPr>
            <w:r>
              <w:rPr>
                <w:rFonts w:ascii="Arial" w:cs="Arial" w:eastAsia="Arial" w:hAnsi="Arial"/>
                <w:sz w:val="11"/>
                <w:szCs w:val="11"/>
                <w:b w:val="1"/>
                <w:bCs w:val="1"/>
                <w:color w:val="auto"/>
              </w:rPr>
              <w:t>53</w:t>
            </w:r>
          </w:p>
        </w:tc>
        <w:tc>
          <w:tcPr>
            <w:tcW w:w="20" w:type="dxa"/>
            <w:vAlign w:val="bottom"/>
          </w:tcPr>
          <w:p>
            <w:pPr>
              <w:spacing w:after="0"/>
              <w:rPr>
                <w:sz w:val="15"/>
                <w:szCs w:val="15"/>
                <w:color w:val="auto"/>
              </w:rPr>
            </w:pPr>
          </w:p>
        </w:tc>
      </w:tr>
      <w:tr>
        <w:trPr>
          <w:trHeight w:val="79"/>
        </w:trPr>
        <w:tc>
          <w:tcPr>
            <w:tcW w:w="80" w:type="dxa"/>
            <w:vAlign w:val="bottom"/>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160" w:type="dxa"/>
            <w:vAlign w:val="bottom"/>
          </w:tcPr>
          <w:p>
            <w:pPr>
              <w:spacing w:after="0"/>
              <w:rPr>
                <w:sz w:val="6"/>
                <w:szCs w:val="6"/>
                <w:color w:val="auto"/>
              </w:rPr>
            </w:pPr>
          </w:p>
        </w:tc>
        <w:tc>
          <w:tcPr>
            <w:tcW w:w="260" w:type="dxa"/>
            <w:vAlign w:val="bottom"/>
          </w:tcPr>
          <w:p>
            <w:pPr>
              <w:spacing w:after="0"/>
              <w:rPr>
                <w:sz w:val="6"/>
                <w:szCs w:val="6"/>
                <w:color w:val="auto"/>
              </w:rPr>
            </w:pPr>
          </w:p>
        </w:tc>
        <w:tc>
          <w:tcPr>
            <w:tcW w:w="22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60" w:type="dxa"/>
            <w:vAlign w:val="bottom"/>
          </w:tcPr>
          <w:p>
            <w:pPr>
              <w:spacing w:after="0"/>
              <w:rPr>
                <w:sz w:val="6"/>
                <w:szCs w:val="6"/>
                <w:color w:val="auto"/>
              </w:rPr>
            </w:pPr>
          </w:p>
        </w:tc>
        <w:tc>
          <w:tcPr>
            <w:tcW w:w="2660" w:type="dxa"/>
            <w:vAlign w:val="bottom"/>
          </w:tcPr>
          <w:p>
            <w:pPr>
              <w:spacing w:after="0"/>
              <w:rPr>
                <w:sz w:val="6"/>
                <w:szCs w:val="6"/>
                <w:color w:val="auto"/>
              </w:rPr>
            </w:pPr>
          </w:p>
        </w:tc>
        <w:tc>
          <w:tcPr>
            <w:tcW w:w="2480" w:type="dxa"/>
            <w:vAlign w:val="bottom"/>
          </w:tcPr>
          <w:p>
            <w:pPr>
              <w:spacing w:after="0"/>
              <w:rPr>
                <w:sz w:val="6"/>
                <w:szCs w:val="6"/>
                <w:color w:val="auto"/>
              </w:rPr>
            </w:pPr>
          </w:p>
        </w:tc>
        <w:tc>
          <w:tcPr>
            <w:tcW w:w="20" w:type="dxa"/>
            <w:vAlign w:val="bottom"/>
          </w:tcPr>
          <w:p>
            <w:pPr>
              <w:spacing w:after="0"/>
              <w:rPr>
                <w:sz w:val="6"/>
                <w:szCs w:val="6"/>
                <w:color w:val="auto"/>
              </w:rPr>
            </w:pPr>
          </w:p>
        </w:tc>
      </w:tr>
      <w:tr>
        <w:trPr>
          <w:trHeight w:val="180"/>
        </w:trPr>
        <w:tc>
          <w:tcPr>
            <w:tcW w:w="80" w:type="dxa"/>
            <w:vAlign w:val="bottom"/>
            <w:shd w:val="clear" w:color="auto" w:fill="CCEEFF"/>
          </w:tcPr>
          <w:p>
            <w:pPr>
              <w:spacing w:after="0"/>
              <w:rPr>
                <w:sz w:val="15"/>
                <w:szCs w:val="15"/>
                <w:color w:val="auto"/>
              </w:rPr>
            </w:pPr>
          </w:p>
        </w:tc>
        <w:tc>
          <w:tcPr>
            <w:tcW w:w="8060" w:type="dxa"/>
            <w:vAlign w:val="bottom"/>
            <w:gridSpan w:val="28"/>
            <w:shd w:val="clear" w:color="auto" w:fill="CCEEFF"/>
          </w:tcPr>
          <w:p>
            <w:pPr>
              <w:spacing w:after="0"/>
              <w:rPr>
                <w:rFonts w:ascii="Arial" w:cs="Arial" w:eastAsia="Arial" w:hAnsi="Arial"/>
                <w:sz w:val="11"/>
                <w:szCs w:val="11"/>
                <w:color w:val="0000EE"/>
              </w:rPr>
            </w:pPr>
            <w:hyperlink w:anchor="page54">
              <w:r>
                <w:rPr>
                  <w:rFonts w:ascii="Arial" w:cs="Arial" w:eastAsia="Arial" w:hAnsi="Arial"/>
                  <w:sz w:val="11"/>
                  <w:szCs w:val="11"/>
                  <w:color w:val="0000EE"/>
                </w:rPr>
                <w:t>Report of Independent Registered Public Accounting Firm</w:t>
              </w:r>
            </w:hyperlink>
          </w:p>
        </w:tc>
        <w:tc>
          <w:tcPr>
            <w:tcW w:w="2480" w:type="dxa"/>
            <w:vAlign w:val="bottom"/>
            <w:shd w:val="clear" w:color="auto" w:fill="CCEEFF"/>
          </w:tcPr>
          <w:p>
            <w:pPr>
              <w:ind w:left="1960"/>
              <w:spacing w:after="0"/>
              <w:rPr>
                <w:sz w:val="20"/>
                <w:szCs w:val="20"/>
                <w:color w:val="auto"/>
              </w:rPr>
            </w:pPr>
            <w:r>
              <w:rPr>
                <w:rFonts w:ascii="Arial" w:cs="Arial" w:eastAsia="Arial" w:hAnsi="Arial"/>
                <w:sz w:val="11"/>
                <w:szCs w:val="11"/>
                <w:b w:val="1"/>
                <w:bCs w:val="1"/>
                <w:color w:val="auto"/>
              </w:rPr>
              <w:t>54</w:t>
            </w:r>
          </w:p>
        </w:tc>
        <w:tc>
          <w:tcPr>
            <w:tcW w:w="20" w:type="dxa"/>
            <w:vAlign w:val="bottom"/>
          </w:tcPr>
          <w:p>
            <w:pPr>
              <w:spacing w:after="0"/>
              <w:rPr>
                <w:sz w:val="15"/>
                <w:szCs w:val="15"/>
                <w:color w:val="auto"/>
              </w:rPr>
            </w:pPr>
          </w:p>
        </w:tc>
      </w:tr>
      <w:tr>
        <w:trPr>
          <w:trHeight w:val="79"/>
        </w:trPr>
        <w:tc>
          <w:tcPr>
            <w:tcW w:w="8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7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4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660" w:type="dxa"/>
            <w:vAlign w:val="bottom"/>
            <w:tcBorders>
              <w:top w:val="single" w:sz="8" w:color="CCEEFF"/>
            </w:tcBorders>
            <w:shd w:val="clear" w:color="auto" w:fill="CCEEFF"/>
          </w:tcPr>
          <w:p>
            <w:pPr>
              <w:spacing w:after="0"/>
              <w:rPr>
                <w:sz w:val="6"/>
                <w:szCs w:val="6"/>
                <w:color w:val="auto"/>
              </w:rPr>
            </w:pPr>
          </w:p>
        </w:tc>
        <w:tc>
          <w:tcPr>
            <w:tcW w:w="2480" w:type="dxa"/>
            <w:vAlign w:val="bottom"/>
            <w:tcBorders>
              <w:top w:val="single" w:sz="8" w:color="CCEEFF"/>
            </w:tcBorders>
            <w:shd w:val="clear" w:color="auto" w:fill="CCEEFF"/>
          </w:tcPr>
          <w:p>
            <w:pPr>
              <w:spacing w:after="0"/>
              <w:rPr>
                <w:sz w:val="6"/>
                <w:szCs w:val="6"/>
                <w:color w:val="auto"/>
              </w:rPr>
            </w:pPr>
          </w:p>
        </w:tc>
        <w:tc>
          <w:tcPr>
            <w:tcW w:w="20" w:type="dxa"/>
            <w:vAlign w:val="bottom"/>
          </w:tcPr>
          <w:p>
            <w:pPr>
              <w:spacing w:after="0"/>
              <w:rPr>
                <w:sz w:val="6"/>
                <w:szCs w:val="6"/>
                <w:color w:val="auto"/>
              </w:rPr>
            </w:pPr>
          </w:p>
        </w:tc>
      </w:tr>
      <w:tr>
        <w:trPr>
          <w:trHeight w:val="180"/>
        </w:trPr>
        <w:tc>
          <w:tcPr>
            <w:tcW w:w="80" w:type="dxa"/>
            <w:vAlign w:val="bottom"/>
          </w:tcPr>
          <w:p>
            <w:pPr>
              <w:spacing w:after="0"/>
              <w:rPr>
                <w:sz w:val="15"/>
                <w:szCs w:val="15"/>
                <w:color w:val="auto"/>
              </w:rPr>
            </w:pPr>
          </w:p>
        </w:tc>
        <w:tc>
          <w:tcPr>
            <w:tcW w:w="8060" w:type="dxa"/>
            <w:vAlign w:val="bottom"/>
            <w:gridSpan w:val="28"/>
          </w:tcPr>
          <w:p>
            <w:pPr>
              <w:spacing w:after="0"/>
              <w:rPr>
                <w:rFonts w:ascii="Arial" w:cs="Arial" w:eastAsia="Arial" w:hAnsi="Arial"/>
                <w:sz w:val="11"/>
                <w:szCs w:val="11"/>
                <w:color w:val="0000EE"/>
              </w:rPr>
            </w:pPr>
            <w:hyperlink w:anchor="page55">
              <w:r>
                <w:rPr>
                  <w:rFonts w:ascii="Arial" w:cs="Arial" w:eastAsia="Arial" w:hAnsi="Arial"/>
                  <w:sz w:val="11"/>
                  <w:szCs w:val="11"/>
                  <w:color w:val="0000EE"/>
                </w:rPr>
                <w:t>Consolidated Balance Sheets as of December 31, 2015 and 2014</w:t>
              </w:r>
            </w:hyperlink>
          </w:p>
        </w:tc>
        <w:tc>
          <w:tcPr>
            <w:tcW w:w="2480" w:type="dxa"/>
            <w:vAlign w:val="bottom"/>
          </w:tcPr>
          <w:p>
            <w:pPr>
              <w:ind w:left="1960"/>
              <w:spacing w:after="0"/>
              <w:rPr>
                <w:sz w:val="20"/>
                <w:szCs w:val="20"/>
                <w:color w:val="auto"/>
              </w:rPr>
            </w:pPr>
            <w:r>
              <w:rPr>
                <w:rFonts w:ascii="Arial" w:cs="Arial" w:eastAsia="Arial" w:hAnsi="Arial"/>
                <w:sz w:val="11"/>
                <w:szCs w:val="11"/>
                <w:b w:val="1"/>
                <w:bCs w:val="1"/>
                <w:color w:val="auto"/>
              </w:rPr>
              <w:t>55</w:t>
            </w:r>
          </w:p>
        </w:tc>
        <w:tc>
          <w:tcPr>
            <w:tcW w:w="20" w:type="dxa"/>
            <w:vAlign w:val="bottom"/>
          </w:tcPr>
          <w:p>
            <w:pPr>
              <w:spacing w:after="0"/>
              <w:rPr>
                <w:sz w:val="15"/>
                <w:szCs w:val="15"/>
                <w:color w:val="auto"/>
              </w:rPr>
            </w:pPr>
          </w:p>
        </w:tc>
      </w:tr>
      <w:tr>
        <w:trPr>
          <w:trHeight w:val="79"/>
        </w:trPr>
        <w:tc>
          <w:tcPr>
            <w:tcW w:w="80" w:type="dxa"/>
            <w:vAlign w:val="bottom"/>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22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60" w:type="dxa"/>
            <w:vAlign w:val="bottom"/>
          </w:tcPr>
          <w:p>
            <w:pPr>
              <w:spacing w:after="0"/>
              <w:rPr>
                <w:sz w:val="6"/>
                <w:szCs w:val="6"/>
                <w:color w:val="auto"/>
              </w:rPr>
            </w:pPr>
          </w:p>
        </w:tc>
        <w:tc>
          <w:tcPr>
            <w:tcW w:w="2660" w:type="dxa"/>
            <w:vAlign w:val="bottom"/>
          </w:tcPr>
          <w:p>
            <w:pPr>
              <w:spacing w:after="0"/>
              <w:rPr>
                <w:sz w:val="6"/>
                <w:szCs w:val="6"/>
                <w:color w:val="auto"/>
              </w:rPr>
            </w:pPr>
          </w:p>
        </w:tc>
        <w:tc>
          <w:tcPr>
            <w:tcW w:w="2480" w:type="dxa"/>
            <w:vAlign w:val="bottom"/>
          </w:tcPr>
          <w:p>
            <w:pPr>
              <w:spacing w:after="0"/>
              <w:rPr>
                <w:sz w:val="6"/>
                <w:szCs w:val="6"/>
                <w:color w:val="auto"/>
              </w:rPr>
            </w:pPr>
          </w:p>
        </w:tc>
        <w:tc>
          <w:tcPr>
            <w:tcW w:w="20" w:type="dxa"/>
            <w:vAlign w:val="bottom"/>
          </w:tcPr>
          <w:p>
            <w:pPr>
              <w:spacing w:after="0"/>
              <w:rPr>
                <w:sz w:val="6"/>
                <w:szCs w:val="6"/>
                <w:color w:val="auto"/>
              </w:rPr>
            </w:pPr>
          </w:p>
        </w:tc>
      </w:tr>
      <w:tr>
        <w:trPr>
          <w:trHeight w:val="180"/>
        </w:trPr>
        <w:tc>
          <w:tcPr>
            <w:tcW w:w="80" w:type="dxa"/>
            <w:vAlign w:val="bottom"/>
            <w:shd w:val="clear" w:color="auto" w:fill="CCEEFF"/>
          </w:tcPr>
          <w:p>
            <w:pPr>
              <w:spacing w:after="0"/>
              <w:rPr>
                <w:sz w:val="15"/>
                <w:szCs w:val="15"/>
                <w:color w:val="auto"/>
              </w:rPr>
            </w:pPr>
          </w:p>
        </w:tc>
        <w:tc>
          <w:tcPr>
            <w:tcW w:w="8060" w:type="dxa"/>
            <w:vAlign w:val="bottom"/>
            <w:gridSpan w:val="28"/>
            <w:shd w:val="clear" w:color="auto" w:fill="CCEEFF"/>
          </w:tcPr>
          <w:p>
            <w:pPr>
              <w:spacing w:after="0"/>
              <w:rPr>
                <w:rFonts w:ascii="Arial" w:cs="Arial" w:eastAsia="Arial" w:hAnsi="Arial"/>
                <w:sz w:val="11"/>
                <w:szCs w:val="11"/>
                <w:color w:val="0000EE"/>
              </w:rPr>
            </w:pPr>
            <w:hyperlink w:anchor="page57">
              <w:r>
                <w:rPr>
                  <w:rFonts w:ascii="Arial" w:cs="Arial" w:eastAsia="Arial" w:hAnsi="Arial"/>
                  <w:sz w:val="11"/>
                  <w:szCs w:val="11"/>
                  <w:color w:val="0000EE"/>
                </w:rPr>
                <w:t>Consolidated Statements of Operations for the Three Years Ended December 31, 2015</w:t>
              </w:r>
            </w:hyperlink>
          </w:p>
        </w:tc>
        <w:tc>
          <w:tcPr>
            <w:tcW w:w="2480" w:type="dxa"/>
            <w:vAlign w:val="bottom"/>
            <w:shd w:val="clear" w:color="auto" w:fill="CCEEFF"/>
          </w:tcPr>
          <w:p>
            <w:pPr>
              <w:ind w:left="1960"/>
              <w:spacing w:after="0"/>
              <w:rPr>
                <w:sz w:val="20"/>
                <w:szCs w:val="20"/>
                <w:color w:val="auto"/>
              </w:rPr>
            </w:pPr>
            <w:r>
              <w:rPr>
                <w:rFonts w:ascii="Arial" w:cs="Arial" w:eastAsia="Arial" w:hAnsi="Arial"/>
                <w:sz w:val="11"/>
                <w:szCs w:val="11"/>
                <w:b w:val="1"/>
                <w:bCs w:val="1"/>
                <w:color w:val="auto"/>
              </w:rPr>
              <w:t>57</w:t>
            </w:r>
          </w:p>
        </w:tc>
        <w:tc>
          <w:tcPr>
            <w:tcW w:w="20" w:type="dxa"/>
            <w:vAlign w:val="bottom"/>
          </w:tcPr>
          <w:p>
            <w:pPr>
              <w:spacing w:after="0"/>
              <w:rPr>
                <w:sz w:val="15"/>
                <w:szCs w:val="15"/>
                <w:color w:val="auto"/>
              </w:rPr>
            </w:pPr>
          </w:p>
        </w:tc>
      </w:tr>
      <w:tr>
        <w:trPr>
          <w:trHeight w:val="79"/>
        </w:trPr>
        <w:tc>
          <w:tcPr>
            <w:tcW w:w="8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7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4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660" w:type="dxa"/>
            <w:vAlign w:val="bottom"/>
            <w:tcBorders>
              <w:top w:val="single" w:sz="8" w:color="CCEEFF"/>
            </w:tcBorders>
            <w:shd w:val="clear" w:color="auto" w:fill="CCEEFF"/>
          </w:tcPr>
          <w:p>
            <w:pPr>
              <w:spacing w:after="0"/>
              <w:rPr>
                <w:sz w:val="6"/>
                <w:szCs w:val="6"/>
                <w:color w:val="auto"/>
              </w:rPr>
            </w:pPr>
          </w:p>
        </w:tc>
        <w:tc>
          <w:tcPr>
            <w:tcW w:w="2480" w:type="dxa"/>
            <w:vAlign w:val="bottom"/>
            <w:tcBorders>
              <w:top w:val="single" w:sz="8" w:color="CCEEFF"/>
            </w:tcBorders>
            <w:shd w:val="clear" w:color="auto" w:fill="CCEEFF"/>
          </w:tcPr>
          <w:p>
            <w:pPr>
              <w:spacing w:after="0"/>
              <w:rPr>
                <w:sz w:val="6"/>
                <w:szCs w:val="6"/>
                <w:color w:val="auto"/>
              </w:rPr>
            </w:pPr>
          </w:p>
        </w:tc>
        <w:tc>
          <w:tcPr>
            <w:tcW w:w="20" w:type="dxa"/>
            <w:vAlign w:val="bottom"/>
          </w:tcPr>
          <w:p>
            <w:pPr>
              <w:spacing w:after="0"/>
              <w:rPr>
                <w:sz w:val="6"/>
                <w:szCs w:val="6"/>
                <w:color w:val="auto"/>
              </w:rPr>
            </w:pPr>
          </w:p>
        </w:tc>
      </w:tr>
      <w:tr>
        <w:trPr>
          <w:trHeight w:val="180"/>
        </w:trPr>
        <w:tc>
          <w:tcPr>
            <w:tcW w:w="80" w:type="dxa"/>
            <w:vAlign w:val="bottom"/>
          </w:tcPr>
          <w:p>
            <w:pPr>
              <w:spacing w:after="0"/>
              <w:rPr>
                <w:sz w:val="15"/>
                <w:szCs w:val="15"/>
                <w:color w:val="auto"/>
              </w:rPr>
            </w:pPr>
          </w:p>
        </w:tc>
        <w:tc>
          <w:tcPr>
            <w:tcW w:w="8060" w:type="dxa"/>
            <w:vAlign w:val="bottom"/>
            <w:gridSpan w:val="28"/>
          </w:tcPr>
          <w:p>
            <w:pPr>
              <w:spacing w:after="0"/>
              <w:rPr>
                <w:rFonts w:ascii="Arial" w:cs="Arial" w:eastAsia="Arial" w:hAnsi="Arial"/>
                <w:sz w:val="11"/>
                <w:szCs w:val="11"/>
                <w:color w:val="0000EE"/>
              </w:rPr>
            </w:pPr>
            <w:hyperlink w:anchor="page58">
              <w:r>
                <w:rPr>
                  <w:rFonts w:ascii="Arial" w:cs="Arial" w:eastAsia="Arial" w:hAnsi="Arial"/>
                  <w:sz w:val="11"/>
                  <w:szCs w:val="11"/>
                  <w:color w:val="0000EE"/>
                </w:rPr>
                <w:t>Consolidated Statements of Comprehensive Income (Loss) for the Three Years Ended December 31, 2015</w:t>
              </w:r>
            </w:hyperlink>
          </w:p>
        </w:tc>
        <w:tc>
          <w:tcPr>
            <w:tcW w:w="2480" w:type="dxa"/>
            <w:vAlign w:val="bottom"/>
          </w:tcPr>
          <w:p>
            <w:pPr>
              <w:ind w:left="1960"/>
              <w:spacing w:after="0"/>
              <w:rPr>
                <w:sz w:val="20"/>
                <w:szCs w:val="20"/>
                <w:color w:val="auto"/>
              </w:rPr>
            </w:pPr>
            <w:r>
              <w:rPr>
                <w:rFonts w:ascii="Arial" w:cs="Arial" w:eastAsia="Arial" w:hAnsi="Arial"/>
                <w:sz w:val="11"/>
                <w:szCs w:val="11"/>
                <w:b w:val="1"/>
                <w:bCs w:val="1"/>
                <w:color w:val="auto"/>
              </w:rPr>
              <w:t>58</w:t>
            </w:r>
          </w:p>
        </w:tc>
        <w:tc>
          <w:tcPr>
            <w:tcW w:w="20" w:type="dxa"/>
            <w:vAlign w:val="bottom"/>
          </w:tcPr>
          <w:p>
            <w:pPr>
              <w:spacing w:after="0"/>
              <w:rPr>
                <w:sz w:val="15"/>
                <w:szCs w:val="15"/>
                <w:color w:val="auto"/>
              </w:rPr>
            </w:pPr>
          </w:p>
        </w:tc>
      </w:tr>
      <w:tr>
        <w:trPr>
          <w:trHeight w:val="79"/>
        </w:trPr>
        <w:tc>
          <w:tcPr>
            <w:tcW w:w="80" w:type="dxa"/>
            <w:vAlign w:val="bottom"/>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7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4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60" w:type="dxa"/>
            <w:vAlign w:val="bottom"/>
          </w:tcPr>
          <w:p>
            <w:pPr>
              <w:spacing w:after="0"/>
              <w:rPr>
                <w:sz w:val="6"/>
                <w:szCs w:val="6"/>
                <w:color w:val="auto"/>
              </w:rPr>
            </w:pPr>
          </w:p>
        </w:tc>
        <w:tc>
          <w:tcPr>
            <w:tcW w:w="2660" w:type="dxa"/>
            <w:vAlign w:val="bottom"/>
          </w:tcPr>
          <w:p>
            <w:pPr>
              <w:spacing w:after="0"/>
              <w:rPr>
                <w:sz w:val="6"/>
                <w:szCs w:val="6"/>
                <w:color w:val="auto"/>
              </w:rPr>
            </w:pPr>
          </w:p>
        </w:tc>
        <w:tc>
          <w:tcPr>
            <w:tcW w:w="2480" w:type="dxa"/>
            <w:vAlign w:val="bottom"/>
          </w:tcPr>
          <w:p>
            <w:pPr>
              <w:spacing w:after="0"/>
              <w:rPr>
                <w:sz w:val="6"/>
                <w:szCs w:val="6"/>
                <w:color w:val="auto"/>
              </w:rPr>
            </w:pPr>
          </w:p>
        </w:tc>
        <w:tc>
          <w:tcPr>
            <w:tcW w:w="20" w:type="dxa"/>
            <w:vAlign w:val="bottom"/>
          </w:tcPr>
          <w:p>
            <w:pPr>
              <w:spacing w:after="0"/>
              <w:rPr>
                <w:sz w:val="6"/>
                <w:szCs w:val="6"/>
                <w:color w:val="auto"/>
              </w:rPr>
            </w:pPr>
          </w:p>
        </w:tc>
      </w:tr>
      <w:tr>
        <w:trPr>
          <w:trHeight w:val="180"/>
        </w:trPr>
        <w:tc>
          <w:tcPr>
            <w:tcW w:w="80" w:type="dxa"/>
            <w:vAlign w:val="bottom"/>
            <w:shd w:val="clear" w:color="auto" w:fill="CCEEFF"/>
          </w:tcPr>
          <w:p>
            <w:pPr>
              <w:spacing w:after="0"/>
              <w:rPr>
                <w:sz w:val="15"/>
                <w:szCs w:val="15"/>
                <w:color w:val="auto"/>
              </w:rPr>
            </w:pPr>
          </w:p>
        </w:tc>
        <w:tc>
          <w:tcPr>
            <w:tcW w:w="8060" w:type="dxa"/>
            <w:vAlign w:val="bottom"/>
            <w:gridSpan w:val="28"/>
            <w:shd w:val="clear" w:color="auto" w:fill="CCEEFF"/>
          </w:tcPr>
          <w:p>
            <w:pPr>
              <w:spacing w:after="0"/>
              <w:rPr>
                <w:rFonts w:ascii="Arial" w:cs="Arial" w:eastAsia="Arial" w:hAnsi="Arial"/>
                <w:sz w:val="11"/>
                <w:szCs w:val="11"/>
                <w:color w:val="0000EE"/>
              </w:rPr>
            </w:pPr>
            <w:hyperlink w:anchor="page59">
              <w:r>
                <w:rPr>
                  <w:rFonts w:ascii="Arial" w:cs="Arial" w:eastAsia="Arial" w:hAnsi="Arial"/>
                  <w:sz w:val="11"/>
                  <w:szCs w:val="11"/>
                  <w:color w:val="0000EE"/>
                </w:rPr>
                <w:t>Consolidated Statements of Stockholders’ Equity for the Three Years Ended December 31, 2015</w:t>
              </w:r>
            </w:hyperlink>
          </w:p>
        </w:tc>
        <w:tc>
          <w:tcPr>
            <w:tcW w:w="2480" w:type="dxa"/>
            <w:vAlign w:val="bottom"/>
            <w:shd w:val="clear" w:color="auto" w:fill="CCEEFF"/>
          </w:tcPr>
          <w:p>
            <w:pPr>
              <w:ind w:left="1960"/>
              <w:spacing w:after="0"/>
              <w:rPr>
                <w:sz w:val="20"/>
                <w:szCs w:val="20"/>
                <w:color w:val="auto"/>
              </w:rPr>
            </w:pPr>
            <w:r>
              <w:rPr>
                <w:rFonts w:ascii="Arial" w:cs="Arial" w:eastAsia="Arial" w:hAnsi="Arial"/>
                <w:sz w:val="11"/>
                <w:szCs w:val="11"/>
                <w:b w:val="1"/>
                <w:bCs w:val="1"/>
                <w:color w:val="auto"/>
              </w:rPr>
              <w:t>59</w:t>
            </w:r>
          </w:p>
        </w:tc>
        <w:tc>
          <w:tcPr>
            <w:tcW w:w="20" w:type="dxa"/>
            <w:vAlign w:val="bottom"/>
          </w:tcPr>
          <w:p>
            <w:pPr>
              <w:spacing w:after="0"/>
              <w:rPr>
                <w:sz w:val="15"/>
                <w:szCs w:val="15"/>
                <w:color w:val="auto"/>
              </w:rPr>
            </w:pPr>
          </w:p>
        </w:tc>
      </w:tr>
      <w:tr>
        <w:trPr>
          <w:trHeight w:val="79"/>
        </w:trPr>
        <w:tc>
          <w:tcPr>
            <w:tcW w:w="8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7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4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660" w:type="dxa"/>
            <w:vAlign w:val="bottom"/>
            <w:tcBorders>
              <w:top w:val="single" w:sz="8" w:color="CCEEFF"/>
            </w:tcBorders>
            <w:shd w:val="clear" w:color="auto" w:fill="CCEEFF"/>
          </w:tcPr>
          <w:p>
            <w:pPr>
              <w:spacing w:after="0"/>
              <w:rPr>
                <w:sz w:val="6"/>
                <w:szCs w:val="6"/>
                <w:color w:val="auto"/>
              </w:rPr>
            </w:pPr>
          </w:p>
        </w:tc>
        <w:tc>
          <w:tcPr>
            <w:tcW w:w="2480" w:type="dxa"/>
            <w:vAlign w:val="bottom"/>
            <w:tcBorders>
              <w:top w:val="single" w:sz="8" w:color="CCEEFF"/>
            </w:tcBorders>
            <w:shd w:val="clear" w:color="auto" w:fill="CCEEFF"/>
          </w:tcPr>
          <w:p>
            <w:pPr>
              <w:spacing w:after="0"/>
              <w:rPr>
                <w:sz w:val="6"/>
                <w:szCs w:val="6"/>
                <w:color w:val="auto"/>
              </w:rPr>
            </w:pPr>
          </w:p>
        </w:tc>
        <w:tc>
          <w:tcPr>
            <w:tcW w:w="20" w:type="dxa"/>
            <w:vAlign w:val="bottom"/>
          </w:tcPr>
          <w:p>
            <w:pPr>
              <w:spacing w:after="0"/>
              <w:rPr>
                <w:sz w:val="6"/>
                <w:szCs w:val="6"/>
                <w:color w:val="auto"/>
              </w:rPr>
            </w:pPr>
          </w:p>
        </w:tc>
      </w:tr>
      <w:tr>
        <w:trPr>
          <w:trHeight w:val="180"/>
        </w:trPr>
        <w:tc>
          <w:tcPr>
            <w:tcW w:w="80" w:type="dxa"/>
            <w:vAlign w:val="bottom"/>
          </w:tcPr>
          <w:p>
            <w:pPr>
              <w:spacing w:after="0"/>
              <w:rPr>
                <w:sz w:val="15"/>
                <w:szCs w:val="15"/>
                <w:color w:val="auto"/>
              </w:rPr>
            </w:pPr>
          </w:p>
        </w:tc>
        <w:tc>
          <w:tcPr>
            <w:tcW w:w="8060" w:type="dxa"/>
            <w:vAlign w:val="bottom"/>
            <w:gridSpan w:val="28"/>
          </w:tcPr>
          <w:p>
            <w:pPr>
              <w:spacing w:after="0"/>
              <w:rPr>
                <w:rFonts w:ascii="Arial" w:cs="Arial" w:eastAsia="Arial" w:hAnsi="Arial"/>
                <w:sz w:val="11"/>
                <w:szCs w:val="11"/>
                <w:color w:val="0000EE"/>
              </w:rPr>
            </w:pPr>
            <w:hyperlink w:anchor="page60">
              <w:r>
                <w:rPr>
                  <w:rFonts w:ascii="Arial" w:cs="Arial" w:eastAsia="Arial" w:hAnsi="Arial"/>
                  <w:sz w:val="11"/>
                  <w:szCs w:val="11"/>
                  <w:color w:val="0000EE"/>
                </w:rPr>
                <w:t>Consolidated Statements of Cash Flows for the Three Years Ended December 31, 2015</w:t>
              </w:r>
            </w:hyperlink>
          </w:p>
        </w:tc>
        <w:tc>
          <w:tcPr>
            <w:tcW w:w="2480" w:type="dxa"/>
            <w:vAlign w:val="bottom"/>
          </w:tcPr>
          <w:p>
            <w:pPr>
              <w:ind w:left="1960"/>
              <w:spacing w:after="0"/>
              <w:rPr>
                <w:sz w:val="20"/>
                <w:szCs w:val="20"/>
                <w:color w:val="auto"/>
              </w:rPr>
            </w:pPr>
            <w:r>
              <w:rPr>
                <w:rFonts w:ascii="Arial" w:cs="Arial" w:eastAsia="Arial" w:hAnsi="Arial"/>
                <w:sz w:val="11"/>
                <w:szCs w:val="11"/>
                <w:b w:val="1"/>
                <w:bCs w:val="1"/>
                <w:color w:val="auto"/>
              </w:rPr>
              <w:t>60</w:t>
            </w:r>
          </w:p>
        </w:tc>
        <w:tc>
          <w:tcPr>
            <w:tcW w:w="20" w:type="dxa"/>
            <w:vAlign w:val="bottom"/>
          </w:tcPr>
          <w:p>
            <w:pPr>
              <w:spacing w:after="0"/>
              <w:rPr>
                <w:sz w:val="15"/>
                <w:szCs w:val="15"/>
                <w:color w:val="auto"/>
              </w:rPr>
            </w:pPr>
          </w:p>
        </w:tc>
      </w:tr>
      <w:tr>
        <w:trPr>
          <w:trHeight w:val="79"/>
        </w:trPr>
        <w:tc>
          <w:tcPr>
            <w:tcW w:w="80" w:type="dxa"/>
            <w:vAlign w:val="bottom"/>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7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60" w:type="dxa"/>
            <w:vAlign w:val="bottom"/>
          </w:tcPr>
          <w:p>
            <w:pPr>
              <w:spacing w:after="0"/>
              <w:rPr>
                <w:sz w:val="6"/>
                <w:szCs w:val="6"/>
                <w:color w:val="auto"/>
              </w:rPr>
            </w:pPr>
          </w:p>
        </w:tc>
        <w:tc>
          <w:tcPr>
            <w:tcW w:w="2660" w:type="dxa"/>
            <w:vAlign w:val="bottom"/>
          </w:tcPr>
          <w:p>
            <w:pPr>
              <w:spacing w:after="0"/>
              <w:rPr>
                <w:sz w:val="6"/>
                <w:szCs w:val="6"/>
                <w:color w:val="auto"/>
              </w:rPr>
            </w:pPr>
          </w:p>
        </w:tc>
        <w:tc>
          <w:tcPr>
            <w:tcW w:w="2480" w:type="dxa"/>
            <w:vAlign w:val="bottom"/>
          </w:tcPr>
          <w:p>
            <w:pPr>
              <w:spacing w:after="0"/>
              <w:rPr>
                <w:sz w:val="6"/>
                <w:szCs w:val="6"/>
                <w:color w:val="auto"/>
              </w:rPr>
            </w:pPr>
          </w:p>
        </w:tc>
        <w:tc>
          <w:tcPr>
            <w:tcW w:w="20" w:type="dxa"/>
            <w:vAlign w:val="bottom"/>
          </w:tcPr>
          <w:p>
            <w:pPr>
              <w:spacing w:after="0"/>
              <w:rPr>
                <w:sz w:val="6"/>
                <w:szCs w:val="6"/>
                <w:color w:val="auto"/>
              </w:rPr>
            </w:pPr>
          </w:p>
        </w:tc>
      </w:tr>
      <w:tr>
        <w:trPr>
          <w:trHeight w:val="180"/>
        </w:trPr>
        <w:tc>
          <w:tcPr>
            <w:tcW w:w="80" w:type="dxa"/>
            <w:vAlign w:val="bottom"/>
            <w:shd w:val="clear" w:color="auto" w:fill="CCEEFF"/>
          </w:tcPr>
          <w:p>
            <w:pPr>
              <w:spacing w:after="0"/>
              <w:rPr>
                <w:sz w:val="15"/>
                <w:szCs w:val="15"/>
                <w:color w:val="auto"/>
              </w:rPr>
            </w:pPr>
          </w:p>
        </w:tc>
        <w:tc>
          <w:tcPr>
            <w:tcW w:w="8060" w:type="dxa"/>
            <w:vAlign w:val="bottom"/>
            <w:gridSpan w:val="28"/>
            <w:shd w:val="clear" w:color="auto" w:fill="CCEEFF"/>
          </w:tcPr>
          <w:p>
            <w:pPr>
              <w:spacing w:after="0"/>
              <w:rPr>
                <w:rFonts w:ascii="Arial" w:cs="Arial" w:eastAsia="Arial" w:hAnsi="Arial"/>
                <w:sz w:val="11"/>
                <w:szCs w:val="11"/>
                <w:color w:val="0000EE"/>
              </w:rPr>
            </w:pPr>
            <w:hyperlink w:anchor="page61">
              <w:r>
                <w:rPr>
                  <w:rFonts w:ascii="Arial" w:cs="Arial" w:eastAsia="Arial" w:hAnsi="Arial"/>
                  <w:sz w:val="11"/>
                  <w:szCs w:val="11"/>
                  <w:color w:val="0000EE"/>
                </w:rPr>
                <w:t>Notes to Consolidated Financial Statements</w:t>
              </w:r>
            </w:hyperlink>
          </w:p>
        </w:tc>
        <w:tc>
          <w:tcPr>
            <w:tcW w:w="2480" w:type="dxa"/>
            <w:vAlign w:val="bottom"/>
            <w:shd w:val="clear" w:color="auto" w:fill="CCEEFF"/>
          </w:tcPr>
          <w:p>
            <w:pPr>
              <w:ind w:left="1960"/>
              <w:spacing w:after="0"/>
              <w:rPr>
                <w:sz w:val="20"/>
                <w:szCs w:val="20"/>
                <w:color w:val="auto"/>
              </w:rPr>
            </w:pPr>
            <w:r>
              <w:rPr>
                <w:rFonts w:ascii="Arial" w:cs="Arial" w:eastAsia="Arial" w:hAnsi="Arial"/>
                <w:sz w:val="11"/>
                <w:szCs w:val="11"/>
                <w:b w:val="1"/>
                <w:bCs w:val="1"/>
                <w:color w:val="auto"/>
              </w:rPr>
              <w:t>61</w:t>
            </w:r>
          </w:p>
        </w:tc>
        <w:tc>
          <w:tcPr>
            <w:tcW w:w="20" w:type="dxa"/>
            <w:vAlign w:val="bottom"/>
          </w:tcPr>
          <w:p>
            <w:pPr>
              <w:spacing w:after="0"/>
              <w:rPr>
                <w:sz w:val="15"/>
                <w:szCs w:val="15"/>
                <w:color w:val="auto"/>
              </w:rPr>
            </w:pPr>
          </w:p>
        </w:tc>
      </w:tr>
      <w:tr>
        <w:trPr>
          <w:trHeight w:val="79"/>
        </w:trPr>
        <w:tc>
          <w:tcPr>
            <w:tcW w:w="8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7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4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660" w:type="dxa"/>
            <w:vAlign w:val="bottom"/>
            <w:tcBorders>
              <w:top w:val="single" w:sz="8" w:color="CCEEFF"/>
            </w:tcBorders>
            <w:shd w:val="clear" w:color="auto" w:fill="CCEEFF"/>
          </w:tcPr>
          <w:p>
            <w:pPr>
              <w:spacing w:after="0"/>
              <w:rPr>
                <w:sz w:val="6"/>
                <w:szCs w:val="6"/>
                <w:color w:val="auto"/>
              </w:rPr>
            </w:pPr>
          </w:p>
        </w:tc>
        <w:tc>
          <w:tcPr>
            <w:tcW w:w="2480" w:type="dxa"/>
            <w:vAlign w:val="bottom"/>
            <w:tcBorders>
              <w:top w:val="single" w:sz="8" w:color="CCEEFF"/>
            </w:tcBorders>
            <w:shd w:val="clear" w:color="auto" w:fill="CCEEFF"/>
          </w:tcPr>
          <w:p>
            <w:pPr>
              <w:spacing w:after="0"/>
              <w:rPr>
                <w:sz w:val="6"/>
                <w:szCs w:val="6"/>
                <w:color w:val="auto"/>
              </w:rPr>
            </w:pPr>
          </w:p>
        </w:tc>
        <w:tc>
          <w:tcPr>
            <w:tcW w:w="20" w:type="dxa"/>
            <w:vAlign w:val="bottom"/>
          </w:tcPr>
          <w:p>
            <w:pPr>
              <w:spacing w:after="0"/>
              <w:rPr>
                <w:sz w:val="6"/>
                <w:szCs w:val="6"/>
                <w:color w:val="auto"/>
              </w:rPr>
            </w:pPr>
          </w:p>
        </w:tc>
      </w:tr>
      <w:tr>
        <w:trPr>
          <w:trHeight w:val="180"/>
        </w:trPr>
        <w:tc>
          <w:tcPr>
            <w:tcW w:w="80" w:type="dxa"/>
            <w:vAlign w:val="bottom"/>
          </w:tcPr>
          <w:p>
            <w:pPr>
              <w:spacing w:after="0"/>
              <w:rPr>
                <w:sz w:val="15"/>
                <w:szCs w:val="15"/>
                <w:color w:val="auto"/>
              </w:rPr>
            </w:pPr>
          </w:p>
        </w:tc>
        <w:tc>
          <w:tcPr>
            <w:tcW w:w="8060" w:type="dxa"/>
            <w:vAlign w:val="bottom"/>
            <w:gridSpan w:val="28"/>
          </w:tcPr>
          <w:p>
            <w:pPr>
              <w:spacing w:after="0"/>
              <w:rPr>
                <w:rFonts w:ascii="Arial" w:cs="Arial" w:eastAsia="Arial" w:hAnsi="Arial"/>
                <w:sz w:val="11"/>
                <w:szCs w:val="11"/>
                <w:color w:val="0000EE"/>
              </w:rPr>
            </w:pPr>
            <w:hyperlink w:anchor="page96">
              <w:r>
                <w:rPr>
                  <w:rFonts w:ascii="Arial" w:cs="Arial" w:eastAsia="Arial" w:hAnsi="Arial"/>
                  <w:sz w:val="11"/>
                  <w:szCs w:val="11"/>
                  <w:color w:val="0000EE"/>
                </w:rPr>
                <w:t>Schedule II – Valuation and Qualifying Accounts</w:t>
              </w:r>
            </w:hyperlink>
          </w:p>
        </w:tc>
        <w:tc>
          <w:tcPr>
            <w:tcW w:w="2480" w:type="dxa"/>
            <w:vAlign w:val="bottom"/>
          </w:tcPr>
          <w:p>
            <w:pPr>
              <w:ind w:left="1960"/>
              <w:spacing w:after="0"/>
              <w:rPr>
                <w:sz w:val="20"/>
                <w:szCs w:val="20"/>
                <w:color w:val="auto"/>
              </w:rPr>
            </w:pPr>
            <w:r>
              <w:rPr>
                <w:rFonts w:ascii="Arial" w:cs="Arial" w:eastAsia="Arial" w:hAnsi="Arial"/>
                <w:sz w:val="11"/>
                <w:szCs w:val="11"/>
                <w:b w:val="1"/>
                <w:bCs w:val="1"/>
                <w:color w:val="auto"/>
              </w:rPr>
              <w:t>96</w:t>
            </w:r>
          </w:p>
        </w:tc>
        <w:tc>
          <w:tcPr>
            <w:tcW w:w="20" w:type="dxa"/>
            <w:vAlign w:val="bottom"/>
          </w:tcPr>
          <w:p>
            <w:pPr>
              <w:spacing w:after="0"/>
              <w:rPr>
                <w:sz w:val="15"/>
                <w:szCs w:val="15"/>
                <w:color w:val="auto"/>
              </w:rPr>
            </w:pPr>
          </w:p>
        </w:tc>
      </w:tr>
      <w:tr>
        <w:trPr>
          <w:trHeight w:val="79"/>
        </w:trPr>
        <w:tc>
          <w:tcPr>
            <w:tcW w:w="80" w:type="dxa"/>
            <w:vAlign w:val="bottom"/>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60" w:type="dxa"/>
            <w:vAlign w:val="bottom"/>
          </w:tcPr>
          <w:p>
            <w:pPr>
              <w:spacing w:after="0"/>
              <w:rPr>
                <w:sz w:val="6"/>
                <w:szCs w:val="6"/>
                <w:color w:val="auto"/>
              </w:rPr>
            </w:pPr>
          </w:p>
        </w:tc>
        <w:tc>
          <w:tcPr>
            <w:tcW w:w="260" w:type="dxa"/>
            <w:vAlign w:val="bottom"/>
          </w:tcPr>
          <w:p>
            <w:pPr>
              <w:spacing w:after="0"/>
              <w:rPr>
                <w:sz w:val="6"/>
                <w:szCs w:val="6"/>
                <w:color w:val="auto"/>
              </w:rPr>
            </w:pPr>
          </w:p>
        </w:tc>
        <w:tc>
          <w:tcPr>
            <w:tcW w:w="22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60" w:type="dxa"/>
            <w:vAlign w:val="bottom"/>
          </w:tcPr>
          <w:p>
            <w:pPr>
              <w:spacing w:after="0"/>
              <w:rPr>
                <w:sz w:val="6"/>
                <w:szCs w:val="6"/>
                <w:color w:val="auto"/>
              </w:rPr>
            </w:pPr>
          </w:p>
        </w:tc>
        <w:tc>
          <w:tcPr>
            <w:tcW w:w="2660" w:type="dxa"/>
            <w:vAlign w:val="bottom"/>
          </w:tcPr>
          <w:p>
            <w:pPr>
              <w:spacing w:after="0"/>
              <w:rPr>
                <w:sz w:val="6"/>
                <w:szCs w:val="6"/>
                <w:color w:val="auto"/>
              </w:rPr>
            </w:pPr>
          </w:p>
        </w:tc>
        <w:tc>
          <w:tcPr>
            <w:tcW w:w="2480" w:type="dxa"/>
            <w:vAlign w:val="bottom"/>
          </w:tcPr>
          <w:p>
            <w:pPr>
              <w:spacing w:after="0"/>
              <w:rPr>
                <w:sz w:val="6"/>
                <w:szCs w:val="6"/>
                <w:color w:val="auto"/>
              </w:rPr>
            </w:pPr>
          </w:p>
        </w:tc>
        <w:tc>
          <w:tcPr>
            <w:tcW w:w="20" w:type="dxa"/>
            <w:vAlign w:val="bottom"/>
          </w:tcPr>
          <w:p>
            <w:pPr>
              <w:spacing w:after="0"/>
              <w:rPr>
                <w:sz w:val="6"/>
                <w:szCs w:val="6"/>
                <w:color w:val="auto"/>
              </w:rPr>
            </w:pPr>
          </w:p>
        </w:tc>
      </w:tr>
      <w:tr>
        <w:trPr>
          <w:trHeight w:val="180"/>
        </w:trPr>
        <w:tc>
          <w:tcPr>
            <w:tcW w:w="80" w:type="dxa"/>
            <w:vAlign w:val="bottom"/>
            <w:shd w:val="clear" w:color="auto" w:fill="CCEEFF"/>
          </w:tcPr>
          <w:p>
            <w:pPr>
              <w:spacing w:after="0"/>
              <w:rPr>
                <w:sz w:val="15"/>
                <w:szCs w:val="15"/>
                <w:color w:val="auto"/>
              </w:rPr>
            </w:pPr>
          </w:p>
        </w:tc>
        <w:tc>
          <w:tcPr>
            <w:tcW w:w="8060" w:type="dxa"/>
            <w:vAlign w:val="bottom"/>
            <w:gridSpan w:val="28"/>
            <w:shd w:val="clear" w:color="auto" w:fill="CCEEFF"/>
          </w:tcPr>
          <w:p>
            <w:pPr>
              <w:spacing w:after="0"/>
              <w:rPr>
                <w:rFonts w:ascii="Arial" w:cs="Arial" w:eastAsia="Arial" w:hAnsi="Arial"/>
                <w:sz w:val="11"/>
                <w:szCs w:val="11"/>
                <w:color w:val="0000EE"/>
              </w:rPr>
            </w:pPr>
            <w:hyperlink w:anchor="page97">
              <w:r>
                <w:rPr>
                  <w:rFonts w:ascii="Arial" w:cs="Arial" w:eastAsia="Arial" w:hAnsi="Arial"/>
                  <w:sz w:val="11"/>
                  <w:szCs w:val="11"/>
                  <w:color w:val="0000EE"/>
                </w:rPr>
                <w:t>Item 9 – Change in and Disagreements with Accountants on Accounting and Financial Disclosure</w:t>
              </w:r>
            </w:hyperlink>
          </w:p>
        </w:tc>
        <w:tc>
          <w:tcPr>
            <w:tcW w:w="2480" w:type="dxa"/>
            <w:vAlign w:val="bottom"/>
            <w:shd w:val="clear" w:color="auto" w:fill="CCEEFF"/>
          </w:tcPr>
          <w:p>
            <w:pPr>
              <w:ind w:left="1960"/>
              <w:spacing w:after="0"/>
              <w:rPr>
                <w:sz w:val="20"/>
                <w:szCs w:val="20"/>
                <w:color w:val="auto"/>
              </w:rPr>
            </w:pPr>
            <w:r>
              <w:rPr>
                <w:rFonts w:ascii="Arial" w:cs="Arial" w:eastAsia="Arial" w:hAnsi="Arial"/>
                <w:sz w:val="11"/>
                <w:szCs w:val="11"/>
                <w:b w:val="1"/>
                <w:bCs w:val="1"/>
                <w:color w:val="auto"/>
              </w:rPr>
              <w:t>97</w:t>
            </w:r>
          </w:p>
        </w:tc>
        <w:tc>
          <w:tcPr>
            <w:tcW w:w="20" w:type="dxa"/>
            <w:vAlign w:val="bottom"/>
          </w:tcPr>
          <w:p>
            <w:pPr>
              <w:spacing w:after="0"/>
              <w:rPr>
                <w:sz w:val="15"/>
                <w:szCs w:val="15"/>
                <w:color w:val="auto"/>
              </w:rPr>
            </w:pPr>
          </w:p>
        </w:tc>
      </w:tr>
      <w:tr>
        <w:trPr>
          <w:trHeight w:val="79"/>
        </w:trPr>
        <w:tc>
          <w:tcPr>
            <w:tcW w:w="8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7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4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660" w:type="dxa"/>
            <w:vAlign w:val="bottom"/>
            <w:tcBorders>
              <w:top w:val="single" w:sz="8" w:color="CCEEFF"/>
            </w:tcBorders>
            <w:shd w:val="clear" w:color="auto" w:fill="CCEEFF"/>
          </w:tcPr>
          <w:p>
            <w:pPr>
              <w:spacing w:after="0"/>
              <w:rPr>
                <w:sz w:val="6"/>
                <w:szCs w:val="6"/>
                <w:color w:val="auto"/>
              </w:rPr>
            </w:pPr>
          </w:p>
        </w:tc>
        <w:tc>
          <w:tcPr>
            <w:tcW w:w="2480" w:type="dxa"/>
            <w:vAlign w:val="bottom"/>
            <w:tcBorders>
              <w:top w:val="single" w:sz="8" w:color="CCEEFF"/>
            </w:tcBorders>
            <w:shd w:val="clear" w:color="auto" w:fill="CCEEFF"/>
          </w:tcPr>
          <w:p>
            <w:pPr>
              <w:spacing w:after="0"/>
              <w:rPr>
                <w:sz w:val="6"/>
                <w:szCs w:val="6"/>
                <w:color w:val="auto"/>
              </w:rPr>
            </w:pPr>
          </w:p>
        </w:tc>
        <w:tc>
          <w:tcPr>
            <w:tcW w:w="20" w:type="dxa"/>
            <w:vAlign w:val="bottom"/>
          </w:tcPr>
          <w:p>
            <w:pPr>
              <w:spacing w:after="0"/>
              <w:rPr>
                <w:sz w:val="6"/>
                <w:szCs w:val="6"/>
                <w:color w:val="auto"/>
              </w:rPr>
            </w:pPr>
          </w:p>
        </w:tc>
      </w:tr>
      <w:tr>
        <w:trPr>
          <w:trHeight w:val="180"/>
        </w:trPr>
        <w:tc>
          <w:tcPr>
            <w:tcW w:w="80" w:type="dxa"/>
            <w:vAlign w:val="bottom"/>
          </w:tcPr>
          <w:p>
            <w:pPr>
              <w:spacing w:after="0"/>
              <w:rPr>
                <w:sz w:val="15"/>
                <w:szCs w:val="15"/>
                <w:color w:val="auto"/>
              </w:rPr>
            </w:pPr>
          </w:p>
        </w:tc>
        <w:tc>
          <w:tcPr>
            <w:tcW w:w="8060" w:type="dxa"/>
            <w:vAlign w:val="bottom"/>
            <w:gridSpan w:val="28"/>
          </w:tcPr>
          <w:p>
            <w:pPr>
              <w:spacing w:after="0"/>
              <w:rPr>
                <w:rFonts w:ascii="Arial" w:cs="Arial" w:eastAsia="Arial" w:hAnsi="Arial"/>
                <w:sz w:val="11"/>
                <w:szCs w:val="11"/>
                <w:color w:val="0000EE"/>
              </w:rPr>
            </w:pPr>
            <w:hyperlink w:anchor="page98">
              <w:r>
                <w:rPr>
                  <w:rFonts w:ascii="Arial" w:cs="Arial" w:eastAsia="Arial" w:hAnsi="Arial"/>
                  <w:sz w:val="11"/>
                  <w:szCs w:val="11"/>
                  <w:color w:val="0000EE"/>
                </w:rPr>
                <w:t>Item 9A – Controls and Procedures</w:t>
              </w:r>
            </w:hyperlink>
          </w:p>
        </w:tc>
        <w:tc>
          <w:tcPr>
            <w:tcW w:w="2480" w:type="dxa"/>
            <w:vAlign w:val="bottom"/>
          </w:tcPr>
          <w:p>
            <w:pPr>
              <w:ind w:left="1960"/>
              <w:spacing w:after="0"/>
              <w:rPr>
                <w:sz w:val="20"/>
                <w:szCs w:val="20"/>
                <w:color w:val="auto"/>
              </w:rPr>
            </w:pPr>
            <w:r>
              <w:rPr>
                <w:rFonts w:ascii="Arial" w:cs="Arial" w:eastAsia="Arial" w:hAnsi="Arial"/>
                <w:sz w:val="11"/>
                <w:szCs w:val="11"/>
                <w:b w:val="1"/>
                <w:bCs w:val="1"/>
                <w:color w:val="auto"/>
              </w:rPr>
              <w:t>98</w:t>
            </w:r>
          </w:p>
        </w:tc>
        <w:tc>
          <w:tcPr>
            <w:tcW w:w="20" w:type="dxa"/>
            <w:vAlign w:val="bottom"/>
          </w:tcPr>
          <w:p>
            <w:pPr>
              <w:spacing w:after="0"/>
              <w:rPr>
                <w:sz w:val="15"/>
                <w:szCs w:val="15"/>
                <w:color w:val="auto"/>
              </w:rPr>
            </w:pPr>
          </w:p>
        </w:tc>
      </w:tr>
      <w:tr>
        <w:trPr>
          <w:trHeight w:val="79"/>
        </w:trPr>
        <w:tc>
          <w:tcPr>
            <w:tcW w:w="80" w:type="dxa"/>
            <w:vAlign w:val="bottom"/>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40" w:type="dxa"/>
            <w:vAlign w:val="bottom"/>
          </w:tcPr>
          <w:p>
            <w:pPr>
              <w:spacing w:after="0"/>
              <w:rPr>
                <w:sz w:val="6"/>
                <w:szCs w:val="6"/>
                <w:color w:val="auto"/>
              </w:rPr>
            </w:pPr>
          </w:p>
        </w:tc>
        <w:tc>
          <w:tcPr>
            <w:tcW w:w="22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60" w:type="dxa"/>
            <w:vAlign w:val="bottom"/>
          </w:tcPr>
          <w:p>
            <w:pPr>
              <w:spacing w:after="0"/>
              <w:rPr>
                <w:sz w:val="6"/>
                <w:szCs w:val="6"/>
                <w:color w:val="auto"/>
              </w:rPr>
            </w:pPr>
          </w:p>
        </w:tc>
        <w:tc>
          <w:tcPr>
            <w:tcW w:w="260" w:type="dxa"/>
            <w:vAlign w:val="bottom"/>
          </w:tcPr>
          <w:p>
            <w:pPr>
              <w:spacing w:after="0"/>
              <w:rPr>
                <w:sz w:val="6"/>
                <w:szCs w:val="6"/>
                <w:color w:val="auto"/>
              </w:rPr>
            </w:pPr>
          </w:p>
        </w:tc>
        <w:tc>
          <w:tcPr>
            <w:tcW w:w="22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60" w:type="dxa"/>
            <w:vAlign w:val="bottom"/>
          </w:tcPr>
          <w:p>
            <w:pPr>
              <w:spacing w:after="0"/>
              <w:rPr>
                <w:sz w:val="6"/>
                <w:szCs w:val="6"/>
                <w:color w:val="auto"/>
              </w:rPr>
            </w:pPr>
          </w:p>
        </w:tc>
        <w:tc>
          <w:tcPr>
            <w:tcW w:w="2660" w:type="dxa"/>
            <w:vAlign w:val="bottom"/>
          </w:tcPr>
          <w:p>
            <w:pPr>
              <w:spacing w:after="0"/>
              <w:rPr>
                <w:sz w:val="6"/>
                <w:szCs w:val="6"/>
                <w:color w:val="auto"/>
              </w:rPr>
            </w:pPr>
          </w:p>
        </w:tc>
        <w:tc>
          <w:tcPr>
            <w:tcW w:w="2480" w:type="dxa"/>
            <w:vAlign w:val="bottom"/>
          </w:tcPr>
          <w:p>
            <w:pPr>
              <w:spacing w:after="0"/>
              <w:rPr>
                <w:sz w:val="6"/>
                <w:szCs w:val="6"/>
                <w:color w:val="auto"/>
              </w:rPr>
            </w:pPr>
          </w:p>
        </w:tc>
        <w:tc>
          <w:tcPr>
            <w:tcW w:w="20" w:type="dxa"/>
            <w:vAlign w:val="bottom"/>
          </w:tcPr>
          <w:p>
            <w:pPr>
              <w:spacing w:after="0"/>
              <w:rPr>
                <w:sz w:val="6"/>
                <w:szCs w:val="6"/>
                <w:color w:val="auto"/>
              </w:rPr>
            </w:pPr>
          </w:p>
        </w:tc>
      </w:tr>
      <w:tr>
        <w:trPr>
          <w:trHeight w:val="180"/>
        </w:trPr>
        <w:tc>
          <w:tcPr>
            <w:tcW w:w="80" w:type="dxa"/>
            <w:vAlign w:val="bottom"/>
            <w:shd w:val="clear" w:color="auto" w:fill="CCEEFF"/>
          </w:tcPr>
          <w:p>
            <w:pPr>
              <w:spacing w:after="0"/>
              <w:rPr>
                <w:sz w:val="15"/>
                <w:szCs w:val="15"/>
                <w:color w:val="auto"/>
              </w:rPr>
            </w:pPr>
          </w:p>
        </w:tc>
        <w:tc>
          <w:tcPr>
            <w:tcW w:w="8060" w:type="dxa"/>
            <w:vAlign w:val="bottom"/>
            <w:gridSpan w:val="28"/>
            <w:shd w:val="clear" w:color="auto" w:fill="CCEEFF"/>
          </w:tcPr>
          <w:p>
            <w:pPr>
              <w:spacing w:after="0"/>
              <w:rPr>
                <w:sz w:val="20"/>
                <w:szCs w:val="20"/>
                <w:color w:val="auto"/>
              </w:rPr>
            </w:pPr>
            <w:r>
              <w:rPr>
                <w:rFonts w:ascii="Arial" w:cs="Arial" w:eastAsia="Arial" w:hAnsi="Arial"/>
                <w:sz w:val="11"/>
                <w:szCs w:val="11"/>
                <w:b w:val="1"/>
                <w:bCs w:val="1"/>
                <w:color w:val="0000EE"/>
              </w:rPr>
              <w:t>PART III</w:t>
            </w:r>
          </w:p>
        </w:tc>
        <w:tc>
          <w:tcPr>
            <w:tcW w:w="2480" w:type="dxa"/>
            <w:vAlign w:val="bottom"/>
            <w:shd w:val="clear" w:color="auto" w:fill="CCEEFF"/>
          </w:tcPr>
          <w:p>
            <w:pPr>
              <w:ind w:left="1960"/>
              <w:spacing w:after="0"/>
              <w:rPr>
                <w:sz w:val="20"/>
                <w:szCs w:val="20"/>
                <w:color w:val="auto"/>
              </w:rPr>
            </w:pPr>
            <w:r>
              <w:rPr>
                <w:rFonts w:ascii="Arial" w:cs="Arial" w:eastAsia="Arial" w:hAnsi="Arial"/>
                <w:sz w:val="11"/>
                <w:szCs w:val="11"/>
                <w:b w:val="1"/>
                <w:bCs w:val="1"/>
                <w:color w:val="auto"/>
              </w:rPr>
              <w:t>101</w:t>
            </w:r>
          </w:p>
        </w:tc>
        <w:tc>
          <w:tcPr>
            <w:tcW w:w="20" w:type="dxa"/>
            <w:vAlign w:val="bottom"/>
          </w:tcPr>
          <w:p>
            <w:pPr>
              <w:spacing w:after="0"/>
              <w:rPr>
                <w:sz w:val="15"/>
                <w:szCs w:val="15"/>
                <w:color w:val="auto"/>
              </w:rPr>
            </w:pPr>
          </w:p>
        </w:tc>
      </w:tr>
      <w:tr>
        <w:trPr>
          <w:trHeight w:val="79"/>
        </w:trPr>
        <w:tc>
          <w:tcPr>
            <w:tcW w:w="8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7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4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660" w:type="dxa"/>
            <w:vAlign w:val="bottom"/>
            <w:tcBorders>
              <w:top w:val="single" w:sz="8" w:color="CCEEFF"/>
            </w:tcBorders>
            <w:shd w:val="clear" w:color="auto" w:fill="CCEEFF"/>
          </w:tcPr>
          <w:p>
            <w:pPr>
              <w:spacing w:after="0"/>
              <w:rPr>
                <w:sz w:val="6"/>
                <w:szCs w:val="6"/>
                <w:color w:val="auto"/>
              </w:rPr>
            </w:pPr>
          </w:p>
        </w:tc>
        <w:tc>
          <w:tcPr>
            <w:tcW w:w="2480" w:type="dxa"/>
            <w:vAlign w:val="bottom"/>
            <w:tcBorders>
              <w:top w:val="single" w:sz="8" w:color="CCEEFF"/>
            </w:tcBorders>
            <w:shd w:val="clear" w:color="auto" w:fill="CCEEFF"/>
          </w:tcPr>
          <w:p>
            <w:pPr>
              <w:spacing w:after="0"/>
              <w:rPr>
                <w:sz w:val="6"/>
                <w:szCs w:val="6"/>
                <w:color w:val="auto"/>
              </w:rPr>
            </w:pPr>
          </w:p>
        </w:tc>
        <w:tc>
          <w:tcPr>
            <w:tcW w:w="20" w:type="dxa"/>
            <w:vAlign w:val="bottom"/>
          </w:tcPr>
          <w:p>
            <w:pPr>
              <w:spacing w:after="0"/>
              <w:rPr>
                <w:sz w:val="6"/>
                <w:szCs w:val="6"/>
                <w:color w:val="auto"/>
              </w:rPr>
            </w:pPr>
          </w:p>
        </w:tc>
      </w:tr>
      <w:tr>
        <w:trPr>
          <w:trHeight w:val="180"/>
        </w:trPr>
        <w:tc>
          <w:tcPr>
            <w:tcW w:w="80" w:type="dxa"/>
            <w:vAlign w:val="bottom"/>
          </w:tcPr>
          <w:p>
            <w:pPr>
              <w:spacing w:after="0"/>
              <w:rPr>
                <w:sz w:val="15"/>
                <w:szCs w:val="15"/>
                <w:color w:val="auto"/>
              </w:rPr>
            </w:pPr>
          </w:p>
        </w:tc>
        <w:tc>
          <w:tcPr>
            <w:tcW w:w="8060" w:type="dxa"/>
            <w:vAlign w:val="bottom"/>
            <w:gridSpan w:val="28"/>
          </w:tcPr>
          <w:p>
            <w:pPr>
              <w:spacing w:after="0"/>
              <w:rPr>
                <w:rFonts w:ascii="Arial" w:cs="Arial" w:eastAsia="Arial" w:hAnsi="Arial"/>
                <w:sz w:val="11"/>
                <w:szCs w:val="11"/>
                <w:b w:val="1"/>
                <w:bCs w:val="1"/>
                <w:color w:val="0000EE"/>
              </w:rPr>
            </w:pPr>
            <w:hyperlink w:anchor="page129">
              <w:r>
                <w:rPr>
                  <w:rFonts w:ascii="Arial" w:cs="Arial" w:eastAsia="Arial" w:hAnsi="Arial"/>
                  <w:sz w:val="11"/>
                  <w:szCs w:val="11"/>
                  <w:b w:val="1"/>
                  <w:bCs w:val="1"/>
                  <w:color w:val="0000EE"/>
                </w:rPr>
                <w:t>PART IV</w:t>
              </w:r>
            </w:hyperlink>
          </w:p>
        </w:tc>
        <w:tc>
          <w:tcPr>
            <w:tcW w:w="2480" w:type="dxa"/>
            <w:vAlign w:val="bottom"/>
          </w:tcPr>
          <w:p>
            <w:pPr>
              <w:ind w:left="1960"/>
              <w:spacing w:after="0"/>
              <w:rPr>
                <w:sz w:val="20"/>
                <w:szCs w:val="20"/>
                <w:color w:val="auto"/>
              </w:rPr>
            </w:pPr>
            <w:r>
              <w:rPr>
                <w:rFonts w:ascii="Arial" w:cs="Arial" w:eastAsia="Arial" w:hAnsi="Arial"/>
                <w:sz w:val="11"/>
                <w:szCs w:val="11"/>
                <w:b w:val="1"/>
                <w:bCs w:val="1"/>
                <w:color w:val="auto"/>
              </w:rPr>
              <w:t>129</w:t>
            </w:r>
          </w:p>
        </w:tc>
        <w:tc>
          <w:tcPr>
            <w:tcW w:w="20" w:type="dxa"/>
            <w:vAlign w:val="bottom"/>
          </w:tcPr>
          <w:p>
            <w:pPr>
              <w:spacing w:after="0"/>
              <w:rPr>
                <w:sz w:val="15"/>
                <w:szCs w:val="15"/>
                <w:color w:val="auto"/>
              </w:rPr>
            </w:pPr>
          </w:p>
        </w:tc>
      </w:tr>
      <w:tr>
        <w:trPr>
          <w:trHeight w:val="79"/>
        </w:trPr>
        <w:tc>
          <w:tcPr>
            <w:tcW w:w="80" w:type="dxa"/>
            <w:vAlign w:val="bottom"/>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 w:type="dxa"/>
            <w:vAlign w:val="bottom"/>
          </w:tcPr>
          <w:p>
            <w:pPr>
              <w:spacing w:after="0"/>
              <w:rPr>
                <w:sz w:val="6"/>
                <w:szCs w:val="6"/>
                <w:color w:val="auto"/>
              </w:rPr>
            </w:pPr>
          </w:p>
        </w:tc>
        <w:tc>
          <w:tcPr>
            <w:tcW w:w="1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2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60" w:type="dxa"/>
            <w:vAlign w:val="bottom"/>
          </w:tcPr>
          <w:p>
            <w:pPr>
              <w:spacing w:after="0"/>
              <w:rPr>
                <w:sz w:val="6"/>
                <w:szCs w:val="6"/>
                <w:color w:val="auto"/>
              </w:rPr>
            </w:pPr>
          </w:p>
        </w:tc>
        <w:tc>
          <w:tcPr>
            <w:tcW w:w="260" w:type="dxa"/>
            <w:vAlign w:val="bottom"/>
          </w:tcPr>
          <w:p>
            <w:pPr>
              <w:spacing w:after="0"/>
              <w:rPr>
                <w:sz w:val="6"/>
                <w:szCs w:val="6"/>
                <w:color w:val="auto"/>
              </w:rPr>
            </w:pPr>
          </w:p>
        </w:tc>
        <w:tc>
          <w:tcPr>
            <w:tcW w:w="22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60" w:type="dxa"/>
            <w:vAlign w:val="bottom"/>
          </w:tcPr>
          <w:p>
            <w:pPr>
              <w:spacing w:after="0"/>
              <w:rPr>
                <w:sz w:val="6"/>
                <w:szCs w:val="6"/>
                <w:color w:val="auto"/>
              </w:rPr>
            </w:pPr>
          </w:p>
        </w:tc>
        <w:tc>
          <w:tcPr>
            <w:tcW w:w="2660" w:type="dxa"/>
            <w:vAlign w:val="bottom"/>
          </w:tcPr>
          <w:p>
            <w:pPr>
              <w:spacing w:after="0"/>
              <w:rPr>
                <w:sz w:val="6"/>
                <w:szCs w:val="6"/>
                <w:color w:val="auto"/>
              </w:rPr>
            </w:pPr>
          </w:p>
        </w:tc>
        <w:tc>
          <w:tcPr>
            <w:tcW w:w="2480" w:type="dxa"/>
            <w:vAlign w:val="bottom"/>
          </w:tcPr>
          <w:p>
            <w:pPr>
              <w:spacing w:after="0"/>
              <w:rPr>
                <w:sz w:val="6"/>
                <w:szCs w:val="6"/>
                <w:color w:val="auto"/>
              </w:rPr>
            </w:pPr>
          </w:p>
        </w:tc>
        <w:tc>
          <w:tcPr>
            <w:tcW w:w="20" w:type="dxa"/>
            <w:vAlign w:val="bottom"/>
          </w:tcPr>
          <w:p>
            <w:pPr>
              <w:spacing w:after="0"/>
              <w:rPr>
                <w:sz w:val="6"/>
                <w:szCs w:val="6"/>
                <w:color w:val="auto"/>
              </w:rPr>
            </w:pPr>
          </w:p>
        </w:tc>
      </w:tr>
      <w:tr>
        <w:trPr>
          <w:trHeight w:val="180"/>
        </w:trPr>
        <w:tc>
          <w:tcPr>
            <w:tcW w:w="80" w:type="dxa"/>
            <w:vAlign w:val="bottom"/>
            <w:shd w:val="clear" w:color="auto" w:fill="CCEEFF"/>
          </w:tcPr>
          <w:p>
            <w:pPr>
              <w:spacing w:after="0"/>
              <w:rPr>
                <w:sz w:val="15"/>
                <w:szCs w:val="15"/>
                <w:color w:val="auto"/>
              </w:rPr>
            </w:pPr>
          </w:p>
        </w:tc>
        <w:tc>
          <w:tcPr>
            <w:tcW w:w="8060" w:type="dxa"/>
            <w:vAlign w:val="bottom"/>
            <w:gridSpan w:val="28"/>
            <w:shd w:val="clear" w:color="auto" w:fill="CCEEFF"/>
          </w:tcPr>
          <w:p>
            <w:pPr>
              <w:spacing w:after="0"/>
              <w:rPr>
                <w:rFonts w:ascii="Arial" w:cs="Arial" w:eastAsia="Arial" w:hAnsi="Arial"/>
                <w:sz w:val="11"/>
                <w:szCs w:val="11"/>
                <w:color w:val="0000EE"/>
              </w:rPr>
            </w:pPr>
            <w:hyperlink w:anchor="page129">
              <w:r>
                <w:rPr>
                  <w:rFonts w:ascii="Arial" w:cs="Arial" w:eastAsia="Arial" w:hAnsi="Arial"/>
                  <w:sz w:val="11"/>
                  <w:szCs w:val="11"/>
                  <w:color w:val="0000EE"/>
                </w:rPr>
                <w:t>Item 15 – Exhibits, Financial Statement Schedules</w:t>
              </w:r>
            </w:hyperlink>
          </w:p>
        </w:tc>
        <w:tc>
          <w:tcPr>
            <w:tcW w:w="2480" w:type="dxa"/>
            <w:vAlign w:val="bottom"/>
            <w:shd w:val="clear" w:color="auto" w:fill="CCEEFF"/>
          </w:tcPr>
          <w:p>
            <w:pPr>
              <w:ind w:left="1960"/>
              <w:spacing w:after="0"/>
              <w:rPr>
                <w:sz w:val="20"/>
                <w:szCs w:val="20"/>
                <w:color w:val="auto"/>
              </w:rPr>
            </w:pPr>
            <w:r>
              <w:rPr>
                <w:rFonts w:ascii="Arial" w:cs="Arial" w:eastAsia="Arial" w:hAnsi="Arial"/>
                <w:sz w:val="11"/>
                <w:szCs w:val="11"/>
                <w:b w:val="1"/>
                <w:bCs w:val="1"/>
                <w:color w:val="auto"/>
              </w:rPr>
              <w:t>129</w:t>
            </w:r>
          </w:p>
        </w:tc>
        <w:tc>
          <w:tcPr>
            <w:tcW w:w="20" w:type="dxa"/>
            <w:vAlign w:val="bottom"/>
          </w:tcPr>
          <w:p>
            <w:pPr>
              <w:spacing w:after="0"/>
              <w:rPr>
                <w:sz w:val="15"/>
                <w:szCs w:val="15"/>
                <w:color w:val="auto"/>
              </w:rPr>
            </w:pPr>
          </w:p>
        </w:tc>
      </w:tr>
      <w:tr>
        <w:trPr>
          <w:trHeight w:val="79"/>
        </w:trPr>
        <w:tc>
          <w:tcPr>
            <w:tcW w:w="8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7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4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660" w:type="dxa"/>
            <w:vAlign w:val="bottom"/>
            <w:tcBorders>
              <w:top w:val="single" w:sz="8" w:color="CCEEFF"/>
            </w:tcBorders>
            <w:shd w:val="clear" w:color="auto" w:fill="CCEEFF"/>
          </w:tcPr>
          <w:p>
            <w:pPr>
              <w:spacing w:after="0"/>
              <w:rPr>
                <w:sz w:val="6"/>
                <w:szCs w:val="6"/>
                <w:color w:val="auto"/>
              </w:rPr>
            </w:pPr>
          </w:p>
        </w:tc>
        <w:tc>
          <w:tcPr>
            <w:tcW w:w="2480" w:type="dxa"/>
            <w:vAlign w:val="bottom"/>
            <w:tcBorders>
              <w:top w:val="single" w:sz="8" w:color="CCEEFF"/>
            </w:tcBorders>
            <w:shd w:val="clear" w:color="auto" w:fill="CCEEFF"/>
          </w:tcPr>
          <w:p>
            <w:pPr>
              <w:spacing w:after="0"/>
              <w:rPr>
                <w:sz w:val="6"/>
                <w:szCs w:val="6"/>
                <w:color w:val="auto"/>
              </w:rPr>
            </w:pPr>
          </w:p>
        </w:tc>
        <w:tc>
          <w:tcPr>
            <w:tcW w:w="20" w:type="dxa"/>
            <w:vAlign w:val="bottom"/>
          </w:tcPr>
          <w:p>
            <w:pPr>
              <w:spacing w:after="0"/>
              <w:rPr>
                <w:sz w:val="6"/>
                <w:szCs w:val="6"/>
                <w:color w:val="auto"/>
              </w:rPr>
            </w:pPr>
          </w:p>
        </w:tc>
      </w:tr>
      <w:tr>
        <w:trPr>
          <w:trHeight w:val="180"/>
        </w:trPr>
        <w:tc>
          <w:tcPr>
            <w:tcW w:w="80" w:type="dxa"/>
            <w:vAlign w:val="bottom"/>
          </w:tcPr>
          <w:p>
            <w:pPr>
              <w:spacing w:after="0"/>
              <w:rPr>
                <w:sz w:val="15"/>
                <w:szCs w:val="15"/>
                <w:color w:val="auto"/>
              </w:rPr>
            </w:pPr>
          </w:p>
        </w:tc>
        <w:tc>
          <w:tcPr>
            <w:tcW w:w="8060" w:type="dxa"/>
            <w:vAlign w:val="bottom"/>
            <w:gridSpan w:val="28"/>
          </w:tcPr>
          <w:p>
            <w:pPr>
              <w:spacing w:after="0"/>
              <w:rPr>
                <w:rFonts w:ascii="Arial" w:cs="Arial" w:eastAsia="Arial" w:hAnsi="Arial"/>
                <w:sz w:val="11"/>
                <w:szCs w:val="11"/>
                <w:b w:val="1"/>
                <w:bCs w:val="1"/>
                <w:color w:val="0000EE"/>
              </w:rPr>
            </w:pPr>
            <w:hyperlink w:anchor="page132">
              <w:r>
                <w:rPr>
                  <w:rFonts w:ascii="Arial" w:cs="Arial" w:eastAsia="Arial" w:hAnsi="Arial"/>
                  <w:sz w:val="11"/>
                  <w:szCs w:val="11"/>
                  <w:b w:val="1"/>
                  <w:bCs w:val="1"/>
                  <w:color w:val="0000EE"/>
                </w:rPr>
                <w:t>SIGNATURES</w:t>
              </w:r>
            </w:hyperlink>
          </w:p>
        </w:tc>
        <w:tc>
          <w:tcPr>
            <w:tcW w:w="2480" w:type="dxa"/>
            <w:vAlign w:val="bottom"/>
          </w:tcPr>
          <w:p>
            <w:pPr>
              <w:ind w:left="1960"/>
              <w:spacing w:after="0"/>
              <w:rPr>
                <w:sz w:val="20"/>
                <w:szCs w:val="20"/>
                <w:color w:val="auto"/>
              </w:rPr>
            </w:pPr>
            <w:r>
              <w:rPr>
                <w:rFonts w:ascii="Arial" w:cs="Arial" w:eastAsia="Arial" w:hAnsi="Arial"/>
                <w:sz w:val="11"/>
                <w:szCs w:val="11"/>
                <w:b w:val="1"/>
                <w:bCs w:val="1"/>
                <w:color w:val="auto"/>
              </w:rPr>
              <w:t>132</w:t>
            </w:r>
          </w:p>
        </w:tc>
        <w:tc>
          <w:tcPr>
            <w:tcW w:w="20" w:type="dxa"/>
            <w:vAlign w:val="bottom"/>
          </w:tcPr>
          <w:p>
            <w:pPr>
              <w:spacing w:after="0"/>
              <w:rPr>
                <w:sz w:val="15"/>
                <w:szCs w:val="15"/>
                <w:color w:val="auto"/>
              </w:rPr>
            </w:pPr>
          </w:p>
        </w:tc>
      </w:tr>
      <w:tr>
        <w:trPr>
          <w:trHeight w:val="897"/>
        </w:trPr>
        <w:tc>
          <w:tcPr>
            <w:tcW w:w="80" w:type="dxa"/>
            <w:vAlign w:val="bottom"/>
            <w:tcBorders>
              <w:bottom w:val="single" w:sz="8" w:color="9A9A9A"/>
            </w:tcBorders>
          </w:tcPr>
          <w:p>
            <w:pPr>
              <w:spacing w:after="0"/>
              <w:rPr>
                <w:sz w:val="24"/>
                <w:szCs w:val="24"/>
                <w:color w:val="auto"/>
              </w:rPr>
            </w:pPr>
          </w:p>
        </w:tc>
        <w:tc>
          <w:tcPr>
            <w:tcW w:w="360" w:type="dxa"/>
            <w:vAlign w:val="bottom"/>
            <w:tcBorders>
              <w:top w:val="single" w:sz="8" w:color="0000EE"/>
              <w:bottom w:val="single" w:sz="8" w:color="9A9A9A"/>
            </w:tcBorders>
          </w:tcPr>
          <w:p>
            <w:pPr>
              <w:spacing w:after="0"/>
              <w:rPr>
                <w:sz w:val="24"/>
                <w:szCs w:val="24"/>
                <w:color w:val="auto"/>
              </w:rPr>
            </w:pPr>
          </w:p>
        </w:tc>
        <w:tc>
          <w:tcPr>
            <w:tcW w:w="40" w:type="dxa"/>
            <w:vAlign w:val="bottom"/>
            <w:tcBorders>
              <w:top w:val="single" w:sz="8" w:color="0000EE"/>
              <w:bottom w:val="single" w:sz="8" w:color="9A9A9A"/>
            </w:tcBorders>
          </w:tcPr>
          <w:p>
            <w:pPr>
              <w:spacing w:after="0"/>
              <w:rPr>
                <w:sz w:val="24"/>
                <w:szCs w:val="24"/>
                <w:color w:val="auto"/>
              </w:rPr>
            </w:pPr>
          </w:p>
        </w:tc>
        <w:tc>
          <w:tcPr>
            <w:tcW w:w="40" w:type="dxa"/>
            <w:vAlign w:val="bottom"/>
            <w:tcBorders>
              <w:top w:val="single" w:sz="8" w:color="0000EE"/>
              <w:bottom w:val="single" w:sz="8" w:color="9A9A9A"/>
            </w:tcBorders>
          </w:tcPr>
          <w:p>
            <w:pPr>
              <w:spacing w:after="0"/>
              <w:rPr>
                <w:sz w:val="24"/>
                <w:szCs w:val="24"/>
                <w:color w:val="auto"/>
              </w:rPr>
            </w:pPr>
          </w:p>
        </w:tc>
        <w:tc>
          <w:tcPr>
            <w:tcW w:w="260" w:type="dxa"/>
            <w:vAlign w:val="bottom"/>
            <w:tcBorders>
              <w:top w:val="single" w:sz="8" w:color="0000EE"/>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660" w:type="dxa"/>
            <w:vAlign w:val="bottom"/>
            <w:tcBorders>
              <w:bottom w:val="single" w:sz="8" w:color="9A9A9A"/>
            </w:tcBorders>
          </w:tcPr>
          <w:p>
            <w:pPr>
              <w:spacing w:after="0"/>
              <w:rPr>
                <w:sz w:val="24"/>
                <w:szCs w:val="24"/>
                <w:color w:val="auto"/>
              </w:rPr>
            </w:pPr>
          </w:p>
        </w:tc>
        <w:tc>
          <w:tcPr>
            <w:tcW w:w="24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6739255</wp:posOffset>
            </wp:positionH>
            <wp:positionV relativeFrom="paragraph">
              <wp:posOffset>-29210</wp:posOffset>
            </wp:positionV>
            <wp:extent cx="3111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111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111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1115" cy="42545"/>
                    </a:xfrm>
                    <a:prstGeom prst="rect">
                      <a:avLst/>
                    </a:prstGeom>
                    <a:noFill/>
                  </pic:spPr>
                </pic:pic>
              </a:graphicData>
            </a:graphic>
          </wp:anchor>
        </w:drawing>
      </w:r>
    </w:p>
    <w:p>
      <w:pPr>
        <w:sectPr>
          <w:pgSz w:w="11900" w:h="16838" w:orient="portrait"/>
          <w:cols w:equalWidth="0" w:num="1">
            <w:col w:w="10640"/>
          </w:cols>
          <w:pgMar w:left="640" w:top="130" w:right="61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2"/>
          <w:szCs w:val="12"/>
          <w:b w:val="1"/>
          <w:bCs w:val="1"/>
          <w:u w:val="single" w:color="auto"/>
          <w:color w:val="auto"/>
        </w:rPr>
        <w:t>PART I</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auto"/>
        </w:rPr>
        <w:t>Item 1 – Our Business</w:t>
      </w:r>
    </w:p>
    <w:p>
      <w:pPr>
        <w:spacing w:after="0" w:line="13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GENERAL</w:t>
      </w:r>
    </w:p>
    <w:p>
      <w:pPr>
        <w:spacing w:after="0" w:line="127" w:lineRule="exact"/>
        <w:rPr>
          <w:sz w:val="20"/>
          <w:szCs w:val="20"/>
          <w:color w:val="auto"/>
        </w:rPr>
      </w:pPr>
    </w:p>
    <w:p>
      <w:pPr>
        <w:ind w:right="40"/>
        <w:spacing w:after="0" w:line="255" w:lineRule="auto"/>
        <w:rPr>
          <w:sz w:val="20"/>
          <w:szCs w:val="20"/>
          <w:color w:val="auto"/>
        </w:rPr>
      </w:pPr>
      <w:r>
        <w:rPr>
          <w:rFonts w:ascii="Arial" w:cs="Arial" w:eastAsia="Arial" w:hAnsi="Arial"/>
          <w:sz w:val="12"/>
          <w:szCs w:val="12"/>
          <w:color w:val="auto"/>
        </w:rPr>
        <w:t xml:space="preserve">Reading International, Inc., a Nevada corporation (“RDI” and collectively with our consolidated subsidiaries and corporate predecessors, the “Company,” “Reading” and “we,” “us,” or “our”), was incorporated in 1999 incident to our reincorporation in Nevada. Our class A non-voting common stock (“Class A Stock”) and class B voting common stock (“Class B Stock”) are listed for trading on the NASDAQ Capital Market (Nasdaq-CM) under the symbols RDI and RDIB, respectively. Our principal executive offices are located at 6100 Center Drive, Suite 900, Los Angeles, California 90045. Our general telephone number is (213) 235-2240 and our website is </w:t>
      </w:r>
      <w:r>
        <w:rPr>
          <w:rFonts w:ascii="Arial" w:cs="Arial" w:eastAsia="Arial" w:hAnsi="Arial"/>
          <w:sz w:val="12"/>
          <w:szCs w:val="12"/>
          <w:u w:val="single" w:color="auto"/>
          <w:color w:val="auto"/>
        </w:rPr>
        <w:t>www.readingrdi.com</w:t>
      </w:r>
      <w:r>
        <w:rPr>
          <w:rFonts w:ascii="Arial" w:cs="Arial" w:eastAsia="Arial" w:hAnsi="Arial"/>
          <w:sz w:val="12"/>
          <w:szCs w:val="12"/>
          <w:color w:val="auto"/>
        </w:rPr>
        <w:t>. It is our practice to make available free of charge on our website our annual report on Form 10-K, quarterly reports on Form 10-Q, current reports on Form 8-K and amendments to those reports filed or furnished pursuant to Sections 13(a) or 15(d) of the Exchange Act as soon as reasonably practicable after we have electronically filed such material with or furnished it to the Securities and Exchange Commission.</w:t>
      </w:r>
    </w:p>
    <w:p>
      <w:pPr>
        <w:spacing w:after="0" w:line="102" w:lineRule="exact"/>
        <w:rPr>
          <w:sz w:val="20"/>
          <w:szCs w:val="20"/>
          <w:color w:val="auto"/>
        </w:rPr>
      </w:pPr>
    </w:p>
    <w:p>
      <w:pPr>
        <w:ind w:right="100"/>
        <w:spacing w:after="0" w:line="276" w:lineRule="auto"/>
        <w:rPr>
          <w:sz w:val="20"/>
          <w:szCs w:val="20"/>
          <w:color w:val="auto"/>
        </w:rPr>
      </w:pPr>
      <w:r>
        <w:rPr>
          <w:rFonts w:ascii="Arial" w:cs="Arial" w:eastAsia="Arial" w:hAnsi="Arial"/>
          <w:sz w:val="12"/>
          <w:szCs w:val="12"/>
          <w:color w:val="auto"/>
        </w:rPr>
        <w:t>We are an internationally diversified company principally focused on the development, ownership and operation of entertainment and real property assets in the United States, Australia, and New Zealand. Currently, we have two business segments:</w:t>
      </w:r>
    </w:p>
    <w:p>
      <w:pPr>
        <w:spacing w:after="0" w:line="97" w:lineRule="exact"/>
        <w:rPr>
          <w:sz w:val="20"/>
          <w:szCs w:val="20"/>
          <w:color w:val="auto"/>
        </w:rPr>
      </w:pPr>
    </w:p>
    <w:p>
      <w:pPr>
        <w:ind w:left="380" w:hanging="159"/>
        <w:spacing w:after="0"/>
        <w:tabs>
          <w:tab w:leader="none" w:pos="380" w:val="left"/>
        </w:tabs>
        <w:numPr>
          <w:ilvl w:val="0"/>
          <w:numId w:val="3"/>
        </w:numPr>
        <w:rPr>
          <w:rFonts w:ascii="Arial" w:cs="Arial" w:eastAsia="Arial" w:hAnsi="Arial"/>
          <w:sz w:val="12"/>
          <w:szCs w:val="12"/>
          <w:color w:val="auto"/>
        </w:rPr>
      </w:pPr>
      <w:r>
        <w:rPr>
          <w:rFonts w:ascii="Arial" w:cs="Arial" w:eastAsia="Arial" w:hAnsi="Arial"/>
          <w:sz w:val="12"/>
          <w:szCs w:val="12"/>
          <w:color w:val="auto"/>
        </w:rPr>
        <w:t>Cinema Exhibition, through our 58 cinemas, and</w:t>
      </w:r>
    </w:p>
    <w:p>
      <w:pPr>
        <w:spacing w:after="0" w:line="14" w:lineRule="exact"/>
        <w:rPr>
          <w:rFonts w:ascii="Arial" w:cs="Arial" w:eastAsia="Arial" w:hAnsi="Arial"/>
          <w:sz w:val="12"/>
          <w:szCs w:val="12"/>
          <w:color w:val="auto"/>
        </w:rPr>
      </w:pPr>
    </w:p>
    <w:p>
      <w:pPr>
        <w:ind w:left="280" w:hanging="59"/>
        <w:spacing w:after="0"/>
        <w:tabs>
          <w:tab w:leader="none" w:pos="280" w:val="left"/>
        </w:tabs>
        <w:numPr>
          <w:ilvl w:val="0"/>
          <w:numId w:val="3"/>
        </w:numPr>
        <w:rPr>
          <w:rFonts w:ascii="Arial" w:cs="Arial" w:eastAsia="Arial" w:hAnsi="Arial"/>
          <w:sz w:val="12"/>
          <w:szCs w:val="12"/>
          <w:color w:val="auto"/>
        </w:rPr>
      </w:pPr>
      <w:r>
        <w:rPr>
          <w:rFonts w:ascii="Arial" w:cs="Arial" w:eastAsia="Arial" w:hAnsi="Arial"/>
          <w:sz w:val="12"/>
          <w:szCs w:val="12"/>
          <w:color w:val="auto"/>
        </w:rPr>
        <w:t>Real Estate, including real estate development and the rental or licensing of retail, commercial and live theater assets.</w:t>
      </w:r>
    </w:p>
    <w:p>
      <w:pPr>
        <w:spacing w:after="0" w:line="114" w:lineRule="exact"/>
        <w:rPr>
          <w:sz w:val="20"/>
          <w:szCs w:val="20"/>
          <w:color w:val="auto"/>
        </w:rPr>
      </w:pPr>
    </w:p>
    <w:p>
      <w:pPr>
        <w:jc w:val="both"/>
        <w:ind w:right="20"/>
        <w:spacing w:after="0" w:line="298" w:lineRule="auto"/>
        <w:rPr>
          <w:sz w:val="20"/>
          <w:szCs w:val="20"/>
          <w:color w:val="auto"/>
        </w:rPr>
      </w:pPr>
      <w:r>
        <w:rPr>
          <w:rFonts w:ascii="Arial" w:cs="Arial" w:eastAsia="Arial" w:hAnsi="Arial"/>
          <w:sz w:val="11"/>
          <w:szCs w:val="11"/>
          <w:color w:val="auto"/>
        </w:rPr>
        <w:t>We synergistically bring together real-estate based entertainment and real estate and believe that these two business segments complement one another, as our cinemas have historically provided the steady cash flows that allow us to be opportunistic in acquiring and holding real estate assets (including non-income producing land) and support our real estate development activities. Our real estate allows us to develop an asset base that will stand the test of time and develop a long-term asset base that is capable of being leveraged. More specifically, the combination of these two segments provides advantages as follows:</w:t>
      </w:r>
    </w:p>
    <w:p>
      <w:pPr>
        <w:spacing w:after="0" w:line="78" w:lineRule="exact"/>
        <w:rPr>
          <w:sz w:val="20"/>
          <w:szCs w:val="20"/>
          <w:color w:val="auto"/>
        </w:rPr>
      </w:pPr>
    </w:p>
    <w:p>
      <w:pPr>
        <w:jc w:val="both"/>
        <w:ind w:left="260" w:right="260" w:hanging="35"/>
        <w:spacing w:after="0" w:line="298" w:lineRule="auto"/>
        <w:rPr>
          <w:sz w:val="20"/>
          <w:szCs w:val="20"/>
          <w:color w:val="auto"/>
        </w:rPr>
      </w:pPr>
      <w:r>
        <w:rPr>
          <w:rFonts w:ascii="Arial" w:cs="Arial" w:eastAsia="Arial" w:hAnsi="Arial"/>
          <w:sz w:val="11"/>
          <w:szCs w:val="11"/>
          <w:color w:val="auto"/>
        </w:rPr>
        <w:t>·Cinemas can be used as anchors for larger retail developments (referred to as entertainment-themed centers, or ETCs), and our involvement in the cinema business can give us an advantage over other real estate developers or redevelopers who must identify and negotiate with third-party anchor tenants. We have used cinemas to create our own anchors in our Sydney, Australia, Belmont, Australia, and Wellington, New Zealand ETCs and are adding a new cinema to our Brisbane, Australia shopping center, and, we have acquired the real estate underlying our cinema in Townsville, Australia.</w:t>
      </w:r>
    </w:p>
    <w:p>
      <w:pPr>
        <w:spacing w:after="0" w:line="105" w:lineRule="exact"/>
        <w:rPr>
          <w:sz w:val="20"/>
          <w:szCs w:val="20"/>
          <w:color w:val="auto"/>
        </w:rPr>
      </w:pPr>
    </w:p>
    <w:p>
      <w:pPr>
        <w:ind w:left="260" w:right="60" w:hanging="35"/>
        <w:spacing w:after="0" w:line="290" w:lineRule="auto"/>
        <w:rPr>
          <w:sz w:val="20"/>
          <w:szCs w:val="20"/>
          <w:color w:val="auto"/>
        </w:rPr>
      </w:pPr>
      <w:r>
        <w:rPr>
          <w:rFonts w:ascii="Arial" w:cs="Arial" w:eastAsia="Arial" w:hAnsi="Arial"/>
          <w:sz w:val="11"/>
          <w:szCs w:val="11"/>
          <w:color w:val="auto"/>
        </w:rPr>
        <w:t>·Pure cinema operators can encounter financial difficulty as demands upon them to produce cinema-based earnings growth tempt them into reinvesting their cash flow into increasingly marginal cinema sites or overpaying for existing cinemas. While we believe that there will continue to be attractive opportunities to acquire cinema assets and/or to develop upper end specialty type theaters in the future, we do not feel pressure to build or acquire cinemas for the sake of adding units or building gross revenues. This strategy has, over the years, allowed us to acquire cinemas at multiples of trailing theater cash flow below those paid by third parties in recent acquisitions. We intend to focus our use of cash flow on our real estate development and operating activities, to the extent that attractive cinema opportunities are not available to us.</w:t>
      </w:r>
    </w:p>
    <w:p>
      <w:pPr>
        <w:spacing w:after="0" w:line="109" w:lineRule="exact"/>
        <w:rPr>
          <w:sz w:val="20"/>
          <w:szCs w:val="20"/>
          <w:color w:val="auto"/>
        </w:rPr>
      </w:pPr>
    </w:p>
    <w:p>
      <w:pPr>
        <w:ind w:left="260" w:right="40" w:hanging="35"/>
        <w:spacing w:after="0" w:line="263" w:lineRule="auto"/>
        <w:rPr>
          <w:sz w:val="20"/>
          <w:szCs w:val="20"/>
          <w:color w:val="auto"/>
        </w:rPr>
      </w:pPr>
      <w:r>
        <w:rPr>
          <w:rFonts w:ascii="Arial" w:cs="Arial" w:eastAsia="Arial" w:hAnsi="Arial"/>
          <w:sz w:val="12"/>
          <w:szCs w:val="12"/>
          <w:color w:val="auto"/>
        </w:rPr>
        <w:t>·We are always open to the idea of converting an entertainment property to another use, if there is a higher and better use for the property, or to sell individual assets, if we are presented with an attractive opportunity. Our fee interests on Union Square and on Third Avenue (near 60</w:t>
      </w:r>
      <w:r>
        <w:rPr>
          <w:rFonts w:ascii="Arial" w:cs="Arial" w:eastAsia="Arial" w:hAnsi="Arial"/>
          <w:sz w:val="5"/>
          <w:szCs w:val="5"/>
          <w:color w:val="auto"/>
        </w:rPr>
        <w:t>th</w:t>
      </w:r>
      <w:r>
        <w:rPr>
          <w:rFonts w:ascii="Arial" w:cs="Arial" w:eastAsia="Arial" w:hAnsi="Arial"/>
          <w:sz w:val="12"/>
          <w:szCs w:val="12"/>
          <w:color w:val="auto"/>
        </w:rPr>
        <w:t xml:space="preserve"> Street) in New York City, each of which is now slated for redevelopment, were initially acquired as, and in the case of our Third Avenue property, continues to be used as, entertainment properties.</w:t>
      </w:r>
    </w:p>
    <w:p>
      <w:pPr>
        <w:spacing w:after="0" w:line="249" w:lineRule="exact"/>
        <w:rPr>
          <w:sz w:val="20"/>
          <w:szCs w:val="20"/>
          <w:color w:val="auto"/>
        </w:rPr>
      </w:pPr>
    </w:p>
    <w:p>
      <w:pPr>
        <w:ind w:right="240"/>
        <w:spacing w:after="0" w:line="276" w:lineRule="auto"/>
        <w:rPr>
          <w:sz w:val="20"/>
          <w:szCs w:val="20"/>
          <w:color w:val="auto"/>
        </w:rPr>
      </w:pPr>
      <w:r>
        <w:rPr>
          <w:rFonts w:ascii="Arial" w:cs="Arial" w:eastAsia="Arial" w:hAnsi="Arial"/>
          <w:sz w:val="12"/>
          <w:szCs w:val="12"/>
          <w:color w:val="auto"/>
        </w:rPr>
        <w:t>Insofar as we are aware, we are the only publicly traded company in the world to apply this two-track, synergistic approach to the cinema and real estate development businesses on an international basis. None of the major cinema exhibition companies (other than Marcus Theatres) have any material landholdings as they operate on a leased-facility model.</w:t>
      </w:r>
    </w:p>
    <w:p>
      <w:pPr>
        <w:spacing w:after="0" w:line="115" w:lineRule="exact"/>
        <w:rPr>
          <w:sz w:val="20"/>
          <w:szCs w:val="20"/>
          <w:color w:val="auto"/>
        </w:rPr>
      </w:pPr>
    </w:p>
    <w:p>
      <w:pPr>
        <w:spacing w:after="0" w:line="286" w:lineRule="auto"/>
        <w:rPr>
          <w:sz w:val="20"/>
          <w:szCs w:val="20"/>
          <w:color w:val="auto"/>
        </w:rPr>
      </w:pPr>
      <w:r>
        <w:rPr>
          <w:rFonts w:ascii="Arial" w:cs="Arial" w:eastAsia="Arial" w:hAnsi="Arial"/>
          <w:sz w:val="11"/>
          <w:szCs w:val="11"/>
          <w:color w:val="auto"/>
        </w:rPr>
        <w:t>We have worked to maintain a balance between our U.S. and our Australia/New Zealand assets. In recent periods, this has adversely impacted our reported revenues and earnings, as the Australian Dollar has since 2010 dropped 28% from 1.0122 to 0.7286 and the New Zealand Dollar has over that same period decreased 11% from 0.7687 to 0.6842. However, we continue to believe that, over the long term, this is a prudent diversification of risk. In recent periods, the Australian Dollar has traded as high as 1.1001 and the New Zealand Dollar has traded as high as 0.8776. Australia has been identified by the United Nations as having the highest natural resources per person in the world. In 2013, the Organisation for Economic Co-operation and Development rated Australia as the best place to live and work in the world. Dalian Wanda Group ("Wanda"), the purchaser of AMC Entertainment Holdings, Inc. ("AMC"), in June 2015, has recently purchased Hoyts, the second largest exhibiter in Australia and New Zealand.</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59690</wp:posOffset>
            </wp:positionV>
            <wp:extent cx="677989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779895" cy="42545"/>
                    </a:xfrm>
                    <a:prstGeom prst="rect">
                      <a:avLst/>
                    </a:prstGeom>
                    <a:noFill/>
                  </pic:spPr>
                </pic:pic>
              </a:graphicData>
            </a:graphic>
          </wp:anchor>
        </w:drawing>
      </w:r>
    </w:p>
    <w:p>
      <w:pPr>
        <w:sectPr>
          <w:pgSz w:w="11900" w:h="16838" w:orient="portrait"/>
          <w:cols w:equalWidth="0" w:num="1">
            <w:col w:w="10600"/>
          </w:cols>
          <w:pgMar w:left="640" w:top="127" w:right="659" w:bottom="1440" w:gutter="0" w:footer="0" w:header="0"/>
        </w:sectPr>
      </w:pPr>
    </w:p>
    <w:bookmarkStart w:id="3" w:name="page4"/>
    <w:bookmarkEnd w:id="3"/>
    <w:p>
      <w:pPr>
        <w:ind w:right="40"/>
        <w:spacing w:after="0" w:line="276" w:lineRule="auto"/>
        <w:rPr>
          <w:sz w:val="20"/>
          <w:szCs w:val="20"/>
          <w:color w:val="auto"/>
        </w:rPr>
      </w:pPr>
      <w:r>
        <w:rPr>
          <w:rFonts w:ascii="Arial" w:cs="Arial" w:eastAsia="Arial" w:hAnsi="Arial"/>
          <w:sz w:val="12"/>
          <w:szCs w:val="12"/>
          <w:color w:val="auto"/>
        </w:rPr>
        <w:t>At December 31, 2015, the book value of our assets was $375.1 million, and, as of that same date, we had a consolidated stockholders’ book equity of $137.2 million. Calculated based on book value, $107.8 million, or 29% of our assets, relate to our cinema exhibition activities and $219.8 million, or 58%, of our assets, relate to our real estate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1466850</wp:posOffset>
            </wp:positionH>
            <wp:positionV relativeFrom="paragraph">
              <wp:posOffset>67310</wp:posOffset>
            </wp:positionV>
            <wp:extent cx="3815080" cy="15043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815080" cy="1504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For additional segment financial information, please see Note 1 – </w:t>
      </w:r>
      <w:r>
        <w:rPr>
          <w:rFonts w:ascii="Arial" w:cs="Arial" w:eastAsia="Arial" w:hAnsi="Arial"/>
          <w:sz w:val="12"/>
          <w:szCs w:val="12"/>
          <w:i w:val="1"/>
          <w:iCs w:val="1"/>
          <w:color w:val="auto"/>
        </w:rPr>
        <w:t>Description of Business and Segments Reporting</w:t>
      </w:r>
      <w:r>
        <w:rPr>
          <w:rFonts w:ascii="Arial" w:cs="Arial" w:eastAsia="Arial" w:hAnsi="Arial"/>
          <w:sz w:val="12"/>
          <w:szCs w:val="12"/>
          <w:color w:val="auto"/>
        </w:rPr>
        <w:t xml:space="preserve"> to our 2015 consolidated financial statements.</w:t>
      </w:r>
    </w:p>
    <w:p>
      <w:pPr>
        <w:spacing w:after="0" w:line="123" w:lineRule="exact"/>
        <w:rPr>
          <w:sz w:val="20"/>
          <w:szCs w:val="20"/>
          <w:color w:val="auto"/>
        </w:rPr>
      </w:pPr>
    </w:p>
    <w:p>
      <w:pPr>
        <w:ind w:right="80"/>
        <w:spacing w:after="0" w:line="276" w:lineRule="auto"/>
        <w:rPr>
          <w:sz w:val="20"/>
          <w:szCs w:val="20"/>
          <w:color w:val="auto"/>
        </w:rPr>
      </w:pPr>
      <w:r>
        <w:rPr>
          <w:rFonts w:ascii="Arial" w:cs="Arial" w:eastAsia="Arial" w:hAnsi="Arial"/>
          <w:sz w:val="12"/>
          <w:szCs w:val="12"/>
          <w:color w:val="auto"/>
        </w:rPr>
        <w:t>We have diversified our assets among three countries: the United States, Australia, and New Zealand. Based on book value, at December 31, 2015, we had approximately 35% of our assets in the United States, 46% in Australia and 19% in New Zealand compared to 35%, 44%, and 21% respectively, at the end of 2014.</w:t>
      </w:r>
    </w:p>
    <w:p>
      <w:pPr>
        <w:spacing w:after="0" w:line="88" w:lineRule="exact"/>
        <w:rPr>
          <w:sz w:val="20"/>
          <w:szCs w:val="20"/>
          <w:color w:val="auto"/>
        </w:rPr>
      </w:pPr>
    </w:p>
    <w:p>
      <w:pPr>
        <w:spacing w:after="0" w:line="263" w:lineRule="auto"/>
        <w:rPr>
          <w:sz w:val="20"/>
          <w:szCs w:val="20"/>
          <w:color w:val="auto"/>
        </w:rPr>
      </w:pPr>
      <w:r>
        <w:rPr>
          <w:rFonts w:ascii="Arial" w:cs="Arial" w:eastAsia="Arial" w:hAnsi="Arial"/>
          <w:sz w:val="12"/>
          <w:szCs w:val="12"/>
          <w:color w:val="auto"/>
        </w:rPr>
        <w:t>At December 31, 2015, we had cash and cash equivalents of $19.7 million, which are accounted for as a corporate asset. Our cash included $9.3 million denominated in U.S. dollars, $6.8 million (AU$9.3 million) in Australian dollars, and $3.6 million (NZ$5.2 million) in New Zealand dollars. We had non-current assets of $113.3 million in the United States, $161.2 million (AU$221.2 million) in Australia and $63.6 million in New Zealand (NZ$93.0 million).</w:t>
      </w:r>
    </w:p>
    <w:p>
      <w:pPr>
        <w:spacing w:after="0" w:line="105" w:lineRule="exact"/>
        <w:rPr>
          <w:sz w:val="20"/>
          <w:szCs w:val="20"/>
          <w:color w:val="auto"/>
        </w:rPr>
      </w:pPr>
    </w:p>
    <w:p>
      <w:pPr>
        <w:ind w:right="160"/>
        <w:spacing w:after="0" w:line="259" w:lineRule="auto"/>
        <w:rPr>
          <w:sz w:val="20"/>
          <w:szCs w:val="20"/>
          <w:color w:val="auto"/>
        </w:rPr>
      </w:pPr>
      <w:r>
        <w:rPr>
          <w:rFonts w:ascii="Arial" w:cs="Arial" w:eastAsia="Arial" w:hAnsi="Arial"/>
          <w:sz w:val="12"/>
          <w:szCs w:val="12"/>
          <w:color w:val="auto"/>
        </w:rPr>
        <w:t>For 2015, our gross revenue in these jurisdictions was $138.2 million, $93.5 million, and $25.6 million, respectively, compared to $130.8 million, $97.3 million, and $26.6 million for 2014. These changes are due primarily to the increased box office sales experienced in the United States, due primarily to higher average ticket prices, compared to reduced revenue in our Australia and New Zealand operations. Revenues fell in Australia and New Zealand primarily as a result of the strengthening U.S. dollar when compared to the Australian and New Zealand dollars; this was partially offset by greater box office and concession sales in local currencies as a result of higher attendance. Measured in local currency, revenues in Australia and New Zealand both increased.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1558290</wp:posOffset>
            </wp:positionH>
            <wp:positionV relativeFrom="paragraph">
              <wp:posOffset>233680</wp:posOffset>
            </wp:positionV>
            <wp:extent cx="3631565" cy="15043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631565" cy="1504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19"/>
        <w:spacing w:after="0"/>
        <w:rPr>
          <w:sz w:val="20"/>
          <w:szCs w:val="20"/>
          <w:color w:val="auto"/>
        </w:rPr>
      </w:pPr>
      <w:r>
        <w:rPr>
          <w:rFonts w:ascii="Arial" w:cs="Arial" w:eastAsia="Arial" w:hAnsi="Arial"/>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59690</wp:posOffset>
            </wp:positionV>
            <wp:extent cx="677989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779895" cy="42545"/>
                    </a:xfrm>
                    <a:prstGeom prst="rect">
                      <a:avLst/>
                    </a:prstGeom>
                    <a:noFill/>
                  </pic:spPr>
                </pic:pic>
              </a:graphicData>
            </a:graphic>
          </wp:anchor>
        </w:drawing>
      </w:r>
    </w:p>
    <w:p>
      <w:pPr>
        <w:sectPr>
          <w:pgSz w:w="11900" w:h="16838" w:orient="portrait"/>
          <w:cols w:equalWidth="0" w:num="1">
            <w:col w:w="10500"/>
          </w:cols>
          <w:pgMar w:left="640" w:top="248" w:right="759" w:bottom="1440" w:gutter="0" w:footer="0" w:header="0"/>
        </w:sectPr>
      </w:pPr>
    </w:p>
    <w:bookmarkStart w:id="4" w:name="page5"/>
    <w:bookmarkEnd w:id="4"/>
    <w:p>
      <w:pPr>
        <w:spacing w:after="0"/>
        <w:rPr>
          <w:sz w:val="20"/>
          <w:szCs w:val="20"/>
          <w:color w:val="auto"/>
        </w:rPr>
      </w:pPr>
      <w:r>
        <w:rPr>
          <w:rFonts w:ascii="Arial" w:cs="Arial" w:eastAsia="Arial" w:hAnsi="Arial"/>
          <w:sz w:val="12"/>
          <w:szCs w:val="12"/>
          <w:b w:val="1"/>
          <w:bCs w:val="1"/>
          <w:color w:val="auto"/>
        </w:rPr>
        <w:t>CINEMA EXHIBITION</w:t>
      </w:r>
    </w:p>
    <w:p>
      <w:pPr>
        <w:spacing w:after="0" w:line="136" w:lineRule="exact"/>
        <w:rPr>
          <w:sz w:val="20"/>
          <w:szCs w:val="20"/>
          <w:color w:val="auto"/>
        </w:rPr>
      </w:pPr>
    </w:p>
    <w:p>
      <w:pPr>
        <w:ind w:right="20"/>
        <w:spacing w:after="0" w:line="276" w:lineRule="auto"/>
        <w:rPr>
          <w:sz w:val="20"/>
          <w:szCs w:val="20"/>
          <w:color w:val="auto"/>
        </w:rPr>
      </w:pPr>
      <w:r>
        <w:rPr>
          <w:rFonts w:ascii="Arial" w:cs="Arial" w:eastAsia="Arial" w:hAnsi="Arial"/>
          <w:sz w:val="12"/>
          <w:szCs w:val="12"/>
          <w:color w:val="auto"/>
        </w:rPr>
        <w:t>We are dedicated to creating inspiring cinema experiences for our guests through hospitality-styled comfort and service, cinematic presentation, uniquely designed venues, curated film and event programming, and crafted food and beverage options. We manage our worldwide cinema exhibition business under various brands:</w:t>
      </w:r>
    </w:p>
    <w:p>
      <w:pPr>
        <w:spacing w:after="0" w:line="88" w:lineRule="exact"/>
        <w:rPr>
          <w:sz w:val="20"/>
          <w:szCs w:val="20"/>
          <w:color w:val="auto"/>
        </w:rPr>
      </w:pPr>
    </w:p>
    <w:p>
      <w:pPr>
        <w:ind w:left="280" w:hanging="59"/>
        <w:spacing w:after="0"/>
        <w:tabs>
          <w:tab w:leader="none" w:pos="280" w:val="left"/>
        </w:tabs>
        <w:numPr>
          <w:ilvl w:val="0"/>
          <w:numId w:val="4"/>
        </w:numPr>
        <w:rPr>
          <w:rFonts w:ascii="Arial" w:cs="Arial" w:eastAsia="Arial" w:hAnsi="Arial"/>
          <w:sz w:val="12"/>
          <w:szCs w:val="12"/>
          <w:color w:val="auto"/>
        </w:rPr>
      </w:pPr>
      <w:r>
        <w:rPr>
          <w:rFonts w:ascii="Arial" w:cs="Arial" w:eastAsia="Arial" w:hAnsi="Arial"/>
          <w:sz w:val="12"/>
          <w:szCs w:val="12"/>
          <w:color w:val="auto"/>
        </w:rPr>
        <w:t>In the U.S.: under the Reading Cinemas, Angelika Film Center, Consolidated Theatres, and City Cinemas brands;</w:t>
      </w:r>
    </w:p>
    <w:p>
      <w:pPr>
        <w:spacing w:after="0" w:line="7" w:lineRule="exact"/>
        <w:rPr>
          <w:rFonts w:ascii="Arial" w:cs="Arial" w:eastAsia="Arial" w:hAnsi="Arial"/>
          <w:sz w:val="12"/>
          <w:szCs w:val="12"/>
          <w:color w:val="auto"/>
        </w:rPr>
      </w:pPr>
    </w:p>
    <w:p>
      <w:pPr>
        <w:ind w:left="360" w:hanging="139"/>
        <w:spacing w:after="0" w:line="234" w:lineRule="auto"/>
        <w:tabs>
          <w:tab w:leader="none" w:pos="360" w:val="left"/>
        </w:tabs>
        <w:numPr>
          <w:ilvl w:val="0"/>
          <w:numId w:val="4"/>
        </w:numPr>
        <w:rPr>
          <w:rFonts w:ascii="Arial" w:cs="Arial" w:eastAsia="Arial" w:hAnsi="Arial"/>
          <w:sz w:val="12"/>
          <w:szCs w:val="12"/>
          <w:color w:val="auto"/>
        </w:rPr>
      </w:pPr>
      <w:r>
        <w:rPr>
          <w:rFonts w:ascii="Arial" w:cs="Arial" w:eastAsia="Arial" w:hAnsi="Arial"/>
          <w:sz w:val="12"/>
          <w:szCs w:val="12"/>
          <w:color w:val="auto"/>
        </w:rPr>
        <w:t>In Australia: under the Reading Cinemas brand; and</w:t>
      </w:r>
    </w:p>
    <w:p>
      <w:pPr>
        <w:ind w:left="340" w:hanging="119"/>
        <w:spacing w:after="0"/>
        <w:tabs>
          <w:tab w:leader="none" w:pos="340" w:val="left"/>
        </w:tabs>
        <w:numPr>
          <w:ilvl w:val="0"/>
          <w:numId w:val="4"/>
        </w:numPr>
        <w:rPr>
          <w:rFonts w:ascii="Arial" w:cs="Arial" w:eastAsia="Arial" w:hAnsi="Arial"/>
          <w:sz w:val="12"/>
          <w:szCs w:val="12"/>
          <w:color w:val="auto"/>
        </w:rPr>
      </w:pPr>
      <w:r>
        <w:rPr>
          <w:rFonts w:ascii="Arial" w:cs="Arial" w:eastAsia="Arial" w:hAnsi="Arial"/>
          <w:sz w:val="12"/>
          <w:szCs w:val="12"/>
          <w:color w:val="auto"/>
        </w:rPr>
        <w:t>In New Zealand: under the Reading Cinemas and Rialto brands.</w:t>
      </w:r>
    </w:p>
    <w:p>
      <w:pPr>
        <w:spacing w:after="0" w:line="131" w:lineRule="exact"/>
        <w:rPr>
          <w:sz w:val="20"/>
          <w:szCs w:val="20"/>
          <w:color w:val="auto"/>
        </w:rPr>
      </w:pPr>
    </w:p>
    <w:p>
      <w:pPr>
        <w:spacing w:after="0"/>
        <w:rPr>
          <w:sz w:val="20"/>
          <w:szCs w:val="20"/>
          <w:color w:val="auto"/>
        </w:rPr>
      </w:pPr>
      <w:r>
        <w:rPr>
          <w:rFonts w:ascii="Arial" w:cs="Arial" w:eastAsia="Arial" w:hAnsi="Arial"/>
          <w:sz w:val="12"/>
          <w:szCs w:val="12"/>
          <w:color w:val="auto"/>
        </w:rPr>
        <w:t>Historically, we have focused on the ownership and/or operation of three categories of cinemas:</w:t>
      </w:r>
    </w:p>
    <w:p>
      <w:pPr>
        <w:spacing w:after="0" w:line="150" w:lineRule="exact"/>
        <w:rPr>
          <w:sz w:val="20"/>
          <w:szCs w:val="20"/>
          <w:color w:val="auto"/>
        </w:rPr>
      </w:pPr>
    </w:p>
    <w:p>
      <w:pPr>
        <w:ind w:left="320" w:hanging="99"/>
        <w:spacing w:after="0"/>
        <w:tabs>
          <w:tab w:leader="none" w:pos="320" w:val="left"/>
        </w:tabs>
        <w:numPr>
          <w:ilvl w:val="0"/>
          <w:numId w:val="5"/>
        </w:numPr>
        <w:rPr>
          <w:rFonts w:ascii="Arial" w:cs="Arial" w:eastAsia="Arial" w:hAnsi="Arial"/>
          <w:sz w:val="12"/>
          <w:szCs w:val="12"/>
          <w:color w:val="auto"/>
        </w:rPr>
      </w:pPr>
      <w:r>
        <w:rPr>
          <w:rFonts w:ascii="Arial" w:cs="Arial" w:eastAsia="Arial" w:hAnsi="Arial"/>
          <w:sz w:val="12"/>
          <w:szCs w:val="12"/>
          <w:color w:val="auto"/>
        </w:rPr>
        <w:t>Modern stadium-seating multiplex cinemas featuring conventional film product;</w:t>
      </w:r>
    </w:p>
    <w:p>
      <w:pPr>
        <w:spacing w:after="0" w:line="14" w:lineRule="exact"/>
        <w:rPr>
          <w:rFonts w:ascii="Arial" w:cs="Arial" w:eastAsia="Arial" w:hAnsi="Arial"/>
          <w:sz w:val="12"/>
          <w:szCs w:val="12"/>
          <w:color w:val="auto"/>
        </w:rPr>
      </w:pPr>
    </w:p>
    <w:p>
      <w:pPr>
        <w:ind w:left="280" w:hanging="59"/>
        <w:spacing w:after="0"/>
        <w:tabs>
          <w:tab w:leader="none" w:pos="280" w:val="left"/>
        </w:tabs>
        <w:numPr>
          <w:ilvl w:val="0"/>
          <w:numId w:val="5"/>
        </w:numPr>
        <w:rPr>
          <w:rFonts w:ascii="Arial" w:cs="Arial" w:eastAsia="Arial" w:hAnsi="Arial"/>
          <w:sz w:val="12"/>
          <w:szCs w:val="12"/>
          <w:color w:val="auto"/>
        </w:rPr>
      </w:pPr>
      <w:r>
        <w:rPr>
          <w:rFonts w:ascii="Arial" w:cs="Arial" w:eastAsia="Arial" w:hAnsi="Arial"/>
          <w:sz w:val="12"/>
          <w:szCs w:val="12"/>
          <w:color w:val="auto"/>
        </w:rPr>
        <w:t>Specialty and art cinemas, such as Angelika Film Centers in the U.S. and Rialto Cinema in New Zealand; and</w:t>
      </w:r>
    </w:p>
    <w:p>
      <w:pPr>
        <w:spacing w:after="0" w:line="6" w:lineRule="exact"/>
        <w:rPr>
          <w:sz w:val="20"/>
          <w:szCs w:val="20"/>
          <w:color w:val="auto"/>
        </w:rPr>
      </w:pPr>
    </w:p>
    <w:p>
      <w:pPr>
        <w:ind w:left="260" w:right="300" w:hanging="35"/>
        <w:spacing w:after="0" w:line="261" w:lineRule="auto"/>
        <w:rPr>
          <w:sz w:val="20"/>
          <w:szCs w:val="20"/>
          <w:color w:val="auto"/>
        </w:rPr>
      </w:pPr>
      <w:r>
        <w:rPr>
          <w:rFonts w:ascii="Arial" w:cs="Arial" w:eastAsia="Arial" w:hAnsi="Arial"/>
          <w:sz w:val="12"/>
          <w:szCs w:val="12"/>
          <w:color w:val="auto"/>
        </w:rPr>
        <w:t>·Conventional sloped-floor cinemas in certain markets, including New York City with its prohibitory occupancy and construction costs and small town markets that will not support the development of a modern stadium-design multiplex cinema.</w:t>
      </w:r>
    </w:p>
    <w:p>
      <w:pPr>
        <w:spacing w:after="0" w:line="96" w:lineRule="exact"/>
        <w:rPr>
          <w:sz w:val="20"/>
          <w:szCs w:val="20"/>
          <w:color w:val="auto"/>
        </w:rPr>
      </w:pPr>
    </w:p>
    <w:p>
      <w:pPr>
        <w:ind w:right="160"/>
        <w:spacing w:after="0" w:line="380" w:lineRule="auto"/>
        <w:rPr>
          <w:sz w:val="20"/>
          <w:szCs w:val="20"/>
          <w:color w:val="auto"/>
        </w:rPr>
      </w:pPr>
      <w:r>
        <w:rPr>
          <w:rFonts w:ascii="Arial" w:cs="Arial" w:eastAsia="Arial" w:hAnsi="Arial"/>
          <w:sz w:val="10"/>
          <w:szCs w:val="10"/>
          <w:color w:val="auto"/>
        </w:rPr>
        <w:t>Currently, we are focused on upgrading our existing cinemas and developing new cinema opportunities to provide our customers with premium offerings, including luxury seating, state-of-the-art presentation including sound, lounges, cafés and bar service, and other amenities. In 2015, we added the first IMAX auditorium to our circuit, but endeavor, where possible to include one or more large format TITAN XC screen offerings.</w:t>
      </w:r>
    </w:p>
    <w:p>
      <w:pPr>
        <w:spacing w:after="0" w:line="50" w:lineRule="exact"/>
        <w:rPr>
          <w:sz w:val="20"/>
          <w:szCs w:val="20"/>
          <w:color w:val="auto"/>
        </w:rPr>
      </w:pPr>
    </w:p>
    <w:p>
      <w:pPr>
        <w:ind w:right="20"/>
        <w:spacing w:after="0" w:line="380" w:lineRule="auto"/>
        <w:rPr>
          <w:sz w:val="20"/>
          <w:szCs w:val="20"/>
          <w:color w:val="auto"/>
        </w:rPr>
      </w:pPr>
      <w:r>
        <w:rPr>
          <w:rFonts w:ascii="Arial" w:cs="Arial" w:eastAsia="Arial" w:hAnsi="Arial"/>
          <w:sz w:val="10"/>
          <w:szCs w:val="10"/>
          <w:color w:val="auto"/>
        </w:rPr>
        <w:t>We believe that the cinema exhibition business will continue to generate fairly consistent cash flows in the years ahead, even in recessionary or inflationary environments, because people will continue to spend a reasonable portion of their entertainment dollars on entertainment outside of the home. When compared to other forms of outside-the-home entertainment, movies continue to be a popular and competitively priced option.</w:t>
      </w:r>
    </w:p>
    <w:p>
      <w:pPr>
        <w:spacing w:after="0" w:line="41" w:lineRule="exact"/>
        <w:rPr>
          <w:sz w:val="20"/>
          <w:szCs w:val="20"/>
          <w:color w:val="auto"/>
        </w:rPr>
      </w:pPr>
    </w:p>
    <w:p>
      <w:pPr>
        <w:ind w:right="60"/>
        <w:spacing w:after="0" w:line="259" w:lineRule="auto"/>
        <w:rPr>
          <w:sz w:val="20"/>
          <w:szCs w:val="20"/>
          <w:color w:val="auto"/>
        </w:rPr>
      </w:pPr>
      <w:r>
        <w:rPr>
          <w:rFonts w:ascii="Arial" w:cs="Arial" w:eastAsia="Arial" w:hAnsi="Arial"/>
          <w:sz w:val="12"/>
          <w:szCs w:val="12"/>
          <w:color w:val="auto"/>
        </w:rPr>
        <w:t>Although the cinema exhibition business is considered a mature business, we see growth opportunities in our cinema exhibition business principally from (i) the enhancement of our existing cinemas, (ii) the development in select markets of art and specialty cinemas, (iii) the development of new state-of-the-art cinemas on land that we already own or may in the future acquire, and (iv) the development of new cinemas in selected markets. While we continue to consider possible opportunities in third party developments, we prefer to put our capital to work on properties that we own rather than take on potentially burdensome lease obligations. Our circuit has been completely converted to digital projection and sound systems.</w:t>
      </w:r>
    </w:p>
    <w:p>
      <w:pPr>
        <w:spacing w:after="0" w:line="98" w:lineRule="exact"/>
        <w:rPr>
          <w:sz w:val="20"/>
          <w:szCs w:val="20"/>
          <w:color w:val="auto"/>
        </w:rPr>
      </w:pPr>
    </w:p>
    <w:p>
      <w:pPr>
        <w:spacing w:after="0" w:line="286" w:lineRule="auto"/>
        <w:rPr>
          <w:sz w:val="20"/>
          <w:szCs w:val="20"/>
          <w:color w:val="auto"/>
        </w:rPr>
      </w:pPr>
      <w:r>
        <w:rPr>
          <w:rFonts w:ascii="Arial" w:cs="Arial" w:eastAsia="Arial" w:hAnsi="Arial"/>
          <w:sz w:val="11"/>
          <w:szCs w:val="11"/>
          <w:color w:val="auto"/>
        </w:rPr>
        <w:t>We continue to expand and upgrade our circuit on an opportunistic basis. During 2015 we opened a new state-of-the-art cinema (eight screens) in Auckland, New Zealand, and entered into a lease for a to-be-built state-of-the art eight-screen cinema in Kapolei, Hawaii. We anticipate that the Kapolei theater will open in the fourth quarter of this year. We completed the renovation and rebranding as an “Angelika” luxury art cinema of our conventional cinema at the Carmel Mountain Plaza in San Diego, California and completely renovated our fourteen-screen Harbourtown cinema in Queensland, Australia, converting an auditorium in that theater to a TITAN XC auditorium. We added the first IMAX to our circuit, which opened at our Bakersfield cinema in time for the opening of “Star Wars: The Force Awakens”. We continue to progress the construction of a new state-of-the art eight-screen cinema at our Newmarket Shopping Center in Brisbane, Australia. We anticipate opening that cinema in the fourth quarter of 2017.</w:t>
      </w:r>
    </w:p>
    <w:p>
      <w:pPr>
        <w:spacing w:after="0" w:line="93"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In 2015 we upgraded the food and beverage menu at a number of our U.S. cinemas. We are focused on the renovation and upgrading of our existing U.S. cinemas, along the lines of our Carmel Mountain cinema. Working with veteran Food Network Executive Bruce Seidel of Hot Lemon Productions and chef Santos Loo we are upgrading our food and beverage offerings. We have obtained beer and wine, and in some cases liquor, licenses for six of our venues and are in the application process for an additional 10 venues. We intend to be able to offer alcoholic beverages at 16 or more of our venues by the end of 2017.</w:t>
      </w:r>
    </w:p>
    <w:p>
      <w:pPr>
        <w:spacing w:after="0" w:line="78" w:lineRule="exact"/>
        <w:rPr>
          <w:sz w:val="20"/>
          <w:szCs w:val="20"/>
          <w:color w:val="auto"/>
        </w:rPr>
      </w:pPr>
    </w:p>
    <w:p>
      <w:pPr>
        <w:spacing w:after="0"/>
        <w:rPr>
          <w:sz w:val="20"/>
          <w:szCs w:val="20"/>
          <w:color w:val="auto"/>
        </w:rPr>
      </w:pPr>
      <w:r>
        <w:rPr>
          <w:rFonts w:ascii="Arial" w:cs="Arial" w:eastAsia="Arial" w:hAnsi="Arial"/>
          <w:sz w:val="11"/>
          <w:szCs w:val="11"/>
          <w:color w:val="auto"/>
        </w:rPr>
        <w:t>As discussed in greater detail below, as a part of our real estate operations, we acquired the fee interest in the ETC in which our Townsville, Australia cinema is located and in the adjacent discount center.</w:t>
      </w:r>
    </w:p>
    <w:p>
      <w:pPr>
        <w:spacing w:after="0" w:line="135" w:lineRule="exact"/>
        <w:rPr>
          <w:sz w:val="20"/>
          <w:szCs w:val="20"/>
          <w:color w:val="auto"/>
        </w:rPr>
      </w:pPr>
    </w:p>
    <w:p>
      <w:pPr>
        <w:spacing w:after="0"/>
        <w:rPr>
          <w:sz w:val="20"/>
          <w:szCs w:val="20"/>
          <w:color w:val="auto"/>
        </w:rPr>
      </w:pPr>
      <w:r>
        <w:rPr>
          <w:rFonts w:ascii="Arial" w:cs="Arial" w:eastAsia="Arial" w:hAnsi="Arial"/>
          <w:sz w:val="11"/>
          <w:szCs w:val="11"/>
          <w:color w:val="auto"/>
        </w:rPr>
        <w:t>In January of 2015, we amended the lease of our Ward Theater in Honolulu as part of a planned renovation and further development by The Howard Hughes Company of its Ward Village development.</w:t>
      </w:r>
    </w:p>
    <w:p>
      <w:pPr>
        <w:spacing w:after="0" w:line="144" w:lineRule="exact"/>
        <w:rPr>
          <w:sz w:val="20"/>
          <w:szCs w:val="20"/>
          <w:color w:val="auto"/>
        </w:rPr>
      </w:pPr>
    </w:p>
    <w:p>
      <w:pPr>
        <w:ind w:right="120"/>
        <w:spacing w:after="0" w:line="276" w:lineRule="auto"/>
        <w:rPr>
          <w:sz w:val="20"/>
          <w:szCs w:val="20"/>
          <w:color w:val="auto"/>
        </w:rPr>
      </w:pPr>
      <w:r>
        <w:rPr>
          <w:rFonts w:ascii="Arial" w:cs="Arial" w:eastAsia="Arial" w:hAnsi="Arial"/>
          <w:sz w:val="12"/>
          <w:szCs w:val="12"/>
          <w:color w:val="auto"/>
        </w:rPr>
        <w:t>On January 31, 2016, following our run of “Star Wars: The Force Awakens”, we surrendered our Gaslamp Cinema in San Diego. We paid the landlord a $1.0 million negotiated termination fee, which was less expensive than continuing to operate an unprofitable</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59690</wp:posOffset>
            </wp:positionV>
            <wp:extent cx="677989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779895" cy="42545"/>
                    </a:xfrm>
                    <a:prstGeom prst="rect">
                      <a:avLst/>
                    </a:prstGeom>
                    <a:noFill/>
                  </pic:spPr>
                </pic:pic>
              </a:graphicData>
            </a:graphic>
          </wp:anchor>
        </w:drawing>
      </w:r>
    </w:p>
    <w:p>
      <w:pPr>
        <w:sectPr>
          <w:pgSz w:w="11900" w:h="16838" w:orient="portrait"/>
          <w:cols w:equalWidth="0" w:num="1">
            <w:col w:w="10620"/>
          </w:cols>
          <w:pgMar w:left="640" w:top="388" w:right="639" w:bottom="1440" w:gutter="0" w:footer="0" w:header="0"/>
        </w:sectPr>
      </w:pPr>
    </w:p>
    <w:bookmarkStart w:id="5" w:name="page6"/>
    <w:bookmarkEnd w:id="5"/>
    <w:p>
      <w:pPr>
        <w:spacing w:after="0" w:line="276" w:lineRule="auto"/>
        <w:rPr>
          <w:sz w:val="20"/>
          <w:szCs w:val="20"/>
          <w:color w:val="auto"/>
        </w:rPr>
      </w:pPr>
      <w:r>
        <w:rPr>
          <w:rFonts w:ascii="Arial" w:cs="Arial" w:eastAsia="Arial" w:hAnsi="Arial"/>
          <w:sz w:val="12"/>
          <w:szCs w:val="12"/>
          <w:color w:val="auto"/>
        </w:rPr>
        <w:t>theater at this location. This cinema was acquired in 2008 as a part of the acquisition of a package of 15 locations from Pacific Theatres. The cinema was, at that time, a substantial money-loser and the purchase price was calculated taking into account the losses generated by that cinema and the likelihood that such losses would continue into the future.</w:t>
      </w:r>
    </w:p>
    <w:p>
      <w:pPr>
        <w:spacing w:after="0" w:line="88" w:lineRule="exact"/>
        <w:rPr>
          <w:sz w:val="20"/>
          <w:szCs w:val="20"/>
          <w:color w:val="auto"/>
        </w:rPr>
      </w:pPr>
    </w:p>
    <w:p>
      <w:pPr>
        <w:ind w:right="360"/>
        <w:spacing w:after="0" w:line="276" w:lineRule="auto"/>
        <w:rPr>
          <w:sz w:val="20"/>
          <w:szCs w:val="20"/>
          <w:color w:val="auto"/>
        </w:rPr>
      </w:pPr>
      <w:r>
        <w:rPr>
          <w:rFonts w:ascii="Arial" w:cs="Arial" w:eastAsia="Arial" w:hAnsi="Arial"/>
          <w:sz w:val="12"/>
          <w:szCs w:val="12"/>
          <w:color w:val="auto"/>
        </w:rPr>
        <w:t>In 2014, we completed an upgrade of our Cinemas 1,2,3 in New York City, which included the installation of luxury recliner seats. This property is slated for redevelopment. No determination has been made as to whether a cinema use will be maintained as a part of that redevelopment. If it is not, then the equipment used at this property will be used elsewhere in our circuit.</w:t>
      </w:r>
    </w:p>
    <w:p>
      <w:pPr>
        <w:spacing w:after="0" w:line="97" w:lineRule="exact"/>
        <w:rPr>
          <w:sz w:val="20"/>
          <w:szCs w:val="20"/>
          <w:color w:val="auto"/>
        </w:rPr>
      </w:pPr>
    </w:p>
    <w:p>
      <w:pPr>
        <w:ind w:right="120"/>
        <w:spacing w:after="0" w:line="380" w:lineRule="auto"/>
        <w:rPr>
          <w:sz w:val="20"/>
          <w:szCs w:val="20"/>
          <w:color w:val="auto"/>
        </w:rPr>
      </w:pPr>
      <w:r>
        <w:rPr>
          <w:rFonts w:ascii="Arial" w:cs="Arial" w:eastAsia="Arial" w:hAnsi="Arial"/>
          <w:sz w:val="10"/>
          <w:szCs w:val="10"/>
          <w:color w:val="auto"/>
        </w:rPr>
        <w:t>In 2014, we entered into a long-term lease for a new, state-of-the-art Angelika Film Center in the Union Market district of Washington D.C. However, the lease was terminated as the anticipated location for this cinema ultimately was determined by the landlord, Edens, to not be feasible. We are currently finalizing with Edens the terms and conditions of a new lease for a cinema in a different location in the Union Market area.</w:t>
      </w:r>
    </w:p>
    <w:p>
      <w:pPr>
        <w:spacing w:after="0" w:line="3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REAL ESTATE</w:t>
      </w:r>
    </w:p>
    <w:p>
      <w:pPr>
        <w:spacing w:after="0" w:line="127" w:lineRule="exact"/>
        <w:rPr>
          <w:sz w:val="20"/>
          <w:szCs w:val="20"/>
          <w:color w:val="auto"/>
        </w:rPr>
      </w:pPr>
    </w:p>
    <w:p>
      <w:pPr>
        <w:ind w:right="660"/>
        <w:spacing w:after="0" w:line="323" w:lineRule="auto"/>
        <w:rPr>
          <w:sz w:val="20"/>
          <w:szCs w:val="20"/>
          <w:color w:val="auto"/>
        </w:rPr>
      </w:pPr>
      <w:r>
        <w:rPr>
          <w:rFonts w:ascii="Arial" w:cs="Arial" w:eastAsia="Arial" w:hAnsi="Arial"/>
          <w:sz w:val="11"/>
          <w:szCs w:val="11"/>
          <w:color w:val="auto"/>
        </w:rPr>
        <w:t>We engage in real estate development and the ownership and rental or licensing to third parties of retail, commercial and live theater assets. We own the fee interests in all of our live theaters, and in 11 of our cinemas. Our real estate business creates long-term value for our stockholders through the continuous improvement and development of our investment and operating properties, including our ETCs.</w:t>
      </w:r>
    </w:p>
    <w:p>
      <w:pPr>
        <w:spacing w:after="0" w:line="74" w:lineRule="exact"/>
        <w:rPr>
          <w:sz w:val="20"/>
          <w:szCs w:val="20"/>
          <w:color w:val="auto"/>
        </w:rPr>
      </w:pPr>
    </w:p>
    <w:p>
      <w:pPr>
        <w:spacing w:after="0"/>
        <w:rPr>
          <w:sz w:val="20"/>
          <w:szCs w:val="20"/>
          <w:color w:val="auto"/>
        </w:rPr>
      </w:pPr>
      <w:r>
        <w:rPr>
          <w:rFonts w:ascii="Arial" w:cs="Arial" w:eastAsia="Arial" w:hAnsi="Arial"/>
          <w:sz w:val="12"/>
          <w:szCs w:val="12"/>
          <w:color w:val="auto"/>
        </w:rPr>
        <w:t>Our real estate activities have historically consisted principally of:</w:t>
      </w:r>
    </w:p>
    <w:p>
      <w:pPr>
        <w:spacing w:after="0" w:line="123" w:lineRule="exact"/>
        <w:rPr>
          <w:sz w:val="20"/>
          <w:szCs w:val="20"/>
          <w:color w:val="auto"/>
        </w:rPr>
      </w:pPr>
    </w:p>
    <w:p>
      <w:pPr>
        <w:ind w:left="220"/>
        <w:spacing w:after="0"/>
        <w:rPr>
          <w:sz w:val="20"/>
          <w:szCs w:val="20"/>
          <w:color w:val="auto"/>
        </w:rPr>
      </w:pPr>
      <w:r>
        <w:rPr>
          <w:rFonts w:ascii="Arial" w:cs="Arial" w:eastAsia="Arial" w:hAnsi="Arial"/>
          <w:sz w:val="11"/>
          <w:szCs w:val="11"/>
          <w:color w:val="auto"/>
        </w:rPr>
        <w:t>·the ownership of fee or long-term leasehold interests in properties used in our cinema exhibition activities or which were acquired for the development of cinemas or cinema-based real estate development projects;</w:t>
      </w:r>
    </w:p>
    <w:p>
      <w:pPr>
        <w:spacing w:after="0" w:line="26" w:lineRule="exact"/>
        <w:rPr>
          <w:sz w:val="20"/>
          <w:szCs w:val="20"/>
          <w:color w:val="auto"/>
        </w:rPr>
      </w:pPr>
    </w:p>
    <w:p>
      <w:pPr>
        <w:ind w:left="320" w:hanging="99"/>
        <w:spacing w:after="0"/>
        <w:tabs>
          <w:tab w:leader="none" w:pos="320" w:val="left"/>
        </w:tabs>
        <w:numPr>
          <w:ilvl w:val="0"/>
          <w:numId w:val="6"/>
        </w:numPr>
        <w:rPr>
          <w:rFonts w:ascii="Arial" w:cs="Arial" w:eastAsia="Arial" w:hAnsi="Arial"/>
          <w:sz w:val="12"/>
          <w:szCs w:val="12"/>
          <w:color w:val="auto"/>
        </w:rPr>
      </w:pPr>
      <w:r>
        <w:rPr>
          <w:rFonts w:ascii="Arial" w:cs="Arial" w:eastAsia="Arial" w:hAnsi="Arial"/>
          <w:sz w:val="12"/>
          <w:szCs w:val="12"/>
          <w:color w:val="auto"/>
        </w:rPr>
        <w:t>the acquisition of fee interests in land for general real estate development;</w:t>
      </w:r>
    </w:p>
    <w:p>
      <w:pPr>
        <w:spacing w:after="0" w:line="6" w:lineRule="exact"/>
        <w:rPr>
          <w:rFonts w:ascii="Arial" w:cs="Arial" w:eastAsia="Arial" w:hAnsi="Arial"/>
          <w:sz w:val="12"/>
          <w:szCs w:val="12"/>
          <w:color w:val="auto"/>
        </w:rPr>
      </w:pPr>
    </w:p>
    <w:p>
      <w:pPr>
        <w:ind w:left="340" w:hanging="119"/>
        <w:spacing w:after="0"/>
        <w:tabs>
          <w:tab w:leader="none" w:pos="340" w:val="left"/>
        </w:tabs>
        <w:numPr>
          <w:ilvl w:val="0"/>
          <w:numId w:val="6"/>
        </w:numPr>
        <w:rPr>
          <w:rFonts w:ascii="Arial" w:cs="Arial" w:eastAsia="Arial" w:hAnsi="Arial"/>
          <w:sz w:val="12"/>
          <w:szCs w:val="12"/>
          <w:color w:val="auto"/>
        </w:rPr>
      </w:pPr>
      <w:r>
        <w:rPr>
          <w:rFonts w:ascii="Arial" w:cs="Arial" w:eastAsia="Arial" w:hAnsi="Arial"/>
          <w:sz w:val="12"/>
          <w:szCs w:val="12"/>
          <w:color w:val="auto"/>
        </w:rPr>
        <w:t>the licensing to production companies of our live theaters; and</w:t>
      </w:r>
    </w:p>
    <w:p>
      <w:pPr>
        <w:spacing w:after="0" w:line="6" w:lineRule="exact"/>
        <w:rPr>
          <w:rFonts w:ascii="Arial" w:cs="Arial" w:eastAsia="Arial" w:hAnsi="Arial"/>
          <w:sz w:val="12"/>
          <w:szCs w:val="12"/>
          <w:color w:val="auto"/>
        </w:rPr>
      </w:pPr>
    </w:p>
    <w:p>
      <w:pPr>
        <w:ind w:left="300" w:hanging="79"/>
        <w:spacing w:after="0"/>
        <w:tabs>
          <w:tab w:leader="none" w:pos="300" w:val="left"/>
        </w:tabs>
        <w:numPr>
          <w:ilvl w:val="0"/>
          <w:numId w:val="6"/>
        </w:numPr>
        <w:rPr>
          <w:rFonts w:ascii="Arial" w:cs="Arial" w:eastAsia="Arial" w:hAnsi="Arial"/>
          <w:sz w:val="12"/>
          <w:szCs w:val="12"/>
          <w:color w:val="auto"/>
        </w:rPr>
      </w:pPr>
      <w:r>
        <w:rPr>
          <w:rFonts w:ascii="Arial" w:cs="Arial" w:eastAsia="Arial" w:hAnsi="Arial"/>
          <w:sz w:val="12"/>
          <w:szCs w:val="12"/>
          <w:color w:val="auto"/>
        </w:rPr>
        <w:t>the redevelopment of our existing fee-owned cinema or live theater sites to their highest and best use.</w:t>
      </w:r>
    </w:p>
    <w:p>
      <w:pPr>
        <w:spacing w:after="0" w:line="141" w:lineRule="exact"/>
        <w:rPr>
          <w:sz w:val="20"/>
          <w:szCs w:val="20"/>
          <w:color w:val="auto"/>
        </w:rPr>
      </w:pPr>
    </w:p>
    <w:p>
      <w:pPr>
        <w:spacing w:after="0"/>
        <w:rPr>
          <w:sz w:val="20"/>
          <w:szCs w:val="20"/>
          <w:color w:val="auto"/>
        </w:rPr>
      </w:pPr>
      <w:r>
        <w:rPr>
          <w:rFonts w:ascii="Arial" w:cs="Arial" w:eastAsia="Arial" w:hAnsi="Arial"/>
          <w:sz w:val="11"/>
          <w:szCs w:val="11"/>
          <w:color w:val="auto"/>
        </w:rPr>
        <w:t>Given the substantial increase in Manhattan rents and commercial real estate values in recent periods, we are currently advancing plans for the redevelopment of our Union Square and Cinemas 1,2,3 properties.</w:t>
      </w:r>
    </w:p>
    <w:p>
      <w:pPr>
        <w:spacing w:after="0" w:line="135" w:lineRule="exact"/>
        <w:rPr>
          <w:sz w:val="20"/>
          <w:szCs w:val="20"/>
          <w:color w:val="auto"/>
        </w:rPr>
      </w:pPr>
    </w:p>
    <w:p>
      <w:pPr>
        <w:ind w:right="20"/>
        <w:spacing w:after="0" w:line="283" w:lineRule="auto"/>
        <w:rPr>
          <w:sz w:val="20"/>
          <w:szCs w:val="20"/>
          <w:color w:val="auto"/>
        </w:rPr>
      </w:pPr>
      <w:r>
        <w:rPr>
          <w:rFonts w:ascii="Arial" w:cs="Arial" w:eastAsia="Arial" w:hAnsi="Arial"/>
          <w:sz w:val="11"/>
          <w:szCs w:val="11"/>
          <w:color w:val="auto"/>
        </w:rPr>
        <w:t>We currently anticipate that our Union Square property will be redeveloped into approximately 70,200 square feet of net leaseable area, comprised of retail and office space. BKSK Architects has designed the building with an iconic glass dome which has been approved by the City of New York Landmarks Preservation Commission. On March 22, 2016, our application for a variance was approved by the Board of Standards and Appeals. This was the last major regulatory hurdle to our commencement of construction at the site. While our building plans still must be approved by the New York City Department of Buildings, we do not currently anticipate encountering any material issues in obtaining such approval. All tenancies have been terminated. The building has been vacated, and we have begun internal demolition activities at the site. We currently anticipate that construction will be completed by the second quarter of 2018. We have retained Edifice Real Estate Partners, LLC as our development manager, Newmark Grubb Knight Frank as our leasing agent, and, an affiliate of CNY Construction LLC to provide pre-construction management services. BKSK and Gensler have assisted with the internal layout and interior design of the building.</w:t>
      </w:r>
    </w:p>
    <w:p>
      <w:pPr>
        <w:spacing w:after="0" w:line="96" w:lineRule="exact"/>
        <w:rPr>
          <w:sz w:val="20"/>
          <w:szCs w:val="20"/>
          <w:color w:val="auto"/>
        </w:rPr>
      </w:pPr>
    </w:p>
    <w:p>
      <w:pPr>
        <w:jc w:val="both"/>
        <w:ind w:right="80"/>
        <w:spacing w:after="0" w:line="263" w:lineRule="auto"/>
        <w:rPr>
          <w:sz w:val="20"/>
          <w:szCs w:val="20"/>
          <w:color w:val="auto"/>
        </w:rPr>
      </w:pPr>
      <w:r>
        <w:rPr>
          <w:rFonts w:ascii="Arial" w:cs="Arial" w:eastAsia="Arial" w:hAnsi="Arial"/>
          <w:sz w:val="12"/>
          <w:szCs w:val="12"/>
          <w:color w:val="auto"/>
        </w:rPr>
        <w:t>We have completed a preliminary feasibility study and are currently in negotiations with the owner of the approximately 2,600 square foot corner parcel adjacent to our Cinemas 1,2,3 property on the corner of 60</w:t>
      </w:r>
      <w:r>
        <w:rPr>
          <w:rFonts w:ascii="Arial" w:cs="Arial" w:eastAsia="Arial" w:hAnsi="Arial"/>
          <w:sz w:val="5"/>
          <w:szCs w:val="5"/>
          <w:color w:val="auto"/>
        </w:rPr>
        <w:t>th</w:t>
      </w:r>
      <w:r>
        <w:rPr>
          <w:rFonts w:ascii="Arial" w:cs="Arial" w:eastAsia="Arial" w:hAnsi="Arial"/>
          <w:sz w:val="12"/>
          <w:szCs w:val="12"/>
          <w:color w:val="auto"/>
        </w:rPr>
        <w:t xml:space="preserve"> Street and 3</w:t>
      </w:r>
      <w:r>
        <w:rPr>
          <w:rFonts w:ascii="Arial" w:cs="Arial" w:eastAsia="Arial" w:hAnsi="Arial"/>
          <w:sz w:val="5"/>
          <w:szCs w:val="5"/>
          <w:color w:val="auto"/>
        </w:rPr>
        <w:t>rd</w:t>
      </w:r>
      <w:r>
        <w:rPr>
          <w:rFonts w:ascii="Arial" w:cs="Arial" w:eastAsia="Arial" w:hAnsi="Arial"/>
          <w:sz w:val="12"/>
          <w:szCs w:val="12"/>
          <w:color w:val="auto"/>
        </w:rPr>
        <w:t xml:space="preserve"> Avenue for the joint development of our properties. A combination of the properties would produce approximately 121,000 square foot of FAR and approximately 140,000 square feet of gross buildable area. No assurances can be given that we will be able to come to terms with the adjacent owners.</w:t>
      </w:r>
    </w:p>
    <w:p>
      <w:pPr>
        <w:spacing w:after="0" w:line="96" w:lineRule="exact"/>
        <w:rPr>
          <w:sz w:val="20"/>
          <w:szCs w:val="20"/>
          <w:color w:val="auto"/>
        </w:rPr>
      </w:pPr>
    </w:p>
    <w:p>
      <w:pPr>
        <w:ind w:right="20"/>
        <w:spacing w:after="0" w:line="259" w:lineRule="auto"/>
        <w:rPr>
          <w:sz w:val="20"/>
          <w:szCs w:val="20"/>
          <w:color w:val="auto"/>
        </w:rPr>
      </w:pPr>
      <w:r>
        <w:rPr>
          <w:rFonts w:ascii="Arial" w:cs="Arial" w:eastAsia="Arial" w:hAnsi="Arial"/>
          <w:sz w:val="12"/>
          <w:szCs w:val="12"/>
          <w:color w:val="auto"/>
        </w:rPr>
        <w:t>On April 11, 2016, we purchased for $11.2 million a 24,000 square foot Class B office building with 72 parking spaces located at 5995 Sepulveda Boulevard in Culver City, California. We intend to use approximately 50% of the leasable area for our headquarters offices and to lease the remainder to unaffiliated third parties. Culver City has in recent years developed as a center of entertainment and high-tech activity in Los Angeles County. Major tenants in the area include SONY and Google, with Facebook slated to take space in the near future. We anticipate, when the move is complete and the excess space is leased, we will be able to reduce our headquarters occupancy cost by approximately $350,000 per annum.</w:t>
      </w:r>
    </w:p>
    <w:p>
      <w:pPr>
        <w:spacing w:after="0" w:line="98" w:lineRule="exact"/>
        <w:rPr>
          <w:sz w:val="20"/>
          <w:szCs w:val="20"/>
          <w:color w:val="auto"/>
        </w:rPr>
      </w:pPr>
    </w:p>
    <w:p>
      <w:pPr>
        <w:ind w:right="20"/>
        <w:spacing w:after="0" w:line="259" w:lineRule="auto"/>
        <w:rPr>
          <w:sz w:val="20"/>
          <w:szCs w:val="20"/>
          <w:color w:val="auto"/>
        </w:rPr>
      </w:pPr>
      <w:r>
        <w:rPr>
          <w:rFonts w:ascii="Arial" w:cs="Arial" w:eastAsia="Arial" w:hAnsi="Arial"/>
          <w:sz w:val="12"/>
          <w:szCs w:val="12"/>
          <w:color w:val="auto"/>
        </w:rPr>
        <w:t xml:space="preserve">Overseas, on December 23, 2015, we acquired two adjoining ETCs in Townsville, Queensland, Australia for a total of $24.3 million (AU$33.6 million) comprising approximately 5.6 acres. The total gross leasable area of the two properties, the Cannon Park City Centre and the Cannon Park Discount Centre, is 133,000 square feet. Our multiplex cinema at the Cannon Park City Centre is the anchor tenant of that center. This acquisition is consistent with our business plan to own, where practical, the land underlying our entertainment assets. For additional information, see Note 4 – </w:t>
      </w:r>
      <w:r>
        <w:rPr>
          <w:rFonts w:ascii="Arial" w:cs="Arial" w:eastAsia="Arial" w:hAnsi="Arial"/>
          <w:sz w:val="12"/>
          <w:szCs w:val="12"/>
          <w:i w:val="1"/>
          <w:iCs w:val="1"/>
          <w:color w:val="auto"/>
        </w:rPr>
        <w:t>Acquisitions, Disposals, and Assets Held for Sale – 2015 Transactions –</w:t>
      </w:r>
      <w:r>
        <w:rPr>
          <w:rFonts w:ascii="Arial" w:cs="Arial" w:eastAsia="Arial" w:hAnsi="Arial"/>
          <w:sz w:val="12"/>
          <w:szCs w:val="12"/>
          <w:color w:val="auto"/>
        </w:rPr>
        <w:t xml:space="preserve"> </w:t>
      </w:r>
      <w:r>
        <w:rPr>
          <w:rFonts w:ascii="Arial" w:cs="Arial" w:eastAsia="Arial" w:hAnsi="Arial"/>
          <w:sz w:val="12"/>
          <w:szCs w:val="12"/>
          <w:i w:val="1"/>
          <w:iCs w:val="1"/>
          <w:color w:val="auto"/>
        </w:rPr>
        <w:t>Cannon Park, Queensland, Australia</w:t>
      </w:r>
      <w:r>
        <w:rPr>
          <w:rFonts w:ascii="Arial" w:cs="Arial" w:eastAsia="Arial" w:hAnsi="Arial"/>
          <w:sz w:val="12"/>
          <w:szCs w:val="12"/>
          <w:color w:val="auto"/>
        </w:rPr>
        <w:t>.</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59690</wp:posOffset>
            </wp:positionV>
            <wp:extent cx="677989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779895" cy="42545"/>
                    </a:xfrm>
                    <a:prstGeom prst="rect">
                      <a:avLst/>
                    </a:prstGeom>
                    <a:noFill/>
                  </pic:spPr>
                </pic:pic>
              </a:graphicData>
            </a:graphic>
          </wp:anchor>
        </w:drawing>
      </w:r>
    </w:p>
    <w:p>
      <w:pPr>
        <w:sectPr>
          <w:pgSz w:w="11900" w:h="16838" w:orient="portrait"/>
          <w:cols w:equalWidth="0" w:num="1">
            <w:col w:w="10600"/>
          </w:cols>
          <w:pgMar w:left="640" w:top="131" w:right="659" w:bottom="1440" w:gutter="0" w:footer="0" w:header="0"/>
        </w:sectPr>
      </w:pPr>
    </w:p>
    <w:bookmarkStart w:id="6" w:name="page7"/>
    <w:bookmarkEnd w:id="6"/>
    <w:p>
      <w:pPr>
        <w:spacing w:after="0"/>
        <w:rPr>
          <w:sz w:val="20"/>
          <w:szCs w:val="20"/>
          <w:color w:val="auto"/>
        </w:rPr>
      </w:pPr>
      <w:r>
        <w:rPr>
          <w:rFonts w:ascii="Arial" w:cs="Arial" w:eastAsia="Arial" w:hAnsi="Arial"/>
          <w:sz w:val="12"/>
          <w:szCs w:val="12"/>
          <w:color w:val="auto"/>
        </w:rPr>
        <w:t>We continue to work on the expansion of our Auburn ETC in Sydney, Australia, our Newmarket Shopping Center in Brisbane, Australia, and our Courtenay Central ETC in Wellington, New Zealand.</w:t>
      </w:r>
    </w:p>
    <w:p>
      <w:pPr>
        <w:spacing w:after="0" w:line="123" w:lineRule="exact"/>
        <w:rPr>
          <w:sz w:val="20"/>
          <w:szCs w:val="20"/>
          <w:color w:val="auto"/>
        </w:rPr>
      </w:pPr>
    </w:p>
    <w:p>
      <w:pPr>
        <w:ind w:right="320"/>
        <w:spacing w:after="0" w:line="276" w:lineRule="auto"/>
        <w:rPr>
          <w:sz w:val="20"/>
          <w:szCs w:val="20"/>
          <w:color w:val="auto"/>
        </w:rPr>
      </w:pPr>
      <w:r>
        <w:rPr>
          <w:rFonts w:ascii="Arial" w:cs="Arial" w:eastAsia="Arial" w:hAnsi="Arial"/>
          <w:sz w:val="12"/>
          <w:szCs w:val="12"/>
          <w:color w:val="auto"/>
        </w:rPr>
        <w:t>At Auburn, we have entered into agreements to lease for approximately 15,000 square feet of to-be-constructed retail space. Upon completion, this will increase the square footage of that center from approximately 117,000 to approximately 132,000 square feet.</w:t>
      </w:r>
    </w:p>
    <w:p>
      <w:pPr>
        <w:spacing w:after="0" w:line="97" w:lineRule="exact"/>
        <w:rPr>
          <w:sz w:val="20"/>
          <w:szCs w:val="20"/>
          <w:color w:val="auto"/>
        </w:rPr>
      </w:pPr>
    </w:p>
    <w:p>
      <w:pPr>
        <w:spacing w:after="0" w:line="259" w:lineRule="auto"/>
        <w:rPr>
          <w:sz w:val="20"/>
          <w:szCs w:val="20"/>
          <w:color w:val="auto"/>
        </w:rPr>
      </w:pPr>
      <w:r>
        <w:rPr>
          <w:rFonts w:ascii="Arial" w:cs="Arial" w:eastAsia="Arial" w:hAnsi="Arial"/>
          <w:sz w:val="12"/>
          <w:szCs w:val="12"/>
          <w:color w:val="auto"/>
        </w:rPr>
        <w:t>At Newmarket, we have received all necessary land use approvals for the addition of a state-of-the art eight-screen cinema, approximately 10,000 square feet of additional retail space and approximately 142 additional car parks. Construction is expected to commence in the second quarter of 2016, with a projected opening in the fourth quarter of 2017. On November 30, 2015, we acquired an approximately 23,000 square foot parcel adjacent to our tenant Coles supermarket. This property is currently improved with an office building. We intend, over time, to integrate this property into our Newmarket development. This will increase our Newmarket footprint from approximately 204,000 to approximately 227,000 square feet.</w:t>
      </w:r>
    </w:p>
    <w:p>
      <w:pPr>
        <w:spacing w:after="0" w:line="98" w:lineRule="exact"/>
        <w:rPr>
          <w:sz w:val="20"/>
          <w:szCs w:val="20"/>
          <w:color w:val="auto"/>
        </w:rPr>
      </w:pPr>
    </w:p>
    <w:p>
      <w:pPr>
        <w:ind w:right="240"/>
        <w:spacing w:after="0" w:line="298" w:lineRule="auto"/>
        <w:rPr>
          <w:sz w:val="20"/>
          <w:szCs w:val="20"/>
          <w:color w:val="auto"/>
        </w:rPr>
      </w:pPr>
      <w:r>
        <w:rPr>
          <w:rFonts w:ascii="Arial" w:cs="Arial" w:eastAsia="Arial" w:hAnsi="Arial"/>
          <w:sz w:val="11"/>
          <w:szCs w:val="11"/>
          <w:color w:val="auto"/>
        </w:rPr>
        <w:t>At Courtenay Central, we continue to advance the addition of an approximately 36,000 square foot Countdown supermarket and approximately 4,000 square feet of general retail space. The agreement to lease the supermarket was signed in 2013, all necessary land use approvals have been obtained, construction budgets for the supermarket have been approved by all parties, and we anticipate beginning construction in the third quarter of this year and occupancy by the fourth quarter 2017. Simultaneously, we are working on the renovation of our existing center and the seismic upgrading of the contiguous 9-story parking structure.</w:t>
      </w:r>
    </w:p>
    <w:p>
      <w:pPr>
        <w:spacing w:after="0" w:line="78" w:lineRule="exact"/>
        <w:rPr>
          <w:sz w:val="20"/>
          <w:szCs w:val="20"/>
          <w:color w:val="auto"/>
        </w:rPr>
      </w:pPr>
    </w:p>
    <w:p>
      <w:pPr>
        <w:ind w:right="80"/>
        <w:spacing w:after="0" w:line="259" w:lineRule="auto"/>
        <w:rPr>
          <w:sz w:val="20"/>
          <w:szCs w:val="20"/>
          <w:color w:val="auto"/>
        </w:rPr>
      </w:pPr>
      <w:r>
        <w:rPr>
          <w:rFonts w:ascii="Arial" w:cs="Arial" w:eastAsia="Arial" w:hAnsi="Arial"/>
          <w:sz w:val="12"/>
          <w:szCs w:val="12"/>
          <w:color w:val="auto"/>
        </w:rPr>
        <w:t>In addition to certain historic railroad properties (such as our 2.1 acre Viaduct Property in downtown Philadelphia) and certain expansion space associated with our existing ETC operations, we have two unimproved properties that we acquired for, and are currently being held for, development: our 202-acre parcel in Coachella, California (near Palm Springs) and our 70.4 acre parcel in Manukau, a suburb of Auckland, New Zealand (located adjacent to the Auckland Airport). The Coachella property is currently zoned for residential and mixed-use uses. The Manukau property is currently zoned for agricultural purposes, but we are in the process of seeking a zoning change to industrial.</w:t>
      </w:r>
    </w:p>
    <w:p>
      <w:pPr>
        <w:spacing w:after="0" w:line="107" w:lineRule="exact"/>
        <w:rPr>
          <w:sz w:val="20"/>
          <w:szCs w:val="20"/>
          <w:color w:val="auto"/>
        </w:rPr>
      </w:pPr>
    </w:p>
    <w:p>
      <w:pPr>
        <w:spacing w:after="0"/>
        <w:rPr>
          <w:sz w:val="20"/>
          <w:szCs w:val="20"/>
          <w:color w:val="auto"/>
        </w:rPr>
      </w:pPr>
      <w:r>
        <w:rPr>
          <w:rFonts w:ascii="Arial" w:cs="Arial" w:eastAsia="Arial" w:hAnsi="Arial"/>
          <w:sz w:val="10"/>
          <w:szCs w:val="10"/>
          <w:color w:val="auto"/>
        </w:rPr>
        <w:t>Over the past 24 months, we have culled our real estate holdings to focus on those projects which we believe offer more upside potential to us. As part of this process we sold our property in Lake Taupo, New Zealand, for</w:t>
      </w:r>
    </w:p>
    <w:p>
      <w:pPr>
        <w:spacing w:after="0" w:line="38" w:lineRule="exact"/>
        <w:rPr>
          <w:sz w:val="20"/>
          <w:szCs w:val="20"/>
          <w:color w:val="auto"/>
        </w:rPr>
      </w:pPr>
    </w:p>
    <w:p>
      <w:pPr>
        <w:spacing w:after="0"/>
        <w:rPr>
          <w:sz w:val="20"/>
          <w:szCs w:val="20"/>
          <w:color w:val="auto"/>
        </w:rPr>
      </w:pPr>
      <w:r>
        <w:rPr>
          <w:rFonts w:ascii="Arial" w:cs="Arial" w:eastAsia="Arial" w:hAnsi="Arial"/>
          <w:sz w:val="11"/>
          <w:szCs w:val="11"/>
          <w:color w:val="auto"/>
        </w:rPr>
        <w:t>$2.5 million (NZ$3.4 million), which closed in two tranches, with a balance of $821,000 (NZ$1.2 million) received on March 31, 2016. We sold our land holdings in Moonee Ponds, Australia on April 15, 2015 for $17.8</w:t>
      </w:r>
    </w:p>
    <w:p>
      <w:pPr>
        <w:spacing w:after="0" w:line="18" w:lineRule="exact"/>
        <w:rPr>
          <w:sz w:val="20"/>
          <w:szCs w:val="20"/>
          <w:color w:val="auto"/>
        </w:rPr>
      </w:pPr>
    </w:p>
    <w:p>
      <w:pPr>
        <w:spacing w:after="0"/>
        <w:rPr>
          <w:sz w:val="20"/>
          <w:szCs w:val="20"/>
          <w:color w:val="auto"/>
        </w:rPr>
      </w:pPr>
      <w:r>
        <w:rPr>
          <w:rFonts w:ascii="Arial" w:cs="Arial" w:eastAsia="Arial" w:hAnsi="Arial"/>
          <w:sz w:val="11"/>
          <w:szCs w:val="11"/>
          <w:color w:val="auto"/>
        </w:rPr>
        <w:t>million (AU$23.0 million), for which all monies have now been received and our land holdings in Burwood, Australia, for $47.4 million (AU$65.0 million) on May 12, 2014, with a balance due of $42.6 million</w:t>
      </w:r>
    </w:p>
    <w:p>
      <w:pPr>
        <w:spacing w:after="0" w:line="18" w:lineRule="exact"/>
        <w:rPr>
          <w:sz w:val="20"/>
          <w:szCs w:val="20"/>
          <w:color w:val="auto"/>
        </w:rPr>
      </w:pPr>
    </w:p>
    <w:p>
      <w:pPr>
        <w:spacing w:after="0"/>
        <w:rPr>
          <w:sz w:val="20"/>
          <w:szCs w:val="20"/>
          <w:color w:val="auto"/>
        </w:rPr>
      </w:pPr>
      <w:r>
        <w:rPr>
          <w:rFonts w:ascii="Arial" w:cs="Arial" w:eastAsia="Arial" w:hAnsi="Arial"/>
          <w:sz w:val="10"/>
          <w:szCs w:val="10"/>
          <w:color w:val="auto"/>
        </w:rPr>
        <w:t>(AU$58.5 million) scheduled to be paid at closing in December 2017. Our Burwood agreement provides for mandatory pre-payments in the event that any of the land is sold by the buyer, any such prepayment being in an</w:t>
      </w:r>
    </w:p>
    <w:p>
      <w:pPr>
        <w:spacing w:after="0" w:line="29" w:lineRule="exact"/>
        <w:rPr>
          <w:sz w:val="20"/>
          <w:szCs w:val="20"/>
          <w:color w:val="auto"/>
        </w:rPr>
      </w:pPr>
    </w:p>
    <w:p>
      <w:pPr>
        <w:spacing w:after="0"/>
        <w:rPr>
          <w:sz w:val="20"/>
          <w:szCs w:val="20"/>
          <w:color w:val="auto"/>
        </w:rPr>
      </w:pPr>
      <w:r>
        <w:rPr>
          <w:rFonts w:ascii="Arial" w:cs="Arial" w:eastAsia="Arial" w:hAnsi="Arial"/>
          <w:sz w:val="11"/>
          <w:szCs w:val="11"/>
          <w:color w:val="auto"/>
        </w:rPr>
        <w:t>amount equal to the greater of (a) 90% of the net sales price or (b) the balance of the purchase price multiplied by a fraction the numerator of which is the square footage of property being sold by the buyer and the</w:t>
      </w:r>
    </w:p>
    <w:p>
      <w:pPr>
        <w:spacing w:after="0" w:line="18" w:lineRule="exact"/>
        <w:rPr>
          <w:sz w:val="20"/>
          <w:szCs w:val="20"/>
          <w:color w:val="auto"/>
        </w:rPr>
      </w:pPr>
    </w:p>
    <w:p>
      <w:pPr>
        <w:spacing w:after="0"/>
        <w:rPr>
          <w:sz w:val="20"/>
          <w:szCs w:val="20"/>
          <w:color w:val="auto"/>
        </w:rPr>
      </w:pPr>
      <w:r>
        <w:rPr>
          <w:rFonts w:ascii="Arial" w:cs="Arial" w:eastAsia="Arial" w:hAnsi="Arial"/>
          <w:sz w:val="10"/>
          <w:szCs w:val="10"/>
          <w:color w:val="auto"/>
        </w:rPr>
        <w:t>denominator of which is the original square footage of the property being sold to the buyer. The buyer has informed us that it is under contract to sell a portion of this property and a potential prepayment of approximately</w:t>
      </w:r>
    </w:p>
    <w:p>
      <w:pPr>
        <w:spacing w:after="0" w:line="29" w:lineRule="exact"/>
        <w:rPr>
          <w:sz w:val="20"/>
          <w:szCs w:val="20"/>
          <w:color w:val="auto"/>
        </w:rPr>
      </w:pPr>
    </w:p>
    <w:p>
      <w:pPr>
        <w:spacing w:after="0"/>
        <w:rPr>
          <w:sz w:val="20"/>
          <w:szCs w:val="20"/>
          <w:color w:val="auto"/>
        </w:rPr>
      </w:pPr>
      <w:r>
        <w:rPr>
          <w:rFonts w:ascii="Arial" w:cs="Arial" w:eastAsia="Arial" w:hAnsi="Arial"/>
          <w:sz w:val="10"/>
          <w:szCs w:val="10"/>
          <w:color w:val="auto"/>
        </w:rPr>
        <w:t>$18.2 million (AU$25 million) is possible in 2016. We sold our Doheny Drive Condominium in Los Angeles for $3.0 million, which closed on February 25, 2015. These sales were made based on our belief that the assets</w:t>
      </w:r>
    </w:p>
    <w:p>
      <w:pPr>
        <w:spacing w:after="0" w:line="29" w:lineRule="exact"/>
        <w:rPr>
          <w:sz w:val="20"/>
          <w:szCs w:val="20"/>
          <w:color w:val="auto"/>
        </w:rPr>
      </w:pPr>
    </w:p>
    <w:p>
      <w:pPr>
        <w:spacing w:after="0"/>
        <w:rPr>
          <w:sz w:val="20"/>
          <w:szCs w:val="20"/>
          <w:color w:val="auto"/>
        </w:rPr>
      </w:pPr>
      <w:r>
        <w:rPr>
          <w:rFonts w:ascii="Arial" w:cs="Arial" w:eastAsia="Arial" w:hAnsi="Arial"/>
          <w:sz w:val="12"/>
          <w:szCs w:val="12"/>
          <w:color w:val="auto"/>
        </w:rPr>
        <w:t>involved had reached the highest value that we could reasonably achieve without investing substantial additional sums for land use planning, construction, and marketing.</w:t>
      </w:r>
    </w:p>
    <w:p>
      <w:pPr>
        <w:spacing w:after="0" w:line="11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OPERATING INFORMATION</w:t>
      </w:r>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color w:val="auto"/>
        </w:rPr>
        <w:t>At December 31, 2015, our principal tangible assets included:</w:t>
      </w:r>
    </w:p>
    <w:p>
      <w:pPr>
        <w:spacing w:after="0" w:line="132" w:lineRule="exact"/>
        <w:rPr>
          <w:sz w:val="20"/>
          <w:szCs w:val="20"/>
          <w:color w:val="auto"/>
        </w:rPr>
      </w:pPr>
    </w:p>
    <w:p>
      <w:pPr>
        <w:ind w:left="320" w:hanging="99"/>
        <w:spacing w:after="0"/>
        <w:tabs>
          <w:tab w:leader="none" w:pos="320" w:val="left"/>
        </w:tabs>
        <w:numPr>
          <w:ilvl w:val="0"/>
          <w:numId w:val="7"/>
        </w:numPr>
        <w:rPr>
          <w:rFonts w:ascii="Arial" w:cs="Arial" w:eastAsia="Arial" w:hAnsi="Arial"/>
          <w:sz w:val="12"/>
          <w:szCs w:val="12"/>
          <w:color w:val="auto"/>
        </w:rPr>
      </w:pPr>
      <w:r>
        <w:rPr>
          <w:rFonts w:ascii="Arial" w:cs="Arial" w:eastAsia="Arial" w:hAnsi="Arial"/>
          <w:sz w:val="12"/>
          <w:szCs w:val="12"/>
          <w:color w:val="auto"/>
        </w:rPr>
        <w:t>interests in 57 currently operational cinemas comprising some 472 screens;</w:t>
      </w:r>
    </w:p>
    <w:p>
      <w:pPr>
        <w:spacing w:after="0" w:line="14" w:lineRule="exact"/>
        <w:rPr>
          <w:rFonts w:ascii="Arial" w:cs="Arial" w:eastAsia="Arial" w:hAnsi="Arial"/>
          <w:sz w:val="12"/>
          <w:szCs w:val="12"/>
          <w:color w:val="auto"/>
        </w:rPr>
      </w:pPr>
    </w:p>
    <w:p>
      <w:pPr>
        <w:ind w:left="280" w:hanging="59"/>
        <w:spacing w:after="0"/>
        <w:tabs>
          <w:tab w:leader="none" w:pos="280" w:val="left"/>
        </w:tabs>
        <w:numPr>
          <w:ilvl w:val="0"/>
          <w:numId w:val="7"/>
        </w:numPr>
        <w:rPr>
          <w:rFonts w:ascii="Arial" w:cs="Arial" w:eastAsia="Arial" w:hAnsi="Arial"/>
          <w:sz w:val="12"/>
          <w:szCs w:val="12"/>
          <w:color w:val="auto"/>
        </w:rPr>
      </w:pPr>
      <w:r>
        <w:rPr>
          <w:rFonts w:ascii="Arial" w:cs="Arial" w:eastAsia="Arial" w:hAnsi="Arial"/>
          <w:sz w:val="12"/>
          <w:szCs w:val="12"/>
          <w:color w:val="auto"/>
        </w:rPr>
        <w:t>fee interests in three live theaters (the Orpheum and Minetta Lane in Manhattan and the Royal George in Chicago);</w:t>
      </w:r>
    </w:p>
    <w:p>
      <w:pPr>
        <w:spacing w:after="0" w:line="6" w:lineRule="exact"/>
        <w:rPr>
          <w:rFonts w:ascii="Arial" w:cs="Arial" w:eastAsia="Arial" w:hAnsi="Arial"/>
          <w:sz w:val="12"/>
          <w:szCs w:val="12"/>
          <w:color w:val="auto"/>
        </w:rPr>
      </w:pPr>
    </w:p>
    <w:p>
      <w:pPr>
        <w:ind w:left="340" w:hanging="119"/>
        <w:spacing w:after="0"/>
        <w:tabs>
          <w:tab w:leader="none" w:pos="340" w:val="left"/>
        </w:tabs>
        <w:numPr>
          <w:ilvl w:val="0"/>
          <w:numId w:val="7"/>
        </w:numPr>
        <w:rPr>
          <w:rFonts w:ascii="Arial" w:cs="Arial" w:eastAsia="Arial" w:hAnsi="Arial"/>
          <w:sz w:val="12"/>
          <w:szCs w:val="12"/>
          <w:color w:val="auto"/>
        </w:rPr>
      </w:pPr>
      <w:r>
        <w:rPr>
          <w:rFonts w:ascii="Arial" w:cs="Arial" w:eastAsia="Arial" w:hAnsi="Arial"/>
          <w:sz w:val="12"/>
          <w:szCs w:val="12"/>
          <w:color w:val="auto"/>
        </w:rPr>
        <w:t>fee interest in one cinema (the Cinemas 1,2,3), in New York City;</w:t>
      </w:r>
    </w:p>
    <w:p>
      <w:pPr>
        <w:spacing w:after="0" w:line="6" w:lineRule="exact"/>
        <w:rPr>
          <w:sz w:val="20"/>
          <w:szCs w:val="20"/>
          <w:color w:val="auto"/>
        </w:rPr>
      </w:pPr>
    </w:p>
    <w:p>
      <w:pPr>
        <w:ind w:left="220" w:right="2180"/>
        <w:spacing w:after="0" w:line="273" w:lineRule="auto"/>
        <w:rPr>
          <w:sz w:val="20"/>
          <w:szCs w:val="20"/>
          <w:color w:val="auto"/>
        </w:rPr>
      </w:pPr>
      <w:r>
        <w:rPr>
          <w:rFonts w:ascii="Arial" w:cs="Arial" w:eastAsia="Arial" w:hAnsi="Arial"/>
          <w:sz w:val="11"/>
          <w:szCs w:val="11"/>
          <w:color w:val="auto"/>
        </w:rPr>
        <w:t>·fee interest in our Union Square property, previously used by us as a live theater venue and for rental to third parties and now being redeveloped for retail and office uses; ·our ETCs and shopping centers in Sydney (Auburn Center), Brisbane (Newmarket Center), Townsville (Cannon Park) and Wellington (Courtenay Central);</w:t>
      </w:r>
    </w:p>
    <w:p>
      <w:pPr>
        <w:ind w:left="220" w:right="160"/>
        <w:spacing w:after="0" w:line="261" w:lineRule="auto"/>
        <w:rPr>
          <w:sz w:val="20"/>
          <w:szCs w:val="20"/>
          <w:color w:val="auto"/>
        </w:rPr>
      </w:pPr>
      <w:r>
        <w:rPr>
          <w:rFonts w:ascii="Arial" w:cs="Arial" w:eastAsia="Arial" w:hAnsi="Arial"/>
          <w:sz w:val="12"/>
          <w:szCs w:val="12"/>
          <w:color w:val="auto"/>
        </w:rPr>
        <w:t>·In addition to the fee interests described immediately above, fee ownership of approximately 20,700,000 square feet of developed and undeveloped real estate in the United States, Australia and New Zealand; and · cash and cash equivalents, aggregating $19.7 million.</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59690</wp:posOffset>
            </wp:positionV>
            <wp:extent cx="677989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779895" cy="42545"/>
                    </a:xfrm>
                    <a:prstGeom prst="rect">
                      <a:avLst/>
                    </a:prstGeom>
                    <a:noFill/>
                  </pic:spPr>
                </pic:pic>
              </a:graphicData>
            </a:graphic>
          </wp:anchor>
        </w:drawing>
      </w:r>
    </w:p>
    <w:p>
      <w:pPr>
        <w:sectPr>
          <w:pgSz w:w="11900" w:h="16838" w:orient="portrait"/>
          <w:cols w:equalWidth="0" w:num="1">
            <w:col w:w="10600"/>
          </w:cols>
          <w:pgMar w:left="640" w:top="131" w:right="659" w:bottom="1440" w:gutter="0" w:footer="0" w:header="0"/>
        </w:sectPr>
      </w:pPr>
    </w:p>
    <w:bookmarkStart w:id="7" w:name="page8"/>
    <w:bookmarkEnd w:id="7"/>
    <w:p>
      <w:pPr>
        <w:spacing w:after="0"/>
        <w:rPr>
          <w:sz w:val="20"/>
          <w:szCs w:val="20"/>
          <w:color w:val="auto"/>
        </w:rPr>
      </w:pPr>
      <w:r>
        <w:rPr>
          <w:rFonts w:ascii="Arial" w:cs="Arial" w:eastAsia="Arial" w:hAnsi="Arial"/>
          <w:sz w:val="12"/>
          <w:szCs w:val="12"/>
          <w:b w:val="1"/>
          <w:bCs w:val="1"/>
          <w:color w:val="auto"/>
        </w:rPr>
        <w:t>Cinema Exhibition</w:t>
      </w:r>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color w:val="auto"/>
        </w:rPr>
        <w:t>We own and/or manage cinema assets as follows: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660" w:type="dxa"/>
            <w:vAlign w:val="bottom"/>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gridSpan w:val="3"/>
          </w:tcPr>
          <w:p>
            <w:pPr>
              <w:ind w:left="120"/>
              <w:spacing w:after="0"/>
              <w:rPr>
                <w:sz w:val="20"/>
                <w:szCs w:val="20"/>
                <w:color w:val="auto"/>
              </w:rPr>
            </w:pPr>
            <w:r>
              <w:rPr>
                <w:rFonts w:ascii="Arial" w:cs="Arial" w:eastAsia="Arial" w:hAnsi="Arial"/>
                <w:sz w:val="10"/>
                <w:szCs w:val="10"/>
                <w:b w:val="1"/>
                <w:bCs w:val="1"/>
                <w:color w:val="auto"/>
                <w:w w:val="93"/>
              </w:rPr>
              <w:t>December 31, 2015</w:t>
            </w:r>
          </w:p>
        </w:tc>
        <w:tc>
          <w:tcPr>
            <w:tcW w:w="9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spacing w:after="0"/>
              <w:rPr>
                <w:sz w:val="10"/>
                <w:szCs w:val="10"/>
                <w:color w:val="auto"/>
              </w:rPr>
            </w:pPr>
          </w:p>
        </w:tc>
      </w:tr>
      <w:tr>
        <w:trPr>
          <w:trHeight w:val="304"/>
        </w:trPr>
        <w:tc>
          <w:tcPr>
            <w:tcW w:w="2660" w:type="dxa"/>
            <w:vAlign w:val="bottom"/>
          </w:tcPr>
          <w:p>
            <w:pPr>
              <w:spacing w:after="0"/>
              <w:rPr>
                <w:sz w:val="24"/>
                <w:szCs w:val="24"/>
                <w:color w:val="auto"/>
              </w:rPr>
            </w:pPr>
          </w:p>
        </w:tc>
        <w:tc>
          <w:tcPr>
            <w:tcW w:w="1220" w:type="dxa"/>
            <w:vAlign w:val="bottom"/>
            <w:gridSpan w:val="2"/>
          </w:tcPr>
          <w:p>
            <w:pPr>
              <w:ind w:left="260"/>
              <w:spacing w:after="0"/>
              <w:rPr>
                <w:sz w:val="20"/>
                <w:szCs w:val="20"/>
                <w:color w:val="auto"/>
              </w:rPr>
            </w:pPr>
            <w:r>
              <w:rPr>
                <w:rFonts w:ascii="Arial" w:cs="Arial" w:eastAsia="Arial" w:hAnsi="Arial"/>
                <w:sz w:val="10"/>
                <w:szCs w:val="10"/>
                <w:b w:val="1"/>
                <w:bCs w:val="1"/>
                <w:color w:val="auto"/>
              </w:rPr>
              <w:t>Wholly Owned</w:t>
            </w:r>
          </w:p>
        </w:tc>
        <w:tc>
          <w:tcPr>
            <w:tcW w:w="1420" w:type="dxa"/>
            <w:vAlign w:val="bottom"/>
            <w:gridSpan w:val="2"/>
          </w:tcPr>
          <w:p>
            <w:pPr>
              <w:ind w:left="380"/>
              <w:spacing w:after="0"/>
              <w:rPr>
                <w:sz w:val="20"/>
                <w:szCs w:val="20"/>
                <w:color w:val="auto"/>
              </w:rPr>
            </w:pPr>
            <w:r>
              <w:rPr>
                <w:rFonts w:ascii="Arial" w:cs="Arial" w:eastAsia="Arial" w:hAnsi="Arial"/>
                <w:sz w:val="10"/>
                <w:szCs w:val="10"/>
                <w:b w:val="1"/>
                <w:bCs w:val="1"/>
                <w:color w:val="auto"/>
              </w:rPr>
              <w:t>Consolidated</w:t>
            </w:r>
            <w:r>
              <w:rPr>
                <w:rFonts w:ascii="Arial" w:cs="Arial" w:eastAsia="Arial" w:hAnsi="Arial"/>
                <w:sz w:val="4"/>
                <w:szCs w:val="4"/>
                <w:b w:val="1"/>
                <w:bCs w:val="1"/>
                <w:color w:val="auto"/>
              </w:rPr>
              <w:t>(1)</w:t>
            </w:r>
          </w:p>
        </w:tc>
        <w:tc>
          <w:tcPr>
            <w:tcW w:w="1820" w:type="dxa"/>
            <w:vAlign w:val="bottom"/>
            <w:gridSpan w:val="4"/>
          </w:tcPr>
          <w:p>
            <w:pPr>
              <w:ind w:left="400"/>
              <w:spacing w:after="0"/>
              <w:rPr>
                <w:sz w:val="20"/>
                <w:szCs w:val="20"/>
                <w:color w:val="auto"/>
              </w:rPr>
            </w:pPr>
            <w:r>
              <w:rPr>
                <w:rFonts w:ascii="Arial" w:cs="Arial" w:eastAsia="Arial" w:hAnsi="Arial"/>
                <w:sz w:val="10"/>
                <w:szCs w:val="10"/>
                <w:b w:val="1"/>
                <w:bCs w:val="1"/>
                <w:color w:val="auto"/>
              </w:rPr>
              <w:t>Unconsolidated</w:t>
            </w:r>
            <w:r>
              <w:rPr>
                <w:rFonts w:ascii="Arial" w:cs="Arial" w:eastAsia="Arial" w:hAnsi="Arial"/>
                <w:sz w:val="4"/>
                <w:szCs w:val="4"/>
                <w:b w:val="1"/>
                <w:bCs w:val="1"/>
                <w:color w:val="auto"/>
              </w:rPr>
              <w:t>(2)</w:t>
            </w:r>
          </w:p>
        </w:tc>
        <w:tc>
          <w:tcPr>
            <w:tcW w:w="960" w:type="dxa"/>
            <w:vAlign w:val="bottom"/>
            <w:gridSpan w:val="2"/>
          </w:tcPr>
          <w:p>
            <w:pPr>
              <w:ind w:left="80"/>
              <w:spacing w:after="0"/>
              <w:rPr>
                <w:sz w:val="20"/>
                <w:szCs w:val="20"/>
                <w:color w:val="auto"/>
              </w:rPr>
            </w:pPr>
            <w:r>
              <w:rPr>
                <w:rFonts w:ascii="Arial" w:cs="Arial" w:eastAsia="Arial" w:hAnsi="Arial"/>
                <w:sz w:val="10"/>
                <w:szCs w:val="10"/>
                <w:b w:val="1"/>
                <w:bCs w:val="1"/>
                <w:color w:val="auto"/>
              </w:rPr>
              <w:t>Total owned</w:t>
            </w:r>
          </w:p>
        </w:tc>
        <w:tc>
          <w:tcPr>
            <w:tcW w:w="1300" w:type="dxa"/>
            <w:vAlign w:val="bottom"/>
            <w:gridSpan w:val="2"/>
          </w:tcPr>
          <w:p>
            <w:pPr>
              <w:ind w:left="400"/>
              <w:spacing w:after="0"/>
              <w:rPr>
                <w:sz w:val="20"/>
                <w:szCs w:val="20"/>
                <w:color w:val="auto"/>
              </w:rPr>
            </w:pPr>
            <w:r>
              <w:rPr>
                <w:rFonts w:ascii="Arial" w:cs="Arial" w:eastAsia="Arial" w:hAnsi="Arial"/>
                <w:sz w:val="10"/>
                <w:szCs w:val="10"/>
                <w:b w:val="1"/>
                <w:bCs w:val="1"/>
                <w:color w:val="auto"/>
              </w:rPr>
              <w:t>Managed</w:t>
            </w:r>
            <w:r>
              <w:rPr>
                <w:rFonts w:ascii="Arial" w:cs="Arial" w:eastAsia="Arial" w:hAnsi="Arial"/>
                <w:sz w:val="4"/>
                <w:szCs w:val="4"/>
                <w:b w:val="1"/>
                <w:bCs w:val="1"/>
                <w:color w:val="auto"/>
              </w:rPr>
              <w:t>(3)</w:t>
            </w:r>
          </w:p>
        </w:tc>
        <w:tc>
          <w:tcPr>
            <w:tcW w:w="1240" w:type="dxa"/>
            <w:vAlign w:val="bottom"/>
          </w:tcPr>
          <w:p>
            <w:pPr>
              <w:ind w:left="80"/>
              <w:spacing w:after="0"/>
              <w:rPr>
                <w:sz w:val="20"/>
                <w:szCs w:val="20"/>
                <w:color w:val="auto"/>
              </w:rPr>
            </w:pPr>
            <w:r>
              <w:rPr>
                <w:rFonts w:ascii="Arial" w:cs="Arial" w:eastAsia="Arial" w:hAnsi="Arial"/>
                <w:sz w:val="10"/>
                <w:szCs w:val="10"/>
                <w:b w:val="1"/>
                <w:bCs w:val="1"/>
                <w:color w:val="auto"/>
                <w:w w:val="91"/>
              </w:rPr>
              <w:t>Total owned and operated</w:t>
            </w:r>
          </w:p>
        </w:tc>
      </w:tr>
      <w:tr>
        <w:trPr>
          <w:trHeight w:val="52"/>
        </w:trPr>
        <w:tc>
          <w:tcPr>
            <w:tcW w:w="2660" w:type="dxa"/>
            <w:vAlign w:val="bottom"/>
          </w:tcPr>
          <w:p>
            <w:pPr>
              <w:spacing w:after="0"/>
              <w:rPr>
                <w:sz w:val="4"/>
                <w:szCs w:val="4"/>
                <w:color w:val="auto"/>
              </w:rPr>
            </w:pPr>
          </w:p>
        </w:tc>
        <w:tc>
          <w:tcPr>
            <w:tcW w:w="116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136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840" w:type="dxa"/>
            <w:vAlign w:val="bottom"/>
            <w:tcBorders>
              <w:top w:val="single" w:sz="8" w:color="auto"/>
            </w:tcBorders>
          </w:tcPr>
          <w:p>
            <w:pPr>
              <w:spacing w:after="0"/>
              <w:rPr>
                <w:sz w:val="4"/>
                <w:szCs w:val="4"/>
                <w:color w:val="auto"/>
              </w:rPr>
            </w:pPr>
          </w:p>
        </w:tc>
        <w:tc>
          <w:tcPr>
            <w:tcW w:w="64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Borders>
              <w:top w:val="single" w:sz="8" w:color="auto"/>
            </w:tcBorders>
          </w:tcPr>
          <w:p>
            <w:pPr>
              <w:spacing w:after="0"/>
              <w:rPr>
                <w:sz w:val="4"/>
                <w:szCs w:val="4"/>
                <w:color w:val="auto"/>
              </w:rPr>
            </w:pPr>
          </w:p>
        </w:tc>
        <w:tc>
          <w:tcPr>
            <w:tcW w:w="90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122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240" w:type="dxa"/>
            <w:vAlign w:val="bottom"/>
            <w:tcBorders>
              <w:top w:val="single" w:sz="8" w:color="auto"/>
            </w:tcBorders>
          </w:tcPr>
          <w:p>
            <w:pPr>
              <w:spacing w:after="0"/>
              <w:rPr>
                <w:sz w:val="4"/>
                <w:szCs w:val="4"/>
                <w:color w:val="auto"/>
              </w:rPr>
            </w:pPr>
          </w:p>
        </w:tc>
      </w:tr>
      <w:tr>
        <w:trPr>
          <w:trHeight w:val="171"/>
        </w:trPr>
        <w:tc>
          <w:tcPr>
            <w:tcW w:w="2660" w:type="dxa"/>
            <w:vAlign w:val="bottom"/>
            <w:shd w:val="clear" w:color="auto" w:fill="CCEEFF"/>
          </w:tcPr>
          <w:p>
            <w:pPr>
              <w:spacing w:after="0"/>
              <w:rPr>
                <w:sz w:val="20"/>
                <w:szCs w:val="20"/>
                <w:color w:val="auto"/>
              </w:rPr>
            </w:pPr>
            <w:r>
              <w:rPr>
                <w:rFonts w:ascii="Arial" w:cs="Arial" w:eastAsia="Arial" w:hAnsi="Arial"/>
                <w:sz w:val="10"/>
                <w:szCs w:val="10"/>
                <w:b w:val="1"/>
                <w:bCs w:val="1"/>
                <w:color w:val="auto"/>
              </w:rPr>
              <w:t>United States</w:t>
            </w:r>
          </w:p>
        </w:tc>
        <w:tc>
          <w:tcPr>
            <w:tcW w:w="1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r>
      <w:tr>
        <w:trPr>
          <w:trHeight w:val="171"/>
        </w:trPr>
        <w:tc>
          <w:tcPr>
            <w:tcW w:w="2660" w:type="dxa"/>
            <w:vAlign w:val="bottom"/>
          </w:tcPr>
          <w:p>
            <w:pPr>
              <w:ind w:left="80"/>
              <w:spacing w:after="0"/>
              <w:rPr>
                <w:sz w:val="20"/>
                <w:szCs w:val="20"/>
                <w:color w:val="auto"/>
              </w:rPr>
            </w:pPr>
            <w:r>
              <w:rPr>
                <w:rFonts w:ascii="Arial" w:cs="Arial" w:eastAsia="Arial" w:hAnsi="Arial"/>
                <w:sz w:val="10"/>
                <w:szCs w:val="10"/>
                <w:color w:val="auto"/>
              </w:rPr>
              <w:t>Cinemas</w:t>
            </w:r>
          </w:p>
        </w:tc>
        <w:tc>
          <w:tcPr>
            <w:tcW w:w="1160" w:type="dxa"/>
            <w:vAlign w:val="bottom"/>
          </w:tcPr>
          <w:p>
            <w:pPr>
              <w:jc w:val="center"/>
              <w:spacing w:after="0"/>
              <w:rPr>
                <w:sz w:val="20"/>
                <w:szCs w:val="20"/>
                <w:color w:val="auto"/>
              </w:rPr>
            </w:pPr>
            <w:r>
              <w:rPr>
                <w:rFonts w:ascii="Arial" w:cs="Arial" w:eastAsia="Arial" w:hAnsi="Arial"/>
                <w:sz w:val="10"/>
                <w:szCs w:val="10"/>
                <w:color w:val="auto"/>
                <w:w w:val="71"/>
              </w:rPr>
              <w:t>25</w:t>
            </w:r>
          </w:p>
        </w:tc>
        <w:tc>
          <w:tcPr>
            <w:tcW w:w="6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0"/>
                <w:szCs w:val="10"/>
                <w:color w:val="auto"/>
                <w:w w:val="71"/>
              </w:rPr>
              <w:t>1</w:t>
            </w:r>
          </w:p>
        </w:tc>
        <w:tc>
          <w:tcPr>
            <w:tcW w:w="60" w:type="dxa"/>
            <w:vAlign w:val="bottom"/>
          </w:tcPr>
          <w:p>
            <w:pPr>
              <w:spacing w:after="0"/>
              <w:rPr>
                <w:sz w:val="14"/>
                <w:szCs w:val="14"/>
                <w:color w:val="auto"/>
              </w:rPr>
            </w:pPr>
          </w:p>
        </w:tc>
        <w:tc>
          <w:tcPr>
            <w:tcW w:w="840" w:type="dxa"/>
            <w:vAlign w:val="bottom"/>
          </w:tcPr>
          <w:p>
            <w:pPr>
              <w:jc w:val="center"/>
              <w:ind w:left="572"/>
              <w:spacing w:after="0"/>
              <w:rPr>
                <w:sz w:val="20"/>
                <w:szCs w:val="20"/>
                <w:color w:val="auto"/>
              </w:rPr>
            </w:pPr>
            <w:r>
              <w:rPr>
                <w:rFonts w:ascii="Arial" w:cs="Arial" w:eastAsia="Arial" w:hAnsi="Arial"/>
                <w:sz w:val="10"/>
                <w:szCs w:val="10"/>
                <w:color w:val="auto"/>
                <w:w w:val="89"/>
              </w:rPr>
              <w:t>--</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center"/>
              <w:ind w:right="192"/>
              <w:spacing w:after="0"/>
              <w:rPr>
                <w:sz w:val="20"/>
                <w:szCs w:val="20"/>
                <w:color w:val="auto"/>
              </w:rPr>
            </w:pPr>
            <w:r>
              <w:rPr>
                <w:rFonts w:ascii="Arial" w:cs="Arial" w:eastAsia="Arial" w:hAnsi="Arial"/>
                <w:sz w:val="10"/>
                <w:szCs w:val="10"/>
                <w:color w:val="auto"/>
                <w:w w:val="89"/>
              </w:rPr>
              <w:t>26</w:t>
            </w:r>
          </w:p>
        </w:tc>
        <w:tc>
          <w:tcPr>
            <w:tcW w:w="6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Arial" w:cs="Arial" w:eastAsia="Arial" w:hAnsi="Arial"/>
                <w:sz w:val="10"/>
                <w:szCs w:val="10"/>
                <w:color w:val="auto"/>
                <w:w w:val="71"/>
              </w:rPr>
              <w:t>1</w:t>
            </w:r>
          </w:p>
        </w:tc>
        <w:tc>
          <w:tcPr>
            <w:tcW w:w="8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0"/>
                <w:szCs w:val="10"/>
                <w:color w:val="auto"/>
                <w:w w:val="89"/>
              </w:rPr>
              <w:t>27</w:t>
            </w:r>
          </w:p>
        </w:tc>
      </w:tr>
      <w:tr>
        <w:trPr>
          <w:trHeight w:val="171"/>
        </w:trPr>
        <w:tc>
          <w:tcPr>
            <w:tcW w:w="2660" w:type="dxa"/>
            <w:vAlign w:val="bottom"/>
            <w:shd w:val="clear" w:color="auto" w:fill="CCEEFF"/>
          </w:tcPr>
          <w:p>
            <w:pPr>
              <w:ind w:left="80"/>
              <w:spacing w:after="0"/>
              <w:rPr>
                <w:sz w:val="20"/>
                <w:szCs w:val="20"/>
                <w:color w:val="auto"/>
              </w:rPr>
            </w:pPr>
            <w:r>
              <w:rPr>
                <w:rFonts w:ascii="Arial" w:cs="Arial" w:eastAsia="Arial" w:hAnsi="Arial"/>
                <w:sz w:val="10"/>
                <w:szCs w:val="10"/>
                <w:color w:val="auto"/>
              </w:rPr>
              <w:t>Screens</w:t>
            </w:r>
          </w:p>
        </w:tc>
        <w:tc>
          <w:tcPr>
            <w:tcW w:w="116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3"/>
              </w:rPr>
              <w:t>245</w:t>
            </w:r>
          </w:p>
        </w:tc>
        <w:tc>
          <w:tcPr>
            <w:tcW w:w="60" w:type="dxa"/>
            <w:vAlign w:val="bottom"/>
            <w:shd w:val="clear" w:color="auto" w:fill="CCEEFF"/>
          </w:tcPr>
          <w:p>
            <w:pPr>
              <w:spacing w:after="0"/>
              <w:rPr>
                <w:sz w:val="14"/>
                <w:szCs w:val="14"/>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71"/>
              </w:rPr>
              <w:t>3</w:t>
            </w:r>
          </w:p>
        </w:tc>
        <w:tc>
          <w:tcPr>
            <w:tcW w:w="60" w:type="dxa"/>
            <w:vAlign w:val="bottom"/>
            <w:shd w:val="clear" w:color="auto" w:fill="CCEEFF"/>
          </w:tcPr>
          <w:p>
            <w:pPr>
              <w:spacing w:after="0"/>
              <w:rPr>
                <w:sz w:val="14"/>
                <w:szCs w:val="14"/>
                <w:color w:val="auto"/>
              </w:rPr>
            </w:pPr>
          </w:p>
        </w:tc>
        <w:tc>
          <w:tcPr>
            <w:tcW w:w="840" w:type="dxa"/>
            <w:vAlign w:val="bottom"/>
            <w:shd w:val="clear" w:color="auto" w:fill="CCEEFF"/>
          </w:tcPr>
          <w:p>
            <w:pPr>
              <w:jc w:val="center"/>
              <w:ind w:left="572"/>
              <w:spacing w:after="0"/>
              <w:rPr>
                <w:sz w:val="20"/>
                <w:szCs w:val="20"/>
                <w:color w:val="auto"/>
              </w:rPr>
            </w:pPr>
            <w:r>
              <w:rPr>
                <w:rFonts w:ascii="Arial" w:cs="Arial" w:eastAsia="Arial" w:hAnsi="Arial"/>
                <w:sz w:val="10"/>
                <w:szCs w:val="10"/>
                <w:color w:val="auto"/>
                <w:w w:val="89"/>
              </w:rPr>
              <w:t>--</w:t>
            </w: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jc w:val="center"/>
              <w:ind w:right="192"/>
              <w:spacing w:after="0"/>
              <w:rPr>
                <w:sz w:val="20"/>
                <w:szCs w:val="20"/>
                <w:color w:val="auto"/>
              </w:rPr>
            </w:pPr>
            <w:r>
              <w:rPr>
                <w:rFonts w:ascii="Arial" w:cs="Arial" w:eastAsia="Arial" w:hAnsi="Arial"/>
                <w:sz w:val="10"/>
                <w:szCs w:val="10"/>
                <w:color w:val="auto"/>
                <w:w w:val="83"/>
              </w:rPr>
              <w:t>248</w:t>
            </w:r>
          </w:p>
        </w:tc>
        <w:tc>
          <w:tcPr>
            <w:tcW w:w="60" w:type="dxa"/>
            <w:vAlign w:val="bottom"/>
            <w:shd w:val="clear" w:color="auto" w:fill="CCEEFF"/>
          </w:tcPr>
          <w:p>
            <w:pPr>
              <w:spacing w:after="0"/>
              <w:rPr>
                <w:sz w:val="14"/>
                <w:szCs w:val="14"/>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71"/>
              </w:rPr>
              <w:t>4</w:t>
            </w:r>
          </w:p>
        </w:tc>
        <w:tc>
          <w:tcPr>
            <w:tcW w:w="80" w:type="dxa"/>
            <w:vAlign w:val="bottom"/>
            <w:shd w:val="clear" w:color="auto" w:fill="CCEEFF"/>
          </w:tcPr>
          <w:p>
            <w:pPr>
              <w:spacing w:after="0"/>
              <w:rPr>
                <w:sz w:val="14"/>
                <w:szCs w:val="14"/>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3"/>
              </w:rPr>
              <w:t>252</w:t>
            </w:r>
          </w:p>
        </w:tc>
      </w:tr>
      <w:tr>
        <w:trPr>
          <w:trHeight w:val="171"/>
        </w:trPr>
        <w:tc>
          <w:tcPr>
            <w:tcW w:w="2660" w:type="dxa"/>
            <w:vAlign w:val="bottom"/>
          </w:tcPr>
          <w:p>
            <w:pPr>
              <w:spacing w:after="0"/>
              <w:rPr>
                <w:sz w:val="20"/>
                <w:szCs w:val="20"/>
                <w:color w:val="auto"/>
              </w:rPr>
            </w:pPr>
            <w:r>
              <w:rPr>
                <w:rFonts w:ascii="Arial" w:cs="Arial" w:eastAsia="Arial" w:hAnsi="Arial"/>
                <w:sz w:val="10"/>
                <w:szCs w:val="10"/>
                <w:b w:val="1"/>
                <w:bCs w:val="1"/>
                <w:color w:val="auto"/>
              </w:rPr>
              <w:t>Australia</w:t>
            </w:r>
          </w:p>
        </w:tc>
        <w:tc>
          <w:tcPr>
            <w:tcW w:w="1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51"/>
        </w:trPr>
        <w:tc>
          <w:tcPr>
            <w:tcW w:w="26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0"/>
                <w:szCs w:val="10"/>
                <w:color w:val="auto"/>
              </w:rPr>
              <w:t>Cinemas</w:t>
            </w:r>
          </w:p>
        </w:tc>
        <w:tc>
          <w:tcPr>
            <w:tcW w:w="1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0"/>
                <w:szCs w:val="10"/>
                <w:color w:val="auto"/>
                <w:w w:val="71"/>
              </w:rPr>
              <w:t>17</w:t>
            </w:r>
          </w:p>
        </w:tc>
        <w:tc>
          <w:tcPr>
            <w:tcW w:w="60" w:type="dxa"/>
            <w:vAlign w:val="bottom"/>
            <w:tcBorders>
              <w:bottom w:val="single" w:sz="8" w:color="CCEEFF"/>
            </w:tcBorders>
            <w:shd w:val="clear" w:color="auto" w:fill="CCEEFF"/>
          </w:tcPr>
          <w:p>
            <w:pPr>
              <w:spacing w:after="0"/>
              <w:rPr>
                <w:sz w:val="13"/>
                <w:szCs w:val="13"/>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0"/>
                <w:szCs w:val="10"/>
                <w:color w:val="auto"/>
                <w:w w:val="71"/>
              </w:rPr>
              <w:t>2</w:t>
            </w:r>
          </w:p>
        </w:tc>
        <w:tc>
          <w:tcPr>
            <w:tcW w:w="6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shd w:val="clear" w:color="auto" w:fill="CCEEFF"/>
          </w:tcPr>
          <w:p>
            <w:pPr>
              <w:jc w:val="center"/>
              <w:ind w:left="552"/>
              <w:spacing w:after="0"/>
              <w:rPr>
                <w:sz w:val="20"/>
                <w:szCs w:val="20"/>
                <w:color w:val="auto"/>
              </w:rPr>
            </w:pPr>
            <w:r>
              <w:rPr>
                <w:rFonts w:ascii="Arial" w:cs="Arial" w:eastAsia="Arial" w:hAnsi="Arial"/>
                <w:sz w:val="10"/>
                <w:szCs w:val="10"/>
                <w:color w:val="auto"/>
                <w:w w:val="71"/>
              </w:rPr>
              <w:t>1</w:t>
            </w:r>
          </w:p>
        </w:tc>
        <w:tc>
          <w:tcPr>
            <w:tcW w:w="640" w:type="dxa"/>
            <w:vAlign w:val="bottom"/>
            <w:tcBorders>
              <w:bottom w:val="single" w:sz="8" w:color="CCEEFF"/>
            </w:tcBorders>
            <w:shd w:val="clear" w:color="auto" w:fill="CCEEFF"/>
          </w:tcPr>
          <w:p>
            <w:pPr>
              <w:jc w:val="right"/>
              <w:ind w:right="508"/>
              <w:spacing w:after="0"/>
              <w:rPr>
                <w:sz w:val="20"/>
                <w:szCs w:val="20"/>
                <w:color w:val="auto"/>
              </w:rPr>
            </w:pPr>
            <w:r>
              <w:rPr>
                <w:rFonts w:ascii="Arial" w:cs="Arial" w:eastAsia="Arial" w:hAnsi="Arial"/>
                <w:sz w:val="5"/>
                <w:szCs w:val="5"/>
                <w:color w:val="auto"/>
              </w:rPr>
              <w:t>(4)</w:t>
            </w:r>
          </w:p>
        </w:tc>
        <w:tc>
          <w:tcPr>
            <w:tcW w:w="10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900" w:type="dxa"/>
            <w:vAlign w:val="bottom"/>
            <w:tcBorders>
              <w:bottom w:val="single" w:sz="8" w:color="CCEEFF"/>
            </w:tcBorders>
            <w:shd w:val="clear" w:color="auto" w:fill="CCEEFF"/>
          </w:tcPr>
          <w:p>
            <w:pPr>
              <w:jc w:val="center"/>
              <w:ind w:right="192"/>
              <w:spacing w:after="0"/>
              <w:rPr>
                <w:sz w:val="20"/>
                <w:szCs w:val="20"/>
                <w:color w:val="auto"/>
              </w:rPr>
            </w:pPr>
            <w:r>
              <w:rPr>
                <w:rFonts w:ascii="Arial" w:cs="Arial" w:eastAsia="Arial" w:hAnsi="Arial"/>
                <w:sz w:val="10"/>
                <w:szCs w:val="10"/>
                <w:color w:val="auto"/>
                <w:w w:val="89"/>
              </w:rPr>
              <w:t>20</w:t>
            </w:r>
          </w:p>
        </w:tc>
        <w:tc>
          <w:tcPr>
            <w:tcW w:w="60" w:type="dxa"/>
            <w:vAlign w:val="bottom"/>
            <w:tcBorders>
              <w:bottom w:val="single" w:sz="8" w:color="CCEEFF"/>
            </w:tcBorders>
            <w:shd w:val="clear" w:color="auto" w:fill="CCEEFF"/>
          </w:tcPr>
          <w:p>
            <w:pPr>
              <w:spacing w:after="0"/>
              <w:rPr>
                <w:sz w:val="13"/>
                <w:szCs w:val="13"/>
                <w:color w:val="auto"/>
              </w:rPr>
            </w:pPr>
          </w:p>
        </w:tc>
        <w:tc>
          <w:tcPr>
            <w:tcW w:w="1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0"/>
                <w:szCs w:val="10"/>
                <w:color w:val="auto"/>
                <w:w w:val="89"/>
              </w:rPr>
              <w:t>--</w:t>
            </w:r>
          </w:p>
        </w:tc>
        <w:tc>
          <w:tcPr>
            <w:tcW w:w="80" w:type="dxa"/>
            <w:vAlign w:val="bottom"/>
            <w:tcBorders>
              <w:bottom w:val="single" w:sz="8" w:color="CCEEFF"/>
            </w:tcBorders>
            <w:shd w:val="clear" w:color="auto" w:fill="CCEEFF"/>
          </w:tcPr>
          <w:p>
            <w:pPr>
              <w:spacing w:after="0"/>
              <w:rPr>
                <w:sz w:val="13"/>
                <w:szCs w:val="13"/>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0"/>
                <w:szCs w:val="10"/>
                <w:color w:val="auto"/>
                <w:w w:val="89"/>
              </w:rPr>
              <w:t>20</w:t>
            </w:r>
          </w:p>
        </w:tc>
      </w:tr>
      <w:tr>
        <w:trPr>
          <w:trHeight w:val="171"/>
        </w:trPr>
        <w:tc>
          <w:tcPr>
            <w:tcW w:w="2660" w:type="dxa"/>
            <w:vAlign w:val="bottom"/>
          </w:tcPr>
          <w:p>
            <w:pPr>
              <w:ind w:left="80"/>
              <w:spacing w:after="0"/>
              <w:rPr>
                <w:sz w:val="20"/>
                <w:szCs w:val="20"/>
                <w:color w:val="auto"/>
              </w:rPr>
            </w:pPr>
            <w:r>
              <w:rPr>
                <w:rFonts w:ascii="Arial" w:cs="Arial" w:eastAsia="Arial" w:hAnsi="Arial"/>
                <w:sz w:val="10"/>
                <w:szCs w:val="10"/>
                <w:color w:val="auto"/>
              </w:rPr>
              <w:t>Screens</w:t>
            </w:r>
          </w:p>
        </w:tc>
        <w:tc>
          <w:tcPr>
            <w:tcW w:w="1160" w:type="dxa"/>
            <w:vAlign w:val="bottom"/>
          </w:tcPr>
          <w:p>
            <w:pPr>
              <w:jc w:val="center"/>
              <w:spacing w:after="0"/>
              <w:rPr>
                <w:sz w:val="20"/>
                <w:szCs w:val="20"/>
                <w:color w:val="auto"/>
              </w:rPr>
            </w:pPr>
            <w:r>
              <w:rPr>
                <w:rFonts w:ascii="Arial" w:cs="Arial" w:eastAsia="Arial" w:hAnsi="Arial"/>
                <w:sz w:val="10"/>
                <w:szCs w:val="10"/>
                <w:color w:val="auto"/>
                <w:w w:val="83"/>
              </w:rPr>
              <w:t>130</w:t>
            </w:r>
          </w:p>
        </w:tc>
        <w:tc>
          <w:tcPr>
            <w:tcW w:w="6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0"/>
                <w:szCs w:val="10"/>
                <w:color w:val="auto"/>
                <w:w w:val="71"/>
              </w:rPr>
              <w:t>11</w:t>
            </w:r>
          </w:p>
        </w:tc>
        <w:tc>
          <w:tcPr>
            <w:tcW w:w="60" w:type="dxa"/>
            <w:vAlign w:val="bottom"/>
          </w:tcPr>
          <w:p>
            <w:pPr>
              <w:spacing w:after="0"/>
              <w:rPr>
                <w:sz w:val="14"/>
                <w:szCs w:val="14"/>
                <w:color w:val="auto"/>
              </w:rPr>
            </w:pPr>
          </w:p>
        </w:tc>
        <w:tc>
          <w:tcPr>
            <w:tcW w:w="840" w:type="dxa"/>
            <w:vAlign w:val="bottom"/>
          </w:tcPr>
          <w:p>
            <w:pPr>
              <w:jc w:val="center"/>
              <w:ind w:left="572"/>
              <w:spacing w:after="0"/>
              <w:rPr>
                <w:sz w:val="20"/>
                <w:szCs w:val="20"/>
                <w:color w:val="auto"/>
              </w:rPr>
            </w:pPr>
            <w:r>
              <w:rPr>
                <w:rFonts w:ascii="Arial" w:cs="Arial" w:eastAsia="Arial" w:hAnsi="Arial"/>
                <w:sz w:val="10"/>
                <w:szCs w:val="10"/>
                <w:color w:val="auto"/>
                <w:w w:val="89"/>
              </w:rPr>
              <w:t>16</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center"/>
              <w:ind w:right="192"/>
              <w:spacing w:after="0"/>
              <w:rPr>
                <w:sz w:val="20"/>
                <w:szCs w:val="20"/>
                <w:color w:val="auto"/>
              </w:rPr>
            </w:pPr>
            <w:r>
              <w:rPr>
                <w:rFonts w:ascii="Arial" w:cs="Arial" w:eastAsia="Arial" w:hAnsi="Arial"/>
                <w:sz w:val="10"/>
                <w:szCs w:val="10"/>
                <w:color w:val="auto"/>
                <w:w w:val="83"/>
              </w:rPr>
              <w:t>157</w:t>
            </w:r>
          </w:p>
        </w:tc>
        <w:tc>
          <w:tcPr>
            <w:tcW w:w="6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Arial" w:cs="Arial" w:eastAsia="Arial" w:hAnsi="Arial"/>
                <w:sz w:val="10"/>
                <w:szCs w:val="10"/>
                <w:color w:val="auto"/>
                <w:w w:val="89"/>
              </w:rPr>
              <w:t>--</w:t>
            </w:r>
          </w:p>
        </w:tc>
        <w:tc>
          <w:tcPr>
            <w:tcW w:w="8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0"/>
                <w:szCs w:val="10"/>
                <w:color w:val="auto"/>
                <w:w w:val="83"/>
              </w:rPr>
              <w:t>157</w:t>
            </w:r>
          </w:p>
        </w:tc>
      </w:tr>
      <w:tr>
        <w:trPr>
          <w:trHeight w:val="171"/>
        </w:trPr>
        <w:tc>
          <w:tcPr>
            <w:tcW w:w="2660" w:type="dxa"/>
            <w:vAlign w:val="bottom"/>
            <w:shd w:val="clear" w:color="auto" w:fill="CCEEFF"/>
          </w:tcPr>
          <w:p>
            <w:pPr>
              <w:spacing w:after="0"/>
              <w:rPr>
                <w:sz w:val="20"/>
                <w:szCs w:val="20"/>
                <w:color w:val="auto"/>
              </w:rPr>
            </w:pPr>
            <w:r>
              <w:rPr>
                <w:rFonts w:ascii="Arial" w:cs="Arial" w:eastAsia="Arial" w:hAnsi="Arial"/>
                <w:sz w:val="10"/>
                <w:szCs w:val="10"/>
                <w:b w:val="1"/>
                <w:bCs w:val="1"/>
                <w:color w:val="auto"/>
              </w:rPr>
              <w:t>New Zealand</w:t>
            </w:r>
          </w:p>
        </w:tc>
        <w:tc>
          <w:tcPr>
            <w:tcW w:w="1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r>
      <w:tr>
        <w:trPr>
          <w:trHeight w:val="140"/>
        </w:trPr>
        <w:tc>
          <w:tcPr>
            <w:tcW w:w="2660" w:type="dxa"/>
            <w:vAlign w:val="bottom"/>
          </w:tcPr>
          <w:p>
            <w:pPr>
              <w:ind w:left="80"/>
              <w:spacing w:after="0"/>
              <w:rPr>
                <w:sz w:val="20"/>
                <w:szCs w:val="20"/>
                <w:color w:val="auto"/>
              </w:rPr>
            </w:pPr>
            <w:r>
              <w:rPr>
                <w:rFonts w:ascii="Arial" w:cs="Arial" w:eastAsia="Arial" w:hAnsi="Arial"/>
                <w:sz w:val="10"/>
                <w:szCs w:val="10"/>
                <w:color w:val="auto"/>
              </w:rPr>
              <w:t>Cinemas</w:t>
            </w:r>
          </w:p>
        </w:tc>
        <w:tc>
          <w:tcPr>
            <w:tcW w:w="1160" w:type="dxa"/>
            <w:vAlign w:val="bottom"/>
          </w:tcPr>
          <w:p>
            <w:pPr>
              <w:jc w:val="center"/>
              <w:spacing w:after="0"/>
              <w:rPr>
                <w:sz w:val="20"/>
                <w:szCs w:val="20"/>
                <w:color w:val="auto"/>
              </w:rPr>
            </w:pPr>
            <w:r>
              <w:rPr>
                <w:rFonts w:ascii="Arial" w:cs="Arial" w:eastAsia="Arial" w:hAnsi="Arial"/>
                <w:sz w:val="10"/>
                <w:szCs w:val="10"/>
                <w:color w:val="auto"/>
                <w:w w:val="71"/>
              </w:rPr>
              <w:t>9</w:t>
            </w:r>
          </w:p>
        </w:tc>
        <w:tc>
          <w:tcPr>
            <w:tcW w:w="60" w:type="dxa"/>
            <w:vAlign w:val="bottom"/>
          </w:tcPr>
          <w:p>
            <w:pPr>
              <w:spacing w:after="0"/>
              <w:rPr>
                <w:sz w:val="12"/>
                <w:szCs w:val="12"/>
                <w:color w:val="auto"/>
              </w:rPr>
            </w:pPr>
          </w:p>
        </w:tc>
        <w:tc>
          <w:tcPr>
            <w:tcW w:w="1360" w:type="dxa"/>
            <w:vAlign w:val="bottom"/>
          </w:tcPr>
          <w:p>
            <w:pPr>
              <w:jc w:val="center"/>
              <w:spacing w:after="0"/>
              <w:rPr>
                <w:sz w:val="20"/>
                <w:szCs w:val="20"/>
                <w:color w:val="auto"/>
              </w:rPr>
            </w:pPr>
            <w:r>
              <w:rPr>
                <w:rFonts w:ascii="Arial" w:cs="Arial" w:eastAsia="Arial" w:hAnsi="Arial"/>
                <w:sz w:val="10"/>
                <w:szCs w:val="10"/>
                <w:color w:val="auto"/>
                <w:w w:val="89"/>
              </w:rPr>
              <w:t>--</w:t>
            </w:r>
          </w:p>
        </w:tc>
        <w:tc>
          <w:tcPr>
            <w:tcW w:w="60" w:type="dxa"/>
            <w:vAlign w:val="bottom"/>
          </w:tcPr>
          <w:p>
            <w:pPr>
              <w:spacing w:after="0"/>
              <w:rPr>
                <w:sz w:val="12"/>
                <w:szCs w:val="12"/>
                <w:color w:val="auto"/>
              </w:rPr>
            </w:pPr>
          </w:p>
        </w:tc>
        <w:tc>
          <w:tcPr>
            <w:tcW w:w="840" w:type="dxa"/>
            <w:vAlign w:val="bottom"/>
          </w:tcPr>
          <w:p>
            <w:pPr>
              <w:jc w:val="center"/>
              <w:ind w:left="552"/>
              <w:spacing w:after="0"/>
              <w:rPr>
                <w:sz w:val="20"/>
                <w:szCs w:val="20"/>
                <w:color w:val="auto"/>
              </w:rPr>
            </w:pPr>
            <w:r>
              <w:rPr>
                <w:rFonts w:ascii="Arial" w:cs="Arial" w:eastAsia="Arial" w:hAnsi="Arial"/>
                <w:sz w:val="10"/>
                <w:szCs w:val="10"/>
                <w:color w:val="auto"/>
                <w:w w:val="71"/>
              </w:rPr>
              <w:t>2</w:t>
            </w:r>
          </w:p>
        </w:tc>
        <w:tc>
          <w:tcPr>
            <w:tcW w:w="640" w:type="dxa"/>
            <w:vAlign w:val="bottom"/>
          </w:tcPr>
          <w:p>
            <w:pPr>
              <w:jc w:val="right"/>
              <w:ind w:right="508"/>
              <w:spacing w:after="0"/>
              <w:rPr>
                <w:sz w:val="20"/>
                <w:szCs w:val="20"/>
                <w:color w:val="auto"/>
              </w:rPr>
            </w:pPr>
            <w:r>
              <w:rPr>
                <w:rFonts w:ascii="Arial" w:cs="Arial" w:eastAsia="Arial" w:hAnsi="Arial"/>
                <w:sz w:val="5"/>
                <w:szCs w:val="5"/>
                <w:color w:val="auto"/>
              </w:rPr>
              <w:t>(5)</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jc w:val="center"/>
              <w:ind w:right="192"/>
              <w:spacing w:after="0"/>
              <w:rPr>
                <w:sz w:val="20"/>
                <w:szCs w:val="20"/>
                <w:color w:val="auto"/>
              </w:rPr>
            </w:pPr>
            <w:r>
              <w:rPr>
                <w:rFonts w:ascii="Arial" w:cs="Arial" w:eastAsia="Arial" w:hAnsi="Arial"/>
                <w:sz w:val="10"/>
                <w:szCs w:val="10"/>
                <w:color w:val="auto"/>
                <w:w w:val="89"/>
              </w:rPr>
              <w:t>11</w:t>
            </w:r>
          </w:p>
        </w:tc>
        <w:tc>
          <w:tcPr>
            <w:tcW w:w="60" w:type="dxa"/>
            <w:vAlign w:val="bottom"/>
          </w:tcPr>
          <w:p>
            <w:pPr>
              <w:spacing w:after="0"/>
              <w:rPr>
                <w:sz w:val="12"/>
                <w:szCs w:val="12"/>
                <w:color w:val="auto"/>
              </w:rPr>
            </w:pPr>
          </w:p>
        </w:tc>
        <w:tc>
          <w:tcPr>
            <w:tcW w:w="1220" w:type="dxa"/>
            <w:vAlign w:val="bottom"/>
          </w:tcPr>
          <w:p>
            <w:pPr>
              <w:jc w:val="center"/>
              <w:spacing w:after="0"/>
              <w:rPr>
                <w:sz w:val="20"/>
                <w:szCs w:val="20"/>
                <w:color w:val="auto"/>
              </w:rPr>
            </w:pPr>
            <w:r>
              <w:rPr>
                <w:rFonts w:ascii="Arial" w:cs="Arial" w:eastAsia="Arial" w:hAnsi="Arial"/>
                <w:sz w:val="10"/>
                <w:szCs w:val="10"/>
                <w:color w:val="auto"/>
                <w:w w:val="89"/>
              </w:rPr>
              <w:t>--</w:t>
            </w:r>
          </w:p>
        </w:tc>
        <w:tc>
          <w:tcPr>
            <w:tcW w:w="80" w:type="dxa"/>
            <w:vAlign w:val="bottom"/>
          </w:tcPr>
          <w:p>
            <w:pPr>
              <w:spacing w:after="0"/>
              <w:rPr>
                <w:sz w:val="12"/>
                <w:szCs w:val="12"/>
                <w:color w:val="auto"/>
              </w:rPr>
            </w:pPr>
          </w:p>
        </w:tc>
        <w:tc>
          <w:tcPr>
            <w:tcW w:w="1240" w:type="dxa"/>
            <w:vAlign w:val="bottom"/>
          </w:tcPr>
          <w:p>
            <w:pPr>
              <w:jc w:val="center"/>
              <w:spacing w:after="0"/>
              <w:rPr>
                <w:sz w:val="20"/>
                <w:szCs w:val="20"/>
                <w:color w:val="auto"/>
              </w:rPr>
            </w:pPr>
            <w:r>
              <w:rPr>
                <w:rFonts w:ascii="Arial" w:cs="Arial" w:eastAsia="Arial" w:hAnsi="Arial"/>
                <w:sz w:val="10"/>
                <w:szCs w:val="10"/>
                <w:color w:val="auto"/>
                <w:w w:val="71"/>
              </w:rPr>
              <w:t>11</w:t>
            </w:r>
          </w:p>
        </w:tc>
      </w:tr>
      <w:tr>
        <w:trPr>
          <w:trHeight w:val="31"/>
        </w:trPr>
        <w:tc>
          <w:tcPr>
            <w:tcW w:w="26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171"/>
        </w:trPr>
        <w:tc>
          <w:tcPr>
            <w:tcW w:w="2660" w:type="dxa"/>
            <w:vAlign w:val="bottom"/>
            <w:shd w:val="clear" w:color="auto" w:fill="CCEEFF"/>
          </w:tcPr>
          <w:p>
            <w:pPr>
              <w:ind w:left="80"/>
              <w:spacing w:after="0"/>
              <w:rPr>
                <w:sz w:val="20"/>
                <w:szCs w:val="20"/>
                <w:color w:val="auto"/>
              </w:rPr>
            </w:pPr>
            <w:r>
              <w:rPr>
                <w:rFonts w:ascii="Arial" w:cs="Arial" w:eastAsia="Arial" w:hAnsi="Arial"/>
                <w:sz w:val="10"/>
                <w:szCs w:val="10"/>
                <w:color w:val="auto"/>
              </w:rPr>
              <w:t>Screens</w:t>
            </w:r>
          </w:p>
        </w:tc>
        <w:tc>
          <w:tcPr>
            <w:tcW w:w="116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71"/>
              </w:rPr>
              <w:t>54</w:t>
            </w:r>
          </w:p>
        </w:tc>
        <w:tc>
          <w:tcPr>
            <w:tcW w:w="60" w:type="dxa"/>
            <w:vAlign w:val="bottom"/>
            <w:shd w:val="clear" w:color="auto" w:fill="CCEEFF"/>
          </w:tcPr>
          <w:p>
            <w:pPr>
              <w:spacing w:after="0"/>
              <w:rPr>
                <w:sz w:val="14"/>
                <w:szCs w:val="14"/>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9"/>
              </w:rPr>
              <w:t>--</w:t>
            </w:r>
          </w:p>
        </w:tc>
        <w:tc>
          <w:tcPr>
            <w:tcW w:w="60" w:type="dxa"/>
            <w:vAlign w:val="bottom"/>
            <w:shd w:val="clear" w:color="auto" w:fill="CCEEFF"/>
          </w:tcPr>
          <w:p>
            <w:pPr>
              <w:spacing w:after="0"/>
              <w:rPr>
                <w:sz w:val="14"/>
                <w:szCs w:val="14"/>
                <w:color w:val="auto"/>
              </w:rPr>
            </w:pPr>
          </w:p>
        </w:tc>
        <w:tc>
          <w:tcPr>
            <w:tcW w:w="840" w:type="dxa"/>
            <w:vAlign w:val="bottom"/>
            <w:shd w:val="clear" w:color="auto" w:fill="CCEEFF"/>
          </w:tcPr>
          <w:p>
            <w:pPr>
              <w:jc w:val="center"/>
              <w:ind w:left="572"/>
              <w:spacing w:after="0"/>
              <w:rPr>
                <w:sz w:val="20"/>
                <w:szCs w:val="20"/>
                <w:color w:val="auto"/>
              </w:rPr>
            </w:pPr>
            <w:r>
              <w:rPr>
                <w:rFonts w:ascii="Arial" w:cs="Arial" w:eastAsia="Arial" w:hAnsi="Arial"/>
                <w:sz w:val="10"/>
                <w:szCs w:val="10"/>
                <w:color w:val="auto"/>
                <w:w w:val="89"/>
              </w:rPr>
              <w:t>13</w:t>
            </w: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jc w:val="center"/>
              <w:ind w:right="192"/>
              <w:spacing w:after="0"/>
              <w:rPr>
                <w:sz w:val="20"/>
                <w:szCs w:val="20"/>
                <w:color w:val="auto"/>
              </w:rPr>
            </w:pPr>
            <w:r>
              <w:rPr>
                <w:rFonts w:ascii="Arial" w:cs="Arial" w:eastAsia="Arial" w:hAnsi="Arial"/>
                <w:sz w:val="10"/>
                <w:szCs w:val="10"/>
                <w:color w:val="auto"/>
                <w:w w:val="89"/>
              </w:rPr>
              <w:t>67</w:t>
            </w:r>
          </w:p>
        </w:tc>
        <w:tc>
          <w:tcPr>
            <w:tcW w:w="60" w:type="dxa"/>
            <w:vAlign w:val="bottom"/>
            <w:shd w:val="clear" w:color="auto" w:fill="CCEEFF"/>
          </w:tcPr>
          <w:p>
            <w:pPr>
              <w:spacing w:after="0"/>
              <w:rPr>
                <w:sz w:val="14"/>
                <w:szCs w:val="14"/>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9"/>
              </w:rPr>
              <w:t>--</w:t>
            </w:r>
          </w:p>
        </w:tc>
        <w:tc>
          <w:tcPr>
            <w:tcW w:w="80" w:type="dxa"/>
            <w:vAlign w:val="bottom"/>
            <w:shd w:val="clear" w:color="auto" w:fill="CCEEFF"/>
          </w:tcPr>
          <w:p>
            <w:pPr>
              <w:spacing w:after="0"/>
              <w:rPr>
                <w:sz w:val="14"/>
                <w:szCs w:val="14"/>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9"/>
              </w:rPr>
              <w:t>67</w:t>
            </w:r>
          </w:p>
        </w:tc>
      </w:tr>
      <w:tr>
        <w:trPr>
          <w:trHeight w:val="171"/>
        </w:trPr>
        <w:tc>
          <w:tcPr>
            <w:tcW w:w="2660" w:type="dxa"/>
            <w:vAlign w:val="bottom"/>
            <w:tcBorders>
              <w:bottom w:val="single" w:sz="8" w:color="CCEEFF"/>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r>
      <w:tr>
        <w:trPr>
          <w:trHeight w:val="151"/>
        </w:trPr>
        <w:tc>
          <w:tcPr>
            <w:tcW w:w="2660" w:type="dxa"/>
            <w:vAlign w:val="bottom"/>
            <w:shd w:val="clear" w:color="auto" w:fill="CCEEFF"/>
          </w:tcPr>
          <w:p>
            <w:pPr>
              <w:spacing w:after="0"/>
              <w:rPr>
                <w:sz w:val="20"/>
                <w:szCs w:val="20"/>
                <w:color w:val="auto"/>
              </w:rPr>
            </w:pPr>
            <w:r>
              <w:rPr>
                <w:rFonts w:ascii="Arial" w:cs="Arial" w:eastAsia="Arial" w:hAnsi="Arial"/>
                <w:sz w:val="10"/>
                <w:szCs w:val="10"/>
                <w:color w:val="auto"/>
              </w:rPr>
              <w:t>Total Cinemas</w:t>
            </w:r>
          </w:p>
        </w:tc>
        <w:tc>
          <w:tcPr>
            <w:tcW w:w="11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0"/>
                <w:szCs w:val="10"/>
                <w:color w:val="auto"/>
                <w:w w:val="71"/>
              </w:rPr>
              <w:t>51</w:t>
            </w:r>
          </w:p>
        </w:tc>
        <w:tc>
          <w:tcPr>
            <w:tcW w:w="60" w:type="dxa"/>
            <w:vAlign w:val="bottom"/>
            <w:tcBorders>
              <w:bottom w:val="single" w:sz="8" w:color="auto"/>
            </w:tcBorders>
            <w:shd w:val="clear" w:color="auto" w:fill="CCEEFF"/>
          </w:tcPr>
          <w:p>
            <w:pPr>
              <w:spacing w:after="0"/>
              <w:rPr>
                <w:sz w:val="13"/>
                <w:szCs w:val="13"/>
                <w:color w:val="auto"/>
              </w:rPr>
            </w:pPr>
          </w:p>
        </w:tc>
        <w:tc>
          <w:tcPr>
            <w:tcW w:w="13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0"/>
                <w:szCs w:val="10"/>
                <w:color w:val="auto"/>
                <w:w w:val="71"/>
              </w:rPr>
              <w:t>3</w:t>
            </w:r>
          </w:p>
        </w:tc>
        <w:tc>
          <w:tcPr>
            <w:tcW w:w="6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center"/>
              <w:ind w:left="552"/>
              <w:spacing w:after="0"/>
              <w:rPr>
                <w:sz w:val="20"/>
                <w:szCs w:val="20"/>
                <w:color w:val="auto"/>
              </w:rPr>
            </w:pPr>
            <w:r>
              <w:rPr>
                <w:rFonts w:ascii="Arial" w:cs="Arial" w:eastAsia="Arial" w:hAnsi="Arial"/>
                <w:sz w:val="10"/>
                <w:szCs w:val="10"/>
                <w:color w:val="auto"/>
                <w:w w:val="71"/>
              </w:rPr>
              <w:t>3</w:t>
            </w:r>
          </w:p>
        </w:tc>
        <w:tc>
          <w:tcPr>
            <w:tcW w:w="64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center"/>
              <w:ind w:right="192"/>
              <w:spacing w:after="0"/>
              <w:rPr>
                <w:sz w:val="20"/>
                <w:szCs w:val="20"/>
                <w:color w:val="auto"/>
              </w:rPr>
            </w:pPr>
            <w:r>
              <w:rPr>
                <w:rFonts w:ascii="Arial" w:cs="Arial" w:eastAsia="Arial" w:hAnsi="Arial"/>
                <w:sz w:val="10"/>
                <w:szCs w:val="10"/>
                <w:color w:val="auto"/>
                <w:w w:val="89"/>
              </w:rPr>
              <w:t>57</w:t>
            </w:r>
          </w:p>
        </w:tc>
        <w:tc>
          <w:tcPr>
            <w:tcW w:w="60" w:type="dxa"/>
            <w:vAlign w:val="bottom"/>
            <w:tcBorders>
              <w:bottom w:val="single" w:sz="8" w:color="auto"/>
            </w:tcBorders>
            <w:shd w:val="clear" w:color="auto" w:fill="CCEEFF"/>
          </w:tcPr>
          <w:p>
            <w:pPr>
              <w:spacing w:after="0"/>
              <w:rPr>
                <w:sz w:val="13"/>
                <w:szCs w:val="13"/>
                <w:color w:val="auto"/>
              </w:rPr>
            </w:pPr>
          </w:p>
        </w:tc>
        <w:tc>
          <w:tcPr>
            <w:tcW w:w="12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0"/>
                <w:szCs w:val="10"/>
                <w:color w:val="auto"/>
                <w:w w:val="71"/>
              </w:rPr>
              <w:t>1</w:t>
            </w:r>
          </w:p>
        </w:tc>
        <w:tc>
          <w:tcPr>
            <w:tcW w:w="80" w:type="dxa"/>
            <w:vAlign w:val="bottom"/>
            <w:tcBorders>
              <w:bottom w:val="single" w:sz="8" w:color="auto"/>
            </w:tcBorders>
            <w:shd w:val="clear" w:color="auto" w:fill="CCEEFF"/>
          </w:tcPr>
          <w:p>
            <w:pPr>
              <w:spacing w:after="0"/>
              <w:rPr>
                <w:sz w:val="13"/>
                <w:szCs w:val="13"/>
                <w:color w:val="auto"/>
              </w:rPr>
            </w:pPr>
          </w:p>
        </w:tc>
        <w:tc>
          <w:tcPr>
            <w:tcW w:w="12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0"/>
                <w:szCs w:val="10"/>
                <w:color w:val="auto"/>
                <w:w w:val="89"/>
              </w:rPr>
              <w:t>58</w:t>
            </w:r>
          </w:p>
        </w:tc>
      </w:tr>
      <w:tr>
        <w:trPr>
          <w:trHeight w:val="151"/>
        </w:trPr>
        <w:tc>
          <w:tcPr>
            <w:tcW w:w="2660" w:type="dxa"/>
            <w:vAlign w:val="bottom"/>
          </w:tcPr>
          <w:p>
            <w:pPr>
              <w:spacing w:after="0"/>
              <w:rPr>
                <w:sz w:val="20"/>
                <w:szCs w:val="20"/>
                <w:color w:val="auto"/>
              </w:rPr>
            </w:pPr>
            <w:r>
              <w:rPr>
                <w:rFonts w:ascii="Arial" w:cs="Arial" w:eastAsia="Arial" w:hAnsi="Arial"/>
                <w:sz w:val="10"/>
                <w:szCs w:val="10"/>
                <w:color w:val="auto"/>
              </w:rPr>
              <w:t>Total Screens</w:t>
            </w: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0"/>
                <w:szCs w:val="10"/>
                <w:color w:val="auto"/>
                <w:w w:val="83"/>
              </w:rPr>
              <w:t>429</w:t>
            </w:r>
          </w:p>
        </w:tc>
        <w:tc>
          <w:tcPr>
            <w:tcW w:w="6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0"/>
                <w:szCs w:val="10"/>
                <w:color w:val="auto"/>
                <w:w w:val="89"/>
              </w:rPr>
              <w:t>14</w:t>
            </w:r>
          </w:p>
        </w:tc>
        <w:tc>
          <w:tcPr>
            <w:tcW w:w="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center"/>
              <w:ind w:left="572"/>
              <w:spacing w:after="0"/>
              <w:rPr>
                <w:sz w:val="20"/>
                <w:szCs w:val="20"/>
                <w:color w:val="auto"/>
              </w:rPr>
            </w:pPr>
            <w:r>
              <w:rPr>
                <w:rFonts w:ascii="Arial" w:cs="Arial" w:eastAsia="Arial" w:hAnsi="Arial"/>
                <w:sz w:val="10"/>
                <w:szCs w:val="10"/>
                <w:color w:val="auto"/>
                <w:w w:val="89"/>
              </w:rPr>
              <w:t>29</w:t>
            </w:r>
          </w:p>
        </w:tc>
        <w:tc>
          <w:tcPr>
            <w:tcW w:w="6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center"/>
              <w:ind w:right="192"/>
              <w:spacing w:after="0"/>
              <w:rPr>
                <w:sz w:val="20"/>
                <w:szCs w:val="20"/>
                <w:color w:val="auto"/>
              </w:rPr>
            </w:pPr>
            <w:r>
              <w:rPr>
                <w:rFonts w:ascii="Arial" w:cs="Arial" w:eastAsia="Arial" w:hAnsi="Arial"/>
                <w:sz w:val="10"/>
                <w:szCs w:val="10"/>
                <w:color w:val="auto"/>
                <w:w w:val="83"/>
              </w:rPr>
              <w:t>472</w:t>
            </w:r>
          </w:p>
        </w:tc>
        <w:tc>
          <w:tcPr>
            <w:tcW w:w="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0"/>
                <w:szCs w:val="10"/>
                <w:color w:val="auto"/>
                <w:w w:val="71"/>
              </w:rPr>
              <w:t>4</w:t>
            </w:r>
          </w:p>
        </w:tc>
        <w:tc>
          <w:tcPr>
            <w:tcW w:w="8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0"/>
                <w:szCs w:val="10"/>
                <w:color w:val="auto"/>
                <w:w w:val="83"/>
              </w:rPr>
              <w:t>476</w:t>
            </w:r>
          </w:p>
        </w:tc>
      </w:tr>
    </w:tbl>
    <w:p>
      <w:pPr>
        <w:spacing w:after="0" w:line="69" w:lineRule="exact"/>
        <w:rPr>
          <w:sz w:val="20"/>
          <w:szCs w:val="20"/>
          <w:color w:val="auto"/>
        </w:rPr>
      </w:pPr>
    </w:p>
    <w:p>
      <w:pPr>
        <w:ind w:left="80" w:hanging="76"/>
        <w:spacing w:after="0"/>
        <w:tabs>
          <w:tab w:leader="none" w:pos="80" w:val="left"/>
        </w:tabs>
        <w:numPr>
          <w:ilvl w:val="0"/>
          <w:numId w:val="8"/>
        </w:numPr>
        <w:rPr>
          <w:rFonts w:ascii="Arial" w:cs="Arial" w:eastAsia="Arial" w:hAnsi="Arial"/>
          <w:sz w:val="8"/>
          <w:szCs w:val="8"/>
          <w:color w:val="auto"/>
          <w:vertAlign w:val="superscript"/>
        </w:rPr>
      </w:pPr>
      <w:r>
        <w:rPr>
          <w:rFonts w:ascii="Arial" w:cs="Arial" w:eastAsia="Arial" w:hAnsi="Arial"/>
          <w:sz w:val="8"/>
          <w:szCs w:val="8"/>
          <w:color w:val="auto"/>
        </w:rPr>
        <w:t>Cinemas owned and operated through consolidated, but not wholly owned, subsidiaries.</w:t>
      </w:r>
    </w:p>
    <w:p>
      <w:pPr>
        <w:spacing w:after="0" w:line="15" w:lineRule="exact"/>
        <w:rPr>
          <w:rFonts w:ascii="Arial" w:cs="Arial" w:eastAsia="Arial" w:hAnsi="Arial"/>
          <w:sz w:val="8"/>
          <w:szCs w:val="8"/>
          <w:color w:val="auto"/>
          <w:vertAlign w:val="superscript"/>
        </w:rPr>
      </w:pPr>
    </w:p>
    <w:p>
      <w:pPr>
        <w:ind w:left="80" w:hanging="76"/>
        <w:spacing w:after="0"/>
        <w:tabs>
          <w:tab w:leader="none" w:pos="80" w:val="left"/>
        </w:tabs>
        <w:numPr>
          <w:ilvl w:val="0"/>
          <w:numId w:val="8"/>
        </w:numPr>
        <w:rPr>
          <w:rFonts w:ascii="Arial" w:cs="Arial" w:eastAsia="Arial" w:hAnsi="Arial"/>
          <w:sz w:val="8"/>
          <w:szCs w:val="8"/>
          <w:color w:val="auto"/>
          <w:vertAlign w:val="superscript"/>
        </w:rPr>
      </w:pPr>
      <w:r>
        <w:rPr>
          <w:rFonts w:ascii="Arial" w:cs="Arial" w:eastAsia="Arial" w:hAnsi="Arial"/>
          <w:sz w:val="8"/>
          <w:szCs w:val="8"/>
          <w:color w:val="auto"/>
        </w:rPr>
        <w:t>Cinemas owned and operated through interests in unconsolidated joint venture associates.</w:t>
      </w:r>
    </w:p>
    <w:p>
      <w:pPr>
        <w:spacing w:after="0" w:line="7" w:lineRule="exact"/>
        <w:rPr>
          <w:rFonts w:ascii="Arial" w:cs="Arial" w:eastAsia="Arial" w:hAnsi="Arial"/>
          <w:sz w:val="8"/>
          <w:szCs w:val="8"/>
          <w:color w:val="auto"/>
          <w:vertAlign w:val="superscript"/>
        </w:rPr>
      </w:pPr>
    </w:p>
    <w:p>
      <w:pPr>
        <w:ind w:left="80" w:hanging="76"/>
        <w:spacing w:after="0"/>
        <w:tabs>
          <w:tab w:leader="none" w:pos="80" w:val="left"/>
        </w:tabs>
        <w:numPr>
          <w:ilvl w:val="0"/>
          <w:numId w:val="8"/>
        </w:numPr>
        <w:rPr>
          <w:rFonts w:ascii="Arial" w:cs="Arial" w:eastAsia="Arial" w:hAnsi="Arial"/>
          <w:sz w:val="8"/>
          <w:szCs w:val="8"/>
          <w:color w:val="auto"/>
          <w:vertAlign w:val="superscript"/>
        </w:rPr>
      </w:pPr>
      <w:r>
        <w:rPr>
          <w:rFonts w:ascii="Arial" w:cs="Arial" w:eastAsia="Arial" w:hAnsi="Arial"/>
          <w:sz w:val="8"/>
          <w:szCs w:val="8"/>
          <w:color w:val="auto"/>
        </w:rPr>
        <w:t>Cinemas in which we have no ownership interest, but which are operated by us under management agreements.</w:t>
      </w:r>
    </w:p>
    <w:p>
      <w:pPr>
        <w:spacing w:after="0" w:line="7" w:lineRule="exact"/>
        <w:rPr>
          <w:rFonts w:ascii="Arial" w:cs="Arial" w:eastAsia="Arial" w:hAnsi="Arial"/>
          <w:sz w:val="8"/>
          <w:szCs w:val="8"/>
          <w:color w:val="auto"/>
          <w:vertAlign w:val="superscript"/>
        </w:rPr>
      </w:pPr>
    </w:p>
    <w:p>
      <w:pPr>
        <w:ind w:left="80" w:hanging="76"/>
        <w:spacing w:after="0"/>
        <w:tabs>
          <w:tab w:leader="none" w:pos="80" w:val="left"/>
        </w:tabs>
        <w:numPr>
          <w:ilvl w:val="0"/>
          <w:numId w:val="8"/>
        </w:numPr>
        <w:rPr>
          <w:rFonts w:ascii="Arial" w:cs="Arial" w:eastAsia="Arial" w:hAnsi="Arial"/>
          <w:sz w:val="8"/>
          <w:szCs w:val="8"/>
          <w:color w:val="auto"/>
          <w:vertAlign w:val="superscript"/>
        </w:rPr>
      </w:pPr>
      <w:r>
        <w:rPr>
          <w:rFonts w:ascii="Arial" w:cs="Arial" w:eastAsia="Arial" w:hAnsi="Arial"/>
          <w:sz w:val="8"/>
          <w:szCs w:val="8"/>
          <w:color w:val="auto"/>
        </w:rPr>
        <w:t>33.3% unincorporated joint venture interest.</w:t>
      </w:r>
    </w:p>
    <w:p>
      <w:pPr>
        <w:spacing w:after="0" w:line="7" w:lineRule="exact"/>
        <w:rPr>
          <w:rFonts w:ascii="Arial" w:cs="Arial" w:eastAsia="Arial" w:hAnsi="Arial"/>
          <w:sz w:val="8"/>
          <w:szCs w:val="8"/>
          <w:color w:val="auto"/>
          <w:vertAlign w:val="superscript"/>
        </w:rPr>
      </w:pPr>
    </w:p>
    <w:p>
      <w:pPr>
        <w:ind w:left="80" w:hanging="76"/>
        <w:spacing w:after="0"/>
        <w:tabs>
          <w:tab w:leader="none" w:pos="80" w:val="left"/>
        </w:tabs>
        <w:numPr>
          <w:ilvl w:val="0"/>
          <w:numId w:val="8"/>
        </w:numPr>
        <w:rPr>
          <w:rFonts w:ascii="Arial" w:cs="Arial" w:eastAsia="Arial" w:hAnsi="Arial"/>
          <w:sz w:val="8"/>
          <w:szCs w:val="8"/>
          <w:color w:val="auto"/>
          <w:vertAlign w:val="superscript"/>
        </w:rPr>
      </w:pPr>
      <w:r>
        <w:rPr>
          <w:rFonts w:ascii="Arial" w:cs="Arial" w:eastAsia="Arial" w:hAnsi="Arial"/>
          <w:sz w:val="8"/>
          <w:szCs w:val="8"/>
          <w:color w:val="auto"/>
        </w:rPr>
        <w:t>50% unincorporated joint venture interest.</w:t>
      </w:r>
    </w:p>
    <w:p>
      <w:pPr>
        <w:spacing w:after="0" w:line="156" w:lineRule="exact"/>
        <w:rPr>
          <w:sz w:val="20"/>
          <w:szCs w:val="20"/>
          <w:color w:val="auto"/>
        </w:rPr>
      </w:pPr>
    </w:p>
    <w:p>
      <w:pPr>
        <w:ind w:right="200"/>
        <w:spacing w:after="0" w:line="263" w:lineRule="auto"/>
        <w:rPr>
          <w:sz w:val="20"/>
          <w:szCs w:val="20"/>
          <w:color w:val="auto"/>
        </w:rPr>
      </w:pPr>
      <w:r>
        <w:rPr>
          <w:rFonts w:ascii="Arial" w:cs="Arial" w:eastAsia="Arial" w:hAnsi="Arial"/>
          <w:sz w:val="12"/>
          <w:szCs w:val="12"/>
          <w:color w:val="auto"/>
        </w:rPr>
        <w:t>Although we operate cinemas in three jurisdictions, the general nature of our operations and operating strategies does not vary materially from jurisdiction-to-jurisdiction. In each jurisdiction, our gross receipts are primarily from box office receipts, food and beverage sales, concession sales, and screen advertising. Our ancillary revenue is created principally from theater rentals (for example, for film festivals and special events), and ancillary programming (such as concerts and sporting events).</w:t>
      </w:r>
    </w:p>
    <w:p>
      <w:pPr>
        <w:spacing w:after="0" w:line="105" w:lineRule="exact"/>
        <w:rPr>
          <w:sz w:val="20"/>
          <w:szCs w:val="20"/>
          <w:color w:val="auto"/>
        </w:rPr>
      </w:pPr>
    </w:p>
    <w:p>
      <w:pPr>
        <w:ind w:right="340"/>
        <w:spacing w:after="0" w:line="276" w:lineRule="auto"/>
        <w:rPr>
          <w:sz w:val="20"/>
          <w:szCs w:val="20"/>
          <w:color w:val="auto"/>
        </w:rPr>
      </w:pPr>
      <w:r>
        <w:rPr>
          <w:rFonts w:ascii="Arial" w:cs="Arial" w:eastAsia="Arial" w:hAnsi="Arial"/>
          <w:sz w:val="12"/>
          <w:szCs w:val="12"/>
          <w:color w:val="auto"/>
        </w:rPr>
        <w:t>Our cinemas generated approximately 65% of their 2015 revenue from box office receipts. Ticket prices vary by location, and we offer reduced rates for senior citizens, children and, in certain markets, military and students.</w:t>
      </w:r>
    </w:p>
    <w:p>
      <w:pPr>
        <w:spacing w:after="0" w:line="88" w:lineRule="exact"/>
        <w:rPr>
          <w:sz w:val="20"/>
          <w:szCs w:val="20"/>
          <w:color w:val="auto"/>
        </w:rPr>
      </w:pPr>
    </w:p>
    <w:p>
      <w:pPr>
        <w:ind w:right="140"/>
        <w:spacing w:after="0" w:line="323" w:lineRule="auto"/>
        <w:rPr>
          <w:sz w:val="20"/>
          <w:szCs w:val="20"/>
          <w:color w:val="auto"/>
        </w:rPr>
      </w:pPr>
      <w:r>
        <w:rPr>
          <w:rFonts w:ascii="Arial" w:cs="Arial" w:eastAsia="Arial" w:hAnsi="Arial"/>
          <w:sz w:val="11"/>
          <w:szCs w:val="11"/>
          <w:color w:val="auto"/>
        </w:rPr>
        <w:t>Show times and features are placed in advertisements on our various websites, on internet sites and, in some markets, in local newspapers. Film distributors may also advertise certain feature films in various print, radio and television media, as well as on the internet, and those costs are generally paid by distributors. We are increasing our presence in social media, thereby reducing our dependency on print advertising.</w:t>
      </w:r>
    </w:p>
    <w:p>
      <w:pPr>
        <w:spacing w:after="0" w:line="65" w:lineRule="exact"/>
        <w:rPr>
          <w:sz w:val="20"/>
          <w:szCs w:val="20"/>
          <w:color w:val="auto"/>
        </w:rPr>
      </w:pPr>
    </w:p>
    <w:p>
      <w:pPr>
        <w:ind w:right="180"/>
        <w:spacing w:after="0" w:line="263" w:lineRule="auto"/>
        <w:rPr>
          <w:sz w:val="20"/>
          <w:szCs w:val="20"/>
          <w:color w:val="auto"/>
        </w:rPr>
      </w:pPr>
      <w:r>
        <w:rPr>
          <w:rFonts w:ascii="Arial" w:cs="Arial" w:eastAsia="Arial" w:hAnsi="Arial"/>
          <w:sz w:val="12"/>
          <w:szCs w:val="12"/>
          <w:color w:val="auto"/>
        </w:rPr>
        <w:t>Concession sales accounted for approximately 29% of our total 2015 cinema revenue. Although certain cinemas have licenses for the sale and consumption of alcoholic beverages, historically concession products have been primarily popcorn, candy, and soda. This is changing, as more of our theaters are offering expanded food and beverage offerings. One of our focuses for 2016 and 2017 is to upgrade our existing cinemas with expanded food and beverage offerings. We intend to have alcoholic beverage licenses for at least 16 of our domestic cinemas by 2017.</w:t>
      </w:r>
    </w:p>
    <w:p>
      <w:pPr>
        <w:spacing w:after="0" w:line="105" w:lineRule="exact"/>
        <w:rPr>
          <w:sz w:val="20"/>
          <w:szCs w:val="20"/>
          <w:color w:val="auto"/>
        </w:rPr>
      </w:pPr>
    </w:p>
    <w:p>
      <w:pPr>
        <w:ind w:right="40"/>
        <w:spacing w:after="0" w:line="276" w:lineRule="auto"/>
        <w:rPr>
          <w:sz w:val="20"/>
          <w:szCs w:val="20"/>
          <w:color w:val="auto"/>
        </w:rPr>
      </w:pPr>
      <w:r>
        <w:rPr>
          <w:rFonts w:ascii="Arial" w:cs="Arial" w:eastAsia="Arial" w:hAnsi="Arial"/>
          <w:sz w:val="12"/>
          <w:szCs w:val="12"/>
          <w:color w:val="auto"/>
        </w:rPr>
        <w:t>Screen advertising and other revenue contribute approximately 6% of our total 2015 cinema revenue. With the exception of certain rights that we have retained to sell to local advertisers, generally speaking, we are not in the screen advertising business and nationally recognized screen-advertising companies provide such advertising for us.</w:t>
      </w:r>
    </w:p>
    <w:p>
      <w:pPr>
        <w:spacing w:after="0" w:line="88" w:lineRule="exact"/>
        <w:rPr>
          <w:sz w:val="20"/>
          <w:szCs w:val="20"/>
          <w:color w:val="auto"/>
        </w:rPr>
      </w:pPr>
    </w:p>
    <w:p>
      <w:pPr>
        <w:ind w:right="60"/>
        <w:spacing w:after="0" w:line="276" w:lineRule="auto"/>
        <w:rPr>
          <w:sz w:val="20"/>
          <w:szCs w:val="20"/>
          <w:color w:val="auto"/>
        </w:rPr>
      </w:pPr>
      <w:r>
        <w:rPr>
          <w:rFonts w:ascii="Arial" w:cs="Arial" w:eastAsia="Arial" w:hAnsi="Arial"/>
          <w:sz w:val="12"/>
          <w:szCs w:val="12"/>
          <w:color w:val="auto"/>
        </w:rPr>
        <w:t>In New Zealand, we also own a one-third interest in Rialto Distribution, an unincorporated joint venture engaged in the business of distributing art film in New Zealand and Australia. The remaining two-thirds interest in Rialto Distribution is owned by the founders of Rialto Distribution, who have been in the art film distribution business since 1993.</w:t>
      </w:r>
    </w:p>
    <w:p>
      <w:pPr>
        <w:spacing w:after="0" w:line="88"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Management of Cinemas</w:t>
      </w:r>
    </w:p>
    <w:p>
      <w:pPr>
        <w:spacing w:after="0" w:line="132" w:lineRule="exact"/>
        <w:rPr>
          <w:sz w:val="20"/>
          <w:szCs w:val="20"/>
          <w:color w:val="auto"/>
        </w:rPr>
      </w:pPr>
    </w:p>
    <w:p>
      <w:pPr>
        <w:ind w:right="280"/>
        <w:spacing w:after="0" w:line="323" w:lineRule="auto"/>
        <w:rPr>
          <w:sz w:val="20"/>
          <w:szCs w:val="20"/>
          <w:color w:val="auto"/>
        </w:rPr>
      </w:pPr>
      <w:r>
        <w:rPr>
          <w:rFonts w:ascii="Arial" w:cs="Arial" w:eastAsia="Arial" w:hAnsi="Arial"/>
          <w:sz w:val="11"/>
          <w:szCs w:val="11"/>
          <w:color w:val="auto"/>
        </w:rPr>
        <w:t>With the exception of our three unconsolidated cinemas, we manage all of our cinemas with executives located in Los Angeles; Manhattan; Melbourne, Australia; and Wellington, New Zealand. Approximately 2,506 individuals were employed (on a full-time or part-time basis) in our cinema operations as of December 31, 2015. Our two New Zealand Rialto cinemas are owned by a joint venture</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59690</wp:posOffset>
            </wp:positionV>
            <wp:extent cx="677989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779895" cy="42545"/>
                    </a:xfrm>
                    <a:prstGeom prst="rect">
                      <a:avLst/>
                    </a:prstGeom>
                    <a:noFill/>
                  </pic:spPr>
                </pic:pic>
              </a:graphicData>
            </a:graphic>
          </wp:anchor>
        </w:drawing>
      </w:r>
    </w:p>
    <w:p>
      <w:pPr>
        <w:sectPr>
          <w:pgSz w:w="11900" w:h="16838" w:orient="portrait"/>
          <w:cols w:equalWidth="0" w:num="1">
            <w:col w:w="10620"/>
          </w:cols>
          <w:pgMar w:left="640" w:top="127" w:right="639" w:bottom="1440" w:gutter="0" w:footer="0" w:header="0"/>
        </w:sectPr>
      </w:pPr>
    </w:p>
    <w:bookmarkStart w:id="8" w:name="page9"/>
    <w:bookmarkEnd w:id="8"/>
    <w:p>
      <w:pPr>
        <w:ind w:right="720"/>
        <w:spacing w:after="0" w:line="276" w:lineRule="auto"/>
        <w:rPr>
          <w:sz w:val="20"/>
          <w:szCs w:val="20"/>
          <w:color w:val="auto"/>
        </w:rPr>
      </w:pPr>
      <w:r>
        <w:rPr>
          <w:rFonts w:ascii="Arial" w:cs="Arial" w:eastAsia="Arial" w:hAnsi="Arial"/>
          <w:sz w:val="12"/>
          <w:szCs w:val="12"/>
          <w:color w:val="auto"/>
        </w:rPr>
        <w:t>in which Reading New Zealand is a 50% joint venture partner. While we are principally responsible for the booking of these two cinemas, our joint venture partner, Event Cinemas, manages their day-to-day operations. In addition, we have a one-third interest in a 16-screen Brisbane cinema managed by Event Cinemas.</w:t>
      </w:r>
    </w:p>
    <w:p>
      <w:pPr>
        <w:spacing w:after="0" w:line="88"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Licensing and Pricing</w:t>
      </w:r>
    </w:p>
    <w:p>
      <w:pPr>
        <w:spacing w:after="0" w:line="132" w:lineRule="exact"/>
        <w:rPr>
          <w:sz w:val="20"/>
          <w:szCs w:val="20"/>
          <w:color w:val="auto"/>
        </w:rPr>
      </w:pPr>
    </w:p>
    <w:p>
      <w:pPr>
        <w:ind w:right="120"/>
        <w:spacing w:after="0" w:line="257" w:lineRule="auto"/>
        <w:rPr>
          <w:sz w:val="20"/>
          <w:szCs w:val="20"/>
          <w:color w:val="auto"/>
        </w:rPr>
      </w:pPr>
      <w:r>
        <w:rPr>
          <w:rFonts w:ascii="Arial" w:cs="Arial" w:eastAsia="Arial" w:hAnsi="Arial"/>
          <w:sz w:val="12"/>
          <w:szCs w:val="12"/>
          <w:color w:val="auto"/>
        </w:rPr>
        <w:t>Film product is available from a variety of sources, ranging from the major film distributors, such as Paramount Pictures, Twentieth Century Fox, Warner Bros, Buena Vista Pictures (Disney), Sony Pictures Releasing, Universal Pictures and Lionsgate, to a variety of smaller independent film distributors. In Australia and New Zealand, some of those major distributors distribute through local unaffiliated distributors. Worldwide, the major film distributors dominate the market for mainstream conventional films. In the U.S. art and specialty film is distributed through the art and specialty divisions of these major distributors, such as Fox Searchlight and Sony Pictures Classics, and through independent distributors such as The Weinstein Company. Generally speaking, film payment terms are based upon an agreed-upon percentage of box office receipts that will vary from film-to-film.</w:t>
      </w:r>
    </w:p>
    <w:p>
      <w:pPr>
        <w:spacing w:after="0" w:line="99"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Competition</w:t>
      </w:r>
    </w:p>
    <w:p>
      <w:pPr>
        <w:spacing w:after="0" w:line="123" w:lineRule="exact"/>
        <w:rPr>
          <w:sz w:val="20"/>
          <w:szCs w:val="20"/>
          <w:color w:val="auto"/>
        </w:rPr>
      </w:pPr>
    </w:p>
    <w:p>
      <w:pPr>
        <w:ind w:right="60"/>
        <w:spacing w:after="0" w:line="263" w:lineRule="auto"/>
        <w:rPr>
          <w:sz w:val="20"/>
          <w:szCs w:val="20"/>
          <w:color w:val="auto"/>
        </w:rPr>
      </w:pPr>
      <w:r>
        <w:rPr>
          <w:rFonts w:ascii="Arial" w:cs="Arial" w:eastAsia="Arial" w:hAnsi="Arial"/>
          <w:sz w:val="12"/>
          <w:szCs w:val="12"/>
          <w:color w:val="auto"/>
        </w:rPr>
        <w:t>In certain markets in the U.S. in which we operate, film may be allocated by the distributor among competitive cinemas, commonly known as “clearance”, while in other U.S. markets we have access to all available film. This is discussed in greater detail below. Accordingly, we, from time-to-time, are unable to license every film that we may desire to play. In the Australian and New Zealand markets, we generally have access to all available film product.</w:t>
      </w:r>
    </w:p>
    <w:p>
      <w:pPr>
        <w:spacing w:after="0" w:line="105" w:lineRule="exact"/>
        <w:rPr>
          <w:sz w:val="20"/>
          <w:szCs w:val="20"/>
          <w:color w:val="auto"/>
        </w:rPr>
      </w:pPr>
    </w:p>
    <w:p>
      <w:pPr>
        <w:ind w:right="80"/>
        <w:spacing w:after="0" w:line="259" w:lineRule="auto"/>
        <w:rPr>
          <w:sz w:val="20"/>
          <w:szCs w:val="20"/>
          <w:color w:val="auto"/>
        </w:rPr>
      </w:pPr>
      <w:r>
        <w:rPr>
          <w:rFonts w:ascii="Arial" w:cs="Arial" w:eastAsia="Arial" w:hAnsi="Arial"/>
          <w:sz w:val="12"/>
          <w:szCs w:val="12"/>
          <w:color w:val="auto"/>
        </w:rPr>
        <w:t>We believe that the success of a cinema depends on its access to popular film product because film patrons tend to decide on a film they would like to see first and then a cinema where the film is available. If a particular film is only offered at one cinema in a given market, then customers wishing to see that film will, of necessity, go to that cinema. If two or more cinemas in the same market offer the same film, then customers will typically take into account factors such as the relative convenience, quality and cost of the various cinemas. For example, most cinema patrons seem to prefer a modern stadium-design multiplex to an older sloped-floor cinema, and to prefer a cinema that either offers convenient access to free parking (or public transport) over a cinema that does not.</w:t>
      </w:r>
    </w:p>
    <w:p>
      <w:pPr>
        <w:spacing w:after="0" w:line="98" w:lineRule="exact"/>
        <w:rPr>
          <w:sz w:val="20"/>
          <w:szCs w:val="20"/>
          <w:color w:val="auto"/>
        </w:rPr>
      </w:pPr>
    </w:p>
    <w:p>
      <w:pPr>
        <w:ind w:right="180"/>
        <w:spacing w:after="0" w:line="290" w:lineRule="auto"/>
        <w:rPr>
          <w:sz w:val="20"/>
          <w:szCs w:val="20"/>
          <w:color w:val="auto"/>
        </w:rPr>
      </w:pPr>
      <w:r>
        <w:rPr>
          <w:rFonts w:ascii="Arial" w:cs="Arial" w:eastAsia="Arial" w:hAnsi="Arial"/>
          <w:sz w:val="11"/>
          <w:szCs w:val="11"/>
          <w:color w:val="auto"/>
        </w:rPr>
        <w:t>This view is being challenged by some exhibitors, who are now promoting a “dine-in” concept. These exhibitors believe that if offered the right environment, consumers will choose the venue first, and the movie second. We believe that the jury is out as to the economic viability of this concept given, among other things, the space and fit-out costs involved, the necessarily reduced seat count where food is served at the seat, the split between consumers who want and who oppose having in-auditorium dining (some people just want to see the movie, and find in-auditorium service and dinning to be a distraction from the movie itself), and the pricing of such offerings. It also appears to us, that one still needs to at least offer top film product. So, even with these dine-in theaters, access to film remains a principal concern.</w:t>
      </w:r>
    </w:p>
    <w:p>
      <w:pPr>
        <w:spacing w:after="0" w:line="82" w:lineRule="exact"/>
        <w:rPr>
          <w:sz w:val="20"/>
          <w:szCs w:val="20"/>
          <w:color w:val="auto"/>
        </w:rPr>
      </w:pPr>
    </w:p>
    <w:p>
      <w:pPr>
        <w:ind w:right="280"/>
        <w:spacing w:after="0" w:line="263" w:lineRule="auto"/>
        <w:rPr>
          <w:sz w:val="20"/>
          <w:szCs w:val="20"/>
          <w:color w:val="auto"/>
        </w:rPr>
      </w:pPr>
      <w:r>
        <w:rPr>
          <w:rFonts w:ascii="Arial" w:cs="Arial" w:eastAsia="Arial" w:hAnsi="Arial"/>
          <w:sz w:val="12"/>
          <w:szCs w:val="12"/>
          <w:color w:val="auto"/>
        </w:rPr>
        <w:t>In the United States in certain markets, distributors typically take the position that they are free to provide or not provide their films to particular exhibitors, at their complete and absolute discretion, even though the number of “digital prints” is theoretically unlimited and all advertising for conventional film is paid for by the distributors. Some competitors, like AMC, are becoming increasing aggressive in their efforts to prevent competitors’ access to film product in film zones where they have cinemas. We face clearance situations in several markets in which we show film.</w:t>
      </w:r>
    </w:p>
    <w:p>
      <w:pPr>
        <w:spacing w:after="0" w:line="105" w:lineRule="exact"/>
        <w:rPr>
          <w:sz w:val="20"/>
          <w:szCs w:val="20"/>
          <w:color w:val="auto"/>
        </w:rPr>
      </w:pPr>
    </w:p>
    <w:p>
      <w:pPr>
        <w:spacing w:after="0" w:line="255" w:lineRule="auto"/>
        <w:rPr>
          <w:sz w:val="20"/>
          <w:szCs w:val="20"/>
          <w:color w:val="auto"/>
        </w:rPr>
      </w:pPr>
      <w:r>
        <w:rPr>
          <w:rFonts w:ascii="Arial" w:cs="Arial" w:eastAsia="Arial" w:hAnsi="Arial"/>
          <w:sz w:val="12"/>
          <w:szCs w:val="12"/>
          <w:color w:val="auto"/>
        </w:rPr>
        <w:t>The use of clearances is currently under attack. We believe that, as the two principal justifications for clearances (the cost of producing an additional print and the shared advertising cost) no longer exist, that ultimately clearances should (except in exceptional cases – for example where a distributor’s strategy is for a limited or staged release) go away. If this occurred, on balance, we believe that this will be a positive development for us, as it will generally speaking increase our access to film in competitive markets. Pressure on the major chains to stop using “clearances” is increasing. An investigation by the United States Department of Justice, Antitrust Division, into the possible anticompetitive activities of major chains has been initiated. Also, there have been private lawsuits by small chains to stop the practice. For example, iPic Theaters has obtained a temporary injunction against clearance practices by one major chain in Harris County, Texas, and is seeking further injunctions against other major chains in Texas as well as in other jurisdictions, such as the District of Columbia.</w:t>
      </w:r>
    </w:p>
    <w:p>
      <w:pPr>
        <w:spacing w:after="0" w:line="102" w:lineRule="exact"/>
        <w:rPr>
          <w:sz w:val="20"/>
          <w:szCs w:val="20"/>
          <w:color w:val="auto"/>
        </w:rPr>
      </w:pPr>
    </w:p>
    <w:p>
      <w:pPr>
        <w:ind w:right="20"/>
        <w:spacing w:after="0" w:line="255" w:lineRule="auto"/>
        <w:rPr>
          <w:sz w:val="20"/>
          <w:szCs w:val="20"/>
          <w:color w:val="auto"/>
        </w:rPr>
      </w:pPr>
      <w:r>
        <w:rPr>
          <w:rFonts w:ascii="Arial" w:cs="Arial" w:eastAsia="Arial" w:hAnsi="Arial"/>
          <w:sz w:val="12"/>
          <w:szCs w:val="12"/>
          <w:color w:val="auto"/>
        </w:rPr>
        <w:t>For now, competition for films can be intense, depending upon the number of cinemas in a particular market. Our ability to obtain top grossing first run feature films may be adversely impacted by our comparatively small size, and the limited number of screens and markets that we can supply to distributors. Moreover, in the United States, because of the dramatic consolidation of screens into the hands of a few very large and powerful exhibitors such as Regal, AMC, Cinemark and Carmike, these mega-exhibition companies are in a position to offer distributors access to many more screens in major markets than we can. Also, the majors have a significant number of markets where they operate without material competition, meaning that the distributors have no alternative exhibitor for their films in these markets. Accordingly, distributors may decide to give preference to these mega-exhibitors when it comes to licensing top grossing films, rather than deal with independents such as ourselves. The situation is different in Australia and New Zealand, where typically every major multiplex cinema has access to all of the film currently in distribution, regardless of the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59690</wp:posOffset>
            </wp:positionV>
            <wp:extent cx="677989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779895" cy="42545"/>
                    </a:xfrm>
                    <a:prstGeom prst="rect">
                      <a:avLst/>
                    </a:prstGeom>
                    <a:noFill/>
                  </pic:spPr>
                </pic:pic>
              </a:graphicData>
            </a:graphic>
          </wp:anchor>
        </w:drawing>
      </w:r>
    </w:p>
    <w:p>
      <w:pPr>
        <w:sectPr>
          <w:pgSz w:w="11900" w:h="16838" w:orient="portrait"/>
          <w:cols w:equalWidth="0" w:num="1">
            <w:col w:w="10620"/>
          </w:cols>
          <w:pgMar w:left="640" w:top="131" w:right="639" w:bottom="1440" w:gutter="0" w:footer="0" w:header="0"/>
        </w:sectPr>
      </w:pPr>
    </w:p>
    <w:bookmarkStart w:id="9" w:name="page10"/>
    <w:bookmarkEnd w:id="9"/>
    <w:p>
      <w:pPr>
        <w:ind w:right="40"/>
        <w:spacing w:after="0" w:line="276" w:lineRule="auto"/>
        <w:rPr>
          <w:sz w:val="20"/>
          <w:szCs w:val="20"/>
          <w:color w:val="auto"/>
        </w:rPr>
      </w:pPr>
      <w:r>
        <w:rPr>
          <w:rFonts w:ascii="Arial" w:cs="Arial" w:eastAsia="Arial" w:hAnsi="Arial"/>
          <w:sz w:val="12"/>
          <w:szCs w:val="12"/>
          <w:color w:val="auto"/>
        </w:rPr>
        <w:t>ownership of that multiplex cinema. However, on the reverse side, we have suffered somewhat in these markets from competition from boutique operators, who are able to book top grossing commercial films for limited runs, thus increasing competition for customers wishing to view such top grossing films.</w:t>
      </w:r>
    </w:p>
    <w:p>
      <w:pPr>
        <w:spacing w:after="0" w:line="88" w:lineRule="exact"/>
        <w:rPr>
          <w:sz w:val="20"/>
          <w:szCs w:val="20"/>
          <w:color w:val="auto"/>
        </w:rPr>
      </w:pPr>
    </w:p>
    <w:p>
      <w:pPr>
        <w:ind w:right="60"/>
        <w:spacing w:after="0" w:line="259" w:lineRule="auto"/>
        <w:rPr>
          <w:sz w:val="20"/>
          <w:szCs w:val="20"/>
          <w:color w:val="auto"/>
        </w:rPr>
      </w:pPr>
      <w:r>
        <w:rPr>
          <w:rFonts w:ascii="Arial" w:cs="Arial" w:eastAsia="Arial" w:hAnsi="Arial"/>
          <w:sz w:val="12"/>
          <w:szCs w:val="12"/>
          <w:color w:val="auto"/>
        </w:rPr>
        <w:t>Generally speaking, our cinemas are modern multiplex cinemas with good and convenient parking. The availability of state-of-the-art technology and/or luxury seating can also be a factor in the preference of one cinema over another. In recent periods, a number of cinemas have been opened or re-opened featuring luxury seating and/or expanded food and beverage service, including the sale of alcoholic beverages and food served to the seat. We have for a number of years offered alcoholic beverages in certain of our Australia and New Zealand cinemas and at certain of our Angelika Film Centers in the U.S. We are currently working to upgrade the seating and food and beverage offerings (including the offering of alcoholic beverages) at a number of our existing cinemas.</w:t>
      </w:r>
    </w:p>
    <w:p>
      <w:pPr>
        <w:spacing w:after="0" w:line="107" w:lineRule="exact"/>
        <w:rPr>
          <w:sz w:val="20"/>
          <w:szCs w:val="20"/>
          <w:color w:val="auto"/>
        </w:rPr>
      </w:pPr>
    </w:p>
    <w:p>
      <w:pPr>
        <w:ind w:right="60"/>
        <w:spacing w:after="0" w:line="259" w:lineRule="auto"/>
        <w:rPr>
          <w:sz w:val="20"/>
          <w:szCs w:val="20"/>
          <w:color w:val="auto"/>
        </w:rPr>
      </w:pPr>
      <w:r>
        <w:rPr>
          <w:rFonts w:ascii="Arial" w:cs="Arial" w:eastAsia="Arial" w:hAnsi="Arial"/>
          <w:sz w:val="12"/>
          <w:szCs w:val="12"/>
          <w:color w:val="auto"/>
        </w:rPr>
        <w:t>The film exhibition markets in the United States, Australia, and New Zealand are to a certain extent dominated by a limited number of major exhibition companies. The principal exhibitors in the United States are Regal (with 7,361 screens in 572 cinemas), AMC (with 4,937 screens in 348 cinemas), Cinemark (with 4,489 screens in 334 cinemas), and Carmike (with 2,881 screens in 270 cinemas). As of December 31, 2015, we were the 11th largest exhibitor with 1% of the box office in the United States with 252 screens in 27 cinemas under management. AMC and Carmike have recently announced the acquisition of Carmike by AMC. If this acquisition goes through, AMC/Carmike will be the largest exhibitor in the United States with 9,426 screens in 682 theaters.</w:t>
      </w:r>
    </w:p>
    <w:p>
      <w:pPr>
        <w:spacing w:after="0" w:line="98" w:lineRule="exact"/>
        <w:rPr>
          <w:sz w:val="20"/>
          <w:szCs w:val="20"/>
          <w:color w:val="auto"/>
        </w:rPr>
      </w:pPr>
    </w:p>
    <w:p>
      <w:pPr>
        <w:ind w:right="60"/>
        <w:spacing w:after="0" w:line="298" w:lineRule="auto"/>
        <w:rPr>
          <w:sz w:val="20"/>
          <w:szCs w:val="20"/>
          <w:color w:val="auto"/>
        </w:rPr>
      </w:pPr>
      <w:r>
        <w:rPr>
          <w:rFonts w:ascii="Arial" w:cs="Arial" w:eastAsia="Arial" w:hAnsi="Arial"/>
          <w:sz w:val="11"/>
          <w:szCs w:val="11"/>
          <w:color w:val="auto"/>
        </w:rPr>
        <w:t>The principal exhibitors in Australia are Greater Union, which does business under the Event Cinemas name (a subsidiary of Amalgamated Holdings Limited), Hoyts Cinemas (“Hoyts”), and Village Cinemas. The major exhibitors control approximately 65% of the total cinema box office: Event 31%, Hoyts 19%, and Village 15%. Event has 503 screens nationally, Hoyts 344 screens, and Village 214 screens. By comparison, our 141 screens (excluding any partnership theaters) represent approximately 7% of the total box office. In June 2015, Hoyts was acquired by Wanda, which also holds a controlling interest in AMC.</w:t>
      </w:r>
    </w:p>
    <w:p>
      <w:pPr>
        <w:spacing w:after="0" w:line="78" w:lineRule="exact"/>
        <w:rPr>
          <w:sz w:val="20"/>
          <w:szCs w:val="20"/>
          <w:color w:val="auto"/>
        </w:rPr>
      </w:pPr>
    </w:p>
    <w:p>
      <w:pPr>
        <w:ind w:right="80"/>
        <w:spacing w:after="0" w:line="323" w:lineRule="auto"/>
        <w:rPr>
          <w:sz w:val="20"/>
          <w:szCs w:val="20"/>
          <w:color w:val="auto"/>
        </w:rPr>
      </w:pPr>
      <w:r>
        <w:rPr>
          <w:rFonts w:ascii="Arial" w:cs="Arial" w:eastAsia="Arial" w:hAnsi="Arial"/>
          <w:sz w:val="11"/>
          <w:szCs w:val="11"/>
          <w:color w:val="auto"/>
        </w:rPr>
        <w:t>The principal exhibitors in New Zealand are Event Cinemas with 105 screens nationally and Hoyts with 63 screens. Reading has 54 screens (excluding its interest in unconsolidated joint ventures). The major exhibitors in New Zealand control approximately 56% of the total box office: Event 35% and Hoyts 21%. Reading has 13% of the market (Event and Reading market share figures exclude any partnership theaters).</w:t>
      </w:r>
    </w:p>
    <w:p>
      <w:pPr>
        <w:spacing w:after="0" w:line="74" w:lineRule="exact"/>
        <w:rPr>
          <w:sz w:val="20"/>
          <w:szCs w:val="20"/>
          <w:color w:val="auto"/>
        </w:rPr>
      </w:pPr>
    </w:p>
    <w:p>
      <w:pPr>
        <w:spacing w:after="0"/>
        <w:rPr>
          <w:sz w:val="20"/>
          <w:szCs w:val="20"/>
          <w:color w:val="auto"/>
        </w:rPr>
      </w:pPr>
      <w:r>
        <w:rPr>
          <w:rFonts w:ascii="Arial" w:cs="Arial" w:eastAsia="Arial" w:hAnsi="Arial"/>
          <w:sz w:val="11"/>
          <w:szCs w:val="11"/>
          <w:color w:val="auto"/>
        </w:rPr>
        <w:t>In Australia and New Zealand, the industry is somewhat vertically integrated in that Roadshow Film Distributors, a subsidiary of Village, serves as a distributor of film in Australia and New Zealand for Warner Brothers.</w:t>
      </w:r>
    </w:p>
    <w:p>
      <w:pPr>
        <w:spacing w:after="0" w:line="26" w:lineRule="exact"/>
        <w:rPr>
          <w:sz w:val="20"/>
          <w:szCs w:val="20"/>
          <w:color w:val="auto"/>
        </w:rPr>
      </w:pPr>
    </w:p>
    <w:p>
      <w:pPr>
        <w:spacing w:after="0"/>
        <w:rPr>
          <w:sz w:val="20"/>
          <w:szCs w:val="20"/>
          <w:color w:val="auto"/>
        </w:rPr>
      </w:pPr>
      <w:r>
        <w:rPr>
          <w:rFonts w:ascii="Arial" w:cs="Arial" w:eastAsia="Arial" w:hAnsi="Arial"/>
          <w:sz w:val="12"/>
          <w:szCs w:val="12"/>
          <w:color w:val="auto"/>
        </w:rPr>
        <w:t>Films produced or distributed by the majority of the local international independent producers are also distributed by Roadshow Film Distributors.</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color w:val="auto"/>
        </w:rPr>
        <w:t>Many of our competitors have substantial financial resources which could allow them to operate in a more competitive manner than we can.</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In-Home and Mobile Device Competition</w:t>
      </w:r>
    </w:p>
    <w:p>
      <w:pPr>
        <w:spacing w:after="0" w:line="132" w:lineRule="exact"/>
        <w:rPr>
          <w:sz w:val="20"/>
          <w:szCs w:val="20"/>
          <w:color w:val="auto"/>
        </w:rPr>
      </w:pPr>
    </w:p>
    <w:p>
      <w:pPr>
        <w:ind w:right="60"/>
        <w:spacing w:after="0" w:line="290" w:lineRule="auto"/>
        <w:rPr>
          <w:sz w:val="20"/>
          <w:szCs w:val="20"/>
          <w:color w:val="auto"/>
        </w:rPr>
      </w:pPr>
      <w:r>
        <w:rPr>
          <w:rFonts w:ascii="Arial" w:cs="Arial" w:eastAsia="Arial" w:hAnsi="Arial"/>
          <w:sz w:val="11"/>
          <w:szCs w:val="11"/>
          <w:color w:val="auto"/>
        </w:rPr>
        <w:t>The “in-home” and mobile device entertainment industry has experienced significant leaps in recent periods in both the quality and affordability of in-home and mobile device entertainment systems and in the accessibility to and quality of entertainment programming through cable, satellite, internet distribution channels, and Blu-ray/DVD. The success of these alternative distribution channels puts additional pressure on film distributors to reduce and/or eliminate the time period between theatrical and secondary release dates and the willingness of consumers to take the time and pay the admission price to go to the movie theater. To a certain extent, it appears that consumers are willing to trade convenience for presentation. These are issues common to both our U.S. and international cinema operations.</w:t>
      </w:r>
    </w:p>
    <w:p>
      <w:pPr>
        <w:spacing w:after="0" w:line="82"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Competitive issues are discussed in greater detail under the caption, Item 1A - </w:t>
      </w:r>
      <w:r>
        <w:rPr>
          <w:rFonts w:ascii="Arial" w:cs="Arial" w:eastAsia="Arial" w:hAnsi="Arial"/>
          <w:sz w:val="12"/>
          <w:szCs w:val="12"/>
          <w:i w:val="1"/>
          <w:iCs w:val="1"/>
          <w:color w:val="auto"/>
        </w:rPr>
        <w:t>Risk Factors</w:t>
      </w:r>
      <w:r>
        <w:rPr>
          <w:rFonts w:ascii="Arial" w:cs="Arial" w:eastAsia="Arial" w:hAnsi="Arial"/>
          <w:sz w:val="12"/>
          <w:szCs w:val="12"/>
          <w:color w:val="auto"/>
        </w:rPr>
        <w:t>.</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Seasonality</w:t>
      </w:r>
    </w:p>
    <w:p>
      <w:pPr>
        <w:spacing w:after="0" w:line="132" w:lineRule="exact"/>
        <w:rPr>
          <w:sz w:val="20"/>
          <w:szCs w:val="20"/>
          <w:color w:val="auto"/>
        </w:rPr>
      </w:pPr>
    </w:p>
    <w:p>
      <w:pPr>
        <w:spacing w:after="0" w:line="298" w:lineRule="auto"/>
        <w:rPr>
          <w:sz w:val="20"/>
          <w:szCs w:val="20"/>
          <w:color w:val="auto"/>
        </w:rPr>
      </w:pPr>
      <w:r>
        <w:rPr>
          <w:rFonts w:ascii="Arial" w:cs="Arial" w:eastAsia="Arial" w:hAnsi="Arial"/>
          <w:sz w:val="11"/>
          <w:szCs w:val="11"/>
          <w:color w:val="auto"/>
        </w:rPr>
        <w:t>Major films are generally released to coincide with holidays. With the exception of Christmas and New Year’s Days, this fact provides some balancing of our revenue because there is no material overlap between holidays in the United States and those in Australia and New Zealand. Distributors will delay, in certain cases, releases in Australia and New Zealand to take advantage of Australian and New Zealand holidays that are not celebrated in the United States. However, the deferral of releases is becoming increasing less common, given the need to address internet and other channels of distribution that operate on a worldwide basis.</w:t>
      </w:r>
    </w:p>
    <w:p>
      <w:pPr>
        <w:spacing w:after="0" w:line="7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Real Estate</w:t>
      </w:r>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color w:val="auto"/>
        </w:rPr>
        <w:t>Our real estate activities have historically consisted principally of:</w:t>
      </w:r>
    </w:p>
    <w:p>
      <w:pPr>
        <w:spacing w:after="0" w:line="150"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59690</wp:posOffset>
            </wp:positionV>
            <wp:extent cx="677989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779895" cy="42545"/>
                    </a:xfrm>
                    <a:prstGeom prst="rect">
                      <a:avLst/>
                    </a:prstGeom>
                    <a:noFill/>
                  </pic:spPr>
                </pic:pic>
              </a:graphicData>
            </a:graphic>
          </wp:anchor>
        </w:drawing>
      </w:r>
    </w:p>
    <w:p>
      <w:pPr>
        <w:sectPr>
          <w:pgSz w:w="11900" w:h="16838" w:orient="portrait"/>
          <w:cols w:equalWidth="0" w:num="1">
            <w:col w:w="10600"/>
          </w:cols>
          <w:pgMar w:left="640" w:top="131" w:right="659" w:bottom="1440" w:gutter="0" w:footer="0" w:header="0"/>
        </w:sectPr>
      </w:pPr>
    </w:p>
    <w:bookmarkStart w:id="10" w:name="page11"/>
    <w:bookmarkEnd w:id="10"/>
    <w:p>
      <w:pPr>
        <w:ind w:left="220"/>
        <w:spacing w:after="0"/>
        <w:rPr>
          <w:sz w:val="20"/>
          <w:szCs w:val="20"/>
          <w:color w:val="auto"/>
        </w:rPr>
      </w:pPr>
      <w:r>
        <w:rPr>
          <w:rFonts w:ascii="Arial" w:cs="Arial" w:eastAsia="Arial" w:hAnsi="Arial"/>
          <w:sz w:val="11"/>
          <w:szCs w:val="11"/>
          <w:color w:val="auto"/>
        </w:rPr>
        <w:t>·the ownership of fee or long-term leasehold interests in properties used in our cinema exhibition activities or which were acquired for the development of cinemas or cinema-based real estate development projects;</w:t>
      </w:r>
    </w:p>
    <w:p>
      <w:pPr>
        <w:spacing w:after="0" w:line="26" w:lineRule="exact"/>
        <w:rPr>
          <w:sz w:val="20"/>
          <w:szCs w:val="20"/>
          <w:color w:val="auto"/>
        </w:rPr>
      </w:pPr>
    </w:p>
    <w:p>
      <w:pPr>
        <w:ind w:left="320" w:hanging="99"/>
        <w:spacing w:after="0"/>
        <w:tabs>
          <w:tab w:leader="none" w:pos="320" w:val="left"/>
        </w:tabs>
        <w:numPr>
          <w:ilvl w:val="0"/>
          <w:numId w:val="9"/>
        </w:numPr>
        <w:rPr>
          <w:rFonts w:ascii="Arial" w:cs="Arial" w:eastAsia="Arial" w:hAnsi="Arial"/>
          <w:sz w:val="12"/>
          <w:szCs w:val="12"/>
          <w:color w:val="auto"/>
        </w:rPr>
      </w:pPr>
      <w:r>
        <w:rPr>
          <w:rFonts w:ascii="Arial" w:cs="Arial" w:eastAsia="Arial" w:hAnsi="Arial"/>
          <w:sz w:val="12"/>
          <w:szCs w:val="12"/>
          <w:color w:val="auto"/>
        </w:rPr>
        <w:t>the operation of our various ETCs and shopping centers and properties,</w:t>
      </w:r>
    </w:p>
    <w:p>
      <w:pPr>
        <w:spacing w:after="0" w:line="6" w:lineRule="exact"/>
        <w:rPr>
          <w:rFonts w:ascii="Arial" w:cs="Arial" w:eastAsia="Arial" w:hAnsi="Arial"/>
          <w:sz w:val="12"/>
          <w:szCs w:val="12"/>
          <w:color w:val="auto"/>
        </w:rPr>
      </w:pPr>
    </w:p>
    <w:p>
      <w:pPr>
        <w:ind w:left="320" w:hanging="99"/>
        <w:spacing w:after="0"/>
        <w:tabs>
          <w:tab w:leader="none" w:pos="320" w:val="left"/>
        </w:tabs>
        <w:numPr>
          <w:ilvl w:val="0"/>
          <w:numId w:val="9"/>
        </w:numPr>
        <w:rPr>
          <w:rFonts w:ascii="Arial" w:cs="Arial" w:eastAsia="Arial" w:hAnsi="Arial"/>
          <w:sz w:val="12"/>
          <w:szCs w:val="12"/>
          <w:color w:val="auto"/>
        </w:rPr>
      </w:pPr>
      <w:r>
        <w:rPr>
          <w:rFonts w:ascii="Arial" w:cs="Arial" w:eastAsia="Arial" w:hAnsi="Arial"/>
          <w:sz w:val="12"/>
          <w:szCs w:val="12"/>
          <w:color w:val="auto"/>
        </w:rPr>
        <w:t>the acquisition of fee interests in land for general real estate development;</w:t>
      </w:r>
    </w:p>
    <w:p>
      <w:pPr>
        <w:spacing w:after="0" w:line="6" w:lineRule="exact"/>
        <w:rPr>
          <w:rFonts w:ascii="Arial" w:cs="Arial" w:eastAsia="Arial" w:hAnsi="Arial"/>
          <w:sz w:val="12"/>
          <w:szCs w:val="12"/>
          <w:color w:val="auto"/>
        </w:rPr>
      </w:pPr>
    </w:p>
    <w:p>
      <w:pPr>
        <w:ind w:left="340" w:hanging="119"/>
        <w:spacing w:after="0"/>
        <w:tabs>
          <w:tab w:leader="none" w:pos="340" w:val="left"/>
        </w:tabs>
        <w:numPr>
          <w:ilvl w:val="0"/>
          <w:numId w:val="9"/>
        </w:numPr>
        <w:rPr>
          <w:rFonts w:ascii="Arial" w:cs="Arial" w:eastAsia="Arial" w:hAnsi="Arial"/>
          <w:sz w:val="12"/>
          <w:szCs w:val="12"/>
          <w:color w:val="auto"/>
        </w:rPr>
      </w:pPr>
      <w:r>
        <w:rPr>
          <w:rFonts w:ascii="Arial" w:cs="Arial" w:eastAsia="Arial" w:hAnsi="Arial"/>
          <w:sz w:val="12"/>
          <w:szCs w:val="12"/>
          <w:color w:val="auto"/>
        </w:rPr>
        <w:t>the leasing to production companies of our live theaters; and</w:t>
      </w:r>
    </w:p>
    <w:p>
      <w:pPr>
        <w:spacing w:after="0" w:line="6" w:lineRule="exact"/>
        <w:rPr>
          <w:rFonts w:ascii="Arial" w:cs="Arial" w:eastAsia="Arial" w:hAnsi="Arial"/>
          <w:sz w:val="12"/>
          <w:szCs w:val="12"/>
          <w:color w:val="auto"/>
        </w:rPr>
      </w:pPr>
    </w:p>
    <w:p>
      <w:pPr>
        <w:ind w:left="300" w:hanging="79"/>
        <w:spacing w:after="0"/>
        <w:tabs>
          <w:tab w:leader="none" w:pos="300" w:val="left"/>
        </w:tabs>
        <w:numPr>
          <w:ilvl w:val="0"/>
          <w:numId w:val="9"/>
        </w:numPr>
        <w:rPr>
          <w:rFonts w:ascii="Arial" w:cs="Arial" w:eastAsia="Arial" w:hAnsi="Arial"/>
          <w:sz w:val="12"/>
          <w:szCs w:val="12"/>
          <w:color w:val="auto"/>
        </w:rPr>
      </w:pPr>
      <w:r>
        <w:rPr>
          <w:rFonts w:ascii="Arial" w:cs="Arial" w:eastAsia="Arial" w:hAnsi="Arial"/>
          <w:sz w:val="12"/>
          <w:szCs w:val="12"/>
          <w:color w:val="auto"/>
        </w:rPr>
        <w:t>the redevelopment of our existing fee-owned cinema or live theater sites to their highest and best use.</w:t>
      </w:r>
    </w:p>
    <w:p>
      <w:pPr>
        <w:spacing w:after="0" w:line="114" w:lineRule="exact"/>
        <w:rPr>
          <w:sz w:val="20"/>
          <w:szCs w:val="20"/>
          <w:color w:val="auto"/>
        </w:rPr>
      </w:pPr>
    </w:p>
    <w:p>
      <w:pPr>
        <w:spacing w:after="0" w:line="276" w:lineRule="auto"/>
        <w:rPr>
          <w:sz w:val="20"/>
          <w:szCs w:val="20"/>
          <w:color w:val="auto"/>
        </w:rPr>
      </w:pPr>
      <w:r>
        <w:rPr>
          <w:rFonts w:ascii="Arial" w:cs="Arial" w:eastAsia="Arial" w:hAnsi="Arial"/>
          <w:sz w:val="12"/>
          <w:szCs w:val="12"/>
          <w:color w:val="auto"/>
        </w:rPr>
        <w:t>While we report our real estate as a separate segment, it has historically operated as an integral portion of our overall business and, historically, has principally been in support of that business. We have, however, acquired or developed certain properties that do not currently have any cinema or other entertainment component.</w:t>
      </w:r>
    </w:p>
    <w:p>
      <w:pPr>
        <w:spacing w:after="0" w:line="97"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Our real estate activities, holdings and developments are described in greater detail in Item 2 – </w:t>
      </w:r>
      <w:r>
        <w:rPr>
          <w:rFonts w:ascii="Arial" w:cs="Arial" w:eastAsia="Arial" w:hAnsi="Arial"/>
          <w:sz w:val="12"/>
          <w:szCs w:val="12"/>
          <w:i w:val="1"/>
          <w:iCs w:val="1"/>
          <w:color w:val="auto"/>
        </w:rPr>
        <w:t>Properties</w:t>
      </w:r>
      <w:r>
        <w:rPr>
          <w:rFonts w:ascii="Arial" w:cs="Arial" w:eastAsia="Arial" w:hAnsi="Arial"/>
          <w:sz w:val="12"/>
          <w:szCs w:val="12"/>
          <w:color w:val="auto"/>
        </w:rPr>
        <w:t>.</w:t>
      </w:r>
    </w:p>
    <w:p>
      <w:pPr>
        <w:spacing w:after="0" w:line="11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Employees</w:t>
      </w:r>
    </w:p>
    <w:p>
      <w:pPr>
        <w:spacing w:after="0" w:line="127" w:lineRule="exact"/>
        <w:rPr>
          <w:sz w:val="20"/>
          <w:szCs w:val="20"/>
          <w:color w:val="auto"/>
        </w:rPr>
      </w:pPr>
    </w:p>
    <w:p>
      <w:pPr>
        <w:ind w:right="340"/>
        <w:spacing w:after="0" w:line="263" w:lineRule="auto"/>
        <w:rPr>
          <w:sz w:val="20"/>
          <w:szCs w:val="20"/>
          <w:color w:val="auto"/>
        </w:rPr>
      </w:pPr>
      <w:r>
        <w:rPr>
          <w:rFonts w:ascii="Arial" w:cs="Arial" w:eastAsia="Arial" w:hAnsi="Arial"/>
          <w:sz w:val="12"/>
          <w:szCs w:val="12"/>
          <w:color w:val="auto"/>
        </w:rPr>
        <w:t>As of December 31, 2015, we had 88 full-time executive and administrative employees and 2,506 cinema employees. A small number of our cinema employees in New Zealand are union members, as are our projectionists in Hawaii. None of our Australian-based employees or other employees are subject to union contracts. Overall, we are of the view that the existence of these collective-bargaining agreements does not materially increase our costs of labor or our ability to compete. We believe our relations with our employees to be generally good.</w:t>
      </w:r>
    </w:p>
    <w:p>
      <w:pPr>
        <w:spacing w:after="0" w:line="101"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auto"/>
        </w:rPr>
        <w:t>Item 1A – Risk Factors</w:t>
      </w:r>
    </w:p>
    <w:p>
      <w:pPr>
        <w:spacing w:after="0" w:line="127" w:lineRule="exact"/>
        <w:rPr>
          <w:sz w:val="20"/>
          <w:szCs w:val="20"/>
          <w:color w:val="auto"/>
        </w:rPr>
      </w:pPr>
    </w:p>
    <w:p>
      <w:pPr>
        <w:ind w:right="80"/>
        <w:spacing w:after="0" w:line="263" w:lineRule="auto"/>
        <w:rPr>
          <w:sz w:val="20"/>
          <w:szCs w:val="20"/>
          <w:color w:val="auto"/>
        </w:rPr>
      </w:pPr>
      <w:r>
        <w:rPr>
          <w:rFonts w:ascii="Arial" w:cs="Arial" w:eastAsia="Arial" w:hAnsi="Arial"/>
          <w:sz w:val="12"/>
          <w:szCs w:val="12"/>
          <w:color w:val="auto"/>
        </w:rPr>
        <w:t>Investing in our securities involves risk. Set forth below is a summary of various risk factors that you should consider in connection with your investment in the Company. This summary should be considered in the context of our overall Annual Report on Form 10K, as many of the topics addressed below are discussed in significantly greater detail in the context of specific discussions of our business plan, our operating results, and the various competitive forces that we face.</w:t>
      </w:r>
    </w:p>
    <w:p>
      <w:pPr>
        <w:spacing w:after="0" w:line="9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BUSINESS RISK FACTORS</w:t>
      </w:r>
    </w:p>
    <w:p>
      <w:pPr>
        <w:spacing w:after="0" w:line="136" w:lineRule="exact"/>
        <w:rPr>
          <w:sz w:val="20"/>
          <w:szCs w:val="20"/>
          <w:color w:val="auto"/>
        </w:rPr>
      </w:pPr>
    </w:p>
    <w:p>
      <w:pPr>
        <w:spacing w:after="0" w:line="290" w:lineRule="auto"/>
        <w:rPr>
          <w:sz w:val="20"/>
          <w:szCs w:val="20"/>
          <w:color w:val="auto"/>
        </w:rPr>
      </w:pPr>
      <w:r>
        <w:rPr>
          <w:rFonts w:ascii="Arial" w:cs="Arial" w:eastAsia="Arial" w:hAnsi="Arial"/>
          <w:sz w:val="11"/>
          <w:szCs w:val="11"/>
          <w:color w:val="auto"/>
        </w:rPr>
        <w:t>We are currently engaged principally in the cinema exhibition and real estate businesses. Because we operate in two business segments (cinema exhibition and real estate), we discuss separately below the risks we believe to be material to our involvement in each of these segments. We have discussed separately certain risks relating to the international nature of our business activities, our use of leverage, and our status as a controlled corporation. Please note that, while we report the results of our live theater operations as real estate operations – because we are principally in the business of renting space to producers rather than in licensing or producing plays ourselves – the cinema exhibition and live theater businesses share certain risk factors and are, accordingly, discussed together below.</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Cinema Exhibition and Live Theater Business Risk Factors</w:t>
      </w:r>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operate in a highly competitive environment with many competitors who are significantly larger and may have significantly better access to funds than we do.</w:t>
      </w:r>
    </w:p>
    <w:p>
      <w:pPr>
        <w:spacing w:after="0" w:line="132" w:lineRule="exact"/>
        <w:rPr>
          <w:sz w:val="20"/>
          <w:szCs w:val="20"/>
          <w:color w:val="auto"/>
        </w:rPr>
      </w:pPr>
    </w:p>
    <w:p>
      <w:pPr>
        <w:spacing w:after="0" w:line="323" w:lineRule="auto"/>
        <w:rPr>
          <w:sz w:val="20"/>
          <w:szCs w:val="20"/>
          <w:color w:val="auto"/>
        </w:rPr>
      </w:pPr>
      <w:r>
        <w:rPr>
          <w:rFonts w:ascii="Arial" w:cs="Arial" w:eastAsia="Arial" w:hAnsi="Arial"/>
          <w:sz w:val="11"/>
          <w:szCs w:val="11"/>
          <w:color w:val="auto"/>
        </w:rPr>
        <w:t>We are a comparatively small cinema operator and face competition from much larger cinema exhibitors. These larger exhibitors are able to offer distributors more screens in more markets – including markets where they may be the exclusive exhibitor – than can we. Faced with such competition, we may not be able to get access to all of the films we want, which may adversely affect our revenue and profitability.</w:t>
      </w:r>
    </w:p>
    <w:p>
      <w:pPr>
        <w:spacing w:after="0" w:line="65" w:lineRule="exact"/>
        <w:rPr>
          <w:sz w:val="20"/>
          <w:szCs w:val="20"/>
          <w:color w:val="auto"/>
        </w:rPr>
      </w:pPr>
    </w:p>
    <w:p>
      <w:pPr>
        <w:spacing w:after="0" w:line="276" w:lineRule="auto"/>
        <w:rPr>
          <w:sz w:val="20"/>
          <w:szCs w:val="20"/>
          <w:color w:val="auto"/>
        </w:rPr>
      </w:pPr>
      <w:r>
        <w:rPr>
          <w:rFonts w:ascii="Arial" w:cs="Arial" w:eastAsia="Arial" w:hAnsi="Arial"/>
          <w:sz w:val="12"/>
          <w:szCs w:val="12"/>
          <w:color w:val="auto"/>
        </w:rPr>
        <w:t>These larger competitors may also enjoy (i) greater cash flow, which can be used to develop additional cinemas, including cinemas that may be competitive with our existing cinemas, (ii) better access to equity capital and debt, (iii) better visibility to landlords and real estate developers; and (iv) better economies of scale, than we do.</w:t>
      </w:r>
    </w:p>
    <w:p>
      <w:pPr>
        <w:spacing w:after="0" w:line="88" w:lineRule="exact"/>
        <w:rPr>
          <w:sz w:val="20"/>
          <w:szCs w:val="20"/>
          <w:color w:val="auto"/>
        </w:rPr>
      </w:pPr>
    </w:p>
    <w:p>
      <w:pPr>
        <w:spacing w:after="0" w:line="263" w:lineRule="auto"/>
        <w:rPr>
          <w:sz w:val="20"/>
          <w:szCs w:val="20"/>
          <w:color w:val="auto"/>
        </w:rPr>
      </w:pPr>
      <w:r>
        <w:rPr>
          <w:rFonts w:ascii="Arial" w:cs="Arial" w:eastAsia="Arial" w:hAnsi="Arial"/>
          <w:sz w:val="12"/>
          <w:szCs w:val="12"/>
          <w:color w:val="auto"/>
        </w:rPr>
        <w:t>In the case of our live theaters, we compete for shows not only with other “for profit” Off-Broadway theaters, but also with “not-for-profit” operators and, increasingly, with Broadway theaters. We believe our live theaters are generally competitive with other Off-Broadway venues. However, due to the increased cost of staging live theater productions, we are seeing an increasing tendency for plays that would historically have been staged in an Off-Broadway theater moving directly to larger Broadway venues.</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face competition from other sources of entertainment and other entertainment delivery systems.</w:t>
      </w:r>
    </w:p>
    <w:p>
      <w:pPr>
        <w:spacing w:after="0" w:line="123" w:lineRule="exact"/>
        <w:rPr>
          <w:sz w:val="20"/>
          <w:szCs w:val="20"/>
          <w:color w:val="auto"/>
        </w:rPr>
      </w:pPr>
    </w:p>
    <w:p>
      <w:pPr>
        <w:ind w:right="80"/>
        <w:spacing w:after="0" w:line="276" w:lineRule="auto"/>
        <w:rPr>
          <w:sz w:val="20"/>
          <w:szCs w:val="20"/>
          <w:color w:val="auto"/>
        </w:rPr>
      </w:pPr>
      <w:r>
        <w:rPr>
          <w:rFonts w:ascii="Arial" w:cs="Arial" w:eastAsia="Arial" w:hAnsi="Arial"/>
          <w:sz w:val="12"/>
          <w:szCs w:val="12"/>
          <w:color w:val="auto"/>
        </w:rPr>
        <w:t>Both our cinema and live theater operations face competition from “in-home” and mobile device sources of entertainment. These include competition from network, cable and satellite television, internet streaming video services, Video on Demand, Blu-ray/DVD,</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59690</wp:posOffset>
            </wp:positionV>
            <wp:extent cx="677989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779895" cy="42545"/>
                    </a:xfrm>
                    <a:prstGeom prst="rect">
                      <a:avLst/>
                    </a:prstGeom>
                    <a:noFill/>
                  </pic:spPr>
                </pic:pic>
              </a:graphicData>
            </a:graphic>
          </wp:anchor>
        </w:drawing>
      </w:r>
    </w:p>
    <w:p>
      <w:pPr>
        <w:sectPr>
          <w:pgSz w:w="11900" w:h="16838" w:orient="portrait"/>
          <w:cols w:equalWidth="0" w:num="1">
            <w:col w:w="10600"/>
          </w:cols>
          <w:pgMar w:left="640" w:top="131" w:right="659" w:bottom="1440" w:gutter="0" w:footer="0" w:header="0"/>
        </w:sectPr>
      </w:pPr>
    </w:p>
    <w:bookmarkStart w:id="11" w:name="page12"/>
    <w:bookmarkEnd w:id="11"/>
    <w:p>
      <w:pPr>
        <w:ind w:right="100"/>
        <w:spacing w:after="0" w:line="259" w:lineRule="auto"/>
        <w:rPr>
          <w:sz w:val="20"/>
          <w:szCs w:val="20"/>
          <w:color w:val="auto"/>
        </w:rPr>
      </w:pPr>
      <w:r>
        <w:rPr>
          <w:rFonts w:ascii="Arial" w:cs="Arial" w:eastAsia="Arial" w:hAnsi="Arial"/>
          <w:sz w:val="12"/>
          <w:szCs w:val="12"/>
          <w:color w:val="auto"/>
        </w:rPr>
        <w:t>the internet, video games and other sources of entertainment. The quality of in-house entertainment systems, as well as programming available on an in-home and mobile basis, has increased, while the cost to consumers of such systems (and such programming) has decreased in recent periods, and some consumers may prefer the security and/or convenience of an ”in-home” or mobile entertainment experience to the more public and presentation oriented experience offered by our cinemas and live theaters. Film distributors have been responding to these developments by, in some cases, decreasing or eliminating the period of time between cinema release and the date such product is made available to “in-home” forms of distribution.</w:t>
      </w:r>
    </w:p>
    <w:p>
      <w:pPr>
        <w:spacing w:after="0" w:line="98" w:lineRule="exact"/>
        <w:rPr>
          <w:sz w:val="20"/>
          <w:szCs w:val="20"/>
          <w:color w:val="auto"/>
        </w:rPr>
      </w:pPr>
    </w:p>
    <w:p>
      <w:pPr>
        <w:jc w:val="both"/>
        <w:ind w:right="60"/>
        <w:spacing w:after="0" w:line="263" w:lineRule="auto"/>
        <w:rPr>
          <w:sz w:val="20"/>
          <w:szCs w:val="20"/>
          <w:color w:val="auto"/>
        </w:rPr>
      </w:pPr>
      <w:r>
        <w:rPr>
          <w:rFonts w:ascii="Arial" w:cs="Arial" w:eastAsia="Arial" w:hAnsi="Arial"/>
          <w:sz w:val="12"/>
          <w:szCs w:val="12"/>
          <w:color w:val="auto"/>
        </w:rPr>
        <w:t>The narrowing and/or elimination of this so-called “window” for cinema exhibition may be problematic for the cinema exhibition industry. However, to date, attempts by the major film distributors to continue to narrow or eliminate the window have been strenuously resisted by the cinema exhibition industry, and we view the total elimination of the cinema exhibition window by major film distributors, while theoretically possible, to be unlikely.</w:t>
      </w:r>
    </w:p>
    <w:p>
      <w:pPr>
        <w:spacing w:after="0" w:line="105" w:lineRule="exact"/>
        <w:rPr>
          <w:sz w:val="20"/>
          <w:szCs w:val="20"/>
          <w:color w:val="auto"/>
        </w:rPr>
      </w:pPr>
    </w:p>
    <w:p>
      <w:pPr>
        <w:ind w:right="60"/>
        <w:spacing w:after="0" w:line="257" w:lineRule="auto"/>
        <w:rPr>
          <w:sz w:val="20"/>
          <w:szCs w:val="20"/>
          <w:color w:val="auto"/>
        </w:rPr>
      </w:pPr>
      <w:r>
        <w:rPr>
          <w:rFonts w:ascii="Arial" w:cs="Arial" w:eastAsia="Arial" w:hAnsi="Arial"/>
          <w:sz w:val="12"/>
          <w:szCs w:val="12"/>
          <w:color w:val="auto"/>
        </w:rPr>
        <w:t>However, there is the risk that, over time, distributors may move towards simultaneous release of motion picture product in multiple channels of distribution. Also, some traditional in-home and mobile distributors have begun the production of full-length movies, specifically for the purpose of direct or simultaneous release to the in-home and mobile markets. These factors may adversely affect the competitive advantage enjoyed by cinemas over “in-home” and mobile forms of entertainment, as it may be that the cinema market and the “in-home” and mobile markets will have simultaneous access to the same motion picture product. In recent times a number of movies were released on a simultaneous basis to movie exhibitors and to in-home and mobile markets. It is likely that this trend will continue, making it increasingly important for exhibitors to enhance the convenience and quality of the theater-going experience.</w:t>
      </w:r>
    </w:p>
    <w:p>
      <w:pPr>
        <w:spacing w:after="0" w:line="99" w:lineRule="exact"/>
        <w:rPr>
          <w:sz w:val="20"/>
          <w:szCs w:val="20"/>
          <w:color w:val="auto"/>
        </w:rPr>
      </w:pPr>
    </w:p>
    <w:p>
      <w:pPr>
        <w:ind w:right="140"/>
        <w:spacing w:after="0" w:line="276" w:lineRule="auto"/>
        <w:rPr>
          <w:sz w:val="20"/>
          <w:szCs w:val="20"/>
          <w:color w:val="auto"/>
        </w:rPr>
      </w:pPr>
      <w:r>
        <w:rPr>
          <w:rFonts w:ascii="Arial" w:cs="Arial" w:eastAsia="Arial" w:hAnsi="Arial"/>
          <w:sz w:val="12"/>
          <w:szCs w:val="12"/>
          <w:color w:val="auto"/>
        </w:rPr>
        <w:t>We also face competition from various other forms of “beyond-the-home” entertainment, including sporting events, concerts, restaurants, casinos, video game arcades, and nightclubs. Our cinemas also face competition from live theaters and vice versa.</w:t>
      </w:r>
    </w:p>
    <w:p>
      <w:pPr>
        <w:spacing w:after="0" w:line="8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cinema and live theater businesses may be vulnerable to fears of terrorism, other natural disasters which could cause customers to avoid public assembly seating</w:t>
      </w:r>
    </w:p>
    <w:p>
      <w:pPr>
        <w:spacing w:after="0" w:line="132" w:lineRule="exact"/>
        <w:rPr>
          <w:sz w:val="20"/>
          <w:szCs w:val="20"/>
          <w:color w:val="auto"/>
        </w:rPr>
      </w:pPr>
    </w:p>
    <w:p>
      <w:pPr>
        <w:ind w:right="200"/>
        <w:spacing w:after="0" w:line="276" w:lineRule="auto"/>
        <w:rPr>
          <w:sz w:val="20"/>
          <w:szCs w:val="20"/>
          <w:color w:val="auto"/>
        </w:rPr>
      </w:pPr>
      <w:r>
        <w:rPr>
          <w:rFonts w:ascii="Arial" w:cs="Arial" w:eastAsia="Arial" w:hAnsi="Arial"/>
          <w:sz w:val="12"/>
          <w:szCs w:val="12"/>
          <w:color w:val="auto"/>
        </w:rPr>
        <w:t>Political events, such as terrorist attacks, and health-related epidemics, such as flu outbreaks, could cause patrons to avoid our cinemas or other public places where large crowds are in attendance. In addition, a natural disaster, such as a typhoon or an earthquake, could impact our ability to operate certain of our cinemas, which could adversely affect our results of operations.</w:t>
      </w:r>
    </w:p>
    <w:p>
      <w:pPr>
        <w:spacing w:after="0" w:line="88" w:lineRule="exact"/>
        <w:rPr>
          <w:sz w:val="20"/>
          <w:szCs w:val="20"/>
          <w:color w:val="auto"/>
        </w:rPr>
      </w:pPr>
    </w:p>
    <w:p>
      <w:pPr>
        <w:spacing w:after="0"/>
        <w:rPr>
          <w:sz w:val="20"/>
          <w:szCs w:val="20"/>
          <w:color w:val="auto"/>
        </w:rPr>
      </w:pPr>
      <w:r>
        <w:rPr>
          <w:rFonts w:ascii="Arial" w:cs="Arial" w:eastAsia="Arial" w:hAnsi="Arial"/>
          <w:sz w:val="11"/>
          <w:szCs w:val="11"/>
          <w:b w:val="1"/>
          <w:bCs w:val="1"/>
          <w:i w:val="1"/>
          <w:iCs w:val="1"/>
          <w:color w:val="auto"/>
        </w:rPr>
        <w:t>Our cinema operations depend upon access to film that is attractive to our patrons, and our live theater operations depend upon the continued attractiveness of our theaters to producers.</w:t>
      </w:r>
    </w:p>
    <w:p>
      <w:pPr>
        <w:spacing w:after="0" w:line="135" w:lineRule="exact"/>
        <w:rPr>
          <w:sz w:val="20"/>
          <w:szCs w:val="20"/>
          <w:color w:val="auto"/>
        </w:rPr>
      </w:pPr>
    </w:p>
    <w:p>
      <w:pPr>
        <w:spacing w:after="0" w:line="290" w:lineRule="auto"/>
        <w:rPr>
          <w:sz w:val="20"/>
          <w:szCs w:val="20"/>
          <w:color w:val="auto"/>
        </w:rPr>
      </w:pPr>
      <w:r>
        <w:rPr>
          <w:rFonts w:ascii="Arial" w:cs="Arial" w:eastAsia="Arial" w:hAnsi="Arial"/>
          <w:sz w:val="11"/>
          <w:szCs w:val="11"/>
          <w:color w:val="auto"/>
        </w:rPr>
        <w:t>Our ability to generate revenue and profits is largely dependent on factors outside of our control, specifically, the continued ability of motion picture and live theater producers to produce films and plays that are attractive to audiences, the amount of money spent by film distributors and theatrical producers to promote their motion pictures and plays, and the willingness of these producers to license their films on terms that are financially viable to our cinemas and to rent our theaters for the presentation of their plays. To the extent that popular movies and plays are produced, our cinema and live theater activities are ultimately dependent upon our ability, in the face of competition from other cinema and live theater operators to book these movies and plays into our facilities, and to provide a superior customer offering.</w:t>
      </w:r>
    </w:p>
    <w:p>
      <w:pPr>
        <w:spacing w:after="0" w:line="91" w:lineRule="exact"/>
        <w:rPr>
          <w:sz w:val="20"/>
          <w:szCs w:val="20"/>
          <w:color w:val="auto"/>
        </w:rPr>
      </w:pPr>
    </w:p>
    <w:p>
      <w:pPr>
        <w:ind w:right="100"/>
        <w:spacing w:after="0" w:line="290" w:lineRule="auto"/>
        <w:rPr>
          <w:sz w:val="20"/>
          <w:szCs w:val="20"/>
          <w:color w:val="auto"/>
        </w:rPr>
      </w:pPr>
      <w:r>
        <w:rPr>
          <w:rFonts w:ascii="Arial" w:cs="Arial" w:eastAsia="Arial" w:hAnsi="Arial"/>
          <w:sz w:val="11"/>
          <w:szCs w:val="11"/>
          <w:color w:val="auto"/>
        </w:rPr>
        <w:t>We rely on film distributors to supply the films shown in our theatres. In the U.S., the film distribution business is highly concentrated, with seven major film distributors accounting for approximately 89.5% of U.S. box office revenues. Numerous antitrust cases and the consent decree resulting from these antitrust cases affect the distribution of films. Consequently, we cannot guarantee a supply of films by entering into long-term arrangements with major distributors. We are therefore required to negotiate licenses for each film and for each theatre. A deterioration of our relationship with any of the seven major film distributors could adversely affect our ability to obtain commercially successful films and to negotiate favorable licensing terms for such films, both of which could adversely affect our business and operating results.</w:t>
      </w:r>
    </w:p>
    <w:p>
      <w:pPr>
        <w:spacing w:after="0" w:line="82" w:lineRule="exact"/>
        <w:rPr>
          <w:sz w:val="20"/>
          <w:szCs w:val="20"/>
          <w:color w:val="auto"/>
        </w:rPr>
      </w:pPr>
    </w:p>
    <w:p>
      <w:pPr>
        <w:spacing w:after="0" w:line="263" w:lineRule="auto"/>
        <w:rPr>
          <w:sz w:val="20"/>
          <w:szCs w:val="20"/>
          <w:color w:val="auto"/>
        </w:rPr>
      </w:pPr>
      <w:r>
        <w:rPr>
          <w:rFonts w:ascii="Arial" w:cs="Arial" w:eastAsia="Arial" w:hAnsi="Arial"/>
          <w:sz w:val="12"/>
          <w:szCs w:val="12"/>
          <w:color w:val="auto"/>
        </w:rPr>
        <w:t>In the U.S., at least until recently, distributors have had broad discretion not to show the same film at competitive cinemas. This has, in many situations, given the larger exhibitors (as a result of their market power) power to influence distributors to exercise their discretion in this regard in favor of the larger exhibitors. In this industry, this is called “clearance.” Recent judicial decisions, however, have thrown doubt on the extent to which this practice will continue to be permitted under applicable antitrust laws.</w:t>
      </w:r>
    </w:p>
    <w:p>
      <w:pPr>
        <w:spacing w:after="0" w:line="9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Adverse economic conditions could materially affect our business by reducing discretionary income and by limiting or reducing sources of film and live theater funding.</w:t>
      </w:r>
    </w:p>
    <w:p>
      <w:pPr>
        <w:spacing w:after="0" w:line="132" w:lineRule="exact"/>
        <w:rPr>
          <w:sz w:val="20"/>
          <w:szCs w:val="20"/>
          <w:color w:val="auto"/>
        </w:rPr>
      </w:pPr>
    </w:p>
    <w:p>
      <w:pPr>
        <w:ind w:right="640"/>
        <w:spacing w:after="0" w:line="323" w:lineRule="auto"/>
        <w:rPr>
          <w:sz w:val="20"/>
          <w:szCs w:val="20"/>
          <w:color w:val="auto"/>
        </w:rPr>
      </w:pPr>
      <w:r>
        <w:rPr>
          <w:rFonts w:ascii="Arial" w:cs="Arial" w:eastAsia="Arial" w:hAnsi="Arial"/>
          <w:sz w:val="11"/>
          <w:szCs w:val="11"/>
          <w:color w:val="auto"/>
        </w:rPr>
        <w:t>Cinema and live theater attendance is a luxury, not a necessity. Accordingly, a decline in the economy resulting in a decrease in discretionary income, or a perception of such a decline, may result in decreased discretionary spending, which could adversely affect our cinema and live theater businesses. Adverse economic conditions can also affect the supply side of our business, as reduced</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59690</wp:posOffset>
            </wp:positionV>
            <wp:extent cx="677989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779895" cy="42545"/>
                    </a:xfrm>
                    <a:prstGeom prst="rect">
                      <a:avLst/>
                    </a:prstGeom>
                    <a:noFill/>
                  </pic:spPr>
                </pic:pic>
              </a:graphicData>
            </a:graphic>
          </wp:anchor>
        </w:drawing>
      </w:r>
    </w:p>
    <w:p>
      <w:pPr>
        <w:sectPr>
          <w:pgSz w:w="11900" w:h="16838" w:orient="portrait"/>
          <w:cols w:equalWidth="0" w:num="1">
            <w:col w:w="10620"/>
          </w:cols>
          <w:pgMar w:left="640" w:top="131" w:right="639" w:bottom="1440" w:gutter="0" w:footer="0" w:header="0"/>
        </w:sectPr>
      </w:pPr>
    </w:p>
    <w:bookmarkStart w:id="12" w:name="page13"/>
    <w:bookmarkEnd w:id="12"/>
    <w:p>
      <w:pPr>
        <w:ind w:right="100"/>
        <w:spacing w:after="0" w:line="276" w:lineRule="auto"/>
        <w:rPr>
          <w:sz w:val="20"/>
          <w:szCs w:val="20"/>
          <w:color w:val="auto"/>
        </w:rPr>
      </w:pPr>
      <w:r>
        <w:rPr>
          <w:rFonts w:ascii="Arial" w:cs="Arial" w:eastAsia="Arial" w:hAnsi="Arial"/>
          <w:sz w:val="12"/>
          <w:szCs w:val="12"/>
          <w:color w:val="auto"/>
        </w:rPr>
        <w:t>liquidity can adversely affect the availability of funding for movies and plays. This is particularly true in the case of Off-Broadway plays, which are often times financed by high net worth individuals (or groups of such individuals) and that are very risky due to the absence of any ability to recoup investment in secondary markets like Blu-ray/DVD, cable, satellite or internet distribution.</w:t>
      </w:r>
    </w:p>
    <w:p>
      <w:pPr>
        <w:spacing w:after="0" w:line="8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screen advertising revenue may decline.</w:t>
      </w:r>
    </w:p>
    <w:p>
      <w:pPr>
        <w:spacing w:after="0" w:line="132" w:lineRule="exact"/>
        <w:rPr>
          <w:sz w:val="20"/>
          <w:szCs w:val="20"/>
          <w:color w:val="auto"/>
        </w:rPr>
      </w:pPr>
    </w:p>
    <w:p>
      <w:pPr>
        <w:jc w:val="both"/>
        <w:spacing w:after="0" w:line="323" w:lineRule="auto"/>
        <w:rPr>
          <w:sz w:val="20"/>
          <w:szCs w:val="20"/>
          <w:color w:val="auto"/>
        </w:rPr>
      </w:pPr>
      <w:r>
        <w:rPr>
          <w:rFonts w:ascii="Arial" w:cs="Arial" w:eastAsia="Arial" w:hAnsi="Arial"/>
          <w:sz w:val="11"/>
          <w:szCs w:val="11"/>
          <w:color w:val="auto"/>
        </w:rPr>
        <w:t>Over the past several years, cinema exhibitors have been looking increasingly to screen advertising as a way to improve income. No assurances can be given that this source of income will be continuing, or that the use of such advertising will not ultimately prove to be counterproductive, by giving consumers a disincentive to choose going to the movies over “in-home” or mobile entertainment alternatives.</w:t>
      </w:r>
    </w:p>
    <w:p>
      <w:pPr>
        <w:spacing w:after="0" w:line="6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face uncertainty as to the timing and direction of technological innovations in the cinema exhibition business and as to our access to those technologies.</w:t>
      </w:r>
    </w:p>
    <w:p>
      <w:pPr>
        <w:spacing w:after="0" w:line="123" w:lineRule="exact"/>
        <w:rPr>
          <w:sz w:val="20"/>
          <w:szCs w:val="20"/>
          <w:color w:val="auto"/>
        </w:rPr>
      </w:pPr>
    </w:p>
    <w:p>
      <w:pPr>
        <w:ind w:right="160"/>
        <w:spacing w:after="0" w:line="323" w:lineRule="auto"/>
        <w:rPr>
          <w:sz w:val="20"/>
          <w:szCs w:val="20"/>
          <w:color w:val="auto"/>
        </w:rPr>
      </w:pPr>
      <w:r>
        <w:rPr>
          <w:rFonts w:ascii="Arial" w:cs="Arial" w:eastAsia="Arial" w:hAnsi="Arial"/>
          <w:sz w:val="11"/>
          <w:szCs w:val="11"/>
          <w:color w:val="auto"/>
        </w:rPr>
        <w:t>We have converted all of our cinema auditoriums to digital projection. However, no assurances can be given that other technological advances will not require us to make further material investments in our cinemas or face loss of business. Also, equipment is currently being developed for holographic or laser projection. The future of these technologies in the cinema exhibition industry is uncertain.</w:t>
      </w:r>
    </w:p>
    <w:p>
      <w:pPr>
        <w:spacing w:after="0" w:line="7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face competition from new competitors offering food and beverage as an integral part of their cinema offerings.</w:t>
      </w:r>
    </w:p>
    <w:p>
      <w:pPr>
        <w:spacing w:after="0" w:line="123"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A number of new entrants, such as Alamo Drafthouse and iPic, offering an expanded food and beverage menu (including the sale of alcoholic beverages), have emerged in recent periods. In addition, some competitors are converting existing cinemas to provide such expanded menu offerings and in-theater dining options. The existence of such cinemas may alter traditional cinema selection practices of moviegoers, as they seek out cinemas with such expanded offerings as a preferred alternative to traditional cinemas.</w:t>
      </w:r>
    </w:p>
    <w:p>
      <w:pPr>
        <w:spacing w:after="0" w:line="9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may be subject to increased labor and benefits costs.</w:t>
      </w:r>
    </w:p>
    <w:p>
      <w:pPr>
        <w:spacing w:after="0" w:line="132" w:lineRule="exact"/>
        <w:rPr>
          <w:sz w:val="20"/>
          <w:szCs w:val="20"/>
          <w:color w:val="auto"/>
        </w:rPr>
      </w:pPr>
    </w:p>
    <w:p>
      <w:pPr>
        <w:ind w:right="80"/>
        <w:spacing w:after="0" w:line="259" w:lineRule="auto"/>
        <w:rPr>
          <w:sz w:val="20"/>
          <w:szCs w:val="20"/>
          <w:color w:val="auto"/>
        </w:rPr>
      </w:pPr>
      <w:r>
        <w:rPr>
          <w:rFonts w:ascii="Arial" w:cs="Arial" w:eastAsia="Arial" w:hAnsi="Arial"/>
          <w:sz w:val="12"/>
          <w:szCs w:val="12"/>
          <w:color w:val="auto"/>
        </w:rPr>
        <w:t>We are subject to laws governing such matters as minimum wages, working conditions and overtime. As minimum wage rates increase, we may need to increase not only the wages of our minimum wage employees, but also the wages paid to employees at wage rates that are above minimum wage. Labor shortages, increased employee turnover and health care mandates could also increase our labor costs. This in turn could lead us to increase prices which could impact our sales. Conversely, if competitive pressures or other factors prevent us from offsetting increased labor costs by increases in prices, our results of operations may be adversely impacted.</w:t>
      </w:r>
    </w:p>
    <w:p>
      <w:pPr>
        <w:spacing w:after="0" w:line="9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Cyber security threats and our failure to protect our electronically stored data could adversely affect our business.</w:t>
      </w:r>
    </w:p>
    <w:p>
      <w:pPr>
        <w:spacing w:after="0" w:line="123" w:lineRule="exact"/>
        <w:rPr>
          <w:sz w:val="20"/>
          <w:szCs w:val="20"/>
          <w:color w:val="auto"/>
        </w:rPr>
      </w:pPr>
    </w:p>
    <w:p>
      <w:pPr>
        <w:ind w:right="100"/>
        <w:spacing w:after="0" w:line="286" w:lineRule="auto"/>
        <w:rPr>
          <w:sz w:val="20"/>
          <w:szCs w:val="20"/>
          <w:color w:val="auto"/>
        </w:rPr>
      </w:pPr>
      <w:r>
        <w:rPr>
          <w:rFonts w:ascii="Arial" w:cs="Arial" w:eastAsia="Arial" w:hAnsi="Arial"/>
          <w:sz w:val="11"/>
          <w:szCs w:val="11"/>
          <w:color w:val="auto"/>
        </w:rPr>
        <w:t>We store and maintain electronic information and data necessary to conduct our business. Data maintained in electronic form is subject to the risk of intrusion, tampering and theft. While we have adopted industry-accepted security measures and technology to protect the confidential and proprietary information, the development and maintenance of these systems is costly and require ongoing monitoring and updating as technologies change and efforts to overcome security measures become more sophisticated. As such, we may be unable to anticipate and implement adequate preventive measures in time. This may adversely affect our business, including exposure to government enforcement actions and private litigation, and our reputation with our customers and employees may be injured. In addition to Company-specific cyber threats or attacks, our business and results of operations could also be impacted by breaches affecting our peers and partners within the entertainment industry, as well as other retail companies.</w:t>
      </w:r>
    </w:p>
    <w:p>
      <w:pPr>
        <w:spacing w:after="0" w:line="35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Real Estate Development and Ownership Business Risks</w:t>
      </w:r>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operate in a highly competitive environment in which we must compete against companies with much greater financial and human resources than we have.</w:t>
      </w:r>
    </w:p>
    <w:p>
      <w:pPr>
        <w:spacing w:after="0" w:line="132" w:lineRule="exact"/>
        <w:rPr>
          <w:sz w:val="20"/>
          <w:szCs w:val="20"/>
          <w:color w:val="auto"/>
        </w:rPr>
      </w:pPr>
    </w:p>
    <w:p>
      <w:pPr>
        <w:ind w:right="400"/>
        <w:spacing w:after="0" w:line="276" w:lineRule="auto"/>
        <w:rPr>
          <w:sz w:val="20"/>
          <w:szCs w:val="20"/>
          <w:color w:val="auto"/>
        </w:rPr>
      </w:pPr>
      <w:r>
        <w:rPr>
          <w:rFonts w:ascii="Arial" w:cs="Arial" w:eastAsia="Arial" w:hAnsi="Arial"/>
          <w:sz w:val="12"/>
          <w:szCs w:val="12"/>
          <w:color w:val="auto"/>
        </w:rPr>
        <w:t>We have limited financial and human resources, compared to our principal real estate competitors. In recent periods, we have relied heavily on outside professionals in connection with our real estate development activities. Many of our competitors have significantly greater resources and may be able to achieve greater economies of scale than we can.</w:t>
      </w:r>
    </w:p>
    <w:p>
      <w:pPr>
        <w:spacing w:after="0" w:line="8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Risks Related to the Real Estate Industry Generally</w:t>
      </w:r>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financial performance will be affected by risks associated with the real estate industry generally.</w:t>
      </w:r>
    </w:p>
    <w:p>
      <w:pPr>
        <w:spacing w:after="0" w:line="132" w:lineRule="exact"/>
        <w:rPr>
          <w:sz w:val="20"/>
          <w:szCs w:val="20"/>
          <w:color w:val="auto"/>
        </w:rPr>
      </w:pPr>
    </w:p>
    <w:p>
      <w:pPr>
        <w:ind w:right="220"/>
        <w:spacing w:after="0" w:line="323" w:lineRule="auto"/>
        <w:rPr>
          <w:sz w:val="20"/>
          <w:szCs w:val="20"/>
          <w:color w:val="auto"/>
        </w:rPr>
      </w:pPr>
      <w:r>
        <w:rPr>
          <w:rFonts w:ascii="Arial" w:cs="Arial" w:eastAsia="Arial" w:hAnsi="Arial"/>
          <w:sz w:val="11"/>
          <w:szCs w:val="11"/>
          <w:color w:val="auto"/>
        </w:rPr>
        <w:t>Events and conditions generally applicable to developers, owners, and operators of real property will affect our performance as well. These include (i) changes in the national, regional and local economic climate, (ii) local conditions, such as an oversupply of, or a reduction in demand for, commercial space and/or entertainment-oriented properties, (iii) reduced attractiveness of our properties to</w:t>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59690</wp:posOffset>
            </wp:positionV>
            <wp:extent cx="677989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779895" cy="42545"/>
                    </a:xfrm>
                    <a:prstGeom prst="rect">
                      <a:avLst/>
                    </a:prstGeom>
                    <a:noFill/>
                  </pic:spPr>
                </pic:pic>
              </a:graphicData>
            </a:graphic>
          </wp:anchor>
        </w:drawing>
      </w:r>
    </w:p>
    <w:p>
      <w:pPr>
        <w:sectPr>
          <w:pgSz w:w="11900" w:h="16838" w:orient="portrait"/>
          <w:cols w:equalWidth="0" w:num="1">
            <w:col w:w="10600"/>
          </w:cols>
          <w:pgMar w:left="640" w:top="131" w:right="659" w:bottom="1440" w:gutter="0" w:footer="0" w:header="0"/>
        </w:sectPr>
      </w:pPr>
    </w:p>
    <w:bookmarkStart w:id="13" w:name="page14"/>
    <w:bookmarkEnd w:id="13"/>
    <w:p>
      <w:pPr>
        <w:spacing w:after="0"/>
        <w:rPr>
          <w:sz w:val="20"/>
          <w:szCs w:val="20"/>
          <w:color w:val="auto"/>
        </w:rPr>
      </w:pPr>
      <w:r>
        <w:rPr>
          <w:rFonts w:ascii="Arial" w:cs="Arial" w:eastAsia="Arial" w:hAnsi="Arial"/>
          <w:sz w:val="11"/>
          <w:szCs w:val="11"/>
          <w:color w:val="auto"/>
        </w:rPr>
        <w:t>tenants, (iv) the rental rates and capitalization rates applicable to the markets in which we operate and the quality of properties that we own, (v) competition from other properties, (vi) inability to collect rent from tenants,</w:t>
      </w:r>
    </w:p>
    <w:p>
      <w:pPr>
        <w:spacing w:after="0" w:line="26" w:lineRule="exact"/>
        <w:rPr>
          <w:sz w:val="20"/>
          <w:szCs w:val="20"/>
          <w:color w:val="auto"/>
        </w:rPr>
      </w:pPr>
    </w:p>
    <w:p>
      <w:pPr>
        <w:ind w:left="240" w:hanging="236"/>
        <w:spacing w:after="0"/>
        <w:tabs>
          <w:tab w:leader="none" w:pos="240" w:val="left"/>
        </w:tabs>
        <w:numPr>
          <w:ilvl w:val="0"/>
          <w:numId w:val="10"/>
        </w:numPr>
        <w:rPr>
          <w:rFonts w:ascii="Arial" w:cs="Arial" w:eastAsia="Arial" w:hAnsi="Arial"/>
          <w:sz w:val="11"/>
          <w:szCs w:val="11"/>
          <w:color w:val="auto"/>
        </w:rPr>
      </w:pPr>
      <w:r>
        <w:rPr>
          <w:rFonts w:ascii="Arial" w:cs="Arial" w:eastAsia="Arial" w:hAnsi="Arial"/>
          <w:sz w:val="11"/>
          <w:szCs w:val="11"/>
          <w:color w:val="auto"/>
        </w:rPr>
        <w:t>increased operating costs, including labor, materials, real estate taxes, insurance premiums, and utilities, (viii) costs of complying with changes in government regulations, (ix) the relative illiquidity of real estate</w:t>
      </w:r>
    </w:p>
    <w:p>
      <w:pPr>
        <w:spacing w:after="0" w:line="17" w:lineRule="exact"/>
        <w:rPr>
          <w:rFonts w:ascii="Arial" w:cs="Arial" w:eastAsia="Arial" w:hAnsi="Arial"/>
          <w:sz w:val="11"/>
          <w:szCs w:val="11"/>
          <w:color w:val="auto"/>
        </w:rPr>
      </w:pPr>
    </w:p>
    <w:p>
      <w:pPr>
        <w:spacing w:after="0" w:line="306" w:lineRule="auto"/>
        <w:rPr>
          <w:rFonts w:ascii="Arial" w:cs="Arial" w:eastAsia="Arial" w:hAnsi="Arial"/>
          <w:sz w:val="11"/>
          <w:szCs w:val="11"/>
          <w:color w:val="auto"/>
        </w:rPr>
      </w:pPr>
      <w:r>
        <w:rPr>
          <w:rFonts w:ascii="Arial" w:cs="Arial" w:eastAsia="Arial" w:hAnsi="Arial"/>
          <w:sz w:val="11"/>
          <w:szCs w:val="11"/>
          <w:color w:val="auto"/>
        </w:rPr>
        <w:t>investments, and (x) decreases in sources of both construction and long-term lending as traditional sources of such funding leave or reduce their commitments to real estate-based lending. In addition, periods of economic slowdown or recession, rising interest rates or declining demand for real estate, or the public perception that any of these events may occur, could result in declining rents or increased lease defaults.</w:t>
      </w:r>
    </w:p>
    <w:p>
      <w:pPr>
        <w:spacing w:after="0" w:line="7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may incur costs complying with the Americans with Disabilities Act and similar laws.</w:t>
      </w:r>
    </w:p>
    <w:p>
      <w:pPr>
        <w:spacing w:after="0" w:line="132" w:lineRule="exact"/>
        <w:rPr>
          <w:sz w:val="20"/>
          <w:szCs w:val="20"/>
          <w:color w:val="auto"/>
        </w:rPr>
      </w:pPr>
    </w:p>
    <w:p>
      <w:pPr>
        <w:ind w:right="100"/>
        <w:spacing w:after="0" w:line="263" w:lineRule="auto"/>
        <w:rPr>
          <w:sz w:val="20"/>
          <w:szCs w:val="20"/>
          <w:color w:val="auto"/>
        </w:rPr>
      </w:pPr>
      <w:r>
        <w:rPr>
          <w:rFonts w:ascii="Arial" w:cs="Arial" w:eastAsia="Arial" w:hAnsi="Arial"/>
          <w:sz w:val="12"/>
          <w:szCs w:val="12"/>
          <w:color w:val="auto"/>
        </w:rPr>
        <w:t>Under the Americans with Disabilities Act and similar statutory regimes in Australia and New Zealand or under applicable state or local law, all places of public accommodation (including cinemas and theaters) are required to meet certain governmental requirements related to access and use by persons with disabilities. A determination that we are not in compliance with those governmental requirements with respect to any of our properties could result in the imposition of fines or an award of damages to private litigants. The cost of addressing these issues could be substantial.</w:t>
      </w:r>
    </w:p>
    <w:p>
      <w:pPr>
        <w:spacing w:after="0" w:line="9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Illiquidity of real estate investments could impede our ability to respond to adverse changes in the performance of our properties.</w:t>
      </w:r>
    </w:p>
    <w:p>
      <w:pPr>
        <w:spacing w:after="0" w:line="123" w:lineRule="exact"/>
        <w:rPr>
          <w:sz w:val="20"/>
          <w:szCs w:val="20"/>
          <w:color w:val="auto"/>
        </w:rPr>
      </w:pPr>
    </w:p>
    <w:p>
      <w:pPr>
        <w:jc w:val="both"/>
        <w:ind w:right="120"/>
        <w:spacing w:after="0" w:line="340" w:lineRule="auto"/>
        <w:rPr>
          <w:sz w:val="20"/>
          <w:szCs w:val="20"/>
          <w:color w:val="auto"/>
        </w:rPr>
      </w:pPr>
      <w:r>
        <w:rPr>
          <w:rFonts w:ascii="Arial" w:cs="Arial" w:eastAsia="Arial" w:hAnsi="Arial"/>
          <w:sz w:val="10"/>
          <w:szCs w:val="10"/>
          <w:color w:val="auto"/>
        </w:rPr>
        <w:t>Real estate investments are relatively illiquid and, therefore, tend to limit our ability to vary our portfolio promptly in response to changes in economic or other conditions. Many of our properties are either (i) “special purpose” properties that could not be readily converted to general residential, retail or office use, or (ii) undeveloped land. In addition, certain significant expenditures associated with real estate investment, such as real estate taxes and maintenance costs, are generally not reduced when circumstances cause a reduction in income from the investment, and competitive factors may prevent the pass-through of such costs to tenants.</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Real estate development involves a variety of risks.</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color w:val="auto"/>
        </w:rPr>
        <w:t>Real estate development involves a variety of risks, including the following:</w:t>
      </w:r>
    </w:p>
    <w:p>
      <w:pPr>
        <w:spacing w:after="0" w:line="123" w:lineRule="exact"/>
        <w:rPr>
          <w:sz w:val="20"/>
          <w:szCs w:val="20"/>
          <w:color w:val="auto"/>
        </w:rPr>
      </w:pPr>
    </w:p>
    <w:p>
      <w:pPr>
        <w:ind w:left="260" w:hanging="36"/>
        <w:spacing w:after="0" w:line="255" w:lineRule="auto"/>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The identification and acquisition of suitable development properties</w:t>
      </w:r>
      <w:r>
        <w:rPr>
          <w:rFonts w:ascii="Arial" w:cs="Arial" w:eastAsia="Arial" w:hAnsi="Arial"/>
          <w:sz w:val="12"/>
          <w:szCs w:val="12"/>
          <w:color w:val="auto"/>
        </w:rPr>
        <w:t>. Competition for suitable development properties is intense. Our ability to identify and acquire development properties may be limited by our size and resources. Also, as we and our affiliates are considered to be “foreign owned” for purposes of certain Australian and New Zealand statutes, we have been in the past, and may in the future be, subject to regulations that are not applicable to other persons doing business in those countries.</w:t>
      </w:r>
    </w:p>
    <w:p>
      <w:pPr>
        <w:spacing w:after="0" w:line="1" w:lineRule="exact"/>
        <w:rPr>
          <w:sz w:val="20"/>
          <w:szCs w:val="20"/>
          <w:color w:val="auto"/>
        </w:rPr>
      </w:pPr>
    </w:p>
    <w:p>
      <w:pPr>
        <w:ind w:left="260" w:right="20" w:hanging="36"/>
        <w:spacing w:after="0" w:line="250" w:lineRule="auto"/>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The procurement of necessary land use entitlements for the project</w:t>
      </w:r>
      <w:r>
        <w:rPr>
          <w:rFonts w:ascii="Arial" w:cs="Arial" w:eastAsia="Arial" w:hAnsi="Arial"/>
          <w:sz w:val="12"/>
          <w:szCs w:val="12"/>
          <w:color w:val="auto"/>
        </w:rPr>
        <w:t>. This process can take many years, particularly if opposed by competing interests. Competitors and community groups (sometimes funded by such competitors) may object based on various factors, including, for example, impacts on density, parking, traffic, noise levels and the historic or architectural nature of the building being replaced. If they are unsuccessful at the local governmental level, they may seek recourse to the courts or other tribunals. This can delay projects and increase costs.</w:t>
      </w:r>
    </w:p>
    <w:p>
      <w:pPr>
        <w:spacing w:after="0" w:line="1" w:lineRule="exact"/>
        <w:rPr>
          <w:sz w:val="20"/>
          <w:szCs w:val="20"/>
          <w:color w:val="auto"/>
        </w:rPr>
      </w:pPr>
    </w:p>
    <w:p>
      <w:pPr>
        <w:ind w:left="260" w:right="420" w:hanging="36"/>
        <w:spacing w:after="0" w:line="273" w:lineRule="auto"/>
        <w:rPr>
          <w:sz w:val="20"/>
          <w:szCs w:val="20"/>
          <w:color w:val="auto"/>
        </w:rPr>
      </w:pPr>
      <w:r>
        <w:rPr>
          <w:rFonts w:ascii="Arial" w:cs="Arial" w:eastAsia="Arial" w:hAnsi="Arial"/>
          <w:sz w:val="11"/>
          <w:szCs w:val="11"/>
          <w:color w:val="auto"/>
        </w:rPr>
        <w:t>·</w:t>
      </w:r>
      <w:r>
        <w:rPr>
          <w:rFonts w:ascii="Arial" w:cs="Arial" w:eastAsia="Arial" w:hAnsi="Arial"/>
          <w:sz w:val="11"/>
          <w:szCs w:val="11"/>
          <w:i w:val="1"/>
          <w:iCs w:val="1"/>
          <w:color w:val="auto"/>
        </w:rPr>
        <w:t>The construction of the project on time and on budget</w:t>
      </w:r>
      <w:r>
        <w:rPr>
          <w:rFonts w:ascii="Arial" w:cs="Arial" w:eastAsia="Arial" w:hAnsi="Arial"/>
          <w:sz w:val="11"/>
          <w:szCs w:val="11"/>
          <w:color w:val="auto"/>
        </w:rPr>
        <w:t>. Construction risks include the availability and cost of financing; the availability and costs of material and labor; the costs of dealing with unknown site conditions (including addressing pollution or environmental wastes deposited upon the property by prior owners); inclement weather conditions; and the ever-present potential for labor-related disruptions.</w:t>
      </w:r>
    </w:p>
    <w:p>
      <w:pPr>
        <w:ind w:left="260" w:hanging="36"/>
        <w:spacing w:after="0" w:line="273" w:lineRule="auto"/>
        <w:rPr>
          <w:sz w:val="20"/>
          <w:szCs w:val="20"/>
          <w:color w:val="auto"/>
        </w:rPr>
      </w:pPr>
      <w:r>
        <w:rPr>
          <w:rFonts w:ascii="Arial" w:cs="Arial" w:eastAsia="Arial" w:hAnsi="Arial"/>
          <w:sz w:val="11"/>
          <w:szCs w:val="11"/>
          <w:color w:val="auto"/>
        </w:rPr>
        <w:t>·</w:t>
      </w:r>
      <w:r>
        <w:rPr>
          <w:rFonts w:ascii="Arial" w:cs="Arial" w:eastAsia="Arial" w:hAnsi="Arial"/>
          <w:sz w:val="11"/>
          <w:szCs w:val="11"/>
          <w:i w:val="1"/>
          <w:iCs w:val="1"/>
          <w:color w:val="auto"/>
        </w:rPr>
        <w:t>The leasing or sell-out of the project</w:t>
      </w:r>
      <w:r>
        <w:rPr>
          <w:rFonts w:ascii="Arial" w:cs="Arial" w:eastAsia="Arial" w:hAnsi="Arial"/>
          <w:sz w:val="11"/>
          <w:szCs w:val="11"/>
          <w:color w:val="auto"/>
        </w:rPr>
        <w:t>. Ultimately, there are risks involved in the leasing of a rental property or the sale of a condominium or built-for-sale property. For our ETCs, the extent to which our cinemas can continue to serve as an anchor tenant will be influenced by the same factors as will influence generally the results of our cinema operations. Leasing or sale can be influenced by economic factors that are neither known nor knowable at the commencement of the development process and by local, national, and even international economic conditions, both real and perceived.</w:t>
      </w:r>
    </w:p>
    <w:p>
      <w:pPr>
        <w:ind w:left="260" w:right="80" w:hanging="36"/>
        <w:spacing w:after="0" w:line="331" w:lineRule="auto"/>
        <w:rPr>
          <w:sz w:val="20"/>
          <w:szCs w:val="20"/>
          <w:color w:val="auto"/>
        </w:rPr>
      </w:pPr>
      <w:r>
        <w:rPr>
          <w:rFonts w:ascii="Arial" w:cs="Arial" w:eastAsia="Arial" w:hAnsi="Arial"/>
          <w:sz w:val="10"/>
          <w:szCs w:val="10"/>
          <w:color w:val="auto"/>
        </w:rPr>
        <w:t>·</w:t>
      </w:r>
      <w:r>
        <w:rPr>
          <w:rFonts w:ascii="Arial" w:cs="Arial" w:eastAsia="Arial" w:hAnsi="Arial"/>
          <w:sz w:val="10"/>
          <w:szCs w:val="10"/>
          <w:i w:val="1"/>
          <w:iCs w:val="1"/>
          <w:color w:val="auto"/>
        </w:rPr>
        <w:t>The refinancing of completed properties</w:t>
      </w:r>
      <w:r>
        <w:rPr>
          <w:rFonts w:ascii="Arial" w:cs="Arial" w:eastAsia="Arial" w:hAnsi="Arial"/>
          <w:sz w:val="10"/>
          <w:szCs w:val="10"/>
          <w:color w:val="auto"/>
        </w:rPr>
        <w:t>. Properties are often developed using relatively short-term loans. Upon completion of the project, it may be necessary to find replacement financing for these loans. This process involves risk as to the availability of such permanent or other take-out financing, the interest rates, and the payment terms applicable to such financing, which may be adversely influenced by local, national, or international factors. To date, we have been successful in negotiating development loans with “roll over” or other provisions mitigating our need to refinance immediately upon completion of construction.</w:t>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59690</wp:posOffset>
            </wp:positionV>
            <wp:extent cx="677989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779895" cy="42545"/>
                    </a:xfrm>
                    <a:prstGeom prst="rect">
                      <a:avLst/>
                    </a:prstGeom>
                    <a:noFill/>
                  </pic:spPr>
                </pic:pic>
              </a:graphicData>
            </a:graphic>
          </wp:anchor>
        </w:drawing>
      </w:r>
    </w:p>
    <w:p>
      <w:pPr>
        <w:sectPr>
          <w:pgSz w:w="11900" w:h="16838" w:orient="portrait"/>
          <w:cols w:equalWidth="0" w:num="1">
            <w:col w:w="10600"/>
          </w:cols>
          <w:pgMar w:left="640" w:top="131" w:right="659" w:bottom="1440" w:gutter="0" w:footer="0" w:header="0"/>
        </w:sectPr>
      </w:pPr>
    </w:p>
    <w:bookmarkStart w:id="14" w:name="page15"/>
    <w:bookmarkEnd w:id="14"/>
    <w:p>
      <w:pPr>
        <w:spacing w:after="0"/>
        <w:rPr>
          <w:sz w:val="20"/>
          <w:szCs w:val="20"/>
          <w:color w:val="auto"/>
        </w:rPr>
      </w:pPr>
      <w:r>
        <w:rPr>
          <w:rFonts w:ascii="Arial" w:cs="Arial" w:eastAsia="Arial" w:hAnsi="Arial"/>
          <w:sz w:val="12"/>
          <w:szCs w:val="12"/>
          <w:b w:val="1"/>
          <w:bCs w:val="1"/>
          <w:i w:val="1"/>
          <w:iCs w:val="1"/>
          <w:color w:val="auto"/>
        </w:rPr>
        <w:t>The ownership of properties involves risk.</w:t>
      </w:r>
    </w:p>
    <w:p>
      <w:pPr>
        <w:spacing w:after="0" w:line="132" w:lineRule="exact"/>
        <w:rPr>
          <w:sz w:val="20"/>
          <w:szCs w:val="20"/>
          <w:color w:val="auto"/>
        </w:rPr>
      </w:pPr>
    </w:p>
    <w:p>
      <w:pPr>
        <w:ind w:right="80"/>
        <w:spacing w:after="0" w:line="255" w:lineRule="auto"/>
        <w:rPr>
          <w:sz w:val="20"/>
          <w:szCs w:val="20"/>
          <w:color w:val="auto"/>
        </w:rPr>
      </w:pPr>
      <w:r>
        <w:rPr>
          <w:rFonts w:ascii="Arial" w:cs="Arial" w:eastAsia="Arial" w:hAnsi="Arial"/>
          <w:sz w:val="12"/>
          <w:szCs w:val="12"/>
          <w:color w:val="auto"/>
        </w:rPr>
        <w:t>The ownership of investment properties involves risks, such as: (i) ongoing leasing and re-leasing risks, (ii) ongoing financing and re-financing risks, (iii) market risks as to the multiples offered by buyers of investment properties, (iv) risks related to the ongoing compliance with changing governmental regulation (including, without limitation, environmental laws and requirements to remediate environmental contamination that may exist on a property (such as, by way of example, asbestos), even though not deposited on the property by us), (v) relative illiquidity compared to some other types of assets, and (vi) susceptibility of assets to uninsurable risks, such as biological, chemical or nuclear terrorism, or risks that are subject to caps tied to the concentration of such assets in certain geographic areas, such as earthquakes. Furthermore, as our properties are typically developed around an entertainment use, the attractiveness of these properties to tenants, sources of finance and real estate investors will be influenced by market perceptions of the benefits and detriments of such entertainment-type properties.</w:t>
      </w:r>
    </w:p>
    <w:p>
      <w:pPr>
        <w:spacing w:after="0" w:line="10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A number of our assets are in geologically active areas, presenting risk of earthquake and land movement.</w:t>
      </w:r>
    </w:p>
    <w:p>
      <w:pPr>
        <w:spacing w:after="0" w:line="123" w:lineRule="exact"/>
        <w:rPr>
          <w:sz w:val="20"/>
          <w:szCs w:val="20"/>
          <w:color w:val="auto"/>
        </w:rPr>
      </w:pPr>
    </w:p>
    <w:p>
      <w:pPr>
        <w:ind w:right="40"/>
        <w:spacing w:after="0" w:line="276" w:lineRule="auto"/>
        <w:rPr>
          <w:sz w:val="20"/>
          <w:szCs w:val="20"/>
          <w:color w:val="auto"/>
        </w:rPr>
      </w:pPr>
      <w:r>
        <w:rPr>
          <w:rFonts w:ascii="Arial" w:cs="Arial" w:eastAsia="Arial" w:hAnsi="Arial"/>
          <w:sz w:val="12"/>
          <w:szCs w:val="12"/>
          <w:color w:val="auto"/>
        </w:rPr>
        <w:t>We have cinemas in California and New Zealand, areas that present a greater risk of earthquake and/or land movement than other locations. New Zealand has in recent periods had several major earthquakes damaging our facilities in Christchurch and Wellington. The ability to insure for such casualties is limited and may become more difficult and/or more expensive in future periods.</w:t>
      </w:r>
    </w:p>
    <w:p>
      <w:pPr>
        <w:spacing w:after="0" w:line="9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may be subject to liability under environmental laws and regulations.</w:t>
      </w:r>
    </w:p>
    <w:p>
      <w:pPr>
        <w:spacing w:after="0" w:line="123" w:lineRule="exact"/>
        <w:rPr>
          <w:sz w:val="20"/>
          <w:szCs w:val="20"/>
          <w:color w:val="auto"/>
        </w:rPr>
      </w:pPr>
    </w:p>
    <w:p>
      <w:pPr>
        <w:spacing w:after="0" w:line="286" w:lineRule="auto"/>
        <w:rPr>
          <w:sz w:val="20"/>
          <w:szCs w:val="20"/>
          <w:color w:val="auto"/>
        </w:rPr>
      </w:pPr>
      <w:r>
        <w:rPr>
          <w:rFonts w:ascii="Arial" w:cs="Arial" w:eastAsia="Arial" w:hAnsi="Arial"/>
          <w:sz w:val="11"/>
          <w:szCs w:val="11"/>
          <w:color w:val="auto"/>
        </w:rPr>
        <w:t>We own and operate a large number of cinemas and other properties within the U.S. and internationally, which may be subject to various foreign, federal, state and local laws and regulations relating to the protection of the environment or human health. Such environmental laws and regulations include those that impose liability for the investigation and remediation of spills or releases of hazardous materials. We may incur such liability, including for any currently or formerly owned, leased or operated property, or for any site, to which we may have disposed, or arranged for the disposal of, hazardous materials or wastes. Certain of these laws and regulations may impose liability, including on a joint and several liability, which can result in a liable party being obliged to pay for greater than its share, regardless of fault or the legality of the original disposal. Environmental conditions relating to our properties or operations could have an adverse effect on our business and results of operations and cash flows.</w:t>
      </w:r>
    </w:p>
    <w:p>
      <w:pPr>
        <w:spacing w:after="0" w:line="8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Legislative or regulatory initiatives related to global warming/climate change concerns may negatively impact our business.</w:t>
      </w:r>
    </w:p>
    <w:p>
      <w:pPr>
        <w:spacing w:after="0" w:line="132" w:lineRule="exact"/>
        <w:rPr>
          <w:sz w:val="20"/>
          <w:szCs w:val="20"/>
          <w:color w:val="auto"/>
        </w:rPr>
      </w:pPr>
    </w:p>
    <w:p>
      <w:pPr>
        <w:ind w:right="60"/>
        <w:spacing w:after="0" w:line="257" w:lineRule="auto"/>
        <w:rPr>
          <w:sz w:val="20"/>
          <w:szCs w:val="20"/>
          <w:color w:val="auto"/>
        </w:rPr>
      </w:pPr>
      <w:r>
        <w:rPr>
          <w:rFonts w:ascii="Arial" w:cs="Arial" w:eastAsia="Arial" w:hAnsi="Arial"/>
          <w:sz w:val="12"/>
          <w:szCs w:val="12"/>
          <w:color w:val="auto"/>
        </w:rPr>
        <w:t>Recently, there has been an increasing focus and continuous debate on global climate change including increased attention from regulatory agencies and legislative bodies. This increased focus may lead to new initiatives directed at regulating an as yet unspecified array of environmental matters. Legislative, regulatory or other efforts in the U.S. to combat climate change could result in future increases in the cost of raw materials, taxes, transportation and utilities for our vendors and for us which would result in higher operating costs for the Company. Also, compliance by our cinemas and accompanying real estate with new and revised environmental, zoning, land-use or building codes, laws, rules or regulations, could have a material and adverse effect on our business. However, we are unable to predict at this time, the potential effects, if any, that any future environmental initiatives may have on our business.</w:t>
      </w:r>
    </w:p>
    <w:p>
      <w:pPr>
        <w:spacing w:after="0" w:line="9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International Business Risks</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color w:val="auto"/>
        </w:rPr>
        <w:t>Our international operations are subject to a variety of risks, including the following:</w:t>
      </w:r>
    </w:p>
    <w:p>
      <w:pPr>
        <w:spacing w:after="0" w:line="132" w:lineRule="exact"/>
        <w:rPr>
          <w:sz w:val="20"/>
          <w:szCs w:val="20"/>
          <w:color w:val="auto"/>
        </w:rPr>
      </w:pPr>
    </w:p>
    <w:p>
      <w:pPr>
        <w:ind w:right="40"/>
        <w:spacing w:after="0" w:line="255" w:lineRule="auto"/>
        <w:rPr>
          <w:sz w:val="20"/>
          <w:szCs w:val="20"/>
          <w:color w:val="auto"/>
        </w:rPr>
      </w:pPr>
      <w:r>
        <w:rPr>
          <w:rFonts w:ascii="Arial" w:cs="Arial" w:eastAsia="Arial" w:hAnsi="Arial"/>
          <w:sz w:val="12"/>
          <w:szCs w:val="12"/>
          <w:b w:val="1"/>
          <w:bCs w:val="1"/>
          <w:i w:val="1"/>
          <w:iCs w:val="1"/>
          <w:color w:val="auto"/>
        </w:rPr>
        <w:t>Currency Risk</w:t>
      </w:r>
      <w:r>
        <w:rPr>
          <w:rFonts w:ascii="Arial" w:cs="Arial" w:eastAsia="Arial" w:hAnsi="Arial"/>
          <w:sz w:val="12"/>
          <w:szCs w:val="12"/>
          <w:color w:val="auto"/>
        </w:rPr>
        <w:t>: while we report our earnings and net assets in U.S. dollars, substantial portions of our revenue and of our obligations are denominated in either Australian or New Zealand dollars. The value of these</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currencies can vary significantly compared to the U.S. dollar and compared to each other. We do not hedge the currency risk, but rather have relied upon the natural hedges that exist as a result of the fact that our film costs are typically fixed as a percentage of the box office, and our local operating costs and obligations are likewise typically denominated in local currencies. However, we do have debt at our parent company level that is serviced by our overseas cash flow, and our ability to service this debt could be adversely impacted by declines in the relative value of the Australian and New Zealand dollar compared to the U.S. dollar. Also, our use of local borrowings to mitigate the business risk of currency fluctuations has reduced our flexibility to move cash between jurisdictions. Set forth below is a chart of the exchange ratios between these three currencies over the past twenty years: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59690</wp:posOffset>
            </wp:positionV>
            <wp:extent cx="677989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779895" cy="42545"/>
                    </a:xfrm>
                    <a:prstGeom prst="rect">
                      <a:avLst/>
                    </a:prstGeom>
                    <a:noFill/>
                  </pic:spPr>
                </pic:pic>
              </a:graphicData>
            </a:graphic>
          </wp:anchor>
        </w:drawing>
      </w:r>
    </w:p>
    <w:p>
      <w:pPr>
        <w:sectPr>
          <w:pgSz w:w="11900" w:h="16838" w:orient="portrait"/>
          <w:cols w:equalWidth="0" w:num="1">
            <w:col w:w="10620"/>
          </w:cols>
          <w:pgMar w:left="640" w:top="248" w:right="639" w:bottom="1440" w:gutter="0" w:footer="0" w:header="0"/>
        </w:sectPr>
      </w:pPr>
    </w:p>
    <w:bookmarkStart w:id="15" w:name="page16"/>
    <w:bookmarkEnd w:id="1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2182495</wp:posOffset>
            </wp:positionH>
            <wp:positionV relativeFrom="page">
              <wp:posOffset>88900</wp:posOffset>
            </wp:positionV>
            <wp:extent cx="3197225" cy="25393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3197225" cy="2539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260" w:right="20" w:hanging="36"/>
        <w:spacing w:after="0" w:line="258"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i w:val="1"/>
          <w:iCs w:val="1"/>
          <w:color w:val="auto"/>
        </w:rPr>
        <w:t>Risk of adverse government regulation</w:t>
      </w:r>
      <w:r>
        <w:rPr>
          <w:rFonts w:ascii="Arial" w:cs="Arial" w:eastAsia="Arial" w:hAnsi="Arial"/>
          <w:sz w:val="12"/>
          <w:szCs w:val="12"/>
          <w:color w:val="auto"/>
        </w:rPr>
        <w:t>: currently, we believe that relations between the United States, Australia, and New Zealand are good. However, no assurances can be given that this relationship will continue and that Australia and New Zealand will not in the future seek to regulate more highly the business done by U.S. companies in their countries.</w:t>
      </w:r>
    </w:p>
    <w:p>
      <w:pPr>
        <w:ind w:left="260" w:right="160" w:hanging="36"/>
        <w:spacing w:after="0" w:line="261"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i w:val="1"/>
          <w:iCs w:val="1"/>
          <w:color w:val="auto"/>
        </w:rPr>
        <w:t>Risk of adverse labor relations</w:t>
      </w:r>
      <w:r>
        <w:rPr>
          <w:rFonts w:ascii="Arial" w:cs="Arial" w:eastAsia="Arial" w:hAnsi="Arial"/>
          <w:sz w:val="12"/>
          <w:szCs w:val="12"/>
          <w:color w:val="auto"/>
        </w:rPr>
        <w:t>: deterioration in labor relations could lead to an increased cost of labor (including future government requirements with respect to pension liabilities, disability insurance and health coverage, and vacations and leave).</w:t>
      </w:r>
    </w:p>
    <w:p>
      <w:pPr>
        <w:spacing w:after="0" w:line="24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Risks Associated with Certain Discontinued Operations</w:t>
      </w:r>
    </w:p>
    <w:p>
      <w:pPr>
        <w:spacing w:after="0" w:line="123" w:lineRule="exact"/>
        <w:rPr>
          <w:sz w:val="20"/>
          <w:szCs w:val="20"/>
          <w:color w:val="auto"/>
        </w:rPr>
      </w:pPr>
    </w:p>
    <w:p>
      <w:pPr>
        <w:ind w:right="80"/>
        <w:spacing w:after="0" w:line="259" w:lineRule="auto"/>
        <w:rPr>
          <w:sz w:val="20"/>
          <w:szCs w:val="20"/>
          <w:color w:val="auto"/>
        </w:rPr>
      </w:pPr>
      <w:r>
        <w:rPr>
          <w:rFonts w:ascii="Arial" w:cs="Arial" w:eastAsia="Arial" w:hAnsi="Arial"/>
          <w:sz w:val="12"/>
          <w:szCs w:val="12"/>
          <w:color w:val="auto"/>
        </w:rPr>
        <w:t>Certain of our subsidiaries were previously in industrial businesses. As a consequence, properties that are currently owned or may have in the past been owned by these subsidiaries may prove to have environmental issues. Where we have knowledge of such environmental issues and are in a position to make an assessment as to our exposure, we have established what we believe to be appropriate reserves, but we are exposed to the risk that currently unknown problems may be discovered. These subsidiaries are also exposed to potential claims related to exposure of former employees to coal dust, asbestos, and other materials now considered to be, or which in the future may be found to be, carcinogenic or otherwise injurious to health.</w:t>
      </w:r>
    </w:p>
    <w:p>
      <w:pPr>
        <w:spacing w:after="0" w:line="10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Operating Results, Financial Structure and Borrowing Risk</w:t>
      </w:r>
    </w:p>
    <w:p>
      <w:pPr>
        <w:spacing w:after="0" w:line="6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From time to time, we may have negative working capital.</w:t>
      </w:r>
    </w:p>
    <w:p>
      <w:pPr>
        <w:spacing w:after="0" w:line="150" w:lineRule="exact"/>
        <w:rPr>
          <w:sz w:val="20"/>
          <w:szCs w:val="20"/>
          <w:color w:val="auto"/>
        </w:rPr>
      </w:pPr>
    </w:p>
    <w:p>
      <w:pPr>
        <w:spacing w:after="0" w:line="263" w:lineRule="auto"/>
        <w:rPr>
          <w:sz w:val="20"/>
          <w:szCs w:val="20"/>
          <w:color w:val="auto"/>
        </w:rPr>
      </w:pPr>
      <w:r>
        <w:rPr>
          <w:rFonts w:ascii="Arial" w:cs="Arial" w:eastAsia="Arial" w:hAnsi="Arial"/>
          <w:sz w:val="12"/>
          <w:szCs w:val="12"/>
          <w:color w:val="auto"/>
        </w:rPr>
        <w:t>In recent years, as we have invested our cash in new acquisitions and the development of our existing properties, we have from time-to-time had negative working capital. This negative working capital is typical in the cinema exhibition industry because our short-term liabilities are in part financing our long-term assets instead of long-term liabilities financing short-term assets, as is the case in other industries such as manufacturing and distribution.</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59690</wp:posOffset>
            </wp:positionV>
            <wp:extent cx="677989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779895" cy="42545"/>
                    </a:xfrm>
                    <a:prstGeom prst="rect">
                      <a:avLst/>
                    </a:prstGeom>
                    <a:noFill/>
                  </pic:spPr>
                </pic:pic>
              </a:graphicData>
            </a:graphic>
          </wp:anchor>
        </w:drawing>
      </w:r>
    </w:p>
    <w:p>
      <w:pPr>
        <w:sectPr>
          <w:pgSz w:w="11900" w:h="16838" w:orient="portrait"/>
          <w:cols w:equalWidth="0" w:num="1">
            <w:col w:w="10600"/>
          </w:cols>
          <w:pgMar w:left="640" w:top="1440" w:right="659" w:bottom="1440" w:gutter="0" w:footer="0" w:header="0"/>
        </w:sectPr>
      </w:pPr>
    </w:p>
    <w:bookmarkStart w:id="16" w:name="page17"/>
    <w:bookmarkEnd w:id="16"/>
    <w:p>
      <w:pPr>
        <w:spacing w:after="0"/>
        <w:rPr>
          <w:sz w:val="20"/>
          <w:szCs w:val="20"/>
          <w:color w:val="auto"/>
        </w:rPr>
      </w:pPr>
      <w:r>
        <w:rPr>
          <w:rFonts w:ascii="Arial" w:cs="Arial" w:eastAsia="Arial" w:hAnsi="Arial"/>
          <w:sz w:val="12"/>
          <w:szCs w:val="12"/>
          <w:b w:val="1"/>
          <w:bCs w:val="1"/>
          <w:i w:val="1"/>
          <w:iCs w:val="1"/>
          <w:color w:val="auto"/>
        </w:rPr>
        <w:t>We have substantial short to medium term debt.</w:t>
      </w:r>
    </w:p>
    <w:p>
      <w:pPr>
        <w:spacing w:after="0" w:line="60" w:lineRule="exact"/>
        <w:rPr>
          <w:sz w:val="20"/>
          <w:szCs w:val="20"/>
          <w:color w:val="auto"/>
        </w:rPr>
      </w:pPr>
    </w:p>
    <w:p>
      <w:pPr>
        <w:ind w:right="280"/>
        <w:spacing w:after="0" w:line="366" w:lineRule="auto"/>
        <w:rPr>
          <w:sz w:val="20"/>
          <w:szCs w:val="20"/>
          <w:color w:val="auto"/>
        </w:rPr>
      </w:pPr>
      <w:r>
        <w:rPr>
          <w:rFonts w:ascii="Arial" w:cs="Arial" w:eastAsia="Arial" w:hAnsi="Arial"/>
          <w:sz w:val="10"/>
          <w:szCs w:val="10"/>
          <w:color w:val="auto"/>
        </w:rPr>
        <w:t>Generally speaking, we have historically financed our operations through relatively short-term debt. No assurances can be given that we will be able to refinance this debt, or if we can, that the terms will be reasonable. However, as a counterbalance to this debt, we have significant unencumbered real property assets, which could be sold to pay debt or encumbered to assist in the refinancing of existing debt, if necessary.</w:t>
      </w:r>
    </w:p>
    <w:p>
      <w:pPr>
        <w:spacing w:after="0" w:line="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have substantial lease liabilities.</w:t>
      </w:r>
    </w:p>
    <w:p>
      <w:pPr>
        <w:spacing w:after="0" w:line="69" w:lineRule="exact"/>
        <w:rPr>
          <w:sz w:val="20"/>
          <w:szCs w:val="20"/>
          <w:color w:val="auto"/>
        </w:rPr>
      </w:pPr>
    </w:p>
    <w:p>
      <w:pPr>
        <w:ind w:right="40"/>
        <w:spacing w:after="0" w:line="259" w:lineRule="auto"/>
        <w:rPr>
          <w:sz w:val="20"/>
          <w:szCs w:val="20"/>
          <w:color w:val="auto"/>
        </w:rPr>
      </w:pPr>
      <w:r>
        <w:rPr>
          <w:rFonts w:ascii="Arial" w:cs="Arial" w:eastAsia="Arial" w:hAnsi="Arial"/>
          <w:sz w:val="12"/>
          <w:szCs w:val="12"/>
          <w:color w:val="auto"/>
        </w:rPr>
        <w:t>Most of our cinemas operate in leased facilities. These leases typically have “cost of living” or other rent adjustment features and require that we operate the properties as cinemas. A downturn in our cinema exhibition business might, depending on its severity, adversely affect the ability of our cinema operating subsidiaries to meet these rental obligations. Even if our cinema exhibition business remains relatively constant, cinema level cash flow will likely be adversely affected unless we can increase our revenue sufficiently to offset increases in our rental liabilities. Unlike property rental leases, our newly added digital equipment leases do not have “cost of living” or other lease adjustment features.</w:t>
      </w:r>
    </w:p>
    <w:p>
      <w:pPr>
        <w:spacing w:after="0" w:line="3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stock is thinly traded</w:t>
      </w:r>
      <w:r>
        <w:rPr>
          <w:rFonts w:ascii="Arial" w:cs="Arial" w:eastAsia="Arial" w:hAnsi="Arial"/>
          <w:sz w:val="12"/>
          <w:szCs w:val="12"/>
          <w:i w:val="1"/>
          <w:iCs w:val="1"/>
          <w:color w:val="auto"/>
        </w:rPr>
        <w:t>.</w:t>
      </w:r>
    </w:p>
    <w:p>
      <w:pPr>
        <w:spacing w:after="0" w:line="132" w:lineRule="exact"/>
        <w:rPr>
          <w:sz w:val="20"/>
          <w:szCs w:val="20"/>
          <w:color w:val="auto"/>
        </w:rPr>
      </w:pPr>
    </w:p>
    <w:p>
      <w:pPr>
        <w:ind w:right="340"/>
        <w:spacing w:after="0" w:line="276" w:lineRule="auto"/>
        <w:rPr>
          <w:sz w:val="20"/>
          <w:szCs w:val="20"/>
          <w:color w:val="auto"/>
        </w:rPr>
      </w:pPr>
      <w:r>
        <w:rPr>
          <w:rFonts w:ascii="Arial" w:cs="Arial" w:eastAsia="Arial" w:hAnsi="Arial"/>
          <w:sz w:val="12"/>
          <w:szCs w:val="12"/>
          <w:color w:val="auto"/>
        </w:rPr>
        <w:t>Our stock is thinly traded, with an average daily volume in 2015 of only approximately 56,000 Class A Common shares. This can result in significant volatility, as demand by buyers and sellers can easily get out of balance.</w:t>
      </w:r>
    </w:p>
    <w:p>
      <w:pPr>
        <w:spacing w:after="0" w:line="8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Ownership and Management Structure, Corporate Governance, and Change of Control Risks</w:t>
      </w:r>
    </w:p>
    <w:p>
      <w:pPr>
        <w:spacing w:after="0" w:line="127" w:lineRule="exact"/>
        <w:rPr>
          <w:sz w:val="20"/>
          <w:szCs w:val="20"/>
          <w:color w:val="auto"/>
        </w:rPr>
      </w:pPr>
    </w:p>
    <w:p>
      <w:pPr>
        <w:ind w:right="120"/>
        <w:spacing w:after="0" w:line="276" w:lineRule="auto"/>
        <w:rPr>
          <w:sz w:val="20"/>
          <w:szCs w:val="20"/>
          <w:color w:val="auto"/>
        </w:rPr>
      </w:pPr>
      <w:r>
        <w:rPr>
          <w:rFonts w:ascii="Arial" w:cs="Arial" w:eastAsia="Arial" w:hAnsi="Arial"/>
          <w:sz w:val="12"/>
          <w:szCs w:val="12"/>
          <w:b w:val="1"/>
          <w:bCs w:val="1"/>
          <w:i w:val="1"/>
          <w:iCs w:val="1"/>
          <w:color w:val="auto"/>
        </w:rPr>
        <w:t>Pending disputes among the Cotter family raise uncertainty regarding the ongoing control of the Company and may distract the time and attention of our officers and directors from our business and operations or interfere with the effective management of the Company.</w:t>
      </w:r>
    </w:p>
    <w:p>
      <w:pPr>
        <w:spacing w:after="0" w:line="115" w:lineRule="exact"/>
        <w:rPr>
          <w:sz w:val="20"/>
          <w:szCs w:val="20"/>
          <w:color w:val="auto"/>
        </w:rPr>
      </w:pPr>
    </w:p>
    <w:p>
      <w:pPr>
        <w:spacing w:after="0" w:line="263" w:lineRule="auto"/>
        <w:rPr>
          <w:sz w:val="20"/>
          <w:szCs w:val="20"/>
          <w:color w:val="auto"/>
        </w:rPr>
      </w:pPr>
      <w:r>
        <w:rPr>
          <w:rFonts w:ascii="Arial" w:cs="Arial" w:eastAsia="Arial" w:hAnsi="Arial"/>
          <w:sz w:val="12"/>
          <w:szCs w:val="12"/>
          <w:color w:val="auto"/>
        </w:rPr>
        <w:t>Up until his death on September 13, 2014, James J. Cotter, Sr., the father of Ellen Cotter, James J. Cotter, Jr. and Margaret Cotter, was our controlling stockholder, having the sole power to vote approximately 66.9% of the outstanding voting stock of the Company. Under applicable Nevada Law, a stockholder holding more than 2/3rds of the Company’s voting stock has the power at any time, with or without cause, to remove any one or more directors (up to and including the entire board of directors) by written consent taken without a meeting of the stockholders.</w:t>
      </w:r>
    </w:p>
    <w:p>
      <w:pPr>
        <w:spacing w:after="0" w:line="123" w:lineRule="exact"/>
        <w:rPr>
          <w:sz w:val="20"/>
          <w:szCs w:val="20"/>
          <w:color w:val="auto"/>
        </w:rPr>
      </w:pPr>
    </w:p>
    <w:p>
      <w:pPr>
        <w:ind w:right="20"/>
        <w:spacing w:after="0" w:line="257" w:lineRule="auto"/>
        <w:rPr>
          <w:sz w:val="20"/>
          <w:szCs w:val="20"/>
          <w:color w:val="auto"/>
        </w:rPr>
      </w:pPr>
      <w:r>
        <w:rPr>
          <w:rFonts w:ascii="Arial" w:cs="Arial" w:eastAsia="Arial" w:hAnsi="Arial"/>
          <w:sz w:val="12"/>
          <w:szCs w:val="12"/>
          <w:color w:val="auto"/>
        </w:rPr>
        <w:t>Since his death, disputes have arisen among Ellen Cotter, James J. Cotter, Jr. and Margaret Cotter concerning the voting control of those shares and regarding the exercise by the Estate of James J. Cotter, Sr. Deceased (the “Cotter Estate”) of options to acquire an additional 100,000 shares of Class B Stock. At the present time, Ellen Cotter is the Chair, President and Chief Executive Officer of our Company. James J. Cotter, Jr. is a director and from June 2013 until June 12, 2015 was the President and from August 7, 2014 until June 12, 2015 was the Chief Executive Officer of our Company, having been removed from those positions by Board action on June 12, 2015. Margaret Cotter is the Vice-Chair of our Company and the President of Liberty Theaters, LLC, the company through which we own and operate our live theaters. She heads up the management and redevelopment of our New York properties.</w:t>
      </w:r>
    </w:p>
    <w:p>
      <w:pPr>
        <w:spacing w:after="0" w:line="126" w:lineRule="exact"/>
        <w:rPr>
          <w:sz w:val="20"/>
          <w:szCs w:val="20"/>
          <w:color w:val="auto"/>
        </w:rPr>
      </w:pPr>
    </w:p>
    <w:p>
      <w:pPr>
        <w:spacing w:after="0" w:line="255" w:lineRule="auto"/>
        <w:rPr>
          <w:sz w:val="20"/>
          <w:szCs w:val="20"/>
          <w:color w:val="auto"/>
        </w:rPr>
      </w:pPr>
      <w:r>
        <w:rPr>
          <w:rFonts w:ascii="Arial" w:cs="Arial" w:eastAsia="Arial" w:hAnsi="Arial"/>
          <w:sz w:val="12"/>
          <w:szCs w:val="12"/>
          <w:color w:val="auto"/>
        </w:rPr>
        <w:t>As of December 31, 2015, according to the books of the Company, the Living Trust established by Declaration of Trust dated June 5, 2013, by James J. Cotter, Sr. (the “Cotter Trust”), held of record 696,080 shares of our Class B Voting Stock (“Voting Stock”) constituting approximately 41.4% of the voting power of our outstanding capital stock. According to the books of the Company, the Cotter Estate as of that date held of record an additional 427,808 shares of Voting Stock, constituting approximately 25.5% of the voting power of our outstanding capital stock. We are advised, based upon public filings made by one or more of Ellen Cotter, Margaret Cotter and James J. Cotter, Jr. (the “Cotter Filings”) that the Voting Stock currently held of record by the Cotter Estate will eventually pour over into the Cotter Trust. We are further advised from the Cotter Filings that the Cotter Trust also provides for the establishment of a voting trust (the “Cotter Voting Trust”) which will eventually hold the Voting Stock currently held by the Cotter Estate and the Cotter Trust. At the present time, however, such Voting Stock is held of record by the Cotter Trust and the Cotter Estate, respectively.</w:t>
      </w:r>
    </w:p>
    <w:p>
      <w:pPr>
        <w:spacing w:after="0" w:line="129" w:lineRule="exact"/>
        <w:rPr>
          <w:sz w:val="20"/>
          <w:szCs w:val="20"/>
          <w:color w:val="auto"/>
        </w:rPr>
      </w:pPr>
    </w:p>
    <w:p>
      <w:pPr>
        <w:ind w:right="20"/>
        <w:spacing w:after="0" w:line="257" w:lineRule="auto"/>
        <w:rPr>
          <w:sz w:val="20"/>
          <w:szCs w:val="20"/>
          <w:color w:val="auto"/>
        </w:rPr>
      </w:pPr>
      <w:r>
        <w:rPr>
          <w:rFonts w:ascii="Arial" w:cs="Arial" w:eastAsia="Arial" w:hAnsi="Arial"/>
          <w:sz w:val="12"/>
          <w:szCs w:val="12"/>
          <w:color w:val="auto"/>
        </w:rPr>
        <w:t>Ellen Cotter, James J. Cotter, Jr. and Margaret Cotter are currently the trustees of the Cotter Trust. On December 22, 2014, the District Court of Clark County, Nevada appointed Ellen Cotter and Margaret Cotter as co-executors of the Cotter Estate. Accordingly, at the present time, Ellen Cotter and Margaret Cotter acting as a majority of the Trustees of the Cotter Trust with respect to the shares held by the Cotter Trust and as the co-executors of the Cotter Estate with respect to the shares held by the Cotter Estate (including the 100,000 shares of Voting Stock acquired by the Cotter Estate through the exercise of stock options previously granted to Mr. Cotter, Sr.), and voting in their individual capacity their direct holdings of 50,000 shares and 35,100 shares respectively of the Voting Stock, have the power to vote Voting Stock representing 71.9% of our outstanding Voting Stock.</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59690</wp:posOffset>
            </wp:positionV>
            <wp:extent cx="677989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779895" cy="42545"/>
                    </a:xfrm>
                    <a:prstGeom prst="rect">
                      <a:avLst/>
                    </a:prstGeom>
                    <a:noFill/>
                  </pic:spPr>
                </pic:pic>
              </a:graphicData>
            </a:graphic>
          </wp:anchor>
        </w:drawing>
      </w:r>
    </w:p>
    <w:p>
      <w:pPr>
        <w:sectPr>
          <w:pgSz w:w="11900" w:h="16838" w:orient="portrait"/>
          <w:cols w:equalWidth="0" w:num="1">
            <w:col w:w="10620"/>
          </w:cols>
          <w:pgMar w:left="640" w:top="194" w:right="639" w:bottom="1440" w:gutter="0" w:footer="0" w:header="0"/>
        </w:sectPr>
      </w:pPr>
    </w:p>
    <w:bookmarkStart w:id="17" w:name="page18"/>
    <w:bookmarkEnd w:id="17"/>
    <w:p>
      <w:pPr>
        <w:spacing w:after="0"/>
        <w:rPr>
          <w:sz w:val="20"/>
          <w:szCs w:val="20"/>
          <w:color w:val="auto"/>
        </w:rPr>
      </w:pPr>
      <w:r>
        <w:rPr>
          <w:rFonts w:ascii="Arial" w:cs="Arial" w:eastAsia="Arial" w:hAnsi="Arial"/>
          <w:sz w:val="12"/>
          <w:szCs w:val="12"/>
          <w:color w:val="auto"/>
        </w:rPr>
        <w:t>The identity of the trustee(s) of the Cotter Voting Trust and the terms of that trust are in dispute as between Ellen Cotter, James J. Cotter, Jr. and Margaret Cotter.</w:t>
      </w:r>
    </w:p>
    <w:p>
      <w:pPr>
        <w:spacing w:after="0" w:line="150" w:lineRule="exact"/>
        <w:rPr>
          <w:sz w:val="20"/>
          <w:szCs w:val="20"/>
          <w:color w:val="auto"/>
        </w:rPr>
      </w:pPr>
    </w:p>
    <w:p>
      <w:pPr>
        <w:spacing w:after="0" w:line="255" w:lineRule="auto"/>
        <w:rPr>
          <w:sz w:val="20"/>
          <w:szCs w:val="20"/>
          <w:color w:val="auto"/>
        </w:rPr>
      </w:pPr>
      <w:r>
        <w:rPr>
          <w:rFonts w:ascii="Arial" w:cs="Arial" w:eastAsia="Arial" w:hAnsi="Arial"/>
          <w:sz w:val="12"/>
          <w:szCs w:val="12"/>
          <w:color w:val="auto"/>
        </w:rPr>
        <w:t>We are advised by the Cotter Filings that the 2013 amended and restated declaration of trust for the Cotter Trust names Margaret Cotter as the sole trustee of the Cotter Voting Trust and names James J. Cotter, Jr., as the first alternate trustee in the event that Margaret Cotter is unable or unwilling to act as trustee. We are further advised by the Cotter Filings that a 2014 partial amendment to the declaration of trust, signed by Mr. Cotter, Sr. while he was in the hospital, names Margaret Cotter and James J. Cotter, Jr. as co-trustees of the Cotter Voting Trust and provides that, in the event they are unable to agree upon an important trust decision, they shall rotate the voting of the Voting Stock between them annually on each January 1st. It further directs the trustees of the Cotter Voting Trust to, among other things, vote such shares of our Voting Stock held by the Cotter Voting Trust in favor of the election of Ellen Cotter, Margaret Cotter and James J. Cotter, Jr. to our board of directors and to rotate annually the chairmanship of our board between Ellen Cotter, Margaret Cotter and James J. Cotter, Jr.</w:t>
      </w:r>
    </w:p>
    <w:p>
      <w:pPr>
        <w:spacing w:after="0" w:line="129" w:lineRule="exact"/>
        <w:rPr>
          <w:sz w:val="20"/>
          <w:szCs w:val="20"/>
          <w:color w:val="auto"/>
        </w:rPr>
      </w:pPr>
    </w:p>
    <w:p>
      <w:pPr>
        <w:jc w:val="both"/>
        <w:ind w:right="20"/>
        <w:spacing w:after="0" w:line="327" w:lineRule="auto"/>
        <w:rPr>
          <w:sz w:val="20"/>
          <w:szCs w:val="20"/>
          <w:color w:val="auto"/>
        </w:rPr>
      </w:pPr>
      <w:r>
        <w:rPr>
          <w:rFonts w:ascii="Arial" w:cs="Arial" w:eastAsia="Arial" w:hAnsi="Arial"/>
          <w:sz w:val="10"/>
          <w:szCs w:val="10"/>
          <w:color w:val="auto"/>
        </w:rPr>
        <w:t xml:space="preserve">On February 6, 2015, Ellen Cotter and Margaret Cotter filed a Petition in the Superior Court of the State of California, County of Los Angeles, captioned </w:t>
      </w:r>
      <w:r>
        <w:rPr>
          <w:rFonts w:ascii="Arial" w:cs="Arial" w:eastAsia="Arial" w:hAnsi="Arial"/>
          <w:sz w:val="10"/>
          <w:szCs w:val="10"/>
          <w:i w:val="1"/>
          <w:iCs w:val="1"/>
          <w:color w:val="auto"/>
        </w:rPr>
        <w:t>In re James J. Cotter Living Trust dated August 1, 2000</w:t>
      </w:r>
      <w:r>
        <w:rPr>
          <w:rFonts w:ascii="Arial" w:cs="Arial" w:eastAsia="Arial" w:hAnsi="Arial"/>
          <w:sz w:val="10"/>
          <w:szCs w:val="10"/>
          <w:color w:val="auto"/>
        </w:rPr>
        <w:t xml:space="preserve"> (Case No. BP159755) (the “Trust Case”). The Petition, among other things, seeks relief that could determine the validity of the 2014 partial amendment and who, as between Margaret Cotter and James J. Cotter Jr., has authority as trustee or co-trustees of the Cotter Voting Trust to vote the Cotter Voting Trust’s shares of our Voting Stock (in whole or in part) and the scope and extent of such authority. James J. Cotter, Jr. has filed an opposition to the Petition and has filed pleadings in that proceeding seeking the removal of Ellen Cotter and Margaret Cotter as trustees of the Cotter Trust. The Trust Case is currently scheduled to be tried in July of this year.</w:t>
      </w:r>
    </w:p>
    <w:p>
      <w:pPr>
        <w:spacing w:after="0" w:line="94" w:lineRule="exact"/>
        <w:rPr>
          <w:sz w:val="20"/>
          <w:szCs w:val="20"/>
          <w:color w:val="auto"/>
        </w:rPr>
      </w:pPr>
    </w:p>
    <w:p>
      <w:pPr>
        <w:spacing w:after="0" w:line="259" w:lineRule="auto"/>
        <w:rPr>
          <w:sz w:val="20"/>
          <w:szCs w:val="20"/>
          <w:color w:val="auto"/>
        </w:rPr>
      </w:pPr>
      <w:r>
        <w:rPr>
          <w:rFonts w:ascii="Arial" w:cs="Arial" w:eastAsia="Arial" w:hAnsi="Arial"/>
          <w:sz w:val="12"/>
          <w:szCs w:val="12"/>
          <w:color w:val="auto"/>
        </w:rPr>
        <w:t xml:space="preserve">In addition, James J. Cotter, Jr. and certain other stockholders have filed two derivative actions (discussed in greater detail below) against Ellen Cotter and Margaret Cotter and certain of our Directors and officers, alleging a variety of misconduct on their part, and among other things seeking the reinstatement of James J. Cotter, Jr. as president and chief executive officer of our Company, challenging the voting by Ellen Cotter and Margaret Cotter of the shares held by the Cotter Estate, and seeking to void the result of the election of directors held at our 2015 Annual Meeting of Stockholders. See discussion under the heading, Legal Proceedings; Derivative Litigation and James J. Cotter, Jr. Arbitration, </w:t>
      </w:r>
      <w:r>
        <w:rPr>
          <w:rFonts w:ascii="Arial" w:cs="Arial" w:eastAsia="Arial" w:hAnsi="Arial"/>
          <w:sz w:val="12"/>
          <w:szCs w:val="12"/>
          <w:i w:val="1"/>
          <w:iCs w:val="1"/>
          <w:color w:val="auto"/>
        </w:rPr>
        <w:t>infra.</w:t>
      </w:r>
    </w:p>
    <w:p>
      <w:pPr>
        <w:spacing w:after="0" w:line="125" w:lineRule="exact"/>
        <w:rPr>
          <w:sz w:val="20"/>
          <w:szCs w:val="20"/>
          <w:color w:val="auto"/>
        </w:rPr>
      </w:pPr>
    </w:p>
    <w:p>
      <w:pPr>
        <w:ind w:right="40"/>
        <w:spacing w:after="0" w:line="259" w:lineRule="auto"/>
        <w:rPr>
          <w:sz w:val="20"/>
          <w:szCs w:val="20"/>
          <w:color w:val="auto"/>
        </w:rPr>
      </w:pPr>
      <w:r>
        <w:rPr>
          <w:rFonts w:ascii="Arial" w:cs="Arial" w:eastAsia="Arial" w:hAnsi="Arial"/>
          <w:sz w:val="12"/>
          <w:szCs w:val="12"/>
          <w:color w:val="auto"/>
        </w:rPr>
        <w:t>Although the Company is not a party to the Trust Case and takes no position as to the claims asserted or the relief sought therein, the matters raised in the Trust Case create uncertainty regarding the ongoing control of the Company. Until these matters can be resolved, it is unclear whether, upon the creation of and the transfer of ownership of the Voting Stock to the Cotter Voting Trust, Margaret Cotter will be the sole trustee of the Cotter Voting Trust or whether Margaret Cotter and James J. Cotter. Jr. will be co-trustees of the Cotter Voting Trust. It is likewise uncertain, in the event that the court should determine that Margaret Cotter and James J. Cotter are co-trustees of the Cotter Voting Trust, how the power-sharing authority would be applied in practice.</w:t>
      </w:r>
    </w:p>
    <w:p>
      <w:pPr>
        <w:spacing w:after="0" w:line="125" w:lineRule="exact"/>
        <w:rPr>
          <w:sz w:val="20"/>
          <w:szCs w:val="20"/>
          <w:color w:val="auto"/>
        </w:rPr>
      </w:pPr>
    </w:p>
    <w:p>
      <w:pPr>
        <w:ind w:right="60"/>
        <w:spacing w:after="0" w:line="290" w:lineRule="auto"/>
        <w:rPr>
          <w:sz w:val="20"/>
          <w:szCs w:val="20"/>
          <w:color w:val="auto"/>
        </w:rPr>
      </w:pPr>
      <w:r>
        <w:rPr>
          <w:rFonts w:ascii="Arial" w:cs="Arial" w:eastAsia="Arial" w:hAnsi="Arial"/>
          <w:sz w:val="11"/>
          <w:szCs w:val="11"/>
          <w:color w:val="auto"/>
        </w:rPr>
        <w:t>These pending matters could, in the future, potentially distract the time and attention of Ellen Cotter, James J. Cotter, Jr. and Margaret Cotter from the business and operations of our Company and thus potentially have an adverse effect on the effective management of our Company. Furthermore, the uncertainty as to the future management and control of our Company could potentially adversely impact, among other things (i) our ability to develop and maintain favorable business relationships, (ii) our ability to attract and retain talented and experienced directors, executives and employees, (iii) the compensation and other terms needed to attract and retain such individuals, (iv) our ability to borrow money on favorable long-term terms, and (v) our ability to pursue and complete long-term business objectives.</w:t>
      </w:r>
    </w:p>
    <w:p>
      <w:pPr>
        <w:spacing w:after="0" w:line="22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The interests of our controlling stockholder may conflict with your interests.</w:t>
      </w:r>
    </w:p>
    <w:p>
      <w:pPr>
        <w:spacing w:after="0" w:line="132" w:lineRule="exact"/>
        <w:rPr>
          <w:sz w:val="20"/>
          <w:szCs w:val="20"/>
          <w:color w:val="auto"/>
        </w:rPr>
      </w:pPr>
    </w:p>
    <w:p>
      <w:pPr>
        <w:ind w:right="20"/>
        <w:spacing w:after="0" w:line="280" w:lineRule="auto"/>
        <w:rPr>
          <w:sz w:val="20"/>
          <w:szCs w:val="20"/>
          <w:color w:val="auto"/>
        </w:rPr>
      </w:pPr>
      <w:r>
        <w:rPr>
          <w:rFonts w:ascii="Arial" w:cs="Arial" w:eastAsia="Arial" w:hAnsi="Arial"/>
          <w:sz w:val="11"/>
          <w:szCs w:val="11"/>
          <w:color w:val="auto"/>
        </w:rPr>
        <w:t>As of December 31, 2015, the Cotter Estate and the Cotter Trust beneficially own 66.9% of our outstanding Class B Stock. At the present time, according to the books of the Company, Ellen Cotter and Margaret Cotter vote (including their direct holdings of 50,000 shares and 35,100 shares respectively of the Class B Stock), Class B Stock representing 71.9% of our outstanding Class B Stock. Our Class A Stock is non-voting, while our Class B Stock represents all of the voting power of our Company. For as long as the Cotter Estate, the Cotter Trust and/or the Cotter Voting Trust (referred to herein collectively as the “Cotter Entities”) continue to own shares of Class B Stock representing more than 50% of the voting power of our common stock, the Cotter Entities will be able to elect all of the members of our Board of Directors and determine the outcome of all matters submitted to a vote of our stockholders, including matters involving mergers or other business combinations, the acquisition or disposition of assets, the incurrence of indebtedness, the issuance of any additional shares of common stock or other equity securities and the payment of dividends on common stock. The Cotter Entities will also have the power to prevent or cause a change in control, and could take other actions that might be desirable to the Cotter Entities but not to other stockholders. To the extent that the Cotter Entities hold more than 2/3rds of our outstanding Class B Stock, the Cotter Entities will have the power at any time, with or without cause, to remove any one or more Directors (up to and including the entire board of directors) by written consent taken without a meeting of the stockholders.</w:t>
      </w: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59690</wp:posOffset>
            </wp:positionV>
            <wp:extent cx="677989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779895" cy="42545"/>
                    </a:xfrm>
                    <a:prstGeom prst="rect">
                      <a:avLst/>
                    </a:prstGeom>
                    <a:noFill/>
                  </pic:spPr>
                </pic:pic>
              </a:graphicData>
            </a:graphic>
          </wp:anchor>
        </w:drawing>
      </w:r>
    </w:p>
    <w:p>
      <w:pPr>
        <w:sectPr>
          <w:pgSz w:w="11900" w:h="16838" w:orient="portrait"/>
          <w:cols w:equalWidth="0" w:num="1">
            <w:col w:w="10620"/>
          </w:cols>
          <w:pgMar w:left="640" w:top="131" w:right="639" w:bottom="1440" w:gutter="0" w:footer="0" w:header="0"/>
        </w:sectPr>
      </w:pPr>
    </w:p>
    <w:bookmarkStart w:id="18" w:name="page19"/>
    <w:bookmarkEnd w:id="18"/>
    <w:p>
      <w:pPr>
        <w:ind w:right="260"/>
        <w:spacing w:after="0" w:line="276" w:lineRule="auto"/>
        <w:rPr>
          <w:sz w:val="20"/>
          <w:szCs w:val="20"/>
          <w:color w:val="auto"/>
        </w:rPr>
      </w:pPr>
      <w:r>
        <w:rPr>
          <w:rFonts w:ascii="Arial" w:cs="Arial" w:eastAsia="Arial" w:hAnsi="Arial"/>
          <w:sz w:val="12"/>
          <w:szCs w:val="12"/>
          <w:color w:val="auto"/>
        </w:rPr>
        <w:t xml:space="preserve">In addition, the Cotter Estate or the Cotter Trust and/or their respective affiliates have controlling interests in companies in related and unrelated industries. In the future, we may participate in transactions with these companies (see Note 18 – </w:t>
      </w:r>
      <w:r>
        <w:rPr>
          <w:rFonts w:ascii="Arial" w:cs="Arial" w:eastAsia="Arial" w:hAnsi="Arial"/>
          <w:sz w:val="12"/>
          <w:szCs w:val="12"/>
          <w:i w:val="1"/>
          <w:iCs w:val="1"/>
          <w:color w:val="auto"/>
        </w:rPr>
        <w:t>Related Parties and Transactions</w:t>
      </w:r>
      <w:r>
        <w:rPr>
          <w:rFonts w:ascii="Arial" w:cs="Arial" w:eastAsia="Arial" w:hAnsi="Arial"/>
          <w:sz w:val="12"/>
          <w:szCs w:val="12"/>
          <w:color w:val="auto"/>
        </w:rPr>
        <w:t>).</w:t>
      </w:r>
    </w:p>
    <w:p>
      <w:pPr>
        <w:spacing w:after="0" w:line="115" w:lineRule="exact"/>
        <w:rPr>
          <w:sz w:val="20"/>
          <w:szCs w:val="20"/>
          <w:color w:val="auto"/>
        </w:rPr>
      </w:pPr>
    </w:p>
    <w:p>
      <w:pPr>
        <w:ind w:right="80"/>
        <w:spacing w:after="0" w:line="276" w:lineRule="auto"/>
        <w:rPr>
          <w:sz w:val="20"/>
          <w:szCs w:val="20"/>
          <w:color w:val="auto"/>
        </w:rPr>
      </w:pPr>
      <w:r>
        <w:rPr>
          <w:rFonts w:ascii="Arial" w:cs="Arial" w:eastAsia="Arial" w:hAnsi="Arial"/>
          <w:sz w:val="12"/>
          <w:szCs w:val="12"/>
          <w:color w:val="auto"/>
        </w:rPr>
        <w:t>While controlling stockholders may owe certain fiduciary duties to the company and/or minority stockholders, these duties are limited. No assurances can be given that the Cotter Entities will not take action that, while beneficial to them and legally enforceable, would not necessarily be in the best interests of our Company and/or our stockholders generally.</w:t>
      </w:r>
    </w:p>
    <w:p>
      <w:pPr>
        <w:spacing w:after="0" w:line="232" w:lineRule="exact"/>
        <w:rPr>
          <w:sz w:val="20"/>
          <w:szCs w:val="20"/>
          <w:color w:val="auto"/>
        </w:rPr>
      </w:pPr>
    </w:p>
    <w:p>
      <w:pPr>
        <w:ind w:right="220"/>
        <w:spacing w:after="0" w:line="276" w:lineRule="auto"/>
        <w:rPr>
          <w:sz w:val="20"/>
          <w:szCs w:val="20"/>
          <w:color w:val="auto"/>
        </w:rPr>
      </w:pPr>
      <w:r>
        <w:rPr>
          <w:rFonts w:ascii="Arial" w:cs="Arial" w:eastAsia="Arial" w:hAnsi="Arial"/>
          <w:sz w:val="12"/>
          <w:szCs w:val="12"/>
          <w:b w:val="1"/>
          <w:bCs w:val="1"/>
          <w:i w:val="1"/>
          <w:iCs w:val="1"/>
          <w:color w:val="auto"/>
        </w:rPr>
        <w:t>We are a “Controlled Company” under applicable NASDAQ Regulations. As permitted by those Regulations, our Board has elected to opt out of certain corporate governance rules applicable to non-controlled companies.</w:t>
      </w:r>
    </w:p>
    <w:p>
      <w:pPr>
        <w:spacing w:after="0" w:line="97" w:lineRule="exact"/>
        <w:rPr>
          <w:sz w:val="20"/>
          <w:szCs w:val="20"/>
          <w:color w:val="auto"/>
        </w:rPr>
      </w:pPr>
    </w:p>
    <w:p>
      <w:pPr>
        <w:spacing w:after="0" w:line="255" w:lineRule="auto"/>
        <w:rPr>
          <w:sz w:val="20"/>
          <w:szCs w:val="20"/>
          <w:color w:val="auto"/>
        </w:rPr>
      </w:pPr>
      <w:r>
        <w:rPr>
          <w:rFonts w:ascii="Arial" w:cs="Arial" w:eastAsia="Arial" w:hAnsi="Arial"/>
          <w:sz w:val="12"/>
          <w:szCs w:val="12"/>
          <w:color w:val="auto"/>
        </w:rPr>
        <w:t>Generally speaking, the NASDAQ requires listed companies to meet certain minimum corporate governance provisions. However, a “Controlled Company”, such as we, may elect not to be governed by certain of these provisions. Our Board of Directors has elected to exempt our Company from requirements that (i) at least a majority of our Directors be independent, (ii) nominees to our Board of Directors be nominated by a committee comprised entirely of independent Directors or by a majority of our Company’s independent Directors, and (iii) the compensation of our Chief Executive Officer be determined or recommended to our Board of Directors by a compensation committee comprised entirely of independent Directors or by a majority of our Company’s independent Directors. Notwithstanding the determination by our Board of Directors to opt-out of these NASDAQ requirements, we believe that a majority of our Board of Directors is nevertheless currently comprised of independent Directors, and our compensation committee is nevertheless currently comprised entirely of independent Directors. Nominations are considered by the Board, acting as a whole.</w:t>
      </w:r>
    </w:p>
    <w:p>
      <w:pPr>
        <w:spacing w:after="0" w:line="10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depend on key personnel for our current and future performance.</w:t>
      </w:r>
    </w:p>
    <w:p>
      <w:pPr>
        <w:spacing w:after="0" w:line="123" w:lineRule="exact"/>
        <w:rPr>
          <w:sz w:val="20"/>
          <w:szCs w:val="20"/>
          <w:color w:val="auto"/>
        </w:rPr>
      </w:pPr>
    </w:p>
    <w:p>
      <w:pPr>
        <w:ind w:right="60"/>
        <w:spacing w:after="0" w:line="263" w:lineRule="auto"/>
        <w:rPr>
          <w:sz w:val="20"/>
          <w:szCs w:val="20"/>
          <w:color w:val="auto"/>
        </w:rPr>
      </w:pPr>
      <w:r>
        <w:rPr>
          <w:rFonts w:ascii="Arial" w:cs="Arial" w:eastAsia="Arial" w:hAnsi="Arial"/>
          <w:sz w:val="12"/>
          <w:szCs w:val="12"/>
          <w:color w:val="auto"/>
        </w:rPr>
        <w:t>Our current and future performance depends to a significant degree upon the continued contributions of our senior management team and other key personnel. The loss or unavailability to us of any member of our senior management team or a key employee could significantly harm us. We cannot assure you that we would be able to locate or employ qualified replacements for senior management or key employees on acceptable terms. Due to the uncertainty of our control situation, the ongoing availability of these employees and our ability to replace them is uncertain.</w:t>
      </w: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auto"/>
        </w:rPr>
        <w:t>Item 1B - Unresolved Staff Comments</w:t>
      </w:r>
    </w:p>
    <w:p>
      <w:pPr>
        <w:spacing w:after="0" w:line="73" w:lineRule="exact"/>
        <w:rPr>
          <w:sz w:val="20"/>
          <w:szCs w:val="20"/>
          <w:color w:val="auto"/>
        </w:rPr>
      </w:pPr>
    </w:p>
    <w:p>
      <w:pPr>
        <w:spacing w:after="0"/>
        <w:rPr>
          <w:sz w:val="20"/>
          <w:szCs w:val="20"/>
          <w:color w:val="auto"/>
        </w:rPr>
      </w:pPr>
      <w:r>
        <w:rPr>
          <w:rFonts w:ascii="Arial" w:cs="Arial" w:eastAsia="Arial" w:hAnsi="Arial"/>
          <w:sz w:val="12"/>
          <w:szCs w:val="12"/>
          <w:color w:val="auto"/>
        </w:rPr>
        <w:t>None.</w:t>
      </w:r>
    </w:p>
    <w:p>
      <w:pPr>
        <w:spacing w:after="0" w:line="150"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59690</wp:posOffset>
            </wp:positionV>
            <wp:extent cx="677989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779895" cy="42545"/>
                    </a:xfrm>
                    <a:prstGeom prst="rect">
                      <a:avLst/>
                    </a:prstGeom>
                    <a:noFill/>
                  </pic:spPr>
                </pic:pic>
              </a:graphicData>
            </a:graphic>
          </wp:anchor>
        </w:drawing>
      </w:r>
    </w:p>
    <w:p>
      <w:pPr>
        <w:sectPr>
          <w:pgSz w:w="11900" w:h="16838" w:orient="portrait"/>
          <w:cols w:equalWidth="0" w:num="1">
            <w:col w:w="10580"/>
          </w:cols>
          <w:pgMar w:left="640" w:top="131" w:right="679" w:bottom="1440" w:gutter="0" w:footer="0" w:header="0"/>
        </w:sectPr>
      </w:pPr>
    </w:p>
    <w:bookmarkStart w:id="19" w:name="page20"/>
    <w:bookmarkEnd w:id="19"/>
    <w:p>
      <w:pPr>
        <w:spacing w:after="0"/>
        <w:rPr>
          <w:sz w:val="20"/>
          <w:szCs w:val="20"/>
          <w:color w:val="auto"/>
        </w:rPr>
      </w:pPr>
      <w:r>
        <w:rPr>
          <w:rFonts w:ascii="Arial" w:cs="Arial" w:eastAsia="Arial" w:hAnsi="Arial"/>
          <w:sz w:val="12"/>
          <w:szCs w:val="12"/>
          <w:b w:val="1"/>
          <w:bCs w:val="1"/>
          <w:u w:val="single" w:color="auto"/>
          <w:color w:val="auto"/>
        </w:rPr>
        <w:t>Item 2 – Properties</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EXECUTIVE AND ADMINISTRATIVE OFFICES</w:t>
      </w:r>
    </w:p>
    <w:p>
      <w:pPr>
        <w:spacing w:after="0" w:line="136" w:lineRule="exact"/>
        <w:rPr>
          <w:sz w:val="20"/>
          <w:szCs w:val="20"/>
          <w:color w:val="auto"/>
        </w:rPr>
      </w:pPr>
    </w:p>
    <w:p>
      <w:pPr>
        <w:ind w:right="140"/>
        <w:spacing w:after="0" w:line="290" w:lineRule="auto"/>
        <w:rPr>
          <w:sz w:val="20"/>
          <w:szCs w:val="20"/>
          <w:color w:val="auto"/>
        </w:rPr>
      </w:pPr>
      <w:r>
        <w:rPr>
          <w:rFonts w:ascii="Arial" w:cs="Arial" w:eastAsia="Arial" w:hAnsi="Arial"/>
          <w:sz w:val="11"/>
          <w:szCs w:val="11"/>
          <w:color w:val="auto"/>
        </w:rPr>
        <w:t>We lease approximately 11,700 square feet of office space in Los Angeles, California to serve as our executive headquarters. This lease expires on December 31, 2016 and we will not renew it, since as discussed below we have purchased a headquarters building in Culver City, California. We own an 8,100 square foot office building in Melbourne, Australia, approximately 5,200 square feet of which serves as the headquarters for our Australian and New Zealand operations (the remainder being leased to an unrelated third party). We maintain our accounting personnel and certain IT and operational personnel in approximately 5,800 square foot of offices located in our Wellington Courtenay Central ETC. We occupy approximately 3,500 square feet at our Village East leasehold property for administrative purposes.</w:t>
      </w:r>
    </w:p>
    <w:p>
      <w:pPr>
        <w:spacing w:after="0" w:line="109" w:lineRule="exact"/>
        <w:rPr>
          <w:sz w:val="20"/>
          <w:szCs w:val="20"/>
          <w:color w:val="auto"/>
        </w:rPr>
      </w:pPr>
    </w:p>
    <w:p>
      <w:pPr>
        <w:ind w:right="80"/>
        <w:spacing w:after="0" w:line="276" w:lineRule="auto"/>
        <w:rPr>
          <w:sz w:val="20"/>
          <w:szCs w:val="20"/>
          <w:color w:val="auto"/>
        </w:rPr>
      </w:pPr>
      <w:r>
        <w:rPr>
          <w:rFonts w:ascii="Arial" w:cs="Arial" w:eastAsia="Arial" w:hAnsi="Arial"/>
          <w:sz w:val="12"/>
          <w:szCs w:val="12"/>
          <w:color w:val="auto"/>
        </w:rPr>
        <w:t>On April 11, 2016, we purchased a 24,000 square foot Class B office building with 72 parking spaces located at 5995 Sepulveda Boulevard in Culver City, California. We intend to use approximately 50% of the leasable area for our headquarters offices and to lease the remainder to unaffiliated third parties.</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ENTERTAINMENT PROPERTIES</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Entertainment Use Leasehold Interests</w:t>
      </w:r>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color w:val="auto"/>
        </w:rPr>
        <w:t>As of December 31, 2015, we lease approximately 1,800,000 square feet of completed cinema space in the United States, Australia, and New Zealand as follows:</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240" w:type="dxa"/>
            <w:vAlign w:val="bottom"/>
          </w:tcPr>
          <w:p>
            <w:pPr>
              <w:spacing w:after="0"/>
              <w:rPr>
                <w:sz w:val="10"/>
                <w:szCs w:val="10"/>
                <w:color w:val="auto"/>
              </w:rPr>
            </w:pPr>
          </w:p>
        </w:tc>
        <w:tc>
          <w:tcPr>
            <w:tcW w:w="28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260" w:type="dxa"/>
            <w:vAlign w:val="bottom"/>
          </w:tcPr>
          <w:p>
            <w:pPr>
              <w:jc w:val="center"/>
              <w:spacing w:after="0"/>
              <w:rPr>
                <w:sz w:val="20"/>
                <w:szCs w:val="20"/>
                <w:color w:val="auto"/>
              </w:rPr>
            </w:pPr>
            <w:r>
              <w:rPr>
                <w:rFonts w:ascii="Arial" w:cs="Arial" w:eastAsia="Arial" w:hAnsi="Arial"/>
                <w:sz w:val="10"/>
                <w:szCs w:val="10"/>
                <w:b w:val="1"/>
                <w:bCs w:val="1"/>
                <w:color w:val="auto"/>
                <w:w w:val="86"/>
              </w:rPr>
              <w:t>Approximate Range of Remaining Lease Terms</w:t>
            </w:r>
          </w:p>
        </w:tc>
      </w:tr>
      <w:tr>
        <w:trPr>
          <w:trHeight w:val="114"/>
        </w:trPr>
        <w:tc>
          <w:tcPr>
            <w:tcW w:w="2240" w:type="dxa"/>
            <w:vAlign w:val="bottom"/>
          </w:tcPr>
          <w:p>
            <w:pPr>
              <w:spacing w:after="0"/>
              <w:rPr>
                <w:sz w:val="9"/>
                <w:szCs w:val="9"/>
                <w:color w:val="auto"/>
              </w:rPr>
            </w:pPr>
          </w:p>
        </w:tc>
        <w:tc>
          <w:tcPr>
            <w:tcW w:w="3120" w:type="dxa"/>
            <w:vAlign w:val="bottom"/>
            <w:gridSpan w:val="2"/>
          </w:tcPr>
          <w:p>
            <w:pPr>
              <w:jc w:val="center"/>
              <w:ind w:right="280"/>
              <w:spacing w:after="0" w:line="114" w:lineRule="exact"/>
              <w:rPr>
                <w:sz w:val="20"/>
                <w:szCs w:val="20"/>
                <w:color w:val="auto"/>
              </w:rPr>
            </w:pPr>
            <w:r>
              <w:rPr>
                <w:rFonts w:ascii="Arial" w:cs="Arial" w:eastAsia="Arial" w:hAnsi="Arial"/>
                <w:sz w:val="10"/>
                <w:szCs w:val="10"/>
                <w:b w:val="1"/>
                <w:bCs w:val="1"/>
                <w:color w:val="auto"/>
                <w:w w:val="84"/>
              </w:rPr>
              <w:t>Aggregate Square Footage</w:t>
            </w:r>
          </w:p>
        </w:tc>
        <w:tc>
          <w:tcPr>
            <w:tcW w:w="5260" w:type="dxa"/>
            <w:vAlign w:val="bottom"/>
          </w:tcPr>
          <w:p>
            <w:pPr>
              <w:jc w:val="center"/>
              <w:spacing w:after="0" w:line="114" w:lineRule="exact"/>
              <w:rPr>
                <w:sz w:val="20"/>
                <w:szCs w:val="20"/>
                <w:color w:val="auto"/>
              </w:rPr>
            </w:pPr>
            <w:r>
              <w:rPr>
                <w:rFonts w:ascii="Arial" w:cs="Arial" w:eastAsia="Arial" w:hAnsi="Arial"/>
                <w:sz w:val="10"/>
                <w:szCs w:val="10"/>
                <w:b w:val="1"/>
                <w:bCs w:val="1"/>
                <w:color w:val="auto"/>
                <w:w w:val="84"/>
              </w:rPr>
              <w:t>(including renewals)</w:t>
            </w:r>
          </w:p>
        </w:tc>
      </w:tr>
      <w:tr>
        <w:trPr>
          <w:trHeight w:val="169"/>
        </w:trPr>
        <w:tc>
          <w:tcPr>
            <w:tcW w:w="2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0"/>
                <w:szCs w:val="10"/>
                <w:color w:val="auto"/>
              </w:rPr>
              <w:t>United States</w:t>
            </w:r>
          </w:p>
        </w:tc>
        <w:tc>
          <w:tcPr>
            <w:tcW w:w="28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0"/>
                <w:szCs w:val="10"/>
                <w:color w:val="auto"/>
                <w:w w:val="88"/>
              </w:rPr>
              <w:t>966,000</w:t>
            </w:r>
          </w:p>
        </w:tc>
        <w:tc>
          <w:tcPr>
            <w:tcW w:w="280" w:type="dxa"/>
            <w:vAlign w:val="bottom"/>
            <w:tcBorders>
              <w:top w:val="single" w:sz="8" w:color="CCEEFF"/>
            </w:tcBorders>
            <w:shd w:val="clear" w:color="auto" w:fill="CCEEFF"/>
          </w:tcPr>
          <w:p>
            <w:pPr>
              <w:spacing w:after="0"/>
              <w:rPr>
                <w:sz w:val="14"/>
                <w:szCs w:val="14"/>
                <w:color w:val="auto"/>
              </w:rPr>
            </w:pPr>
          </w:p>
        </w:tc>
        <w:tc>
          <w:tcPr>
            <w:tcW w:w="52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0"/>
                <w:szCs w:val="10"/>
                <w:color w:val="auto"/>
                <w:w w:val="86"/>
              </w:rPr>
              <w:t>2017 – 2050</w:t>
            </w:r>
          </w:p>
        </w:tc>
      </w:tr>
      <w:tr>
        <w:trPr>
          <w:trHeight w:val="180"/>
        </w:trPr>
        <w:tc>
          <w:tcPr>
            <w:tcW w:w="2240" w:type="dxa"/>
            <w:vAlign w:val="bottom"/>
          </w:tcPr>
          <w:p>
            <w:pPr>
              <w:spacing w:after="0"/>
              <w:rPr>
                <w:sz w:val="20"/>
                <w:szCs w:val="20"/>
                <w:color w:val="auto"/>
              </w:rPr>
            </w:pPr>
            <w:r>
              <w:rPr>
                <w:rFonts w:ascii="Arial" w:cs="Arial" w:eastAsia="Arial" w:hAnsi="Arial"/>
                <w:sz w:val="10"/>
                <w:szCs w:val="10"/>
                <w:color w:val="auto"/>
              </w:rPr>
              <w:t>Australia</w:t>
            </w:r>
          </w:p>
        </w:tc>
        <w:tc>
          <w:tcPr>
            <w:tcW w:w="2840" w:type="dxa"/>
            <w:vAlign w:val="bottom"/>
          </w:tcPr>
          <w:p>
            <w:pPr>
              <w:jc w:val="center"/>
              <w:spacing w:after="0"/>
              <w:rPr>
                <w:sz w:val="20"/>
                <w:szCs w:val="20"/>
                <w:color w:val="auto"/>
              </w:rPr>
            </w:pPr>
            <w:r>
              <w:rPr>
                <w:rFonts w:ascii="Arial" w:cs="Arial" w:eastAsia="Arial" w:hAnsi="Arial"/>
                <w:sz w:val="10"/>
                <w:szCs w:val="10"/>
                <w:color w:val="auto"/>
                <w:w w:val="88"/>
              </w:rPr>
              <w:t>659,000</w:t>
            </w:r>
          </w:p>
        </w:tc>
        <w:tc>
          <w:tcPr>
            <w:tcW w:w="280" w:type="dxa"/>
            <w:vAlign w:val="bottom"/>
          </w:tcPr>
          <w:p>
            <w:pPr>
              <w:spacing w:after="0"/>
              <w:rPr>
                <w:sz w:val="15"/>
                <w:szCs w:val="15"/>
                <w:color w:val="auto"/>
              </w:rPr>
            </w:pPr>
          </w:p>
        </w:tc>
        <w:tc>
          <w:tcPr>
            <w:tcW w:w="5260" w:type="dxa"/>
            <w:vAlign w:val="bottom"/>
          </w:tcPr>
          <w:p>
            <w:pPr>
              <w:jc w:val="center"/>
              <w:spacing w:after="0"/>
              <w:rPr>
                <w:sz w:val="20"/>
                <w:szCs w:val="20"/>
                <w:color w:val="auto"/>
              </w:rPr>
            </w:pPr>
            <w:r>
              <w:rPr>
                <w:rFonts w:ascii="Arial" w:cs="Arial" w:eastAsia="Arial" w:hAnsi="Arial"/>
                <w:sz w:val="10"/>
                <w:szCs w:val="10"/>
                <w:color w:val="auto"/>
                <w:w w:val="86"/>
              </w:rPr>
              <w:t>2019 – 2039</w:t>
            </w:r>
          </w:p>
        </w:tc>
      </w:tr>
      <w:tr>
        <w:trPr>
          <w:trHeight w:val="180"/>
        </w:trPr>
        <w:tc>
          <w:tcPr>
            <w:tcW w:w="2240" w:type="dxa"/>
            <w:vAlign w:val="bottom"/>
            <w:shd w:val="clear" w:color="auto" w:fill="CCEEFF"/>
          </w:tcPr>
          <w:p>
            <w:pPr>
              <w:spacing w:after="0"/>
              <w:rPr>
                <w:sz w:val="20"/>
                <w:szCs w:val="20"/>
                <w:color w:val="auto"/>
              </w:rPr>
            </w:pPr>
            <w:r>
              <w:rPr>
                <w:rFonts w:ascii="Arial" w:cs="Arial" w:eastAsia="Arial" w:hAnsi="Arial"/>
                <w:sz w:val="10"/>
                <w:szCs w:val="10"/>
                <w:color w:val="auto"/>
              </w:rPr>
              <w:t>New Zealand</w:t>
            </w:r>
          </w:p>
        </w:tc>
        <w:tc>
          <w:tcPr>
            <w:tcW w:w="284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8"/>
              </w:rPr>
              <w:t>190,000</w:t>
            </w:r>
          </w:p>
        </w:tc>
        <w:tc>
          <w:tcPr>
            <w:tcW w:w="280" w:type="dxa"/>
            <w:vAlign w:val="bottom"/>
            <w:shd w:val="clear" w:color="auto" w:fill="CCEEFF"/>
          </w:tcPr>
          <w:p>
            <w:pPr>
              <w:spacing w:after="0"/>
              <w:rPr>
                <w:sz w:val="15"/>
                <w:szCs w:val="15"/>
                <w:color w:val="auto"/>
              </w:rPr>
            </w:pPr>
          </w:p>
        </w:tc>
        <w:tc>
          <w:tcPr>
            <w:tcW w:w="526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6"/>
              </w:rPr>
              <w:t>2019 – 2050</w:t>
            </w:r>
          </w:p>
        </w:tc>
      </w:tr>
    </w:tbl>
    <w:p>
      <w:pPr>
        <w:spacing w:after="0" w:line="252" w:lineRule="exact"/>
        <w:rPr>
          <w:sz w:val="20"/>
          <w:szCs w:val="20"/>
          <w:color w:val="auto"/>
        </w:rPr>
      </w:pPr>
    </w:p>
    <w:p>
      <w:pPr>
        <w:ind w:right="200"/>
        <w:spacing w:after="0" w:line="380" w:lineRule="auto"/>
        <w:rPr>
          <w:sz w:val="20"/>
          <w:szCs w:val="20"/>
          <w:color w:val="auto"/>
        </w:rPr>
      </w:pPr>
      <w:r>
        <w:rPr>
          <w:rFonts w:ascii="Arial" w:cs="Arial" w:eastAsia="Arial" w:hAnsi="Arial"/>
          <w:sz w:val="10"/>
          <w:szCs w:val="10"/>
          <w:color w:val="auto"/>
        </w:rPr>
        <w:t>In 2014, we entered into a long term lease for a new state-of-the-art Angelika Film Center in the Union Market district of Washington DC. However, the lease was terminated as the anticipated location for this cinema ultimately was determined by the landlord, Edens, to not be feasible. We are currently finalizing with Edens the terms and conditions of a new lease for a cinema in a different location in the Union Market area.</w:t>
      </w:r>
    </w:p>
    <w:p>
      <w:pPr>
        <w:spacing w:after="0" w:line="41" w:lineRule="exact"/>
        <w:rPr>
          <w:sz w:val="20"/>
          <w:szCs w:val="20"/>
          <w:color w:val="auto"/>
        </w:rPr>
      </w:pPr>
    </w:p>
    <w:p>
      <w:pPr>
        <w:ind w:right="120"/>
        <w:spacing w:after="0" w:line="276" w:lineRule="auto"/>
        <w:rPr>
          <w:sz w:val="20"/>
          <w:szCs w:val="20"/>
          <w:color w:val="auto"/>
        </w:rPr>
      </w:pPr>
      <w:r>
        <w:rPr>
          <w:rFonts w:ascii="Arial" w:cs="Arial" w:eastAsia="Arial" w:hAnsi="Arial"/>
          <w:sz w:val="12"/>
          <w:szCs w:val="12"/>
          <w:color w:val="auto"/>
        </w:rPr>
        <w:t>In December 2014, we entered into a lease for a new luxury cinema, under the Consolidated Theatres brand, at the new Ka Makana Ali'i Shopping Center being developed in Kapolei, Hawaii by an affiliate of DeBartolo Development and finalized terms for a new eight-screen cinema complex in Auckland, New Zealand, which opened in November 2015.</w:t>
      </w:r>
    </w:p>
    <w:p>
      <w:pPr>
        <w:spacing w:after="0" w:line="9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Fee Interests</w:t>
      </w:r>
    </w:p>
    <w:p>
      <w:pPr>
        <w:spacing w:after="0" w:line="127" w:lineRule="exact"/>
        <w:rPr>
          <w:sz w:val="20"/>
          <w:szCs w:val="20"/>
          <w:color w:val="auto"/>
        </w:rPr>
      </w:pPr>
    </w:p>
    <w:p>
      <w:pPr>
        <w:ind w:right="160"/>
        <w:spacing w:after="0" w:line="290" w:lineRule="auto"/>
        <w:rPr>
          <w:sz w:val="20"/>
          <w:szCs w:val="20"/>
          <w:color w:val="auto"/>
        </w:rPr>
      </w:pPr>
      <w:r>
        <w:rPr>
          <w:rFonts w:ascii="Arial" w:cs="Arial" w:eastAsia="Arial" w:hAnsi="Arial"/>
          <w:sz w:val="11"/>
          <w:szCs w:val="11"/>
          <w:color w:val="auto"/>
        </w:rPr>
        <w:t>In Australia, as of December 31, 2015, we owned approximately 1,200,000 square feet of land at nine locations. Most of this land is located in the greater metropolitan areas of Brisbane, Melbourne, Perth, and Sydney. The foregoing does not include the 50.6-acre Burwood, Australia site, which has been sold but not yet recognized as a sale under accounting principles generally accepted in the United States of America (“US GAAP”). Of these fee interests, approximately 165,000 square feet are currently improved with cinemas. This figure includes an approximately 23,000 square foot parcel currently improved with an approximately 22,000 square foot office building that we intend to integrate with and into our Newmarket Shopping Center and that, accordingly, is not listed above as a separate location.</w:t>
      </w:r>
    </w:p>
    <w:p>
      <w:pPr>
        <w:spacing w:after="0" w:line="82" w:lineRule="exact"/>
        <w:rPr>
          <w:sz w:val="20"/>
          <w:szCs w:val="20"/>
          <w:color w:val="auto"/>
        </w:rPr>
      </w:pPr>
    </w:p>
    <w:p>
      <w:pPr>
        <w:jc w:val="both"/>
        <w:ind w:right="400"/>
        <w:spacing w:after="0" w:line="263" w:lineRule="auto"/>
        <w:rPr>
          <w:sz w:val="20"/>
          <w:szCs w:val="20"/>
          <w:color w:val="auto"/>
        </w:rPr>
      </w:pPr>
      <w:r>
        <w:rPr>
          <w:rFonts w:ascii="Arial" w:cs="Arial" w:eastAsia="Arial" w:hAnsi="Arial"/>
          <w:sz w:val="12"/>
          <w:szCs w:val="12"/>
          <w:color w:val="auto"/>
        </w:rPr>
        <w:t>In New Zealand, as of December 31, 2015, we owned approximately 3,400,000 square feet of land at seven locations. The foregoing excludes the 0.5-acre Taupo, New Zealand site, which has been sold but not yet recognized as a sale under US GAAP. The foregoing includes the Courtenay Central ETC in Wellington, the development land behind the Courtenay Central ETC, the 70.4-acre Manukau site, and the fee interests underlying four cinemas in New Zealand, which properties include approximately 21,000 square feet of ancillary retail space.</w:t>
      </w:r>
    </w:p>
    <w:p>
      <w:pPr>
        <w:spacing w:after="0" w:line="105" w:lineRule="exact"/>
        <w:rPr>
          <w:sz w:val="20"/>
          <w:szCs w:val="20"/>
          <w:color w:val="auto"/>
        </w:rPr>
      </w:pPr>
    </w:p>
    <w:p>
      <w:pPr>
        <w:ind w:right="180"/>
        <w:spacing w:after="0" w:line="323" w:lineRule="auto"/>
        <w:rPr>
          <w:sz w:val="20"/>
          <w:szCs w:val="20"/>
          <w:color w:val="auto"/>
        </w:rPr>
      </w:pPr>
      <w:r>
        <w:rPr>
          <w:rFonts w:ascii="Arial" w:cs="Arial" w:eastAsia="Arial" w:hAnsi="Arial"/>
          <w:sz w:val="11"/>
          <w:szCs w:val="11"/>
          <w:color w:val="auto"/>
        </w:rPr>
        <w:t>In the United States, as of December 31, 2015, we owned approximately 74,000 square feet of improved real estate comprised of three live theater buildings, which include approximately 16,000 square feet of leasable space, the fee interest in the Union Square property formally used as a live theater, and the fee interest in our Cinemas 1, 2, 3 in Manhattan (held through a limited liability company in</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59690</wp:posOffset>
            </wp:positionV>
            <wp:extent cx="677989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779895" cy="42545"/>
                    </a:xfrm>
                    <a:prstGeom prst="rect">
                      <a:avLst/>
                    </a:prstGeom>
                    <a:noFill/>
                  </pic:spPr>
                </pic:pic>
              </a:graphicData>
            </a:graphic>
          </wp:anchor>
        </w:drawing>
      </w:r>
    </w:p>
    <w:p>
      <w:pPr>
        <w:sectPr>
          <w:pgSz w:w="11900" w:h="16838" w:orient="portrait"/>
          <w:cols w:equalWidth="0" w:num="1">
            <w:col w:w="10620"/>
          </w:cols>
          <w:pgMar w:left="640" w:top="127" w:right="639" w:bottom="1440" w:gutter="0" w:footer="0" w:header="0"/>
        </w:sectPr>
      </w:pPr>
    </w:p>
    <w:bookmarkStart w:id="20" w:name="page21"/>
    <w:bookmarkEnd w:id="20"/>
    <w:p>
      <w:pPr>
        <w:ind w:right="40"/>
        <w:spacing w:after="0" w:line="276" w:lineRule="auto"/>
        <w:rPr>
          <w:sz w:val="20"/>
          <w:szCs w:val="20"/>
          <w:color w:val="auto"/>
        </w:rPr>
      </w:pPr>
      <w:r>
        <w:rPr>
          <w:rFonts w:ascii="Arial" w:cs="Arial" w:eastAsia="Arial" w:hAnsi="Arial"/>
          <w:sz w:val="12"/>
          <w:szCs w:val="12"/>
          <w:color w:val="auto"/>
        </w:rPr>
        <w:t>which we have a 75% managing member interest). We also own 202 acres of unimproved land in Coachella Valley, California, held through a limited liability company in which the Cotter Estate has a 50% non-managing member interest.</w:t>
      </w:r>
    </w:p>
    <w:p>
      <w:pPr>
        <w:spacing w:after="0" w:line="88" w:lineRule="exact"/>
        <w:rPr>
          <w:sz w:val="20"/>
          <w:szCs w:val="20"/>
          <w:color w:val="auto"/>
        </w:rPr>
      </w:pPr>
    </w:p>
    <w:p>
      <w:pPr>
        <w:spacing w:after="0"/>
        <w:rPr>
          <w:sz w:val="20"/>
          <w:szCs w:val="20"/>
          <w:color w:val="auto"/>
        </w:rPr>
      </w:pPr>
      <w:r>
        <w:rPr>
          <w:rFonts w:ascii="Arial" w:cs="Arial" w:eastAsia="Arial" w:hAnsi="Arial"/>
          <w:sz w:val="12"/>
          <w:szCs w:val="12"/>
          <w:color w:val="auto"/>
        </w:rPr>
        <w:t>As discussed above we purchased a property in Culver City to house our executive offices.</w:t>
      </w:r>
    </w:p>
    <w:p>
      <w:pPr>
        <w:spacing w:after="0" w:line="12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Live Theaters</w:t>
      </w:r>
    </w:p>
    <w:p>
      <w:pPr>
        <w:spacing w:after="0" w:line="127" w:lineRule="exact"/>
        <w:rPr>
          <w:sz w:val="20"/>
          <w:szCs w:val="20"/>
          <w:color w:val="auto"/>
        </w:rPr>
      </w:pPr>
    </w:p>
    <w:p>
      <w:pPr>
        <w:spacing w:after="0" w:line="263" w:lineRule="auto"/>
        <w:rPr>
          <w:sz w:val="20"/>
          <w:szCs w:val="20"/>
          <w:color w:val="auto"/>
        </w:rPr>
      </w:pPr>
      <w:r>
        <w:rPr>
          <w:rFonts w:ascii="Arial" w:cs="Arial" w:eastAsia="Arial" w:hAnsi="Arial"/>
          <w:sz w:val="12"/>
          <w:szCs w:val="12"/>
          <w:color w:val="auto"/>
        </w:rPr>
        <w:t>Included among our real estate holdings are three Off-Broadway style live theaters, operated through our Liberty Theaters subsidiary. We license theater auditoriums to the producers of Off-Broadway theatrical productions and provide various box office and concession services. The terms of our licenses are, naturally, principally dependent upon the commercial success of our tenants. While we attempt to choose productions that we believe will be successful, we have no control over the production itself. At the current time, we have two single-auditorium theaters in Manhattan:</w:t>
      </w:r>
    </w:p>
    <w:p>
      <w:pPr>
        <w:spacing w:after="0" w:line="96" w:lineRule="exact"/>
        <w:rPr>
          <w:sz w:val="20"/>
          <w:szCs w:val="20"/>
          <w:color w:val="auto"/>
        </w:rPr>
      </w:pPr>
    </w:p>
    <w:p>
      <w:pPr>
        <w:ind w:left="440" w:hanging="219"/>
        <w:spacing w:after="0"/>
        <w:tabs>
          <w:tab w:leader="none" w:pos="440" w:val="left"/>
        </w:tabs>
        <w:numPr>
          <w:ilvl w:val="0"/>
          <w:numId w:val="13"/>
        </w:numPr>
        <w:rPr>
          <w:rFonts w:ascii="Arial" w:cs="Arial" w:eastAsia="Arial" w:hAnsi="Arial"/>
          <w:sz w:val="12"/>
          <w:szCs w:val="12"/>
          <w:color w:val="auto"/>
        </w:rPr>
      </w:pPr>
      <w:r>
        <w:rPr>
          <w:rFonts w:ascii="Arial" w:cs="Arial" w:eastAsia="Arial" w:hAnsi="Arial"/>
          <w:sz w:val="12"/>
          <w:szCs w:val="12"/>
          <w:color w:val="auto"/>
        </w:rPr>
        <w:t>the Minetta Lane (399 seats); and</w:t>
      </w:r>
    </w:p>
    <w:p>
      <w:pPr>
        <w:spacing w:after="0" w:line="14" w:lineRule="exact"/>
        <w:rPr>
          <w:rFonts w:ascii="Arial" w:cs="Arial" w:eastAsia="Arial" w:hAnsi="Arial"/>
          <w:sz w:val="12"/>
          <w:szCs w:val="12"/>
          <w:color w:val="auto"/>
        </w:rPr>
      </w:pPr>
    </w:p>
    <w:p>
      <w:pPr>
        <w:ind w:left="520" w:hanging="299"/>
        <w:spacing w:after="0"/>
        <w:tabs>
          <w:tab w:leader="none" w:pos="520" w:val="left"/>
        </w:tabs>
        <w:numPr>
          <w:ilvl w:val="0"/>
          <w:numId w:val="13"/>
        </w:numPr>
        <w:rPr>
          <w:rFonts w:ascii="Arial" w:cs="Arial" w:eastAsia="Arial" w:hAnsi="Arial"/>
          <w:sz w:val="12"/>
          <w:szCs w:val="12"/>
          <w:color w:val="auto"/>
        </w:rPr>
      </w:pPr>
      <w:r>
        <w:rPr>
          <w:rFonts w:ascii="Arial" w:cs="Arial" w:eastAsia="Arial" w:hAnsi="Arial"/>
          <w:sz w:val="12"/>
          <w:szCs w:val="12"/>
          <w:color w:val="auto"/>
        </w:rPr>
        <w:t>the Orpheum (347 seats);</w:t>
      </w:r>
    </w:p>
    <w:p>
      <w:pPr>
        <w:spacing w:after="0" w:line="123" w:lineRule="exact"/>
        <w:rPr>
          <w:sz w:val="20"/>
          <w:szCs w:val="20"/>
          <w:color w:val="auto"/>
        </w:rPr>
      </w:pPr>
    </w:p>
    <w:p>
      <w:pPr>
        <w:spacing w:after="0"/>
        <w:rPr>
          <w:sz w:val="20"/>
          <w:szCs w:val="20"/>
          <w:color w:val="auto"/>
        </w:rPr>
      </w:pPr>
      <w:r>
        <w:rPr>
          <w:rFonts w:ascii="Arial" w:cs="Arial" w:eastAsia="Arial" w:hAnsi="Arial"/>
          <w:sz w:val="11"/>
          <w:szCs w:val="11"/>
          <w:color w:val="auto"/>
        </w:rPr>
        <w:t>We also own a four-auditorium theater complex, the Royal George in Chicago (main stage 452 seats, cabaret 199 seats, great room 100 seats and gallery 60 seats), which has ancillary retail and office space.</w:t>
      </w:r>
    </w:p>
    <w:p>
      <w:pPr>
        <w:spacing w:after="0" w:line="135" w:lineRule="exact"/>
        <w:rPr>
          <w:sz w:val="20"/>
          <w:szCs w:val="20"/>
          <w:color w:val="auto"/>
        </w:rPr>
      </w:pPr>
    </w:p>
    <w:p>
      <w:pPr>
        <w:spacing w:after="0"/>
        <w:rPr>
          <w:sz w:val="20"/>
          <w:szCs w:val="20"/>
          <w:color w:val="auto"/>
        </w:rPr>
      </w:pPr>
      <w:r>
        <w:rPr>
          <w:rFonts w:ascii="Arial" w:cs="Arial" w:eastAsia="Arial" w:hAnsi="Arial"/>
          <w:sz w:val="12"/>
          <w:szCs w:val="12"/>
          <w:color w:val="auto"/>
        </w:rPr>
        <w:t>At the end of 2015, we closed our Union Square Theater as a part of our redevelopment of that property.</w:t>
      </w:r>
    </w:p>
    <w:p>
      <w:pPr>
        <w:spacing w:after="0" w:line="123" w:lineRule="exact"/>
        <w:rPr>
          <w:sz w:val="20"/>
          <w:szCs w:val="20"/>
          <w:color w:val="auto"/>
        </w:rPr>
      </w:pPr>
    </w:p>
    <w:p>
      <w:pPr>
        <w:ind w:right="40"/>
        <w:spacing w:after="0" w:line="323" w:lineRule="auto"/>
        <w:rPr>
          <w:sz w:val="20"/>
          <w:szCs w:val="20"/>
          <w:color w:val="auto"/>
        </w:rPr>
      </w:pPr>
      <w:r>
        <w:rPr>
          <w:rFonts w:ascii="Arial" w:cs="Arial" w:eastAsia="Arial" w:hAnsi="Arial"/>
          <w:sz w:val="11"/>
          <w:szCs w:val="11"/>
          <w:color w:val="auto"/>
        </w:rPr>
        <w:t>Liberty Theaters is primarily in the business of renting theater space. However, we may from time-to-time participate as an investor in a play, which can help facilitate the production of the play at one of our facilities, and do from time-to-time rent space on a basis that allows us to share in a production’s revenue or profits. Revenue, expense, and profits are reported as a part of the real estate segment of our business.</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Joint Venture Interests</w:t>
      </w:r>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color w:val="auto"/>
        </w:rPr>
        <w:t>We also hold real estate through several unincorporated joint ventures, two 75%-owned subsidiaries, and one majority-owned subsidiary, as described below:</w:t>
      </w:r>
    </w:p>
    <w:p>
      <w:pPr>
        <w:spacing w:after="0" w:line="123" w:lineRule="exact"/>
        <w:rPr>
          <w:sz w:val="20"/>
          <w:szCs w:val="20"/>
          <w:color w:val="auto"/>
        </w:rPr>
      </w:pPr>
    </w:p>
    <w:p>
      <w:pPr>
        <w:ind w:left="260" w:right="20" w:hanging="35"/>
        <w:spacing w:after="0" w:line="258" w:lineRule="auto"/>
        <w:rPr>
          <w:sz w:val="20"/>
          <w:szCs w:val="20"/>
          <w:color w:val="auto"/>
        </w:rPr>
      </w:pPr>
      <w:r>
        <w:rPr>
          <w:rFonts w:ascii="Arial" w:cs="Arial" w:eastAsia="Arial" w:hAnsi="Arial"/>
          <w:sz w:val="12"/>
          <w:szCs w:val="12"/>
          <w:color w:val="auto"/>
        </w:rPr>
        <w:t>·in Australia, we own a 75% interest in a subsidiary company that leases two cinemas with 11 screens in two Australian country towns, and a 33% unincorporated joint venture interest in a 16-screen leasehold cinema in a suburb of Brisbane.</w:t>
      </w:r>
    </w:p>
    <w:p>
      <w:pPr>
        <w:ind w:left="260" w:right="60" w:hanging="35"/>
        <w:spacing w:after="0" w:line="250" w:lineRule="auto"/>
        <w:rPr>
          <w:sz w:val="20"/>
          <w:szCs w:val="20"/>
          <w:color w:val="auto"/>
        </w:rPr>
      </w:pPr>
      <w:r>
        <w:rPr>
          <w:rFonts w:ascii="Arial" w:cs="Arial" w:eastAsia="Arial" w:hAnsi="Arial"/>
          <w:sz w:val="12"/>
          <w:szCs w:val="12"/>
          <w:color w:val="auto"/>
        </w:rPr>
        <w:t>·in New Zealand, we own a 50% unincorporated joint venture interest in two cinemas with 13 screens in the New Zealand cities of Auckland and Dunedin. This Dunedin joint venture interest is in addition to our fee interest in our Dunedin six-screen Cinema.</w:t>
      </w:r>
    </w:p>
    <w:p>
      <w:pPr>
        <w:spacing w:after="0" w:line="1" w:lineRule="exact"/>
        <w:rPr>
          <w:sz w:val="20"/>
          <w:szCs w:val="20"/>
          <w:color w:val="auto"/>
        </w:rPr>
      </w:pPr>
    </w:p>
    <w:p>
      <w:pPr>
        <w:ind w:left="260" w:right="120" w:hanging="35"/>
        <w:spacing w:after="0" w:line="306" w:lineRule="auto"/>
        <w:rPr>
          <w:sz w:val="20"/>
          <w:szCs w:val="20"/>
          <w:color w:val="auto"/>
        </w:rPr>
      </w:pPr>
      <w:r>
        <w:rPr>
          <w:rFonts w:ascii="Arial" w:cs="Arial" w:eastAsia="Arial" w:hAnsi="Arial"/>
          <w:sz w:val="11"/>
          <w:szCs w:val="11"/>
          <w:color w:val="auto"/>
        </w:rPr>
        <w:t>·In the United States, we own a 75% managing member interest in the limited liability company that owns our Cinemas 1,2,3 property and a 50% managing member interest in Shadow View Land &amp; Farming, LLC, which owns an approximately 202-acre property in Coachella, California that is currently zoned for residential and mixed use, and approved for approximately 550 single-family lots.</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59690</wp:posOffset>
            </wp:positionV>
            <wp:extent cx="677989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779895" cy="42545"/>
                    </a:xfrm>
                    <a:prstGeom prst="rect">
                      <a:avLst/>
                    </a:prstGeom>
                    <a:noFill/>
                  </pic:spPr>
                </pic:pic>
              </a:graphicData>
            </a:graphic>
          </wp:anchor>
        </w:drawing>
      </w:r>
    </w:p>
    <w:p>
      <w:pPr>
        <w:sectPr>
          <w:pgSz w:w="11900" w:h="16838" w:orient="portrait"/>
          <w:cols w:equalWidth="0" w:num="1">
            <w:col w:w="10620"/>
          </w:cols>
          <w:pgMar w:left="640" w:top="131" w:right="639" w:bottom="1440" w:gutter="0" w:footer="0" w:header="0"/>
        </w:sectPr>
      </w:pPr>
    </w:p>
    <w:bookmarkStart w:id="21" w:name="page22"/>
    <w:bookmarkEnd w:id="21"/>
    <w:p>
      <w:pPr>
        <w:spacing w:after="0"/>
        <w:rPr>
          <w:sz w:val="20"/>
          <w:szCs w:val="20"/>
          <w:color w:val="auto"/>
        </w:rPr>
      </w:pPr>
      <w:r>
        <w:rPr>
          <w:rFonts w:ascii="Arial" w:cs="Arial" w:eastAsia="Arial" w:hAnsi="Arial"/>
          <w:sz w:val="12"/>
          <w:szCs w:val="12"/>
          <w:b w:val="1"/>
          <w:bCs w:val="1"/>
          <w:color w:val="auto"/>
        </w:rPr>
        <w:t>OPERATING PROPERTY</w:t>
      </w:r>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color w:val="auto"/>
        </w:rPr>
        <w:t>As of December 31, 2015, we own fee interests in approximately 1,300,000 square feet of income-producing properties (including certain properties principally occupied by our cinemas) as follows: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0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2260" w:type="dxa"/>
            <w:vAlign w:val="bottom"/>
            <w:gridSpan w:val="2"/>
          </w:tcPr>
          <w:p>
            <w:pPr>
              <w:jc w:val="center"/>
              <w:ind w:left="92"/>
              <w:spacing w:after="0"/>
              <w:rPr>
                <w:sz w:val="20"/>
                <w:szCs w:val="20"/>
                <w:color w:val="auto"/>
              </w:rPr>
            </w:pPr>
            <w:r>
              <w:rPr>
                <w:rFonts w:ascii="Arial" w:cs="Arial" w:eastAsia="Arial" w:hAnsi="Arial"/>
                <w:sz w:val="10"/>
                <w:szCs w:val="10"/>
                <w:b w:val="1"/>
                <w:bCs w:val="1"/>
                <w:color w:val="auto"/>
                <w:w w:val="88"/>
              </w:rPr>
              <w:t>Square Feet of Improvements</w:t>
            </w:r>
          </w:p>
        </w:tc>
        <w:tc>
          <w:tcPr>
            <w:tcW w:w="14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300" w:type="dxa"/>
            <w:vAlign w:val="bottom"/>
          </w:tcPr>
          <w:p>
            <w:pPr>
              <w:jc w:val="right"/>
              <w:ind w:right="332"/>
              <w:spacing w:after="0"/>
              <w:rPr>
                <w:sz w:val="20"/>
                <w:szCs w:val="20"/>
                <w:color w:val="auto"/>
              </w:rPr>
            </w:pPr>
            <w:r>
              <w:rPr>
                <w:rFonts w:ascii="Arial" w:cs="Arial" w:eastAsia="Arial" w:hAnsi="Arial"/>
                <w:sz w:val="10"/>
                <w:szCs w:val="10"/>
                <w:b w:val="1"/>
                <w:bCs w:val="1"/>
                <w:color w:val="auto"/>
                <w:w w:val="98"/>
              </w:rPr>
              <w:t>Gross Book Value</w:t>
            </w:r>
            <w:r>
              <w:rPr>
                <w:rFonts w:ascii="Arial" w:cs="Arial" w:eastAsia="Arial" w:hAnsi="Arial"/>
                <w:sz w:val="4"/>
                <w:szCs w:val="4"/>
                <w:b w:val="1"/>
                <w:bCs w:val="1"/>
                <w:color w:val="auto"/>
                <w:w w:val="98"/>
              </w:rPr>
              <w:t>(3)</w:t>
            </w:r>
          </w:p>
        </w:tc>
        <w:tc>
          <w:tcPr>
            <w:tcW w:w="3140" w:type="dxa"/>
            <w:vAlign w:val="bottom"/>
          </w:tcPr>
          <w:p>
            <w:pPr>
              <w:spacing w:after="0"/>
              <w:rPr>
                <w:sz w:val="10"/>
                <w:szCs w:val="10"/>
                <w:color w:val="auto"/>
              </w:rPr>
            </w:pPr>
          </w:p>
        </w:tc>
      </w:tr>
      <w:tr>
        <w:trPr>
          <w:trHeight w:val="114"/>
        </w:trPr>
        <w:tc>
          <w:tcPr>
            <w:tcW w:w="200" w:type="dxa"/>
            <w:vAlign w:val="bottom"/>
            <w:tcBorders>
              <w:bottom w:val="single" w:sz="8" w:color="auto"/>
            </w:tcBorders>
          </w:tcPr>
          <w:p>
            <w:pPr>
              <w:spacing w:after="0"/>
              <w:rPr>
                <w:sz w:val="9"/>
                <w:szCs w:val="9"/>
                <w:color w:val="auto"/>
              </w:rPr>
            </w:pPr>
          </w:p>
        </w:tc>
        <w:tc>
          <w:tcPr>
            <w:tcW w:w="1900" w:type="dxa"/>
            <w:vAlign w:val="bottom"/>
            <w:tcBorders>
              <w:bottom w:val="single" w:sz="8" w:color="auto"/>
            </w:tcBorders>
          </w:tcPr>
          <w:p>
            <w:pPr>
              <w:ind w:left="660"/>
              <w:spacing w:after="0" w:line="114" w:lineRule="exact"/>
              <w:rPr>
                <w:sz w:val="20"/>
                <w:szCs w:val="20"/>
                <w:color w:val="auto"/>
              </w:rPr>
            </w:pPr>
            <w:r>
              <w:rPr>
                <w:rFonts w:ascii="Arial" w:cs="Arial" w:eastAsia="Arial" w:hAnsi="Arial"/>
                <w:sz w:val="10"/>
                <w:szCs w:val="10"/>
                <w:b w:val="1"/>
                <w:bCs w:val="1"/>
                <w:color w:val="auto"/>
              </w:rPr>
              <w:t>Property</w:t>
            </w:r>
          </w:p>
        </w:tc>
        <w:tc>
          <w:tcPr>
            <w:tcW w:w="2260" w:type="dxa"/>
            <w:vAlign w:val="bottom"/>
            <w:tcBorders>
              <w:bottom w:val="single" w:sz="8" w:color="auto"/>
            </w:tcBorders>
            <w:gridSpan w:val="2"/>
          </w:tcPr>
          <w:p>
            <w:pPr>
              <w:jc w:val="center"/>
              <w:ind w:left="112"/>
              <w:spacing w:after="0" w:line="114" w:lineRule="exact"/>
              <w:rPr>
                <w:sz w:val="20"/>
                <w:szCs w:val="20"/>
                <w:color w:val="auto"/>
              </w:rPr>
            </w:pPr>
            <w:r>
              <w:rPr>
                <w:rFonts w:ascii="Arial" w:cs="Arial" w:eastAsia="Arial" w:hAnsi="Arial"/>
                <w:sz w:val="10"/>
                <w:szCs w:val="10"/>
                <w:b w:val="1"/>
                <w:bCs w:val="1"/>
                <w:color w:val="auto"/>
                <w:w w:val="90"/>
              </w:rPr>
              <w:t>(rental/entertainment)</w:t>
            </w:r>
            <w:r>
              <w:rPr>
                <w:rFonts w:ascii="Arial" w:cs="Arial" w:eastAsia="Arial" w:hAnsi="Arial"/>
                <w:sz w:val="4"/>
                <w:szCs w:val="4"/>
                <w:b w:val="1"/>
                <w:bCs w:val="1"/>
                <w:color w:val="auto"/>
                <w:w w:val="90"/>
              </w:rPr>
              <w:t>(1)</w:t>
            </w:r>
          </w:p>
        </w:tc>
        <w:tc>
          <w:tcPr>
            <w:tcW w:w="1440" w:type="dxa"/>
            <w:vAlign w:val="bottom"/>
            <w:tcBorders>
              <w:bottom w:val="single" w:sz="8" w:color="auto"/>
            </w:tcBorders>
          </w:tcPr>
          <w:p>
            <w:pPr>
              <w:ind w:left="380"/>
              <w:spacing w:after="0" w:line="114" w:lineRule="exact"/>
              <w:rPr>
                <w:sz w:val="20"/>
                <w:szCs w:val="20"/>
                <w:color w:val="auto"/>
              </w:rPr>
            </w:pPr>
            <w:r>
              <w:rPr>
                <w:rFonts w:ascii="Arial" w:cs="Arial" w:eastAsia="Arial" w:hAnsi="Arial"/>
                <w:sz w:val="10"/>
                <w:szCs w:val="10"/>
                <w:b w:val="1"/>
                <w:bCs w:val="1"/>
                <w:color w:val="auto"/>
              </w:rPr>
              <w:t>Percentage Leased</w:t>
            </w:r>
            <w:r>
              <w:rPr>
                <w:rFonts w:ascii="Arial" w:cs="Arial" w:eastAsia="Arial" w:hAnsi="Arial"/>
                <w:sz w:val="4"/>
                <w:szCs w:val="4"/>
                <w:b w:val="1"/>
                <w:bCs w:val="1"/>
                <w:color w:val="auto"/>
              </w:rPr>
              <w:t>(2)</w:t>
            </w:r>
          </w:p>
        </w:tc>
        <w:tc>
          <w:tcPr>
            <w:tcW w:w="380" w:type="dxa"/>
            <w:vAlign w:val="bottom"/>
            <w:tcBorders>
              <w:bottom w:val="single" w:sz="8" w:color="auto"/>
            </w:tcBorders>
          </w:tcPr>
          <w:p>
            <w:pPr>
              <w:spacing w:after="0"/>
              <w:rPr>
                <w:sz w:val="9"/>
                <w:szCs w:val="9"/>
                <w:color w:val="auto"/>
              </w:rPr>
            </w:pPr>
          </w:p>
        </w:tc>
        <w:tc>
          <w:tcPr>
            <w:tcW w:w="1300" w:type="dxa"/>
            <w:vAlign w:val="bottom"/>
            <w:tcBorders>
              <w:bottom w:val="single" w:sz="8" w:color="auto"/>
            </w:tcBorders>
          </w:tcPr>
          <w:p>
            <w:pPr>
              <w:jc w:val="right"/>
              <w:ind w:right="532"/>
              <w:spacing w:after="0" w:line="114" w:lineRule="exact"/>
              <w:rPr>
                <w:sz w:val="20"/>
                <w:szCs w:val="20"/>
                <w:color w:val="auto"/>
              </w:rPr>
            </w:pPr>
            <w:r>
              <w:rPr>
                <w:rFonts w:ascii="Arial" w:cs="Arial" w:eastAsia="Arial" w:hAnsi="Arial"/>
                <w:sz w:val="10"/>
                <w:szCs w:val="10"/>
                <w:b w:val="1"/>
                <w:bCs w:val="1"/>
                <w:color w:val="auto"/>
              </w:rPr>
              <w:t>(in USD)</w:t>
            </w:r>
          </w:p>
        </w:tc>
        <w:tc>
          <w:tcPr>
            <w:tcW w:w="3140" w:type="dxa"/>
            <w:vAlign w:val="bottom"/>
            <w:tcBorders>
              <w:bottom w:val="single" w:sz="8" w:color="auto"/>
            </w:tcBorders>
          </w:tcPr>
          <w:p>
            <w:pPr>
              <w:ind w:left="1480"/>
              <w:spacing w:after="0" w:line="114" w:lineRule="exact"/>
              <w:rPr>
                <w:sz w:val="20"/>
                <w:szCs w:val="20"/>
                <w:color w:val="auto"/>
              </w:rPr>
            </w:pPr>
            <w:r>
              <w:rPr>
                <w:rFonts w:ascii="Arial" w:cs="Arial" w:eastAsia="Arial" w:hAnsi="Arial"/>
                <w:sz w:val="10"/>
                <w:szCs w:val="10"/>
                <w:b w:val="1"/>
                <w:bCs w:val="1"/>
                <w:color w:val="auto"/>
              </w:rPr>
              <w:t>Address</w:t>
            </w:r>
          </w:p>
        </w:tc>
      </w:tr>
      <w:tr>
        <w:trPr>
          <w:trHeight w:val="169"/>
        </w:trPr>
        <w:tc>
          <w:tcPr>
            <w:tcW w:w="2100" w:type="dxa"/>
            <w:vAlign w:val="bottom"/>
            <w:gridSpan w:val="2"/>
          </w:tcPr>
          <w:p>
            <w:pPr>
              <w:spacing w:after="0"/>
              <w:rPr>
                <w:sz w:val="20"/>
                <w:szCs w:val="20"/>
                <w:color w:val="auto"/>
              </w:rPr>
            </w:pPr>
            <w:r>
              <w:rPr>
                <w:rFonts w:ascii="Arial" w:cs="Arial" w:eastAsia="Arial" w:hAnsi="Arial"/>
                <w:sz w:val="10"/>
                <w:szCs w:val="10"/>
                <w:b w:val="1"/>
                <w:bCs w:val="1"/>
                <w:color w:val="auto"/>
              </w:rPr>
              <w:t>In United States</w:t>
            </w:r>
          </w:p>
        </w:tc>
        <w:tc>
          <w:tcPr>
            <w:tcW w:w="1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140" w:type="dxa"/>
            <w:vAlign w:val="bottom"/>
          </w:tcPr>
          <w:p>
            <w:pPr>
              <w:spacing w:after="0"/>
              <w:rPr>
                <w:sz w:val="14"/>
                <w:szCs w:val="14"/>
                <w:color w:val="auto"/>
              </w:rPr>
            </w:pPr>
          </w:p>
        </w:tc>
      </w:tr>
      <w:tr>
        <w:trPr>
          <w:trHeight w:val="122"/>
        </w:trPr>
        <w:tc>
          <w:tcPr>
            <w:tcW w:w="20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1</w:t>
            </w:r>
          </w:p>
        </w:tc>
        <w:tc>
          <w:tcPr>
            <w:tcW w:w="1900" w:type="dxa"/>
            <w:vAlign w:val="bottom"/>
            <w:shd w:val="clear" w:color="auto" w:fill="CCEEFF"/>
          </w:tcPr>
          <w:p>
            <w:pPr>
              <w:ind w:left="40"/>
              <w:spacing w:after="0"/>
              <w:rPr>
                <w:sz w:val="20"/>
                <w:szCs w:val="20"/>
                <w:color w:val="auto"/>
              </w:rPr>
            </w:pPr>
            <w:r>
              <w:rPr>
                <w:rFonts w:ascii="Arial" w:cs="Arial" w:eastAsia="Arial" w:hAnsi="Arial"/>
                <w:sz w:val="10"/>
                <w:szCs w:val="10"/>
                <w:color w:val="auto"/>
              </w:rPr>
              <w:t>Cinemas 1, 2, 3</w:t>
            </w:r>
            <w:r>
              <w:rPr>
                <w:rFonts w:ascii="Arial" w:cs="Arial" w:eastAsia="Arial" w:hAnsi="Arial"/>
                <w:sz w:val="4"/>
                <w:szCs w:val="4"/>
                <w:color w:val="auto"/>
              </w:rPr>
              <w:t>(4)</w:t>
            </w:r>
          </w:p>
        </w:tc>
        <w:tc>
          <w:tcPr>
            <w:tcW w:w="2260" w:type="dxa"/>
            <w:vAlign w:val="bottom"/>
            <w:gridSpan w:val="2"/>
            <w:shd w:val="clear" w:color="auto" w:fill="CCEEFF"/>
          </w:tcPr>
          <w:p>
            <w:pPr>
              <w:jc w:val="center"/>
              <w:ind w:left="92"/>
              <w:spacing w:after="0"/>
              <w:rPr>
                <w:sz w:val="20"/>
                <w:szCs w:val="20"/>
                <w:color w:val="auto"/>
              </w:rPr>
            </w:pPr>
            <w:r>
              <w:rPr>
                <w:rFonts w:ascii="Arial" w:cs="Arial" w:eastAsia="Arial" w:hAnsi="Arial"/>
                <w:sz w:val="10"/>
                <w:szCs w:val="10"/>
                <w:color w:val="auto"/>
                <w:w w:val="86"/>
              </w:rPr>
              <w:t>0 / 21000</w:t>
            </w:r>
          </w:p>
        </w:tc>
        <w:tc>
          <w:tcPr>
            <w:tcW w:w="1440" w:type="dxa"/>
            <w:vAlign w:val="bottom"/>
            <w:shd w:val="clear" w:color="auto" w:fill="CCEEFF"/>
          </w:tcPr>
          <w:p>
            <w:pPr>
              <w:ind w:left="800"/>
              <w:spacing w:after="0"/>
              <w:rPr>
                <w:sz w:val="20"/>
                <w:szCs w:val="20"/>
                <w:color w:val="auto"/>
              </w:rPr>
            </w:pPr>
            <w:r>
              <w:rPr>
                <w:rFonts w:ascii="Arial" w:cs="Arial" w:eastAsia="Arial" w:hAnsi="Arial"/>
                <w:sz w:val="10"/>
                <w:szCs w:val="10"/>
                <w:color w:val="auto"/>
              </w:rPr>
              <w:t>N/A</w:t>
            </w:r>
          </w:p>
        </w:tc>
        <w:tc>
          <w:tcPr>
            <w:tcW w:w="38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25,041,416</w:t>
            </w:r>
          </w:p>
        </w:tc>
        <w:tc>
          <w:tcPr>
            <w:tcW w:w="3140" w:type="dxa"/>
            <w:vAlign w:val="bottom"/>
            <w:shd w:val="clear" w:color="auto" w:fill="CCEEFF"/>
          </w:tcPr>
          <w:p>
            <w:pPr>
              <w:ind w:left="140"/>
              <w:spacing w:after="0"/>
              <w:rPr>
                <w:sz w:val="20"/>
                <w:szCs w:val="20"/>
                <w:color w:val="auto"/>
              </w:rPr>
            </w:pPr>
            <w:r>
              <w:rPr>
                <w:rFonts w:ascii="Arial" w:cs="Arial" w:eastAsia="Arial" w:hAnsi="Arial"/>
                <w:sz w:val="10"/>
                <w:szCs w:val="10"/>
                <w:color w:val="auto"/>
              </w:rPr>
              <w:t>1003 Third Avenue, Manhattan, NY</w:t>
            </w:r>
          </w:p>
        </w:tc>
      </w:tr>
      <w:tr>
        <w:trPr>
          <w:trHeight w:val="86"/>
        </w:trPr>
        <w:tc>
          <w:tcPr>
            <w:tcW w:w="200" w:type="dxa"/>
            <w:vAlign w:val="bottom"/>
            <w:shd w:val="clear" w:color="auto" w:fill="CCEEFF"/>
          </w:tcPr>
          <w:p>
            <w:pPr>
              <w:spacing w:after="0"/>
              <w:rPr>
                <w:sz w:val="7"/>
                <w:szCs w:val="7"/>
                <w:color w:val="auto"/>
              </w:rPr>
            </w:pPr>
          </w:p>
        </w:tc>
        <w:tc>
          <w:tcPr>
            <w:tcW w:w="1900" w:type="dxa"/>
            <w:vAlign w:val="bottom"/>
            <w:shd w:val="clear" w:color="auto" w:fill="CCEEFF"/>
          </w:tcPr>
          <w:p>
            <w:pPr>
              <w:spacing w:after="0"/>
              <w:rPr>
                <w:sz w:val="7"/>
                <w:szCs w:val="7"/>
                <w:color w:val="auto"/>
              </w:rPr>
            </w:pPr>
          </w:p>
        </w:tc>
        <w:tc>
          <w:tcPr>
            <w:tcW w:w="2260" w:type="dxa"/>
            <w:vAlign w:val="bottom"/>
            <w:gridSpan w:val="2"/>
            <w:shd w:val="clear" w:color="auto" w:fill="CCEEFF"/>
          </w:tcPr>
          <w:p>
            <w:pPr>
              <w:spacing w:after="0"/>
              <w:rPr>
                <w:sz w:val="7"/>
                <w:szCs w:val="7"/>
                <w:color w:val="auto"/>
              </w:rPr>
            </w:pPr>
          </w:p>
        </w:tc>
        <w:tc>
          <w:tcPr>
            <w:tcW w:w="144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1300" w:type="dxa"/>
            <w:vAlign w:val="bottom"/>
            <w:shd w:val="clear" w:color="auto" w:fill="CCEEFF"/>
          </w:tcPr>
          <w:p>
            <w:pPr>
              <w:spacing w:after="0"/>
              <w:rPr>
                <w:sz w:val="7"/>
                <w:szCs w:val="7"/>
                <w:color w:val="auto"/>
              </w:rPr>
            </w:pPr>
          </w:p>
        </w:tc>
        <w:tc>
          <w:tcPr>
            <w:tcW w:w="3140" w:type="dxa"/>
            <w:vAlign w:val="bottom"/>
            <w:shd w:val="clear" w:color="auto" w:fill="CCEEFF"/>
          </w:tcPr>
          <w:p>
            <w:pPr>
              <w:spacing w:after="0"/>
              <w:rPr>
                <w:sz w:val="7"/>
                <w:szCs w:val="7"/>
                <w:color w:val="auto"/>
              </w:rPr>
            </w:pPr>
          </w:p>
        </w:tc>
      </w:tr>
      <w:tr>
        <w:trPr>
          <w:trHeight w:val="122"/>
        </w:trPr>
        <w:tc>
          <w:tcPr>
            <w:tcW w:w="200" w:type="dxa"/>
            <w:vAlign w:val="bottom"/>
          </w:tcPr>
          <w:p>
            <w:pPr>
              <w:jc w:val="right"/>
              <w:ind w:right="12"/>
              <w:spacing w:after="0"/>
              <w:rPr>
                <w:sz w:val="20"/>
                <w:szCs w:val="20"/>
                <w:color w:val="auto"/>
              </w:rPr>
            </w:pPr>
            <w:r>
              <w:rPr>
                <w:rFonts w:ascii="Arial" w:cs="Arial" w:eastAsia="Arial" w:hAnsi="Arial"/>
                <w:sz w:val="10"/>
                <w:szCs w:val="10"/>
                <w:color w:val="auto"/>
              </w:rPr>
              <w:t>2</w:t>
            </w:r>
          </w:p>
        </w:tc>
        <w:tc>
          <w:tcPr>
            <w:tcW w:w="1900" w:type="dxa"/>
            <w:vAlign w:val="bottom"/>
          </w:tcPr>
          <w:p>
            <w:pPr>
              <w:ind w:left="40"/>
              <w:spacing w:after="0"/>
              <w:rPr>
                <w:sz w:val="20"/>
                <w:szCs w:val="20"/>
                <w:color w:val="auto"/>
              </w:rPr>
            </w:pPr>
            <w:r>
              <w:rPr>
                <w:rFonts w:ascii="Arial" w:cs="Arial" w:eastAsia="Arial" w:hAnsi="Arial"/>
                <w:sz w:val="10"/>
                <w:szCs w:val="10"/>
                <w:color w:val="auto"/>
              </w:rPr>
              <w:t>Minetta Lane Theatre</w:t>
            </w:r>
          </w:p>
        </w:tc>
        <w:tc>
          <w:tcPr>
            <w:tcW w:w="2260" w:type="dxa"/>
            <w:vAlign w:val="bottom"/>
            <w:gridSpan w:val="2"/>
          </w:tcPr>
          <w:p>
            <w:pPr>
              <w:jc w:val="center"/>
              <w:ind w:left="92"/>
              <w:spacing w:after="0"/>
              <w:rPr>
                <w:sz w:val="20"/>
                <w:szCs w:val="20"/>
                <w:color w:val="auto"/>
              </w:rPr>
            </w:pPr>
            <w:r>
              <w:rPr>
                <w:rFonts w:ascii="Arial" w:cs="Arial" w:eastAsia="Arial" w:hAnsi="Arial"/>
                <w:sz w:val="10"/>
                <w:szCs w:val="10"/>
                <w:color w:val="auto"/>
                <w:w w:val="88"/>
              </w:rPr>
              <w:t>0 / 9000</w:t>
            </w:r>
          </w:p>
        </w:tc>
        <w:tc>
          <w:tcPr>
            <w:tcW w:w="1440" w:type="dxa"/>
            <w:vAlign w:val="bottom"/>
          </w:tcPr>
          <w:p>
            <w:pPr>
              <w:ind w:left="800"/>
              <w:spacing w:after="0"/>
              <w:rPr>
                <w:sz w:val="20"/>
                <w:szCs w:val="20"/>
                <w:color w:val="auto"/>
              </w:rPr>
            </w:pPr>
            <w:r>
              <w:rPr>
                <w:rFonts w:ascii="Arial" w:cs="Arial" w:eastAsia="Arial" w:hAnsi="Arial"/>
                <w:sz w:val="10"/>
                <w:szCs w:val="10"/>
                <w:color w:val="auto"/>
              </w:rPr>
              <w:t>N/A</w:t>
            </w:r>
          </w:p>
        </w:tc>
        <w:tc>
          <w:tcPr>
            <w:tcW w:w="380" w:type="dxa"/>
            <w:vAlign w:val="bottom"/>
          </w:tcPr>
          <w:p>
            <w:pPr>
              <w:jc w:val="right"/>
              <w:ind w:right="92"/>
              <w:spacing w:after="0"/>
              <w:rPr>
                <w:sz w:val="20"/>
                <w:szCs w:val="20"/>
                <w:color w:val="auto"/>
              </w:rPr>
            </w:pPr>
            <w:r>
              <w:rPr>
                <w:rFonts w:ascii="Arial" w:cs="Arial" w:eastAsia="Arial" w:hAnsi="Arial"/>
                <w:sz w:val="10"/>
                <w:szCs w:val="10"/>
                <w:color w:val="auto"/>
              </w:rPr>
              <w:t>$</w:t>
            </w:r>
          </w:p>
        </w:tc>
        <w:tc>
          <w:tcPr>
            <w:tcW w:w="1300" w:type="dxa"/>
            <w:vAlign w:val="bottom"/>
          </w:tcPr>
          <w:p>
            <w:pPr>
              <w:jc w:val="right"/>
              <w:spacing w:after="0"/>
              <w:rPr>
                <w:sz w:val="20"/>
                <w:szCs w:val="20"/>
                <w:color w:val="auto"/>
              </w:rPr>
            </w:pPr>
            <w:r>
              <w:rPr>
                <w:rFonts w:ascii="Arial" w:cs="Arial" w:eastAsia="Arial" w:hAnsi="Arial"/>
                <w:sz w:val="10"/>
                <w:szCs w:val="10"/>
                <w:color w:val="auto"/>
              </w:rPr>
              <w:t>8,582,151</w:t>
            </w:r>
          </w:p>
        </w:tc>
        <w:tc>
          <w:tcPr>
            <w:tcW w:w="3140" w:type="dxa"/>
            <w:vAlign w:val="bottom"/>
          </w:tcPr>
          <w:p>
            <w:pPr>
              <w:ind w:left="140"/>
              <w:spacing w:after="0"/>
              <w:rPr>
                <w:sz w:val="20"/>
                <w:szCs w:val="20"/>
                <w:color w:val="auto"/>
              </w:rPr>
            </w:pPr>
            <w:r>
              <w:rPr>
                <w:rFonts w:ascii="Arial" w:cs="Arial" w:eastAsia="Arial" w:hAnsi="Arial"/>
                <w:sz w:val="10"/>
                <w:szCs w:val="10"/>
                <w:color w:val="auto"/>
              </w:rPr>
              <w:t>18-22 Minetta Lane, Manhattan, NY</w:t>
            </w:r>
          </w:p>
        </w:tc>
      </w:tr>
      <w:tr>
        <w:trPr>
          <w:trHeight w:val="59"/>
        </w:trPr>
        <w:tc>
          <w:tcPr>
            <w:tcW w:w="200" w:type="dxa"/>
            <w:vAlign w:val="bottom"/>
          </w:tcPr>
          <w:p>
            <w:pPr>
              <w:spacing w:after="0"/>
              <w:rPr>
                <w:sz w:val="5"/>
                <w:szCs w:val="5"/>
                <w:color w:val="auto"/>
              </w:rPr>
            </w:pPr>
          </w:p>
        </w:tc>
        <w:tc>
          <w:tcPr>
            <w:tcW w:w="190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440" w:type="dxa"/>
            <w:vAlign w:val="bottom"/>
          </w:tcPr>
          <w:p>
            <w:pPr>
              <w:spacing w:after="0"/>
              <w:rPr>
                <w:sz w:val="5"/>
                <w:szCs w:val="5"/>
                <w:color w:val="auto"/>
              </w:rPr>
            </w:pPr>
          </w:p>
        </w:tc>
        <w:tc>
          <w:tcPr>
            <w:tcW w:w="380" w:type="dxa"/>
            <w:vAlign w:val="bottom"/>
          </w:tcPr>
          <w:p>
            <w:pPr>
              <w:spacing w:after="0"/>
              <w:rPr>
                <w:sz w:val="5"/>
                <w:szCs w:val="5"/>
                <w:color w:val="auto"/>
              </w:rPr>
            </w:pPr>
          </w:p>
        </w:tc>
        <w:tc>
          <w:tcPr>
            <w:tcW w:w="1300" w:type="dxa"/>
            <w:vAlign w:val="bottom"/>
          </w:tcPr>
          <w:p>
            <w:pPr>
              <w:spacing w:after="0"/>
              <w:rPr>
                <w:sz w:val="5"/>
                <w:szCs w:val="5"/>
                <w:color w:val="auto"/>
              </w:rPr>
            </w:pPr>
          </w:p>
        </w:tc>
        <w:tc>
          <w:tcPr>
            <w:tcW w:w="3140" w:type="dxa"/>
            <w:vAlign w:val="bottom"/>
          </w:tcPr>
          <w:p>
            <w:pPr>
              <w:spacing w:after="0"/>
              <w:rPr>
                <w:sz w:val="5"/>
                <w:szCs w:val="5"/>
                <w:color w:val="auto"/>
              </w:rPr>
            </w:pPr>
          </w:p>
        </w:tc>
      </w:tr>
      <w:tr>
        <w:trPr>
          <w:trHeight w:val="160"/>
        </w:trPr>
        <w:tc>
          <w:tcPr>
            <w:tcW w:w="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0"/>
                <w:szCs w:val="10"/>
                <w:color w:val="auto"/>
              </w:rPr>
              <w:t>3</w:t>
            </w:r>
          </w:p>
        </w:tc>
        <w:tc>
          <w:tcPr>
            <w:tcW w:w="1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0"/>
                <w:szCs w:val="10"/>
                <w:color w:val="auto"/>
              </w:rPr>
              <w:t>Orpheum Theatre</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1000</w:t>
            </w:r>
          </w:p>
        </w:tc>
        <w:tc>
          <w:tcPr>
            <w:tcW w:w="1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 5000</w:t>
            </w:r>
          </w:p>
        </w:tc>
        <w:tc>
          <w:tcPr>
            <w:tcW w:w="1440" w:type="dxa"/>
            <w:vAlign w:val="bottom"/>
            <w:tcBorders>
              <w:bottom w:val="single" w:sz="8" w:color="CCEEFF"/>
            </w:tcBorders>
            <w:shd w:val="clear" w:color="auto" w:fill="CCEEFF"/>
          </w:tcPr>
          <w:p>
            <w:pPr>
              <w:jc w:val="center"/>
              <w:ind w:left="252"/>
              <w:spacing w:after="0"/>
              <w:rPr>
                <w:sz w:val="20"/>
                <w:szCs w:val="20"/>
                <w:color w:val="auto"/>
              </w:rPr>
            </w:pPr>
            <w:r>
              <w:rPr>
                <w:rFonts w:ascii="Arial" w:cs="Arial" w:eastAsia="Arial" w:hAnsi="Arial"/>
                <w:sz w:val="10"/>
                <w:szCs w:val="10"/>
                <w:color w:val="auto"/>
                <w:w w:val="85"/>
              </w:rPr>
              <w:t>100%</w:t>
            </w:r>
          </w:p>
        </w:tc>
        <w:tc>
          <w:tcPr>
            <w:tcW w:w="3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0"/>
                <w:szCs w:val="10"/>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3,617,926</w:t>
            </w:r>
          </w:p>
        </w:tc>
        <w:tc>
          <w:tcPr>
            <w:tcW w:w="31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0"/>
                <w:szCs w:val="10"/>
                <w:color w:val="auto"/>
              </w:rPr>
              <w:t>126 2nd Street, Manhattan, NY</w:t>
            </w:r>
          </w:p>
        </w:tc>
      </w:tr>
      <w:tr>
        <w:trPr>
          <w:trHeight w:val="122"/>
        </w:trPr>
        <w:tc>
          <w:tcPr>
            <w:tcW w:w="200" w:type="dxa"/>
            <w:vAlign w:val="bottom"/>
          </w:tcPr>
          <w:p>
            <w:pPr>
              <w:jc w:val="right"/>
              <w:ind w:right="12"/>
              <w:spacing w:after="0"/>
              <w:rPr>
                <w:sz w:val="20"/>
                <w:szCs w:val="20"/>
                <w:color w:val="auto"/>
              </w:rPr>
            </w:pPr>
            <w:r>
              <w:rPr>
                <w:rFonts w:ascii="Arial" w:cs="Arial" w:eastAsia="Arial" w:hAnsi="Arial"/>
                <w:sz w:val="10"/>
                <w:szCs w:val="10"/>
                <w:color w:val="auto"/>
              </w:rPr>
              <w:t>4</w:t>
            </w:r>
          </w:p>
        </w:tc>
        <w:tc>
          <w:tcPr>
            <w:tcW w:w="1900" w:type="dxa"/>
            <w:vAlign w:val="bottom"/>
          </w:tcPr>
          <w:p>
            <w:pPr>
              <w:ind w:left="40"/>
              <w:spacing w:after="0"/>
              <w:rPr>
                <w:sz w:val="20"/>
                <w:szCs w:val="20"/>
                <w:color w:val="auto"/>
              </w:rPr>
            </w:pPr>
            <w:r>
              <w:rPr>
                <w:rFonts w:ascii="Arial" w:cs="Arial" w:eastAsia="Arial" w:hAnsi="Arial"/>
                <w:sz w:val="10"/>
                <w:szCs w:val="10"/>
                <w:color w:val="auto"/>
              </w:rPr>
              <w:t>Royal George</w:t>
            </w:r>
          </w:p>
        </w:tc>
        <w:tc>
          <w:tcPr>
            <w:tcW w:w="1180" w:type="dxa"/>
            <w:vAlign w:val="bottom"/>
          </w:tcPr>
          <w:p>
            <w:pPr>
              <w:jc w:val="right"/>
              <w:spacing w:after="0"/>
              <w:rPr>
                <w:sz w:val="20"/>
                <w:szCs w:val="20"/>
                <w:color w:val="auto"/>
              </w:rPr>
            </w:pPr>
            <w:r>
              <w:rPr>
                <w:rFonts w:ascii="Arial" w:cs="Arial" w:eastAsia="Arial" w:hAnsi="Arial"/>
                <w:sz w:val="10"/>
                <w:szCs w:val="10"/>
                <w:color w:val="auto"/>
              </w:rPr>
              <w:t>16000</w:t>
            </w:r>
          </w:p>
        </w:tc>
        <w:tc>
          <w:tcPr>
            <w:tcW w:w="1080" w:type="dxa"/>
            <w:vAlign w:val="bottom"/>
          </w:tcPr>
          <w:p>
            <w:pPr>
              <w:ind w:left="20"/>
              <w:spacing w:after="0"/>
              <w:rPr>
                <w:sz w:val="20"/>
                <w:szCs w:val="20"/>
                <w:color w:val="auto"/>
              </w:rPr>
            </w:pPr>
            <w:r>
              <w:rPr>
                <w:rFonts w:ascii="Arial" w:cs="Arial" w:eastAsia="Arial" w:hAnsi="Arial"/>
                <w:sz w:val="10"/>
                <w:szCs w:val="10"/>
                <w:color w:val="auto"/>
              </w:rPr>
              <w:t>/ 23000</w:t>
            </w:r>
          </w:p>
        </w:tc>
        <w:tc>
          <w:tcPr>
            <w:tcW w:w="1440" w:type="dxa"/>
            <w:vAlign w:val="bottom"/>
          </w:tcPr>
          <w:p>
            <w:pPr>
              <w:jc w:val="center"/>
              <w:ind w:left="252"/>
              <w:spacing w:after="0"/>
              <w:rPr>
                <w:sz w:val="20"/>
                <w:szCs w:val="20"/>
                <w:color w:val="auto"/>
              </w:rPr>
            </w:pPr>
            <w:r>
              <w:rPr>
                <w:rFonts w:ascii="Arial" w:cs="Arial" w:eastAsia="Arial" w:hAnsi="Arial"/>
                <w:sz w:val="10"/>
                <w:szCs w:val="10"/>
                <w:color w:val="auto"/>
                <w:w w:val="85"/>
              </w:rPr>
              <w:t>100%</w:t>
            </w:r>
          </w:p>
        </w:tc>
        <w:tc>
          <w:tcPr>
            <w:tcW w:w="380" w:type="dxa"/>
            <w:vAlign w:val="bottom"/>
          </w:tcPr>
          <w:p>
            <w:pPr>
              <w:spacing w:after="0"/>
              <w:rPr>
                <w:sz w:val="10"/>
                <w:szCs w:val="10"/>
                <w:color w:val="auto"/>
              </w:rPr>
            </w:pPr>
          </w:p>
        </w:tc>
        <w:tc>
          <w:tcPr>
            <w:tcW w:w="1300" w:type="dxa"/>
            <w:vAlign w:val="bottom"/>
          </w:tcPr>
          <w:p>
            <w:pPr>
              <w:jc w:val="right"/>
              <w:spacing w:after="0"/>
              <w:rPr>
                <w:sz w:val="20"/>
                <w:szCs w:val="20"/>
                <w:color w:val="auto"/>
              </w:rPr>
            </w:pPr>
            <w:r>
              <w:rPr>
                <w:rFonts w:ascii="Arial" w:cs="Arial" w:eastAsia="Arial" w:hAnsi="Arial"/>
                <w:sz w:val="10"/>
                <w:szCs w:val="10"/>
                <w:color w:val="auto"/>
              </w:rPr>
              <w:t>3,546,245</w:t>
            </w:r>
          </w:p>
        </w:tc>
        <w:tc>
          <w:tcPr>
            <w:tcW w:w="3140" w:type="dxa"/>
            <w:vAlign w:val="bottom"/>
          </w:tcPr>
          <w:p>
            <w:pPr>
              <w:ind w:left="140"/>
              <w:spacing w:after="0"/>
              <w:rPr>
                <w:sz w:val="20"/>
                <w:szCs w:val="20"/>
                <w:color w:val="auto"/>
              </w:rPr>
            </w:pPr>
            <w:r>
              <w:rPr>
                <w:rFonts w:ascii="Arial" w:cs="Arial" w:eastAsia="Arial" w:hAnsi="Arial"/>
                <w:sz w:val="10"/>
                <w:szCs w:val="10"/>
                <w:color w:val="auto"/>
              </w:rPr>
              <w:t>1633 N. Halsted Street, Chicago, IL</w:t>
            </w:r>
          </w:p>
        </w:tc>
      </w:tr>
      <w:tr>
        <w:trPr>
          <w:trHeight w:val="168"/>
        </w:trPr>
        <w:tc>
          <w:tcPr>
            <w:tcW w:w="2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260" w:type="dxa"/>
            <w:vAlign w:val="bottom"/>
            <w:gridSpan w:val="2"/>
          </w:tcPr>
          <w:p>
            <w:pPr>
              <w:jc w:val="center"/>
              <w:ind w:left="112"/>
              <w:spacing w:after="0"/>
              <w:rPr>
                <w:sz w:val="20"/>
                <w:szCs w:val="20"/>
                <w:color w:val="auto"/>
              </w:rPr>
            </w:pPr>
            <w:r>
              <w:rPr>
                <w:rFonts w:ascii="Arial" w:cs="Arial" w:eastAsia="Arial" w:hAnsi="Arial"/>
                <w:sz w:val="10"/>
                <w:szCs w:val="10"/>
                <w:color w:val="auto"/>
                <w:w w:val="85"/>
              </w:rPr>
              <w:t>plus a 55-space parking structure</w:t>
            </w:r>
          </w:p>
        </w:tc>
        <w:tc>
          <w:tcPr>
            <w:tcW w:w="1440" w:type="dxa"/>
            <w:vAlign w:val="bottom"/>
          </w:tcPr>
          <w:p>
            <w:pPr>
              <w:spacing w:after="0"/>
              <w:rPr>
                <w:sz w:val="14"/>
                <w:szCs w:val="14"/>
                <w:color w:val="auto"/>
              </w:rPr>
            </w:pPr>
          </w:p>
        </w:tc>
        <w:tc>
          <w:tcPr>
            <w:tcW w:w="380" w:type="dxa"/>
            <w:vAlign w:val="bottom"/>
          </w:tcPr>
          <w:p>
            <w:pPr>
              <w:jc w:val="right"/>
              <w:ind w:right="92"/>
              <w:spacing w:after="0"/>
              <w:rPr>
                <w:sz w:val="20"/>
                <w:szCs w:val="20"/>
                <w:color w:val="auto"/>
              </w:rPr>
            </w:pPr>
            <w:r>
              <w:rPr>
                <w:rFonts w:ascii="Arial" w:cs="Arial" w:eastAsia="Arial" w:hAnsi="Arial"/>
                <w:sz w:val="10"/>
                <w:szCs w:val="10"/>
                <w:color w:val="auto"/>
              </w:rPr>
              <w:t>$</w:t>
            </w:r>
          </w:p>
        </w:tc>
        <w:tc>
          <w:tcPr>
            <w:tcW w:w="1300" w:type="dxa"/>
            <w:vAlign w:val="bottom"/>
          </w:tcPr>
          <w:p>
            <w:pPr>
              <w:spacing w:after="0"/>
              <w:rPr>
                <w:sz w:val="14"/>
                <w:szCs w:val="14"/>
                <w:color w:val="auto"/>
              </w:rPr>
            </w:pPr>
          </w:p>
        </w:tc>
        <w:tc>
          <w:tcPr>
            <w:tcW w:w="3140" w:type="dxa"/>
            <w:vAlign w:val="bottom"/>
          </w:tcPr>
          <w:p>
            <w:pPr>
              <w:spacing w:after="0"/>
              <w:rPr>
                <w:sz w:val="14"/>
                <w:szCs w:val="14"/>
                <w:color w:val="auto"/>
              </w:rPr>
            </w:pPr>
          </w:p>
        </w:tc>
      </w:tr>
      <w:tr>
        <w:trPr>
          <w:trHeight w:val="71"/>
        </w:trPr>
        <w:tc>
          <w:tcPr>
            <w:tcW w:w="2100" w:type="dxa"/>
            <w:vAlign w:val="bottom"/>
            <w:gridSpan w:val="2"/>
          </w:tcPr>
          <w:p>
            <w:pPr>
              <w:spacing w:after="0"/>
              <w:rPr>
                <w:sz w:val="6"/>
                <w:szCs w:val="6"/>
                <w:color w:val="auto"/>
              </w:rPr>
            </w:pPr>
          </w:p>
        </w:tc>
        <w:tc>
          <w:tcPr>
            <w:tcW w:w="11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440" w:type="dxa"/>
            <w:vAlign w:val="bottom"/>
          </w:tcPr>
          <w:p>
            <w:pPr>
              <w:spacing w:after="0"/>
              <w:rPr>
                <w:sz w:val="6"/>
                <w:szCs w:val="6"/>
                <w:color w:val="auto"/>
              </w:rPr>
            </w:pPr>
          </w:p>
        </w:tc>
        <w:tc>
          <w:tcPr>
            <w:tcW w:w="380" w:type="dxa"/>
            <w:vAlign w:val="bottom"/>
          </w:tcPr>
          <w:p>
            <w:pPr>
              <w:spacing w:after="0"/>
              <w:rPr>
                <w:sz w:val="6"/>
                <w:szCs w:val="6"/>
                <w:color w:val="auto"/>
              </w:rPr>
            </w:pPr>
          </w:p>
        </w:tc>
        <w:tc>
          <w:tcPr>
            <w:tcW w:w="1300" w:type="dxa"/>
            <w:vAlign w:val="bottom"/>
          </w:tcPr>
          <w:p>
            <w:pPr>
              <w:spacing w:after="0"/>
              <w:rPr>
                <w:sz w:val="6"/>
                <w:szCs w:val="6"/>
                <w:color w:val="auto"/>
              </w:rPr>
            </w:pPr>
          </w:p>
        </w:tc>
        <w:tc>
          <w:tcPr>
            <w:tcW w:w="3140" w:type="dxa"/>
            <w:vAlign w:val="bottom"/>
          </w:tcPr>
          <w:p>
            <w:pPr>
              <w:spacing w:after="0"/>
              <w:rPr>
                <w:sz w:val="6"/>
                <w:szCs w:val="6"/>
                <w:color w:val="auto"/>
              </w:rPr>
            </w:pPr>
          </w:p>
        </w:tc>
      </w:tr>
      <w:tr>
        <w:trPr>
          <w:trHeight w:val="180"/>
        </w:trPr>
        <w:tc>
          <w:tcPr>
            <w:tcW w:w="2100" w:type="dxa"/>
            <w:vAlign w:val="bottom"/>
            <w:gridSpan w:val="2"/>
            <w:shd w:val="clear" w:color="auto" w:fill="CCEEFF"/>
          </w:tcPr>
          <w:p>
            <w:pPr>
              <w:spacing w:after="0"/>
              <w:rPr>
                <w:sz w:val="20"/>
                <w:szCs w:val="20"/>
                <w:color w:val="auto"/>
              </w:rPr>
            </w:pPr>
            <w:r>
              <w:rPr>
                <w:rFonts w:ascii="Arial" w:cs="Arial" w:eastAsia="Arial" w:hAnsi="Arial"/>
                <w:sz w:val="10"/>
                <w:szCs w:val="10"/>
                <w:b w:val="1"/>
                <w:bCs w:val="1"/>
                <w:color w:val="auto"/>
              </w:rPr>
              <w:t>In Australia</w:t>
            </w:r>
          </w:p>
        </w:tc>
        <w:tc>
          <w:tcPr>
            <w:tcW w:w="11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3140" w:type="dxa"/>
            <w:vAlign w:val="bottom"/>
            <w:shd w:val="clear" w:color="auto" w:fill="CCEEFF"/>
          </w:tcPr>
          <w:p>
            <w:pPr>
              <w:spacing w:after="0"/>
              <w:rPr>
                <w:sz w:val="15"/>
                <w:szCs w:val="15"/>
                <w:color w:val="auto"/>
              </w:rPr>
            </w:pPr>
          </w:p>
        </w:tc>
      </w:tr>
      <w:tr>
        <w:trPr>
          <w:trHeight w:val="122"/>
        </w:trPr>
        <w:tc>
          <w:tcPr>
            <w:tcW w:w="200" w:type="dxa"/>
            <w:vAlign w:val="bottom"/>
          </w:tcPr>
          <w:p>
            <w:pPr>
              <w:jc w:val="right"/>
              <w:ind w:right="12"/>
              <w:spacing w:after="0"/>
              <w:rPr>
                <w:sz w:val="20"/>
                <w:szCs w:val="20"/>
                <w:color w:val="auto"/>
              </w:rPr>
            </w:pPr>
            <w:r>
              <w:rPr>
                <w:rFonts w:ascii="Arial" w:cs="Arial" w:eastAsia="Arial" w:hAnsi="Arial"/>
                <w:sz w:val="10"/>
                <w:szCs w:val="10"/>
                <w:color w:val="auto"/>
              </w:rPr>
              <w:t>1</w:t>
            </w:r>
          </w:p>
        </w:tc>
        <w:tc>
          <w:tcPr>
            <w:tcW w:w="1900" w:type="dxa"/>
            <w:vAlign w:val="bottom"/>
          </w:tcPr>
          <w:p>
            <w:pPr>
              <w:ind w:left="40"/>
              <w:spacing w:after="0"/>
              <w:rPr>
                <w:sz w:val="20"/>
                <w:szCs w:val="20"/>
                <w:color w:val="auto"/>
              </w:rPr>
            </w:pPr>
            <w:r>
              <w:rPr>
                <w:rFonts w:ascii="Arial" w:cs="Arial" w:eastAsia="Arial" w:hAnsi="Arial"/>
                <w:sz w:val="10"/>
                <w:szCs w:val="10"/>
                <w:color w:val="auto"/>
              </w:rPr>
              <w:t>Newmarket(5)</w:t>
            </w:r>
          </w:p>
        </w:tc>
        <w:tc>
          <w:tcPr>
            <w:tcW w:w="2260" w:type="dxa"/>
            <w:vAlign w:val="bottom"/>
            <w:gridSpan w:val="2"/>
          </w:tcPr>
          <w:p>
            <w:pPr>
              <w:jc w:val="center"/>
              <w:ind w:left="112"/>
              <w:spacing w:after="0"/>
              <w:rPr>
                <w:sz w:val="20"/>
                <w:szCs w:val="20"/>
                <w:color w:val="auto"/>
              </w:rPr>
            </w:pPr>
            <w:r>
              <w:rPr>
                <w:rFonts w:ascii="Arial" w:cs="Arial" w:eastAsia="Arial" w:hAnsi="Arial"/>
                <w:sz w:val="10"/>
                <w:szCs w:val="10"/>
                <w:color w:val="auto"/>
                <w:w w:val="88"/>
              </w:rPr>
              <w:t>126000 / 0</w:t>
            </w:r>
          </w:p>
        </w:tc>
        <w:tc>
          <w:tcPr>
            <w:tcW w:w="1440" w:type="dxa"/>
            <w:vAlign w:val="bottom"/>
          </w:tcPr>
          <w:p>
            <w:pPr>
              <w:jc w:val="center"/>
              <w:ind w:left="252"/>
              <w:spacing w:after="0"/>
              <w:rPr>
                <w:sz w:val="20"/>
                <w:szCs w:val="20"/>
                <w:color w:val="auto"/>
              </w:rPr>
            </w:pPr>
            <w:r>
              <w:rPr>
                <w:rFonts w:ascii="Arial" w:cs="Arial" w:eastAsia="Arial" w:hAnsi="Arial"/>
                <w:sz w:val="10"/>
                <w:szCs w:val="10"/>
                <w:color w:val="auto"/>
                <w:w w:val="85"/>
              </w:rPr>
              <w:t>100%</w:t>
            </w:r>
          </w:p>
        </w:tc>
        <w:tc>
          <w:tcPr>
            <w:tcW w:w="380" w:type="dxa"/>
            <w:vAlign w:val="bottom"/>
          </w:tcPr>
          <w:p>
            <w:pPr>
              <w:jc w:val="right"/>
              <w:ind w:right="92"/>
              <w:spacing w:after="0"/>
              <w:rPr>
                <w:sz w:val="20"/>
                <w:szCs w:val="20"/>
                <w:color w:val="auto"/>
              </w:rPr>
            </w:pPr>
            <w:r>
              <w:rPr>
                <w:rFonts w:ascii="Arial" w:cs="Arial" w:eastAsia="Arial" w:hAnsi="Arial"/>
                <w:sz w:val="10"/>
                <w:szCs w:val="10"/>
                <w:color w:val="auto"/>
              </w:rPr>
              <w:t>$</w:t>
            </w:r>
          </w:p>
        </w:tc>
        <w:tc>
          <w:tcPr>
            <w:tcW w:w="1300" w:type="dxa"/>
            <w:vAlign w:val="bottom"/>
          </w:tcPr>
          <w:p>
            <w:pPr>
              <w:jc w:val="right"/>
              <w:spacing w:after="0"/>
              <w:rPr>
                <w:sz w:val="20"/>
                <w:szCs w:val="20"/>
                <w:color w:val="auto"/>
              </w:rPr>
            </w:pPr>
            <w:r>
              <w:rPr>
                <w:rFonts w:ascii="Arial" w:cs="Arial" w:eastAsia="Arial" w:hAnsi="Arial"/>
                <w:sz w:val="10"/>
                <w:szCs w:val="10"/>
                <w:color w:val="auto"/>
              </w:rPr>
              <w:t>37,411,774</w:t>
            </w:r>
          </w:p>
        </w:tc>
        <w:tc>
          <w:tcPr>
            <w:tcW w:w="3140" w:type="dxa"/>
            <w:vAlign w:val="bottom"/>
          </w:tcPr>
          <w:p>
            <w:pPr>
              <w:ind w:left="140"/>
              <w:spacing w:after="0"/>
              <w:rPr>
                <w:sz w:val="20"/>
                <w:szCs w:val="20"/>
                <w:color w:val="auto"/>
              </w:rPr>
            </w:pPr>
            <w:r>
              <w:rPr>
                <w:rFonts w:ascii="Arial" w:cs="Arial" w:eastAsia="Arial" w:hAnsi="Arial"/>
                <w:sz w:val="10"/>
                <w:szCs w:val="10"/>
                <w:color w:val="auto"/>
              </w:rPr>
              <w:t>400 Newmarket Road, Newmarket, QLD</w:t>
            </w:r>
          </w:p>
        </w:tc>
      </w:tr>
      <w:tr>
        <w:trPr>
          <w:trHeight w:val="59"/>
        </w:trPr>
        <w:tc>
          <w:tcPr>
            <w:tcW w:w="200" w:type="dxa"/>
            <w:vAlign w:val="bottom"/>
          </w:tcPr>
          <w:p>
            <w:pPr>
              <w:spacing w:after="0"/>
              <w:rPr>
                <w:sz w:val="5"/>
                <w:szCs w:val="5"/>
                <w:color w:val="auto"/>
              </w:rPr>
            </w:pPr>
          </w:p>
        </w:tc>
        <w:tc>
          <w:tcPr>
            <w:tcW w:w="1900" w:type="dxa"/>
            <w:vAlign w:val="bottom"/>
          </w:tcPr>
          <w:p>
            <w:pPr>
              <w:spacing w:after="0"/>
              <w:rPr>
                <w:sz w:val="5"/>
                <w:szCs w:val="5"/>
                <w:color w:val="auto"/>
              </w:rPr>
            </w:pPr>
          </w:p>
        </w:tc>
        <w:tc>
          <w:tcPr>
            <w:tcW w:w="2260" w:type="dxa"/>
            <w:vAlign w:val="bottom"/>
            <w:gridSpan w:val="2"/>
          </w:tcPr>
          <w:p>
            <w:pPr>
              <w:spacing w:after="0"/>
              <w:rPr>
                <w:sz w:val="5"/>
                <w:szCs w:val="5"/>
                <w:color w:val="auto"/>
              </w:rPr>
            </w:pPr>
          </w:p>
        </w:tc>
        <w:tc>
          <w:tcPr>
            <w:tcW w:w="1440" w:type="dxa"/>
            <w:vAlign w:val="bottom"/>
          </w:tcPr>
          <w:p>
            <w:pPr>
              <w:spacing w:after="0"/>
              <w:rPr>
                <w:sz w:val="5"/>
                <w:szCs w:val="5"/>
                <w:color w:val="auto"/>
              </w:rPr>
            </w:pPr>
          </w:p>
        </w:tc>
        <w:tc>
          <w:tcPr>
            <w:tcW w:w="380" w:type="dxa"/>
            <w:vAlign w:val="bottom"/>
          </w:tcPr>
          <w:p>
            <w:pPr>
              <w:spacing w:after="0"/>
              <w:rPr>
                <w:sz w:val="5"/>
                <w:szCs w:val="5"/>
                <w:color w:val="auto"/>
              </w:rPr>
            </w:pPr>
          </w:p>
        </w:tc>
        <w:tc>
          <w:tcPr>
            <w:tcW w:w="1300" w:type="dxa"/>
            <w:vAlign w:val="bottom"/>
          </w:tcPr>
          <w:p>
            <w:pPr>
              <w:spacing w:after="0"/>
              <w:rPr>
                <w:sz w:val="5"/>
                <w:szCs w:val="5"/>
                <w:color w:val="auto"/>
              </w:rPr>
            </w:pPr>
          </w:p>
        </w:tc>
        <w:tc>
          <w:tcPr>
            <w:tcW w:w="3140" w:type="dxa"/>
            <w:vAlign w:val="bottom"/>
          </w:tcPr>
          <w:p>
            <w:pPr>
              <w:spacing w:after="0"/>
              <w:rPr>
                <w:sz w:val="5"/>
                <w:szCs w:val="5"/>
                <w:color w:val="auto"/>
              </w:rPr>
            </w:pPr>
          </w:p>
        </w:tc>
      </w:tr>
      <w:tr>
        <w:trPr>
          <w:trHeight w:val="122"/>
        </w:trPr>
        <w:tc>
          <w:tcPr>
            <w:tcW w:w="200" w:type="dxa"/>
            <w:vAlign w:val="bottom"/>
            <w:shd w:val="clear" w:color="auto" w:fill="CCEEFF"/>
          </w:tcPr>
          <w:p>
            <w:pPr>
              <w:spacing w:after="0"/>
              <w:rPr>
                <w:sz w:val="10"/>
                <w:szCs w:val="10"/>
                <w:color w:val="auto"/>
              </w:rPr>
            </w:pPr>
          </w:p>
        </w:tc>
        <w:tc>
          <w:tcPr>
            <w:tcW w:w="1900" w:type="dxa"/>
            <w:vAlign w:val="bottom"/>
            <w:shd w:val="clear" w:color="auto" w:fill="CCEEFF"/>
          </w:tcPr>
          <w:p>
            <w:pPr>
              <w:spacing w:after="0"/>
              <w:rPr>
                <w:sz w:val="10"/>
                <w:szCs w:val="10"/>
                <w:color w:val="auto"/>
              </w:rPr>
            </w:pPr>
          </w:p>
        </w:tc>
        <w:tc>
          <w:tcPr>
            <w:tcW w:w="2260" w:type="dxa"/>
            <w:vAlign w:val="bottom"/>
            <w:gridSpan w:val="2"/>
            <w:shd w:val="clear" w:color="auto" w:fill="CCEEFF"/>
          </w:tcPr>
          <w:p>
            <w:pPr>
              <w:jc w:val="center"/>
              <w:ind w:left="92"/>
              <w:spacing w:after="0"/>
              <w:rPr>
                <w:sz w:val="20"/>
                <w:szCs w:val="20"/>
                <w:color w:val="auto"/>
              </w:rPr>
            </w:pPr>
            <w:r>
              <w:rPr>
                <w:rFonts w:ascii="Arial" w:cs="Arial" w:eastAsia="Arial" w:hAnsi="Arial"/>
                <w:sz w:val="10"/>
                <w:szCs w:val="10"/>
                <w:color w:val="auto"/>
                <w:w w:val="86"/>
              </w:rPr>
              <w:t>plus a 521-space parking structure</w:t>
            </w:r>
          </w:p>
        </w:tc>
        <w:tc>
          <w:tcPr>
            <w:tcW w:w="14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300" w:type="dxa"/>
            <w:vAlign w:val="bottom"/>
            <w:shd w:val="clear" w:color="auto" w:fill="CCEEFF"/>
          </w:tcPr>
          <w:p>
            <w:pPr>
              <w:spacing w:after="0"/>
              <w:rPr>
                <w:sz w:val="10"/>
                <w:szCs w:val="10"/>
                <w:color w:val="auto"/>
              </w:rPr>
            </w:pPr>
          </w:p>
        </w:tc>
        <w:tc>
          <w:tcPr>
            <w:tcW w:w="3140" w:type="dxa"/>
            <w:vAlign w:val="bottom"/>
            <w:shd w:val="clear" w:color="auto" w:fill="CCEEFF"/>
          </w:tcPr>
          <w:p>
            <w:pPr>
              <w:spacing w:after="0"/>
              <w:rPr>
                <w:sz w:val="10"/>
                <w:szCs w:val="10"/>
                <w:color w:val="auto"/>
              </w:rPr>
            </w:pPr>
          </w:p>
        </w:tc>
      </w:tr>
      <w:tr>
        <w:trPr>
          <w:trHeight w:val="185"/>
        </w:trPr>
        <w:tc>
          <w:tcPr>
            <w:tcW w:w="200" w:type="dxa"/>
            <w:vAlign w:val="bottom"/>
            <w:shd w:val="clear" w:color="auto" w:fill="CCEEFF"/>
          </w:tcPr>
          <w:p>
            <w:pPr>
              <w:spacing w:after="0"/>
              <w:rPr>
                <w:sz w:val="16"/>
                <w:szCs w:val="16"/>
                <w:color w:val="auto"/>
              </w:rPr>
            </w:pPr>
          </w:p>
        </w:tc>
        <w:tc>
          <w:tcPr>
            <w:tcW w:w="19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3140" w:type="dxa"/>
            <w:vAlign w:val="bottom"/>
            <w:shd w:val="clear" w:color="auto" w:fill="CCEEFF"/>
          </w:tcPr>
          <w:p>
            <w:pPr>
              <w:spacing w:after="0"/>
              <w:rPr>
                <w:sz w:val="16"/>
                <w:szCs w:val="16"/>
                <w:color w:val="auto"/>
              </w:rPr>
            </w:pPr>
          </w:p>
        </w:tc>
      </w:tr>
      <w:tr>
        <w:trPr>
          <w:trHeight w:val="122"/>
        </w:trPr>
        <w:tc>
          <w:tcPr>
            <w:tcW w:w="200" w:type="dxa"/>
            <w:vAlign w:val="bottom"/>
          </w:tcPr>
          <w:p>
            <w:pPr>
              <w:jc w:val="right"/>
              <w:ind w:right="12"/>
              <w:spacing w:after="0"/>
              <w:rPr>
                <w:sz w:val="20"/>
                <w:szCs w:val="20"/>
                <w:color w:val="auto"/>
              </w:rPr>
            </w:pPr>
            <w:r>
              <w:rPr>
                <w:rFonts w:ascii="Arial" w:cs="Arial" w:eastAsia="Arial" w:hAnsi="Arial"/>
                <w:sz w:val="10"/>
                <w:szCs w:val="10"/>
                <w:color w:val="auto"/>
              </w:rPr>
              <w:t>2</w:t>
            </w:r>
          </w:p>
        </w:tc>
        <w:tc>
          <w:tcPr>
            <w:tcW w:w="1900" w:type="dxa"/>
            <w:vAlign w:val="bottom"/>
          </w:tcPr>
          <w:p>
            <w:pPr>
              <w:ind w:left="40"/>
              <w:spacing w:after="0"/>
              <w:rPr>
                <w:sz w:val="20"/>
                <w:szCs w:val="20"/>
                <w:color w:val="auto"/>
              </w:rPr>
            </w:pPr>
            <w:r>
              <w:rPr>
                <w:rFonts w:ascii="Arial" w:cs="Arial" w:eastAsia="Arial" w:hAnsi="Arial"/>
                <w:sz w:val="10"/>
                <w:szCs w:val="10"/>
                <w:color w:val="auto"/>
              </w:rPr>
              <w:t>Auburn(5)</w:t>
            </w:r>
          </w:p>
        </w:tc>
        <w:tc>
          <w:tcPr>
            <w:tcW w:w="1180" w:type="dxa"/>
            <w:vAlign w:val="bottom"/>
          </w:tcPr>
          <w:p>
            <w:pPr>
              <w:jc w:val="right"/>
              <w:spacing w:after="0"/>
              <w:rPr>
                <w:sz w:val="20"/>
                <w:szCs w:val="20"/>
                <w:color w:val="auto"/>
              </w:rPr>
            </w:pPr>
            <w:r>
              <w:rPr>
                <w:rFonts w:ascii="Arial" w:cs="Arial" w:eastAsia="Arial" w:hAnsi="Arial"/>
                <w:sz w:val="10"/>
                <w:szCs w:val="10"/>
                <w:color w:val="auto"/>
              </w:rPr>
              <w:t>60000</w:t>
            </w:r>
          </w:p>
        </w:tc>
        <w:tc>
          <w:tcPr>
            <w:tcW w:w="1080" w:type="dxa"/>
            <w:vAlign w:val="bottom"/>
          </w:tcPr>
          <w:p>
            <w:pPr>
              <w:ind w:left="20"/>
              <w:spacing w:after="0"/>
              <w:rPr>
                <w:sz w:val="20"/>
                <w:szCs w:val="20"/>
                <w:color w:val="auto"/>
              </w:rPr>
            </w:pPr>
            <w:r>
              <w:rPr>
                <w:rFonts w:ascii="Arial" w:cs="Arial" w:eastAsia="Arial" w:hAnsi="Arial"/>
                <w:sz w:val="10"/>
                <w:szCs w:val="10"/>
                <w:color w:val="auto"/>
              </w:rPr>
              <w:t>/ 57000</w:t>
            </w:r>
          </w:p>
        </w:tc>
        <w:tc>
          <w:tcPr>
            <w:tcW w:w="1440" w:type="dxa"/>
            <w:vAlign w:val="bottom"/>
          </w:tcPr>
          <w:p>
            <w:pPr>
              <w:jc w:val="center"/>
              <w:ind w:left="252"/>
              <w:spacing w:after="0"/>
              <w:rPr>
                <w:sz w:val="20"/>
                <w:szCs w:val="20"/>
                <w:color w:val="auto"/>
              </w:rPr>
            </w:pPr>
            <w:r>
              <w:rPr>
                <w:rFonts w:ascii="Arial" w:cs="Arial" w:eastAsia="Arial" w:hAnsi="Arial"/>
                <w:sz w:val="10"/>
                <w:szCs w:val="10"/>
                <w:color w:val="auto"/>
                <w:w w:val="85"/>
              </w:rPr>
              <w:t>100%</w:t>
            </w:r>
          </w:p>
        </w:tc>
        <w:tc>
          <w:tcPr>
            <w:tcW w:w="380" w:type="dxa"/>
            <w:vAlign w:val="bottom"/>
          </w:tcPr>
          <w:p>
            <w:pPr>
              <w:jc w:val="right"/>
              <w:ind w:right="92"/>
              <w:spacing w:after="0"/>
              <w:rPr>
                <w:sz w:val="20"/>
                <w:szCs w:val="20"/>
                <w:color w:val="auto"/>
              </w:rPr>
            </w:pPr>
            <w:r>
              <w:rPr>
                <w:rFonts w:ascii="Arial" w:cs="Arial" w:eastAsia="Arial" w:hAnsi="Arial"/>
                <w:sz w:val="10"/>
                <w:szCs w:val="10"/>
                <w:color w:val="auto"/>
              </w:rPr>
              <w:t>$</w:t>
            </w:r>
          </w:p>
        </w:tc>
        <w:tc>
          <w:tcPr>
            <w:tcW w:w="1300" w:type="dxa"/>
            <w:vAlign w:val="bottom"/>
          </w:tcPr>
          <w:p>
            <w:pPr>
              <w:jc w:val="right"/>
              <w:spacing w:after="0"/>
              <w:rPr>
                <w:sz w:val="20"/>
                <w:szCs w:val="20"/>
                <w:color w:val="auto"/>
              </w:rPr>
            </w:pPr>
            <w:r>
              <w:rPr>
                <w:rFonts w:ascii="Arial" w:cs="Arial" w:eastAsia="Arial" w:hAnsi="Arial"/>
                <w:sz w:val="10"/>
                <w:szCs w:val="10"/>
                <w:color w:val="auto"/>
              </w:rPr>
              <w:t>26,531,321</w:t>
            </w:r>
          </w:p>
        </w:tc>
        <w:tc>
          <w:tcPr>
            <w:tcW w:w="3140" w:type="dxa"/>
            <w:vAlign w:val="bottom"/>
          </w:tcPr>
          <w:p>
            <w:pPr>
              <w:ind w:left="140"/>
              <w:spacing w:after="0"/>
              <w:rPr>
                <w:sz w:val="20"/>
                <w:szCs w:val="20"/>
                <w:color w:val="auto"/>
              </w:rPr>
            </w:pPr>
            <w:r>
              <w:rPr>
                <w:rFonts w:ascii="Arial" w:cs="Arial" w:eastAsia="Arial" w:hAnsi="Arial"/>
                <w:sz w:val="10"/>
                <w:szCs w:val="10"/>
                <w:color w:val="auto"/>
              </w:rPr>
              <w:t>100 Parramatta Road, Auburn, NSW</w:t>
            </w:r>
          </w:p>
        </w:tc>
      </w:tr>
      <w:tr>
        <w:trPr>
          <w:trHeight w:val="168"/>
        </w:trPr>
        <w:tc>
          <w:tcPr>
            <w:tcW w:w="2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260" w:type="dxa"/>
            <w:vAlign w:val="bottom"/>
            <w:gridSpan w:val="2"/>
          </w:tcPr>
          <w:p>
            <w:pPr>
              <w:jc w:val="center"/>
              <w:ind w:left="92"/>
              <w:spacing w:after="0"/>
              <w:rPr>
                <w:sz w:val="20"/>
                <w:szCs w:val="20"/>
                <w:color w:val="auto"/>
              </w:rPr>
            </w:pPr>
            <w:r>
              <w:rPr>
                <w:rFonts w:ascii="Arial" w:cs="Arial" w:eastAsia="Arial" w:hAnsi="Arial"/>
                <w:sz w:val="10"/>
                <w:szCs w:val="10"/>
                <w:color w:val="auto"/>
                <w:w w:val="86"/>
              </w:rPr>
              <w:t>plus a 871-space parking structure</w:t>
            </w:r>
          </w:p>
        </w:tc>
        <w:tc>
          <w:tcPr>
            <w:tcW w:w="1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140" w:type="dxa"/>
            <w:vAlign w:val="bottom"/>
          </w:tcPr>
          <w:p>
            <w:pPr>
              <w:spacing w:after="0"/>
              <w:rPr>
                <w:sz w:val="14"/>
                <w:szCs w:val="14"/>
                <w:color w:val="auto"/>
              </w:rPr>
            </w:pPr>
          </w:p>
        </w:tc>
      </w:tr>
      <w:tr>
        <w:trPr>
          <w:trHeight w:val="197"/>
        </w:trPr>
        <w:tc>
          <w:tcPr>
            <w:tcW w:w="2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140" w:type="dxa"/>
            <w:vAlign w:val="bottom"/>
          </w:tcPr>
          <w:p>
            <w:pPr>
              <w:spacing w:after="0"/>
              <w:rPr>
                <w:sz w:val="17"/>
                <w:szCs w:val="17"/>
                <w:color w:val="auto"/>
              </w:rPr>
            </w:pPr>
          </w:p>
        </w:tc>
      </w:tr>
      <w:tr>
        <w:trPr>
          <w:trHeight w:val="122"/>
        </w:trPr>
        <w:tc>
          <w:tcPr>
            <w:tcW w:w="20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3</w:t>
            </w:r>
          </w:p>
        </w:tc>
        <w:tc>
          <w:tcPr>
            <w:tcW w:w="1900" w:type="dxa"/>
            <w:vAlign w:val="bottom"/>
            <w:shd w:val="clear" w:color="auto" w:fill="CCEEFF"/>
          </w:tcPr>
          <w:p>
            <w:pPr>
              <w:ind w:left="40"/>
              <w:spacing w:after="0"/>
              <w:rPr>
                <w:sz w:val="20"/>
                <w:szCs w:val="20"/>
                <w:color w:val="auto"/>
              </w:rPr>
            </w:pPr>
            <w:r>
              <w:rPr>
                <w:rFonts w:ascii="Arial" w:cs="Arial" w:eastAsia="Arial" w:hAnsi="Arial"/>
                <w:sz w:val="10"/>
                <w:szCs w:val="10"/>
                <w:color w:val="auto"/>
              </w:rPr>
              <w:t>Cannon Park City Center</w:t>
            </w:r>
          </w:p>
        </w:tc>
        <w:tc>
          <w:tcPr>
            <w:tcW w:w="11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36000</w:t>
            </w:r>
          </w:p>
        </w:tc>
        <w:tc>
          <w:tcPr>
            <w:tcW w:w="1080" w:type="dxa"/>
            <w:vAlign w:val="bottom"/>
            <w:shd w:val="clear" w:color="auto" w:fill="CCEEFF"/>
          </w:tcPr>
          <w:p>
            <w:pPr>
              <w:ind w:left="20"/>
              <w:spacing w:after="0"/>
              <w:rPr>
                <w:sz w:val="20"/>
                <w:szCs w:val="20"/>
                <w:color w:val="auto"/>
              </w:rPr>
            </w:pPr>
            <w:r>
              <w:rPr>
                <w:rFonts w:ascii="Arial" w:cs="Arial" w:eastAsia="Arial" w:hAnsi="Arial"/>
                <w:sz w:val="10"/>
                <w:szCs w:val="10"/>
                <w:color w:val="auto"/>
              </w:rPr>
              <w:t>/ 28000</w:t>
            </w:r>
          </w:p>
        </w:tc>
        <w:tc>
          <w:tcPr>
            <w:tcW w:w="1440" w:type="dxa"/>
            <w:vAlign w:val="bottom"/>
            <w:shd w:val="clear" w:color="auto" w:fill="CCEEFF"/>
          </w:tcPr>
          <w:p>
            <w:pPr>
              <w:jc w:val="center"/>
              <w:ind w:left="252"/>
              <w:spacing w:after="0"/>
              <w:rPr>
                <w:sz w:val="20"/>
                <w:szCs w:val="20"/>
                <w:color w:val="auto"/>
              </w:rPr>
            </w:pPr>
            <w:r>
              <w:rPr>
                <w:rFonts w:ascii="Arial" w:cs="Arial" w:eastAsia="Arial" w:hAnsi="Arial"/>
                <w:sz w:val="10"/>
                <w:szCs w:val="10"/>
                <w:color w:val="auto"/>
                <w:w w:val="89"/>
              </w:rPr>
              <w:t>95%</w:t>
            </w:r>
          </w:p>
        </w:tc>
        <w:tc>
          <w:tcPr>
            <w:tcW w:w="38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17,465,973</w:t>
            </w:r>
          </w:p>
        </w:tc>
        <w:tc>
          <w:tcPr>
            <w:tcW w:w="3140" w:type="dxa"/>
            <w:vAlign w:val="bottom"/>
            <w:shd w:val="clear" w:color="auto" w:fill="CCEEFF"/>
          </w:tcPr>
          <w:p>
            <w:pPr>
              <w:ind w:left="140"/>
              <w:spacing w:after="0"/>
              <w:rPr>
                <w:sz w:val="20"/>
                <w:szCs w:val="20"/>
                <w:color w:val="auto"/>
              </w:rPr>
            </w:pPr>
            <w:r>
              <w:rPr>
                <w:rFonts w:ascii="Arial" w:cs="Arial" w:eastAsia="Arial" w:hAnsi="Arial"/>
                <w:sz w:val="10"/>
                <w:szCs w:val="10"/>
                <w:color w:val="auto"/>
              </w:rPr>
              <w:t>High Range Drive, Thuringowa, Queensland</w:t>
            </w:r>
          </w:p>
        </w:tc>
      </w:tr>
      <w:tr>
        <w:trPr>
          <w:trHeight w:val="185"/>
        </w:trPr>
        <w:tc>
          <w:tcPr>
            <w:tcW w:w="200" w:type="dxa"/>
            <w:vAlign w:val="bottom"/>
            <w:shd w:val="clear" w:color="auto" w:fill="CCEEFF"/>
          </w:tcPr>
          <w:p>
            <w:pPr>
              <w:spacing w:after="0"/>
              <w:rPr>
                <w:sz w:val="16"/>
                <w:szCs w:val="16"/>
                <w:color w:val="auto"/>
              </w:rPr>
            </w:pPr>
          </w:p>
        </w:tc>
        <w:tc>
          <w:tcPr>
            <w:tcW w:w="19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3140" w:type="dxa"/>
            <w:vAlign w:val="bottom"/>
            <w:shd w:val="clear" w:color="auto" w:fill="CCEEFF"/>
          </w:tcPr>
          <w:p>
            <w:pPr>
              <w:spacing w:after="0"/>
              <w:rPr>
                <w:sz w:val="16"/>
                <w:szCs w:val="16"/>
                <w:color w:val="auto"/>
              </w:rPr>
            </w:pPr>
          </w:p>
        </w:tc>
      </w:tr>
      <w:tr>
        <w:trPr>
          <w:trHeight w:val="122"/>
        </w:trPr>
        <w:tc>
          <w:tcPr>
            <w:tcW w:w="200" w:type="dxa"/>
            <w:vAlign w:val="bottom"/>
          </w:tcPr>
          <w:p>
            <w:pPr>
              <w:jc w:val="right"/>
              <w:ind w:right="12"/>
              <w:spacing w:after="0"/>
              <w:rPr>
                <w:sz w:val="20"/>
                <w:szCs w:val="20"/>
                <w:color w:val="auto"/>
              </w:rPr>
            </w:pPr>
            <w:r>
              <w:rPr>
                <w:rFonts w:ascii="Arial" w:cs="Arial" w:eastAsia="Arial" w:hAnsi="Arial"/>
                <w:sz w:val="10"/>
                <w:szCs w:val="10"/>
                <w:color w:val="auto"/>
              </w:rPr>
              <w:t>4</w:t>
            </w:r>
          </w:p>
        </w:tc>
        <w:tc>
          <w:tcPr>
            <w:tcW w:w="1900" w:type="dxa"/>
            <w:vAlign w:val="bottom"/>
          </w:tcPr>
          <w:p>
            <w:pPr>
              <w:ind w:left="40"/>
              <w:spacing w:after="0"/>
              <w:rPr>
                <w:sz w:val="20"/>
                <w:szCs w:val="20"/>
                <w:color w:val="auto"/>
              </w:rPr>
            </w:pPr>
            <w:r>
              <w:rPr>
                <w:rFonts w:ascii="Arial" w:cs="Arial" w:eastAsia="Arial" w:hAnsi="Arial"/>
                <w:sz w:val="10"/>
                <w:szCs w:val="10"/>
                <w:color w:val="auto"/>
              </w:rPr>
              <w:t>Belmont</w:t>
            </w:r>
          </w:p>
        </w:tc>
        <w:tc>
          <w:tcPr>
            <w:tcW w:w="1180" w:type="dxa"/>
            <w:vAlign w:val="bottom"/>
          </w:tcPr>
          <w:p>
            <w:pPr>
              <w:jc w:val="right"/>
              <w:spacing w:after="0"/>
              <w:rPr>
                <w:sz w:val="20"/>
                <w:szCs w:val="20"/>
                <w:color w:val="auto"/>
              </w:rPr>
            </w:pPr>
            <w:r>
              <w:rPr>
                <w:rFonts w:ascii="Arial" w:cs="Arial" w:eastAsia="Arial" w:hAnsi="Arial"/>
                <w:sz w:val="10"/>
                <w:szCs w:val="10"/>
                <w:color w:val="auto"/>
              </w:rPr>
              <w:t>15000</w:t>
            </w:r>
          </w:p>
        </w:tc>
        <w:tc>
          <w:tcPr>
            <w:tcW w:w="1080" w:type="dxa"/>
            <w:vAlign w:val="bottom"/>
          </w:tcPr>
          <w:p>
            <w:pPr>
              <w:ind w:left="20"/>
              <w:spacing w:after="0"/>
              <w:rPr>
                <w:sz w:val="20"/>
                <w:szCs w:val="20"/>
                <w:color w:val="auto"/>
              </w:rPr>
            </w:pPr>
            <w:r>
              <w:rPr>
                <w:rFonts w:ascii="Arial" w:cs="Arial" w:eastAsia="Arial" w:hAnsi="Arial"/>
                <w:sz w:val="10"/>
                <w:szCs w:val="10"/>
                <w:color w:val="auto"/>
              </w:rPr>
              <w:t>/ 45000</w:t>
            </w:r>
          </w:p>
        </w:tc>
        <w:tc>
          <w:tcPr>
            <w:tcW w:w="1440" w:type="dxa"/>
            <w:vAlign w:val="bottom"/>
          </w:tcPr>
          <w:p>
            <w:pPr>
              <w:jc w:val="center"/>
              <w:ind w:left="252"/>
              <w:spacing w:after="0"/>
              <w:rPr>
                <w:sz w:val="20"/>
                <w:szCs w:val="20"/>
                <w:color w:val="auto"/>
              </w:rPr>
            </w:pPr>
            <w:r>
              <w:rPr>
                <w:rFonts w:ascii="Arial" w:cs="Arial" w:eastAsia="Arial" w:hAnsi="Arial"/>
                <w:sz w:val="10"/>
                <w:szCs w:val="10"/>
                <w:color w:val="auto"/>
                <w:w w:val="85"/>
              </w:rPr>
              <w:t>100%</w:t>
            </w:r>
          </w:p>
        </w:tc>
        <w:tc>
          <w:tcPr>
            <w:tcW w:w="380" w:type="dxa"/>
            <w:vAlign w:val="bottom"/>
          </w:tcPr>
          <w:p>
            <w:pPr>
              <w:jc w:val="right"/>
              <w:ind w:right="92"/>
              <w:spacing w:after="0"/>
              <w:rPr>
                <w:sz w:val="20"/>
                <w:szCs w:val="20"/>
                <w:color w:val="auto"/>
              </w:rPr>
            </w:pPr>
            <w:r>
              <w:rPr>
                <w:rFonts w:ascii="Arial" w:cs="Arial" w:eastAsia="Arial" w:hAnsi="Arial"/>
                <w:sz w:val="10"/>
                <w:szCs w:val="10"/>
                <w:color w:val="auto"/>
              </w:rPr>
              <w:t>$</w:t>
            </w:r>
          </w:p>
        </w:tc>
        <w:tc>
          <w:tcPr>
            <w:tcW w:w="1300" w:type="dxa"/>
            <w:vAlign w:val="bottom"/>
          </w:tcPr>
          <w:p>
            <w:pPr>
              <w:jc w:val="right"/>
              <w:spacing w:after="0"/>
              <w:rPr>
                <w:sz w:val="20"/>
                <w:szCs w:val="20"/>
                <w:color w:val="auto"/>
              </w:rPr>
            </w:pPr>
            <w:r>
              <w:rPr>
                <w:rFonts w:ascii="Arial" w:cs="Arial" w:eastAsia="Arial" w:hAnsi="Arial"/>
                <w:sz w:val="10"/>
                <w:szCs w:val="10"/>
                <w:color w:val="auto"/>
              </w:rPr>
              <w:t>11,422,186</w:t>
            </w:r>
          </w:p>
        </w:tc>
        <w:tc>
          <w:tcPr>
            <w:tcW w:w="3140" w:type="dxa"/>
            <w:vAlign w:val="bottom"/>
          </w:tcPr>
          <w:p>
            <w:pPr>
              <w:ind w:left="140"/>
              <w:spacing w:after="0"/>
              <w:rPr>
                <w:sz w:val="20"/>
                <w:szCs w:val="20"/>
                <w:color w:val="auto"/>
              </w:rPr>
            </w:pPr>
            <w:r>
              <w:rPr>
                <w:rFonts w:ascii="Arial" w:cs="Arial" w:eastAsia="Arial" w:hAnsi="Arial"/>
                <w:sz w:val="10"/>
                <w:szCs w:val="10"/>
                <w:color w:val="auto"/>
              </w:rPr>
              <w:t>Knutsford Avenue and Fulham Street, Belmont, WA</w:t>
            </w:r>
          </w:p>
        </w:tc>
      </w:tr>
      <w:tr>
        <w:trPr>
          <w:trHeight w:val="185"/>
        </w:trPr>
        <w:tc>
          <w:tcPr>
            <w:tcW w:w="20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2260" w:type="dxa"/>
            <w:vAlign w:val="bottom"/>
            <w:gridSpan w:val="2"/>
          </w:tcPr>
          <w:p>
            <w:pPr>
              <w:spacing w:after="0"/>
              <w:rPr>
                <w:sz w:val="16"/>
                <w:szCs w:val="16"/>
                <w:color w:val="auto"/>
              </w:rPr>
            </w:pPr>
          </w:p>
        </w:tc>
        <w:tc>
          <w:tcPr>
            <w:tcW w:w="14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140" w:type="dxa"/>
            <w:vAlign w:val="bottom"/>
          </w:tcPr>
          <w:p>
            <w:pPr>
              <w:spacing w:after="0"/>
              <w:rPr>
                <w:sz w:val="16"/>
                <w:szCs w:val="16"/>
                <w:color w:val="auto"/>
              </w:rPr>
            </w:pPr>
          </w:p>
        </w:tc>
      </w:tr>
      <w:tr>
        <w:trPr>
          <w:trHeight w:val="122"/>
        </w:trPr>
        <w:tc>
          <w:tcPr>
            <w:tcW w:w="20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5</w:t>
            </w:r>
          </w:p>
        </w:tc>
        <w:tc>
          <w:tcPr>
            <w:tcW w:w="1900" w:type="dxa"/>
            <w:vAlign w:val="bottom"/>
            <w:shd w:val="clear" w:color="auto" w:fill="CCEEFF"/>
          </w:tcPr>
          <w:p>
            <w:pPr>
              <w:ind w:left="40"/>
              <w:spacing w:after="0"/>
              <w:rPr>
                <w:sz w:val="20"/>
                <w:szCs w:val="20"/>
                <w:color w:val="auto"/>
              </w:rPr>
            </w:pPr>
            <w:r>
              <w:rPr>
                <w:rFonts w:ascii="Arial" w:cs="Arial" w:eastAsia="Arial" w:hAnsi="Arial"/>
                <w:sz w:val="10"/>
                <w:szCs w:val="10"/>
                <w:color w:val="auto"/>
              </w:rPr>
              <w:t>Cannon Park Distribution Center</w:t>
            </w:r>
          </w:p>
        </w:tc>
        <w:tc>
          <w:tcPr>
            <w:tcW w:w="2260" w:type="dxa"/>
            <w:vAlign w:val="bottom"/>
            <w:gridSpan w:val="2"/>
            <w:shd w:val="clear" w:color="auto" w:fill="CCEEFF"/>
          </w:tcPr>
          <w:p>
            <w:pPr>
              <w:jc w:val="center"/>
              <w:ind w:left="92"/>
              <w:spacing w:after="0"/>
              <w:rPr>
                <w:sz w:val="20"/>
                <w:szCs w:val="20"/>
                <w:color w:val="auto"/>
              </w:rPr>
            </w:pPr>
            <w:r>
              <w:rPr>
                <w:rFonts w:ascii="Arial" w:cs="Arial" w:eastAsia="Arial" w:hAnsi="Arial"/>
                <w:sz w:val="10"/>
                <w:szCs w:val="10"/>
                <w:color w:val="auto"/>
                <w:w w:val="86"/>
              </w:rPr>
              <w:t>69000 / 0</w:t>
            </w:r>
          </w:p>
        </w:tc>
        <w:tc>
          <w:tcPr>
            <w:tcW w:w="1440" w:type="dxa"/>
            <w:vAlign w:val="bottom"/>
            <w:shd w:val="clear" w:color="auto" w:fill="CCEEFF"/>
          </w:tcPr>
          <w:p>
            <w:pPr>
              <w:jc w:val="center"/>
              <w:ind w:left="252"/>
              <w:spacing w:after="0"/>
              <w:rPr>
                <w:sz w:val="20"/>
                <w:szCs w:val="20"/>
                <w:color w:val="auto"/>
              </w:rPr>
            </w:pPr>
            <w:r>
              <w:rPr>
                <w:rFonts w:ascii="Arial" w:cs="Arial" w:eastAsia="Arial" w:hAnsi="Arial"/>
                <w:sz w:val="10"/>
                <w:szCs w:val="10"/>
                <w:color w:val="auto"/>
                <w:w w:val="85"/>
              </w:rPr>
              <w:t>100%</w:t>
            </w:r>
          </w:p>
        </w:tc>
        <w:tc>
          <w:tcPr>
            <w:tcW w:w="38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6,986,132</w:t>
            </w:r>
          </w:p>
        </w:tc>
        <w:tc>
          <w:tcPr>
            <w:tcW w:w="3140" w:type="dxa"/>
            <w:vAlign w:val="bottom"/>
            <w:shd w:val="clear" w:color="auto" w:fill="CCEEFF"/>
          </w:tcPr>
          <w:p>
            <w:pPr>
              <w:ind w:left="140"/>
              <w:spacing w:after="0"/>
              <w:rPr>
                <w:sz w:val="20"/>
                <w:szCs w:val="20"/>
                <w:color w:val="auto"/>
              </w:rPr>
            </w:pPr>
            <w:r>
              <w:rPr>
                <w:rFonts w:ascii="Arial" w:cs="Arial" w:eastAsia="Arial" w:hAnsi="Arial"/>
                <w:sz w:val="10"/>
                <w:szCs w:val="10"/>
                <w:color w:val="auto"/>
              </w:rPr>
              <w:t>High Range Drive, Thuringowa, Queensland</w:t>
            </w:r>
          </w:p>
        </w:tc>
      </w:tr>
      <w:tr>
        <w:trPr>
          <w:trHeight w:val="185"/>
        </w:trPr>
        <w:tc>
          <w:tcPr>
            <w:tcW w:w="200" w:type="dxa"/>
            <w:vAlign w:val="bottom"/>
            <w:shd w:val="clear" w:color="auto" w:fill="CCEEFF"/>
          </w:tcPr>
          <w:p>
            <w:pPr>
              <w:spacing w:after="0"/>
              <w:rPr>
                <w:sz w:val="16"/>
                <w:szCs w:val="16"/>
                <w:color w:val="auto"/>
              </w:rPr>
            </w:pPr>
          </w:p>
        </w:tc>
        <w:tc>
          <w:tcPr>
            <w:tcW w:w="19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3140" w:type="dxa"/>
            <w:vAlign w:val="bottom"/>
            <w:shd w:val="clear" w:color="auto" w:fill="CCEEFF"/>
          </w:tcPr>
          <w:p>
            <w:pPr>
              <w:spacing w:after="0"/>
              <w:rPr>
                <w:sz w:val="16"/>
                <w:szCs w:val="16"/>
                <w:color w:val="auto"/>
              </w:rPr>
            </w:pPr>
          </w:p>
        </w:tc>
      </w:tr>
      <w:tr>
        <w:trPr>
          <w:trHeight w:val="122"/>
        </w:trPr>
        <w:tc>
          <w:tcPr>
            <w:tcW w:w="200" w:type="dxa"/>
            <w:vAlign w:val="bottom"/>
          </w:tcPr>
          <w:p>
            <w:pPr>
              <w:jc w:val="right"/>
              <w:ind w:right="12"/>
              <w:spacing w:after="0"/>
              <w:rPr>
                <w:sz w:val="20"/>
                <w:szCs w:val="20"/>
                <w:color w:val="auto"/>
              </w:rPr>
            </w:pPr>
            <w:r>
              <w:rPr>
                <w:rFonts w:ascii="Arial" w:cs="Arial" w:eastAsia="Arial" w:hAnsi="Arial"/>
                <w:sz w:val="10"/>
                <w:szCs w:val="10"/>
                <w:color w:val="auto"/>
              </w:rPr>
              <w:t>6</w:t>
            </w:r>
          </w:p>
        </w:tc>
        <w:tc>
          <w:tcPr>
            <w:tcW w:w="1900" w:type="dxa"/>
            <w:vAlign w:val="bottom"/>
          </w:tcPr>
          <w:p>
            <w:pPr>
              <w:ind w:left="40"/>
              <w:spacing w:after="0"/>
              <w:rPr>
                <w:sz w:val="20"/>
                <w:szCs w:val="20"/>
                <w:color w:val="auto"/>
              </w:rPr>
            </w:pPr>
            <w:r>
              <w:rPr>
                <w:rFonts w:ascii="Arial" w:cs="Arial" w:eastAsia="Arial" w:hAnsi="Arial"/>
                <w:sz w:val="10"/>
                <w:szCs w:val="10"/>
                <w:color w:val="auto"/>
              </w:rPr>
              <w:t>York Street Office</w:t>
            </w:r>
          </w:p>
        </w:tc>
        <w:tc>
          <w:tcPr>
            <w:tcW w:w="1180" w:type="dxa"/>
            <w:vAlign w:val="bottom"/>
          </w:tcPr>
          <w:p>
            <w:pPr>
              <w:jc w:val="right"/>
              <w:spacing w:after="0"/>
              <w:rPr>
                <w:sz w:val="20"/>
                <w:szCs w:val="20"/>
                <w:color w:val="auto"/>
              </w:rPr>
            </w:pPr>
            <w:r>
              <w:rPr>
                <w:rFonts w:ascii="Arial" w:cs="Arial" w:eastAsia="Arial" w:hAnsi="Arial"/>
                <w:sz w:val="10"/>
                <w:szCs w:val="10"/>
                <w:color w:val="auto"/>
              </w:rPr>
              <w:t>3000</w:t>
            </w:r>
          </w:p>
        </w:tc>
        <w:tc>
          <w:tcPr>
            <w:tcW w:w="1080" w:type="dxa"/>
            <w:vAlign w:val="bottom"/>
          </w:tcPr>
          <w:p>
            <w:pPr>
              <w:ind w:left="20"/>
              <w:spacing w:after="0"/>
              <w:rPr>
                <w:sz w:val="20"/>
                <w:szCs w:val="20"/>
                <w:color w:val="auto"/>
              </w:rPr>
            </w:pPr>
            <w:r>
              <w:rPr>
                <w:rFonts w:ascii="Arial" w:cs="Arial" w:eastAsia="Arial" w:hAnsi="Arial"/>
                <w:sz w:val="10"/>
                <w:szCs w:val="10"/>
                <w:color w:val="auto"/>
              </w:rPr>
              <w:t>/ 5000</w:t>
            </w:r>
          </w:p>
        </w:tc>
        <w:tc>
          <w:tcPr>
            <w:tcW w:w="1440" w:type="dxa"/>
            <w:vAlign w:val="bottom"/>
          </w:tcPr>
          <w:p>
            <w:pPr>
              <w:ind w:left="800"/>
              <w:spacing w:after="0"/>
              <w:rPr>
                <w:sz w:val="20"/>
                <w:szCs w:val="20"/>
                <w:color w:val="auto"/>
              </w:rPr>
            </w:pPr>
            <w:r>
              <w:rPr>
                <w:rFonts w:ascii="Arial" w:cs="Arial" w:eastAsia="Arial" w:hAnsi="Arial"/>
                <w:sz w:val="10"/>
                <w:szCs w:val="10"/>
                <w:color w:val="auto"/>
              </w:rPr>
              <w:t>N/A</w:t>
            </w:r>
          </w:p>
        </w:tc>
        <w:tc>
          <w:tcPr>
            <w:tcW w:w="380" w:type="dxa"/>
            <w:vAlign w:val="bottom"/>
          </w:tcPr>
          <w:p>
            <w:pPr>
              <w:jc w:val="right"/>
              <w:ind w:right="92"/>
              <w:spacing w:after="0"/>
              <w:rPr>
                <w:sz w:val="20"/>
                <w:szCs w:val="20"/>
                <w:color w:val="auto"/>
              </w:rPr>
            </w:pPr>
            <w:r>
              <w:rPr>
                <w:rFonts w:ascii="Arial" w:cs="Arial" w:eastAsia="Arial" w:hAnsi="Arial"/>
                <w:sz w:val="10"/>
                <w:szCs w:val="10"/>
                <w:color w:val="auto"/>
              </w:rPr>
              <w:t>$</w:t>
            </w:r>
          </w:p>
        </w:tc>
        <w:tc>
          <w:tcPr>
            <w:tcW w:w="1300" w:type="dxa"/>
            <w:vAlign w:val="bottom"/>
          </w:tcPr>
          <w:p>
            <w:pPr>
              <w:jc w:val="right"/>
              <w:spacing w:after="0"/>
              <w:rPr>
                <w:sz w:val="20"/>
                <w:szCs w:val="20"/>
                <w:color w:val="auto"/>
              </w:rPr>
            </w:pPr>
            <w:r>
              <w:rPr>
                <w:rFonts w:ascii="Arial" w:cs="Arial" w:eastAsia="Arial" w:hAnsi="Arial"/>
                <w:sz w:val="10"/>
                <w:szCs w:val="10"/>
                <w:color w:val="auto"/>
              </w:rPr>
              <w:t>2,149,622</w:t>
            </w:r>
          </w:p>
        </w:tc>
        <w:tc>
          <w:tcPr>
            <w:tcW w:w="3140" w:type="dxa"/>
            <w:vAlign w:val="bottom"/>
          </w:tcPr>
          <w:p>
            <w:pPr>
              <w:ind w:left="140"/>
              <w:spacing w:after="0"/>
              <w:rPr>
                <w:sz w:val="20"/>
                <w:szCs w:val="20"/>
                <w:color w:val="auto"/>
              </w:rPr>
            </w:pPr>
            <w:r>
              <w:rPr>
                <w:rFonts w:ascii="Arial" w:cs="Arial" w:eastAsia="Arial" w:hAnsi="Arial"/>
                <w:sz w:val="10"/>
                <w:szCs w:val="10"/>
                <w:color w:val="auto"/>
              </w:rPr>
              <w:t>98 York Street, South Melbourne, VIC</w:t>
            </w:r>
          </w:p>
        </w:tc>
      </w:tr>
      <w:tr>
        <w:trPr>
          <w:trHeight w:val="59"/>
        </w:trPr>
        <w:tc>
          <w:tcPr>
            <w:tcW w:w="200" w:type="dxa"/>
            <w:vAlign w:val="bottom"/>
          </w:tcPr>
          <w:p>
            <w:pPr>
              <w:spacing w:after="0"/>
              <w:rPr>
                <w:sz w:val="5"/>
                <w:szCs w:val="5"/>
                <w:color w:val="auto"/>
              </w:rPr>
            </w:pPr>
          </w:p>
        </w:tc>
        <w:tc>
          <w:tcPr>
            <w:tcW w:w="1900" w:type="dxa"/>
            <w:vAlign w:val="bottom"/>
          </w:tcPr>
          <w:p>
            <w:pPr>
              <w:spacing w:after="0"/>
              <w:rPr>
                <w:sz w:val="5"/>
                <w:szCs w:val="5"/>
                <w:color w:val="auto"/>
              </w:rPr>
            </w:pPr>
          </w:p>
        </w:tc>
        <w:tc>
          <w:tcPr>
            <w:tcW w:w="2260" w:type="dxa"/>
            <w:vAlign w:val="bottom"/>
            <w:gridSpan w:val="2"/>
          </w:tcPr>
          <w:p>
            <w:pPr>
              <w:spacing w:after="0"/>
              <w:rPr>
                <w:sz w:val="5"/>
                <w:szCs w:val="5"/>
                <w:color w:val="auto"/>
              </w:rPr>
            </w:pPr>
          </w:p>
        </w:tc>
        <w:tc>
          <w:tcPr>
            <w:tcW w:w="1440" w:type="dxa"/>
            <w:vAlign w:val="bottom"/>
          </w:tcPr>
          <w:p>
            <w:pPr>
              <w:spacing w:after="0"/>
              <w:rPr>
                <w:sz w:val="5"/>
                <w:szCs w:val="5"/>
                <w:color w:val="auto"/>
              </w:rPr>
            </w:pPr>
          </w:p>
        </w:tc>
        <w:tc>
          <w:tcPr>
            <w:tcW w:w="380" w:type="dxa"/>
            <w:vAlign w:val="bottom"/>
          </w:tcPr>
          <w:p>
            <w:pPr>
              <w:spacing w:after="0"/>
              <w:rPr>
                <w:sz w:val="5"/>
                <w:szCs w:val="5"/>
                <w:color w:val="auto"/>
              </w:rPr>
            </w:pPr>
          </w:p>
        </w:tc>
        <w:tc>
          <w:tcPr>
            <w:tcW w:w="1300" w:type="dxa"/>
            <w:vAlign w:val="bottom"/>
          </w:tcPr>
          <w:p>
            <w:pPr>
              <w:spacing w:after="0"/>
              <w:rPr>
                <w:sz w:val="5"/>
                <w:szCs w:val="5"/>
                <w:color w:val="auto"/>
              </w:rPr>
            </w:pPr>
          </w:p>
        </w:tc>
        <w:tc>
          <w:tcPr>
            <w:tcW w:w="3140" w:type="dxa"/>
            <w:vAlign w:val="bottom"/>
          </w:tcPr>
          <w:p>
            <w:pPr>
              <w:spacing w:after="0"/>
              <w:rPr>
                <w:sz w:val="5"/>
                <w:szCs w:val="5"/>
                <w:color w:val="auto"/>
              </w:rPr>
            </w:pPr>
          </w:p>
        </w:tc>
      </w:tr>
      <w:tr>
        <w:trPr>
          <w:trHeight w:val="160"/>
        </w:trPr>
        <w:tc>
          <w:tcPr>
            <w:tcW w:w="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0"/>
                <w:szCs w:val="10"/>
                <w:color w:val="auto"/>
              </w:rPr>
              <w:t>7</w:t>
            </w:r>
          </w:p>
        </w:tc>
        <w:tc>
          <w:tcPr>
            <w:tcW w:w="1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0"/>
                <w:szCs w:val="10"/>
                <w:color w:val="auto"/>
              </w:rPr>
              <w:t>Maitland Cinema</w:t>
            </w:r>
          </w:p>
        </w:tc>
        <w:tc>
          <w:tcPr>
            <w:tcW w:w="2260" w:type="dxa"/>
            <w:vAlign w:val="bottom"/>
            <w:tcBorders>
              <w:bottom w:val="single" w:sz="8" w:color="CCEEFF"/>
            </w:tcBorders>
            <w:gridSpan w:val="2"/>
            <w:shd w:val="clear" w:color="auto" w:fill="CCEEFF"/>
          </w:tcPr>
          <w:p>
            <w:pPr>
              <w:jc w:val="center"/>
              <w:ind w:left="92"/>
              <w:spacing w:after="0"/>
              <w:rPr>
                <w:sz w:val="20"/>
                <w:szCs w:val="20"/>
                <w:color w:val="auto"/>
              </w:rPr>
            </w:pPr>
            <w:r>
              <w:rPr>
                <w:rFonts w:ascii="Arial" w:cs="Arial" w:eastAsia="Arial" w:hAnsi="Arial"/>
                <w:sz w:val="10"/>
                <w:szCs w:val="10"/>
                <w:color w:val="auto"/>
                <w:w w:val="86"/>
              </w:rPr>
              <w:t>0 / 22000</w:t>
            </w:r>
          </w:p>
        </w:tc>
        <w:tc>
          <w:tcPr>
            <w:tcW w:w="144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0"/>
                <w:szCs w:val="10"/>
                <w:color w:val="auto"/>
              </w:rPr>
              <w:t>N/A</w:t>
            </w:r>
          </w:p>
        </w:tc>
        <w:tc>
          <w:tcPr>
            <w:tcW w:w="3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0"/>
                <w:szCs w:val="10"/>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1,733,329</w:t>
            </w:r>
          </w:p>
        </w:tc>
        <w:tc>
          <w:tcPr>
            <w:tcW w:w="31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0"/>
                <w:szCs w:val="10"/>
                <w:color w:val="auto"/>
              </w:rPr>
              <w:t>Ken Tubman Drive, Maitland, NSW</w:t>
            </w:r>
          </w:p>
        </w:tc>
      </w:tr>
      <w:tr>
        <w:trPr>
          <w:trHeight w:val="122"/>
        </w:trPr>
        <w:tc>
          <w:tcPr>
            <w:tcW w:w="200" w:type="dxa"/>
            <w:vAlign w:val="bottom"/>
          </w:tcPr>
          <w:p>
            <w:pPr>
              <w:jc w:val="right"/>
              <w:ind w:right="12"/>
              <w:spacing w:after="0"/>
              <w:rPr>
                <w:sz w:val="20"/>
                <w:szCs w:val="20"/>
                <w:color w:val="auto"/>
              </w:rPr>
            </w:pPr>
            <w:r>
              <w:rPr>
                <w:rFonts w:ascii="Arial" w:cs="Arial" w:eastAsia="Arial" w:hAnsi="Arial"/>
                <w:sz w:val="10"/>
                <w:szCs w:val="10"/>
                <w:color w:val="auto"/>
              </w:rPr>
              <w:t>8</w:t>
            </w:r>
          </w:p>
        </w:tc>
        <w:tc>
          <w:tcPr>
            <w:tcW w:w="1900" w:type="dxa"/>
            <w:vAlign w:val="bottom"/>
          </w:tcPr>
          <w:p>
            <w:pPr>
              <w:ind w:left="40"/>
              <w:spacing w:after="0"/>
              <w:rPr>
                <w:sz w:val="20"/>
                <w:szCs w:val="20"/>
                <w:color w:val="auto"/>
              </w:rPr>
            </w:pPr>
            <w:r>
              <w:rPr>
                <w:rFonts w:ascii="Arial" w:cs="Arial" w:eastAsia="Arial" w:hAnsi="Arial"/>
                <w:sz w:val="10"/>
                <w:szCs w:val="10"/>
                <w:color w:val="auto"/>
              </w:rPr>
              <w:t>Bundaberg</w:t>
            </w:r>
          </w:p>
        </w:tc>
        <w:tc>
          <w:tcPr>
            <w:tcW w:w="2260" w:type="dxa"/>
            <w:vAlign w:val="bottom"/>
            <w:gridSpan w:val="2"/>
          </w:tcPr>
          <w:p>
            <w:pPr>
              <w:jc w:val="center"/>
              <w:ind w:left="92"/>
              <w:spacing w:after="0"/>
              <w:rPr>
                <w:sz w:val="20"/>
                <w:szCs w:val="20"/>
                <w:color w:val="auto"/>
              </w:rPr>
            </w:pPr>
            <w:r>
              <w:rPr>
                <w:rFonts w:ascii="Arial" w:cs="Arial" w:eastAsia="Arial" w:hAnsi="Arial"/>
                <w:sz w:val="10"/>
                <w:szCs w:val="10"/>
                <w:color w:val="auto"/>
                <w:w w:val="86"/>
              </w:rPr>
              <w:t>0 / 14000</w:t>
            </w:r>
          </w:p>
        </w:tc>
        <w:tc>
          <w:tcPr>
            <w:tcW w:w="1440" w:type="dxa"/>
            <w:vAlign w:val="bottom"/>
          </w:tcPr>
          <w:p>
            <w:pPr>
              <w:ind w:left="800"/>
              <w:spacing w:after="0"/>
              <w:rPr>
                <w:sz w:val="20"/>
                <w:szCs w:val="20"/>
                <w:color w:val="auto"/>
              </w:rPr>
            </w:pPr>
            <w:r>
              <w:rPr>
                <w:rFonts w:ascii="Arial" w:cs="Arial" w:eastAsia="Arial" w:hAnsi="Arial"/>
                <w:sz w:val="10"/>
                <w:szCs w:val="10"/>
                <w:color w:val="auto"/>
              </w:rPr>
              <w:t>N/A</w:t>
            </w:r>
          </w:p>
        </w:tc>
        <w:tc>
          <w:tcPr>
            <w:tcW w:w="380" w:type="dxa"/>
            <w:vAlign w:val="bottom"/>
          </w:tcPr>
          <w:p>
            <w:pPr>
              <w:jc w:val="right"/>
              <w:ind w:right="92"/>
              <w:spacing w:after="0"/>
              <w:rPr>
                <w:sz w:val="20"/>
                <w:szCs w:val="20"/>
                <w:color w:val="auto"/>
              </w:rPr>
            </w:pPr>
            <w:r>
              <w:rPr>
                <w:rFonts w:ascii="Arial" w:cs="Arial" w:eastAsia="Arial" w:hAnsi="Arial"/>
                <w:sz w:val="10"/>
                <w:szCs w:val="10"/>
                <w:color w:val="auto"/>
              </w:rPr>
              <w:t>$</w:t>
            </w:r>
          </w:p>
        </w:tc>
        <w:tc>
          <w:tcPr>
            <w:tcW w:w="1300" w:type="dxa"/>
            <w:vAlign w:val="bottom"/>
          </w:tcPr>
          <w:p>
            <w:pPr>
              <w:jc w:val="right"/>
              <w:spacing w:after="0"/>
              <w:rPr>
                <w:sz w:val="20"/>
                <w:szCs w:val="20"/>
                <w:color w:val="auto"/>
              </w:rPr>
            </w:pPr>
            <w:r>
              <w:rPr>
                <w:rFonts w:ascii="Arial" w:cs="Arial" w:eastAsia="Arial" w:hAnsi="Arial"/>
                <w:sz w:val="10"/>
                <w:szCs w:val="10"/>
                <w:color w:val="auto"/>
              </w:rPr>
              <w:t>1,596,130</w:t>
            </w:r>
          </w:p>
        </w:tc>
        <w:tc>
          <w:tcPr>
            <w:tcW w:w="3140" w:type="dxa"/>
            <w:vAlign w:val="bottom"/>
          </w:tcPr>
          <w:p>
            <w:pPr>
              <w:ind w:left="140"/>
              <w:spacing w:after="0"/>
              <w:rPr>
                <w:sz w:val="20"/>
                <w:szCs w:val="20"/>
                <w:color w:val="auto"/>
              </w:rPr>
            </w:pPr>
            <w:r>
              <w:rPr>
                <w:rFonts w:ascii="Arial" w:cs="Arial" w:eastAsia="Arial" w:hAnsi="Arial"/>
                <w:sz w:val="10"/>
                <w:szCs w:val="10"/>
                <w:color w:val="auto"/>
              </w:rPr>
              <w:t>1 Johanna Boulevard, Bundaberg, QLD</w:t>
            </w:r>
          </w:p>
        </w:tc>
      </w:tr>
      <w:tr>
        <w:trPr>
          <w:trHeight w:val="59"/>
        </w:trPr>
        <w:tc>
          <w:tcPr>
            <w:tcW w:w="2100" w:type="dxa"/>
            <w:vAlign w:val="bottom"/>
            <w:gridSpan w:val="2"/>
          </w:tcPr>
          <w:p>
            <w:pPr>
              <w:spacing w:after="0"/>
              <w:rPr>
                <w:sz w:val="5"/>
                <w:szCs w:val="5"/>
                <w:color w:val="auto"/>
              </w:rPr>
            </w:pPr>
          </w:p>
        </w:tc>
        <w:tc>
          <w:tcPr>
            <w:tcW w:w="11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440" w:type="dxa"/>
            <w:vAlign w:val="bottom"/>
          </w:tcPr>
          <w:p>
            <w:pPr>
              <w:spacing w:after="0"/>
              <w:rPr>
                <w:sz w:val="5"/>
                <w:szCs w:val="5"/>
                <w:color w:val="auto"/>
              </w:rPr>
            </w:pPr>
          </w:p>
        </w:tc>
        <w:tc>
          <w:tcPr>
            <w:tcW w:w="380" w:type="dxa"/>
            <w:vAlign w:val="bottom"/>
          </w:tcPr>
          <w:p>
            <w:pPr>
              <w:spacing w:after="0"/>
              <w:rPr>
                <w:sz w:val="5"/>
                <w:szCs w:val="5"/>
                <w:color w:val="auto"/>
              </w:rPr>
            </w:pPr>
          </w:p>
        </w:tc>
        <w:tc>
          <w:tcPr>
            <w:tcW w:w="1300" w:type="dxa"/>
            <w:vAlign w:val="bottom"/>
          </w:tcPr>
          <w:p>
            <w:pPr>
              <w:spacing w:after="0"/>
              <w:rPr>
                <w:sz w:val="5"/>
                <w:szCs w:val="5"/>
                <w:color w:val="auto"/>
              </w:rPr>
            </w:pPr>
          </w:p>
        </w:tc>
        <w:tc>
          <w:tcPr>
            <w:tcW w:w="3140" w:type="dxa"/>
            <w:vAlign w:val="bottom"/>
          </w:tcPr>
          <w:p>
            <w:pPr>
              <w:spacing w:after="0"/>
              <w:rPr>
                <w:sz w:val="5"/>
                <w:szCs w:val="5"/>
                <w:color w:val="auto"/>
              </w:rPr>
            </w:pPr>
          </w:p>
        </w:tc>
      </w:tr>
      <w:tr>
        <w:trPr>
          <w:trHeight w:val="160"/>
        </w:trPr>
        <w:tc>
          <w:tcPr>
            <w:tcW w:w="21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0"/>
                <w:szCs w:val="10"/>
                <w:b w:val="1"/>
                <w:bCs w:val="1"/>
                <w:color w:val="auto"/>
              </w:rPr>
              <w:t>In New Zealand</w:t>
            </w:r>
          </w:p>
        </w:tc>
        <w:tc>
          <w:tcPr>
            <w:tcW w:w="1180" w:type="dxa"/>
            <w:vAlign w:val="bottom"/>
            <w:tcBorders>
              <w:bottom w:val="single" w:sz="8" w:color="CCEEFF"/>
            </w:tcBorders>
            <w:shd w:val="clear" w:color="auto" w:fill="CCEEFF"/>
          </w:tcPr>
          <w:p>
            <w:pPr>
              <w:spacing w:after="0"/>
              <w:rPr>
                <w:sz w:val="13"/>
                <w:szCs w:val="13"/>
                <w:color w:val="auto"/>
              </w:rPr>
            </w:pPr>
          </w:p>
        </w:tc>
        <w:tc>
          <w:tcPr>
            <w:tcW w:w="1080" w:type="dxa"/>
            <w:vAlign w:val="bottom"/>
            <w:tcBorders>
              <w:bottom w:val="single" w:sz="8" w:color="CCEEFF"/>
            </w:tcBorders>
            <w:shd w:val="clear" w:color="auto" w:fill="CCEEFF"/>
          </w:tcPr>
          <w:p>
            <w:pPr>
              <w:spacing w:after="0"/>
              <w:rPr>
                <w:sz w:val="13"/>
                <w:szCs w:val="13"/>
                <w:color w:val="auto"/>
              </w:rPr>
            </w:pPr>
          </w:p>
        </w:tc>
        <w:tc>
          <w:tcPr>
            <w:tcW w:w="144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CCEEFF"/>
            </w:tcBorders>
            <w:shd w:val="clear" w:color="auto" w:fill="CCEEFF"/>
          </w:tcPr>
          <w:p>
            <w:pPr>
              <w:spacing w:after="0"/>
              <w:rPr>
                <w:sz w:val="13"/>
                <w:szCs w:val="13"/>
                <w:color w:val="auto"/>
              </w:rPr>
            </w:pPr>
          </w:p>
        </w:tc>
        <w:tc>
          <w:tcPr>
            <w:tcW w:w="1300" w:type="dxa"/>
            <w:vAlign w:val="bottom"/>
            <w:tcBorders>
              <w:bottom w:val="single" w:sz="8" w:color="CCEEFF"/>
            </w:tcBorders>
            <w:shd w:val="clear" w:color="auto" w:fill="CCEEFF"/>
          </w:tcPr>
          <w:p>
            <w:pPr>
              <w:spacing w:after="0"/>
              <w:rPr>
                <w:sz w:val="13"/>
                <w:szCs w:val="13"/>
                <w:color w:val="auto"/>
              </w:rPr>
            </w:pPr>
          </w:p>
        </w:tc>
        <w:tc>
          <w:tcPr>
            <w:tcW w:w="3140" w:type="dxa"/>
            <w:vAlign w:val="bottom"/>
            <w:tcBorders>
              <w:bottom w:val="single" w:sz="8" w:color="CCEEFF"/>
            </w:tcBorders>
            <w:shd w:val="clear" w:color="auto" w:fill="CCEEFF"/>
          </w:tcPr>
          <w:p>
            <w:pPr>
              <w:spacing w:after="0"/>
              <w:rPr>
                <w:sz w:val="13"/>
                <w:szCs w:val="13"/>
                <w:color w:val="auto"/>
              </w:rPr>
            </w:pPr>
          </w:p>
        </w:tc>
      </w:tr>
      <w:tr>
        <w:trPr>
          <w:trHeight w:val="122"/>
        </w:trPr>
        <w:tc>
          <w:tcPr>
            <w:tcW w:w="200" w:type="dxa"/>
            <w:vAlign w:val="bottom"/>
          </w:tcPr>
          <w:p>
            <w:pPr>
              <w:jc w:val="right"/>
              <w:ind w:right="12"/>
              <w:spacing w:after="0"/>
              <w:rPr>
                <w:sz w:val="20"/>
                <w:szCs w:val="20"/>
                <w:color w:val="auto"/>
              </w:rPr>
            </w:pPr>
            <w:r>
              <w:rPr>
                <w:rFonts w:ascii="Arial" w:cs="Arial" w:eastAsia="Arial" w:hAnsi="Arial"/>
                <w:sz w:val="10"/>
                <w:szCs w:val="10"/>
                <w:color w:val="auto"/>
              </w:rPr>
              <w:t>1</w:t>
            </w:r>
          </w:p>
        </w:tc>
        <w:tc>
          <w:tcPr>
            <w:tcW w:w="1900" w:type="dxa"/>
            <w:vAlign w:val="bottom"/>
          </w:tcPr>
          <w:p>
            <w:pPr>
              <w:ind w:left="40"/>
              <w:spacing w:after="0"/>
              <w:rPr>
                <w:sz w:val="20"/>
                <w:szCs w:val="20"/>
                <w:color w:val="auto"/>
              </w:rPr>
            </w:pPr>
            <w:r>
              <w:rPr>
                <w:rFonts w:ascii="Arial" w:cs="Arial" w:eastAsia="Arial" w:hAnsi="Arial"/>
                <w:sz w:val="10"/>
                <w:szCs w:val="10"/>
                <w:color w:val="auto"/>
              </w:rPr>
              <w:t>Courtenay Central</w:t>
            </w:r>
          </w:p>
        </w:tc>
        <w:tc>
          <w:tcPr>
            <w:tcW w:w="1180" w:type="dxa"/>
            <w:vAlign w:val="bottom"/>
          </w:tcPr>
          <w:p>
            <w:pPr>
              <w:jc w:val="right"/>
              <w:spacing w:after="0"/>
              <w:rPr>
                <w:sz w:val="20"/>
                <w:szCs w:val="20"/>
                <w:color w:val="auto"/>
              </w:rPr>
            </w:pPr>
            <w:r>
              <w:rPr>
                <w:rFonts w:ascii="Arial" w:cs="Arial" w:eastAsia="Arial" w:hAnsi="Arial"/>
                <w:sz w:val="10"/>
                <w:szCs w:val="10"/>
                <w:color w:val="auto"/>
              </w:rPr>
              <w:t>34000</w:t>
            </w:r>
          </w:p>
        </w:tc>
        <w:tc>
          <w:tcPr>
            <w:tcW w:w="1080" w:type="dxa"/>
            <w:vAlign w:val="bottom"/>
          </w:tcPr>
          <w:p>
            <w:pPr>
              <w:ind w:left="20"/>
              <w:spacing w:after="0"/>
              <w:rPr>
                <w:sz w:val="20"/>
                <w:szCs w:val="20"/>
                <w:color w:val="auto"/>
              </w:rPr>
            </w:pPr>
            <w:r>
              <w:rPr>
                <w:rFonts w:ascii="Arial" w:cs="Arial" w:eastAsia="Arial" w:hAnsi="Arial"/>
                <w:sz w:val="10"/>
                <w:szCs w:val="10"/>
                <w:color w:val="auto"/>
              </w:rPr>
              <w:t>/ 76000</w:t>
            </w:r>
          </w:p>
        </w:tc>
        <w:tc>
          <w:tcPr>
            <w:tcW w:w="1440" w:type="dxa"/>
            <w:vAlign w:val="bottom"/>
          </w:tcPr>
          <w:p>
            <w:pPr>
              <w:jc w:val="center"/>
              <w:ind w:left="252"/>
              <w:spacing w:after="0"/>
              <w:rPr>
                <w:sz w:val="20"/>
                <w:szCs w:val="20"/>
                <w:color w:val="auto"/>
              </w:rPr>
            </w:pPr>
            <w:r>
              <w:rPr>
                <w:rFonts w:ascii="Arial" w:cs="Arial" w:eastAsia="Arial" w:hAnsi="Arial"/>
                <w:sz w:val="10"/>
                <w:szCs w:val="10"/>
                <w:color w:val="auto"/>
                <w:w w:val="89"/>
              </w:rPr>
              <w:t>70%</w:t>
            </w:r>
          </w:p>
        </w:tc>
        <w:tc>
          <w:tcPr>
            <w:tcW w:w="380" w:type="dxa"/>
            <w:vAlign w:val="bottom"/>
          </w:tcPr>
          <w:p>
            <w:pPr>
              <w:jc w:val="right"/>
              <w:ind w:right="92"/>
              <w:spacing w:after="0"/>
              <w:rPr>
                <w:sz w:val="20"/>
                <w:szCs w:val="20"/>
                <w:color w:val="auto"/>
              </w:rPr>
            </w:pPr>
            <w:r>
              <w:rPr>
                <w:rFonts w:ascii="Arial" w:cs="Arial" w:eastAsia="Arial" w:hAnsi="Arial"/>
                <w:sz w:val="10"/>
                <w:szCs w:val="10"/>
                <w:color w:val="auto"/>
              </w:rPr>
              <w:t>$</w:t>
            </w:r>
          </w:p>
        </w:tc>
        <w:tc>
          <w:tcPr>
            <w:tcW w:w="1300" w:type="dxa"/>
            <w:vAlign w:val="bottom"/>
          </w:tcPr>
          <w:p>
            <w:pPr>
              <w:jc w:val="right"/>
              <w:spacing w:after="0"/>
              <w:rPr>
                <w:sz w:val="20"/>
                <w:szCs w:val="20"/>
                <w:color w:val="auto"/>
              </w:rPr>
            </w:pPr>
            <w:r>
              <w:rPr>
                <w:rFonts w:ascii="Arial" w:cs="Arial" w:eastAsia="Arial" w:hAnsi="Arial"/>
                <w:sz w:val="10"/>
                <w:szCs w:val="10"/>
                <w:color w:val="auto"/>
              </w:rPr>
              <w:t>32,544,516</w:t>
            </w:r>
          </w:p>
        </w:tc>
        <w:tc>
          <w:tcPr>
            <w:tcW w:w="3140" w:type="dxa"/>
            <w:vAlign w:val="bottom"/>
          </w:tcPr>
          <w:p>
            <w:pPr>
              <w:ind w:left="140"/>
              <w:spacing w:after="0"/>
              <w:rPr>
                <w:sz w:val="20"/>
                <w:szCs w:val="20"/>
                <w:color w:val="auto"/>
              </w:rPr>
            </w:pPr>
            <w:r>
              <w:rPr>
                <w:rFonts w:ascii="Arial" w:cs="Arial" w:eastAsia="Arial" w:hAnsi="Arial"/>
                <w:sz w:val="10"/>
                <w:szCs w:val="10"/>
                <w:color w:val="auto"/>
              </w:rPr>
              <w:t>100 Courtenay Place, Wellington</w:t>
            </w:r>
          </w:p>
        </w:tc>
      </w:tr>
      <w:tr>
        <w:trPr>
          <w:trHeight w:val="59"/>
        </w:trPr>
        <w:tc>
          <w:tcPr>
            <w:tcW w:w="200" w:type="dxa"/>
            <w:vAlign w:val="bottom"/>
          </w:tcPr>
          <w:p>
            <w:pPr>
              <w:spacing w:after="0"/>
              <w:rPr>
                <w:sz w:val="5"/>
                <w:szCs w:val="5"/>
                <w:color w:val="auto"/>
              </w:rPr>
            </w:pPr>
          </w:p>
        </w:tc>
        <w:tc>
          <w:tcPr>
            <w:tcW w:w="1900" w:type="dxa"/>
            <w:vAlign w:val="bottom"/>
          </w:tcPr>
          <w:p>
            <w:pPr>
              <w:spacing w:after="0"/>
              <w:rPr>
                <w:sz w:val="5"/>
                <w:szCs w:val="5"/>
                <w:color w:val="auto"/>
              </w:rPr>
            </w:pPr>
          </w:p>
        </w:tc>
        <w:tc>
          <w:tcPr>
            <w:tcW w:w="2260" w:type="dxa"/>
            <w:vAlign w:val="bottom"/>
            <w:gridSpan w:val="2"/>
          </w:tcPr>
          <w:p>
            <w:pPr>
              <w:spacing w:after="0"/>
              <w:rPr>
                <w:sz w:val="5"/>
                <w:szCs w:val="5"/>
                <w:color w:val="auto"/>
              </w:rPr>
            </w:pPr>
          </w:p>
        </w:tc>
        <w:tc>
          <w:tcPr>
            <w:tcW w:w="1440" w:type="dxa"/>
            <w:vAlign w:val="bottom"/>
          </w:tcPr>
          <w:p>
            <w:pPr>
              <w:spacing w:after="0"/>
              <w:rPr>
                <w:sz w:val="5"/>
                <w:szCs w:val="5"/>
                <w:color w:val="auto"/>
              </w:rPr>
            </w:pPr>
          </w:p>
        </w:tc>
        <w:tc>
          <w:tcPr>
            <w:tcW w:w="380" w:type="dxa"/>
            <w:vAlign w:val="bottom"/>
          </w:tcPr>
          <w:p>
            <w:pPr>
              <w:spacing w:after="0"/>
              <w:rPr>
                <w:sz w:val="5"/>
                <w:szCs w:val="5"/>
                <w:color w:val="auto"/>
              </w:rPr>
            </w:pPr>
          </w:p>
        </w:tc>
        <w:tc>
          <w:tcPr>
            <w:tcW w:w="1300" w:type="dxa"/>
            <w:vAlign w:val="bottom"/>
          </w:tcPr>
          <w:p>
            <w:pPr>
              <w:spacing w:after="0"/>
              <w:rPr>
                <w:sz w:val="5"/>
                <w:szCs w:val="5"/>
                <w:color w:val="auto"/>
              </w:rPr>
            </w:pPr>
          </w:p>
        </w:tc>
        <w:tc>
          <w:tcPr>
            <w:tcW w:w="3140" w:type="dxa"/>
            <w:vAlign w:val="bottom"/>
          </w:tcPr>
          <w:p>
            <w:pPr>
              <w:spacing w:after="0"/>
              <w:rPr>
                <w:sz w:val="5"/>
                <w:szCs w:val="5"/>
                <w:color w:val="auto"/>
              </w:rPr>
            </w:pPr>
          </w:p>
        </w:tc>
      </w:tr>
      <w:tr>
        <w:trPr>
          <w:trHeight w:val="122"/>
        </w:trPr>
        <w:tc>
          <w:tcPr>
            <w:tcW w:w="200" w:type="dxa"/>
            <w:vAlign w:val="bottom"/>
            <w:shd w:val="clear" w:color="auto" w:fill="CCEEFF"/>
          </w:tcPr>
          <w:p>
            <w:pPr>
              <w:spacing w:after="0"/>
              <w:rPr>
                <w:sz w:val="10"/>
                <w:szCs w:val="10"/>
                <w:color w:val="auto"/>
              </w:rPr>
            </w:pPr>
          </w:p>
        </w:tc>
        <w:tc>
          <w:tcPr>
            <w:tcW w:w="1900" w:type="dxa"/>
            <w:vAlign w:val="bottom"/>
            <w:shd w:val="clear" w:color="auto" w:fill="CCEEFF"/>
          </w:tcPr>
          <w:p>
            <w:pPr>
              <w:spacing w:after="0"/>
              <w:rPr>
                <w:sz w:val="10"/>
                <w:szCs w:val="10"/>
                <w:color w:val="auto"/>
              </w:rPr>
            </w:pPr>
          </w:p>
        </w:tc>
        <w:tc>
          <w:tcPr>
            <w:tcW w:w="2260" w:type="dxa"/>
            <w:vAlign w:val="bottom"/>
            <w:gridSpan w:val="2"/>
            <w:shd w:val="clear" w:color="auto" w:fill="CCEEFF"/>
          </w:tcPr>
          <w:p>
            <w:pPr>
              <w:jc w:val="center"/>
              <w:ind w:left="112"/>
              <w:spacing w:after="0"/>
              <w:rPr>
                <w:sz w:val="20"/>
                <w:szCs w:val="20"/>
                <w:color w:val="auto"/>
              </w:rPr>
            </w:pPr>
            <w:r>
              <w:rPr>
                <w:rFonts w:ascii="Arial" w:cs="Arial" w:eastAsia="Arial" w:hAnsi="Arial"/>
                <w:sz w:val="10"/>
                <w:szCs w:val="10"/>
                <w:color w:val="auto"/>
                <w:w w:val="85"/>
              </w:rPr>
              <w:t>plus a 1,086-space parking structure</w:t>
            </w:r>
          </w:p>
        </w:tc>
        <w:tc>
          <w:tcPr>
            <w:tcW w:w="14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300" w:type="dxa"/>
            <w:vAlign w:val="bottom"/>
            <w:shd w:val="clear" w:color="auto" w:fill="CCEEFF"/>
          </w:tcPr>
          <w:p>
            <w:pPr>
              <w:spacing w:after="0"/>
              <w:rPr>
                <w:sz w:val="10"/>
                <w:szCs w:val="10"/>
                <w:color w:val="auto"/>
              </w:rPr>
            </w:pPr>
          </w:p>
        </w:tc>
        <w:tc>
          <w:tcPr>
            <w:tcW w:w="3140" w:type="dxa"/>
            <w:vAlign w:val="bottom"/>
            <w:shd w:val="clear" w:color="auto" w:fill="CCEEFF"/>
          </w:tcPr>
          <w:p>
            <w:pPr>
              <w:spacing w:after="0"/>
              <w:rPr>
                <w:sz w:val="10"/>
                <w:szCs w:val="10"/>
                <w:color w:val="auto"/>
              </w:rPr>
            </w:pPr>
          </w:p>
        </w:tc>
      </w:tr>
      <w:tr>
        <w:trPr>
          <w:trHeight w:val="185"/>
        </w:trPr>
        <w:tc>
          <w:tcPr>
            <w:tcW w:w="200" w:type="dxa"/>
            <w:vAlign w:val="bottom"/>
            <w:shd w:val="clear" w:color="auto" w:fill="CCEEFF"/>
          </w:tcPr>
          <w:p>
            <w:pPr>
              <w:spacing w:after="0"/>
              <w:rPr>
                <w:sz w:val="16"/>
                <w:szCs w:val="16"/>
                <w:color w:val="auto"/>
              </w:rPr>
            </w:pPr>
          </w:p>
        </w:tc>
        <w:tc>
          <w:tcPr>
            <w:tcW w:w="1900" w:type="dxa"/>
            <w:vAlign w:val="bottom"/>
            <w:shd w:val="clear" w:color="auto" w:fill="CCEEFF"/>
          </w:tcPr>
          <w:p>
            <w:pPr>
              <w:spacing w:after="0"/>
              <w:rPr>
                <w:sz w:val="16"/>
                <w:szCs w:val="16"/>
                <w:color w:val="auto"/>
              </w:rPr>
            </w:pPr>
          </w:p>
        </w:tc>
        <w:tc>
          <w:tcPr>
            <w:tcW w:w="2260" w:type="dxa"/>
            <w:vAlign w:val="bottom"/>
            <w:gridSpan w:val="2"/>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3140" w:type="dxa"/>
            <w:vAlign w:val="bottom"/>
            <w:shd w:val="clear" w:color="auto" w:fill="CCEEFF"/>
          </w:tcPr>
          <w:p>
            <w:pPr>
              <w:spacing w:after="0"/>
              <w:rPr>
                <w:sz w:val="16"/>
                <w:szCs w:val="16"/>
                <w:color w:val="auto"/>
              </w:rPr>
            </w:pPr>
          </w:p>
        </w:tc>
      </w:tr>
      <w:tr>
        <w:trPr>
          <w:trHeight w:val="122"/>
        </w:trPr>
        <w:tc>
          <w:tcPr>
            <w:tcW w:w="200" w:type="dxa"/>
            <w:vAlign w:val="bottom"/>
          </w:tcPr>
          <w:p>
            <w:pPr>
              <w:jc w:val="right"/>
              <w:ind w:right="12"/>
              <w:spacing w:after="0"/>
              <w:rPr>
                <w:sz w:val="20"/>
                <w:szCs w:val="20"/>
                <w:color w:val="auto"/>
              </w:rPr>
            </w:pPr>
            <w:r>
              <w:rPr>
                <w:rFonts w:ascii="Arial" w:cs="Arial" w:eastAsia="Arial" w:hAnsi="Arial"/>
                <w:sz w:val="10"/>
                <w:szCs w:val="10"/>
                <w:color w:val="auto"/>
              </w:rPr>
              <w:t>2</w:t>
            </w:r>
          </w:p>
        </w:tc>
        <w:tc>
          <w:tcPr>
            <w:tcW w:w="1900" w:type="dxa"/>
            <w:vAlign w:val="bottom"/>
          </w:tcPr>
          <w:p>
            <w:pPr>
              <w:ind w:left="40"/>
              <w:spacing w:after="0"/>
              <w:rPr>
                <w:sz w:val="20"/>
                <w:szCs w:val="20"/>
                <w:color w:val="auto"/>
              </w:rPr>
            </w:pPr>
            <w:r>
              <w:rPr>
                <w:rFonts w:ascii="Arial" w:cs="Arial" w:eastAsia="Arial" w:hAnsi="Arial"/>
                <w:sz w:val="10"/>
                <w:szCs w:val="10"/>
                <w:color w:val="auto"/>
              </w:rPr>
              <w:t>Dunedin Cinema</w:t>
            </w:r>
          </w:p>
        </w:tc>
        <w:tc>
          <w:tcPr>
            <w:tcW w:w="2260" w:type="dxa"/>
            <w:vAlign w:val="bottom"/>
            <w:gridSpan w:val="2"/>
          </w:tcPr>
          <w:p>
            <w:pPr>
              <w:jc w:val="center"/>
              <w:ind w:left="92"/>
              <w:spacing w:after="0"/>
              <w:rPr>
                <w:sz w:val="20"/>
                <w:szCs w:val="20"/>
                <w:color w:val="auto"/>
              </w:rPr>
            </w:pPr>
            <w:r>
              <w:rPr>
                <w:rFonts w:ascii="Arial" w:cs="Arial" w:eastAsia="Arial" w:hAnsi="Arial"/>
                <w:sz w:val="10"/>
                <w:szCs w:val="10"/>
                <w:color w:val="auto"/>
                <w:w w:val="86"/>
              </w:rPr>
              <w:t>0 / 25000</w:t>
            </w:r>
          </w:p>
        </w:tc>
        <w:tc>
          <w:tcPr>
            <w:tcW w:w="1440" w:type="dxa"/>
            <w:vAlign w:val="bottom"/>
          </w:tcPr>
          <w:p>
            <w:pPr>
              <w:ind w:left="800"/>
              <w:spacing w:after="0"/>
              <w:rPr>
                <w:sz w:val="20"/>
                <w:szCs w:val="20"/>
                <w:color w:val="auto"/>
              </w:rPr>
            </w:pPr>
            <w:r>
              <w:rPr>
                <w:rFonts w:ascii="Arial" w:cs="Arial" w:eastAsia="Arial" w:hAnsi="Arial"/>
                <w:sz w:val="10"/>
                <w:szCs w:val="10"/>
                <w:color w:val="auto"/>
              </w:rPr>
              <w:t>N/A</w:t>
            </w:r>
          </w:p>
        </w:tc>
        <w:tc>
          <w:tcPr>
            <w:tcW w:w="380" w:type="dxa"/>
            <w:vAlign w:val="bottom"/>
          </w:tcPr>
          <w:p>
            <w:pPr>
              <w:jc w:val="right"/>
              <w:ind w:right="92"/>
              <w:spacing w:after="0"/>
              <w:rPr>
                <w:sz w:val="20"/>
                <w:szCs w:val="20"/>
                <w:color w:val="auto"/>
              </w:rPr>
            </w:pPr>
            <w:r>
              <w:rPr>
                <w:rFonts w:ascii="Arial" w:cs="Arial" w:eastAsia="Arial" w:hAnsi="Arial"/>
                <w:sz w:val="10"/>
                <w:szCs w:val="10"/>
                <w:color w:val="auto"/>
              </w:rPr>
              <w:t>$</w:t>
            </w:r>
          </w:p>
        </w:tc>
        <w:tc>
          <w:tcPr>
            <w:tcW w:w="1300" w:type="dxa"/>
            <w:vAlign w:val="bottom"/>
          </w:tcPr>
          <w:p>
            <w:pPr>
              <w:jc w:val="right"/>
              <w:spacing w:after="0"/>
              <w:rPr>
                <w:sz w:val="20"/>
                <w:szCs w:val="20"/>
                <w:color w:val="auto"/>
              </w:rPr>
            </w:pPr>
            <w:r>
              <w:rPr>
                <w:rFonts w:ascii="Arial" w:cs="Arial" w:eastAsia="Arial" w:hAnsi="Arial"/>
                <w:sz w:val="10"/>
                <w:szCs w:val="10"/>
                <w:color w:val="auto"/>
              </w:rPr>
              <w:t>7,335,651</w:t>
            </w:r>
          </w:p>
        </w:tc>
        <w:tc>
          <w:tcPr>
            <w:tcW w:w="3140" w:type="dxa"/>
            <w:vAlign w:val="bottom"/>
          </w:tcPr>
          <w:p>
            <w:pPr>
              <w:ind w:left="140"/>
              <w:spacing w:after="0"/>
              <w:rPr>
                <w:sz w:val="20"/>
                <w:szCs w:val="20"/>
                <w:color w:val="auto"/>
              </w:rPr>
            </w:pPr>
            <w:r>
              <w:rPr>
                <w:rFonts w:ascii="Arial" w:cs="Arial" w:eastAsia="Arial" w:hAnsi="Arial"/>
                <w:sz w:val="10"/>
                <w:szCs w:val="10"/>
                <w:color w:val="auto"/>
              </w:rPr>
              <w:t>33 The Octagon, Dunedin</w:t>
            </w:r>
          </w:p>
        </w:tc>
      </w:tr>
      <w:tr>
        <w:trPr>
          <w:trHeight w:val="59"/>
        </w:trPr>
        <w:tc>
          <w:tcPr>
            <w:tcW w:w="200" w:type="dxa"/>
            <w:vAlign w:val="bottom"/>
          </w:tcPr>
          <w:p>
            <w:pPr>
              <w:spacing w:after="0"/>
              <w:rPr>
                <w:sz w:val="5"/>
                <w:szCs w:val="5"/>
                <w:color w:val="auto"/>
              </w:rPr>
            </w:pPr>
          </w:p>
        </w:tc>
        <w:tc>
          <w:tcPr>
            <w:tcW w:w="190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440" w:type="dxa"/>
            <w:vAlign w:val="bottom"/>
          </w:tcPr>
          <w:p>
            <w:pPr>
              <w:spacing w:after="0"/>
              <w:rPr>
                <w:sz w:val="5"/>
                <w:szCs w:val="5"/>
                <w:color w:val="auto"/>
              </w:rPr>
            </w:pPr>
          </w:p>
        </w:tc>
        <w:tc>
          <w:tcPr>
            <w:tcW w:w="380" w:type="dxa"/>
            <w:vAlign w:val="bottom"/>
          </w:tcPr>
          <w:p>
            <w:pPr>
              <w:spacing w:after="0"/>
              <w:rPr>
                <w:sz w:val="5"/>
                <w:szCs w:val="5"/>
                <w:color w:val="auto"/>
              </w:rPr>
            </w:pPr>
          </w:p>
        </w:tc>
        <w:tc>
          <w:tcPr>
            <w:tcW w:w="1300" w:type="dxa"/>
            <w:vAlign w:val="bottom"/>
          </w:tcPr>
          <w:p>
            <w:pPr>
              <w:spacing w:after="0"/>
              <w:rPr>
                <w:sz w:val="5"/>
                <w:szCs w:val="5"/>
                <w:color w:val="auto"/>
              </w:rPr>
            </w:pPr>
          </w:p>
        </w:tc>
        <w:tc>
          <w:tcPr>
            <w:tcW w:w="3140" w:type="dxa"/>
            <w:vAlign w:val="bottom"/>
          </w:tcPr>
          <w:p>
            <w:pPr>
              <w:spacing w:after="0"/>
              <w:rPr>
                <w:sz w:val="5"/>
                <w:szCs w:val="5"/>
                <w:color w:val="auto"/>
              </w:rPr>
            </w:pPr>
          </w:p>
        </w:tc>
      </w:tr>
      <w:tr>
        <w:trPr>
          <w:trHeight w:val="160"/>
        </w:trPr>
        <w:tc>
          <w:tcPr>
            <w:tcW w:w="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0"/>
                <w:szCs w:val="10"/>
                <w:color w:val="auto"/>
              </w:rPr>
              <w:t>3</w:t>
            </w:r>
          </w:p>
        </w:tc>
        <w:tc>
          <w:tcPr>
            <w:tcW w:w="1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0"/>
                <w:szCs w:val="10"/>
                <w:color w:val="auto"/>
              </w:rPr>
              <w:t>Napier Cinema</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12000</w:t>
            </w:r>
          </w:p>
        </w:tc>
        <w:tc>
          <w:tcPr>
            <w:tcW w:w="1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 18000</w:t>
            </w:r>
          </w:p>
        </w:tc>
        <w:tc>
          <w:tcPr>
            <w:tcW w:w="1440" w:type="dxa"/>
            <w:vAlign w:val="bottom"/>
            <w:tcBorders>
              <w:bottom w:val="single" w:sz="8" w:color="CCEEFF"/>
            </w:tcBorders>
            <w:shd w:val="clear" w:color="auto" w:fill="CCEEFF"/>
          </w:tcPr>
          <w:p>
            <w:pPr>
              <w:jc w:val="center"/>
              <w:ind w:left="252"/>
              <w:spacing w:after="0"/>
              <w:rPr>
                <w:sz w:val="20"/>
                <w:szCs w:val="20"/>
                <w:color w:val="auto"/>
              </w:rPr>
            </w:pPr>
            <w:r>
              <w:rPr>
                <w:rFonts w:ascii="Arial" w:cs="Arial" w:eastAsia="Arial" w:hAnsi="Arial"/>
                <w:sz w:val="10"/>
                <w:szCs w:val="10"/>
                <w:color w:val="auto"/>
                <w:w w:val="85"/>
              </w:rPr>
              <w:t>100%</w:t>
            </w:r>
          </w:p>
        </w:tc>
        <w:tc>
          <w:tcPr>
            <w:tcW w:w="3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0"/>
                <w:szCs w:val="10"/>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2,935,250</w:t>
            </w:r>
          </w:p>
        </w:tc>
        <w:tc>
          <w:tcPr>
            <w:tcW w:w="31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0"/>
                <w:szCs w:val="10"/>
                <w:color w:val="auto"/>
              </w:rPr>
              <w:t>154 Station Street, Napier</w:t>
            </w:r>
          </w:p>
        </w:tc>
      </w:tr>
      <w:tr>
        <w:trPr>
          <w:trHeight w:val="122"/>
        </w:trPr>
        <w:tc>
          <w:tcPr>
            <w:tcW w:w="200" w:type="dxa"/>
            <w:vAlign w:val="bottom"/>
          </w:tcPr>
          <w:p>
            <w:pPr>
              <w:jc w:val="right"/>
              <w:ind w:right="12"/>
              <w:spacing w:after="0"/>
              <w:rPr>
                <w:sz w:val="20"/>
                <w:szCs w:val="20"/>
                <w:color w:val="auto"/>
              </w:rPr>
            </w:pPr>
            <w:r>
              <w:rPr>
                <w:rFonts w:ascii="Arial" w:cs="Arial" w:eastAsia="Arial" w:hAnsi="Arial"/>
                <w:sz w:val="10"/>
                <w:szCs w:val="10"/>
                <w:color w:val="auto"/>
              </w:rPr>
              <w:t>4</w:t>
            </w:r>
          </w:p>
        </w:tc>
        <w:tc>
          <w:tcPr>
            <w:tcW w:w="1900" w:type="dxa"/>
            <w:vAlign w:val="bottom"/>
          </w:tcPr>
          <w:p>
            <w:pPr>
              <w:ind w:left="40"/>
              <w:spacing w:after="0"/>
              <w:rPr>
                <w:sz w:val="20"/>
                <w:szCs w:val="20"/>
                <w:color w:val="auto"/>
              </w:rPr>
            </w:pPr>
            <w:r>
              <w:rPr>
                <w:rFonts w:ascii="Arial" w:cs="Arial" w:eastAsia="Arial" w:hAnsi="Arial"/>
                <w:sz w:val="10"/>
                <w:szCs w:val="10"/>
                <w:color w:val="auto"/>
              </w:rPr>
              <w:t>Invercargill Cinema</w:t>
            </w:r>
          </w:p>
        </w:tc>
        <w:tc>
          <w:tcPr>
            <w:tcW w:w="2260" w:type="dxa"/>
            <w:vAlign w:val="bottom"/>
            <w:gridSpan w:val="2"/>
          </w:tcPr>
          <w:p>
            <w:pPr>
              <w:jc w:val="center"/>
              <w:ind w:left="112"/>
              <w:spacing w:after="0"/>
              <w:rPr>
                <w:sz w:val="20"/>
                <w:szCs w:val="20"/>
                <w:color w:val="auto"/>
              </w:rPr>
            </w:pPr>
            <w:r>
              <w:rPr>
                <w:rFonts w:ascii="Arial" w:cs="Arial" w:eastAsia="Arial" w:hAnsi="Arial"/>
                <w:sz w:val="10"/>
                <w:szCs w:val="10"/>
                <w:color w:val="auto"/>
                <w:w w:val="85"/>
              </w:rPr>
              <w:t>9000 / 24000</w:t>
            </w:r>
          </w:p>
        </w:tc>
        <w:tc>
          <w:tcPr>
            <w:tcW w:w="1440" w:type="dxa"/>
            <w:vAlign w:val="bottom"/>
          </w:tcPr>
          <w:p>
            <w:pPr>
              <w:jc w:val="center"/>
              <w:ind w:left="252"/>
              <w:spacing w:after="0"/>
              <w:rPr>
                <w:sz w:val="20"/>
                <w:szCs w:val="20"/>
                <w:color w:val="auto"/>
              </w:rPr>
            </w:pPr>
            <w:r>
              <w:rPr>
                <w:rFonts w:ascii="Arial" w:cs="Arial" w:eastAsia="Arial" w:hAnsi="Arial"/>
                <w:sz w:val="10"/>
                <w:szCs w:val="10"/>
                <w:color w:val="auto"/>
                <w:w w:val="89"/>
              </w:rPr>
              <w:t>69%</w:t>
            </w:r>
          </w:p>
        </w:tc>
        <w:tc>
          <w:tcPr>
            <w:tcW w:w="380" w:type="dxa"/>
            <w:vAlign w:val="bottom"/>
          </w:tcPr>
          <w:p>
            <w:pPr>
              <w:jc w:val="right"/>
              <w:ind w:right="92"/>
              <w:spacing w:after="0"/>
              <w:rPr>
                <w:sz w:val="20"/>
                <w:szCs w:val="20"/>
                <w:color w:val="auto"/>
              </w:rPr>
            </w:pPr>
            <w:r>
              <w:rPr>
                <w:rFonts w:ascii="Arial" w:cs="Arial" w:eastAsia="Arial" w:hAnsi="Arial"/>
                <w:sz w:val="10"/>
                <w:szCs w:val="10"/>
                <w:color w:val="auto"/>
              </w:rPr>
              <w:t>$</w:t>
            </w:r>
          </w:p>
        </w:tc>
        <w:tc>
          <w:tcPr>
            <w:tcW w:w="1300" w:type="dxa"/>
            <w:vAlign w:val="bottom"/>
          </w:tcPr>
          <w:p>
            <w:pPr>
              <w:jc w:val="right"/>
              <w:spacing w:after="0"/>
              <w:rPr>
                <w:sz w:val="20"/>
                <w:szCs w:val="20"/>
                <w:color w:val="auto"/>
              </w:rPr>
            </w:pPr>
            <w:r>
              <w:rPr>
                <w:rFonts w:ascii="Arial" w:cs="Arial" w:eastAsia="Arial" w:hAnsi="Arial"/>
                <w:sz w:val="10"/>
                <w:szCs w:val="10"/>
                <w:color w:val="auto"/>
              </w:rPr>
              <w:t>2,703,722</w:t>
            </w:r>
          </w:p>
        </w:tc>
        <w:tc>
          <w:tcPr>
            <w:tcW w:w="3140" w:type="dxa"/>
            <w:vAlign w:val="bottom"/>
          </w:tcPr>
          <w:p>
            <w:pPr>
              <w:ind w:left="140"/>
              <w:spacing w:after="0"/>
              <w:rPr>
                <w:sz w:val="20"/>
                <w:szCs w:val="20"/>
                <w:color w:val="auto"/>
              </w:rPr>
            </w:pPr>
            <w:r>
              <w:rPr>
                <w:rFonts w:ascii="Arial" w:cs="Arial" w:eastAsia="Arial" w:hAnsi="Arial"/>
                <w:sz w:val="10"/>
                <w:szCs w:val="10"/>
                <w:color w:val="auto"/>
              </w:rPr>
              <w:t>29 Dee Street, Invercargill</w:t>
            </w:r>
          </w:p>
        </w:tc>
      </w:tr>
      <w:tr>
        <w:trPr>
          <w:trHeight w:val="59"/>
        </w:trPr>
        <w:tc>
          <w:tcPr>
            <w:tcW w:w="200" w:type="dxa"/>
            <w:vAlign w:val="bottom"/>
          </w:tcPr>
          <w:p>
            <w:pPr>
              <w:spacing w:after="0"/>
              <w:rPr>
                <w:sz w:val="5"/>
                <w:szCs w:val="5"/>
                <w:color w:val="auto"/>
              </w:rPr>
            </w:pPr>
          </w:p>
        </w:tc>
        <w:tc>
          <w:tcPr>
            <w:tcW w:w="1900" w:type="dxa"/>
            <w:vAlign w:val="bottom"/>
          </w:tcPr>
          <w:p>
            <w:pPr>
              <w:spacing w:after="0"/>
              <w:rPr>
                <w:sz w:val="5"/>
                <w:szCs w:val="5"/>
                <w:color w:val="auto"/>
              </w:rPr>
            </w:pPr>
          </w:p>
        </w:tc>
        <w:tc>
          <w:tcPr>
            <w:tcW w:w="2260" w:type="dxa"/>
            <w:vAlign w:val="bottom"/>
            <w:gridSpan w:val="2"/>
          </w:tcPr>
          <w:p>
            <w:pPr>
              <w:spacing w:after="0"/>
              <w:rPr>
                <w:sz w:val="5"/>
                <w:szCs w:val="5"/>
                <w:color w:val="auto"/>
              </w:rPr>
            </w:pPr>
          </w:p>
        </w:tc>
        <w:tc>
          <w:tcPr>
            <w:tcW w:w="1440" w:type="dxa"/>
            <w:vAlign w:val="bottom"/>
          </w:tcPr>
          <w:p>
            <w:pPr>
              <w:spacing w:after="0"/>
              <w:rPr>
                <w:sz w:val="5"/>
                <w:szCs w:val="5"/>
                <w:color w:val="auto"/>
              </w:rPr>
            </w:pPr>
          </w:p>
        </w:tc>
        <w:tc>
          <w:tcPr>
            <w:tcW w:w="380" w:type="dxa"/>
            <w:vAlign w:val="bottom"/>
          </w:tcPr>
          <w:p>
            <w:pPr>
              <w:spacing w:after="0"/>
              <w:rPr>
                <w:sz w:val="5"/>
                <w:szCs w:val="5"/>
                <w:color w:val="auto"/>
              </w:rPr>
            </w:pPr>
          </w:p>
        </w:tc>
        <w:tc>
          <w:tcPr>
            <w:tcW w:w="1300" w:type="dxa"/>
            <w:vAlign w:val="bottom"/>
          </w:tcPr>
          <w:p>
            <w:pPr>
              <w:spacing w:after="0"/>
              <w:rPr>
                <w:sz w:val="5"/>
                <w:szCs w:val="5"/>
                <w:color w:val="auto"/>
              </w:rPr>
            </w:pPr>
          </w:p>
        </w:tc>
        <w:tc>
          <w:tcPr>
            <w:tcW w:w="3140" w:type="dxa"/>
            <w:vAlign w:val="bottom"/>
          </w:tcPr>
          <w:p>
            <w:pPr>
              <w:spacing w:after="0"/>
              <w:rPr>
                <w:sz w:val="5"/>
                <w:szCs w:val="5"/>
                <w:color w:val="auto"/>
              </w:rPr>
            </w:pPr>
          </w:p>
        </w:tc>
      </w:tr>
      <w:tr>
        <w:trPr>
          <w:trHeight w:val="122"/>
        </w:trPr>
        <w:tc>
          <w:tcPr>
            <w:tcW w:w="20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5</w:t>
            </w:r>
          </w:p>
        </w:tc>
        <w:tc>
          <w:tcPr>
            <w:tcW w:w="1900" w:type="dxa"/>
            <w:vAlign w:val="bottom"/>
            <w:shd w:val="clear" w:color="auto" w:fill="CCEEFF"/>
          </w:tcPr>
          <w:p>
            <w:pPr>
              <w:ind w:left="40"/>
              <w:spacing w:after="0"/>
              <w:rPr>
                <w:sz w:val="20"/>
                <w:szCs w:val="20"/>
                <w:color w:val="auto"/>
              </w:rPr>
            </w:pPr>
            <w:r>
              <w:rPr>
                <w:rFonts w:ascii="Arial" w:cs="Arial" w:eastAsia="Arial" w:hAnsi="Arial"/>
                <w:sz w:val="10"/>
                <w:szCs w:val="10"/>
                <w:color w:val="auto"/>
              </w:rPr>
              <w:t>Rotorua Cinema</w:t>
            </w:r>
          </w:p>
        </w:tc>
        <w:tc>
          <w:tcPr>
            <w:tcW w:w="2260" w:type="dxa"/>
            <w:vAlign w:val="bottom"/>
            <w:gridSpan w:val="2"/>
            <w:shd w:val="clear" w:color="auto" w:fill="CCEEFF"/>
          </w:tcPr>
          <w:p>
            <w:pPr>
              <w:jc w:val="center"/>
              <w:ind w:left="92"/>
              <w:spacing w:after="0"/>
              <w:rPr>
                <w:sz w:val="20"/>
                <w:szCs w:val="20"/>
                <w:color w:val="auto"/>
              </w:rPr>
            </w:pPr>
            <w:r>
              <w:rPr>
                <w:rFonts w:ascii="Arial" w:cs="Arial" w:eastAsia="Arial" w:hAnsi="Arial"/>
                <w:sz w:val="10"/>
                <w:szCs w:val="10"/>
                <w:color w:val="auto"/>
                <w:w w:val="86"/>
              </w:rPr>
              <w:t>0 / 19000</w:t>
            </w:r>
          </w:p>
        </w:tc>
        <w:tc>
          <w:tcPr>
            <w:tcW w:w="1440" w:type="dxa"/>
            <w:vAlign w:val="bottom"/>
            <w:shd w:val="clear" w:color="auto" w:fill="CCEEFF"/>
          </w:tcPr>
          <w:p>
            <w:pPr>
              <w:ind w:left="800"/>
              <w:spacing w:after="0"/>
              <w:rPr>
                <w:sz w:val="20"/>
                <w:szCs w:val="20"/>
                <w:color w:val="auto"/>
              </w:rPr>
            </w:pPr>
            <w:r>
              <w:rPr>
                <w:rFonts w:ascii="Arial" w:cs="Arial" w:eastAsia="Arial" w:hAnsi="Arial"/>
                <w:sz w:val="10"/>
                <w:szCs w:val="10"/>
                <w:color w:val="auto"/>
              </w:rPr>
              <w:t>N/A</w:t>
            </w:r>
          </w:p>
        </w:tc>
        <w:tc>
          <w:tcPr>
            <w:tcW w:w="38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2,519,445</w:t>
            </w:r>
          </w:p>
        </w:tc>
        <w:tc>
          <w:tcPr>
            <w:tcW w:w="3140" w:type="dxa"/>
            <w:vAlign w:val="bottom"/>
            <w:shd w:val="clear" w:color="auto" w:fill="CCEEFF"/>
          </w:tcPr>
          <w:p>
            <w:pPr>
              <w:ind w:left="140"/>
              <w:spacing w:after="0"/>
              <w:rPr>
                <w:sz w:val="20"/>
                <w:szCs w:val="20"/>
                <w:color w:val="auto"/>
              </w:rPr>
            </w:pPr>
            <w:r>
              <w:rPr>
                <w:rFonts w:ascii="Arial" w:cs="Arial" w:eastAsia="Arial" w:hAnsi="Arial"/>
                <w:sz w:val="10"/>
                <w:szCs w:val="10"/>
                <w:color w:val="auto"/>
              </w:rPr>
              <w:t>1281 Eruera Street, Rotorua</w:t>
            </w:r>
          </w:p>
        </w:tc>
      </w:tr>
      <w:tr>
        <w:trPr>
          <w:trHeight w:val="59"/>
        </w:trPr>
        <w:tc>
          <w:tcPr>
            <w:tcW w:w="200" w:type="dxa"/>
            <w:vAlign w:val="bottom"/>
            <w:shd w:val="clear" w:color="auto" w:fill="CCEEFF"/>
          </w:tcPr>
          <w:p>
            <w:pPr>
              <w:spacing w:after="0"/>
              <w:rPr>
                <w:sz w:val="5"/>
                <w:szCs w:val="5"/>
                <w:color w:val="auto"/>
              </w:rPr>
            </w:pPr>
          </w:p>
        </w:tc>
        <w:tc>
          <w:tcPr>
            <w:tcW w:w="1900" w:type="dxa"/>
            <w:vAlign w:val="bottom"/>
            <w:shd w:val="clear" w:color="auto" w:fill="CCEEFF"/>
          </w:tcPr>
          <w:p>
            <w:pPr>
              <w:spacing w:after="0"/>
              <w:rPr>
                <w:sz w:val="5"/>
                <w:szCs w:val="5"/>
                <w:color w:val="auto"/>
              </w:rPr>
            </w:pPr>
          </w:p>
        </w:tc>
        <w:tc>
          <w:tcPr>
            <w:tcW w:w="1180" w:type="dxa"/>
            <w:vAlign w:val="bottom"/>
            <w:shd w:val="clear" w:color="auto" w:fill="CCEEFF"/>
          </w:tcPr>
          <w:p>
            <w:pPr>
              <w:spacing w:after="0"/>
              <w:rPr>
                <w:sz w:val="5"/>
                <w:szCs w:val="5"/>
                <w:color w:val="auto"/>
              </w:rPr>
            </w:pPr>
          </w:p>
        </w:tc>
        <w:tc>
          <w:tcPr>
            <w:tcW w:w="1080" w:type="dxa"/>
            <w:vAlign w:val="bottom"/>
            <w:shd w:val="clear" w:color="auto" w:fill="CCEEFF"/>
          </w:tcPr>
          <w:p>
            <w:pPr>
              <w:spacing w:after="0"/>
              <w:rPr>
                <w:sz w:val="5"/>
                <w:szCs w:val="5"/>
                <w:color w:val="auto"/>
              </w:rPr>
            </w:pPr>
          </w:p>
        </w:tc>
        <w:tc>
          <w:tcPr>
            <w:tcW w:w="1440" w:type="dxa"/>
            <w:vAlign w:val="bottom"/>
            <w:shd w:val="clear" w:color="auto" w:fill="CCEEFF"/>
          </w:tcPr>
          <w:p>
            <w:pPr>
              <w:spacing w:after="0"/>
              <w:rPr>
                <w:sz w:val="5"/>
                <w:szCs w:val="5"/>
                <w:color w:val="auto"/>
              </w:rPr>
            </w:pPr>
          </w:p>
        </w:tc>
        <w:tc>
          <w:tcPr>
            <w:tcW w:w="380" w:type="dxa"/>
            <w:vAlign w:val="bottom"/>
            <w:shd w:val="clear" w:color="auto" w:fill="CCEEFF"/>
          </w:tcPr>
          <w:p>
            <w:pPr>
              <w:spacing w:after="0"/>
              <w:rPr>
                <w:sz w:val="5"/>
                <w:szCs w:val="5"/>
                <w:color w:val="auto"/>
              </w:rPr>
            </w:pPr>
          </w:p>
        </w:tc>
        <w:tc>
          <w:tcPr>
            <w:tcW w:w="1300" w:type="dxa"/>
            <w:vAlign w:val="bottom"/>
            <w:shd w:val="clear" w:color="auto" w:fill="CCEEFF"/>
          </w:tcPr>
          <w:p>
            <w:pPr>
              <w:spacing w:after="0"/>
              <w:rPr>
                <w:sz w:val="5"/>
                <w:szCs w:val="5"/>
                <w:color w:val="auto"/>
              </w:rPr>
            </w:pPr>
          </w:p>
        </w:tc>
        <w:tc>
          <w:tcPr>
            <w:tcW w:w="3140" w:type="dxa"/>
            <w:vAlign w:val="bottom"/>
            <w:shd w:val="clear" w:color="auto" w:fill="CCEEFF"/>
          </w:tcPr>
          <w:p>
            <w:pPr>
              <w:spacing w:after="0"/>
              <w:rPr>
                <w:sz w:val="5"/>
                <w:szCs w:val="5"/>
                <w:color w:val="auto"/>
              </w:rPr>
            </w:pPr>
          </w:p>
        </w:tc>
      </w:tr>
    </w:tbl>
    <w:p>
      <w:pPr>
        <w:spacing w:after="0" w:line="132" w:lineRule="exact"/>
        <w:rPr>
          <w:sz w:val="20"/>
          <w:szCs w:val="20"/>
          <w:color w:val="auto"/>
        </w:rPr>
      </w:pPr>
    </w:p>
    <w:p>
      <w:pPr>
        <w:ind w:left="120" w:right="120" w:hanging="116"/>
        <w:spacing w:after="0" w:line="215" w:lineRule="auto"/>
        <w:tabs>
          <w:tab w:leader="none" w:pos="92" w:val="left"/>
        </w:tabs>
        <w:numPr>
          <w:ilvl w:val="0"/>
          <w:numId w:val="14"/>
        </w:numPr>
        <w:rPr>
          <w:rFonts w:ascii="Arial" w:cs="Arial" w:eastAsia="Arial" w:hAnsi="Arial"/>
          <w:sz w:val="10"/>
          <w:szCs w:val="10"/>
          <w:color w:val="auto"/>
          <w:vertAlign w:val="superscript"/>
        </w:rPr>
      </w:pPr>
      <w:r>
        <w:rPr>
          <w:rFonts w:ascii="Arial" w:cs="Arial" w:eastAsia="Arial" w:hAnsi="Arial"/>
          <w:sz w:val="10"/>
          <w:szCs w:val="10"/>
          <w:color w:val="auto"/>
        </w:rPr>
        <w:t>Rental square footage refers to the amount of area available to be rented to third parties. A number of our real estate holdings include entertainment components rented to one or more of our subsidiaries at fair market rent. The rental area to such subsidiaries is noted under the entertainment square footage.</w:t>
      </w:r>
    </w:p>
    <w:p>
      <w:pPr>
        <w:ind w:left="80" w:hanging="76"/>
        <w:spacing w:after="0"/>
        <w:tabs>
          <w:tab w:leader="none" w:pos="80" w:val="left"/>
        </w:tabs>
        <w:numPr>
          <w:ilvl w:val="0"/>
          <w:numId w:val="14"/>
        </w:numPr>
        <w:rPr>
          <w:rFonts w:ascii="Arial" w:cs="Arial" w:eastAsia="Arial" w:hAnsi="Arial"/>
          <w:sz w:val="8"/>
          <w:szCs w:val="8"/>
          <w:color w:val="auto"/>
          <w:vertAlign w:val="superscript"/>
        </w:rPr>
      </w:pPr>
      <w:r>
        <w:rPr>
          <w:rFonts w:ascii="Arial" w:cs="Arial" w:eastAsia="Arial" w:hAnsi="Arial"/>
          <w:sz w:val="8"/>
          <w:szCs w:val="8"/>
          <w:color w:val="auto"/>
        </w:rPr>
        <w:t>Represents the percentage of rental square footage currently leased to third parties.</w:t>
      </w:r>
    </w:p>
    <w:p>
      <w:pPr>
        <w:spacing w:after="0" w:line="7" w:lineRule="exact"/>
        <w:rPr>
          <w:rFonts w:ascii="Arial" w:cs="Arial" w:eastAsia="Arial" w:hAnsi="Arial"/>
          <w:sz w:val="8"/>
          <w:szCs w:val="8"/>
          <w:color w:val="auto"/>
          <w:vertAlign w:val="superscript"/>
        </w:rPr>
      </w:pPr>
    </w:p>
    <w:p>
      <w:pPr>
        <w:ind w:left="80" w:hanging="76"/>
        <w:spacing w:after="0"/>
        <w:tabs>
          <w:tab w:leader="none" w:pos="80" w:val="left"/>
        </w:tabs>
        <w:numPr>
          <w:ilvl w:val="0"/>
          <w:numId w:val="14"/>
        </w:numPr>
        <w:rPr>
          <w:rFonts w:ascii="Arial" w:cs="Arial" w:eastAsia="Arial" w:hAnsi="Arial"/>
          <w:sz w:val="8"/>
          <w:szCs w:val="8"/>
          <w:color w:val="auto"/>
          <w:vertAlign w:val="superscript"/>
        </w:rPr>
      </w:pPr>
      <w:r>
        <w:rPr>
          <w:rFonts w:ascii="Arial" w:cs="Arial" w:eastAsia="Arial" w:hAnsi="Arial"/>
          <w:sz w:val="8"/>
          <w:szCs w:val="8"/>
          <w:color w:val="auto"/>
        </w:rPr>
        <w:t>Refers to the gross carrying cost of the land and buildings of the property.</w:t>
      </w:r>
    </w:p>
    <w:p>
      <w:pPr>
        <w:spacing w:after="0" w:line="7" w:lineRule="exact"/>
        <w:rPr>
          <w:rFonts w:ascii="Arial" w:cs="Arial" w:eastAsia="Arial" w:hAnsi="Arial"/>
          <w:sz w:val="8"/>
          <w:szCs w:val="8"/>
          <w:color w:val="auto"/>
          <w:vertAlign w:val="superscript"/>
        </w:rPr>
      </w:pPr>
    </w:p>
    <w:p>
      <w:pPr>
        <w:ind w:left="80" w:hanging="76"/>
        <w:spacing w:after="0"/>
        <w:tabs>
          <w:tab w:leader="none" w:pos="80" w:val="left"/>
        </w:tabs>
        <w:numPr>
          <w:ilvl w:val="0"/>
          <w:numId w:val="14"/>
        </w:numPr>
        <w:rPr>
          <w:rFonts w:ascii="Arial" w:cs="Arial" w:eastAsia="Arial" w:hAnsi="Arial"/>
          <w:sz w:val="8"/>
          <w:szCs w:val="8"/>
          <w:color w:val="auto"/>
          <w:vertAlign w:val="superscript"/>
        </w:rPr>
      </w:pPr>
      <w:r>
        <w:rPr>
          <w:rFonts w:ascii="Arial" w:cs="Arial" w:eastAsia="Arial" w:hAnsi="Arial"/>
          <w:sz w:val="8"/>
          <w:szCs w:val="8"/>
          <w:color w:val="auto"/>
        </w:rPr>
        <w:t>Owned by a limited liability company in which we hold a 75% managing member interest. The remaining 25% is owned by Sutton Hill Capital, LLC (“SHC”), a company owned in equal parts by the Cotter Estate or the Cotter Trust and a third party.</w:t>
      </w:r>
    </w:p>
    <w:p>
      <w:pPr>
        <w:spacing w:after="0" w:line="25" w:lineRule="exact"/>
        <w:rPr>
          <w:rFonts w:ascii="Arial" w:cs="Arial" w:eastAsia="Arial" w:hAnsi="Arial"/>
          <w:sz w:val="8"/>
          <w:szCs w:val="8"/>
          <w:color w:val="auto"/>
          <w:vertAlign w:val="superscript"/>
        </w:rPr>
      </w:pPr>
    </w:p>
    <w:p>
      <w:pPr>
        <w:ind w:left="80" w:hanging="76"/>
        <w:spacing w:after="0"/>
        <w:tabs>
          <w:tab w:leader="none" w:pos="80" w:val="left"/>
        </w:tabs>
        <w:numPr>
          <w:ilvl w:val="0"/>
          <w:numId w:val="14"/>
        </w:numPr>
        <w:rPr>
          <w:rFonts w:ascii="Arial" w:cs="Arial" w:eastAsia="Arial" w:hAnsi="Arial"/>
          <w:sz w:val="8"/>
          <w:szCs w:val="8"/>
          <w:color w:val="auto"/>
          <w:vertAlign w:val="superscript"/>
        </w:rPr>
      </w:pPr>
      <w:r>
        <w:rPr>
          <w:rFonts w:ascii="Arial" w:cs="Arial" w:eastAsia="Arial" w:hAnsi="Arial"/>
          <w:sz w:val="8"/>
          <w:szCs w:val="8"/>
          <w:color w:val="auto"/>
        </w:rPr>
        <w:t>For further information on the developments of these properties, refer to succeeding section "</w:t>
      </w:r>
      <w:r>
        <w:rPr>
          <w:rFonts w:ascii="Arial" w:cs="Arial" w:eastAsia="Arial" w:hAnsi="Arial"/>
          <w:sz w:val="8"/>
          <w:szCs w:val="8"/>
          <w:i w:val="1"/>
          <w:iCs w:val="1"/>
          <w:color w:val="auto"/>
        </w:rPr>
        <w:t>Investment and Development Property</w:t>
      </w:r>
      <w:r>
        <w:rPr>
          <w:rFonts w:ascii="Arial" w:cs="Arial" w:eastAsia="Arial" w:hAnsi="Arial"/>
          <w:sz w:val="8"/>
          <w:szCs w:val="8"/>
          <w:color w:val="auto"/>
        </w:rPr>
        <w:t>".</w:t>
      </w: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59690</wp:posOffset>
            </wp:positionV>
            <wp:extent cx="677989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779895" cy="42545"/>
                    </a:xfrm>
                    <a:prstGeom prst="rect">
                      <a:avLst/>
                    </a:prstGeom>
                    <a:noFill/>
                  </pic:spPr>
                </pic:pic>
              </a:graphicData>
            </a:graphic>
          </wp:anchor>
        </w:drawing>
      </w:r>
    </w:p>
    <w:p>
      <w:pPr>
        <w:sectPr>
          <w:pgSz w:w="11900" w:h="16838" w:orient="portrait"/>
          <w:cols w:equalWidth="0" w:num="1">
            <w:col w:w="10620"/>
          </w:cols>
          <w:pgMar w:left="640" w:top="271" w:right="639" w:bottom="1440" w:gutter="0" w:footer="0" w:header="0"/>
        </w:sectPr>
      </w:pPr>
    </w:p>
    <w:bookmarkStart w:id="22" w:name="page23"/>
    <w:bookmarkEnd w:id="22"/>
    <w:p>
      <w:pPr>
        <w:spacing w:after="0"/>
        <w:rPr>
          <w:sz w:val="20"/>
          <w:szCs w:val="20"/>
          <w:color w:val="auto"/>
        </w:rPr>
      </w:pPr>
      <w:r>
        <w:rPr>
          <w:rFonts w:ascii="Arial" w:cs="Arial" w:eastAsia="Arial" w:hAnsi="Arial"/>
          <w:sz w:val="12"/>
          <w:szCs w:val="12"/>
          <w:b w:val="1"/>
          <w:bCs w:val="1"/>
          <w:color w:val="auto"/>
        </w:rPr>
        <w:t>LONG-TERM LEASEHOLD OPERATING PROPERTY</w:t>
      </w:r>
    </w:p>
    <w:p>
      <w:pPr>
        <w:spacing w:after="0" w:line="127" w:lineRule="exact"/>
        <w:rPr>
          <w:sz w:val="20"/>
          <w:szCs w:val="20"/>
          <w:color w:val="auto"/>
        </w:rPr>
      </w:pPr>
    </w:p>
    <w:p>
      <w:pPr>
        <w:ind w:right="140"/>
        <w:spacing w:after="0" w:line="276" w:lineRule="auto"/>
        <w:rPr>
          <w:sz w:val="20"/>
          <w:szCs w:val="20"/>
          <w:color w:val="auto"/>
        </w:rPr>
      </w:pPr>
      <w:r>
        <w:rPr>
          <w:rFonts w:ascii="Arial" w:cs="Arial" w:eastAsia="Arial" w:hAnsi="Arial"/>
          <w:sz w:val="12"/>
          <w:szCs w:val="12"/>
          <w:color w:val="auto"/>
        </w:rPr>
        <w:t>In addition, in certain cases we have long-term leases that we view more akin to real estate investments than cinema leases. As of December 31, 2015, we had approximately 155,000 square foot of space subject to such long-term leases as follows: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60" w:type="dxa"/>
            <w:vAlign w:val="bottom"/>
          </w:tcPr>
          <w:p>
            <w:pPr>
              <w:spacing w:after="0"/>
              <w:rPr>
                <w:sz w:val="10"/>
                <w:szCs w:val="10"/>
                <w:color w:val="auto"/>
              </w:rPr>
            </w:pPr>
          </w:p>
        </w:tc>
        <w:tc>
          <w:tcPr>
            <w:tcW w:w="2720" w:type="dxa"/>
            <w:vAlign w:val="bottom"/>
          </w:tcPr>
          <w:p>
            <w:pPr>
              <w:spacing w:after="0"/>
              <w:rPr>
                <w:sz w:val="10"/>
                <w:szCs w:val="10"/>
                <w:color w:val="auto"/>
              </w:rPr>
            </w:pPr>
          </w:p>
        </w:tc>
        <w:tc>
          <w:tcPr>
            <w:tcW w:w="322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780" w:type="dxa"/>
            <w:vAlign w:val="bottom"/>
          </w:tcPr>
          <w:p>
            <w:pPr>
              <w:jc w:val="right"/>
              <w:ind w:right="652"/>
              <w:spacing w:after="0"/>
              <w:rPr>
                <w:sz w:val="20"/>
                <w:szCs w:val="20"/>
                <w:color w:val="auto"/>
              </w:rPr>
            </w:pPr>
            <w:r>
              <w:rPr>
                <w:rFonts w:ascii="Arial" w:cs="Arial" w:eastAsia="Arial" w:hAnsi="Arial"/>
                <w:sz w:val="10"/>
                <w:szCs w:val="10"/>
                <w:b w:val="1"/>
                <w:bCs w:val="1"/>
                <w:color w:val="auto"/>
              </w:rPr>
              <w:t>Gross Book Value</w:t>
            </w:r>
            <w:r>
              <w:rPr>
                <w:rFonts w:ascii="Arial" w:cs="Arial" w:eastAsia="Arial" w:hAnsi="Arial"/>
                <w:sz w:val="4"/>
                <w:szCs w:val="4"/>
                <w:b w:val="1"/>
                <w:bCs w:val="1"/>
                <w:color w:val="auto"/>
              </w:rPr>
              <w:t>(3)</w:t>
            </w:r>
          </w:p>
        </w:tc>
      </w:tr>
      <w:tr>
        <w:trPr>
          <w:trHeight w:val="114"/>
        </w:trPr>
        <w:tc>
          <w:tcPr>
            <w:tcW w:w="260" w:type="dxa"/>
            <w:vAlign w:val="bottom"/>
            <w:tcBorders>
              <w:bottom w:val="single" w:sz="8" w:color="auto"/>
            </w:tcBorders>
          </w:tcPr>
          <w:p>
            <w:pPr>
              <w:spacing w:after="0"/>
              <w:rPr>
                <w:sz w:val="9"/>
                <w:szCs w:val="9"/>
                <w:color w:val="auto"/>
              </w:rPr>
            </w:pPr>
          </w:p>
        </w:tc>
        <w:tc>
          <w:tcPr>
            <w:tcW w:w="2720" w:type="dxa"/>
            <w:vAlign w:val="bottom"/>
            <w:tcBorders>
              <w:bottom w:val="single" w:sz="8" w:color="auto"/>
            </w:tcBorders>
          </w:tcPr>
          <w:p>
            <w:pPr>
              <w:ind w:left="1040"/>
              <w:spacing w:after="0" w:line="114" w:lineRule="exact"/>
              <w:rPr>
                <w:sz w:val="20"/>
                <w:szCs w:val="20"/>
                <w:color w:val="auto"/>
              </w:rPr>
            </w:pPr>
            <w:r>
              <w:rPr>
                <w:rFonts w:ascii="Arial" w:cs="Arial" w:eastAsia="Arial" w:hAnsi="Arial"/>
                <w:sz w:val="10"/>
                <w:szCs w:val="10"/>
                <w:b w:val="1"/>
                <w:bCs w:val="1"/>
                <w:color w:val="auto"/>
              </w:rPr>
              <w:t>Property</w:t>
            </w:r>
          </w:p>
        </w:tc>
        <w:tc>
          <w:tcPr>
            <w:tcW w:w="3220" w:type="dxa"/>
            <w:vAlign w:val="bottom"/>
            <w:tcBorders>
              <w:bottom w:val="single" w:sz="8" w:color="auto"/>
            </w:tcBorders>
          </w:tcPr>
          <w:p>
            <w:pPr>
              <w:ind w:left="600"/>
              <w:spacing w:after="0" w:line="114" w:lineRule="exact"/>
              <w:rPr>
                <w:sz w:val="20"/>
                <w:szCs w:val="20"/>
                <w:color w:val="auto"/>
              </w:rPr>
            </w:pPr>
            <w:r>
              <w:rPr>
                <w:rFonts w:ascii="Arial" w:cs="Arial" w:eastAsia="Arial" w:hAnsi="Arial"/>
                <w:sz w:val="10"/>
                <w:szCs w:val="10"/>
                <w:b w:val="1"/>
                <w:bCs w:val="1"/>
                <w:color w:val="auto"/>
              </w:rPr>
              <w:t>Square Feet of Improvements (rental/entertainment)</w:t>
            </w:r>
            <w:r>
              <w:rPr>
                <w:rFonts w:ascii="Arial" w:cs="Arial" w:eastAsia="Arial" w:hAnsi="Arial"/>
                <w:sz w:val="4"/>
                <w:szCs w:val="4"/>
                <w:b w:val="1"/>
                <w:bCs w:val="1"/>
                <w:color w:val="auto"/>
              </w:rPr>
              <w:t>(1)</w:t>
            </w:r>
          </w:p>
        </w:tc>
        <w:tc>
          <w:tcPr>
            <w:tcW w:w="2020" w:type="dxa"/>
            <w:vAlign w:val="bottom"/>
            <w:tcBorders>
              <w:bottom w:val="single" w:sz="8" w:color="auto"/>
            </w:tcBorders>
          </w:tcPr>
          <w:p>
            <w:pPr>
              <w:ind w:left="720"/>
              <w:spacing w:after="0" w:line="114" w:lineRule="exact"/>
              <w:rPr>
                <w:sz w:val="20"/>
                <w:szCs w:val="20"/>
                <w:color w:val="auto"/>
              </w:rPr>
            </w:pPr>
            <w:r>
              <w:rPr>
                <w:rFonts w:ascii="Arial" w:cs="Arial" w:eastAsia="Arial" w:hAnsi="Arial"/>
                <w:sz w:val="10"/>
                <w:szCs w:val="10"/>
                <w:b w:val="1"/>
                <w:bCs w:val="1"/>
                <w:color w:val="auto"/>
              </w:rPr>
              <w:t>Percentage Leased</w:t>
            </w:r>
            <w:r>
              <w:rPr>
                <w:rFonts w:ascii="Arial" w:cs="Arial" w:eastAsia="Arial" w:hAnsi="Arial"/>
                <w:sz w:val="4"/>
                <w:szCs w:val="4"/>
                <w:b w:val="1"/>
                <w:bCs w:val="1"/>
                <w:color w:val="auto"/>
              </w:rPr>
              <w:t>(2)</w:t>
            </w:r>
          </w:p>
        </w:tc>
        <w:tc>
          <w:tcPr>
            <w:tcW w:w="620" w:type="dxa"/>
            <w:vAlign w:val="bottom"/>
            <w:tcBorders>
              <w:bottom w:val="single" w:sz="8" w:color="auto"/>
            </w:tcBorders>
          </w:tcPr>
          <w:p>
            <w:pPr>
              <w:spacing w:after="0"/>
              <w:rPr>
                <w:sz w:val="9"/>
                <w:szCs w:val="9"/>
                <w:color w:val="auto"/>
              </w:rPr>
            </w:pPr>
          </w:p>
        </w:tc>
        <w:tc>
          <w:tcPr>
            <w:tcW w:w="1780" w:type="dxa"/>
            <w:vAlign w:val="bottom"/>
            <w:tcBorders>
              <w:bottom w:val="single" w:sz="8" w:color="auto"/>
            </w:tcBorders>
          </w:tcPr>
          <w:p>
            <w:pPr>
              <w:jc w:val="right"/>
              <w:ind w:right="872"/>
              <w:spacing w:after="0" w:line="114" w:lineRule="exact"/>
              <w:rPr>
                <w:sz w:val="20"/>
                <w:szCs w:val="20"/>
                <w:color w:val="auto"/>
              </w:rPr>
            </w:pPr>
            <w:r>
              <w:rPr>
                <w:rFonts w:ascii="Arial" w:cs="Arial" w:eastAsia="Arial" w:hAnsi="Arial"/>
                <w:sz w:val="10"/>
                <w:szCs w:val="10"/>
                <w:b w:val="1"/>
                <w:bCs w:val="1"/>
                <w:color w:val="auto"/>
              </w:rPr>
              <w:t>(in USD)</w:t>
            </w:r>
          </w:p>
        </w:tc>
      </w:tr>
      <w:tr>
        <w:trPr>
          <w:trHeight w:val="169"/>
        </w:trPr>
        <w:tc>
          <w:tcPr>
            <w:tcW w:w="2980" w:type="dxa"/>
            <w:vAlign w:val="bottom"/>
            <w:gridSpan w:val="2"/>
            <w:shd w:val="clear" w:color="auto" w:fill="CCEEFF"/>
          </w:tcPr>
          <w:p>
            <w:pPr>
              <w:spacing w:after="0"/>
              <w:rPr>
                <w:sz w:val="20"/>
                <w:szCs w:val="20"/>
                <w:color w:val="auto"/>
              </w:rPr>
            </w:pPr>
            <w:r>
              <w:rPr>
                <w:rFonts w:ascii="Arial" w:cs="Arial" w:eastAsia="Arial" w:hAnsi="Arial"/>
                <w:sz w:val="10"/>
                <w:szCs w:val="10"/>
                <w:b w:val="1"/>
                <w:bCs w:val="1"/>
                <w:color w:val="auto"/>
              </w:rPr>
              <w:t>In United States</w:t>
            </w:r>
          </w:p>
        </w:tc>
        <w:tc>
          <w:tcPr>
            <w:tcW w:w="3220" w:type="dxa"/>
            <w:vAlign w:val="bottom"/>
            <w:shd w:val="clear" w:color="auto" w:fill="CCEEFF"/>
          </w:tcPr>
          <w:p>
            <w:pPr>
              <w:spacing w:after="0"/>
              <w:rPr>
                <w:sz w:val="14"/>
                <w:szCs w:val="14"/>
                <w:color w:val="auto"/>
              </w:rPr>
            </w:pPr>
          </w:p>
        </w:tc>
        <w:tc>
          <w:tcPr>
            <w:tcW w:w="20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780" w:type="dxa"/>
            <w:vAlign w:val="bottom"/>
            <w:shd w:val="clear" w:color="auto" w:fill="CCEEFF"/>
          </w:tcPr>
          <w:p>
            <w:pPr>
              <w:spacing w:after="0"/>
              <w:rPr>
                <w:sz w:val="14"/>
                <w:szCs w:val="14"/>
                <w:color w:val="auto"/>
              </w:rPr>
            </w:pPr>
          </w:p>
        </w:tc>
      </w:tr>
      <w:tr>
        <w:trPr>
          <w:trHeight w:val="122"/>
        </w:trPr>
        <w:tc>
          <w:tcPr>
            <w:tcW w:w="260" w:type="dxa"/>
            <w:vAlign w:val="bottom"/>
          </w:tcPr>
          <w:p>
            <w:pPr>
              <w:jc w:val="right"/>
              <w:ind w:right="32"/>
              <w:spacing w:after="0"/>
              <w:rPr>
                <w:sz w:val="20"/>
                <w:szCs w:val="20"/>
                <w:color w:val="auto"/>
              </w:rPr>
            </w:pPr>
            <w:r>
              <w:rPr>
                <w:rFonts w:ascii="Arial" w:cs="Arial" w:eastAsia="Arial" w:hAnsi="Arial"/>
                <w:sz w:val="10"/>
                <w:szCs w:val="10"/>
                <w:color w:val="auto"/>
              </w:rPr>
              <w:t>1</w:t>
            </w:r>
          </w:p>
        </w:tc>
        <w:tc>
          <w:tcPr>
            <w:tcW w:w="2720" w:type="dxa"/>
            <w:vAlign w:val="bottom"/>
          </w:tcPr>
          <w:p>
            <w:pPr>
              <w:ind w:left="80"/>
              <w:spacing w:after="0"/>
              <w:rPr>
                <w:sz w:val="20"/>
                <w:szCs w:val="20"/>
                <w:color w:val="auto"/>
              </w:rPr>
            </w:pPr>
            <w:r>
              <w:rPr>
                <w:rFonts w:ascii="Arial" w:cs="Arial" w:eastAsia="Arial" w:hAnsi="Arial"/>
                <w:sz w:val="10"/>
                <w:szCs w:val="10"/>
                <w:color w:val="auto"/>
              </w:rPr>
              <w:t>Village East</w:t>
            </w:r>
            <w:r>
              <w:rPr>
                <w:rFonts w:ascii="Arial" w:cs="Arial" w:eastAsia="Arial" w:hAnsi="Arial"/>
                <w:sz w:val="4"/>
                <w:szCs w:val="4"/>
                <w:color w:val="auto"/>
              </w:rPr>
              <w:t>(4)</w:t>
            </w:r>
          </w:p>
        </w:tc>
        <w:tc>
          <w:tcPr>
            <w:tcW w:w="3220" w:type="dxa"/>
            <w:vAlign w:val="bottom"/>
          </w:tcPr>
          <w:p>
            <w:pPr>
              <w:jc w:val="center"/>
              <w:ind w:left="172"/>
              <w:spacing w:after="0"/>
              <w:rPr>
                <w:sz w:val="20"/>
                <w:szCs w:val="20"/>
                <w:color w:val="auto"/>
              </w:rPr>
            </w:pPr>
            <w:r>
              <w:rPr>
                <w:rFonts w:ascii="Arial" w:cs="Arial" w:eastAsia="Arial" w:hAnsi="Arial"/>
                <w:sz w:val="10"/>
                <w:szCs w:val="10"/>
                <w:color w:val="auto"/>
                <w:w w:val="88"/>
              </w:rPr>
              <w:t>4000 / 38000</w:t>
            </w:r>
          </w:p>
        </w:tc>
        <w:tc>
          <w:tcPr>
            <w:tcW w:w="2020" w:type="dxa"/>
            <w:vAlign w:val="bottom"/>
          </w:tcPr>
          <w:p>
            <w:pPr>
              <w:jc w:val="center"/>
              <w:ind w:left="392"/>
              <w:spacing w:after="0"/>
              <w:rPr>
                <w:sz w:val="20"/>
                <w:szCs w:val="20"/>
                <w:color w:val="auto"/>
              </w:rPr>
            </w:pPr>
            <w:r>
              <w:rPr>
                <w:rFonts w:ascii="Arial" w:cs="Arial" w:eastAsia="Arial" w:hAnsi="Arial"/>
                <w:sz w:val="10"/>
                <w:szCs w:val="10"/>
                <w:color w:val="auto"/>
                <w:w w:val="85"/>
              </w:rPr>
              <w:t>100%</w:t>
            </w:r>
          </w:p>
        </w:tc>
        <w:tc>
          <w:tcPr>
            <w:tcW w:w="620" w:type="dxa"/>
            <w:vAlign w:val="bottom"/>
          </w:tcPr>
          <w:p>
            <w:pPr>
              <w:jc w:val="right"/>
              <w:ind w:right="232"/>
              <w:spacing w:after="0"/>
              <w:rPr>
                <w:sz w:val="20"/>
                <w:szCs w:val="20"/>
                <w:color w:val="auto"/>
              </w:rPr>
            </w:pPr>
            <w:r>
              <w:rPr>
                <w:rFonts w:ascii="Arial" w:cs="Arial" w:eastAsia="Arial" w:hAnsi="Arial"/>
                <w:sz w:val="10"/>
                <w:szCs w:val="10"/>
                <w:color w:val="auto"/>
              </w:rPr>
              <w:t>$</w:t>
            </w:r>
          </w:p>
        </w:tc>
        <w:tc>
          <w:tcPr>
            <w:tcW w:w="1780" w:type="dxa"/>
            <w:vAlign w:val="bottom"/>
          </w:tcPr>
          <w:p>
            <w:pPr>
              <w:jc w:val="right"/>
              <w:spacing w:after="0"/>
              <w:rPr>
                <w:sz w:val="20"/>
                <w:szCs w:val="20"/>
                <w:color w:val="auto"/>
              </w:rPr>
            </w:pPr>
            <w:r>
              <w:rPr>
                <w:rFonts w:ascii="Arial" w:cs="Arial" w:eastAsia="Arial" w:hAnsi="Arial"/>
                <w:sz w:val="10"/>
                <w:szCs w:val="10"/>
                <w:color w:val="auto"/>
              </w:rPr>
              <w:t>9,899,556</w:t>
            </w:r>
          </w:p>
        </w:tc>
      </w:tr>
      <w:tr>
        <w:trPr>
          <w:trHeight w:val="59"/>
        </w:trPr>
        <w:tc>
          <w:tcPr>
            <w:tcW w:w="260" w:type="dxa"/>
            <w:vAlign w:val="bottom"/>
          </w:tcPr>
          <w:p>
            <w:pPr>
              <w:spacing w:after="0"/>
              <w:rPr>
                <w:sz w:val="5"/>
                <w:szCs w:val="5"/>
                <w:color w:val="auto"/>
              </w:rPr>
            </w:pPr>
          </w:p>
        </w:tc>
        <w:tc>
          <w:tcPr>
            <w:tcW w:w="2720" w:type="dxa"/>
            <w:vAlign w:val="bottom"/>
          </w:tcPr>
          <w:p>
            <w:pPr>
              <w:spacing w:after="0"/>
              <w:rPr>
                <w:sz w:val="5"/>
                <w:szCs w:val="5"/>
                <w:color w:val="auto"/>
              </w:rPr>
            </w:pPr>
          </w:p>
        </w:tc>
        <w:tc>
          <w:tcPr>
            <w:tcW w:w="3220" w:type="dxa"/>
            <w:vAlign w:val="bottom"/>
          </w:tcPr>
          <w:p>
            <w:pPr>
              <w:spacing w:after="0"/>
              <w:rPr>
                <w:sz w:val="5"/>
                <w:szCs w:val="5"/>
                <w:color w:val="auto"/>
              </w:rPr>
            </w:pPr>
          </w:p>
        </w:tc>
        <w:tc>
          <w:tcPr>
            <w:tcW w:w="20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780" w:type="dxa"/>
            <w:vAlign w:val="bottom"/>
          </w:tcPr>
          <w:p>
            <w:pPr>
              <w:spacing w:after="0"/>
              <w:rPr>
                <w:sz w:val="5"/>
                <w:szCs w:val="5"/>
                <w:color w:val="auto"/>
              </w:rPr>
            </w:pPr>
          </w:p>
        </w:tc>
      </w:tr>
      <w:tr>
        <w:trPr>
          <w:trHeight w:val="160"/>
        </w:trPr>
        <w:tc>
          <w:tcPr>
            <w:tcW w:w="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0"/>
                <w:szCs w:val="10"/>
                <w:color w:val="auto"/>
              </w:rPr>
              <w:t>2</w:t>
            </w:r>
          </w:p>
        </w:tc>
        <w:tc>
          <w:tcPr>
            <w:tcW w:w="27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0"/>
                <w:szCs w:val="10"/>
                <w:color w:val="auto"/>
              </w:rPr>
              <w:t>Manville</w:t>
            </w:r>
          </w:p>
        </w:tc>
        <w:tc>
          <w:tcPr>
            <w:tcW w:w="3220" w:type="dxa"/>
            <w:vAlign w:val="bottom"/>
            <w:tcBorders>
              <w:bottom w:val="single" w:sz="8" w:color="CCEEFF"/>
            </w:tcBorders>
            <w:shd w:val="clear" w:color="auto" w:fill="CCEEFF"/>
          </w:tcPr>
          <w:p>
            <w:pPr>
              <w:jc w:val="center"/>
              <w:ind w:left="172"/>
              <w:spacing w:after="0"/>
              <w:rPr>
                <w:sz w:val="20"/>
                <w:szCs w:val="20"/>
                <w:color w:val="auto"/>
              </w:rPr>
            </w:pPr>
            <w:r>
              <w:rPr>
                <w:rFonts w:ascii="Arial" w:cs="Arial" w:eastAsia="Arial" w:hAnsi="Arial"/>
                <w:sz w:val="10"/>
                <w:szCs w:val="10"/>
                <w:color w:val="auto"/>
                <w:w w:val="86"/>
              </w:rPr>
              <w:t>0 / 53000</w:t>
            </w:r>
          </w:p>
        </w:tc>
        <w:tc>
          <w:tcPr>
            <w:tcW w:w="2020" w:type="dxa"/>
            <w:vAlign w:val="bottom"/>
            <w:tcBorders>
              <w:bottom w:val="single" w:sz="8" w:color="CCEEFF"/>
            </w:tcBorders>
            <w:shd w:val="clear" w:color="auto" w:fill="CCEEFF"/>
          </w:tcPr>
          <w:p>
            <w:pPr>
              <w:jc w:val="center"/>
              <w:ind w:left="372"/>
              <w:spacing w:after="0"/>
              <w:rPr>
                <w:sz w:val="20"/>
                <w:szCs w:val="20"/>
                <w:color w:val="auto"/>
              </w:rPr>
            </w:pPr>
            <w:r>
              <w:rPr>
                <w:rFonts w:ascii="Arial" w:cs="Arial" w:eastAsia="Arial" w:hAnsi="Arial"/>
                <w:sz w:val="10"/>
                <w:szCs w:val="10"/>
                <w:color w:val="auto"/>
                <w:w w:val="95"/>
              </w:rPr>
              <w:t>N/A</w:t>
            </w:r>
          </w:p>
        </w:tc>
        <w:tc>
          <w:tcPr>
            <w:tcW w:w="620" w:type="dxa"/>
            <w:vAlign w:val="bottom"/>
            <w:tcBorders>
              <w:bottom w:val="single" w:sz="8" w:color="CCEEFF"/>
            </w:tcBorders>
            <w:shd w:val="clear" w:color="auto" w:fill="CCEEFF"/>
          </w:tcPr>
          <w:p>
            <w:pPr>
              <w:jc w:val="right"/>
              <w:ind w:right="232"/>
              <w:spacing w:after="0"/>
              <w:rPr>
                <w:sz w:val="20"/>
                <w:szCs w:val="20"/>
                <w:color w:val="auto"/>
              </w:rPr>
            </w:pPr>
            <w:r>
              <w:rPr>
                <w:rFonts w:ascii="Arial" w:cs="Arial" w:eastAsia="Arial" w:hAnsi="Arial"/>
                <w:sz w:val="10"/>
                <w:szCs w:val="10"/>
                <w:color w:val="auto"/>
              </w:rPr>
              <w:t>$</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2,360,535</w:t>
            </w:r>
          </w:p>
        </w:tc>
      </w:tr>
      <w:tr>
        <w:trPr>
          <w:trHeight w:val="124"/>
        </w:trPr>
        <w:tc>
          <w:tcPr>
            <w:tcW w:w="2980" w:type="dxa"/>
            <w:vAlign w:val="bottom"/>
            <w:gridSpan w:val="2"/>
          </w:tcPr>
          <w:p>
            <w:pPr>
              <w:spacing w:after="0"/>
              <w:rPr>
                <w:sz w:val="20"/>
                <w:szCs w:val="20"/>
                <w:color w:val="auto"/>
              </w:rPr>
            </w:pPr>
            <w:r>
              <w:rPr>
                <w:rFonts w:ascii="Arial" w:cs="Arial" w:eastAsia="Arial" w:hAnsi="Arial"/>
                <w:sz w:val="10"/>
                <w:szCs w:val="10"/>
                <w:b w:val="1"/>
                <w:bCs w:val="1"/>
                <w:color w:val="auto"/>
              </w:rPr>
              <w:t>In Australia</w:t>
            </w:r>
          </w:p>
        </w:tc>
        <w:tc>
          <w:tcPr>
            <w:tcW w:w="322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780" w:type="dxa"/>
            <w:vAlign w:val="bottom"/>
          </w:tcPr>
          <w:p>
            <w:pPr>
              <w:spacing w:after="0"/>
              <w:rPr>
                <w:sz w:val="10"/>
                <w:szCs w:val="10"/>
                <w:color w:val="auto"/>
              </w:rPr>
            </w:pPr>
          </w:p>
        </w:tc>
      </w:tr>
      <w:tr>
        <w:trPr>
          <w:trHeight w:val="57"/>
        </w:trPr>
        <w:tc>
          <w:tcPr>
            <w:tcW w:w="260" w:type="dxa"/>
            <w:vAlign w:val="bottom"/>
          </w:tcPr>
          <w:p>
            <w:pPr>
              <w:spacing w:after="0"/>
              <w:rPr>
                <w:sz w:val="4"/>
                <w:szCs w:val="4"/>
                <w:color w:val="auto"/>
              </w:rPr>
            </w:pPr>
          </w:p>
        </w:tc>
        <w:tc>
          <w:tcPr>
            <w:tcW w:w="2720" w:type="dxa"/>
            <w:vAlign w:val="bottom"/>
          </w:tcPr>
          <w:p>
            <w:pPr>
              <w:spacing w:after="0"/>
              <w:rPr>
                <w:sz w:val="4"/>
                <w:szCs w:val="4"/>
                <w:color w:val="auto"/>
              </w:rPr>
            </w:pPr>
          </w:p>
        </w:tc>
        <w:tc>
          <w:tcPr>
            <w:tcW w:w="3220" w:type="dxa"/>
            <w:vAlign w:val="bottom"/>
          </w:tcPr>
          <w:p>
            <w:pPr>
              <w:spacing w:after="0"/>
              <w:rPr>
                <w:sz w:val="4"/>
                <w:szCs w:val="4"/>
                <w:color w:val="auto"/>
              </w:rPr>
            </w:pPr>
          </w:p>
        </w:tc>
        <w:tc>
          <w:tcPr>
            <w:tcW w:w="20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780" w:type="dxa"/>
            <w:vAlign w:val="bottom"/>
          </w:tcPr>
          <w:p>
            <w:pPr>
              <w:spacing w:after="0"/>
              <w:rPr>
                <w:sz w:val="4"/>
                <w:szCs w:val="4"/>
                <w:color w:val="auto"/>
              </w:rPr>
            </w:pPr>
          </w:p>
        </w:tc>
      </w:tr>
      <w:tr>
        <w:trPr>
          <w:trHeight w:val="122"/>
        </w:trPr>
        <w:tc>
          <w:tcPr>
            <w:tcW w:w="26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rPr>
              <w:t>1</w:t>
            </w:r>
          </w:p>
        </w:tc>
        <w:tc>
          <w:tcPr>
            <w:tcW w:w="2720" w:type="dxa"/>
            <w:vAlign w:val="bottom"/>
            <w:shd w:val="clear" w:color="auto" w:fill="CCEEFF"/>
          </w:tcPr>
          <w:p>
            <w:pPr>
              <w:ind w:left="80"/>
              <w:spacing w:after="0"/>
              <w:rPr>
                <w:sz w:val="20"/>
                <w:szCs w:val="20"/>
                <w:color w:val="auto"/>
              </w:rPr>
            </w:pPr>
            <w:r>
              <w:rPr>
                <w:rFonts w:ascii="Arial" w:cs="Arial" w:eastAsia="Arial" w:hAnsi="Arial"/>
                <w:sz w:val="10"/>
                <w:szCs w:val="10"/>
                <w:color w:val="auto"/>
              </w:rPr>
              <w:t>Waurn Ponds</w:t>
            </w:r>
          </w:p>
        </w:tc>
        <w:tc>
          <w:tcPr>
            <w:tcW w:w="3220" w:type="dxa"/>
            <w:vAlign w:val="bottom"/>
            <w:shd w:val="clear" w:color="auto" w:fill="CCEEFF"/>
          </w:tcPr>
          <w:p>
            <w:pPr>
              <w:jc w:val="center"/>
              <w:ind w:left="172"/>
              <w:spacing w:after="0"/>
              <w:rPr>
                <w:sz w:val="20"/>
                <w:szCs w:val="20"/>
                <w:color w:val="auto"/>
              </w:rPr>
            </w:pPr>
            <w:r>
              <w:rPr>
                <w:rFonts w:ascii="Arial" w:cs="Arial" w:eastAsia="Arial" w:hAnsi="Arial"/>
                <w:sz w:val="10"/>
                <w:szCs w:val="10"/>
                <w:color w:val="auto"/>
                <w:w w:val="88"/>
              </w:rPr>
              <w:t>6000 / 38000</w:t>
            </w:r>
          </w:p>
        </w:tc>
        <w:tc>
          <w:tcPr>
            <w:tcW w:w="2020" w:type="dxa"/>
            <w:vAlign w:val="bottom"/>
            <w:shd w:val="clear" w:color="auto" w:fill="CCEEFF"/>
          </w:tcPr>
          <w:p>
            <w:pPr>
              <w:jc w:val="center"/>
              <w:ind w:left="392"/>
              <w:spacing w:after="0"/>
              <w:rPr>
                <w:sz w:val="20"/>
                <w:szCs w:val="20"/>
                <w:color w:val="auto"/>
              </w:rPr>
            </w:pPr>
            <w:r>
              <w:rPr>
                <w:rFonts w:ascii="Arial" w:cs="Arial" w:eastAsia="Arial" w:hAnsi="Arial"/>
                <w:sz w:val="10"/>
                <w:szCs w:val="10"/>
                <w:color w:val="auto"/>
                <w:w w:val="85"/>
              </w:rPr>
              <w:t>100%</w:t>
            </w:r>
          </w:p>
        </w:tc>
        <w:tc>
          <w:tcPr>
            <w:tcW w:w="620" w:type="dxa"/>
            <w:vAlign w:val="bottom"/>
            <w:shd w:val="clear" w:color="auto" w:fill="CCEEFF"/>
          </w:tcPr>
          <w:p>
            <w:pPr>
              <w:jc w:val="right"/>
              <w:ind w:right="232"/>
              <w:spacing w:after="0"/>
              <w:rPr>
                <w:sz w:val="20"/>
                <w:szCs w:val="20"/>
                <w:color w:val="auto"/>
              </w:rPr>
            </w:pPr>
            <w:r>
              <w:rPr>
                <w:rFonts w:ascii="Arial" w:cs="Arial" w:eastAsia="Arial" w:hAnsi="Arial"/>
                <w:sz w:val="10"/>
                <w:szCs w:val="10"/>
                <w:color w:val="auto"/>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5,153,928</w:t>
            </w:r>
          </w:p>
        </w:tc>
      </w:tr>
      <w:tr>
        <w:trPr>
          <w:trHeight w:val="59"/>
        </w:trPr>
        <w:tc>
          <w:tcPr>
            <w:tcW w:w="260" w:type="dxa"/>
            <w:vAlign w:val="bottom"/>
            <w:shd w:val="clear" w:color="auto" w:fill="CCEEFF"/>
          </w:tcPr>
          <w:p>
            <w:pPr>
              <w:spacing w:after="0"/>
              <w:rPr>
                <w:sz w:val="5"/>
                <w:szCs w:val="5"/>
                <w:color w:val="auto"/>
              </w:rPr>
            </w:pPr>
          </w:p>
        </w:tc>
        <w:tc>
          <w:tcPr>
            <w:tcW w:w="2720" w:type="dxa"/>
            <w:vAlign w:val="bottom"/>
            <w:shd w:val="clear" w:color="auto" w:fill="CCEEFF"/>
          </w:tcPr>
          <w:p>
            <w:pPr>
              <w:spacing w:after="0"/>
              <w:rPr>
                <w:sz w:val="5"/>
                <w:szCs w:val="5"/>
                <w:color w:val="auto"/>
              </w:rPr>
            </w:pPr>
          </w:p>
        </w:tc>
        <w:tc>
          <w:tcPr>
            <w:tcW w:w="3220" w:type="dxa"/>
            <w:vAlign w:val="bottom"/>
            <w:shd w:val="clear" w:color="auto" w:fill="CCEEFF"/>
          </w:tcPr>
          <w:p>
            <w:pPr>
              <w:spacing w:after="0"/>
              <w:rPr>
                <w:sz w:val="5"/>
                <w:szCs w:val="5"/>
                <w:color w:val="auto"/>
              </w:rPr>
            </w:pPr>
          </w:p>
        </w:tc>
        <w:tc>
          <w:tcPr>
            <w:tcW w:w="2020" w:type="dxa"/>
            <w:vAlign w:val="bottom"/>
            <w:shd w:val="clear" w:color="auto" w:fill="CCEEFF"/>
          </w:tcPr>
          <w:p>
            <w:pPr>
              <w:spacing w:after="0"/>
              <w:rPr>
                <w:sz w:val="5"/>
                <w:szCs w:val="5"/>
                <w:color w:val="auto"/>
              </w:rPr>
            </w:pPr>
          </w:p>
        </w:tc>
        <w:tc>
          <w:tcPr>
            <w:tcW w:w="620" w:type="dxa"/>
            <w:vAlign w:val="bottom"/>
            <w:shd w:val="clear" w:color="auto" w:fill="CCEEFF"/>
          </w:tcPr>
          <w:p>
            <w:pPr>
              <w:spacing w:after="0"/>
              <w:rPr>
                <w:sz w:val="5"/>
                <w:szCs w:val="5"/>
                <w:color w:val="auto"/>
              </w:rPr>
            </w:pPr>
          </w:p>
        </w:tc>
        <w:tc>
          <w:tcPr>
            <w:tcW w:w="1780" w:type="dxa"/>
            <w:vAlign w:val="bottom"/>
            <w:shd w:val="clear" w:color="auto" w:fill="CCEEFF"/>
          </w:tcPr>
          <w:p>
            <w:pPr>
              <w:spacing w:after="0"/>
              <w:rPr>
                <w:sz w:val="5"/>
                <w:szCs w:val="5"/>
                <w:color w:val="auto"/>
              </w:rPr>
            </w:pPr>
          </w:p>
        </w:tc>
      </w:tr>
    </w:tbl>
    <w:p>
      <w:pPr>
        <w:spacing w:after="0" w:line="141" w:lineRule="exact"/>
        <w:rPr>
          <w:sz w:val="20"/>
          <w:szCs w:val="20"/>
          <w:color w:val="auto"/>
        </w:rPr>
      </w:pPr>
    </w:p>
    <w:p>
      <w:pPr>
        <w:ind w:left="120" w:right="120" w:hanging="116"/>
        <w:spacing w:after="0" w:line="215" w:lineRule="auto"/>
        <w:tabs>
          <w:tab w:leader="none" w:pos="92" w:val="left"/>
        </w:tabs>
        <w:numPr>
          <w:ilvl w:val="0"/>
          <w:numId w:val="15"/>
        </w:numPr>
        <w:rPr>
          <w:rFonts w:ascii="Arial" w:cs="Arial" w:eastAsia="Arial" w:hAnsi="Arial"/>
          <w:sz w:val="10"/>
          <w:szCs w:val="10"/>
          <w:color w:val="auto"/>
          <w:vertAlign w:val="superscript"/>
        </w:rPr>
      </w:pPr>
      <w:r>
        <w:rPr>
          <w:rFonts w:ascii="Arial" w:cs="Arial" w:eastAsia="Arial" w:hAnsi="Arial"/>
          <w:sz w:val="10"/>
          <w:szCs w:val="10"/>
          <w:color w:val="auto"/>
        </w:rPr>
        <w:t>Rental square footage refers to the amount of area available to be rented to third parties. A number of our real estate holdings include entertainment components rented to one or more of our subsidiaries at fair market rent. The rental area to such subsidiaries is noted under the entertainment square footage.</w:t>
      </w:r>
    </w:p>
    <w:p>
      <w:pPr>
        <w:ind w:left="80" w:hanging="76"/>
        <w:spacing w:after="0"/>
        <w:tabs>
          <w:tab w:leader="none" w:pos="80" w:val="left"/>
        </w:tabs>
        <w:numPr>
          <w:ilvl w:val="0"/>
          <w:numId w:val="15"/>
        </w:numPr>
        <w:rPr>
          <w:rFonts w:ascii="Arial" w:cs="Arial" w:eastAsia="Arial" w:hAnsi="Arial"/>
          <w:sz w:val="8"/>
          <w:szCs w:val="8"/>
          <w:color w:val="auto"/>
          <w:vertAlign w:val="superscript"/>
        </w:rPr>
      </w:pPr>
      <w:r>
        <w:rPr>
          <w:rFonts w:ascii="Arial" w:cs="Arial" w:eastAsia="Arial" w:hAnsi="Arial"/>
          <w:sz w:val="8"/>
          <w:szCs w:val="8"/>
          <w:color w:val="auto"/>
        </w:rPr>
        <w:t>Represents the percentage of rental square footage currently leased to third parties.</w:t>
      </w:r>
    </w:p>
    <w:p>
      <w:pPr>
        <w:spacing w:after="0" w:line="7" w:lineRule="exact"/>
        <w:rPr>
          <w:rFonts w:ascii="Arial" w:cs="Arial" w:eastAsia="Arial" w:hAnsi="Arial"/>
          <w:sz w:val="8"/>
          <w:szCs w:val="8"/>
          <w:color w:val="auto"/>
          <w:vertAlign w:val="superscript"/>
        </w:rPr>
      </w:pPr>
    </w:p>
    <w:p>
      <w:pPr>
        <w:ind w:left="80" w:hanging="76"/>
        <w:spacing w:after="0"/>
        <w:tabs>
          <w:tab w:leader="none" w:pos="80" w:val="left"/>
        </w:tabs>
        <w:numPr>
          <w:ilvl w:val="0"/>
          <w:numId w:val="15"/>
        </w:numPr>
        <w:rPr>
          <w:rFonts w:ascii="Arial" w:cs="Arial" w:eastAsia="Arial" w:hAnsi="Arial"/>
          <w:sz w:val="8"/>
          <w:szCs w:val="8"/>
          <w:color w:val="auto"/>
          <w:vertAlign w:val="superscript"/>
        </w:rPr>
      </w:pPr>
      <w:r>
        <w:rPr>
          <w:rFonts w:ascii="Arial" w:cs="Arial" w:eastAsia="Arial" w:hAnsi="Arial"/>
          <w:sz w:val="8"/>
          <w:szCs w:val="8"/>
          <w:color w:val="auto"/>
        </w:rPr>
        <w:t>Refers to the gross carrying cost of the land and buildings of the property.</w:t>
      </w:r>
    </w:p>
    <w:p>
      <w:pPr>
        <w:spacing w:after="0" w:line="7" w:lineRule="exact"/>
        <w:rPr>
          <w:rFonts w:ascii="Arial" w:cs="Arial" w:eastAsia="Arial" w:hAnsi="Arial"/>
          <w:sz w:val="8"/>
          <w:szCs w:val="8"/>
          <w:color w:val="auto"/>
          <w:vertAlign w:val="superscript"/>
        </w:rPr>
      </w:pPr>
    </w:p>
    <w:p>
      <w:pPr>
        <w:ind w:left="120" w:right="100" w:hanging="116"/>
        <w:spacing w:after="0" w:line="314" w:lineRule="auto"/>
        <w:tabs>
          <w:tab w:leader="none" w:pos="92" w:val="left"/>
        </w:tabs>
        <w:numPr>
          <w:ilvl w:val="0"/>
          <w:numId w:val="15"/>
        </w:numPr>
        <w:rPr>
          <w:rFonts w:ascii="Arial" w:cs="Arial" w:eastAsia="Arial" w:hAnsi="Arial"/>
          <w:sz w:val="8"/>
          <w:szCs w:val="8"/>
          <w:color w:val="auto"/>
          <w:vertAlign w:val="superscript"/>
        </w:rPr>
      </w:pPr>
      <w:r>
        <w:rPr>
          <w:rFonts w:ascii="Arial" w:cs="Arial" w:eastAsia="Arial" w:hAnsi="Arial"/>
          <w:sz w:val="8"/>
          <w:szCs w:val="8"/>
          <w:color w:val="auto"/>
        </w:rPr>
        <w:t xml:space="preserve">The lease of the Village East provides for a call option pursuant to which Reading may purchase the cinema ground lease for $5.9 million at the end of the lease term in 2020. Additionally, the lease has a put option pursuant to which SHC may require Reading to purchase all or a portion of SHC's interest in the existing cinema lease and the cinema ground lease at any time between July 1, 2013 and December 4, 2019. See Note 18 - </w:t>
      </w:r>
      <w:r>
        <w:rPr>
          <w:rFonts w:ascii="Arial" w:cs="Arial" w:eastAsia="Arial" w:hAnsi="Arial"/>
          <w:sz w:val="8"/>
          <w:szCs w:val="8"/>
          <w:i w:val="1"/>
          <w:iCs w:val="1"/>
          <w:color w:val="auto"/>
        </w:rPr>
        <w:t>Related Parties and Transactions</w:t>
      </w:r>
      <w:r>
        <w:rPr>
          <w:rFonts w:ascii="Arial" w:cs="Arial" w:eastAsia="Arial" w:hAnsi="Arial"/>
          <w:sz w:val="8"/>
          <w:szCs w:val="8"/>
          <w:color w:val="auto"/>
        </w:rPr>
        <w:t xml:space="preserve"> to our 2015 consolidated financial statements.</w:t>
      </w:r>
    </w:p>
    <w:p>
      <w:pPr>
        <w:spacing w:after="0" w:line="21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INVESTMENT AND DEVELOPMENT PROPERTY</w:t>
      </w:r>
    </w:p>
    <w:p>
      <w:pPr>
        <w:spacing w:after="0" w:line="127" w:lineRule="exact"/>
        <w:rPr>
          <w:sz w:val="20"/>
          <w:szCs w:val="20"/>
          <w:color w:val="auto"/>
        </w:rPr>
      </w:pPr>
    </w:p>
    <w:p>
      <w:pPr>
        <w:ind w:right="220"/>
        <w:spacing w:after="0" w:line="276" w:lineRule="auto"/>
        <w:rPr>
          <w:sz w:val="20"/>
          <w:szCs w:val="20"/>
          <w:color w:val="auto"/>
        </w:rPr>
      </w:pPr>
      <w:r>
        <w:rPr>
          <w:rFonts w:ascii="Arial" w:cs="Arial" w:eastAsia="Arial" w:hAnsi="Arial"/>
          <w:sz w:val="12"/>
          <w:szCs w:val="12"/>
          <w:color w:val="auto"/>
        </w:rPr>
        <w:t>We are engaged in several investment and development projects relative to our currently undeveloped parcels of land. In addition, we anticipate that redevelopment of one or more of our existing developed properties may also occur. The following table summarizes our investment and development projects as of December 31, 2015:</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0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0"/>
                <w:szCs w:val="10"/>
                <w:b w:val="1"/>
                <w:bCs w:val="1"/>
                <w:color w:val="auto"/>
                <w:w w:val="87"/>
              </w:rPr>
              <w:t>Gross Book Value</w:t>
            </w:r>
            <w:r>
              <w:rPr>
                <w:rFonts w:ascii="Arial" w:cs="Arial" w:eastAsia="Arial" w:hAnsi="Arial"/>
                <w:sz w:val="4"/>
                <w:szCs w:val="4"/>
                <w:b w:val="1"/>
                <w:bCs w:val="1"/>
                <w:color w:val="auto"/>
                <w:w w:val="87"/>
              </w:rPr>
              <w:t>(2)</w:t>
            </w:r>
          </w:p>
        </w:tc>
        <w:tc>
          <w:tcPr>
            <w:tcW w:w="4460" w:type="dxa"/>
            <w:vAlign w:val="bottom"/>
          </w:tcPr>
          <w:p>
            <w:pPr>
              <w:spacing w:after="0"/>
              <w:rPr>
                <w:sz w:val="10"/>
                <w:szCs w:val="10"/>
                <w:color w:val="auto"/>
              </w:rPr>
            </w:pPr>
          </w:p>
        </w:tc>
      </w:tr>
      <w:tr>
        <w:trPr>
          <w:trHeight w:val="114"/>
        </w:trPr>
        <w:tc>
          <w:tcPr>
            <w:tcW w:w="200" w:type="dxa"/>
            <w:vAlign w:val="bottom"/>
          </w:tcPr>
          <w:p>
            <w:pPr>
              <w:spacing w:after="0"/>
              <w:rPr>
                <w:sz w:val="9"/>
                <w:szCs w:val="9"/>
                <w:color w:val="auto"/>
              </w:rPr>
            </w:pPr>
          </w:p>
        </w:tc>
        <w:tc>
          <w:tcPr>
            <w:tcW w:w="1700" w:type="dxa"/>
            <w:vAlign w:val="bottom"/>
            <w:gridSpan w:val="2"/>
          </w:tcPr>
          <w:p>
            <w:pPr>
              <w:ind w:left="460"/>
              <w:spacing w:after="0" w:line="114" w:lineRule="exact"/>
              <w:rPr>
                <w:sz w:val="20"/>
                <w:szCs w:val="20"/>
                <w:color w:val="auto"/>
              </w:rPr>
            </w:pPr>
            <w:r>
              <w:rPr>
                <w:rFonts w:ascii="Arial" w:cs="Arial" w:eastAsia="Arial" w:hAnsi="Arial"/>
                <w:sz w:val="10"/>
                <w:szCs w:val="10"/>
                <w:b w:val="1"/>
                <w:bCs w:val="1"/>
                <w:color w:val="auto"/>
              </w:rPr>
              <w:t>Property</w:t>
            </w:r>
            <w:r>
              <w:rPr>
                <w:rFonts w:ascii="Arial" w:cs="Arial" w:eastAsia="Arial" w:hAnsi="Arial"/>
                <w:sz w:val="4"/>
                <w:szCs w:val="4"/>
                <w:b w:val="1"/>
                <w:bCs w:val="1"/>
                <w:color w:val="auto"/>
              </w:rPr>
              <w:t>(1)</w:t>
            </w:r>
          </w:p>
        </w:tc>
        <w:tc>
          <w:tcPr>
            <w:tcW w:w="2920" w:type="dxa"/>
            <w:vAlign w:val="bottom"/>
            <w:gridSpan w:val="2"/>
          </w:tcPr>
          <w:p>
            <w:pPr>
              <w:ind w:left="1220"/>
              <w:spacing w:after="0" w:line="114" w:lineRule="exact"/>
              <w:rPr>
                <w:sz w:val="20"/>
                <w:szCs w:val="20"/>
                <w:color w:val="auto"/>
              </w:rPr>
            </w:pPr>
            <w:r>
              <w:rPr>
                <w:rFonts w:ascii="Arial" w:cs="Arial" w:eastAsia="Arial" w:hAnsi="Arial"/>
                <w:sz w:val="10"/>
                <w:szCs w:val="10"/>
                <w:b w:val="1"/>
                <w:bCs w:val="1"/>
                <w:color w:val="auto"/>
              </w:rPr>
              <w:t>Acreage</w:t>
            </w:r>
          </w:p>
        </w:tc>
        <w:tc>
          <w:tcPr>
            <w:tcW w:w="160" w:type="dxa"/>
            <w:vAlign w:val="bottom"/>
          </w:tcPr>
          <w:p>
            <w:pPr>
              <w:spacing w:after="0"/>
              <w:rPr>
                <w:sz w:val="9"/>
                <w:szCs w:val="9"/>
                <w:color w:val="auto"/>
              </w:rPr>
            </w:pPr>
          </w:p>
        </w:tc>
        <w:tc>
          <w:tcPr>
            <w:tcW w:w="1180" w:type="dxa"/>
            <w:vAlign w:val="bottom"/>
            <w:gridSpan w:val="2"/>
          </w:tcPr>
          <w:p>
            <w:pPr>
              <w:jc w:val="center"/>
              <w:ind w:right="300"/>
              <w:spacing w:after="0" w:line="114" w:lineRule="exact"/>
              <w:rPr>
                <w:sz w:val="20"/>
                <w:szCs w:val="20"/>
                <w:color w:val="auto"/>
              </w:rPr>
            </w:pPr>
            <w:r>
              <w:rPr>
                <w:rFonts w:ascii="Arial" w:cs="Arial" w:eastAsia="Arial" w:hAnsi="Arial"/>
                <w:sz w:val="10"/>
                <w:szCs w:val="10"/>
                <w:b w:val="1"/>
                <w:bCs w:val="1"/>
                <w:color w:val="auto"/>
                <w:w w:val="91"/>
              </w:rPr>
              <w:t>(in USD)</w:t>
            </w:r>
          </w:p>
        </w:tc>
        <w:tc>
          <w:tcPr>
            <w:tcW w:w="4460" w:type="dxa"/>
            <w:vAlign w:val="bottom"/>
          </w:tcPr>
          <w:p>
            <w:pPr>
              <w:spacing w:after="0" w:line="114" w:lineRule="exact"/>
              <w:rPr>
                <w:sz w:val="20"/>
                <w:szCs w:val="20"/>
                <w:color w:val="auto"/>
              </w:rPr>
            </w:pPr>
            <w:r>
              <w:rPr>
                <w:rFonts w:ascii="Arial" w:cs="Arial" w:eastAsia="Arial" w:hAnsi="Arial"/>
                <w:sz w:val="10"/>
                <w:szCs w:val="10"/>
                <w:b w:val="1"/>
                <w:bCs w:val="1"/>
                <w:color w:val="auto"/>
              </w:rPr>
              <w:t>Status</w:t>
            </w:r>
          </w:p>
        </w:tc>
      </w:tr>
      <w:tr>
        <w:trPr>
          <w:trHeight w:val="149"/>
        </w:trPr>
        <w:tc>
          <w:tcPr>
            <w:tcW w:w="1740" w:type="dxa"/>
            <w:vAlign w:val="bottom"/>
            <w:tcBorders>
              <w:top w:val="single" w:sz="8" w:color="auto"/>
              <w:bottom w:val="single" w:sz="8" w:color="CCEEFF"/>
            </w:tcBorders>
            <w:gridSpan w:val="2"/>
            <w:shd w:val="clear" w:color="auto" w:fill="CCEEFF"/>
          </w:tcPr>
          <w:p>
            <w:pPr>
              <w:spacing w:after="0"/>
              <w:rPr>
                <w:sz w:val="20"/>
                <w:szCs w:val="20"/>
                <w:color w:val="auto"/>
              </w:rPr>
            </w:pPr>
            <w:r>
              <w:rPr>
                <w:rFonts w:ascii="Arial" w:cs="Arial" w:eastAsia="Arial" w:hAnsi="Arial"/>
                <w:sz w:val="10"/>
                <w:szCs w:val="10"/>
                <w:b w:val="1"/>
                <w:bCs w:val="1"/>
                <w:color w:val="auto"/>
              </w:rPr>
              <w:t>In United States</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2780" w:type="dxa"/>
            <w:vAlign w:val="bottom"/>
            <w:tcBorders>
              <w:top w:val="single" w:sz="8" w:color="auto"/>
              <w:bottom w:val="single" w:sz="8" w:color="CCEEFF"/>
            </w:tcBorders>
            <w:shd w:val="clear" w:color="auto" w:fill="CCEEFF"/>
          </w:tcPr>
          <w:p>
            <w:pPr>
              <w:spacing w:after="0"/>
              <w:rPr>
                <w:sz w:val="12"/>
                <w:szCs w:val="12"/>
                <w:color w:val="auto"/>
              </w:rPr>
            </w:pP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CCEEFF"/>
            </w:tcBorders>
            <w:shd w:val="clear" w:color="auto" w:fill="CCEEFF"/>
          </w:tcPr>
          <w:p>
            <w:pPr>
              <w:spacing w:after="0"/>
              <w:rPr>
                <w:sz w:val="12"/>
                <w:szCs w:val="12"/>
                <w:color w:val="auto"/>
              </w:rPr>
            </w:pPr>
          </w:p>
        </w:tc>
        <w:tc>
          <w:tcPr>
            <w:tcW w:w="1040" w:type="dxa"/>
            <w:vAlign w:val="bottom"/>
            <w:tcBorders>
              <w:top w:val="single" w:sz="8" w:color="auto"/>
              <w:bottom w:val="single" w:sz="8" w:color="CCEEFF"/>
            </w:tcBorders>
            <w:shd w:val="clear" w:color="auto" w:fill="CCEEFF"/>
          </w:tcPr>
          <w:p>
            <w:pPr>
              <w:spacing w:after="0"/>
              <w:rPr>
                <w:sz w:val="12"/>
                <w:szCs w:val="12"/>
                <w:color w:val="auto"/>
              </w:rPr>
            </w:pP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4460" w:type="dxa"/>
            <w:vAlign w:val="bottom"/>
            <w:tcBorders>
              <w:top w:val="single" w:sz="8" w:color="auto"/>
              <w:bottom w:val="single" w:sz="8" w:color="CCEEFF"/>
            </w:tcBorders>
            <w:shd w:val="clear" w:color="auto" w:fill="CCEEFF"/>
          </w:tcPr>
          <w:p>
            <w:pPr>
              <w:spacing w:after="0"/>
              <w:rPr>
                <w:sz w:val="12"/>
                <w:szCs w:val="12"/>
                <w:color w:val="auto"/>
              </w:rPr>
            </w:pPr>
          </w:p>
        </w:tc>
      </w:tr>
      <w:tr>
        <w:trPr>
          <w:trHeight w:val="87"/>
        </w:trPr>
        <w:tc>
          <w:tcPr>
            <w:tcW w:w="200" w:type="dxa"/>
            <w:vAlign w:val="bottom"/>
          </w:tcPr>
          <w:p>
            <w:pPr>
              <w:jc w:val="right"/>
              <w:ind w:right="12"/>
              <w:spacing w:after="0" w:line="87" w:lineRule="exact"/>
              <w:rPr>
                <w:sz w:val="20"/>
                <w:szCs w:val="20"/>
                <w:color w:val="auto"/>
              </w:rPr>
            </w:pPr>
            <w:r>
              <w:rPr>
                <w:rFonts w:ascii="Arial" w:cs="Arial" w:eastAsia="Arial" w:hAnsi="Arial"/>
                <w:sz w:val="10"/>
                <w:szCs w:val="10"/>
                <w:color w:val="auto"/>
              </w:rPr>
              <w:t>1</w:t>
            </w:r>
          </w:p>
        </w:tc>
        <w:tc>
          <w:tcPr>
            <w:tcW w:w="1700" w:type="dxa"/>
            <w:vAlign w:val="bottom"/>
            <w:gridSpan w:val="2"/>
          </w:tcPr>
          <w:p>
            <w:pPr>
              <w:ind w:left="40"/>
              <w:spacing w:after="0" w:line="87" w:lineRule="exact"/>
              <w:rPr>
                <w:sz w:val="20"/>
                <w:szCs w:val="20"/>
                <w:color w:val="auto"/>
              </w:rPr>
            </w:pPr>
            <w:r>
              <w:rPr>
                <w:rFonts w:ascii="Arial" w:cs="Arial" w:eastAsia="Arial" w:hAnsi="Arial"/>
                <w:sz w:val="10"/>
                <w:szCs w:val="10"/>
                <w:color w:val="auto"/>
              </w:rPr>
              <w:t>Union Square Theatre</w:t>
            </w:r>
          </w:p>
        </w:tc>
        <w:tc>
          <w:tcPr>
            <w:tcW w:w="2780" w:type="dxa"/>
            <w:vAlign w:val="bottom"/>
          </w:tcPr>
          <w:p>
            <w:pPr>
              <w:jc w:val="center"/>
              <w:spacing w:after="0" w:line="87" w:lineRule="exact"/>
              <w:rPr>
                <w:sz w:val="20"/>
                <w:szCs w:val="20"/>
                <w:color w:val="auto"/>
              </w:rPr>
            </w:pPr>
            <w:r>
              <w:rPr>
                <w:rFonts w:ascii="Arial" w:cs="Arial" w:eastAsia="Arial" w:hAnsi="Arial"/>
                <w:sz w:val="10"/>
                <w:szCs w:val="10"/>
                <w:color w:val="auto"/>
                <w:w w:val="81"/>
              </w:rPr>
              <w:t>0.27</w:t>
            </w:r>
          </w:p>
        </w:tc>
        <w:tc>
          <w:tcPr>
            <w:tcW w:w="140" w:type="dxa"/>
            <w:vAlign w:val="bottom"/>
          </w:tcPr>
          <w:p>
            <w:pPr>
              <w:spacing w:after="0"/>
              <w:rPr>
                <w:sz w:val="7"/>
                <w:szCs w:val="7"/>
                <w:color w:val="auto"/>
              </w:rPr>
            </w:pPr>
          </w:p>
        </w:tc>
        <w:tc>
          <w:tcPr>
            <w:tcW w:w="160" w:type="dxa"/>
            <w:vAlign w:val="bottom"/>
          </w:tcPr>
          <w:p>
            <w:pPr>
              <w:jc w:val="right"/>
              <w:ind w:right="12"/>
              <w:spacing w:after="0" w:line="87" w:lineRule="exact"/>
              <w:rPr>
                <w:sz w:val="20"/>
                <w:szCs w:val="20"/>
                <w:color w:val="auto"/>
              </w:rPr>
            </w:pPr>
            <w:r>
              <w:rPr>
                <w:rFonts w:ascii="Arial" w:cs="Arial" w:eastAsia="Arial" w:hAnsi="Arial"/>
                <w:sz w:val="10"/>
                <w:szCs w:val="10"/>
                <w:color w:val="auto"/>
              </w:rPr>
              <w:t>$</w:t>
            </w:r>
          </w:p>
        </w:tc>
        <w:tc>
          <w:tcPr>
            <w:tcW w:w="1040" w:type="dxa"/>
            <w:vAlign w:val="bottom"/>
          </w:tcPr>
          <w:p>
            <w:pPr>
              <w:jc w:val="right"/>
              <w:spacing w:after="0" w:line="87" w:lineRule="exact"/>
              <w:rPr>
                <w:sz w:val="20"/>
                <w:szCs w:val="20"/>
                <w:color w:val="auto"/>
              </w:rPr>
            </w:pPr>
            <w:r>
              <w:rPr>
                <w:rFonts w:ascii="Arial" w:cs="Arial" w:eastAsia="Arial" w:hAnsi="Arial"/>
                <w:sz w:val="10"/>
                <w:szCs w:val="10"/>
                <w:color w:val="auto"/>
              </w:rPr>
              <w:t>$11,818,622</w:t>
            </w:r>
          </w:p>
        </w:tc>
        <w:tc>
          <w:tcPr>
            <w:tcW w:w="140" w:type="dxa"/>
            <w:vAlign w:val="bottom"/>
          </w:tcPr>
          <w:p>
            <w:pPr>
              <w:spacing w:after="0"/>
              <w:rPr>
                <w:sz w:val="7"/>
                <w:szCs w:val="7"/>
                <w:color w:val="auto"/>
              </w:rPr>
            </w:pPr>
          </w:p>
        </w:tc>
        <w:tc>
          <w:tcPr>
            <w:tcW w:w="4460" w:type="dxa"/>
            <w:vAlign w:val="bottom"/>
          </w:tcPr>
          <w:p>
            <w:pPr>
              <w:spacing w:after="0" w:line="87" w:lineRule="exact"/>
              <w:rPr>
                <w:sz w:val="20"/>
                <w:szCs w:val="20"/>
                <w:color w:val="auto"/>
              </w:rPr>
            </w:pPr>
            <w:r>
              <w:rPr>
                <w:rFonts w:ascii="Arial" w:cs="Arial" w:eastAsia="Arial" w:hAnsi="Arial"/>
                <w:sz w:val="10"/>
                <w:szCs w:val="10"/>
                <w:color w:val="auto"/>
                <w:w w:val="88"/>
              </w:rPr>
              <w:t>We closed down the live theatre business and terminated other third party retail tenants in order to actively pursue</w:t>
            </w:r>
          </w:p>
        </w:tc>
      </w:tr>
      <w:tr>
        <w:trPr>
          <w:trHeight w:val="122"/>
        </w:trPr>
        <w:tc>
          <w:tcPr>
            <w:tcW w:w="20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60" w:type="dxa"/>
            <w:vAlign w:val="bottom"/>
          </w:tcPr>
          <w:p>
            <w:pPr>
              <w:spacing w:after="0"/>
              <w:rPr>
                <w:sz w:val="20"/>
                <w:szCs w:val="20"/>
                <w:color w:val="auto"/>
              </w:rPr>
            </w:pPr>
            <w:r>
              <w:rPr>
                <w:rFonts w:ascii="Arial" w:cs="Arial" w:eastAsia="Arial" w:hAnsi="Arial"/>
                <w:sz w:val="10"/>
                <w:szCs w:val="10"/>
                <w:color w:val="auto"/>
              </w:rPr>
              <w:t>the development of this property.</w:t>
            </w:r>
          </w:p>
        </w:tc>
      </w:tr>
      <w:tr>
        <w:trPr>
          <w:trHeight w:val="134"/>
        </w:trPr>
        <w:tc>
          <w:tcPr>
            <w:tcW w:w="20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60" w:type="dxa"/>
            <w:vAlign w:val="bottom"/>
          </w:tcPr>
          <w:p>
            <w:pPr>
              <w:spacing w:after="0"/>
              <w:rPr>
                <w:sz w:val="11"/>
                <w:szCs w:val="11"/>
                <w:color w:val="auto"/>
              </w:rPr>
            </w:pPr>
          </w:p>
        </w:tc>
      </w:tr>
      <w:tr>
        <w:trPr>
          <w:trHeight w:val="160"/>
        </w:trPr>
        <w:tc>
          <w:tcPr>
            <w:tcW w:w="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0"/>
                <w:szCs w:val="10"/>
                <w:color w:val="auto"/>
              </w:rPr>
              <w:t>2</w:t>
            </w:r>
          </w:p>
        </w:tc>
        <w:tc>
          <w:tcPr>
            <w:tcW w:w="1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0"/>
                <w:szCs w:val="10"/>
                <w:color w:val="auto"/>
              </w:rPr>
              <w:t>Coachella, CA</w:t>
            </w:r>
          </w:p>
        </w:tc>
        <w:tc>
          <w:tcPr>
            <w:tcW w:w="2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0"/>
                <w:szCs w:val="10"/>
                <w:color w:val="auto"/>
                <w:w w:val="84"/>
              </w:rPr>
              <w:t>202.00</w:t>
            </w:r>
          </w:p>
        </w:tc>
        <w:tc>
          <w:tcPr>
            <w:tcW w:w="14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0"/>
                <w:szCs w:val="10"/>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$5,510,000</w:t>
            </w:r>
          </w:p>
        </w:tc>
        <w:tc>
          <w:tcPr>
            <w:tcW w:w="140" w:type="dxa"/>
            <w:vAlign w:val="bottom"/>
            <w:tcBorders>
              <w:bottom w:val="single" w:sz="8" w:color="CCEEFF"/>
            </w:tcBorders>
            <w:shd w:val="clear" w:color="auto" w:fill="CCEEFF"/>
          </w:tcPr>
          <w:p>
            <w:pPr>
              <w:spacing w:after="0"/>
              <w:rPr>
                <w:sz w:val="13"/>
                <w:szCs w:val="13"/>
                <w:color w:val="auto"/>
              </w:rPr>
            </w:pPr>
          </w:p>
        </w:tc>
        <w:tc>
          <w:tcPr>
            <w:tcW w:w="4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0"/>
                <w:szCs w:val="10"/>
                <w:color w:val="auto"/>
              </w:rPr>
              <w:t>We continue to evaluate our options with regards to this property.</w:t>
            </w:r>
          </w:p>
        </w:tc>
      </w:tr>
      <w:tr>
        <w:trPr>
          <w:trHeight w:val="124"/>
        </w:trPr>
        <w:tc>
          <w:tcPr>
            <w:tcW w:w="1900" w:type="dxa"/>
            <w:vAlign w:val="bottom"/>
            <w:gridSpan w:val="3"/>
          </w:tcPr>
          <w:p>
            <w:pPr>
              <w:spacing w:after="0"/>
              <w:rPr>
                <w:sz w:val="20"/>
                <w:szCs w:val="20"/>
                <w:color w:val="auto"/>
              </w:rPr>
            </w:pPr>
            <w:r>
              <w:rPr>
                <w:rFonts w:ascii="Arial" w:cs="Arial" w:eastAsia="Arial" w:hAnsi="Arial"/>
                <w:sz w:val="10"/>
                <w:szCs w:val="10"/>
                <w:b w:val="1"/>
                <w:bCs w:val="1"/>
                <w:color w:val="auto"/>
              </w:rPr>
              <w:t>In Australia</w:t>
            </w:r>
          </w:p>
        </w:tc>
        <w:tc>
          <w:tcPr>
            <w:tcW w:w="2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60" w:type="dxa"/>
            <w:vAlign w:val="bottom"/>
          </w:tcPr>
          <w:p>
            <w:pPr>
              <w:spacing w:after="0"/>
              <w:rPr>
                <w:sz w:val="10"/>
                <w:szCs w:val="10"/>
                <w:color w:val="auto"/>
              </w:rPr>
            </w:pPr>
          </w:p>
        </w:tc>
      </w:tr>
      <w:tr>
        <w:trPr>
          <w:trHeight w:val="57"/>
        </w:trPr>
        <w:tc>
          <w:tcPr>
            <w:tcW w:w="200" w:type="dxa"/>
            <w:vAlign w:val="bottom"/>
          </w:tcPr>
          <w:p>
            <w:pPr>
              <w:spacing w:after="0"/>
              <w:rPr>
                <w:sz w:val="4"/>
                <w:szCs w:val="4"/>
                <w:color w:val="auto"/>
              </w:rPr>
            </w:pPr>
          </w:p>
        </w:tc>
        <w:tc>
          <w:tcPr>
            <w:tcW w:w="15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7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60" w:type="dxa"/>
            <w:vAlign w:val="bottom"/>
          </w:tcPr>
          <w:p>
            <w:pPr>
              <w:spacing w:after="0"/>
              <w:rPr>
                <w:sz w:val="4"/>
                <w:szCs w:val="4"/>
                <w:color w:val="auto"/>
              </w:rPr>
            </w:pPr>
          </w:p>
        </w:tc>
      </w:tr>
      <w:tr>
        <w:trPr>
          <w:trHeight w:val="122"/>
        </w:trPr>
        <w:tc>
          <w:tcPr>
            <w:tcW w:w="20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1</w:t>
            </w:r>
          </w:p>
        </w:tc>
        <w:tc>
          <w:tcPr>
            <w:tcW w:w="1700" w:type="dxa"/>
            <w:vAlign w:val="bottom"/>
            <w:gridSpan w:val="2"/>
            <w:shd w:val="clear" w:color="auto" w:fill="CCEEFF"/>
          </w:tcPr>
          <w:p>
            <w:pPr>
              <w:ind w:left="40"/>
              <w:spacing w:after="0"/>
              <w:rPr>
                <w:sz w:val="20"/>
                <w:szCs w:val="20"/>
                <w:color w:val="auto"/>
              </w:rPr>
            </w:pPr>
            <w:r>
              <w:rPr>
                <w:rFonts w:ascii="Arial" w:cs="Arial" w:eastAsia="Arial" w:hAnsi="Arial"/>
                <w:sz w:val="10"/>
                <w:szCs w:val="10"/>
                <w:color w:val="auto"/>
              </w:rPr>
              <w:t>Burwood, VIC</w:t>
            </w:r>
          </w:p>
        </w:tc>
        <w:tc>
          <w:tcPr>
            <w:tcW w:w="278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7"/>
              </w:rPr>
              <w:t>50.60</w:t>
            </w: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$37,966,107</w:t>
            </w:r>
          </w:p>
        </w:tc>
        <w:tc>
          <w:tcPr>
            <w:tcW w:w="140" w:type="dxa"/>
            <w:vAlign w:val="bottom"/>
            <w:shd w:val="clear" w:color="auto" w:fill="CCEEFF"/>
          </w:tcPr>
          <w:p>
            <w:pPr>
              <w:spacing w:after="0"/>
              <w:rPr>
                <w:sz w:val="10"/>
                <w:szCs w:val="10"/>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0"/>
                <w:szCs w:val="10"/>
                <w:color w:val="auto"/>
              </w:rPr>
              <w:t>Property was contracted to sell in 2014. Currently classified as an Asset Held for Sale.</w:t>
            </w:r>
          </w:p>
        </w:tc>
      </w:tr>
      <w:tr>
        <w:trPr>
          <w:trHeight w:val="185"/>
        </w:trPr>
        <w:tc>
          <w:tcPr>
            <w:tcW w:w="20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460" w:type="dxa"/>
            <w:vAlign w:val="bottom"/>
            <w:shd w:val="clear" w:color="auto" w:fill="CCEEFF"/>
          </w:tcPr>
          <w:p>
            <w:pPr>
              <w:spacing w:after="0"/>
              <w:rPr>
                <w:sz w:val="16"/>
                <w:szCs w:val="16"/>
                <w:color w:val="auto"/>
              </w:rPr>
            </w:pPr>
          </w:p>
        </w:tc>
      </w:tr>
      <w:tr>
        <w:trPr>
          <w:trHeight w:val="87"/>
        </w:trPr>
        <w:tc>
          <w:tcPr>
            <w:tcW w:w="200" w:type="dxa"/>
            <w:vAlign w:val="bottom"/>
          </w:tcPr>
          <w:p>
            <w:pPr>
              <w:jc w:val="right"/>
              <w:ind w:right="12"/>
              <w:spacing w:after="0" w:line="87" w:lineRule="exact"/>
              <w:rPr>
                <w:sz w:val="20"/>
                <w:szCs w:val="20"/>
                <w:color w:val="auto"/>
              </w:rPr>
            </w:pPr>
            <w:r>
              <w:rPr>
                <w:rFonts w:ascii="Arial" w:cs="Arial" w:eastAsia="Arial" w:hAnsi="Arial"/>
                <w:sz w:val="10"/>
                <w:szCs w:val="10"/>
                <w:color w:val="auto"/>
              </w:rPr>
              <w:t>2</w:t>
            </w:r>
          </w:p>
        </w:tc>
        <w:tc>
          <w:tcPr>
            <w:tcW w:w="1700" w:type="dxa"/>
            <w:vAlign w:val="bottom"/>
            <w:gridSpan w:val="2"/>
          </w:tcPr>
          <w:p>
            <w:pPr>
              <w:ind w:left="40"/>
              <w:spacing w:after="0" w:line="87" w:lineRule="exact"/>
              <w:rPr>
                <w:sz w:val="20"/>
                <w:szCs w:val="20"/>
                <w:color w:val="auto"/>
              </w:rPr>
            </w:pPr>
            <w:r>
              <w:rPr>
                <w:rFonts w:ascii="Arial" w:cs="Arial" w:eastAsia="Arial" w:hAnsi="Arial"/>
                <w:sz w:val="10"/>
                <w:szCs w:val="10"/>
                <w:color w:val="auto"/>
              </w:rPr>
              <w:t>Newmarket, QLD</w:t>
            </w:r>
          </w:p>
        </w:tc>
        <w:tc>
          <w:tcPr>
            <w:tcW w:w="2780" w:type="dxa"/>
            <w:vAlign w:val="bottom"/>
          </w:tcPr>
          <w:p>
            <w:pPr>
              <w:jc w:val="center"/>
              <w:spacing w:after="0" w:line="87" w:lineRule="exact"/>
              <w:rPr>
                <w:sz w:val="20"/>
                <w:szCs w:val="20"/>
                <w:color w:val="auto"/>
              </w:rPr>
            </w:pPr>
            <w:r>
              <w:rPr>
                <w:rFonts w:ascii="Arial" w:cs="Arial" w:eastAsia="Arial" w:hAnsi="Arial"/>
                <w:sz w:val="10"/>
                <w:szCs w:val="10"/>
                <w:color w:val="auto"/>
                <w:w w:val="81"/>
              </w:rPr>
              <w:t>0.62</w:t>
            </w:r>
          </w:p>
        </w:tc>
        <w:tc>
          <w:tcPr>
            <w:tcW w:w="140" w:type="dxa"/>
            <w:vAlign w:val="bottom"/>
          </w:tcPr>
          <w:p>
            <w:pPr>
              <w:spacing w:after="0"/>
              <w:rPr>
                <w:sz w:val="7"/>
                <w:szCs w:val="7"/>
                <w:color w:val="auto"/>
              </w:rPr>
            </w:pPr>
          </w:p>
        </w:tc>
        <w:tc>
          <w:tcPr>
            <w:tcW w:w="160" w:type="dxa"/>
            <w:vAlign w:val="bottom"/>
          </w:tcPr>
          <w:p>
            <w:pPr>
              <w:jc w:val="right"/>
              <w:ind w:right="12"/>
              <w:spacing w:after="0" w:line="87" w:lineRule="exact"/>
              <w:rPr>
                <w:sz w:val="20"/>
                <w:szCs w:val="20"/>
                <w:color w:val="auto"/>
              </w:rPr>
            </w:pPr>
            <w:r>
              <w:rPr>
                <w:rFonts w:ascii="Arial" w:cs="Arial" w:eastAsia="Arial" w:hAnsi="Arial"/>
                <w:sz w:val="10"/>
                <w:szCs w:val="10"/>
                <w:color w:val="auto"/>
              </w:rPr>
              <w:t>$</w:t>
            </w:r>
          </w:p>
        </w:tc>
        <w:tc>
          <w:tcPr>
            <w:tcW w:w="1040" w:type="dxa"/>
            <w:vAlign w:val="bottom"/>
          </w:tcPr>
          <w:p>
            <w:pPr>
              <w:jc w:val="right"/>
              <w:spacing w:after="0" w:line="87" w:lineRule="exact"/>
              <w:rPr>
                <w:sz w:val="20"/>
                <w:szCs w:val="20"/>
                <w:color w:val="auto"/>
              </w:rPr>
            </w:pPr>
            <w:r>
              <w:rPr>
                <w:rFonts w:ascii="Arial" w:cs="Arial" w:eastAsia="Arial" w:hAnsi="Arial"/>
                <w:sz w:val="10"/>
                <w:szCs w:val="10"/>
                <w:color w:val="auto"/>
              </w:rPr>
              <w:t>$4,257,504</w:t>
            </w:r>
          </w:p>
        </w:tc>
        <w:tc>
          <w:tcPr>
            <w:tcW w:w="140" w:type="dxa"/>
            <w:vAlign w:val="bottom"/>
          </w:tcPr>
          <w:p>
            <w:pPr>
              <w:spacing w:after="0"/>
              <w:rPr>
                <w:sz w:val="7"/>
                <w:szCs w:val="7"/>
                <w:color w:val="auto"/>
              </w:rPr>
            </w:pPr>
          </w:p>
        </w:tc>
        <w:tc>
          <w:tcPr>
            <w:tcW w:w="4460" w:type="dxa"/>
            <w:vAlign w:val="bottom"/>
          </w:tcPr>
          <w:p>
            <w:pPr>
              <w:spacing w:after="0" w:line="87" w:lineRule="exact"/>
              <w:rPr>
                <w:sz w:val="20"/>
                <w:szCs w:val="20"/>
                <w:color w:val="auto"/>
              </w:rPr>
            </w:pPr>
            <w:r>
              <w:rPr>
                <w:rFonts w:ascii="Arial" w:cs="Arial" w:eastAsia="Arial" w:hAnsi="Arial"/>
                <w:sz w:val="10"/>
                <w:szCs w:val="10"/>
                <w:color w:val="auto"/>
                <w:w w:val="88"/>
              </w:rPr>
              <w:t>We are actively pursuing the development of this property. We have obtained approvals for the construction of an</w:t>
            </w:r>
          </w:p>
        </w:tc>
      </w:tr>
      <w:tr>
        <w:trPr>
          <w:trHeight w:val="99"/>
        </w:trPr>
        <w:tc>
          <w:tcPr>
            <w:tcW w:w="200" w:type="dxa"/>
            <w:vAlign w:val="bottom"/>
          </w:tcPr>
          <w:p>
            <w:pPr>
              <w:spacing w:after="0"/>
              <w:rPr>
                <w:sz w:val="8"/>
                <w:szCs w:val="8"/>
                <w:color w:val="auto"/>
              </w:rPr>
            </w:pPr>
          </w:p>
        </w:tc>
        <w:tc>
          <w:tcPr>
            <w:tcW w:w="1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7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60" w:type="dxa"/>
            <w:vAlign w:val="bottom"/>
          </w:tcPr>
          <w:p>
            <w:pPr>
              <w:spacing w:after="0" w:line="99" w:lineRule="exact"/>
              <w:rPr>
                <w:sz w:val="20"/>
                <w:szCs w:val="20"/>
                <w:color w:val="auto"/>
              </w:rPr>
            </w:pPr>
            <w:r>
              <w:rPr>
                <w:rFonts w:ascii="Arial" w:cs="Arial" w:eastAsia="Arial" w:hAnsi="Arial"/>
                <w:sz w:val="10"/>
                <w:szCs w:val="10"/>
                <w:color w:val="auto"/>
                <w:w w:val="90"/>
              </w:rPr>
              <w:t>eight-screen cinema, 10,297 square foot of additional retail and 142 car parks. It is anticipated that construction</w:t>
            </w:r>
          </w:p>
        </w:tc>
      </w:tr>
      <w:tr>
        <w:trPr>
          <w:trHeight w:val="99"/>
        </w:trPr>
        <w:tc>
          <w:tcPr>
            <w:tcW w:w="200" w:type="dxa"/>
            <w:vAlign w:val="bottom"/>
          </w:tcPr>
          <w:p>
            <w:pPr>
              <w:spacing w:after="0"/>
              <w:rPr>
                <w:sz w:val="8"/>
                <w:szCs w:val="8"/>
                <w:color w:val="auto"/>
              </w:rPr>
            </w:pPr>
          </w:p>
        </w:tc>
        <w:tc>
          <w:tcPr>
            <w:tcW w:w="1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7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60" w:type="dxa"/>
            <w:vAlign w:val="bottom"/>
          </w:tcPr>
          <w:p>
            <w:pPr>
              <w:spacing w:after="0" w:line="99" w:lineRule="exact"/>
              <w:rPr>
                <w:sz w:val="20"/>
                <w:szCs w:val="20"/>
                <w:color w:val="auto"/>
              </w:rPr>
            </w:pPr>
            <w:r>
              <w:rPr>
                <w:rFonts w:ascii="Arial" w:cs="Arial" w:eastAsia="Arial" w:hAnsi="Arial"/>
                <w:sz w:val="10"/>
                <w:szCs w:val="10"/>
                <w:color w:val="auto"/>
                <w:w w:val="92"/>
              </w:rPr>
              <w:t>will commence later this year and be completed by the fourth quarter 2017.  In addition, we have acquired an</w:t>
            </w:r>
          </w:p>
        </w:tc>
      </w:tr>
      <w:tr>
        <w:trPr>
          <w:trHeight w:val="99"/>
        </w:trPr>
        <w:tc>
          <w:tcPr>
            <w:tcW w:w="200" w:type="dxa"/>
            <w:vAlign w:val="bottom"/>
          </w:tcPr>
          <w:p>
            <w:pPr>
              <w:spacing w:after="0"/>
              <w:rPr>
                <w:sz w:val="8"/>
                <w:szCs w:val="8"/>
                <w:color w:val="auto"/>
              </w:rPr>
            </w:pPr>
          </w:p>
        </w:tc>
        <w:tc>
          <w:tcPr>
            <w:tcW w:w="1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7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60" w:type="dxa"/>
            <w:vAlign w:val="bottom"/>
          </w:tcPr>
          <w:p>
            <w:pPr>
              <w:spacing w:after="0" w:line="99" w:lineRule="exact"/>
              <w:rPr>
                <w:sz w:val="20"/>
                <w:szCs w:val="20"/>
                <w:color w:val="auto"/>
              </w:rPr>
            </w:pPr>
            <w:r>
              <w:rPr>
                <w:rFonts w:ascii="Arial" w:cs="Arial" w:eastAsia="Arial" w:hAnsi="Arial"/>
                <w:sz w:val="10"/>
                <w:szCs w:val="10"/>
                <w:color w:val="auto"/>
                <w:w w:val="92"/>
              </w:rPr>
              <w:t>additional 23,000 square foot parcel of land located adjacent to the center, which is currently improved with a</w:t>
            </w:r>
          </w:p>
        </w:tc>
      </w:tr>
      <w:tr>
        <w:trPr>
          <w:trHeight w:val="122"/>
        </w:trPr>
        <w:tc>
          <w:tcPr>
            <w:tcW w:w="20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60" w:type="dxa"/>
            <w:vAlign w:val="bottom"/>
          </w:tcPr>
          <w:p>
            <w:pPr>
              <w:spacing w:after="0"/>
              <w:rPr>
                <w:sz w:val="20"/>
                <w:szCs w:val="20"/>
                <w:color w:val="auto"/>
              </w:rPr>
            </w:pPr>
            <w:r>
              <w:rPr>
                <w:rFonts w:ascii="Arial" w:cs="Arial" w:eastAsia="Arial" w:hAnsi="Arial"/>
                <w:sz w:val="10"/>
                <w:szCs w:val="10"/>
                <w:color w:val="auto"/>
              </w:rPr>
              <w:t>22,000 square foot office building. We intend, over time, to incorporate this property into our center.</w:t>
            </w:r>
          </w:p>
        </w:tc>
      </w:tr>
      <w:tr>
        <w:trPr>
          <w:trHeight w:val="657"/>
        </w:trPr>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60" w:type="dxa"/>
            <w:vAlign w:val="bottom"/>
          </w:tcPr>
          <w:p>
            <w:pPr>
              <w:spacing w:after="0"/>
              <w:rPr>
                <w:sz w:val="24"/>
                <w:szCs w:val="24"/>
                <w:color w:val="auto"/>
              </w:rPr>
            </w:pPr>
          </w:p>
        </w:tc>
      </w:tr>
      <w:tr>
        <w:trPr>
          <w:trHeight w:val="87"/>
        </w:trPr>
        <w:tc>
          <w:tcPr>
            <w:tcW w:w="200" w:type="dxa"/>
            <w:vAlign w:val="bottom"/>
            <w:shd w:val="clear" w:color="auto" w:fill="CCEEFF"/>
          </w:tcPr>
          <w:p>
            <w:pPr>
              <w:jc w:val="right"/>
              <w:ind w:right="12"/>
              <w:spacing w:after="0" w:line="87" w:lineRule="exact"/>
              <w:rPr>
                <w:sz w:val="20"/>
                <w:szCs w:val="20"/>
                <w:color w:val="auto"/>
              </w:rPr>
            </w:pPr>
            <w:r>
              <w:rPr>
                <w:rFonts w:ascii="Arial" w:cs="Arial" w:eastAsia="Arial" w:hAnsi="Arial"/>
                <w:sz w:val="10"/>
                <w:szCs w:val="10"/>
                <w:color w:val="auto"/>
              </w:rPr>
              <w:t>3</w:t>
            </w:r>
          </w:p>
        </w:tc>
        <w:tc>
          <w:tcPr>
            <w:tcW w:w="1700" w:type="dxa"/>
            <w:vAlign w:val="bottom"/>
            <w:gridSpan w:val="2"/>
            <w:shd w:val="clear" w:color="auto" w:fill="CCEEFF"/>
          </w:tcPr>
          <w:p>
            <w:pPr>
              <w:ind w:left="40"/>
              <w:spacing w:after="0" w:line="87" w:lineRule="exact"/>
              <w:rPr>
                <w:sz w:val="20"/>
                <w:szCs w:val="20"/>
                <w:color w:val="auto"/>
              </w:rPr>
            </w:pPr>
            <w:r>
              <w:rPr>
                <w:rFonts w:ascii="Arial" w:cs="Arial" w:eastAsia="Arial" w:hAnsi="Arial"/>
                <w:sz w:val="10"/>
                <w:szCs w:val="10"/>
                <w:color w:val="auto"/>
              </w:rPr>
              <w:t>Auburn, Sydney, NSW</w:t>
            </w:r>
          </w:p>
        </w:tc>
        <w:tc>
          <w:tcPr>
            <w:tcW w:w="2780" w:type="dxa"/>
            <w:vAlign w:val="bottom"/>
            <w:shd w:val="clear" w:color="auto" w:fill="CCEEFF"/>
          </w:tcPr>
          <w:p>
            <w:pPr>
              <w:jc w:val="center"/>
              <w:spacing w:after="0" w:line="87" w:lineRule="exact"/>
              <w:rPr>
                <w:sz w:val="20"/>
                <w:szCs w:val="20"/>
                <w:color w:val="auto"/>
              </w:rPr>
            </w:pPr>
            <w:r>
              <w:rPr>
                <w:rFonts w:ascii="Arial" w:cs="Arial" w:eastAsia="Arial" w:hAnsi="Arial"/>
                <w:sz w:val="10"/>
                <w:szCs w:val="10"/>
                <w:color w:val="auto"/>
                <w:w w:val="81"/>
              </w:rPr>
              <w:t>0.00</w:t>
            </w:r>
          </w:p>
        </w:tc>
        <w:tc>
          <w:tcPr>
            <w:tcW w:w="140" w:type="dxa"/>
            <w:vAlign w:val="bottom"/>
            <w:shd w:val="clear" w:color="auto" w:fill="CCEEFF"/>
          </w:tcPr>
          <w:p>
            <w:pPr>
              <w:spacing w:after="0"/>
              <w:rPr>
                <w:sz w:val="7"/>
                <w:szCs w:val="7"/>
                <w:color w:val="auto"/>
              </w:rPr>
            </w:pPr>
          </w:p>
        </w:tc>
        <w:tc>
          <w:tcPr>
            <w:tcW w:w="160" w:type="dxa"/>
            <w:vAlign w:val="bottom"/>
            <w:shd w:val="clear" w:color="auto" w:fill="CCEEFF"/>
          </w:tcPr>
          <w:p>
            <w:pPr>
              <w:jc w:val="right"/>
              <w:ind w:right="12"/>
              <w:spacing w:after="0" w:line="87" w:lineRule="exact"/>
              <w:rPr>
                <w:sz w:val="20"/>
                <w:szCs w:val="20"/>
                <w:color w:val="auto"/>
              </w:rPr>
            </w:pPr>
            <w:r>
              <w:rPr>
                <w:rFonts w:ascii="Arial" w:cs="Arial" w:eastAsia="Arial" w:hAnsi="Arial"/>
                <w:sz w:val="10"/>
                <w:szCs w:val="10"/>
                <w:color w:val="auto"/>
              </w:rPr>
              <w:t>$</w:t>
            </w:r>
          </w:p>
        </w:tc>
        <w:tc>
          <w:tcPr>
            <w:tcW w:w="1040" w:type="dxa"/>
            <w:vAlign w:val="bottom"/>
            <w:shd w:val="clear" w:color="auto" w:fill="CCEEFF"/>
          </w:tcPr>
          <w:p>
            <w:pPr>
              <w:jc w:val="right"/>
              <w:spacing w:after="0" w:line="87" w:lineRule="exact"/>
              <w:rPr>
                <w:sz w:val="20"/>
                <w:szCs w:val="20"/>
                <w:color w:val="auto"/>
              </w:rPr>
            </w:pPr>
            <w:r>
              <w:rPr>
                <w:rFonts w:ascii="Arial" w:cs="Arial" w:eastAsia="Arial" w:hAnsi="Arial"/>
                <w:sz w:val="10"/>
                <w:szCs w:val="10"/>
                <w:color w:val="auto"/>
              </w:rPr>
              <w:t>$1,902,000</w:t>
            </w:r>
          </w:p>
        </w:tc>
        <w:tc>
          <w:tcPr>
            <w:tcW w:w="140" w:type="dxa"/>
            <w:vAlign w:val="bottom"/>
            <w:shd w:val="clear" w:color="auto" w:fill="CCEEFF"/>
          </w:tcPr>
          <w:p>
            <w:pPr>
              <w:spacing w:after="0"/>
              <w:rPr>
                <w:sz w:val="7"/>
                <w:szCs w:val="7"/>
                <w:color w:val="auto"/>
              </w:rPr>
            </w:pPr>
          </w:p>
        </w:tc>
        <w:tc>
          <w:tcPr>
            <w:tcW w:w="4460" w:type="dxa"/>
            <w:vAlign w:val="bottom"/>
            <w:shd w:val="clear" w:color="auto" w:fill="CCEEFF"/>
          </w:tcPr>
          <w:p>
            <w:pPr>
              <w:spacing w:after="0" w:line="87" w:lineRule="exact"/>
              <w:rPr>
                <w:sz w:val="20"/>
                <w:szCs w:val="20"/>
                <w:color w:val="auto"/>
              </w:rPr>
            </w:pPr>
            <w:r>
              <w:rPr>
                <w:rFonts w:ascii="Arial" w:cs="Arial" w:eastAsia="Arial" w:hAnsi="Arial"/>
                <w:sz w:val="10"/>
                <w:szCs w:val="10"/>
                <w:color w:val="auto"/>
                <w:w w:val="86"/>
              </w:rPr>
              <w:t>We are actively pursuing the development of the next phase of this property, and in 2015 entered into agreements to</w:t>
            </w:r>
          </w:p>
        </w:tc>
      </w:tr>
      <w:tr>
        <w:trPr>
          <w:trHeight w:val="99"/>
        </w:trPr>
        <w:tc>
          <w:tcPr>
            <w:tcW w:w="200" w:type="dxa"/>
            <w:vAlign w:val="bottom"/>
            <w:shd w:val="clear" w:color="auto" w:fill="CCEEFF"/>
          </w:tcPr>
          <w:p>
            <w:pPr>
              <w:spacing w:after="0"/>
              <w:rPr>
                <w:sz w:val="8"/>
                <w:szCs w:val="8"/>
                <w:color w:val="auto"/>
              </w:rPr>
            </w:pPr>
          </w:p>
        </w:tc>
        <w:tc>
          <w:tcPr>
            <w:tcW w:w="15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27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0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460" w:type="dxa"/>
            <w:vAlign w:val="bottom"/>
            <w:shd w:val="clear" w:color="auto" w:fill="CCEEFF"/>
          </w:tcPr>
          <w:p>
            <w:pPr>
              <w:spacing w:after="0" w:line="99" w:lineRule="exact"/>
              <w:rPr>
                <w:sz w:val="20"/>
                <w:szCs w:val="20"/>
                <w:color w:val="auto"/>
              </w:rPr>
            </w:pPr>
            <w:r>
              <w:rPr>
                <w:rFonts w:ascii="Arial" w:cs="Arial" w:eastAsia="Arial" w:hAnsi="Arial"/>
                <w:sz w:val="10"/>
                <w:szCs w:val="10"/>
                <w:color w:val="auto"/>
                <w:w w:val="88"/>
              </w:rPr>
              <w:t>lease approximately 15,000 square feet of to-be-built retail space. It is anticipated that construction will commence</w:t>
            </w:r>
          </w:p>
        </w:tc>
      </w:tr>
      <w:tr>
        <w:trPr>
          <w:trHeight w:val="99"/>
        </w:trPr>
        <w:tc>
          <w:tcPr>
            <w:tcW w:w="200" w:type="dxa"/>
            <w:vAlign w:val="bottom"/>
            <w:shd w:val="clear" w:color="auto" w:fill="CCEEFF"/>
          </w:tcPr>
          <w:p>
            <w:pPr>
              <w:spacing w:after="0"/>
              <w:rPr>
                <w:sz w:val="8"/>
                <w:szCs w:val="8"/>
                <w:color w:val="auto"/>
              </w:rPr>
            </w:pPr>
          </w:p>
        </w:tc>
        <w:tc>
          <w:tcPr>
            <w:tcW w:w="15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27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0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460" w:type="dxa"/>
            <w:vAlign w:val="bottom"/>
            <w:shd w:val="clear" w:color="auto" w:fill="CCEEFF"/>
          </w:tcPr>
          <w:p>
            <w:pPr>
              <w:spacing w:after="0" w:line="99" w:lineRule="exact"/>
              <w:rPr>
                <w:sz w:val="20"/>
                <w:szCs w:val="20"/>
                <w:color w:val="auto"/>
              </w:rPr>
            </w:pPr>
            <w:r>
              <w:rPr>
                <w:rFonts w:ascii="Arial" w:cs="Arial" w:eastAsia="Arial" w:hAnsi="Arial"/>
                <w:sz w:val="10"/>
                <w:szCs w:val="10"/>
                <w:color w:val="auto"/>
                <w:w w:val="88"/>
              </w:rPr>
              <w:t>later this year and be completed by the first quarter 2017.  The center still has approximately 108,000 square foot</w:t>
            </w:r>
          </w:p>
        </w:tc>
      </w:tr>
      <w:tr>
        <w:trPr>
          <w:trHeight w:val="122"/>
        </w:trPr>
        <w:tc>
          <w:tcPr>
            <w:tcW w:w="200" w:type="dxa"/>
            <w:vAlign w:val="bottom"/>
            <w:shd w:val="clear" w:color="auto" w:fill="CCEEFF"/>
          </w:tcPr>
          <w:p>
            <w:pPr>
              <w:spacing w:after="0"/>
              <w:rPr>
                <w:sz w:val="10"/>
                <w:szCs w:val="10"/>
                <w:color w:val="auto"/>
              </w:rPr>
            </w:pPr>
          </w:p>
        </w:tc>
        <w:tc>
          <w:tcPr>
            <w:tcW w:w="15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7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0"/>
                <w:szCs w:val="10"/>
                <w:color w:val="auto"/>
              </w:rPr>
              <w:t>of land area available for development.</w:t>
            </w:r>
          </w:p>
        </w:tc>
      </w:tr>
      <w:tr>
        <w:trPr>
          <w:trHeight w:val="395"/>
        </w:trPr>
        <w:tc>
          <w:tcPr>
            <w:tcW w:w="20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27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4460" w:type="dxa"/>
            <w:vAlign w:val="bottom"/>
            <w:shd w:val="clear" w:color="auto" w:fill="CCEEFF"/>
          </w:tcPr>
          <w:p>
            <w:pPr>
              <w:spacing w:after="0"/>
              <w:rPr>
                <w:sz w:val="24"/>
                <w:szCs w:val="24"/>
                <w:color w:val="auto"/>
              </w:rPr>
            </w:pPr>
          </w:p>
        </w:tc>
      </w:tr>
    </w:tbl>
    <w:p>
      <w:pPr>
        <w:spacing w:after="0" w:line="13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59690</wp:posOffset>
            </wp:positionV>
            <wp:extent cx="677989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779895" cy="42545"/>
                    </a:xfrm>
                    <a:prstGeom prst="rect">
                      <a:avLst/>
                    </a:prstGeom>
                    <a:noFill/>
                  </pic:spPr>
                </pic:pic>
              </a:graphicData>
            </a:graphic>
          </wp:anchor>
        </w:drawing>
      </w:r>
    </w:p>
    <w:p>
      <w:pPr>
        <w:sectPr>
          <w:pgSz w:w="11900" w:h="16838" w:orient="portrait"/>
          <w:cols w:equalWidth="0" w:num="1">
            <w:col w:w="10620"/>
          </w:cols>
          <w:pgMar w:left="640" w:top="127" w:right="6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123"/>
        </w:trPr>
        <w:tc>
          <w:tcPr>
            <w:tcW w:w="1820" w:type="dxa"/>
            <w:vAlign w:val="bottom"/>
            <w:gridSpan w:val="2"/>
          </w:tcPr>
          <w:p>
            <w:pPr>
              <w:spacing w:after="0"/>
              <w:rPr>
                <w:sz w:val="20"/>
                <w:szCs w:val="20"/>
                <w:color w:val="auto"/>
              </w:rPr>
            </w:pPr>
            <w:r>
              <w:rPr>
                <w:rFonts w:ascii="Arial" w:cs="Arial" w:eastAsia="Arial" w:hAnsi="Arial"/>
                <w:sz w:val="10"/>
                <w:szCs w:val="10"/>
                <w:b w:val="1"/>
                <w:bCs w:val="1"/>
                <w:color w:val="auto"/>
              </w:rPr>
              <w:t>In New Zealand</w:t>
            </w:r>
          </w:p>
        </w:tc>
        <w:tc>
          <w:tcPr>
            <w:tcW w:w="28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540" w:type="dxa"/>
            <w:vAlign w:val="bottom"/>
          </w:tcPr>
          <w:p>
            <w:pPr>
              <w:spacing w:after="0"/>
              <w:rPr>
                <w:sz w:val="10"/>
                <w:szCs w:val="10"/>
                <w:color w:val="auto"/>
              </w:rPr>
            </w:pPr>
          </w:p>
        </w:tc>
      </w:tr>
      <w:tr>
        <w:trPr>
          <w:trHeight w:val="71"/>
        </w:trPr>
        <w:tc>
          <w:tcPr>
            <w:tcW w:w="200" w:type="dxa"/>
            <w:vAlign w:val="bottom"/>
          </w:tcPr>
          <w:p>
            <w:pPr>
              <w:spacing w:after="0"/>
              <w:rPr>
                <w:sz w:val="6"/>
                <w:szCs w:val="6"/>
                <w:color w:val="auto"/>
              </w:rPr>
            </w:pPr>
          </w:p>
        </w:tc>
        <w:tc>
          <w:tcPr>
            <w:tcW w:w="16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520" w:type="dxa"/>
            <w:vAlign w:val="bottom"/>
          </w:tcPr>
          <w:p>
            <w:pPr>
              <w:spacing w:after="0"/>
              <w:rPr>
                <w:sz w:val="6"/>
                <w:szCs w:val="6"/>
                <w:color w:val="auto"/>
              </w:rPr>
            </w:pPr>
          </w:p>
        </w:tc>
        <w:tc>
          <w:tcPr>
            <w:tcW w:w="860" w:type="dxa"/>
            <w:vAlign w:val="bottom"/>
          </w:tcPr>
          <w:p>
            <w:pPr>
              <w:spacing w:after="0"/>
              <w:rPr>
                <w:sz w:val="6"/>
                <w:szCs w:val="6"/>
                <w:color w:val="auto"/>
              </w:rPr>
            </w:pPr>
          </w:p>
        </w:tc>
        <w:tc>
          <w:tcPr>
            <w:tcW w:w="4540" w:type="dxa"/>
            <w:vAlign w:val="bottom"/>
          </w:tcPr>
          <w:p>
            <w:pPr>
              <w:spacing w:after="0"/>
              <w:rPr>
                <w:sz w:val="6"/>
                <w:szCs w:val="6"/>
                <w:color w:val="auto"/>
              </w:rPr>
            </w:pPr>
          </w:p>
        </w:tc>
      </w:tr>
      <w:tr>
        <w:trPr>
          <w:trHeight w:val="87"/>
        </w:trPr>
        <w:tc>
          <w:tcPr>
            <w:tcW w:w="200" w:type="dxa"/>
            <w:vAlign w:val="bottom"/>
            <w:shd w:val="clear" w:color="auto" w:fill="CCEEFF"/>
          </w:tcPr>
          <w:p>
            <w:pPr>
              <w:jc w:val="right"/>
              <w:ind w:right="12"/>
              <w:spacing w:after="0" w:line="87" w:lineRule="exact"/>
              <w:rPr>
                <w:sz w:val="20"/>
                <w:szCs w:val="20"/>
                <w:color w:val="auto"/>
              </w:rPr>
            </w:pPr>
            <w:r>
              <w:rPr>
                <w:rFonts w:ascii="Arial" w:cs="Arial" w:eastAsia="Arial" w:hAnsi="Arial"/>
                <w:sz w:val="10"/>
                <w:szCs w:val="10"/>
                <w:color w:val="auto"/>
              </w:rPr>
              <w:t>1</w:t>
            </w:r>
          </w:p>
        </w:tc>
        <w:tc>
          <w:tcPr>
            <w:tcW w:w="1620" w:type="dxa"/>
            <w:vAlign w:val="bottom"/>
            <w:shd w:val="clear" w:color="auto" w:fill="CCEEFF"/>
          </w:tcPr>
          <w:p>
            <w:pPr>
              <w:ind w:left="40"/>
              <w:spacing w:after="0" w:line="87" w:lineRule="exact"/>
              <w:rPr>
                <w:sz w:val="20"/>
                <w:szCs w:val="20"/>
                <w:color w:val="auto"/>
              </w:rPr>
            </w:pPr>
            <w:r>
              <w:rPr>
                <w:rFonts w:ascii="Arial" w:cs="Arial" w:eastAsia="Arial" w:hAnsi="Arial"/>
                <w:sz w:val="10"/>
                <w:szCs w:val="10"/>
                <w:color w:val="auto"/>
              </w:rPr>
              <w:t>Manukau, Auckland</w:t>
            </w:r>
          </w:p>
        </w:tc>
        <w:tc>
          <w:tcPr>
            <w:tcW w:w="2880" w:type="dxa"/>
            <w:vAlign w:val="bottom"/>
            <w:shd w:val="clear" w:color="auto" w:fill="CCEEFF"/>
          </w:tcPr>
          <w:p>
            <w:pPr>
              <w:jc w:val="center"/>
              <w:spacing w:after="0" w:line="87" w:lineRule="exact"/>
              <w:rPr>
                <w:sz w:val="20"/>
                <w:szCs w:val="20"/>
                <w:color w:val="auto"/>
              </w:rPr>
            </w:pPr>
            <w:r>
              <w:rPr>
                <w:rFonts w:ascii="Arial" w:cs="Arial" w:eastAsia="Arial" w:hAnsi="Arial"/>
                <w:sz w:val="10"/>
                <w:szCs w:val="10"/>
                <w:color w:val="auto"/>
                <w:w w:val="86"/>
              </w:rPr>
              <w:t>64.0 acres zoned agricultural and 6.4 acres zoned light industrial</w:t>
            </w:r>
          </w:p>
        </w:tc>
        <w:tc>
          <w:tcPr>
            <w:tcW w:w="520" w:type="dxa"/>
            <w:vAlign w:val="bottom"/>
            <w:shd w:val="clear" w:color="auto" w:fill="CCEEFF"/>
          </w:tcPr>
          <w:p>
            <w:pPr>
              <w:jc w:val="right"/>
              <w:ind w:right="252"/>
              <w:spacing w:after="0" w:line="87" w:lineRule="exact"/>
              <w:rPr>
                <w:sz w:val="20"/>
                <w:szCs w:val="20"/>
                <w:color w:val="auto"/>
              </w:rPr>
            </w:pPr>
            <w:r>
              <w:rPr>
                <w:rFonts w:ascii="Arial" w:cs="Arial" w:eastAsia="Arial" w:hAnsi="Arial"/>
                <w:sz w:val="10"/>
                <w:szCs w:val="10"/>
                <w:color w:val="auto"/>
              </w:rPr>
              <w:t>$</w:t>
            </w:r>
          </w:p>
        </w:tc>
        <w:tc>
          <w:tcPr>
            <w:tcW w:w="860" w:type="dxa"/>
            <w:vAlign w:val="bottom"/>
            <w:shd w:val="clear" w:color="auto" w:fill="CCEEFF"/>
          </w:tcPr>
          <w:p>
            <w:pPr>
              <w:jc w:val="right"/>
              <w:ind w:right="52"/>
              <w:spacing w:after="0" w:line="87" w:lineRule="exact"/>
              <w:rPr>
                <w:sz w:val="20"/>
                <w:szCs w:val="20"/>
                <w:color w:val="auto"/>
              </w:rPr>
            </w:pPr>
            <w:r>
              <w:rPr>
                <w:rFonts w:ascii="Arial" w:cs="Arial" w:eastAsia="Arial" w:hAnsi="Arial"/>
                <w:sz w:val="10"/>
                <w:szCs w:val="10"/>
                <w:color w:val="auto"/>
              </w:rPr>
              <w:t>$11,789,099</w:t>
            </w:r>
          </w:p>
        </w:tc>
        <w:tc>
          <w:tcPr>
            <w:tcW w:w="4540" w:type="dxa"/>
            <w:vAlign w:val="bottom"/>
            <w:shd w:val="clear" w:color="auto" w:fill="CCEEFF"/>
          </w:tcPr>
          <w:p>
            <w:pPr>
              <w:ind w:left="80"/>
              <w:spacing w:after="0" w:line="87" w:lineRule="exact"/>
              <w:rPr>
                <w:sz w:val="20"/>
                <w:szCs w:val="20"/>
                <w:color w:val="auto"/>
              </w:rPr>
            </w:pPr>
            <w:r>
              <w:rPr>
                <w:rFonts w:ascii="Arial" w:cs="Arial" w:eastAsia="Arial" w:hAnsi="Arial"/>
                <w:sz w:val="10"/>
                <w:szCs w:val="10"/>
                <w:color w:val="auto"/>
                <w:w w:val="95"/>
              </w:rPr>
              <w:t>The bulk of the land is zoned for agriculture and is currently used for horticultural commercial purposes. A</w:t>
            </w:r>
          </w:p>
        </w:tc>
      </w:tr>
      <w:tr>
        <w:trPr>
          <w:trHeight w:val="99"/>
        </w:trPr>
        <w:tc>
          <w:tcPr>
            <w:tcW w:w="200" w:type="dxa"/>
            <w:vAlign w:val="bottom"/>
            <w:shd w:val="clear" w:color="auto" w:fill="CCEEFF"/>
          </w:tcPr>
          <w:p>
            <w:pPr>
              <w:spacing w:after="0"/>
              <w:rPr>
                <w:sz w:val="8"/>
                <w:szCs w:val="8"/>
                <w:color w:val="auto"/>
              </w:rPr>
            </w:pPr>
          </w:p>
        </w:tc>
        <w:tc>
          <w:tcPr>
            <w:tcW w:w="1620" w:type="dxa"/>
            <w:vAlign w:val="bottom"/>
            <w:shd w:val="clear" w:color="auto" w:fill="CCEEFF"/>
          </w:tcPr>
          <w:p>
            <w:pPr>
              <w:spacing w:after="0"/>
              <w:rPr>
                <w:sz w:val="8"/>
                <w:szCs w:val="8"/>
                <w:color w:val="auto"/>
              </w:rPr>
            </w:pPr>
          </w:p>
        </w:tc>
        <w:tc>
          <w:tcPr>
            <w:tcW w:w="288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4540" w:type="dxa"/>
            <w:vAlign w:val="bottom"/>
            <w:shd w:val="clear" w:color="auto" w:fill="CCEEFF"/>
          </w:tcPr>
          <w:p>
            <w:pPr>
              <w:ind w:left="80"/>
              <w:spacing w:after="0" w:line="99" w:lineRule="exact"/>
              <w:rPr>
                <w:sz w:val="20"/>
                <w:szCs w:val="20"/>
                <w:color w:val="auto"/>
              </w:rPr>
            </w:pPr>
            <w:r>
              <w:rPr>
                <w:rFonts w:ascii="Arial" w:cs="Arial" w:eastAsia="Arial" w:hAnsi="Arial"/>
                <w:sz w:val="10"/>
                <w:szCs w:val="10"/>
                <w:color w:val="auto"/>
                <w:w w:val="89"/>
              </w:rPr>
              <w:t>development plan has been filed to rezone the property for warehouse, distribution and manufacturing uses. We</w:t>
            </w:r>
          </w:p>
        </w:tc>
      </w:tr>
      <w:tr>
        <w:trPr>
          <w:trHeight w:val="99"/>
        </w:trPr>
        <w:tc>
          <w:tcPr>
            <w:tcW w:w="200" w:type="dxa"/>
            <w:vAlign w:val="bottom"/>
            <w:shd w:val="clear" w:color="auto" w:fill="CCEEFF"/>
          </w:tcPr>
          <w:p>
            <w:pPr>
              <w:spacing w:after="0"/>
              <w:rPr>
                <w:sz w:val="8"/>
                <w:szCs w:val="8"/>
                <w:color w:val="auto"/>
              </w:rPr>
            </w:pPr>
          </w:p>
        </w:tc>
        <w:tc>
          <w:tcPr>
            <w:tcW w:w="1620" w:type="dxa"/>
            <w:vAlign w:val="bottom"/>
            <w:shd w:val="clear" w:color="auto" w:fill="CCEEFF"/>
          </w:tcPr>
          <w:p>
            <w:pPr>
              <w:spacing w:after="0"/>
              <w:rPr>
                <w:sz w:val="8"/>
                <w:szCs w:val="8"/>
                <w:color w:val="auto"/>
              </w:rPr>
            </w:pPr>
          </w:p>
        </w:tc>
        <w:tc>
          <w:tcPr>
            <w:tcW w:w="288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4540" w:type="dxa"/>
            <w:vAlign w:val="bottom"/>
            <w:shd w:val="clear" w:color="auto" w:fill="CCEEFF"/>
          </w:tcPr>
          <w:p>
            <w:pPr>
              <w:ind w:left="80"/>
              <w:spacing w:after="0" w:line="99" w:lineRule="exact"/>
              <w:rPr>
                <w:sz w:val="20"/>
                <w:szCs w:val="20"/>
                <w:color w:val="auto"/>
              </w:rPr>
            </w:pPr>
            <w:r>
              <w:rPr>
                <w:rFonts w:ascii="Arial" w:cs="Arial" w:eastAsia="Arial" w:hAnsi="Arial"/>
                <w:sz w:val="10"/>
                <w:szCs w:val="10"/>
                <w:color w:val="auto"/>
                <w:w w:val="90"/>
              </w:rPr>
              <w:t>currently anticipate that this rezoning will be approved. In 2010, we acquired an adjacent property that is zoned</w:t>
            </w:r>
          </w:p>
        </w:tc>
      </w:tr>
      <w:tr>
        <w:trPr>
          <w:trHeight w:val="122"/>
        </w:trPr>
        <w:tc>
          <w:tcPr>
            <w:tcW w:w="200" w:type="dxa"/>
            <w:vAlign w:val="bottom"/>
            <w:shd w:val="clear" w:color="auto" w:fill="CCEEFF"/>
          </w:tcPr>
          <w:p>
            <w:pPr>
              <w:spacing w:after="0"/>
              <w:rPr>
                <w:sz w:val="10"/>
                <w:szCs w:val="10"/>
                <w:color w:val="auto"/>
              </w:rPr>
            </w:pPr>
          </w:p>
        </w:tc>
        <w:tc>
          <w:tcPr>
            <w:tcW w:w="1620" w:type="dxa"/>
            <w:vAlign w:val="bottom"/>
            <w:shd w:val="clear" w:color="auto" w:fill="CCEEFF"/>
          </w:tcPr>
          <w:p>
            <w:pPr>
              <w:spacing w:after="0"/>
              <w:rPr>
                <w:sz w:val="10"/>
                <w:szCs w:val="10"/>
                <w:color w:val="auto"/>
              </w:rPr>
            </w:pPr>
          </w:p>
        </w:tc>
        <w:tc>
          <w:tcPr>
            <w:tcW w:w="28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4540" w:type="dxa"/>
            <w:vAlign w:val="bottom"/>
            <w:shd w:val="clear" w:color="auto" w:fill="CCEEFF"/>
          </w:tcPr>
          <w:p>
            <w:pPr>
              <w:ind w:left="80"/>
              <w:spacing w:after="0"/>
              <w:rPr>
                <w:sz w:val="20"/>
                <w:szCs w:val="20"/>
                <w:color w:val="auto"/>
              </w:rPr>
            </w:pPr>
            <w:r>
              <w:rPr>
                <w:rFonts w:ascii="Arial" w:cs="Arial" w:eastAsia="Arial" w:hAnsi="Arial"/>
                <w:sz w:val="10"/>
                <w:szCs w:val="10"/>
                <w:color w:val="auto"/>
                <w:w w:val="93"/>
              </w:rPr>
              <w:t>industrial, but is currently unimproved. That property links our existing parcel with the existing road network.</w:t>
            </w:r>
          </w:p>
        </w:tc>
      </w:tr>
      <w:tr>
        <w:trPr>
          <w:trHeight w:val="720"/>
        </w:trPr>
        <w:tc>
          <w:tcPr>
            <w:tcW w:w="20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c>
          <w:tcPr>
            <w:tcW w:w="288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4540" w:type="dxa"/>
            <w:vAlign w:val="bottom"/>
            <w:shd w:val="clear" w:color="auto" w:fill="CCEEFF"/>
          </w:tcPr>
          <w:p>
            <w:pPr>
              <w:spacing w:after="0"/>
              <w:rPr>
                <w:sz w:val="24"/>
                <w:szCs w:val="24"/>
                <w:color w:val="auto"/>
              </w:rPr>
            </w:pPr>
          </w:p>
        </w:tc>
      </w:tr>
      <w:tr>
        <w:trPr>
          <w:trHeight w:val="87"/>
        </w:trPr>
        <w:tc>
          <w:tcPr>
            <w:tcW w:w="200" w:type="dxa"/>
            <w:vAlign w:val="bottom"/>
          </w:tcPr>
          <w:p>
            <w:pPr>
              <w:jc w:val="right"/>
              <w:ind w:right="12"/>
              <w:spacing w:after="0" w:line="87" w:lineRule="exact"/>
              <w:rPr>
                <w:sz w:val="20"/>
                <w:szCs w:val="20"/>
                <w:color w:val="auto"/>
              </w:rPr>
            </w:pPr>
            <w:r>
              <w:rPr>
                <w:rFonts w:ascii="Arial" w:cs="Arial" w:eastAsia="Arial" w:hAnsi="Arial"/>
                <w:sz w:val="10"/>
                <w:szCs w:val="10"/>
                <w:color w:val="auto"/>
              </w:rPr>
              <w:t>2</w:t>
            </w:r>
          </w:p>
        </w:tc>
        <w:tc>
          <w:tcPr>
            <w:tcW w:w="1620" w:type="dxa"/>
            <w:vAlign w:val="bottom"/>
          </w:tcPr>
          <w:p>
            <w:pPr>
              <w:ind w:left="40"/>
              <w:spacing w:after="0" w:line="87" w:lineRule="exact"/>
              <w:rPr>
                <w:sz w:val="20"/>
                <w:szCs w:val="20"/>
                <w:color w:val="auto"/>
              </w:rPr>
            </w:pPr>
            <w:r>
              <w:rPr>
                <w:rFonts w:ascii="Arial" w:cs="Arial" w:eastAsia="Arial" w:hAnsi="Arial"/>
                <w:sz w:val="10"/>
                <w:szCs w:val="10"/>
                <w:color w:val="auto"/>
              </w:rPr>
              <w:t>Courtenay Central, Wellington</w:t>
            </w:r>
          </w:p>
        </w:tc>
        <w:tc>
          <w:tcPr>
            <w:tcW w:w="2880" w:type="dxa"/>
            <w:vAlign w:val="bottom"/>
          </w:tcPr>
          <w:p>
            <w:pPr>
              <w:jc w:val="right"/>
              <w:ind w:right="1312"/>
              <w:spacing w:after="0" w:line="87" w:lineRule="exact"/>
              <w:rPr>
                <w:sz w:val="20"/>
                <w:szCs w:val="20"/>
                <w:color w:val="auto"/>
              </w:rPr>
            </w:pPr>
            <w:r>
              <w:rPr>
                <w:rFonts w:ascii="Arial" w:cs="Arial" w:eastAsia="Arial" w:hAnsi="Arial"/>
                <w:sz w:val="10"/>
                <w:szCs w:val="10"/>
                <w:color w:val="auto"/>
              </w:rPr>
              <w:t>1.1</w:t>
            </w:r>
          </w:p>
        </w:tc>
        <w:tc>
          <w:tcPr>
            <w:tcW w:w="520" w:type="dxa"/>
            <w:vAlign w:val="bottom"/>
          </w:tcPr>
          <w:p>
            <w:pPr>
              <w:jc w:val="right"/>
              <w:ind w:right="252"/>
              <w:spacing w:after="0" w:line="87" w:lineRule="exact"/>
              <w:rPr>
                <w:sz w:val="20"/>
                <w:szCs w:val="20"/>
                <w:color w:val="auto"/>
              </w:rPr>
            </w:pPr>
            <w:r>
              <w:rPr>
                <w:rFonts w:ascii="Arial" w:cs="Arial" w:eastAsia="Arial" w:hAnsi="Arial"/>
                <w:sz w:val="10"/>
                <w:szCs w:val="10"/>
                <w:color w:val="auto"/>
              </w:rPr>
              <w:t>$</w:t>
            </w:r>
          </w:p>
        </w:tc>
        <w:tc>
          <w:tcPr>
            <w:tcW w:w="860" w:type="dxa"/>
            <w:vAlign w:val="bottom"/>
          </w:tcPr>
          <w:p>
            <w:pPr>
              <w:jc w:val="right"/>
              <w:ind w:right="52"/>
              <w:spacing w:after="0" w:line="87" w:lineRule="exact"/>
              <w:rPr>
                <w:sz w:val="20"/>
                <w:szCs w:val="20"/>
                <w:color w:val="auto"/>
              </w:rPr>
            </w:pPr>
            <w:r>
              <w:rPr>
                <w:rFonts w:ascii="Arial" w:cs="Arial" w:eastAsia="Arial" w:hAnsi="Arial"/>
                <w:sz w:val="10"/>
                <w:szCs w:val="10"/>
                <w:color w:val="auto"/>
              </w:rPr>
              <w:t>$6,375,555</w:t>
            </w:r>
          </w:p>
        </w:tc>
        <w:tc>
          <w:tcPr>
            <w:tcW w:w="4540" w:type="dxa"/>
            <w:vAlign w:val="bottom"/>
          </w:tcPr>
          <w:p>
            <w:pPr>
              <w:ind w:left="80"/>
              <w:spacing w:after="0" w:line="87" w:lineRule="exact"/>
              <w:rPr>
                <w:sz w:val="20"/>
                <w:szCs w:val="20"/>
                <w:color w:val="auto"/>
              </w:rPr>
            </w:pPr>
            <w:r>
              <w:rPr>
                <w:rFonts w:ascii="Arial" w:cs="Arial" w:eastAsia="Arial" w:hAnsi="Arial"/>
                <w:sz w:val="10"/>
                <w:szCs w:val="10"/>
                <w:color w:val="auto"/>
                <w:w w:val="87"/>
              </w:rPr>
              <w:t>We are actively pursuing the development of the next phase of this property, having signed a lease agreement for a</w:t>
            </w:r>
          </w:p>
        </w:tc>
      </w:tr>
      <w:tr>
        <w:trPr>
          <w:trHeight w:val="99"/>
        </w:trPr>
        <w:tc>
          <w:tcPr>
            <w:tcW w:w="200" w:type="dxa"/>
            <w:vAlign w:val="bottom"/>
          </w:tcPr>
          <w:p>
            <w:pPr>
              <w:spacing w:after="0"/>
              <w:rPr>
                <w:sz w:val="8"/>
                <w:szCs w:val="8"/>
                <w:color w:val="auto"/>
              </w:rPr>
            </w:pPr>
          </w:p>
        </w:tc>
        <w:tc>
          <w:tcPr>
            <w:tcW w:w="1620" w:type="dxa"/>
            <w:vAlign w:val="bottom"/>
          </w:tcPr>
          <w:p>
            <w:pPr>
              <w:ind w:left="40"/>
              <w:spacing w:after="0" w:line="99" w:lineRule="exact"/>
              <w:rPr>
                <w:sz w:val="20"/>
                <w:szCs w:val="20"/>
                <w:color w:val="auto"/>
              </w:rPr>
            </w:pPr>
            <w:r>
              <w:rPr>
                <w:rFonts w:ascii="Arial" w:cs="Arial" w:eastAsia="Arial" w:hAnsi="Arial"/>
                <w:sz w:val="10"/>
                <w:szCs w:val="10"/>
                <w:color w:val="auto"/>
              </w:rPr>
              <w:t>(including Wakefield and Taranaki)</w:t>
            </w:r>
          </w:p>
        </w:tc>
        <w:tc>
          <w:tcPr>
            <w:tcW w:w="2880" w:type="dxa"/>
            <w:vAlign w:val="bottom"/>
          </w:tcPr>
          <w:p>
            <w:pPr>
              <w:spacing w:after="0"/>
              <w:rPr>
                <w:sz w:val="8"/>
                <w:szCs w:val="8"/>
                <w:color w:val="auto"/>
              </w:rPr>
            </w:pPr>
          </w:p>
        </w:tc>
        <w:tc>
          <w:tcPr>
            <w:tcW w:w="520" w:type="dxa"/>
            <w:vAlign w:val="bottom"/>
          </w:tcPr>
          <w:p>
            <w:pPr>
              <w:spacing w:after="0"/>
              <w:rPr>
                <w:sz w:val="8"/>
                <w:szCs w:val="8"/>
                <w:color w:val="auto"/>
              </w:rPr>
            </w:pPr>
          </w:p>
        </w:tc>
        <w:tc>
          <w:tcPr>
            <w:tcW w:w="860" w:type="dxa"/>
            <w:vAlign w:val="bottom"/>
          </w:tcPr>
          <w:p>
            <w:pPr>
              <w:spacing w:after="0"/>
              <w:rPr>
                <w:sz w:val="8"/>
                <w:szCs w:val="8"/>
                <w:color w:val="auto"/>
              </w:rPr>
            </w:pPr>
          </w:p>
        </w:tc>
        <w:tc>
          <w:tcPr>
            <w:tcW w:w="4540" w:type="dxa"/>
            <w:vAlign w:val="bottom"/>
          </w:tcPr>
          <w:p>
            <w:pPr>
              <w:ind w:left="80"/>
              <w:spacing w:after="0" w:line="99" w:lineRule="exact"/>
              <w:rPr>
                <w:sz w:val="20"/>
                <w:szCs w:val="20"/>
                <w:color w:val="auto"/>
              </w:rPr>
            </w:pPr>
            <w:r>
              <w:rPr>
                <w:rFonts w:ascii="Arial" w:cs="Arial" w:eastAsia="Arial" w:hAnsi="Arial"/>
                <w:sz w:val="10"/>
                <w:szCs w:val="10"/>
                <w:color w:val="auto"/>
                <w:w w:val="90"/>
              </w:rPr>
              <w:t>Countdown supermarket to be developed on this site. The construction budgets have been agreed between the</w:t>
            </w:r>
          </w:p>
        </w:tc>
      </w:tr>
      <w:tr>
        <w:trPr>
          <w:trHeight w:val="99"/>
        </w:trPr>
        <w:tc>
          <w:tcPr>
            <w:tcW w:w="200" w:type="dxa"/>
            <w:vAlign w:val="bottom"/>
          </w:tcPr>
          <w:p>
            <w:pPr>
              <w:spacing w:after="0"/>
              <w:rPr>
                <w:sz w:val="8"/>
                <w:szCs w:val="8"/>
                <w:color w:val="auto"/>
              </w:rPr>
            </w:pPr>
          </w:p>
        </w:tc>
        <w:tc>
          <w:tcPr>
            <w:tcW w:w="1620" w:type="dxa"/>
            <w:vAlign w:val="bottom"/>
          </w:tcPr>
          <w:p>
            <w:pPr>
              <w:spacing w:after="0"/>
              <w:rPr>
                <w:sz w:val="8"/>
                <w:szCs w:val="8"/>
                <w:color w:val="auto"/>
              </w:rPr>
            </w:pPr>
          </w:p>
        </w:tc>
        <w:tc>
          <w:tcPr>
            <w:tcW w:w="2880" w:type="dxa"/>
            <w:vAlign w:val="bottom"/>
          </w:tcPr>
          <w:p>
            <w:pPr>
              <w:spacing w:after="0"/>
              <w:rPr>
                <w:sz w:val="8"/>
                <w:szCs w:val="8"/>
                <w:color w:val="auto"/>
              </w:rPr>
            </w:pPr>
          </w:p>
        </w:tc>
        <w:tc>
          <w:tcPr>
            <w:tcW w:w="520" w:type="dxa"/>
            <w:vAlign w:val="bottom"/>
          </w:tcPr>
          <w:p>
            <w:pPr>
              <w:spacing w:after="0"/>
              <w:rPr>
                <w:sz w:val="8"/>
                <w:szCs w:val="8"/>
                <w:color w:val="auto"/>
              </w:rPr>
            </w:pPr>
          </w:p>
        </w:tc>
        <w:tc>
          <w:tcPr>
            <w:tcW w:w="860" w:type="dxa"/>
            <w:vAlign w:val="bottom"/>
          </w:tcPr>
          <w:p>
            <w:pPr>
              <w:spacing w:after="0"/>
              <w:rPr>
                <w:sz w:val="8"/>
                <w:szCs w:val="8"/>
                <w:color w:val="auto"/>
              </w:rPr>
            </w:pPr>
          </w:p>
        </w:tc>
        <w:tc>
          <w:tcPr>
            <w:tcW w:w="4540" w:type="dxa"/>
            <w:vAlign w:val="bottom"/>
          </w:tcPr>
          <w:p>
            <w:pPr>
              <w:ind w:left="80"/>
              <w:spacing w:after="0" w:line="99" w:lineRule="exact"/>
              <w:rPr>
                <w:sz w:val="20"/>
                <w:szCs w:val="20"/>
                <w:color w:val="auto"/>
              </w:rPr>
            </w:pPr>
            <w:r>
              <w:rPr>
                <w:rFonts w:ascii="Arial" w:cs="Arial" w:eastAsia="Arial" w:hAnsi="Arial"/>
                <w:sz w:val="10"/>
                <w:szCs w:val="10"/>
                <w:color w:val="auto"/>
                <w:w w:val="91"/>
              </w:rPr>
              <w:t>parties, and we currently estimate that construction will commence in the third quarter 2016, looking towards a</w:t>
            </w:r>
          </w:p>
        </w:tc>
      </w:tr>
      <w:tr>
        <w:trPr>
          <w:trHeight w:val="99"/>
        </w:trPr>
        <w:tc>
          <w:tcPr>
            <w:tcW w:w="200" w:type="dxa"/>
            <w:vAlign w:val="bottom"/>
          </w:tcPr>
          <w:p>
            <w:pPr>
              <w:spacing w:after="0"/>
              <w:rPr>
                <w:sz w:val="8"/>
                <w:szCs w:val="8"/>
                <w:color w:val="auto"/>
              </w:rPr>
            </w:pPr>
          </w:p>
        </w:tc>
        <w:tc>
          <w:tcPr>
            <w:tcW w:w="1620" w:type="dxa"/>
            <w:vAlign w:val="bottom"/>
          </w:tcPr>
          <w:p>
            <w:pPr>
              <w:spacing w:after="0"/>
              <w:rPr>
                <w:sz w:val="8"/>
                <w:szCs w:val="8"/>
                <w:color w:val="auto"/>
              </w:rPr>
            </w:pPr>
          </w:p>
        </w:tc>
        <w:tc>
          <w:tcPr>
            <w:tcW w:w="2880" w:type="dxa"/>
            <w:vAlign w:val="bottom"/>
          </w:tcPr>
          <w:p>
            <w:pPr>
              <w:spacing w:after="0"/>
              <w:rPr>
                <w:sz w:val="8"/>
                <w:szCs w:val="8"/>
                <w:color w:val="auto"/>
              </w:rPr>
            </w:pPr>
          </w:p>
        </w:tc>
        <w:tc>
          <w:tcPr>
            <w:tcW w:w="520" w:type="dxa"/>
            <w:vAlign w:val="bottom"/>
          </w:tcPr>
          <w:p>
            <w:pPr>
              <w:spacing w:after="0"/>
              <w:rPr>
                <w:sz w:val="8"/>
                <w:szCs w:val="8"/>
                <w:color w:val="auto"/>
              </w:rPr>
            </w:pPr>
          </w:p>
        </w:tc>
        <w:tc>
          <w:tcPr>
            <w:tcW w:w="860" w:type="dxa"/>
            <w:vAlign w:val="bottom"/>
          </w:tcPr>
          <w:p>
            <w:pPr>
              <w:spacing w:after="0"/>
              <w:rPr>
                <w:sz w:val="8"/>
                <w:szCs w:val="8"/>
                <w:color w:val="auto"/>
              </w:rPr>
            </w:pPr>
          </w:p>
        </w:tc>
        <w:tc>
          <w:tcPr>
            <w:tcW w:w="4540" w:type="dxa"/>
            <w:vAlign w:val="bottom"/>
          </w:tcPr>
          <w:p>
            <w:pPr>
              <w:ind w:left="80"/>
              <w:spacing w:after="0" w:line="99" w:lineRule="exact"/>
              <w:rPr>
                <w:sz w:val="20"/>
                <w:szCs w:val="20"/>
                <w:color w:val="auto"/>
              </w:rPr>
            </w:pPr>
            <w:r>
              <w:rPr>
                <w:rFonts w:ascii="Arial" w:cs="Arial" w:eastAsia="Arial" w:hAnsi="Arial"/>
                <w:sz w:val="10"/>
                <w:szCs w:val="10"/>
                <w:color w:val="auto"/>
                <w:w w:val="88"/>
              </w:rPr>
              <w:t>completion date of the fourth quarter 2017. In addition, we are adding approximately 4,000 square feet of general</w:t>
            </w:r>
          </w:p>
        </w:tc>
      </w:tr>
      <w:tr>
        <w:trPr>
          <w:trHeight w:val="122"/>
        </w:trPr>
        <w:tc>
          <w:tcPr>
            <w:tcW w:w="20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28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540" w:type="dxa"/>
            <w:vAlign w:val="bottom"/>
          </w:tcPr>
          <w:p>
            <w:pPr>
              <w:ind w:left="80"/>
              <w:spacing w:after="0"/>
              <w:rPr>
                <w:sz w:val="20"/>
                <w:szCs w:val="20"/>
                <w:color w:val="auto"/>
              </w:rPr>
            </w:pPr>
            <w:r>
              <w:rPr>
                <w:rFonts w:ascii="Arial" w:cs="Arial" w:eastAsia="Arial" w:hAnsi="Arial"/>
                <w:sz w:val="10"/>
                <w:szCs w:val="10"/>
                <w:color w:val="auto"/>
              </w:rPr>
              <w:t>retail space.</w:t>
            </w:r>
          </w:p>
        </w:tc>
      </w:tr>
    </w:tbl>
    <w:p>
      <w:pPr>
        <w:spacing w:after="0" w:line="200" w:lineRule="exact"/>
        <w:rPr>
          <w:sz w:val="20"/>
          <w:szCs w:val="20"/>
          <w:color w:val="auto"/>
        </w:rPr>
      </w:pPr>
    </w:p>
    <w:p>
      <w:pPr>
        <w:spacing w:after="0" w:line="345" w:lineRule="exact"/>
        <w:rPr>
          <w:sz w:val="20"/>
          <w:szCs w:val="20"/>
          <w:color w:val="auto"/>
        </w:rPr>
      </w:pPr>
    </w:p>
    <w:p>
      <w:pPr>
        <w:ind w:left="80" w:hanging="76"/>
        <w:spacing w:after="0"/>
        <w:tabs>
          <w:tab w:leader="none" w:pos="80" w:val="left"/>
        </w:tabs>
        <w:numPr>
          <w:ilvl w:val="0"/>
          <w:numId w:val="16"/>
        </w:numPr>
        <w:rPr>
          <w:rFonts w:ascii="Arial" w:cs="Arial" w:eastAsia="Arial" w:hAnsi="Arial"/>
          <w:sz w:val="8"/>
          <w:szCs w:val="8"/>
          <w:color w:val="auto"/>
          <w:vertAlign w:val="superscript"/>
        </w:rPr>
      </w:pPr>
      <w:r>
        <w:rPr>
          <w:rFonts w:ascii="Arial" w:cs="Arial" w:eastAsia="Arial" w:hAnsi="Arial"/>
          <w:sz w:val="8"/>
          <w:szCs w:val="8"/>
          <w:color w:val="auto"/>
        </w:rPr>
        <w:t>A number of our real estate holdings include additional land held for development. In addition, we have acquired certain parcels for future development.</w:t>
      </w:r>
    </w:p>
    <w:p>
      <w:pPr>
        <w:spacing w:after="0" w:line="15" w:lineRule="exact"/>
        <w:rPr>
          <w:rFonts w:ascii="Arial" w:cs="Arial" w:eastAsia="Arial" w:hAnsi="Arial"/>
          <w:sz w:val="8"/>
          <w:szCs w:val="8"/>
          <w:color w:val="auto"/>
          <w:vertAlign w:val="superscript"/>
        </w:rPr>
      </w:pPr>
    </w:p>
    <w:p>
      <w:pPr>
        <w:ind w:left="80" w:hanging="76"/>
        <w:spacing w:after="0"/>
        <w:tabs>
          <w:tab w:leader="none" w:pos="80" w:val="left"/>
        </w:tabs>
        <w:numPr>
          <w:ilvl w:val="0"/>
          <w:numId w:val="16"/>
        </w:numPr>
        <w:rPr>
          <w:rFonts w:ascii="Arial" w:cs="Arial" w:eastAsia="Arial" w:hAnsi="Arial"/>
          <w:sz w:val="8"/>
          <w:szCs w:val="8"/>
          <w:color w:val="auto"/>
          <w:vertAlign w:val="superscript"/>
        </w:rPr>
      </w:pPr>
      <w:r>
        <w:rPr>
          <w:rFonts w:ascii="Arial" w:cs="Arial" w:eastAsia="Arial" w:hAnsi="Arial"/>
          <w:sz w:val="8"/>
          <w:szCs w:val="8"/>
          <w:color w:val="auto"/>
        </w:rPr>
        <w:t>Includes, as applicable, the land, building, development costs, and capitalized interest of the property.</w:t>
      </w:r>
    </w:p>
    <w:p>
      <w:pPr>
        <w:spacing w:after="0" w:line="129" w:lineRule="exact"/>
        <w:rPr>
          <w:sz w:val="20"/>
          <w:szCs w:val="20"/>
          <w:color w:val="auto"/>
        </w:rPr>
      </w:pPr>
    </w:p>
    <w:p>
      <w:pPr>
        <w:ind w:right="100"/>
        <w:spacing w:after="0" w:line="276" w:lineRule="auto"/>
        <w:rPr>
          <w:sz w:val="20"/>
          <w:szCs w:val="20"/>
          <w:color w:val="auto"/>
        </w:rPr>
      </w:pPr>
      <w:r>
        <w:rPr>
          <w:rFonts w:ascii="Arial" w:cs="Arial" w:eastAsia="Arial" w:hAnsi="Arial"/>
          <w:sz w:val="12"/>
          <w:szCs w:val="12"/>
          <w:color w:val="auto"/>
        </w:rPr>
        <w:t xml:space="preserve">Some of our income operating properties and our investment and development properties carry various debt encumbrances based on their income streams and geographic locations. For an explanation of our debt and the associated security collateral please see Note 10 – </w:t>
      </w:r>
      <w:r>
        <w:rPr>
          <w:rFonts w:ascii="Arial" w:cs="Arial" w:eastAsia="Arial" w:hAnsi="Arial"/>
          <w:sz w:val="12"/>
          <w:szCs w:val="12"/>
          <w:i w:val="1"/>
          <w:iCs w:val="1"/>
          <w:color w:val="auto"/>
        </w:rPr>
        <w:t>Debt</w:t>
      </w:r>
      <w:r>
        <w:rPr>
          <w:rFonts w:ascii="Arial" w:cs="Arial" w:eastAsia="Arial" w:hAnsi="Arial"/>
          <w:sz w:val="12"/>
          <w:szCs w:val="12"/>
          <w:color w:val="auto"/>
        </w:rPr>
        <w:t xml:space="preserve"> to our 2015 consolidated financial statements.</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OTHER PROPERTY INTERESTS AND INVESTMENTS</w:t>
      </w:r>
    </w:p>
    <w:p>
      <w:pPr>
        <w:spacing w:after="0" w:line="55" w:lineRule="exact"/>
        <w:rPr>
          <w:sz w:val="20"/>
          <w:szCs w:val="20"/>
          <w:color w:val="auto"/>
        </w:rPr>
      </w:pPr>
    </w:p>
    <w:p>
      <w:pPr>
        <w:ind w:right="20"/>
        <w:spacing w:after="0" w:line="323" w:lineRule="auto"/>
        <w:rPr>
          <w:sz w:val="20"/>
          <w:szCs w:val="20"/>
          <w:color w:val="auto"/>
        </w:rPr>
      </w:pPr>
      <w:r>
        <w:rPr>
          <w:rFonts w:ascii="Arial" w:cs="Arial" w:eastAsia="Arial" w:hAnsi="Arial"/>
          <w:sz w:val="11"/>
          <w:szCs w:val="11"/>
          <w:color w:val="auto"/>
        </w:rPr>
        <w:t>We own the fee interest in 11 parcels comprising 195 acres in Pennsylvania and Delaware. These acres consist primarily of vacant land. With the exception of certain properties located in Philadelphia (including the raised railroad bed leading to the old Reading Railroad Station), the properties are principally located in rural areas of Pennsylvania and Delaware. These properties are unencumbered by any debt.</w:t>
      </w:r>
    </w:p>
    <w:p>
      <w:pPr>
        <w:spacing w:after="0" w:line="61"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auto"/>
        </w:rPr>
        <w:t>Item 3 – Legal Proceedings</w:t>
      </w:r>
    </w:p>
    <w:p>
      <w:pPr>
        <w:spacing w:after="0" w:line="26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TAX AUDIT/LITIGATION</w:t>
      </w:r>
    </w:p>
    <w:p>
      <w:pPr>
        <w:spacing w:after="0" w:line="136" w:lineRule="exact"/>
        <w:rPr>
          <w:sz w:val="20"/>
          <w:szCs w:val="20"/>
          <w:color w:val="auto"/>
        </w:rPr>
      </w:pPr>
    </w:p>
    <w:p>
      <w:pPr>
        <w:ind w:right="100"/>
        <w:spacing w:after="0" w:line="298" w:lineRule="auto"/>
        <w:rPr>
          <w:sz w:val="20"/>
          <w:szCs w:val="20"/>
          <w:color w:val="auto"/>
        </w:rPr>
      </w:pPr>
      <w:r>
        <w:rPr>
          <w:rFonts w:ascii="Arial" w:cs="Arial" w:eastAsia="Arial" w:hAnsi="Arial"/>
          <w:sz w:val="11"/>
          <w:szCs w:val="11"/>
          <w:color w:val="auto"/>
        </w:rPr>
        <w:t xml:space="preserve">The Internal Revenue Service (the “IRS”) examined the tax return of Craig Corporation (“CRG”) for its tax year ended June 30, 1997. CRG was a stand-alone entity in the year of audit but is now a wholly-owned subsidiary of the Company. In Tax Court, CRG and the IRS agreed to compromise the claims made by the IRS against CRG, and the court order was entered on January 6, 2011. As of December 31, 2015, the remaining federal tax obligation was $2.5 million, reflecting additional interest accrued during the term of the four year installment plan. For additional information, see Note 9 – </w:t>
      </w:r>
      <w:r>
        <w:rPr>
          <w:rFonts w:ascii="Arial" w:cs="Arial" w:eastAsia="Arial" w:hAnsi="Arial"/>
          <w:sz w:val="11"/>
          <w:szCs w:val="11"/>
          <w:i w:val="1"/>
          <w:iCs w:val="1"/>
          <w:color w:val="auto"/>
        </w:rPr>
        <w:t>Income Taxes</w:t>
      </w:r>
      <w:r>
        <w:rPr>
          <w:rFonts w:ascii="Arial" w:cs="Arial" w:eastAsia="Arial" w:hAnsi="Arial"/>
          <w:sz w:val="11"/>
          <w:szCs w:val="11"/>
          <w:color w:val="auto"/>
        </w:rPr>
        <w:t>.</w:t>
      </w:r>
    </w:p>
    <w:p>
      <w:pPr>
        <w:spacing w:after="0" w:line="7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ENVIRONMENTAL AND ASBETOS CLAIMS</w:t>
      </w:r>
    </w:p>
    <w:p>
      <w:pPr>
        <w:spacing w:after="0" w:line="127" w:lineRule="exact"/>
        <w:rPr>
          <w:sz w:val="20"/>
          <w:szCs w:val="20"/>
          <w:color w:val="auto"/>
        </w:rPr>
      </w:pPr>
    </w:p>
    <w:p>
      <w:pPr>
        <w:spacing w:after="0"/>
        <w:rPr>
          <w:sz w:val="20"/>
          <w:szCs w:val="20"/>
          <w:color w:val="auto"/>
        </w:rPr>
      </w:pPr>
      <w:r>
        <w:rPr>
          <w:rFonts w:ascii="Arial" w:cs="Arial" w:eastAsia="Arial" w:hAnsi="Arial"/>
          <w:sz w:val="11"/>
          <w:szCs w:val="11"/>
          <w:color w:val="auto"/>
        </w:rPr>
        <w:t>Certain of our subsidiaries were historically involved in railroad operations, coal mining, and manufacturing. Also, certain of these subsidiaries appear in the chain-of-title of properties that may suffer from</w:t>
      </w:r>
    </w:p>
    <w:p>
      <w:pPr>
        <w:spacing w:after="0" w:line="26" w:lineRule="exact"/>
        <w:rPr>
          <w:sz w:val="20"/>
          <w:szCs w:val="20"/>
          <w:color w:val="auto"/>
        </w:rPr>
      </w:pPr>
    </w:p>
    <w:p>
      <w:pPr>
        <w:ind w:right="60"/>
        <w:spacing w:after="0" w:line="290" w:lineRule="auto"/>
        <w:rPr>
          <w:sz w:val="20"/>
          <w:szCs w:val="20"/>
          <w:color w:val="auto"/>
        </w:rPr>
      </w:pPr>
      <w:r>
        <w:rPr>
          <w:rFonts w:ascii="Arial" w:cs="Arial" w:eastAsia="Arial" w:hAnsi="Arial"/>
          <w:sz w:val="11"/>
          <w:szCs w:val="11"/>
          <w:color w:val="auto"/>
        </w:rPr>
        <w:t>pollution. Accordingly, certain of these subsidiaries have, from time-to-time, been named in and may in the future be named in various actions brought under applicable environmental laws. Also, we are in the real estate development business and may encounter from time-to-time unanticipated environmental conditions at properties that we have acquired for development. These environmental conditions can increase the cost of such projects and adversely affect the value and potential for profit of such projects. We do not currently believe that our exposure under applicable environmental laws is material in amount.</w:t>
      </w:r>
    </w:p>
    <w:p>
      <w:pPr>
        <w:spacing w:after="0" w:line="91" w:lineRule="exact"/>
        <w:rPr>
          <w:sz w:val="20"/>
          <w:szCs w:val="20"/>
          <w:color w:val="auto"/>
        </w:rPr>
      </w:pPr>
    </w:p>
    <w:p>
      <w:pPr>
        <w:ind w:right="120"/>
        <w:spacing w:after="0" w:line="298" w:lineRule="auto"/>
        <w:rPr>
          <w:sz w:val="20"/>
          <w:szCs w:val="20"/>
          <w:color w:val="auto"/>
        </w:rPr>
      </w:pPr>
      <w:r>
        <w:rPr>
          <w:rFonts w:ascii="Arial" w:cs="Arial" w:eastAsia="Arial" w:hAnsi="Arial"/>
          <w:sz w:val="11"/>
          <w:szCs w:val="11"/>
          <w:color w:val="auto"/>
        </w:rPr>
        <w:t>From time-to-time, we have claims brought against us relating to the exposure of former employees of our railroad operations to asbestos and coal dust. These are generally covered by an insurance settlement reached in September 1990 with our insurance carriers. However, this insurance settlement does not cover litigation by people who were not our employees and who may claim second-hand exposure to asbestos, coal dust and/or other chemicals or elements now recognized as potentially causing cancer in humans. Our known exposure to these types of claims, asserted or probable of being asserted, is not material.</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59690</wp:posOffset>
            </wp:positionV>
            <wp:extent cx="677989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779895" cy="42545"/>
                    </a:xfrm>
                    <a:prstGeom prst="rect">
                      <a:avLst/>
                    </a:prstGeom>
                    <a:noFill/>
                  </pic:spPr>
                </pic:pic>
              </a:graphicData>
            </a:graphic>
          </wp:anchor>
        </w:drawing>
      </w:r>
    </w:p>
    <w:p>
      <w:pPr>
        <w:sectPr>
          <w:pgSz w:w="11900" w:h="16838" w:orient="portrait"/>
          <w:cols w:equalWidth="0" w:num="1">
            <w:col w:w="10620"/>
          </w:cols>
          <w:pgMar w:left="640" w:top="125" w:right="639" w:bottom="1440" w:gutter="0" w:footer="0" w:header="0"/>
        </w:sectPr>
      </w:pPr>
    </w:p>
    <w:bookmarkStart w:id="24" w:name="page25"/>
    <w:bookmarkEnd w:id="24"/>
    <w:p>
      <w:pPr>
        <w:spacing w:after="0"/>
        <w:rPr>
          <w:sz w:val="20"/>
          <w:szCs w:val="20"/>
          <w:color w:val="auto"/>
        </w:rPr>
      </w:pPr>
      <w:r>
        <w:rPr>
          <w:rFonts w:ascii="Arial" w:cs="Arial" w:eastAsia="Arial" w:hAnsi="Arial"/>
          <w:sz w:val="12"/>
          <w:szCs w:val="12"/>
          <w:b w:val="1"/>
          <w:bCs w:val="1"/>
          <w:color w:val="auto"/>
        </w:rPr>
        <w:t>DERIVATIVE LITIGATION AND JAMES J. COTTER, JR. ARBITRATION</w:t>
      </w:r>
    </w:p>
    <w:p>
      <w:pPr>
        <w:spacing w:after="0" w:line="127" w:lineRule="exact"/>
        <w:rPr>
          <w:sz w:val="20"/>
          <w:szCs w:val="20"/>
          <w:color w:val="auto"/>
        </w:rPr>
      </w:pPr>
    </w:p>
    <w:p>
      <w:pPr>
        <w:spacing w:after="0" w:line="276" w:lineRule="auto"/>
        <w:rPr>
          <w:sz w:val="20"/>
          <w:szCs w:val="20"/>
          <w:color w:val="auto"/>
        </w:rPr>
      </w:pPr>
      <w:r>
        <w:rPr>
          <w:rFonts w:ascii="Arial" w:cs="Arial" w:eastAsia="Arial" w:hAnsi="Arial"/>
          <w:sz w:val="11"/>
          <w:szCs w:val="11"/>
          <w:color w:val="auto"/>
        </w:rPr>
        <w:t>On June 12, 2015, the Board of Directors terminated James J. Cotter, Jr. as the President and Chief Executive Officer of our Company. That same day, Mr. Cotter, Jr. filed a lawsuit, styled as both an individual and a derivative action, and titled “James J. Cotter, Jr., individually and derivatively on behalf of Reading International, Inc. vs. Margaret Cotter, et al.” Case No,: A-15-719860-V, Dept XI (the “Cotter Jr. Derivative Action” and the “Cotter, Jr. Complaint,” respectively) against the Company and each of our other than sitting Directors (Ellen Cotter, Margaret Cotter, Guy Adams, William Gould, Edward Kane, Douglas McEachern, and Tim Storey, the “Defendant Directors”) in the Eighth Judicial District Court of the State of Nevada for Clark County (the “Nevada District Court”). On October 22, 2015, Mr. Cotter, Jr., amended his complaint to drop his individual claims (the “Amended Cotter Jr. Derivative Complaint”). Accordingly, the Amended Cotter, Jr. Complaint presently purports to assert only purportedly derivative claims and to seek remedies only on behalf of the Company. The lawsuit currently alleges, among other things, that the Defendant Directors breached their fiduciary duties to the Company by terminating Mr. Cotter, Jr. as President and Chief Executive</w:t>
      </w:r>
    </w:p>
    <w:p>
      <w:pPr>
        <w:spacing w:after="0" w:line="1" w:lineRule="exact"/>
        <w:rPr>
          <w:sz w:val="20"/>
          <w:szCs w:val="20"/>
          <w:color w:val="auto"/>
        </w:rPr>
      </w:pPr>
    </w:p>
    <w:p>
      <w:pPr>
        <w:ind w:right="60"/>
        <w:spacing w:after="0" w:line="254" w:lineRule="auto"/>
        <w:rPr>
          <w:sz w:val="20"/>
          <w:szCs w:val="20"/>
          <w:color w:val="auto"/>
        </w:rPr>
      </w:pPr>
      <w:r>
        <w:rPr>
          <w:rFonts w:ascii="Arial" w:cs="Arial" w:eastAsia="Arial" w:hAnsi="Arial"/>
          <w:sz w:val="12"/>
          <w:szCs w:val="12"/>
          <w:color w:val="auto"/>
        </w:rPr>
        <w:t>Officer, continuing to make use of the Executive Committee that has been in place for more than the past ten years, making allegedly potentially misleading statements in its press releases and filings with the Securities and Exchange Commission (“SEC”), paying certain compensation to Ms. Ellen Cotter, and allowing the Cotter Estate to make use of Class A Common Stock to pay for the exercise of certain long outstanding stock options held of record by the Cotter Estate. He seeks reinstatement as President and CEO and alleges as damages fluctuations in the price for our Company’s shares after the announcement of his termination as President and CEO and certain unspecified damages to our Company’s reputation.</w:t>
      </w:r>
    </w:p>
    <w:p>
      <w:pPr>
        <w:spacing w:after="0" w:line="110" w:lineRule="exact"/>
        <w:rPr>
          <w:sz w:val="20"/>
          <w:szCs w:val="20"/>
          <w:color w:val="auto"/>
        </w:rPr>
      </w:pPr>
    </w:p>
    <w:p>
      <w:pPr>
        <w:spacing w:after="0" w:line="255" w:lineRule="auto"/>
        <w:rPr>
          <w:sz w:val="20"/>
          <w:szCs w:val="20"/>
          <w:color w:val="auto"/>
        </w:rPr>
      </w:pPr>
      <w:r>
        <w:rPr>
          <w:rFonts w:ascii="Arial" w:cs="Arial" w:eastAsia="Arial" w:hAnsi="Arial"/>
          <w:sz w:val="12"/>
          <w:szCs w:val="12"/>
          <w:color w:val="auto"/>
        </w:rPr>
        <w:t>In a derivative action, the stockholder plaintiff seeks damages or other relief for the benefit of the Company, and not for the stockholder plaintiff’s individual benefit. Accordingly, the Company is, at least in theory, only a nominal defendant in such a derivative action. However, as a practical matter, because Mr. Cotter, Jr. is also seeking, among other things, an order that our Board’s determination to terminate Mr. Cotter Jr. was ineffective and that he be reinstated as the President and CEO of the Company and also that our Board’s Executive Committee be disbanded (an injunctive remedy that, if granted, would be binding on the Company), and as he asserts potentially misleading statements in certain press releases and filings with the SEC, the Company is incurring significant cost and expense defending the decision to terminate Mr. Cotter, Jr. as President and Chief Executive Officer, its board committee structure, and the adequacy of those press releases and filings. Also, the Company continues to incur costs promulgating and responding to discovery demands and satisfying indemnity obligations to the Defendant Directors.</w:t>
      </w:r>
    </w:p>
    <w:p>
      <w:pPr>
        <w:spacing w:after="0" w:line="102" w:lineRule="exact"/>
        <w:rPr>
          <w:sz w:val="20"/>
          <w:szCs w:val="20"/>
          <w:color w:val="auto"/>
        </w:rPr>
      </w:pPr>
    </w:p>
    <w:p>
      <w:pPr>
        <w:ind w:right="60"/>
        <w:spacing w:after="0" w:line="263" w:lineRule="auto"/>
        <w:rPr>
          <w:sz w:val="20"/>
          <w:szCs w:val="20"/>
          <w:color w:val="auto"/>
        </w:rPr>
      </w:pPr>
      <w:r>
        <w:rPr>
          <w:rFonts w:ascii="Arial" w:cs="Arial" w:eastAsia="Arial" w:hAnsi="Arial"/>
          <w:sz w:val="12"/>
          <w:szCs w:val="12"/>
          <w:color w:val="auto"/>
        </w:rPr>
        <w:t>Our directors and officers liability insurer is providing insurance coverage, subject to a $500,000 deductible (which has now been exhausted) and its standard reservation of rights, with respect to the defense of the Director Defendants. Our new Directors, Dr. Judy Codding and Mr. Michael Wrotniak, are not named in the Cotter Jr. Derivative Action as they were not Directors at the time of the breaches of fiduciary duty alleged by Mr. Cotter, Jr.</w:t>
      </w:r>
    </w:p>
    <w:p>
      <w:pPr>
        <w:spacing w:after="0" w:line="96" w:lineRule="exact"/>
        <w:rPr>
          <w:sz w:val="20"/>
          <w:szCs w:val="20"/>
          <w:color w:val="auto"/>
        </w:rPr>
      </w:pPr>
    </w:p>
    <w:p>
      <w:pPr>
        <w:jc w:val="both"/>
        <w:ind w:right="100"/>
        <w:spacing w:after="0" w:line="298" w:lineRule="auto"/>
        <w:rPr>
          <w:sz w:val="20"/>
          <w:szCs w:val="20"/>
          <w:color w:val="auto"/>
        </w:rPr>
      </w:pPr>
      <w:r>
        <w:rPr>
          <w:rFonts w:ascii="Arial" w:cs="Arial" w:eastAsia="Arial" w:hAnsi="Arial"/>
          <w:sz w:val="11"/>
          <w:szCs w:val="11"/>
          <w:color w:val="auto"/>
        </w:rPr>
        <w:t>Pursuant to the terms of Mr. Cotter Jr.’s employment agreement with the Company, disputes relating to his employment are to be arbitrated. Accordingly, on July 14, 2015, the Company filed an arbitration demand with the American Arbitration Association against Mr. Cotter, Jr. The demand seeks declaratory relief, among other things, that Mr. Cotter, Jr.'s employment and employment agreement with the Company have been validly terminated and that the Board of Directors validly removed him from his positions as Chief Executive Officer and President of the Company and positions with the Company’s subsidiaries.</w:t>
      </w:r>
    </w:p>
    <w:p>
      <w:pPr>
        <w:spacing w:after="0" w:line="87" w:lineRule="exact"/>
        <w:rPr>
          <w:sz w:val="20"/>
          <w:szCs w:val="20"/>
          <w:color w:val="auto"/>
        </w:rPr>
      </w:pPr>
    </w:p>
    <w:p>
      <w:pPr>
        <w:ind w:right="280"/>
        <w:spacing w:after="0" w:line="298" w:lineRule="auto"/>
        <w:rPr>
          <w:sz w:val="20"/>
          <w:szCs w:val="20"/>
          <w:color w:val="auto"/>
        </w:rPr>
      </w:pPr>
      <w:r>
        <w:rPr>
          <w:rFonts w:ascii="Arial" w:cs="Arial" w:eastAsia="Arial" w:hAnsi="Arial"/>
          <w:sz w:val="11"/>
          <w:szCs w:val="11"/>
          <w:color w:val="auto"/>
        </w:rPr>
        <w:t>Mr. Cotter, Jr. has filed a counter-complaint in the arbitration, asserting claims for breach of his employment contract, declaratory relief, and contractual indemnification. Mr. Cotter, Jr.’s counsel has advised that Mr. Cotter is seeking a variety of damages, including consequential damages, and that such claimed damages total not less than $1,000,000. On April 19, 2016, Mr. Cotter, Jr. filed an action in the District Court, Clark County, Nevada seeking to recover his costs of defending the Arbitration, plus compensatory damages and interest at the maximum legal rate. The Company intends to vigorously defend these claims.</w:t>
      </w:r>
    </w:p>
    <w:p>
      <w:pPr>
        <w:spacing w:after="0" w:line="78" w:lineRule="exact"/>
        <w:rPr>
          <w:sz w:val="20"/>
          <w:szCs w:val="20"/>
          <w:color w:val="auto"/>
        </w:rPr>
      </w:pPr>
    </w:p>
    <w:p>
      <w:pPr>
        <w:spacing w:after="0" w:line="281" w:lineRule="auto"/>
        <w:rPr>
          <w:sz w:val="20"/>
          <w:szCs w:val="20"/>
          <w:color w:val="auto"/>
        </w:rPr>
      </w:pPr>
      <w:r>
        <w:rPr>
          <w:rFonts w:ascii="Arial" w:cs="Arial" w:eastAsia="Arial" w:hAnsi="Arial"/>
          <w:sz w:val="11"/>
          <w:szCs w:val="11"/>
          <w:color w:val="auto"/>
        </w:rPr>
        <w:t>On August 6, 2015, the Company received notice that a Motion to Intervene in the Cotter Jr Derivative Action and a proposed derivative complaint had been filed in the Nevada District Court captioned T2 Partners Management, LP, a Delaware limited partnership, doing business as Kase Capital Management; T2 Accredited Fund, LP, a Delaware limited partnership, doing business as Kase Fund; T2 Qualified Fund, LP, a Delaware limited partnership, doing business as Kase Qualified Fund; Tilson Offshore Fund, Ltd, a Cayman Islands exempted company; T2 Partners Management I, LLC, a Delaware limited liability company, doing business as Kase Management: T2 Partners Management Group, LLC, a Delaware limited liability company, doing business as Kase Group; JMG Capital Management, LLC, a Delaware limited liability company, Pacific Capital Management, LLC, a Delaware limited liability company, derivatively on behalf of Reading International, Inc. vs. Margaret Cotter, Ellen Cotter, Guy Adams, Edward Kane, Douglas McEachern, Timothy Storey, William Gould and Does 1 through 100, inclusive, as defendants, and, Reading International, Inc., a Nevada corporation, as Nominal Defendant (the “T2 Derivative Action” ). On August 11, 2015, the Court granted the motion of T2 Partners Management, LP et. al. (the “T2 Plaintiffs”), allowing these plaintiffs to file their complaint (the “T2 Derivative Complaint”).</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59690</wp:posOffset>
            </wp:positionV>
            <wp:extent cx="677989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779895" cy="42545"/>
                    </a:xfrm>
                    <a:prstGeom prst="rect">
                      <a:avLst/>
                    </a:prstGeom>
                    <a:noFill/>
                  </pic:spPr>
                </pic:pic>
              </a:graphicData>
            </a:graphic>
          </wp:anchor>
        </w:drawing>
      </w:r>
    </w:p>
    <w:p>
      <w:pPr>
        <w:sectPr>
          <w:pgSz w:w="11900" w:h="16838" w:orient="portrait"/>
          <w:cols w:equalWidth="0" w:num="1">
            <w:col w:w="10600"/>
          </w:cols>
          <w:pgMar w:left="640" w:top="127" w:right="659" w:bottom="1440" w:gutter="0" w:footer="0" w:header="0"/>
        </w:sectPr>
      </w:pPr>
    </w:p>
    <w:bookmarkStart w:id="25" w:name="page26"/>
    <w:bookmarkEnd w:id="25"/>
    <w:p>
      <w:pPr>
        <w:ind w:right="100"/>
        <w:spacing w:after="0" w:line="263" w:lineRule="auto"/>
        <w:rPr>
          <w:sz w:val="20"/>
          <w:szCs w:val="20"/>
          <w:color w:val="auto"/>
        </w:rPr>
      </w:pPr>
      <w:r>
        <w:rPr>
          <w:rFonts w:ascii="Arial" w:cs="Arial" w:eastAsia="Arial" w:hAnsi="Arial"/>
          <w:sz w:val="12"/>
          <w:szCs w:val="12"/>
          <w:color w:val="auto"/>
        </w:rPr>
        <w:t>On September 9, 2015, certain of the Defendant Directors filed a Motion to Dismiss the T2 Derivative Complaint. The Company joined this Motion to Dismiss on September 14, 2015. The hearing on this Motion to Dismiss was vacated as the T2 Plaintiffs voluntarily withdrew the T2 Derivative Complaint, with the parties agreeing that T2 Plaintiffs would have leave to amend the Complaint. On February 12, 2016, The T2 plaintiff filed an amended T2 Derivative Complaint (the “Amended T2 Derivative Complaint”).</w:t>
      </w:r>
    </w:p>
    <w:p>
      <w:pPr>
        <w:spacing w:after="0" w:line="96" w:lineRule="exact"/>
        <w:rPr>
          <w:sz w:val="20"/>
          <w:szCs w:val="20"/>
          <w:color w:val="auto"/>
        </w:rPr>
      </w:pPr>
    </w:p>
    <w:p>
      <w:pPr>
        <w:ind w:right="40"/>
        <w:spacing w:after="0" w:line="281" w:lineRule="auto"/>
        <w:rPr>
          <w:sz w:val="20"/>
          <w:szCs w:val="20"/>
          <w:color w:val="auto"/>
        </w:rPr>
      </w:pPr>
      <w:r>
        <w:rPr>
          <w:rFonts w:ascii="Arial" w:cs="Arial" w:eastAsia="Arial" w:hAnsi="Arial"/>
          <w:sz w:val="11"/>
          <w:szCs w:val="11"/>
          <w:color w:val="auto"/>
        </w:rPr>
        <w:t>The T2 Plaintiffs allege in their Amended T2 Derivative Complaint various violations of fiduciary duty, abuse of control, gross mismanagement and corporate waste by the Defendant Directors. More specifically the T2 Derivative Complaint seeks the reinstatement of James J. Cotter, Jr. as President and Chief Executive Officer and certain monetary damages, as well as equitable injunctive relief, attorney fees and costs of suit. Once again, the Company has been named as a nominal defendant. However, because the T2 Derivative Complaint also seeks the reinstatement of Mr. Cotter, Jr., as our President and CEO, it is being defended by the Company. In addition, the Company continues to incur costs promulgating and responding to discovery demands and satisfying indemnity obligations to the Defendant Directors. The Defendant Directors are the same as named in the Cotter Jr. Derivative Action as well as our two new Directors Dr. Judy Codding and Michael Wrotniak and Company legal counsel, Craig Tompkins. The cost of the defense of Directors Codding and Wrotniak is likewise being covered by our Directors and officer’s liability insurance carrier with the same reservations of right as in the Cotter Jr. Derivative Action, but without any separate deductible. The cost of the defense of Mr. Tompkins is being covered by the Company under its indemnity agreement with him.</w:t>
      </w:r>
    </w:p>
    <w:p>
      <w:pPr>
        <w:spacing w:after="0" w:line="98" w:lineRule="exact"/>
        <w:rPr>
          <w:sz w:val="20"/>
          <w:szCs w:val="20"/>
          <w:color w:val="auto"/>
        </w:rPr>
      </w:pPr>
    </w:p>
    <w:p>
      <w:pPr>
        <w:ind w:right="100"/>
        <w:spacing w:after="0" w:line="279" w:lineRule="auto"/>
        <w:rPr>
          <w:sz w:val="20"/>
          <w:szCs w:val="20"/>
          <w:color w:val="auto"/>
        </w:rPr>
      </w:pPr>
      <w:r>
        <w:rPr>
          <w:rFonts w:ascii="Arial" w:cs="Arial" w:eastAsia="Arial" w:hAnsi="Arial"/>
          <w:sz w:val="11"/>
          <w:szCs w:val="11"/>
          <w:color w:val="auto"/>
        </w:rPr>
        <w:t>The Amended T2 Derivative Complaint has deleted its request for an order disbanding our Executive Committee and for an order “collapsing the Class A and B stock structure into a single class of voting stock.” The Amended T2 Complaint has added a request for an order setting aside the election results from the 2015 Annual Meeting of Stockholders, based on an allegation that Ellen Cotter and Margaret Cotter were not entitled to vote the shares of Class B Common Stock held of record by the Cotter Estate and the Cotter Trust. The Company and the other defendants contest the allegations of the T2 Plaintiffs. The Company followed applicable Nevada law in recognizing that Ellen Cotter and Margaret Cotter had the legal right and power to vote the shares of Class B Common Stock held of record by the Cotter Estate and the Cotter Trust, and the independent Inspector of Elections has certified the results of that election. Furthermore, even if the election results were to be overturned or voided, this would have no impact on the current composition of our Board or any action taken by our Board since our 2015 Annual Meeting of Stockholders, as all of the nominees were standing for re-election and accordingly retain their directorships until their replacements are elected. The Company will vigorously contest any assertions by the T2 Plaintiffs challenging the voting at the 2015 Annual Meeting of Stockholders and believes that the court will rule for the Company should this issue ever reach the court. The case is currently set for trial in November, 2016. The T2 Plaintiffs have not sought any expedited ruling from the Court with respect to their assertions that Ellen Cotter and Margaret Cotter did not have the right and power to vote the shares of Class B Common Stock held of record by the Cotter Estate and the Cotter Trust.</w:t>
      </w:r>
    </w:p>
    <w:p>
      <w:pPr>
        <w:spacing w:after="0" w:line="91" w:lineRule="exact"/>
        <w:rPr>
          <w:sz w:val="20"/>
          <w:szCs w:val="20"/>
          <w:color w:val="auto"/>
        </w:rPr>
      </w:pPr>
    </w:p>
    <w:p>
      <w:pPr>
        <w:spacing w:after="0" w:line="263" w:lineRule="auto"/>
        <w:rPr>
          <w:sz w:val="20"/>
          <w:szCs w:val="20"/>
          <w:color w:val="auto"/>
        </w:rPr>
      </w:pPr>
      <w:r>
        <w:rPr>
          <w:rFonts w:ascii="Arial" w:cs="Arial" w:eastAsia="Arial" w:hAnsi="Arial"/>
          <w:sz w:val="12"/>
          <w:szCs w:val="12"/>
          <w:color w:val="auto"/>
        </w:rPr>
        <w:t>The Company believes that the claims set forth in the Amended Cotter Jr. Derivative Complaint and the Amended T2 Derivative Complaint are entirely without merit and seek equitable remedies for which no relief can be given. The Company intends to defend vigorously against any claims against our officers and directors and against any attempt to reinstate Mr. Cotter, Jr. as President and Chief Executive Officer or to effect any changes in the rights of our Company’s stockholders.</w:t>
      </w:r>
    </w:p>
    <w:p>
      <w:pPr>
        <w:spacing w:after="0" w:line="92"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THE STOMP ARBITRATION</w:t>
      </w:r>
    </w:p>
    <w:p>
      <w:pPr>
        <w:spacing w:after="0" w:line="136" w:lineRule="exact"/>
        <w:rPr>
          <w:sz w:val="20"/>
          <w:szCs w:val="20"/>
          <w:color w:val="auto"/>
        </w:rPr>
      </w:pPr>
    </w:p>
    <w:p>
      <w:pPr>
        <w:ind w:right="40"/>
        <w:spacing w:after="0" w:line="290" w:lineRule="auto"/>
        <w:rPr>
          <w:sz w:val="20"/>
          <w:szCs w:val="20"/>
          <w:color w:val="auto"/>
        </w:rPr>
      </w:pPr>
      <w:r>
        <w:rPr>
          <w:rFonts w:ascii="Arial" w:cs="Arial" w:eastAsia="Arial" w:hAnsi="Arial"/>
          <w:sz w:val="11"/>
          <w:szCs w:val="11"/>
          <w:color w:val="auto"/>
        </w:rPr>
        <w:t>In April 2015, Liberty Theatres, LLC (“Liberty”), a wholly owned subsidiary of the Company, commenced an American Arbitration Association arbitration proceeding (Case No.:01-15-0003-3728) against The Stomp Company Limited Partnership (the “Producer”) in response to the Producer’s purported termination of their license agreement with Liberty relating to the long playing show STOMP. Liberty sought specific performance, injunctive and declaratory relief and damages. The Producer counterclaimed for unspecified damages, alleging that Liberty has interfered with the Producer’s endeavors to move the show to another Off-Broadway theater. The Producer based its purported termination of the license agreement upon the alleged deficient condition of the Orpheum Theater, in which STOMP has been playing for more than the past 20 years.</w:t>
      </w:r>
    </w:p>
    <w:p>
      <w:pPr>
        <w:spacing w:after="0" w:line="109" w:lineRule="exact"/>
        <w:rPr>
          <w:sz w:val="20"/>
          <w:szCs w:val="20"/>
          <w:color w:val="auto"/>
        </w:rPr>
      </w:pPr>
    </w:p>
    <w:p>
      <w:pPr>
        <w:spacing w:after="0" w:line="259" w:lineRule="auto"/>
        <w:rPr>
          <w:sz w:val="20"/>
          <w:szCs w:val="20"/>
          <w:color w:val="auto"/>
        </w:rPr>
      </w:pPr>
      <w:r>
        <w:rPr>
          <w:rFonts w:ascii="Arial" w:cs="Arial" w:eastAsia="Arial" w:hAnsi="Arial"/>
          <w:sz w:val="12"/>
          <w:szCs w:val="12"/>
          <w:color w:val="auto"/>
        </w:rPr>
        <w:t>On December 18, 2015, the Arbitrator issued his Partial Final Award of Arbitration, providing for, among other things (i) the issuance of a permanent injunction prohibiting the Producer from “transferring or taking actions to market, promote, or otherwise facilitate any transfer of, STOMP to another theatre in New York City having fewer than 500 seats without Liberty’s prior written consent”, (ii) the Producer’s Notice of Termination purportedly terminating the parties’ license agreement was invalid, null and void and the License Agreement remains in full force and effect, and (iii) the award to Liberty of its reasonable attorneys’ fees in an amount to be determined by the Arbitrator. The Company expects the final award of attorneys’ fees to be decided during the second quarter of 2016.</w:t>
      </w:r>
    </w:p>
    <w:p>
      <w:pPr>
        <w:spacing w:after="0" w:line="125" w:lineRule="exact"/>
        <w:rPr>
          <w:sz w:val="20"/>
          <w:szCs w:val="20"/>
          <w:color w:val="auto"/>
        </w:rPr>
      </w:pPr>
    </w:p>
    <w:p>
      <w:pPr>
        <w:ind w:right="460"/>
        <w:spacing w:after="0" w:line="323" w:lineRule="auto"/>
        <w:rPr>
          <w:sz w:val="20"/>
          <w:szCs w:val="20"/>
          <w:color w:val="auto"/>
        </w:rPr>
      </w:pPr>
      <w:r>
        <w:rPr>
          <w:rFonts w:ascii="Arial" w:cs="Arial" w:eastAsia="Arial" w:hAnsi="Arial"/>
          <w:sz w:val="11"/>
          <w:szCs w:val="11"/>
          <w:color w:val="auto"/>
        </w:rPr>
        <w:t>In explaining his decision to award Liberty its reasonable attorneys’ fees, the Arbitrator stated as follows: “Liberty is entitled to such an award [of attorneys’ fees] not only because it is the prevailing party in this proceeding, but because [the Producer] unfairly disparaged the Orpheum and caused Liberty to incur attorneys’ fees in order to address and resolve [the Producer’s] groundless and</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59690</wp:posOffset>
            </wp:positionV>
            <wp:extent cx="677989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779895" cy="42545"/>
                    </a:xfrm>
                    <a:prstGeom prst="rect">
                      <a:avLst/>
                    </a:prstGeom>
                    <a:noFill/>
                  </pic:spPr>
                </pic:pic>
              </a:graphicData>
            </a:graphic>
          </wp:anchor>
        </w:drawing>
      </w:r>
    </w:p>
    <w:p>
      <w:pPr>
        <w:sectPr>
          <w:pgSz w:w="11900" w:h="16838" w:orient="portrait"/>
          <w:cols w:equalWidth="0" w:num="1">
            <w:col w:w="10620"/>
          </w:cols>
          <w:pgMar w:left="640" w:top="131" w:right="639" w:bottom="1440" w:gutter="0" w:footer="0" w:header="0"/>
        </w:sectPr>
      </w:pPr>
    </w:p>
    <w:bookmarkStart w:id="26" w:name="page27"/>
    <w:bookmarkEnd w:id="26"/>
    <w:p>
      <w:pPr>
        <w:spacing w:after="0"/>
        <w:rPr>
          <w:sz w:val="20"/>
          <w:szCs w:val="20"/>
          <w:color w:val="auto"/>
        </w:rPr>
      </w:pPr>
      <w:r>
        <w:rPr>
          <w:rFonts w:ascii="Arial" w:cs="Arial" w:eastAsia="Arial" w:hAnsi="Arial"/>
          <w:sz w:val="10"/>
          <w:szCs w:val="10"/>
          <w:color w:val="auto"/>
        </w:rPr>
        <w:t>frivolous allegations with respect to the Orpheum’s condition, Liberty’s performance under the License Agreement, and Stomp’s reasons for seeking to transfer STOMP to a larger theatre.”</w:t>
      </w:r>
    </w:p>
    <w:p>
      <w:pPr>
        <w:sectPr>
          <w:pgSz w:w="11900" w:h="16838" w:orient="portrait"/>
          <w:cols w:equalWidth="0" w:num="1">
            <w:col w:w="9819"/>
          </w:cols>
          <w:pgMar w:left="640" w:top="131" w:right="1440" w:bottom="1440" w:gutter="0" w:footer="0" w:header="0"/>
        </w:sectPr>
      </w:pPr>
    </w:p>
    <w:p>
      <w:pPr>
        <w:spacing w:after="0" w:line="200" w:lineRule="exact"/>
        <w:rPr>
          <w:sz w:val="20"/>
          <w:szCs w:val="20"/>
          <w:color w:val="auto"/>
        </w:rPr>
      </w:pPr>
    </w:p>
    <w:p>
      <w:pPr>
        <w:spacing w:after="0" w:line="234" w:lineRule="exact"/>
        <w:rPr>
          <w:sz w:val="20"/>
          <w:szCs w:val="20"/>
          <w:color w:val="auto"/>
        </w:rPr>
      </w:pPr>
    </w:p>
    <w:p>
      <w:pPr>
        <w:ind w:left="5260"/>
        <w:spacing w:after="0"/>
        <w:rPr>
          <w:sz w:val="20"/>
          <w:szCs w:val="20"/>
          <w:color w:val="auto"/>
        </w:rPr>
      </w:pPr>
      <w:r>
        <w:rPr>
          <w:rFonts w:ascii="Arial" w:cs="Arial" w:eastAsia="Arial" w:hAnsi="Arial"/>
          <w:sz w:val="10"/>
          <w:szCs w:val="10"/>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74295</wp:posOffset>
            </wp:positionV>
            <wp:extent cx="677989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779895" cy="42545"/>
                    </a:xfrm>
                    <a:prstGeom prst="rect">
                      <a:avLst/>
                    </a:prstGeom>
                    <a:noFill/>
                  </pic:spPr>
                </pic:pic>
              </a:graphicData>
            </a:graphic>
          </wp:anchor>
        </w:drawing>
      </w:r>
    </w:p>
    <w:p>
      <w:pPr>
        <w:sectPr>
          <w:pgSz w:w="11900" w:h="16838" w:orient="portrait"/>
          <w:cols w:equalWidth="0" w:num="1">
            <w:col w:w="9819"/>
          </w:cols>
          <w:pgMar w:left="640" w:top="131" w:right="1440" w:bottom="1440" w:gutter="0" w:footer="0" w:header="0"/>
          <w:type w:val="continuous"/>
        </w:sectPr>
      </w:pPr>
    </w:p>
    <w:bookmarkStart w:id="27" w:name="page28"/>
    <w:bookmarkEnd w:id="27"/>
    <w:p>
      <w:pPr>
        <w:ind w:left="5100"/>
        <w:spacing w:after="0"/>
        <w:rPr>
          <w:sz w:val="20"/>
          <w:szCs w:val="20"/>
          <w:color w:val="auto"/>
        </w:rPr>
      </w:pPr>
      <w:r>
        <w:rPr>
          <w:rFonts w:ascii="Arial" w:cs="Arial" w:eastAsia="Arial" w:hAnsi="Arial"/>
          <w:sz w:val="12"/>
          <w:szCs w:val="12"/>
          <w:b w:val="1"/>
          <w:bCs w:val="1"/>
          <w:u w:val="single" w:color="auto"/>
          <w:color w:val="auto"/>
        </w:rPr>
        <w:t>PART II</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auto"/>
        </w:rPr>
        <w:t>Item 5 – Market for Registrant’s Common Equity, Related Stockholder Matters and Issuer Purchases of Equity Securities</w:t>
      </w:r>
    </w:p>
    <w:p>
      <w:pPr>
        <w:spacing w:after="0" w:line="13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MARKET INFORMATION</w:t>
      </w:r>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color w:val="auto"/>
        </w:rPr>
        <w:t>The following table sets forth the high and low closing prices of the RDI and RDIB common stock for each of the quarters in 2015 and 2014 as reported by NASDAQ:</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3000" w:type="dxa"/>
            <w:vAlign w:val="bottom"/>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gridSpan w:val="3"/>
          </w:tcPr>
          <w:p>
            <w:pPr>
              <w:jc w:val="right"/>
              <w:ind w:right="440"/>
              <w:spacing w:after="0"/>
              <w:rPr>
                <w:sz w:val="20"/>
                <w:szCs w:val="20"/>
                <w:color w:val="auto"/>
              </w:rPr>
            </w:pPr>
            <w:r>
              <w:rPr>
                <w:rFonts w:ascii="Arial" w:cs="Arial" w:eastAsia="Arial" w:hAnsi="Arial"/>
                <w:sz w:val="11"/>
                <w:szCs w:val="11"/>
                <w:b w:val="1"/>
                <w:bCs w:val="1"/>
                <w:color w:val="auto"/>
              </w:rPr>
              <w:t>Class A Stock</w:t>
            </w:r>
          </w:p>
        </w:tc>
        <w:tc>
          <w:tcPr>
            <w:tcW w:w="1060" w:type="dxa"/>
            <w:vAlign w:val="bottom"/>
            <w:tcBorders>
              <w:bottom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gridSpan w:val="3"/>
          </w:tcPr>
          <w:p>
            <w:pPr>
              <w:jc w:val="right"/>
              <w:ind w:right="440"/>
              <w:spacing w:after="0"/>
              <w:rPr>
                <w:sz w:val="20"/>
                <w:szCs w:val="20"/>
                <w:color w:val="auto"/>
              </w:rPr>
            </w:pPr>
            <w:r>
              <w:rPr>
                <w:rFonts w:ascii="Arial" w:cs="Arial" w:eastAsia="Arial" w:hAnsi="Arial"/>
                <w:sz w:val="11"/>
                <w:szCs w:val="11"/>
                <w:b w:val="1"/>
                <w:bCs w:val="1"/>
                <w:color w:val="auto"/>
              </w:rPr>
              <w:t>Class B Stock</w:t>
            </w:r>
          </w:p>
        </w:tc>
        <w:tc>
          <w:tcPr>
            <w:tcW w:w="1060" w:type="dxa"/>
            <w:vAlign w:val="bottom"/>
            <w:tcBorders>
              <w:bottom w:val="single" w:sz="8" w:color="auto"/>
            </w:tcBorders>
          </w:tcPr>
          <w:p>
            <w:pPr>
              <w:spacing w:after="0"/>
              <w:rPr>
                <w:sz w:val="12"/>
                <w:szCs w:val="12"/>
                <w:color w:val="auto"/>
              </w:rPr>
            </w:pPr>
          </w:p>
        </w:tc>
      </w:tr>
      <w:tr>
        <w:trPr>
          <w:trHeight w:val="160"/>
        </w:trPr>
        <w:tc>
          <w:tcPr>
            <w:tcW w:w="30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80" w:type="dxa"/>
            <w:vAlign w:val="bottom"/>
          </w:tcPr>
          <w:p>
            <w:pPr>
              <w:ind w:left="200"/>
              <w:spacing w:after="0"/>
              <w:rPr>
                <w:sz w:val="20"/>
                <w:szCs w:val="20"/>
                <w:color w:val="auto"/>
              </w:rPr>
            </w:pPr>
            <w:r>
              <w:rPr>
                <w:rFonts w:ascii="Arial" w:cs="Arial" w:eastAsia="Arial" w:hAnsi="Arial"/>
                <w:sz w:val="11"/>
                <w:szCs w:val="11"/>
                <w:b w:val="1"/>
                <w:bCs w:val="1"/>
                <w:color w:val="auto"/>
              </w:rPr>
              <w:t>High</w:t>
            </w:r>
          </w:p>
        </w:tc>
        <w:tc>
          <w:tcPr>
            <w:tcW w:w="4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0" w:type="dxa"/>
            <w:vAlign w:val="bottom"/>
            <w:gridSpan w:val="2"/>
          </w:tcPr>
          <w:p>
            <w:pPr>
              <w:ind w:left="160"/>
              <w:spacing w:after="0"/>
              <w:rPr>
                <w:sz w:val="20"/>
                <w:szCs w:val="20"/>
                <w:color w:val="auto"/>
              </w:rPr>
            </w:pPr>
            <w:r>
              <w:rPr>
                <w:rFonts w:ascii="Arial" w:cs="Arial" w:eastAsia="Arial" w:hAnsi="Arial"/>
                <w:sz w:val="11"/>
                <w:szCs w:val="11"/>
                <w:b w:val="1"/>
                <w:bCs w:val="1"/>
                <w:color w:val="auto"/>
              </w:rPr>
              <w:t>Low</w:t>
            </w:r>
          </w:p>
        </w:tc>
        <w:tc>
          <w:tcPr>
            <w:tcW w:w="540" w:type="dxa"/>
            <w:vAlign w:val="bottom"/>
          </w:tcPr>
          <w:p>
            <w:pPr>
              <w:spacing w:after="0"/>
              <w:rPr>
                <w:sz w:val="13"/>
                <w:szCs w:val="13"/>
                <w:color w:val="auto"/>
              </w:rPr>
            </w:pPr>
          </w:p>
        </w:tc>
        <w:tc>
          <w:tcPr>
            <w:tcW w:w="780" w:type="dxa"/>
            <w:vAlign w:val="bottom"/>
          </w:tcPr>
          <w:p>
            <w:pPr>
              <w:jc w:val="right"/>
              <w:ind w:right="286"/>
              <w:spacing w:after="0"/>
              <w:rPr>
                <w:sz w:val="20"/>
                <w:szCs w:val="20"/>
                <w:color w:val="auto"/>
              </w:rPr>
            </w:pPr>
            <w:r>
              <w:rPr>
                <w:rFonts w:ascii="Arial" w:cs="Arial" w:eastAsia="Arial" w:hAnsi="Arial"/>
                <w:sz w:val="11"/>
                <w:szCs w:val="11"/>
                <w:b w:val="1"/>
                <w:bCs w:val="1"/>
                <w:color w:val="auto"/>
              </w:rPr>
              <w:t>High</w:t>
            </w:r>
          </w:p>
        </w:tc>
        <w:tc>
          <w:tcPr>
            <w:tcW w:w="4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60" w:type="dxa"/>
            <w:vAlign w:val="bottom"/>
          </w:tcPr>
          <w:p>
            <w:pPr>
              <w:ind w:left="160"/>
              <w:spacing w:after="0"/>
              <w:rPr>
                <w:sz w:val="20"/>
                <w:szCs w:val="20"/>
                <w:color w:val="auto"/>
              </w:rPr>
            </w:pPr>
            <w:r>
              <w:rPr>
                <w:rFonts w:ascii="Arial" w:cs="Arial" w:eastAsia="Arial" w:hAnsi="Arial"/>
                <w:sz w:val="11"/>
                <w:szCs w:val="11"/>
                <w:b w:val="1"/>
                <w:bCs w:val="1"/>
                <w:color w:val="auto"/>
              </w:rPr>
              <w:t>Low</w:t>
            </w:r>
          </w:p>
        </w:tc>
      </w:tr>
      <w:tr>
        <w:trPr>
          <w:trHeight w:val="171"/>
        </w:trPr>
        <w:tc>
          <w:tcPr>
            <w:tcW w:w="3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1"/>
                <w:szCs w:val="11"/>
                <w:b w:val="1"/>
                <w:bCs w:val="1"/>
                <w:color w:val="auto"/>
              </w:rPr>
              <w:t>2015</w:t>
            </w:r>
          </w:p>
        </w:tc>
        <w:tc>
          <w:tcPr>
            <w:tcW w:w="54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spacing w:after="0"/>
              <w:rPr>
                <w:sz w:val="14"/>
                <w:szCs w:val="14"/>
                <w:color w:val="auto"/>
              </w:rPr>
            </w:pPr>
          </w:p>
        </w:tc>
        <w:tc>
          <w:tcPr>
            <w:tcW w:w="340" w:type="dxa"/>
            <w:vAlign w:val="bottom"/>
            <w:tcBorders>
              <w:top w:val="single" w:sz="8" w:color="CCEEFF"/>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spacing w:after="0"/>
              <w:rPr>
                <w:sz w:val="14"/>
                <w:szCs w:val="14"/>
                <w:color w:val="auto"/>
              </w:rPr>
            </w:pPr>
          </w:p>
        </w:tc>
        <w:tc>
          <w:tcPr>
            <w:tcW w:w="340" w:type="dxa"/>
            <w:vAlign w:val="bottom"/>
            <w:tcBorders>
              <w:top w:val="single" w:sz="8" w:color="CCEEFF"/>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spacing w:after="0"/>
              <w:rPr>
                <w:sz w:val="14"/>
                <w:szCs w:val="14"/>
                <w:color w:val="auto"/>
              </w:rPr>
            </w:pPr>
          </w:p>
        </w:tc>
        <w:tc>
          <w:tcPr>
            <w:tcW w:w="340" w:type="dxa"/>
            <w:vAlign w:val="bottom"/>
            <w:tcBorders>
              <w:top w:val="single" w:sz="8" w:color="CCEEFF"/>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spacing w:after="0"/>
              <w:rPr>
                <w:sz w:val="14"/>
                <w:szCs w:val="14"/>
                <w:color w:val="auto"/>
              </w:rPr>
            </w:pPr>
          </w:p>
        </w:tc>
      </w:tr>
      <w:tr>
        <w:trPr>
          <w:trHeight w:val="178"/>
        </w:trPr>
        <w:tc>
          <w:tcPr>
            <w:tcW w:w="3000" w:type="dxa"/>
            <w:vAlign w:val="bottom"/>
          </w:tcPr>
          <w:p>
            <w:pPr>
              <w:ind w:left="40"/>
              <w:spacing w:after="0"/>
              <w:rPr>
                <w:sz w:val="20"/>
                <w:szCs w:val="20"/>
                <w:color w:val="auto"/>
              </w:rPr>
            </w:pPr>
            <w:r>
              <w:rPr>
                <w:rFonts w:ascii="Arial" w:cs="Arial" w:eastAsia="Arial" w:hAnsi="Arial"/>
                <w:sz w:val="11"/>
                <w:szCs w:val="11"/>
                <w:color w:val="auto"/>
              </w:rPr>
              <w:t>4th Quarter</w:t>
            </w:r>
          </w:p>
        </w:tc>
        <w:tc>
          <w:tcPr>
            <w:tcW w:w="540" w:type="dxa"/>
            <w:vAlign w:val="bottom"/>
          </w:tcPr>
          <w:p>
            <w:pPr>
              <w:jc w:val="right"/>
              <w:ind w:right="146"/>
              <w:spacing w:after="0"/>
              <w:rPr>
                <w:sz w:val="20"/>
                <w:szCs w:val="20"/>
                <w:color w:val="auto"/>
              </w:rPr>
            </w:pPr>
            <w:r>
              <w:rPr>
                <w:rFonts w:ascii="Arial" w:cs="Arial" w:eastAsia="Arial" w:hAnsi="Arial"/>
                <w:sz w:val="11"/>
                <w:szCs w:val="11"/>
                <w:color w:val="auto"/>
              </w:rPr>
              <w:t>$</w:t>
            </w:r>
          </w:p>
        </w:tc>
        <w:tc>
          <w:tcPr>
            <w:tcW w:w="780" w:type="dxa"/>
            <w:vAlign w:val="bottom"/>
          </w:tcPr>
          <w:p>
            <w:pPr>
              <w:jc w:val="center"/>
              <w:ind w:left="126"/>
              <w:spacing w:after="0"/>
              <w:rPr>
                <w:sz w:val="20"/>
                <w:szCs w:val="20"/>
                <w:color w:val="auto"/>
              </w:rPr>
            </w:pPr>
            <w:r>
              <w:rPr>
                <w:rFonts w:ascii="Arial" w:cs="Arial" w:eastAsia="Arial" w:hAnsi="Arial"/>
                <w:sz w:val="11"/>
                <w:szCs w:val="11"/>
                <w:color w:val="auto"/>
                <w:w w:val="87"/>
              </w:rPr>
              <w:t>16.21</w:t>
            </w:r>
          </w:p>
        </w:tc>
        <w:tc>
          <w:tcPr>
            <w:tcW w:w="1260" w:type="dxa"/>
            <w:vAlign w:val="bottom"/>
            <w:gridSpan w:val="3"/>
          </w:tcPr>
          <w:p>
            <w:pPr>
              <w:jc w:val="right"/>
              <w:ind w:right="180"/>
              <w:spacing w:after="0"/>
              <w:rPr>
                <w:sz w:val="20"/>
                <w:szCs w:val="20"/>
                <w:color w:val="auto"/>
              </w:rPr>
            </w:pPr>
            <w:r>
              <w:rPr>
                <w:rFonts w:ascii="Arial" w:cs="Arial" w:eastAsia="Arial" w:hAnsi="Arial"/>
                <w:sz w:val="11"/>
                <w:szCs w:val="11"/>
                <w:color w:val="auto"/>
              </w:rPr>
              <w:t>$</w:t>
            </w:r>
          </w:p>
        </w:tc>
        <w:tc>
          <w:tcPr>
            <w:tcW w:w="1060" w:type="dxa"/>
            <w:vAlign w:val="bottom"/>
          </w:tcPr>
          <w:p>
            <w:pPr>
              <w:jc w:val="center"/>
              <w:ind w:right="166"/>
              <w:spacing w:after="0"/>
              <w:rPr>
                <w:sz w:val="20"/>
                <w:szCs w:val="20"/>
                <w:color w:val="auto"/>
              </w:rPr>
            </w:pPr>
            <w:r>
              <w:rPr>
                <w:rFonts w:ascii="Arial" w:cs="Arial" w:eastAsia="Arial" w:hAnsi="Arial"/>
                <w:sz w:val="11"/>
                <w:szCs w:val="11"/>
                <w:color w:val="auto"/>
                <w:w w:val="87"/>
              </w:rPr>
              <w:t>13.11</w:t>
            </w:r>
          </w:p>
        </w:tc>
        <w:tc>
          <w:tcPr>
            <w:tcW w:w="340" w:type="dxa"/>
            <w:vAlign w:val="bottom"/>
          </w:tcPr>
          <w:p>
            <w:pPr>
              <w:spacing w:after="0"/>
              <w:rPr>
                <w:sz w:val="15"/>
                <w:szCs w:val="15"/>
                <w:color w:val="auto"/>
              </w:rPr>
            </w:pPr>
          </w:p>
        </w:tc>
        <w:tc>
          <w:tcPr>
            <w:tcW w:w="540" w:type="dxa"/>
            <w:vAlign w:val="bottom"/>
          </w:tcPr>
          <w:p>
            <w:pPr>
              <w:jc w:val="right"/>
              <w:ind w:right="146"/>
              <w:spacing w:after="0"/>
              <w:rPr>
                <w:sz w:val="20"/>
                <w:szCs w:val="20"/>
                <w:color w:val="auto"/>
              </w:rPr>
            </w:pPr>
            <w:r>
              <w:rPr>
                <w:rFonts w:ascii="Arial" w:cs="Arial" w:eastAsia="Arial" w:hAnsi="Arial"/>
                <w:sz w:val="11"/>
                <w:szCs w:val="11"/>
                <w:color w:val="auto"/>
              </w:rPr>
              <w:t>$</w:t>
            </w:r>
          </w:p>
        </w:tc>
        <w:tc>
          <w:tcPr>
            <w:tcW w:w="780" w:type="dxa"/>
            <w:vAlign w:val="bottom"/>
          </w:tcPr>
          <w:p>
            <w:pPr>
              <w:jc w:val="right"/>
              <w:ind w:right="126"/>
              <w:spacing w:after="0"/>
              <w:rPr>
                <w:sz w:val="20"/>
                <w:szCs w:val="20"/>
                <w:color w:val="auto"/>
              </w:rPr>
            </w:pPr>
            <w:r>
              <w:rPr>
                <w:rFonts w:ascii="Arial" w:cs="Arial" w:eastAsia="Arial" w:hAnsi="Arial"/>
                <w:sz w:val="11"/>
                <w:szCs w:val="11"/>
                <w:color w:val="auto"/>
              </w:rPr>
              <w:t>17.81</w:t>
            </w:r>
          </w:p>
        </w:tc>
        <w:tc>
          <w:tcPr>
            <w:tcW w:w="1260" w:type="dxa"/>
            <w:vAlign w:val="bottom"/>
            <w:gridSpan w:val="3"/>
          </w:tcPr>
          <w:p>
            <w:pPr>
              <w:jc w:val="right"/>
              <w:ind w:right="180"/>
              <w:spacing w:after="0"/>
              <w:rPr>
                <w:sz w:val="20"/>
                <w:szCs w:val="20"/>
                <w:color w:val="auto"/>
              </w:rPr>
            </w:pPr>
            <w:r>
              <w:rPr>
                <w:rFonts w:ascii="Arial" w:cs="Arial" w:eastAsia="Arial" w:hAnsi="Arial"/>
                <w:sz w:val="11"/>
                <w:szCs w:val="11"/>
                <w:color w:val="auto"/>
              </w:rPr>
              <w:t>$</w:t>
            </w:r>
          </w:p>
        </w:tc>
        <w:tc>
          <w:tcPr>
            <w:tcW w:w="1060" w:type="dxa"/>
            <w:vAlign w:val="bottom"/>
          </w:tcPr>
          <w:p>
            <w:pPr>
              <w:jc w:val="center"/>
              <w:ind w:right="166"/>
              <w:spacing w:after="0"/>
              <w:rPr>
                <w:sz w:val="20"/>
                <w:szCs w:val="20"/>
                <w:color w:val="auto"/>
              </w:rPr>
            </w:pPr>
            <w:r>
              <w:rPr>
                <w:rFonts w:ascii="Arial" w:cs="Arial" w:eastAsia="Arial" w:hAnsi="Arial"/>
                <w:sz w:val="11"/>
                <w:szCs w:val="11"/>
                <w:color w:val="auto"/>
                <w:w w:val="87"/>
              </w:rPr>
              <w:t>11.15</w:t>
            </w:r>
          </w:p>
        </w:tc>
      </w:tr>
      <w:tr>
        <w:trPr>
          <w:trHeight w:val="182"/>
        </w:trPr>
        <w:tc>
          <w:tcPr>
            <w:tcW w:w="3000" w:type="dxa"/>
            <w:vAlign w:val="bottom"/>
            <w:shd w:val="clear" w:color="auto" w:fill="CCEEFF"/>
          </w:tcPr>
          <w:p>
            <w:pPr>
              <w:ind w:left="40"/>
              <w:spacing w:after="0"/>
              <w:rPr>
                <w:sz w:val="20"/>
                <w:szCs w:val="20"/>
                <w:color w:val="auto"/>
              </w:rPr>
            </w:pPr>
            <w:r>
              <w:rPr>
                <w:rFonts w:ascii="Arial" w:cs="Arial" w:eastAsia="Arial" w:hAnsi="Arial"/>
                <w:sz w:val="11"/>
                <w:szCs w:val="11"/>
                <w:color w:val="auto"/>
              </w:rPr>
              <w:t>3rd Quarter</w:t>
            </w:r>
          </w:p>
        </w:tc>
        <w:tc>
          <w:tcPr>
            <w:tcW w:w="540" w:type="dxa"/>
            <w:vAlign w:val="bottom"/>
            <w:shd w:val="clear" w:color="auto" w:fill="CCEEFF"/>
          </w:tcPr>
          <w:p>
            <w:pPr>
              <w:spacing w:after="0"/>
              <w:rPr>
                <w:sz w:val="15"/>
                <w:szCs w:val="15"/>
                <w:color w:val="auto"/>
              </w:rPr>
            </w:pPr>
          </w:p>
        </w:tc>
        <w:tc>
          <w:tcPr>
            <w:tcW w:w="780" w:type="dxa"/>
            <w:vAlign w:val="bottom"/>
            <w:shd w:val="clear" w:color="auto" w:fill="CCEEFF"/>
          </w:tcPr>
          <w:p>
            <w:pPr>
              <w:jc w:val="center"/>
              <w:ind w:left="126"/>
              <w:spacing w:after="0"/>
              <w:rPr>
                <w:sz w:val="20"/>
                <w:szCs w:val="20"/>
                <w:color w:val="auto"/>
              </w:rPr>
            </w:pPr>
            <w:r>
              <w:rPr>
                <w:rFonts w:ascii="Arial" w:cs="Arial" w:eastAsia="Arial" w:hAnsi="Arial"/>
                <w:sz w:val="11"/>
                <w:szCs w:val="11"/>
                <w:color w:val="auto"/>
                <w:w w:val="87"/>
              </w:rPr>
              <w:t>14.15</w:t>
            </w:r>
          </w:p>
        </w:tc>
        <w:tc>
          <w:tcPr>
            <w:tcW w:w="4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60" w:type="dxa"/>
            <w:vAlign w:val="bottom"/>
            <w:shd w:val="clear" w:color="auto" w:fill="CCEEFF"/>
          </w:tcPr>
          <w:p>
            <w:pPr>
              <w:jc w:val="center"/>
              <w:ind w:right="166"/>
              <w:spacing w:after="0"/>
              <w:rPr>
                <w:sz w:val="20"/>
                <w:szCs w:val="20"/>
                <w:color w:val="auto"/>
              </w:rPr>
            </w:pPr>
            <w:r>
              <w:rPr>
                <w:rFonts w:ascii="Arial" w:cs="Arial" w:eastAsia="Arial" w:hAnsi="Arial"/>
                <w:sz w:val="11"/>
                <w:szCs w:val="11"/>
                <w:color w:val="auto"/>
                <w:w w:val="87"/>
              </w:rPr>
              <w:t>11.78</w:t>
            </w:r>
          </w:p>
        </w:tc>
        <w:tc>
          <w:tcPr>
            <w:tcW w:w="3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126"/>
              <w:spacing w:after="0"/>
              <w:rPr>
                <w:sz w:val="20"/>
                <w:szCs w:val="20"/>
                <w:color w:val="auto"/>
              </w:rPr>
            </w:pPr>
            <w:r>
              <w:rPr>
                <w:rFonts w:ascii="Arial" w:cs="Arial" w:eastAsia="Arial" w:hAnsi="Arial"/>
                <w:sz w:val="11"/>
                <w:szCs w:val="11"/>
                <w:color w:val="auto"/>
              </w:rPr>
              <w:t>15.50</w:t>
            </w:r>
          </w:p>
        </w:tc>
        <w:tc>
          <w:tcPr>
            <w:tcW w:w="4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60" w:type="dxa"/>
            <w:vAlign w:val="bottom"/>
            <w:shd w:val="clear" w:color="auto" w:fill="CCEEFF"/>
          </w:tcPr>
          <w:p>
            <w:pPr>
              <w:jc w:val="center"/>
              <w:ind w:right="146"/>
              <w:spacing w:after="0"/>
              <w:rPr>
                <w:sz w:val="20"/>
                <w:szCs w:val="20"/>
                <w:color w:val="auto"/>
              </w:rPr>
            </w:pPr>
            <w:r>
              <w:rPr>
                <w:rFonts w:ascii="Arial" w:cs="Arial" w:eastAsia="Arial" w:hAnsi="Arial"/>
                <w:sz w:val="11"/>
                <w:szCs w:val="11"/>
                <w:color w:val="auto"/>
                <w:w w:val="94"/>
              </w:rPr>
              <w:t>13.00</w:t>
            </w:r>
          </w:p>
        </w:tc>
      </w:tr>
      <w:tr>
        <w:trPr>
          <w:trHeight w:val="178"/>
        </w:trPr>
        <w:tc>
          <w:tcPr>
            <w:tcW w:w="3000" w:type="dxa"/>
            <w:vAlign w:val="bottom"/>
          </w:tcPr>
          <w:p>
            <w:pPr>
              <w:ind w:left="40"/>
              <w:spacing w:after="0"/>
              <w:rPr>
                <w:sz w:val="20"/>
                <w:szCs w:val="20"/>
                <w:color w:val="auto"/>
              </w:rPr>
            </w:pPr>
            <w:r>
              <w:rPr>
                <w:rFonts w:ascii="Arial" w:cs="Arial" w:eastAsia="Arial" w:hAnsi="Arial"/>
                <w:sz w:val="11"/>
                <w:szCs w:val="11"/>
                <w:color w:val="auto"/>
              </w:rPr>
              <w:t>2nd Quarter</w:t>
            </w:r>
          </w:p>
        </w:tc>
        <w:tc>
          <w:tcPr>
            <w:tcW w:w="540" w:type="dxa"/>
            <w:vAlign w:val="bottom"/>
          </w:tcPr>
          <w:p>
            <w:pPr>
              <w:spacing w:after="0"/>
              <w:rPr>
                <w:sz w:val="15"/>
                <w:szCs w:val="15"/>
                <w:color w:val="auto"/>
              </w:rPr>
            </w:pPr>
          </w:p>
        </w:tc>
        <w:tc>
          <w:tcPr>
            <w:tcW w:w="780" w:type="dxa"/>
            <w:vAlign w:val="bottom"/>
          </w:tcPr>
          <w:p>
            <w:pPr>
              <w:jc w:val="center"/>
              <w:ind w:left="126"/>
              <w:spacing w:after="0"/>
              <w:rPr>
                <w:sz w:val="20"/>
                <w:szCs w:val="20"/>
                <w:color w:val="auto"/>
              </w:rPr>
            </w:pPr>
            <w:r>
              <w:rPr>
                <w:rFonts w:ascii="Arial" w:cs="Arial" w:eastAsia="Arial" w:hAnsi="Arial"/>
                <w:sz w:val="11"/>
                <w:szCs w:val="11"/>
                <w:color w:val="auto"/>
                <w:w w:val="87"/>
              </w:rPr>
              <w:t>14.06</w:t>
            </w:r>
          </w:p>
        </w:tc>
        <w:tc>
          <w:tcPr>
            <w:tcW w:w="4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60" w:type="dxa"/>
            <w:vAlign w:val="bottom"/>
          </w:tcPr>
          <w:p>
            <w:pPr>
              <w:jc w:val="center"/>
              <w:ind w:right="166"/>
              <w:spacing w:after="0"/>
              <w:rPr>
                <w:sz w:val="20"/>
                <w:szCs w:val="20"/>
                <w:color w:val="auto"/>
              </w:rPr>
            </w:pPr>
            <w:r>
              <w:rPr>
                <w:rFonts w:ascii="Arial" w:cs="Arial" w:eastAsia="Arial" w:hAnsi="Arial"/>
                <w:sz w:val="11"/>
                <w:szCs w:val="11"/>
                <w:color w:val="auto"/>
                <w:w w:val="87"/>
              </w:rPr>
              <w:t>13.07</w:t>
            </w:r>
          </w:p>
        </w:tc>
        <w:tc>
          <w:tcPr>
            <w:tcW w:w="3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80" w:type="dxa"/>
            <w:vAlign w:val="bottom"/>
          </w:tcPr>
          <w:p>
            <w:pPr>
              <w:jc w:val="right"/>
              <w:ind w:right="126"/>
              <w:spacing w:after="0"/>
              <w:rPr>
                <w:sz w:val="20"/>
                <w:szCs w:val="20"/>
                <w:color w:val="auto"/>
              </w:rPr>
            </w:pPr>
            <w:r>
              <w:rPr>
                <w:rFonts w:ascii="Arial" w:cs="Arial" w:eastAsia="Arial" w:hAnsi="Arial"/>
                <w:sz w:val="11"/>
                <w:szCs w:val="11"/>
                <w:color w:val="auto"/>
              </w:rPr>
              <w:t>15.20</w:t>
            </w:r>
          </w:p>
        </w:tc>
        <w:tc>
          <w:tcPr>
            <w:tcW w:w="4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60" w:type="dxa"/>
            <w:vAlign w:val="bottom"/>
          </w:tcPr>
          <w:p>
            <w:pPr>
              <w:jc w:val="center"/>
              <w:ind w:right="146"/>
              <w:spacing w:after="0"/>
              <w:rPr>
                <w:sz w:val="20"/>
                <w:szCs w:val="20"/>
                <w:color w:val="auto"/>
              </w:rPr>
            </w:pPr>
            <w:r>
              <w:rPr>
                <w:rFonts w:ascii="Arial" w:cs="Arial" w:eastAsia="Arial" w:hAnsi="Arial"/>
                <w:sz w:val="11"/>
                <w:szCs w:val="11"/>
                <w:color w:val="auto"/>
                <w:w w:val="94"/>
              </w:rPr>
              <w:t>13.00</w:t>
            </w:r>
          </w:p>
        </w:tc>
      </w:tr>
      <w:tr>
        <w:trPr>
          <w:trHeight w:val="182"/>
        </w:trPr>
        <w:tc>
          <w:tcPr>
            <w:tcW w:w="3000" w:type="dxa"/>
            <w:vAlign w:val="bottom"/>
            <w:shd w:val="clear" w:color="auto" w:fill="CCEEFF"/>
          </w:tcPr>
          <w:p>
            <w:pPr>
              <w:ind w:left="40"/>
              <w:spacing w:after="0"/>
              <w:rPr>
                <w:sz w:val="20"/>
                <w:szCs w:val="20"/>
                <w:color w:val="auto"/>
              </w:rPr>
            </w:pPr>
            <w:r>
              <w:rPr>
                <w:rFonts w:ascii="Arial" w:cs="Arial" w:eastAsia="Arial" w:hAnsi="Arial"/>
                <w:sz w:val="11"/>
                <w:szCs w:val="11"/>
                <w:color w:val="auto"/>
              </w:rPr>
              <w:t>1st Quarter</w:t>
            </w:r>
          </w:p>
        </w:tc>
        <w:tc>
          <w:tcPr>
            <w:tcW w:w="540" w:type="dxa"/>
            <w:vAlign w:val="bottom"/>
            <w:shd w:val="clear" w:color="auto" w:fill="CCEEFF"/>
          </w:tcPr>
          <w:p>
            <w:pPr>
              <w:spacing w:after="0"/>
              <w:rPr>
                <w:sz w:val="15"/>
                <w:szCs w:val="15"/>
                <w:color w:val="auto"/>
              </w:rPr>
            </w:pPr>
          </w:p>
        </w:tc>
        <w:tc>
          <w:tcPr>
            <w:tcW w:w="780" w:type="dxa"/>
            <w:vAlign w:val="bottom"/>
            <w:shd w:val="clear" w:color="auto" w:fill="CCEEFF"/>
          </w:tcPr>
          <w:p>
            <w:pPr>
              <w:jc w:val="center"/>
              <w:ind w:left="126"/>
              <w:spacing w:after="0"/>
              <w:rPr>
                <w:sz w:val="20"/>
                <w:szCs w:val="20"/>
                <w:color w:val="auto"/>
              </w:rPr>
            </w:pPr>
            <w:r>
              <w:rPr>
                <w:rFonts w:ascii="Arial" w:cs="Arial" w:eastAsia="Arial" w:hAnsi="Arial"/>
                <w:sz w:val="11"/>
                <w:szCs w:val="11"/>
                <w:color w:val="auto"/>
                <w:w w:val="87"/>
              </w:rPr>
              <w:t>13.65</w:t>
            </w:r>
          </w:p>
        </w:tc>
        <w:tc>
          <w:tcPr>
            <w:tcW w:w="4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60" w:type="dxa"/>
            <w:vAlign w:val="bottom"/>
            <w:shd w:val="clear" w:color="auto" w:fill="CCEEFF"/>
          </w:tcPr>
          <w:p>
            <w:pPr>
              <w:jc w:val="center"/>
              <w:ind w:right="166"/>
              <w:spacing w:after="0"/>
              <w:rPr>
                <w:sz w:val="20"/>
                <w:szCs w:val="20"/>
                <w:color w:val="auto"/>
              </w:rPr>
            </w:pPr>
            <w:r>
              <w:rPr>
                <w:rFonts w:ascii="Arial" w:cs="Arial" w:eastAsia="Arial" w:hAnsi="Arial"/>
                <w:sz w:val="11"/>
                <w:szCs w:val="11"/>
                <w:color w:val="auto"/>
                <w:w w:val="87"/>
              </w:rPr>
              <w:t>11.97</w:t>
            </w:r>
          </w:p>
        </w:tc>
        <w:tc>
          <w:tcPr>
            <w:tcW w:w="3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126"/>
              <w:spacing w:after="0"/>
              <w:rPr>
                <w:sz w:val="20"/>
                <w:szCs w:val="20"/>
                <w:color w:val="auto"/>
              </w:rPr>
            </w:pPr>
            <w:r>
              <w:rPr>
                <w:rFonts w:ascii="Arial" w:cs="Arial" w:eastAsia="Arial" w:hAnsi="Arial"/>
                <w:sz w:val="11"/>
                <w:szCs w:val="11"/>
                <w:color w:val="auto"/>
              </w:rPr>
              <w:t>13.79</w:t>
            </w:r>
          </w:p>
        </w:tc>
        <w:tc>
          <w:tcPr>
            <w:tcW w:w="4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60" w:type="dxa"/>
            <w:vAlign w:val="bottom"/>
            <w:shd w:val="clear" w:color="auto" w:fill="CCEEFF"/>
          </w:tcPr>
          <w:p>
            <w:pPr>
              <w:jc w:val="center"/>
              <w:ind w:right="146"/>
              <w:spacing w:after="0"/>
              <w:rPr>
                <w:sz w:val="20"/>
                <w:szCs w:val="20"/>
                <w:color w:val="auto"/>
              </w:rPr>
            </w:pPr>
            <w:r>
              <w:rPr>
                <w:rFonts w:ascii="Arial" w:cs="Arial" w:eastAsia="Arial" w:hAnsi="Arial"/>
                <w:sz w:val="11"/>
                <w:szCs w:val="11"/>
                <w:color w:val="auto"/>
                <w:w w:val="94"/>
              </w:rPr>
              <w:t>12.16</w:t>
            </w:r>
          </w:p>
        </w:tc>
      </w:tr>
      <w:tr>
        <w:trPr>
          <w:trHeight w:val="178"/>
        </w:trPr>
        <w:tc>
          <w:tcPr>
            <w:tcW w:w="3000" w:type="dxa"/>
            <w:vAlign w:val="bottom"/>
          </w:tcPr>
          <w:p>
            <w:pPr>
              <w:spacing w:after="0"/>
              <w:rPr>
                <w:sz w:val="20"/>
                <w:szCs w:val="20"/>
                <w:color w:val="auto"/>
              </w:rPr>
            </w:pPr>
            <w:r>
              <w:rPr>
                <w:rFonts w:ascii="Arial" w:cs="Arial" w:eastAsia="Arial" w:hAnsi="Arial"/>
                <w:sz w:val="11"/>
                <w:szCs w:val="11"/>
                <w:b w:val="1"/>
                <w:bCs w:val="1"/>
                <w:color w:val="auto"/>
              </w:rPr>
              <w:t>2014(1)</w:t>
            </w:r>
          </w:p>
        </w:tc>
        <w:tc>
          <w:tcPr>
            <w:tcW w:w="5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82"/>
        </w:trPr>
        <w:tc>
          <w:tcPr>
            <w:tcW w:w="3000" w:type="dxa"/>
            <w:vAlign w:val="bottom"/>
            <w:shd w:val="clear" w:color="auto" w:fill="CCEEFF"/>
          </w:tcPr>
          <w:p>
            <w:pPr>
              <w:ind w:left="40"/>
              <w:spacing w:after="0"/>
              <w:rPr>
                <w:sz w:val="20"/>
                <w:szCs w:val="20"/>
                <w:color w:val="auto"/>
              </w:rPr>
            </w:pPr>
            <w:r>
              <w:rPr>
                <w:rFonts w:ascii="Arial" w:cs="Arial" w:eastAsia="Arial" w:hAnsi="Arial"/>
                <w:sz w:val="11"/>
                <w:szCs w:val="11"/>
                <w:color w:val="auto"/>
              </w:rPr>
              <w:t>4th Quarter</w:t>
            </w:r>
          </w:p>
        </w:tc>
        <w:tc>
          <w:tcPr>
            <w:tcW w:w="540" w:type="dxa"/>
            <w:vAlign w:val="bottom"/>
            <w:shd w:val="clear" w:color="auto" w:fill="CCEEFF"/>
          </w:tcPr>
          <w:p>
            <w:pPr>
              <w:jc w:val="right"/>
              <w:ind w:right="146"/>
              <w:spacing w:after="0"/>
              <w:rPr>
                <w:sz w:val="20"/>
                <w:szCs w:val="20"/>
                <w:color w:val="auto"/>
              </w:rPr>
            </w:pPr>
            <w:r>
              <w:rPr>
                <w:rFonts w:ascii="Arial" w:cs="Arial" w:eastAsia="Arial" w:hAnsi="Arial"/>
                <w:sz w:val="11"/>
                <w:szCs w:val="11"/>
                <w:color w:val="auto"/>
              </w:rPr>
              <w:t>$</w:t>
            </w:r>
          </w:p>
        </w:tc>
        <w:tc>
          <w:tcPr>
            <w:tcW w:w="780" w:type="dxa"/>
            <w:vAlign w:val="bottom"/>
            <w:shd w:val="clear" w:color="auto" w:fill="CCEEFF"/>
          </w:tcPr>
          <w:p>
            <w:pPr>
              <w:jc w:val="center"/>
              <w:ind w:left="126"/>
              <w:spacing w:after="0"/>
              <w:rPr>
                <w:sz w:val="20"/>
                <w:szCs w:val="20"/>
                <w:color w:val="auto"/>
              </w:rPr>
            </w:pPr>
            <w:r>
              <w:rPr>
                <w:rFonts w:ascii="Arial" w:cs="Arial" w:eastAsia="Arial" w:hAnsi="Arial"/>
                <w:sz w:val="11"/>
                <w:szCs w:val="11"/>
                <w:color w:val="auto"/>
                <w:w w:val="87"/>
              </w:rPr>
              <w:t>13.26</w:t>
            </w:r>
          </w:p>
        </w:tc>
        <w:tc>
          <w:tcPr>
            <w:tcW w:w="1260" w:type="dxa"/>
            <w:vAlign w:val="bottom"/>
            <w:gridSpan w:val="3"/>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1060" w:type="dxa"/>
            <w:vAlign w:val="bottom"/>
            <w:shd w:val="clear" w:color="auto" w:fill="CCEEFF"/>
          </w:tcPr>
          <w:p>
            <w:pPr>
              <w:jc w:val="center"/>
              <w:ind w:right="166"/>
              <w:spacing w:after="0"/>
              <w:rPr>
                <w:sz w:val="20"/>
                <w:szCs w:val="20"/>
                <w:color w:val="auto"/>
              </w:rPr>
            </w:pPr>
            <w:r>
              <w:rPr>
                <w:rFonts w:ascii="Arial" w:cs="Arial" w:eastAsia="Arial" w:hAnsi="Arial"/>
                <w:sz w:val="11"/>
                <w:szCs w:val="11"/>
                <w:color w:val="auto"/>
                <w:w w:val="93"/>
              </w:rPr>
              <w:t>8.31</w:t>
            </w:r>
          </w:p>
        </w:tc>
        <w:tc>
          <w:tcPr>
            <w:tcW w:w="34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146"/>
              <w:spacing w:after="0"/>
              <w:rPr>
                <w:sz w:val="20"/>
                <w:szCs w:val="20"/>
                <w:color w:val="auto"/>
              </w:rPr>
            </w:pPr>
            <w:r>
              <w:rPr>
                <w:rFonts w:ascii="Arial" w:cs="Arial" w:eastAsia="Arial" w:hAnsi="Arial"/>
                <w:sz w:val="11"/>
                <w:szCs w:val="11"/>
                <w:color w:val="auto"/>
              </w:rPr>
              <w:t>$</w:t>
            </w:r>
          </w:p>
        </w:tc>
        <w:tc>
          <w:tcPr>
            <w:tcW w:w="780" w:type="dxa"/>
            <w:vAlign w:val="bottom"/>
            <w:shd w:val="clear" w:color="auto" w:fill="CCEEFF"/>
          </w:tcPr>
          <w:p>
            <w:pPr>
              <w:jc w:val="right"/>
              <w:ind w:right="126"/>
              <w:spacing w:after="0"/>
              <w:rPr>
                <w:sz w:val="20"/>
                <w:szCs w:val="20"/>
                <w:color w:val="auto"/>
              </w:rPr>
            </w:pPr>
            <w:r>
              <w:rPr>
                <w:rFonts w:ascii="Arial" w:cs="Arial" w:eastAsia="Arial" w:hAnsi="Arial"/>
                <w:sz w:val="11"/>
                <w:szCs w:val="11"/>
                <w:color w:val="auto"/>
              </w:rPr>
              <w:t>13.00</w:t>
            </w:r>
          </w:p>
        </w:tc>
        <w:tc>
          <w:tcPr>
            <w:tcW w:w="1260" w:type="dxa"/>
            <w:vAlign w:val="bottom"/>
            <w:gridSpan w:val="3"/>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1060" w:type="dxa"/>
            <w:vAlign w:val="bottom"/>
            <w:shd w:val="clear" w:color="auto" w:fill="CCEEFF"/>
          </w:tcPr>
          <w:p>
            <w:pPr>
              <w:jc w:val="center"/>
              <w:ind w:right="146"/>
              <w:spacing w:after="0"/>
              <w:rPr>
                <w:sz w:val="20"/>
                <w:szCs w:val="20"/>
                <w:color w:val="auto"/>
              </w:rPr>
            </w:pPr>
            <w:r>
              <w:rPr>
                <w:rFonts w:ascii="Arial" w:cs="Arial" w:eastAsia="Arial" w:hAnsi="Arial"/>
                <w:sz w:val="11"/>
                <w:szCs w:val="11"/>
                <w:color w:val="auto"/>
                <w:w w:val="83"/>
              </w:rPr>
              <w:t>9.50</w:t>
            </w:r>
          </w:p>
        </w:tc>
      </w:tr>
      <w:tr>
        <w:trPr>
          <w:trHeight w:val="178"/>
        </w:trPr>
        <w:tc>
          <w:tcPr>
            <w:tcW w:w="3000" w:type="dxa"/>
            <w:vAlign w:val="bottom"/>
          </w:tcPr>
          <w:p>
            <w:pPr>
              <w:ind w:left="40"/>
              <w:spacing w:after="0"/>
              <w:rPr>
                <w:sz w:val="20"/>
                <w:szCs w:val="20"/>
                <w:color w:val="auto"/>
              </w:rPr>
            </w:pPr>
            <w:r>
              <w:rPr>
                <w:rFonts w:ascii="Arial" w:cs="Arial" w:eastAsia="Arial" w:hAnsi="Arial"/>
                <w:sz w:val="11"/>
                <w:szCs w:val="11"/>
                <w:color w:val="auto"/>
              </w:rPr>
              <w:t>3rd Quarter</w:t>
            </w:r>
          </w:p>
        </w:tc>
        <w:tc>
          <w:tcPr>
            <w:tcW w:w="540" w:type="dxa"/>
            <w:vAlign w:val="bottom"/>
          </w:tcPr>
          <w:p>
            <w:pPr>
              <w:spacing w:after="0"/>
              <w:rPr>
                <w:sz w:val="15"/>
                <w:szCs w:val="15"/>
                <w:color w:val="auto"/>
              </w:rPr>
            </w:pPr>
          </w:p>
        </w:tc>
        <w:tc>
          <w:tcPr>
            <w:tcW w:w="780" w:type="dxa"/>
            <w:vAlign w:val="bottom"/>
          </w:tcPr>
          <w:p>
            <w:pPr>
              <w:jc w:val="center"/>
              <w:ind w:left="126"/>
              <w:spacing w:after="0"/>
              <w:rPr>
                <w:sz w:val="20"/>
                <w:szCs w:val="20"/>
                <w:color w:val="auto"/>
              </w:rPr>
            </w:pPr>
            <w:r>
              <w:rPr>
                <w:rFonts w:ascii="Arial" w:cs="Arial" w:eastAsia="Arial" w:hAnsi="Arial"/>
                <w:sz w:val="11"/>
                <w:szCs w:val="11"/>
                <w:color w:val="auto"/>
                <w:w w:val="93"/>
              </w:rPr>
              <w:t>8.84</w:t>
            </w:r>
          </w:p>
        </w:tc>
        <w:tc>
          <w:tcPr>
            <w:tcW w:w="4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60" w:type="dxa"/>
            <w:vAlign w:val="bottom"/>
          </w:tcPr>
          <w:p>
            <w:pPr>
              <w:jc w:val="center"/>
              <w:ind w:right="166"/>
              <w:spacing w:after="0"/>
              <w:rPr>
                <w:sz w:val="20"/>
                <w:szCs w:val="20"/>
                <w:color w:val="auto"/>
              </w:rPr>
            </w:pPr>
            <w:r>
              <w:rPr>
                <w:rFonts w:ascii="Arial" w:cs="Arial" w:eastAsia="Arial" w:hAnsi="Arial"/>
                <w:sz w:val="11"/>
                <w:szCs w:val="11"/>
                <w:color w:val="auto"/>
                <w:w w:val="93"/>
              </w:rPr>
              <w:t>8.00</w:t>
            </w:r>
          </w:p>
        </w:tc>
        <w:tc>
          <w:tcPr>
            <w:tcW w:w="3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80" w:type="dxa"/>
            <w:vAlign w:val="bottom"/>
          </w:tcPr>
          <w:p>
            <w:pPr>
              <w:jc w:val="right"/>
              <w:ind w:right="126"/>
              <w:spacing w:after="0"/>
              <w:rPr>
                <w:sz w:val="20"/>
                <w:szCs w:val="20"/>
                <w:color w:val="auto"/>
              </w:rPr>
            </w:pPr>
            <w:r>
              <w:rPr>
                <w:rFonts w:ascii="Arial" w:cs="Arial" w:eastAsia="Arial" w:hAnsi="Arial"/>
                <w:sz w:val="11"/>
                <w:szCs w:val="11"/>
                <w:color w:val="auto"/>
              </w:rPr>
              <w:t>11.50</w:t>
            </w:r>
          </w:p>
        </w:tc>
        <w:tc>
          <w:tcPr>
            <w:tcW w:w="4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60" w:type="dxa"/>
            <w:vAlign w:val="bottom"/>
          </w:tcPr>
          <w:p>
            <w:pPr>
              <w:jc w:val="center"/>
              <w:ind w:right="146"/>
              <w:spacing w:after="0"/>
              <w:rPr>
                <w:sz w:val="20"/>
                <w:szCs w:val="20"/>
                <w:color w:val="auto"/>
              </w:rPr>
            </w:pPr>
            <w:r>
              <w:rPr>
                <w:rFonts w:ascii="Arial" w:cs="Arial" w:eastAsia="Arial" w:hAnsi="Arial"/>
                <w:sz w:val="11"/>
                <w:szCs w:val="11"/>
                <w:color w:val="auto"/>
                <w:w w:val="83"/>
              </w:rPr>
              <w:t>9.70</w:t>
            </w:r>
          </w:p>
        </w:tc>
      </w:tr>
      <w:tr>
        <w:trPr>
          <w:trHeight w:val="182"/>
        </w:trPr>
        <w:tc>
          <w:tcPr>
            <w:tcW w:w="3000" w:type="dxa"/>
            <w:vAlign w:val="bottom"/>
            <w:shd w:val="clear" w:color="auto" w:fill="CCEEFF"/>
          </w:tcPr>
          <w:p>
            <w:pPr>
              <w:ind w:left="40"/>
              <w:spacing w:after="0"/>
              <w:rPr>
                <w:sz w:val="20"/>
                <w:szCs w:val="20"/>
                <w:color w:val="auto"/>
              </w:rPr>
            </w:pPr>
            <w:r>
              <w:rPr>
                <w:rFonts w:ascii="Arial" w:cs="Arial" w:eastAsia="Arial" w:hAnsi="Arial"/>
                <w:sz w:val="11"/>
                <w:szCs w:val="11"/>
                <w:color w:val="auto"/>
              </w:rPr>
              <w:t>2nd Quarter</w:t>
            </w:r>
          </w:p>
        </w:tc>
        <w:tc>
          <w:tcPr>
            <w:tcW w:w="540" w:type="dxa"/>
            <w:vAlign w:val="bottom"/>
            <w:shd w:val="clear" w:color="auto" w:fill="CCEEFF"/>
          </w:tcPr>
          <w:p>
            <w:pPr>
              <w:spacing w:after="0"/>
              <w:rPr>
                <w:sz w:val="15"/>
                <w:szCs w:val="15"/>
                <w:color w:val="auto"/>
              </w:rPr>
            </w:pPr>
          </w:p>
        </w:tc>
        <w:tc>
          <w:tcPr>
            <w:tcW w:w="780" w:type="dxa"/>
            <w:vAlign w:val="bottom"/>
            <w:shd w:val="clear" w:color="auto" w:fill="CCEEFF"/>
          </w:tcPr>
          <w:p>
            <w:pPr>
              <w:jc w:val="center"/>
              <w:ind w:left="126"/>
              <w:spacing w:after="0"/>
              <w:rPr>
                <w:sz w:val="20"/>
                <w:szCs w:val="20"/>
                <w:color w:val="auto"/>
              </w:rPr>
            </w:pPr>
            <w:r>
              <w:rPr>
                <w:rFonts w:ascii="Arial" w:cs="Arial" w:eastAsia="Arial" w:hAnsi="Arial"/>
                <w:sz w:val="11"/>
                <w:szCs w:val="11"/>
                <w:color w:val="auto"/>
                <w:w w:val="93"/>
              </w:rPr>
              <w:t>8.92</w:t>
            </w:r>
          </w:p>
        </w:tc>
        <w:tc>
          <w:tcPr>
            <w:tcW w:w="4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60" w:type="dxa"/>
            <w:vAlign w:val="bottom"/>
            <w:shd w:val="clear" w:color="auto" w:fill="CCEEFF"/>
          </w:tcPr>
          <w:p>
            <w:pPr>
              <w:jc w:val="center"/>
              <w:ind w:right="166"/>
              <w:spacing w:after="0"/>
              <w:rPr>
                <w:sz w:val="20"/>
                <w:szCs w:val="20"/>
                <w:color w:val="auto"/>
              </w:rPr>
            </w:pPr>
            <w:r>
              <w:rPr>
                <w:rFonts w:ascii="Arial" w:cs="Arial" w:eastAsia="Arial" w:hAnsi="Arial"/>
                <w:sz w:val="11"/>
                <w:szCs w:val="11"/>
                <w:color w:val="auto"/>
                <w:w w:val="93"/>
              </w:rPr>
              <w:t>6.96</w:t>
            </w:r>
          </w:p>
        </w:tc>
        <w:tc>
          <w:tcPr>
            <w:tcW w:w="3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126"/>
              <w:spacing w:after="0"/>
              <w:rPr>
                <w:sz w:val="20"/>
                <w:szCs w:val="20"/>
                <w:color w:val="auto"/>
              </w:rPr>
            </w:pPr>
            <w:r>
              <w:rPr>
                <w:rFonts w:ascii="Arial" w:cs="Arial" w:eastAsia="Arial" w:hAnsi="Arial"/>
                <w:sz w:val="11"/>
                <w:szCs w:val="11"/>
                <w:color w:val="auto"/>
              </w:rPr>
              <w:t>10.87</w:t>
            </w:r>
          </w:p>
        </w:tc>
        <w:tc>
          <w:tcPr>
            <w:tcW w:w="4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60" w:type="dxa"/>
            <w:vAlign w:val="bottom"/>
            <w:shd w:val="clear" w:color="auto" w:fill="CCEEFF"/>
          </w:tcPr>
          <w:p>
            <w:pPr>
              <w:jc w:val="center"/>
              <w:ind w:right="146"/>
              <w:spacing w:after="0"/>
              <w:rPr>
                <w:sz w:val="20"/>
                <w:szCs w:val="20"/>
                <w:color w:val="auto"/>
              </w:rPr>
            </w:pPr>
            <w:r>
              <w:rPr>
                <w:rFonts w:ascii="Arial" w:cs="Arial" w:eastAsia="Arial" w:hAnsi="Arial"/>
                <w:sz w:val="11"/>
                <w:szCs w:val="11"/>
                <w:color w:val="auto"/>
                <w:w w:val="83"/>
              </w:rPr>
              <w:t>8.11</w:t>
            </w:r>
          </w:p>
        </w:tc>
      </w:tr>
      <w:tr>
        <w:trPr>
          <w:trHeight w:val="176"/>
        </w:trPr>
        <w:tc>
          <w:tcPr>
            <w:tcW w:w="3000" w:type="dxa"/>
            <w:vAlign w:val="bottom"/>
          </w:tcPr>
          <w:p>
            <w:pPr>
              <w:ind w:left="40"/>
              <w:spacing w:after="0"/>
              <w:rPr>
                <w:sz w:val="20"/>
                <w:szCs w:val="20"/>
                <w:color w:val="auto"/>
              </w:rPr>
            </w:pPr>
            <w:r>
              <w:rPr>
                <w:rFonts w:ascii="Arial" w:cs="Arial" w:eastAsia="Arial" w:hAnsi="Arial"/>
                <w:sz w:val="11"/>
                <w:szCs w:val="11"/>
                <w:color w:val="auto"/>
              </w:rPr>
              <w:t>1st Quarter</w:t>
            </w:r>
          </w:p>
        </w:tc>
        <w:tc>
          <w:tcPr>
            <w:tcW w:w="540" w:type="dxa"/>
            <w:vAlign w:val="bottom"/>
          </w:tcPr>
          <w:p>
            <w:pPr>
              <w:spacing w:after="0"/>
              <w:rPr>
                <w:sz w:val="15"/>
                <w:szCs w:val="15"/>
                <w:color w:val="auto"/>
              </w:rPr>
            </w:pPr>
          </w:p>
        </w:tc>
        <w:tc>
          <w:tcPr>
            <w:tcW w:w="780" w:type="dxa"/>
            <w:vAlign w:val="bottom"/>
          </w:tcPr>
          <w:p>
            <w:pPr>
              <w:jc w:val="center"/>
              <w:ind w:left="126"/>
              <w:spacing w:after="0"/>
              <w:rPr>
                <w:sz w:val="20"/>
                <w:szCs w:val="20"/>
                <w:color w:val="auto"/>
              </w:rPr>
            </w:pPr>
            <w:r>
              <w:rPr>
                <w:rFonts w:ascii="Arial" w:cs="Arial" w:eastAsia="Arial" w:hAnsi="Arial"/>
                <w:sz w:val="11"/>
                <w:szCs w:val="11"/>
                <w:color w:val="auto"/>
                <w:w w:val="93"/>
              </w:rPr>
              <w:t>7.60</w:t>
            </w:r>
          </w:p>
        </w:tc>
        <w:tc>
          <w:tcPr>
            <w:tcW w:w="4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60" w:type="dxa"/>
            <w:vAlign w:val="bottom"/>
          </w:tcPr>
          <w:p>
            <w:pPr>
              <w:jc w:val="center"/>
              <w:ind w:right="166"/>
              <w:spacing w:after="0"/>
              <w:rPr>
                <w:sz w:val="20"/>
                <w:szCs w:val="20"/>
                <w:color w:val="auto"/>
              </w:rPr>
            </w:pPr>
            <w:r>
              <w:rPr>
                <w:rFonts w:ascii="Arial" w:cs="Arial" w:eastAsia="Arial" w:hAnsi="Arial"/>
                <w:sz w:val="11"/>
                <w:szCs w:val="11"/>
                <w:color w:val="auto"/>
                <w:w w:val="93"/>
              </w:rPr>
              <w:t>7.15</w:t>
            </w:r>
          </w:p>
        </w:tc>
        <w:tc>
          <w:tcPr>
            <w:tcW w:w="3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80" w:type="dxa"/>
            <w:vAlign w:val="bottom"/>
          </w:tcPr>
          <w:p>
            <w:pPr>
              <w:jc w:val="right"/>
              <w:ind w:right="126"/>
              <w:spacing w:after="0"/>
              <w:rPr>
                <w:sz w:val="20"/>
                <w:szCs w:val="20"/>
                <w:color w:val="auto"/>
              </w:rPr>
            </w:pPr>
            <w:r>
              <w:rPr>
                <w:rFonts w:ascii="Arial" w:cs="Arial" w:eastAsia="Arial" w:hAnsi="Arial"/>
                <w:sz w:val="11"/>
                <w:szCs w:val="11"/>
                <w:color w:val="auto"/>
              </w:rPr>
              <w:t>10.23</w:t>
            </w:r>
          </w:p>
        </w:tc>
        <w:tc>
          <w:tcPr>
            <w:tcW w:w="4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60" w:type="dxa"/>
            <w:vAlign w:val="bottom"/>
          </w:tcPr>
          <w:p>
            <w:pPr>
              <w:jc w:val="center"/>
              <w:ind w:right="146"/>
              <w:spacing w:after="0"/>
              <w:rPr>
                <w:sz w:val="20"/>
                <w:szCs w:val="20"/>
                <w:color w:val="auto"/>
              </w:rPr>
            </w:pPr>
            <w:r>
              <w:rPr>
                <w:rFonts w:ascii="Arial" w:cs="Arial" w:eastAsia="Arial" w:hAnsi="Arial"/>
                <w:sz w:val="11"/>
                <w:szCs w:val="11"/>
                <w:color w:val="auto"/>
                <w:w w:val="83"/>
              </w:rPr>
              <w:t>9.00</w:t>
            </w:r>
          </w:p>
        </w:tc>
      </w:tr>
    </w:tbl>
    <w:p>
      <w:pPr>
        <w:spacing w:after="0" w:line="265"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As of December 31, 2015, the approximate number of common stockholders of record was 2,200 for Class A stock and 350, for Class B stock. On April 25, 2016, the closing price per share of our Class A Stock and Class B stock was $12.79 and $11.65, respectively.</w:t>
      </w:r>
    </w:p>
    <w:p>
      <w:pPr>
        <w:spacing w:after="0" w:line="88" w:lineRule="exact"/>
        <w:rPr>
          <w:sz w:val="20"/>
          <w:szCs w:val="20"/>
          <w:color w:val="auto"/>
        </w:rPr>
      </w:pPr>
    </w:p>
    <w:p>
      <w:pPr>
        <w:spacing w:after="0"/>
        <w:rPr>
          <w:sz w:val="20"/>
          <w:szCs w:val="20"/>
          <w:color w:val="auto"/>
        </w:rPr>
      </w:pPr>
      <w:r>
        <w:rPr>
          <w:rFonts w:ascii="Arial" w:cs="Arial" w:eastAsia="Arial" w:hAnsi="Arial"/>
          <w:sz w:val="12"/>
          <w:szCs w:val="12"/>
          <w:color w:val="auto"/>
        </w:rPr>
        <w:t>We have never declared a cash dividend on our common stock and we have no current plans to declare a dividend; however, we review this matter on an ongoing basis.</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color w:val="auto"/>
        </w:rPr>
        <w:t>The following table summarizes the securities authorized for issuance under our equity compensation plans:</w:t>
      </w: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2940" w:type="dxa"/>
            <w:vAlign w:val="bottom"/>
          </w:tcPr>
          <w:p>
            <w:pPr>
              <w:spacing w:after="0"/>
              <w:rPr>
                <w:sz w:val="11"/>
                <w:szCs w:val="11"/>
                <w:color w:val="auto"/>
              </w:rPr>
            </w:pPr>
          </w:p>
        </w:tc>
        <w:tc>
          <w:tcPr>
            <w:tcW w:w="2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20" w:type="dxa"/>
            <w:vAlign w:val="bottom"/>
            <w:gridSpan w:val="3"/>
          </w:tcPr>
          <w:p>
            <w:pPr>
              <w:ind w:left="120"/>
              <w:spacing w:after="0"/>
              <w:rPr>
                <w:sz w:val="20"/>
                <w:szCs w:val="20"/>
                <w:color w:val="auto"/>
              </w:rPr>
            </w:pPr>
            <w:r>
              <w:rPr>
                <w:rFonts w:ascii="Arial" w:cs="Arial" w:eastAsia="Arial" w:hAnsi="Arial"/>
                <w:sz w:val="11"/>
                <w:szCs w:val="11"/>
                <w:b w:val="1"/>
                <w:bCs w:val="1"/>
                <w:color w:val="auto"/>
              </w:rPr>
              <w:t>Weighted-average exercise price of</w:t>
            </w:r>
          </w:p>
        </w:tc>
        <w:tc>
          <w:tcPr>
            <w:tcW w:w="2740" w:type="dxa"/>
            <w:vAlign w:val="bottom"/>
          </w:tcPr>
          <w:p>
            <w:pPr>
              <w:spacing w:after="0"/>
              <w:rPr>
                <w:sz w:val="11"/>
                <w:szCs w:val="11"/>
                <w:color w:val="auto"/>
              </w:rPr>
            </w:pPr>
          </w:p>
        </w:tc>
      </w:tr>
      <w:tr>
        <w:trPr>
          <w:trHeight w:val="135"/>
        </w:trPr>
        <w:tc>
          <w:tcPr>
            <w:tcW w:w="2940" w:type="dxa"/>
            <w:vAlign w:val="bottom"/>
          </w:tcPr>
          <w:p>
            <w:pPr>
              <w:spacing w:after="0"/>
              <w:rPr>
                <w:sz w:val="11"/>
                <w:szCs w:val="11"/>
                <w:color w:val="auto"/>
              </w:rPr>
            </w:pPr>
          </w:p>
        </w:tc>
        <w:tc>
          <w:tcPr>
            <w:tcW w:w="292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86"/>
              </w:rPr>
              <w:t>Number of securities to be issued upon exercise of</w:t>
            </w:r>
          </w:p>
        </w:tc>
        <w:tc>
          <w:tcPr>
            <w:tcW w:w="2020" w:type="dxa"/>
            <w:vAlign w:val="bottom"/>
            <w:gridSpan w:val="3"/>
          </w:tcPr>
          <w:p>
            <w:pPr>
              <w:ind w:left="120"/>
              <w:spacing w:after="0"/>
              <w:rPr>
                <w:sz w:val="20"/>
                <w:szCs w:val="20"/>
                <w:color w:val="auto"/>
              </w:rPr>
            </w:pPr>
            <w:r>
              <w:rPr>
                <w:rFonts w:ascii="Arial" w:cs="Arial" w:eastAsia="Arial" w:hAnsi="Arial"/>
                <w:sz w:val="11"/>
                <w:szCs w:val="11"/>
                <w:b w:val="1"/>
                <w:bCs w:val="1"/>
                <w:color w:val="auto"/>
              </w:rPr>
              <w:t>outstanding options, warrants, and</w:t>
            </w:r>
          </w:p>
        </w:tc>
        <w:tc>
          <w:tcPr>
            <w:tcW w:w="2740" w:type="dxa"/>
            <w:vAlign w:val="bottom"/>
          </w:tcPr>
          <w:p>
            <w:pPr>
              <w:jc w:val="center"/>
              <w:spacing w:after="0"/>
              <w:rPr>
                <w:sz w:val="20"/>
                <w:szCs w:val="20"/>
                <w:color w:val="auto"/>
              </w:rPr>
            </w:pPr>
            <w:r>
              <w:rPr>
                <w:rFonts w:ascii="Arial" w:cs="Arial" w:eastAsia="Arial" w:hAnsi="Arial"/>
                <w:sz w:val="11"/>
                <w:szCs w:val="11"/>
                <w:b w:val="1"/>
                <w:bCs w:val="1"/>
                <w:color w:val="auto"/>
                <w:w w:val="89"/>
              </w:rPr>
              <w:t>Number of securities remaining available for future</w:t>
            </w:r>
          </w:p>
        </w:tc>
      </w:tr>
      <w:tr>
        <w:trPr>
          <w:trHeight w:val="142"/>
        </w:trPr>
        <w:tc>
          <w:tcPr>
            <w:tcW w:w="2940" w:type="dxa"/>
            <w:vAlign w:val="bottom"/>
          </w:tcPr>
          <w:p>
            <w:pPr>
              <w:spacing w:after="0"/>
              <w:rPr>
                <w:sz w:val="12"/>
                <w:szCs w:val="12"/>
                <w:color w:val="auto"/>
              </w:rPr>
            </w:pPr>
          </w:p>
        </w:tc>
        <w:tc>
          <w:tcPr>
            <w:tcW w:w="292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87"/>
              </w:rPr>
              <w:t>outstanding options, warrants, and rights</w:t>
            </w:r>
          </w:p>
        </w:tc>
        <w:tc>
          <w:tcPr>
            <w:tcW w:w="480" w:type="dxa"/>
            <w:vAlign w:val="bottom"/>
          </w:tcPr>
          <w:p>
            <w:pPr>
              <w:spacing w:after="0"/>
              <w:rPr>
                <w:sz w:val="12"/>
                <w:szCs w:val="12"/>
                <w:color w:val="auto"/>
              </w:rPr>
            </w:pPr>
          </w:p>
        </w:tc>
        <w:tc>
          <w:tcPr>
            <w:tcW w:w="1540" w:type="dxa"/>
            <w:vAlign w:val="bottom"/>
            <w:gridSpan w:val="2"/>
          </w:tcPr>
          <w:p>
            <w:pPr>
              <w:ind w:left="320"/>
              <w:spacing w:after="0"/>
              <w:rPr>
                <w:sz w:val="20"/>
                <w:szCs w:val="20"/>
                <w:color w:val="auto"/>
              </w:rPr>
            </w:pPr>
            <w:r>
              <w:rPr>
                <w:rFonts w:ascii="Arial" w:cs="Arial" w:eastAsia="Arial" w:hAnsi="Arial"/>
                <w:sz w:val="11"/>
                <w:szCs w:val="11"/>
                <w:b w:val="1"/>
                <w:bCs w:val="1"/>
                <w:color w:val="auto"/>
              </w:rPr>
              <w:t>rights</w:t>
            </w:r>
          </w:p>
        </w:tc>
        <w:tc>
          <w:tcPr>
            <w:tcW w:w="2740" w:type="dxa"/>
            <w:vAlign w:val="bottom"/>
          </w:tcPr>
          <w:p>
            <w:pPr>
              <w:jc w:val="center"/>
              <w:spacing w:after="0"/>
              <w:rPr>
                <w:sz w:val="20"/>
                <w:szCs w:val="20"/>
                <w:color w:val="auto"/>
              </w:rPr>
            </w:pPr>
            <w:r>
              <w:rPr>
                <w:rFonts w:ascii="Arial" w:cs="Arial" w:eastAsia="Arial" w:hAnsi="Arial"/>
                <w:sz w:val="11"/>
                <w:szCs w:val="11"/>
                <w:b w:val="1"/>
                <w:bCs w:val="1"/>
                <w:color w:val="auto"/>
                <w:w w:val="85"/>
              </w:rPr>
              <w:t>issuance under equity compensation plans</w:t>
            </w:r>
          </w:p>
        </w:tc>
      </w:tr>
      <w:tr>
        <w:trPr>
          <w:trHeight w:val="351"/>
        </w:trPr>
        <w:tc>
          <w:tcPr>
            <w:tcW w:w="2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1"/>
                <w:szCs w:val="11"/>
                <w:color w:val="auto"/>
              </w:rPr>
              <w:t>Equity compensation plans approved by security holders</w:t>
            </w:r>
          </w:p>
        </w:tc>
        <w:tc>
          <w:tcPr>
            <w:tcW w:w="2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486,565</w:t>
            </w:r>
          </w:p>
        </w:tc>
        <w:tc>
          <w:tcPr>
            <w:tcW w:w="180" w:type="dxa"/>
            <w:vAlign w:val="bottom"/>
            <w:tcBorders>
              <w:top w:val="single" w:sz="8" w:color="CCEEFF"/>
            </w:tcBorders>
            <w:shd w:val="clear" w:color="auto" w:fill="CCEEFF"/>
          </w:tcPr>
          <w:p>
            <w:pPr>
              <w:spacing w:after="0"/>
              <w:rPr>
                <w:sz w:val="24"/>
                <w:szCs w:val="24"/>
                <w:color w:val="auto"/>
              </w:rPr>
            </w:pPr>
          </w:p>
        </w:tc>
        <w:tc>
          <w:tcPr>
            <w:tcW w:w="48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1"/>
                <w:szCs w:val="11"/>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8.68</w:t>
            </w:r>
          </w:p>
        </w:tc>
        <w:tc>
          <w:tcPr>
            <w:tcW w:w="160" w:type="dxa"/>
            <w:vAlign w:val="bottom"/>
            <w:tcBorders>
              <w:top w:val="single" w:sz="8" w:color="CCEEFF"/>
            </w:tcBorders>
            <w:shd w:val="clear" w:color="auto" w:fill="CCEEFF"/>
          </w:tcPr>
          <w:p>
            <w:pPr>
              <w:spacing w:after="0"/>
              <w:rPr>
                <w:sz w:val="24"/>
                <w:szCs w:val="24"/>
                <w:color w:val="auto"/>
              </w:rPr>
            </w:pPr>
          </w:p>
        </w:tc>
        <w:tc>
          <w:tcPr>
            <w:tcW w:w="2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551,800</w:t>
            </w:r>
          </w:p>
        </w:tc>
      </w:tr>
    </w:tbl>
    <w:p>
      <w:pPr>
        <w:spacing w:after="0" w:line="27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59690</wp:posOffset>
            </wp:positionV>
            <wp:extent cx="677989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779895" cy="42545"/>
                    </a:xfrm>
                    <a:prstGeom prst="rect">
                      <a:avLst/>
                    </a:prstGeom>
                    <a:noFill/>
                  </pic:spPr>
                </pic:pic>
              </a:graphicData>
            </a:graphic>
          </wp:anchor>
        </w:drawing>
      </w:r>
    </w:p>
    <w:p>
      <w:pPr>
        <w:sectPr>
          <w:pgSz w:w="11900" w:h="16838" w:orient="portrait"/>
          <w:cols w:equalWidth="0" w:num="1">
            <w:col w:w="10620"/>
          </w:cols>
          <w:pgMar w:left="640" w:top="127" w:right="639" w:bottom="1440" w:gutter="0" w:footer="0" w:header="0"/>
        </w:sectPr>
      </w:pPr>
    </w:p>
    <w:bookmarkStart w:id="28" w:name="page29"/>
    <w:bookmarkEnd w:id="28"/>
    <w:p>
      <w:pPr>
        <w:spacing w:after="0"/>
        <w:rPr>
          <w:sz w:val="20"/>
          <w:szCs w:val="20"/>
          <w:color w:val="auto"/>
        </w:rPr>
      </w:pPr>
      <w:r>
        <w:rPr>
          <w:rFonts w:ascii="Arial" w:cs="Arial" w:eastAsia="Arial" w:hAnsi="Arial"/>
          <w:sz w:val="12"/>
          <w:szCs w:val="12"/>
          <w:b w:val="1"/>
          <w:bCs w:val="1"/>
          <w:color w:val="auto"/>
        </w:rPr>
        <w:t>Performance Graph</w:t>
      </w:r>
    </w:p>
    <w:p>
      <w:pPr>
        <w:spacing w:after="0" w:line="127" w:lineRule="exact"/>
        <w:rPr>
          <w:sz w:val="20"/>
          <w:szCs w:val="20"/>
          <w:color w:val="auto"/>
        </w:rPr>
      </w:pPr>
    </w:p>
    <w:p>
      <w:pPr>
        <w:spacing w:after="0" w:line="290" w:lineRule="auto"/>
        <w:rPr>
          <w:sz w:val="20"/>
          <w:szCs w:val="20"/>
          <w:color w:val="auto"/>
        </w:rPr>
      </w:pPr>
      <w:r>
        <w:rPr>
          <w:rFonts w:ascii="Arial" w:cs="Arial" w:eastAsia="Arial" w:hAnsi="Arial"/>
          <w:sz w:val="11"/>
          <w:szCs w:val="11"/>
          <w:color w:val="auto"/>
        </w:rPr>
        <w:t>The following line graph compares the cumulative total stockholder return on Reading International, Inc.’s common stock for the five-year period ended December 31, 2015 against the cumulative total return as calculated by the NASDAQ composite, a peer group of public companies engaged in the motion picture theater operator industry and a peer group of public companies engaged in the real estate operator industry. Measurement points are the last trading day for each of the five years ended December 31, 2015. The graph assumes that $100 was invested on December 31, 2010 in our common stock, the NASDAQ composite and the noted peer groups, and assumes reinvestment of any dividends. The stock price performance on the following graph is not necessarily indicative of future stock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1678305</wp:posOffset>
            </wp:positionH>
            <wp:positionV relativeFrom="paragraph">
              <wp:posOffset>63500</wp:posOffset>
            </wp:positionV>
            <wp:extent cx="3391535" cy="269367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91535" cy="2693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right="4600"/>
        <w:spacing w:after="0" w:line="462" w:lineRule="auto"/>
        <w:rPr>
          <w:sz w:val="20"/>
          <w:szCs w:val="20"/>
          <w:color w:val="auto"/>
        </w:rPr>
      </w:pPr>
      <w:r>
        <w:rPr>
          <w:rFonts w:ascii="Arial" w:cs="Arial" w:eastAsia="Arial" w:hAnsi="Arial"/>
          <w:sz w:val="12"/>
          <w:szCs w:val="12"/>
          <w:b w:val="1"/>
          <w:bCs w:val="1"/>
          <w:color w:val="auto"/>
        </w:rPr>
        <w:t xml:space="preserve">RECENT SALES OF UNREGISTERED SECURITIES; USE OF PROCEEDS FROM REGISTERED SECURITIES </w:t>
      </w:r>
      <w:r>
        <w:rPr>
          <w:rFonts w:ascii="Arial" w:cs="Arial" w:eastAsia="Arial" w:hAnsi="Arial"/>
          <w:sz w:val="12"/>
          <w:szCs w:val="12"/>
          <w:color w:val="auto"/>
        </w:rPr>
        <w:t>None.</w:t>
      </w:r>
    </w:p>
    <w:p>
      <w:pPr>
        <w:spacing w:after="0"/>
        <w:rPr>
          <w:sz w:val="20"/>
          <w:szCs w:val="20"/>
          <w:color w:val="auto"/>
        </w:rPr>
      </w:pPr>
      <w:r>
        <w:rPr>
          <w:rFonts w:ascii="Arial" w:cs="Arial" w:eastAsia="Arial" w:hAnsi="Arial"/>
          <w:sz w:val="12"/>
          <w:szCs w:val="12"/>
          <w:b w:val="1"/>
          <w:bCs w:val="1"/>
          <w:color w:val="auto"/>
        </w:rPr>
        <w:t>PURCHASE OF EQUITY SECURITIES BY THE ISSUER AND AFFILIATED PURCHASERS</w:t>
      </w:r>
    </w:p>
    <w:p>
      <w:pPr>
        <w:spacing w:after="0" w:line="127" w:lineRule="exact"/>
        <w:rPr>
          <w:sz w:val="20"/>
          <w:szCs w:val="20"/>
          <w:color w:val="auto"/>
        </w:rPr>
      </w:pPr>
    </w:p>
    <w:p>
      <w:pPr>
        <w:ind w:right="80"/>
        <w:spacing w:after="0" w:line="263" w:lineRule="auto"/>
        <w:rPr>
          <w:sz w:val="20"/>
          <w:szCs w:val="20"/>
          <w:color w:val="auto"/>
        </w:rPr>
      </w:pPr>
      <w:r>
        <w:rPr>
          <w:rFonts w:ascii="Arial" w:cs="Arial" w:eastAsia="Arial" w:hAnsi="Arial"/>
          <w:sz w:val="12"/>
          <w:szCs w:val="12"/>
          <w:color w:val="auto"/>
        </w:rPr>
        <w:t>In May 2014, our Board of Directors authorized a stock buy-back program to spend up to an aggregate of $10.0 million to acquire shares of the Company’s common stock. As part of this program, during 2015, we purchased 240,102 Class A Non-voting shares on the open market for $3.1 million for a weighted average price of $12.95 per share. As of December 31, 2015, approximately $2.8 million may yet be purchased under the program.</w:t>
      </w:r>
    </w:p>
    <w:p>
      <w:pPr>
        <w:spacing w:after="0" w:line="96" w:lineRule="exact"/>
        <w:rPr>
          <w:sz w:val="20"/>
          <w:szCs w:val="20"/>
          <w:color w:val="auto"/>
        </w:rPr>
      </w:pPr>
    </w:p>
    <w:p>
      <w:pPr>
        <w:ind w:right="60"/>
        <w:spacing w:after="0" w:line="263" w:lineRule="auto"/>
        <w:rPr>
          <w:sz w:val="20"/>
          <w:szCs w:val="20"/>
          <w:color w:val="auto"/>
        </w:rPr>
      </w:pPr>
      <w:r>
        <w:rPr>
          <w:rFonts w:ascii="Arial" w:cs="Arial" w:eastAsia="Arial" w:hAnsi="Arial"/>
          <w:sz w:val="12"/>
          <w:szCs w:val="12"/>
          <w:color w:val="auto"/>
        </w:rPr>
        <w:t>Also in 2015, a number of executives chose to net settle their share options with the Company, as allowed by our share option plan. This resulted in the Company issuing 52,777 Class A Non-voting shares. As part of this transaction the Company also remitted $201,000 of taxes on their behalf. The Company also acquired an additional 141,288 Class A Non-voting shares as payment on the excise of 185,100 class B voting stock options that had a combined exercise price of $1.8 million.</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59690</wp:posOffset>
            </wp:positionV>
            <wp:extent cx="677989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779895" cy="42545"/>
                    </a:xfrm>
                    <a:prstGeom prst="rect">
                      <a:avLst/>
                    </a:prstGeom>
                    <a:noFill/>
                  </pic:spPr>
                </pic:pic>
              </a:graphicData>
            </a:graphic>
          </wp:anchor>
        </w:drawing>
      </w:r>
    </w:p>
    <w:p>
      <w:pPr>
        <w:sectPr>
          <w:pgSz w:w="11900" w:h="16838" w:orient="portrait"/>
          <w:cols w:equalWidth="0" w:num="1">
            <w:col w:w="10620"/>
          </w:cols>
          <w:pgMar w:left="640" w:top="127" w:right="639" w:bottom="1440" w:gutter="0" w:footer="0" w:header="0"/>
        </w:sectPr>
      </w:pPr>
    </w:p>
    <w:bookmarkStart w:id="29" w:name="page30"/>
    <w:bookmarkEnd w:id="29"/>
    <w:p>
      <w:pPr>
        <w:spacing w:after="0"/>
        <w:rPr>
          <w:sz w:val="20"/>
          <w:szCs w:val="20"/>
          <w:color w:val="auto"/>
        </w:rPr>
      </w:pPr>
      <w:r>
        <w:rPr>
          <w:rFonts w:ascii="Arial" w:cs="Arial" w:eastAsia="Arial" w:hAnsi="Arial"/>
          <w:sz w:val="12"/>
          <w:szCs w:val="12"/>
          <w:b w:val="1"/>
          <w:bCs w:val="1"/>
          <w:u w:val="single" w:color="auto"/>
          <w:color w:val="auto"/>
        </w:rPr>
        <w:t>Item 6 – Selected Financial Data</w:t>
      </w:r>
    </w:p>
    <w:p>
      <w:pPr>
        <w:spacing w:after="0" w:line="127" w:lineRule="exact"/>
        <w:rPr>
          <w:sz w:val="20"/>
          <w:szCs w:val="20"/>
          <w:color w:val="auto"/>
        </w:rPr>
      </w:pPr>
    </w:p>
    <w:p>
      <w:pPr>
        <w:ind w:right="40"/>
        <w:spacing w:after="0" w:line="276" w:lineRule="auto"/>
        <w:rPr>
          <w:sz w:val="20"/>
          <w:szCs w:val="20"/>
          <w:color w:val="auto"/>
        </w:rPr>
      </w:pPr>
      <w:r>
        <w:rPr>
          <w:rFonts w:ascii="Arial" w:cs="Arial" w:eastAsia="Arial" w:hAnsi="Arial"/>
          <w:sz w:val="12"/>
          <w:szCs w:val="12"/>
          <w:color w:val="auto"/>
        </w:rPr>
        <w:t>The table below sets forth certain historical financial data regarding our Company. This information is derived in part from, and should be read in conjunction with, our consolidated financial statements included in Item 8 of this Annual Report on Form 10-K for the year ended December 31, 2015 (the “2015 Annual Report”), and the related notes to the consolidated financial statements.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3280" w:type="dxa"/>
            <w:vAlign w:val="bottom"/>
            <w:tcBorders>
              <w:bottom w:val="single" w:sz="8" w:color="auto"/>
            </w:tcBorders>
            <w:gridSpan w:val="4"/>
          </w:tcPr>
          <w:p>
            <w:pPr>
              <w:spacing w:after="0"/>
              <w:rPr>
                <w:sz w:val="20"/>
                <w:szCs w:val="20"/>
                <w:color w:val="auto"/>
              </w:rPr>
            </w:pPr>
            <w:r>
              <w:rPr>
                <w:rFonts w:ascii="Arial" w:cs="Arial" w:eastAsia="Arial" w:hAnsi="Arial"/>
                <w:sz w:val="10"/>
                <w:szCs w:val="10"/>
                <w:b w:val="1"/>
                <w:bCs w:val="1"/>
                <w:color w:val="auto"/>
              </w:rPr>
              <w:t>($ in thousands, except per share data)</w:t>
            </w:r>
          </w:p>
        </w:tc>
        <w:tc>
          <w:tcPr>
            <w:tcW w:w="280" w:type="dxa"/>
            <w:vAlign w:val="bottom"/>
            <w:tcBorders>
              <w:bottom w:val="single" w:sz="8" w:color="CCEEFF"/>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jc w:val="right"/>
              <w:ind w:right="452"/>
              <w:spacing w:after="0"/>
              <w:rPr>
                <w:sz w:val="20"/>
                <w:szCs w:val="20"/>
                <w:color w:val="auto"/>
              </w:rPr>
            </w:pPr>
            <w:r>
              <w:rPr>
                <w:rFonts w:ascii="Arial" w:cs="Arial" w:eastAsia="Arial" w:hAnsi="Arial"/>
                <w:sz w:val="10"/>
                <w:szCs w:val="10"/>
                <w:b w:val="1"/>
                <w:bCs w:val="1"/>
                <w:color w:val="auto"/>
              </w:rPr>
              <w:t>2015</w:t>
            </w:r>
          </w:p>
        </w:tc>
        <w:tc>
          <w:tcPr>
            <w:tcW w:w="280" w:type="dxa"/>
            <w:vAlign w:val="bottom"/>
            <w:tcBorders>
              <w:bottom w:val="single" w:sz="8" w:color="CCEEFF"/>
            </w:tcBorders>
          </w:tcPr>
          <w:p>
            <w:pPr>
              <w:spacing w:after="0"/>
              <w:rPr>
                <w:sz w:val="10"/>
                <w:szCs w:val="1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2014</w:t>
            </w:r>
          </w:p>
        </w:tc>
        <w:tc>
          <w:tcPr>
            <w:tcW w:w="480" w:type="dxa"/>
            <w:vAlign w:val="bottom"/>
            <w:tcBorders>
              <w:bottom w:val="single" w:sz="8" w:color="auto"/>
            </w:tcBorders>
          </w:tcPr>
          <w:p>
            <w:pPr>
              <w:spacing w:after="0"/>
              <w:rPr>
                <w:sz w:val="10"/>
                <w:szCs w:val="10"/>
                <w:color w:val="auto"/>
              </w:rPr>
            </w:pPr>
          </w:p>
        </w:tc>
        <w:tc>
          <w:tcPr>
            <w:tcW w:w="260" w:type="dxa"/>
            <w:vAlign w:val="bottom"/>
            <w:tcBorders>
              <w:bottom w:val="single" w:sz="8" w:color="CCEEFF"/>
            </w:tcBorders>
          </w:tcPr>
          <w:p>
            <w:pPr>
              <w:spacing w:after="0"/>
              <w:rPr>
                <w:sz w:val="10"/>
                <w:szCs w:val="1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2013</w:t>
            </w:r>
          </w:p>
        </w:tc>
        <w:tc>
          <w:tcPr>
            <w:tcW w:w="480" w:type="dxa"/>
            <w:vAlign w:val="bottom"/>
            <w:tcBorders>
              <w:bottom w:val="single" w:sz="8" w:color="auto"/>
            </w:tcBorders>
          </w:tcPr>
          <w:p>
            <w:pPr>
              <w:spacing w:after="0"/>
              <w:rPr>
                <w:sz w:val="10"/>
                <w:szCs w:val="10"/>
                <w:color w:val="auto"/>
              </w:rPr>
            </w:pPr>
          </w:p>
        </w:tc>
        <w:tc>
          <w:tcPr>
            <w:tcW w:w="280" w:type="dxa"/>
            <w:vAlign w:val="bottom"/>
            <w:tcBorders>
              <w:bottom w:val="single" w:sz="8" w:color="CCEEFF"/>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jc w:val="right"/>
              <w:ind w:right="452"/>
              <w:spacing w:after="0"/>
              <w:rPr>
                <w:sz w:val="20"/>
                <w:szCs w:val="20"/>
                <w:color w:val="auto"/>
              </w:rPr>
            </w:pPr>
            <w:r>
              <w:rPr>
                <w:rFonts w:ascii="Arial" w:cs="Arial" w:eastAsia="Arial" w:hAnsi="Arial"/>
                <w:sz w:val="10"/>
                <w:szCs w:val="10"/>
                <w:b w:val="1"/>
                <w:bCs w:val="1"/>
                <w:color w:val="auto"/>
              </w:rPr>
              <w:t>2012</w:t>
            </w:r>
          </w:p>
        </w:tc>
        <w:tc>
          <w:tcPr>
            <w:tcW w:w="280" w:type="dxa"/>
            <w:vAlign w:val="bottom"/>
            <w:tcBorders>
              <w:bottom w:val="single" w:sz="8" w:color="CCEEFF"/>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ind w:right="452"/>
              <w:spacing w:after="0"/>
              <w:rPr>
                <w:sz w:val="20"/>
                <w:szCs w:val="20"/>
                <w:color w:val="auto"/>
              </w:rPr>
            </w:pPr>
            <w:r>
              <w:rPr>
                <w:rFonts w:ascii="Arial" w:cs="Arial" w:eastAsia="Arial" w:hAnsi="Arial"/>
                <w:sz w:val="10"/>
                <w:szCs w:val="10"/>
                <w:b w:val="1"/>
                <w:bCs w:val="1"/>
                <w:color w:val="auto"/>
              </w:rPr>
              <w:t>2011</w:t>
            </w:r>
          </w:p>
        </w:tc>
      </w:tr>
      <w:tr>
        <w:trPr>
          <w:trHeight w:val="151"/>
        </w:trPr>
        <w:tc>
          <w:tcPr>
            <w:tcW w:w="980" w:type="dxa"/>
            <w:vAlign w:val="bottom"/>
            <w:tcBorders>
              <w:bottom w:val="single" w:sz="8" w:color="auto"/>
              <w:right w:val="single" w:sz="8" w:color="CCEEFF"/>
            </w:tcBorders>
            <w:gridSpan w:val="3"/>
            <w:shd w:val="clear" w:color="auto" w:fill="CCEEFF"/>
          </w:tcPr>
          <w:p>
            <w:pPr>
              <w:spacing w:after="0"/>
              <w:rPr>
                <w:sz w:val="20"/>
                <w:szCs w:val="20"/>
                <w:color w:val="auto"/>
              </w:rPr>
            </w:pPr>
            <w:r>
              <w:rPr>
                <w:rFonts w:ascii="Arial" w:cs="Arial" w:eastAsia="Arial" w:hAnsi="Arial"/>
                <w:sz w:val="10"/>
                <w:szCs w:val="10"/>
                <w:b w:val="1"/>
                <w:bCs w:val="1"/>
                <w:color w:val="auto"/>
                <w:w w:val="82"/>
              </w:rPr>
              <w:t>Statement of operations</w:t>
            </w:r>
          </w:p>
        </w:tc>
        <w:tc>
          <w:tcPr>
            <w:tcW w:w="2580" w:type="dxa"/>
            <w:vAlign w:val="bottom"/>
            <w:tcBorders>
              <w:bottom w:val="single" w:sz="8" w:color="CCEEFF"/>
            </w:tcBorders>
            <w:gridSpan w:val="2"/>
            <w:shd w:val="clear" w:color="auto" w:fill="CCEEFF"/>
          </w:tcPr>
          <w:p>
            <w:pPr>
              <w:spacing w:after="0"/>
              <w:rPr>
                <w:sz w:val="13"/>
                <w:szCs w:val="13"/>
                <w:color w:val="auto"/>
              </w:rPr>
            </w:pPr>
          </w:p>
        </w:tc>
        <w:tc>
          <w:tcPr>
            <w:tcW w:w="34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CCEEFF"/>
            </w:tcBorders>
            <w:shd w:val="clear" w:color="auto" w:fill="CCEEFF"/>
          </w:tcPr>
          <w:p>
            <w:pPr>
              <w:spacing w:after="0"/>
              <w:rPr>
                <w:sz w:val="13"/>
                <w:szCs w:val="13"/>
                <w:color w:val="auto"/>
              </w:rPr>
            </w:pPr>
          </w:p>
        </w:tc>
        <w:tc>
          <w:tcPr>
            <w:tcW w:w="48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CCEEFF"/>
            </w:tcBorders>
            <w:shd w:val="clear" w:color="auto" w:fill="CCEEFF"/>
          </w:tcPr>
          <w:p>
            <w:pPr>
              <w:spacing w:after="0"/>
              <w:rPr>
                <w:sz w:val="13"/>
                <w:szCs w:val="13"/>
                <w:color w:val="auto"/>
              </w:rPr>
            </w:pPr>
          </w:p>
        </w:tc>
        <w:tc>
          <w:tcPr>
            <w:tcW w:w="48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CCEEFF"/>
            </w:tcBorders>
            <w:shd w:val="clear" w:color="auto" w:fill="CCEEFF"/>
          </w:tcPr>
          <w:p>
            <w:pPr>
              <w:spacing w:after="0"/>
              <w:rPr>
                <w:sz w:val="13"/>
                <w:szCs w:val="13"/>
                <w:color w:val="auto"/>
              </w:rPr>
            </w:pPr>
          </w:p>
        </w:tc>
        <w:tc>
          <w:tcPr>
            <w:tcW w:w="860" w:type="dxa"/>
            <w:vAlign w:val="bottom"/>
            <w:tcBorders>
              <w:bottom w:val="single" w:sz="8" w:color="CCEEFF"/>
            </w:tcBorders>
            <w:shd w:val="clear" w:color="auto" w:fill="CCEEFF"/>
          </w:tcPr>
          <w:p>
            <w:pPr>
              <w:spacing w:after="0"/>
              <w:rPr>
                <w:sz w:val="13"/>
                <w:szCs w:val="13"/>
                <w:color w:val="auto"/>
              </w:rPr>
            </w:pPr>
          </w:p>
        </w:tc>
      </w:tr>
      <w:tr>
        <w:trPr>
          <w:trHeight w:val="160"/>
        </w:trPr>
        <w:tc>
          <w:tcPr>
            <w:tcW w:w="3560" w:type="dxa"/>
            <w:vAlign w:val="bottom"/>
            <w:gridSpan w:val="5"/>
          </w:tcPr>
          <w:p>
            <w:pPr>
              <w:spacing w:after="0"/>
              <w:rPr>
                <w:sz w:val="20"/>
                <w:szCs w:val="20"/>
                <w:color w:val="auto"/>
              </w:rPr>
            </w:pPr>
            <w:r>
              <w:rPr>
                <w:rFonts w:ascii="Arial" w:cs="Arial" w:eastAsia="Arial" w:hAnsi="Arial"/>
                <w:sz w:val="10"/>
                <w:szCs w:val="10"/>
                <w:color w:val="auto"/>
              </w:rPr>
              <w:t>Revenue</w:t>
            </w:r>
          </w:p>
        </w:tc>
        <w:tc>
          <w:tcPr>
            <w:tcW w:w="340" w:type="dxa"/>
            <w:vAlign w:val="bottom"/>
          </w:tcPr>
          <w:p>
            <w:pPr>
              <w:jc w:val="right"/>
              <w:ind w:right="112"/>
              <w:spacing w:after="0"/>
              <w:rPr>
                <w:sz w:val="20"/>
                <w:szCs w:val="20"/>
                <w:color w:val="auto"/>
              </w:rPr>
            </w:pPr>
            <w:r>
              <w:rPr>
                <w:rFonts w:ascii="Arial" w:cs="Arial" w:eastAsia="Arial" w:hAnsi="Arial"/>
                <w:sz w:val="10"/>
                <w:szCs w:val="10"/>
                <w:b w:val="1"/>
                <w:bCs w:val="1"/>
                <w:color w:val="auto"/>
              </w:rPr>
              <w:t>$</w:t>
            </w:r>
          </w:p>
        </w:tc>
        <w:tc>
          <w:tcPr>
            <w:tcW w:w="840" w:type="dxa"/>
            <w:vAlign w:val="bottom"/>
          </w:tcPr>
          <w:p>
            <w:pPr>
              <w:jc w:val="right"/>
              <w:spacing w:after="0"/>
              <w:rPr>
                <w:sz w:val="20"/>
                <w:szCs w:val="20"/>
                <w:color w:val="auto"/>
              </w:rPr>
            </w:pPr>
            <w:r>
              <w:rPr>
                <w:rFonts w:ascii="Arial" w:cs="Arial" w:eastAsia="Arial" w:hAnsi="Arial"/>
                <w:sz w:val="10"/>
                <w:szCs w:val="10"/>
                <w:b w:val="1"/>
                <w:bCs w:val="1"/>
                <w:color w:val="auto"/>
              </w:rPr>
              <w:t>257,323</w:t>
            </w:r>
          </w:p>
        </w:tc>
        <w:tc>
          <w:tcPr>
            <w:tcW w:w="280" w:type="dxa"/>
            <w:vAlign w:val="bottom"/>
          </w:tcPr>
          <w:p>
            <w:pPr>
              <w:spacing w:after="0"/>
              <w:rPr>
                <w:sz w:val="13"/>
                <w:szCs w:val="13"/>
                <w:color w:val="auto"/>
              </w:rPr>
            </w:pPr>
          </w:p>
        </w:tc>
        <w:tc>
          <w:tcPr>
            <w:tcW w:w="720" w:type="dxa"/>
            <w:vAlign w:val="bottom"/>
          </w:tcPr>
          <w:p>
            <w:pPr>
              <w:jc w:val="right"/>
              <w:ind w:right="492"/>
              <w:spacing w:after="0"/>
              <w:rPr>
                <w:sz w:val="20"/>
                <w:szCs w:val="20"/>
                <w:color w:val="auto"/>
              </w:rPr>
            </w:pPr>
            <w:r>
              <w:rPr>
                <w:rFonts w:ascii="Arial" w:cs="Arial" w:eastAsia="Arial" w:hAnsi="Arial"/>
                <w:sz w:val="10"/>
                <w:szCs w:val="10"/>
                <w:color w:val="auto"/>
              </w:rPr>
              <w:t>$</w:t>
            </w:r>
          </w:p>
        </w:tc>
        <w:tc>
          <w:tcPr>
            <w:tcW w:w="480" w:type="dxa"/>
            <w:vAlign w:val="bottom"/>
          </w:tcPr>
          <w:p>
            <w:pPr>
              <w:jc w:val="right"/>
              <w:spacing w:after="0"/>
              <w:rPr>
                <w:sz w:val="20"/>
                <w:szCs w:val="20"/>
                <w:color w:val="auto"/>
              </w:rPr>
            </w:pPr>
            <w:r>
              <w:rPr>
                <w:rFonts w:ascii="Arial" w:cs="Arial" w:eastAsia="Arial" w:hAnsi="Arial"/>
                <w:sz w:val="10"/>
                <w:szCs w:val="10"/>
                <w:color w:val="auto"/>
              </w:rPr>
              <w:t>254,748</w:t>
            </w:r>
          </w:p>
        </w:tc>
        <w:tc>
          <w:tcPr>
            <w:tcW w:w="260" w:type="dxa"/>
            <w:vAlign w:val="bottom"/>
          </w:tcPr>
          <w:p>
            <w:pPr>
              <w:spacing w:after="0"/>
              <w:rPr>
                <w:sz w:val="13"/>
                <w:szCs w:val="13"/>
                <w:color w:val="auto"/>
              </w:rPr>
            </w:pPr>
          </w:p>
        </w:tc>
        <w:tc>
          <w:tcPr>
            <w:tcW w:w="720" w:type="dxa"/>
            <w:vAlign w:val="bottom"/>
          </w:tcPr>
          <w:p>
            <w:pPr>
              <w:jc w:val="right"/>
              <w:ind w:right="492"/>
              <w:spacing w:after="0"/>
              <w:rPr>
                <w:sz w:val="20"/>
                <w:szCs w:val="20"/>
                <w:color w:val="auto"/>
              </w:rPr>
            </w:pPr>
            <w:r>
              <w:rPr>
                <w:rFonts w:ascii="Arial" w:cs="Arial" w:eastAsia="Arial" w:hAnsi="Arial"/>
                <w:sz w:val="10"/>
                <w:szCs w:val="10"/>
                <w:color w:val="auto"/>
              </w:rPr>
              <w:t>$</w:t>
            </w:r>
          </w:p>
        </w:tc>
        <w:tc>
          <w:tcPr>
            <w:tcW w:w="480" w:type="dxa"/>
            <w:vAlign w:val="bottom"/>
          </w:tcPr>
          <w:p>
            <w:pPr>
              <w:jc w:val="right"/>
              <w:spacing w:after="0"/>
              <w:rPr>
                <w:sz w:val="20"/>
                <w:szCs w:val="20"/>
                <w:color w:val="auto"/>
              </w:rPr>
            </w:pPr>
            <w:r>
              <w:rPr>
                <w:rFonts w:ascii="Arial" w:cs="Arial" w:eastAsia="Arial" w:hAnsi="Arial"/>
                <w:sz w:val="10"/>
                <w:szCs w:val="10"/>
                <w:color w:val="auto"/>
              </w:rPr>
              <w:t>258,221</w:t>
            </w:r>
          </w:p>
        </w:tc>
        <w:tc>
          <w:tcPr>
            <w:tcW w:w="280" w:type="dxa"/>
            <w:vAlign w:val="bottom"/>
          </w:tcPr>
          <w:p>
            <w:pPr>
              <w:spacing w:after="0"/>
              <w:rPr>
                <w:sz w:val="13"/>
                <w:szCs w:val="13"/>
                <w:color w:val="auto"/>
              </w:rPr>
            </w:pPr>
          </w:p>
        </w:tc>
        <w:tc>
          <w:tcPr>
            <w:tcW w:w="340" w:type="dxa"/>
            <w:vAlign w:val="bottom"/>
          </w:tcPr>
          <w:p>
            <w:pPr>
              <w:jc w:val="right"/>
              <w:ind w:right="132"/>
              <w:spacing w:after="0"/>
              <w:rPr>
                <w:sz w:val="20"/>
                <w:szCs w:val="20"/>
                <w:color w:val="auto"/>
              </w:rPr>
            </w:pPr>
            <w:r>
              <w:rPr>
                <w:rFonts w:ascii="Arial" w:cs="Arial" w:eastAsia="Arial" w:hAnsi="Arial"/>
                <w:sz w:val="10"/>
                <w:szCs w:val="10"/>
                <w:color w:val="auto"/>
              </w:rPr>
              <w:t>$</w:t>
            </w:r>
          </w:p>
        </w:tc>
        <w:tc>
          <w:tcPr>
            <w:tcW w:w="840" w:type="dxa"/>
            <w:vAlign w:val="bottom"/>
          </w:tcPr>
          <w:p>
            <w:pPr>
              <w:jc w:val="right"/>
              <w:spacing w:after="0"/>
              <w:rPr>
                <w:sz w:val="20"/>
                <w:szCs w:val="20"/>
                <w:color w:val="auto"/>
              </w:rPr>
            </w:pPr>
            <w:r>
              <w:rPr>
                <w:rFonts w:ascii="Arial" w:cs="Arial" w:eastAsia="Arial" w:hAnsi="Arial"/>
                <w:sz w:val="10"/>
                <w:szCs w:val="10"/>
                <w:color w:val="auto"/>
              </w:rPr>
              <w:t>254,430</w:t>
            </w:r>
          </w:p>
        </w:tc>
        <w:tc>
          <w:tcPr>
            <w:tcW w:w="280" w:type="dxa"/>
            <w:vAlign w:val="bottom"/>
          </w:tcPr>
          <w:p>
            <w:pPr>
              <w:spacing w:after="0"/>
              <w:rPr>
                <w:sz w:val="13"/>
                <w:szCs w:val="13"/>
                <w:color w:val="auto"/>
              </w:rPr>
            </w:pPr>
          </w:p>
        </w:tc>
        <w:tc>
          <w:tcPr>
            <w:tcW w:w="340" w:type="dxa"/>
            <w:vAlign w:val="bottom"/>
          </w:tcPr>
          <w:p>
            <w:pPr>
              <w:jc w:val="right"/>
              <w:ind w:right="112"/>
              <w:spacing w:after="0"/>
              <w:rPr>
                <w:sz w:val="20"/>
                <w:szCs w:val="20"/>
                <w:color w:val="auto"/>
              </w:rPr>
            </w:pPr>
            <w:r>
              <w:rPr>
                <w:rFonts w:ascii="Arial" w:cs="Arial" w:eastAsia="Arial" w:hAnsi="Arial"/>
                <w:sz w:val="10"/>
                <w:szCs w:val="10"/>
                <w:color w:val="auto"/>
              </w:rPr>
              <w:t>$</w:t>
            </w:r>
          </w:p>
        </w:tc>
        <w:tc>
          <w:tcPr>
            <w:tcW w:w="860" w:type="dxa"/>
            <w:vAlign w:val="bottom"/>
          </w:tcPr>
          <w:p>
            <w:pPr>
              <w:jc w:val="right"/>
              <w:spacing w:after="0"/>
              <w:rPr>
                <w:sz w:val="20"/>
                <w:szCs w:val="20"/>
                <w:color w:val="auto"/>
              </w:rPr>
            </w:pPr>
            <w:r>
              <w:rPr>
                <w:rFonts w:ascii="Arial" w:cs="Arial" w:eastAsia="Arial" w:hAnsi="Arial"/>
                <w:sz w:val="10"/>
                <w:szCs w:val="10"/>
                <w:color w:val="auto"/>
              </w:rPr>
              <w:t>244,979</w:t>
            </w:r>
          </w:p>
        </w:tc>
      </w:tr>
      <w:tr>
        <w:trPr>
          <w:trHeight w:val="171"/>
        </w:trPr>
        <w:tc>
          <w:tcPr>
            <w:tcW w:w="3560" w:type="dxa"/>
            <w:vAlign w:val="bottom"/>
            <w:gridSpan w:val="5"/>
            <w:shd w:val="clear" w:color="auto" w:fill="CCEEFF"/>
          </w:tcPr>
          <w:p>
            <w:pPr>
              <w:spacing w:after="0"/>
              <w:rPr>
                <w:sz w:val="20"/>
                <w:szCs w:val="20"/>
                <w:color w:val="auto"/>
              </w:rPr>
            </w:pPr>
            <w:r>
              <w:rPr>
                <w:rFonts w:ascii="Arial" w:cs="Arial" w:eastAsia="Arial" w:hAnsi="Arial"/>
                <w:sz w:val="10"/>
                <w:szCs w:val="10"/>
                <w:color w:val="auto"/>
              </w:rPr>
              <w:t>Operating income</w:t>
            </w:r>
          </w:p>
        </w:tc>
        <w:tc>
          <w:tcPr>
            <w:tcW w:w="34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23,154</w:t>
            </w:r>
          </w:p>
        </w:tc>
        <w:tc>
          <w:tcPr>
            <w:tcW w:w="2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22,173</w:t>
            </w:r>
          </w:p>
        </w:tc>
        <w:tc>
          <w:tcPr>
            <w:tcW w:w="2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20,935</w:t>
            </w:r>
          </w:p>
        </w:tc>
        <w:tc>
          <w:tcPr>
            <w:tcW w:w="2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19,127</w:t>
            </w:r>
          </w:p>
        </w:tc>
        <w:tc>
          <w:tcPr>
            <w:tcW w:w="2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18,178</w:t>
            </w:r>
          </w:p>
        </w:tc>
      </w:tr>
      <w:tr>
        <w:trPr>
          <w:trHeight w:val="171"/>
        </w:trPr>
        <w:tc>
          <w:tcPr>
            <w:tcW w:w="3560" w:type="dxa"/>
            <w:vAlign w:val="bottom"/>
            <w:gridSpan w:val="5"/>
          </w:tcPr>
          <w:p>
            <w:pPr>
              <w:spacing w:after="0"/>
              <w:rPr>
                <w:sz w:val="20"/>
                <w:szCs w:val="20"/>
                <w:color w:val="auto"/>
              </w:rPr>
            </w:pPr>
            <w:r>
              <w:rPr>
                <w:rFonts w:ascii="Arial" w:cs="Arial" w:eastAsia="Arial" w:hAnsi="Arial"/>
                <w:sz w:val="10"/>
                <w:szCs w:val="10"/>
                <w:color w:val="auto"/>
              </w:rPr>
              <w:t>Income (loss) from discontinued operations</w:t>
            </w:r>
          </w:p>
        </w:tc>
        <w:tc>
          <w:tcPr>
            <w:tcW w:w="3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0"/>
                <w:szCs w:val="10"/>
                <w:b w:val="1"/>
                <w:bCs w:val="1"/>
                <w:color w:val="auto"/>
              </w:rPr>
              <w:t>--</w:t>
            </w: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0"/>
                <w:szCs w:val="10"/>
                <w:color w:val="auto"/>
              </w:rPr>
              <w:t>--</w:t>
            </w:r>
          </w:p>
        </w:tc>
        <w:tc>
          <w:tcPr>
            <w:tcW w:w="720" w:type="dxa"/>
            <w:vAlign w:val="bottom"/>
          </w:tcPr>
          <w:p>
            <w:pPr>
              <w:spacing w:after="0"/>
              <w:rPr>
                <w:sz w:val="14"/>
                <w:szCs w:val="14"/>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0"/>
                <w:szCs w:val="10"/>
                <w:color w:val="auto"/>
              </w:rPr>
              <w:t>--</w:t>
            </w:r>
          </w:p>
        </w:tc>
        <w:tc>
          <w:tcPr>
            <w:tcW w:w="340" w:type="dxa"/>
            <w:vAlign w:val="bottom"/>
          </w:tcPr>
          <w:p>
            <w:pPr>
              <w:spacing w:after="0"/>
              <w:rPr>
                <w:sz w:val="14"/>
                <w:szCs w:val="14"/>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0"/>
                <w:szCs w:val="10"/>
                <w:color w:val="auto"/>
              </w:rPr>
              <w:t>(405)</w:t>
            </w:r>
          </w:p>
        </w:tc>
        <w:tc>
          <w:tcPr>
            <w:tcW w:w="3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0"/>
                <w:szCs w:val="10"/>
                <w:color w:val="auto"/>
              </w:rPr>
              <w:t>1,888</w:t>
            </w:r>
          </w:p>
        </w:tc>
      </w:tr>
      <w:tr>
        <w:trPr>
          <w:trHeight w:val="171"/>
        </w:trPr>
        <w:tc>
          <w:tcPr>
            <w:tcW w:w="3560" w:type="dxa"/>
            <w:vAlign w:val="bottom"/>
            <w:gridSpan w:val="5"/>
            <w:shd w:val="clear" w:color="auto" w:fill="CCEEFF"/>
          </w:tcPr>
          <w:p>
            <w:pPr>
              <w:spacing w:after="0"/>
              <w:rPr>
                <w:sz w:val="20"/>
                <w:szCs w:val="20"/>
                <w:color w:val="auto"/>
              </w:rPr>
            </w:pPr>
            <w:r>
              <w:rPr>
                <w:rFonts w:ascii="Arial" w:cs="Arial" w:eastAsia="Arial" w:hAnsi="Arial"/>
                <w:sz w:val="10"/>
                <w:szCs w:val="10"/>
                <w:color w:val="auto"/>
              </w:rPr>
              <w:t>Net income (loss) attributable to RDI</w:t>
            </w:r>
          </w:p>
        </w:tc>
        <w:tc>
          <w:tcPr>
            <w:tcW w:w="34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22,773</w:t>
            </w:r>
          </w:p>
        </w:tc>
        <w:tc>
          <w:tcPr>
            <w:tcW w:w="2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25,701</w:t>
            </w:r>
          </w:p>
        </w:tc>
        <w:tc>
          <w:tcPr>
            <w:tcW w:w="2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9,041</w:t>
            </w:r>
          </w:p>
        </w:tc>
        <w:tc>
          <w:tcPr>
            <w:tcW w:w="2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0"/>
                <w:szCs w:val="10"/>
                <w:color w:val="auto"/>
              </w:rPr>
              <w:t>(914)</w:t>
            </w:r>
          </w:p>
        </w:tc>
        <w:tc>
          <w:tcPr>
            <w:tcW w:w="3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9,956</w:t>
            </w:r>
          </w:p>
        </w:tc>
      </w:tr>
      <w:tr>
        <w:trPr>
          <w:trHeight w:val="171"/>
        </w:trPr>
        <w:tc>
          <w:tcPr>
            <w:tcW w:w="3560" w:type="dxa"/>
            <w:vAlign w:val="bottom"/>
            <w:gridSpan w:val="5"/>
          </w:tcPr>
          <w:p>
            <w:pPr>
              <w:spacing w:after="0"/>
              <w:rPr>
                <w:sz w:val="20"/>
                <w:szCs w:val="20"/>
                <w:color w:val="auto"/>
              </w:rPr>
            </w:pPr>
            <w:r>
              <w:rPr>
                <w:rFonts w:ascii="Arial" w:cs="Arial" w:eastAsia="Arial" w:hAnsi="Arial"/>
                <w:sz w:val="10"/>
                <w:szCs w:val="10"/>
                <w:color w:val="auto"/>
              </w:rPr>
              <w:t>Per common share</w:t>
            </w: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71"/>
        </w:trPr>
        <w:tc>
          <w:tcPr>
            <w:tcW w:w="3560" w:type="dxa"/>
            <w:vAlign w:val="bottom"/>
            <w:gridSpan w:val="5"/>
            <w:shd w:val="clear" w:color="auto" w:fill="CCEEFF"/>
          </w:tcPr>
          <w:p>
            <w:pPr>
              <w:ind w:left="60"/>
              <w:spacing w:after="0"/>
              <w:rPr>
                <w:sz w:val="20"/>
                <w:szCs w:val="20"/>
                <w:color w:val="auto"/>
              </w:rPr>
            </w:pPr>
            <w:r>
              <w:rPr>
                <w:rFonts w:ascii="Arial" w:cs="Arial" w:eastAsia="Arial" w:hAnsi="Arial"/>
                <w:sz w:val="10"/>
                <w:szCs w:val="10"/>
                <w:color w:val="auto"/>
              </w:rPr>
              <w:t>Net income/(loss) attributed to RDI</w:t>
            </w:r>
          </w:p>
        </w:tc>
        <w:tc>
          <w:tcPr>
            <w:tcW w:w="3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r>
      <w:tr>
        <w:trPr>
          <w:trHeight w:val="171"/>
        </w:trPr>
        <w:tc>
          <w:tcPr>
            <w:tcW w:w="3560" w:type="dxa"/>
            <w:vAlign w:val="bottom"/>
            <w:gridSpan w:val="5"/>
          </w:tcPr>
          <w:p>
            <w:pPr>
              <w:ind w:left="100"/>
              <w:spacing w:after="0"/>
              <w:rPr>
                <w:sz w:val="20"/>
                <w:szCs w:val="20"/>
                <w:color w:val="auto"/>
              </w:rPr>
            </w:pPr>
            <w:r>
              <w:rPr>
                <w:rFonts w:ascii="Arial" w:cs="Arial" w:eastAsia="Arial" w:hAnsi="Arial"/>
                <w:sz w:val="10"/>
                <w:szCs w:val="10"/>
                <w:color w:val="auto"/>
              </w:rPr>
              <w:t>Basic EPS</w:t>
            </w:r>
          </w:p>
        </w:tc>
        <w:tc>
          <w:tcPr>
            <w:tcW w:w="340" w:type="dxa"/>
            <w:vAlign w:val="bottom"/>
          </w:tcPr>
          <w:p>
            <w:pPr>
              <w:jc w:val="right"/>
              <w:ind w:right="112"/>
              <w:spacing w:after="0"/>
              <w:rPr>
                <w:sz w:val="20"/>
                <w:szCs w:val="20"/>
                <w:color w:val="auto"/>
              </w:rPr>
            </w:pPr>
            <w:r>
              <w:rPr>
                <w:rFonts w:ascii="Arial" w:cs="Arial" w:eastAsia="Arial" w:hAnsi="Arial"/>
                <w:sz w:val="10"/>
                <w:szCs w:val="10"/>
                <w:b w:val="1"/>
                <w:bCs w:val="1"/>
                <w:color w:val="auto"/>
              </w:rPr>
              <w:t>$</w:t>
            </w:r>
          </w:p>
        </w:tc>
        <w:tc>
          <w:tcPr>
            <w:tcW w:w="840" w:type="dxa"/>
            <w:vAlign w:val="bottom"/>
          </w:tcPr>
          <w:p>
            <w:pPr>
              <w:jc w:val="right"/>
              <w:spacing w:after="0"/>
              <w:rPr>
                <w:sz w:val="20"/>
                <w:szCs w:val="20"/>
                <w:color w:val="auto"/>
              </w:rPr>
            </w:pPr>
            <w:r>
              <w:rPr>
                <w:rFonts w:ascii="Arial" w:cs="Arial" w:eastAsia="Arial" w:hAnsi="Arial"/>
                <w:sz w:val="10"/>
                <w:szCs w:val="10"/>
                <w:b w:val="1"/>
                <w:bCs w:val="1"/>
                <w:color w:val="auto"/>
              </w:rPr>
              <w:t>0.98</w:t>
            </w:r>
          </w:p>
        </w:tc>
        <w:tc>
          <w:tcPr>
            <w:tcW w:w="280" w:type="dxa"/>
            <w:vAlign w:val="bottom"/>
          </w:tcPr>
          <w:p>
            <w:pPr>
              <w:spacing w:after="0"/>
              <w:rPr>
                <w:sz w:val="14"/>
                <w:szCs w:val="14"/>
                <w:color w:val="auto"/>
              </w:rPr>
            </w:pPr>
          </w:p>
        </w:tc>
        <w:tc>
          <w:tcPr>
            <w:tcW w:w="720" w:type="dxa"/>
            <w:vAlign w:val="bottom"/>
          </w:tcPr>
          <w:p>
            <w:pPr>
              <w:jc w:val="right"/>
              <w:ind w:right="492"/>
              <w:spacing w:after="0"/>
              <w:rPr>
                <w:sz w:val="20"/>
                <w:szCs w:val="20"/>
                <w:color w:val="auto"/>
              </w:rPr>
            </w:pPr>
            <w:r>
              <w:rPr>
                <w:rFonts w:ascii="Arial" w:cs="Arial" w:eastAsia="Arial" w:hAnsi="Arial"/>
                <w:sz w:val="10"/>
                <w:szCs w:val="10"/>
                <w:color w:val="auto"/>
              </w:rPr>
              <w:t>$</w:t>
            </w:r>
          </w:p>
        </w:tc>
        <w:tc>
          <w:tcPr>
            <w:tcW w:w="480" w:type="dxa"/>
            <w:vAlign w:val="bottom"/>
          </w:tcPr>
          <w:p>
            <w:pPr>
              <w:jc w:val="right"/>
              <w:spacing w:after="0"/>
              <w:rPr>
                <w:sz w:val="20"/>
                <w:szCs w:val="20"/>
                <w:color w:val="auto"/>
              </w:rPr>
            </w:pPr>
            <w:r>
              <w:rPr>
                <w:rFonts w:ascii="Arial" w:cs="Arial" w:eastAsia="Arial" w:hAnsi="Arial"/>
                <w:sz w:val="10"/>
                <w:szCs w:val="10"/>
                <w:color w:val="auto"/>
              </w:rPr>
              <w:t>1.10</w:t>
            </w:r>
          </w:p>
        </w:tc>
        <w:tc>
          <w:tcPr>
            <w:tcW w:w="260" w:type="dxa"/>
            <w:vAlign w:val="bottom"/>
          </w:tcPr>
          <w:p>
            <w:pPr>
              <w:spacing w:after="0"/>
              <w:rPr>
                <w:sz w:val="14"/>
                <w:szCs w:val="14"/>
                <w:color w:val="auto"/>
              </w:rPr>
            </w:pPr>
          </w:p>
        </w:tc>
        <w:tc>
          <w:tcPr>
            <w:tcW w:w="720" w:type="dxa"/>
            <w:vAlign w:val="bottom"/>
          </w:tcPr>
          <w:p>
            <w:pPr>
              <w:jc w:val="right"/>
              <w:ind w:right="492"/>
              <w:spacing w:after="0"/>
              <w:rPr>
                <w:sz w:val="20"/>
                <w:szCs w:val="20"/>
                <w:color w:val="auto"/>
              </w:rPr>
            </w:pPr>
            <w:r>
              <w:rPr>
                <w:rFonts w:ascii="Arial" w:cs="Arial" w:eastAsia="Arial" w:hAnsi="Arial"/>
                <w:sz w:val="10"/>
                <w:szCs w:val="10"/>
                <w:color w:val="auto"/>
              </w:rPr>
              <w:t>$</w:t>
            </w:r>
          </w:p>
        </w:tc>
        <w:tc>
          <w:tcPr>
            <w:tcW w:w="480" w:type="dxa"/>
            <w:vAlign w:val="bottom"/>
          </w:tcPr>
          <w:p>
            <w:pPr>
              <w:jc w:val="right"/>
              <w:spacing w:after="0"/>
              <w:rPr>
                <w:sz w:val="20"/>
                <w:szCs w:val="20"/>
                <w:color w:val="auto"/>
              </w:rPr>
            </w:pPr>
            <w:r>
              <w:rPr>
                <w:rFonts w:ascii="Arial" w:cs="Arial" w:eastAsia="Arial" w:hAnsi="Arial"/>
                <w:sz w:val="10"/>
                <w:szCs w:val="10"/>
                <w:color w:val="auto"/>
              </w:rPr>
              <w:t>0.39</w:t>
            </w:r>
          </w:p>
        </w:tc>
        <w:tc>
          <w:tcPr>
            <w:tcW w:w="280" w:type="dxa"/>
            <w:vAlign w:val="bottom"/>
          </w:tcPr>
          <w:p>
            <w:pPr>
              <w:spacing w:after="0"/>
              <w:rPr>
                <w:sz w:val="14"/>
                <w:szCs w:val="14"/>
                <w:color w:val="auto"/>
              </w:rPr>
            </w:pPr>
          </w:p>
        </w:tc>
        <w:tc>
          <w:tcPr>
            <w:tcW w:w="340" w:type="dxa"/>
            <w:vAlign w:val="bottom"/>
          </w:tcPr>
          <w:p>
            <w:pPr>
              <w:jc w:val="right"/>
              <w:ind w:right="132"/>
              <w:spacing w:after="0"/>
              <w:rPr>
                <w:sz w:val="20"/>
                <w:szCs w:val="20"/>
                <w:color w:val="auto"/>
              </w:rPr>
            </w:pPr>
            <w:r>
              <w:rPr>
                <w:rFonts w:ascii="Arial" w:cs="Arial" w:eastAsia="Arial" w:hAnsi="Arial"/>
                <w:sz w:val="10"/>
                <w:szCs w:val="10"/>
                <w:color w:val="auto"/>
              </w:rPr>
              <w:t>$</w:t>
            </w:r>
          </w:p>
        </w:tc>
        <w:tc>
          <w:tcPr>
            <w:tcW w:w="1120" w:type="dxa"/>
            <w:vAlign w:val="bottom"/>
            <w:gridSpan w:val="2"/>
          </w:tcPr>
          <w:p>
            <w:pPr>
              <w:jc w:val="right"/>
              <w:ind w:right="280"/>
              <w:spacing w:after="0"/>
              <w:rPr>
                <w:sz w:val="20"/>
                <w:szCs w:val="20"/>
                <w:color w:val="auto"/>
              </w:rPr>
            </w:pPr>
            <w:r>
              <w:rPr>
                <w:rFonts w:ascii="Arial" w:cs="Arial" w:eastAsia="Arial" w:hAnsi="Arial"/>
                <w:sz w:val="10"/>
                <w:szCs w:val="10"/>
                <w:color w:val="auto"/>
              </w:rPr>
              <w:t>(0.04)</w:t>
            </w:r>
          </w:p>
        </w:tc>
        <w:tc>
          <w:tcPr>
            <w:tcW w:w="340" w:type="dxa"/>
            <w:vAlign w:val="bottom"/>
          </w:tcPr>
          <w:p>
            <w:pPr>
              <w:jc w:val="right"/>
              <w:ind w:right="112"/>
              <w:spacing w:after="0"/>
              <w:rPr>
                <w:sz w:val="20"/>
                <w:szCs w:val="20"/>
                <w:color w:val="auto"/>
              </w:rPr>
            </w:pPr>
            <w:r>
              <w:rPr>
                <w:rFonts w:ascii="Arial" w:cs="Arial" w:eastAsia="Arial" w:hAnsi="Arial"/>
                <w:sz w:val="10"/>
                <w:szCs w:val="10"/>
                <w:color w:val="auto"/>
              </w:rPr>
              <w:t>$</w:t>
            </w:r>
          </w:p>
        </w:tc>
        <w:tc>
          <w:tcPr>
            <w:tcW w:w="860" w:type="dxa"/>
            <w:vAlign w:val="bottom"/>
          </w:tcPr>
          <w:p>
            <w:pPr>
              <w:jc w:val="right"/>
              <w:spacing w:after="0"/>
              <w:rPr>
                <w:sz w:val="20"/>
                <w:szCs w:val="20"/>
                <w:color w:val="auto"/>
              </w:rPr>
            </w:pPr>
            <w:r>
              <w:rPr>
                <w:rFonts w:ascii="Arial" w:cs="Arial" w:eastAsia="Arial" w:hAnsi="Arial"/>
                <w:sz w:val="10"/>
                <w:szCs w:val="10"/>
                <w:color w:val="auto"/>
              </w:rPr>
              <w:t>0.44</w:t>
            </w:r>
          </w:p>
        </w:tc>
      </w:tr>
      <w:tr>
        <w:trPr>
          <w:trHeight w:val="171"/>
        </w:trPr>
        <w:tc>
          <w:tcPr>
            <w:tcW w:w="3560" w:type="dxa"/>
            <w:vAlign w:val="bottom"/>
            <w:gridSpan w:val="5"/>
            <w:shd w:val="clear" w:color="auto" w:fill="CCEEFF"/>
          </w:tcPr>
          <w:p>
            <w:pPr>
              <w:ind w:left="100"/>
              <w:spacing w:after="0"/>
              <w:rPr>
                <w:sz w:val="20"/>
                <w:szCs w:val="20"/>
                <w:color w:val="auto"/>
              </w:rPr>
            </w:pPr>
            <w:r>
              <w:rPr>
                <w:rFonts w:ascii="Arial" w:cs="Arial" w:eastAsia="Arial" w:hAnsi="Arial"/>
                <w:sz w:val="10"/>
                <w:szCs w:val="10"/>
                <w:color w:val="auto"/>
              </w:rPr>
              <w:t>Diluted EPS</w:t>
            </w:r>
          </w:p>
        </w:tc>
        <w:tc>
          <w:tcPr>
            <w:tcW w:w="34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0.97</w:t>
            </w:r>
          </w:p>
        </w:tc>
        <w:tc>
          <w:tcPr>
            <w:tcW w:w="2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1.08</w:t>
            </w:r>
          </w:p>
        </w:tc>
        <w:tc>
          <w:tcPr>
            <w:tcW w:w="2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0.38</w:t>
            </w:r>
          </w:p>
        </w:tc>
        <w:tc>
          <w:tcPr>
            <w:tcW w:w="2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0"/>
                <w:szCs w:val="10"/>
                <w:color w:val="auto"/>
              </w:rPr>
              <w:t>(0.04)</w:t>
            </w:r>
          </w:p>
        </w:tc>
        <w:tc>
          <w:tcPr>
            <w:tcW w:w="3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0.43</w:t>
            </w:r>
          </w:p>
        </w:tc>
      </w:tr>
      <w:tr>
        <w:trPr>
          <w:trHeight w:val="162"/>
        </w:trPr>
        <w:tc>
          <w:tcPr>
            <w:tcW w:w="3560" w:type="dxa"/>
            <w:vAlign w:val="bottom"/>
            <w:gridSpan w:val="5"/>
          </w:tcPr>
          <w:p>
            <w:pPr>
              <w:spacing w:after="0"/>
              <w:rPr>
                <w:sz w:val="20"/>
                <w:szCs w:val="20"/>
                <w:color w:val="auto"/>
              </w:rPr>
            </w:pPr>
            <w:r>
              <w:rPr>
                <w:rFonts w:ascii="Arial" w:cs="Arial" w:eastAsia="Arial" w:hAnsi="Arial"/>
                <w:sz w:val="10"/>
                <w:szCs w:val="10"/>
                <w:b w:val="1"/>
                <w:bCs w:val="1"/>
                <w:color w:val="auto"/>
              </w:rPr>
              <w:t>Balance sheet</w:t>
            </w: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0"/>
        </w:trPr>
        <w:tc>
          <w:tcPr>
            <w:tcW w:w="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0"/>
                <w:szCs w:val="10"/>
                <w:color w:val="auto"/>
              </w:rPr>
              <w:t>Total assets</w:t>
            </w:r>
          </w:p>
        </w:tc>
        <w:tc>
          <w:tcPr>
            <w:tcW w:w="3000" w:type="dxa"/>
            <w:vAlign w:val="bottom"/>
            <w:gridSpan w:val="4"/>
            <w:shd w:val="clear" w:color="auto" w:fill="CCEEFF"/>
          </w:tcPr>
          <w:p>
            <w:pPr>
              <w:spacing w:after="0"/>
              <w:rPr>
                <w:sz w:val="13"/>
                <w:szCs w:val="13"/>
                <w:color w:val="auto"/>
              </w:rPr>
            </w:pPr>
          </w:p>
        </w:tc>
        <w:tc>
          <w:tcPr>
            <w:tcW w:w="340" w:type="dxa"/>
            <w:vAlign w:val="bottom"/>
            <w:shd w:val="clear" w:color="auto" w:fill="CCEEFF"/>
          </w:tcPr>
          <w:p>
            <w:pPr>
              <w:jc w:val="right"/>
              <w:ind w:right="112"/>
              <w:spacing w:after="0"/>
              <w:rPr>
                <w:sz w:val="20"/>
                <w:szCs w:val="20"/>
                <w:color w:val="auto"/>
              </w:rPr>
            </w:pPr>
            <w:r>
              <w:rPr>
                <w:rFonts w:ascii="Arial" w:cs="Arial" w:eastAsia="Arial" w:hAnsi="Arial"/>
                <w:sz w:val="10"/>
                <w:szCs w:val="10"/>
                <w:b w:val="1"/>
                <w:bCs w:val="1"/>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375,091</w:t>
            </w:r>
          </w:p>
        </w:tc>
        <w:tc>
          <w:tcPr>
            <w:tcW w:w="28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492"/>
              <w:spacing w:after="0"/>
              <w:rPr>
                <w:sz w:val="20"/>
                <w:szCs w:val="20"/>
                <w:color w:val="auto"/>
              </w:rPr>
            </w:pPr>
            <w:r>
              <w:rPr>
                <w:rFonts w:ascii="Arial" w:cs="Arial" w:eastAsia="Arial" w:hAnsi="Arial"/>
                <w:sz w:val="10"/>
                <w:szCs w:val="10"/>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401,586</w:t>
            </w:r>
          </w:p>
        </w:tc>
        <w:tc>
          <w:tcPr>
            <w:tcW w:w="26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492"/>
              <w:spacing w:after="0"/>
              <w:rPr>
                <w:sz w:val="20"/>
                <w:szCs w:val="20"/>
                <w:color w:val="auto"/>
              </w:rPr>
            </w:pPr>
            <w:r>
              <w:rPr>
                <w:rFonts w:ascii="Arial" w:cs="Arial" w:eastAsia="Arial" w:hAnsi="Arial"/>
                <w:sz w:val="10"/>
                <w:szCs w:val="10"/>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386,807</w:t>
            </w:r>
          </w:p>
        </w:tc>
        <w:tc>
          <w:tcPr>
            <w:tcW w:w="280" w:type="dxa"/>
            <w:vAlign w:val="bottom"/>
            <w:shd w:val="clear" w:color="auto" w:fill="CCEEFF"/>
          </w:tcPr>
          <w:p>
            <w:pPr>
              <w:spacing w:after="0"/>
              <w:rPr>
                <w:sz w:val="13"/>
                <w:szCs w:val="13"/>
                <w:color w:val="auto"/>
              </w:rPr>
            </w:pP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0"/>
                <w:szCs w:val="10"/>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428,588</w:t>
            </w:r>
          </w:p>
        </w:tc>
        <w:tc>
          <w:tcPr>
            <w:tcW w:w="280" w:type="dxa"/>
            <w:vAlign w:val="bottom"/>
            <w:shd w:val="clear" w:color="auto" w:fill="CCEEFF"/>
          </w:tcPr>
          <w:p>
            <w:pPr>
              <w:spacing w:after="0"/>
              <w:rPr>
                <w:sz w:val="13"/>
                <w:szCs w:val="13"/>
                <w:color w:val="auto"/>
              </w:rPr>
            </w:pPr>
          </w:p>
        </w:tc>
        <w:tc>
          <w:tcPr>
            <w:tcW w:w="340" w:type="dxa"/>
            <w:vAlign w:val="bottom"/>
            <w:shd w:val="clear" w:color="auto" w:fill="CCEEFF"/>
          </w:tcPr>
          <w:p>
            <w:pPr>
              <w:jc w:val="right"/>
              <w:ind w:right="112"/>
              <w:spacing w:after="0"/>
              <w:rPr>
                <w:sz w:val="20"/>
                <w:szCs w:val="20"/>
                <w:color w:val="auto"/>
              </w:rPr>
            </w:pPr>
            <w:r>
              <w:rPr>
                <w:rFonts w:ascii="Arial" w:cs="Arial" w:eastAsia="Arial" w:hAnsi="Arial"/>
                <w:sz w:val="10"/>
                <w:szCs w:val="10"/>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430,764</w:t>
            </w:r>
          </w:p>
        </w:tc>
      </w:tr>
      <w:tr>
        <w:trPr>
          <w:trHeight w:val="171"/>
        </w:trPr>
        <w:tc>
          <w:tcPr>
            <w:tcW w:w="3560" w:type="dxa"/>
            <w:vAlign w:val="bottom"/>
            <w:gridSpan w:val="5"/>
          </w:tcPr>
          <w:p>
            <w:pPr>
              <w:spacing w:after="0"/>
              <w:rPr>
                <w:sz w:val="20"/>
                <w:szCs w:val="20"/>
                <w:color w:val="auto"/>
              </w:rPr>
            </w:pPr>
            <w:r>
              <w:rPr>
                <w:rFonts w:ascii="Arial" w:cs="Arial" w:eastAsia="Arial" w:hAnsi="Arial"/>
                <w:sz w:val="10"/>
                <w:szCs w:val="10"/>
                <w:color w:val="auto"/>
              </w:rPr>
              <w:t>Total debt</w:t>
            </w:r>
          </w:p>
        </w:tc>
        <w:tc>
          <w:tcPr>
            <w:tcW w:w="3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0"/>
                <w:szCs w:val="10"/>
                <w:b w:val="1"/>
                <w:bCs w:val="1"/>
                <w:color w:val="auto"/>
              </w:rPr>
              <w:t>130,941</w:t>
            </w: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0"/>
                <w:szCs w:val="10"/>
                <w:color w:val="auto"/>
              </w:rPr>
              <w:t>164,036</w:t>
            </w: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0"/>
                <w:szCs w:val="10"/>
                <w:color w:val="auto"/>
              </w:rPr>
              <w:t>168,460</w:t>
            </w: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0"/>
                <w:szCs w:val="10"/>
                <w:color w:val="auto"/>
              </w:rPr>
              <w:t>196,597</w:t>
            </w: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0"/>
                <w:szCs w:val="10"/>
                <w:color w:val="auto"/>
              </w:rPr>
              <w:t>209,614</w:t>
            </w:r>
          </w:p>
        </w:tc>
      </w:tr>
      <w:tr>
        <w:trPr>
          <w:trHeight w:val="171"/>
        </w:trPr>
        <w:tc>
          <w:tcPr>
            <w:tcW w:w="3560" w:type="dxa"/>
            <w:vAlign w:val="bottom"/>
            <w:gridSpan w:val="5"/>
            <w:shd w:val="clear" w:color="auto" w:fill="CCEEFF"/>
          </w:tcPr>
          <w:p>
            <w:pPr>
              <w:spacing w:after="0"/>
              <w:rPr>
                <w:sz w:val="20"/>
                <w:szCs w:val="20"/>
                <w:color w:val="auto"/>
              </w:rPr>
            </w:pPr>
            <w:r>
              <w:rPr>
                <w:rFonts w:ascii="Arial" w:cs="Arial" w:eastAsia="Arial" w:hAnsi="Arial"/>
                <w:sz w:val="10"/>
                <w:szCs w:val="10"/>
                <w:color w:val="auto"/>
              </w:rPr>
              <w:t>Working capital (deficit)</w:t>
            </w:r>
          </w:p>
        </w:tc>
        <w:tc>
          <w:tcPr>
            <w:tcW w:w="34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0"/>
                <w:szCs w:val="10"/>
                <w:b w:val="1"/>
                <w:bCs w:val="1"/>
                <w:color w:val="auto"/>
              </w:rPr>
              <w:t>(38,514)</w:t>
            </w:r>
          </w:p>
        </w:tc>
        <w:tc>
          <w:tcPr>
            <w:tcW w:w="72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0"/>
                <w:szCs w:val="10"/>
                <w:color w:val="auto"/>
              </w:rPr>
              <w:t>(15,119)</w:t>
            </w:r>
          </w:p>
        </w:tc>
        <w:tc>
          <w:tcPr>
            <w:tcW w:w="72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0"/>
                <w:szCs w:val="10"/>
                <w:color w:val="auto"/>
              </w:rPr>
              <w:t>(75,067)</w:t>
            </w:r>
          </w:p>
        </w:tc>
        <w:tc>
          <w:tcPr>
            <w:tcW w:w="34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0"/>
                <w:szCs w:val="10"/>
                <w:color w:val="auto"/>
              </w:rPr>
              <w:t>(25,074)</w:t>
            </w:r>
          </w:p>
        </w:tc>
        <w:tc>
          <w:tcPr>
            <w:tcW w:w="3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(14,829)</w:t>
            </w:r>
          </w:p>
        </w:tc>
      </w:tr>
      <w:tr>
        <w:trPr>
          <w:trHeight w:val="171"/>
        </w:trPr>
        <w:tc>
          <w:tcPr>
            <w:tcW w:w="3560" w:type="dxa"/>
            <w:vAlign w:val="bottom"/>
            <w:gridSpan w:val="5"/>
          </w:tcPr>
          <w:p>
            <w:pPr>
              <w:spacing w:after="0"/>
              <w:rPr>
                <w:sz w:val="20"/>
                <w:szCs w:val="20"/>
                <w:color w:val="auto"/>
              </w:rPr>
            </w:pPr>
            <w:r>
              <w:rPr>
                <w:rFonts w:ascii="Arial" w:cs="Arial" w:eastAsia="Arial" w:hAnsi="Arial"/>
                <w:sz w:val="10"/>
                <w:szCs w:val="10"/>
                <w:color w:val="auto"/>
              </w:rPr>
              <w:t>Stockholders’ equity</w:t>
            </w:r>
          </w:p>
        </w:tc>
        <w:tc>
          <w:tcPr>
            <w:tcW w:w="3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0"/>
                <w:szCs w:val="10"/>
                <w:b w:val="1"/>
                <w:bCs w:val="1"/>
                <w:color w:val="auto"/>
              </w:rPr>
              <w:t>137,196</w:t>
            </w: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0"/>
                <w:szCs w:val="10"/>
                <w:color w:val="auto"/>
              </w:rPr>
              <w:t>132,298</w:t>
            </w: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0"/>
                <w:szCs w:val="10"/>
                <w:color w:val="auto"/>
              </w:rPr>
              <w:t>121,747</w:t>
            </w: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0"/>
                <w:szCs w:val="10"/>
                <w:color w:val="auto"/>
              </w:rPr>
              <w:t>130,954</w:t>
            </w: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0"/>
                <w:szCs w:val="10"/>
                <w:color w:val="auto"/>
              </w:rPr>
              <w:t>124,987</w:t>
            </w:r>
          </w:p>
        </w:tc>
      </w:tr>
      <w:tr>
        <w:trPr>
          <w:trHeight w:val="162"/>
        </w:trPr>
        <w:tc>
          <w:tcPr>
            <w:tcW w:w="3560" w:type="dxa"/>
            <w:vAlign w:val="bottom"/>
            <w:gridSpan w:val="5"/>
            <w:shd w:val="clear" w:color="auto" w:fill="CCEEFF"/>
          </w:tcPr>
          <w:p>
            <w:pPr>
              <w:spacing w:after="0"/>
              <w:rPr>
                <w:sz w:val="20"/>
                <w:szCs w:val="20"/>
                <w:color w:val="auto"/>
              </w:rPr>
            </w:pPr>
            <w:r>
              <w:rPr>
                <w:rFonts w:ascii="Arial" w:cs="Arial" w:eastAsia="Arial" w:hAnsi="Arial"/>
                <w:sz w:val="10"/>
                <w:szCs w:val="10"/>
                <w:b w:val="1"/>
                <w:bCs w:val="1"/>
                <w:color w:val="auto"/>
              </w:rPr>
              <w:t>Statement of cash flows</w:t>
            </w:r>
          </w:p>
        </w:tc>
        <w:tc>
          <w:tcPr>
            <w:tcW w:w="3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r>
      <w:tr>
        <w:trPr>
          <w:trHeight w:val="20"/>
        </w:trPr>
        <w:tc>
          <w:tcPr>
            <w:tcW w:w="5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000000"/>
          </w:tcPr>
          <w:p>
            <w:pPr>
              <w:spacing w:after="0" w:line="20" w:lineRule="exact"/>
              <w:rPr>
                <w:sz w:val="1"/>
                <w:szCs w:val="1"/>
                <w:color w:val="auto"/>
              </w:rPr>
            </w:pPr>
          </w:p>
        </w:tc>
        <w:tc>
          <w:tcPr>
            <w:tcW w:w="230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r>
      <w:tr>
        <w:trPr>
          <w:trHeight w:val="160"/>
        </w:trPr>
        <w:tc>
          <w:tcPr>
            <w:tcW w:w="3560" w:type="dxa"/>
            <w:vAlign w:val="bottom"/>
            <w:gridSpan w:val="5"/>
          </w:tcPr>
          <w:p>
            <w:pPr>
              <w:spacing w:after="0"/>
              <w:rPr>
                <w:sz w:val="20"/>
                <w:szCs w:val="20"/>
                <w:color w:val="auto"/>
              </w:rPr>
            </w:pPr>
            <w:r>
              <w:rPr>
                <w:rFonts w:ascii="Arial" w:cs="Arial" w:eastAsia="Arial" w:hAnsi="Arial"/>
                <w:sz w:val="10"/>
                <w:szCs w:val="10"/>
                <w:color w:val="auto"/>
              </w:rPr>
              <w:t>Cash provided by (used):</w:t>
            </w:r>
          </w:p>
        </w:tc>
        <w:tc>
          <w:tcPr>
            <w:tcW w:w="3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71"/>
        </w:trPr>
        <w:tc>
          <w:tcPr>
            <w:tcW w:w="3560" w:type="dxa"/>
            <w:vAlign w:val="bottom"/>
            <w:gridSpan w:val="5"/>
            <w:shd w:val="clear" w:color="auto" w:fill="CCEEFF"/>
          </w:tcPr>
          <w:p>
            <w:pPr>
              <w:ind w:left="60"/>
              <w:spacing w:after="0"/>
              <w:rPr>
                <w:sz w:val="20"/>
                <w:szCs w:val="20"/>
                <w:color w:val="auto"/>
              </w:rPr>
            </w:pPr>
            <w:r>
              <w:rPr>
                <w:rFonts w:ascii="Arial" w:cs="Arial" w:eastAsia="Arial" w:hAnsi="Arial"/>
                <w:sz w:val="10"/>
                <w:szCs w:val="10"/>
                <w:color w:val="auto"/>
              </w:rPr>
              <w:t>Operating activities</w:t>
            </w:r>
          </w:p>
        </w:tc>
        <w:tc>
          <w:tcPr>
            <w:tcW w:w="340" w:type="dxa"/>
            <w:vAlign w:val="bottom"/>
            <w:shd w:val="clear" w:color="auto" w:fill="CCEEFF"/>
          </w:tcPr>
          <w:p>
            <w:pPr>
              <w:jc w:val="right"/>
              <w:ind w:right="112"/>
              <w:spacing w:after="0"/>
              <w:rPr>
                <w:sz w:val="20"/>
                <w:szCs w:val="20"/>
                <w:color w:val="auto"/>
              </w:rPr>
            </w:pPr>
            <w:r>
              <w:rPr>
                <w:rFonts w:ascii="Arial" w:cs="Arial" w:eastAsia="Arial" w:hAnsi="Arial"/>
                <w:sz w:val="10"/>
                <w:szCs w:val="10"/>
                <w:b w:val="1"/>
                <w:bCs w:val="1"/>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28,574</w:t>
            </w:r>
          </w:p>
        </w:tc>
        <w:tc>
          <w:tcPr>
            <w:tcW w:w="28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492"/>
              <w:spacing w:after="0"/>
              <w:rPr>
                <w:sz w:val="20"/>
                <w:szCs w:val="20"/>
                <w:color w:val="auto"/>
              </w:rPr>
            </w:pPr>
            <w:r>
              <w:rPr>
                <w:rFonts w:ascii="Arial" w:cs="Arial" w:eastAsia="Arial" w:hAnsi="Arial"/>
                <w:sz w:val="10"/>
                <w:szCs w:val="10"/>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28,343</w:t>
            </w:r>
          </w:p>
        </w:tc>
        <w:tc>
          <w:tcPr>
            <w:tcW w:w="26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492"/>
              <w:spacing w:after="0"/>
              <w:rPr>
                <w:sz w:val="20"/>
                <w:szCs w:val="20"/>
                <w:color w:val="auto"/>
              </w:rPr>
            </w:pPr>
            <w:r>
              <w:rPr>
                <w:rFonts w:ascii="Arial" w:cs="Arial" w:eastAsia="Arial" w:hAnsi="Arial"/>
                <w:sz w:val="10"/>
                <w:szCs w:val="10"/>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25,183</w:t>
            </w:r>
          </w:p>
        </w:tc>
        <w:tc>
          <w:tcPr>
            <w:tcW w:w="28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0"/>
                <w:szCs w:val="10"/>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25,496</w:t>
            </w:r>
          </w:p>
        </w:tc>
        <w:tc>
          <w:tcPr>
            <w:tcW w:w="28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12"/>
              <w:spacing w:after="0"/>
              <w:rPr>
                <w:sz w:val="20"/>
                <w:szCs w:val="20"/>
                <w:color w:val="auto"/>
              </w:rPr>
            </w:pPr>
            <w:r>
              <w:rPr>
                <w:rFonts w:ascii="Arial" w:cs="Arial" w:eastAsia="Arial" w:hAnsi="Arial"/>
                <w:sz w:val="10"/>
                <w:szCs w:val="10"/>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24,253</w:t>
            </w:r>
          </w:p>
        </w:tc>
      </w:tr>
      <w:tr>
        <w:trPr>
          <w:trHeight w:val="171"/>
        </w:trPr>
        <w:tc>
          <w:tcPr>
            <w:tcW w:w="3560" w:type="dxa"/>
            <w:vAlign w:val="bottom"/>
            <w:gridSpan w:val="5"/>
          </w:tcPr>
          <w:p>
            <w:pPr>
              <w:ind w:left="60"/>
              <w:spacing w:after="0"/>
              <w:rPr>
                <w:sz w:val="20"/>
                <w:szCs w:val="20"/>
                <w:color w:val="auto"/>
              </w:rPr>
            </w:pPr>
            <w:r>
              <w:rPr>
                <w:rFonts w:ascii="Arial" w:cs="Arial" w:eastAsia="Arial" w:hAnsi="Arial"/>
                <w:sz w:val="10"/>
                <w:szCs w:val="10"/>
                <w:color w:val="auto"/>
              </w:rPr>
              <w:t>Investing activities</w:t>
            </w:r>
          </w:p>
        </w:tc>
        <w:tc>
          <w:tcPr>
            <w:tcW w:w="340" w:type="dxa"/>
            <w:vAlign w:val="bottom"/>
          </w:tcPr>
          <w:p>
            <w:pPr>
              <w:spacing w:after="0"/>
              <w:rPr>
                <w:sz w:val="14"/>
                <w:szCs w:val="14"/>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0"/>
                <w:szCs w:val="10"/>
                <w:b w:val="1"/>
                <w:bCs w:val="1"/>
                <w:color w:val="auto"/>
              </w:rPr>
              <w:t>(29,710)</w:t>
            </w:r>
          </w:p>
        </w:tc>
        <w:tc>
          <w:tcPr>
            <w:tcW w:w="720" w:type="dxa"/>
            <w:vAlign w:val="bottom"/>
          </w:tcPr>
          <w:p>
            <w:pPr>
              <w:spacing w:after="0"/>
              <w:rPr>
                <w:sz w:val="14"/>
                <w:szCs w:val="14"/>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0"/>
                <w:szCs w:val="10"/>
                <w:color w:val="auto"/>
              </w:rPr>
              <w:t>(9,898)</w:t>
            </w:r>
          </w:p>
        </w:tc>
        <w:tc>
          <w:tcPr>
            <w:tcW w:w="720" w:type="dxa"/>
            <w:vAlign w:val="bottom"/>
          </w:tcPr>
          <w:p>
            <w:pPr>
              <w:spacing w:after="0"/>
              <w:rPr>
                <w:sz w:val="14"/>
                <w:szCs w:val="14"/>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0"/>
                <w:szCs w:val="10"/>
                <w:color w:val="auto"/>
              </w:rPr>
              <w:t>(6,142)</w:t>
            </w:r>
          </w:p>
        </w:tc>
        <w:tc>
          <w:tcPr>
            <w:tcW w:w="340" w:type="dxa"/>
            <w:vAlign w:val="bottom"/>
          </w:tcPr>
          <w:p>
            <w:pPr>
              <w:spacing w:after="0"/>
              <w:rPr>
                <w:sz w:val="14"/>
                <w:szCs w:val="14"/>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0"/>
                <w:szCs w:val="10"/>
                <w:color w:val="auto"/>
              </w:rPr>
              <w:t>(6,095)</w:t>
            </w:r>
          </w:p>
        </w:tc>
        <w:tc>
          <w:tcPr>
            <w:tcW w:w="3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0"/>
                <w:szCs w:val="10"/>
                <w:color w:val="auto"/>
              </w:rPr>
              <w:t>(3,768)</w:t>
            </w:r>
          </w:p>
        </w:tc>
      </w:tr>
      <w:tr>
        <w:trPr>
          <w:trHeight w:val="171"/>
        </w:trPr>
        <w:tc>
          <w:tcPr>
            <w:tcW w:w="3560" w:type="dxa"/>
            <w:vAlign w:val="bottom"/>
            <w:gridSpan w:val="5"/>
            <w:shd w:val="clear" w:color="auto" w:fill="CCEEFF"/>
          </w:tcPr>
          <w:p>
            <w:pPr>
              <w:ind w:left="60"/>
              <w:spacing w:after="0"/>
              <w:rPr>
                <w:sz w:val="20"/>
                <w:szCs w:val="20"/>
                <w:color w:val="auto"/>
              </w:rPr>
            </w:pPr>
            <w:r>
              <w:rPr>
                <w:rFonts w:ascii="Arial" w:cs="Arial" w:eastAsia="Arial" w:hAnsi="Arial"/>
                <w:sz w:val="10"/>
                <w:szCs w:val="10"/>
                <w:color w:val="auto"/>
              </w:rPr>
              <w:t>Financing activities</w:t>
            </w:r>
          </w:p>
        </w:tc>
        <w:tc>
          <w:tcPr>
            <w:tcW w:w="34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0"/>
                <w:szCs w:val="10"/>
                <w:b w:val="1"/>
                <w:bCs w:val="1"/>
                <w:color w:val="auto"/>
              </w:rPr>
              <w:t>(27,961)</w:t>
            </w:r>
          </w:p>
        </w:tc>
        <w:tc>
          <w:tcPr>
            <w:tcW w:w="72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0"/>
                <w:szCs w:val="10"/>
                <w:color w:val="auto"/>
              </w:rPr>
              <w:t>(3,275)</w:t>
            </w:r>
          </w:p>
        </w:tc>
        <w:tc>
          <w:tcPr>
            <w:tcW w:w="72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0"/>
                <w:szCs w:val="10"/>
                <w:color w:val="auto"/>
              </w:rPr>
              <w:t>(17,775)</w:t>
            </w:r>
          </w:p>
        </w:tc>
        <w:tc>
          <w:tcPr>
            <w:tcW w:w="34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0"/>
                <w:szCs w:val="10"/>
                <w:color w:val="auto"/>
              </w:rPr>
              <w:t>(12,719)</w:t>
            </w:r>
          </w:p>
        </w:tc>
        <w:tc>
          <w:tcPr>
            <w:tcW w:w="3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(23,411)</w:t>
            </w:r>
          </w:p>
        </w:tc>
      </w:tr>
      <w:tr>
        <w:trPr>
          <w:trHeight w:val="162"/>
        </w:trPr>
        <w:tc>
          <w:tcPr>
            <w:tcW w:w="780" w:type="dxa"/>
            <w:vAlign w:val="bottom"/>
            <w:tcBorders>
              <w:bottom w:val="single" w:sz="8" w:color="auto"/>
            </w:tcBorders>
            <w:gridSpan w:val="2"/>
          </w:tcPr>
          <w:p>
            <w:pPr>
              <w:spacing w:after="0"/>
              <w:rPr>
                <w:sz w:val="20"/>
                <w:szCs w:val="20"/>
                <w:color w:val="auto"/>
              </w:rPr>
            </w:pPr>
            <w:r>
              <w:rPr>
                <w:rFonts w:ascii="Arial" w:cs="Arial" w:eastAsia="Arial" w:hAnsi="Arial"/>
                <w:sz w:val="10"/>
                <w:szCs w:val="10"/>
                <w:b w:val="1"/>
                <w:bCs w:val="1"/>
                <w:color w:val="auto"/>
                <w:w w:val="89"/>
              </w:rPr>
              <w:t>Other Information</w:t>
            </w:r>
          </w:p>
        </w:tc>
        <w:tc>
          <w:tcPr>
            <w:tcW w:w="2780" w:type="dxa"/>
            <w:vAlign w:val="bottom"/>
            <w:gridSpan w:val="3"/>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0"/>
        </w:trPr>
        <w:tc>
          <w:tcPr>
            <w:tcW w:w="3560" w:type="dxa"/>
            <w:vAlign w:val="bottom"/>
            <w:gridSpan w:val="5"/>
            <w:shd w:val="clear" w:color="auto" w:fill="CCEEFF"/>
          </w:tcPr>
          <w:p>
            <w:pPr>
              <w:spacing w:after="0"/>
              <w:rPr>
                <w:sz w:val="20"/>
                <w:szCs w:val="20"/>
                <w:color w:val="auto"/>
              </w:rPr>
            </w:pPr>
            <w:r>
              <w:rPr>
                <w:rFonts w:ascii="Arial" w:cs="Arial" w:eastAsia="Arial" w:hAnsi="Arial"/>
                <w:sz w:val="10"/>
                <w:szCs w:val="10"/>
                <w:color w:val="auto"/>
              </w:rPr>
              <w:t>EBIT</w:t>
            </w:r>
          </w:p>
        </w:tc>
        <w:tc>
          <w:tcPr>
            <w:tcW w:w="340" w:type="dxa"/>
            <w:vAlign w:val="bottom"/>
            <w:shd w:val="clear" w:color="auto" w:fill="CCEEFF"/>
          </w:tcPr>
          <w:p>
            <w:pPr>
              <w:jc w:val="right"/>
              <w:ind w:right="112"/>
              <w:spacing w:after="0"/>
              <w:rPr>
                <w:sz w:val="20"/>
                <w:szCs w:val="20"/>
                <w:color w:val="auto"/>
              </w:rPr>
            </w:pPr>
            <w:r>
              <w:rPr>
                <w:rFonts w:ascii="Arial" w:cs="Arial" w:eastAsia="Arial" w:hAnsi="Arial"/>
                <w:sz w:val="10"/>
                <w:szCs w:val="10"/>
                <w:b w:val="1"/>
                <w:bCs w:val="1"/>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35,020</w:t>
            </w:r>
          </w:p>
        </w:tc>
        <w:tc>
          <w:tcPr>
            <w:tcW w:w="28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492"/>
              <w:spacing w:after="0"/>
              <w:rPr>
                <w:sz w:val="20"/>
                <w:szCs w:val="20"/>
                <w:color w:val="auto"/>
              </w:rPr>
            </w:pPr>
            <w:r>
              <w:rPr>
                <w:rFonts w:ascii="Arial" w:cs="Arial" w:eastAsia="Arial" w:hAnsi="Arial"/>
                <w:sz w:val="10"/>
                <w:szCs w:val="10"/>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24,916</w:t>
            </w:r>
          </w:p>
        </w:tc>
        <w:tc>
          <w:tcPr>
            <w:tcW w:w="26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492"/>
              <w:spacing w:after="0"/>
              <w:rPr>
                <w:sz w:val="20"/>
                <w:szCs w:val="20"/>
                <w:color w:val="auto"/>
              </w:rPr>
            </w:pPr>
            <w:r>
              <w:rPr>
                <w:rFonts w:ascii="Arial" w:cs="Arial" w:eastAsia="Arial" w:hAnsi="Arial"/>
                <w:sz w:val="10"/>
                <w:szCs w:val="10"/>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24,020</w:t>
            </w:r>
          </w:p>
        </w:tc>
        <w:tc>
          <w:tcPr>
            <w:tcW w:w="280" w:type="dxa"/>
            <w:vAlign w:val="bottom"/>
            <w:shd w:val="clear" w:color="auto" w:fill="CCEEFF"/>
          </w:tcPr>
          <w:p>
            <w:pPr>
              <w:spacing w:after="0"/>
              <w:rPr>
                <w:sz w:val="13"/>
                <w:szCs w:val="13"/>
                <w:color w:val="auto"/>
              </w:rPr>
            </w:pP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0"/>
                <w:szCs w:val="10"/>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20,416</w:t>
            </w:r>
          </w:p>
        </w:tc>
        <w:tc>
          <w:tcPr>
            <w:tcW w:w="280" w:type="dxa"/>
            <w:vAlign w:val="bottom"/>
            <w:shd w:val="clear" w:color="auto" w:fill="CCEEFF"/>
          </w:tcPr>
          <w:p>
            <w:pPr>
              <w:spacing w:after="0"/>
              <w:rPr>
                <w:sz w:val="13"/>
                <w:szCs w:val="13"/>
                <w:color w:val="auto"/>
              </w:rPr>
            </w:pPr>
          </w:p>
        </w:tc>
        <w:tc>
          <w:tcPr>
            <w:tcW w:w="340" w:type="dxa"/>
            <w:vAlign w:val="bottom"/>
            <w:shd w:val="clear" w:color="auto" w:fill="CCEEFF"/>
          </w:tcPr>
          <w:p>
            <w:pPr>
              <w:jc w:val="right"/>
              <w:ind w:right="112"/>
              <w:spacing w:after="0"/>
              <w:rPr>
                <w:sz w:val="20"/>
                <w:szCs w:val="20"/>
                <w:color w:val="auto"/>
              </w:rPr>
            </w:pPr>
            <w:r>
              <w:rPr>
                <w:rFonts w:ascii="Arial" w:cs="Arial" w:eastAsia="Arial" w:hAnsi="Arial"/>
                <w:sz w:val="10"/>
                <w:szCs w:val="10"/>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18,664</w:t>
            </w:r>
          </w:p>
        </w:tc>
      </w:tr>
      <w:tr>
        <w:trPr>
          <w:trHeight w:val="171"/>
        </w:trPr>
        <w:tc>
          <w:tcPr>
            <w:tcW w:w="3560" w:type="dxa"/>
            <w:vAlign w:val="bottom"/>
            <w:gridSpan w:val="5"/>
          </w:tcPr>
          <w:p>
            <w:pPr>
              <w:spacing w:after="0"/>
              <w:rPr>
                <w:sz w:val="20"/>
                <w:szCs w:val="20"/>
                <w:color w:val="auto"/>
              </w:rPr>
            </w:pPr>
            <w:r>
              <w:rPr>
                <w:rFonts w:ascii="Arial" w:cs="Arial" w:eastAsia="Arial" w:hAnsi="Arial"/>
                <w:sz w:val="10"/>
                <w:szCs w:val="10"/>
                <w:color w:val="auto"/>
              </w:rPr>
              <w:t>Depreciation and amortization</w:t>
            </w:r>
          </w:p>
        </w:tc>
        <w:tc>
          <w:tcPr>
            <w:tcW w:w="340" w:type="dxa"/>
            <w:vAlign w:val="bottom"/>
          </w:tcPr>
          <w:p>
            <w:pPr>
              <w:jc w:val="right"/>
              <w:ind w:right="112"/>
              <w:spacing w:after="0"/>
              <w:rPr>
                <w:sz w:val="20"/>
                <w:szCs w:val="20"/>
                <w:color w:val="auto"/>
              </w:rPr>
            </w:pPr>
            <w:r>
              <w:rPr>
                <w:rFonts w:ascii="Arial" w:cs="Arial" w:eastAsia="Arial" w:hAnsi="Arial"/>
                <w:sz w:val="10"/>
                <w:szCs w:val="10"/>
                <w:b w:val="1"/>
                <w:bCs w:val="1"/>
                <w:color w:val="auto"/>
              </w:rPr>
              <w:t>$</w:t>
            </w:r>
          </w:p>
        </w:tc>
        <w:tc>
          <w:tcPr>
            <w:tcW w:w="840" w:type="dxa"/>
            <w:vAlign w:val="bottom"/>
          </w:tcPr>
          <w:p>
            <w:pPr>
              <w:jc w:val="right"/>
              <w:spacing w:after="0"/>
              <w:rPr>
                <w:sz w:val="20"/>
                <w:szCs w:val="20"/>
                <w:color w:val="auto"/>
              </w:rPr>
            </w:pPr>
            <w:r>
              <w:rPr>
                <w:rFonts w:ascii="Arial" w:cs="Arial" w:eastAsia="Arial" w:hAnsi="Arial"/>
                <w:sz w:val="10"/>
                <w:szCs w:val="10"/>
                <w:b w:val="1"/>
                <w:bCs w:val="1"/>
                <w:color w:val="auto"/>
              </w:rPr>
              <w:t>14,562</w:t>
            </w:r>
          </w:p>
        </w:tc>
        <w:tc>
          <w:tcPr>
            <w:tcW w:w="280" w:type="dxa"/>
            <w:vAlign w:val="bottom"/>
          </w:tcPr>
          <w:p>
            <w:pPr>
              <w:spacing w:after="0"/>
              <w:rPr>
                <w:sz w:val="14"/>
                <w:szCs w:val="14"/>
                <w:color w:val="auto"/>
              </w:rPr>
            </w:pPr>
          </w:p>
        </w:tc>
        <w:tc>
          <w:tcPr>
            <w:tcW w:w="720" w:type="dxa"/>
            <w:vAlign w:val="bottom"/>
          </w:tcPr>
          <w:p>
            <w:pPr>
              <w:jc w:val="right"/>
              <w:ind w:right="492"/>
              <w:spacing w:after="0"/>
              <w:rPr>
                <w:sz w:val="20"/>
                <w:szCs w:val="20"/>
                <w:color w:val="auto"/>
              </w:rPr>
            </w:pPr>
            <w:r>
              <w:rPr>
                <w:rFonts w:ascii="Arial" w:cs="Arial" w:eastAsia="Arial" w:hAnsi="Arial"/>
                <w:sz w:val="10"/>
                <w:szCs w:val="10"/>
                <w:color w:val="auto"/>
              </w:rPr>
              <w:t>$</w:t>
            </w:r>
          </w:p>
        </w:tc>
        <w:tc>
          <w:tcPr>
            <w:tcW w:w="480" w:type="dxa"/>
            <w:vAlign w:val="bottom"/>
          </w:tcPr>
          <w:p>
            <w:pPr>
              <w:jc w:val="right"/>
              <w:spacing w:after="0"/>
              <w:rPr>
                <w:sz w:val="20"/>
                <w:szCs w:val="20"/>
                <w:color w:val="auto"/>
              </w:rPr>
            </w:pPr>
            <w:r>
              <w:rPr>
                <w:rFonts w:ascii="Arial" w:cs="Arial" w:eastAsia="Arial" w:hAnsi="Arial"/>
                <w:sz w:val="10"/>
                <w:szCs w:val="10"/>
                <w:color w:val="auto"/>
              </w:rPr>
              <w:t>15,468</w:t>
            </w:r>
          </w:p>
        </w:tc>
        <w:tc>
          <w:tcPr>
            <w:tcW w:w="260" w:type="dxa"/>
            <w:vAlign w:val="bottom"/>
          </w:tcPr>
          <w:p>
            <w:pPr>
              <w:spacing w:after="0"/>
              <w:rPr>
                <w:sz w:val="14"/>
                <w:szCs w:val="14"/>
                <w:color w:val="auto"/>
              </w:rPr>
            </w:pPr>
          </w:p>
        </w:tc>
        <w:tc>
          <w:tcPr>
            <w:tcW w:w="720" w:type="dxa"/>
            <w:vAlign w:val="bottom"/>
          </w:tcPr>
          <w:p>
            <w:pPr>
              <w:jc w:val="right"/>
              <w:ind w:right="492"/>
              <w:spacing w:after="0"/>
              <w:rPr>
                <w:sz w:val="20"/>
                <w:szCs w:val="20"/>
                <w:color w:val="auto"/>
              </w:rPr>
            </w:pPr>
            <w:r>
              <w:rPr>
                <w:rFonts w:ascii="Arial" w:cs="Arial" w:eastAsia="Arial" w:hAnsi="Arial"/>
                <w:sz w:val="10"/>
                <w:szCs w:val="10"/>
                <w:color w:val="auto"/>
              </w:rPr>
              <w:t>$</w:t>
            </w:r>
          </w:p>
        </w:tc>
        <w:tc>
          <w:tcPr>
            <w:tcW w:w="480" w:type="dxa"/>
            <w:vAlign w:val="bottom"/>
          </w:tcPr>
          <w:p>
            <w:pPr>
              <w:jc w:val="right"/>
              <w:spacing w:after="0"/>
              <w:rPr>
                <w:sz w:val="20"/>
                <w:szCs w:val="20"/>
                <w:color w:val="auto"/>
              </w:rPr>
            </w:pPr>
            <w:r>
              <w:rPr>
                <w:rFonts w:ascii="Arial" w:cs="Arial" w:eastAsia="Arial" w:hAnsi="Arial"/>
                <w:sz w:val="10"/>
                <w:szCs w:val="10"/>
                <w:color w:val="auto"/>
              </w:rPr>
              <w:t>15,197</w:t>
            </w:r>
          </w:p>
        </w:tc>
        <w:tc>
          <w:tcPr>
            <w:tcW w:w="280" w:type="dxa"/>
            <w:vAlign w:val="bottom"/>
          </w:tcPr>
          <w:p>
            <w:pPr>
              <w:spacing w:after="0"/>
              <w:rPr>
                <w:sz w:val="14"/>
                <w:szCs w:val="14"/>
                <w:color w:val="auto"/>
              </w:rPr>
            </w:pPr>
          </w:p>
        </w:tc>
        <w:tc>
          <w:tcPr>
            <w:tcW w:w="340" w:type="dxa"/>
            <w:vAlign w:val="bottom"/>
          </w:tcPr>
          <w:p>
            <w:pPr>
              <w:jc w:val="right"/>
              <w:ind w:right="132"/>
              <w:spacing w:after="0"/>
              <w:rPr>
                <w:sz w:val="20"/>
                <w:szCs w:val="20"/>
                <w:color w:val="auto"/>
              </w:rPr>
            </w:pPr>
            <w:r>
              <w:rPr>
                <w:rFonts w:ascii="Arial" w:cs="Arial" w:eastAsia="Arial" w:hAnsi="Arial"/>
                <w:sz w:val="10"/>
                <w:szCs w:val="10"/>
                <w:color w:val="auto"/>
              </w:rPr>
              <w:t>$</w:t>
            </w:r>
          </w:p>
        </w:tc>
        <w:tc>
          <w:tcPr>
            <w:tcW w:w="840" w:type="dxa"/>
            <w:vAlign w:val="bottom"/>
          </w:tcPr>
          <w:p>
            <w:pPr>
              <w:jc w:val="right"/>
              <w:spacing w:after="0"/>
              <w:rPr>
                <w:sz w:val="20"/>
                <w:szCs w:val="20"/>
                <w:color w:val="auto"/>
              </w:rPr>
            </w:pPr>
            <w:r>
              <w:rPr>
                <w:rFonts w:ascii="Arial" w:cs="Arial" w:eastAsia="Arial" w:hAnsi="Arial"/>
                <w:sz w:val="10"/>
                <w:szCs w:val="10"/>
                <w:color w:val="auto"/>
              </w:rPr>
              <w:t>16,049</w:t>
            </w:r>
          </w:p>
        </w:tc>
        <w:tc>
          <w:tcPr>
            <w:tcW w:w="280" w:type="dxa"/>
            <w:vAlign w:val="bottom"/>
          </w:tcPr>
          <w:p>
            <w:pPr>
              <w:spacing w:after="0"/>
              <w:rPr>
                <w:sz w:val="14"/>
                <w:szCs w:val="14"/>
                <w:color w:val="auto"/>
              </w:rPr>
            </w:pPr>
          </w:p>
        </w:tc>
        <w:tc>
          <w:tcPr>
            <w:tcW w:w="340" w:type="dxa"/>
            <w:vAlign w:val="bottom"/>
          </w:tcPr>
          <w:p>
            <w:pPr>
              <w:jc w:val="right"/>
              <w:ind w:right="112"/>
              <w:spacing w:after="0"/>
              <w:rPr>
                <w:sz w:val="20"/>
                <w:szCs w:val="20"/>
                <w:color w:val="auto"/>
              </w:rPr>
            </w:pPr>
            <w:r>
              <w:rPr>
                <w:rFonts w:ascii="Arial" w:cs="Arial" w:eastAsia="Arial" w:hAnsi="Arial"/>
                <w:sz w:val="10"/>
                <w:szCs w:val="10"/>
                <w:color w:val="auto"/>
              </w:rPr>
              <w:t>$</w:t>
            </w:r>
          </w:p>
        </w:tc>
        <w:tc>
          <w:tcPr>
            <w:tcW w:w="860" w:type="dxa"/>
            <w:vAlign w:val="bottom"/>
          </w:tcPr>
          <w:p>
            <w:pPr>
              <w:jc w:val="right"/>
              <w:spacing w:after="0"/>
              <w:rPr>
                <w:sz w:val="20"/>
                <w:szCs w:val="20"/>
                <w:color w:val="auto"/>
              </w:rPr>
            </w:pPr>
            <w:r>
              <w:rPr>
                <w:rFonts w:ascii="Arial" w:cs="Arial" w:eastAsia="Arial" w:hAnsi="Arial"/>
                <w:sz w:val="10"/>
                <w:szCs w:val="10"/>
                <w:color w:val="auto"/>
              </w:rPr>
              <w:t>16,595</w:t>
            </w:r>
          </w:p>
        </w:tc>
      </w:tr>
      <w:tr>
        <w:trPr>
          <w:trHeight w:val="171"/>
        </w:trPr>
        <w:tc>
          <w:tcPr>
            <w:tcW w:w="3560" w:type="dxa"/>
            <w:vAlign w:val="bottom"/>
            <w:gridSpan w:val="5"/>
            <w:shd w:val="clear" w:color="auto" w:fill="CCEEFF"/>
          </w:tcPr>
          <w:p>
            <w:pPr>
              <w:spacing w:after="0"/>
              <w:rPr>
                <w:sz w:val="20"/>
                <w:szCs w:val="20"/>
                <w:color w:val="auto"/>
              </w:rPr>
            </w:pPr>
            <w:r>
              <w:rPr>
                <w:rFonts w:ascii="Arial" w:cs="Arial" w:eastAsia="Arial" w:hAnsi="Arial"/>
                <w:sz w:val="10"/>
                <w:szCs w:val="10"/>
                <w:color w:val="auto"/>
              </w:rPr>
              <w:t>Add: Adjustments for discontinued operations</w:t>
            </w:r>
          </w:p>
        </w:tc>
        <w:tc>
          <w:tcPr>
            <w:tcW w:w="340" w:type="dxa"/>
            <w:vAlign w:val="bottom"/>
            <w:shd w:val="clear" w:color="auto" w:fill="CCEEFF"/>
          </w:tcPr>
          <w:p>
            <w:pPr>
              <w:jc w:val="right"/>
              <w:ind w:right="112"/>
              <w:spacing w:after="0"/>
              <w:rPr>
                <w:sz w:val="20"/>
                <w:szCs w:val="20"/>
                <w:color w:val="auto"/>
              </w:rPr>
            </w:pPr>
            <w:r>
              <w:rPr>
                <w:rFonts w:ascii="Arial" w:cs="Arial" w:eastAsia="Arial" w:hAnsi="Arial"/>
                <w:sz w:val="10"/>
                <w:szCs w:val="10"/>
                <w:b w:val="1"/>
                <w:bCs w:val="1"/>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w:t>
            </w:r>
          </w:p>
        </w:tc>
        <w:tc>
          <w:tcPr>
            <w:tcW w:w="28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492"/>
              <w:spacing w:after="0"/>
              <w:rPr>
                <w:sz w:val="20"/>
                <w:szCs w:val="20"/>
                <w:color w:val="auto"/>
              </w:rPr>
            </w:pPr>
            <w:r>
              <w:rPr>
                <w:rFonts w:ascii="Arial" w:cs="Arial" w:eastAsia="Arial" w:hAnsi="Arial"/>
                <w:sz w:val="10"/>
                <w:szCs w:val="10"/>
                <w:color w:val="auto"/>
              </w:rPr>
              <w:t>$</w:t>
            </w: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0"/>
                <w:szCs w:val="10"/>
                <w:color w:val="auto"/>
              </w:rPr>
              <w:t>--</w:t>
            </w:r>
          </w:p>
        </w:tc>
        <w:tc>
          <w:tcPr>
            <w:tcW w:w="720" w:type="dxa"/>
            <w:vAlign w:val="bottom"/>
            <w:shd w:val="clear" w:color="auto" w:fill="CCEEFF"/>
          </w:tcPr>
          <w:p>
            <w:pPr>
              <w:jc w:val="right"/>
              <w:ind w:right="492"/>
              <w:spacing w:after="0"/>
              <w:rPr>
                <w:sz w:val="20"/>
                <w:szCs w:val="20"/>
                <w:color w:val="auto"/>
              </w:rPr>
            </w:pPr>
            <w:r>
              <w:rPr>
                <w:rFonts w:ascii="Arial" w:cs="Arial" w:eastAsia="Arial" w:hAnsi="Arial"/>
                <w:sz w:val="10"/>
                <w:szCs w:val="10"/>
                <w:color w:val="auto"/>
              </w:rPr>
              <w:t>$</w:t>
            </w: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0"/>
                <w:szCs w:val="10"/>
                <w:color w:val="auto"/>
              </w:rPr>
              <w:t>--</w:t>
            </w: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0"/>
                <w:szCs w:val="10"/>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335</w:t>
            </w:r>
          </w:p>
        </w:tc>
        <w:tc>
          <w:tcPr>
            <w:tcW w:w="28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12"/>
              <w:spacing w:after="0"/>
              <w:rPr>
                <w:sz w:val="20"/>
                <w:szCs w:val="20"/>
                <w:color w:val="auto"/>
              </w:rPr>
            </w:pPr>
            <w:r>
              <w:rPr>
                <w:rFonts w:ascii="Arial" w:cs="Arial" w:eastAsia="Arial" w:hAnsi="Arial"/>
                <w:sz w:val="10"/>
                <w:szCs w:val="10"/>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365</w:t>
            </w:r>
          </w:p>
        </w:tc>
      </w:tr>
      <w:tr>
        <w:trPr>
          <w:trHeight w:val="171"/>
        </w:trPr>
        <w:tc>
          <w:tcPr>
            <w:tcW w:w="3560" w:type="dxa"/>
            <w:vAlign w:val="bottom"/>
            <w:gridSpan w:val="5"/>
          </w:tcPr>
          <w:p>
            <w:pPr>
              <w:spacing w:after="0"/>
              <w:rPr>
                <w:sz w:val="20"/>
                <w:szCs w:val="20"/>
                <w:color w:val="auto"/>
              </w:rPr>
            </w:pPr>
            <w:r>
              <w:rPr>
                <w:rFonts w:ascii="Arial" w:cs="Arial" w:eastAsia="Arial" w:hAnsi="Arial"/>
                <w:sz w:val="10"/>
                <w:szCs w:val="10"/>
                <w:color w:val="auto"/>
              </w:rPr>
              <w:t>EBITDA</w:t>
            </w:r>
          </w:p>
        </w:tc>
        <w:tc>
          <w:tcPr>
            <w:tcW w:w="3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0"/>
                <w:szCs w:val="10"/>
                <w:b w:val="1"/>
                <w:bCs w:val="1"/>
                <w:color w:val="auto"/>
              </w:rPr>
              <w:t>49,582</w:t>
            </w: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0"/>
                <w:szCs w:val="10"/>
                <w:color w:val="auto"/>
              </w:rPr>
              <w:t>40,384</w:t>
            </w: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0"/>
                <w:szCs w:val="10"/>
                <w:color w:val="auto"/>
              </w:rPr>
              <w:t>39,217</w:t>
            </w: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0"/>
                <w:szCs w:val="10"/>
                <w:color w:val="auto"/>
              </w:rPr>
              <w:t>36,800</w:t>
            </w: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0"/>
                <w:szCs w:val="10"/>
                <w:color w:val="auto"/>
              </w:rPr>
              <w:t>35,624</w:t>
            </w:r>
          </w:p>
        </w:tc>
      </w:tr>
      <w:tr>
        <w:trPr>
          <w:trHeight w:val="171"/>
        </w:trPr>
        <w:tc>
          <w:tcPr>
            <w:tcW w:w="3560" w:type="dxa"/>
            <w:vAlign w:val="bottom"/>
            <w:gridSpan w:val="5"/>
            <w:shd w:val="clear" w:color="auto" w:fill="CCEEFF"/>
          </w:tcPr>
          <w:p>
            <w:pPr>
              <w:spacing w:after="0"/>
              <w:rPr>
                <w:sz w:val="20"/>
                <w:szCs w:val="20"/>
                <w:color w:val="auto"/>
              </w:rPr>
            </w:pPr>
            <w:r>
              <w:rPr>
                <w:rFonts w:ascii="Arial" w:cs="Arial" w:eastAsia="Arial" w:hAnsi="Arial"/>
                <w:sz w:val="10"/>
                <w:szCs w:val="10"/>
                <w:color w:val="auto"/>
              </w:rPr>
              <w:t>Debt to EBITDA</w:t>
            </w:r>
          </w:p>
        </w:tc>
        <w:tc>
          <w:tcPr>
            <w:tcW w:w="34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2.64</w:t>
            </w:r>
          </w:p>
        </w:tc>
        <w:tc>
          <w:tcPr>
            <w:tcW w:w="2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4.06</w:t>
            </w:r>
          </w:p>
        </w:tc>
        <w:tc>
          <w:tcPr>
            <w:tcW w:w="2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4.30</w:t>
            </w:r>
          </w:p>
        </w:tc>
        <w:tc>
          <w:tcPr>
            <w:tcW w:w="2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5.34</w:t>
            </w:r>
          </w:p>
        </w:tc>
        <w:tc>
          <w:tcPr>
            <w:tcW w:w="2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5.88</w:t>
            </w:r>
          </w:p>
        </w:tc>
      </w:tr>
      <w:tr>
        <w:trPr>
          <w:trHeight w:val="171"/>
        </w:trPr>
        <w:tc>
          <w:tcPr>
            <w:tcW w:w="3560" w:type="dxa"/>
            <w:vAlign w:val="bottom"/>
            <w:gridSpan w:val="5"/>
          </w:tcPr>
          <w:p>
            <w:pPr>
              <w:spacing w:after="0"/>
              <w:rPr>
                <w:sz w:val="20"/>
                <w:szCs w:val="20"/>
                <w:color w:val="auto"/>
              </w:rPr>
            </w:pPr>
            <w:r>
              <w:rPr>
                <w:rFonts w:ascii="Arial" w:cs="Arial" w:eastAsia="Arial" w:hAnsi="Arial"/>
                <w:sz w:val="10"/>
                <w:szCs w:val="10"/>
                <w:color w:val="auto"/>
              </w:rPr>
              <w:t>Capital expenditure (including acquisitions)</w:t>
            </w:r>
          </w:p>
        </w:tc>
        <w:tc>
          <w:tcPr>
            <w:tcW w:w="3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0"/>
                <w:szCs w:val="10"/>
                <w:b w:val="1"/>
                <w:bCs w:val="1"/>
                <w:color w:val="auto"/>
              </w:rPr>
              <w:t>53,119</w:t>
            </w: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0"/>
                <w:szCs w:val="10"/>
                <w:color w:val="auto"/>
              </w:rPr>
              <w:t>14,914</w:t>
            </w: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0"/>
                <w:szCs w:val="10"/>
                <w:color w:val="auto"/>
              </w:rPr>
              <w:t>20,082</w:t>
            </w: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0"/>
                <w:szCs w:val="10"/>
                <w:color w:val="auto"/>
              </w:rPr>
              <w:t>13,723</w:t>
            </w: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0"/>
                <w:szCs w:val="10"/>
                <w:color w:val="auto"/>
              </w:rPr>
              <w:t>9,376</w:t>
            </w:r>
          </w:p>
        </w:tc>
      </w:tr>
      <w:tr>
        <w:trPr>
          <w:trHeight w:val="153"/>
        </w:trPr>
        <w:tc>
          <w:tcPr>
            <w:tcW w:w="5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00" w:type="dxa"/>
            <w:vAlign w:val="bottom"/>
            <w:tcBorders>
              <w:right w:val="single" w:sz="8" w:color="CCEEFF"/>
            </w:tcBorders>
            <w:shd w:val="clear" w:color="auto" w:fill="CCEEFF"/>
          </w:tcPr>
          <w:p>
            <w:pPr>
              <w:spacing w:after="0"/>
              <w:rPr>
                <w:sz w:val="13"/>
                <w:szCs w:val="13"/>
                <w:color w:val="auto"/>
              </w:rPr>
            </w:pPr>
          </w:p>
        </w:tc>
        <w:tc>
          <w:tcPr>
            <w:tcW w:w="23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r>
      <w:tr>
        <w:trPr>
          <w:trHeight w:val="171"/>
        </w:trPr>
        <w:tc>
          <w:tcPr>
            <w:tcW w:w="3560" w:type="dxa"/>
            <w:vAlign w:val="bottom"/>
            <w:gridSpan w:val="5"/>
          </w:tcPr>
          <w:p>
            <w:pPr>
              <w:spacing w:after="0"/>
              <w:rPr>
                <w:sz w:val="20"/>
                <w:szCs w:val="20"/>
                <w:color w:val="auto"/>
              </w:rPr>
            </w:pPr>
            <w:r>
              <w:rPr>
                <w:rFonts w:ascii="Arial" w:cs="Arial" w:eastAsia="Arial" w:hAnsi="Arial"/>
                <w:sz w:val="10"/>
                <w:szCs w:val="10"/>
                <w:color w:val="auto"/>
              </w:rPr>
              <w:t>Shares outstanding</w:t>
            </w:r>
          </w:p>
        </w:tc>
        <w:tc>
          <w:tcPr>
            <w:tcW w:w="3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0"/>
                <w:szCs w:val="10"/>
                <w:b w:val="1"/>
                <w:bCs w:val="1"/>
                <w:color w:val="auto"/>
              </w:rPr>
              <w:t>23,334,892</w:t>
            </w: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0"/>
                <w:szCs w:val="10"/>
                <w:color w:val="auto"/>
                <w:w w:val="83"/>
              </w:rPr>
              <w:t>23,237,076</w:t>
            </w: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0"/>
                <w:szCs w:val="10"/>
                <w:color w:val="auto"/>
                <w:w w:val="87"/>
              </w:rPr>
              <w:t>23,385,519</w:t>
            </w: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0"/>
                <w:szCs w:val="10"/>
                <w:color w:val="auto"/>
              </w:rPr>
              <w:t>23,083,265</w:t>
            </w: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0"/>
                <w:szCs w:val="10"/>
                <w:color w:val="auto"/>
              </w:rPr>
              <w:t>22,806,838</w:t>
            </w:r>
          </w:p>
        </w:tc>
      </w:tr>
      <w:tr>
        <w:trPr>
          <w:trHeight w:val="171"/>
        </w:trPr>
        <w:tc>
          <w:tcPr>
            <w:tcW w:w="3560" w:type="dxa"/>
            <w:vAlign w:val="bottom"/>
            <w:gridSpan w:val="5"/>
            <w:shd w:val="clear" w:color="auto" w:fill="CCEEFF"/>
          </w:tcPr>
          <w:p>
            <w:pPr>
              <w:ind w:left="60"/>
              <w:spacing w:after="0"/>
              <w:rPr>
                <w:sz w:val="20"/>
                <w:szCs w:val="20"/>
                <w:color w:val="auto"/>
              </w:rPr>
            </w:pPr>
            <w:r>
              <w:rPr>
                <w:rFonts w:ascii="Arial" w:cs="Arial" w:eastAsia="Arial" w:hAnsi="Arial"/>
                <w:sz w:val="10"/>
                <w:szCs w:val="10"/>
                <w:color w:val="auto"/>
              </w:rPr>
              <w:t>Weighted average - basic</w:t>
            </w:r>
          </w:p>
        </w:tc>
        <w:tc>
          <w:tcPr>
            <w:tcW w:w="34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23,293,696</w:t>
            </w:r>
          </w:p>
        </w:tc>
        <w:tc>
          <w:tcPr>
            <w:tcW w:w="2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83"/>
              </w:rPr>
              <w:t>23,431,855</w:t>
            </w:r>
          </w:p>
        </w:tc>
        <w:tc>
          <w:tcPr>
            <w:tcW w:w="2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87"/>
              </w:rPr>
              <w:t>23,348,003</w:t>
            </w:r>
          </w:p>
        </w:tc>
        <w:tc>
          <w:tcPr>
            <w:tcW w:w="2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23,028,596</w:t>
            </w:r>
          </w:p>
        </w:tc>
        <w:tc>
          <w:tcPr>
            <w:tcW w:w="2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22,764,666</w:t>
            </w:r>
          </w:p>
        </w:tc>
      </w:tr>
      <w:tr>
        <w:trPr>
          <w:trHeight w:val="171"/>
        </w:trPr>
        <w:tc>
          <w:tcPr>
            <w:tcW w:w="3560" w:type="dxa"/>
            <w:vAlign w:val="bottom"/>
            <w:gridSpan w:val="5"/>
          </w:tcPr>
          <w:p>
            <w:pPr>
              <w:ind w:left="60"/>
              <w:spacing w:after="0"/>
              <w:rPr>
                <w:sz w:val="20"/>
                <w:szCs w:val="20"/>
                <w:color w:val="auto"/>
              </w:rPr>
            </w:pPr>
            <w:r>
              <w:rPr>
                <w:rFonts w:ascii="Arial" w:cs="Arial" w:eastAsia="Arial" w:hAnsi="Arial"/>
                <w:sz w:val="10"/>
                <w:szCs w:val="10"/>
                <w:color w:val="auto"/>
              </w:rPr>
              <w:t>Weighted average - diluted</w:t>
            </w:r>
          </w:p>
        </w:tc>
        <w:tc>
          <w:tcPr>
            <w:tcW w:w="3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0"/>
                <w:szCs w:val="10"/>
                <w:b w:val="1"/>
                <w:bCs w:val="1"/>
                <w:color w:val="auto"/>
              </w:rPr>
              <w:t>23,495,618</w:t>
            </w: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0"/>
                <w:szCs w:val="10"/>
                <w:color w:val="auto"/>
                <w:w w:val="83"/>
              </w:rPr>
              <w:t>23,749,221</w:t>
            </w: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0"/>
                <w:szCs w:val="10"/>
                <w:color w:val="auto"/>
                <w:w w:val="87"/>
              </w:rPr>
              <w:t>23,520,271</w:t>
            </w: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0"/>
                <w:szCs w:val="10"/>
                <w:color w:val="auto"/>
              </w:rPr>
              <w:t>23,028,596</w:t>
            </w: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0"/>
                <w:szCs w:val="10"/>
                <w:color w:val="auto"/>
              </w:rPr>
              <w:t>22,993,135</w:t>
            </w:r>
          </w:p>
        </w:tc>
      </w:tr>
      <w:tr>
        <w:trPr>
          <w:trHeight w:val="171"/>
        </w:trPr>
        <w:tc>
          <w:tcPr>
            <w:tcW w:w="3560" w:type="dxa"/>
            <w:vAlign w:val="bottom"/>
            <w:gridSpan w:val="5"/>
            <w:shd w:val="clear" w:color="auto" w:fill="CCEEFF"/>
          </w:tcPr>
          <w:p>
            <w:pPr>
              <w:spacing w:after="0"/>
              <w:rPr>
                <w:sz w:val="20"/>
                <w:szCs w:val="20"/>
                <w:color w:val="auto"/>
              </w:rPr>
            </w:pPr>
            <w:r>
              <w:rPr>
                <w:rFonts w:ascii="Arial" w:cs="Arial" w:eastAsia="Arial" w:hAnsi="Arial"/>
                <w:sz w:val="10"/>
                <w:szCs w:val="10"/>
                <w:color w:val="auto"/>
              </w:rPr>
              <w:t>Number of employees at 12/31</w:t>
            </w:r>
          </w:p>
        </w:tc>
        <w:tc>
          <w:tcPr>
            <w:tcW w:w="34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2,712</w:t>
            </w:r>
          </w:p>
        </w:tc>
        <w:tc>
          <w:tcPr>
            <w:tcW w:w="2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2,596</w:t>
            </w:r>
          </w:p>
        </w:tc>
        <w:tc>
          <w:tcPr>
            <w:tcW w:w="2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2,494</w:t>
            </w:r>
          </w:p>
        </w:tc>
        <w:tc>
          <w:tcPr>
            <w:tcW w:w="2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2,412</w:t>
            </w:r>
          </w:p>
        </w:tc>
        <w:tc>
          <w:tcPr>
            <w:tcW w:w="2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2,263</w:t>
            </w:r>
          </w:p>
        </w:tc>
      </w:tr>
    </w:tbl>
    <w:p>
      <w:pPr>
        <w:spacing w:after="0" w:line="135" w:lineRule="exact"/>
        <w:rPr>
          <w:sz w:val="20"/>
          <w:szCs w:val="20"/>
          <w:color w:val="auto"/>
        </w:rPr>
      </w:pPr>
    </w:p>
    <w:p>
      <w:pPr>
        <w:jc w:val="both"/>
        <w:ind w:right="80"/>
        <w:spacing w:after="0" w:line="263" w:lineRule="auto"/>
        <w:rPr>
          <w:sz w:val="20"/>
          <w:szCs w:val="20"/>
          <w:color w:val="auto"/>
        </w:rPr>
      </w:pPr>
      <w:r>
        <w:rPr>
          <w:rFonts w:ascii="Arial" w:cs="Arial" w:eastAsia="Arial" w:hAnsi="Arial"/>
          <w:sz w:val="12"/>
          <w:szCs w:val="12"/>
          <w:color w:val="auto"/>
        </w:rPr>
        <w:t>Both EBIT and EBITDA are non-US GAAP measures and are presented for informational purposes. They should not be construed as an alternative to net earnings (loss), as an indicator of operating performance or as an alternative to cash flow provided by operating activities as a measure of liquidity (as determined in accordance with US GAAP). These measures should be reviewed in conjunction with the relevant US GAAP financial measures. EBIT and EBITDA as we have calculated them may not be comparable to similarly titled measures reported by other companies.</w:t>
      </w:r>
    </w:p>
    <w:p>
      <w:pPr>
        <w:spacing w:after="0" w:line="96" w:lineRule="exact"/>
        <w:rPr>
          <w:sz w:val="20"/>
          <w:szCs w:val="20"/>
          <w:color w:val="auto"/>
        </w:rPr>
      </w:pPr>
    </w:p>
    <w:p>
      <w:pPr>
        <w:ind w:right="220"/>
        <w:spacing w:after="0" w:line="276" w:lineRule="auto"/>
        <w:rPr>
          <w:sz w:val="20"/>
          <w:szCs w:val="20"/>
          <w:color w:val="auto"/>
        </w:rPr>
      </w:pPr>
      <w:r>
        <w:rPr>
          <w:rFonts w:ascii="Arial" w:cs="Arial" w:eastAsia="Arial" w:hAnsi="Arial"/>
          <w:sz w:val="12"/>
          <w:szCs w:val="12"/>
          <w:color w:val="auto"/>
        </w:rPr>
        <w:t>EBIT presented above represents net income (loss) adjusted for interest expense (net of interest income), income tax expense and an adjustment of interest expense for discontinued operations, if any. EBIT is useful in evaluating our operating results for the following reasons:</w:t>
      </w:r>
    </w:p>
    <w:p>
      <w:pPr>
        <w:spacing w:after="0" w:line="88" w:lineRule="exact"/>
        <w:rPr>
          <w:sz w:val="20"/>
          <w:szCs w:val="20"/>
          <w:color w:val="auto"/>
        </w:rPr>
      </w:pPr>
    </w:p>
    <w:p>
      <w:pPr>
        <w:jc w:val="center"/>
        <w:ind w:right="-119"/>
        <w:spacing w:after="0"/>
        <w:rPr>
          <w:sz w:val="20"/>
          <w:szCs w:val="20"/>
          <w:color w:val="auto"/>
        </w:rPr>
      </w:pPr>
      <w:r>
        <w:rPr>
          <w:rFonts w:ascii="Arial" w:cs="Arial" w:eastAsia="Arial" w:hAnsi="Arial"/>
          <w:sz w:val="11"/>
          <w:szCs w:val="11"/>
          <w:color w:val="auto"/>
        </w:rPr>
        <w:t>·EBIT removes the impact of the varying tax rates and tax regimes in the jurisdictions where we operate and the impact of tax timing differences that may vary from time-to-time and from jurisdiction-to-jurisdiction</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59690</wp:posOffset>
            </wp:positionV>
            <wp:extent cx="677989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779895" cy="42545"/>
                    </a:xfrm>
                    <a:prstGeom prst="rect">
                      <a:avLst/>
                    </a:prstGeom>
                    <a:noFill/>
                  </pic:spPr>
                </pic:pic>
              </a:graphicData>
            </a:graphic>
          </wp:anchor>
        </w:drawing>
      </w:r>
    </w:p>
    <w:p>
      <w:pPr>
        <w:sectPr>
          <w:pgSz w:w="11900" w:h="16838" w:orient="portrait"/>
          <w:cols w:equalWidth="0" w:num="1">
            <w:col w:w="10620"/>
          </w:cols>
          <w:pgMar w:left="640" w:top="127" w:right="639" w:bottom="1440" w:gutter="0" w:footer="0" w:header="0"/>
        </w:sectPr>
      </w:pPr>
    </w:p>
    <w:bookmarkStart w:id="30" w:name="page31"/>
    <w:bookmarkEnd w:id="30"/>
    <w:p>
      <w:pPr>
        <w:ind w:left="260" w:right="160" w:hanging="35"/>
        <w:spacing w:after="0" w:line="258" w:lineRule="auto"/>
        <w:rPr>
          <w:sz w:val="20"/>
          <w:szCs w:val="20"/>
          <w:color w:val="auto"/>
        </w:rPr>
      </w:pPr>
      <w:r>
        <w:rPr>
          <w:rFonts w:ascii="Arial" w:cs="Arial" w:eastAsia="Arial" w:hAnsi="Arial"/>
          <w:sz w:val="12"/>
          <w:szCs w:val="12"/>
          <w:color w:val="auto"/>
        </w:rPr>
        <w:t>·EBIT removes the impact from our effective tax rate of factors not directly related to our business operations, such as whether we have acquired operating assets by purchasing those assets directly, or indirectly by purchasing the stock of a company that holds such operating assets.</w:t>
      </w:r>
    </w:p>
    <w:p>
      <w:pPr>
        <w:ind w:left="220"/>
        <w:spacing w:after="0"/>
        <w:rPr>
          <w:sz w:val="20"/>
          <w:szCs w:val="20"/>
          <w:color w:val="auto"/>
        </w:rPr>
      </w:pPr>
      <w:r>
        <w:rPr>
          <w:rFonts w:ascii="Arial" w:cs="Arial" w:eastAsia="Arial" w:hAnsi="Arial"/>
          <w:sz w:val="12"/>
          <w:szCs w:val="12"/>
          <w:color w:val="auto"/>
        </w:rPr>
        <w:t>· EBIT removes the impact of our historically significant net loss carry-forwards.</w:t>
      </w:r>
    </w:p>
    <w:p>
      <w:pPr>
        <w:spacing w:after="0" w:line="6" w:lineRule="exact"/>
        <w:rPr>
          <w:sz w:val="20"/>
          <w:szCs w:val="20"/>
          <w:color w:val="auto"/>
        </w:rPr>
      </w:pPr>
    </w:p>
    <w:p>
      <w:pPr>
        <w:ind w:left="220"/>
        <w:spacing w:after="0"/>
        <w:rPr>
          <w:sz w:val="20"/>
          <w:szCs w:val="20"/>
          <w:color w:val="auto"/>
        </w:rPr>
      </w:pPr>
      <w:r>
        <w:rPr>
          <w:rFonts w:ascii="Arial" w:cs="Arial" w:eastAsia="Arial" w:hAnsi="Arial"/>
          <w:sz w:val="11"/>
          <w:szCs w:val="11"/>
          <w:color w:val="auto"/>
        </w:rPr>
        <w:t>·EBIT allows a better performance comparison between RDI and other companies. For example, it allows us to compare ourselves with other companies that may have more or less debt than we do.</w:t>
      </w:r>
    </w:p>
    <w:p>
      <w:pPr>
        <w:spacing w:after="0" w:line="243" w:lineRule="exact"/>
        <w:rPr>
          <w:sz w:val="20"/>
          <w:szCs w:val="20"/>
          <w:color w:val="auto"/>
        </w:rPr>
      </w:pPr>
    </w:p>
    <w:p>
      <w:pPr>
        <w:ind w:right="120"/>
        <w:spacing w:after="0" w:line="276" w:lineRule="auto"/>
        <w:rPr>
          <w:sz w:val="20"/>
          <w:szCs w:val="20"/>
          <w:color w:val="auto"/>
        </w:rPr>
      </w:pPr>
      <w:r>
        <w:rPr>
          <w:rFonts w:ascii="Arial" w:cs="Arial" w:eastAsia="Arial" w:hAnsi="Arial"/>
          <w:sz w:val="12"/>
          <w:szCs w:val="12"/>
          <w:color w:val="auto"/>
        </w:rPr>
        <w:t>We define EBITDA as net income adjusted for interest expense (net of interest income), income tax expense, depreciation and amortization expense, and an adjustment of interest expense, depreciation, and amortization for discontinued operations, if any. EBITDA is useful principally for the following reasons:</w:t>
      </w:r>
    </w:p>
    <w:p>
      <w:pPr>
        <w:spacing w:after="0" w:line="97" w:lineRule="exact"/>
        <w:rPr>
          <w:sz w:val="20"/>
          <w:szCs w:val="20"/>
          <w:color w:val="auto"/>
        </w:rPr>
      </w:pPr>
    </w:p>
    <w:p>
      <w:pPr>
        <w:ind w:left="260" w:right="360" w:hanging="35"/>
        <w:spacing w:after="0" w:line="258" w:lineRule="auto"/>
        <w:rPr>
          <w:sz w:val="20"/>
          <w:szCs w:val="20"/>
          <w:color w:val="auto"/>
        </w:rPr>
      </w:pPr>
      <w:r>
        <w:rPr>
          <w:rFonts w:ascii="Arial" w:cs="Arial" w:eastAsia="Arial" w:hAnsi="Arial"/>
          <w:sz w:val="12"/>
          <w:szCs w:val="12"/>
          <w:color w:val="auto"/>
        </w:rPr>
        <w:t>·EBITDA is an industry comparative measure of financial performance. Analysts and financial commentators who report on the cinema exhibition and real estate industries often use EBITDA to determine the valuation of a company in such industries.</w:t>
      </w:r>
    </w:p>
    <w:p>
      <w:pPr>
        <w:ind w:left="220"/>
        <w:spacing w:after="0"/>
        <w:rPr>
          <w:sz w:val="20"/>
          <w:szCs w:val="20"/>
          <w:color w:val="auto"/>
        </w:rPr>
      </w:pPr>
      <w:r>
        <w:rPr>
          <w:rFonts w:ascii="Arial" w:cs="Arial" w:eastAsia="Arial" w:hAnsi="Arial"/>
          <w:sz w:val="12"/>
          <w:szCs w:val="12"/>
          <w:color w:val="auto"/>
        </w:rPr>
        <w:t>·EBITDA is a measure used by financial institutions to determine the credit rating of companies in cinema exhibition and real estate industries.</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color w:val="auto"/>
        </w:rPr>
        <w:t>Reconciliation of EBIT and EBITDA to net income is presented below:</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328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rPr>
              <w:t>($ in thousands)</w:t>
            </w:r>
          </w:p>
        </w:tc>
        <w:tc>
          <w:tcPr>
            <w:tcW w:w="28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46"/>
              <w:spacing w:after="0"/>
              <w:rPr>
                <w:sz w:val="20"/>
                <w:szCs w:val="20"/>
                <w:color w:val="auto"/>
              </w:rPr>
            </w:pPr>
            <w:r>
              <w:rPr>
                <w:rFonts w:ascii="Arial" w:cs="Arial" w:eastAsia="Arial" w:hAnsi="Arial"/>
                <w:sz w:val="11"/>
                <w:szCs w:val="11"/>
                <w:b w:val="1"/>
                <w:bCs w:val="1"/>
                <w:color w:val="auto"/>
              </w:rPr>
              <w:t>2015</w:t>
            </w:r>
          </w:p>
        </w:tc>
        <w:tc>
          <w:tcPr>
            <w:tcW w:w="28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66"/>
              <w:spacing w:after="0"/>
              <w:rPr>
                <w:sz w:val="20"/>
                <w:szCs w:val="20"/>
                <w:color w:val="auto"/>
              </w:rPr>
            </w:pPr>
            <w:r>
              <w:rPr>
                <w:rFonts w:ascii="Arial" w:cs="Arial" w:eastAsia="Arial" w:hAnsi="Arial"/>
                <w:sz w:val="11"/>
                <w:szCs w:val="11"/>
                <w:b w:val="1"/>
                <w:bCs w:val="1"/>
                <w:color w:val="auto"/>
              </w:rPr>
              <w:t>2014</w:t>
            </w:r>
          </w:p>
        </w:tc>
        <w:tc>
          <w:tcPr>
            <w:tcW w:w="26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46"/>
              <w:spacing w:after="0"/>
              <w:rPr>
                <w:sz w:val="20"/>
                <w:szCs w:val="20"/>
                <w:color w:val="auto"/>
              </w:rPr>
            </w:pPr>
            <w:r>
              <w:rPr>
                <w:rFonts w:ascii="Arial" w:cs="Arial" w:eastAsia="Arial" w:hAnsi="Arial"/>
                <w:sz w:val="11"/>
                <w:szCs w:val="11"/>
                <w:b w:val="1"/>
                <w:bCs w:val="1"/>
                <w:color w:val="auto"/>
              </w:rPr>
              <w:t>2013</w:t>
            </w:r>
          </w:p>
        </w:tc>
        <w:tc>
          <w:tcPr>
            <w:tcW w:w="28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2012</w:t>
            </w:r>
          </w:p>
        </w:tc>
        <w:tc>
          <w:tcPr>
            <w:tcW w:w="360" w:type="dxa"/>
            <w:vAlign w:val="bottom"/>
            <w:tcBorders>
              <w:bottom w:val="single" w:sz="8" w:color="auto"/>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46"/>
              <w:spacing w:after="0"/>
              <w:rPr>
                <w:sz w:val="20"/>
                <w:szCs w:val="20"/>
                <w:color w:val="auto"/>
              </w:rPr>
            </w:pPr>
            <w:r>
              <w:rPr>
                <w:rFonts w:ascii="Arial" w:cs="Arial" w:eastAsia="Arial" w:hAnsi="Arial"/>
                <w:sz w:val="11"/>
                <w:szCs w:val="11"/>
                <w:b w:val="1"/>
                <w:bCs w:val="1"/>
                <w:color w:val="auto"/>
              </w:rPr>
              <w:t>2011</w:t>
            </w:r>
          </w:p>
        </w:tc>
      </w:tr>
      <w:tr>
        <w:trPr>
          <w:trHeight w:val="207"/>
        </w:trPr>
        <w:tc>
          <w:tcPr>
            <w:tcW w:w="35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Net income (loss) attributable to RDI</w:t>
            </w:r>
          </w:p>
        </w:tc>
        <w:tc>
          <w:tcPr>
            <w:tcW w:w="380" w:type="dxa"/>
            <w:vAlign w:val="bottom"/>
            <w:shd w:val="clear" w:color="auto" w:fill="CCEEFF"/>
          </w:tcPr>
          <w:p>
            <w:pPr>
              <w:jc w:val="right"/>
              <w:ind w:right="146"/>
              <w:spacing w:after="0"/>
              <w:rPr>
                <w:sz w:val="20"/>
                <w:szCs w:val="20"/>
                <w:color w:val="auto"/>
              </w:rPr>
            </w:pPr>
            <w:r>
              <w:rPr>
                <w:rFonts w:ascii="Arial" w:cs="Arial" w:eastAsia="Arial" w:hAnsi="Arial"/>
                <w:sz w:val="11"/>
                <w:szCs w:val="11"/>
                <w:b w:val="1"/>
                <w:bCs w:val="1"/>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22,773</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46"/>
              <w:spacing w:after="0"/>
              <w:rPr>
                <w:sz w:val="20"/>
                <w:szCs w:val="20"/>
                <w:color w:val="auto"/>
              </w:rPr>
            </w:pPr>
            <w:r>
              <w:rPr>
                <w:rFonts w:ascii="Arial" w:cs="Arial" w:eastAsia="Arial" w:hAnsi="Arial"/>
                <w:sz w:val="11"/>
                <w:szCs w:val="11"/>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25,701</w:t>
            </w: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46"/>
              <w:spacing w:after="0"/>
              <w:rPr>
                <w:sz w:val="20"/>
                <w:szCs w:val="20"/>
                <w:color w:val="auto"/>
              </w:rPr>
            </w:pPr>
            <w:r>
              <w:rPr>
                <w:rFonts w:ascii="Arial" w:cs="Arial" w:eastAsia="Arial" w:hAnsi="Arial"/>
                <w:sz w:val="11"/>
                <w:szCs w:val="11"/>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9,041</w:t>
            </w: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606"/>
              <w:spacing w:after="0"/>
              <w:rPr>
                <w:sz w:val="20"/>
                <w:szCs w:val="20"/>
                <w:color w:val="auto"/>
              </w:rPr>
            </w:pPr>
            <w:r>
              <w:rPr>
                <w:rFonts w:ascii="Arial" w:cs="Arial" w:eastAsia="Arial" w:hAnsi="Arial"/>
                <w:sz w:val="11"/>
                <w:szCs w:val="11"/>
                <w:color w:val="auto"/>
              </w:rPr>
              <w:t>$</w:t>
            </w: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1"/>
                <w:szCs w:val="11"/>
                <w:color w:val="auto"/>
              </w:rPr>
              <w:t>(914)</w:t>
            </w:r>
          </w:p>
        </w:tc>
        <w:tc>
          <w:tcPr>
            <w:tcW w:w="380" w:type="dxa"/>
            <w:vAlign w:val="bottom"/>
            <w:shd w:val="clear" w:color="auto" w:fill="CCEEFF"/>
          </w:tcPr>
          <w:p>
            <w:pPr>
              <w:jc w:val="right"/>
              <w:ind w:right="146"/>
              <w:spacing w:after="0"/>
              <w:rPr>
                <w:sz w:val="20"/>
                <w:szCs w:val="20"/>
                <w:color w:val="auto"/>
              </w:rPr>
            </w:pPr>
            <w:r>
              <w:rPr>
                <w:rFonts w:ascii="Arial" w:cs="Arial" w:eastAsia="Arial" w:hAnsi="Arial"/>
                <w:sz w:val="11"/>
                <w:szCs w:val="11"/>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9,956</w:t>
            </w:r>
          </w:p>
        </w:tc>
      </w:tr>
      <w:tr>
        <w:trPr>
          <w:trHeight w:val="169"/>
        </w:trPr>
        <w:tc>
          <w:tcPr>
            <w:tcW w:w="3560" w:type="dxa"/>
            <w:vAlign w:val="bottom"/>
            <w:gridSpan w:val="2"/>
          </w:tcPr>
          <w:p>
            <w:pPr>
              <w:ind w:left="60"/>
              <w:spacing w:after="0"/>
              <w:rPr>
                <w:sz w:val="20"/>
                <w:szCs w:val="20"/>
                <w:color w:val="auto"/>
              </w:rPr>
            </w:pPr>
            <w:r>
              <w:rPr>
                <w:rFonts w:ascii="Arial" w:cs="Arial" w:eastAsia="Arial" w:hAnsi="Arial"/>
                <w:sz w:val="11"/>
                <w:szCs w:val="11"/>
                <w:color w:val="auto"/>
              </w:rPr>
              <w:t>Add: Interest expense, net</w:t>
            </w:r>
          </w:p>
        </w:tc>
        <w:tc>
          <w:tcPr>
            <w:tcW w:w="3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1"/>
                <w:szCs w:val="11"/>
                <w:b w:val="1"/>
                <w:bCs w:val="1"/>
                <w:color w:val="auto"/>
              </w:rPr>
              <w:t>7,304</w:t>
            </w: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9,000</w:t>
            </w: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10,037</w:t>
            </w: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1"/>
                <w:szCs w:val="11"/>
                <w:color w:val="auto"/>
                <w:w w:val="94"/>
              </w:rPr>
              <w:t>16,426</w:t>
            </w: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21,038</w:t>
            </w:r>
          </w:p>
        </w:tc>
      </w:tr>
      <w:tr>
        <w:trPr>
          <w:trHeight w:val="171"/>
        </w:trPr>
        <w:tc>
          <w:tcPr>
            <w:tcW w:w="328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1"/>
                <w:szCs w:val="11"/>
                <w:color w:val="auto"/>
              </w:rPr>
              <w:t>Add: Income tax (benefit) expense</w:t>
            </w:r>
          </w:p>
        </w:tc>
        <w:tc>
          <w:tcPr>
            <w:tcW w:w="28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4,943</w:t>
            </w:r>
          </w:p>
        </w:tc>
        <w:tc>
          <w:tcPr>
            <w:tcW w:w="28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(9,785)</w:t>
            </w:r>
          </w:p>
        </w:tc>
        <w:tc>
          <w:tcPr>
            <w:tcW w:w="26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4,942</w:t>
            </w:r>
          </w:p>
        </w:tc>
        <w:tc>
          <w:tcPr>
            <w:tcW w:w="280" w:type="dxa"/>
            <w:vAlign w:val="bottom"/>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4,904</w:t>
            </w:r>
          </w:p>
        </w:tc>
        <w:tc>
          <w:tcPr>
            <w:tcW w:w="28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(12,330)</w:t>
            </w:r>
          </w:p>
        </w:tc>
      </w:tr>
      <w:tr>
        <w:trPr>
          <w:trHeight w:val="151"/>
        </w:trPr>
        <w:tc>
          <w:tcPr>
            <w:tcW w:w="3560" w:type="dxa"/>
            <w:vAlign w:val="bottom"/>
            <w:gridSpan w:val="2"/>
          </w:tcPr>
          <w:p>
            <w:pPr>
              <w:spacing w:after="0"/>
              <w:rPr>
                <w:sz w:val="20"/>
                <w:szCs w:val="20"/>
                <w:color w:val="auto"/>
              </w:rPr>
            </w:pPr>
            <w:r>
              <w:rPr>
                <w:rFonts w:ascii="Arial" w:cs="Arial" w:eastAsia="Arial" w:hAnsi="Arial"/>
                <w:sz w:val="11"/>
                <w:szCs w:val="11"/>
                <w:color w:val="auto"/>
              </w:rPr>
              <w:t>EBIT</w:t>
            </w:r>
          </w:p>
        </w:tc>
        <w:tc>
          <w:tcPr>
            <w:tcW w:w="380" w:type="dxa"/>
            <w:vAlign w:val="bottom"/>
          </w:tcPr>
          <w:p>
            <w:pPr>
              <w:jc w:val="right"/>
              <w:ind w:right="146"/>
              <w:spacing w:after="0"/>
              <w:rPr>
                <w:sz w:val="20"/>
                <w:szCs w:val="20"/>
                <w:color w:val="auto"/>
              </w:rPr>
            </w:pPr>
            <w:r>
              <w:rPr>
                <w:rFonts w:ascii="Arial" w:cs="Arial" w:eastAsia="Arial" w:hAnsi="Arial"/>
                <w:sz w:val="11"/>
                <w:szCs w:val="11"/>
                <w:b w:val="1"/>
                <w:bCs w:val="1"/>
                <w:color w:val="auto"/>
              </w:rPr>
              <w:t>$</w:t>
            </w:r>
          </w:p>
        </w:tc>
        <w:tc>
          <w:tcPr>
            <w:tcW w:w="800" w:type="dxa"/>
            <w:vAlign w:val="bottom"/>
          </w:tcPr>
          <w:p>
            <w:pPr>
              <w:jc w:val="right"/>
              <w:spacing w:after="0"/>
              <w:rPr>
                <w:sz w:val="20"/>
                <w:szCs w:val="20"/>
                <w:color w:val="auto"/>
              </w:rPr>
            </w:pPr>
            <w:r>
              <w:rPr>
                <w:rFonts w:ascii="Arial" w:cs="Arial" w:eastAsia="Arial" w:hAnsi="Arial"/>
                <w:sz w:val="11"/>
                <w:szCs w:val="11"/>
                <w:b w:val="1"/>
                <w:bCs w:val="1"/>
                <w:color w:val="auto"/>
              </w:rPr>
              <w:t>35,020</w:t>
            </w:r>
          </w:p>
        </w:tc>
        <w:tc>
          <w:tcPr>
            <w:tcW w:w="280" w:type="dxa"/>
            <w:vAlign w:val="bottom"/>
          </w:tcPr>
          <w:p>
            <w:pPr>
              <w:spacing w:after="0"/>
              <w:rPr>
                <w:sz w:val="13"/>
                <w:szCs w:val="13"/>
                <w:color w:val="auto"/>
              </w:rPr>
            </w:pPr>
          </w:p>
        </w:tc>
        <w:tc>
          <w:tcPr>
            <w:tcW w:w="380" w:type="dxa"/>
            <w:vAlign w:val="bottom"/>
          </w:tcPr>
          <w:p>
            <w:pPr>
              <w:jc w:val="right"/>
              <w:ind w:right="146"/>
              <w:spacing w:after="0"/>
              <w:rPr>
                <w:sz w:val="20"/>
                <w:szCs w:val="20"/>
                <w:color w:val="auto"/>
              </w:rPr>
            </w:pPr>
            <w:r>
              <w:rPr>
                <w:rFonts w:ascii="Arial" w:cs="Arial" w:eastAsia="Arial" w:hAnsi="Arial"/>
                <w:sz w:val="11"/>
                <w:szCs w:val="11"/>
                <w:color w:val="auto"/>
              </w:rPr>
              <w:t>$</w:t>
            </w:r>
          </w:p>
        </w:tc>
        <w:tc>
          <w:tcPr>
            <w:tcW w:w="820" w:type="dxa"/>
            <w:vAlign w:val="bottom"/>
          </w:tcPr>
          <w:p>
            <w:pPr>
              <w:jc w:val="right"/>
              <w:spacing w:after="0"/>
              <w:rPr>
                <w:sz w:val="20"/>
                <w:szCs w:val="20"/>
                <w:color w:val="auto"/>
              </w:rPr>
            </w:pPr>
            <w:r>
              <w:rPr>
                <w:rFonts w:ascii="Arial" w:cs="Arial" w:eastAsia="Arial" w:hAnsi="Arial"/>
                <w:sz w:val="11"/>
                <w:szCs w:val="11"/>
                <w:color w:val="auto"/>
              </w:rPr>
              <w:t>24,916</w:t>
            </w:r>
          </w:p>
        </w:tc>
        <w:tc>
          <w:tcPr>
            <w:tcW w:w="260" w:type="dxa"/>
            <w:vAlign w:val="bottom"/>
          </w:tcPr>
          <w:p>
            <w:pPr>
              <w:spacing w:after="0"/>
              <w:rPr>
                <w:sz w:val="13"/>
                <w:szCs w:val="13"/>
                <w:color w:val="auto"/>
              </w:rPr>
            </w:pPr>
          </w:p>
        </w:tc>
        <w:tc>
          <w:tcPr>
            <w:tcW w:w="380" w:type="dxa"/>
            <w:vAlign w:val="bottom"/>
          </w:tcPr>
          <w:p>
            <w:pPr>
              <w:jc w:val="right"/>
              <w:ind w:right="146"/>
              <w:spacing w:after="0"/>
              <w:rPr>
                <w:sz w:val="20"/>
                <w:szCs w:val="20"/>
                <w:color w:val="auto"/>
              </w:rPr>
            </w:pPr>
            <w:r>
              <w:rPr>
                <w:rFonts w:ascii="Arial" w:cs="Arial" w:eastAsia="Arial" w:hAnsi="Arial"/>
                <w:sz w:val="11"/>
                <w:szCs w:val="11"/>
                <w:color w:val="auto"/>
              </w:rPr>
              <w:t>$</w:t>
            </w:r>
          </w:p>
        </w:tc>
        <w:tc>
          <w:tcPr>
            <w:tcW w:w="820" w:type="dxa"/>
            <w:vAlign w:val="bottom"/>
          </w:tcPr>
          <w:p>
            <w:pPr>
              <w:jc w:val="right"/>
              <w:spacing w:after="0"/>
              <w:rPr>
                <w:sz w:val="20"/>
                <w:szCs w:val="20"/>
                <w:color w:val="auto"/>
              </w:rPr>
            </w:pPr>
            <w:r>
              <w:rPr>
                <w:rFonts w:ascii="Arial" w:cs="Arial" w:eastAsia="Arial" w:hAnsi="Arial"/>
                <w:sz w:val="11"/>
                <w:szCs w:val="11"/>
                <w:color w:val="auto"/>
              </w:rPr>
              <w:t>24,020</w:t>
            </w:r>
          </w:p>
        </w:tc>
        <w:tc>
          <w:tcPr>
            <w:tcW w:w="280" w:type="dxa"/>
            <w:vAlign w:val="bottom"/>
          </w:tcPr>
          <w:p>
            <w:pPr>
              <w:spacing w:after="0"/>
              <w:rPr>
                <w:sz w:val="13"/>
                <w:szCs w:val="13"/>
                <w:color w:val="auto"/>
              </w:rPr>
            </w:pPr>
          </w:p>
        </w:tc>
        <w:tc>
          <w:tcPr>
            <w:tcW w:w="820" w:type="dxa"/>
            <w:vAlign w:val="bottom"/>
          </w:tcPr>
          <w:p>
            <w:pPr>
              <w:jc w:val="right"/>
              <w:ind w:right="606"/>
              <w:spacing w:after="0"/>
              <w:rPr>
                <w:sz w:val="20"/>
                <w:szCs w:val="20"/>
                <w:color w:val="auto"/>
              </w:rPr>
            </w:pPr>
            <w:r>
              <w:rPr>
                <w:rFonts w:ascii="Arial" w:cs="Arial" w:eastAsia="Arial" w:hAnsi="Arial"/>
                <w:sz w:val="11"/>
                <w:szCs w:val="11"/>
                <w:color w:val="auto"/>
              </w:rPr>
              <w:t>$</w:t>
            </w:r>
          </w:p>
        </w:tc>
        <w:tc>
          <w:tcPr>
            <w:tcW w:w="360" w:type="dxa"/>
            <w:vAlign w:val="bottom"/>
          </w:tcPr>
          <w:p>
            <w:pPr>
              <w:jc w:val="right"/>
              <w:spacing w:after="0"/>
              <w:rPr>
                <w:sz w:val="20"/>
                <w:szCs w:val="20"/>
                <w:color w:val="auto"/>
              </w:rPr>
            </w:pPr>
            <w:r>
              <w:rPr>
                <w:rFonts w:ascii="Arial" w:cs="Arial" w:eastAsia="Arial" w:hAnsi="Arial"/>
                <w:sz w:val="11"/>
                <w:szCs w:val="11"/>
                <w:color w:val="auto"/>
                <w:w w:val="94"/>
              </w:rPr>
              <w:t>20,416</w:t>
            </w:r>
          </w:p>
        </w:tc>
        <w:tc>
          <w:tcPr>
            <w:tcW w:w="280" w:type="dxa"/>
            <w:vAlign w:val="bottom"/>
          </w:tcPr>
          <w:p>
            <w:pPr>
              <w:spacing w:after="0"/>
              <w:rPr>
                <w:sz w:val="13"/>
                <w:szCs w:val="13"/>
                <w:color w:val="auto"/>
              </w:rPr>
            </w:pPr>
          </w:p>
        </w:tc>
        <w:tc>
          <w:tcPr>
            <w:tcW w:w="380" w:type="dxa"/>
            <w:vAlign w:val="bottom"/>
          </w:tcPr>
          <w:p>
            <w:pPr>
              <w:jc w:val="right"/>
              <w:ind w:right="146"/>
              <w:spacing w:after="0"/>
              <w:rPr>
                <w:sz w:val="20"/>
                <w:szCs w:val="20"/>
                <w:color w:val="auto"/>
              </w:rPr>
            </w:pPr>
            <w:r>
              <w:rPr>
                <w:rFonts w:ascii="Arial" w:cs="Arial" w:eastAsia="Arial" w:hAnsi="Arial"/>
                <w:sz w:val="11"/>
                <w:szCs w:val="11"/>
                <w:color w:val="auto"/>
              </w:rPr>
              <w:t>$</w:t>
            </w:r>
          </w:p>
        </w:tc>
        <w:tc>
          <w:tcPr>
            <w:tcW w:w="820" w:type="dxa"/>
            <w:vAlign w:val="bottom"/>
          </w:tcPr>
          <w:p>
            <w:pPr>
              <w:jc w:val="right"/>
              <w:spacing w:after="0"/>
              <w:rPr>
                <w:sz w:val="20"/>
                <w:szCs w:val="20"/>
                <w:color w:val="auto"/>
              </w:rPr>
            </w:pPr>
            <w:r>
              <w:rPr>
                <w:rFonts w:ascii="Arial" w:cs="Arial" w:eastAsia="Arial" w:hAnsi="Arial"/>
                <w:sz w:val="11"/>
                <w:szCs w:val="11"/>
                <w:color w:val="auto"/>
              </w:rPr>
              <w:t>18,664</w:t>
            </w:r>
          </w:p>
        </w:tc>
      </w:tr>
      <w:tr>
        <w:trPr>
          <w:trHeight w:val="173"/>
        </w:trPr>
        <w:tc>
          <w:tcPr>
            <w:tcW w:w="3560" w:type="dxa"/>
            <w:vAlign w:val="bottom"/>
            <w:gridSpan w:val="2"/>
            <w:shd w:val="clear" w:color="auto" w:fill="CCEEFF"/>
          </w:tcPr>
          <w:p>
            <w:pPr>
              <w:ind w:left="60"/>
              <w:spacing w:after="0"/>
              <w:rPr>
                <w:sz w:val="20"/>
                <w:szCs w:val="20"/>
                <w:color w:val="auto"/>
              </w:rPr>
            </w:pPr>
            <w:r>
              <w:rPr>
                <w:rFonts w:ascii="Arial" w:cs="Arial" w:eastAsia="Arial" w:hAnsi="Arial"/>
                <w:sz w:val="11"/>
                <w:szCs w:val="11"/>
                <w:color w:val="auto"/>
              </w:rPr>
              <w:t>Add: Depreciation and amortization</w:t>
            </w:r>
          </w:p>
        </w:tc>
        <w:tc>
          <w:tcPr>
            <w:tcW w:w="38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14,562</w:t>
            </w:r>
          </w:p>
        </w:tc>
        <w:tc>
          <w:tcPr>
            <w:tcW w:w="2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15,468</w:t>
            </w:r>
          </w:p>
        </w:tc>
        <w:tc>
          <w:tcPr>
            <w:tcW w:w="2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15,197</w:t>
            </w: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4"/>
              </w:rPr>
              <w:t>16,049</w:t>
            </w:r>
          </w:p>
        </w:tc>
        <w:tc>
          <w:tcPr>
            <w:tcW w:w="2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16,595</w:t>
            </w:r>
          </w:p>
        </w:tc>
      </w:tr>
      <w:tr>
        <w:trPr>
          <w:trHeight w:val="169"/>
        </w:trPr>
        <w:tc>
          <w:tcPr>
            <w:tcW w:w="3280" w:type="dxa"/>
            <w:vAlign w:val="bottom"/>
          </w:tcPr>
          <w:p>
            <w:pPr>
              <w:ind w:left="60"/>
              <w:spacing w:after="0"/>
              <w:rPr>
                <w:sz w:val="20"/>
                <w:szCs w:val="20"/>
                <w:color w:val="auto"/>
              </w:rPr>
            </w:pPr>
            <w:r>
              <w:rPr>
                <w:rFonts w:ascii="Arial" w:cs="Arial" w:eastAsia="Arial" w:hAnsi="Arial"/>
                <w:sz w:val="11"/>
                <w:szCs w:val="11"/>
                <w:color w:val="auto"/>
              </w:rPr>
              <w:t>Adjustments for discontinued operations</w:t>
            </w: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1"/>
                <w:szCs w:val="11"/>
                <w:b w:val="1"/>
                <w:bCs w:val="1"/>
                <w:color w:val="auto"/>
              </w:rPr>
              <w:t>--</w:t>
            </w:r>
          </w:p>
        </w:tc>
        <w:tc>
          <w:tcPr>
            <w:tcW w:w="380" w:type="dxa"/>
            <w:vAlign w:val="bottom"/>
          </w:tcPr>
          <w:p>
            <w:pPr>
              <w:spacing w:after="0"/>
              <w:rPr>
                <w:sz w:val="14"/>
                <w:szCs w:val="14"/>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380" w:type="dxa"/>
            <w:vAlign w:val="bottom"/>
          </w:tcPr>
          <w:p>
            <w:pPr>
              <w:spacing w:after="0"/>
              <w:rPr>
                <w:sz w:val="14"/>
                <w:szCs w:val="14"/>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82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1"/>
                <w:szCs w:val="11"/>
                <w:color w:val="auto"/>
              </w:rPr>
              <w:t>335</w:t>
            </w: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365</w:t>
            </w:r>
          </w:p>
        </w:tc>
      </w:tr>
      <w:tr>
        <w:trPr>
          <w:trHeight w:val="142"/>
        </w:trPr>
        <w:tc>
          <w:tcPr>
            <w:tcW w:w="32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1"/>
                <w:szCs w:val="11"/>
                <w:color w:val="auto"/>
              </w:rPr>
              <w:t>EBITDA</w:t>
            </w:r>
          </w:p>
        </w:tc>
        <w:tc>
          <w:tcPr>
            <w:tcW w:w="280" w:type="dxa"/>
            <w:vAlign w:val="bottom"/>
            <w:tcBorders>
              <w:top w:val="single" w:sz="8" w:color="CCEEFF"/>
              <w:bottom w:val="single" w:sz="8" w:color="CCEEFF"/>
            </w:tcBorders>
            <w:shd w:val="clear" w:color="auto" w:fill="CCEEFF"/>
          </w:tcPr>
          <w:p>
            <w:pPr>
              <w:spacing w:after="0"/>
              <w:rPr>
                <w:sz w:val="12"/>
                <w:szCs w:val="12"/>
                <w:color w:val="auto"/>
              </w:rPr>
            </w:pPr>
          </w:p>
        </w:tc>
        <w:tc>
          <w:tcPr>
            <w:tcW w:w="380" w:type="dxa"/>
            <w:vAlign w:val="bottom"/>
            <w:tcBorders>
              <w:top w:val="single" w:sz="8" w:color="auto"/>
              <w:bottom w:val="single" w:sz="8" w:color="auto"/>
            </w:tcBorders>
            <w:shd w:val="clear" w:color="auto" w:fill="CCEEFF"/>
          </w:tcPr>
          <w:p>
            <w:pPr>
              <w:jc w:val="right"/>
              <w:ind w:right="146"/>
              <w:spacing w:after="0"/>
              <w:rPr>
                <w:sz w:val="20"/>
                <w:szCs w:val="20"/>
                <w:color w:val="auto"/>
              </w:rPr>
            </w:pPr>
            <w:r>
              <w:rPr>
                <w:rFonts w:ascii="Arial" w:cs="Arial" w:eastAsia="Arial" w:hAnsi="Arial"/>
                <w:sz w:val="11"/>
                <w:szCs w:val="11"/>
                <w:b w:val="1"/>
                <w:bCs w:val="1"/>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49,582</w:t>
            </w:r>
          </w:p>
        </w:tc>
        <w:tc>
          <w:tcPr>
            <w:tcW w:w="280" w:type="dxa"/>
            <w:vAlign w:val="bottom"/>
            <w:tcBorders>
              <w:top w:val="single" w:sz="8" w:color="CCEEFF"/>
              <w:bottom w:val="single" w:sz="8" w:color="CCEEFF"/>
            </w:tcBorders>
            <w:shd w:val="clear" w:color="auto" w:fill="CCEEFF"/>
          </w:tcPr>
          <w:p>
            <w:pPr>
              <w:spacing w:after="0"/>
              <w:rPr>
                <w:sz w:val="12"/>
                <w:szCs w:val="12"/>
                <w:color w:val="auto"/>
              </w:rPr>
            </w:pPr>
          </w:p>
        </w:tc>
        <w:tc>
          <w:tcPr>
            <w:tcW w:w="380" w:type="dxa"/>
            <w:vAlign w:val="bottom"/>
            <w:tcBorders>
              <w:top w:val="single" w:sz="8" w:color="auto"/>
              <w:bottom w:val="single" w:sz="8" w:color="auto"/>
            </w:tcBorders>
            <w:shd w:val="clear" w:color="auto" w:fill="CCEEFF"/>
          </w:tcPr>
          <w:p>
            <w:pPr>
              <w:jc w:val="right"/>
              <w:ind w:right="146"/>
              <w:spacing w:after="0"/>
              <w:rPr>
                <w:sz w:val="20"/>
                <w:szCs w:val="20"/>
                <w:color w:val="auto"/>
              </w:rPr>
            </w:pPr>
            <w:r>
              <w:rPr>
                <w:rFonts w:ascii="Arial" w:cs="Arial" w:eastAsia="Arial" w:hAnsi="Arial"/>
                <w:sz w:val="11"/>
                <w:szCs w:val="11"/>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40,384</w:t>
            </w:r>
          </w:p>
        </w:tc>
        <w:tc>
          <w:tcPr>
            <w:tcW w:w="260" w:type="dxa"/>
            <w:vAlign w:val="bottom"/>
            <w:tcBorders>
              <w:top w:val="single" w:sz="8" w:color="CCEEFF"/>
              <w:bottom w:val="single" w:sz="8" w:color="CCEEFF"/>
            </w:tcBorders>
            <w:shd w:val="clear" w:color="auto" w:fill="CCEEFF"/>
          </w:tcPr>
          <w:p>
            <w:pPr>
              <w:spacing w:after="0"/>
              <w:rPr>
                <w:sz w:val="12"/>
                <w:szCs w:val="12"/>
                <w:color w:val="auto"/>
              </w:rPr>
            </w:pPr>
          </w:p>
        </w:tc>
        <w:tc>
          <w:tcPr>
            <w:tcW w:w="380" w:type="dxa"/>
            <w:vAlign w:val="bottom"/>
            <w:tcBorders>
              <w:top w:val="single" w:sz="8" w:color="auto"/>
              <w:bottom w:val="single" w:sz="8" w:color="auto"/>
            </w:tcBorders>
            <w:shd w:val="clear" w:color="auto" w:fill="CCEEFF"/>
          </w:tcPr>
          <w:p>
            <w:pPr>
              <w:jc w:val="right"/>
              <w:ind w:right="146"/>
              <w:spacing w:after="0"/>
              <w:rPr>
                <w:sz w:val="20"/>
                <w:szCs w:val="20"/>
                <w:color w:val="auto"/>
              </w:rPr>
            </w:pPr>
            <w:r>
              <w:rPr>
                <w:rFonts w:ascii="Arial" w:cs="Arial" w:eastAsia="Arial" w:hAnsi="Arial"/>
                <w:sz w:val="11"/>
                <w:szCs w:val="11"/>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39,217</w:t>
            </w:r>
          </w:p>
        </w:tc>
        <w:tc>
          <w:tcPr>
            <w:tcW w:w="280" w:type="dxa"/>
            <w:vAlign w:val="bottom"/>
            <w:tcBorders>
              <w:top w:val="single" w:sz="8" w:color="CCEEFF"/>
              <w:bottom w:val="single" w:sz="8" w:color="CCEEFF"/>
            </w:tcBorders>
            <w:shd w:val="clear" w:color="auto" w:fill="CCEEFF"/>
          </w:tcPr>
          <w:p>
            <w:pPr>
              <w:spacing w:after="0"/>
              <w:rPr>
                <w:sz w:val="12"/>
                <w:szCs w:val="12"/>
                <w:color w:val="auto"/>
              </w:rPr>
            </w:pPr>
          </w:p>
        </w:tc>
        <w:tc>
          <w:tcPr>
            <w:tcW w:w="820" w:type="dxa"/>
            <w:vAlign w:val="bottom"/>
            <w:tcBorders>
              <w:top w:val="single" w:sz="8" w:color="auto"/>
              <w:bottom w:val="single" w:sz="8" w:color="auto"/>
            </w:tcBorders>
            <w:shd w:val="clear" w:color="auto" w:fill="CCEEFF"/>
          </w:tcPr>
          <w:p>
            <w:pPr>
              <w:jc w:val="right"/>
              <w:ind w:right="606"/>
              <w:spacing w:after="0"/>
              <w:rPr>
                <w:sz w:val="20"/>
                <w:szCs w:val="20"/>
                <w:color w:val="auto"/>
              </w:rPr>
            </w:pPr>
            <w:r>
              <w:rPr>
                <w:rFonts w:ascii="Arial" w:cs="Arial" w:eastAsia="Arial" w:hAnsi="Arial"/>
                <w:sz w:val="11"/>
                <w:szCs w:val="11"/>
                <w:color w:val="auto"/>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4"/>
              </w:rPr>
              <w:t>36,800</w:t>
            </w:r>
          </w:p>
        </w:tc>
        <w:tc>
          <w:tcPr>
            <w:tcW w:w="280" w:type="dxa"/>
            <w:vAlign w:val="bottom"/>
            <w:tcBorders>
              <w:top w:val="single" w:sz="8" w:color="CCEEFF"/>
              <w:bottom w:val="single" w:sz="8" w:color="CCEEFF"/>
            </w:tcBorders>
            <w:shd w:val="clear" w:color="auto" w:fill="CCEEFF"/>
          </w:tcPr>
          <w:p>
            <w:pPr>
              <w:spacing w:after="0"/>
              <w:rPr>
                <w:sz w:val="12"/>
                <w:szCs w:val="12"/>
                <w:color w:val="auto"/>
              </w:rPr>
            </w:pPr>
          </w:p>
        </w:tc>
        <w:tc>
          <w:tcPr>
            <w:tcW w:w="380" w:type="dxa"/>
            <w:vAlign w:val="bottom"/>
            <w:tcBorders>
              <w:top w:val="single" w:sz="8" w:color="auto"/>
              <w:bottom w:val="single" w:sz="8" w:color="auto"/>
            </w:tcBorders>
            <w:shd w:val="clear" w:color="auto" w:fill="CCEEFF"/>
          </w:tcPr>
          <w:p>
            <w:pPr>
              <w:jc w:val="right"/>
              <w:ind w:right="146"/>
              <w:spacing w:after="0"/>
              <w:rPr>
                <w:sz w:val="20"/>
                <w:szCs w:val="20"/>
                <w:color w:val="auto"/>
              </w:rPr>
            </w:pPr>
            <w:r>
              <w:rPr>
                <w:rFonts w:ascii="Arial" w:cs="Arial" w:eastAsia="Arial" w:hAnsi="Arial"/>
                <w:sz w:val="11"/>
                <w:szCs w:val="11"/>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35,624</w:t>
            </w:r>
          </w:p>
        </w:tc>
      </w:tr>
    </w:tbl>
    <w:p>
      <w:pPr>
        <w:spacing w:after="0" w:line="27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59690</wp:posOffset>
            </wp:positionV>
            <wp:extent cx="677989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779895" cy="42545"/>
                    </a:xfrm>
                    <a:prstGeom prst="rect">
                      <a:avLst/>
                    </a:prstGeom>
                    <a:noFill/>
                  </pic:spPr>
                </pic:pic>
              </a:graphicData>
            </a:graphic>
          </wp:anchor>
        </w:drawing>
      </w:r>
    </w:p>
    <w:p>
      <w:pPr>
        <w:sectPr>
          <w:pgSz w:w="11900" w:h="16838" w:orient="portrait"/>
          <w:cols w:equalWidth="0" w:num="1">
            <w:col w:w="10620"/>
          </w:cols>
          <w:pgMar w:left="640" w:top="131" w:right="639" w:bottom="1440" w:gutter="0" w:footer="0" w:header="0"/>
        </w:sectPr>
      </w:pPr>
    </w:p>
    <w:bookmarkStart w:id="31" w:name="page32"/>
    <w:bookmarkEnd w:id="31"/>
    <w:p>
      <w:pPr>
        <w:spacing w:after="0"/>
        <w:rPr>
          <w:sz w:val="20"/>
          <w:szCs w:val="20"/>
          <w:color w:val="auto"/>
        </w:rPr>
      </w:pPr>
      <w:r>
        <w:rPr>
          <w:rFonts w:ascii="Arial" w:cs="Arial" w:eastAsia="Arial" w:hAnsi="Arial"/>
          <w:sz w:val="12"/>
          <w:szCs w:val="12"/>
          <w:b w:val="1"/>
          <w:bCs w:val="1"/>
          <w:u w:val="single" w:color="auto"/>
          <w:color w:val="auto"/>
        </w:rPr>
        <w:t>Item 7 – Management’s Discussions and Analysis of Financial Condition and Results of Operations</w:t>
      </w:r>
    </w:p>
    <w:p>
      <w:pPr>
        <w:spacing w:after="0" w:line="13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Organization of Information</w:t>
      </w:r>
    </w:p>
    <w:p>
      <w:pPr>
        <w:spacing w:after="0" w:line="136" w:lineRule="exact"/>
        <w:rPr>
          <w:sz w:val="20"/>
          <w:szCs w:val="20"/>
          <w:color w:val="auto"/>
        </w:rPr>
      </w:pPr>
    </w:p>
    <w:p>
      <w:pPr>
        <w:ind w:right="480"/>
        <w:spacing w:after="0" w:line="276" w:lineRule="auto"/>
        <w:rPr>
          <w:sz w:val="20"/>
          <w:szCs w:val="20"/>
          <w:color w:val="auto"/>
        </w:rPr>
      </w:pPr>
      <w:r>
        <w:rPr>
          <w:rFonts w:ascii="Arial" w:cs="Arial" w:eastAsia="Arial" w:hAnsi="Arial"/>
          <w:sz w:val="12"/>
          <w:szCs w:val="12"/>
          <w:color w:val="auto"/>
        </w:rPr>
        <w:t>Management’s Discussion and Analysis provides a narrative on the Company’s financial performance and condition that should be read in conjunction with the accompanying financial statements. It includes the following sections:</w:t>
      </w:r>
    </w:p>
    <w:p>
      <w:pPr>
        <w:spacing w:after="0" w:line="88" w:lineRule="exact"/>
        <w:rPr>
          <w:sz w:val="20"/>
          <w:szCs w:val="20"/>
          <w:color w:val="auto"/>
        </w:rPr>
      </w:pPr>
    </w:p>
    <w:p>
      <w:pPr>
        <w:ind w:left="480" w:hanging="259"/>
        <w:spacing w:after="0"/>
        <w:tabs>
          <w:tab w:leader="none" w:pos="480" w:val="left"/>
        </w:tabs>
        <w:numPr>
          <w:ilvl w:val="0"/>
          <w:numId w:val="17"/>
        </w:numPr>
        <w:rPr>
          <w:rFonts w:ascii="Arial" w:cs="Arial" w:eastAsia="Arial" w:hAnsi="Arial"/>
          <w:sz w:val="12"/>
          <w:szCs w:val="12"/>
          <w:color w:val="auto"/>
        </w:rPr>
      </w:pPr>
      <w:r>
        <w:rPr>
          <w:rFonts w:ascii="Arial" w:cs="Arial" w:eastAsia="Arial" w:hAnsi="Arial"/>
          <w:sz w:val="12"/>
          <w:szCs w:val="12"/>
          <w:color w:val="auto"/>
        </w:rPr>
        <w:t>Forward-Looking Statements</w:t>
      </w:r>
    </w:p>
    <w:p>
      <w:pPr>
        <w:spacing w:after="0" w:line="14" w:lineRule="exact"/>
        <w:rPr>
          <w:rFonts w:ascii="Arial" w:cs="Arial" w:eastAsia="Arial" w:hAnsi="Arial"/>
          <w:sz w:val="12"/>
          <w:szCs w:val="12"/>
          <w:color w:val="auto"/>
        </w:rPr>
      </w:pPr>
    </w:p>
    <w:p>
      <w:pPr>
        <w:ind w:left="580" w:hanging="359"/>
        <w:spacing w:after="0"/>
        <w:tabs>
          <w:tab w:leader="none" w:pos="580" w:val="left"/>
        </w:tabs>
        <w:numPr>
          <w:ilvl w:val="0"/>
          <w:numId w:val="17"/>
        </w:numPr>
        <w:rPr>
          <w:rFonts w:ascii="Arial" w:cs="Arial" w:eastAsia="Arial" w:hAnsi="Arial"/>
          <w:sz w:val="12"/>
          <w:szCs w:val="12"/>
          <w:color w:val="auto"/>
        </w:rPr>
      </w:pPr>
      <w:r>
        <w:rPr>
          <w:rFonts w:ascii="Arial" w:cs="Arial" w:eastAsia="Arial" w:hAnsi="Arial"/>
          <w:sz w:val="12"/>
          <w:szCs w:val="12"/>
          <w:color w:val="auto"/>
        </w:rPr>
        <w:t>Company Overview</w:t>
      </w:r>
    </w:p>
    <w:p>
      <w:pPr>
        <w:spacing w:after="0" w:line="6" w:lineRule="exact"/>
        <w:rPr>
          <w:rFonts w:ascii="Arial" w:cs="Arial" w:eastAsia="Arial" w:hAnsi="Arial"/>
          <w:sz w:val="12"/>
          <w:szCs w:val="12"/>
          <w:color w:val="auto"/>
        </w:rPr>
      </w:pPr>
    </w:p>
    <w:p>
      <w:pPr>
        <w:ind w:left="620" w:hanging="399"/>
        <w:spacing w:after="0"/>
        <w:tabs>
          <w:tab w:leader="none" w:pos="620" w:val="left"/>
        </w:tabs>
        <w:numPr>
          <w:ilvl w:val="0"/>
          <w:numId w:val="17"/>
        </w:numPr>
        <w:rPr>
          <w:rFonts w:ascii="Arial" w:cs="Arial" w:eastAsia="Arial" w:hAnsi="Arial"/>
          <w:sz w:val="12"/>
          <w:szCs w:val="12"/>
          <w:color w:val="auto"/>
        </w:rPr>
      </w:pPr>
      <w:r>
        <w:rPr>
          <w:rFonts w:ascii="Arial" w:cs="Arial" w:eastAsia="Arial" w:hAnsi="Arial"/>
          <w:sz w:val="12"/>
          <w:szCs w:val="12"/>
          <w:color w:val="auto"/>
        </w:rPr>
        <w:t>Cinema Activities</w:t>
      </w:r>
    </w:p>
    <w:p>
      <w:pPr>
        <w:spacing w:after="0" w:line="6" w:lineRule="exact"/>
        <w:rPr>
          <w:rFonts w:ascii="Arial" w:cs="Arial" w:eastAsia="Arial" w:hAnsi="Arial"/>
          <w:sz w:val="12"/>
          <w:szCs w:val="12"/>
          <w:color w:val="auto"/>
        </w:rPr>
      </w:pPr>
    </w:p>
    <w:p>
      <w:pPr>
        <w:ind w:left="380" w:hanging="159"/>
        <w:spacing w:after="0"/>
        <w:tabs>
          <w:tab w:leader="none" w:pos="380" w:val="left"/>
        </w:tabs>
        <w:numPr>
          <w:ilvl w:val="0"/>
          <w:numId w:val="17"/>
        </w:numPr>
        <w:rPr>
          <w:rFonts w:ascii="Arial" w:cs="Arial" w:eastAsia="Arial" w:hAnsi="Arial"/>
          <w:sz w:val="12"/>
          <w:szCs w:val="12"/>
          <w:color w:val="auto"/>
        </w:rPr>
      </w:pPr>
      <w:r>
        <w:rPr>
          <w:rFonts w:ascii="Arial" w:cs="Arial" w:eastAsia="Arial" w:hAnsi="Arial"/>
          <w:sz w:val="12"/>
          <w:szCs w:val="12"/>
          <w:color w:val="auto"/>
        </w:rPr>
        <w:t>Consolidated Results and Non-Segment Results</w:t>
      </w:r>
    </w:p>
    <w:p>
      <w:pPr>
        <w:spacing w:after="0" w:line="6" w:lineRule="exact"/>
        <w:rPr>
          <w:rFonts w:ascii="Arial" w:cs="Arial" w:eastAsia="Arial" w:hAnsi="Arial"/>
          <w:sz w:val="12"/>
          <w:szCs w:val="12"/>
          <w:color w:val="auto"/>
        </w:rPr>
      </w:pPr>
    </w:p>
    <w:p>
      <w:pPr>
        <w:ind w:left="500" w:hanging="279"/>
        <w:spacing w:after="0"/>
        <w:tabs>
          <w:tab w:leader="none" w:pos="500" w:val="left"/>
        </w:tabs>
        <w:numPr>
          <w:ilvl w:val="0"/>
          <w:numId w:val="17"/>
        </w:numPr>
        <w:rPr>
          <w:rFonts w:ascii="Arial" w:cs="Arial" w:eastAsia="Arial" w:hAnsi="Arial"/>
          <w:sz w:val="12"/>
          <w:szCs w:val="12"/>
          <w:color w:val="auto"/>
        </w:rPr>
      </w:pPr>
      <w:r>
        <w:rPr>
          <w:rFonts w:ascii="Arial" w:cs="Arial" w:eastAsia="Arial" w:hAnsi="Arial"/>
          <w:sz w:val="12"/>
          <w:szCs w:val="12"/>
          <w:color w:val="auto"/>
        </w:rPr>
        <w:t>Business Segment Results</w:t>
      </w:r>
    </w:p>
    <w:p>
      <w:pPr>
        <w:spacing w:after="0" w:line="6" w:lineRule="exact"/>
        <w:rPr>
          <w:rFonts w:ascii="Arial" w:cs="Arial" w:eastAsia="Arial" w:hAnsi="Arial"/>
          <w:sz w:val="12"/>
          <w:szCs w:val="12"/>
          <w:color w:val="auto"/>
        </w:rPr>
      </w:pPr>
    </w:p>
    <w:p>
      <w:pPr>
        <w:ind w:left="380" w:hanging="159"/>
        <w:spacing w:after="0"/>
        <w:tabs>
          <w:tab w:leader="none" w:pos="380" w:val="left"/>
        </w:tabs>
        <w:numPr>
          <w:ilvl w:val="0"/>
          <w:numId w:val="17"/>
        </w:numPr>
        <w:rPr>
          <w:rFonts w:ascii="Arial" w:cs="Arial" w:eastAsia="Arial" w:hAnsi="Arial"/>
          <w:sz w:val="12"/>
          <w:szCs w:val="12"/>
          <w:color w:val="auto"/>
        </w:rPr>
      </w:pPr>
      <w:r>
        <w:rPr>
          <w:rFonts w:ascii="Arial" w:cs="Arial" w:eastAsia="Arial" w:hAnsi="Arial"/>
          <w:sz w:val="12"/>
          <w:szCs w:val="12"/>
          <w:color w:val="auto"/>
        </w:rPr>
        <w:t>Business Plan, Liquidity and Capital Resources</w:t>
      </w:r>
    </w:p>
    <w:p>
      <w:pPr>
        <w:spacing w:after="0" w:line="6" w:lineRule="exact"/>
        <w:rPr>
          <w:rFonts w:ascii="Arial" w:cs="Arial" w:eastAsia="Arial" w:hAnsi="Arial"/>
          <w:sz w:val="12"/>
          <w:szCs w:val="12"/>
          <w:color w:val="auto"/>
        </w:rPr>
      </w:pPr>
    </w:p>
    <w:p>
      <w:pPr>
        <w:ind w:left="340" w:hanging="119"/>
        <w:spacing w:after="0"/>
        <w:tabs>
          <w:tab w:leader="none" w:pos="340" w:val="left"/>
        </w:tabs>
        <w:numPr>
          <w:ilvl w:val="0"/>
          <w:numId w:val="17"/>
        </w:numPr>
        <w:rPr>
          <w:rFonts w:ascii="Arial" w:cs="Arial" w:eastAsia="Arial" w:hAnsi="Arial"/>
          <w:sz w:val="12"/>
          <w:szCs w:val="12"/>
          <w:color w:val="auto"/>
        </w:rPr>
      </w:pPr>
      <w:r>
        <w:rPr>
          <w:rFonts w:ascii="Arial" w:cs="Arial" w:eastAsia="Arial" w:hAnsi="Arial"/>
          <w:sz w:val="12"/>
          <w:szCs w:val="12"/>
          <w:color w:val="auto"/>
        </w:rPr>
        <w:t>Contractual Obligations, Commitments and Contingencies</w:t>
      </w:r>
    </w:p>
    <w:p>
      <w:pPr>
        <w:spacing w:after="0" w:line="6" w:lineRule="exact"/>
        <w:rPr>
          <w:rFonts w:ascii="Arial" w:cs="Arial" w:eastAsia="Arial" w:hAnsi="Arial"/>
          <w:sz w:val="12"/>
          <w:szCs w:val="12"/>
          <w:color w:val="auto"/>
        </w:rPr>
      </w:pPr>
    </w:p>
    <w:p>
      <w:pPr>
        <w:ind w:left="480" w:hanging="259"/>
        <w:spacing w:after="0"/>
        <w:tabs>
          <w:tab w:leader="none" w:pos="480" w:val="left"/>
        </w:tabs>
        <w:numPr>
          <w:ilvl w:val="0"/>
          <w:numId w:val="17"/>
        </w:numPr>
        <w:rPr>
          <w:rFonts w:ascii="Arial" w:cs="Arial" w:eastAsia="Arial" w:hAnsi="Arial"/>
          <w:sz w:val="12"/>
          <w:szCs w:val="12"/>
          <w:color w:val="auto"/>
        </w:rPr>
      </w:pPr>
      <w:r>
        <w:rPr>
          <w:rFonts w:ascii="Arial" w:cs="Arial" w:eastAsia="Arial" w:hAnsi="Arial"/>
          <w:sz w:val="12"/>
          <w:szCs w:val="12"/>
          <w:color w:val="auto"/>
        </w:rPr>
        <w:t>Financial Risk Management</w:t>
      </w:r>
    </w:p>
    <w:p>
      <w:pPr>
        <w:spacing w:after="0" w:line="6" w:lineRule="exact"/>
        <w:rPr>
          <w:rFonts w:ascii="Arial" w:cs="Arial" w:eastAsia="Arial" w:hAnsi="Arial"/>
          <w:sz w:val="12"/>
          <w:szCs w:val="12"/>
          <w:color w:val="auto"/>
        </w:rPr>
      </w:pPr>
    </w:p>
    <w:p>
      <w:pPr>
        <w:ind w:left="400" w:hanging="179"/>
        <w:spacing w:after="0"/>
        <w:tabs>
          <w:tab w:leader="none" w:pos="400" w:val="left"/>
        </w:tabs>
        <w:numPr>
          <w:ilvl w:val="0"/>
          <w:numId w:val="17"/>
        </w:numPr>
        <w:rPr>
          <w:rFonts w:ascii="Arial" w:cs="Arial" w:eastAsia="Arial" w:hAnsi="Arial"/>
          <w:sz w:val="12"/>
          <w:szCs w:val="12"/>
          <w:color w:val="auto"/>
        </w:rPr>
      </w:pPr>
      <w:r>
        <w:rPr>
          <w:rFonts w:ascii="Arial" w:cs="Arial" w:eastAsia="Arial" w:hAnsi="Arial"/>
          <w:sz w:val="12"/>
          <w:szCs w:val="12"/>
          <w:color w:val="auto"/>
        </w:rPr>
        <w:t>Critical Accounting Policies and Estimates</w:t>
      </w:r>
    </w:p>
    <w:p>
      <w:pPr>
        <w:spacing w:after="0" w:line="25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FORWARD LOOKING STATEMENTS</w:t>
      </w:r>
    </w:p>
    <w:p>
      <w:pPr>
        <w:spacing w:after="0" w:line="136" w:lineRule="exact"/>
        <w:rPr>
          <w:sz w:val="20"/>
          <w:szCs w:val="20"/>
          <w:color w:val="auto"/>
        </w:rPr>
      </w:pPr>
    </w:p>
    <w:p>
      <w:pPr>
        <w:ind w:right="20"/>
        <w:spacing w:after="0" w:line="298" w:lineRule="auto"/>
        <w:rPr>
          <w:sz w:val="20"/>
          <w:szCs w:val="20"/>
          <w:color w:val="auto"/>
        </w:rPr>
      </w:pPr>
      <w:r>
        <w:rPr>
          <w:rFonts w:ascii="Arial" w:cs="Arial" w:eastAsia="Arial" w:hAnsi="Arial"/>
          <w:sz w:val="11"/>
          <w:szCs w:val="11"/>
          <w:color w:val="auto"/>
        </w:rPr>
        <w:t>Our statements in this annual report, including the documents incorporated herein by reference, contain a variety of forward-looking statements as defined by the Securities Litigation Reform Act of 1995. Forward-looking statements reflect only our expectations regarding future events and operating performance and necessarily speak only as of the date the information was prepared. No guarantees can be given that our expectation will in fact be realized, in whole or in part. You can recognize these statements by our use of words such as, by way of example, “may,” “will,” “expect,” “believe,” and “anticipate” or other similar terminology.</w:t>
      </w:r>
    </w:p>
    <w:p>
      <w:pPr>
        <w:spacing w:after="0" w:line="78" w:lineRule="exact"/>
        <w:rPr>
          <w:sz w:val="20"/>
          <w:szCs w:val="20"/>
          <w:color w:val="auto"/>
        </w:rPr>
      </w:pPr>
    </w:p>
    <w:p>
      <w:pPr>
        <w:ind w:right="100"/>
        <w:spacing w:after="0" w:line="259" w:lineRule="auto"/>
        <w:rPr>
          <w:sz w:val="20"/>
          <w:szCs w:val="20"/>
          <w:color w:val="auto"/>
        </w:rPr>
      </w:pPr>
      <w:r>
        <w:rPr>
          <w:rFonts w:ascii="Arial" w:cs="Arial" w:eastAsia="Arial" w:hAnsi="Arial"/>
          <w:sz w:val="12"/>
          <w:szCs w:val="12"/>
          <w:color w:val="auto"/>
        </w:rPr>
        <w:t>These forward-looking statements are neither historical facts nor assurances of future performance. Instead, they are based only on our current beliefs, expectations and assumptions regarding the future of our business, future plans and strategies after having considered a variety of risks and uncertainties. Forward-looking statements are necessarily the product of internal discussion and do not necessarily completely reflect the views of individual members of our Board of Directors or of our management team. Individual Board members and individual members of our management team may have a different view as to the risks and uncertainties involved, and may have different views as to future events or our operating performance.</w:t>
      </w:r>
    </w:p>
    <w:p>
      <w:pPr>
        <w:spacing w:after="0" w:line="98" w:lineRule="exact"/>
        <w:rPr>
          <w:sz w:val="20"/>
          <w:szCs w:val="20"/>
          <w:color w:val="auto"/>
        </w:rPr>
      </w:pPr>
    </w:p>
    <w:p>
      <w:pPr>
        <w:spacing w:after="0"/>
        <w:rPr>
          <w:sz w:val="20"/>
          <w:szCs w:val="20"/>
          <w:color w:val="auto"/>
        </w:rPr>
      </w:pPr>
      <w:r>
        <w:rPr>
          <w:rFonts w:ascii="Arial" w:cs="Arial" w:eastAsia="Arial" w:hAnsi="Arial"/>
          <w:sz w:val="12"/>
          <w:szCs w:val="12"/>
          <w:color w:val="auto"/>
        </w:rPr>
        <w:t>Among the factors that could cause actual results and our financial condition to differ materially from those expressed in or underlying our forward-looking statements are the following:</w:t>
      </w:r>
    </w:p>
    <w:p>
      <w:pPr>
        <w:spacing w:after="0" w:line="132" w:lineRule="exact"/>
        <w:rPr>
          <w:sz w:val="20"/>
          <w:szCs w:val="20"/>
          <w:color w:val="auto"/>
        </w:rPr>
      </w:pPr>
    </w:p>
    <w:p>
      <w:pPr>
        <w:ind w:left="420" w:hanging="199"/>
        <w:spacing w:after="0"/>
        <w:tabs>
          <w:tab w:leader="none" w:pos="420" w:val="left"/>
        </w:tabs>
        <w:numPr>
          <w:ilvl w:val="0"/>
          <w:numId w:val="18"/>
        </w:numPr>
        <w:rPr>
          <w:rFonts w:ascii="Arial" w:cs="Arial" w:eastAsia="Arial" w:hAnsi="Arial"/>
          <w:sz w:val="12"/>
          <w:szCs w:val="12"/>
          <w:color w:val="auto"/>
        </w:rPr>
      </w:pPr>
      <w:r>
        <w:rPr>
          <w:rFonts w:ascii="Arial" w:cs="Arial" w:eastAsia="Arial" w:hAnsi="Arial"/>
          <w:sz w:val="12"/>
          <w:szCs w:val="12"/>
          <w:color w:val="auto"/>
        </w:rPr>
        <w:t>with respect to our cinema operations:</w:t>
      </w:r>
    </w:p>
    <w:p>
      <w:pPr>
        <w:spacing w:after="0" w:line="11" w:lineRule="exact"/>
        <w:rPr>
          <w:sz w:val="20"/>
          <w:szCs w:val="20"/>
          <w:color w:val="auto"/>
        </w:rPr>
      </w:pPr>
    </w:p>
    <w:p>
      <w:pPr>
        <w:ind w:left="840" w:hanging="187"/>
        <w:spacing w:after="0"/>
        <w:tabs>
          <w:tab w:leader="none" w:pos="840" w:val="left"/>
        </w:tabs>
        <w:numPr>
          <w:ilvl w:val="1"/>
          <w:numId w:val="19"/>
        </w:numPr>
        <w:rPr>
          <w:rFonts w:ascii="Courier New" w:cs="Courier New" w:eastAsia="Courier New" w:hAnsi="Courier New"/>
          <w:sz w:val="12"/>
          <w:szCs w:val="12"/>
          <w:color w:val="auto"/>
        </w:rPr>
      </w:pPr>
      <w:r>
        <w:rPr>
          <w:rFonts w:ascii="Arial" w:cs="Arial" w:eastAsia="Arial" w:hAnsi="Arial"/>
          <w:sz w:val="12"/>
          <w:szCs w:val="12"/>
          <w:color w:val="auto"/>
        </w:rPr>
        <w:t>the number and attractiveness to movie goers of the films released in future periods;</w:t>
      </w:r>
    </w:p>
    <w:p>
      <w:pPr>
        <w:ind w:left="860" w:hanging="207"/>
        <w:spacing w:after="0" w:line="232" w:lineRule="auto"/>
        <w:tabs>
          <w:tab w:leader="none" w:pos="860" w:val="left"/>
        </w:tabs>
        <w:numPr>
          <w:ilvl w:val="1"/>
          <w:numId w:val="19"/>
        </w:numPr>
        <w:rPr>
          <w:rFonts w:ascii="Courier New" w:cs="Courier New" w:eastAsia="Courier New" w:hAnsi="Courier New"/>
          <w:sz w:val="12"/>
          <w:szCs w:val="12"/>
          <w:color w:val="auto"/>
        </w:rPr>
      </w:pPr>
      <w:r>
        <w:rPr>
          <w:rFonts w:ascii="Arial" w:cs="Arial" w:eastAsia="Arial" w:hAnsi="Arial"/>
          <w:sz w:val="12"/>
          <w:szCs w:val="12"/>
          <w:color w:val="auto"/>
        </w:rPr>
        <w:t>the amount of money spent by film distributors to promote their motion pictures;</w:t>
      </w:r>
    </w:p>
    <w:p>
      <w:pPr>
        <w:ind w:left="780" w:hanging="127"/>
        <w:spacing w:after="0" w:line="232" w:lineRule="auto"/>
        <w:tabs>
          <w:tab w:leader="none" w:pos="780" w:val="left"/>
        </w:tabs>
        <w:numPr>
          <w:ilvl w:val="1"/>
          <w:numId w:val="19"/>
        </w:numPr>
        <w:rPr>
          <w:rFonts w:ascii="Courier New" w:cs="Courier New" w:eastAsia="Courier New" w:hAnsi="Courier New"/>
          <w:sz w:val="12"/>
          <w:szCs w:val="12"/>
          <w:color w:val="auto"/>
        </w:rPr>
      </w:pPr>
      <w:r>
        <w:rPr>
          <w:rFonts w:ascii="Arial" w:cs="Arial" w:eastAsia="Arial" w:hAnsi="Arial"/>
          <w:sz w:val="12"/>
          <w:szCs w:val="12"/>
          <w:color w:val="auto"/>
        </w:rPr>
        <w:t>the licensing fees and terms required by film distributors from motion picture exhibitors in order to exhibit their films;</w:t>
      </w:r>
    </w:p>
    <w:p>
      <w:pPr>
        <w:ind w:left="740" w:right="240" w:hanging="87"/>
        <w:spacing w:after="0" w:line="241" w:lineRule="auto"/>
        <w:tabs>
          <w:tab w:leader="none" w:pos="740" w:val="left"/>
        </w:tabs>
        <w:numPr>
          <w:ilvl w:val="1"/>
          <w:numId w:val="19"/>
        </w:numPr>
        <w:rPr>
          <w:rFonts w:ascii="Courier New" w:cs="Courier New" w:eastAsia="Courier New" w:hAnsi="Courier New"/>
          <w:sz w:val="12"/>
          <w:szCs w:val="12"/>
          <w:color w:val="auto"/>
        </w:rPr>
      </w:pPr>
      <w:r>
        <w:rPr>
          <w:rFonts w:ascii="Arial" w:cs="Arial" w:eastAsia="Arial" w:hAnsi="Arial"/>
          <w:sz w:val="12"/>
          <w:szCs w:val="12"/>
          <w:color w:val="auto"/>
        </w:rPr>
        <w:t>the comparative attractiveness of motion pictures as a source of entertainment and willingness and/or ability of consumers (i) to spend their dollars on entertainment and (ii) to spend their entertainment dollars on movies in an outside-the-home environment;</w:t>
      </w:r>
    </w:p>
    <w:p>
      <w:pPr>
        <w:ind w:left="740" w:hanging="87"/>
        <w:spacing w:after="0" w:line="263" w:lineRule="auto"/>
        <w:tabs>
          <w:tab w:leader="none" w:pos="740" w:val="left"/>
        </w:tabs>
        <w:numPr>
          <w:ilvl w:val="1"/>
          <w:numId w:val="19"/>
        </w:numPr>
        <w:rPr>
          <w:rFonts w:ascii="Courier New" w:cs="Courier New" w:eastAsia="Courier New" w:hAnsi="Courier New"/>
          <w:sz w:val="11"/>
          <w:szCs w:val="11"/>
          <w:color w:val="auto"/>
        </w:rPr>
      </w:pPr>
      <w:r>
        <w:rPr>
          <w:rFonts w:ascii="Arial" w:cs="Arial" w:eastAsia="Arial" w:hAnsi="Arial"/>
          <w:sz w:val="11"/>
          <w:szCs w:val="11"/>
          <w:color w:val="auto"/>
        </w:rPr>
        <w:t>the extent to which we encounter competition from other cinema exhibitors, from other sources of outside-the-home entertainment, and from inside-the-home entertainment options, such as “home theaters” and competitive film product distribution technology, such as, by way of example, cable, satellite broadcast and Blu-ray/DVD rentals and sales, and so called “movies on demand;” and</w:t>
      </w:r>
    </w:p>
    <w:p>
      <w:pPr>
        <w:ind w:left="780" w:hanging="127"/>
        <w:spacing w:after="0" w:line="232" w:lineRule="auto"/>
        <w:tabs>
          <w:tab w:leader="none" w:pos="780" w:val="left"/>
        </w:tabs>
        <w:numPr>
          <w:ilvl w:val="1"/>
          <w:numId w:val="19"/>
        </w:numPr>
        <w:rPr>
          <w:rFonts w:ascii="Courier New" w:cs="Courier New" w:eastAsia="Courier New" w:hAnsi="Courier New"/>
          <w:sz w:val="12"/>
          <w:szCs w:val="12"/>
          <w:color w:val="auto"/>
        </w:rPr>
      </w:pPr>
      <w:r>
        <w:rPr>
          <w:rFonts w:ascii="Arial" w:cs="Arial" w:eastAsia="Arial" w:hAnsi="Arial"/>
          <w:sz w:val="12"/>
          <w:szCs w:val="12"/>
          <w:color w:val="auto"/>
        </w:rPr>
        <w:t>the extent to, and the efficiency with, which we are able to integrate acquisitions of cinema circuits with our existing operations.</w:t>
      </w:r>
    </w:p>
    <w:p>
      <w:pPr>
        <w:ind w:left="320" w:hanging="99"/>
        <w:spacing w:after="0"/>
        <w:tabs>
          <w:tab w:leader="none" w:pos="320" w:val="left"/>
        </w:tabs>
        <w:numPr>
          <w:ilvl w:val="0"/>
          <w:numId w:val="19"/>
        </w:numPr>
        <w:rPr>
          <w:rFonts w:ascii="Arial" w:cs="Arial" w:eastAsia="Arial" w:hAnsi="Arial"/>
          <w:sz w:val="12"/>
          <w:szCs w:val="12"/>
          <w:color w:val="auto"/>
        </w:rPr>
      </w:pPr>
      <w:r>
        <w:rPr>
          <w:rFonts w:ascii="Arial" w:cs="Arial" w:eastAsia="Arial" w:hAnsi="Arial"/>
          <w:sz w:val="12"/>
          <w:szCs w:val="12"/>
          <w:color w:val="auto"/>
        </w:rPr>
        <w:t>with respect to our real estate development and operation activities:</w:t>
      </w:r>
    </w:p>
    <w:p>
      <w:pPr>
        <w:spacing w:after="0" w:line="6" w:lineRule="exact"/>
        <w:rPr>
          <w:rFonts w:ascii="Arial" w:cs="Arial" w:eastAsia="Arial" w:hAnsi="Arial"/>
          <w:sz w:val="12"/>
          <w:szCs w:val="12"/>
          <w:color w:val="auto"/>
        </w:rPr>
      </w:pPr>
    </w:p>
    <w:p>
      <w:pPr>
        <w:ind w:left="780" w:hanging="127"/>
        <w:spacing w:after="0" w:line="232" w:lineRule="auto"/>
        <w:tabs>
          <w:tab w:leader="none" w:pos="780" w:val="left"/>
        </w:tabs>
        <w:numPr>
          <w:ilvl w:val="1"/>
          <w:numId w:val="19"/>
        </w:numPr>
        <w:rPr>
          <w:rFonts w:ascii="Courier New" w:cs="Courier New" w:eastAsia="Courier New" w:hAnsi="Courier New"/>
          <w:sz w:val="12"/>
          <w:szCs w:val="12"/>
          <w:color w:val="auto"/>
        </w:rPr>
      </w:pPr>
      <w:r>
        <w:rPr>
          <w:rFonts w:ascii="Arial" w:cs="Arial" w:eastAsia="Arial" w:hAnsi="Arial"/>
          <w:sz w:val="12"/>
          <w:szCs w:val="12"/>
          <w:color w:val="auto"/>
        </w:rPr>
        <w:t>the rental rates and capitalization rates applicable to the markets in which we operate and the quality of properties that we own;</w:t>
      </w:r>
    </w:p>
    <w:p>
      <w:pPr>
        <w:ind w:left="780" w:hanging="127"/>
        <w:spacing w:after="0" w:line="232" w:lineRule="auto"/>
        <w:tabs>
          <w:tab w:leader="none" w:pos="780" w:val="left"/>
        </w:tabs>
        <w:numPr>
          <w:ilvl w:val="1"/>
          <w:numId w:val="19"/>
        </w:numPr>
        <w:rPr>
          <w:rFonts w:ascii="Courier New" w:cs="Courier New" w:eastAsia="Courier New" w:hAnsi="Courier New"/>
          <w:sz w:val="12"/>
          <w:szCs w:val="12"/>
          <w:color w:val="auto"/>
        </w:rPr>
      </w:pPr>
      <w:r>
        <w:rPr>
          <w:rFonts w:ascii="Arial" w:cs="Arial" w:eastAsia="Arial" w:hAnsi="Arial"/>
          <w:sz w:val="12"/>
          <w:szCs w:val="12"/>
          <w:color w:val="auto"/>
        </w:rPr>
        <w:t>the extent to which we can obtain on a timely basis the various land use approvals and entitlements needed to develop our properties;</w:t>
      </w:r>
    </w:p>
    <w:p>
      <w:pPr>
        <w:ind w:left="880" w:hanging="227"/>
        <w:spacing w:after="0" w:line="232" w:lineRule="auto"/>
        <w:tabs>
          <w:tab w:leader="none" w:pos="880" w:val="left"/>
        </w:tabs>
        <w:numPr>
          <w:ilvl w:val="1"/>
          <w:numId w:val="19"/>
        </w:numPr>
        <w:rPr>
          <w:rFonts w:ascii="Courier New" w:cs="Courier New" w:eastAsia="Courier New" w:hAnsi="Courier New"/>
          <w:sz w:val="12"/>
          <w:szCs w:val="12"/>
          <w:color w:val="auto"/>
        </w:rPr>
      </w:pPr>
      <w:r>
        <w:rPr>
          <w:rFonts w:ascii="Arial" w:cs="Arial" w:eastAsia="Arial" w:hAnsi="Arial"/>
          <w:sz w:val="12"/>
          <w:szCs w:val="12"/>
          <w:color w:val="auto"/>
        </w:rPr>
        <w:t>the risks and uncertainties associated with real estate development;</w:t>
      </w:r>
    </w:p>
    <w:p>
      <w:pPr>
        <w:ind w:left="980" w:hanging="327"/>
        <w:spacing w:after="0" w:line="232" w:lineRule="auto"/>
        <w:tabs>
          <w:tab w:leader="none" w:pos="980" w:val="left"/>
        </w:tabs>
        <w:numPr>
          <w:ilvl w:val="1"/>
          <w:numId w:val="19"/>
        </w:numPr>
        <w:rPr>
          <w:rFonts w:ascii="Courier New" w:cs="Courier New" w:eastAsia="Courier New" w:hAnsi="Courier New"/>
          <w:sz w:val="12"/>
          <w:szCs w:val="12"/>
          <w:color w:val="auto"/>
        </w:rPr>
      </w:pPr>
      <w:r>
        <w:rPr>
          <w:rFonts w:ascii="Arial" w:cs="Arial" w:eastAsia="Arial" w:hAnsi="Arial"/>
          <w:sz w:val="12"/>
          <w:szCs w:val="12"/>
          <w:color w:val="auto"/>
        </w:rPr>
        <w:t>the availability and cost of labor and materials;</w:t>
      </w:r>
    </w:p>
    <w:p>
      <w:pPr>
        <w:ind w:left="980" w:hanging="327"/>
        <w:spacing w:after="0" w:line="232" w:lineRule="auto"/>
        <w:tabs>
          <w:tab w:leader="none" w:pos="980" w:val="left"/>
        </w:tabs>
        <w:numPr>
          <w:ilvl w:val="1"/>
          <w:numId w:val="19"/>
        </w:numPr>
        <w:rPr>
          <w:rFonts w:ascii="Courier New" w:cs="Courier New" w:eastAsia="Courier New" w:hAnsi="Courier New"/>
          <w:sz w:val="12"/>
          <w:szCs w:val="12"/>
          <w:color w:val="auto"/>
        </w:rPr>
      </w:pPr>
      <w:r>
        <w:rPr>
          <w:rFonts w:ascii="Arial" w:cs="Arial" w:eastAsia="Arial" w:hAnsi="Arial"/>
          <w:sz w:val="12"/>
          <w:szCs w:val="12"/>
          <w:color w:val="auto"/>
        </w:rPr>
        <w:t>competition for development sites and tenants;</w:t>
      </w:r>
    </w:p>
    <w:p>
      <w:pPr>
        <w:ind w:left="1080" w:hanging="427"/>
        <w:spacing w:after="0" w:line="232" w:lineRule="auto"/>
        <w:tabs>
          <w:tab w:leader="none" w:pos="1080" w:val="left"/>
        </w:tabs>
        <w:numPr>
          <w:ilvl w:val="1"/>
          <w:numId w:val="19"/>
        </w:numPr>
        <w:rPr>
          <w:rFonts w:ascii="Courier New" w:cs="Courier New" w:eastAsia="Courier New" w:hAnsi="Courier New"/>
          <w:sz w:val="12"/>
          <w:szCs w:val="12"/>
          <w:color w:val="auto"/>
        </w:rPr>
      </w:pPr>
      <w:r>
        <w:rPr>
          <w:rFonts w:ascii="Arial" w:cs="Arial" w:eastAsia="Arial" w:hAnsi="Arial"/>
          <w:sz w:val="12"/>
          <w:szCs w:val="12"/>
          <w:color w:val="auto"/>
        </w:rPr>
        <w:t>environmental remediation issues;</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59690</wp:posOffset>
            </wp:positionV>
            <wp:extent cx="677989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779895" cy="42545"/>
                    </a:xfrm>
                    <a:prstGeom prst="rect">
                      <a:avLst/>
                    </a:prstGeom>
                    <a:noFill/>
                  </pic:spPr>
                </pic:pic>
              </a:graphicData>
            </a:graphic>
          </wp:anchor>
        </w:drawing>
      </w:r>
    </w:p>
    <w:p>
      <w:pPr>
        <w:sectPr>
          <w:pgSz w:w="11900" w:h="16838" w:orient="portrait"/>
          <w:cols w:equalWidth="0" w:num="1">
            <w:col w:w="10620"/>
          </w:cols>
          <w:pgMar w:left="640" w:top="127" w:right="639" w:bottom="1440" w:gutter="0" w:footer="0" w:header="0"/>
        </w:sectPr>
      </w:pPr>
    </w:p>
    <w:bookmarkStart w:id="32" w:name="page33"/>
    <w:bookmarkEnd w:id="32"/>
    <w:p>
      <w:pPr>
        <w:ind w:left="660" w:right="560"/>
        <w:spacing w:after="0" w:line="261" w:lineRule="auto"/>
        <w:rPr>
          <w:sz w:val="20"/>
          <w:szCs w:val="20"/>
          <w:color w:val="auto"/>
        </w:rPr>
      </w:pPr>
      <w:r>
        <w:rPr>
          <w:rFonts w:ascii="Courier New" w:cs="Courier New" w:eastAsia="Courier New" w:hAnsi="Courier New"/>
          <w:sz w:val="11"/>
          <w:szCs w:val="11"/>
          <w:color w:val="auto"/>
        </w:rPr>
        <w:t xml:space="preserve">o </w:t>
      </w:r>
      <w:r>
        <w:rPr>
          <w:rFonts w:ascii="Arial" w:cs="Arial" w:eastAsia="Arial" w:hAnsi="Arial"/>
          <w:sz w:val="11"/>
          <w:szCs w:val="11"/>
          <w:color w:val="auto"/>
        </w:rPr>
        <w:t>the extent to which our cinemas can continue to serve as an anchor tenant that will, in turn, be influenced by the same factors as will influence generally the results of our cinema operations; and</w:t>
      </w:r>
      <w:r>
        <w:rPr>
          <w:rFonts w:ascii="Courier New" w:cs="Courier New" w:eastAsia="Courier New" w:hAnsi="Courier New"/>
          <w:sz w:val="11"/>
          <w:szCs w:val="11"/>
          <w:color w:val="auto"/>
        </w:rPr>
        <w:t xml:space="preserve"> o </w:t>
      </w:r>
      <w:r>
        <w:rPr>
          <w:rFonts w:ascii="Arial" w:cs="Arial" w:eastAsia="Arial" w:hAnsi="Arial"/>
          <w:sz w:val="11"/>
          <w:szCs w:val="11"/>
          <w:color w:val="auto"/>
        </w:rPr>
        <w:t>certain of our activities are in geologically active areas, creating a risk of damage and/or disruption of real estate and/or cinema businesses from earthquakes.</w:t>
      </w:r>
    </w:p>
    <w:p>
      <w:pPr>
        <w:spacing w:after="0" w:line="1" w:lineRule="exact"/>
        <w:rPr>
          <w:sz w:val="20"/>
          <w:szCs w:val="20"/>
          <w:color w:val="auto"/>
        </w:rPr>
      </w:pPr>
    </w:p>
    <w:p>
      <w:pPr>
        <w:ind w:left="260" w:right="140" w:hanging="35"/>
        <w:spacing w:after="0" w:line="249" w:lineRule="auto"/>
        <w:rPr>
          <w:sz w:val="20"/>
          <w:szCs w:val="20"/>
          <w:color w:val="auto"/>
        </w:rPr>
      </w:pPr>
      <w:r>
        <w:rPr>
          <w:rFonts w:ascii="Arial" w:cs="Arial" w:eastAsia="Arial" w:hAnsi="Arial"/>
          <w:sz w:val="12"/>
          <w:szCs w:val="12"/>
          <w:color w:val="auto"/>
        </w:rPr>
        <w:t>·with respect to our operations generally as an international company involved in both the development and operation of cinemas and the development and operation of real estate; and previously engaged for many years in the railroad business in the United States:</w:t>
      </w:r>
    </w:p>
    <w:p>
      <w:pPr>
        <w:ind w:left="780" w:hanging="127"/>
        <w:spacing w:after="0" w:line="235" w:lineRule="auto"/>
        <w:tabs>
          <w:tab w:leader="none" w:pos="780" w:val="left"/>
        </w:tabs>
        <w:numPr>
          <w:ilvl w:val="0"/>
          <w:numId w:val="20"/>
        </w:numPr>
        <w:rPr>
          <w:rFonts w:ascii="Courier New" w:cs="Courier New" w:eastAsia="Courier New" w:hAnsi="Courier New"/>
          <w:sz w:val="12"/>
          <w:szCs w:val="12"/>
          <w:color w:val="auto"/>
        </w:rPr>
      </w:pPr>
      <w:r>
        <w:rPr>
          <w:rFonts w:ascii="Arial" w:cs="Arial" w:eastAsia="Arial" w:hAnsi="Arial"/>
          <w:sz w:val="12"/>
          <w:szCs w:val="12"/>
          <w:color w:val="auto"/>
        </w:rPr>
        <w:t>our ongoing access to borrowed funds and capital and the interest that must be paid on that debt and the returns that must be paid on such capital;</w:t>
      </w:r>
    </w:p>
    <w:p>
      <w:pPr>
        <w:ind w:left="860" w:hanging="207"/>
        <w:spacing w:after="0" w:line="232" w:lineRule="auto"/>
        <w:tabs>
          <w:tab w:leader="none" w:pos="860" w:val="left"/>
        </w:tabs>
        <w:numPr>
          <w:ilvl w:val="0"/>
          <w:numId w:val="20"/>
        </w:numPr>
        <w:rPr>
          <w:rFonts w:ascii="Courier New" w:cs="Courier New" w:eastAsia="Courier New" w:hAnsi="Courier New"/>
          <w:sz w:val="12"/>
          <w:szCs w:val="12"/>
          <w:color w:val="auto"/>
        </w:rPr>
      </w:pPr>
      <w:r>
        <w:rPr>
          <w:rFonts w:ascii="Arial" w:cs="Arial" w:eastAsia="Arial" w:hAnsi="Arial"/>
          <w:sz w:val="12"/>
          <w:szCs w:val="12"/>
          <w:color w:val="auto"/>
        </w:rPr>
        <w:t>the relative values of the currency used in the countries in which we operate;</w:t>
      </w:r>
    </w:p>
    <w:p>
      <w:pPr>
        <w:ind w:left="760" w:hanging="107"/>
        <w:spacing w:after="0" w:line="232" w:lineRule="auto"/>
        <w:tabs>
          <w:tab w:leader="none" w:pos="760" w:val="left"/>
        </w:tabs>
        <w:numPr>
          <w:ilvl w:val="0"/>
          <w:numId w:val="20"/>
        </w:numPr>
        <w:rPr>
          <w:rFonts w:ascii="Courier New" w:cs="Courier New" w:eastAsia="Courier New" w:hAnsi="Courier New"/>
          <w:sz w:val="12"/>
          <w:szCs w:val="12"/>
          <w:color w:val="auto"/>
        </w:rPr>
      </w:pPr>
      <w:r>
        <w:rPr>
          <w:rFonts w:ascii="Arial" w:cs="Arial" w:eastAsia="Arial" w:hAnsi="Arial"/>
          <w:sz w:val="12"/>
          <w:szCs w:val="12"/>
          <w:color w:val="auto"/>
        </w:rPr>
        <w:t>changes in government regulation, including by way of example, the costs resulting from the implementation of the requirements of Sarbanes-Oxley;</w:t>
      </w:r>
    </w:p>
    <w:p>
      <w:pPr>
        <w:ind w:left="760" w:hanging="107"/>
        <w:spacing w:after="0" w:line="232" w:lineRule="auto"/>
        <w:tabs>
          <w:tab w:leader="none" w:pos="760" w:val="left"/>
        </w:tabs>
        <w:numPr>
          <w:ilvl w:val="0"/>
          <w:numId w:val="20"/>
        </w:numPr>
        <w:rPr>
          <w:rFonts w:ascii="Courier New" w:cs="Courier New" w:eastAsia="Courier New" w:hAnsi="Courier New"/>
          <w:sz w:val="12"/>
          <w:szCs w:val="12"/>
          <w:color w:val="auto"/>
        </w:rPr>
      </w:pPr>
      <w:r>
        <w:rPr>
          <w:rFonts w:ascii="Arial" w:cs="Arial" w:eastAsia="Arial" w:hAnsi="Arial"/>
          <w:sz w:val="12"/>
          <w:szCs w:val="12"/>
          <w:color w:val="auto"/>
        </w:rPr>
        <w:t>our labor relations and costs of labor (including future government requirements with respect to pension liabilities, disability insurance and health coverage, and vacations and leave);</w:t>
      </w:r>
    </w:p>
    <w:p>
      <w:pPr>
        <w:ind w:left="740" w:right="80" w:hanging="87"/>
        <w:spacing w:after="0" w:line="241" w:lineRule="auto"/>
        <w:tabs>
          <w:tab w:leader="none" w:pos="740" w:val="left"/>
        </w:tabs>
        <w:numPr>
          <w:ilvl w:val="0"/>
          <w:numId w:val="20"/>
        </w:numPr>
        <w:rPr>
          <w:rFonts w:ascii="Courier New" w:cs="Courier New" w:eastAsia="Courier New" w:hAnsi="Courier New"/>
          <w:sz w:val="12"/>
          <w:szCs w:val="12"/>
          <w:color w:val="auto"/>
        </w:rPr>
      </w:pPr>
      <w:r>
        <w:rPr>
          <w:rFonts w:ascii="Arial" w:cs="Arial" w:eastAsia="Arial" w:hAnsi="Arial"/>
          <w:sz w:val="12"/>
          <w:szCs w:val="12"/>
          <w:color w:val="auto"/>
        </w:rPr>
        <w:t>our exposure from time-to-time to legal claims and to uninsurable risks, such as those related to our historic railroad operations, including potential environmental claims and health-related claims relating to alleged exposure to asbestos or other substances now or in the future recognized as being possible causes of cancer or other health related problems;</w:t>
      </w:r>
    </w:p>
    <w:p>
      <w:pPr>
        <w:ind w:left="760" w:hanging="107"/>
        <w:spacing w:after="0" w:line="232" w:lineRule="auto"/>
        <w:tabs>
          <w:tab w:leader="none" w:pos="760" w:val="left"/>
        </w:tabs>
        <w:numPr>
          <w:ilvl w:val="0"/>
          <w:numId w:val="20"/>
        </w:numPr>
        <w:rPr>
          <w:rFonts w:ascii="Courier New" w:cs="Courier New" w:eastAsia="Courier New" w:hAnsi="Courier New"/>
          <w:sz w:val="12"/>
          <w:szCs w:val="12"/>
          <w:color w:val="auto"/>
        </w:rPr>
      </w:pPr>
      <w:r>
        <w:rPr>
          <w:rFonts w:ascii="Arial" w:cs="Arial" w:eastAsia="Arial" w:hAnsi="Arial"/>
          <w:sz w:val="12"/>
          <w:szCs w:val="12"/>
          <w:color w:val="auto"/>
        </w:rPr>
        <w:t>changes in future effective tax rates and the results of currently ongoing and future potential audits by taxing authorities having jurisdiction over our various companies; and</w:t>
      </w:r>
    </w:p>
    <w:p>
      <w:pPr>
        <w:ind w:left="920" w:hanging="267"/>
        <w:spacing w:after="0" w:line="232" w:lineRule="auto"/>
        <w:tabs>
          <w:tab w:leader="none" w:pos="920" w:val="left"/>
        </w:tabs>
        <w:numPr>
          <w:ilvl w:val="0"/>
          <w:numId w:val="20"/>
        </w:numPr>
        <w:rPr>
          <w:rFonts w:ascii="Courier New" w:cs="Courier New" w:eastAsia="Courier New" w:hAnsi="Courier New"/>
          <w:sz w:val="12"/>
          <w:szCs w:val="12"/>
          <w:color w:val="auto"/>
        </w:rPr>
      </w:pPr>
      <w:r>
        <w:rPr>
          <w:rFonts w:ascii="Arial" w:cs="Arial" w:eastAsia="Arial" w:hAnsi="Arial"/>
          <w:sz w:val="12"/>
          <w:szCs w:val="12"/>
          <w:color w:val="auto"/>
        </w:rPr>
        <w:t>changes in applicable accounting policies and practices.</w:t>
      </w:r>
    </w:p>
    <w:p>
      <w:pPr>
        <w:spacing w:after="0" w:line="109" w:lineRule="exact"/>
        <w:rPr>
          <w:sz w:val="20"/>
          <w:szCs w:val="20"/>
          <w:color w:val="auto"/>
        </w:rPr>
      </w:pPr>
    </w:p>
    <w:p>
      <w:pPr>
        <w:ind w:right="60"/>
        <w:spacing w:after="0" w:line="263" w:lineRule="auto"/>
        <w:rPr>
          <w:sz w:val="20"/>
          <w:szCs w:val="20"/>
          <w:color w:val="auto"/>
        </w:rPr>
      </w:pPr>
      <w:r>
        <w:rPr>
          <w:rFonts w:ascii="Arial" w:cs="Arial" w:eastAsia="Arial" w:hAnsi="Arial"/>
          <w:sz w:val="12"/>
          <w:szCs w:val="12"/>
          <w:color w:val="auto"/>
        </w:rPr>
        <w:t>The above list is not necessarily exhaustive, as business is by definition unpredictable and risky, and it is subject to influence by numerous factors outside of our control, such as changes in government regulation or policy, competition, interest rates, supply, technological innovation, changes in consumer taste, the weather, and the extent to which consumers in our markets have the economic wherewithal to spend money on beyond-the-home entertainment.</w:t>
      </w:r>
    </w:p>
    <w:p>
      <w:pPr>
        <w:spacing w:after="0" w:line="105" w:lineRule="exact"/>
        <w:rPr>
          <w:sz w:val="20"/>
          <w:szCs w:val="20"/>
          <w:color w:val="auto"/>
        </w:rPr>
      </w:pPr>
    </w:p>
    <w:p>
      <w:pPr>
        <w:spacing w:after="0" w:line="263" w:lineRule="auto"/>
        <w:rPr>
          <w:sz w:val="20"/>
          <w:szCs w:val="20"/>
          <w:color w:val="auto"/>
        </w:rPr>
      </w:pPr>
      <w:r>
        <w:rPr>
          <w:rFonts w:ascii="Arial" w:cs="Arial" w:eastAsia="Arial" w:hAnsi="Arial"/>
          <w:sz w:val="12"/>
          <w:szCs w:val="12"/>
          <w:color w:val="auto"/>
        </w:rPr>
        <w:t>Given the variety and unpredictability of the factors that will ultimately influence our businesses and our results of operation, it naturally follows that no guarantees can be given that any of our forward-looking statements will ultimately prove to be correct. Actual results will undoubtedly vary and there is no guarantee as to how our securities will perform either when considered in isolation or when compared to other securities or investment opportunities.</w:t>
      </w:r>
    </w:p>
    <w:p>
      <w:pPr>
        <w:spacing w:after="0" w:line="96" w:lineRule="exact"/>
        <w:rPr>
          <w:sz w:val="20"/>
          <w:szCs w:val="20"/>
          <w:color w:val="auto"/>
        </w:rPr>
      </w:pPr>
    </w:p>
    <w:p>
      <w:pPr>
        <w:ind w:right="180"/>
        <w:spacing w:after="0" w:line="276" w:lineRule="auto"/>
        <w:rPr>
          <w:sz w:val="20"/>
          <w:szCs w:val="20"/>
          <w:color w:val="auto"/>
        </w:rPr>
      </w:pPr>
      <w:r>
        <w:rPr>
          <w:rFonts w:ascii="Arial" w:cs="Arial" w:eastAsia="Arial" w:hAnsi="Arial"/>
          <w:sz w:val="12"/>
          <w:szCs w:val="12"/>
          <w:color w:val="auto"/>
        </w:rPr>
        <w:t>Finally, we undertake no obligation to update publicly or to revise any of our forward-looking statements, whether as a result of new information, future events or otherwise, except as may be required under applicable law. Accordingly, you should always note the date to which our forward-looking statements speak.</w:t>
      </w:r>
    </w:p>
    <w:p>
      <w:pPr>
        <w:spacing w:after="0" w:line="88" w:lineRule="exact"/>
        <w:rPr>
          <w:sz w:val="20"/>
          <w:szCs w:val="20"/>
          <w:color w:val="auto"/>
        </w:rPr>
      </w:pPr>
    </w:p>
    <w:p>
      <w:pPr>
        <w:ind w:right="180"/>
        <w:spacing w:after="0" w:line="276" w:lineRule="auto"/>
        <w:rPr>
          <w:sz w:val="20"/>
          <w:szCs w:val="20"/>
          <w:color w:val="auto"/>
        </w:rPr>
      </w:pPr>
      <w:r>
        <w:rPr>
          <w:rFonts w:ascii="Arial" w:cs="Arial" w:eastAsia="Arial" w:hAnsi="Arial"/>
          <w:sz w:val="12"/>
          <w:szCs w:val="12"/>
          <w:color w:val="auto"/>
        </w:rPr>
        <w:t>Additionally, certain of the presentations included in this annual report may contain “non-US GAAP financial measures.” In such case, a reconciliation of this information to our US GAAP financial statements will be made available in connection with such statements.</w:t>
      </w:r>
    </w:p>
    <w:p>
      <w:pPr>
        <w:spacing w:after="0" w:line="23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COMPANY OVERVIEW</w:t>
      </w:r>
    </w:p>
    <w:p>
      <w:pPr>
        <w:spacing w:after="0" w:line="127" w:lineRule="exact"/>
        <w:rPr>
          <w:sz w:val="20"/>
          <w:szCs w:val="20"/>
          <w:color w:val="auto"/>
        </w:rPr>
      </w:pPr>
    </w:p>
    <w:p>
      <w:pPr>
        <w:ind w:right="200"/>
        <w:spacing w:after="0" w:line="276" w:lineRule="auto"/>
        <w:rPr>
          <w:sz w:val="20"/>
          <w:szCs w:val="20"/>
          <w:color w:val="auto"/>
        </w:rPr>
      </w:pPr>
      <w:r>
        <w:rPr>
          <w:rFonts w:ascii="Arial" w:cs="Arial" w:eastAsia="Arial" w:hAnsi="Arial"/>
          <w:sz w:val="12"/>
          <w:szCs w:val="12"/>
          <w:color w:val="auto"/>
        </w:rPr>
        <w:t>We are an internationally diversified company principally focused on the development, ownership, and operation of entertainment and real estate assets in the United States, Australia, and New Zealand. Currently, we operate in two business segments:</w:t>
      </w:r>
    </w:p>
    <w:p>
      <w:pPr>
        <w:spacing w:after="0" w:line="88" w:lineRule="exact"/>
        <w:rPr>
          <w:sz w:val="20"/>
          <w:szCs w:val="20"/>
          <w:color w:val="auto"/>
        </w:rPr>
      </w:pPr>
    </w:p>
    <w:p>
      <w:pPr>
        <w:ind w:left="340" w:hanging="119"/>
        <w:spacing w:after="0"/>
        <w:tabs>
          <w:tab w:leader="none" w:pos="340" w:val="left"/>
        </w:tabs>
        <w:numPr>
          <w:ilvl w:val="0"/>
          <w:numId w:val="21"/>
        </w:numPr>
        <w:rPr>
          <w:rFonts w:ascii="Arial" w:cs="Arial" w:eastAsia="Arial" w:hAnsi="Arial"/>
          <w:sz w:val="12"/>
          <w:szCs w:val="12"/>
          <w:color w:val="auto"/>
        </w:rPr>
      </w:pPr>
      <w:r>
        <w:rPr>
          <w:rFonts w:ascii="Arial" w:cs="Arial" w:eastAsia="Arial" w:hAnsi="Arial"/>
          <w:sz w:val="12"/>
          <w:szCs w:val="12"/>
          <w:color w:val="auto"/>
        </w:rPr>
        <w:t>Cinema exhibition, through our 58 multiplex cinemas; and</w:t>
      </w:r>
    </w:p>
    <w:p>
      <w:pPr>
        <w:spacing w:after="0" w:line="78" w:lineRule="exact"/>
        <w:rPr>
          <w:rFonts w:ascii="Arial" w:cs="Arial" w:eastAsia="Arial" w:hAnsi="Arial"/>
          <w:sz w:val="12"/>
          <w:szCs w:val="12"/>
          <w:color w:val="auto"/>
        </w:rPr>
      </w:pPr>
    </w:p>
    <w:p>
      <w:pPr>
        <w:ind w:left="300" w:hanging="79"/>
        <w:spacing w:after="0"/>
        <w:tabs>
          <w:tab w:leader="none" w:pos="300" w:val="left"/>
        </w:tabs>
        <w:numPr>
          <w:ilvl w:val="0"/>
          <w:numId w:val="21"/>
        </w:numPr>
        <w:rPr>
          <w:rFonts w:ascii="Arial" w:cs="Arial" w:eastAsia="Arial" w:hAnsi="Arial"/>
          <w:sz w:val="12"/>
          <w:szCs w:val="12"/>
          <w:color w:val="auto"/>
        </w:rPr>
      </w:pPr>
      <w:r>
        <w:rPr>
          <w:rFonts w:ascii="Arial" w:cs="Arial" w:eastAsia="Arial" w:hAnsi="Arial"/>
          <w:sz w:val="12"/>
          <w:szCs w:val="12"/>
          <w:color w:val="auto"/>
        </w:rPr>
        <w:t>Real estate, including real estate development and the rental of retail, commercial and live theater assets.</w:t>
      </w:r>
    </w:p>
    <w:p>
      <w:pPr>
        <w:spacing w:after="0" w:line="78" w:lineRule="exact"/>
        <w:rPr>
          <w:sz w:val="20"/>
          <w:szCs w:val="20"/>
          <w:color w:val="auto"/>
        </w:rPr>
      </w:pPr>
    </w:p>
    <w:p>
      <w:pPr>
        <w:ind w:right="80"/>
        <w:spacing w:after="0" w:line="276" w:lineRule="auto"/>
        <w:rPr>
          <w:sz w:val="20"/>
          <w:szCs w:val="20"/>
          <w:color w:val="auto"/>
        </w:rPr>
      </w:pPr>
      <w:r>
        <w:rPr>
          <w:rFonts w:ascii="Arial" w:cs="Arial" w:eastAsia="Arial" w:hAnsi="Arial"/>
          <w:sz w:val="12"/>
          <w:szCs w:val="12"/>
          <w:color w:val="auto"/>
        </w:rPr>
        <w:t>We believe that these two business segments can complement one another, as we can use the comparatively consistent cash flows generated by our cinema operations to fund the front-end cash demands of our real estate development business.</w:t>
      </w:r>
    </w:p>
    <w:p>
      <w:pPr>
        <w:spacing w:after="0" w:line="97" w:lineRule="exact"/>
        <w:rPr>
          <w:sz w:val="20"/>
          <w:szCs w:val="20"/>
          <w:color w:val="auto"/>
        </w:rPr>
      </w:pPr>
    </w:p>
    <w:p>
      <w:pPr>
        <w:spacing w:after="0"/>
        <w:rPr>
          <w:sz w:val="20"/>
          <w:szCs w:val="20"/>
          <w:color w:val="auto"/>
        </w:rPr>
      </w:pPr>
      <w:r>
        <w:rPr>
          <w:rFonts w:ascii="Arial" w:cs="Arial" w:eastAsia="Arial" w:hAnsi="Arial"/>
          <w:sz w:val="12"/>
          <w:szCs w:val="12"/>
          <w:color w:val="auto"/>
        </w:rPr>
        <w:t>We manage our worldwide cinema exhibition businesses under various brands:</w:t>
      </w:r>
    </w:p>
    <w:p>
      <w:pPr>
        <w:spacing w:after="0" w:line="123" w:lineRule="exact"/>
        <w:rPr>
          <w:sz w:val="20"/>
          <w:szCs w:val="20"/>
          <w:color w:val="auto"/>
        </w:rPr>
      </w:pPr>
    </w:p>
    <w:p>
      <w:pPr>
        <w:ind w:left="280" w:hanging="59"/>
        <w:spacing w:after="0"/>
        <w:tabs>
          <w:tab w:leader="none" w:pos="280" w:val="left"/>
        </w:tabs>
        <w:numPr>
          <w:ilvl w:val="0"/>
          <w:numId w:val="22"/>
        </w:numPr>
        <w:rPr>
          <w:rFonts w:ascii="Arial" w:cs="Arial" w:eastAsia="Arial" w:hAnsi="Arial"/>
          <w:sz w:val="12"/>
          <w:szCs w:val="12"/>
          <w:color w:val="auto"/>
        </w:rPr>
      </w:pPr>
      <w:r>
        <w:rPr>
          <w:rFonts w:ascii="Arial" w:cs="Arial" w:eastAsia="Arial" w:hAnsi="Arial"/>
          <w:sz w:val="12"/>
          <w:szCs w:val="12"/>
          <w:color w:val="auto"/>
        </w:rPr>
        <w:t>in the U.S., under the following brands: Reading Cinemas, Angelika Film Centers, Consolidated Theatres, and City Cinemas;</w:t>
      </w:r>
    </w:p>
    <w:p>
      <w:pPr>
        <w:spacing w:after="0" w:line="78" w:lineRule="exact"/>
        <w:rPr>
          <w:rFonts w:ascii="Arial" w:cs="Arial" w:eastAsia="Arial" w:hAnsi="Arial"/>
          <w:sz w:val="12"/>
          <w:szCs w:val="12"/>
          <w:color w:val="auto"/>
        </w:rPr>
      </w:pPr>
    </w:p>
    <w:p>
      <w:pPr>
        <w:ind w:left="360" w:hanging="139"/>
        <w:spacing w:after="0"/>
        <w:tabs>
          <w:tab w:leader="none" w:pos="360" w:val="left"/>
        </w:tabs>
        <w:numPr>
          <w:ilvl w:val="0"/>
          <w:numId w:val="22"/>
        </w:numPr>
        <w:rPr>
          <w:rFonts w:ascii="Arial" w:cs="Arial" w:eastAsia="Arial" w:hAnsi="Arial"/>
          <w:sz w:val="12"/>
          <w:szCs w:val="12"/>
          <w:color w:val="auto"/>
        </w:rPr>
      </w:pPr>
      <w:r>
        <w:rPr>
          <w:rFonts w:ascii="Arial" w:cs="Arial" w:eastAsia="Arial" w:hAnsi="Arial"/>
          <w:sz w:val="12"/>
          <w:szCs w:val="12"/>
          <w:color w:val="auto"/>
        </w:rPr>
        <w:t>in Australia, under the Reading Cinemas brand; and</w:t>
      </w:r>
    </w:p>
    <w:p>
      <w:pPr>
        <w:spacing w:after="0" w:line="78" w:lineRule="exact"/>
        <w:rPr>
          <w:rFonts w:ascii="Arial" w:cs="Arial" w:eastAsia="Arial" w:hAnsi="Arial"/>
          <w:sz w:val="12"/>
          <w:szCs w:val="12"/>
          <w:color w:val="auto"/>
        </w:rPr>
      </w:pPr>
    </w:p>
    <w:p>
      <w:pPr>
        <w:ind w:left="340" w:hanging="119"/>
        <w:spacing w:after="0"/>
        <w:tabs>
          <w:tab w:leader="none" w:pos="340" w:val="left"/>
        </w:tabs>
        <w:numPr>
          <w:ilvl w:val="0"/>
          <w:numId w:val="22"/>
        </w:numPr>
        <w:rPr>
          <w:rFonts w:ascii="Arial" w:cs="Arial" w:eastAsia="Arial" w:hAnsi="Arial"/>
          <w:sz w:val="12"/>
          <w:szCs w:val="12"/>
          <w:color w:val="auto"/>
        </w:rPr>
      </w:pPr>
      <w:r>
        <w:rPr>
          <w:rFonts w:ascii="Arial" w:cs="Arial" w:eastAsia="Arial" w:hAnsi="Arial"/>
          <w:sz w:val="12"/>
          <w:szCs w:val="12"/>
          <w:color w:val="auto"/>
        </w:rPr>
        <w:t>in New Zealand, under the Reading Cinemas and Rialto brands.</w:t>
      </w:r>
    </w:p>
    <w:p>
      <w:pPr>
        <w:spacing w:after="0" w:line="366"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59690</wp:posOffset>
            </wp:positionV>
            <wp:extent cx="677989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779895" cy="42545"/>
                    </a:xfrm>
                    <a:prstGeom prst="rect">
                      <a:avLst/>
                    </a:prstGeom>
                    <a:noFill/>
                  </pic:spPr>
                </pic:pic>
              </a:graphicData>
            </a:graphic>
          </wp:anchor>
        </w:drawing>
      </w:r>
    </w:p>
    <w:p>
      <w:pPr>
        <w:sectPr>
          <w:pgSz w:w="11900" w:h="16838" w:orient="portrait"/>
          <w:cols w:equalWidth="0" w:num="1">
            <w:col w:w="10600"/>
          </w:cols>
          <w:pgMar w:left="640" w:top="131" w:right="659" w:bottom="1440" w:gutter="0" w:footer="0" w:header="0"/>
        </w:sectPr>
      </w:pPr>
    </w:p>
    <w:bookmarkStart w:id="33" w:name="page34"/>
    <w:bookmarkEnd w:id="33"/>
    <w:p>
      <w:pPr>
        <w:spacing w:after="0"/>
        <w:rPr>
          <w:sz w:val="20"/>
          <w:szCs w:val="20"/>
          <w:color w:val="auto"/>
        </w:rPr>
      </w:pPr>
      <w:r>
        <w:rPr>
          <w:rFonts w:ascii="Arial" w:cs="Arial" w:eastAsia="Arial" w:hAnsi="Arial"/>
          <w:sz w:val="12"/>
          <w:szCs w:val="12"/>
          <w:b w:val="1"/>
          <w:bCs w:val="1"/>
          <w:color w:val="auto"/>
        </w:rPr>
        <w:t>CINEMA ACTIVITIES</w:t>
      </w:r>
    </w:p>
    <w:p>
      <w:pPr>
        <w:spacing w:after="0" w:line="127" w:lineRule="exact"/>
        <w:rPr>
          <w:sz w:val="20"/>
          <w:szCs w:val="20"/>
          <w:color w:val="auto"/>
        </w:rPr>
      </w:pPr>
    </w:p>
    <w:p>
      <w:pPr>
        <w:spacing w:after="0" w:line="280" w:lineRule="auto"/>
        <w:rPr>
          <w:sz w:val="20"/>
          <w:szCs w:val="20"/>
          <w:color w:val="auto"/>
        </w:rPr>
      </w:pPr>
      <w:r>
        <w:rPr>
          <w:rFonts w:ascii="Arial" w:cs="Arial" w:eastAsia="Arial" w:hAnsi="Arial"/>
          <w:sz w:val="11"/>
          <w:szCs w:val="11"/>
          <w:color w:val="auto"/>
        </w:rPr>
        <w:t>We believe the cinema business to be one that will likely continue to generate fairly consistent cash flows in the years ahead, even in a recessionary or inflationary environment. This is based on our belief that people will continue to spend some reasonable portion of their entertainment dollar on entertainment outside of the home and that, when compared to other forms of outside-the-home entertainment, movies continue to be a popular and competitively priced option. Because we believe the cinema exhibition business to be a mature business with most markets either adequately screened or over-screened, we see growth in our cinema business coming principally from (i) the enhancement of our existing cinemas (for example, by the addition of luxury seating and expanding our food and beverage offerings), (ii) the development in select markets of specialty cinemas, and (iii) the opportunistic acquisition of already existing cinemas, rather than from the development of new conventional cinemas. From time-to-time, we invest in the securities of other companies, where we believe the business or assets of those companies to be attractive or to offer synergies to our existing entertainment and real estate businesses. We continue to focus on the development and redevelopment of our existing assets (particularly our New York assets and our Angelika Film Center chain), as well as to continue to be opportunistic in identifying and endeavoring to acquire undervalued assets, particularly assets with proven cash flow and that we believe to be resistant to recessionary trends.</w:t>
      </w:r>
    </w:p>
    <w:p>
      <w:pPr>
        <w:spacing w:after="0" w:line="98" w:lineRule="exact"/>
        <w:rPr>
          <w:sz w:val="20"/>
          <w:szCs w:val="20"/>
          <w:color w:val="auto"/>
        </w:rPr>
      </w:pPr>
    </w:p>
    <w:p>
      <w:pPr>
        <w:ind w:right="80"/>
        <w:spacing w:after="0" w:line="259" w:lineRule="auto"/>
        <w:rPr>
          <w:sz w:val="20"/>
          <w:szCs w:val="20"/>
          <w:color w:val="auto"/>
        </w:rPr>
      </w:pPr>
      <w:r>
        <w:rPr>
          <w:rFonts w:ascii="Arial" w:cs="Arial" w:eastAsia="Arial" w:hAnsi="Arial"/>
          <w:sz w:val="12"/>
          <w:szCs w:val="12"/>
          <w:color w:val="auto"/>
        </w:rPr>
        <w:t>We see ourselves principally as a geographically diversified real estate and cinema exhibition company and intend to add to stockholder value by building the value of our portfolio of tangible assets, including both entertainment and other types of land and “brick and mortar” assets. We endeavor to maintain a reasonable asset allocation between our domestic and international assets and operations, and between our cash-generating cinema operations and our cash-consuming real estate investment and development activities. We believe that, by blending the cash generating capabilities of a cinema operation with the investment and development opportunities of our real estate operations, our business strategy is unique among public companies.</w:t>
      </w:r>
    </w:p>
    <w:p>
      <w:pPr>
        <w:spacing w:after="0" w:line="94"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auto"/>
        </w:rPr>
        <w:t>Business Climate</w:t>
      </w:r>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Cinema Exhibition - General</w:t>
      </w:r>
    </w:p>
    <w:p>
      <w:pPr>
        <w:spacing w:after="0" w:line="132" w:lineRule="exact"/>
        <w:rPr>
          <w:sz w:val="20"/>
          <w:szCs w:val="20"/>
          <w:color w:val="auto"/>
        </w:rPr>
      </w:pPr>
    </w:p>
    <w:p>
      <w:pPr>
        <w:ind w:right="260"/>
        <w:spacing w:after="0" w:line="276" w:lineRule="auto"/>
        <w:rPr>
          <w:sz w:val="20"/>
          <w:szCs w:val="20"/>
          <w:color w:val="auto"/>
        </w:rPr>
      </w:pPr>
      <w:r>
        <w:rPr>
          <w:rFonts w:ascii="Arial" w:cs="Arial" w:eastAsia="Arial" w:hAnsi="Arial"/>
          <w:sz w:val="12"/>
          <w:szCs w:val="12"/>
          <w:color w:val="auto"/>
        </w:rPr>
        <w:t>Along with the majority of our industry, we have completed the conversion of all of our U.S., Australia, and New Zealand cinema operations to digital exhibition. We anticipate that the cost of this conversion will be covered in substantial part by the receipt of “virtual print fees” paid by film distributors for the use of such digital projection equipment.</w:t>
      </w:r>
    </w:p>
    <w:p>
      <w:pPr>
        <w:spacing w:after="0" w:line="88" w:lineRule="exact"/>
        <w:rPr>
          <w:sz w:val="20"/>
          <w:szCs w:val="20"/>
          <w:color w:val="auto"/>
        </w:rPr>
      </w:pPr>
    </w:p>
    <w:p>
      <w:pPr>
        <w:ind w:right="20"/>
        <w:spacing w:after="0" w:line="298" w:lineRule="auto"/>
        <w:rPr>
          <w:sz w:val="20"/>
          <w:szCs w:val="20"/>
          <w:color w:val="auto"/>
        </w:rPr>
      </w:pPr>
      <w:r>
        <w:rPr>
          <w:rFonts w:ascii="Arial" w:cs="Arial" w:eastAsia="Arial" w:hAnsi="Arial"/>
          <w:sz w:val="11"/>
          <w:szCs w:val="11"/>
          <w:color w:val="auto"/>
        </w:rPr>
        <w:t>The “in-home” entertainment industry has experienced significant leaps in recent periods in both the quality and affordability of in-home entertainment systems and in the accessibility to and quality of entertainment programming through alternative film distribution channels, such as network, cable, satellite, internet distribution channels, and Blu-ray/DVD. The success of these alternative distribution channels puts additional pressure on film distributors to reduce and/or eliminate the time period between theatrical and secondary release dates. These are issues common to both our U.S. and international cinema operations.</w:t>
      </w:r>
    </w:p>
    <w:p>
      <w:pPr>
        <w:spacing w:after="0" w:line="78" w:lineRule="exact"/>
        <w:rPr>
          <w:sz w:val="20"/>
          <w:szCs w:val="20"/>
          <w:color w:val="auto"/>
        </w:rPr>
      </w:pPr>
    </w:p>
    <w:p>
      <w:pPr>
        <w:ind w:right="60"/>
        <w:spacing w:after="0" w:line="259" w:lineRule="auto"/>
        <w:rPr>
          <w:sz w:val="20"/>
          <w:szCs w:val="20"/>
          <w:color w:val="auto"/>
        </w:rPr>
      </w:pPr>
      <w:r>
        <w:rPr>
          <w:rFonts w:ascii="Arial" w:cs="Arial" w:eastAsia="Arial" w:hAnsi="Arial"/>
          <w:sz w:val="12"/>
          <w:szCs w:val="12"/>
          <w:color w:val="auto"/>
        </w:rPr>
        <w:t>Certain new entrants to the cinema exhibition market, as well as certain of our historic competitors, have begun to develop new, and to reposition existing, cinemas that offer a broader selection of premium seating and food and beverage choices. These include, in some cases, food service to the seat and the offering of alcoholic beverages. We have for some years offered premium seating, café food selections and alcoholic beverages in certain cinemas. Accordingly, we are experienced in, and believe that we can compete effectively with, this emerging competition. We are currently reviewing the potential for further expanding our offerings at a variety of our cinemas.</w:t>
      </w:r>
    </w:p>
    <w:p>
      <w:pPr>
        <w:spacing w:after="0" w:line="107"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Cinema Exhibition – Australia / New Zealand</w:t>
      </w:r>
    </w:p>
    <w:p>
      <w:pPr>
        <w:spacing w:after="0" w:line="123" w:lineRule="exact"/>
        <w:rPr>
          <w:sz w:val="20"/>
          <w:szCs w:val="20"/>
          <w:color w:val="auto"/>
        </w:rPr>
      </w:pPr>
    </w:p>
    <w:p>
      <w:pPr>
        <w:ind w:right="100"/>
        <w:spacing w:after="0" w:line="286" w:lineRule="auto"/>
        <w:rPr>
          <w:sz w:val="20"/>
          <w:szCs w:val="20"/>
          <w:color w:val="auto"/>
        </w:rPr>
      </w:pPr>
      <w:r>
        <w:rPr>
          <w:rFonts w:ascii="Arial" w:cs="Arial" w:eastAsia="Arial" w:hAnsi="Arial"/>
          <w:sz w:val="11"/>
          <w:szCs w:val="11"/>
          <w:color w:val="auto"/>
        </w:rPr>
        <w:t>The film exhibition industry in Australia and New Zealand is highly concentrated in that Village, Event, and Hoyts (the “Major Exhibitors”) control approximately 65% of the cinema box office in Australia, while Event and Hoyts control approximately 56% of New Zealand’s cinema box office. The industry is also vertically integrated in that one of the Major Exhibitors, Roadshow Film Distributors (part of Village), also serves as a distributor of film in Australia and New Zealand for Warner Bros. Films produced or distributed by the majority of the local international independent producers are also distributed by Roadshow. Typically, the Major Exhibitors own the newer multiplex and megaplex cinemas, while the independent exhibitors typically have older and smaller cinemas. In addition, the Major Exhibitors have in recent periods built a number of new multiplexes as joint venture partners or under shared facility arrangements, and have historically not engaged in head-to-head competition.</w:t>
      </w:r>
    </w:p>
    <w:p>
      <w:pPr>
        <w:spacing w:after="0" w:line="84"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Cinema Exhibition – North America</w:t>
      </w:r>
    </w:p>
    <w:p>
      <w:pPr>
        <w:spacing w:after="0" w:line="132" w:lineRule="exact"/>
        <w:rPr>
          <w:sz w:val="20"/>
          <w:szCs w:val="20"/>
          <w:color w:val="auto"/>
        </w:rPr>
      </w:pPr>
    </w:p>
    <w:p>
      <w:pPr>
        <w:ind w:right="40"/>
        <w:spacing w:after="0" w:line="276" w:lineRule="auto"/>
        <w:rPr>
          <w:sz w:val="20"/>
          <w:szCs w:val="20"/>
          <w:color w:val="auto"/>
        </w:rPr>
      </w:pPr>
      <w:r>
        <w:rPr>
          <w:rFonts w:ascii="Arial" w:cs="Arial" w:eastAsia="Arial" w:hAnsi="Arial"/>
          <w:sz w:val="12"/>
          <w:szCs w:val="12"/>
          <w:color w:val="auto"/>
        </w:rPr>
        <w:t>In North America, distributors may find it more commercially appealing to deal with major exhibitors, rather than to deal with independents like us, which tends to compress the supply of screens in a very limited number of markets. This competitive disadvantage has increased significantly in recent periods, with the development of mega-circuits like Regal and AMC, who are able</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59690</wp:posOffset>
            </wp:positionV>
            <wp:extent cx="677989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779895" cy="42545"/>
                    </a:xfrm>
                    <a:prstGeom prst="rect">
                      <a:avLst/>
                    </a:prstGeom>
                    <a:noFill/>
                  </pic:spPr>
                </pic:pic>
              </a:graphicData>
            </a:graphic>
          </wp:anchor>
        </w:drawing>
      </w:r>
    </w:p>
    <w:p>
      <w:pPr>
        <w:sectPr>
          <w:pgSz w:w="11900" w:h="16838" w:orient="portrait"/>
          <w:cols w:equalWidth="0" w:num="1">
            <w:col w:w="10620"/>
          </w:cols>
          <w:pgMar w:left="640" w:top="127" w:right="639" w:bottom="1440" w:gutter="0" w:footer="0" w:header="0"/>
        </w:sectPr>
      </w:pPr>
    </w:p>
    <w:bookmarkStart w:id="34" w:name="page35"/>
    <w:bookmarkEnd w:id="34"/>
    <w:p>
      <w:pPr>
        <w:spacing w:after="0"/>
        <w:rPr>
          <w:sz w:val="20"/>
          <w:szCs w:val="20"/>
          <w:color w:val="auto"/>
        </w:rPr>
      </w:pPr>
      <w:r>
        <w:rPr>
          <w:rFonts w:ascii="Arial" w:cs="Arial" w:eastAsia="Arial" w:hAnsi="Arial"/>
          <w:sz w:val="12"/>
          <w:szCs w:val="12"/>
          <w:color w:val="auto"/>
        </w:rPr>
        <w:t>to offer distributors access to screens on a truly nationwide basis, or, on the other hand, to deny access if their desires with respect to film supply are not satisfied.</w:t>
      </w:r>
    </w:p>
    <w:p>
      <w:pPr>
        <w:spacing w:after="0" w:line="123" w:lineRule="exact"/>
        <w:rPr>
          <w:sz w:val="20"/>
          <w:szCs w:val="20"/>
          <w:color w:val="auto"/>
        </w:rPr>
      </w:pPr>
    </w:p>
    <w:p>
      <w:pPr>
        <w:spacing w:after="0" w:line="323" w:lineRule="auto"/>
        <w:rPr>
          <w:sz w:val="20"/>
          <w:szCs w:val="20"/>
          <w:color w:val="auto"/>
        </w:rPr>
      </w:pPr>
      <w:r>
        <w:rPr>
          <w:rFonts w:ascii="Arial" w:cs="Arial" w:eastAsia="Arial" w:hAnsi="Arial"/>
          <w:sz w:val="11"/>
          <w:szCs w:val="11"/>
          <w:color w:val="auto"/>
        </w:rPr>
        <w:t>These consolidations can adversely affect our ability to get film in certain U.S. markets where we compete against major exhibitors. With the restructuring and consolidation undertaken in the industry, and the emergence of increasingly attractive “in-home” entertainment alternatives, strategic cinema acquisitions by our U.S. operation have and can continue to be a way to combat such a competitive disadvantage.</w:t>
      </w:r>
    </w:p>
    <w:p>
      <w:pPr>
        <w:spacing w:after="0" w:line="74"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Real Estate – Australia and New Zealand</w:t>
      </w:r>
    </w:p>
    <w:p>
      <w:pPr>
        <w:spacing w:after="0" w:line="123" w:lineRule="exact"/>
        <w:rPr>
          <w:sz w:val="20"/>
          <w:szCs w:val="20"/>
          <w:color w:val="auto"/>
        </w:rPr>
      </w:pPr>
    </w:p>
    <w:p>
      <w:pPr>
        <w:ind w:right="40"/>
        <w:spacing w:after="0" w:line="259" w:lineRule="auto"/>
        <w:rPr>
          <w:sz w:val="20"/>
          <w:szCs w:val="20"/>
          <w:color w:val="auto"/>
        </w:rPr>
      </w:pPr>
      <w:r>
        <w:rPr>
          <w:rFonts w:ascii="Arial" w:cs="Arial" w:eastAsia="Arial" w:hAnsi="Arial"/>
          <w:sz w:val="12"/>
          <w:szCs w:val="12"/>
          <w:color w:val="auto"/>
        </w:rPr>
        <w:t>Over the past few years, there has been a noted stabilization in real estate market activity resulting in some increases to commercial and retail property values in Australia and to a lesser extent in New Zealand. Both countries have relatively stable economies with varying degrees of economic growth that are mostly influenced by global trends. Also, we have noted that our Australian and New Zealand developed properties have had consistent growth in rentals and values, and we have a number of projects commencing. Once developed, we remain confident that our Australian and New Zealand holdings will continue to provide value and cash flows to our operations.</w:t>
      </w:r>
    </w:p>
    <w:p>
      <w:pPr>
        <w:spacing w:after="0" w:line="98"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Real Estate – North America</w:t>
      </w:r>
    </w:p>
    <w:p>
      <w:pPr>
        <w:spacing w:after="0" w:line="132" w:lineRule="exact"/>
        <w:rPr>
          <w:sz w:val="20"/>
          <w:szCs w:val="20"/>
          <w:color w:val="auto"/>
        </w:rPr>
      </w:pPr>
    </w:p>
    <w:p>
      <w:pPr>
        <w:spacing w:after="0"/>
        <w:rPr>
          <w:sz w:val="20"/>
          <w:szCs w:val="20"/>
          <w:color w:val="auto"/>
        </w:rPr>
      </w:pPr>
      <w:r>
        <w:rPr>
          <w:rFonts w:ascii="Arial" w:cs="Arial" w:eastAsia="Arial" w:hAnsi="Arial"/>
          <w:sz w:val="11"/>
          <w:szCs w:val="11"/>
          <w:color w:val="auto"/>
        </w:rPr>
        <w:t>The commercial real estate market has improved significantly over the past three years, and we have noted strengthening rental income associated with our real estate located in large urban environments.</w:t>
      </w:r>
    </w:p>
    <w:p>
      <w:pPr>
        <w:spacing w:after="0" w:line="135"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Business Segments</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color w:val="auto"/>
        </w:rPr>
        <w:t>As indicated above, our two primary business segments are cinema exhibition and real estate. These segments are summarized as follows:</w:t>
      </w:r>
    </w:p>
    <w:p>
      <w:pPr>
        <w:spacing w:after="0" w:line="132"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Cinema Exhibition</w:t>
      </w:r>
    </w:p>
    <w:p>
      <w:pPr>
        <w:spacing w:after="0" w:line="123" w:lineRule="exact"/>
        <w:rPr>
          <w:sz w:val="20"/>
          <w:szCs w:val="20"/>
          <w:color w:val="auto"/>
        </w:rPr>
      </w:pPr>
    </w:p>
    <w:p>
      <w:pPr>
        <w:ind w:right="60"/>
        <w:spacing w:after="0" w:line="276" w:lineRule="auto"/>
        <w:rPr>
          <w:sz w:val="20"/>
          <w:szCs w:val="20"/>
          <w:color w:val="auto"/>
        </w:rPr>
      </w:pPr>
      <w:r>
        <w:rPr>
          <w:rFonts w:ascii="Arial" w:cs="Arial" w:eastAsia="Arial" w:hAnsi="Arial"/>
          <w:sz w:val="12"/>
          <w:szCs w:val="12"/>
          <w:color w:val="auto"/>
        </w:rPr>
        <w:t xml:space="preserve">One of our primary businesses consists of the ownership and operation of cinemas. For a breakdown of our current cinema assets that we own and/or manage please see Item 1 – </w:t>
      </w:r>
      <w:r>
        <w:rPr>
          <w:rFonts w:ascii="Arial" w:cs="Arial" w:eastAsia="Arial" w:hAnsi="Arial"/>
          <w:sz w:val="12"/>
          <w:szCs w:val="12"/>
          <w:i w:val="1"/>
          <w:iCs w:val="1"/>
          <w:color w:val="auto"/>
        </w:rPr>
        <w:t>Our Business</w:t>
      </w:r>
      <w:r>
        <w:rPr>
          <w:rFonts w:ascii="Arial" w:cs="Arial" w:eastAsia="Arial" w:hAnsi="Arial"/>
          <w:sz w:val="12"/>
          <w:szCs w:val="12"/>
          <w:color w:val="auto"/>
        </w:rPr>
        <w:t xml:space="preserve"> of this 2015 Annual Report under the subheading “</w:t>
      </w:r>
      <w:r>
        <w:rPr>
          <w:rFonts w:ascii="Arial" w:cs="Arial" w:eastAsia="Arial" w:hAnsi="Arial"/>
          <w:sz w:val="12"/>
          <w:szCs w:val="12"/>
          <w:i w:val="1"/>
          <w:iCs w:val="1"/>
          <w:color w:val="auto"/>
        </w:rPr>
        <w:t>Operating Information – Cinema Exhibition</w:t>
      </w:r>
      <w:r>
        <w:rPr>
          <w:rFonts w:ascii="Arial" w:cs="Arial" w:eastAsia="Arial" w:hAnsi="Arial"/>
          <w:sz w:val="12"/>
          <w:szCs w:val="12"/>
          <w:color w:val="auto"/>
        </w:rPr>
        <w:t>.”</w:t>
      </w:r>
    </w:p>
    <w:p>
      <w:pPr>
        <w:spacing w:after="0" w:line="88" w:lineRule="exact"/>
        <w:rPr>
          <w:sz w:val="20"/>
          <w:szCs w:val="20"/>
          <w:color w:val="auto"/>
        </w:rPr>
      </w:pPr>
    </w:p>
    <w:p>
      <w:pPr>
        <w:jc w:val="both"/>
        <w:ind w:right="200"/>
        <w:spacing w:after="0" w:line="263" w:lineRule="auto"/>
        <w:rPr>
          <w:sz w:val="20"/>
          <w:szCs w:val="20"/>
          <w:color w:val="auto"/>
        </w:rPr>
      </w:pPr>
      <w:r>
        <w:rPr>
          <w:rFonts w:ascii="Arial" w:cs="Arial" w:eastAsia="Arial" w:hAnsi="Arial"/>
          <w:sz w:val="12"/>
          <w:szCs w:val="12"/>
          <w:color w:val="auto"/>
        </w:rPr>
        <w:t>In September 2015, we reopened a completely refurbished state-of-the-art cinema complex in Harbourtown, Australia. In October 2015, we reopened the twelve-screen Angelika Film Center &amp; Cafe, a state-of-the-art luxury cinema, located at Carmel Mountain Plaza in San Diego. Finally, in November 2015, we opened the new state-of-the-art eight-screen Reading Cinemas LynnMall, our first Reading branded Auckland cinema complex, in New Lynn, New Zealand.</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color w:val="auto"/>
        </w:rPr>
        <w:t>In October 2015, at the end of our lease period, we closed our Redbank cinema, in Queensland Australia.</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color w:val="auto"/>
        </w:rPr>
        <w:t>During 2014, we opened a three-screen Angelika Pop-Up! at Union Market in Washington, D.C., as well as a six-screen complex in Dunedin, New Zealand.</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color w:val="auto"/>
        </w:rPr>
        <w:t>In December 2013, we acquired a five-screen cinema in Plano, Texas that we previously had managed since 2003.</w:t>
      </w:r>
    </w:p>
    <w:p>
      <w:pPr>
        <w:spacing w:after="0" w:line="132" w:lineRule="exact"/>
        <w:rPr>
          <w:sz w:val="20"/>
          <w:szCs w:val="20"/>
          <w:color w:val="auto"/>
        </w:rPr>
      </w:pPr>
    </w:p>
    <w:p>
      <w:pPr>
        <w:ind w:right="120"/>
        <w:spacing w:after="0" w:line="323" w:lineRule="auto"/>
        <w:rPr>
          <w:sz w:val="20"/>
          <w:szCs w:val="20"/>
          <w:color w:val="auto"/>
        </w:rPr>
      </w:pPr>
      <w:r>
        <w:rPr>
          <w:rFonts w:ascii="Arial" w:cs="Arial" w:eastAsia="Arial" w:hAnsi="Arial"/>
          <w:sz w:val="11"/>
          <w:szCs w:val="11"/>
          <w:color w:val="auto"/>
        </w:rPr>
        <w:t>Our cinema revenue consists primarily of admissions, concessions, advertising and theater rentals. The cinema operating expense consists of the costs directly attributable to the operation of the cinemas, including film rent expense, operating costs, and occupancy costs. Cinema revenue and expense fluctuate with the availability of quality first-run films and the numbers of weeks the first–run films stay in the market.</w:t>
      </w:r>
    </w:p>
    <w:p>
      <w:pPr>
        <w:spacing w:after="0" w:line="65"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Real Estate</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color w:val="auto"/>
        </w:rPr>
        <w:t>For 2015, our income operating property consisted of the following:</w:t>
      </w:r>
    </w:p>
    <w:p>
      <w:pPr>
        <w:spacing w:after="0" w:line="132" w:lineRule="exact"/>
        <w:rPr>
          <w:sz w:val="20"/>
          <w:szCs w:val="20"/>
          <w:color w:val="auto"/>
        </w:rPr>
      </w:pPr>
    </w:p>
    <w:p>
      <w:pPr>
        <w:ind w:left="280" w:hanging="59"/>
        <w:spacing w:after="0"/>
        <w:tabs>
          <w:tab w:leader="none" w:pos="280" w:val="left"/>
        </w:tabs>
        <w:numPr>
          <w:ilvl w:val="0"/>
          <w:numId w:val="23"/>
        </w:numPr>
        <w:rPr>
          <w:rFonts w:ascii="Arial" w:cs="Arial" w:eastAsia="Arial" w:hAnsi="Arial"/>
          <w:sz w:val="12"/>
          <w:szCs w:val="12"/>
          <w:color w:val="auto"/>
        </w:rPr>
      </w:pPr>
      <w:r>
        <w:rPr>
          <w:rFonts w:ascii="Arial" w:cs="Arial" w:eastAsia="Arial" w:hAnsi="Arial"/>
          <w:sz w:val="12"/>
          <w:szCs w:val="12"/>
          <w:color w:val="auto"/>
        </w:rPr>
        <w:t>our Belmont, Western Australia ETC, our Auburn, New South Wales ETC and our Wellington, New Zealand ETC;</w:t>
      </w:r>
    </w:p>
    <w:p>
      <w:pPr>
        <w:spacing w:after="0" w:line="14" w:lineRule="exact"/>
        <w:rPr>
          <w:rFonts w:ascii="Arial" w:cs="Arial" w:eastAsia="Arial" w:hAnsi="Arial"/>
          <w:sz w:val="12"/>
          <w:szCs w:val="12"/>
          <w:color w:val="auto"/>
        </w:rPr>
      </w:pPr>
    </w:p>
    <w:p>
      <w:pPr>
        <w:ind w:left="320" w:hanging="99"/>
        <w:spacing w:after="0"/>
        <w:tabs>
          <w:tab w:leader="none" w:pos="320" w:val="left"/>
        </w:tabs>
        <w:numPr>
          <w:ilvl w:val="0"/>
          <w:numId w:val="23"/>
        </w:numPr>
        <w:rPr>
          <w:rFonts w:ascii="Arial" w:cs="Arial" w:eastAsia="Arial" w:hAnsi="Arial"/>
          <w:sz w:val="12"/>
          <w:szCs w:val="12"/>
          <w:color w:val="auto"/>
        </w:rPr>
      </w:pPr>
      <w:r>
        <w:rPr>
          <w:rFonts w:ascii="Arial" w:cs="Arial" w:eastAsia="Arial" w:hAnsi="Arial"/>
          <w:sz w:val="12"/>
          <w:szCs w:val="12"/>
          <w:color w:val="auto"/>
        </w:rPr>
        <w:t>our Newmarket shopping center in Newmarket, Queensland, a suburb of Brisbane;</w:t>
      </w:r>
    </w:p>
    <w:p>
      <w:pPr>
        <w:spacing w:after="0" w:line="6" w:lineRule="exact"/>
        <w:rPr>
          <w:sz w:val="20"/>
          <w:szCs w:val="20"/>
          <w:color w:val="auto"/>
        </w:rPr>
      </w:pPr>
    </w:p>
    <w:p>
      <w:pPr>
        <w:jc w:val="both"/>
        <w:ind w:left="260" w:right="120" w:hanging="35"/>
        <w:spacing w:after="0" w:line="300" w:lineRule="auto"/>
        <w:rPr>
          <w:sz w:val="20"/>
          <w:szCs w:val="20"/>
          <w:color w:val="auto"/>
        </w:rPr>
      </w:pPr>
      <w:r>
        <w:rPr>
          <w:rFonts w:ascii="Arial" w:cs="Arial" w:eastAsia="Arial" w:hAnsi="Arial"/>
          <w:sz w:val="10"/>
          <w:szCs w:val="10"/>
          <w:color w:val="auto"/>
        </w:rPr>
        <w:t>·three single-auditorium live theaters in Manhattan (Minetta Lane, Orpheum, and Union Square) and a four-auditorium live theater complex in Chicago (The Royal George) and, in the case of the Union Square and the Royal George, their accompanying ancillary retail and commercial tenants; at the end of December 2015, the Union Square building was closed in connection with the proposed redevelopment of the building;</w:t>
      </w:r>
    </w:p>
    <w:p>
      <w:pPr>
        <w:spacing w:after="0" w:line="1" w:lineRule="exact"/>
        <w:rPr>
          <w:sz w:val="20"/>
          <w:szCs w:val="20"/>
          <w:color w:val="auto"/>
        </w:rPr>
      </w:pPr>
    </w:p>
    <w:p>
      <w:pPr>
        <w:ind w:left="5260" w:right="4140" w:hanging="5039"/>
        <w:spacing w:after="0" w:line="511" w:lineRule="auto"/>
        <w:tabs>
          <w:tab w:leader="none" w:pos="281" w:val="left"/>
        </w:tabs>
        <w:numPr>
          <w:ilvl w:val="0"/>
          <w:numId w:val="24"/>
        </w:numPr>
        <w:rPr>
          <w:rFonts w:ascii="Arial" w:cs="Arial" w:eastAsia="Arial" w:hAnsi="Arial"/>
          <w:sz w:val="12"/>
          <w:szCs w:val="12"/>
          <w:color w:val="auto"/>
        </w:rPr>
      </w:pPr>
      <w:r>
        <w:rPr>
          <w:rFonts w:ascii="Arial" w:cs="Arial" w:eastAsia="Arial" w:hAnsi="Arial"/>
          <w:sz w:val="12"/>
          <w:szCs w:val="12"/>
          <w:color w:val="auto"/>
        </w:rPr>
        <w:t>Australian commercial properties rented to unrelated third parties, to be held for current income and long-term appreciation; and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-47625</wp:posOffset>
            </wp:positionV>
            <wp:extent cx="677989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779895" cy="42545"/>
                    </a:xfrm>
                    <a:prstGeom prst="rect">
                      <a:avLst/>
                    </a:prstGeom>
                    <a:noFill/>
                  </pic:spPr>
                </pic:pic>
              </a:graphicData>
            </a:graphic>
          </wp:anchor>
        </w:drawing>
      </w:r>
    </w:p>
    <w:p>
      <w:pPr>
        <w:sectPr>
          <w:pgSz w:w="11900" w:h="16838" w:orient="portrait"/>
          <w:cols w:equalWidth="0" w:num="1">
            <w:col w:w="10580"/>
          </w:cols>
          <w:pgMar w:left="640" w:top="131" w:right="679" w:bottom="1440" w:gutter="0" w:footer="0" w:header="0"/>
        </w:sectPr>
      </w:pPr>
    </w:p>
    <w:bookmarkStart w:id="35" w:name="page36"/>
    <w:bookmarkEnd w:id="35"/>
    <w:p>
      <w:pPr>
        <w:ind w:left="220"/>
        <w:spacing w:after="0"/>
        <w:rPr>
          <w:sz w:val="20"/>
          <w:szCs w:val="20"/>
          <w:color w:val="auto"/>
        </w:rPr>
      </w:pPr>
      <w:r>
        <w:rPr>
          <w:rFonts w:ascii="Arial" w:cs="Arial" w:eastAsia="Arial" w:hAnsi="Arial"/>
          <w:sz w:val="12"/>
          <w:szCs w:val="12"/>
          <w:color w:val="auto"/>
        </w:rPr>
        <w:t>· the ancillary retail and commercial tenants at some of our non-ETC cinema properties.</w:t>
      </w:r>
    </w:p>
    <w:p>
      <w:pPr>
        <w:spacing w:after="0" w:line="123" w:lineRule="exact"/>
        <w:rPr>
          <w:sz w:val="20"/>
          <w:szCs w:val="20"/>
          <w:color w:val="auto"/>
        </w:rPr>
      </w:pPr>
    </w:p>
    <w:p>
      <w:pPr>
        <w:ind w:right="220"/>
        <w:spacing w:after="0" w:line="263" w:lineRule="auto"/>
        <w:rPr>
          <w:sz w:val="20"/>
          <w:szCs w:val="20"/>
          <w:color w:val="auto"/>
        </w:rPr>
      </w:pPr>
      <w:r>
        <w:rPr>
          <w:rFonts w:ascii="Arial" w:cs="Arial" w:eastAsia="Arial" w:hAnsi="Arial"/>
          <w:sz w:val="12"/>
          <w:szCs w:val="12"/>
          <w:color w:val="auto"/>
        </w:rPr>
        <w:t>In addition, we had various parcels of unimproved real estate held for development in Australia and New Zealand and certain unimproved land in the United States including some that was used in our historic activities. We also own an 8,100 square foot commercial building in Melbourne, which serves as our administrative headquarters for Australia and New Zealand, approximately 36% of which is leased to an unrelated third party.</w:t>
      </w:r>
    </w:p>
    <w:p>
      <w:pPr>
        <w:spacing w:after="0" w:line="96"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Acquisitions</w:t>
      </w:r>
    </w:p>
    <w:p>
      <w:pPr>
        <w:spacing w:after="0" w:line="132"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Operating Assets</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Cannon Park, Australia</w:t>
      </w:r>
    </w:p>
    <w:p>
      <w:pPr>
        <w:spacing w:after="0" w:line="123" w:lineRule="exact"/>
        <w:rPr>
          <w:sz w:val="20"/>
          <w:szCs w:val="20"/>
          <w:color w:val="auto"/>
        </w:rPr>
      </w:pPr>
    </w:p>
    <w:p>
      <w:pPr>
        <w:ind w:right="80"/>
        <w:spacing w:after="0" w:line="257" w:lineRule="auto"/>
        <w:rPr>
          <w:sz w:val="20"/>
          <w:szCs w:val="20"/>
          <w:color w:val="auto"/>
        </w:rPr>
      </w:pPr>
      <w:r>
        <w:rPr>
          <w:rFonts w:ascii="Arial" w:cs="Arial" w:eastAsia="Arial" w:hAnsi="Arial"/>
          <w:sz w:val="12"/>
          <w:szCs w:val="12"/>
          <w:color w:val="auto"/>
        </w:rPr>
        <w:t xml:space="preserve">In December 2015, we acquired two adjoining entertainment themed centers in Townsville, Queensland, Australia for a total of $24.3 million (AU$33.6 million). The total gross leasable area of the two adjoining properties, the Cannon Park City Centre and the Cannon Park Discount Centre, is 133,000 square feet. The Cannon Park City Centre is anchored by a Reading Cinema, which is owned by Reading International’s 75% owned subsidiary, Australia Country Cinemas, and has three mini-major tenants and ten specialty family oriented restaurant tenants. The Cannon Park Discount Centre is anchored by Kingpin Bowling and supported by four other retailers. The properties are located approximately 0.6 miles from downtown Townsville, the second largest city in Queensland, Australia. For additional information, see Note 4 – </w:t>
      </w:r>
      <w:r>
        <w:rPr>
          <w:rFonts w:ascii="Arial" w:cs="Arial" w:eastAsia="Arial" w:hAnsi="Arial"/>
          <w:sz w:val="12"/>
          <w:szCs w:val="12"/>
          <w:i w:val="1"/>
          <w:iCs w:val="1"/>
          <w:color w:val="auto"/>
        </w:rPr>
        <w:t>Acquisitions, Disposals, and</w:t>
      </w:r>
      <w:r>
        <w:rPr>
          <w:rFonts w:ascii="Arial" w:cs="Arial" w:eastAsia="Arial" w:hAnsi="Arial"/>
          <w:sz w:val="12"/>
          <w:szCs w:val="12"/>
          <w:color w:val="auto"/>
        </w:rPr>
        <w:t xml:space="preserve"> </w:t>
      </w:r>
      <w:r>
        <w:rPr>
          <w:rFonts w:ascii="Arial" w:cs="Arial" w:eastAsia="Arial" w:hAnsi="Arial"/>
          <w:sz w:val="12"/>
          <w:szCs w:val="12"/>
          <w:i w:val="1"/>
          <w:iCs w:val="1"/>
          <w:color w:val="auto"/>
        </w:rPr>
        <w:t>Assets Held for Sale – 2015 Transactions – Cannon Park, Queensland, Australia</w:t>
      </w:r>
      <w:r>
        <w:rPr>
          <w:rFonts w:ascii="Arial" w:cs="Arial" w:eastAsia="Arial" w:hAnsi="Arial"/>
          <w:sz w:val="12"/>
          <w:szCs w:val="12"/>
          <w:color w:val="auto"/>
        </w:rPr>
        <w:t>.</w:t>
      </w:r>
    </w:p>
    <w:p>
      <w:pPr>
        <w:spacing w:after="0" w:line="108"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Newmarket, Australia</w:t>
      </w:r>
    </w:p>
    <w:p>
      <w:pPr>
        <w:spacing w:after="0" w:line="123" w:lineRule="exact"/>
        <w:rPr>
          <w:sz w:val="20"/>
          <w:szCs w:val="20"/>
          <w:color w:val="auto"/>
        </w:rPr>
      </w:pPr>
    </w:p>
    <w:p>
      <w:pPr>
        <w:ind w:right="40"/>
        <w:spacing w:after="0" w:line="263" w:lineRule="auto"/>
        <w:rPr>
          <w:sz w:val="20"/>
          <w:szCs w:val="20"/>
          <w:color w:val="auto"/>
        </w:rPr>
      </w:pPr>
      <w:r>
        <w:rPr>
          <w:rFonts w:ascii="Arial" w:cs="Arial" w:eastAsia="Arial" w:hAnsi="Arial"/>
          <w:sz w:val="12"/>
          <w:szCs w:val="12"/>
          <w:color w:val="auto"/>
        </w:rPr>
        <w:t xml:space="preserve">In November 2015, we acquired a commercial building in Newmarket adjacent to our Newmarket shopping complex currently improved with an office building. The total cost of the acquisition was $5.5 million (AU$7.6 million). Our intention is that this parcel will ultimately be integrated into our Newmarket Shopping Center. See Note 4 – </w:t>
      </w:r>
      <w:r>
        <w:rPr>
          <w:rFonts w:ascii="Arial" w:cs="Arial" w:eastAsia="Arial" w:hAnsi="Arial"/>
          <w:sz w:val="12"/>
          <w:szCs w:val="12"/>
          <w:i w:val="1"/>
          <w:iCs w:val="1"/>
          <w:color w:val="auto"/>
        </w:rPr>
        <w:t>Acquisitions, Disposals, and Assets Held for Sale – 2015 Transactions – Cannon Park,</w:t>
      </w:r>
      <w:r>
        <w:rPr>
          <w:rFonts w:ascii="Arial" w:cs="Arial" w:eastAsia="Arial" w:hAnsi="Arial"/>
          <w:sz w:val="12"/>
          <w:szCs w:val="12"/>
          <w:color w:val="auto"/>
        </w:rPr>
        <w:t xml:space="preserve"> </w:t>
      </w:r>
      <w:r>
        <w:rPr>
          <w:rFonts w:ascii="Arial" w:cs="Arial" w:eastAsia="Arial" w:hAnsi="Arial"/>
          <w:sz w:val="12"/>
          <w:szCs w:val="12"/>
          <w:i w:val="1"/>
          <w:iCs w:val="1"/>
          <w:color w:val="auto"/>
        </w:rPr>
        <w:t>Queensland, Australia</w:t>
      </w:r>
      <w:r>
        <w:rPr>
          <w:rFonts w:ascii="Arial" w:cs="Arial" w:eastAsia="Arial" w:hAnsi="Arial"/>
          <w:sz w:val="12"/>
          <w:szCs w:val="12"/>
          <w:color w:val="auto"/>
        </w:rPr>
        <w:t>.</w:t>
      </w:r>
    </w:p>
    <w:p>
      <w:pPr>
        <w:spacing w:after="0" w:line="96"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Plano, Texas</w:t>
      </w:r>
    </w:p>
    <w:p>
      <w:pPr>
        <w:spacing w:after="0" w:line="132" w:lineRule="exact"/>
        <w:rPr>
          <w:sz w:val="20"/>
          <w:szCs w:val="20"/>
          <w:color w:val="auto"/>
        </w:rPr>
      </w:pPr>
    </w:p>
    <w:p>
      <w:pPr>
        <w:spacing w:after="0" w:line="257" w:lineRule="auto"/>
        <w:rPr>
          <w:sz w:val="20"/>
          <w:szCs w:val="20"/>
          <w:color w:val="auto"/>
        </w:rPr>
      </w:pPr>
      <w:r>
        <w:rPr>
          <w:rFonts w:ascii="Arial" w:cs="Arial" w:eastAsia="Arial" w:hAnsi="Arial"/>
          <w:sz w:val="12"/>
          <w:szCs w:val="12"/>
          <w:color w:val="auto"/>
        </w:rPr>
        <w:t>In December 2013, we settled a management fee claim that we had against the owner of the Plano, Texas cinema that we had managed since 2003 for a cash receipt of $1.9 million. As part of the settlement, we acquired that entity, and through the purchase of that entity acquired the underlying cinema’s lease and the associated personal property, equipment, and trade fixtures. Because the fair value of the lease, in light of anticipated rent payments, resulted in a lease liability of $320,000 and the acquired net assets, including cash received in connection with the settlement, were valued at $1.7 million, we recorded a net gain on acquisition and settlement of $1.4 million which is included as “</w:t>
      </w:r>
      <w:r>
        <w:rPr>
          <w:rFonts w:ascii="Arial" w:cs="Arial" w:eastAsia="Arial" w:hAnsi="Arial"/>
          <w:sz w:val="12"/>
          <w:szCs w:val="12"/>
          <w:i w:val="1"/>
          <w:iCs w:val="1"/>
          <w:color w:val="auto"/>
        </w:rPr>
        <w:t>other income</w:t>
      </w:r>
      <w:r>
        <w:rPr>
          <w:rFonts w:ascii="Arial" w:cs="Arial" w:eastAsia="Arial" w:hAnsi="Arial"/>
          <w:sz w:val="12"/>
          <w:szCs w:val="12"/>
          <w:color w:val="auto"/>
        </w:rPr>
        <w:t>” in our consolidated statement of operations for the year ended December 31, 2013. We also acquired in 2013 the 50% interest we did not own in Angelika Film Centers, LLC.</w:t>
      </w:r>
    </w:p>
    <w:p>
      <w:pPr>
        <w:spacing w:after="0" w:line="99"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Disposals</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Land Held for Sale – Burwood</w:t>
      </w:r>
    </w:p>
    <w:p>
      <w:pPr>
        <w:spacing w:after="0" w:line="132" w:lineRule="exact"/>
        <w:rPr>
          <w:sz w:val="20"/>
          <w:szCs w:val="20"/>
          <w:color w:val="auto"/>
        </w:rPr>
      </w:pPr>
    </w:p>
    <w:p>
      <w:pPr>
        <w:ind w:right="380"/>
        <w:spacing w:after="0" w:line="276" w:lineRule="auto"/>
        <w:rPr>
          <w:sz w:val="20"/>
          <w:szCs w:val="20"/>
          <w:color w:val="auto"/>
        </w:rPr>
      </w:pPr>
      <w:r>
        <w:rPr>
          <w:rFonts w:ascii="Arial" w:cs="Arial" w:eastAsia="Arial" w:hAnsi="Arial"/>
          <w:sz w:val="12"/>
          <w:szCs w:val="12"/>
          <w:color w:val="auto"/>
        </w:rPr>
        <w:t>On May 12, 2014, we entered into a contract to sell our undeveloped 50.6-acre parcel in Burwood, Victoria, Australia, to an affiliate of Australand Holdings Limited for a purchase price of $47.5 million (AU$65.0 million). Reading received $5.5 million (AU$6.5 million) on May 23, 2014 closing. The balance of the purchase price is due on December 31, 2017.</w:t>
      </w:r>
    </w:p>
    <w:p>
      <w:pPr>
        <w:spacing w:after="0" w:line="88"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Taupo</w:t>
      </w:r>
    </w:p>
    <w:p>
      <w:pPr>
        <w:spacing w:after="0" w:line="123" w:lineRule="exact"/>
        <w:rPr>
          <w:sz w:val="20"/>
          <w:szCs w:val="20"/>
          <w:color w:val="auto"/>
        </w:rPr>
      </w:pPr>
    </w:p>
    <w:p>
      <w:pPr>
        <w:ind w:right="160"/>
        <w:spacing w:after="0" w:line="276" w:lineRule="auto"/>
        <w:rPr>
          <w:sz w:val="20"/>
          <w:szCs w:val="20"/>
          <w:color w:val="auto"/>
        </w:rPr>
      </w:pPr>
      <w:r>
        <w:rPr>
          <w:rFonts w:ascii="Arial" w:cs="Arial" w:eastAsia="Arial" w:hAnsi="Arial"/>
          <w:sz w:val="12"/>
          <w:szCs w:val="12"/>
          <w:color w:val="auto"/>
        </w:rPr>
        <w:t>On March 31, 2015, we entered into sale agreements to sell both of our Lake Taupo properties to the same purchaser. 138 Lake Terrace, an improved 20 unit motor inn, settled on May 6, 2015 for $1.7 million (NZ$2.2 million). Settlement of $821,000 (NZ$1.2 million) was received on March 31, 2016 for 142 Lake Terrace, an unimproved vacant parcel of land.</w:t>
      </w:r>
    </w:p>
    <w:p>
      <w:pPr>
        <w:spacing w:after="0" w:line="97"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Moonee Ponds Property</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color w:val="auto"/>
        </w:rPr>
        <w:t>In 2013, we entered into a purchase and sale agreement to sell our 3.3-acre properties in Moonee Ponds for $21.4 million (AU$23.0 million) which closed on April 16, 2015.</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Investment and Development Property</w:t>
      </w:r>
    </w:p>
    <w:p>
      <w:pPr>
        <w:spacing w:after="0" w:line="132" w:lineRule="exact"/>
        <w:rPr>
          <w:sz w:val="20"/>
          <w:szCs w:val="20"/>
          <w:color w:val="auto"/>
        </w:rPr>
      </w:pPr>
    </w:p>
    <w:p>
      <w:pPr>
        <w:ind w:right="60"/>
        <w:spacing w:after="0" w:line="276" w:lineRule="auto"/>
        <w:rPr>
          <w:sz w:val="20"/>
          <w:szCs w:val="20"/>
          <w:color w:val="auto"/>
        </w:rPr>
      </w:pPr>
      <w:r>
        <w:rPr>
          <w:rFonts w:ascii="Arial" w:cs="Arial" w:eastAsia="Arial" w:hAnsi="Arial"/>
          <w:sz w:val="12"/>
          <w:szCs w:val="12"/>
          <w:color w:val="auto"/>
        </w:rPr>
        <w:t xml:space="preserve">We are engaged in several real estate development projects. For a complete list of these properties with their size, status, and gross book values see Item 2 – </w:t>
      </w:r>
      <w:r>
        <w:rPr>
          <w:rFonts w:ascii="Arial" w:cs="Arial" w:eastAsia="Arial" w:hAnsi="Arial"/>
          <w:sz w:val="12"/>
          <w:szCs w:val="12"/>
          <w:i w:val="1"/>
          <w:iCs w:val="1"/>
          <w:color w:val="auto"/>
        </w:rPr>
        <w:t>Properties</w:t>
      </w:r>
      <w:r>
        <w:rPr>
          <w:rFonts w:ascii="Arial" w:cs="Arial" w:eastAsia="Arial" w:hAnsi="Arial"/>
          <w:sz w:val="12"/>
          <w:szCs w:val="12"/>
          <w:color w:val="auto"/>
        </w:rPr>
        <w:t xml:space="preserve"> under the heading of “</w:t>
      </w:r>
      <w:r>
        <w:rPr>
          <w:rFonts w:ascii="Arial" w:cs="Arial" w:eastAsia="Arial" w:hAnsi="Arial"/>
          <w:sz w:val="12"/>
          <w:szCs w:val="12"/>
          <w:i w:val="1"/>
          <w:iCs w:val="1"/>
          <w:color w:val="auto"/>
        </w:rPr>
        <w:t>Investment and Development</w:t>
      </w:r>
      <w:r>
        <w:rPr>
          <w:rFonts w:ascii="Arial" w:cs="Arial" w:eastAsia="Arial" w:hAnsi="Arial"/>
          <w:sz w:val="12"/>
          <w:szCs w:val="12"/>
          <w:color w:val="auto"/>
        </w:rPr>
        <w:t xml:space="preserve"> </w:t>
      </w:r>
      <w:r>
        <w:rPr>
          <w:rFonts w:ascii="Arial" w:cs="Arial" w:eastAsia="Arial" w:hAnsi="Arial"/>
          <w:sz w:val="12"/>
          <w:szCs w:val="12"/>
          <w:i w:val="1"/>
          <w:iCs w:val="1"/>
          <w:color w:val="auto"/>
        </w:rPr>
        <w:t>Property</w:t>
      </w:r>
      <w:r>
        <w:rPr>
          <w:rFonts w:ascii="Arial" w:cs="Arial" w:eastAsia="Arial" w:hAnsi="Arial"/>
          <w:sz w:val="12"/>
          <w:szCs w:val="12"/>
          <w:color w:val="auto"/>
        </w:rPr>
        <w:t>.”</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59690</wp:posOffset>
            </wp:positionV>
            <wp:extent cx="677989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779895" cy="42545"/>
                    </a:xfrm>
                    <a:prstGeom prst="rect">
                      <a:avLst/>
                    </a:prstGeom>
                    <a:noFill/>
                  </pic:spPr>
                </pic:pic>
              </a:graphicData>
            </a:graphic>
          </wp:anchor>
        </w:drawing>
      </w:r>
    </w:p>
    <w:p>
      <w:pPr>
        <w:sectPr>
          <w:pgSz w:w="11900" w:h="16838" w:orient="portrait"/>
          <w:cols w:equalWidth="0" w:num="1">
            <w:col w:w="10600"/>
          </w:cols>
          <w:pgMar w:left="640" w:top="131" w:right="659" w:bottom="1440" w:gutter="0" w:footer="0" w:header="0"/>
        </w:sectPr>
      </w:pPr>
    </w:p>
    <w:bookmarkStart w:id="36" w:name="page37"/>
    <w:bookmarkEnd w:id="36"/>
    <w:p>
      <w:pPr>
        <w:spacing w:after="0"/>
        <w:rPr>
          <w:sz w:val="20"/>
          <w:szCs w:val="20"/>
          <w:color w:val="auto"/>
        </w:rPr>
      </w:pPr>
      <w:r>
        <w:rPr>
          <w:rFonts w:ascii="Arial" w:cs="Arial" w:eastAsia="Arial" w:hAnsi="Arial"/>
          <w:sz w:val="12"/>
          <w:szCs w:val="12"/>
          <w:b w:val="1"/>
          <w:bCs w:val="1"/>
          <w:color w:val="auto"/>
        </w:rPr>
        <w:t>CONSOLIDATED RESULTS AND NON-SEGMENT RESULTS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4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460" w:type="dxa"/>
            <w:vAlign w:val="bottom"/>
            <w:gridSpan w:val="3"/>
          </w:tcPr>
          <w:p>
            <w:pPr>
              <w:jc w:val="right"/>
              <w:ind w:right="912"/>
              <w:spacing w:after="0"/>
              <w:rPr>
                <w:sz w:val="20"/>
                <w:szCs w:val="20"/>
                <w:color w:val="auto"/>
              </w:rPr>
            </w:pPr>
            <w:r>
              <w:rPr>
                <w:rFonts w:ascii="Arial" w:cs="Arial" w:eastAsia="Arial" w:hAnsi="Arial"/>
                <w:sz w:val="10"/>
                <w:szCs w:val="10"/>
                <w:b w:val="1"/>
                <w:bCs w:val="1"/>
                <w:color w:val="auto"/>
                <w:w w:val="99"/>
              </w:rPr>
              <w:t>% Change</w:t>
            </w:r>
          </w:p>
        </w:tc>
      </w:tr>
      <w:tr>
        <w:trPr>
          <w:trHeight w:val="114"/>
        </w:trPr>
        <w:tc>
          <w:tcPr>
            <w:tcW w:w="4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1460" w:type="dxa"/>
            <w:vAlign w:val="bottom"/>
            <w:tcBorders>
              <w:bottom w:val="single" w:sz="8" w:color="auto"/>
            </w:tcBorders>
            <w:gridSpan w:val="3"/>
          </w:tcPr>
          <w:p>
            <w:pPr>
              <w:jc w:val="right"/>
              <w:ind w:right="892"/>
              <w:spacing w:after="0" w:line="114" w:lineRule="exact"/>
              <w:rPr>
                <w:sz w:val="20"/>
                <w:szCs w:val="20"/>
                <w:color w:val="auto"/>
              </w:rPr>
            </w:pPr>
            <w:r>
              <w:rPr>
                <w:rFonts w:ascii="Arial" w:cs="Arial" w:eastAsia="Arial" w:hAnsi="Arial"/>
                <w:sz w:val="10"/>
                <w:szCs w:val="10"/>
                <w:b w:val="1"/>
                <w:bCs w:val="1"/>
                <w:color w:val="auto"/>
                <w:w w:val="91"/>
              </w:rPr>
              <w:t>Fav/(Unfav)</w:t>
            </w:r>
          </w:p>
        </w:tc>
      </w:tr>
      <w:tr>
        <w:trPr>
          <w:trHeight w:val="169"/>
        </w:trPr>
        <w:tc>
          <w:tcPr>
            <w:tcW w:w="410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(Dollars in thousands)</w:t>
            </w:r>
          </w:p>
        </w:tc>
        <w:tc>
          <w:tcPr>
            <w:tcW w:w="2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412"/>
              <w:spacing w:after="0"/>
              <w:rPr>
                <w:sz w:val="20"/>
                <w:szCs w:val="20"/>
                <w:color w:val="auto"/>
              </w:rPr>
            </w:pPr>
            <w:r>
              <w:rPr>
                <w:rFonts w:ascii="Arial" w:cs="Arial" w:eastAsia="Arial" w:hAnsi="Arial"/>
                <w:sz w:val="10"/>
                <w:szCs w:val="10"/>
                <w:b w:val="1"/>
                <w:bCs w:val="1"/>
                <w:color w:val="auto"/>
              </w:rPr>
              <w:t>2015</w:t>
            </w:r>
          </w:p>
        </w:tc>
        <w:tc>
          <w:tcPr>
            <w:tcW w:w="2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412"/>
              <w:spacing w:after="0"/>
              <w:rPr>
                <w:sz w:val="20"/>
                <w:szCs w:val="20"/>
                <w:color w:val="auto"/>
              </w:rPr>
            </w:pPr>
            <w:r>
              <w:rPr>
                <w:rFonts w:ascii="Arial" w:cs="Arial" w:eastAsia="Arial" w:hAnsi="Arial"/>
                <w:sz w:val="10"/>
                <w:szCs w:val="10"/>
                <w:b w:val="1"/>
                <w:bCs w:val="1"/>
                <w:color w:val="auto"/>
              </w:rPr>
              <w:t>2014</w:t>
            </w:r>
          </w:p>
        </w:tc>
        <w:tc>
          <w:tcPr>
            <w:tcW w:w="2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432"/>
              <w:spacing w:after="0"/>
              <w:rPr>
                <w:sz w:val="20"/>
                <w:szCs w:val="20"/>
                <w:color w:val="auto"/>
              </w:rPr>
            </w:pPr>
            <w:r>
              <w:rPr>
                <w:rFonts w:ascii="Arial" w:cs="Arial" w:eastAsia="Arial" w:hAnsi="Arial"/>
                <w:sz w:val="10"/>
                <w:szCs w:val="10"/>
                <w:b w:val="1"/>
                <w:bCs w:val="1"/>
                <w:color w:val="auto"/>
              </w:rPr>
              <w:t>2013</w:t>
            </w:r>
          </w:p>
        </w:tc>
        <w:tc>
          <w:tcPr>
            <w:tcW w:w="20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b w:val="1"/>
                <w:bCs w:val="1"/>
                <w:color w:val="auto"/>
              </w:rPr>
              <w:t>2015 vs. 2014</w:t>
            </w:r>
          </w:p>
        </w:tc>
        <w:tc>
          <w:tcPr>
            <w:tcW w:w="180" w:type="dxa"/>
            <w:vAlign w:val="bottom"/>
            <w:tcBorders>
              <w:bottom w:val="single" w:sz="8" w:color="auto"/>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080" w:type="dxa"/>
            <w:vAlign w:val="bottom"/>
            <w:tcBorders>
              <w:bottom w:val="single" w:sz="8" w:color="auto"/>
            </w:tcBorders>
          </w:tcPr>
          <w:p>
            <w:pPr>
              <w:jc w:val="right"/>
              <w:ind w:right="232"/>
              <w:spacing w:after="0"/>
              <w:rPr>
                <w:sz w:val="20"/>
                <w:szCs w:val="20"/>
                <w:color w:val="auto"/>
              </w:rPr>
            </w:pPr>
            <w:r>
              <w:rPr>
                <w:rFonts w:ascii="Arial" w:cs="Arial" w:eastAsia="Arial" w:hAnsi="Arial"/>
                <w:sz w:val="10"/>
                <w:szCs w:val="10"/>
                <w:b w:val="1"/>
                <w:bCs w:val="1"/>
                <w:color w:val="auto"/>
              </w:rPr>
              <w:t>2014 vs. 2013</w:t>
            </w:r>
          </w:p>
        </w:tc>
      </w:tr>
      <w:tr>
        <w:trPr>
          <w:trHeight w:val="169"/>
        </w:trPr>
        <w:tc>
          <w:tcPr>
            <w:tcW w:w="4300" w:type="dxa"/>
            <w:vAlign w:val="bottom"/>
            <w:gridSpan w:val="2"/>
            <w:shd w:val="clear" w:color="auto" w:fill="CCEEFF"/>
          </w:tcPr>
          <w:p>
            <w:pPr>
              <w:spacing w:after="0"/>
              <w:rPr>
                <w:sz w:val="20"/>
                <w:szCs w:val="20"/>
                <w:color w:val="auto"/>
              </w:rPr>
            </w:pPr>
            <w:r>
              <w:rPr>
                <w:rFonts w:ascii="Arial" w:cs="Arial" w:eastAsia="Arial" w:hAnsi="Arial"/>
                <w:sz w:val="10"/>
                <w:szCs w:val="10"/>
                <w:b w:val="1"/>
                <w:bCs w:val="1"/>
                <w:color w:val="auto"/>
              </w:rPr>
              <w:t>SEGMENT RESULTS</w:t>
            </w:r>
          </w:p>
        </w:tc>
        <w:tc>
          <w:tcPr>
            <w:tcW w:w="3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r>
      <w:tr>
        <w:trPr>
          <w:trHeight w:val="189"/>
        </w:trPr>
        <w:tc>
          <w:tcPr>
            <w:tcW w:w="4300" w:type="dxa"/>
            <w:vAlign w:val="bottom"/>
            <w:gridSpan w:val="2"/>
          </w:tcPr>
          <w:p>
            <w:pPr>
              <w:ind w:left="400"/>
              <w:spacing w:after="0"/>
              <w:rPr>
                <w:sz w:val="20"/>
                <w:szCs w:val="20"/>
                <w:color w:val="auto"/>
              </w:rPr>
            </w:pPr>
            <w:r>
              <w:rPr>
                <w:rFonts w:ascii="Arial" w:cs="Arial" w:eastAsia="Arial" w:hAnsi="Arial"/>
                <w:sz w:val="10"/>
                <w:szCs w:val="10"/>
                <w:color w:val="auto"/>
              </w:rPr>
              <w:t>Cinema exhibition operating income</w:t>
            </w:r>
          </w:p>
        </w:tc>
        <w:tc>
          <w:tcPr>
            <w:tcW w:w="340" w:type="dxa"/>
            <w:vAlign w:val="bottom"/>
          </w:tcPr>
          <w:p>
            <w:pPr>
              <w:jc w:val="right"/>
              <w:ind w:right="172"/>
              <w:spacing w:after="0"/>
              <w:rPr>
                <w:sz w:val="20"/>
                <w:szCs w:val="20"/>
                <w:color w:val="auto"/>
              </w:rPr>
            </w:pPr>
            <w:r>
              <w:rPr>
                <w:rFonts w:ascii="Arial" w:cs="Arial" w:eastAsia="Arial" w:hAnsi="Arial"/>
                <w:sz w:val="10"/>
                <w:szCs w:val="10"/>
                <w:b w:val="1"/>
                <w:bCs w:val="1"/>
                <w:color w:val="auto"/>
              </w:rPr>
              <w:t>$</w:t>
            </w:r>
          </w:p>
        </w:tc>
        <w:tc>
          <w:tcPr>
            <w:tcW w:w="780" w:type="dxa"/>
            <w:vAlign w:val="bottom"/>
          </w:tcPr>
          <w:p>
            <w:pPr>
              <w:jc w:val="right"/>
              <w:spacing w:after="0"/>
              <w:rPr>
                <w:sz w:val="20"/>
                <w:szCs w:val="20"/>
                <w:color w:val="auto"/>
              </w:rPr>
            </w:pPr>
            <w:r>
              <w:rPr>
                <w:rFonts w:ascii="Arial" w:cs="Arial" w:eastAsia="Arial" w:hAnsi="Arial"/>
                <w:sz w:val="10"/>
                <w:szCs w:val="10"/>
                <w:b w:val="1"/>
                <w:bCs w:val="1"/>
                <w:color w:val="auto"/>
              </w:rPr>
              <w:t>31,576</w:t>
            </w:r>
          </w:p>
        </w:tc>
        <w:tc>
          <w:tcPr>
            <w:tcW w:w="200" w:type="dxa"/>
            <w:vAlign w:val="bottom"/>
          </w:tcPr>
          <w:p>
            <w:pPr>
              <w:spacing w:after="0"/>
              <w:rPr>
                <w:sz w:val="16"/>
                <w:szCs w:val="16"/>
                <w:color w:val="auto"/>
              </w:rPr>
            </w:pPr>
          </w:p>
        </w:tc>
        <w:tc>
          <w:tcPr>
            <w:tcW w:w="320" w:type="dxa"/>
            <w:vAlign w:val="bottom"/>
          </w:tcPr>
          <w:p>
            <w:pPr>
              <w:jc w:val="right"/>
              <w:ind w:right="152"/>
              <w:spacing w:after="0"/>
              <w:rPr>
                <w:sz w:val="20"/>
                <w:szCs w:val="20"/>
                <w:color w:val="auto"/>
              </w:rPr>
            </w:pPr>
            <w:r>
              <w:rPr>
                <w:rFonts w:ascii="Arial" w:cs="Arial" w:eastAsia="Arial" w:hAnsi="Arial"/>
                <w:sz w:val="10"/>
                <w:szCs w:val="10"/>
                <w:color w:val="auto"/>
              </w:rPr>
              <w:t>$</w:t>
            </w:r>
          </w:p>
        </w:tc>
        <w:tc>
          <w:tcPr>
            <w:tcW w:w="800" w:type="dxa"/>
            <w:vAlign w:val="bottom"/>
          </w:tcPr>
          <w:p>
            <w:pPr>
              <w:jc w:val="right"/>
              <w:spacing w:after="0"/>
              <w:rPr>
                <w:sz w:val="20"/>
                <w:szCs w:val="20"/>
                <w:color w:val="auto"/>
              </w:rPr>
            </w:pPr>
            <w:r>
              <w:rPr>
                <w:rFonts w:ascii="Arial" w:cs="Arial" w:eastAsia="Arial" w:hAnsi="Arial"/>
                <w:sz w:val="10"/>
                <w:szCs w:val="10"/>
                <w:color w:val="auto"/>
              </w:rPr>
              <w:t>27,343</w:t>
            </w:r>
          </w:p>
        </w:tc>
        <w:tc>
          <w:tcPr>
            <w:tcW w:w="200" w:type="dxa"/>
            <w:vAlign w:val="bottom"/>
          </w:tcPr>
          <w:p>
            <w:pPr>
              <w:spacing w:after="0"/>
              <w:rPr>
                <w:sz w:val="16"/>
                <w:szCs w:val="16"/>
                <w:color w:val="auto"/>
              </w:rPr>
            </w:pPr>
          </w:p>
        </w:tc>
        <w:tc>
          <w:tcPr>
            <w:tcW w:w="320" w:type="dxa"/>
            <w:vAlign w:val="bottom"/>
          </w:tcPr>
          <w:p>
            <w:pPr>
              <w:jc w:val="right"/>
              <w:ind w:right="152"/>
              <w:spacing w:after="0"/>
              <w:rPr>
                <w:sz w:val="20"/>
                <w:szCs w:val="20"/>
                <w:color w:val="auto"/>
              </w:rPr>
            </w:pPr>
            <w:r>
              <w:rPr>
                <w:rFonts w:ascii="Arial" w:cs="Arial" w:eastAsia="Arial" w:hAnsi="Arial"/>
                <w:sz w:val="10"/>
                <w:szCs w:val="10"/>
                <w:color w:val="auto"/>
              </w:rPr>
              <w:t>$</w:t>
            </w:r>
          </w:p>
        </w:tc>
        <w:tc>
          <w:tcPr>
            <w:tcW w:w="800" w:type="dxa"/>
            <w:vAlign w:val="bottom"/>
          </w:tcPr>
          <w:p>
            <w:pPr>
              <w:jc w:val="right"/>
              <w:spacing w:after="0"/>
              <w:rPr>
                <w:sz w:val="20"/>
                <w:szCs w:val="20"/>
                <w:color w:val="auto"/>
              </w:rPr>
            </w:pPr>
            <w:r>
              <w:rPr>
                <w:rFonts w:ascii="Arial" w:cs="Arial" w:eastAsia="Arial" w:hAnsi="Arial"/>
                <w:sz w:val="10"/>
                <w:szCs w:val="10"/>
                <w:color w:val="auto"/>
              </w:rPr>
              <w:t>24,545</w:t>
            </w:r>
          </w:p>
        </w:tc>
        <w:tc>
          <w:tcPr>
            <w:tcW w:w="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0"/>
                <w:szCs w:val="10"/>
                <w:color w:val="auto"/>
              </w:rPr>
              <w:t>15 %</w:t>
            </w:r>
          </w:p>
        </w:tc>
        <w:tc>
          <w:tcPr>
            <w:tcW w:w="1460" w:type="dxa"/>
            <w:vAlign w:val="bottom"/>
            <w:gridSpan w:val="3"/>
          </w:tcPr>
          <w:p>
            <w:pPr>
              <w:jc w:val="right"/>
              <w:ind w:right="152"/>
              <w:spacing w:after="0"/>
              <w:rPr>
                <w:sz w:val="20"/>
                <w:szCs w:val="20"/>
                <w:color w:val="auto"/>
              </w:rPr>
            </w:pPr>
            <w:r>
              <w:rPr>
                <w:rFonts w:ascii="Arial" w:cs="Arial" w:eastAsia="Arial" w:hAnsi="Arial"/>
                <w:sz w:val="10"/>
                <w:szCs w:val="10"/>
                <w:color w:val="auto"/>
              </w:rPr>
              <w:t>11 %</w:t>
            </w:r>
          </w:p>
        </w:tc>
      </w:tr>
      <w:tr>
        <w:trPr>
          <w:trHeight w:val="189"/>
        </w:trPr>
        <w:tc>
          <w:tcPr>
            <w:tcW w:w="4300" w:type="dxa"/>
            <w:vAlign w:val="bottom"/>
            <w:gridSpan w:val="2"/>
            <w:shd w:val="clear" w:color="auto" w:fill="CCEEFF"/>
          </w:tcPr>
          <w:p>
            <w:pPr>
              <w:ind w:left="400"/>
              <w:spacing w:after="0"/>
              <w:rPr>
                <w:sz w:val="20"/>
                <w:szCs w:val="20"/>
                <w:color w:val="auto"/>
              </w:rPr>
            </w:pPr>
            <w:r>
              <w:rPr>
                <w:rFonts w:ascii="Arial" w:cs="Arial" w:eastAsia="Arial" w:hAnsi="Arial"/>
                <w:sz w:val="10"/>
                <w:szCs w:val="10"/>
                <w:color w:val="auto"/>
              </w:rPr>
              <w:t>Real estate operating income</w:t>
            </w:r>
          </w:p>
        </w:tc>
        <w:tc>
          <w:tcPr>
            <w:tcW w:w="3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6,796</w:t>
            </w:r>
          </w:p>
        </w:tc>
        <w:tc>
          <w:tcPr>
            <w:tcW w:w="2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9,475</w:t>
            </w:r>
          </w:p>
        </w:tc>
        <w:tc>
          <w:tcPr>
            <w:tcW w:w="2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10,959</w:t>
            </w: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(28)%</w:t>
            </w:r>
          </w:p>
        </w:tc>
        <w:tc>
          <w:tcPr>
            <w:tcW w:w="1460" w:type="dxa"/>
            <w:vAlign w:val="bottom"/>
            <w:gridSpan w:val="3"/>
            <w:shd w:val="clear" w:color="auto" w:fill="CCEEFF"/>
          </w:tcPr>
          <w:p>
            <w:pPr>
              <w:jc w:val="right"/>
              <w:ind w:right="152"/>
              <w:spacing w:after="0"/>
              <w:rPr>
                <w:sz w:val="20"/>
                <w:szCs w:val="20"/>
                <w:color w:val="auto"/>
              </w:rPr>
            </w:pPr>
            <w:r>
              <w:rPr>
                <w:rFonts w:ascii="Arial" w:cs="Arial" w:eastAsia="Arial" w:hAnsi="Arial"/>
                <w:sz w:val="10"/>
                <w:szCs w:val="10"/>
                <w:color w:val="auto"/>
              </w:rPr>
              <w:t>(14)%</w:t>
            </w:r>
          </w:p>
        </w:tc>
      </w:tr>
      <w:tr>
        <w:trPr>
          <w:trHeight w:val="180"/>
        </w:trPr>
        <w:tc>
          <w:tcPr>
            <w:tcW w:w="4300" w:type="dxa"/>
            <w:vAlign w:val="bottom"/>
            <w:gridSpan w:val="2"/>
          </w:tcPr>
          <w:p>
            <w:pPr>
              <w:spacing w:after="0"/>
              <w:rPr>
                <w:sz w:val="20"/>
                <w:szCs w:val="20"/>
                <w:color w:val="auto"/>
              </w:rPr>
            </w:pPr>
            <w:r>
              <w:rPr>
                <w:rFonts w:ascii="Arial" w:cs="Arial" w:eastAsia="Arial" w:hAnsi="Arial"/>
                <w:sz w:val="10"/>
                <w:szCs w:val="10"/>
                <w:b w:val="1"/>
                <w:bCs w:val="1"/>
                <w:color w:val="auto"/>
              </w:rPr>
              <w:t>NON-SEGMENT RESULTS</w:t>
            </w:r>
          </w:p>
        </w:tc>
        <w:tc>
          <w:tcPr>
            <w:tcW w:w="3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89"/>
        </w:trPr>
        <w:tc>
          <w:tcPr>
            <w:tcW w:w="4300" w:type="dxa"/>
            <w:vAlign w:val="bottom"/>
            <w:gridSpan w:val="2"/>
            <w:shd w:val="clear" w:color="auto" w:fill="CCEEFF"/>
          </w:tcPr>
          <w:p>
            <w:pPr>
              <w:ind w:left="400"/>
              <w:spacing w:after="0"/>
              <w:rPr>
                <w:sz w:val="20"/>
                <w:szCs w:val="20"/>
                <w:color w:val="auto"/>
              </w:rPr>
            </w:pPr>
            <w:r>
              <w:rPr>
                <w:rFonts w:ascii="Arial" w:cs="Arial" w:eastAsia="Arial" w:hAnsi="Arial"/>
                <w:sz w:val="10"/>
                <w:szCs w:val="10"/>
                <w:color w:val="auto"/>
              </w:rPr>
              <w:t>Depreciation and amortization expense</w:t>
            </w:r>
          </w:p>
        </w:tc>
        <w:tc>
          <w:tcPr>
            <w:tcW w:w="3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b w:val="1"/>
                <w:bCs w:val="1"/>
                <w:color w:val="auto"/>
              </w:rPr>
              <w:t>(294)</w:t>
            </w:r>
          </w:p>
        </w:tc>
        <w:tc>
          <w:tcPr>
            <w:tcW w:w="3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(360)</w:t>
            </w:r>
          </w:p>
        </w:tc>
        <w:tc>
          <w:tcPr>
            <w:tcW w:w="3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(433)</w:t>
            </w: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18 %</w:t>
            </w:r>
          </w:p>
        </w:tc>
        <w:tc>
          <w:tcPr>
            <w:tcW w:w="1460" w:type="dxa"/>
            <w:vAlign w:val="bottom"/>
            <w:gridSpan w:val="3"/>
            <w:shd w:val="clear" w:color="auto" w:fill="CCEEFF"/>
          </w:tcPr>
          <w:p>
            <w:pPr>
              <w:jc w:val="right"/>
              <w:ind w:right="152"/>
              <w:spacing w:after="0"/>
              <w:rPr>
                <w:sz w:val="20"/>
                <w:szCs w:val="20"/>
                <w:color w:val="auto"/>
              </w:rPr>
            </w:pPr>
            <w:r>
              <w:rPr>
                <w:rFonts w:ascii="Arial" w:cs="Arial" w:eastAsia="Arial" w:hAnsi="Arial"/>
                <w:sz w:val="10"/>
                <w:szCs w:val="10"/>
                <w:color w:val="auto"/>
              </w:rPr>
              <w:t>17 %</w:t>
            </w:r>
          </w:p>
        </w:tc>
      </w:tr>
      <w:tr>
        <w:trPr>
          <w:trHeight w:val="189"/>
        </w:trPr>
        <w:tc>
          <w:tcPr>
            <w:tcW w:w="4300" w:type="dxa"/>
            <w:vAlign w:val="bottom"/>
            <w:gridSpan w:val="2"/>
          </w:tcPr>
          <w:p>
            <w:pPr>
              <w:ind w:left="400"/>
              <w:spacing w:after="0"/>
              <w:rPr>
                <w:sz w:val="20"/>
                <w:szCs w:val="20"/>
                <w:color w:val="auto"/>
              </w:rPr>
            </w:pPr>
            <w:r>
              <w:rPr>
                <w:rFonts w:ascii="Arial" w:cs="Arial" w:eastAsia="Arial" w:hAnsi="Arial"/>
                <w:sz w:val="10"/>
                <w:szCs w:val="10"/>
                <w:color w:val="auto"/>
              </w:rPr>
              <w:t>General and administrative expense</w:t>
            </w:r>
          </w:p>
        </w:tc>
        <w:tc>
          <w:tcPr>
            <w:tcW w:w="340" w:type="dxa"/>
            <w:vAlign w:val="bottom"/>
          </w:tcPr>
          <w:p>
            <w:pPr>
              <w:spacing w:after="0"/>
              <w:rPr>
                <w:sz w:val="16"/>
                <w:szCs w:val="16"/>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0"/>
                <w:szCs w:val="10"/>
                <w:b w:val="1"/>
                <w:bCs w:val="1"/>
                <w:color w:val="auto"/>
              </w:rPr>
              <w:t>(14,924)</w:t>
            </w:r>
          </w:p>
        </w:tc>
        <w:tc>
          <w:tcPr>
            <w:tcW w:w="320" w:type="dxa"/>
            <w:vAlign w:val="bottom"/>
          </w:tcPr>
          <w:p>
            <w:pPr>
              <w:spacing w:after="0"/>
              <w:rPr>
                <w:sz w:val="16"/>
                <w:szCs w:val="16"/>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0"/>
                <w:szCs w:val="10"/>
                <w:color w:val="auto"/>
              </w:rPr>
              <w:t>(14,285)</w:t>
            </w:r>
          </w:p>
        </w:tc>
        <w:tc>
          <w:tcPr>
            <w:tcW w:w="320" w:type="dxa"/>
            <w:vAlign w:val="bottom"/>
          </w:tcPr>
          <w:p>
            <w:pPr>
              <w:spacing w:after="0"/>
              <w:rPr>
                <w:sz w:val="16"/>
                <w:szCs w:val="16"/>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0"/>
                <w:szCs w:val="10"/>
                <w:color w:val="auto"/>
              </w:rPr>
              <w:t>(14,136)</w:t>
            </w:r>
          </w:p>
        </w:tc>
        <w:tc>
          <w:tcPr>
            <w:tcW w:w="900" w:type="dxa"/>
            <w:vAlign w:val="bottom"/>
          </w:tcPr>
          <w:p>
            <w:pPr>
              <w:jc w:val="right"/>
              <w:spacing w:after="0"/>
              <w:rPr>
                <w:sz w:val="20"/>
                <w:szCs w:val="20"/>
                <w:color w:val="auto"/>
              </w:rPr>
            </w:pPr>
            <w:r>
              <w:rPr>
                <w:rFonts w:ascii="Arial" w:cs="Arial" w:eastAsia="Arial" w:hAnsi="Arial"/>
                <w:sz w:val="10"/>
                <w:szCs w:val="10"/>
                <w:color w:val="auto"/>
              </w:rPr>
              <w:t>(4)%</w:t>
            </w:r>
          </w:p>
        </w:tc>
        <w:tc>
          <w:tcPr>
            <w:tcW w:w="1460" w:type="dxa"/>
            <w:vAlign w:val="bottom"/>
            <w:gridSpan w:val="3"/>
          </w:tcPr>
          <w:p>
            <w:pPr>
              <w:jc w:val="right"/>
              <w:ind w:right="152"/>
              <w:spacing w:after="0"/>
              <w:rPr>
                <w:sz w:val="20"/>
                <w:szCs w:val="20"/>
                <w:color w:val="auto"/>
              </w:rPr>
            </w:pPr>
            <w:r>
              <w:rPr>
                <w:rFonts w:ascii="Arial" w:cs="Arial" w:eastAsia="Arial" w:hAnsi="Arial"/>
                <w:sz w:val="10"/>
                <w:szCs w:val="10"/>
                <w:color w:val="auto"/>
              </w:rPr>
              <w:t>(1)%</w:t>
            </w:r>
          </w:p>
        </w:tc>
      </w:tr>
      <w:tr>
        <w:trPr>
          <w:trHeight w:val="189"/>
        </w:trPr>
        <w:tc>
          <w:tcPr>
            <w:tcW w:w="4300" w:type="dxa"/>
            <w:vAlign w:val="bottom"/>
            <w:gridSpan w:val="2"/>
            <w:shd w:val="clear" w:color="auto" w:fill="CCEEFF"/>
          </w:tcPr>
          <w:p>
            <w:pPr>
              <w:ind w:left="400"/>
              <w:spacing w:after="0"/>
              <w:rPr>
                <w:sz w:val="20"/>
                <w:szCs w:val="20"/>
                <w:color w:val="auto"/>
              </w:rPr>
            </w:pPr>
            <w:r>
              <w:rPr>
                <w:rFonts w:ascii="Arial" w:cs="Arial" w:eastAsia="Arial" w:hAnsi="Arial"/>
                <w:sz w:val="10"/>
                <w:szCs w:val="10"/>
                <w:color w:val="auto"/>
              </w:rPr>
              <w:t>Interest expense, net</w:t>
            </w:r>
          </w:p>
        </w:tc>
        <w:tc>
          <w:tcPr>
            <w:tcW w:w="3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b w:val="1"/>
                <w:bCs w:val="1"/>
                <w:color w:val="auto"/>
              </w:rPr>
              <w:t>(7,304)</w:t>
            </w:r>
          </w:p>
        </w:tc>
        <w:tc>
          <w:tcPr>
            <w:tcW w:w="3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(9,000)</w:t>
            </w:r>
          </w:p>
        </w:tc>
        <w:tc>
          <w:tcPr>
            <w:tcW w:w="3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(10,037)</w:t>
            </w:r>
          </w:p>
        </w:tc>
        <w:tc>
          <w:tcPr>
            <w:tcW w:w="9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19 %</w:t>
            </w:r>
          </w:p>
        </w:tc>
        <w:tc>
          <w:tcPr>
            <w:tcW w:w="1460" w:type="dxa"/>
            <w:vAlign w:val="bottom"/>
            <w:gridSpan w:val="3"/>
            <w:shd w:val="clear" w:color="auto" w:fill="CCEEFF"/>
          </w:tcPr>
          <w:p>
            <w:pPr>
              <w:jc w:val="right"/>
              <w:ind w:right="152"/>
              <w:spacing w:after="0"/>
              <w:rPr>
                <w:sz w:val="20"/>
                <w:szCs w:val="20"/>
                <w:color w:val="auto"/>
              </w:rPr>
            </w:pPr>
            <w:r>
              <w:rPr>
                <w:rFonts w:ascii="Arial" w:cs="Arial" w:eastAsia="Arial" w:hAnsi="Arial"/>
                <w:sz w:val="10"/>
                <w:szCs w:val="10"/>
                <w:color w:val="auto"/>
              </w:rPr>
              <w:t>10 %</w:t>
            </w:r>
          </w:p>
        </w:tc>
      </w:tr>
      <w:tr>
        <w:trPr>
          <w:trHeight w:val="306"/>
        </w:trPr>
        <w:tc>
          <w:tcPr>
            <w:tcW w:w="4300" w:type="dxa"/>
            <w:vAlign w:val="bottom"/>
            <w:gridSpan w:val="2"/>
          </w:tcPr>
          <w:p>
            <w:pPr>
              <w:ind w:left="400"/>
              <w:spacing w:after="0"/>
              <w:rPr>
                <w:sz w:val="20"/>
                <w:szCs w:val="20"/>
                <w:color w:val="auto"/>
              </w:rPr>
            </w:pPr>
            <w:r>
              <w:rPr>
                <w:rFonts w:ascii="Arial" w:cs="Arial" w:eastAsia="Arial" w:hAnsi="Arial"/>
                <w:sz w:val="10"/>
                <w:szCs w:val="10"/>
                <w:color w:val="auto"/>
              </w:rPr>
              <w:t>Equity earnings of unconsolidated joint ventures and entities</w:t>
            </w:r>
          </w:p>
        </w:tc>
        <w:tc>
          <w:tcPr>
            <w:tcW w:w="3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0"/>
                <w:szCs w:val="10"/>
                <w:b w:val="1"/>
                <w:bCs w:val="1"/>
                <w:color w:val="auto"/>
              </w:rPr>
              <w:t>1,204</w:t>
            </w: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0"/>
                <w:szCs w:val="10"/>
                <w:color w:val="auto"/>
              </w:rPr>
              <w:t>1,015</w:t>
            </w: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0"/>
                <w:szCs w:val="10"/>
                <w:color w:val="auto"/>
              </w:rPr>
              <w:t>1,369</w:t>
            </w:r>
          </w:p>
        </w:tc>
        <w:tc>
          <w:tcPr>
            <w:tcW w:w="2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0"/>
                <w:szCs w:val="10"/>
                <w:color w:val="auto"/>
              </w:rPr>
              <w:t>19 %</w:t>
            </w:r>
          </w:p>
        </w:tc>
        <w:tc>
          <w:tcPr>
            <w:tcW w:w="1460" w:type="dxa"/>
            <w:vAlign w:val="bottom"/>
            <w:gridSpan w:val="3"/>
          </w:tcPr>
          <w:p>
            <w:pPr>
              <w:jc w:val="right"/>
              <w:ind w:right="152"/>
              <w:spacing w:after="0"/>
              <w:rPr>
                <w:sz w:val="20"/>
                <w:szCs w:val="20"/>
                <w:color w:val="auto"/>
              </w:rPr>
            </w:pPr>
            <w:r>
              <w:rPr>
                <w:rFonts w:ascii="Arial" w:cs="Arial" w:eastAsia="Arial" w:hAnsi="Arial"/>
                <w:sz w:val="10"/>
                <w:szCs w:val="10"/>
                <w:color w:val="auto"/>
              </w:rPr>
              <w:t>(26)%</w:t>
            </w:r>
          </w:p>
        </w:tc>
      </w:tr>
      <w:tr>
        <w:trPr>
          <w:trHeight w:val="180"/>
        </w:trPr>
        <w:tc>
          <w:tcPr>
            <w:tcW w:w="4300" w:type="dxa"/>
            <w:vAlign w:val="bottom"/>
            <w:gridSpan w:val="2"/>
            <w:shd w:val="clear" w:color="auto" w:fill="CCEEFF"/>
          </w:tcPr>
          <w:p>
            <w:pPr>
              <w:ind w:left="400"/>
              <w:spacing w:after="0"/>
              <w:rPr>
                <w:sz w:val="20"/>
                <w:szCs w:val="20"/>
                <w:color w:val="auto"/>
              </w:rPr>
            </w:pPr>
            <w:r>
              <w:rPr>
                <w:rFonts w:ascii="Arial" w:cs="Arial" w:eastAsia="Arial" w:hAnsi="Arial"/>
                <w:sz w:val="10"/>
                <w:szCs w:val="10"/>
                <w:color w:val="auto"/>
              </w:rPr>
              <w:t>Gain on sale of assets</w:t>
            </w:r>
          </w:p>
        </w:tc>
        <w:tc>
          <w:tcPr>
            <w:tcW w:w="3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11,023</w:t>
            </w:r>
          </w:p>
        </w:tc>
        <w:tc>
          <w:tcPr>
            <w:tcW w:w="2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25</w:t>
            </w:r>
          </w:p>
        </w:tc>
        <w:tc>
          <w:tcPr>
            <w:tcW w:w="2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(56)</w:t>
            </w: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&gt; 100%</w:t>
            </w:r>
          </w:p>
        </w:tc>
        <w:tc>
          <w:tcPr>
            <w:tcW w:w="1460" w:type="dxa"/>
            <w:vAlign w:val="bottom"/>
            <w:gridSpan w:val="3"/>
            <w:shd w:val="clear" w:color="auto" w:fill="CCEEFF"/>
          </w:tcPr>
          <w:p>
            <w:pPr>
              <w:jc w:val="right"/>
              <w:ind w:right="152"/>
              <w:spacing w:after="0"/>
              <w:rPr>
                <w:sz w:val="20"/>
                <w:szCs w:val="20"/>
                <w:color w:val="auto"/>
              </w:rPr>
            </w:pPr>
            <w:r>
              <w:rPr>
                <w:rFonts w:ascii="Arial" w:cs="Arial" w:eastAsia="Arial" w:hAnsi="Arial"/>
                <w:sz w:val="10"/>
                <w:szCs w:val="10"/>
                <w:color w:val="auto"/>
              </w:rPr>
              <w:t>(&gt; 100)%</w:t>
            </w:r>
          </w:p>
        </w:tc>
      </w:tr>
      <w:tr>
        <w:trPr>
          <w:trHeight w:val="189"/>
        </w:trPr>
        <w:tc>
          <w:tcPr>
            <w:tcW w:w="4300" w:type="dxa"/>
            <w:vAlign w:val="bottom"/>
            <w:gridSpan w:val="2"/>
          </w:tcPr>
          <w:p>
            <w:pPr>
              <w:ind w:left="400"/>
              <w:spacing w:after="0"/>
              <w:rPr>
                <w:sz w:val="20"/>
                <w:szCs w:val="20"/>
                <w:color w:val="auto"/>
              </w:rPr>
            </w:pPr>
            <w:r>
              <w:rPr>
                <w:rFonts w:ascii="Arial" w:cs="Arial" w:eastAsia="Arial" w:hAnsi="Arial"/>
                <w:sz w:val="10"/>
                <w:szCs w:val="10"/>
                <w:color w:val="auto"/>
              </w:rPr>
              <w:t>Other income (expense)</w:t>
            </w:r>
          </w:p>
        </w:tc>
        <w:tc>
          <w:tcPr>
            <w:tcW w:w="340" w:type="dxa"/>
            <w:vAlign w:val="bottom"/>
          </w:tcPr>
          <w:p>
            <w:pPr>
              <w:spacing w:after="0"/>
              <w:rPr>
                <w:sz w:val="16"/>
                <w:szCs w:val="16"/>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0"/>
                <w:szCs w:val="10"/>
                <w:b w:val="1"/>
                <w:bCs w:val="1"/>
                <w:color w:val="auto"/>
              </w:rPr>
              <w:t>(440)</w:t>
            </w:r>
          </w:p>
        </w:tc>
        <w:tc>
          <w:tcPr>
            <w:tcW w:w="3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0"/>
                <w:szCs w:val="10"/>
                <w:color w:val="auto"/>
              </w:rPr>
              <w:t>1,646</w:t>
            </w: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0"/>
                <w:szCs w:val="10"/>
                <w:color w:val="auto"/>
              </w:rPr>
              <w:t>1,876</w:t>
            </w:r>
          </w:p>
        </w:tc>
        <w:tc>
          <w:tcPr>
            <w:tcW w:w="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0"/>
                <w:szCs w:val="10"/>
                <w:color w:val="auto"/>
              </w:rPr>
              <w:t>(&gt; 100)%</w:t>
            </w:r>
          </w:p>
        </w:tc>
        <w:tc>
          <w:tcPr>
            <w:tcW w:w="1460" w:type="dxa"/>
            <w:vAlign w:val="bottom"/>
            <w:gridSpan w:val="3"/>
          </w:tcPr>
          <w:p>
            <w:pPr>
              <w:jc w:val="right"/>
              <w:ind w:right="152"/>
              <w:spacing w:after="0"/>
              <w:rPr>
                <w:sz w:val="20"/>
                <w:szCs w:val="20"/>
                <w:color w:val="auto"/>
              </w:rPr>
            </w:pPr>
            <w:r>
              <w:rPr>
                <w:rFonts w:ascii="Arial" w:cs="Arial" w:eastAsia="Arial" w:hAnsi="Arial"/>
                <w:sz w:val="10"/>
                <w:szCs w:val="10"/>
                <w:color w:val="auto"/>
              </w:rPr>
              <w:t>(12)%</w:t>
            </w:r>
          </w:p>
        </w:tc>
      </w:tr>
      <w:tr>
        <w:trPr>
          <w:trHeight w:val="169"/>
        </w:trPr>
        <w:tc>
          <w:tcPr>
            <w:tcW w:w="43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0"/>
                <w:szCs w:val="10"/>
                <w:color w:val="auto"/>
              </w:rPr>
              <w:t>Income before income taxes</w:t>
            </w:r>
          </w:p>
        </w:tc>
        <w:tc>
          <w:tcPr>
            <w:tcW w:w="34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27,637</w:t>
            </w:r>
          </w:p>
        </w:tc>
        <w:tc>
          <w:tcPr>
            <w:tcW w:w="2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15,859</w:t>
            </w:r>
          </w:p>
        </w:tc>
        <w:tc>
          <w:tcPr>
            <w:tcW w:w="2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14,087</w:t>
            </w:r>
          </w:p>
        </w:tc>
        <w:tc>
          <w:tcPr>
            <w:tcW w:w="200" w:type="dxa"/>
            <w:vAlign w:val="bottom"/>
            <w:tcBorders>
              <w:top w:val="single" w:sz="8" w:color="CCEEFF"/>
            </w:tcBorders>
            <w:shd w:val="clear" w:color="auto" w:fill="CCEEFF"/>
          </w:tcPr>
          <w:p>
            <w:pPr>
              <w:spacing w:after="0"/>
              <w:rPr>
                <w:sz w:val="14"/>
                <w:szCs w:val="14"/>
                <w:color w:val="auto"/>
              </w:rPr>
            </w:pPr>
          </w:p>
        </w:tc>
        <w:tc>
          <w:tcPr>
            <w:tcW w:w="9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74 %</w:t>
            </w:r>
          </w:p>
        </w:tc>
        <w:tc>
          <w:tcPr>
            <w:tcW w:w="1460" w:type="dxa"/>
            <w:vAlign w:val="bottom"/>
            <w:tcBorders>
              <w:top w:val="single" w:sz="8" w:color="CCEEFF"/>
            </w:tcBorders>
            <w:gridSpan w:val="3"/>
            <w:shd w:val="clear" w:color="auto" w:fill="CCEEFF"/>
          </w:tcPr>
          <w:p>
            <w:pPr>
              <w:jc w:val="right"/>
              <w:ind w:right="152"/>
              <w:spacing w:after="0"/>
              <w:rPr>
                <w:sz w:val="20"/>
                <w:szCs w:val="20"/>
                <w:color w:val="auto"/>
              </w:rPr>
            </w:pPr>
            <w:r>
              <w:rPr>
                <w:rFonts w:ascii="Arial" w:cs="Arial" w:eastAsia="Arial" w:hAnsi="Arial"/>
                <w:sz w:val="10"/>
                <w:szCs w:val="10"/>
                <w:color w:val="auto"/>
              </w:rPr>
              <w:t>13 %</w:t>
            </w:r>
          </w:p>
        </w:tc>
      </w:tr>
      <w:tr>
        <w:trPr>
          <w:trHeight w:val="189"/>
        </w:trPr>
        <w:tc>
          <w:tcPr>
            <w:tcW w:w="4300" w:type="dxa"/>
            <w:vAlign w:val="bottom"/>
            <w:gridSpan w:val="2"/>
          </w:tcPr>
          <w:p>
            <w:pPr>
              <w:ind w:left="400"/>
              <w:spacing w:after="0"/>
              <w:rPr>
                <w:sz w:val="20"/>
                <w:szCs w:val="20"/>
                <w:color w:val="auto"/>
              </w:rPr>
            </w:pPr>
            <w:r>
              <w:rPr>
                <w:rFonts w:ascii="Arial" w:cs="Arial" w:eastAsia="Arial" w:hAnsi="Arial"/>
                <w:sz w:val="10"/>
                <w:szCs w:val="10"/>
                <w:color w:val="auto"/>
              </w:rPr>
              <w:t>Income tax benefit (expense)</w:t>
            </w:r>
          </w:p>
        </w:tc>
        <w:tc>
          <w:tcPr>
            <w:tcW w:w="340" w:type="dxa"/>
            <w:vAlign w:val="bottom"/>
          </w:tcPr>
          <w:p>
            <w:pPr>
              <w:spacing w:after="0"/>
              <w:rPr>
                <w:sz w:val="16"/>
                <w:szCs w:val="16"/>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0"/>
                <w:szCs w:val="10"/>
                <w:b w:val="1"/>
                <w:bCs w:val="1"/>
                <w:color w:val="auto"/>
              </w:rPr>
              <w:t>(4,943)</w:t>
            </w:r>
          </w:p>
        </w:tc>
        <w:tc>
          <w:tcPr>
            <w:tcW w:w="3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0"/>
                <w:szCs w:val="10"/>
                <w:color w:val="auto"/>
              </w:rPr>
              <w:t>9,785</w:t>
            </w: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0"/>
                <w:szCs w:val="10"/>
                <w:color w:val="auto"/>
              </w:rPr>
              <w:t>(4,942)</w:t>
            </w:r>
          </w:p>
        </w:tc>
        <w:tc>
          <w:tcPr>
            <w:tcW w:w="900" w:type="dxa"/>
            <w:vAlign w:val="bottom"/>
          </w:tcPr>
          <w:p>
            <w:pPr>
              <w:jc w:val="right"/>
              <w:spacing w:after="0"/>
              <w:rPr>
                <w:sz w:val="20"/>
                <w:szCs w:val="20"/>
                <w:color w:val="auto"/>
              </w:rPr>
            </w:pPr>
            <w:r>
              <w:rPr>
                <w:rFonts w:ascii="Arial" w:cs="Arial" w:eastAsia="Arial" w:hAnsi="Arial"/>
                <w:sz w:val="10"/>
                <w:szCs w:val="10"/>
                <w:color w:val="auto"/>
              </w:rPr>
              <w:t>(&gt; 100)%</w:t>
            </w:r>
          </w:p>
        </w:tc>
        <w:tc>
          <w:tcPr>
            <w:tcW w:w="1460" w:type="dxa"/>
            <w:vAlign w:val="bottom"/>
            <w:gridSpan w:val="3"/>
          </w:tcPr>
          <w:p>
            <w:pPr>
              <w:jc w:val="right"/>
              <w:ind w:right="152"/>
              <w:spacing w:after="0"/>
              <w:rPr>
                <w:sz w:val="20"/>
                <w:szCs w:val="20"/>
                <w:color w:val="auto"/>
              </w:rPr>
            </w:pPr>
            <w:r>
              <w:rPr>
                <w:rFonts w:ascii="Arial" w:cs="Arial" w:eastAsia="Arial" w:hAnsi="Arial"/>
                <w:sz w:val="10"/>
                <w:szCs w:val="10"/>
                <w:color w:val="auto"/>
              </w:rPr>
              <w:t>(&gt; 100)%</w:t>
            </w:r>
          </w:p>
        </w:tc>
      </w:tr>
      <w:tr>
        <w:trPr>
          <w:trHeight w:val="169"/>
        </w:trPr>
        <w:tc>
          <w:tcPr>
            <w:tcW w:w="43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0"/>
                <w:szCs w:val="10"/>
                <w:color w:val="auto"/>
              </w:rPr>
              <w:t>Net income</w:t>
            </w:r>
          </w:p>
        </w:tc>
        <w:tc>
          <w:tcPr>
            <w:tcW w:w="34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22,694</w:t>
            </w:r>
          </w:p>
        </w:tc>
        <w:tc>
          <w:tcPr>
            <w:tcW w:w="2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25,644</w:t>
            </w:r>
          </w:p>
        </w:tc>
        <w:tc>
          <w:tcPr>
            <w:tcW w:w="2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9,145</w:t>
            </w:r>
          </w:p>
        </w:tc>
        <w:tc>
          <w:tcPr>
            <w:tcW w:w="200" w:type="dxa"/>
            <w:vAlign w:val="bottom"/>
            <w:tcBorders>
              <w:top w:val="single" w:sz="8" w:color="CCEEFF"/>
            </w:tcBorders>
            <w:shd w:val="clear" w:color="auto" w:fill="CCEEFF"/>
          </w:tcPr>
          <w:p>
            <w:pPr>
              <w:spacing w:after="0"/>
              <w:rPr>
                <w:sz w:val="14"/>
                <w:szCs w:val="14"/>
                <w:color w:val="auto"/>
              </w:rPr>
            </w:pPr>
          </w:p>
        </w:tc>
        <w:tc>
          <w:tcPr>
            <w:tcW w:w="9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(12)%</w:t>
            </w:r>
          </w:p>
        </w:tc>
        <w:tc>
          <w:tcPr>
            <w:tcW w:w="1460" w:type="dxa"/>
            <w:vAlign w:val="bottom"/>
            <w:tcBorders>
              <w:top w:val="single" w:sz="8" w:color="CCEEFF"/>
            </w:tcBorders>
            <w:gridSpan w:val="3"/>
            <w:shd w:val="clear" w:color="auto" w:fill="CCEEFF"/>
          </w:tcPr>
          <w:p>
            <w:pPr>
              <w:jc w:val="right"/>
              <w:ind w:right="152"/>
              <w:spacing w:after="0"/>
              <w:rPr>
                <w:sz w:val="20"/>
                <w:szCs w:val="20"/>
                <w:color w:val="auto"/>
              </w:rPr>
            </w:pPr>
            <w:r>
              <w:rPr>
                <w:rFonts w:ascii="Arial" w:cs="Arial" w:eastAsia="Arial" w:hAnsi="Arial"/>
                <w:sz w:val="10"/>
                <w:szCs w:val="10"/>
                <w:color w:val="auto"/>
              </w:rPr>
              <w:t>&gt; 100%</w:t>
            </w:r>
          </w:p>
        </w:tc>
      </w:tr>
      <w:tr>
        <w:trPr>
          <w:trHeight w:val="306"/>
        </w:trPr>
        <w:tc>
          <w:tcPr>
            <w:tcW w:w="4300" w:type="dxa"/>
            <w:vAlign w:val="bottom"/>
            <w:gridSpan w:val="2"/>
          </w:tcPr>
          <w:p>
            <w:pPr>
              <w:ind w:left="400"/>
              <w:spacing w:after="0"/>
              <w:rPr>
                <w:sz w:val="20"/>
                <w:szCs w:val="20"/>
                <w:color w:val="auto"/>
              </w:rPr>
            </w:pPr>
            <w:r>
              <w:rPr>
                <w:rFonts w:ascii="Arial" w:cs="Arial" w:eastAsia="Arial" w:hAnsi="Arial"/>
                <w:sz w:val="10"/>
                <w:szCs w:val="10"/>
                <w:color w:val="auto"/>
              </w:rPr>
              <w:t>Less: Net income (loss) attributable to noncontrolling interests</w:t>
            </w:r>
          </w:p>
        </w:tc>
        <w:tc>
          <w:tcPr>
            <w:tcW w:w="340" w:type="dxa"/>
            <w:vAlign w:val="bottom"/>
          </w:tcPr>
          <w:p>
            <w:pPr>
              <w:spacing w:after="0"/>
              <w:rPr>
                <w:sz w:val="24"/>
                <w:szCs w:val="24"/>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0"/>
                <w:szCs w:val="10"/>
                <w:b w:val="1"/>
                <w:bCs w:val="1"/>
                <w:color w:val="auto"/>
              </w:rPr>
              <w:t>(79)</w:t>
            </w:r>
          </w:p>
        </w:tc>
        <w:tc>
          <w:tcPr>
            <w:tcW w:w="320" w:type="dxa"/>
            <w:vAlign w:val="bottom"/>
          </w:tcPr>
          <w:p>
            <w:pPr>
              <w:spacing w:after="0"/>
              <w:rPr>
                <w:sz w:val="24"/>
                <w:szCs w:val="24"/>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0"/>
                <w:szCs w:val="10"/>
                <w:color w:val="auto"/>
              </w:rPr>
              <w:t>(57)</w:t>
            </w:r>
          </w:p>
        </w:tc>
        <w:tc>
          <w:tcPr>
            <w:tcW w:w="3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0"/>
                <w:szCs w:val="10"/>
                <w:color w:val="auto"/>
              </w:rPr>
              <w:t>104</w:t>
            </w:r>
          </w:p>
        </w:tc>
        <w:tc>
          <w:tcPr>
            <w:tcW w:w="2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0"/>
                <w:szCs w:val="10"/>
                <w:color w:val="auto"/>
              </w:rPr>
              <w:t>39 %</w:t>
            </w:r>
          </w:p>
        </w:tc>
        <w:tc>
          <w:tcPr>
            <w:tcW w:w="1460" w:type="dxa"/>
            <w:vAlign w:val="bottom"/>
            <w:gridSpan w:val="3"/>
          </w:tcPr>
          <w:p>
            <w:pPr>
              <w:jc w:val="right"/>
              <w:ind w:right="152"/>
              <w:spacing w:after="0"/>
              <w:rPr>
                <w:sz w:val="20"/>
                <w:szCs w:val="20"/>
                <w:color w:val="auto"/>
              </w:rPr>
            </w:pPr>
            <w:r>
              <w:rPr>
                <w:rFonts w:ascii="Arial" w:cs="Arial" w:eastAsia="Arial" w:hAnsi="Arial"/>
                <w:sz w:val="10"/>
                <w:szCs w:val="10"/>
                <w:color w:val="auto"/>
              </w:rPr>
              <w:t>&gt; 100%</w:t>
            </w:r>
          </w:p>
        </w:tc>
      </w:tr>
      <w:tr>
        <w:trPr>
          <w:trHeight w:val="160"/>
        </w:trPr>
        <w:tc>
          <w:tcPr>
            <w:tcW w:w="43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0"/>
                <w:szCs w:val="10"/>
                <w:color w:val="auto"/>
              </w:rPr>
              <w:t>Net income attributable to RDI common stockholders</w:t>
            </w:r>
          </w:p>
        </w:tc>
        <w:tc>
          <w:tcPr>
            <w:tcW w:w="340" w:type="dxa"/>
            <w:vAlign w:val="bottom"/>
            <w:tcBorders>
              <w:top w:val="single" w:sz="8" w:color="auto"/>
              <w:bottom w:val="single" w:sz="8" w:color="auto"/>
            </w:tcBorders>
            <w:shd w:val="clear" w:color="auto" w:fill="CCEEFF"/>
          </w:tcPr>
          <w:p>
            <w:pPr>
              <w:jc w:val="right"/>
              <w:ind w:right="92"/>
              <w:spacing w:after="0"/>
              <w:rPr>
                <w:sz w:val="20"/>
                <w:szCs w:val="20"/>
                <w:color w:val="auto"/>
              </w:rPr>
            </w:pPr>
            <w:r>
              <w:rPr>
                <w:rFonts w:ascii="Arial" w:cs="Arial" w:eastAsia="Arial" w:hAnsi="Arial"/>
                <w:sz w:val="10"/>
                <w:szCs w:val="10"/>
                <w:b w:val="1"/>
                <w:bCs w:val="1"/>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22,773</w:t>
            </w:r>
          </w:p>
        </w:tc>
        <w:tc>
          <w:tcPr>
            <w:tcW w:w="200" w:type="dxa"/>
            <w:vAlign w:val="bottom"/>
            <w:tcBorders>
              <w:top w:val="single" w:sz="8" w:color="CCEEFF"/>
              <w:bottom w:val="single" w:sz="8" w:color="CCEEFF"/>
            </w:tcBorders>
            <w:shd w:val="clear" w:color="auto" w:fill="CCEEFF"/>
          </w:tcPr>
          <w:p>
            <w:pPr>
              <w:spacing w:after="0"/>
              <w:rPr>
                <w:sz w:val="13"/>
                <w:szCs w:val="13"/>
                <w:color w:val="auto"/>
              </w:rPr>
            </w:pPr>
          </w:p>
        </w:tc>
        <w:tc>
          <w:tcPr>
            <w:tcW w:w="32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25,701</w:t>
            </w:r>
          </w:p>
        </w:tc>
        <w:tc>
          <w:tcPr>
            <w:tcW w:w="200" w:type="dxa"/>
            <w:vAlign w:val="bottom"/>
            <w:tcBorders>
              <w:top w:val="single" w:sz="8" w:color="CCEEFF"/>
              <w:bottom w:val="single" w:sz="8" w:color="CCEEFF"/>
            </w:tcBorders>
            <w:shd w:val="clear" w:color="auto" w:fill="CCEEFF"/>
          </w:tcPr>
          <w:p>
            <w:pPr>
              <w:spacing w:after="0"/>
              <w:rPr>
                <w:sz w:val="13"/>
                <w:szCs w:val="13"/>
                <w:color w:val="auto"/>
              </w:rPr>
            </w:pPr>
          </w:p>
        </w:tc>
        <w:tc>
          <w:tcPr>
            <w:tcW w:w="320" w:type="dxa"/>
            <w:vAlign w:val="bottom"/>
            <w:tcBorders>
              <w:top w:val="single" w:sz="8" w:color="auto"/>
              <w:bottom w:val="single" w:sz="8" w:color="auto"/>
            </w:tcBorders>
            <w:shd w:val="clear" w:color="auto" w:fill="CCEEFF"/>
          </w:tcPr>
          <w:p>
            <w:pPr>
              <w:jc w:val="right"/>
              <w:ind w:right="92"/>
              <w:spacing w:after="0"/>
              <w:rPr>
                <w:sz w:val="20"/>
                <w:szCs w:val="20"/>
                <w:color w:val="auto"/>
              </w:rPr>
            </w:pPr>
            <w:r>
              <w:rPr>
                <w:rFonts w:ascii="Arial" w:cs="Arial" w:eastAsia="Arial" w:hAnsi="Arial"/>
                <w:sz w:val="10"/>
                <w:szCs w:val="10"/>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9,041</w:t>
            </w:r>
          </w:p>
        </w:tc>
        <w:tc>
          <w:tcPr>
            <w:tcW w:w="200" w:type="dxa"/>
            <w:vAlign w:val="bottom"/>
            <w:tcBorders>
              <w:top w:val="single" w:sz="8" w:color="CCEEFF"/>
              <w:bottom w:val="single" w:sz="8" w:color="CCEEFF"/>
            </w:tcBorders>
            <w:shd w:val="clear" w:color="auto" w:fill="CCEEFF"/>
          </w:tcPr>
          <w:p>
            <w:pPr>
              <w:spacing w:after="0"/>
              <w:rPr>
                <w:sz w:val="13"/>
                <w:szCs w:val="13"/>
                <w:color w:val="auto"/>
              </w:rPr>
            </w:pPr>
          </w:p>
        </w:tc>
        <w:tc>
          <w:tcPr>
            <w:tcW w:w="9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(11)%</w:t>
            </w:r>
          </w:p>
        </w:tc>
        <w:tc>
          <w:tcPr>
            <w:tcW w:w="1460" w:type="dxa"/>
            <w:vAlign w:val="bottom"/>
            <w:tcBorders>
              <w:top w:val="single" w:sz="8" w:color="CCEEFF"/>
              <w:bottom w:val="single" w:sz="8" w:color="CCEEFF"/>
            </w:tcBorders>
            <w:gridSpan w:val="3"/>
            <w:shd w:val="clear" w:color="auto" w:fill="CCEEFF"/>
          </w:tcPr>
          <w:p>
            <w:pPr>
              <w:jc w:val="right"/>
              <w:ind w:right="152"/>
              <w:spacing w:after="0"/>
              <w:rPr>
                <w:sz w:val="20"/>
                <w:szCs w:val="20"/>
                <w:color w:val="auto"/>
              </w:rPr>
            </w:pPr>
            <w:r>
              <w:rPr>
                <w:rFonts w:ascii="Arial" w:cs="Arial" w:eastAsia="Arial" w:hAnsi="Arial"/>
                <w:sz w:val="10"/>
                <w:szCs w:val="10"/>
                <w:color w:val="auto"/>
              </w:rPr>
              <w:t>&gt; 100%</w:t>
            </w:r>
          </w:p>
        </w:tc>
      </w:tr>
      <w:tr>
        <w:trPr>
          <w:trHeight w:val="169"/>
        </w:trPr>
        <w:tc>
          <w:tcPr>
            <w:tcW w:w="4300" w:type="dxa"/>
            <w:vAlign w:val="bottom"/>
            <w:gridSpan w:val="2"/>
          </w:tcPr>
          <w:p>
            <w:pPr>
              <w:spacing w:after="0"/>
              <w:rPr>
                <w:sz w:val="20"/>
                <w:szCs w:val="20"/>
                <w:color w:val="auto"/>
              </w:rPr>
            </w:pPr>
            <w:r>
              <w:rPr>
                <w:rFonts w:ascii="Arial" w:cs="Arial" w:eastAsia="Arial" w:hAnsi="Arial"/>
                <w:sz w:val="10"/>
                <w:szCs w:val="10"/>
                <w:color w:val="auto"/>
              </w:rPr>
              <w:t>Basic EPS</w:t>
            </w:r>
          </w:p>
        </w:tc>
        <w:tc>
          <w:tcPr>
            <w:tcW w:w="34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b w:val="1"/>
                <w:bCs w:val="1"/>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0.98</w:t>
            </w:r>
          </w:p>
        </w:tc>
        <w:tc>
          <w:tcPr>
            <w:tcW w:w="200" w:type="dxa"/>
            <w:vAlign w:val="bottom"/>
          </w:tcPr>
          <w:p>
            <w:pPr>
              <w:spacing w:after="0"/>
              <w:rPr>
                <w:sz w:val="14"/>
                <w:szCs w:val="14"/>
                <w:color w:val="auto"/>
              </w:rPr>
            </w:pPr>
          </w:p>
        </w:tc>
        <w:tc>
          <w:tcPr>
            <w:tcW w:w="32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1.10</w:t>
            </w:r>
          </w:p>
        </w:tc>
        <w:tc>
          <w:tcPr>
            <w:tcW w:w="200" w:type="dxa"/>
            <w:vAlign w:val="bottom"/>
          </w:tcPr>
          <w:p>
            <w:pPr>
              <w:spacing w:after="0"/>
              <w:rPr>
                <w:sz w:val="14"/>
                <w:szCs w:val="14"/>
                <w:color w:val="auto"/>
              </w:rPr>
            </w:pPr>
          </w:p>
        </w:tc>
        <w:tc>
          <w:tcPr>
            <w:tcW w:w="32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0.39</w:t>
            </w:r>
          </w:p>
        </w:tc>
        <w:tc>
          <w:tcPr>
            <w:tcW w:w="2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0"/>
                <w:szCs w:val="10"/>
                <w:color w:val="auto"/>
              </w:rPr>
              <w:t>(11)%</w:t>
            </w:r>
          </w:p>
        </w:tc>
        <w:tc>
          <w:tcPr>
            <w:tcW w:w="1460" w:type="dxa"/>
            <w:vAlign w:val="bottom"/>
            <w:gridSpan w:val="3"/>
          </w:tcPr>
          <w:p>
            <w:pPr>
              <w:jc w:val="right"/>
              <w:ind w:right="152"/>
              <w:spacing w:after="0"/>
              <w:rPr>
                <w:sz w:val="20"/>
                <w:szCs w:val="20"/>
                <w:color w:val="auto"/>
              </w:rPr>
            </w:pPr>
            <w:r>
              <w:rPr>
                <w:rFonts w:ascii="Arial" w:cs="Arial" w:eastAsia="Arial" w:hAnsi="Arial"/>
                <w:sz w:val="10"/>
                <w:szCs w:val="10"/>
                <w:color w:val="auto"/>
              </w:rPr>
              <w:t>&gt; 100%</w:t>
            </w:r>
          </w:p>
        </w:tc>
      </w:tr>
    </w:tbl>
    <w:p>
      <w:pPr>
        <w:spacing w:after="0" w:line="26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Consolidated Results - 2015 vs. 2014</w:t>
      </w:r>
    </w:p>
    <w:p>
      <w:pPr>
        <w:spacing w:after="0" w:line="127" w:lineRule="exact"/>
        <w:rPr>
          <w:sz w:val="20"/>
          <w:szCs w:val="20"/>
          <w:color w:val="auto"/>
        </w:rPr>
      </w:pPr>
    </w:p>
    <w:p>
      <w:pPr>
        <w:jc w:val="both"/>
        <w:ind w:right="40"/>
        <w:spacing w:after="0" w:line="263" w:lineRule="auto"/>
        <w:rPr>
          <w:sz w:val="20"/>
          <w:szCs w:val="20"/>
          <w:color w:val="auto"/>
        </w:rPr>
      </w:pPr>
      <w:r>
        <w:rPr>
          <w:rFonts w:ascii="Arial" w:cs="Arial" w:eastAsia="Arial" w:hAnsi="Arial"/>
          <w:sz w:val="12"/>
          <w:szCs w:val="12"/>
          <w:color w:val="auto"/>
        </w:rPr>
        <w:t>Net income attributable to RDI common stockholders was lower by $2.9 million or 11% to $22.8 million. This reduction was mainly due to a $14.7 million increase in income tax expense, a $2.7 million decrease in Real Estate segment income, a $2.1 million reduction in other income and a $638,000 increase in non-segment general and administrative expense. These were offset by an $11.0 million gain on sale, a $4.2 million increase in Cinema segment income and a $1.7 million reduction in net interest expense. These are discussed in more detail below.</w:t>
      </w:r>
    </w:p>
    <w:p>
      <w:pPr>
        <w:spacing w:after="0" w:line="9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Non-Segment Results - 2015 vs. 2014</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General and administrative expense</w:t>
      </w:r>
    </w:p>
    <w:p>
      <w:pPr>
        <w:spacing w:after="0" w:line="15" w:lineRule="exact"/>
        <w:rPr>
          <w:sz w:val="20"/>
          <w:szCs w:val="20"/>
          <w:color w:val="auto"/>
        </w:rPr>
      </w:pPr>
    </w:p>
    <w:p>
      <w:pPr>
        <w:ind w:right="360"/>
        <w:spacing w:after="0" w:line="306" w:lineRule="auto"/>
        <w:rPr>
          <w:sz w:val="20"/>
          <w:szCs w:val="20"/>
          <w:color w:val="auto"/>
        </w:rPr>
      </w:pPr>
      <w:r>
        <w:rPr>
          <w:rFonts w:ascii="Arial" w:cs="Arial" w:eastAsia="Arial" w:hAnsi="Arial"/>
          <w:sz w:val="11"/>
          <w:szCs w:val="11"/>
          <w:color w:val="auto"/>
        </w:rPr>
        <w:t xml:space="preserve">General and administrative expense for 2015 increased by $639,000 or 4%, mainly due to higher legal, consulting and Board of Directors fees in the U.S., offset by lower payroll expenses and foreign exchange rate movements resulting in lower Australia and New Zealand general and administration expense in U.S. dollars. For more information about legal expenses, please refer to Item 3- </w:t>
      </w:r>
      <w:r>
        <w:rPr>
          <w:rFonts w:ascii="Arial" w:cs="Arial" w:eastAsia="Arial" w:hAnsi="Arial"/>
          <w:sz w:val="11"/>
          <w:szCs w:val="11"/>
          <w:i w:val="1"/>
          <w:iCs w:val="1"/>
          <w:color w:val="auto"/>
        </w:rPr>
        <w:t>Legal Proceedings</w:t>
      </w:r>
      <w:r>
        <w:rPr>
          <w:rFonts w:ascii="Arial" w:cs="Arial" w:eastAsia="Arial" w:hAnsi="Arial"/>
          <w:sz w:val="11"/>
          <w:szCs w:val="11"/>
          <w:color w:val="auto"/>
        </w:rPr>
        <w:t>.</w:t>
      </w:r>
    </w:p>
    <w:p>
      <w:pPr>
        <w:spacing w:after="0" w:line="10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Interest expense, net</w:t>
      </w:r>
    </w:p>
    <w:p>
      <w:pPr>
        <w:spacing w:after="0" w:line="15" w:lineRule="exact"/>
        <w:rPr>
          <w:sz w:val="20"/>
          <w:szCs w:val="20"/>
          <w:color w:val="auto"/>
        </w:rPr>
      </w:pPr>
    </w:p>
    <w:p>
      <w:pPr>
        <w:spacing w:after="0"/>
        <w:rPr>
          <w:sz w:val="20"/>
          <w:szCs w:val="20"/>
          <w:color w:val="auto"/>
        </w:rPr>
      </w:pPr>
      <w:r>
        <w:rPr>
          <w:rFonts w:ascii="Arial" w:cs="Arial" w:eastAsia="Arial" w:hAnsi="Arial"/>
          <w:sz w:val="10"/>
          <w:szCs w:val="10"/>
          <w:color w:val="auto"/>
        </w:rPr>
        <w:t>Interest expense, net for 2015, decreased by $1.7 million or 19%, mainly due to a reduction in interest rates, lower net borrowing, favorable revaluations of interest rate swaps, as well as foreign exchange rate movements.</w:t>
      </w:r>
    </w:p>
    <w:p>
      <w:pPr>
        <w:spacing w:after="0" w:line="16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Gain on sale of assets</w:t>
      </w:r>
    </w:p>
    <w:p>
      <w:pPr>
        <w:spacing w:after="0" w:line="15" w:lineRule="exact"/>
        <w:rPr>
          <w:sz w:val="20"/>
          <w:szCs w:val="20"/>
          <w:color w:val="auto"/>
        </w:rPr>
      </w:pPr>
    </w:p>
    <w:p>
      <w:pPr>
        <w:spacing w:after="0"/>
        <w:rPr>
          <w:sz w:val="20"/>
          <w:szCs w:val="20"/>
          <w:color w:val="auto"/>
        </w:rPr>
      </w:pPr>
      <w:r>
        <w:rPr>
          <w:rFonts w:ascii="Arial" w:cs="Arial" w:eastAsia="Arial" w:hAnsi="Arial"/>
          <w:sz w:val="10"/>
          <w:szCs w:val="10"/>
          <w:color w:val="auto"/>
        </w:rPr>
        <w:t>Net gain on sale of assets for 2015 increased by $11.0 million, primarily due to the finalization of the sale of our Moonee Ponds site in Australia, our Los Angeles condominium and our Lake Taupo Motel in New Zealand.</w:t>
      </w:r>
    </w:p>
    <w:p>
      <w:pPr>
        <w:spacing w:after="0" w:line="16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Other income (expense)</w:t>
      </w:r>
    </w:p>
    <w:p>
      <w:pPr>
        <w:spacing w:after="0" w:line="15" w:lineRule="exact"/>
        <w:rPr>
          <w:sz w:val="20"/>
          <w:szCs w:val="20"/>
          <w:color w:val="auto"/>
        </w:rPr>
      </w:pPr>
    </w:p>
    <w:p>
      <w:pPr>
        <w:ind w:right="100"/>
        <w:spacing w:after="0" w:line="261" w:lineRule="auto"/>
        <w:rPr>
          <w:sz w:val="20"/>
          <w:szCs w:val="20"/>
          <w:color w:val="auto"/>
        </w:rPr>
      </w:pPr>
      <w:r>
        <w:rPr>
          <w:rFonts w:ascii="Arial" w:cs="Arial" w:eastAsia="Arial" w:hAnsi="Arial"/>
          <w:sz w:val="12"/>
          <w:szCs w:val="12"/>
          <w:color w:val="auto"/>
        </w:rPr>
        <w:t>Other income and expense changed by $2.1 million or 127%, mainly due to a $1.6 million (NZ$2.0 million) reduction in business interruption income from the Courtenay Central carpark building, as well as a $495,000 (AU$700,000) settlement relating to a historical accident at one of our Australian sites.</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59690</wp:posOffset>
            </wp:positionV>
            <wp:extent cx="677989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779895" cy="42545"/>
                    </a:xfrm>
                    <a:prstGeom prst="rect">
                      <a:avLst/>
                    </a:prstGeom>
                    <a:noFill/>
                  </pic:spPr>
                </pic:pic>
              </a:graphicData>
            </a:graphic>
          </wp:anchor>
        </w:drawing>
      </w:r>
    </w:p>
    <w:p>
      <w:pPr>
        <w:sectPr>
          <w:pgSz w:w="11900" w:h="16838" w:orient="portrait"/>
          <w:cols w:equalWidth="0" w:num="1">
            <w:col w:w="10620"/>
          </w:cols>
          <w:pgMar w:left="640" w:top="271" w:right="639" w:bottom="1440" w:gutter="0" w:footer="0" w:header="0"/>
        </w:sectPr>
      </w:pPr>
    </w:p>
    <w:bookmarkStart w:id="37" w:name="page38"/>
    <w:bookmarkEnd w:id="37"/>
    <w:p>
      <w:pPr>
        <w:spacing w:after="0"/>
        <w:rPr>
          <w:sz w:val="20"/>
          <w:szCs w:val="20"/>
          <w:color w:val="auto"/>
        </w:rPr>
      </w:pPr>
      <w:r>
        <w:rPr>
          <w:rFonts w:ascii="Arial" w:cs="Arial" w:eastAsia="Arial" w:hAnsi="Arial"/>
          <w:sz w:val="12"/>
          <w:szCs w:val="12"/>
          <w:b w:val="1"/>
          <w:bCs w:val="1"/>
          <w:i w:val="1"/>
          <w:iCs w:val="1"/>
          <w:color w:val="auto"/>
        </w:rPr>
        <w:t>Equity earnings</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Equity earnings from unconsolidated investments increased by $189,000 or 19%, primarily related to a increase in income from our Mt. Gravatt investment.</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Income tax benefit (expense)</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Income tax expense changed by $14.7 million compared to 2014, mainly due to the reversal in 2014 of the U.S. valuation allowance that had been recorded against deferred tax assets.</w:t>
      </w:r>
    </w:p>
    <w:p>
      <w:pPr>
        <w:spacing w:after="0" w:line="26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Consolidated Results 2014 vs. 2013</w:t>
      </w:r>
    </w:p>
    <w:p>
      <w:pPr>
        <w:spacing w:after="0" w:line="127" w:lineRule="exact"/>
        <w:rPr>
          <w:sz w:val="20"/>
          <w:szCs w:val="20"/>
          <w:color w:val="auto"/>
        </w:rPr>
      </w:pPr>
    </w:p>
    <w:p>
      <w:pPr>
        <w:ind w:right="260"/>
        <w:spacing w:after="0" w:line="276" w:lineRule="auto"/>
        <w:rPr>
          <w:sz w:val="20"/>
          <w:szCs w:val="20"/>
          <w:color w:val="auto"/>
        </w:rPr>
      </w:pPr>
      <w:r>
        <w:rPr>
          <w:rFonts w:ascii="Arial" w:cs="Arial" w:eastAsia="Arial" w:hAnsi="Arial"/>
          <w:sz w:val="12"/>
          <w:szCs w:val="12"/>
          <w:color w:val="auto"/>
        </w:rPr>
        <w:t>Net income attributable to RDI common stockholders increased by $16.7 million or 185% to $25.7 million. This increase was mainly due to a $14.7 million change in income tax expense, a $1.3 million increase in segment operating income, as well as a $1.0 million reduction in net interest expense. These are discussed in more detail below.</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Non-Segment Results - 2014 vs. 2013</w:t>
      </w:r>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General and administrative expense</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General and administrative expenses for 2014 increased marginally by $149,000 or 1.1% from 2013.</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Interest expense, net</w:t>
      </w:r>
    </w:p>
    <w:p>
      <w:pPr>
        <w:spacing w:after="0" w:line="15" w:lineRule="exact"/>
        <w:rPr>
          <w:sz w:val="20"/>
          <w:szCs w:val="20"/>
          <w:color w:val="auto"/>
        </w:rPr>
      </w:pPr>
    </w:p>
    <w:p>
      <w:pPr>
        <w:ind w:right="280"/>
        <w:spacing w:after="0" w:line="261" w:lineRule="auto"/>
        <w:rPr>
          <w:sz w:val="20"/>
          <w:szCs w:val="20"/>
          <w:color w:val="auto"/>
        </w:rPr>
      </w:pPr>
      <w:r>
        <w:rPr>
          <w:rFonts w:ascii="Arial" w:cs="Arial" w:eastAsia="Arial" w:hAnsi="Arial"/>
          <w:sz w:val="12"/>
          <w:szCs w:val="12"/>
          <w:color w:val="auto"/>
        </w:rPr>
        <w:t>Net interest expense decreased by $1.0 million compared to 2013. The decrease in interest expense during 2014 resulted from our ability to refinance certain debt obligations at favorable rates in comparison to the existing rates. Additionally, our interest expense was lower in the 2014 due to a decrease in the fair value of our interest rate swap liabilities in 2014 compared to 2013.</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Other income (expense)</w:t>
      </w:r>
    </w:p>
    <w:p>
      <w:pPr>
        <w:spacing w:after="0" w:line="15" w:lineRule="exact"/>
        <w:rPr>
          <w:sz w:val="20"/>
          <w:szCs w:val="20"/>
          <w:color w:val="auto"/>
        </w:rPr>
      </w:pPr>
    </w:p>
    <w:p>
      <w:pPr>
        <w:spacing w:after="0" w:line="290" w:lineRule="auto"/>
        <w:rPr>
          <w:sz w:val="20"/>
          <w:szCs w:val="20"/>
          <w:color w:val="auto"/>
        </w:rPr>
      </w:pPr>
      <w:r>
        <w:rPr>
          <w:rFonts w:ascii="Arial" w:cs="Arial" w:eastAsia="Arial" w:hAnsi="Arial"/>
          <w:sz w:val="11"/>
          <w:szCs w:val="11"/>
          <w:color w:val="auto"/>
        </w:rPr>
        <w:t xml:space="preserve">The $1.6 million in other income during 2014 was primarily related to the receipt of insurance proceeds received during 2014 for the Courtenay Central parking structure business interruption recovery claim. The $1.9 million in other income during 2013 was primarily related to a $1.4 million gain on the acquisition of a cinema and the receipt of insurance proceeds from our business interruption claim for the temporary closure of our cinema in Christchurch, New Zealand due to the February 22, 2011 earthquake (see Note 19 – </w:t>
      </w:r>
      <w:r>
        <w:rPr>
          <w:rFonts w:ascii="Arial" w:cs="Arial" w:eastAsia="Arial" w:hAnsi="Arial"/>
          <w:sz w:val="11"/>
          <w:szCs w:val="11"/>
          <w:i w:val="1"/>
          <w:iCs w:val="1"/>
          <w:color w:val="auto"/>
        </w:rPr>
        <w:t>Casualty Loss</w:t>
      </w:r>
      <w:r>
        <w:rPr>
          <w:rFonts w:ascii="Arial" w:cs="Arial" w:eastAsia="Arial" w:hAnsi="Arial"/>
          <w:sz w:val="11"/>
          <w:szCs w:val="11"/>
          <w:color w:val="auto"/>
        </w:rPr>
        <w:t xml:space="preserve"> to our consolidated financial statements).</w:t>
      </w:r>
    </w:p>
    <w:p>
      <w:pPr>
        <w:spacing w:after="0" w:line="10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Equity earnings</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Equity earnings from unconsolidated investments decreased by $354,000 or 26% primarily related to a decrease in income from our Mt. Gravatt investment.</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Income tax benefit (expense)</w:t>
      </w:r>
    </w:p>
    <w:p>
      <w:pPr>
        <w:spacing w:after="0" w:line="15" w:lineRule="exact"/>
        <w:rPr>
          <w:sz w:val="20"/>
          <w:szCs w:val="20"/>
          <w:color w:val="auto"/>
        </w:rPr>
      </w:pPr>
    </w:p>
    <w:p>
      <w:pPr>
        <w:ind w:right="100"/>
        <w:spacing w:after="0" w:line="261" w:lineRule="auto"/>
        <w:rPr>
          <w:sz w:val="20"/>
          <w:szCs w:val="20"/>
          <w:color w:val="auto"/>
        </w:rPr>
      </w:pPr>
      <w:r>
        <w:rPr>
          <w:rFonts w:ascii="Arial" w:cs="Arial" w:eastAsia="Arial" w:hAnsi="Arial"/>
          <w:sz w:val="12"/>
          <w:szCs w:val="12"/>
          <w:color w:val="auto"/>
        </w:rPr>
        <w:t>Income tax benefit of $9.8 million in 2014 compared to a $4.9 million expense in 2013 was a result of the reversal of the valuation allowance in the United States. The valuation allowance reversal is a result of the tax benefit that we now expect to realize.</w:t>
      </w:r>
    </w:p>
    <w:p>
      <w:pPr>
        <w:spacing w:after="0" w:line="26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BUSINESS SEGMENT RESULTS</w:t>
      </w:r>
    </w:p>
    <w:p>
      <w:pPr>
        <w:spacing w:after="0" w:line="127" w:lineRule="exact"/>
        <w:rPr>
          <w:sz w:val="20"/>
          <w:szCs w:val="20"/>
          <w:color w:val="auto"/>
        </w:rPr>
      </w:pPr>
    </w:p>
    <w:p>
      <w:pPr>
        <w:spacing w:after="0" w:line="283" w:lineRule="auto"/>
        <w:rPr>
          <w:sz w:val="20"/>
          <w:szCs w:val="20"/>
          <w:color w:val="auto"/>
        </w:rPr>
      </w:pPr>
      <w:r>
        <w:rPr>
          <w:rFonts w:ascii="Arial" w:cs="Arial" w:eastAsia="Arial" w:hAnsi="Arial"/>
          <w:sz w:val="11"/>
          <w:szCs w:val="11"/>
          <w:color w:val="auto"/>
        </w:rPr>
        <w:t>At December 31, 2015, we wholly owned and operated 54 cinemas with 443 screens, had interests in certain unconsolidated joint ventures and entities that own an additional 3 cinemas with 29 screens and managed 1 cinema with 4 screens. During the period, we also (i) owned and operated five ETCs that we developed in Australia and New Zealand, (ii) owned the fee interests in three developed commercial properties in Manhattan and Chicago improved with live theaters, which have six stages and ancillary retail and commercial space, (iii) owned the fee interests in the Union Square building in Manhattan that we are redeveloping, which had, until the end of this fiscal year, operated as a live theater and rental property, (iv) owned the fee interests underlying one of our Manhattan cinemas, (v) held for development an additional four parcels aggregating approximately 74 acres located principally in urbanized areas of Australia and New Zealand (calculated net of our Lake Taupo and Burwood Properties), and (vi) owned 50% of a 202-acre property that is zoned for the development of approximately 550 single-family residential units in the U.S. In addition, we continue to hold various properties that had been previously used in our historic railroad operations.</w:t>
      </w:r>
    </w:p>
    <w:p>
      <w:pPr>
        <w:spacing w:after="0" w:line="87" w:lineRule="exact"/>
        <w:rPr>
          <w:sz w:val="20"/>
          <w:szCs w:val="20"/>
          <w:color w:val="auto"/>
        </w:rPr>
      </w:pPr>
    </w:p>
    <w:p>
      <w:pPr>
        <w:ind w:right="20"/>
        <w:spacing w:after="0" w:line="276" w:lineRule="auto"/>
        <w:rPr>
          <w:sz w:val="20"/>
          <w:szCs w:val="20"/>
          <w:color w:val="auto"/>
        </w:rPr>
      </w:pPr>
      <w:r>
        <w:rPr>
          <w:rFonts w:ascii="Arial" w:cs="Arial" w:eastAsia="Arial" w:hAnsi="Arial"/>
          <w:sz w:val="12"/>
          <w:szCs w:val="12"/>
          <w:color w:val="auto"/>
        </w:rPr>
        <w:t>The Company transacts business in Australia and New Zealand and is subject to risks associated with changing foreign currency exchange rates. During the current year, compared to the prior-year, the Australian dollar and New Zealand dollar weakened against the U.S. dollars by 11% and 12%, respectively.</w:t>
      </w:r>
    </w:p>
    <w:p>
      <w:pPr>
        <w:spacing w:after="0" w:line="385" w:lineRule="exact"/>
        <w:rPr>
          <w:sz w:val="20"/>
          <w:szCs w:val="20"/>
          <w:color w:val="auto"/>
        </w:rPr>
      </w:pPr>
    </w:p>
    <w:p>
      <w:pPr>
        <w:jc w:val="center"/>
        <w:ind w:right="-139"/>
        <w:spacing w:after="0"/>
        <w:rPr>
          <w:sz w:val="20"/>
          <w:szCs w:val="20"/>
          <w:color w:val="auto"/>
        </w:rPr>
      </w:pPr>
      <w:r>
        <w:rPr>
          <w:rFonts w:ascii="Arial" w:cs="Arial" w:eastAsia="Arial" w:hAnsi="Arial"/>
          <w:sz w:val="12"/>
          <w:szCs w:val="1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59690</wp:posOffset>
            </wp:positionV>
            <wp:extent cx="677989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779895" cy="42545"/>
                    </a:xfrm>
                    <a:prstGeom prst="rect">
                      <a:avLst/>
                    </a:prstGeom>
                    <a:noFill/>
                  </pic:spPr>
                </pic:pic>
              </a:graphicData>
            </a:graphic>
          </wp:anchor>
        </w:drawing>
      </w:r>
    </w:p>
    <w:p>
      <w:pPr>
        <w:sectPr>
          <w:pgSz w:w="11900" w:h="16838" w:orient="portrait"/>
          <w:cols w:equalWidth="0" w:num="1">
            <w:col w:w="10500"/>
          </w:cols>
          <w:pgMar w:left="640" w:top="131" w:right="759" w:bottom="1440" w:gutter="0" w:footer="0" w:header="0"/>
        </w:sectPr>
      </w:pPr>
    </w:p>
    <w:bookmarkStart w:id="38" w:name="page39"/>
    <w:bookmarkEnd w:id="38"/>
    <w:p>
      <w:pPr>
        <w:spacing w:after="0"/>
        <w:rPr>
          <w:sz w:val="20"/>
          <w:szCs w:val="20"/>
          <w:color w:val="auto"/>
        </w:rPr>
      </w:pPr>
      <w:r>
        <w:rPr>
          <w:rFonts w:ascii="Arial" w:cs="Arial" w:eastAsia="Arial" w:hAnsi="Arial"/>
          <w:sz w:val="12"/>
          <w:szCs w:val="12"/>
          <w:b w:val="1"/>
          <w:bCs w:val="1"/>
          <w:color w:val="auto"/>
        </w:rPr>
        <w:t>Business Segment Results - 2015 vs. 2014</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3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00" w:type="dxa"/>
            <w:vAlign w:val="bottom"/>
            <w:gridSpan w:val="3"/>
          </w:tcPr>
          <w:p>
            <w:pPr>
              <w:jc w:val="center"/>
              <w:ind w:left="632"/>
              <w:spacing w:after="0"/>
              <w:rPr>
                <w:sz w:val="20"/>
                <w:szCs w:val="20"/>
                <w:color w:val="auto"/>
              </w:rPr>
            </w:pPr>
            <w:r>
              <w:rPr>
                <w:rFonts w:ascii="Arial" w:cs="Arial" w:eastAsia="Arial" w:hAnsi="Arial"/>
                <w:sz w:val="10"/>
                <w:szCs w:val="10"/>
                <w:b w:val="1"/>
                <w:bCs w:val="1"/>
                <w:color w:val="auto"/>
                <w:w w:val="86"/>
              </w:rPr>
              <w:t>% Change</w:t>
            </w:r>
          </w:p>
        </w:tc>
        <w:tc>
          <w:tcPr>
            <w:tcW w:w="700" w:type="dxa"/>
            <w:vAlign w:val="bottom"/>
          </w:tcPr>
          <w:p>
            <w:pPr>
              <w:spacing w:after="0"/>
              <w:rPr>
                <w:sz w:val="10"/>
                <w:szCs w:val="10"/>
                <w:color w:val="auto"/>
              </w:rPr>
            </w:pPr>
          </w:p>
        </w:tc>
      </w:tr>
      <w:tr>
        <w:trPr>
          <w:trHeight w:val="114"/>
        </w:trPr>
        <w:tc>
          <w:tcPr>
            <w:tcW w:w="3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gridSpan w:val="2"/>
          </w:tcPr>
          <w:p>
            <w:pPr>
              <w:jc w:val="right"/>
              <w:ind w:right="60"/>
              <w:spacing w:after="0" w:line="114" w:lineRule="exact"/>
              <w:rPr>
                <w:sz w:val="20"/>
                <w:szCs w:val="20"/>
                <w:color w:val="auto"/>
              </w:rPr>
            </w:pPr>
            <w:r>
              <w:rPr>
                <w:rFonts w:ascii="Arial" w:cs="Arial" w:eastAsia="Arial" w:hAnsi="Arial"/>
                <w:sz w:val="10"/>
                <w:szCs w:val="10"/>
                <w:b w:val="1"/>
                <w:bCs w:val="1"/>
                <w:color w:val="auto"/>
              </w:rPr>
              <w:t>2015</w:t>
            </w:r>
          </w:p>
        </w:tc>
        <w:tc>
          <w:tcPr>
            <w:tcW w:w="1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gridSpan w:val="3"/>
          </w:tcPr>
          <w:p>
            <w:pPr>
              <w:jc w:val="right"/>
              <w:ind w:right="80"/>
              <w:spacing w:after="0" w:line="114" w:lineRule="exact"/>
              <w:rPr>
                <w:sz w:val="20"/>
                <w:szCs w:val="20"/>
                <w:color w:val="auto"/>
              </w:rPr>
            </w:pPr>
            <w:r>
              <w:rPr>
                <w:rFonts w:ascii="Arial" w:cs="Arial" w:eastAsia="Arial" w:hAnsi="Arial"/>
                <w:sz w:val="10"/>
                <w:szCs w:val="10"/>
                <w:b w:val="1"/>
                <w:bCs w:val="1"/>
                <w:color w:val="auto"/>
              </w:rPr>
              <w:t>2014</w:t>
            </w:r>
          </w:p>
        </w:tc>
        <w:tc>
          <w:tcPr>
            <w:tcW w:w="16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300" w:type="dxa"/>
            <w:vAlign w:val="bottom"/>
            <w:tcBorders>
              <w:bottom w:val="single" w:sz="8" w:color="auto"/>
            </w:tcBorders>
            <w:gridSpan w:val="3"/>
          </w:tcPr>
          <w:p>
            <w:pPr>
              <w:jc w:val="center"/>
              <w:ind w:left="652"/>
              <w:spacing w:after="0" w:line="114" w:lineRule="exact"/>
              <w:rPr>
                <w:sz w:val="20"/>
                <w:szCs w:val="20"/>
                <w:color w:val="auto"/>
              </w:rPr>
            </w:pPr>
            <w:r>
              <w:rPr>
                <w:rFonts w:ascii="Arial" w:cs="Arial" w:eastAsia="Arial" w:hAnsi="Arial"/>
                <w:sz w:val="10"/>
                <w:szCs w:val="10"/>
                <w:b w:val="1"/>
                <w:bCs w:val="1"/>
                <w:color w:val="auto"/>
                <w:w w:val="87"/>
              </w:rPr>
              <w:t>Better/(Worse)</w:t>
            </w:r>
          </w:p>
        </w:tc>
        <w:tc>
          <w:tcPr>
            <w:tcW w:w="700" w:type="dxa"/>
            <w:vAlign w:val="bottom"/>
            <w:tcBorders>
              <w:bottom w:val="single" w:sz="8" w:color="auto"/>
            </w:tcBorders>
          </w:tcPr>
          <w:p>
            <w:pPr>
              <w:spacing w:after="0"/>
              <w:rPr>
                <w:sz w:val="9"/>
                <w:szCs w:val="9"/>
                <w:color w:val="auto"/>
              </w:rPr>
            </w:pPr>
          </w:p>
        </w:tc>
      </w:tr>
      <w:tr>
        <w:trPr>
          <w:trHeight w:val="214"/>
        </w:trPr>
        <w:tc>
          <w:tcPr>
            <w:tcW w:w="350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(Dollars in thousands)</w:t>
            </w:r>
          </w:p>
        </w:tc>
        <w:tc>
          <w:tcPr>
            <w:tcW w:w="1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32"/>
              <w:spacing w:after="0"/>
              <w:rPr>
                <w:sz w:val="20"/>
                <w:szCs w:val="20"/>
                <w:color w:val="auto"/>
              </w:rPr>
            </w:pPr>
            <w:r>
              <w:rPr>
                <w:rFonts w:ascii="Arial" w:cs="Arial" w:eastAsia="Arial" w:hAnsi="Arial"/>
                <w:sz w:val="10"/>
                <w:szCs w:val="10"/>
                <w:b w:val="1"/>
                <w:bCs w:val="1"/>
                <w:color w:val="auto"/>
              </w:rPr>
              <w:t>Cinema</w:t>
            </w:r>
          </w:p>
        </w:tc>
        <w:tc>
          <w:tcPr>
            <w:tcW w:w="2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32"/>
              <w:spacing w:after="0"/>
              <w:rPr>
                <w:sz w:val="20"/>
                <w:szCs w:val="20"/>
                <w:color w:val="auto"/>
              </w:rPr>
            </w:pPr>
            <w:r>
              <w:rPr>
                <w:rFonts w:ascii="Arial" w:cs="Arial" w:eastAsia="Arial" w:hAnsi="Arial"/>
                <w:sz w:val="10"/>
                <w:szCs w:val="10"/>
                <w:b w:val="1"/>
                <w:bCs w:val="1"/>
                <w:color w:val="auto"/>
                <w:w w:val="92"/>
              </w:rPr>
              <w:t>Real Estate</w:t>
            </w:r>
          </w:p>
        </w:tc>
        <w:tc>
          <w:tcPr>
            <w:tcW w:w="1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12"/>
              <w:spacing w:after="0"/>
              <w:rPr>
                <w:sz w:val="20"/>
                <w:szCs w:val="20"/>
                <w:color w:val="auto"/>
              </w:rPr>
            </w:pPr>
            <w:r>
              <w:rPr>
                <w:rFonts w:ascii="Arial" w:cs="Arial" w:eastAsia="Arial" w:hAnsi="Arial"/>
                <w:sz w:val="10"/>
                <w:szCs w:val="10"/>
                <w:b w:val="1"/>
                <w:bCs w:val="1"/>
                <w:color w:val="auto"/>
              </w:rPr>
              <w:t>Cinema</w:t>
            </w:r>
          </w:p>
        </w:tc>
        <w:tc>
          <w:tcPr>
            <w:tcW w:w="1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52"/>
              <w:spacing w:after="0"/>
              <w:rPr>
                <w:sz w:val="20"/>
                <w:szCs w:val="20"/>
                <w:color w:val="auto"/>
              </w:rPr>
            </w:pPr>
            <w:r>
              <w:rPr>
                <w:rFonts w:ascii="Arial" w:cs="Arial" w:eastAsia="Arial" w:hAnsi="Arial"/>
                <w:sz w:val="10"/>
                <w:szCs w:val="10"/>
                <w:b w:val="1"/>
                <w:bCs w:val="1"/>
                <w:color w:val="auto"/>
                <w:w w:val="92"/>
              </w:rPr>
              <w:t>Real Estate</w:t>
            </w:r>
          </w:p>
        </w:tc>
        <w:tc>
          <w:tcPr>
            <w:tcW w:w="18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right"/>
              <w:ind w:right="252"/>
              <w:spacing w:after="0"/>
              <w:rPr>
                <w:sz w:val="20"/>
                <w:szCs w:val="20"/>
                <w:color w:val="auto"/>
              </w:rPr>
            </w:pPr>
            <w:r>
              <w:rPr>
                <w:rFonts w:ascii="Arial" w:cs="Arial" w:eastAsia="Arial" w:hAnsi="Arial"/>
                <w:sz w:val="10"/>
                <w:szCs w:val="10"/>
                <w:b w:val="1"/>
                <w:bCs w:val="1"/>
                <w:color w:val="auto"/>
              </w:rPr>
              <w:t>Cinema</w:t>
            </w:r>
          </w:p>
        </w:tc>
        <w:tc>
          <w:tcPr>
            <w:tcW w:w="1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72"/>
              <w:spacing w:after="0"/>
              <w:rPr>
                <w:sz w:val="20"/>
                <w:szCs w:val="20"/>
                <w:color w:val="auto"/>
              </w:rPr>
            </w:pPr>
            <w:r>
              <w:rPr>
                <w:rFonts w:ascii="Arial" w:cs="Arial" w:eastAsia="Arial" w:hAnsi="Arial"/>
                <w:sz w:val="10"/>
                <w:szCs w:val="10"/>
                <w:b w:val="1"/>
                <w:bCs w:val="1"/>
                <w:color w:val="auto"/>
                <w:w w:val="85"/>
              </w:rPr>
              <w:t>Real Estate</w:t>
            </w:r>
          </w:p>
        </w:tc>
      </w:tr>
      <w:tr>
        <w:trPr>
          <w:trHeight w:val="187"/>
        </w:trPr>
        <w:tc>
          <w:tcPr>
            <w:tcW w:w="3680" w:type="dxa"/>
            <w:vAlign w:val="bottom"/>
            <w:gridSpan w:val="2"/>
            <w:shd w:val="clear" w:color="auto" w:fill="CCEEFF"/>
          </w:tcPr>
          <w:p>
            <w:pPr>
              <w:spacing w:after="0"/>
              <w:rPr>
                <w:sz w:val="20"/>
                <w:szCs w:val="20"/>
                <w:color w:val="auto"/>
              </w:rPr>
            </w:pPr>
            <w:r>
              <w:rPr>
                <w:rFonts w:ascii="Arial" w:cs="Arial" w:eastAsia="Arial" w:hAnsi="Arial"/>
                <w:sz w:val="10"/>
                <w:szCs w:val="10"/>
                <w:b w:val="1"/>
                <w:bCs w:val="1"/>
                <w:color w:val="auto"/>
              </w:rPr>
              <w:t>Segment Revenue</w:t>
            </w:r>
          </w:p>
        </w:tc>
        <w:tc>
          <w:tcPr>
            <w:tcW w:w="28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242,281</w:t>
            </w:r>
          </w:p>
        </w:tc>
        <w:tc>
          <w:tcPr>
            <w:tcW w:w="240" w:type="dxa"/>
            <w:vAlign w:val="bottom"/>
            <w:tcBorders>
              <w:right w:val="single" w:sz="8" w:color="CCEEFF"/>
            </w:tcBorders>
            <w:shd w:val="clear" w:color="auto" w:fill="CCEEFF"/>
          </w:tcPr>
          <w:p>
            <w:pPr>
              <w:spacing w:after="0"/>
              <w:rPr>
                <w:sz w:val="16"/>
                <w:szCs w:val="16"/>
                <w:color w:val="auto"/>
              </w:rPr>
            </w:pPr>
          </w:p>
        </w:tc>
        <w:tc>
          <w:tcPr>
            <w:tcW w:w="18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21,579</w:t>
            </w:r>
          </w:p>
        </w:tc>
        <w:tc>
          <w:tcPr>
            <w:tcW w:w="18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237,861</w:t>
            </w: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24,348</w:t>
            </w: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132"/>
              <w:spacing w:after="0"/>
              <w:rPr>
                <w:sz w:val="20"/>
                <w:szCs w:val="20"/>
                <w:color w:val="auto"/>
              </w:rPr>
            </w:pPr>
            <w:r>
              <w:rPr>
                <w:rFonts w:ascii="Arial" w:cs="Arial" w:eastAsia="Arial" w:hAnsi="Arial"/>
                <w:sz w:val="10"/>
                <w:szCs w:val="10"/>
                <w:color w:val="auto"/>
              </w:rPr>
              <w:t>2 %</w:t>
            </w:r>
          </w:p>
        </w:tc>
        <w:tc>
          <w:tcPr>
            <w:tcW w:w="1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132"/>
              <w:spacing w:after="0"/>
              <w:rPr>
                <w:sz w:val="20"/>
                <w:szCs w:val="20"/>
                <w:color w:val="auto"/>
              </w:rPr>
            </w:pPr>
            <w:r>
              <w:rPr>
                <w:rFonts w:ascii="Arial" w:cs="Arial" w:eastAsia="Arial" w:hAnsi="Arial"/>
                <w:sz w:val="10"/>
                <w:szCs w:val="10"/>
                <w:color w:val="auto"/>
              </w:rPr>
              <w:t>(11)%</w:t>
            </w:r>
          </w:p>
        </w:tc>
      </w:tr>
      <w:tr>
        <w:trPr>
          <w:trHeight w:val="198"/>
        </w:trPr>
        <w:tc>
          <w:tcPr>
            <w:tcW w:w="3680" w:type="dxa"/>
            <w:vAlign w:val="bottom"/>
            <w:gridSpan w:val="2"/>
          </w:tcPr>
          <w:p>
            <w:pPr>
              <w:spacing w:after="0"/>
              <w:rPr>
                <w:sz w:val="20"/>
                <w:szCs w:val="20"/>
                <w:color w:val="auto"/>
              </w:rPr>
            </w:pPr>
            <w:r>
              <w:rPr>
                <w:rFonts w:ascii="Arial" w:cs="Arial" w:eastAsia="Arial" w:hAnsi="Arial"/>
                <w:sz w:val="10"/>
                <w:szCs w:val="10"/>
                <w:b w:val="1"/>
                <w:bCs w:val="1"/>
                <w:color w:val="auto"/>
              </w:rPr>
              <w:t>Segment expenses</w:t>
            </w: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306"/>
        </w:trPr>
        <w:tc>
          <w:tcPr>
            <w:tcW w:w="3680" w:type="dxa"/>
            <w:vAlign w:val="bottom"/>
            <w:gridSpan w:val="2"/>
            <w:shd w:val="clear" w:color="auto" w:fill="CCEEFF"/>
          </w:tcPr>
          <w:p>
            <w:pPr>
              <w:ind w:left="80"/>
              <w:spacing w:after="0"/>
              <w:rPr>
                <w:sz w:val="20"/>
                <w:szCs w:val="20"/>
                <w:color w:val="auto"/>
              </w:rPr>
            </w:pPr>
            <w:r>
              <w:rPr>
                <w:rFonts w:ascii="Arial" w:cs="Arial" w:eastAsia="Arial" w:hAnsi="Arial"/>
                <w:sz w:val="10"/>
                <w:szCs w:val="10"/>
                <w:color w:val="auto"/>
              </w:rPr>
              <w:t>Cost of services and products (excluding depreciation and amortization)</w:t>
            </w:r>
          </w:p>
        </w:tc>
        <w:tc>
          <w:tcPr>
            <w:tcW w:w="280" w:type="dxa"/>
            <w:vAlign w:val="bottom"/>
            <w:shd w:val="clear" w:color="auto" w:fill="CCEEFF"/>
          </w:tcPr>
          <w:p>
            <w:pPr>
              <w:spacing w:after="0"/>
              <w:rPr>
                <w:sz w:val="24"/>
                <w:szCs w:val="24"/>
                <w:color w:val="auto"/>
              </w:rPr>
            </w:pPr>
          </w:p>
        </w:tc>
        <w:tc>
          <w:tcPr>
            <w:tcW w:w="102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(196,544)</w:t>
            </w:r>
          </w:p>
        </w:tc>
        <w:tc>
          <w:tcPr>
            <w:tcW w:w="18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(10,948)</w:t>
            </w:r>
          </w:p>
        </w:tc>
        <w:tc>
          <w:tcPr>
            <w:tcW w:w="28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(195,896)</w:t>
            </w:r>
          </w:p>
        </w:tc>
        <w:tc>
          <w:tcPr>
            <w:tcW w:w="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(9,770)</w:t>
            </w:r>
          </w:p>
        </w:tc>
        <w:tc>
          <w:tcPr>
            <w:tcW w:w="900" w:type="dxa"/>
            <w:vAlign w:val="bottom"/>
            <w:shd w:val="clear" w:color="auto" w:fill="CCEEFF"/>
          </w:tcPr>
          <w:p>
            <w:pPr>
              <w:jc w:val="right"/>
              <w:ind w:right="132"/>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132"/>
              <w:spacing w:after="0"/>
              <w:rPr>
                <w:sz w:val="20"/>
                <w:szCs w:val="20"/>
                <w:color w:val="auto"/>
              </w:rPr>
            </w:pPr>
            <w:r>
              <w:rPr>
                <w:rFonts w:ascii="Arial" w:cs="Arial" w:eastAsia="Arial" w:hAnsi="Arial"/>
                <w:sz w:val="10"/>
                <w:szCs w:val="10"/>
                <w:color w:val="auto"/>
              </w:rPr>
              <w:t>(12)%</w:t>
            </w:r>
          </w:p>
        </w:tc>
      </w:tr>
      <w:tr>
        <w:trPr>
          <w:trHeight w:val="198"/>
        </w:trPr>
        <w:tc>
          <w:tcPr>
            <w:tcW w:w="3680" w:type="dxa"/>
            <w:vAlign w:val="bottom"/>
            <w:gridSpan w:val="2"/>
          </w:tcPr>
          <w:p>
            <w:pPr>
              <w:ind w:left="80"/>
              <w:spacing w:after="0"/>
              <w:rPr>
                <w:sz w:val="20"/>
                <w:szCs w:val="20"/>
                <w:color w:val="auto"/>
              </w:rPr>
            </w:pPr>
            <w:r>
              <w:rPr>
                <w:rFonts w:ascii="Arial" w:cs="Arial" w:eastAsia="Arial" w:hAnsi="Arial"/>
                <w:sz w:val="10"/>
                <w:szCs w:val="10"/>
                <w:color w:val="auto"/>
              </w:rPr>
              <w:t>Depreciation and amortization</w:t>
            </w:r>
          </w:p>
        </w:tc>
        <w:tc>
          <w:tcPr>
            <w:tcW w:w="280" w:type="dxa"/>
            <w:vAlign w:val="bottom"/>
          </w:tcPr>
          <w:p>
            <w:pPr>
              <w:spacing w:after="0"/>
              <w:rPr>
                <w:sz w:val="17"/>
                <w:szCs w:val="17"/>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0"/>
                <w:szCs w:val="10"/>
                <w:color w:val="auto"/>
              </w:rPr>
              <w:t>(11,161)</w:t>
            </w:r>
          </w:p>
        </w:tc>
        <w:tc>
          <w:tcPr>
            <w:tcW w:w="180" w:type="dxa"/>
            <w:vAlign w:val="bottom"/>
          </w:tcPr>
          <w:p>
            <w:pPr>
              <w:spacing w:after="0"/>
              <w:rPr>
                <w:sz w:val="17"/>
                <w:szCs w:val="17"/>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0"/>
                <w:szCs w:val="10"/>
                <w:color w:val="auto"/>
              </w:rPr>
              <w:t>(3,107)</w:t>
            </w:r>
          </w:p>
        </w:tc>
        <w:tc>
          <w:tcPr>
            <w:tcW w:w="280" w:type="dxa"/>
            <w:vAlign w:val="bottom"/>
          </w:tcPr>
          <w:p>
            <w:pPr>
              <w:spacing w:after="0"/>
              <w:rPr>
                <w:sz w:val="17"/>
                <w:szCs w:val="17"/>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0"/>
                <w:szCs w:val="10"/>
                <w:color w:val="auto"/>
              </w:rPr>
              <w:t>(11,047)</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0"/>
                <w:szCs w:val="10"/>
                <w:color w:val="auto"/>
              </w:rPr>
              <w:t>(4,061)</w:t>
            </w:r>
          </w:p>
        </w:tc>
        <w:tc>
          <w:tcPr>
            <w:tcW w:w="900" w:type="dxa"/>
            <w:vAlign w:val="bottom"/>
          </w:tcPr>
          <w:p>
            <w:pPr>
              <w:jc w:val="right"/>
              <w:ind w:right="132"/>
              <w:spacing w:after="0"/>
              <w:rPr>
                <w:sz w:val="20"/>
                <w:szCs w:val="20"/>
                <w:color w:val="auto"/>
              </w:rPr>
            </w:pPr>
            <w:r>
              <w:rPr>
                <w:rFonts w:ascii="Arial" w:cs="Arial" w:eastAsia="Arial" w:hAnsi="Arial"/>
                <w:sz w:val="10"/>
                <w:szCs w:val="10"/>
                <w:color w:val="auto"/>
              </w:rPr>
              <w:t>(1)%</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jc w:val="right"/>
              <w:ind w:right="132"/>
              <w:spacing w:after="0"/>
              <w:rPr>
                <w:sz w:val="20"/>
                <w:szCs w:val="20"/>
                <w:color w:val="auto"/>
              </w:rPr>
            </w:pPr>
            <w:r>
              <w:rPr>
                <w:rFonts w:ascii="Arial" w:cs="Arial" w:eastAsia="Arial" w:hAnsi="Arial"/>
                <w:sz w:val="10"/>
                <w:szCs w:val="10"/>
                <w:color w:val="auto"/>
              </w:rPr>
              <w:t>23 %</w:t>
            </w:r>
          </w:p>
        </w:tc>
      </w:tr>
      <w:tr>
        <w:trPr>
          <w:trHeight w:val="198"/>
        </w:trPr>
        <w:tc>
          <w:tcPr>
            <w:tcW w:w="3680" w:type="dxa"/>
            <w:vAlign w:val="bottom"/>
            <w:gridSpan w:val="2"/>
            <w:shd w:val="clear" w:color="auto" w:fill="CCEEFF"/>
          </w:tcPr>
          <w:p>
            <w:pPr>
              <w:ind w:left="80"/>
              <w:spacing w:after="0"/>
              <w:rPr>
                <w:sz w:val="20"/>
                <w:szCs w:val="20"/>
                <w:color w:val="auto"/>
              </w:rPr>
            </w:pPr>
            <w:r>
              <w:rPr>
                <w:rFonts w:ascii="Arial" w:cs="Arial" w:eastAsia="Arial" w:hAnsi="Arial"/>
                <w:sz w:val="10"/>
                <w:szCs w:val="10"/>
                <w:color w:val="auto"/>
              </w:rPr>
              <w:t>General and administrative expense</w:t>
            </w:r>
          </w:p>
        </w:tc>
        <w:tc>
          <w:tcPr>
            <w:tcW w:w="2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(3,000)</w:t>
            </w:r>
          </w:p>
        </w:tc>
        <w:tc>
          <w:tcPr>
            <w:tcW w:w="24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(728)</w:t>
            </w: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(3,575)</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(1,042)</w:t>
            </w:r>
          </w:p>
        </w:tc>
        <w:tc>
          <w:tcPr>
            <w:tcW w:w="900" w:type="dxa"/>
            <w:vAlign w:val="bottom"/>
            <w:shd w:val="clear" w:color="auto" w:fill="CCEEFF"/>
          </w:tcPr>
          <w:p>
            <w:pPr>
              <w:jc w:val="right"/>
              <w:ind w:right="132"/>
              <w:spacing w:after="0"/>
              <w:rPr>
                <w:sz w:val="20"/>
                <w:szCs w:val="20"/>
                <w:color w:val="auto"/>
              </w:rPr>
            </w:pPr>
            <w:r>
              <w:rPr>
                <w:rFonts w:ascii="Arial" w:cs="Arial" w:eastAsia="Arial" w:hAnsi="Arial"/>
                <w:sz w:val="10"/>
                <w:szCs w:val="10"/>
                <w:color w:val="auto"/>
              </w:rPr>
              <w:t>16 %</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132"/>
              <w:spacing w:after="0"/>
              <w:rPr>
                <w:sz w:val="20"/>
                <w:szCs w:val="20"/>
                <w:color w:val="auto"/>
              </w:rPr>
            </w:pPr>
            <w:r>
              <w:rPr>
                <w:rFonts w:ascii="Arial" w:cs="Arial" w:eastAsia="Arial" w:hAnsi="Arial"/>
                <w:sz w:val="10"/>
                <w:szCs w:val="10"/>
                <w:color w:val="auto"/>
              </w:rPr>
              <w:t>30 %</w:t>
            </w:r>
          </w:p>
        </w:tc>
      </w:tr>
      <w:tr>
        <w:trPr>
          <w:trHeight w:val="20"/>
        </w:trPr>
        <w:tc>
          <w:tcPr>
            <w:tcW w:w="3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78"/>
        </w:trPr>
        <w:tc>
          <w:tcPr>
            <w:tcW w:w="3680" w:type="dxa"/>
            <w:vAlign w:val="bottom"/>
            <w:gridSpan w:val="2"/>
          </w:tcPr>
          <w:p>
            <w:pPr>
              <w:spacing w:after="0"/>
              <w:rPr>
                <w:sz w:val="20"/>
                <w:szCs w:val="20"/>
                <w:color w:val="auto"/>
              </w:rPr>
            </w:pPr>
            <w:r>
              <w:rPr>
                <w:rFonts w:ascii="Arial" w:cs="Arial" w:eastAsia="Arial" w:hAnsi="Arial"/>
                <w:sz w:val="10"/>
                <w:szCs w:val="10"/>
                <w:color w:val="auto"/>
              </w:rPr>
              <w:t>Total segment expenses</w:t>
            </w:r>
          </w:p>
        </w:tc>
        <w:tc>
          <w:tcPr>
            <w:tcW w:w="2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0"/>
                <w:szCs w:val="10"/>
                <w:color w:val="auto"/>
              </w:rPr>
              <w:t>(210,705)</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0"/>
                <w:szCs w:val="10"/>
                <w:color w:val="auto"/>
              </w:rPr>
              <w:t>(14,783)</w:t>
            </w:r>
          </w:p>
        </w:tc>
        <w:tc>
          <w:tcPr>
            <w:tcW w:w="280" w:type="dxa"/>
            <w:vAlign w:val="bottom"/>
          </w:tcPr>
          <w:p>
            <w:pPr>
              <w:spacing w:after="0"/>
              <w:rPr>
                <w:sz w:val="15"/>
                <w:szCs w:val="15"/>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0"/>
                <w:szCs w:val="10"/>
                <w:color w:val="auto"/>
              </w:rPr>
              <w:t>(210,518)</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0"/>
                <w:szCs w:val="10"/>
                <w:color w:val="auto"/>
              </w:rPr>
              <w:t>(14,873)</w:t>
            </w:r>
          </w:p>
        </w:tc>
        <w:tc>
          <w:tcPr>
            <w:tcW w:w="900" w:type="dxa"/>
            <w:vAlign w:val="bottom"/>
          </w:tcPr>
          <w:p>
            <w:pPr>
              <w:jc w:val="right"/>
              <w:ind w:right="132"/>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jc w:val="right"/>
              <w:ind w:right="132"/>
              <w:spacing w:after="0"/>
              <w:rPr>
                <w:sz w:val="20"/>
                <w:szCs w:val="20"/>
                <w:color w:val="auto"/>
              </w:rPr>
            </w:pPr>
            <w:r>
              <w:rPr>
                <w:rFonts w:ascii="Arial" w:cs="Arial" w:eastAsia="Arial" w:hAnsi="Arial"/>
                <w:sz w:val="10"/>
                <w:szCs w:val="10"/>
                <w:color w:val="auto"/>
              </w:rPr>
              <w:t>1 %</w:t>
            </w:r>
          </w:p>
        </w:tc>
      </w:tr>
      <w:tr>
        <w:trPr>
          <w:trHeight w:val="169"/>
        </w:trPr>
        <w:tc>
          <w:tcPr>
            <w:tcW w:w="36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0"/>
                <w:szCs w:val="10"/>
                <w:b w:val="1"/>
                <w:bCs w:val="1"/>
                <w:color w:val="auto"/>
              </w:rPr>
              <w:t>Segment operating income</w:t>
            </w:r>
          </w:p>
        </w:tc>
        <w:tc>
          <w:tcPr>
            <w:tcW w:w="28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Arial" w:cs="Arial" w:eastAsia="Arial" w:hAnsi="Arial"/>
                <w:sz w:val="10"/>
                <w:szCs w:val="10"/>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31,576</w:t>
            </w:r>
          </w:p>
        </w:tc>
        <w:tc>
          <w:tcPr>
            <w:tcW w:w="240" w:type="dxa"/>
            <w:vAlign w:val="bottom"/>
            <w:tcBorders>
              <w:top w:val="single" w:sz="8" w:color="CCEEFF"/>
              <w:bottom w:val="single" w:sz="8" w:color="CCEEFF"/>
              <w:right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6,796</w:t>
            </w:r>
          </w:p>
        </w:tc>
        <w:tc>
          <w:tcPr>
            <w:tcW w:w="180" w:type="dxa"/>
            <w:vAlign w:val="bottom"/>
            <w:tcBorders>
              <w:top w:val="single" w:sz="8" w:color="CCEEFF"/>
              <w:bottom w:val="single" w:sz="8" w:color="CCEEFF"/>
            </w:tcBorders>
            <w:shd w:val="clear" w:color="auto" w:fill="CCEEFF"/>
          </w:tcPr>
          <w:p>
            <w:pPr>
              <w:spacing w:after="0"/>
              <w:rPr>
                <w:sz w:val="14"/>
                <w:szCs w:val="14"/>
                <w:color w:val="auto"/>
              </w:rPr>
            </w:pPr>
          </w:p>
        </w:tc>
        <w:tc>
          <w:tcPr>
            <w:tcW w:w="28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Arial" w:cs="Arial" w:eastAsia="Arial" w:hAnsi="Arial"/>
                <w:sz w:val="10"/>
                <w:szCs w:val="10"/>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27,343</w:t>
            </w:r>
          </w:p>
        </w:tc>
        <w:tc>
          <w:tcPr>
            <w:tcW w:w="18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9,475</w:t>
            </w:r>
          </w:p>
        </w:tc>
        <w:tc>
          <w:tcPr>
            <w:tcW w:w="180" w:type="dxa"/>
            <w:vAlign w:val="bottom"/>
            <w:tcBorders>
              <w:top w:val="single" w:sz="8" w:color="CCEEFF"/>
              <w:bottom w:val="single" w:sz="8" w:color="CCEEFF"/>
            </w:tcBorders>
            <w:shd w:val="clear" w:color="auto" w:fill="CCEEFF"/>
          </w:tcPr>
          <w:p>
            <w:pPr>
              <w:spacing w:after="0"/>
              <w:rPr>
                <w:sz w:val="14"/>
                <w:szCs w:val="14"/>
                <w:color w:val="auto"/>
              </w:rPr>
            </w:pPr>
          </w:p>
        </w:tc>
        <w:tc>
          <w:tcPr>
            <w:tcW w:w="900" w:type="dxa"/>
            <w:vAlign w:val="bottom"/>
            <w:tcBorders>
              <w:top w:val="single" w:sz="8" w:color="CCEEFF"/>
              <w:bottom w:val="single" w:sz="8" w:color="CCEEFF"/>
            </w:tcBorders>
            <w:shd w:val="clear" w:color="auto" w:fill="CCEEFF"/>
          </w:tcPr>
          <w:p>
            <w:pPr>
              <w:jc w:val="right"/>
              <w:ind w:right="132"/>
              <w:spacing w:after="0"/>
              <w:rPr>
                <w:sz w:val="20"/>
                <w:szCs w:val="20"/>
                <w:color w:val="auto"/>
              </w:rPr>
            </w:pPr>
            <w:r>
              <w:rPr>
                <w:rFonts w:ascii="Arial" w:cs="Arial" w:eastAsia="Arial" w:hAnsi="Arial"/>
                <w:sz w:val="10"/>
                <w:szCs w:val="10"/>
                <w:color w:val="auto"/>
              </w:rPr>
              <w:t>15 %</w:t>
            </w:r>
          </w:p>
        </w:tc>
        <w:tc>
          <w:tcPr>
            <w:tcW w:w="180" w:type="dxa"/>
            <w:vAlign w:val="bottom"/>
            <w:tcBorders>
              <w:top w:val="single" w:sz="8" w:color="CCEEFF"/>
              <w:bottom w:val="single" w:sz="8" w:color="CCEEFF"/>
            </w:tcBorders>
            <w:shd w:val="clear" w:color="auto" w:fill="CCEEFF"/>
          </w:tcPr>
          <w:p>
            <w:pPr>
              <w:spacing w:after="0"/>
              <w:rPr>
                <w:sz w:val="14"/>
                <w:szCs w:val="14"/>
                <w:color w:val="auto"/>
              </w:rPr>
            </w:pPr>
          </w:p>
        </w:tc>
        <w:tc>
          <w:tcPr>
            <w:tcW w:w="220" w:type="dxa"/>
            <w:vAlign w:val="bottom"/>
            <w:tcBorders>
              <w:top w:val="single" w:sz="8" w:color="CCEEFF"/>
              <w:bottom w:val="single" w:sz="8" w:color="CCEEFF"/>
            </w:tcBorders>
            <w:shd w:val="clear" w:color="auto" w:fill="CCEEFF"/>
          </w:tcPr>
          <w:p>
            <w:pPr>
              <w:spacing w:after="0"/>
              <w:rPr>
                <w:sz w:val="14"/>
                <w:szCs w:val="14"/>
                <w:color w:val="auto"/>
              </w:rPr>
            </w:pPr>
          </w:p>
        </w:tc>
        <w:tc>
          <w:tcPr>
            <w:tcW w:w="700" w:type="dxa"/>
            <w:vAlign w:val="bottom"/>
            <w:tcBorders>
              <w:top w:val="single" w:sz="8" w:color="CCEEFF"/>
              <w:bottom w:val="single" w:sz="8" w:color="CCEEFF"/>
            </w:tcBorders>
            <w:shd w:val="clear" w:color="auto" w:fill="CCEEFF"/>
          </w:tcPr>
          <w:p>
            <w:pPr>
              <w:jc w:val="right"/>
              <w:ind w:right="132"/>
              <w:spacing w:after="0"/>
              <w:rPr>
                <w:sz w:val="20"/>
                <w:szCs w:val="20"/>
                <w:color w:val="auto"/>
              </w:rPr>
            </w:pPr>
            <w:r>
              <w:rPr>
                <w:rFonts w:ascii="Arial" w:cs="Arial" w:eastAsia="Arial" w:hAnsi="Arial"/>
                <w:sz w:val="10"/>
                <w:szCs w:val="10"/>
                <w:color w:val="auto"/>
              </w:rPr>
              <w:t>(28)%</w:t>
            </w:r>
          </w:p>
        </w:tc>
      </w:tr>
    </w:tbl>
    <w:p>
      <w:pPr>
        <w:spacing w:after="0" w:line="27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59690</wp:posOffset>
            </wp:positionV>
            <wp:extent cx="677989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779895" cy="42545"/>
                    </a:xfrm>
                    <a:prstGeom prst="rect">
                      <a:avLst/>
                    </a:prstGeom>
                    <a:noFill/>
                  </pic:spPr>
                </pic:pic>
              </a:graphicData>
            </a:graphic>
          </wp:anchor>
        </w:drawing>
      </w:r>
    </w:p>
    <w:p>
      <w:pPr>
        <w:sectPr>
          <w:pgSz w:w="11900" w:h="16838" w:orient="portrait"/>
          <w:cols w:equalWidth="0" w:num="1">
            <w:col w:w="10620"/>
          </w:cols>
          <w:pgMar w:left="640" w:top="127" w:right="639" w:bottom="1440" w:gutter="0" w:footer="0" w:header="0"/>
        </w:sectPr>
      </w:pPr>
    </w:p>
    <w:bookmarkStart w:id="39" w:name="page40"/>
    <w:bookmarkEnd w:id="39"/>
    <w:p>
      <w:pPr>
        <w:spacing w:after="0"/>
        <w:rPr>
          <w:sz w:val="20"/>
          <w:szCs w:val="20"/>
          <w:color w:val="auto"/>
        </w:rPr>
      </w:pPr>
      <w:r>
        <w:rPr>
          <w:rFonts w:ascii="Arial" w:cs="Arial" w:eastAsia="Arial" w:hAnsi="Arial"/>
          <w:sz w:val="12"/>
          <w:szCs w:val="12"/>
          <w:b w:val="1"/>
          <w:bCs w:val="1"/>
          <w:u w:val="single" w:color="auto"/>
          <w:color w:val="auto"/>
        </w:rPr>
        <w:t>Cinema Exhibition - 2015 vs. 2014</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660" w:type="dxa"/>
            <w:vAlign w:val="bottom"/>
          </w:tcPr>
          <w:p>
            <w:pPr>
              <w:spacing w:after="0"/>
              <w:rPr>
                <w:sz w:val="10"/>
                <w:szCs w:val="10"/>
                <w:color w:val="auto"/>
              </w:rPr>
            </w:pPr>
          </w:p>
        </w:tc>
        <w:tc>
          <w:tcPr>
            <w:tcW w:w="3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gridSpan w:val="2"/>
          </w:tcPr>
          <w:p>
            <w:pPr>
              <w:jc w:val="right"/>
              <w:ind w:right="232"/>
              <w:spacing w:after="0"/>
              <w:rPr>
                <w:sz w:val="20"/>
                <w:szCs w:val="20"/>
                <w:color w:val="auto"/>
              </w:rPr>
            </w:pPr>
            <w:r>
              <w:rPr>
                <w:rFonts w:ascii="Arial" w:cs="Arial" w:eastAsia="Arial" w:hAnsi="Arial"/>
                <w:sz w:val="10"/>
                <w:szCs w:val="10"/>
                <w:b w:val="1"/>
                <w:bCs w:val="1"/>
                <w:color w:val="auto"/>
              </w:rPr>
              <w:t>2015 vs. 2014</w:t>
            </w:r>
          </w:p>
        </w:tc>
        <w:tc>
          <w:tcPr>
            <w:tcW w:w="0" w:type="dxa"/>
            <w:vAlign w:val="bottom"/>
          </w:tcPr>
          <w:p>
            <w:pPr>
              <w:spacing w:after="0"/>
              <w:rPr>
                <w:sz w:val="1"/>
                <w:szCs w:val="1"/>
                <w:color w:val="auto"/>
              </w:rPr>
            </w:pPr>
          </w:p>
        </w:tc>
      </w:tr>
      <w:tr>
        <w:trPr>
          <w:trHeight w:val="114"/>
        </w:trPr>
        <w:tc>
          <w:tcPr>
            <w:tcW w:w="1660" w:type="dxa"/>
            <w:vAlign w:val="bottom"/>
          </w:tcPr>
          <w:p>
            <w:pPr>
              <w:spacing w:after="0" w:line="114" w:lineRule="exact"/>
              <w:rPr>
                <w:sz w:val="20"/>
                <w:szCs w:val="20"/>
                <w:color w:val="auto"/>
              </w:rPr>
            </w:pPr>
            <w:r>
              <w:rPr>
                <w:rFonts w:ascii="Arial" w:cs="Arial" w:eastAsia="Arial" w:hAnsi="Arial"/>
                <w:sz w:val="10"/>
                <w:szCs w:val="10"/>
                <w:color w:val="auto"/>
              </w:rPr>
              <w:t>(Dollars in thousands)</w:t>
            </w:r>
          </w:p>
        </w:tc>
        <w:tc>
          <w:tcPr>
            <w:tcW w:w="3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0" w:type="dxa"/>
            <w:vAlign w:val="bottom"/>
          </w:tcPr>
          <w:p>
            <w:pPr>
              <w:jc w:val="right"/>
              <w:ind w:right="432"/>
              <w:spacing w:after="0" w:line="114" w:lineRule="exact"/>
              <w:rPr>
                <w:sz w:val="20"/>
                <w:szCs w:val="20"/>
                <w:color w:val="auto"/>
              </w:rPr>
            </w:pPr>
            <w:r>
              <w:rPr>
                <w:rFonts w:ascii="Arial" w:cs="Arial" w:eastAsia="Arial" w:hAnsi="Arial"/>
                <w:sz w:val="10"/>
                <w:szCs w:val="10"/>
                <w:b w:val="1"/>
                <w:bCs w:val="1"/>
                <w:color w:val="auto"/>
              </w:rPr>
              <w:t>2015</w:t>
            </w:r>
          </w:p>
        </w:tc>
        <w:tc>
          <w:tcPr>
            <w:tcW w:w="180" w:type="dxa"/>
            <w:vAlign w:val="bottom"/>
          </w:tcPr>
          <w:p>
            <w:pPr>
              <w:spacing w:after="0"/>
              <w:rPr>
                <w:sz w:val="9"/>
                <w:szCs w:val="9"/>
                <w:color w:val="auto"/>
              </w:rPr>
            </w:pPr>
          </w:p>
        </w:tc>
        <w:tc>
          <w:tcPr>
            <w:tcW w:w="960" w:type="dxa"/>
            <w:vAlign w:val="bottom"/>
            <w:gridSpan w:val="2"/>
          </w:tcPr>
          <w:p>
            <w:pPr>
              <w:ind w:left="140"/>
              <w:spacing w:after="0" w:line="114" w:lineRule="exact"/>
              <w:rPr>
                <w:sz w:val="20"/>
                <w:szCs w:val="20"/>
                <w:color w:val="auto"/>
              </w:rPr>
            </w:pPr>
            <w:r>
              <w:rPr>
                <w:rFonts w:ascii="Arial" w:cs="Arial" w:eastAsia="Arial" w:hAnsi="Arial"/>
                <w:sz w:val="10"/>
                <w:szCs w:val="10"/>
                <w:i w:val="1"/>
                <w:iCs w:val="1"/>
                <w:color w:val="auto"/>
              </w:rPr>
              <w:t>% of Revenue</w:t>
            </w:r>
          </w:p>
        </w:tc>
        <w:tc>
          <w:tcPr>
            <w:tcW w:w="360" w:type="dxa"/>
            <w:vAlign w:val="bottom"/>
          </w:tcPr>
          <w:p>
            <w:pPr>
              <w:spacing w:after="0"/>
              <w:rPr>
                <w:sz w:val="9"/>
                <w:szCs w:val="9"/>
                <w:color w:val="auto"/>
              </w:rPr>
            </w:pPr>
          </w:p>
        </w:tc>
        <w:tc>
          <w:tcPr>
            <w:tcW w:w="800" w:type="dxa"/>
            <w:vAlign w:val="bottom"/>
          </w:tcPr>
          <w:p>
            <w:pPr>
              <w:jc w:val="right"/>
              <w:ind w:right="432"/>
              <w:spacing w:after="0" w:line="114" w:lineRule="exact"/>
              <w:rPr>
                <w:sz w:val="20"/>
                <w:szCs w:val="20"/>
                <w:color w:val="auto"/>
              </w:rPr>
            </w:pPr>
            <w:r>
              <w:rPr>
                <w:rFonts w:ascii="Arial" w:cs="Arial" w:eastAsia="Arial" w:hAnsi="Arial"/>
                <w:sz w:val="10"/>
                <w:szCs w:val="10"/>
                <w:b w:val="1"/>
                <w:bCs w:val="1"/>
                <w:color w:val="auto"/>
              </w:rPr>
              <w:t>2014</w:t>
            </w:r>
          </w:p>
        </w:tc>
        <w:tc>
          <w:tcPr>
            <w:tcW w:w="160" w:type="dxa"/>
            <w:vAlign w:val="bottom"/>
          </w:tcPr>
          <w:p>
            <w:pPr>
              <w:spacing w:after="0"/>
              <w:rPr>
                <w:sz w:val="9"/>
                <w:szCs w:val="9"/>
                <w:color w:val="auto"/>
              </w:rPr>
            </w:pPr>
          </w:p>
        </w:tc>
        <w:tc>
          <w:tcPr>
            <w:tcW w:w="960" w:type="dxa"/>
            <w:vAlign w:val="bottom"/>
            <w:gridSpan w:val="2"/>
          </w:tcPr>
          <w:p>
            <w:pPr>
              <w:ind w:left="140"/>
              <w:spacing w:after="0" w:line="114" w:lineRule="exact"/>
              <w:rPr>
                <w:sz w:val="20"/>
                <w:szCs w:val="20"/>
                <w:color w:val="auto"/>
              </w:rPr>
            </w:pPr>
            <w:r>
              <w:rPr>
                <w:rFonts w:ascii="Arial" w:cs="Arial" w:eastAsia="Arial" w:hAnsi="Arial"/>
                <w:sz w:val="10"/>
                <w:szCs w:val="10"/>
                <w:i w:val="1"/>
                <w:iCs w:val="1"/>
                <w:color w:val="auto"/>
              </w:rPr>
              <w:t>% of Revenue</w:t>
            </w:r>
          </w:p>
        </w:tc>
        <w:tc>
          <w:tcPr>
            <w:tcW w:w="1080" w:type="dxa"/>
            <w:vAlign w:val="bottom"/>
            <w:gridSpan w:val="2"/>
          </w:tcPr>
          <w:p>
            <w:pPr>
              <w:jc w:val="right"/>
              <w:ind w:right="212"/>
              <w:spacing w:after="0" w:line="114" w:lineRule="exact"/>
              <w:rPr>
                <w:sz w:val="20"/>
                <w:szCs w:val="20"/>
                <w:color w:val="auto"/>
              </w:rPr>
            </w:pPr>
            <w:r>
              <w:rPr>
                <w:rFonts w:ascii="Arial" w:cs="Arial" w:eastAsia="Arial" w:hAnsi="Arial"/>
                <w:sz w:val="10"/>
                <w:szCs w:val="10"/>
                <w:b w:val="1"/>
                <w:bCs w:val="1"/>
                <w:color w:val="auto"/>
              </w:rPr>
              <w:t>Fav / (Unfav)</w:t>
            </w:r>
          </w:p>
        </w:tc>
        <w:tc>
          <w:tcPr>
            <w:tcW w:w="0" w:type="dxa"/>
            <w:vAlign w:val="bottom"/>
          </w:tcPr>
          <w:p>
            <w:pPr>
              <w:spacing w:after="0"/>
              <w:rPr>
                <w:sz w:val="1"/>
                <w:szCs w:val="1"/>
                <w:color w:val="auto"/>
              </w:rPr>
            </w:pPr>
          </w:p>
        </w:tc>
      </w:tr>
      <w:tr>
        <w:trPr>
          <w:trHeight w:val="142"/>
        </w:trPr>
        <w:tc>
          <w:tcPr>
            <w:tcW w:w="16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0"/>
                <w:szCs w:val="10"/>
                <w:b w:val="1"/>
                <w:bCs w:val="1"/>
                <w:color w:val="auto"/>
              </w:rPr>
              <w:t>REVENUE</w:t>
            </w:r>
          </w:p>
        </w:tc>
        <w:tc>
          <w:tcPr>
            <w:tcW w:w="310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660" w:type="dxa"/>
            <w:vAlign w:val="bottom"/>
          </w:tcPr>
          <w:p>
            <w:pPr>
              <w:ind w:left="400"/>
              <w:spacing w:after="0"/>
              <w:rPr>
                <w:sz w:val="20"/>
                <w:szCs w:val="20"/>
                <w:color w:val="auto"/>
              </w:rPr>
            </w:pPr>
            <w:r>
              <w:rPr>
                <w:rFonts w:ascii="Arial" w:cs="Arial" w:eastAsia="Arial" w:hAnsi="Arial"/>
                <w:sz w:val="10"/>
                <w:szCs w:val="10"/>
                <w:b w:val="1"/>
                <w:bCs w:val="1"/>
                <w:color w:val="auto"/>
              </w:rPr>
              <w:t>United States</w:t>
            </w:r>
          </w:p>
        </w:tc>
        <w:tc>
          <w:tcPr>
            <w:tcW w:w="3280" w:type="dxa"/>
            <w:vAlign w:val="bottom"/>
            <w:gridSpan w:val="2"/>
          </w:tcPr>
          <w:p>
            <w:pPr>
              <w:ind w:left="320"/>
              <w:spacing w:after="0"/>
              <w:rPr>
                <w:sz w:val="20"/>
                <w:szCs w:val="20"/>
                <w:color w:val="auto"/>
              </w:rPr>
            </w:pPr>
            <w:r>
              <w:rPr>
                <w:rFonts w:ascii="Arial" w:cs="Arial" w:eastAsia="Arial" w:hAnsi="Arial"/>
                <w:sz w:val="10"/>
                <w:szCs w:val="10"/>
                <w:color w:val="auto"/>
              </w:rPr>
              <w:t>Admission revenue</w:t>
            </w:r>
          </w:p>
        </w:tc>
        <w:tc>
          <w:tcPr>
            <w:tcW w:w="380" w:type="dxa"/>
            <w:vAlign w:val="bottom"/>
          </w:tcPr>
          <w:p>
            <w:pPr>
              <w:jc w:val="right"/>
              <w:ind w:right="72"/>
              <w:spacing w:after="0"/>
              <w:rPr>
                <w:sz w:val="20"/>
                <w:szCs w:val="20"/>
                <w:color w:val="auto"/>
              </w:rPr>
            </w:pPr>
            <w:r>
              <w:rPr>
                <w:rFonts w:ascii="Arial" w:cs="Arial" w:eastAsia="Arial" w:hAnsi="Arial"/>
                <w:sz w:val="10"/>
                <w:szCs w:val="10"/>
                <w:color w:val="auto"/>
              </w:rPr>
              <w:t>$</w:t>
            </w:r>
          </w:p>
        </w:tc>
        <w:tc>
          <w:tcPr>
            <w:tcW w:w="800" w:type="dxa"/>
            <w:vAlign w:val="bottom"/>
          </w:tcPr>
          <w:p>
            <w:pPr>
              <w:jc w:val="right"/>
              <w:spacing w:after="0"/>
              <w:rPr>
                <w:sz w:val="20"/>
                <w:szCs w:val="20"/>
                <w:color w:val="auto"/>
              </w:rPr>
            </w:pPr>
            <w:r>
              <w:rPr>
                <w:rFonts w:ascii="Arial" w:cs="Arial" w:eastAsia="Arial" w:hAnsi="Arial"/>
                <w:sz w:val="10"/>
                <w:szCs w:val="10"/>
                <w:color w:val="auto"/>
              </w:rPr>
              <w:t>86,377</w:t>
            </w:r>
          </w:p>
        </w:tc>
        <w:tc>
          <w:tcPr>
            <w:tcW w:w="180" w:type="dxa"/>
            <w:vAlign w:val="bottom"/>
          </w:tcPr>
          <w:p>
            <w:pPr>
              <w:spacing w:after="0"/>
              <w:rPr>
                <w:sz w:val="14"/>
                <w:szCs w:val="14"/>
                <w:color w:val="auto"/>
              </w:rPr>
            </w:pPr>
          </w:p>
        </w:tc>
        <w:tc>
          <w:tcPr>
            <w:tcW w:w="780" w:type="dxa"/>
            <w:vAlign w:val="bottom"/>
          </w:tcPr>
          <w:p>
            <w:pPr>
              <w:jc w:val="right"/>
              <w:ind w:right="152"/>
              <w:spacing w:after="0"/>
              <w:rPr>
                <w:sz w:val="20"/>
                <w:szCs w:val="20"/>
                <w:color w:val="auto"/>
              </w:rPr>
            </w:pPr>
            <w:r>
              <w:rPr>
                <w:rFonts w:ascii="Arial" w:cs="Arial" w:eastAsia="Arial" w:hAnsi="Arial"/>
                <w:sz w:val="10"/>
                <w:szCs w:val="10"/>
                <w:i w:val="1"/>
                <w:iCs w:val="1"/>
                <w:color w:val="auto"/>
              </w:rPr>
              <w:t>65 %</w:t>
            </w:r>
          </w:p>
        </w:tc>
        <w:tc>
          <w:tcPr>
            <w:tcW w:w="180" w:type="dxa"/>
            <w:vAlign w:val="bottom"/>
          </w:tcPr>
          <w:p>
            <w:pPr>
              <w:spacing w:after="0"/>
              <w:rPr>
                <w:sz w:val="14"/>
                <w:szCs w:val="14"/>
                <w:color w:val="auto"/>
              </w:rPr>
            </w:pPr>
          </w:p>
        </w:tc>
        <w:tc>
          <w:tcPr>
            <w:tcW w:w="360" w:type="dxa"/>
            <w:vAlign w:val="bottom"/>
          </w:tcPr>
          <w:p>
            <w:pPr>
              <w:jc w:val="right"/>
              <w:ind w:right="72"/>
              <w:spacing w:after="0"/>
              <w:rPr>
                <w:sz w:val="20"/>
                <w:szCs w:val="20"/>
                <w:color w:val="auto"/>
              </w:rPr>
            </w:pPr>
            <w:r>
              <w:rPr>
                <w:rFonts w:ascii="Arial" w:cs="Arial" w:eastAsia="Arial" w:hAnsi="Arial"/>
                <w:sz w:val="10"/>
                <w:szCs w:val="10"/>
                <w:color w:val="auto"/>
              </w:rPr>
              <w:t>$</w:t>
            </w:r>
          </w:p>
        </w:tc>
        <w:tc>
          <w:tcPr>
            <w:tcW w:w="800" w:type="dxa"/>
            <w:vAlign w:val="bottom"/>
          </w:tcPr>
          <w:p>
            <w:pPr>
              <w:jc w:val="right"/>
              <w:spacing w:after="0"/>
              <w:rPr>
                <w:sz w:val="20"/>
                <w:szCs w:val="20"/>
                <w:color w:val="auto"/>
              </w:rPr>
            </w:pPr>
            <w:r>
              <w:rPr>
                <w:rFonts w:ascii="Arial" w:cs="Arial" w:eastAsia="Arial" w:hAnsi="Arial"/>
                <w:sz w:val="10"/>
                <w:szCs w:val="10"/>
                <w:color w:val="auto"/>
              </w:rPr>
              <w:t>83,197</w:t>
            </w:r>
          </w:p>
        </w:tc>
        <w:tc>
          <w:tcPr>
            <w:tcW w:w="160" w:type="dxa"/>
            <w:vAlign w:val="bottom"/>
          </w:tcPr>
          <w:p>
            <w:pPr>
              <w:spacing w:after="0"/>
              <w:rPr>
                <w:sz w:val="14"/>
                <w:szCs w:val="14"/>
                <w:color w:val="auto"/>
              </w:rPr>
            </w:pPr>
          </w:p>
        </w:tc>
        <w:tc>
          <w:tcPr>
            <w:tcW w:w="780" w:type="dxa"/>
            <w:vAlign w:val="bottom"/>
          </w:tcPr>
          <w:p>
            <w:pPr>
              <w:jc w:val="right"/>
              <w:ind w:right="152"/>
              <w:spacing w:after="0"/>
              <w:rPr>
                <w:sz w:val="20"/>
                <w:szCs w:val="20"/>
                <w:color w:val="auto"/>
              </w:rPr>
            </w:pPr>
            <w:r>
              <w:rPr>
                <w:rFonts w:ascii="Arial" w:cs="Arial" w:eastAsia="Arial" w:hAnsi="Arial"/>
                <w:sz w:val="10"/>
                <w:szCs w:val="10"/>
                <w:i w:val="1"/>
                <w:iCs w:val="1"/>
                <w:color w:val="auto"/>
              </w:rPr>
              <w:t>66 %</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0"/>
                <w:szCs w:val="10"/>
                <w:color w:val="auto"/>
              </w:rPr>
              <w:t>4</w:t>
            </w:r>
          </w:p>
        </w:tc>
        <w:tc>
          <w:tcPr>
            <w:tcW w:w="380" w:type="dxa"/>
            <w:vAlign w:val="bottom"/>
          </w:tcPr>
          <w:p>
            <w:pPr>
              <w:jc w:val="right"/>
              <w:ind w:right="232"/>
              <w:spacing w:after="0"/>
              <w:rPr>
                <w:sz w:val="20"/>
                <w:szCs w:val="20"/>
                <w:color w:val="auto"/>
              </w:rPr>
            </w:pPr>
            <w:r>
              <w:rPr>
                <w:rFonts w:ascii="Arial" w:cs="Arial" w:eastAsia="Arial" w:hAnsi="Arial"/>
                <w:sz w:val="10"/>
                <w:szCs w:val="10"/>
                <w:color w:val="auto"/>
                <w:w w:val="89"/>
              </w:rPr>
              <w:t>%</w:t>
            </w:r>
          </w:p>
        </w:tc>
        <w:tc>
          <w:tcPr>
            <w:tcW w:w="0" w:type="dxa"/>
            <w:vAlign w:val="bottom"/>
          </w:tcPr>
          <w:p>
            <w:pPr>
              <w:spacing w:after="0"/>
              <w:rPr>
                <w:sz w:val="1"/>
                <w:szCs w:val="1"/>
                <w:color w:val="auto"/>
              </w:rPr>
            </w:pPr>
          </w:p>
        </w:tc>
      </w:tr>
      <w:tr>
        <w:trPr>
          <w:trHeight w:val="171"/>
        </w:trPr>
        <w:tc>
          <w:tcPr>
            <w:tcW w:w="1660" w:type="dxa"/>
            <w:vAlign w:val="bottom"/>
            <w:shd w:val="clear" w:color="auto" w:fill="CCEEFF"/>
          </w:tcPr>
          <w:p>
            <w:pPr>
              <w:spacing w:after="0"/>
              <w:rPr>
                <w:sz w:val="14"/>
                <w:szCs w:val="14"/>
                <w:color w:val="auto"/>
              </w:rPr>
            </w:pPr>
          </w:p>
        </w:tc>
        <w:tc>
          <w:tcPr>
            <w:tcW w:w="3280" w:type="dxa"/>
            <w:vAlign w:val="bottom"/>
            <w:gridSpan w:val="2"/>
            <w:shd w:val="clear" w:color="auto" w:fill="CCEEFF"/>
          </w:tcPr>
          <w:p>
            <w:pPr>
              <w:ind w:left="320"/>
              <w:spacing w:after="0"/>
              <w:rPr>
                <w:sz w:val="20"/>
                <w:szCs w:val="20"/>
                <w:color w:val="auto"/>
              </w:rPr>
            </w:pPr>
            <w:r>
              <w:rPr>
                <w:rFonts w:ascii="Arial" w:cs="Arial" w:eastAsia="Arial" w:hAnsi="Arial"/>
                <w:sz w:val="10"/>
                <w:szCs w:val="10"/>
                <w:color w:val="auto"/>
              </w:rPr>
              <w:t>Concession revenue</w:t>
            </w:r>
          </w:p>
        </w:tc>
        <w:tc>
          <w:tcPr>
            <w:tcW w:w="3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38,267</w:t>
            </w: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152"/>
              <w:spacing w:after="0"/>
              <w:rPr>
                <w:sz w:val="20"/>
                <w:szCs w:val="20"/>
                <w:color w:val="auto"/>
              </w:rPr>
            </w:pPr>
            <w:r>
              <w:rPr>
                <w:rFonts w:ascii="Arial" w:cs="Arial" w:eastAsia="Arial" w:hAnsi="Arial"/>
                <w:sz w:val="10"/>
                <w:szCs w:val="10"/>
                <w:i w:val="1"/>
                <w:iCs w:val="1"/>
                <w:color w:val="auto"/>
              </w:rPr>
              <w:t>29 %</w:t>
            </w:r>
          </w:p>
        </w:tc>
        <w:tc>
          <w:tcPr>
            <w:tcW w:w="1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35,580</w:t>
            </w: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152"/>
              <w:spacing w:after="0"/>
              <w:rPr>
                <w:sz w:val="20"/>
                <w:szCs w:val="20"/>
                <w:color w:val="auto"/>
              </w:rPr>
            </w:pPr>
            <w:r>
              <w:rPr>
                <w:rFonts w:ascii="Arial" w:cs="Arial" w:eastAsia="Arial" w:hAnsi="Arial"/>
                <w:sz w:val="10"/>
                <w:szCs w:val="10"/>
                <w:i w:val="1"/>
                <w:iCs w:val="1"/>
                <w:color w:val="auto"/>
              </w:rPr>
              <w:t>28 %</w:t>
            </w: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w:t>
            </w:r>
          </w:p>
        </w:tc>
        <w:tc>
          <w:tcPr>
            <w:tcW w:w="380" w:type="dxa"/>
            <w:vAlign w:val="bottom"/>
            <w:shd w:val="clear" w:color="auto" w:fill="CCEEFF"/>
          </w:tcPr>
          <w:p>
            <w:pPr>
              <w:jc w:val="right"/>
              <w:ind w:right="232"/>
              <w:spacing w:after="0"/>
              <w:rPr>
                <w:sz w:val="20"/>
                <w:szCs w:val="20"/>
                <w:color w:val="auto"/>
              </w:rPr>
            </w:pPr>
            <w:r>
              <w:rPr>
                <w:rFonts w:ascii="Arial" w:cs="Arial" w:eastAsia="Arial" w:hAnsi="Arial"/>
                <w:sz w:val="10"/>
                <w:szCs w:val="10"/>
                <w:color w:val="auto"/>
                <w:w w:val="89"/>
              </w:rPr>
              <w:t>%</w:t>
            </w:r>
          </w:p>
        </w:tc>
        <w:tc>
          <w:tcPr>
            <w:tcW w:w="0" w:type="dxa"/>
            <w:vAlign w:val="bottom"/>
          </w:tcPr>
          <w:p>
            <w:pPr>
              <w:spacing w:after="0"/>
              <w:rPr>
                <w:sz w:val="1"/>
                <w:szCs w:val="1"/>
                <w:color w:val="auto"/>
              </w:rPr>
            </w:pPr>
          </w:p>
        </w:tc>
      </w:tr>
      <w:tr>
        <w:trPr>
          <w:trHeight w:val="171"/>
        </w:trPr>
        <w:tc>
          <w:tcPr>
            <w:tcW w:w="1660" w:type="dxa"/>
            <w:vAlign w:val="bottom"/>
            <w:tcBorders>
              <w:bottom w:val="single" w:sz="8" w:color="CCEEFF"/>
            </w:tcBorders>
          </w:tcPr>
          <w:p>
            <w:pPr>
              <w:spacing w:after="0"/>
              <w:rPr>
                <w:sz w:val="14"/>
                <w:szCs w:val="14"/>
                <w:color w:val="auto"/>
              </w:rPr>
            </w:pPr>
          </w:p>
        </w:tc>
        <w:tc>
          <w:tcPr>
            <w:tcW w:w="3280" w:type="dxa"/>
            <w:vAlign w:val="bottom"/>
            <w:tcBorders>
              <w:bottom w:val="single" w:sz="8" w:color="CCEEFF"/>
            </w:tcBorders>
            <w:gridSpan w:val="2"/>
          </w:tcPr>
          <w:p>
            <w:pPr>
              <w:ind w:left="320"/>
              <w:spacing w:after="0"/>
              <w:rPr>
                <w:sz w:val="20"/>
                <w:szCs w:val="20"/>
                <w:color w:val="auto"/>
              </w:rPr>
            </w:pPr>
            <w:r>
              <w:rPr>
                <w:rFonts w:ascii="Arial" w:cs="Arial" w:eastAsia="Arial" w:hAnsi="Arial"/>
                <w:sz w:val="10"/>
                <w:szCs w:val="10"/>
                <w:color w:val="auto"/>
              </w:rPr>
              <w:t>Advertising and other revenue</w:t>
            </w:r>
          </w:p>
        </w:tc>
        <w:tc>
          <w:tcPr>
            <w:tcW w:w="3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8,239</w:t>
            </w:r>
          </w:p>
        </w:tc>
        <w:tc>
          <w:tcPr>
            <w:tcW w:w="180" w:type="dxa"/>
            <w:vAlign w:val="bottom"/>
            <w:tcBorders>
              <w:bottom w:val="single" w:sz="8" w:color="CCEEFF"/>
            </w:tcBorders>
          </w:tcPr>
          <w:p>
            <w:pPr>
              <w:spacing w:after="0"/>
              <w:rPr>
                <w:sz w:val="14"/>
                <w:szCs w:val="14"/>
                <w:color w:val="auto"/>
              </w:rPr>
            </w:pPr>
          </w:p>
        </w:tc>
        <w:tc>
          <w:tcPr>
            <w:tcW w:w="780" w:type="dxa"/>
            <w:vAlign w:val="bottom"/>
            <w:tcBorders>
              <w:bottom w:val="single" w:sz="8" w:color="CCEEFF"/>
            </w:tcBorders>
          </w:tcPr>
          <w:p>
            <w:pPr>
              <w:jc w:val="right"/>
              <w:ind w:right="152"/>
              <w:spacing w:after="0"/>
              <w:rPr>
                <w:sz w:val="20"/>
                <w:szCs w:val="20"/>
                <w:color w:val="auto"/>
              </w:rPr>
            </w:pPr>
            <w:r>
              <w:rPr>
                <w:rFonts w:ascii="Arial" w:cs="Arial" w:eastAsia="Arial" w:hAnsi="Arial"/>
                <w:sz w:val="10"/>
                <w:szCs w:val="10"/>
                <w:i w:val="1"/>
                <w:iCs w:val="1"/>
                <w:color w:val="auto"/>
              </w:rPr>
              <w:t>6 %</w:t>
            </w:r>
          </w:p>
        </w:tc>
        <w:tc>
          <w:tcPr>
            <w:tcW w:w="1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6,942</w:t>
            </w:r>
          </w:p>
        </w:tc>
        <w:tc>
          <w:tcPr>
            <w:tcW w:w="160" w:type="dxa"/>
            <w:vAlign w:val="bottom"/>
            <w:tcBorders>
              <w:bottom w:val="single" w:sz="8" w:color="CCEEFF"/>
            </w:tcBorders>
          </w:tcPr>
          <w:p>
            <w:pPr>
              <w:spacing w:after="0"/>
              <w:rPr>
                <w:sz w:val="14"/>
                <w:szCs w:val="14"/>
                <w:color w:val="auto"/>
              </w:rPr>
            </w:pPr>
          </w:p>
        </w:tc>
        <w:tc>
          <w:tcPr>
            <w:tcW w:w="780" w:type="dxa"/>
            <w:vAlign w:val="bottom"/>
            <w:tcBorders>
              <w:bottom w:val="single" w:sz="8" w:color="CCEEFF"/>
            </w:tcBorders>
          </w:tcPr>
          <w:p>
            <w:pPr>
              <w:jc w:val="right"/>
              <w:ind w:right="152"/>
              <w:spacing w:after="0"/>
              <w:rPr>
                <w:sz w:val="20"/>
                <w:szCs w:val="20"/>
                <w:color w:val="auto"/>
              </w:rPr>
            </w:pPr>
            <w:r>
              <w:rPr>
                <w:rFonts w:ascii="Arial" w:cs="Arial" w:eastAsia="Arial" w:hAnsi="Arial"/>
                <w:sz w:val="10"/>
                <w:szCs w:val="10"/>
                <w:i w:val="1"/>
                <w:iCs w:val="1"/>
                <w:color w:val="auto"/>
              </w:rPr>
              <w:t>6 %</w:t>
            </w:r>
          </w:p>
        </w:tc>
        <w:tc>
          <w:tcPr>
            <w:tcW w:w="180" w:type="dxa"/>
            <w:vAlign w:val="bottom"/>
            <w:tcBorders>
              <w:bottom w:val="single" w:sz="8" w:color="CCEEFF"/>
            </w:tcBorders>
          </w:tcPr>
          <w:p>
            <w:pPr>
              <w:spacing w:after="0"/>
              <w:rPr>
                <w:sz w:val="14"/>
                <w:szCs w:val="14"/>
                <w:color w:val="auto"/>
              </w:rPr>
            </w:pPr>
          </w:p>
        </w:tc>
        <w:tc>
          <w:tcPr>
            <w:tcW w:w="700" w:type="dxa"/>
            <w:vAlign w:val="bottom"/>
            <w:tcBorders>
              <w:bottom w:val="single" w:sz="8" w:color="CCEEFF"/>
            </w:tcBorders>
          </w:tcPr>
          <w:p>
            <w:pPr>
              <w:jc w:val="right"/>
              <w:spacing w:after="0"/>
              <w:rPr>
                <w:sz w:val="20"/>
                <w:szCs w:val="20"/>
                <w:color w:val="auto"/>
              </w:rPr>
            </w:pPr>
            <w:r>
              <w:rPr>
                <w:rFonts w:ascii="Arial" w:cs="Arial" w:eastAsia="Arial" w:hAnsi="Arial"/>
                <w:sz w:val="10"/>
                <w:szCs w:val="10"/>
                <w:color w:val="auto"/>
              </w:rPr>
              <w:t>19</w:t>
            </w:r>
          </w:p>
        </w:tc>
        <w:tc>
          <w:tcPr>
            <w:tcW w:w="380" w:type="dxa"/>
            <w:vAlign w:val="bottom"/>
            <w:tcBorders>
              <w:bottom w:val="single" w:sz="8" w:color="CCEEFF"/>
            </w:tcBorders>
          </w:tcPr>
          <w:p>
            <w:pPr>
              <w:jc w:val="right"/>
              <w:ind w:right="232"/>
              <w:spacing w:after="0"/>
              <w:rPr>
                <w:sz w:val="20"/>
                <w:szCs w:val="20"/>
                <w:color w:val="auto"/>
              </w:rPr>
            </w:pPr>
            <w:r>
              <w:rPr>
                <w:rFonts w:ascii="Arial" w:cs="Arial" w:eastAsia="Arial" w:hAnsi="Arial"/>
                <w:sz w:val="10"/>
                <w:szCs w:val="10"/>
                <w:color w:val="auto"/>
                <w:w w:val="89"/>
              </w:rPr>
              <w:t>%</w:t>
            </w:r>
          </w:p>
        </w:tc>
        <w:tc>
          <w:tcPr>
            <w:tcW w:w="0" w:type="dxa"/>
            <w:vAlign w:val="bottom"/>
          </w:tcPr>
          <w:p>
            <w:pPr>
              <w:spacing w:after="0"/>
              <w:rPr>
                <w:sz w:val="1"/>
                <w:szCs w:val="1"/>
                <w:color w:val="auto"/>
              </w:rPr>
            </w:pPr>
          </w:p>
        </w:tc>
      </w:tr>
      <w:tr>
        <w:trPr>
          <w:trHeight w:val="151"/>
        </w:trPr>
        <w:tc>
          <w:tcPr>
            <w:tcW w:w="1660" w:type="dxa"/>
            <w:vAlign w:val="bottom"/>
            <w:shd w:val="clear" w:color="auto" w:fill="CCEEFF"/>
          </w:tcPr>
          <w:p>
            <w:pPr>
              <w:spacing w:after="0"/>
              <w:rPr>
                <w:sz w:val="13"/>
                <w:szCs w:val="13"/>
                <w:color w:val="auto"/>
              </w:rPr>
            </w:pPr>
          </w:p>
        </w:tc>
        <w:tc>
          <w:tcPr>
            <w:tcW w:w="3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380" w:type="dxa"/>
            <w:vAlign w:val="bottom"/>
            <w:shd w:val="clear" w:color="auto" w:fill="CCEEFF"/>
          </w:tcPr>
          <w:p>
            <w:pPr>
              <w:jc w:val="right"/>
              <w:ind w:right="72"/>
              <w:spacing w:after="0"/>
              <w:rPr>
                <w:sz w:val="20"/>
                <w:szCs w:val="20"/>
                <w:color w:val="auto"/>
              </w:rPr>
            </w:pPr>
            <w:r>
              <w:rPr>
                <w:rFonts w:ascii="Arial" w:cs="Arial" w:eastAsia="Arial" w:hAnsi="Arial"/>
                <w:sz w:val="10"/>
                <w:szCs w:val="10"/>
                <w:b w:val="1"/>
                <w:bCs w:val="1"/>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132,883</w:t>
            </w:r>
          </w:p>
        </w:tc>
        <w:tc>
          <w:tcPr>
            <w:tcW w:w="180" w:type="dxa"/>
            <w:vAlign w:val="bottom"/>
            <w:shd w:val="clear" w:color="auto" w:fill="CCEEFF"/>
          </w:tcPr>
          <w:p>
            <w:pPr>
              <w:spacing w:after="0"/>
              <w:rPr>
                <w:sz w:val="13"/>
                <w:szCs w:val="13"/>
                <w:color w:val="auto"/>
              </w:rPr>
            </w:pPr>
          </w:p>
        </w:tc>
        <w:tc>
          <w:tcPr>
            <w:tcW w:w="780" w:type="dxa"/>
            <w:vAlign w:val="bottom"/>
            <w:shd w:val="clear" w:color="auto" w:fill="CCEEFF"/>
          </w:tcPr>
          <w:p>
            <w:pPr>
              <w:jc w:val="right"/>
              <w:ind w:right="152"/>
              <w:spacing w:after="0" w:line="102" w:lineRule="exact"/>
              <w:rPr>
                <w:sz w:val="20"/>
                <w:szCs w:val="20"/>
                <w:color w:val="auto"/>
              </w:rPr>
            </w:pPr>
            <w:r>
              <w:rPr>
                <w:rFonts w:ascii="Arial" w:cs="Arial" w:eastAsia="Arial" w:hAnsi="Arial"/>
                <w:sz w:val="10"/>
                <w:szCs w:val="10"/>
                <w:i w:val="1"/>
                <w:iCs w:val="1"/>
                <w:color w:val="auto"/>
              </w:rPr>
              <w:t>100 %</w:t>
            </w:r>
          </w:p>
        </w:tc>
        <w:tc>
          <w:tcPr>
            <w:tcW w:w="180" w:type="dxa"/>
            <w:vAlign w:val="bottom"/>
            <w:shd w:val="clear" w:color="auto" w:fill="CCEEFF"/>
          </w:tcPr>
          <w:p>
            <w:pPr>
              <w:spacing w:after="0"/>
              <w:rPr>
                <w:sz w:val="13"/>
                <w:szCs w:val="13"/>
                <w:color w:val="auto"/>
              </w:rPr>
            </w:pPr>
          </w:p>
        </w:tc>
        <w:tc>
          <w:tcPr>
            <w:tcW w:w="360" w:type="dxa"/>
            <w:vAlign w:val="bottom"/>
            <w:shd w:val="clear" w:color="auto" w:fill="CCEEFF"/>
          </w:tcPr>
          <w:p>
            <w:pPr>
              <w:jc w:val="right"/>
              <w:ind w:right="72"/>
              <w:spacing w:after="0"/>
              <w:rPr>
                <w:sz w:val="20"/>
                <w:szCs w:val="20"/>
                <w:color w:val="auto"/>
              </w:rPr>
            </w:pPr>
            <w:r>
              <w:rPr>
                <w:rFonts w:ascii="Arial" w:cs="Arial" w:eastAsia="Arial" w:hAnsi="Arial"/>
                <w:sz w:val="10"/>
                <w:szCs w:val="10"/>
                <w:b w:val="1"/>
                <w:bCs w:val="1"/>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125,719</w:t>
            </w:r>
          </w:p>
        </w:tc>
        <w:tc>
          <w:tcPr>
            <w:tcW w:w="160" w:type="dxa"/>
            <w:vAlign w:val="bottom"/>
            <w:shd w:val="clear" w:color="auto" w:fill="CCEEFF"/>
          </w:tcPr>
          <w:p>
            <w:pPr>
              <w:spacing w:after="0"/>
              <w:rPr>
                <w:sz w:val="13"/>
                <w:szCs w:val="13"/>
                <w:color w:val="auto"/>
              </w:rPr>
            </w:pPr>
          </w:p>
        </w:tc>
        <w:tc>
          <w:tcPr>
            <w:tcW w:w="780" w:type="dxa"/>
            <w:vAlign w:val="bottom"/>
            <w:shd w:val="clear" w:color="auto" w:fill="CCEEFF"/>
          </w:tcPr>
          <w:p>
            <w:pPr>
              <w:jc w:val="right"/>
              <w:ind w:right="152"/>
              <w:spacing w:after="0" w:line="102" w:lineRule="exact"/>
              <w:rPr>
                <w:sz w:val="20"/>
                <w:szCs w:val="20"/>
                <w:color w:val="auto"/>
              </w:rPr>
            </w:pPr>
            <w:r>
              <w:rPr>
                <w:rFonts w:ascii="Arial" w:cs="Arial" w:eastAsia="Arial" w:hAnsi="Arial"/>
                <w:sz w:val="10"/>
                <w:szCs w:val="10"/>
                <w:i w:val="1"/>
                <w:iCs w:val="1"/>
                <w:color w:val="auto"/>
              </w:rPr>
              <w:t>100 %</w:t>
            </w:r>
          </w:p>
        </w:tc>
        <w:tc>
          <w:tcPr>
            <w:tcW w:w="18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line="102" w:lineRule="exact"/>
              <w:rPr>
                <w:sz w:val="20"/>
                <w:szCs w:val="20"/>
                <w:color w:val="auto"/>
              </w:rPr>
            </w:pPr>
            <w:r>
              <w:rPr>
                <w:rFonts w:ascii="Arial" w:cs="Arial" w:eastAsia="Arial" w:hAnsi="Arial"/>
                <w:sz w:val="10"/>
                <w:szCs w:val="10"/>
                <w:color w:val="auto"/>
              </w:rPr>
              <w:t>6</w:t>
            </w:r>
          </w:p>
        </w:tc>
        <w:tc>
          <w:tcPr>
            <w:tcW w:w="380" w:type="dxa"/>
            <w:vAlign w:val="bottom"/>
            <w:shd w:val="clear" w:color="auto" w:fill="CCEEFF"/>
          </w:tcPr>
          <w:p>
            <w:pPr>
              <w:jc w:val="right"/>
              <w:ind w:right="232"/>
              <w:spacing w:after="0"/>
              <w:rPr>
                <w:sz w:val="20"/>
                <w:szCs w:val="20"/>
                <w:color w:val="auto"/>
              </w:rPr>
            </w:pPr>
            <w:r>
              <w:rPr>
                <w:rFonts w:ascii="Arial" w:cs="Arial" w:eastAsia="Arial" w:hAnsi="Arial"/>
                <w:sz w:val="10"/>
                <w:szCs w:val="10"/>
                <w:color w:val="auto"/>
                <w:w w:val="89"/>
              </w:rPr>
              <w:t>%</w:t>
            </w:r>
          </w:p>
        </w:tc>
        <w:tc>
          <w:tcPr>
            <w:tcW w:w="0" w:type="dxa"/>
            <w:vAlign w:val="bottom"/>
          </w:tcPr>
          <w:p>
            <w:pPr>
              <w:spacing w:after="0"/>
              <w:rPr>
                <w:sz w:val="1"/>
                <w:szCs w:val="1"/>
                <w:color w:val="auto"/>
              </w:rPr>
            </w:pPr>
          </w:p>
        </w:tc>
      </w:tr>
      <w:tr>
        <w:trPr>
          <w:trHeight w:val="171"/>
        </w:trPr>
        <w:tc>
          <w:tcPr>
            <w:tcW w:w="1660" w:type="dxa"/>
            <w:vAlign w:val="bottom"/>
          </w:tcPr>
          <w:p>
            <w:pPr>
              <w:ind w:left="400"/>
              <w:spacing w:after="0"/>
              <w:rPr>
                <w:sz w:val="20"/>
                <w:szCs w:val="20"/>
                <w:color w:val="auto"/>
              </w:rPr>
            </w:pPr>
            <w:r>
              <w:rPr>
                <w:rFonts w:ascii="Arial" w:cs="Arial" w:eastAsia="Arial" w:hAnsi="Arial"/>
                <w:sz w:val="10"/>
                <w:szCs w:val="10"/>
                <w:b w:val="1"/>
                <w:bCs w:val="1"/>
                <w:color w:val="auto"/>
              </w:rPr>
              <w:t>Australia</w:t>
            </w:r>
          </w:p>
        </w:tc>
        <w:tc>
          <w:tcPr>
            <w:tcW w:w="3280" w:type="dxa"/>
            <w:vAlign w:val="bottom"/>
            <w:gridSpan w:val="2"/>
          </w:tcPr>
          <w:p>
            <w:pPr>
              <w:ind w:left="320"/>
              <w:spacing w:after="0"/>
              <w:rPr>
                <w:sz w:val="20"/>
                <w:szCs w:val="20"/>
                <w:color w:val="auto"/>
              </w:rPr>
            </w:pPr>
            <w:r>
              <w:rPr>
                <w:rFonts w:ascii="Arial" w:cs="Arial" w:eastAsia="Arial" w:hAnsi="Arial"/>
                <w:sz w:val="10"/>
                <w:szCs w:val="10"/>
                <w:color w:val="auto"/>
              </w:rPr>
              <w:t>Admission revenue</w:t>
            </w:r>
          </w:p>
        </w:tc>
        <w:tc>
          <w:tcPr>
            <w:tcW w:w="3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0"/>
                <w:szCs w:val="10"/>
                <w:color w:val="auto"/>
              </w:rPr>
              <w:t>54,814</w:t>
            </w:r>
          </w:p>
        </w:tc>
        <w:tc>
          <w:tcPr>
            <w:tcW w:w="180" w:type="dxa"/>
            <w:vAlign w:val="bottom"/>
          </w:tcPr>
          <w:p>
            <w:pPr>
              <w:spacing w:after="0"/>
              <w:rPr>
                <w:sz w:val="14"/>
                <w:szCs w:val="14"/>
                <w:color w:val="auto"/>
              </w:rPr>
            </w:pPr>
          </w:p>
        </w:tc>
        <w:tc>
          <w:tcPr>
            <w:tcW w:w="780" w:type="dxa"/>
            <w:vAlign w:val="bottom"/>
          </w:tcPr>
          <w:p>
            <w:pPr>
              <w:jc w:val="right"/>
              <w:ind w:right="152"/>
              <w:spacing w:after="0"/>
              <w:rPr>
                <w:sz w:val="20"/>
                <w:szCs w:val="20"/>
                <w:color w:val="auto"/>
              </w:rPr>
            </w:pPr>
            <w:r>
              <w:rPr>
                <w:rFonts w:ascii="Arial" w:cs="Arial" w:eastAsia="Arial" w:hAnsi="Arial"/>
                <w:sz w:val="10"/>
                <w:szCs w:val="10"/>
                <w:i w:val="1"/>
                <w:iCs w:val="1"/>
                <w:color w:val="auto"/>
              </w:rPr>
              <w:t>64 %</w:t>
            </w: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0"/>
                <w:szCs w:val="10"/>
                <w:color w:val="auto"/>
              </w:rPr>
              <w:t>58,148</w:t>
            </w:r>
          </w:p>
        </w:tc>
        <w:tc>
          <w:tcPr>
            <w:tcW w:w="160" w:type="dxa"/>
            <w:vAlign w:val="bottom"/>
          </w:tcPr>
          <w:p>
            <w:pPr>
              <w:spacing w:after="0"/>
              <w:rPr>
                <w:sz w:val="14"/>
                <w:szCs w:val="14"/>
                <w:color w:val="auto"/>
              </w:rPr>
            </w:pPr>
          </w:p>
        </w:tc>
        <w:tc>
          <w:tcPr>
            <w:tcW w:w="780" w:type="dxa"/>
            <w:vAlign w:val="bottom"/>
          </w:tcPr>
          <w:p>
            <w:pPr>
              <w:jc w:val="right"/>
              <w:ind w:right="152"/>
              <w:spacing w:after="0"/>
              <w:rPr>
                <w:sz w:val="20"/>
                <w:szCs w:val="20"/>
                <w:color w:val="auto"/>
              </w:rPr>
            </w:pPr>
            <w:r>
              <w:rPr>
                <w:rFonts w:ascii="Arial" w:cs="Arial" w:eastAsia="Arial" w:hAnsi="Arial"/>
                <w:sz w:val="10"/>
                <w:szCs w:val="10"/>
                <w:i w:val="1"/>
                <w:iCs w:val="1"/>
                <w:color w:val="auto"/>
              </w:rPr>
              <w:t>66 %</w:t>
            </w:r>
          </w:p>
        </w:tc>
        <w:tc>
          <w:tcPr>
            <w:tcW w:w="180" w:type="dxa"/>
            <w:vAlign w:val="bottom"/>
          </w:tcPr>
          <w:p>
            <w:pPr>
              <w:spacing w:after="0"/>
              <w:rPr>
                <w:sz w:val="14"/>
                <w:szCs w:val="14"/>
                <w:color w:val="auto"/>
              </w:rPr>
            </w:pPr>
          </w:p>
        </w:tc>
        <w:tc>
          <w:tcPr>
            <w:tcW w:w="1080" w:type="dxa"/>
            <w:vAlign w:val="bottom"/>
            <w:gridSpan w:val="2"/>
          </w:tcPr>
          <w:p>
            <w:pPr>
              <w:jc w:val="right"/>
              <w:ind w:right="232"/>
              <w:spacing w:after="0"/>
              <w:rPr>
                <w:sz w:val="20"/>
                <w:szCs w:val="20"/>
                <w:color w:val="auto"/>
              </w:rPr>
            </w:pPr>
            <w:r>
              <w:rPr>
                <w:rFonts w:ascii="Arial" w:cs="Arial" w:eastAsia="Arial" w:hAnsi="Arial"/>
                <w:sz w:val="10"/>
                <w:szCs w:val="10"/>
                <w:color w:val="auto"/>
              </w:rPr>
              <w:t>(6) %</w:t>
            </w:r>
          </w:p>
        </w:tc>
        <w:tc>
          <w:tcPr>
            <w:tcW w:w="0" w:type="dxa"/>
            <w:vAlign w:val="bottom"/>
          </w:tcPr>
          <w:p>
            <w:pPr>
              <w:spacing w:after="0"/>
              <w:rPr>
                <w:sz w:val="1"/>
                <w:szCs w:val="1"/>
                <w:color w:val="auto"/>
              </w:rPr>
            </w:pPr>
          </w:p>
        </w:tc>
      </w:tr>
      <w:tr>
        <w:trPr>
          <w:trHeight w:val="171"/>
        </w:trPr>
        <w:tc>
          <w:tcPr>
            <w:tcW w:w="1660" w:type="dxa"/>
            <w:vAlign w:val="bottom"/>
            <w:shd w:val="clear" w:color="auto" w:fill="CCEEFF"/>
          </w:tcPr>
          <w:p>
            <w:pPr>
              <w:spacing w:after="0"/>
              <w:rPr>
                <w:sz w:val="14"/>
                <w:szCs w:val="14"/>
                <w:color w:val="auto"/>
              </w:rPr>
            </w:pPr>
          </w:p>
        </w:tc>
        <w:tc>
          <w:tcPr>
            <w:tcW w:w="3280" w:type="dxa"/>
            <w:vAlign w:val="bottom"/>
            <w:gridSpan w:val="2"/>
            <w:shd w:val="clear" w:color="auto" w:fill="CCEEFF"/>
          </w:tcPr>
          <w:p>
            <w:pPr>
              <w:ind w:left="320"/>
              <w:spacing w:after="0"/>
              <w:rPr>
                <w:sz w:val="20"/>
                <w:szCs w:val="20"/>
                <w:color w:val="auto"/>
              </w:rPr>
            </w:pPr>
            <w:r>
              <w:rPr>
                <w:rFonts w:ascii="Arial" w:cs="Arial" w:eastAsia="Arial" w:hAnsi="Arial"/>
                <w:sz w:val="10"/>
                <w:szCs w:val="10"/>
                <w:color w:val="auto"/>
              </w:rPr>
              <w:t>Concession revenue</w:t>
            </w:r>
          </w:p>
        </w:tc>
        <w:tc>
          <w:tcPr>
            <w:tcW w:w="3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24,549</w:t>
            </w: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152"/>
              <w:spacing w:after="0"/>
              <w:rPr>
                <w:sz w:val="20"/>
                <w:szCs w:val="20"/>
                <w:color w:val="auto"/>
              </w:rPr>
            </w:pPr>
            <w:r>
              <w:rPr>
                <w:rFonts w:ascii="Arial" w:cs="Arial" w:eastAsia="Arial" w:hAnsi="Arial"/>
                <w:sz w:val="10"/>
                <w:szCs w:val="10"/>
                <w:i w:val="1"/>
                <w:iCs w:val="1"/>
                <w:color w:val="auto"/>
              </w:rPr>
              <w:t>28 %</w:t>
            </w:r>
          </w:p>
        </w:tc>
        <w:tc>
          <w:tcPr>
            <w:tcW w:w="1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24,278</w:t>
            </w: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152"/>
              <w:spacing w:after="0"/>
              <w:rPr>
                <w:sz w:val="20"/>
                <w:szCs w:val="20"/>
                <w:color w:val="auto"/>
              </w:rPr>
            </w:pPr>
            <w:r>
              <w:rPr>
                <w:rFonts w:ascii="Arial" w:cs="Arial" w:eastAsia="Arial" w:hAnsi="Arial"/>
                <w:sz w:val="10"/>
                <w:szCs w:val="10"/>
                <w:i w:val="1"/>
                <w:iCs w:val="1"/>
                <w:color w:val="auto"/>
              </w:rPr>
              <w:t>27 %</w:t>
            </w: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w:t>
            </w:r>
          </w:p>
        </w:tc>
        <w:tc>
          <w:tcPr>
            <w:tcW w:w="380" w:type="dxa"/>
            <w:vAlign w:val="bottom"/>
            <w:shd w:val="clear" w:color="auto" w:fill="CCEEFF"/>
          </w:tcPr>
          <w:p>
            <w:pPr>
              <w:jc w:val="right"/>
              <w:ind w:right="232"/>
              <w:spacing w:after="0"/>
              <w:rPr>
                <w:sz w:val="20"/>
                <w:szCs w:val="20"/>
                <w:color w:val="auto"/>
              </w:rPr>
            </w:pPr>
            <w:r>
              <w:rPr>
                <w:rFonts w:ascii="Arial" w:cs="Arial" w:eastAsia="Arial" w:hAnsi="Arial"/>
                <w:sz w:val="10"/>
                <w:szCs w:val="10"/>
                <w:color w:val="auto"/>
                <w:w w:val="89"/>
              </w:rPr>
              <w:t>%</w:t>
            </w:r>
          </w:p>
        </w:tc>
        <w:tc>
          <w:tcPr>
            <w:tcW w:w="0" w:type="dxa"/>
            <w:vAlign w:val="bottom"/>
          </w:tcPr>
          <w:p>
            <w:pPr>
              <w:spacing w:after="0"/>
              <w:rPr>
                <w:sz w:val="1"/>
                <w:szCs w:val="1"/>
                <w:color w:val="auto"/>
              </w:rPr>
            </w:pPr>
          </w:p>
        </w:tc>
      </w:tr>
      <w:tr>
        <w:trPr>
          <w:trHeight w:val="171"/>
        </w:trPr>
        <w:tc>
          <w:tcPr>
            <w:tcW w:w="1660" w:type="dxa"/>
            <w:vAlign w:val="bottom"/>
            <w:tcBorders>
              <w:bottom w:val="single" w:sz="8" w:color="CCEEFF"/>
            </w:tcBorders>
          </w:tcPr>
          <w:p>
            <w:pPr>
              <w:spacing w:after="0"/>
              <w:rPr>
                <w:sz w:val="14"/>
                <w:szCs w:val="14"/>
                <w:color w:val="auto"/>
              </w:rPr>
            </w:pPr>
          </w:p>
        </w:tc>
        <w:tc>
          <w:tcPr>
            <w:tcW w:w="3280" w:type="dxa"/>
            <w:vAlign w:val="bottom"/>
            <w:tcBorders>
              <w:bottom w:val="single" w:sz="8" w:color="CCEEFF"/>
            </w:tcBorders>
            <w:gridSpan w:val="2"/>
          </w:tcPr>
          <w:p>
            <w:pPr>
              <w:ind w:left="320"/>
              <w:spacing w:after="0"/>
              <w:rPr>
                <w:sz w:val="20"/>
                <w:szCs w:val="20"/>
                <w:color w:val="auto"/>
              </w:rPr>
            </w:pPr>
            <w:r>
              <w:rPr>
                <w:rFonts w:ascii="Arial" w:cs="Arial" w:eastAsia="Arial" w:hAnsi="Arial"/>
                <w:sz w:val="10"/>
                <w:szCs w:val="10"/>
                <w:color w:val="auto"/>
              </w:rPr>
              <w:t>Advertising and other revenue</w:t>
            </w:r>
          </w:p>
        </w:tc>
        <w:tc>
          <w:tcPr>
            <w:tcW w:w="3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6,872</w:t>
            </w:r>
          </w:p>
        </w:tc>
        <w:tc>
          <w:tcPr>
            <w:tcW w:w="180" w:type="dxa"/>
            <w:vAlign w:val="bottom"/>
            <w:tcBorders>
              <w:bottom w:val="single" w:sz="8" w:color="CCEEFF"/>
            </w:tcBorders>
          </w:tcPr>
          <w:p>
            <w:pPr>
              <w:spacing w:after="0"/>
              <w:rPr>
                <w:sz w:val="14"/>
                <w:szCs w:val="14"/>
                <w:color w:val="auto"/>
              </w:rPr>
            </w:pPr>
          </w:p>
        </w:tc>
        <w:tc>
          <w:tcPr>
            <w:tcW w:w="780" w:type="dxa"/>
            <w:vAlign w:val="bottom"/>
            <w:tcBorders>
              <w:bottom w:val="single" w:sz="8" w:color="CCEEFF"/>
            </w:tcBorders>
          </w:tcPr>
          <w:p>
            <w:pPr>
              <w:jc w:val="right"/>
              <w:ind w:right="152"/>
              <w:spacing w:after="0"/>
              <w:rPr>
                <w:sz w:val="20"/>
                <w:szCs w:val="20"/>
                <w:color w:val="auto"/>
              </w:rPr>
            </w:pPr>
            <w:r>
              <w:rPr>
                <w:rFonts w:ascii="Arial" w:cs="Arial" w:eastAsia="Arial" w:hAnsi="Arial"/>
                <w:sz w:val="10"/>
                <w:szCs w:val="10"/>
                <w:i w:val="1"/>
                <w:iCs w:val="1"/>
                <w:color w:val="auto"/>
              </w:rPr>
              <w:t>8 %</w:t>
            </w:r>
          </w:p>
        </w:tc>
        <w:tc>
          <w:tcPr>
            <w:tcW w:w="1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6,068</w:t>
            </w:r>
          </w:p>
        </w:tc>
        <w:tc>
          <w:tcPr>
            <w:tcW w:w="160" w:type="dxa"/>
            <w:vAlign w:val="bottom"/>
            <w:tcBorders>
              <w:bottom w:val="single" w:sz="8" w:color="CCEEFF"/>
            </w:tcBorders>
          </w:tcPr>
          <w:p>
            <w:pPr>
              <w:spacing w:after="0"/>
              <w:rPr>
                <w:sz w:val="14"/>
                <w:szCs w:val="14"/>
                <w:color w:val="auto"/>
              </w:rPr>
            </w:pPr>
          </w:p>
        </w:tc>
        <w:tc>
          <w:tcPr>
            <w:tcW w:w="780" w:type="dxa"/>
            <w:vAlign w:val="bottom"/>
            <w:tcBorders>
              <w:bottom w:val="single" w:sz="8" w:color="CCEEFF"/>
            </w:tcBorders>
          </w:tcPr>
          <w:p>
            <w:pPr>
              <w:jc w:val="right"/>
              <w:ind w:right="152"/>
              <w:spacing w:after="0"/>
              <w:rPr>
                <w:sz w:val="20"/>
                <w:szCs w:val="20"/>
                <w:color w:val="auto"/>
              </w:rPr>
            </w:pPr>
            <w:r>
              <w:rPr>
                <w:rFonts w:ascii="Arial" w:cs="Arial" w:eastAsia="Arial" w:hAnsi="Arial"/>
                <w:sz w:val="10"/>
                <w:szCs w:val="10"/>
                <w:i w:val="1"/>
                <w:iCs w:val="1"/>
                <w:color w:val="auto"/>
              </w:rPr>
              <w:t>7 %</w:t>
            </w:r>
          </w:p>
        </w:tc>
        <w:tc>
          <w:tcPr>
            <w:tcW w:w="180" w:type="dxa"/>
            <w:vAlign w:val="bottom"/>
            <w:tcBorders>
              <w:bottom w:val="single" w:sz="8" w:color="CCEEFF"/>
            </w:tcBorders>
          </w:tcPr>
          <w:p>
            <w:pPr>
              <w:spacing w:after="0"/>
              <w:rPr>
                <w:sz w:val="14"/>
                <w:szCs w:val="14"/>
                <w:color w:val="auto"/>
              </w:rPr>
            </w:pPr>
          </w:p>
        </w:tc>
        <w:tc>
          <w:tcPr>
            <w:tcW w:w="700" w:type="dxa"/>
            <w:vAlign w:val="bottom"/>
            <w:tcBorders>
              <w:bottom w:val="single" w:sz="8" w:color="CCEEFF"/>
            </w:tcBorders>
          </w:tcPr>
          <w:p>
            <w:pPr>
              <w:jc w:val="right"/>
              <w:spacing w:after="0"/>
              <w:rPr>
                <w:sz w:val="20"/>
                <w:szCs w:val="20"/>
                <w:color w:val="auto"/>
              </w:rPr>
            </w:pPr>
            <w:r>
              <w:rPr>
                <w:rFonts w:ascii="Arial" w:cs="Arial" w:eastAsia="Arial" w:hAnsi="Arial"/>
                <w:sz w:val="10"/>
                <w:szCs w:val="10"/>
                <w:color w:val="auto"/>
              </w:rPr>
              <w:t>13</w:t>
            </w:r>
          </w:p>
        </w:tc>
        <w:tc>
          <w:tcPr>
            <w:tcW w:w="380" w:type="dxa"/>
            <w:vAlign w:val="bottom"/>
            <w:tcBorders>
              <w:bottom w:val="single" w:sz="8" w:color="CCEEFF"/>
            </w:tcBorders>
          </w:tcPr>
          <w:p>
            <w:pPr>
              <w:jc w:val="right"/>
              <w:ind w:right="232"/>
              <w:spacing w:after="0"/>
              <w:rPr>
                <w:sz w:val="20"/>
                <w:szCs w:val="20"/>
                <w:color w:val="auto"/>
              </w:rPr>
            </w:pPr>
            <w:r>
              <w:rPr>
                <w:rFonts w:ascii="Arial" w:cs="Arial" w:eastAsia="Arial" w:hAnsi="Arial"/>
                <w:sz w:val="10"/>
                <w:szCs w:val="10"/>
                <w:color w:val="auto"/>
                <w:w w:val="89"/>
              </w:rPr>
              <w:t>%</w:t>
            </w:r>
          </w:p>
        </w:tc>
        <w:tc>
          <w:tcPr>
            <w:tcW w:w="0" w:type="dxa"/>
            <w:vAlign w:val="bottom"/>
          </w:tcPr>
          <w:p>
            <w:pPr>
              <w:spacing w:after="0"/>
              <w:rPr>
                <w:sz w:val="1"/>
                <w:szCs w:val="1"/>
                <w:color w:val="auto"/>
              </w:rPr>
            </w:pPr>
          </w:p>
        </w:tc>
      </w:tr>
      <w:tr>
        <w:trPr>
          <w:trHeight w:val="151"/>
        </w:trPr>
        <w:tc>
          <w:tcPr>
            <w:tcW w:w="1660" w:type="dxa"/>
            <w:vAlign w:val="bottom"/>
            <w:shd w:val="clear" w:color="auto" w:fill="CCEEFF"/>
          </w:tcPr>
          <w:p>
            <w:pPr>
              <w:spacing w:after="0"/>
              <w:rPr>
                <w:sz w:val="13"/>
                <w:szCs w:val="13"/>
                <w:color w:val="auto"/>
              </w:rPr>
            </w:pPr>
          </w:p>
        </w:tc>
        <w:tc>
          <w:tcPr>
            <w:tcW w:w="3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380" w:type="dxa"/>
            <w:vAlign w:val="bottom"/>
            <w:shd w:val="clear" w:color="auto" w:fill="CCEEFF"/>
          </w:tcPr>
          <w:p>
            <w:pPr>
              <w:jc w:val="right"/>
              <w:ind w:right="72"/>
              <w:spacing w:after="0"/>
              <w:rPr>
                <w:sz w:val="20"/>
                <w:szCs w:val="20"/>
                <w:color w:val="auto"/>
              </w:rPr>
            </w:pPr>
            <w:r>
              <w:rPr>
                <w:rFonts w:ascii="Arial" w:cs="Arial" w:eastAsia="Arial" w:hAnsi="Arial"/>
                <w:sz w:val="10"/>
                <w:szCs w:val="10"/>
                <w:b w:val="1"/>
                <w:bCs w:val="1"/>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86,235</w:t>
            </w:r>
          </w:p>
        </w:tc>
        <w:tc>
          <w:tcPr>
            <w:tcW w:w="180" w:type="dxa"/>
            <w:vAlign w:val="bottom"/>
            <w:shd w:val="clear" w:color="auto" w:fill="CCEEFF"/>
          </w:tcPr>
          <w:p>
            <w:pPr>
              <w:spacing w:after="0"/>
              <w:rPr>
                <w:sz w:val="13"/>
                <w:szCs w:val="13"/>
                <w:color w:val="auto"/>
              </w:rPr>
            </w:pPr>
          </w:p>
        </w:tc>
        <w:tc>
          <w:tcPr>
            <w:tcW w:w="780" w:type="dxa"/>
            <w:vAlign w:val="bottom"/>
            <w:shd w:val="clear" w:color="auto" w:fill="CCEEFF"/>
          </w:tcPr>
          <w:p>
            <w:pPr>
              <w:jc w:val="right"/>
              <w:ind w:right="152"/>
              <w:spacing w:after="0" w:line="102" w:lineRule="exact"/>
              <w:rPr>
                <w:sz w:val="20"/>
                <w:szCs w:val="20"/>
                <w:color w:val="auto"/>
              </w:rPr>
            </w:pPr>
            <w:r>
              <w:rPr>
                <w:rFonts w:ascii="Arial" w:cs="Arial" w:eastAsia="Arial" w:hAnsi="Arial"/>
                <w:sz w:val="10"/>
                <w:szCs w:val="10"/>
                <w:i w:val="1"/>
                <w:iCs w:val="1"/>
                <w:color w:val="auto"/>
              </w:rPr>
              <w:t>100 %</w:t>
            </w:r>
          </w:p>
        </w:tc>
        <w:tc>
          <w:tcPr>
            <w:tcW w:w="180" w:type="dxa"/>
            <w:vAlign w:val="bottom"/>
            <w:shd w:val="clear" w:color="auto" w:fill="CCEEFF"/>
          </w:tcPr>
          <w:p>
            <w:pPr>
              <w:spacing w:after="0"/>
              <w:rPr>
                <w:sz w:val="13"/>
                <w:szCs w:val="13"/>
                <w:color w:val="auto"/>
              </w:rPr>
            </w:pPr>
          </w:p>
        </w:tc>
        <w:tc>
          <w:tcPr>
            <w:tcW w:w="360" w:type="dxa"/>
            <w:vAlign w:val="bottom"/>
            <w:shd w:val="clear" w:color="auto" w:fill="CCEEFF"/>
          </w:tcPr>
          <w:p>
            <w:pPr>
              <w:jc w:val="right"/>
              <w:ind w:right="72"/>
              <w:spacing w:after="0"/>
              <w:rPr>
                <w:sz w:val="20"/>
                <w:szCs w:val="20"/>
                <w:color w:val="auto"/>
              </w:rPr>
            </w:pPr>
            <w:r>
              <w:rPr>
                <w:rFonts w:ascii="Arial" w:cs="Arial" w:eastAsia="Arial" w:hAnsi="Arial"/>
                <w:sz w:val="10"/>
                <w:szCs w:val="10"/>
                <w:b w:val="1"/>
                <w:bCs w:val="1"/>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88,494</w:t>
            </w:r>
          </w:p>
        </w:tc>
        <w:tc>
          <w:tcPr>
            <w:tcW w:w="160" w:type="dxa"/>
            <w:vAlign w:val="bottom"/>
            <w:shd w:val="clear" w:color="auto" w:fill="CCEEFF"/>
          </w:tcPr>
          <w:p>
            <w:pPr>
              <w:spacing w:after="0"/>
              <w:rPr>
                <w:sz w:val="13"/>
                <w:szCs w:val="13"/>
                <w:color w:val="auto"/>
              </w:rPr>
            </w:pPr>
          </w:p>
        </w:tc>
        <w:tc>
          <w:tcPr>
            <w:tcW w:w="780" w:type="dxa"/>
            <w:vAlign w:val="bottom"/>
            <w:shd w:val="clear" w:color="auto" w:fill="CCEEFF"/>
          </w:tcPr>
          <w:p>
            <w:pPr>
              <w:jc w:val="right"/>
              <w:ind w:right="152"/>
              <w:spacing w:after="0" w:line="102" w:lineRule="exact"/>
              <w:rPr>
                <w:sz w:val="20"/>
                <w:szCs w:val="20"/>
                <w:color w:val="auto"/>
              </w:rPr>
            </w:pPr>
            <w:r>
              <w:rPr>
                <w:rFonts w:ascii="Arial" w:cs="Arial" w:eastAsia="Arial" w:hAnsi="Arial"/>
                <w:sz w:val="10"/>
                <w:szCs w:val="10"/>
                <w:i w:val="1"/>
                <w:iCs w:val="1"/>
                <w:color w:val="auto"/>
              </w:rPr>
              <w:t>100 %</w:t>
            </w:r>
          </w:p>
        </w:tc>
        <w:tc>
          <w:tcPr>
            <w:tcW w:w="18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232"/>
              <w:spacing w:after="0" w:line="151" w:lineRule="exact"/>
              <w:rPr>
                <w:sz w:val="20"/>
                <w:szCs w:val="20"/>
                <w:color w:val="auto"/>
              </w:rPr>
            </w:pPr>
            <w:r>
              <w:rPr>
                <w:rFonts w:ascii="Arial" w:cs="Arial" w:eastAsia="Arial" w:hAnsi="Arial"/>
                <w:sz w:val="9"/>
                <w:szCs w:val="9"/>
                <w:color w:val="auto"/>
              </w:rPr>
              <w:t xml:space="preserve">(3) </w:t>
            </w:r>
            <w:r>
              <w:rPr>
                <w:rFonts w:ascii="Arial" w:cs="Arial" w:eastAsia="Arial" w:hAnsi="Arial"/>
                <w:sz w:val="17"/>
                <w:szCs w:val="17"/>
                <w:color w:val="auto"/>
                <w:vertAlign w:val="subscript"/>
              </w:rPr>
              <w:t>%</w:t>
            </w:r>
          </w:p>
        </w:tc>
        <w:tc>
          <w:tcPr>
            <w:tcW w:w="0" w:type="dxa"/>
            <w:vAlign w:val="bottom"/>
          </w:tcPr>
          <w:p>
            <w:pPr>
              <w:spacing w:after="0"/>
              <w:rPr>
                <w:sz w:val="1"/>
                <w:szCs w:val="1"/>
                <w:color w:val="auto"/>
              </w:rPr>
            </w:pPr>
          </w:p>
        </w:tc>
      </w:tr>
      <w:tr>
        <w:trPr>
          <w:trHeight w:val="171"/>
        </w:trPr>
        <w:tc>
          <w:tcPr>
            <w:tcW w:w="1660" w:type="dxa"/>
            <w:vAlign w:val="bottom"/>
          </w:tcPr>
          <w:p>
            <w:pPr>
              <w:ind w:left="400"/>
              <w:spacing w:after="0"/>
              <w:rPr>
                <w:sz w:val="20"/>
                <w:szCs w:val="20"/>
                <w:color w:val="auto"/>
              </w:rPr>
            </w:pPr>
            <w:r>
              <w:rPr>
                <w:rFonts w:ascii="Arial" w:cs="Arial" w:eastAsia="Arial" w:hAnsi="Arial"/>
                <w:sz w:val="10"/>
                <w:szCs w:val="10"/>
                <w:b w:val="1"/>
                <w:bCs w:val="1"/>
                <w:color w:val="auto"/>
              </w:rPr>
              <w:t>New Zealand</w:t>
            </w:r>
          </w:p>
        </w:tc>
        <w:tc>
          <w:tcPr>
            <w:tcW w:w="3280" w:type="dxa"/>
            <w:vAlign w:val="bottom"/>
            <w:gridSpan w:val="2"/>
          </w:tcPr>
          <w:p>
            <w:pPr>
              <w:ind w:left="320"/>
              <w:spacing w:after="0"/>
              <w:rPr>
                <w:sz w:val="20"/>
                <w:szCs w:val="20"/>
                <w:color w:val="auto"/>
              </w:rPr>
            </w:pPr>
            <w:r>
              <w:rPr>
                <w:rFonts w:ascii="Arial" w:cs="Arial" w:eastAsia="Arial" w:hAnsi="Arial"/>
                <w:sz w:val="10"/>
                <w:szCs w:val="10"/>
                <w:color w:val="auto"/>
              </w:rPr>
              <w:t>Admission revenue</w:t>
            </w:r>
          </w:p>
        </w:tc>
        <w:tc>
          <w:tcPr>
            <w:tcW w:w="3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0"/>
                <w:szCs w:val="10"/>
                <w:color w:val="auto"/>
              </w:rPr>
              <w:t>15,489</w:t>
            </w:r>
          </w:p>
        </w:tc>
        <w:tc>
          <w:tcPr>
            <w:tcW w:w="180" w:type="dxa"/>
            <w:vAlign w:val="bottom"/>
          </w:tcPr>
          <w:p>
            <w:pPr>
              <w:spacing w:after="0"/>
              <w:rPr>
                <w:sz w:val="14"/>
                <w:szCs w:val="14"/>
                <w:color w:val="auto"/>
              </w:rPr>
            </w:pPr>
          </w:p>
        </w:tc>
        <w:tc>
          <w:tcPr>
            <w:tcW w:w="780" w:type="dxa"/>
            <w:vAlign w:val="bottom"/>
          </w:tcPr>
          <w:p>
            <w:pPr>
              <w:jc w:val="right"/>
              <w:ind w:right="152"/>
              <w:spacing w:after="0"/>
              <w:rPr>
                <w:sz w:val="20"/>
                <w:szCs w:val="20"/>
                <w:color w:val="auto"/>
              </w:rPr>
            </w:pPr>
            <w:r>
              <w:rPr>
                <w:rFonts w:ascii="Arial" w:cs="Arial" w:eastAsia="Arial" w:hAnsi="Arial"/>
                <w:sz w:val="10"/>
                <w:szCs w:val="10"/>
                <w:i w:val="1"/>
                <w:iCs w:val="1"/>
                <w:color w:val="auto"/>
              </w:rPr>
              <w:t>67 %</w:t>
            </w: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0"/>
                <w:szCs w:val="10"/>
                <w:color w:val="auto"/>
              </w:rPr>
              <w:t>15,908</w:t>
            </w:r>
          </w:p>
        </w:tc>
        <w:tc>
          <w:tcPr>
            <w:tcW w:w="160" w:type="dxa"/>
            <w:vAlign w:val="bottom"/>
          </w:tcPr>
          <w:p>
            <w:pPr>
              <w:spacing w:after="0"/>
              <w:rPr>
                <w:sz w:val="14"/>
                <w:szCs w:val="14"/>
                <w:color w:val="auto"/>
              </w:rPr>
            </w:pPr>
          </w:p>
        </w:tc>
        <w:tc>
          <w:tcPr>
            <w:tcW w:w="780" w:type="dxa"/>
            <w:vAlign w:val="bottom"/>
          </w:tcPr>
          <w:p>
            <w:pPr>
              <w:jc w:val="right"/>
              <w:ind w:right="152"/>
              <w:spacing w:after="0"/>
              <w:rPr>
                <w:sz w:val="20"/>
                <w:szCs w:val="20"/>
                <w:color w:val="auto"/>
              </w:rPr>
            </w:pPr>
            <w:r>
              <w:rPr>
                <w:rFonts w:ascii="Arial" w:cs="Arial" w:eastAsia="Arial" w:hAnsi="Arial"/>
                <w:sz w:val="10"/>
                <w:szCs w:val="10"/>
                <w:i w:val="1"/>
                <w:iCs w:val="1"/>
                <w:color w:val="auto"/>
              </w:rPr>
              <w:t>67 %</w:t>
            </w:r>
          </w:p>
        </w:tc>
        <w:tc>
          <w:tcPr>
            <w:tcW w:w="180" w:type="dxa"/>
            <w:vAlign w:val="bottom"/>
          </w:tcPr>
          <w:p>
            <w:pPr>
              <w:spacing w:after="0"/>
              <w:rPr>
                <w:sz w:val="14"/>
                <w:szCs w:val="14"/>
                <w:color w:val="auto"/>
              </w:rPr>
            </w:pPr>
          </w:p>
        </w:tc>
        <w:tc>
          <w:tcPr>
            <w:tcW w:w="1080" w:type="dxa"/>
            <w:vAlign w:val="bottom"/>
            <w:gridSpan w:val="2"/>
          </w:tcPr>
          <w:p>
            <w:pPr>
              <w:jc w:val="right"/>
              <w:ind w:right="232"/>
              <w:spacing w:after="0"/>
              <w:rPr>
                <w:sz w:val="20"/>
                <w:szCs w:val="20"/>
                <w:color w:val="auto"/>
              </w:rPr>
            </w:pPr>
            <w:r>
              <w:rPr>
                <w:rFonts w:ascii="Arial" w:cs="Arial" w:eastAsia="Arial" w:hAnsi="Arial"/>
                <w:sz w:val="10"/>
                <w:szCs w:val="10"/>
                <w:color w:val="auto"/>
              </w:rPr>
              <w:t>(3) %</w:t>
            </w:r>
          </w:p>
        </w:tc>
        <w:tc>
          <w:tcPr>
            <w:tcW w:w="0" w:type="dxa"/>
            <w:vAlign w:val="bottom"/>
          </w:tcPr>
          <w:p>
            <w:pPr>
              <w:spacing w:after="0"/>
              <w:rPr>
                <w:sz w:val="1"/>
                <w:szCs w:val="1"/>
                <w:color w:val="auto"/>
              </w:rPr>
            </w:pPr>
          </w:p>
        </w:tc>
      </w:tr>
      <w:tr>
        <w:trPr>
          <w:trHeight w:val="171"/>
        </w:trPr>
        <w:tc>
          <w:tcPr>
            <w:tcW w:w="1660" w:type="dxa"/>
            <w:vAlign w:val="bottom"/>
            <w:shd w:val="clear" w:color="auto" w:fill="CCEEFF"/>
          </w:tcPr>
          <w:p>
            <w:pPr>
              <w:spacing w:after="0"/>
              <w:rPr>
                <w:sz w:val="14"/>
                <w:szCs w:val="14"/>
                <w:color w:val="auto"/>
              </w:rPr>
            </w:pPr>
          </w:p>
        </w:tc>
        <w:tc>
          <w:tcPr>
            <w:tcW w:w="3280" w:type="dxa"/>
            <w:vAlign w:val="bottom"/>
            <w:gridSpan w:val="2"/>
            <w:shd w:val="clear" w:color="auto" w:fill="CCEEFF"/>
          </w:tcPr>
          <w:p>
            <w:pPr>
              <w:ind w:left="320"/>
              <w:spacing w:after="0"/>
              <w:rPr>
                <w:sz w:val="20"/>
                <w:szCs w:val="20"/>
                <w:color w:val="auto"/>
              </w:rPr>
            </w:pPr>
            <w:r>
              <w:rPr>
                <w:rFonts w:ascii="Arial" w:cs="Arial" w:eastAsia="Arial" w:hAnsi="Arial"/>
                <w:sz w:val="10"/>
                <w:szCs w:val="10"/>
                <w:color w:val="auto"/>
              </w:rPr>
              <w:t>Concession revenue</w:t>
            </w:r>
          </w:p>
        </w:tc>
        <w:tc>
          <w:tcPr>
            <w:tcW w:w="3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6,368</w:t>
            </w: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152"/>
              <w:spacing w:after="0"/>
              <w:rPr>
                <w:sz w:val="20"/>
                <w:szCs w:val="20"/>
                <w:color w:val="auto"/>
              </w:rPr>
            </w:pPr>
            <w:r>
              <w:rPr>
                <w:rFonts w:ascii="Arial" w:cs="Arial" w:eastAsia="Arial" w:hAnsi="Arial"/>
                <w:sz w:val="10"/>
                <w:szCs w:val="10"/>
                <w:i w:val="1"/>
                <w:iCs w:val="1"/>
                <w:color w:val="auto"/>
              </w:rPr>
              <w:t>27 %</w:t>
            </w:r>
          </w:p>
        </w:tc>
        <w:tc>
          <w:tcPr>
            <w:tcW w:w="1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6,475</w:t>
            </w: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152"/>
              <w:spacing w:after="0"/>
              <w:rPr>
                <w:sz w:val="20"/>
                <w:szCs w:val="20"/>
                <w:color w:val="auto"/>
              </w:rPr>
            </w:pPr>
            <w:r>
              <w:rPr>
                <w:rFonts w:ascii="Arial" w:cs="Arial" w:eastAsia="Arial" w:hAnsi="Arial"/>
                <w:sz w:val="10"/>
                <w:szCs w:val="10"/>
                <w:i w:val="1"/>
                <w:iCs w:val="1"/>
                <w:color w:val="auto"/>
              </w:rPr>
              <w:t>27 %</w:t>
            </w:r>
          </w:p>
        </w:tc>
        <w:tc>
          <w:tcPr>
            <w:tcW w:w="18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232"/>
              <w:spacing w:after="0"/>
              <w:rPr>
                <w:sz w:val="20"/>
                <w:szCs w:val="20"/>
                <w:color w:val="auto"/>
              </w:rPr>
            </w:pPr>
            <w:r>
              <w:rPr>
                <w:rFonts w:ascii="Arial" w:cs="Arial" w:eastAsia="Arial" w:hAnsi="Arial"/>
                <w:sz w:val="10"/>
                <w:szCs w:val="10"/>
                <w:color w:val="auto"/>
              </w:rPr>
              <w:t>(2) %</w:t>
            </w:r>
          </w:p>
        </w:tc>
        <w:tc>
          <w:tcPr>
            <w:tcW w:w="0" w:type="dxa"/>
            <w:vAlign w:val="bottom"/>
          </w:tcPr>
          <w:p>
            <w:pPr>
              <w:spacing w:after="0"/>
              <w:rPr>
                <w:sz w:val="1"/>
                <w:szCs w:val="1"/>
                <w:color w:val="auto"/>
              </w:rPr>
            </w:pPr>
          </w:p>
        </w:tc>
      </w:tr>
      <w:tr>
        <w:trPr>
          <w:trHeight w:val="171"/>
        </w:trPr>
        <w:tc>
          <w:tcPr>
            <w:tcW w:w="1660" w:type="dxa"/>
            <w:vAlign w:val="bottom"/>
            <w:tcBorders>
              <w:bottom w:val="single" w:sz="8" w:color="CCEEFF"/>
            </w:tcBorders>
          </w:tcPr>
          <w:p>
            <w:pPr>
              <w:spacing w:after="0"/>
              <w:rPr>
                <w:sz w:val="14"/>
                <w:szCs w:val="14"/>
                <w:color w:val="auto"/>
              </w:rPr>
            </w:pPr>
          </w:p>
        </w:tc>
        <w:tc>
          <w:tcPr>
            <w:tcW w:w="3280" w:type="dxa"/>
            <w:vAlign w:val="bottom"/>
            <w:tcBorders>
              <w:bottom w:val="single" w:sz="8" w:color="CCEEFF"/>
            </w:tcBorders>
            <w:gridSpan w:val="2"/>
          </w:tcPr>
          <w:p>
            <w:pPr>
              <w:ind w:left="320"/>
              <w:spacing w:after="0"/>
              <w:rPr>
                <w:sz w:val="20"/>
                <w:szCs w:val="20"/>
                <w:color w:val="auto"/>
              </w:rPr>
            </w:pPr>
            <w:r>
              <w:rPr>
                <w:rFonts w:ascii="Arial" w:cs="Arial" w:eastAsia="Arial" w:hAnsi="Arial"/>
                <w:sz w:val="10"/>
                <w:szCs w:val="10"/>
                <w:color w:val="auto"/>
              </w:rPr>
              <w:t>Advertising and other revenue</w:t>
            </w:r>
          </w:p>
        </w:tc>
        <w:tc>
          <w:tcPr>
            <w:tcW w:w="3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1,306</w:t>
            </w:r>
          </w:p>
        </w:tc>
        <w:tc>
          <w:tcPr>
            <w:tcW w:w="180" w:type="dxa"/>
            <w:vAlign w:val="bottom"/>
            <w:tcBorders>
              <w:bottom w:val="single" w:sz="8" w:color="CCEEFF"/>
            </w:tcBorders>
          </w:tcPr>
          <w:p>
            <w:pPr>
              <w:spacing w:after="0"/>
              <w:rPr>
                <w:sz w:val="14"/>
                <w:szCs w:val="14"/>
                <w:color w:val="auto"/>
              </w:rPr>
            </w:pPr>
          </w:p>
        </w:tc>
        <w:tc>
          <w:tcPr>
            <w:tcW w:w="780" w:type="dxa"/>
            <w:vAlign w:val="bottom"/>
            <w:tcBorders>
              <w:bottom w:val="single" w:sz="8" w:color="CCEEFF"/>
            </w:tcBorders>
          </w:tcPr>
          <w:p>
            <w:pPr>
              <w:jc w:val="right"/>
              <w:ind w:right="152"/>
              <w:spacing w:after="0"/>
              <w:rPr>
                <w:sz w:val="20"/>
                <w:szCs w:val="20"/>
                <w:color w:val="auto"/>
              </w:rPr>
            </w:pPr>
            <w:r>
              <w:rPr>
                <w:rFonts w:ascii="Arial" w:cs="Arial" w:eastAsia="Arial" w:hAnsi="Arial"/>
                <w:sz w:val="10"/>
                <w:szCs w:val="10"/>
                <w:i w:val="1"/>
                <w:iCs w:val="1"/>
                <w:color w:val="auto"/>
              </w:rPr>
              <w:t>6 %</w:t>
            </w:r>
          </w:p>
        </w:tc>
        <w:tc>
          <w:tcPr>
            <w:tcW w:w="1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1,265</w:t>
            </w:r>
          </w:p>
        </w:tc>
        <w:tc>
          <w:tcPr>
            <w:tcW w:w="160" w:type="dxa"/>
            <w:vAlign w:val="bottom"/>
            <w:tcBorders>
              <w:bottom w:val="single" w:sz="8" w:color="CCEEFF"/>
            </w:tcBorders>
          </w:tcPr>
          <w:p>
            <w:pPr>
              <w:spacing w:after="0"/>
              <w:rPr>
                <w:sz w:val="14"/>
                <w:szCs w:val="14"/>
                <w:color w:val="auto"/>
              </w:rPr>
            </w:pPr>
          </w:p>
        </w:tc>
        <w:tc>
          <w:tcPr>
            <w:tcW w:w="780" w:type="dxa"/>
            <w:vAlign w:val="bottom"/>
            <w:tcBorders>
              <w:bottom w:val="single" w:sz="8" w:color="CCEEFF"/>
            </w:tcBorders>
          </w:tcPr>
          <w:p>
            <w:pPr>
              <w:jc w:val="right"/>
              <w:ind w:right="152"/>
              <w:spacing w:after="0"/>
              <w:rPr>
                <w:sz w:val="20"/>
                <w:szCs w:val="20"/>
                <w:color w:val="auto"/>
              </w:rPr>
            </w:pPr>
            <w:r>
              <w:rPr>
                <w:rFonts w:ascii="Arial" w:cs="Arial" w:eastAsia="Arial" w:hAnsi="Arial"/>
                <w:sz w:val="10"/>
                <w:szCs w:val="10"/>
                <w:i w:val="1"/>
                <w:iCs w:val="1"/>
                <w:color w:val="auto"/>
              </w:rPr>
              <w:t>5 %</w:t>
            </w:r>
          </w:p>
        </w:tc>
        <w:tc>
          <w:tcPr>
            <w:tcW w:w="180" w:type="dxa"/>
            <w:vAlign w:val="bottom"/>
            <w:tcBorders>
              <w:bottom w:val="single" w:sz="8" w:color="CCEEFF"/>
            </w:tcBorders>
          </w:tcPr>
          <w:p>
            <w:pPr>
              <w:spacing w:after="0"/>
              <w:rPr>
                <w:sz w:val="14"/>
                <w:szCs w:val="14"/>
                <w:color w:val="auto"/>
              </w:rPr>
            </w:pPr>
          </w:p>
        </w:tc>
        <w:tc>
          <w:tcPr>
            <w:tcW w:w="700" w:type="dxa"/>
            <w:vAlign w:val="bottom"/>
            <w:tcBorders>
              <w:bottom w:val="single" w:sz="8" w:color="CCEEFF"/>
            </w:tcBorders>
          </w:tcPr>
          <w:p>
            <w:pPr>
              <w:jc w:val="right"/>
              <w:spacing w:after="0"/>
              <w:rPr>
                <w:sz w:val="20"/>
                <w:szCs w:val="20"/>
                <w:color w:val="auto"/>
              </w:rPr>
            </w:pPr>
            <w:r>
              <w:rPr>
                <w:rFonts w:ascii="Arial" w:cs="Arial" w:eastAsia="Arial" w:hAnsi="Arial"/>
                <w:sz w:val="10"/>
                <w:szCs w:val="10"/>
                <w:color w:val="auto"/>
              </w:rPr>
              <w:t>3</w:t>
            </w:r>
          </w:p>
        </w:tc>
        <w:tc>
          <w:tcPr>
            <w:tcW w:w="380" w:type="dxa"/>
            <w:vAlign w:val="bottom"/>
            <w:tcBorders>
              <w:bottom w:val="single" w:sz="8" w:color="CCEEFF"/>
            </w:tcBorders>
          </w:tcPr>
          <w:p>
            <w:pPr>
              <w:jc w:val="right"/>
              <w:ind w:right="232"/>
              <w:spacing w:after="0"/>
              <w:rPr>
                <w:sz w:val="20"/>
                <w:szCs w:val="20"/>
                <w:color w:val="auto"/>
              </w:rPr>
            </w:pPr>
            <w:r>
              <w:rPr>
                <w:rFonts w:ascii="Arial" w:cs="Arial" w:eastAsia="Arial" w:hAnsi="Arial"/>
                <w:sz w:val="10"/>
                <w:szCs w:val="10"/>
                <w:color w:val="auto"/>
                <w:w w:val="89"/>
              </w:rPr>
              <w:t>%</w:t>
            </w:r>
          </w:p>
        </w:tc>
        <w:tc>
          <w:tcPr>
            <w:tcW w:w="0" w:type="dxa"/>
            <w:vAlign w:val="bottom"/>
          </w:tcPr>
          <w:p>
            <w:pPr>
              <w:spacing w:after="0"/>
              <w:rPr>
                <w:sz w:val="1"/>
                <w:szCs w:val="1"/>
                <w:color w:val="auto"/>
              </w:rPr>
            </w:pPr>
          </w:p>
        </w:tc>
      </w:tr>
      <w:tr>
        <w:trPr>
          <w:trHeight w:val="103"/>
        </w:trPr>
        <w:tc>
          <w:tcPr>
            <w:tcW w:w="1660" w:type="dxa"/>
            <w:vAlign w:val="bottom"/>
            <w:shd w:val="clear" w:color="auto" w:fill="CCEEFF"/>
          </w:tcPr>
          <w:p>
            <w:pPr>
              <w:spacing w:after="0"/>
              <w:rPr>
                <w:sz w:val="8"/>
                <w:szCs w:val="8"/>
                <w:color w:val="auto"/>
              </w:rPr>
            </w:pPr>
          </w:p>
        </w:tc>
        <w:tc>
          <w:tcPr>
            <w:tcW w:w="31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380" w:type="dxa"/>
            <w:vAlign w:val="bottom"/>
            <w:shd w:val="clear" w:color="auto" w:fill="CCEEFF"/>
          </w:tcPr>
          <w:p>
            <w:pPr>
              <w:jc w:val="right"/>
              <w:ind w:right="72"/>
              <w:spacing w:after="0" w:line="103" w:lineRule="exact"/>
              <w:rPr>
                <w:sz w:val="20"/>
                <w:szCs w:val="20"/>
                <w:color w:val="auto"/>
              </w:rPr>
            </w:pPr>
            <w:r>
              <w:rPr>
                <w:rFonts w:ascii="Arial" w:cs="Arial" w:eastAsia="Arial" w:hAnsi="Arial"/>
                <w:sz w:val="10"/>
                <w:szCs w:val="10"/>
                <w:b w:val="1"/>
                <w:bCs w:val="1"/>
                <w:color w:val="auto"/>
              </w:rPr>
              <w:t>$</w:t>
            </w:r>
          </w:p>
        </w:tc>
        <w:tc>
          <w:tcPr>
            <w:tcW w:w="800" w:type="dxa"/>
            <w:vAlign w:val="bottom"/>
            <w:shd w:val="clear" w:color="auto" w:fill="CCEEFF"/>
          </w:tcPr>
          <w:p>
            <w:pPr>
              <w:jc w:val="right"/>
              <w:spacing w:after="0" w:line="103" w:lineRule="exact"/>
              <w:rPr>
                <w:sz w:val="20"/>
                <w:szCs w:val="20"/>
                <w:color w:val="auto"/>
              </w:rPr>
            </w:pPr>
            <w:r>
              <w:rPr>
                <w:rFonts w:ascii="Arial" w:cs="Arial" w:eastAsia="Arial" w:hAnsi="Arial"/>
                <w:sz w:val="10"/>
                <w:szCs w:val="10"/>
                <w:b w:val="1"/>
                <w:bCs w:val="1"/>
                <w:color w:val="auto"/>
              </w:rPr>
              <w:t>23,163</w:t>
            </w:r>
          </w:p>
        </w:tc>
        <w:tc>
          <w:tcPr>
            <w:tcW w:w="180" w:type="dxa"/>
            <w:vAlign w:val="bottom"/>
            <w:shd w:val="clear" w:color="auto" w:fill="CCEEFF"/>
          </w:tcPr>
          <w:p>
            <w:pPr>
              <w:spacing w:after="0"/>
              <w:rPr>
                <w:sz w:val="8"/>
                <w:szCs w:val="8"/>
                <w:color w:val="auto"/>
              </w:rPr>
            </w:pPr>
          </w:p>
        </w:tc>
        <w:tc>
          <w:tcPr>
            <w:tcW w:w="780" w:type="dxa"/>
            <w:vAlign w:val="bottom"/>
            <w:shd w:val="clear" w:color="auto" w:fill="CCEEFF"/>
          </w:tcPr>
          <w:p>
            <w:pPr>
              <w:jc w:val="right"/>
              <w:ind w:right="152"/>
              <w:spacing w:after="0" w:line="102" w:lineRule="exact"/>
              <w:rPr>
                <w:sz w:val="20"/>
                <w:szCs w:val="20"/>
                <w:color w:val="auto"/>
              </w:rPr>
            </w:pPr>
            <w:r>
              <w:rPr>
                <w:rFonts w:ascii="Arial" w:cs="Arial" w:eastAsia="Arial" w:hAnsi="Arial"/>
                <w:sz w:val="10"/>
                <w:szCs w:val="10"/>
                <w:i w:val="1"/>
                <w:iCs w:val="1"/>
                <w:color w:val="auto"/>
              </w:rPr>
              <w:t>100 %</w:t>
            </w:r>
          </w:p>
        </w:tc>
        <w:tc>
          <w:tcPr>
            <w:tcW w:w="180" w:type="dxa"/>
            <w:vAlign w:val="bottom"/>
            <w:shd w:val="clear" w:color="auto" w:fill="CCEEFF"/>
          </w:tcPr>
          <w:p>
            <w:pPr>
              <w:spacing w:after="0"/>
              <w:rPr>
                <w:sz w:val="8"/>
                <w:szCs w:val="8"/>
                <w:color w:val="auto"/>
              </w:rPr>
            </w:pPr>
          </w:p>
        </w:tc>
        <w:tc>
          <w:tcPr>
            <w:tcW w:w="360" w:type="dxa"/>
            <w:vAlign w:val="bottom"/>
            <w:shd w:val="clear" w:color="auto" w:fill="CCEEFF"/>
          </w:tcPr>
          <w:p>
            <w:pPr>
              <w:jc w:val="right"/>
              <w:ind w:right="72"/>
              <w:spacing w:after="0" w:line="103" w:lineRule="exact"/>
              <w:rPr>
                <w:sz w:val="20"/>
                <w:szCs w:val="20"/>
                <w:color w:val="auto"/>
              </w:rPr>
            </w:pPr>
            <w:r>
              <w:rPr>
                <w:rFonts w:ascii="Arial" w:cs="Arial" w:eastAsia="Arial" w:hAnsi="Arial"/>
                <w:sz w:val="10"/>
                <w:szCs w:val="10"/>
                <w:b w:val="1"/>
                <w:bCs w:val="1"/>
                <w:color w:val="auto"/>
              </w:rPr>
              <w:t>$</w:t>
            </w:r>
          </w:p>
        </w:tc>
        <w:tc>
          <w:tcPr>
            <w:tcW w:w="800" w:type="dxa"/>
            <w:vAlign w:val="bottom"/>
            <w:shd w:val="clear" w:color="auto" w:fill="CCEEFF"/>
          </w:tcPr>
          <w:p>
            <w:pPr>
              <w:jc w:val="right"/>
              <w:spacing w:after="0" w:line="103" w:lineRule="exact"/>
              <w:rPr>
                <w:sz w:val="20"/>
                <w:szCs w:val="20"/>
                <w:color w:val="auto"/>
              </w:rPr>
            </w:pPr>
            <w:r>
              <w:rPr>
                <w:rFonts w:ascii="Arial" w:cs="Arial" w:eastAsia="Arial" w:hAnsi="Arial"/>
                <w:sz w:val="10"/>
                <w:szCs w:val="10"/>
                <w:b w:val="1"/>
                <w:bCs w:val="1"/>
                <w:color w:val="auto"/>
              </w:rPr>
              <w:t>23,648</w:t>
            </w:r>
          </w:p>
        </w:tc>
        <w:tc>
          <w:tcPr>
            <w:tcW w:w="160" w:type="dxa"/>
            <w:vAlign w:val="bottom"/>
            <w:shd w:val="clear" w:color="auto" w:fill="CCEEFF"/>
          </w:tcPr>
          <w:p>
            <w:pPr>
              <w:spacing w:after="0"/>
              <w:rPr>
                <w:sz w:val="8"/>
                <w:szCs w:val="8"/>
                <w:color w:val="auto"/>
              </w:rPr>
            </w:pPr>
          </w:p>
        </w:tc>
        <w:tc>
          <w:tcPr>
            <w:tcW w:w="780" w:type="dxa"/>
            <w:vAlign w:val="bottom"/>
            <w:shd w:val="clear" w:color="auto" w:fill="CCEEFF"/>
          </w:tcPr>
          <w:p>
            <w:pPr>
              <w:jc w:val="right"/>
              <w:ind w:right="152"/>
              <w:spacing w:after="0" w:line="102" w:lineRule="exact"/>
              <w:rPr>
                <w:sz w:val="20"/>
                <w:szCs w:val="20"/>
                <w:color w:val="auto"/>
              </w:rPr>
            </w:pPr>
            <w:r>
              <w:rPr>
                <w:rFonts w:ascii="Arial" w:cs="Arial" w:eastAsia="Arial" w:hAnsi="Arial"/>
                <w:sz w:val="10"/>
                <w:szCs w:val="10"/>
                <w:i w:val="1"/>
                <w:iCs w:val="1"/>
                <w:color w:val="auto"/>
              </w:rPr>
              <w:t>100 %</w:t>
            </w:r>
          </w:p>
        </w:tc>
        <w:tc>
          <w:tcPr>
            <w:tcW w:w="180" w:type="dxa"/>
            <w:vAlign w:val="bottom"/>
            <w:shd w:val="clear" w:color="auto" w:fill="CCEEFF"/>
          </w:tcPr>
          <w:p>
            <w:pPr>
              <w:spacing w:after="0"/>
              <w:rPr>
                <w:sz w:val="8"/>
                <w:szCs w:val="8"/>
                <w:color w:val="auto"/>
              </w:rPr>
            </w:pPr>
          </w:p>
        </w:tc>
        <w:tc>
          <w:tcPr>
            <w:tcW w:w="700" w:type="dxa"/>
            <w:vAlign w:val="bottom"/>
            <w:shd w:val="clear" w:color="auto" w:fill="CCEEFF"/>
          </w:tcPr>
          <w:p>
            <w:pPr>
              <w:jc w:val="right"/>
              <w:spacing w:after="0" w:line="102" w:lineRule="exact"/>
              <w:rPr>
                <w:sz w:val="20"/>
                <w:szCs w:val="20"/>
                <w:color w:val="auto"/>
              </w:rPr>
            </w:pPr>
            <w:r>
              <w:rPr>
                <w:rFonts w:ascii="Arial" w:cs="Arial" w:eastAsia="Arial" w:hAnsi="Arial"/>
                <w:sz w:val="10"/>
                <w:szCs w:val="10"/>
                <w:color w:val="auto"/>
              </w:rPr>
              <w:t>(2)</w:t>
            </w:r>
          </w:p>
        </w:tc>
        <w:tc>
          <w:tcPr>
            <w:tcW w:w="3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1660" w:type="dxa"/>
            <w:vAlign w:val="bottom"/>
            <w:tcBorders>
              <w:bottom w:val="single" w:sz="8" w:color="CCEEFF"/>
            </w:tcBorders>
            <w:shd w:val="clear" w:color="auto" w:fill="CCEEFF"/>
          </w:tcPr>
          <w:p>
            <w:pPr>
              <w:spacing w:after="0"/>
              <w:rPr>
                <w:sz w:val="8"/>
                <w:szCs w:val="8"/>
                <w:color w:val="auto"/>
              </w:rPr>
            </w:pPr>
          </w:p>
        </w:tc>
        <w:tc>
          <w:tcPr>
            <w:tcW w:w="3100" w:type="dxa"/>
            <w:vAlign w:val="bottom"/>
            <w:tcBorders>
              <w:bottom w:val="single" w:sz="8" w:color="CCEEFF"/>
            </w:tcBorders>
            <w:shd w:val="clear" w:color="auto" w:fill="CCEEFF"/>
          </w:tcPr>
          <w:p>
            <w:pPr>
              <w:spacing w:after="0"/>
              <w:rPr>
                <w:sz w:val="8"/>
                <w:szCs w:val="8"/>
                <w:color w:val="auto"/>
              </w:rPr>
            </w:pPr>
          </w:p>
        </w:tc>
        <w:tc>
          <w:tcPr>
            <w:tcW w:w="180" w:type="dxa"/>
            <w:vAlign w:val="bottom"/>
            <w:tcBorders>
              <w:bottom w:val="single" w:sz="8" w:color="CCEEFF"/>
            </w:tcBorders>
            <w:shd w:val="clear" w:color="auto" w:fill="CCEEFF"/>
          </w:tcPr>
          <w:p>
            <w:pPr>
              <w:spacing w:after="0"/>
              <w:rPr>
                <w:sz w:val="8"/>
                <w:szCs w:val="8"/>
                <w:color w:val="auto"/>
              </w:rPr>
            </w:pPr>
          </w:p>
        </w:tc>
        <w:tc>
          <w:tcPr>
            <w:tcW w:w="380" w:type="dxa"/>
            <w:vAlign w:val="bottom"/>
            <w:tcBorders>
              <w:bottom w:val="single" w:sz="8" w:color="auto"/>
            </w:tcBorders>
            <w:shd w:val="clear" w:color="auto" w:fill="CCEEFF"/>
          </w:tcPr>
          <w:p>
            <w:pPr>
              <w:spacing w:after="0"/>
              <w:rPr>
                <w:sz w:val="8"/>
                <w:szCs w:val="8"/>
                <w:color w:val="auto"/>
              </w:rPr>
            </w:pPr>
          </w:p>
        </w:tc>
        <w:tc>
          <w:tcPr>
            <w:tcW w:w="800" w:type="dxa"/>
            <w:vAlign w:val="bottom"/>
            <w:tcBorders>
              <w:bottom w:val="single" w:sz="8" w:color="auto"/>
            </w:tcBorders>
            <w:shd w:val="clear" w:color="auto" w:fill="CCEEFF"/>
          </w:tcPr>
          <w:p>
            <w:pPr>
              <w:spacing w:after="0"/>
              <w:rPr>
                <w:sz w:val="8"/>
                <w:szCs w:val="8"/>
                <w:color w:val="auto"/>
              </w:rPr>
            </w:pPr>
          </w:p>
        </w:tc>
        <w:tc>
          <w:tcPr>
            <w:tcW w:w="180" w:type="dxa"/>
            <w:vAlign w:val="bottom"/>
            <w:tcBorders>
              <w:bottom w:val="single" w:sz="8" w:color="CCEEFF"/>
            </w:tcBorders>
            <w:shd w:val="clear" w:color="auto" w:fill="CCEEFF"/>
          </w:tcPr>
          <w:p>
            <w:pPr>
              <w:spacing w:after="0"/>
              <w:rPr>
                <w:sz w:val="8"/>
                <w:szCs w:val="8"/>
                <w:color w:val="auto"/>
              </w:rPr>
            </w:pPr>
          </w:p>
        </w:tc>
        <w:tc>
          <w:tcPr>
            <w:tcW w:w="780" w:type="dxa"/>
            <w:vAlign w:val="bottom"/>
            <w:tcBorders>
              <w:bottom w:val="single" w:sz="8" w:color="CCEEFF"/>
            </w:tcBorders>
            <w:shd w:val="clear" w:color="auto" w:fill="CCEEFF"/>
          </w:tcPr>
          <w:p>
            <w:pPr>
              <w:spacing w:after="0"/>
              <w:rPr>
                <w:sz w:val="8"/>
                <w:szCs w:val="8"/>
                <w:color w:val="auto"/>
              </w:rPr>
            </w:pPr>
          </w:p>
        </w:tc>
        <w:tc>
          <w:tcPr>
            <w:tcW w:w="180" w:type="dxa"/>
            <w:vAlign w:val="bottom"/>
            <w:tcBorders>
              <w:bottom w:val="single" w:sz="8" w:color="CCEEFF"/>
            </w:tcBorders>
            <w:shd w:val="clear" w:color="auto" w:fill="CCEEFF"/>
          </w:tcPr>
          <w:p>
            <w:pPr>
              <w:spacing w:after="0"/>
              <w:rPr>
                <w:sz w:val="8"/>
                <w:szCs w:val="8"/>
                <w:color w:val="auto"/>
              </w:rPr>
            </w:pPr>
          </w:p>
        </w:tc>
        <w:tc>
          <w:tcPr>
            <w:tcW w:w="360" w:type="dxa"/>
            <w:vAlign w:val="bottom"/>
            <w:tcBorders>
              <w:bottom w:val="single" w:sz="8" w:color="auto"/>
            </w:tcBorders>
            <w:shd w:val="clear" w:color="auto" w:fill="CCEEFF"/>
          </w:tcPr>
          <w:p>
            <w:pPr>
              <w:spacing w:after="0"/>
              <w:rPr>
                <w:sz w:val="8"/>
                <w:szCs w:val="8"/>
                <w:color w:val="auto"/>
              </w:rPr>
            </w:pPr>
          </w:p>
        </w:tc>
        <w:tc>
          <w:tcPr>
            <w:tcW w:w="800" w:type="dxa"/>
            <w:vAlign w:val="bottom"/>
            <w:tcBorders>
              <w:bottom w:val="single" w:sz="8" w:color="auto"/>
            </w:tcBorders>
            <w:shd w:val="clear" w:color="auto" w:fill="CCEEFF"/>
          </w:tcPr>
          <w:p>
            <w:pPr>
              <w:spacing w:after="0"/>
              <w:rPr>
                <w:sz w:val="8"/>
                <w:szCs w:val="8"/>
                <w:color w:val="auto"/>
              </w:rPr>
            </w:pPr>
          </w:p>
        </w:tc>
        <w:tc>
          <w:tcPr>
            <w:tcW w:w="160" w:type="dxa"/>
            <w:vAlign w:val="bottom"/>
            <w:tcBorders>
              <w:bottom w:val="single" w:sz="8" w:color="CCEEFF"/>
            </w:tcBorders>
            <w:shd w:val="clear" w:color="auto" w:fill="CCEEFF"/>
          </w:tcPr>
          <w:p>
            <w:pPr>
              <w:spacing w:after="0"/>
              <w:rPr>
                <w:sz w:val="8"/>
                <w:szCs w:val="8"/>
                <w:color w:val="auto"/>
              </w:rPr>
            </w:pPr>
          </w:p>
        </w:tc>
        <w:tc>
          <w:tcPr>
            <w:tcW w:w="780" w:type="dxa"/>
            <w:vAlign w:val="bottom"/>
            <w:tcBorders>
              <w:bottom w:val="single" w:sz="8" w:color="CCEEFF"/>
            </w:tcBorders>
            <w:shd w:val="clear" w:color="auto" w:fill="CCEEFF"/>
          </w:tcPr>
          <w:p>
            <w:pPr>
              <w:spacing w:after="0"/>
              <w:rPr>
                <w:sz w:val="8"/>
                <w:szCs w:val="8"/>
                <w:color w:val="auto"/>
              </w:rPr>
            </w:pPr>
          </w:p>
        </w:tc>
        <w:tc>
          <w:tcPr>
            <w:tcW w:w="180" w:type="dxa"/>
            <w:vAlign w:val="bottom"/>
            <w:tcBorders>
              <w:bottom w:val="single" w:sz="8" w:color="CCEEFF"/>
            </w:tcBorders>
            <w:shd w:val="clear" w:color="auto" w:fill="CCEEFF"/>
          </w:tcPr>
          <w:p>
            <w:pPr>
              <w:spacing w:after="0"/>
              <w:rPr>
                <w:sz w:val="8"/>
                <w:szCs w:val="8"/>
                <w:color w:val="auto"/>
              </w:rPr>
            </w:pPr>
          </w:p>
        </w:tc>
        <w:tc>
          <w:tcPr>
            <w:tcW w:w="700" w:type="dxa"/>
            <w:vAlign w:val="bottom"/>
            <w:tcBorders>
              <w:bottom w:val="single" w:sz="8" w:color="CCEEFF"/>
            </w:tcBorders>
            <w:shd w:val="clear" w:color="auto" w:fill="CCEEFF"/>
          </w:tcPr>
          <w:p>
            <w:pPr>
              <w:spacing w:after="0"/>
              <w:rPr>
                <w:sz w:val="8"/>
                <w:szCs w:val="8"/>
                <w:color w:val="auto"/>
              </w:rPr>
            </w:pPr>
          </w:p>
        </w:tc>
        <w:tc>
          <w:tcPr>
            <w:tcW w:w="380" w:type="dxa"/>
            <w:vAlign w:val="bottom"/>
            <w:tcBorders>
              <w:bottom w:val="single" w:sz="8" w:color="CCEEFF"/>
            </w:tcBorders>
            <w:shd w:val="clear" w:color="auto" w:fill="CCEEFF"/>
          </w:tcPr>
          <w:p>
            <w:pPr>
              <w:jc w:val="right"/>
              <w:ind w:right="232"/>
              <w:spacing w:after="0" w:line="103" w:lineRule="exact"/>
              <w:rPr>
                <w:sz w:val="20"/>
                <w:szCs w:val="20"/>
                <w:color w:val="auto"/>
              </w:rPr>
            </w:pPr>
            <w:r>
              <w:rPr>
                <w:rFonts w:ascii="Arial" w:cs="Arial" w:eastAsia="Arial" w:hAnsi="Arial"/>
                <w:sz w:val="10"/>
                <w:szCs w:val="10"/>
                <w:color w:val="auto"/>
                <w:w w:val="89"/>
              </w:rPr>
              <w:t>%</w:t>
            </w:r>
          </w:p>
        </w:tc>
        <w:tc>
          <w:tcPr>
            <w:tcW w:w="0" w:type="dxa"/>
            <w:vAlign w:val="bottom"/>
          </w:tcPr>
          <w:p>
            <w:pPr>
              <w:spacing w:after="0"/>
              <w:rPr>
                <w:sz w:val="1"/>
                <w:szCs w:val="1"/>
                <w:color w:val="auto"/>
              </w:rPr>
            </w:pPr>
          </w:p>
        </w:tc>
      </w:tr>
      <w:tr>
        <w:trPr>
          <w:trHeight w:val="151"/>
        </w:trPr>
        <w:tc>
          <w:tcPr>
            <w:tcW w:w="1660" w:type="dxa"/>
            <w:vAlign w:val="bottom"/>
            <w:tcBorders>
              <w:bottom w:val="single" w:sz="8" w:color="CCEEFF"/>
            </w:tcBorders>
          </w:tcPr>
          <w:p>
            <w:pPr>
              <w:ind w:left="400"/>
              <w:spacing w:after="0"/>
              <w:rPr>
                <w:sz w:val="20"/>
                <w:szCs w:val="20"/>
                <w:color w:val="auto"/>
              </w:rPr>
            </w:pPr>
            <w:r>
              <w:rPr>
                <w:rFonts w:ascii="Arial" w:cs="Arial" w:eastAsia="Arial" w:hAnsi="Arial"/>
                <w:sz w:val="10"/>
                <w:szCs w:val="10"/>
                <w:b w:val="1"/>
                <w:bCs w:val="1"/>
                <w:color w:val="auto"/>
              </w:rPr>
              <w:t>Total revenue</w:t>
            </w:r>
          </w:p>
        </w:tc>
        <w:tc>
          <w:tcPr>
            <w:tcW w:w="3100" w:type="dxa"/>
            <w:vAlign w:val="bottom"/>
            <w:tcBorders>
              <w:bottom w:val="single" w:sz="8" w:color="CCEEFF"/>
            </w:tcBorders>
          </w:tcPr>
          <w:p>
            <w:pPr>
              <w:spacing w:after="0"/>
              <w:rPr>
                <w:sz w:val="13"/>
                <w:szCs w:val="13"/>
                <w:color w:val="auto"/>
              </w:rPr>
            </w:pPr>
          </w:p>
        </w:tc>
        <w:tc>
          <w:tcPr>
            <w:tcW w:w="18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b w:val="1"/>
                <w:bCs w:val="1"/>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242,281</w:t>
            </w:r>
          </w:p>
        </w:tc>
        <w:tc>
          <w:tcPr>
            <w:tcW w:w="180" w:type="dxa"/>
            <w:vAlign w:val="bottom"/>
            <w:tcBorders>
              <w:bottom w:val="single" w:sz="8" w:color="CCEEFF"/>
            </w:tcBorders>
          </w:tcPr>
          <w:p>
            <w:pPr>
              <w:spacing w:after="0"/>
              <w:rPr>
                <w:sz w:val="13"/>
                <w:szCs w:val="13"/>
                <w:color w:val="auto"/>
              </w:rPr>
            </w:pPr>
          </w:p>
        </w:tc>
        <w:tc>
          <w:tcPr>
            <w:tcW w:w="780" w:type="dxa"/>
            <w:vAlign w:val="bottom"/>
            <w:tcBorders>
              <w:bottom w:val="single" w:sz="8" w:color="CCEEFF"/>
            </w:tcBorders>
          </w:tcPr>
          <w:p>
            <w:pPr>
              <w:jc w:val="right"/>
              <w:ind w:right="152"/>
              <w:spacing w:after="0"/>
              <w:rPr>
                <w:sz w:val="20"/>
                <w:szCs w:val="20"/>
                <w:color w:val="auto"/>
              </w:rPr>
            </w:pPr>
            <w:r>
              <w:rPr>
                <w:rFonts w:ascii="Arial" w:cs="Arial" w:eastAsia="Arial" w:hAnsi="Arial"/>
                <w:sz w:val="10"/>
                <w:szCs w:val="10"/>
                <w:i w:val="1"/>
                <w:iCs w:val="1"/>
                <w:color w:val="auto"/>
              </w:rPr>
              <w:t>100 %</w:t>
            </w:r>
          </w:p>
        </w:tc>
        <w:tc>
          <w:tcPr>
            <w:tcW w:w="18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b w:val="1"/>
                <w:bCs w:val="1"/>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237,861</w:t>
            </w:r>
          </w:p>
        </w:tc>
        <w:tc>
          <w:tcPr>
            <w:tcW w:w="160" w:type="dxa"/>
            <w:vAlign w:val="bottom"/>
            <w:tcBorders>
              <w:bottom w:val="single" w:sz="8" w:color="CCEEFF"/>
            </w:tcBorders>
          </w:tcPr>
          <w:p>
            <w:pPr>
              <w:spacing w:after="0"/>
              <w:rPr>
                <w:sz w:val="13"/>
                <w:szCs w:val="13"/>
                <w:color w:val="auto"/>
              </w:rPr>
            </w:pPr>
          </w:p>
        </w:tc>
        <w:tc>
          <w:tcPr>
            <w:tcW w:w="780" w:type="dxa"/>
            <w:vAlign w:val="bottom"/>
            <w:tcBorders>
              <w:bottom w:val="single" w:sz="8" w:color="CCEEFF"/>
            </w:tcBorders>
          </w:tcPr>
          <w:p>
            <w:pPr>
              <w:jc w:val="right"/>
              <w:ind w:right="152"/>
              <w:spacing w:after="0"/>
              <w:rPr>
                <w:sz w:val="20"/>
                <w:szCs w:val="20"/>
                <w:color w:val="auto"/>
              </w:rPr>
            </w:pPr>
            <w:r>
              <w:rPr>
                <w:rFonts w:ascii="Arial" w:cs="Arial" w:eastAsia="Arial" w:hAnsi="Arial"/>
                <w:sz w:val="10"/>
                <w:szCs w:val="10"/>
                <w:i w:val="1"/>
                <w:iCs w:val="1"/>
                <w:color w:val="auto"/>
              </w:rPr>
              <w:t>100 %</w:t>
            </w:r>
          </w:p>
        </w:tc>
        <w:tc>
          <w:tcPr>
            <w:tcW w:w="180" w:type="dxa"/>
            <w:vAlign w:val="bottom"/>
            <w:tcBorders>
              <w:bottom w:val="single" w:sz="8" w:color="CCEEFF"/>
            </w:tcBorders>
          </w:tcPr>
          <w:p>
            <w:pPr>
              <w:spacing w:after="0"/>
              <w:rPr>
                <w:sz w:val="13"/>
                <w:szCs w:val="13"/>
                <w:color w:val="auto"/>
              </w:rPr>
            </w:pPr>
          </w:p>
        </w:tc>
        <w:tc>
          <w:tcPr>
            <w:tcW w:w="700" w:type="dxa"/>
            <w:vAlign w:val="bottom"/>
            <w:tcBorders>
              <w:bottom w:val="single" w:sz="8" w:color="CCEEFF"/>
            </w:tcBorders>
          </w:tcPr>
          <w:p>
            <w:pPr>
              <w:jc w:val="right"/>
              <w:spacing w:after="0"/>
              <w:rPr>
                <w:sz w:val="20"/>
                <w:szCs w:val="20"/>
                <w:color w:val="auto"/>
              </w:rPr>
            </w:pPr>
            <w:r>
              <w:rPr>
                <w:rFonts w:ascii="Arial" w:cs="Arial" w:eastAsia="Arial" w:hAnsi="Arial"/>
                <w:sz w:val="10"/>
                <w:szCs w:val="10"/>
                <w:color w:val="auto"/>
              </w:rPr>
              <w:t>2</w:t>
            </w:r>
          </w:p>
        </w:tc>
        <w:tc>
          <w:tcPr>
            <w:tcW w:w="380" w:type="dxa"/>
            <w:vAlign w:val="bottom"/>
            <w:tcBorders>
              <w:bottom w:val="single" w:sz="8" w:color="CCEEFF"/>
            </w:tcBorders>
          </w:tcPr>
          <w:p>
            <w:pPr>
              <w:jc w:val="right"/>
              <w:ind w:right="232"/>
              <w:spacing w:after="0"/>
              <w:rPr>
                <w:sz w:val="20"/>
                <w:szCs w:val="20"/>
                <w:color w:val="auto"/>
              </w:rPr>
            </w:pPr>
            <w:r>
              <w:rPr>
                <w:rFonts w:ascii="Arial" w:cs="Arial" w:eastAsia="Arial" w:hAnsi="Arial"/>
                <w:sz w:val="10"/>
                <w:szCs w:val="10"/>
                <w:color w:val="auto"/>
                <w:w w:val="89"/>
              </w:rPr>
              <w:t>%</w:t>
            </w:r>
          </w:p>
        </w:tc>
        <w:tc>
          <w:tcPr>
            <w:tcW w:w="0" w:type="dxa"/>
            <w:vAlign w:val="bottom"/>
          </w:tcPr>
          <w:p>
            <w:pPr>
              <w:spacing w:after="0"/>
              <w:rPr>
                <w:sz w:val="1"/>
                <w:szCs w:val="1"/>
                <w:color w:val="auto"/>
              </w:rPr>
            </w:pPr>
          </w:p>
        </w:tc>
      </w:tr>
      <w:tr>
        <w:trPr>
          <w:trHeight w:val="223"/>
        </w:trPr>
        <w:tc>
          <w:tcPr>
            <w:tcW w:w="1660" w:type="dxa"/>
            <w:vAlign w:val="bottom"/>
            <w:shd w:val="clear" w:color="auto" w:fill="CCEEFF"/>
          </w:tcPr>
          <w:p>
            <w:pPr>
              <w:spacing w:after="0"/>
              <w:rPr>
                <w:sz w:val="20"/>
                <w:szCs w:val="20"/>
                <w:color w:val="auto"/>
              </w:rPr>
            </w:pPr>
            <w:r>
              <w:rPr>
                <w:rFonts w:ascii="Arial" w:cs="Arial" w:eastAsia="Arial" w:hAnsi="Arial"/>
                <w:sz w:val="10"/>
                <w:szCs w:val="10"/>
                <w:b w:val="1"/>
                <w:bCs w:val="1"/>
                <w:color w:val="auto"/>
              </w:rPr>
              <w:t>OPERATING EXPENSE</w:t>
            </w:r>
          </w:p>
        </w:tc>
        <w:tc>
          <w:tcPr>
            <w:tcW w:w="3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33"/>
        </w:trPr>
        <w:tc>
          <w:tcPr>
            <w:tcW w:w="4940" w:type="dxa"/>
            <w:vAlign w:val="bottom"/>
            <w:gridSpan w:val="3"/>
          </w:tcPr>
          <w:p>
            <w:pPr>
              <w:ind w:left="400"/>
              <w:spacing w:after="0"/>
              <w:rPr>
                <w:sz w:val="20"/>
                <w:szCs w:val="20"/>
                <w:color w:val="auto"/>
              </w:rPr>
            </w:pPr>
            <w:r>
              <w:rPr>
                <w:rFonts w:ascii="Arial" w:cs="Arial" w:eastAsia="Arial" w:hAnsi="Arial"/>
                <w:sz w:val="10"/>
                <w:szCs w:val="10"/>
                <w:b w:val="1"/>
                <w:bCs w:val="1"/>
                <w:color w:val="auto"/>
              </w:rPr>
              <w:t>Cost of services and products (excl. depreciation and amortization)</w:t>
            </w: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1660" w:type="dxa"/>
            <w:vAlign w:val="bottom"/>
            <w:shd w:val="clear" w:color="auto" w:fill="CCEEFF"/>
          </w:tcPr>
          <w:p>
            <w:pPr>
              <w:ind w:left="800"/>
              <w:spacing w:after="0"/>
              <w:rPr>
                <w:sz w:val="20"/>
                <w:szCs w:val="20"/>
                <w:color w:val="auto"/>
              </w:rPr>
            </w:pPr>
            <w:r>
              <w:rPr>
                <w:rFonts w:ascii="Arial" w:cs="Arial" w:eastAsia="Arial" w:hAnsi="Arial"/>
                <w:sz w:val="10"/>
                <w:szCs w:val="10"/>
                <w:b w:val="1"/>
                <w:bCs w:val="1"/>
                <w:color w:val="auto"/>
              </w:rPr>
              <w:t>United States</w:t>
            </w:r>
          </w:p>
        </w:tc>
        <w:tc>
          <w:tcPr>
            <w:tcW w:w="3280" w:type="dxa"/>
            <w:vAlign w:val="bottom"/>
            <w:gridSpan w:val="2"/>
            <w:shd w:val="clear" w:color="auto" w:fill="CCEEFF"/>
          </w:tcPr>
          <w:p>
            <w:pPr>
              <w:ind w:left="320"/>
              <w:spacing w:after="0"/>
              <w:rPr>
                <w:sz w:val="20"/>
                <w:szCs w:val="20"/>
                <w:color w:val="auto"/>
              </w:rPr>
            </w:pPr>
            <w:r>
              <w:rPr>
                <w:rFonts w:ascii="Arial" w:cs="Arial" w:eastAsia="Arial" w:hAnsi="Arial"/>
                <w:sz w:val="10"/>
                <w:szCs w:val="10"/>
                <w:color w:val="auto"/>
              </w:rPr>
              <w:t>Film rent and advertising cost</w:t>
            </w:r>
          </w:p>
        </w:tc>
        <w:tc>
          <w:tcPr>
            <w:tcW w:w="3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(46,175)</w:t>
            </w:r>
          </w:p>
        </w:tc>
        <w:tc>
          <w:tcPr>
            <w:tcW w:w="780" w:type="dxa"/>
            <w:vAlign w:val="bottom"/>
            <w:shd w:val="clear" w:color="auto" w:fill="CCEEFF"/>
          </w:tcPr>
          <w:p>
            <w:pPr>
              <w:jc w:val="right"/>
              <w:ind w:right="152"/>
              <w:spacing w:after="0"/>
              <w:rPr>
                <w:sz w:val="20"/>
                <w:szCs w:val="20"/>
                <w:color w:val="auto"/>
              </w:rPr>
            </w:pPr>
            <w:r>
              <w:rPr>
                <w:rFonts w:ascii="Arial" w:cs="Arial" w:eastAsia="Arial" w:hAnsi="Arial"/>
                <w:sz w:val="10"/>
                <w:szCs w:val="10"/>
                <w:i w:val="1"/>
                <w:iCs w:val="1"/>
                <w:color w:val="auto"/>
              </w:rPr>
              <w:t>(35)%</w:t>
            </w:r>
          </w:p>
        </w:tc>
        <w:tc>
          <w:tcPr>
            <w:tcW w:w="18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(43,511)</w:t>
            </w:r>
          </w:p>
        </w:tc>
        <w:tc>
          <w:tcPr>
            <w:tcW w:w="780" w:type="dxa"/>
            <w:vAlign w:val="bottom"/>
            <w:shd w:val="clear" w:color="auto" w:fill="CCEEFF"/>
          </w:tcPr>
          <w:p>
            <w:pPr>
              <w:jc w:val="right"/>
              <w:ind w:right="152"/>
              <w:spacing w:after="0"/>
              <w:rPr>
                <w:sz w:val="20"/>
                <w:szCs w:val="20"/>
                <w:color w:val="auto"/>
              </w:rPr>
            </w:pPr>
            <w:r>
              <w:rPr>
                <w:rFonts w:ascii="Arial" w:cs="Arial" w:eastAsia="Arial" w:hAnsi="Arial"/>
                <w:sz w:val="10"/>
                <w:szCs w:val="10"/>
                <w:i w:val="1"/>
                <w:iCs w:val="1"/>
                <w:color w:val="auto"/>
              </w:rPr>
              <w:t>(35)%</w:t>
            </w:r>
          </w:p>
        </w:tc>
        <w:tc>
          <w:tcPr>
            <w:tcW w:w="18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232"/>
              <w:spacing w:after="0"/>
              <w:rPr>
                <w:sz w:val="20"/>
                <w:szCs w:val="20"/>
                <w:color w:val="auto"/>
              </w:rPr>
            </w:pPr>
            <w:r>
              <w:rPr>
                <w:rFonts w:ascii="Arial" w:cs="Arial" w:eastAsia="Arial" w:hAnsi="Arial"/>
                <w:sz w:val="10"/>
                <w:szCs w:val="10"/>
                <w:color w:val="auto"/>
              </w:rPr>
              <w:t>(6) %</w:t>
            </w:r>
          </w:p>
        </w:tc>
        <w:tc>
          <w:tcPr>
            <w:tcW w:w="0" w:type="dxa"/>
            <w:vAlign w:val="bottom"/>
          </w:tcPr>
          <w:p>
            <w:pPr>
              <w:spacing w:after="0"/>
              <w:rPr>
                <w:sz w:val="1"/>
                <w:szCs w:val="1"/>
                <w:color w:val="auto"/>
              </w:rPr>
            </w:pPr>
          </w:p>
        </w:tc>
      </w:tr>
      <w:tr>
        <w:trPr>
          <w:trHeight w:val="171"/>
        </w:trPr>
        <w:tc>
          <w:tcPr>
            <w:tcW w:w="1660" w:type="dxa"/>
            <w:vAlign w:val="bottom"/>
          </w:tcPr>
          <w:p>
            <w:pPr>
              <w:spacing w:after="0"/>
              <w:rPr>
                <w:sz w:val="14"/>
                <w:szCs w:val="14"/>
                <w:color w:val="auto"/>
              </w:rPr>
            </w:pPr>
          </w:p>
        </w:tc>
        <w:tc>
          <w:tcPr>
            <w:tcW w:w="3280" w:type="dxa"/>
            <w:vAlign w:val="bottom"/>
            <w:gridSpan w:val="2"/>
          </w:tcPr>
          <w:p>
            <w:pPr>
              <w:ind w:left="320"/>
              <w:spacing w:after="0"/>
              <w:rPr>
                <w:sz w:val="20"/>
                <w:szCs w:val="20"/>
                <w:color w:val="auto"/>
              </w:rPr>
            </w:pPr>
            <w:r>
              <w:rPr>
                <w:rFonts w:ascii="Arial" w:cs="Arial" w:eastAsia="Arial" w:hAnsi="Arial"/>
                <w:sz w:val="10"/>
                <w:szCs w:val="10"/>
                <w:color w:val="auto"/>
              </w:rPr>
              <w:t>Concession cost</w:t>
            </w:r>
          </w:p>
        </w:tc>
        <w:tc>
          <w:tcPr>
            <w:tcW w:w="380" w:type="dxa"/>
            <w:vAlign w:val="bottom"/>
          </w:tcPr>
          <w:p>
            <w:pPr>
              <w:spacing w:after="0"/>
              <w:rPr>
                <w:sz w:val="14"/>
                <w:szCs w:val="14"/>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0"/>
                <w:szCs w:val="10"/>
                <w:color w:val="auto"/>
              </w:rPr>
              <w:t>(6,448)</w:t>
            </w:r>
          </w:p>
        </w:tc>
        <w:tc>
          <w:tcPr>
            <w:tcW w:w="780" w:type="dxa"/>
            <w:vAlign w:val="bottom"/>
          </w:tcPr>
          <w:p>
            <w:pPr>
              <w:jc w:val="right"/>
              <w:ind w:right="152"/>
              <w:spacing w:after="0"/>
              <w:rPr>
                <w:sz w:val="20"/>
                <w:szCs w:val="20"/>
                <w:color w:val="auto"/>
              </w:rPr>
            </w:pPr>
            <w:r>
              <w:rPr>
                <w:rFonts w:ascii="Arial" w:cs="Arial" w:eastAsia="Arial" w:hAnsi="Arial"/>
                <w:sz w:val="10"/>
                <w:szCs w:val="10"/>
                <w:i w:val="1"/>
                <w:iCs w:val="1"/>
                <w:color w:val="auto"/>
              </w:rPr>
              <w:t>(5)%</w:t>
            </w: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0"/>
                <w:szCs w:val="10"/>
                <w:color w:val="auto"/>
              </w:rPr>
              <w:t>(6,145)</w:t>
            </w:r>
          </w:p>
        </w:tc>
        <w:tc>
          <w:tcPr>
            <w:tcW w:w="780" w:type="dxa"/>
            <w:vAlign w:val="bottom"/>
          </w:tcPr>
          <w:p>
            <w:pPr>
              <w:jc w:val="right"/>
              <w:ind w:right="152"/>
              <w:spacing w:after="0"/>
              <w:rPr>
                <w:sz w:val="20"/>
                <w:szCs w:val="20"/>
                <w:color w:val="auto"/>
              </w:rPr>
            </w:pPr>
            <w:r>
              <w:rPr>
                <w:rFonts w:ascii="Arial" w:cs="Arial" w:eastAsia="Arial" w:hAnsi="Arial"/>
                <w:sz w:val="10"/>
                <w:szCs w:val="10"/>
                <w:i w:val="1"/>
                <w:iCs w:val="1"/>
                <w:color w:val="auto"/>
              </w:rPr>
              <w:t>(5)%</w:t>
            </w:r>
          </w:p>
        </w:tc>
        <w:tc>
          <w:tcPr>
            <w:tcW w:w="180" w:type="dxa"/>
            <w:vAlign w:val="bottom"/>
          </w:tcPr>
          <w:p>
            <w:pPr>
              <w:spacing w:after="0"/>
              <w:rPr>
                <w:sz w:val="14"/>
                <w:szCs w:val="14"/>
                <w:color w:val="auto"/>
              </w:rPr>
            </w:pPr>
          </w:p>
        </w:tc>
        <w:tc>
          <w:tcPr>
            <w:tcW w:w="1080" w:type="dxa"/>
            <w:vAlign w:val="bottom"/>
            <w:gridSpan w:val="2"/>
          </w:tcPr>
          <w:p>
            <w:pPr>
              <w:jc w:val="right"/>
              <w:ind w:right="232"/>
              <w:spacing w:after="0"/>
              <w:rPr>
                <w:sz w:val="20"/>
                <w:szCs w:val="20"/>
                <w:color w:val="auto"/>
              </w:rPr>
            </w:pPr>
            <w:r>
              <w:rPr>
                <w:rFonts w:ascii="Arial" w:cs="Arial" w:eastAsia="Arial" w:hAnsi="Arial"/>
                <w:sz w:val="10"/>
                <w:szCs w:val="10"/>
                <w:color w:val="auto"/>
              </w:rPr>
              <w:t>(5) %</w:t>
            </w:r>
          </w:p>
        </w:tc>
        <w:tc>
          <w:tcPr>
            <w:tcW w:w="0" w:type="dxa"/>
            <w:vAlign w:val="bottom"/>
          </w:tcPr>
          <w:p>
            <w:pPr>
              <w:spacing w:after="0"/>
              <w:rPr>
                <w:sz w:val="1"/>
                <w:szCs w:val="1"/>
                <w:color w:val="auto"/>
              </w:rPr>
            </w:pPr>
          </w:p>
        </w:tc>
      </w:tr>
      <w:tr>
        <w:trPr>
          <w:trHeight w:val="171"/>
        </w:trPr>
        <w:tc>
          <w:tcPr>
            <w:tcW w:w="1660" w:type="dxa"/>
            <w:vAlign w:val="bottom"/>
            <w:shd w:val="clear" w:color="auto" w:fill="CCEEFF"/>
          </w:tcPr>
          <w:p>
            <w:pPr>
              <w:spacing w:after="0"/>
              <w:rPr>
                <w:sz w:val="14"/>
                <w:szCs w:val="14"/>
                <w:color w:val="auto"/>
              </w:rPr>
            </w:pPr>
          </w:p>
        </w:tc>
        <w:tc>
          <w:tcPr>
            <w:tcW w:w="3280" w:type="dxa"/>
            <w:vAlign w:val="bottom"/>
            <w:gridSpan w:val="2"/>
            <w:shd w:val="clear" w:color="auto" w:fill="CCEEFF"/>
          </w:tcPr>
          <w:p>
            <w:pPr>
              <w:ind w:left="320"/>
              <w:spacing w:after="0"/>
              <w:rPr>
                <w:sz w:val="20"/>
                <w:szCs w:val="20"/>
                <w:color w:val="auto"/>
              </w:rPr>
            </w:pPr>
            <w:r>
              <w:rPr>
                <w:rFonts w:ascii="Arial" w:cs="Arial" w:eastAsia="Arial" w:hAnsi="Arial"/>
                <w:sz w:val="10"/>
                <w:szCs w:val="10"/>
                <w:color w:val="auto"/>
              </w:rPr>
              <w:t>Occupancy expense</w:t>
            </w:r>
          </w:p>
        </w:tc>
        <w:tc>
          <w:tcPr>
            <w:tcW w:w="3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(26,886)</w:t>
            </w:r>
          </w:p>
        </w:tc>
        <w:tc>
          <w:tcPr>
            <w:tcW w:w="780" w:type="dxa"/>
            <w:vAlign w:val="bottom"/>
            <w:shd w:val="clear" w:color="auto" w:fill="CCEEFF"/>
          </w:tcPr>
          <w:p>
            <w:pPr>
              <w:jc w:val="right"/>
              <w:ind w:right="152"/>
              <w:spacing w:after="0"/>
              <w:rPr>
                <w:sz w:val="20"/>
                <w:szCs w:val="20"/>
                <w:color w:val="auto"/>
              </w:rPr>
            </w:pPr>
            <w:r>
              <w:rPr>
                <w:rFonts w:ascii="Arial" w:cs="Arial" w:eastAsia="Arial" w:hAnsi="Arial"/>
                <w:sz w:val="10"/>
                <w:szCs w:val="10"/>
                <w:i w:val="1"/>
                <w:iCs w:val="1"/>
                <w:color w:val="auto"/>
              </w:rPr>
              <w:t>(20)%</w:t>
            </w:r>
          </w:p>
        </w:tc>
        <w:tc>
          <w:tcPr>
            <w:tcW w:w="1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(25,701)</w:t>
            </w:r>
          </w:p>
        </w:tc>
        <w:tc>
          <w:tcPr>
            <w:tcW w:w="780" w:type="dxa"/>
            <w:vAlign w:val="bottom"/>
            <w:shd w:val="clear" w:color="auto" w:fill="CCEEFF"/>
          </w:tcPr>
          <w:p>
            <w:pPr>
              <w:jc w:val="right"/>
              <w:ind w:right="152"/>
              <w:spacing w:after="0"/>
              <w:rPr>
                <w:sz w:val="20"/>
                <w:szCs w:val="20"/>
                <w:color w:val="auto"/>
              </w:rPr>
            </w:pPr>
            <w:r>
              <w:rPr>
                <w:rFonts w:ascii="Arial" w:cs="Arial" w:eastAsia="Arial" w:hAnsi="Arial"/>
                <w:sz w:val="10"/>
                <w:szCs w:val="10"/>
                <w:i w:val="1"/>
                <w:iCs w:val="1"/>
                <w:color w:val="auto"/>
              </w:rPr>
              <w:t>(20)%</w:t>
            </w:r>
          </w:p>
        </w:tc>
        <w:tc>
          <w:tcPr>
            <w:tcW w:w="18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232"/>
              <w:spacing w:after="0"/>
              <w:rPr>
                <w:sz w:val="20"/>
                <w:szCs w:val="20"/>
                <w:color w:val="auto"/>
              </w:rPr>
            </w:pPr>
            <w:r>
              <w:rPr>
                <w:rFonts w:ascii="Arial" w:cs="Arial" w:eastAsia="Arial" w:hAnsi="Arial"/>
                <w:sz w:val="10"/>
                <w:szCs w:val="10"/>
                <w:color w:val="auto"/>
              </w:rPr>
              <w:t>(5) %</w:t>
            </w:r>
          </w:p>
        </w:tc>
        <w:tc>
          <w:tcPr>
            <w:tcW w:w="0" w:type="dxa"/>
            <w:vAlign w:val="bottom"/>
          </w:tcPr>
          <w:p>
            <w:pPr>
              <w:spacing w:after="0"/>
              <w:rPr>
                <w:sz w:val="1"/>
                <w:szCs w:val="1"/>
                <w:color w:val="auto"/>
              </w:rPr>
            </w:pPr>
          </w:p>
        </w:tc>
      </w:tr>
      <w:tr>
        <w:trPr>
          <w:trHeight w:val="171"/>
        </w:trPr>
        <w:tc>
          <w:tcPr>
            <w:tcW w:w="1660" w:type="dxa"/>
            <w:vAlign w:val="bottom"/>
          </w:tcPr>
          <w:p>
            <w:pPr>
              <w:spacing w:after="0"/>
              <w:rPr>
                <w:sz w:val="14"/>
                <w:szCs w:val="14"/>
                <w:color w:val="auto"/>
              </w:rPr>
            </w:pPr>
          </w:p>
        </w:tc>
        <w:tc>
          <w:tcPr>
            <w:tcW w:w="3280" w:type="dxa"/>
            <w:vAlign w:val="bottom"/>
            <w:gridSpan w:val="2"/>
          </w:tcPr>
          <w:p>
            <w:pPr>
              <w:ind w:left="320"/>
              <w:spacing w:after="0"/>
              <w:rPr>
                <w:sz w:val="20"/>
                <w:szCs w:val="20"/>
                <w:color w:val="auto"/>
              </w:rPr>
            </w:pPr>
            <w:r>
              <w:rPr>
                <w:rFonts w:ascii="Arial" w:cs="Arial" w:eastAsia="Arial" w:hAnsi="Arial"/>
                <w:sz w:val="10"/>
                <w:szCs w:val="10"/>
                <w:color w:val="auto"/>
              </w:rPr>
              <w:t>Other expense</w:t>
            </w:r>
          </w:p>
        </w:tc>
        <w:tc>
          <w:tcPr>
            <w:tcW w:w="380" w:type="dxa"/>
            <w:vAlign w:val="bottom"/>
          </w:tcPr>
          <w:p>
            <w:pPr>
              <w:spacing w:after="0"/>
              <w:rPr>
                <w:sz w:val="14"/>
                <w:szCs w:val="14"/>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0"/>
                <w:szCs w:val="10"/>
                <w:color w:val="auto"/>
              </w:rPr>
              <w:t>(35,970)</w:t>
            </w:r>
          </w:p>
        </w:tc>
        <w:tc>
          <w:tcPr>
            <w:tcW w:w="780" w:type="dxa"/>
            <w:vAlign w:val="bottom"/>
          </w:tcPr>
          <w:p>
            <w:pPr>
              <w:jc w:val="right"/>
              <w:ind w:right="152"/>
              <w:spacing w:after="0"/>
              <w:rPr>
                <w:sz w:val="20"/>
                <w:szCs w:val="20"/>
                <w:color w:val="auto"/>
              </w:rPr>
            </w:pPr>
            <w:r>
              <w:rPr>
                <w:rFonts w:ascii="Arial" w:cs="Arial" w:eastAsia="Arial" w:hAnsi="Arial"/>
                <w:sz w:val="10"/>
                <w:szCs w:val="10"/>
                <w:i w:val="1"/>
                <w:iCs w:val="1"/>
                <w:color w:val="auto"/>
              </w:rPr>
              <w:t>(27)%</w:t>
            </w: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0"/>
                <w:szCs w:val="10"/>
                <w:color w:val="auto"/>
              </w:rPr>
              <w:t>(34,073)</w:t>
            </w:r>
          </w:p>
        </w:tc>
        <w:tc>
          <w:tcPr>
            <w:tcW w:w="780" w:type="dxa"/>
            <w:vAlign w:val="bottom"/>
          </w:tcPr>
          <w:p>
            <w:pPr>
              <w:jc w:val="right"/>
              <w:ind w:right="152"/>
              <w:spacing w:after="0"/>
              <w:rPr>
                <w:sz w:val="20"/>
                <w:szCs w:val="20"/>
                <w:color w:val="auto"/>
              </w:rPr>
            </w:pPr>
            <w:r>
              <w:rPr>
                <w:rFonts w:ascii="Arial" w:cs="Arial" w:eastAsia="Arial" w:hAnsi="Arial"/>
                <w:sz w:val="10"/>
                <w:szCs w:val="10"/>
                <w:i w:val="1"/>
                <w:iCs w:val="1"/>
                <w:color w:val="auto"/>
              </w:rPr>
              <w:t>(27)%</w:t>
            </w:r>
          </w:p>
        </w:tc>
        <w:tc>
          <w:tcPr>
            <w:tcW w:w="180" w:type="dxa"/>
            <w:vAlign w:val="bottom"/>
          </w:tcPr>
          <w:p>
            <w:pPr>
              <w:spacing w:after="0"/>
              <w:rPr>
                <w:sz w:val="14"/>
                <w:szCs w:val="14"/>
                <w:color w:val="auto"/>
              </w:rPr>
            </w:pPr>
          </w:p>
        </w:tc>
        <w:tc>
          <w:tcPr>
            <w:tcW w:w="1080" w:type="dxa"/>
            <w:vAlign w:val="bottom"/>
            <w:gridSpan w:val="2"/>
          </w:tcPr>
          <w:p>
            <w:pPr>
              <w:jc w:val="right"/>
              <w:ind w:right="232"/>
              <w:spacing w:after="0"/>
              <w:rPr>
                <w:sz w:val="20"/>
                <w:szCs w:val="20"/>
                <w:color w:val="auto"/>
              </w:rPr>
            </w:pPr>
            <w:r>
              <w:rPr>
                <w:rFonts w:ascii="Arial" w:cs="Arial" w:eastAsia="Arial" w:hAnsi="Arial"/>
                <w:sz w:val="10"/>
                <w:szCs w:val="10"/>
                <w:color w:val="auto"/>
              </w:rPr>
              <w:t>(6) %</w:t>
            </w:r>
          </w:p>
        </w:tc>
        <w:tc>
          <w:tcPr>
            <w:tcW w:w="0" w:type="dxa"/>
            <w:vAlign w:val="bottom"/>
          </w:tcPr>
          <w:p>
            <w:pPr>
              <w:spacing w:after="0"/>
              <w:rPr>
                <w:sz w:val="1"/>
                <w:szCs w:val="1"/>
                <w:color w:val="auto"/>
              </w:rPr>
            </w:pPr>
          </w:p>
        </w:tc>
      </w:tr>
      <w:tr>
        <w:trPr>
          <w:trHeight w:val="131"/>
        </w:trPr>
        <w:tc>
          <w:tcPr>
            <w:tcW w:w="1660" w:type="dxa"/>
            <w:vAlign w:val="bottom"/>
            <w:tcBorders>
              <w:top w:val="single" w:sz="8" w:color="CCEEFF"/>
              <w:bottom w:val="single" w:sz="8" w:color="CCEEFF"/>
            </w:tcBorders>
            <w:shd w:val="clear" w:color="auto" w:fill="CCEEFF"/>
          </w:tcPr>
          <w:p>
            <w:pPr>
              <w:spacing w:after="0"/>
              <w:rPr>
                <w:sz w:val="11"/>
                <w:szCs w:val="11"/>
                <w:color w:val="auto"/>
              </w:rPr>
            </w:pPr>
          </w:p>
        </w:tc>
        <w:tc>
          <w:tcPr>
            <w:tcW w:w="3100" w:type="dxa"/>
            <w:vAlign w:val="bottom"/>
            <w:tcBorders>
              <w:top w:val="single" w:sz="8" w:color="CCEEFF"/>
              <w:bottom w:val="single" w:sz="8" w:color="CCEEFF"/>
            </w:tcBorders>
            <w:shd w:val="clear" w:color="auto" w:fill="CCEEFF"/>
          </w:tcPr>
          <w:p>
            <w:pPr>
              <w:spacing w:after="0"/>
              <w:rPr>
                <w:sz w:val="11"/>
                <w:szCs w:val="11"/>
                <w:color w:val="auto"/>
              </w:rPr>
            </w:pPr>
          </w:p>
        </w:tc>
        <w:tc>
          <w:tcPr>
            <w:tcW w:w="180" w:type="dxa"/>
            <w:vAlign w:val="bottom"/>
            <w:tcBorders>
              <w:top w:val="single" w:sz="8" w:color="CCEEFF"/>
              <w:bottom w:val="single" w:sz="8" w:color="CCEEFF"/>
            </w:tcBorders>
            <w:shd w:val="clear" w:color="auto" w:fill="CCEEFF"/>
          </w:tcPr>
          <w:p>
            <w:pPr>
              <w:spacing w:after="0"/>
              <w:rPr>
                <w:sz w:val="11"/>
                <w:szCs w:val="11"/>
                <w:color w:val="auto"/>
              </w:rPr>
            </w:pPr>
          </w:p>
        </w:tc>
        <w:tc>
          <w:tcPr>
            <w:tcW w:w="380" w:type="dxa"/>
            <w:vAlign w:val="bottom"/>
            <w:tcBorders>
              <w:top w:val="single" w:sz="8" w:color="auto"/>
              <w:bottom w:val="single" w:sz="8" w:color="CCEEFF"/>
            </w:tcBorders>
            <w:shd w:val="clear" w:color="auto" w:fill="CCEEFF"/>
          </w:tcPr>
          <w:p>
            <w:pPr>
              <w:jc w:val="right"/>
              <w:ind w:right="72"/>
              <w:spacing w:after="0" w:line="113" w:lineRule="exact"/>
              <w:rPr>
                <w:sz w:val="20"/>
                <w:szCs w:val="20"/>
                <w:color w:val="auto"/>
              </w:rPr>
            </w:pPr>
            <w:r>
              <w:rPr>
                <w:rFonts w:ascii="Arial" w:cs="Arial" w:eastAsia="Arial" w:hAnsi="Arial"/>
                <w:sz w:val="10"/>
                <w:szCs w:val="10"/>
                <w:b w:val="1"/>
                <w:bCs w:val="1"/>
                <w:color w:val="auto"/>
              </w:rPr>
              <w:t>$</w:t>
            </w:r>
          </w:p>
        </w:tc>
        <w:tc>
          <w:tcPr>
            <w:tcW w:w="800" w:type="dxa"/>
            <w:vAlign w:val="bottom"/>
            <w:tcBorders>
              <w:top w:val="single" w:sz="8" w:color="auto"/>
              <w:bottom w:val="single" w:sz="8" w:color="CCEEFF"/>
            </w:tcBorders>
            <w:shd w:val="clear" w:color="auto" w:fill="CCEEFF"/>
          </w:tcPr>
          <w:p>
            <w:pPr>
              <w:jc w:val="right"/>
              <w:spacing w:after="0" w:line="113" w:lineRule="exact"/>
              <w:rPr>
                <w:sz w:val="20"/>
                <w:szCs w:val="20"/>
                <w:color w:val="auto"/>
              </w:rPr>
            </w:pPr>
            <w:r>
              <w:rPr>
                <w:rFonts w:ascii="Arial" w:cs="Arial" w:eastAsia="Arial" w:hAnsi="Arial"/>
                <w:sz w:val="10"/>
                <w:szCs w:val="10"/>
                <w:b w:val="1"/>
                <w:bCs w:val="1"/>
                <w:color w:val="auto"/>
              </w:rPr>
              <w:t>(115,479)</w:t>
            </w:r>
          </w:p>
        </w:tc>
        <w:tc>
          <w:tcPr>
            <w:tcW w:w="180" w:type="dxa"/>
            <w:vAlign w:val="bottom"/>
            <w:tcBorders>
              <w:top w:val="single" w:sz="8" w:color="CCEEFF"/>
              <w:bottom w:val="single" w:sz="8" w:color="CCEEFF"/>
            </w:tcBorders>
            <w:shd w:val="clear" w:color="auto" w:fill="CCEEFF"/>
          </w:tcPr>
          <w:p>
            <w:pPr>
              <w:spacing w:after="0"/>
              <w:rPr>
                <w:sz w:val="11"/>
                <w:szCs w:val="11"/>
                <w:color w:val="auto"/>
              </w:rPr>
            </w:pPr>
          </w:p>
        </w:tc>
        <w:tc>
          <w:tcPr>
            <w:tcW w:w="780" w:type="dxa"/>
            <w:vAlign w:val="bottom"/>
            <w:tcBorders>
              <w:top w:val="single" w:sz="8" w:color="CCEEFF"/>
              <w:bottom w:val="single" w:sz="8" w:color="CCEEFF"/>
            </w:tcBorders>
            <w:shd w:val="clear" w:color="auto" w:fill="CCEEFF"/>
          </w:tcPr>
          <w:p>
            <w:pPr>
              <w:jc w:val="right"/>
              <w:ind w:right="152"/>
              <w:spacing w:after="0" w:line="102" w:lineRule="exact"/>
              <w:rPr>
                <w:sz w:val="20"/>
                <w:szCs w:val="20"/>
                <w:color w:val="auto"/>
              </w:rPr>
            </w:pPr>
            <w:r>
              <w:rPr>
                <w:rFonts w:ascii="Arial" w:cs="Arial" w:eastAsia="Arial" w:hAnsi="Arial"/>
                <w:sz w:val="10"/>
                <w:szCs w:val="10"/>
                <w:i w:val="1"/>
                <w:iCs w:val="1"/>
                <w:color w:val="auto"/>
              </w:rPr>
              <w:t>(87)%</w:t>
            </w:r>
          </w:p>
        </w:tc>
        <w:tc>
          <w:tcPr>
            <w:tcW w:w="180" w:type="dxa"/>
            <w:vAlign w:val="bottom"/>
            <w:tcBorders>
              <w:top w:val="single" w:sz="8" w:color="CCEEFF"/>
              <w:bottom w:val="single" w:sz="8" w:color="CCEEFF"/>
            </w:tcBorders>
            <w:shd w:val="clear" w:color="auto" w:fill="CCEEFF"/>
          </w:tcPr>
          <w:p>
            <w:pPr>
              <w:spacing w:after="0"/>
              <w:rPr>
                <w:sz w:val="11"/>
                <w:szCs w:val="11"/>
                <w:color w:val="auto"/>
              </w:rPr>
            </w:pPr>
          </w:p>
        </w:tc>
        <w:tc>
          <w:tcPr>
            <w:tcW w:w="360" w:type="dxa"/>
            <w:vAlign w:val="bottom"/>
            <w:tcBorders>
              <w:top w:val="single" w:sz="8" w:color="auto"/>
              <w:bottom w:val="single" w:sz="8" w:color="CCEEFF"/>
            </w:tcBorders>
            <w:shd w:val="clear" w:color="auto" w:fill="CCEEFF"/>
          </w:tcPr>
          <w:p>
            <w:pPr>
              <w:jc w:val="right"/>
              <w:ind w:right="72"/>
              <w:spacing w:after="0" w:line="113" w:lineRule="exact"/>
              <w:rPr>
                <w:sz w:val="20"/>
                <w:szCs w:val="20"/>
                <w:color w:val="auto"/>
              </w:rPr>
            </w:pPr>
            <w:r>
              <w:rPr>
                <w:rFonts w:ascii="Arial" w:cs="Arial" w:eastAsia="Arial" w:hAnsi="Arial"/>
                <w:sz w:val="10"/>
                <w:szCs w:val="10"/>
                <w:b w:val="1"/>
                <w:bCs w:val="1"/>
                <w:color w:val="auto"/>
              </w:rPr>
              <w:t>$</w:t>
            </w:r>
          </w:p>
        </w:tc>
        <w:tc>
          <w:tcPr>
            <w:tcW w:w="800" w:type="dxa"/>
            <w:vAlign w:val="bottom"/>
            <w:tcBorders>
              <w:top w:val="single" w:sz="8" w:color="auto"/>
              <w:bottom w:val="single" w:sz="8" w:color="CCEEFF"/>
            </w:tcBorders>
            <w:shd w:val="clear" w:color="auto" w:fill="CCEEFF"/>
          </w:tcPr>
          <w:p>
            <w:pPr>
              <w:jc w:val="right"/>
              <w:spacing w:after="0" w:line="113" w:lineRule="exact"/>
              <w:rPr>
                <w:sz w:val="20"/>
                <w:szCs w:val="20"/>
                <w:color w:val="auto"/>
              </w:rPr>
            </w:pPr>
            <w:r>
              <w:rPr>
                <w:rFonts w:ascii="Arial" w:cs="Arial" w:eastAsia="Arial" w:hAnsi="Arial"/>
                <w:sz w:val="10"/>
                <w:szCs w:val="10"/>
                <w:b w:val="1"/>
                <w:bCs w:val="1"/>
                <w:color w:val="auto"/>
              </w:rPr>
              <w:t>(109,430)</w:t>
            </w: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780" w:type="dxa"/>
            <w:vAlign w:val="bottom"/>
            <w:tcBorders>
              <w:top w:val="single" w:sz="8" w:color="CCEEFF"/>
              <w:bottom w:val="single" w:sz="8" w:color="CCEEFF"/>
            </w:tcBorders>
            <w:shd w:val="clear" w:color="auto" w:fill="CCEEFF"/>
          </w:tcPr>
          <w:p>
            <w:pPr>
              <w:jc w:val="right"/>
              <w:ind w:right="152"/>
              <w:spacing w:after="0" w:line="102" w:lineRule="exact"/>
              <w:rPr>
                <w:sz w:val="20"/>
                <w:szCs w:val="20"/>
                <w:color w:val="auto"/>
              </w:rPr>
            </w:pPr>
            <w:r>
              <w:rPr>
                <w:rFonts w:ascii="Arial" w:cs="Arial" w:eastAsia="Arial" w:hAnsi="Arial"/>
                <w:sz w:val="10"/>
                <w:szCs w:val="10"/>
                <w:i w:val="1"/>
                <w:iCs w:val="1"/>
                <w:color w:val="auto"/>
              </w:rPr>
              <w:t>(87)%</w:t>
            </w:r>
          </w:p>
        </w:tc>
        <w:tc>
          <w:tcPr>
            <w:tcW w:w="180" w:type="dxa"/>
            <w:vAlign w:val="bottom"/>
            <w:tcBorders>
              <w:top w:val="single" w:sz="8" w:color="CCEEFF"/>
              <w:bottom w:val="single" w:sz="8" w:color="CCEEFF"/>
            </w:tcBorders>
            <w:shd w:val="clear" w:color="auto" w:fill="CCEEFF"/>
          </w:tcPr>
          <w:p>
            <w:pPr>
              <w:spacing w:after="0"/>
              <w:rPr>
                <w:sz w:val="11"/>
                <w:szCs w:val="11"/>
                <w:color w:val="auto"/>
              </w:rPr>
            </w:pPr>
          </w:p>
        </w:tc>
        <w:tc>
          <w:tcPr>
            <w:tcW w:w="1080" w:type="dxa"/>
            <w:vAlign w:val="bottom"/>
            <w:tcBorders>
              <w:top w:val="single" w:sz="8" w:color="CCEEFF"/>
              <w:bottom w:val="single" w:sz="8" w:color="CCEEFF"/>
            </w:tcBorders>
            <w:gridSpan w:val="2"/>
            <w:shd w:val="clear" w:color="auto" w:fill="CCEEFF"/>
          </w:tcPr>
          <w:p>
            <w:pPr>
              <w:jc w:val="right"/>
              <w:ind w:right="232"/>
              <w:spacing w:after="0" w:line="102" w:lineRule="exact"/>
              <w:rPr>
                <w:sz w:val="20"/>
                <w:szCs w:val="20"/>
                <w:color w:val="auto"/>
              </w:rPr>
            </w:pPr>
            <w:r>
              <w:rPr>
                <w:rFonts w:ascii="Arial" w:cs="Arial" w:eastAsia="Arial" w:hAnsi="Arial"/>
                <w:sz w:val="10"/>
                <w:szCs w:val="10"/>
                <w:color w:val="auto"/>
              </w:rPr>
              <w:t>(6) %</w:t>
            </w:r>
          </w:p>
        </w:tc>
        <w:tc>
          <w:tcPr>
            <w:tcW w:w="0" w:type="dxa"/>
            <w:vAlign w:val="bottom"/>
          </w:tcPr>
          <w:p>
            <w:pPr>
              <w:spacing w:after="0"/>
              <w:rPr>
                <w:sz w:val="1"/>
                <w:szCs w:val="1"/>
                <w:color w:val="auto"/>
              </w:rPr>
            </w:pPr>
          </w:p>
        </w:tc>
      </w:tr>
      <w:tr>
        <w:trPr>
          <w:trHeight w:val="171"/>
        </w:trPr>
        <w:tc>
          <w:tcPr>
            <w:tcW w:w="1660" w:type="dxa"/>
            <w:vAlign w:val="bottom"/>
          </w:tcPr>
          <w:p>
            <w:pPr>
              <w:ind w:left="800"/>
              <w:spacing w:after="0"/>
              <w:rPr>
                <w:sz w:val="20"/>
                <w:szCs w:val="20"/>
                <w:color w:val="auto"/>
              </w:rPr>
            </w:pPr>
            <w:r>
              <w:rPr>
                <w:rFonts w:ascii="Arial" w:cs="Arial" w:eastAsia="Arial" w:hAnsi="Arial"/>
                <w:sz w:val="10"/>
                <w:szCs w:val="10"/>
                <w:b w:val="1"/>
                <w:bCs w:val="1"/>
                <w:color w:val="auto"/>
              </w:rPr>
              <w:t>Australia</w:t>
            </w:r>
          </w:p>
        </w:tc>
        <w:tc>
          <w:tcPr>
            <w:tcW w:w="3280" w:type="dxa"/>
            <w:vAlign w:val="bottom"/>
            <w:gridSpan w:val="2"/>
          </w:tcPr>
          <w:p>
            <w:pPr>
              <w:ind w:left="320"/>
              <w:spacing w:after="0"/>
              <w:rPr>
                <w:sz w:val="20"/>
                <w:szCs w:val="20"/>
                <w:color w:val="auto"/>
              </w:rPr>
            </w:pPr>
            <w:r>
              <w:rPr>
                <w:rFonts w:ascii="Arial" w:cs="Arial" w:eastAsia="Arial" w:hAnsi="Arial"/>
                <w:sz w:val="10"/>
                <w:szCs w:val="10"/>
                <w:color w:val="auto"/>
              </w:rPr>
              <w:t>Film rent and advertising cost</w:t>
            </w:r>
          </w:p>
        </w:tc>
        <w:tc>
          <w:tcPr>
            <w:tcW w:w="380" w:type="dxa"/>
            <w:vAlign w:val="bottom"/>
          </w:tcPr>
          <w:p>
            <w:pPr>
              <w:spacing w:after="0"/>
              <w:rPr>
                <w:sz w:val="14"/>
                <w:szCs w:val="14"/>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0"/>
                <w:szCs w:val="10"/>
                <w:color w:val="auto"/>
              </w:rPr>
              <w:t>(25,491)</w:t>
            </w:r>
          </w:p>
        </w:tc>
        <w:tc>
          <w:tcPr>
            <w:tcW w:w="780" w:type="dxa"/>
            <w:vAlign w:val="bottom"/>
          </w:tcPr>
          <w:p>
            <w:pPr>
              <w:jc w:val="right"/>
              <w:ind w:right="152"/>
              <w:spacing w:after="0"/>
              <w:rPr>
                <w:sz w:val="20"/>
                <w:szCs w:val="20"/>
                <w:color w:val="auto"/>
              </w:rPr>
            </w:pPr>
            <w:r>
              <w:rPr>
                <w:rFonts w:ascii="Arial" w:cs="Arial" w:eastAsia="Arial" w:hAnsi="Arial"/>
                <w:sz w:val="10"/>
                <w:szCs w:val="10"/>
                <w:i w:val="1"/>
                <w:iCs w:val="1"/>
                <w:color w:val="auto"/>
              </w:rPr>
              <w:t>(30)%</w:t>
            </w: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0"/>
                <w:szCs w:val="10"/>
                <w:color w:val="auto"/>
              </w:rPr>
              <w:t>(26,677)</w:t>
            </w:r>
          </w:p>
        </w:tc>
        <w:tc>
          <w:tcPr>
            <w:tcW w:w="780" w:type="dxa"/>
            <w:vAlign w:val="bottom"/>
          </w:tcPr>
          <w:p>
            <w:pPr>
              <w:jc w:val="right"/>
              <w:ind w:right="152"/>
              <w:spacing w:after="0"/>
              <w:rPr>
                <w:sz w:val="20"/>
                <w:szCs w:val="20"/>
                <w:color w:val="auto"/>
              </w:rPr>
            </w:pPr>
            <w:r>
              <w:rPr>
                <w:rFonts w:ascii="Arial" w:cs="Arial" w:eastAsia="Arial" w:hAnsi="Arial"/>
                <w:sz w:val="10"/>
                <w:szCs w:val="10"/>
                <w:i w:val="1"/>
                <w:iCs w:val="1"/>
                <w:color w:val="auto"/>
              </w:rPr>
              <w:t>(30)%</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0"/>
                <w:szCs w:val="10"/>
                <w:color w:val="auto"/>
              </w:rPr>
              <w:t>4</w:t>
            </w:r>
          </w:p>
        </w:tc>
        <w:tc>
          <w:tcPr>
            <w:tcW w:w="380" w:type="dxa"/>
            <w:vAlign w:val="bottom"/>
          </w:tcPr>
          <w:p>
            <w:pPr>
              <w:jc w:val="right"/>
              <w:ind w:right="232"/>
              <w:spacing w:after="0"/>
              <w:rPr>
                <w:sz w:val="20"/>
                <w:szCs w:val="20"/>
                <w:color w:val="auto"/>
              </w:rPr>
            </w:pPr>
            <w:r>
              <w:rPr>
                <w:rFonts w:ascii="Arial" w:cs="Arial" w:eastAsia="Arial" w:hAnsi="Arial"/>
                <w:sz w:val="10"/>
                <w:szCs w:val="10"/>
                <w:color w:val="auto"/>
                <w:w w:val="89"/>
              </w:rPr>
              <w:t>%</w:t>
            </w:r>
          </w:p>
        </w:tc>
        <w:tc>
          <w:tcPr>
            <w:tcW w:w="0" w:type="dxa"/>
            <w:vAlign w:val="bottom"/>
          </w:tcPr>
          <w:p>
            <w:pPr>
              <w:spacing w:after="0"/>
              <w:rPr>
                <w:sz w:val="1"/>
                <w:szCs w:val="1"/>
                <w:color w:val="auto"/>
              </w:rPr>
            </w:pPr>
          </w:p>
        </w:tc>
      </w:tr>
      <w:tr>
        <w:trPr>
          <w:trHeight w:val="171"/>
        </w:trPr>
        <w:tc>
          <w:tcPr>
            <w:tcW w:w="1660" w:type="dxa"/>
            <w:vAlign w:val="bottom"/>
            <w:shd w:val="clear" w:color="auto" w:fill="CCEEFF"/>
          </w:tcPr>
          <w:p>
            <w:pPr>
              <w:spacing w:after="0"/>
              <w:rPr>
                <w:sz w:val="14"/>
                <w:szCs w:val="14"/>
                <w:color w:val="auto"/>
              </w:rPr>
            </w:pPr>
          </w:p>
        </w:tc>
        <w:tc>
          <w:tcPr>
            <w:tcW w:w="3280" w:type="dxa"/>
            <w:vAlign w:val="bottom"/>
            <w:gridSpan w:val="2"/>
            <w:shd w:val="clear" w:color="auto" w:fill="CCEEFF"/>
          </w:tcPr>
          <w:p>
            <w:pPr>
              <w:ind w:left="320"/>
              <w:spacing w:after="0"/>
              <w:rPr>
                <w:sz w:val="20"/>
                <w:szCs w:val="20"/>
                <w:color w:val="auto"/>
              </w:rPr>
            </w:pPr>
            <w:r>
              <w:rPr>
                <w:rFonts w:ascii="Arial" w:cs="Arial" w:eastAsia="Arial" w:hAnsi="Arial"/>
                <w:sz w:val="10"/>
                <w:szCs w:val="10"/>
                <w:color w:val="auto"/>
              </w:rPr>
              <w:t>Concession cost</w:t>
            </w:r>
          </w:p>
        </w:tc>
        <w:tc>
          <w:tcPr>
            <w:tcW w:w="3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(4,938)</w:t>
            </w:r>
          </w:p>
        </w:tc>
        <w:tc>
          <w:tcPr>
            <w:tcW w:w="780" w:type="dxa"/>
            <w:vAlign w:val="bottom"/>
            <w:shd w:val="clear" w:color="auto" w:fill="CCEEFF"/>
          </w:tcPr>
          <w:p>
            <w:pPr>
              <w:jc w:val="right"/>
              <w:ind w:right="152"/>
              <w:spacing w:after="0"/>
              <w:rPr>
                <w:sz w:val="20"/>
                <w:szCs w:val="20"/>
                <w:color w:val="auto"/>
              </w:rPr>
            </w:pPr>
            <w:r>
              <w:rPr>
                <w:rFonts w:ascii="Arial" w:cs="Arial" w:eastAsia="Arial" w:hAnsi="Arial"/>
                <w:sz w:val="10"/>
                <w:szCs w:val="10"/>
                <w:i w:val="1"/>
                <w:iCs w:val="1"/>
                <w:color w:val="auto"/>
              </w:rPr>
              <w:t>(6)%</w:t>
            </w:r>
          </w:p>
        </w:tc>
        <w:tc>
          <w:tcPr>
            <w:tcW w:w="1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(4,781)</w:t>
            </w:r>
          </w:p>
        </w:tc>
        <w:tc>
          <w:tcPr>
            <w:tcW w:w="780" w:type="dxa"/>
            <w:vAlign w:val="bottom"/>
            <w:shd w:val="clear" w:color="auto" w:fill="CCEEFF"/>
          </w:tcPr>
          <w:p>
            <w:pPr>
              <w:jc w:val="right"/>
              <w:ind w:right="152"/>
              <w:spacing w:after="0"/>
              <w:rPr>
                <w:sz w:val="20"/>
                <w:szCs w:val="20"/>
                <w:color w:val="auto"/>
              </w:rPr>
            </w:pPr>
            <w:r>
              <w:rPr>
                <w:rFonts w:ascii="Arial" w:cs="Arial" w:eastAsia="Arial" w:hAnsi="Arial"/>
                <w:sz w:val="10"/>
                <w:szCs w:val="10"/>
                <w:i w:val="1"/>
                <w:iCs w:val="1"/>
                <w:color w:val="auto"/>
              </w:rPr>
              <w:t>(5)%</w:t>
            </w:r>
          </w:p>
        </w:tc>
        <w:tc>
          <w:tcPr>
            <w:tcW w:w="18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232"/>
              <w:spacing w:after="0"/>
              <w:rPr>
                <w:sz w:val="20"/>
                <w:szCs w:val="20"/>
                <w:color w:val="auto"/>
              </w:rPr>
            </w:pPr>
            <w:r>
              <w:rPr>
                <w:rFonts w:ascii="Arial" w:cs="Arial" w:eastAsia="Arial" w:hAnsi="Arial"/>
                <w:sz w:val="10"/>
                <w:szCs w:val="10"/>
                <w:color w:val="auto"/>
              </w:rPr>
              <w:t>(3) %</w:t>
            </w:r>
          </w:p>
        </w:tc>
        <w:tc>
          <w:tcPr>
            <w:tcW w:w="0" w:type="dxa"/>
            <w:vAlign w:val="bottom"/>
          </w:tcPr>
          <w:p>
            <w:pPr>
              <w:spacing w:after="0"/>
              <w:rPr>
                <w:sz w:val="1"/>
                <w:szCs w:val="1"/>
                <w:color w:val="auto"/>
              </w:rPr>
            </w:pPr>
          </w:p>
        </w:tc>
      </w:tr>
      <w:tr>
        <w:trPr>
          <w:trHeight w:val="171"/>
        </w:trPr>
        <w:tc>
          <w:tcPr>
            <w:tcW w:w="1660" w:type="dxa"/>
            <w:vAlign w:val="bottom"/>
          </w:tcPr>
          <w:p>
            <w:pPr>
              <w:spacing w:after="0"/>
              <w:rPr>
                <w:sz w:val="14"/>
                <w:szCs w:val="14"/>
                <w:color w:val="auto"/>
              </w:rPr>
            </w:pPr>
          </w:p>
        </w:tc>
        <w:tc>
          <w:tcPr>
            <w:tcW w:w="3280" w:type="dxa"/>
            <w:vAlign w:val="bottom"/>
            <w:gridSpan w:val="2"/>
          </w:tcPr>
          <w:p>
            <w:pPr>
              <w:ind w:left="320"/>
              <w:spacing w:after="0"/>
              <w:rPr>
                <w:sz w:val="20"/>
                <w:szCs w:val="20"/>
                <w:color w:val="auto"/>
              </w:rPr>
            </w:pPr>
            <w:r>
              <w:rPr>
                <w:rFonts w:ascii="Arial" w:cs="Arial" w:eastAsia="Arial" w:hAnsi="Arial"/>
                <w:sz w:val="10"/>
                <w:szCs w:val="10"/>
                <w:color w:val="auto"/>
              </w:rPr>
              <w:t>Occupancy expense</w:t>
            </w:r>
          </w:p>
        </w:tc>
        <w:tc>
          <w:tcPr>
            <w:tcW w:w="380" w:type="dxa"/>
            <w:vAlign w:val="bottom"/>
          </w:tcPr>
          <w:p>
            <w:pPr>
              <w:spacing w:after="0"/>
              <w:rPr>
                <w:sz w:val="14"/>
                <w:szCs w:val="14"/>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0"/>
                <w:szCs w:val="10"/>
                <w:color w:val="auto"/>
              </w:rPr>
              <w:t>(14,383)</w:t>
            </w:r>
          </w:p>
        </w:tc>
        <w:tc>
          <w:tcPr>
            <w:tcW w:w="780" w:type="dxa"/>
            <w:vAlign w:val="bottom"/>
          </w:tcPr>
          <w:p>
            <w:pPr>
              <w:jc w:val="right"/>
              <w:ind w:right="152"/>
              <w:spacing w:after="0"/>
              <w:rPr>
                <w:sz w:val="20"/>
                <w:szCs w:val="20"/>
                <w:color w:val="auto"/>
              </w:rPr>
            </w:pPr>
            <w:r>
              <w:rPr>
                <w:rFonts w:ascii="Arial" w:cs="Arial" w:eastAsia="Arial" w:hAnsi="Arial"/>
                <w:sz w:val="10"/>
                <w:szCs w:val="10"/>
                <w:i w:val="1"/>
                <w:iCs w:val="1"/>
                <w:color w:val="auto"/>
              </w:rPr>
              <w:t>(17)%</w:t>
            </w: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0"/>
                <w:szCs w:val="10"/>
                <w:color w:val="auto"/>
              </w:rPr>
              <w:t>(16,995)</w:t>
            </w:r>
          </w:p>
        </w:tc>
        <w:tc>
          <w:tcPr>
            <w:tcW w:w="780" w:type="dxa"/>
            <w:vAlign w:val="bottom"/>
          </w:tcPr>
          <w:p>
            <w:pPr>
              <w:jc w:val="right"/>
              <w:ind w:right="152"/>
              <w:spacing w:after="0"/>
              <w:rPr>
                <w:sz w:val="20"/>
                <w:szCs w:val="20"/>
                <w:color w:val="auto"/>
              </w:rPr>
            </w:pPr>
            <w:r>
              <w:rPr>
                <w:rFonts w:ascii="Arial" w:cs="Arial" w:eastAsia="Arial" w:hAnsi="Arial"/>
                <w:sz w:val="10"/>
                <w:szCs w:val="10"/>
                <w:i w:val="1"/>
                <w:iCs w:val="1"/>
                <w:color w:val="auto"/>
              </w:rPr>
              <w:t>(19)%</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0"/>
                <w:szCs w:val="10"/>
                <w:color w:val="auto"/>
              </w:rPr>
              <w:t>15</w:t>
            </w:r>
          </w:p>
        </w:tc>
        <w:tc>
          <w:tcPr>
            <w:tcW w:w="380" w:type="dxa"/>
            <w:vAlign w:val="bottom"/>
          </w:tcPr>
          <w:p>
            <w:pPr>
              <w:jc w:val="right"/>
              <w:ind w:right="232"/>
              <w:spacing w:after="0"/>
              <w:rPr>
                <w:sz w:val="20"/>
                <w:szCs w:val="20"/>
                <w:color w:val="auto"/>
              </w:rPr>
            </w:pPr>
            <w:r>
              <w:rPr>
                <w:rFonts w:ascii="Arial" w:cs="Arial" w:eastAsia="Arial" w:hAnsi="Arial"/>
                <w:sz w:val="10"/>
                <w:szCs w:val="10"/>
                <w:color w:val="auto"/>
                <w:w w:val="89"/>
              </w:rPr>
              <w:t>%</w:t>
            </w:r>
          </w:p>
        </w:tc>
        <w:tc>
          <w:tcPr>
            <w:tcW w:w="0" w:type="dxa"/>
            <w:vAlign w:val="bottom"/>
          </w:tcPr>
          <w:p>
            <w:pPr>
              <w:spacing w:after="0"/>
              <w:rPr>
                <w:sz w:val="1"/>
                <w:szCs w:val="1"/>
                <w:color w:val="auto"/>
              </w:rPr>
            </w:pPr>
          </w:p>
        </w:tc>
      </w:tr>
      <w:tr>
        <w:trPr>
          <w:trHeight w:val="171"/>
        </w:trPr>
        <w:tc>
          <w:tcPr>
            <w:tcW w:w="1660" w:type="dxa"/>
            <w:vAlign w:val="bottom"/>
            <w:shd w:val="clear" w:color="auto" w:fill="CCEEFF"/>
          </w:tcPr>
          <w:p>
            <w:pPr>
              <w:spacing w:after="0"/>
              <w:rPr>
                <w:sz w:val="14"/>
                <w:szCs w:val="14"/>
                <w:color w:val="auto"/>
              </w:rPr>
            </w:pPr>
          </w:p>
        </w:tc>
        <w:tc>
          <w:tcPr>
            <w:tcW w:w="3280" w:type="dxa"/>
            <w:vAlign w:val="bottom"/>
            <w:gridSpan w:val="2"/>
            <w:shd w:val="clear" w:color="auto" w:fill="CCEEFF"/>
          </w:tcPr>
          <w:p>
            <w:pPr>
              <w:ind w:left="320"/>
              <w:spacing w:after="0"/>
              <w:rPr>
                <w:sz w:val="20"/>
                <w:szCs w:val="20"/>
                <w:color w:val="auto"/>
              </w:rPr>
            </w:pPr>
            <w:r>
              <w:rPr>
                <w:rFonts w:ascii="Arial" w:cs="Arial" w:eastAsia="Arial" w:hAnsi="Arial"/>
                <w:sz w:val="10"/>
                <w:szCs w:val="10"/>
                <w:color w:val="auto"/>
              </w:rPr>
              <w:t>Other expense</w:t>
            </w:r>
          </w:p>
        </w:tc>
        <w:tc>
          <w:tcPr>
            <w:tcW w:w="3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(18,328)</w:t>
            </w:r>
          </w:p>
        </w:tc>
        <w:tc>
          <w:tcPr>
            <w:tcW w:w="780" w:type="dxa"/>
            <w:vAlign w:val="bottom"/>
            <w:shd w:val="clear" w:color="auto" w:fill="CCEEFF"/>
          </w:tcPr>
          <w:p>
            <w:pPr>
              <w:jc w:val="right"/>
              <w:ind w:right="152"/>
              <w:spacing w:after="0"/>
              <w:rPr>
                <w:sz w:val="20"/>
                <w:szCs w:val="20"/>
                <w:color w:val="auto"/>
              </w:rPr>
            </w:pPr>
            <w:r>
              <w:rPr>
                <w:rFonts w:ascii="Arial" w:cs="Arial" w:eastAsia="Arial" w:hAnsi="Arial"/>
                <w:sz w:val="10"/>
                <w:szCs w:val="10"/>
                <w:i w:val="1"/>
                <w:iCs w:val="1"/>
                <w:color w:val="auto"/>
              </w:rPr>
              <w:t>(21)%</w:t>
            </w:r>
          </w:p>
        </w:tc>
        <w:tc>
          <w:tcPr>
            <w:tcW w:w="1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(19,026)</w:t>
            </w:r>
          </w:p>
        </w:tc>
        <w:tc>
          <w:tcPr>
            <w:tcW w:w="780" w:type="dxa"/>
            <w:vAlign w:val="bottom"/>
            <w:shd w:val="clear" w:color="auto" w:fill="CCEEFF"/>
          </w:tcPr>
          <w:p>
            <w:pPr>
              <w:jc w:val="right"/>
              <w:ind w:right="152"/>
              <w:spacing w:after="0"/>
              <w:rPr>
                <w:sz w:val="20"/>
                <w:szCs w:val="20"/>
                <w:color w:val="auto"/>
              </w:rPr>
            </w:pPr>
            <w:r>
              <w:rPr>
                <w:rFonts w:ascii="Arial" w:cs="Arial" w:eastAsia="Arial" w:hAnsi="Arial"/>
                <w:sz w:val="10"/>
                <w:szCs w:val="10"/>
                <w:i w:val="1"/>
                <w:iCs w:val="1"/>
                <w:color w:val="auto"/>
              </w:rPr>
              <w:t>(21)%</w:t>
            </w: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w:t>
            </w:r>
          </w:p>
        </w:tc>
        <w:tc>
          <w:tcPr>
            <w:tcW w:w="380" w:type="dxa"/>
            <w:vAlign w:val="bottom"/>
            <w:shd w:val="clear" w:color="auto" w:fill="CCEEFF"/>
          </w:tcPr>
          <w:p>
            <w:pPr>
              <w:jc w:val="right"/>
              <w:ind w:right="232"/>
              <w:spacing w:after="0"/>
              <w:rPr>
                <w:sz w:val="20"/>
                <w:szCs w:val="20"/>
                <w:color w:val="auto"/>
              </w:rPr>
            </w:pPr>
            <w:r>
              <w:rPr>
                <w:rFonts w:ascii="Arial" w:cs="Arial" w:eastAsia="Arial" w:hAnsi="Arial"/>
                <w:sz w:val="10"/>
                <w:szCs w:val="10"/>
                <w:color w:val="auto"/>
                <w:w w:val="89"/>
              </w:rPr>
              <w:t>%</w:t>
            </w:r>
          </w:p>
        </w:tc>
        <w:tc>
          <w:tcPr>
            <w:tcW w:w="0" w:type="dxa"/>
            <w:vAlign w:val="bottom"/>
          </w:tcPr>
          <w:p>
            <w:pPr>
              <w:spacing w:after="0"/>
              <w:rPr>
                <w:sz w:val="1"/>
                <w:szCs w:val="1"/>
                <w:color w:val="auto"/>
              </w:rPr>
            </w:pPr>
          </w:p>
        </w:tc>
      </w:tr>
      <w:tr>
        <w:trPr>
          <w:trHeight w:val="113"/>
        </w:trPr>
        <w:tc>
          <w:tcPr>
            <w:tcW w:w="1660" w:type="dxa"/>
            <w:vAlign w:val="bottom"/>
          </w:tcPr>
          <w:p>
            <w:pPr>
              <w:spacing w:after="0"/>
              <w:rPr>
                <w:sz w:val="9"/>
                <w:szCs w:val="9"/>
                <w:color w:val="auto"/>
              </w:rPr>
            </w:pPr>
          </w:p>
        </w:tc>
        <w:tc>
          <w:tcPr>
            <w:tcW w:w="3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80" w:type="dxa"/>
            <w:vAlign w:val="bottom"/>
            <w:tcBorders>
              <w:top w:val="single" w:sz="8" w:color="auto"/>
            </w:tcBorders>
          </w:tcPr>
          <w:p>
            <w:pPr>
              <w:jc w:val="right"/>
              <w:ind w:right="72"/>
              <w:spacing w:after="0" w:line="113" w:lineRule="exact"/>
              <w:rPr>
                <w:sz w:val="20"/>
                <w:szCs w:val="20"/>
                <w:color w:val="auto"/>
              </w:rPr>
            </w:pPr>
            <w:r>
              <w:rPr>
                <w:rFonts w:ascii="Arial" w:cs="Arial" w:eastAsia="Arial" w:hAnsi="Arial"/>
                <w:sz w:val="10"/>
                <w:szCs w:val="10"/>
                <w:b w:val="1"/>
                <w:bCs w:val="1"/>
                <w:color w:val="auto"/>
              </w:rPr>
              <w:t>$</w:t>
            </w:r>
          </w:p>
        </w:tc>
        <w:tc>
          <w:tcPr>
            <w:tcW w:w="800" w:type="dxa"/>
            <w:vAlign w:val="bottom"/>
            <w:tcBorders>
              <w:top w:val="single" w:sz="8" w:color="auto"/>
            </w:tcBorders>
          </w:tcPr>
          <w:p>
            <w:pPr>
              <w:jc w:val="right"/>
              <w:spacing w:after="0" w:line="113" w:lineRule="exact"/>
              <w:rPr>
                <w:sz w:val="20"/>
                <w:szCs w:val="20"/>
                <w:color w:val="auto"/>
              </w:rPr>
            </w:pPr>
            <w:r>
              <w:rPr>
                <w:rFonts w:ascii="Arial" w:cs="Arial" w:eastAsia="Arial" w:hAnsi="Arial"/>
                <w:sz w:val="10"/>
                <w:szCs w:val="10"/>
                <w:b w:val="1"/>
                <w:bCs w:val="1"/>
                <w:color w:val="auto"/>
              </w:rPr>
              <w:t>(63,140)</w:t>
            </w:r>
          </w:p>
        </w:tc>
        <w:tc>
          <w:tcPr>
            <w:tcW w:w="180" w:type="dxa"/>
            <w:vAlign w:val="bottom"/>
          </w:tcPr>
          <w:p>
            <w:pPr>
              <w:spacing w:after="0"/>
              <w:rPr>
                <w:sz w:val="9"/>
                <w:szCs w:val="9"/>
                <w:color w:val="auto"/>
              </w:rPr>
            </w:pPr>
          </w:p>
        </w:tc>
        <w:tc>
          <w:tcPr>
            <w:tcW w:w="780" w:type="dxa"/>
            <w:vAlign w:val="bottom"/>
          </w:tcPr>
          <w:p>
            <w:pPr>
              <w:jc w:val="right"/>
              <w:ind w:right="152"/>
              <w:spacing w:after="0" w:line="102" w:lineRule="exact"/>
              <w:rPr>
                <w:sz w:val="20"/>
                <w:szCs w:val="20"/>
                <w:color w:val="auto"/>
              </w:rPr>
            </w:pPr>
            <w:r>
              <w:rPr>
                <w:rFonts w:ascii="Arial" w:cs="Arial" w:eastAsia="Arial" w:hAnsi="Arial"/>
                <w:sz w:val="10"/>
                <w:szCs w:val="10"/>
                <w:i w:val="1"/>
                <w:iCs w:val="1"/>
                <w:color w:val="auto"/>
              </w:rPr>
              <w:t>(73)%</w:t>
            </w:r>
          </w:p>
        </w:tc>
        <w:tc>
          <w:tcPr>
            <w:tcW w:w="180" w:type="dxa"/>
            <w:vAlign w:val="bottom"/>
          </w:tcPr>
          <w:p>
            <w:pPr>
              <w:spacing w:after="0"/>
              <w:rPr>
                <w:sz w:val="9"/>
                <w:szCs w:val="9"/>
                <w:color w:val="auto"/>
              </w:rPr>
            </w:pPr>
          </w:p>
        </w:tc>
        <w:tc>
          <w:tcPr>
            <w:tcW w:w="360" w:type="dxa"/>
            <w:vAlign w:val="bottom"/>
            <w:tcBorders>
              <w:top w:val="single" w:sz="8" w:color="auto"/>
            </w:tcBorders>
          </w:tcPr>
          <w:p>
            <w:pPr>
              <w:jc w:val="right"/>
              <w:ind w:right="72"/>
              <w:spacing w:after="0" w:line="113" w:lineRule="exact"/>
              <w:rPr>
                <w:sz w:val="20"/>
                <w:szCs w:val="20"/>
                <w:color w:val="auto"/>
              </w:rPr>
            </w:pPr>
            <w:r>
              <w:rPr>
                <w:rFonts w:ascii="Arial" w:cs="Arial" w:eastAsia="Arial" w:hAnsi="Arial"/>
                <w:sz w:val="10"/>
                <w:szCs w:val="10"/>
                <w:b w:val="1"/>
                <w:bCs w:val="1"/>
                <w:color w:val="auto"/>
              </w:rPr>
              <w:t>$</w:t>
            </w:r>
          </w:p>
        </w:tc>
        <w:tc>
          <w:tcPr>
            <w:tcW w:w="800" w:type="dxa"/>
            <w:vAlign w:val="bottom"/>
            <w:tcBorders>
              <w:top w:val="single" w:sz="8" w:color="auto"/>
            </w:tcBorders>
          </w:tcPr>
          <w:p>
            <w:pPr>
              <w:jc w:val="right"/>
              <w:spacing w:after="0" w:line="113" w:lineRule="exact"/>
              <w:rPr>
                <w:sz w:val="20"/>
                <w:szCs w:val="20"/>
                <w:color w:val="auto"/>
              </w:rPr>
            </w:pPr>
            <w:r>
              <w:rPr>
                <w:rFonts w:ascii="Arial" w:cs="Arial" w:eastAsia="Arial" w:hAnsi="Arial"/>
                <w:sz w:val="10"/>
                <w:szCs w:val="10"/>
                <w:b w:val="1"/>
                <w:bCs w:val="1"/>
                <w:color w:val="auto"/>
              </w:rPr>
              <w:t>(67,479)</w:t>
            </w:r>
          </w:p>
        </w:tc>
        <w:tc>
          <w:tcPr>
            <w:tcW w:w="160" w:type="dxa"/>
            <w:vAlign w:val="bottom"/>
          </w:tcPr>
          <w:p>
            <w:pPr>
              <w:spacing w:after="0"/>
              <w:rPr>
                <w:sz w:val="9"/>
                <w:szCs w:val="9"/>
                <w:color w:val="auto"/>
              </w:rPr>
            </w:pPr>
          </w:p>
        </w:tc>
        <w:tc>
          <w:tcPr>
            <w:tcW w:w="780" w:type="dxa"/>
            <w:vAlign w:val="bottom"/>
          </w:tcPr>
          <w:p>
            <w:pPr>
              <w:jc w:val="right"/>
              <w:ind w:right="152"/>
              <w:spacing w:after="0" w:line="102" w:lineRule="exact"/>
              <w:rPr>
                <w:sz w:val="20"/>
                <w:szCs w:val="20"/>
                <w:color w:val="auto"/>
              </w:rPr>
            </w:pPr>
            <w:r>
              <w:rPr>
                <w:rFonts w:ascii="Arial" w:cs="Arial" w:eastAsia="Arial" w:hAnsi="Arial"/>
                <w:sz w:val="10"/>
                <w:szCs w:val="10"/>
                <w:i w:val="1"/>
                <w:iCs w:val="1"/>
                <w:color w:val="auto"/>
              </w:rPr>
              <w:t>(76)%</w:t>
            </w:r>
          </w:p>
        </w:tc>
        <w:tc>
          <w:tcPr>
            <w:tcW w:w="180" w:type="dxa"/>
            <w:vAlign w:val="bottom"/>
          </w:tcPr>
          <w:p>
            <w:pPr>
              <w:spacing w:after="0"/>
              <w:rPr>
                <w:sz w:val="9"/>
                <w:szCs w:val="9"/>
                <w:color w:val="auto"/>
              </w:rPr>
            </w:pPr>
          </w:p>
        </w:tc>
        <w:tc>
          <w:tcPr>
            <w:tcW w:w="700" w:type="dxa"/>
            <w:vAlign w:val="bottom"/>
          </w:tcPr>
          <w:p>
            <w:pPr>
              <w:jc w:val="right"/>
              <w:spacing w:after="0" w:line="102" w:lineRule="exact"/>
              <w:rPr>
                <w:sz w:val="20"/>
                <w:szCs w:val="20"/>
                <w:color w:val="auto"/>
              </w:rPr>
            </w:pPr>
            <w:r>
              <w:rPr>
                <w:rFonts w:ascii="Arial" w:cs="Arial" w:eastAsia="Arial" w:hAnsi="Arial"/>
                <w:sz w:val="10"/>
                <w:szCs w:val="10"/>
                <w:color w:val="auto"/>
              </w:rPr>
              <w:t>6</w:t>
            </w:r>
          </w:p>
        </w:tc>
        <w:tc>
          <w:tcPr>
            <w:tcW w:w="380" w:type="dxa"/>
            <w:vAlign w:val="bottom"/>
          </w:tcPr>
          <w:p>
            <w:pPr>
              <w:jc w:val="right"/>
              <w:ind w:right="232"/>
              <w:spacing w:after="0" w:line="102" w:lineRule="exact"/>
              <w:rPr>
                <w:sz w:val="20"/>
                <w:szCs w:val="20"/>
                <w:color w:val="auto"/>
              </w:rPr>
            </w:pPr>
            <w:r>
              <w:rPr>
                <w:rFonts w:ascii="Arial" w:cs="Arial" w:eastAsia="Arial" w:hAnsi="Arial"/>
                <w:sz w:val="10"/>
                <w:szCs w:val="10"/>
                <w:color w:val="auto"/>
                <w:w w:val="89"/>
              </w:rPr>
              <w:t>%</w:t>
            </w:r>
          </w:p>
        </w:tc>
        <w:tc>
          <w:tcPr>
            <w:tcW w:w="0" w:type="dxa"/>
            <w:vAlign w:val="bottom"/>
          </w:tcPr>
          <w:p>
            <w:pPr>
              <w:spacing w:after="0"/>
              <w:rPr>
                <w:sz w:val="1"/>
                <w:szCs w:val="1"/>
                <w:color w:val="auto"/>
              </w:rPr>
            </w:pPr>
          </w:p>
        </w:tc>
      </w:tr>
      <w:tr>
        <w:trPr>
          <w:trHeight w:val="39"/>
        </w:trPr>
        <w:tc>
          <w:tcPr>
            <w:tcW w:w="1660" w:type="dxa"/>
            <w:vAlign w:val="bottom"/>
          </w:tcPr>
          <w:p>
            <w:pPr>
              <w:spacing w:after="0"/>
              <w:rPr>
                <w:sz w:val="3"/>
                <w:szCs w:val="3"/>
                <w:color w:val="auto"/>
              </w:rPr>
            </w:pPr>
          </w:p>
        </w:tc>
        <w:tc>
          <w:tcPr>
            <w:tcW w:w="3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8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00" w:type="dxa"/>
            <w:vAlign w:val="bottom"/>
          </w:tcPr>
          <w:p>
            <w:pPr>
              <w:spacing w:after="0"/>
              <w:rPr>
                <w:sz w:val="3"/>
                <w:szCs w:val="3"/>
                <w:color w:val="auto"/>
              </w:rPr>
            </w:pPr>
          </w:p>
        </w:tc>
        <w:tc>
          <w:tcPr>
            <w:tcW w:w="3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1"/>
        </w:trPr>
        <w:tc>
          <w:tcPr>
            <w:tcW w:w="1660" w:type="dxa"/>
            <w:vAlign w:val="bottom"/>
            <w:shd w:val="clear" w:color="auto" w:fill="CCEEFF"/>
          </w:tcPr>
          <w:p>
            <w:pPr>
              <w:ind w:left="800"/>
              <w:spacing w:after="0"/>
              <w:rPr>
                <w:sz w:val="20"/>
                <w:szCs w:val="20"/>
                <w:color w:val="auto"/>
              </w:rPr>
            </w:pPr>
            <w:r>
              <w:rPr>
                <w:rFonts w:ascii="Arial" w:cs="Arial" w:eastAsia="Arial" w:hAnsi="Arial"/>
                <w:sz w:val="10"/>
                <w:szCs w:val="10"/>
                <w:b w:val="1"/>
                <w:bCs w:val="1"/>
                <w:color w:val="auto"/>
              </w:rPr>
              <w:t>New Zealand</w:t>
            </w:r>
          </w:p>
        </w:tc>
        <w:tc>
          <w:tcPr>
            <w:tcW w:w="3280" w:type="dxa"/>
            <w:vAlign w:val="bottom"/>
            <w:gridSpan w:val="2"/>
            <w:shd w:val="clear" w:color="auto" w:fill="CCEEFF"/>
          </w:tcPr>
          <w:p>
            <w:pPr>
              <w:ind w:left="320"/>
              <w:spacing w:after="0"/>
              <w:rPr>
                <w:sz w:val="20"/>
                <w:szCs w:val="20"/>
                <w:color w:val="auto"/>
              </w:rPr>
            </w:pPr>
            <w:r>
              <w:rPr>
                <w:rFonts w:ascii="Arial" w:cs="Arial" w:eastAsia="Arial" w:hAnsi="Arial"/>
                <w:sz w:val="10"/>
                <w:szCs w:val="10"/>
                <w:color w:val="auto"/>
              </w:rPr>
              <w:t>Film rent and advertising cost</w:t>
            </w:r>
          </w:p>
        </w:tc>
        <w:tc>
          <w:tcPr>
            <w:tcW w:w="3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(7,161)</w:t>
            </w:r>
          </w:p>
        </w:tc>
        <w:tc>
          <w:tcPr>
            <w:tcW w:w="780" w:type="dxa"/>
            <w:vAlign w:val="bottom"/>
            <w:shd w:val="clear" w:color="auto" w:fill="CCEEFF"/>
          </w:tcPr>
          <w:p>
            <w:pPr>
              <w:jc w:val="right"/>
              <w:ind w:right="152"/>
              <w:spacing w:after="0"/>
              <w:rPr>
                <w:sz w:val="20"/>
                <w:szCs w:val="20"/>
                <w:color w:val="auto"/>
              </w:rPr>
            </w:pPr>
            <w:r>
              <w:rPr>
                <w:rFonts w:ascii="Arial" w:cs="Arial" w:eastAsia="Arial" w:hAnsi="Arial"/>
                <w:sz w:val="10"/>
                <w:szCs w:val="10"/>
                <w:i w:val="1"/>
                <w:iCs w:val="1"/>
                <w:color w:val="auto"/>
              </w:rPr>
              <w:t>(31)%</w:t>
            </w:r>
          </w:p>
        </w:tc>
        <w:tc>
          <w:tcPr>
            <w:tcW w:w="1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(7,355)</w:t>
            </w:r>
          </w:p>
        </w:tc>
        <w:tc>
          <w:tcPr>
            <w:tcW w:w="780" w:type="dxa"/>
            <w:vAlign w:val="bottom"/>
            <w:shd w:val="clear" w:color="auto" w:fill="CCEEFF"/>
          </w:tcPr>
          <w:p>
            <w:pPr>
              <w:jc w:val="right"/>
              <w:ind w:right="152"/>
              <w:spacing w:after="0"/>
              <w:rPr>
                <w:sz w:val="20"/>
                <w:szCs w:val="20"/>
                <w:color w:val="auto"/>
              </w:rPr>
            </w:pPr>
            <w:r>
              <w:rPr>
                <w:rFonts w:ascii="Arial" w:cs="Arial" w:eastAsia="Arial" w:hAnsi="Arial"/>
                <w:sz w:val="10"/>
                <w:szCs w:val="10"/>
                <w:i w:val="1"/>
                <w:iCs w:val="1"/>
                <w:color w:val="auto"/>
              </w:rPr>
              <w:t>(31)%</w:t>
            </w: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w:t>
            </w:r>
          </w:p>
        </w:tc>
        <w:tc>
          <w:tcPr>
            <w:tcW w:w="380" w:type="dxa"/>
            <w:vAlign w:val="bottom"/>
            <w:shd w:val="clear" w:color="auto" w:fill="CCEEFF"/>
          </w:tcPr>
          <w:p>
            <w:pPr>
              <w:jc w:val="right"/>
              <w:ind w:right="232"/>
              <w:spacing w:after="0"/>
              <w:rPr>
                <w:sz w:val="20"/>
                <w:szCs w:val="20"/>
                <w:color w:val="auto"/>
              </w:rPr>
            </w:pPr>
            <w:r>
              <w:rPr>
                <w:rFonts w:ascii="Arial" w:cs="Arial" w:eastAsia="Arial" w:hAnsi="Arial"/>
                <w:sz w:val="10"/>
                <w:szCs w:val="10"/>
                <w:color w:val="auto"/>
                <w:w w:val="89"/>
              </w:rPr>
              <w:t>%</w:t>
            </w:r>
          </w:p>
        </w:tc>
        <w:tc>
          <w:tcPr>
            <w:tcW w:w="0" w:type="dxa"/>
            <w:vAlign w:val="bottom"/>
          </w:tcPr>
          <w:p>
            <w:pPr>
              <w:spacing w:after="0"/>
              <w:rPr>
                <w:sz w:val="1"/>
                <w:szCs w:val="1"/>
                <w:color w:val="auto"/>
              </w:rPr>
            </w:pPr>
          </w:p>
        </w:tc>
      </w:tr>
      <w:tr>
        <w:trPr>
          <w:trHeight w:val="171"/>
        </w:trPr>
        <w:tc>
          <w:tcPr>
            <w:tcW w:w="1660" w:type="dxa"/>
            <w:vAlign w:val="bottom"/>
          </w:tcPr>
          <w:p>
            <w:pPr>
              <w:spacing w:after="0"/>
              <w:rPr>
                <w:sz w:val="14"/>
                <w:szCs w:val="14"/>
                <w:color w:val="auto"/>
              </w:rPr>
            </w:pPr>
          </w:p>
        </w:tc>
        <w:tc>
          <w:tcPr>
            <w:tcW w:w="3280" w:type="dxa"/>
            <w:vAlign w:val="bottom"/>
            <w:gridSpan w:val="2"/>
          </w:tcPr>
          <w:p>
            <w:pPr>
              <w:ind w:left="320"/>
              <w:spacing w:after="0"/>
              <w:rPr>
                <w:sz w:val="20"/>
                <w:szCs w:val="20"/>
                <w:color w:val="auto"/>
              </w:rPr>
            </w:pPr>
            <w:r>
              <w:rPr>
                <w:rFonts w:ascii="Arial" w:cs="Arial" w:eastAsia="Arial" w:hAnsi="Arial"/>
                <w:sz w:val="10"/>
                <w:szCs w:val="10"/>
                <w:color w:val="auto"/>
              </w:rPr>
              <w:t>Concession cost</w:t>
            </w:r>
          </w:p>
        </w:tc>
        <w:tc>
          <w:tcPr>
            <w:tcW w:w="380" w:type="dxa"/>
            <w:vAlign w:val="bottom"/>
          </w:tcPr>
          <w:p>
            <w:pPr>
              <w:spacing w:after="0"/>
              <w:rPr>
                <w:sz w:val="14"/>
                <w:szCs w:val="14"/>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0"/>
                <w:szCs w:val="10"/>
                <w:color w:val="auto"/>
              </w:rPr>
              <w:t>(1,470)</w:t>
            </w:r>
          </w:p>
        </w:tc>
        <w:tc>
          <w:tcPr>
            <w:tcW w:w="780" w:type="dxa"/>
            <w:vAlign w:val="bottom"/>
          </w:tcPr>
          <w:p>
            <w:pPr>
              <w:jc w:val="right"/>
              <w:ind w:right="152"/>
              <w:spacing w:after="0"/>
              <w:rPr>
                <w:sz w:val="20"/>
                <w:szCs w:val="20"/>
                <w:color w:val="auto"/>
              </w:rPr>
            </w:pPr>
            <w:r>
              <w:rPr>
                <w:rFonts w:ascii="Arial" w:cs="Arial" w:eastAsia="Arial" w:hAnsi="Arial"/>
                <w:sz w:val="10"/>
                <w:szCs w:val="10"/>
                <w:i w:val="1"/>
                <w:iCs w:val="1"/>
                <w:color w:val="auto"/>
              </w:rPr>
              <w:t>(6)%</w:t>
            </w: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0"/>
                <w:szCs w:val="10"/>
                <w:color w:val="auto"/>
              </w:rPr>
              <w:t>(1,661)</w:t>
            </w:r>
          </w:p>
        </w:tc>
        <w:tc>
          <w:tcPr>
            <w:tcW w:w="780" w:type="dxa"/>
            <w:vAlign w:val="bottom"/>
          </w:tcPr>
          <w:p>
            <w:pPr>
              <w:jc w:val="right"/>
              <w:ind w:right="152"/>
              <w:spacing w:after="0"/>
              <w:rPr>
                <w:sz w:val="20"/>
                <w:szCs w:val="20"/>
                <w:color w:val="auto"/>
              </w:rPr>
            </w:pPr>
            <w:r>
              <w:rPr>
                <w:rFonts w:ascii="Arial" w:cs="Arial" w:eastAsia="Arial" w:hAnsi="Arial"/>
                <w:sz w:val="10"/>
                <w:szCs w:val="10"/>
                <w:i w:val="1"/>
                <w:iCs w:val="1"/>
                <w:color w:val="auto"/>
              </w:rPr>
              <w:t>(7)%</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0"/>
                <w:szCs w:val="10"/>
                <w:color w:val="auto"/>
              </w:rPr>
              <w:t>11</w:t>
            </w:r>
          </w:p>
        </w:tc>
        <w:tc>
          <w:tcPr>
            <w:tcW w:w="380" w:type="dxa"/>
            <w:vAlign w:val="bottom"/>
          </w:tcPr>
          <w:p>
            <w:pPr>
              <w:jc w:val="right"/>
              <w:ind w:right="232"/>
              <w:spacing w:after="0"/>
              <w:rPr>
                <w:sz w:val="20"/>
                <w:szCs w:val="20"/>
                <w:color w:val="auto"/>
              </w:rPr>
            </w:pPr>
            <w:r>
              <w:rPr>
                <w:rFonts w:ascii="Arial" w:cs="Arial" w:eastAsia="Arial" w:hAnsi="Arial"/>
                <w:sz w:val="10"/>
                <w:szCs w:val="10"/>
                <w:color w:val="auto"/>
                <w:w w:val="89"/>
              </w:rPr>
              <w:t>%</w:t>
            </w:r>
          </w:p>
        </w:tc>
        <w:tc>
          <w:tcPr>
            <w:tcW w:w="0" w:type="dxa"/>
            <w:vAlign w:val="bottom"/>
          </w:tcPr>
          <w:p>
            <w:pPr>
              <w:spacing w:after="0"/>
              <w:rPr>
                <w:sz w:val="1"/>
                <w:szCs w:val="1"/>
                <w:color w:val="auto"/>
              </w:rPr>
            </w:pPr>
          </w:p>
        </w:tc>
      </w:tr>
      <w:tr>
        <w:trPr>
          <w:trHeight w:val="171"/>
        </w:trPr>
        <w:tc>
          <w:tcPr>
            <w:tcW w:w="1660" w:type="dxa"/>
            <w:vAlign w:val="bottom"/>
            <w:shd w:val="clear" w:color="auto" w:fill="CCEEFF"/>
          </w:tcPr>
          <w:p>
            <w:pPr>
              <w:spacing w:after="0"/>
              <w:rPr>
                <w:sz w:val="14"/>
                <w:szCs w:val="14"/>
                <w:color w:val="auto"/>
              </w:rPr>
            </w:pPr>
          </w:p>
        </w:tc>
        <w:tc>
          <w:tcPr>
            <w:tcW w:w="3280" w:type="dxa"/>
            <w:vAlign w:val="bottom"/>
            <w:gridSpan w:val="2"/>
            <w:shd w:val="clear" w:color="auto" w:fill="CCEEFF"/>
          </w:tcPr>
          <w:p>
            <w:pPr>
              <w:ind w:left="320"/>
              <w:spacing w:after="0"/>
              <w:rPr>
                <w:sz w:val="20"/>
                <w:szCs w:val="20"/>
                <w:color w:val="auto"/>
              </w:rPr>
            </w:pPr>
            <w:r>
              <w:rPr>
                <w:rFonts w:ascii="Arial" w:cs="Arial" w:eastAsia="Arial" w:hAnsi="Arial"/>
                <w:sz w:val="10"/>
                <w:szCs w:val="10"/>
                <w:color w:val="auto"/>
              </w:rPr>
              <w:t>Occupancy expense</w:t>
            </w:r>
          </w:p>
        </w:tc>
        <w:tc>
          <w:tcPr>
            <w:tcW w:w="3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(4,107)</w:t>
            </w:r>
          </w:p>
        </w:tc>
        <w:tc>
          <w:tcPr>
            <w:tcW w:w="780" w:type="dxa"/>
            <w:vAlign w:val="bottom"/>
            <w:shd w:val="clear" w:color="auto" w:fill="CCEEFF"/>
          </w:tcPr>
          <w:p>
            <w:pPr>
              <w:jc w:val="right"/>
              <w:ind w:right="152"/>
              <w:spacing w:after="0"/>
              <w:rPr>
                <w:sz w:val="20"/>
                <w:szCs w:val="20"/>
                <w:color w:val="auto"/>
              </w:rPr>
            </w:pPr>
            <w:r>
              <w:rPr>
                <w:rFonts w:ascii="Arial" w:cs="Arial" w:eastAsia="Arial" w:hAnsi="Arial"/>
                <w:sz w:val="10"/>
                <w:szCs w:val="10"/>
                <w:i w:val="1"/>
                <w:iCs w:val="1"/>
                <w:color w:val="auto"/>
              </w:rPr>
              <w:t>(18)%</w:t>
            </w:r>
          </w:p>
        </w:tc>
        <w:tc>
          <w:tcPr>
            <w:tcW w:w="1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(4,459)</w:t>
            </w:r>
          </w:p>
        </w:tc>
        <w:tc>
          <w:tcPr>
            <w:tcW w:w="780" w:type="dxa"/>
            <w:vAlign w:val="bottom"/>
            <w:shd w:val="clear" w:color="auto" w:fill="CCEEFF"/>
          </w:tcPr>
          <w:p>
            <w:pPr>
              <w:jc w:val="right"/>
              <w:ind w:right="152"/>
              <w:spacing w:after="0"/>
              <w:rPr>
                <w:sz w:val="20"/>
                <w:szCs w:val="20"/>
                <w:color w:val="auto"/>
              </w:rPr>
            </w:pPr>
            <w:r>
              <w:rPr>
                <w:rFonts w:ascii="Arial" w:cs="Arial" w:eastAsia="Arial" w:hAnsi="Arial"/>
                <w:sz w:val="10"/>
                <w:szCs w:val="10"/>
                <w:i w:val="1"/>
                <w:iCs w:val="1"/>
                <w:color w:val="auto"/>
              </w:rPr>
              <w:t>(19)%</w:t>
            </w: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w:t>
            </w:r>
          </w:p>
        </w:tc>
        <w:tc>
          <w:tcPr>
            <w:tcW w:w="380" w:type="dxa"/>
            <w:vAlign w:val="bottom"/>
            <w:shd w:val="clear" w:color="auto" w:fill="CCEEFF"/>
          </w:tcPr>
          <w:p>
            <w:pPr>
              <w:jc w:val="right"/>
              <w:ind w:right="232"/>
              <w:spacing w:after="0"/>
              <w:rPr>
                <w:sz w:val="20"/>
                <w:szCs w:val="20"/>
                <w:color w:val="auto"/>
              </w:rPr>
            </w:pPr>
            <w:r>
              <w:rPr>
                <w:rFonts w:ascii="Arial" w:cs="Arial" w:eastAsia="Arial" w:hAnsi="Arial"/>
                <w:sz w:val="10"/>
                <w:szCs w:val="10"/>
                <w:color w:val="auto"/>
                <w:w w:val="89"/>
              </w:rPr>
              <w:t>%</w:t>
            </w:r>
          </w:p>
        </w:tc>
        <w:tc>
          <w:tcPr>
            <w:tcW w:w="0" w:type="dxa"/>
            <w:vAlign w:val="bottom"/>
          </w:tcPr>
          <w:p>
            <w:pPr>
              <w:spacing w:after="0"/>
              <w:rPr>
                <w:sz w:val="1"/>
                <w:szCs w:val="1"/>
                <w:color w:val="auto"/>
              </w:rPr>
            </w:pPr>
          </w:p>
        </w:tc>
      </w:tr>
      <w:tr>
        <w:trPr>
          <w:trHeight w:val="171"/>
        </w:trPr>
        <w:tc>
          <w:tcPr>
            <w:tcW w:w="1660" w:type="dxa"/>
            <w:vAlign w:val="bottom"/>
          </w:tcPr>
          <w:p>
            <w:pPr>
              <w:spacing w:after="0"/>
              <w:rPr>
                <w:sz w:val="14"/>
                <w:szCs w:val="14"/>
                <w:color w:val="auto"/>
              </w:rPr>
            </w:pPr>
          </w:p>
        </w:tc>
        <w:tc>
          <w:tcPr>
            <w:tcW w:w="3280" w:type="dxa"/>
            <w:vAlign w:val="bottom"/>
            <w:gridSpan w:val="2"/>
          </w:tcPr>
          <w:p>
            <w:pPr>
              <w:ind w:left="320"/>
              <w:spacing w:after="0"/>
              <w:rPr>
                <w:sz w:val="20"/>
                <w:szCs w:val="20"/>
                <w:color w:val="auto"/>
              </w:rPr>
            </w:pPr>
            <w:r>
              <w:rPr>
                <w:rFonts w:ascii="Arial" w:cs="Arial" w:eastAsia="Arial" w:hAnsi="Arial"/>
                <w:sz w:val="10"/>
                <w:szCs w:val="10"/>
                <w:color w:val="auto"/>
              </w:rPr>
              <w:t>Other expense</w:t>
            </w:r>
          </w:p>
        </w:tc>
        <w:tc>
          <w:tcPr>
            <w:tcW w:w="380" w:type="dxa"/>
            <w:vAlign w:val="bottom"/>
          </w:tcPr>
          <w:p>
            <w:pPr>
              <w:spacing w:after="0"/>
              <w:rPr>
                <w:sz w:val="14"/>
                <w:szCs w:val="14"/>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0"/>
                <w:szCs w:val="10"/>
                <w:color w:val="auto"/>
              </w:rPr>
              <w:t>(5,187)</w:t>
            </w:r>
          </w:p>
        </w:tc>
        <w:tc>
          <w:tcPr>
            <w:tcW w:w="780" w:type="dxa"/>
            <w:vAlign w:val="bottom"/>
          </w:tcPr>
          <w:p>
            <w:pPr>
              <w:jc w:val="right"/>
              <w:ind w:right="152"/>
              <w:spacing w:after="0"/>
              <w:rPr>
                <w:sz w:val="20"/>
                <w:szCs w:val="20"/>
                <w:color w:val="auto"/>
              </w:rPr>
            </w:pPr>
            <w:r>
              <w:rPr>
                <w:rFonts w:ascii="Arial" w:cs="Arial" w:eastAsia="Arial" w:hAnsi="Arial"/>
                <w:sz w:val="10"/>
                <w:szCs w:val="10"/>
                <w:i w:val="1"/>
                <w:iCs w:val="1"/>
                <w:color w:val="auto"/>
              </w:rPr>
              <w:t>(22)%</w:t>
            </w: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0"/>
                <w:szCs w:val="10"/>
                <w:color w:val="auto"/>
              </w:rPr>
              <w:t>(5,512)</w:t>
            </w:r>
          </w:p>
        </w:tc>
        <w:tc>
          <w:tcPr>
            <w:tcW w:w="780" w:type="dxa"/>
            <w:vAlign w:val="bottom"/>
          </w:tcPr>
          <w:p>
            <w:pPr>
              <w:jc w:val="right"/>
              <w:ind w:right="152"/>
              <w:spacing w:after="0"/>
              <w:rPr>
                <w:sz w:val="20"/>
                <w:szCs w:val="20"/>
                <w:color w:val="auto"/>
              </w:rPr>
            </w:pPr>
            <w:r>
              <w:rPr>
                <w:rFonts w:ascii="Arial" w:cs="Arial" w:eastAsia="Arial" w:hAnsi="Arial"/>
                <w:sz w:val="10"/>
                <w:szCs w:val="10"/>
                <w:i w:val="1"/>
                <w:iCs w:val="1"/>
                <w:color w:val="auto"/>
              </w:rPr>
              <w:t>(23)%</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0"/>
                <w:szCs w:val="10"/>
                <w:color w:val="auto"/>
              </w:rPr>
              <w:t>6</w:t>
            </w:r>
          </w:p>
        </w:tc>
        <w:tc>
          <w:tcPr>
            <w:tcW w:w="380" w:type="dxa"/>
            <w:vAlign w:val="bottom"/>
          </w:tcPr>
          <w:p>
            <w:pPr>
              <w:jc w:val="right"/>
              <w:ind w:right="232"/>
              <w:spacing w:after="0"/>
              <w:rPr>
                <w:sz w:val="20"/>
                <w:szCs w:val="20"/>
                <w:color w:val="auto"/>
              </w:rPr>
            </w:pPr>
            <w:r>
              <w:rPr>
                <w:rFonts w:ascii="Arial" w:cs="Arial" w:eastAsia="Arial" w:hAnsi="Arial"/>
                <w:sz w:val="10"/>
                <w:szCs w:val="10"/>
                <w:color w:val="auto"/>
                <w:w w:val="89"/>
              </w:rPr>
              <w:t>%</w:t>
            </w:r>
          </w:p>
        </w:tc>
        <w:tc>
          <w:tcPr>
            <w:tcW w:w="0" w:type="dxa"/>
            <w:vAlign w:val="bottom"/>
          </w:tcPr>
          <w:p>
            <w:pPr>
              <w:spacing w:after="0"/>
              <w:rPr>
                <w:sz w:val="1"/>
                <w:szCs w:val="1"/>
                <w:color w:val="auto"/>
              </w:rPr>
            </w:pPr>
          </w:p>
        </w:tc>
      </w:tr>
      <w:tr>
        <w:trPr>
          <w:trHeight w:val="113"/>
        </w:trPr>
        <w:tc>
          <w:tcPr>
            <w:tcW w:w="1660" w:type="dxa"/>
            <w:vAlign w:val="bottom"/>
            <w:tcBorders>
              <w:top w:val="single" w:sz="8" w:color="CCEEFF"/>
            </w:tcBorders>
            <w:shd w:val="clear" w:color="auto" w:fill="CCEEFF"/>
          </w:tcPr>
          <w:p>
            <w:pPr>
              <w:spacing w:after="0"/>
              <w:rPr>
                <w:sz w:val="9"/>
                <w:szCs w:val="9"/>
                <w:color w:val="auto"/>
              </w:rPr>
            </w:pPr>
          </w:p>
        </w:tc>
        <w:tc>
          <w:tcPr>
            <w:tcW w:w="3100" w:type="dxa"/>
            <w:vAlign w:val="bottom"/>
            <w:tcBorders>
              <w:top w:val="single" w:sz="8" w:color="CCEEFF"/>
            </w:tcBorders>
            <w:shd w:val="clear" w:color="auto" w:fill="CCEEFF"/>
          </w:tcPr>
          <w:p>
            <w:pPr>
              <w:spacing w:after="0"/>
              <w:rPr>
                <w:sz w:val="9"/>
                <w:szCs w:val="9"/>
                <w:color w:val="auto"/>
              </w:rPr>
            </w:pPr>
          </w:p>
        </w:tc>
        <w:tc>
          <w:tcPr>
            <w:tcW w:w="180" w:type="dxa"/>
            <w:vAlign w:val="bottom"/>
            <w:tcBorders>
              <w:top w:val="single" w:sz="8" w:color="CCEEFF"/>
            </w:tcBorders>
            <w:shd w:val="clear" w:color="auto" w:fill="CCEEFF"/>
          </w:tcPr>
          <w:p>
            <w:pPr>
              <w:spacing w:after="0"/>
              <w:rPr>
                <w:sz w:val="9"/>
                <w:szCs w:val="9"/>
                <w:color w:val="auto"/>
              </w:rPr>
            </w:pPr>
          </w:p>
        </w:tc>
        <w:tc>
          <w:tcPr>
            <w:tcW w:w="380" w:type="dxa"/>
            <w:vAlign w:val="bottom"/>
            <w:tcBorders>
              <w:top w:val="single" w:sz="8" w:color="auto"/>
            </w:tcBorders>
            <w:shd w:val="clear" w:color="auto" w:fill="CCEEFF"/>
          </w:tcPr>
          <w:p>
            <w:pPr>
              <w:jc w:val="right"/>
              <w:ind w:right="72"/>
              <w:spacing w:after="0" w:line="113" w:lineRule="exact"/>
              <w:rPr>
                <w:sz w:val="20"/>
                <w:szCs w:val="20"/>
                <w:color w:val="auto"/>
              </w:rPr>
            </w:pPr>
            <w:r>
              <w:rPr>
                <w:rFonts w:ascii="Arial" w:cs="Arial" w:eastAsia="Arial" w:hAnsi="Arial"/>
                <w:sz w:val="10"/>
                <w:szCs w:val="10"/>
                <w:b w:val="1"/>
                <w:bCs w:val="1"/>
                <w:color w:val="auto"/>
              </w:rPr>
              <w:t>$</w:t>
            </w:r>
          </w:p>
        </w:tc>
        <w:tc>
          <w:tcPr>
            <w:tcW w:w="80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0"/>
                <w:szCs w:val="10"/>
                <w:b w:val="1"/>
                <w:bCs w:val="1"/>
                <w:color w:val="auto"/>
              </w:rPr>
              <w:t>(17,925)</w:t>
            </w:r>
          </w:p>
        </w:tc>
        <w:tc>
          <w:tcPr>
            <w:tcW w:w="180" w:type="dxa"/>
            <w:vAlign w:val="bottom"/>
            <w:tcBorders>
              <w:top w:val="single" w:sz="8" w:color="CCEEFF"/>
            </w:tcBorders>
            <w:shd w:val="clear" w:color="auto" w:fill="CCEEFF"/>
          </w:tcPr>
          <w:p>
            <w:pPr>
              <w:spacing w:after="0"/>
              <w:rPr>
                <w:sz w:val="9"/>
                <w:szCs w:val="9"/>
                <w:color w:val="auto"/>
              </w:rPr>
            </w:pPr>
          </w:p>
        </w:tc>
        <w:tc>
          <w:tcPr>
            <w:tcW w:w="780" w:type="dxa"/>
            <w:vAlign w:val="bottom"/>
            <w:tcBorders>
              <w:top w:val="single" w:sz="8" w:color="CCEEFF"/>
            </w:tcBorders>
            <w:shd w:val="clear" w:color="auto" w:fill="CCEEFF"/>
          </w:tcPr>
          <w:p>
            <w:pPr>
              <w:jc w:val="right"/>
              <w:ind w:right="152"/>
              <w:spacing w:after="0" w:line="102" w:lineRule="exact"/>
              <w:rPr>
                <w:sz w:val="20"/>
                <w:szCs w:val="20"/>
                <w:color w:val="auto"/>
              </w:rPr>
            </w:pPr>
            <w:r>
              <w:rPr>
                <w:rFonts w:ascii="Arial" w:cs="Arial" w:eastAsia="Arial" w:hAnsi="Arial"/>
                <w:sz w:val="10"/>
                <w:szCs w:val="10"/>
                <w:i w:val="1"/>
                <w:iCs w:val="1"/>
                <w:color w:val="auto"/>
              </w:rPr>
              <w:t>(77)%</w:t>
            </w:r>
          </w:p>
        </w:tc>
        <w:tc>
          <w:tcPr>
            <w:tcW w:w="180" w:type="dxa"/>
            <w:vAlign w:val="bottom"/>
            <w:tcBorders>
              <w:top w:val="single" w:sz="8" w:color="CCEEFF"/>
            </w:tcBorders>
            <w:shd w:val="clear" w:color="auto" w:fill="CCEEFF"/>
          </w:tcPr>
          <w:p>
            <w:pPr>
              <w:spacing w:after="0"/>
              <w:rPr>
                <w:sz w:val="9"/>
                <w:szCs w:val="9"/>
                <w:color w:val="auto"/>
              </w:rPr>
            </w:pPr>
          </w:p>
        </w:tc>
        <w:tc>
          <w:tcPr>
            <w:tcW w:w="360" w:type="dxa"/>
            <w:vAlign w:val="bottom"/>
            <w:tcBorders>
              <w:top w:val="single" w:sz="8" w:color="auto"/>
            </w:tcBorders>
            <w:shd w:val="clear" w:color="auto" w:fill="CCEEFF"/>
          </w:tcPr>
          <w:p>
            <w:pPr>
              <w:jc w:val="right"/>
              <w:ind w:right="72"/>
              <w:spacing w:after="0" w:line="113" w:lineRule="exact"/>
              <w:rPr>
                <w:sz w:val="20"/>
                <w:szCs w:val="20"/>
                <w:color w:val="auto"/>
              </w:rPr>
            </w:pPr>
            <w:r>
              <w:rPr>
                <w:rFonts w:ascii="Arial" w:cs="Arial" w:eastAsia="Arial" w:hAnsi="Arial"/>
                <w:sz w:val="10"/>
                <w:szCs w:val="10"/>
                <w:b w:val="1"/>
                <w:bCs w:val="1"/>
                <w:color w:val="auto"/>
              </w:rPr>
              <w:t>$</w:t>
            </w:r>
          </w:p>
        </w:tc>
        <w:tc>
          <w:tcPr>
            <w:tcW w:w="80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0"/>
                <w:szCs w:val="10"/>
                <w:b w:val="1"/>
                <w:bCs w:val="1"/>
                <w:color w:val="auto"/>
              </w:rPr>
              <w:t>(18,987)</w:t>
            </w:r>
          </w:p>
        </w:tc>
        <w:tc>
          <w:tcPr>
            <w:tcW w:w="160" w:type="dxa"/>
            <w:vAlign w:val="bottom"/>
            <w:tcBorders>
              <w:top w:val="single" w:sz="8" w:color="CCEEFF"/>
            </w:tcBorders>
            <w:shd w:val="clear" w:color="auto" w:fill="CCEEFF"/>
          </w:tcPr>
          <w:p>
            <w:pPr>
              <w:spacing w:after="0"/>
              <w:rPr>
                <w:sz w:val="9"/>
                <w:szCs w:val="9"/>
                <w:color w:val="auto"/>
              </w:rPr>
            </w:pPr>
          </w:p>
        </w:tc>
        <w:tc>
          <w:tcPr>
            <w:tcW w:w="780" w:type="dxa"/>
            <w:vAlign w:val="bottom"/>
            <w:tcBorders>
              <w:top w:val="single" w:sz="8" w:color="CCEEFF"/>
            </w:tcBorders>
            <w:shd w:val="clear" w:color="auto" w:fill="CCEEFF"/>
          </w:tcPr>
          <w:p>
            <w:pPr>
              <w:jc w:val="right"/>
              <w:ind w:right="152"/>
              <w:spacing w:after="0" w:line="102" w:lineRule="exact"/>
              <w:rPr>
                <w:sz w:val="20"/>
                <w:szCs w:val="20"/>
                <w:color w:val="auto"/>
              </w:rPr>
            </w:pPr>
            <w:r>
              <w:rPr>
                <w:rFonts w:ascii="Arial" w:cs="Arial" w:eastAsia="Arial" w:hAnsi="Arial"/>
                <w:sz w:val="10"/>
                <w:szCs w:val="10"/>
                <w:i w:val="1"/>
                <w:iCs w:val="1"/>
                <w:color w:val="auto"/>
              </w:rPr>
              <w:t>(80)%</w:t>
            </w:r>
          </w:p>
        </w:tc>
        <w:tc>
          <w:tcPr>
            <w:tcW w:w="180" w:type="dxa"/>
            <w:vAlign w:val="bottom"/>
            <w:tcBorders>
              <w:top w:val="single" w:sz="8" w:color="CCEEFF"/>
            </w:tcBorders>
            <w:shd w:val="clear" w:color="auto" w:fill="CCEEFF"/>
          </w:tcPr>
          <w:p>
            <w:pPr>
              <w:spacing w:after="0"/>
              <w:rPr>
                <w:sz w:val="9"/>
                <w:szCs w:val="9"/>
                <w:color w:val="auto"/>
              </w:rPr>
            </w:pPr>
          </w:p>
        </w:tc>
        <w:tc>
          <w:tcPr>
            <w:tcW w:w="700" w:type="dxa"/>
            <w:vAlign w:val="bottom"/>
            <w:tcBorders>
              <w:top w:val="single" w:sz="8" w:color="CCEEFF"/>
            </w:tcBorders>
            <w:shd w:val="clear" w:color="auto" w:fill="CCEEFF"/>
          </w:tcPr>
          <w:p>
            <w:pPr>
              <w:jc w:val="right"/>
              <w:spacing w:after="0" w:line="102" w:lineRule="exact"/>
              <w:rPr>
                <w:sz w:val="20"/>
                <w:szCs w:val="20"/>
                <w:color w:val="auto"/>
              </w:rPr>
            </w:pPr>
            <w:r>
              <w:rPr>
                <w:rFonts w:ascii="Arial" w:cs="Arial" w:eastAsia="Arial" w:hAnsi="Arial"/>
                <w:sz w:val="10"/>
                <w:szCs w:val="10"/>
                <w:color w:val="auto"/>
              </w:rPr>
              <w:t>6</w:t>
            </w:r>
          </w:p>
        </w:tc>
        <w:tc>
          <w:tcPr>
            <w:tcW w:w="380" w:type="dxa"/>
            <w:vAlign w:val="bottom"/>
            <w:tcBorders>
              <w:top w:val="single" w:sz="8" w:color="CCEEFF"/>
            </w:tcBorders>
            <w:shd w:val="clear" w:color="auto" w:fill="CCEEFF"/>
          </w:tcPr>
          <w:p>
            <w:pPr>
              <w:jc w:val="right"/>
              <w:ind w:right="232"/>
              <w:spacing w:after="0" w:line="102" w:lineRule="exact"/>
              <w:rPr>
                <w:sz w:val="20"/>
                <w:szCs w:val="20"/>
                <w:color w:val="auto"/>
              </w:rPr>
            </w:pPr>
            <w:r>
              <w:rPr>
                <w:rFonts w:ascii="Arial" w:cs="Arial" w:eastAsia="Arial" w:hAnsi="Arial"/>
                <w:sz w:val="10"/>
                <w:szCs w:val="10"/>
                <w:color w:val="auto"/>
                <w:w w:val="89"/>
              </w:rPr>
              <w:t>%</w:t>
            </w:r>
          </w:p>
        </w:tc>
        <w:tc>
          <w:tcPr>
            <w:tcW w:w="0" w:type="dxa"/>
            <w:vAlign w:val="bottom"/>
          </w:tcPr>
          <w:p>
            <w:pPr>
              <w:spacing w:after="0"/>
              <w:rPr>
                <w:sz w:val="1"/>
                <w:szCs w:val="1"/>
                <w:color w:val="auto"/>
              </w:rPr>
            </w:pPr>
          </w:p>
        </w:tc>
      </w:tr>
      <w:tr>
        <w:trPr>
          <w:trHeight w:val="84"/>
        </w:trPr>
        <w:tc>
          <w:tcPr>
            <w:tcW w:w="4760" w:type="dxa"/>
            <w:vAlign w:val="bottom"/>
            <w:tcBorders>
              <w:bottom w:val="single" w:sz="8" w:color="CCEEFF"/>
            </w:tcBorders>
            <w:gridSpan w:val="2"/>
            <w:shd w:val="clear" w:color="auto" w:fill="CCEEFF"/>
          </w:tcPr>
          <w:p>
            <w:pPr>
              <w:spacing w:after="0"/>
              <w:rPr>
                <w:sz w:val="7"/>
                <w:szCs w:val="7"/>
                <w:color w:val="auto"/>
              </w:rPr>
            </w:pPr>
          </w:p>
        </w:tc>
        <w:tc>
          <w:tcPr>
            <w:tcW w:w="180" w:type="dxa"/>
            <w:vAlign w:val="bottom"/>
            <w:tcBorders>
              <w:bottom w:val="single" w:sz="8" w:color="CCEEFF"/>
            </w:tcBorders>
            <w:shd w:val="clear" w:color="auto" w:fill="CCEEFF"/>
          </w:tcPr>
          <w:p>
            <w:pPr>
              <w:spacing w:after="0"/>
              <w:rPr>
                <w:sz w:val="7"/>
                <w:szCs w:val="7"/>
                <w:color w:val="auto"/>
              </w:rPr>
            </w:pPr>
          </w:p>
        </w:tc>
        <w:tc>
          <w:tcPr>
            <w:tcW w:w="380" w:type="dxa"/>
            <w:vAlign w:val="bottom"/>
            <w:tcBorders>
              <w:bottom w:val="single" w:sz="8" w:color="auto"/>
            </w:tcBorders>
            <w:shd w:val="clear" w:color="auto" w:fill="CCEEFF"/>
          </w:tcPr>
          <w:p>
            <w:pPr>
              <w:spacing w:after="0"/>
              <w:rPr>
                <w:sz w:val="7"/>
                <w:szCs w:val="7"/>
                <w:color w:val="auto"/>
              </w:rPr>
            </w:pPr>
          </w:p>
        </w:tc>
        <w:tc>
          <w:tcPr>
            <w:tcW w:w="800" w:type="dxa"/>
            <w:vAlign w:val="bottom"/>
            <w:tcBorders>
              <w:bottom w:val="single" w:sz="8" w:color="auto"/>
            </w:tcBorders>
            <w:shd w:val="clear" w:color="auto" w:fill="CCEEFF"/>
          </w:tcPr>
          <w:p>
            <w:pPr>
              <w:spacing w:after="0"/>
              <w:rPr>
                <w:sz w:val="7"/>
                <w:szCs w:val="7"/>
                <w:color w:val="auto"/>
              </w:rPr>
            </w:pPr>
          </w:p>
        </w:tc>
        <w:tc>
          <w:tcPr>
            <w:tcW w:w="180" w:type="dxa"/>
            <w:vAlign w:val="bottom"/>
            <w:tcBorders>
              <w:bottom w:val="single" w:sz="8" w:color="CCEEFF"/>
            </w:tcBorders>
            <w:shd w:val="clear" w:color="auto" w:fill="CCEEFF"/>
          </w:tcPr>
          <w:p>
            <w:pPr>
              <w:spacing w:after="0"/>
              <w:rPr>
                <w:sz w:val="7"/>
                <w:szCs w:val="7"/>
                <w:color w:val="auto"/>
              </w:rPr>
            </w:pPr>
          </w:p>
        </w:tc>
        <w:tc>
          <w:tcPr>
            <w:tcW w:w="780" w:type="dxa"/>
            <w:vAlign w:val="bottom"/>
            <w:tcBorders>
              <w:bottom w:val="single" w:sz="8" w:color="CCEEFF"/>
            </w:tcBorders>
            <w:shd w:val="clear" w:color="auto" w:fill="CCEEFF"/>
          </w:tcPr>
          <w:p>
            <w:pPr>
              <w:spacing w:after="0"/>
              <w:rPr>
                <w:sz w:val="7"/>
                <w:szCs w:val="7"/>
                <w:color w:val="auto"/>
              </w:rPr>
            </w:pPr>
          </w:p>
        </w:tc>
        <w:tc>
          <w:tcPr>
            <w:tcW w:w="180" w:type="dxa"/>
            <w:vAlign w:val="bottom"/>
            <w:tcBorders>
              <w:bottom w:val="single" w:sz="8" w:color="CCEEFF"/>
            </w:tcBorders>
            <w:shd w:val="clear" w:color="auto" w:fill="CCEEFF"/>
          </w:tcPr>
          <w:p>
            <w:pPr>
              <w:spacing w:after="0"/>
              <w:rPr>
                <w:sz w:val="7"/>
                <w:szCs w:val="7"/>
                <w:color w:val="auto"/>
              </w:rPr>
            </w:pPr>
          </w:p>
        </w:tc>
        <w:tc>
          <w:tcPr>
            <w:tcW w:w="360" w:type="dxa"/>
            <w:vAlign w:val="bottom"/>
            <w:tcBorders>
              <w:bottom w:val="single" w:sz="8" w:color="auto"/>
            </w:tcBorders>
            <w:shd w:val="clear" w:color="auto" w:fill="CCEEFF"/>
          </w:tcPr>
          <w:p>
            <w:pPr>
              <w:spacing w:after="0"/>
              <w:rPr>
                <w:sz w:val="7"/>
                <w:szCs w:val="7"/>
                <w:color w:val="auto"/>
              </w:rPr>
            </w:pPr>
          </w:p>
        </w:tc>
        <w:tc>
          <w:tcPr>
            <w:tcW w:w="800" w:type="dxa"/>
            <w:vAlign w:val="bottom"/>
            <w:tcBorders>
              <w:bottom w:val="single" w:sz="8" w:color="auto"/>
            </w:tcBorders>
            <w:shd w:val="clear" w:color="auto" w:fill="CCEEFF"/>
          </w:tcPr>
          <w:p>
            <w:pPr>
              <w:spacing w:after="0"/>
              <w:rPr>
                <w:sz w:val="7"/>
                <w:szCs w:val="7"/>
                <w:color w:val="auto"/>
              </w:rPr>
            </w:pPr>
          </w:p>
        </w:tc>
        <w:tc>
          <w:tcPr>
            <w:tcW w:w="160" w:type="dxa"/>
            <w:vAlign w:val="bottom"/>
            <w:tcBorders>
              <w:bottom w:val="single" w:sz="8" w:color="CCEEFF"/>
            </w:tcBorders>
            <w:shd w:val="clear" w:color="auto" w:fill="CCEEFF"/>
          </w:tcPr>
          <w:p>
            <w:pPr>
              <w:spacing w:after="0"/>
              <w:rPr>
                <w:sz w:val="7"/>
                <w:szCs w:val="7"/>
                <w:color w:val="auto"/>
              </w:rPr>
            </w:pPr>
          </w:p>
        </w:tc>
        <w:tc>
          <w:tcPr>
            <w:tcW w:w="780" w:type="dxa"/>
            <w:vAlign w:val="bottom"/>
            <w:tcBorders>
              <w:bottom w:val="single" w:sz="8" w:color="CCEEFF"/>
            </w:tcBorders>
            <w:shd w:val="clear" w:color="auto" w:fill="CCEEFF"/>
          </w:tcPr>
          <w:p>
            <w:pPr>
              <w:spacing w:after="0"/>
              <w:rPr>
                <w:sz w:val="7"/>
                <w:szCs w:val="7"/>
                <w:color w:val="auto"/>
              </w:rPr>
            </w:pPr>
          </w:p>
        </w:tc>
        <w:tc>
          <w:tcPr>
            <w:tcW w:w="180" w:type="dxa"/>
            <w:vAlign w:val="bottom"/>
            <w:tcBorders>
              <w:bottom w:val="single" w:sz="8" w:color="CCEEFF"/>
            </w:tcBorders>
            <w:shd w:val="clear" w:color="auto" w:fill="CCEEFF"/>
          </w:tcPr>
          <w:p>
            <w:pPr>
              <w:spacing w:after="0"/>
              <w:rPr>
                <w:sz w:val="7"/>
                <w:szCs w:val="7"/>
                <w:color w:val="auto"/>
              </w:rPr>
            </w:pPr>
          </w:p>
        </w:tc>
        <w:tc>
          <w:tcPr>
            <w:tcW w:w="1080" w:type="dxa"/>
            <w:vAlign w:val="bottom"/>
            <w:tcBorders>
              <w:bottom w:val="single" w:sz="8" w:color="CCEEFF"/>
            </w:tcBorders>
            <w:gridSpan w:val="2"/>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50"/>
        </w:trPr>
        <w:tc>
          <w:tcPr>
            <w:tcW w:w="4940" w:type="dxa"/>
            <w:vAlign w:val="bottom"/>
            <w:gridSpan w:val="3"/>
          </w:tcPr>
          <w:p>
            <w:pPr>
              <w:ind w:left="800"/>
              <w:spacing w:after="0"/>
              <w:rPr>
                <w:sz w:val="20"/>
                <w:szCs w:val="20"/>
                <w:color w:val="auto"/>
              </w:rPr>
            </w:pPr>
            <w:r>
              <w:rPr>
                <w:rFonts w:ascii="Arial" w:cs="Arial" w:eastAsia="Arial" w:hAnsi="Arial"/>
                <w:sz w:val="10"/>
                <w:szCs w:val="10"/>
                <w:b w:val="1"/>
                <w:bCs w:val="1"/>
                <w:color w:val="auto"/>
              </w:rPr>
              <w:t>Total cost of services and products (excl. depreciation and amortization)</w:t>
            </w:r>
          </w:p>
        </w:tc>
        <w:tc>
          <w:tcPr>
            <w:tcW w:w="380" w:type="dxa"/>
            <w:vAlign w:val="bottom"/>
          </w:tcPr>
          <w:p>
            <w:pPr>
              <w:jc w:val="right"/>
              <w:ind w:right="72"/>
              <w:spacing w:after="0"/>
              <w:rPr>
                <w:sz w:val="20"/>
                <w:szCs w:val="20"/>
                <w:color w:val="auto"/>
              </w:rPr>
            </w:pPr>
            <w:r>
              <w:rPr>
                <w:rFonts w:ascii="Arial" w:cs="Arial" w:eastAsia="Arial" w:hAnsi="Arial"/>
                <w:sz w:val="10"/>
                <w:szCs w:val="10"/>
                <w:b w:val="1"/>
                <w:bCs w:val="1"/>
                <w:color w:val="auto"/>
              </w:rPr>
              <w:t>$</w:t>
            </w:r>
          </w:p>
        </w:tc>
        <w:tc>
          <w:tcPr>
            <w:tcW w:w="980" w:type="dxa"/>
            <w:vAlign w:val="bottom"/>
            <w:gridSpan w:val="2"/>
          </w:tcPr>
          <w:p>
            <w:pPr>
              <w:jc w:val="right"/>
              <w:ind w:right="180"/>
              <w:spacing w:after="0"/>
              <w:rPr>
                <w:sz w:val="20"/>
                <w:szCs w:val="20"/>
                <w:color w:val="auto"/>
              </w:rPr>
            </w:pPr>
            <w:r>
              <w:rPr>
                <w:rFonts w:ascii="Arial" w:cs="Arial" w:eastAsia="Arial" w:hAnsi="Arial"/>
                <w:sz w:val="10"/>
                <w:szCs w:val="10"/>
                <w:b w:val="1"/>
                <w:bCs w:val="1"/>
                <w:color w:val="auto"/>
              </w:rPr>
              <w:t>(196,544)</w:t>
            </w:r>
          </w:p>
        </w:tc>
        <w:tc>
          <w:tcPr>
            <w:tcW w:w="780" w:type="dxa"/>
            <w:vAlign w:val="bottom"/>
          </w:tcPr>
          <w:p>
            <w:pPr>
              <w:jc w:val="right"/>
              <w:ind w:right="152"/>
              <w:spacing w:after="0"/>
              <w:rPr>
                <w:sz w:val="20"/>
                <w:szCs w:val="20"/>
                <w:color w:val="auto"/>
              </w:rPr>
            </w:pPr>
            <w:r>
              <w:rPr>
                <w:rFonts w:ascii="Arial" w:cs="Arial" w:eastAsia="Arial" w:hAnsi="Arial"/>
                <w:sz w:val="10"/>
                <w:szCs w:val="10"/>
                <w:i w:val="1"/>
                <w:iCs w:val="1"/>
                <w:color w:val="auto"/>
              </w:rPr>
              <w:t>(81)%</w:t>
            </w:r>
          </w:p>
        </w:tc>
        <w:tc>
          <w:tcPr>
            <w:tcW w:w="180" w:type="dxa"/>
            <w:vAlign w:val="bottom"/>
          </w:tcPr>
          <w:p>
            <w:pPr>
              <w:spacing w:after="0"/>
              <w:rPr>
                <w:sz w:val="21"/>
                <w:szCs w:val="21"/>
                <w:color w:val="auto"/>
              </w:rPr>
            </w:pPr>
          </w:p>
        </w:tc>
        <w:tc>
          <w:tcPr>
            <w:tcW w:w="360" w:type="dxa"/>
            <w:vAlign w:val="bottom"/>
          </w:tcPr>
          <w:p>
            <w:pPr>
              <w:jc w:val="right"/>
              <w:ind w:right="72"/>
              <w:spacing w:after="0"/>
              <w:rPr>
                <w:sz w:val="20"/>
                <w:szCs w:val="20"/>
                <w:color w:val="auto"/>
              </w:rPr>
            </w:pPr>
            <w:r>
              <w:rPr>
                <w:rFonts w:ascii="Arial" w:cs="Arial" w:eastAsia="Arial" w:hAnsi="Arial"/>
                <w:sz w:val="10"/>
                <w:szCs w:val="10"/>
                <w:b w:val="1"/>
                <w:bCs w:val="1"/>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0"/>
                <w:szCs w:val="10"/>
                <w:b w:val="1"/>
                <w:bCs w:val="1"/>
                <w:color w:val="auto"/>
              </w:rPr>
              <w:t>(195,896)</w:t>
            </w:r>
          </w:p>
        </w:tc>
        <w:tc>
          <w:tcPr>
            <w:tcW w:w="780" w:type="dxa"/>
            <w:vAlign w:val="bottom"/>
          </w:tcPr>
          <w:p>
            <w:pPr>
              <w:jc w:val="right"/>
              <w:ind w:right="152"/>
              <w:spacing w:after="0"/>
              <w:rPr>
                <w:sz w:val="20"/>
                <w:szCs w:val="20"/>
                <w:color w:val="auto"/>
              </w:rPr>
            </w:pPr>
            <w:r>
              <w:rPr>
                <w:rFonts w:ascii="Arial" w:cs="Arial" w:eastAsia="Arial" w:hAnsi="Arial"/>
                <w:sz w:val="10"/>
                <w:szCs w:val="10"/>
                <w:i w:val="1"/>
                <w:iCs w:val="1"/>
                <w:color w:val="auto"/>
              </w:rPr>
              <w:t>(82)%</w:t>
            </w:r>
          </w:p>
        </w:tc>
        <w:tc>
          <w:tcPr>
            <w:tcW w:w="180" w:type="dxa"/>
            <w:vAlign w:val="bottom"/>
          </w:tcPr>
          <w:p>
            <w:pPr>
              <w:spacing w:after="0"/>
              <w:rPr>
                <w:sz w:val="21"/>
                <w:szCs w:val="21"/>
                <w:color w:val="auto"/>
              </w:rPr>
            </w:pPr>
          </w:p>
        </w:tc>
        <w:tc>
          <w:tcPr>
            <w:tcW w:w="1080" w:type="dxa"/>
            <w:vAlign w:val="bottom"/>
            <w:gridSpan w:val="2"/>
          </w:tcPr>
          <w:p>
            <w:pPr>
              <w:jc w:val="right"/>
              <w:ind w:right="232"/>
              <w:spacing w:after="0"/>
              <w:rPr>
                <w:sz w:val="20"/>
                <w:szCs w:val="20"/>
                <w:color w:val="auto"/>
              </w:rPr>
            </w:pPr>
            <w:r>
              <w:rPr>
                <w:rFonts w:ascii="Arial" w:cs="Arial" w:eastAsia="Arial" w:hAnsi="Arial"/>
                <w:sz w:val="10"/>
                <w:szCs w:val="10"/>
                <w:color w:val="auto"/>
              </w:rPr>
              <w:t>- %</w:t>
            </w:r>
          </w:p>
        </w:tc>
        <w:tc>
          <w:tcPr>
            <w:tcW w:w="0" w:type="dxa"/>
            <w:vAlign w:val="bottom"/>
          </w:tcPr>
          <w:p>
            <w:pPr>
              <w:spacing w:after="0"/>
              <w:rPr>
                <w:sz w:val="1"/>
                <w:szCs w:val="1"/>
                <w:color w:val="auto"/>
              </w:rPr>
            </w:pPr>
          </w:p>
        </w:tc>
      </w:tr>
      <w:tr>
        <w:trPr>
          <w:trHeight w:val="322"/>
        </w:trPr>
        <w:tc>
          <w:tcPr>
            <w:tcW w:w="4940" w:type="dxa"/>
            <w:vAlign w:val="bottom"/>
            <w:tcBorders>
              <w:top w:val="single" w:sz="8" w:color="CCEEFF"/>
            </w:tcBorders>
            <w:gridSpan w:val="3"/>
            <w:shd w:val="clear" w:color="auto" w:fill="CCEEFF"/>
          </w:tcPr>
          <w:p>
            <w:pPr>
              <w:ind w:left="400"/>
              <w:spacing w:after="0"/>
              <w:rPr>
                <w:sz w:val="20"/>
                <w:szCs w:val="20"/>
                <w:color w:val="auto"/>
              </w:rPr>
            </w:pPr>
            <w:r>
              <w:rPr>
                <w:rFonts w:ascii="Arial" w:cs="Arial" w:eastAsia="Arial" w:hAnsi="Arial"/>
                <w:sz w:val="10"/>
                <w:szCs w:val="10"/>
                <w:b w:val="1"/>
                <w:bCs w:val="1"/>
                <w:color w:val="auto"/>
              </w:rPr>
              <w:t>Depreciation, amortization, and general and administrative expense</w:t>
            </w:r>
          </w:p>
        </w:tc>
        <w:tc>
          <w:tcPr>
            <w:tcW w:w="380" w:type="dxa"/>
            <w:vAlign w:val="bottom"/>
            <w:tcBorders>
              <w:top w:val="single" w:sz="8" w:color="auto"/>
            </w:tcBorders>
            <w:shd w:val="clear" w:color="auto" w:fill="CCEEFF"/>
          </w:tcPr>
          <w:p>
            <w:pPr>
              <w:spacing w:after="0"/>
              <w:rPr>
                <w:sz w:val="24"/>
                <w:szCs w:val="24"/>
                <w:color w:val="auto"/>
              </w:rPr>
            </w:pPr>
          </w:p>
        </w:tc>
        <w:tc>
          <w:tcPr>
            <w:tcW w:w="800" w:type="dxa"/>
            <w:vAlign w:val="bottom"/>
            <w:tcBorders>
              <w:top w:val="single" w:sz="8" w:color="auto"/>
            </w:tcBorders>
            <w:shd w:val="clear" w:color="auto" w:fill="CCEEFF"/>
          </w:tcPr>
          <w:p>
            <w:pPr>
              <w:spacing w:after="0"/>
              <w:rPr>
                <w:sz w:val="24"/>
                <w:szCs w:val="24"/>
                <w:color w:val="auto"/>
              </w:rPr>
            </w:pPr>
          </w:p>
        </w:tc>
        <w:tc>
          <w:tcPr>
            <w:tcW w:w="180" w:type="dxa"/>
            <w:vAlign w:val="bottom"/>
            <w:tcBorders>
              <w:top w:val="single" w:sz="8" w:color="CCEEFF"/>
            </w:tcBorders>
            <w:shd w:val="clear" w:color="auto" w:fill="CCEEFF"/>
          </w:tcPr>
          <w:p>
            <w:pPr>
              <w:spacing w:after="0"/>
              <w:rPr>
                <w:sz w:val="24"/>
                <w:szCs w:val="24"/>
                <w:color w:val="auto"/>
              </w:rPr>
            </w:pPr>
          </w:p>
        </w:tc>
        <w:tc>
          <w:tcPr>
            <w:tcW w:w="780" w:type="dxa"/>
            <w:vAlign w:val="bottom"/>
            <w:tcBorders>
              <w:top w:val="single" w:sz="8" w:color="CCEEFF"/>
            </w:tcBorders>
            <w:shd w:val="clear" w:color="auto" w:fill="CCEEFF"/>
          </w:tcPr>
          <w:p>
            <w:pPr>
              <w:spacing w:after="0"/>
              <w:rPr>
                <w:sz w:val="24"/>
                <w:szCs w:val="24"/>
                <w:color w:val="auto"/>
              </w:rPr>
            </w:pPr>
          </w:p>
        </w:tc>
        <w:tc>
          <w:tcPr>
            <w:tcW w:w="180" w:type="dxa"/>
            <w:vAlign w:val="bottom"/>
            <w:tcBorders>
              <w:top w:val="single" w:sz="8" w:color="CCEEFF"/>
            </w:tcBorders>
            <w:shd w:val="clear" w:color="auto" w:fill="CCEEFF"/>
          </w:tcPr>
          <w:p>
            <w:pPr>
              <w:spacing w:after="0"/>
              <w:rPr>
                <w:sz w:val="24"/>
                <w:szCs w:val="24"/>
                <w:color w:val="auto"/>
              </w:rPr>
            </w:pPr>
          </w:p>
        </w:tc>
        <w:tc>
          <w:tcPr>
            <w:tcW w:w="360" w:type="dxa"/>
            <w:vAlign w:val="bottom"/>
            <w:tcBorders>
              <w:top w:val="single" w:sz="8" w:color="auto"/>
            </w:tcBorders>
            <w:shd w:val="clear" w:color="auto" w:fill="CCEEFF"/>
          </w:tcPr>
          <w:p>
            <w:pPr>
              <w:spacing w:after="0"/>
              <w:rPr>
                <w:sz w:val="24"/>
                <w:szCs w:val="24"/>
                <w:color w:val="auto"/>
              </w:rPr>
            </w:pPr>
          </w:p>
        </w:tc>
        <w:tc>
          <w:tcPr>
            <w:tcW w:w="800" w:type="dxa"/>
            <w:vAlign w:val="bottom"/>
            <w:tcBorders>
              <w:top w:val="single" w:sz="8" w:color="auto"/>
            </w:tcBorders>
            <w:shd w:val="clear" w:color="auto" w:fill="CCEEFF"/>
          </w:tcPr>
          <w:p>
            <w:pPr>
              <w:spacing w:after="0"/>
              <w:rPr>
                <w:sz w:val="24"/>
                <w:szCs w:val="24"/>
                <w:color w:val="auto"/>
              </w:rPr>
            </w:pPr>
          </w:p>
        </w:tc>
        <w:tc>
          <w:tcPr>
            <w:tcW w:w="160" w:type="dxa"/>
            <w:vAlign w:val="bottom"/>
            <w:tcBorders>
              <w:top w:val="single" w:sz="8" w:color="CCEEFF"/>
            </w:tcBorders>
            <w:shd w:val="clear" w:color="auto" w:fill="CCEEFF"/>
          </w:tcPr>
          <w:p>
            <w:pPr>
              <w:spacing w:after="0"/>
              <w:rPr>
                <w:sz w:val="24"/>
                <w:szCs w:val="24"/>
                <w:color w:val="auto"/>
              </w:rPr>
            </w:pPr>
          </w:p>
        </w:tc>
        <w:tc>
          <w:tcPr>
            <w:tcW w:w="780" w:type="dxa"/>
            <w:vAlign w:val="bottom"/>
            <w:tcBorders>
              <w:top w:val="single" w:sz="8" w:color="CCEEFF"/>
            </w:tcBorders>
            <w:shd w:val="clear" w:color="auto" w:fill="CCEEFF"/>
          </w:tcPr>
          <w:p>
            <w:pPr>
              <w:spacing w:after="0"/>
              <w:rPr>
                <w:sz w:val="24"/>
                <w:szCs w:val="24"/>
                <w:color w:val="auto"/>
              </w:rPr>
            </w:pPr>
          </w:p>
        </w:tc>
        <w:tc>
          <w:tcPr>
            <w:tcW w:w="180" w:type="dxa"/>
            <w:vAlign w:val="bottom"/>
            <w:tcBorders>
              <w:top w:val="single" w:sz="8" w:color="CCEEFF"/>
            </w:tcBorders>
            <w:shd w:val="clear" w:color="auto" w:fill="CCEEFF"/>
          </w:tcPr>
          <w:p>
            <w:pPr>
              <w:spacing w:after="0"/>
              <w:rPr>
                <w:sz w:val="24"/>
                <w:szCs w:val="24"/>
                <w:color w:val="auto"/>
              </w:rPr>
            </w:pPr>
          </w:p>
        </w:tc>
        <w:tc>
          <w:tcPr>
            <w:tcW w:w="700" w:type="dxa"/>
            <w:vAlign w:val="bottom"/>
            <w:tcBorders>
              <w:top w:val="single" w:sz="8" w:color="CCEEFF"/>
            </w:tcBorders>
            <w:shd w:val="clear" w:color="auto" w:fill="CCEEFF"/>
          </w:tcPr>
          <w:p>
            <w:pPr>
              <w:spacing w:after="0"/>
              <w:rPr>
                <w:sz w:val="24"/>
                <w:szCs w:val="24"/>
                <w:color w:val="auto"/>
              </w:rPr>
            </w:pPr>
          </w:p>
        </w:tc>
        <w:tc>
          <w:tcPr>
            <w:tcW w:w="380" w:type="dxa"/>
            <w:vAlign w:val="bottom"/>
            <w:tcBorders>
              <w:top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1660" w:type="dxa"/>
            <w:vAlign w:val="bottom"/>
          </w:tcPr>
          <w:p>
            <w:pPr>
              <w:ind w:left="800"/>
              <w:spacing w:after="0"/>
              <w:rPr>
                <w:sz w:val="20"/>
                <w:szCs w:val="20"/>
                <w:color w:val="auto"/>
              </w:rPr>
            </w:pPr>
            <w:r>
              <w:rPr>
                <w:rFonts w:ascii="Arial" w:cs="Arial" w:eastAsia="Arial" w:hAnsi="Arial"/>
                <w:sz w:val="10"/>
                <w:szCs w:val="10"/>
                <w:b w:val="1"/>
                <w:bCs w:val="1"/>
                <w:color w:val="auto"/>
              </w:rPr>
              <w:t>United States</w:t>
            </w:r>
          </w:p>
        </w:tc>
        <w:tc>
          <w:tcPr>
            <w:tcW w:w="3280" w:type="dxa"/>
            <w:vAlign w:val="bottom"/>
            <w:gridSpan w:val="2"/>
          </w:tcPr>
          <w:p>
            <w:pPr>
              <w:ind w:left="320"/>
              <w:spacing w:after="0"/>
              <w:rPr>
                <w:sz w:val="20"/>
                <w:szCs w:val="20"/>
                <w:color w:val="auto"/>
              </w:rPr>
            </w:pPr>
            <w:r>
              <w:rPr>
                <w:rFonts w:ascii="Arial" w:cs="Arial" w:eastAsia="Arial" w:hAnsi="Arial"/>
                <w:sz w:val="10"/>
                <w:szCs w:val="10"/>
                <w:color w:val="auto"/>
              </w:rPr>
              <w:t>Depreciation and amortization</w:t>
            </w:r>
          </w:p>
        </w:tc>
        <w:tc>
          <w:tcPr>
            <w:tcW w:w="380" w:type="dxa"/>
            <w:vAlign w:val="bottom"/>
          </w:tcPr>
          <w:p>
            <w:pPr>
              <w:jc w:val="right"/>
              <w:ind w:right="72"/>
              <w:spacing w:after="0"/>
              <w:rPr>
                <w:sz w:val="20"/>
                <w:szCs w:val="20"/>
                <w:color w:val="auto"/>
              </w:rPr>
            </w:pPr>
            <w:r>
              <w:rPr>
                <w:rFonts w:ascii="Arial" w:cs="Arial" w:eastAsia="Arial" w:hAnsi="Arial"/>
                <w:sz w:val="10"/>
                <w:szCs w:val="10"/>
                <w:color w:val="auto"/>
              </w:rPr>
              <w:t>$</w:t>
            </w:r>
          </w:p>
        </w:tc>
        <w:tc>
          <w:tcPr>
            <w:tcW w:w="980" w:type="dxa"/>
            <w:vAlign w:val="bottom"/>
            <w:gridSpan w:val="2"/>
          </w:tcPr>
          <w:p>
            <w:pPr>
              <w:jc w:val="right"/>
              <w:ind w:right="180"/>
              <w:spacing w:after="0"/>
              <w:rPr>
                <w:sz w:val="20"/>
                <w:szCs w:val="20"/>
                <w:color w:val="auto"/>
              </w:rPr>
            </w:pPr>
            <w:r>
              <w:rPr>
                <w:rFonts w:ascii="Arial" w:cs="Arial" w:eastAsia="Arial" w:hAnsi="Arial"/>
                <w:sz w:val="10"/>
                <w:szCs w:val="10"/>
                <w:color w:val="auto"/>
              </w:rPr>
              <w:t>(5,531)</w:t>
            </w:r>
          </w:p>
        </w:tc>
        <w:tc>
          <w:tcPr>
            <w:tcW w:w="780" w:type="dxa"/>
            <w:vAlign w:val="bottom"/>
          </w:tcPr>
          <w:p>
            <w:pPr>
              <w:jc w:val="right"/>
              <w:ind w:right="152"/>
              <w:spacing w:after="0"/>
              <w:rPr>
                <w:sz w:val="20"/>
                <w:szCs w:val="20"/>
                <w:color w:val="auto"/>
              </w:rPr>
            </w:pPr>
            <w:r>
              <w:rPr>
                <w:rFonts w:ascii="Arial" w:cs="Arial" w:eastAsia="Arial" w:hAnsi="Arial"/>
                <w:sz w:val="10"/>
                <w:szCs w:val="10"/>
                <w:i w:val="1"/>
                <w:iCs w:val="1"/>
                <w:color w:val="auto"/>
              </w:rPr>
              <w:t>(4)%</w:t>
            </w:r>
          </w:p>
        </w:tc>
        <w:tc>
          <w:tcPr>
            <w:tcW w:w="180" w:type="dxa"/>
            <w:vAlign w:val="bottom"/>
          </w:tcPr>
          <w:p>
            <w:pPr>
              <w:spacing w:after="0"/>
              <w:rPr>
                <w:sz w:val="14"/>
                <w:szCs w:val="14"/>
                <w:color w:val="auto"/>
              </w:rPr>
            </w:pPr>
          </w:p>
        </w:tc>
        <w:tc>
          <w:tcPr>
            <w:tcW w:w="360" w:type="dxa"/>
            <w:vAlign w:val="bottom"/>
          </w:tcPr>
          <w:p>
            <w:pPr>
              <w:jc w:val="right"/>
              <w:ind w:right="72"/>
              <w:spacing w:after="0"/>
              <w:rPr>
                <w:sz w:val="20"/>
                <w:szCs w:val="20"/>
                <w:color w:val="auto"/>
              </w:rPr>
            </w:pPr>
            <w:r>
              <w:rPr>
                <w:rFonts w:ascii="Arial" w:cs="Arial" w:eastAsia="Arial" w:hAnsi="Arial"/>
                <w:sz w:val="10"/>
                <w:szCs w:val="10"/>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0"/>
                <w:szCs w:val="10"/>
                <w:color w:val="auto"/>
              </w:rPr>
              <w:t>(5,118)</w:t>
            </w:r>
          </w:p>
        </w:tc>
        <w:tc>
          <w:tcPr>
            <w:tcW w:w="780" w:type="dxa"/>
            <w:vAlign w:val="bottom"/>
          </w:tcPr>
          <w:p>
            <w:pPr>
              <w:jc w:val="right"/>
              <w:ind w:right="152"/>
              <w:spacing w:after="0"/>
              <w:rPr>
                <w:sz w:val="20"/>
                <w:szCs w:val="20"/>
                <w:color w:val="auto"/>
              </w:rPr>
            </w:pPr>
            <w:r>
              <w:rPr>
                <w:rFonts w:ascii="Arial" w:cs="Arial" w:eastAsia="Arial" w:hAnsi="Arial"/>
                <w:sz w:val="10"/>
                <w:szCs w:val="10"/>
                <w:i w:val="1"/>
                <w:iCs w:val="1"/>
                <w:color w:val="auto"/>
              </w:rPr>
              <w:t>(4)%</w:t>
            </w:r>
          </w:p>
        </w:tc>
        <w:tc>
          <w:tcPr>
            <w:tcW w:w="180" w:type="dxa"/>
            <w:vAlign w:val="bottom"/>
          </w:tcPr>
          <w:p>
            <w:pPr>
              <w:spacing w:after="0"/>
              <w:rPr>
                <w:sz w:val="14"/>
                <w:szCs w:val="14"/>
                <w:color w:val="auto"/>
              </w:rPr>
            </w:pPr>
          </w:p>
        </w:tc>
        <w:tc>
          <w:tcPr>
            <w:tcW w:w="1080" w:type="dxa"/>
            <w:vAlign w:val="bottom"/>
            <w:gridSpan w:val="2"/>
          </w:tcPr>
          <w:p>
            <w:pPr>
              <w:jc w:val="right"/>
              <w:ind w:right="232"/>
              <w:spacing w:after="0"/>
              <w:rPr>
                <w:sz w:val="20"/>
                <w:szCs w:val="20"/>
                <w:color w:val="auto"/>
              </w:rPr>
            </w:pPr>
            <w:r>
              <w:rPr>
                <w:rFonts w:ascii="Arial" w:cs="Arial" w:eastAsia="Arial" w:hAnsi="Arial"/>
                <w:sz w:val="10"/>
                <w:szCs w:val="10"/>
                <w:color w:val="auto"/>
              </w:rPr>
              <w:t>(8) %</w:t>
            </w:r>
          </w:p>
        </w:tc>
        <w:tc>
          <w:tcPr>
            <w:tcW w:w="0" w:type="dxa"/>
            <w:vAlign w:val="bottom"/>
          </w:tcPr>
          <w:p>
            <w:pPr>
              <w:spacing w:after="0"/>
              <w:rPr>
                <w:sz w:val="1"/>
                <w:szCs w:val="1"/>
                <w:color w:val="auto"/>
              </w:rPr>
            </w:pPr>
          </w:p>
        </w:tc>
      </w:tr>
      <w:tr>
        <w:trPr>
          <w:trHeight w:val="171"/>
        </w:trPr>
        <w:tc>
          <w:tcPr>
            <w:tcW w:w="1660" w:type="dxa"/>
            <w:vAlign w:val="bottom"/>
            <w:shd w:val="clear" w:color="auto" w:fill="CCEEFF"/>
          </w:tcPr>
          <w:p>
            <w:pPr>
              <w:spacing w:after="0"/>
              <w:rPr>
                <w:sz w:val="14"/>
                <w:szCs w:val="14"/>
                <w:color w:val="auto"/>
              </w:rPr>
            </w:pPr>
          </w:p>
        </w:tc>
        <w:tc>
          <w:tcPr>
            <w:tcW w:w="3280" w:type="dxa"/>
            <w:vAlign w:val="bottom"/>
            <w:gridSpan w:val="2"/>
            <w:shd w:val="clear" w:color="auto" w:fill="CCEEFF"/>
          </w:tcPr>
          <w:p>
            <w:pPr>
              <w:ind w:left="320"/>
              <w:spacing w:after="0"/>
              <w:rPr>
                <w:sz w:val="20"/>
                <w:szCs w:val="20"/>
                <w:color w:val="auto"/>
              </w:rPr>
            </w:pPr>
            <w:r>
              <w:rPr>
                <w:rFonts w:ascii="Arial" w:cs="Arial" w:eastAsia="Arial" w:hAnsi="Arial"/>
                <w:sz w:val="10"/>
                <w:szCs w:val="10"/>
                <w:color w:val="auto"/>
              </w:rPr>
              <w:t>General and administrative expense</w:t>
            </w:r>
          </w:p>
        </w:tc>
        <w:tc>
          <w:tcPr>
            <w:tcW w:w="3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(2,225)</w:t>
            </w:r>
          </w:p>
        </w:tc>
        <w:tc>
          <w:tcPr>
            <w:tcW w:w="780" w:type="dxa"/>
            <w:vAlign w:val="bottom"/>
            <w:shd w:val="clear" w:color="auto" w:fill="CCEEFF"/>
          </w:tcPr>
          <w:p>
            <w:pPr>
              <w:jc w:val="right"/>
              <w:ind w:right="152"/>
              <w:spacing w:after="0"/>
              <w:rPr>
                <w:sz w:val="20"/>
                <w:szCs w:val="20"/>
                <w:color w:val="auto"/>
              </w:rPr>
            </w:pPr>
            <w:r>
              <w:rPr>
                <w:rFonts w:ascii="Arial" w:cs="Arial" w:eastAsia="Arial" w:hAnsi="Arial"/>
                <w:sz w:val="10"/>
                <w:szCs w:val="10"/>
                <w:i w:val="1"/>
                <w:iCs w:val="1"/>
                <w:color w:val="auto"/>
              </w:rPr>
              <w:t>(2)%</w:t>
            </w:r>
          </w:p>
        </w:tc>
        <w:tc>
          <w:tcPr>
            <w:tcW w:w="1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(2,474)</w:t>
            </w:r>
          </w:p>
        </w:tc>
        <w:tc>
          <w:tcPr>
            <w:tcW w:w="780" w:type="dxa"/>
            <w:vAlign w:val="bottom"/>
            <w:shd w:val="clear" w:color="auto" w:fill="CCEEFF"/>
          </w:tcPr>
          <w:p>
            <w:pPr>
              <w:jc w:val="right"/>
              <w:ind w:right="152"/>
              <w:spacing w:after="0"/>
              <w:rPr>
                <w:sz w:val="20"/>
                <w:szCs w:val="20"/>
                <w:color w:val="auto"/>
              </w:rPr>
            </w:pPr>
            <w:r>
              <w:rPr>
                <w:rFonts w:ascii="Arial" w:cs="Arial" w:eastAsia="Arial" w:hAnsi="Arial"/>
                <w:sz w:val="10"/>
                <w:szCs w:val="10"/>
                <w:i w:val="1"/>
                <w:iCs w:val="1"/>
                <w:color w:val="auto"/>
              </w:rPr>
              <w:t>(2)%</w:t>
            </w: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w:t>
            </w:r>
          </w:p>
        </w:tc>
        <w:tc>
          <w:tcPr>
            <w:tcW w:w="380" w:type="dxa"/>
            <w:vAlign w:val="bottom"/>
            <w:shd w:val="clear" w:color="auto" w:fill="CCEEFF"/>
          </w:tcPr>
          <w:p>
            <w:pPr>
              <w:jc w:val="right"/>
              <w:ind w:right="232"/>
              <w:spacing w:after="0"/>
              <w:rPr>
                <w:sz w:val="20"/>
                <w:szCs w:val="20"/>
                <w:color w:val="auto"/>
              </w:rPr>
            </w:pPr>
            <w:r>
              <w:rPr>
                <w:rFonts w:ascii="Arial" w:cs="Arial" w:eastAsia="Arial" w:hAnsi="Arial"/>
                <w:sz w:val="10"/>
                <w:szCs w:val="10"/>
                <w:color w:val="auto"/>
                <w:w w:val="89"/>
              </w:rPr>
              <w:t>%</w:t>
            </w:r>
          </w:p>
        </w:tc>
        <w:tc>
          <w:tcPr>
            <w:tcW w:w="0" w:type="dxa"/>
            <w:vAlign w:val="bottom"/>
          </w:tcPr>
          <w:p>
            <w:pPr>
              <w:spacing w:after="0"/>
              <w:rPr>
                <w:sz w:val="1"/>
                <w:szCs w:val="1"/>
                <w:color w:val="auto"/>
              </w:rPr>
            </w:pPr>
          </w:p>
        </w:tc>
      </w:tr>
      <w:tr>
        <w:trPr>
          <w:trHeight w:val="113"/>
        </w:trPr>
        <w:tc>
          <w:tcPr>
            <w:tcW w:w="1660" w:type="dxa"/>
            <w:vAlign w:val="bottom"/>
          </w:tcPr>
          <w:p>
            <w:pPr>
              <w:spacing w:after="0"/>
              <w:rPr>
                <w:sz w:val="9"/>
                <w:szCs w:val="9"/>
                <w:color w:val="auto"/>
              </w:rPr>
            </w:pPr>
          </w:p>
        </w:tc>
        <w:tc>
          <w:tcPr>
            <w:tcW w:w="3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80" w:type="dxa"/>
            <w:vAlign w:val="bottom"/>
            <w:tcBorders>
              <w:top w:val="single" w:sz="8" w:color="auto"/>
            </w:tcBorders>
          </w:tcPr>
          <w:p>
            <w:pPr>
              <w:jc w:val="right"/>
              <w:ind w:right="72"/>
              <w:spacing w:after="0" w:line="113" w:lineRule="exact"/>
              <w:rPr>
                <w:sz w:val="20"/>
                <w:szCs w:val="20"/>
                <w:color w:val="auto"/>
              </w:rPr>
            </w:pPr>
            <w:r>
              <w:rPr>
                <w:rFonts w:ascii="Arial" w:cs="Arial" w:eastAsia="Arial" w:hAnsi="Arial"/>
                <w:sz w:val="10"/>
                <w:szCs w:val="10"/>
                <w:b w:val="1"/>
                <w:bCs w:val="1"/>
                <w:color w:val="auto"/>
              </w:rPr>
              <w:t>$</w:t>
            </w:r>
          </w:p>
        </w:tc>
        <w:tc>
          <w:tcPr>
            <w:tcW w:w="800" w:type="dxa"/>
            <w:vAlign w:val="bottom"/>
            <w:tcBorders>
              <w:top w:val="single" w:sz="8" w:color="auto"/>
            </w:tcBorders>
          </w:tcPr>
          <w:p>
            <w:pPr>
              <w:jc w:val="right"/>
              <w:spacing w:after="0" w:line="113" w:lineRule="exact"/>
              <w:rPr>
                <w:sz w:val="20"/>
                <w:szCs w:val="20"/>
                <w:color w:val="auto"/>
              </w:rPr>
            </w:pPr>
            <w:r>
              <w:rPr>
                <w:rFonts w:ascii="Arial" w:cs="Arial" w:eastAsia="Arial" w:hAnsi="Arial"/>
                <w:sz w:val="10"/>
                <w:szCs w:val="10"/>
                <w:b w:val="1"/>
                <w:bCs w:val="1"/>
                <w:color w:val="auto"/>
              </w:rPr>
              <w:t>(7,756)</w:t>
            </w:r>
          </w:p>
        </w:tc>
        <w:tc>
          <w:tcPr>
            <w:tcW w:w="180" w:type="dxa"/>
            <w:vAlign w:val="bottom"/>
          </w:tcPr>
          <w:p>
            <w:pPr>
              <w:spacing w:after="0"/>
              <w:rPr>
                <w:sz w:val="9"/>
                <w:szCs w:val="9"/>
                <w:color w:val="auto"/>
              </w:rPr>
            </w:pPr>
          </w:p>
        </w:tc>
        <w:tc>
          <w:tcPr>
            <w:tcW w:w="780" w:type="dxa"/>
            <w:vAlign w:val="bottom"/>
            <w:vMerge w:val="restart"/>
          </w:tcPr>
          <w:p>
            <w:pPr>
              <w:jc w:val="right"/>
              <w:ind w:right="152"/>
              <w:spacing w:after="0"/>
              <w:rPr>
                <w:sz w:val="20"/>
                <w:szCs w:val="20"/>
                <w:color w:val="auto"/>
              </w:rPr>
            </w:pPr>
            <w:r>
              <w:rPr>
                <w:rFonts w:ascii="Arial" w:cs="Arial" w:eastAsia="Arial" w:hAnsi="Arial"/>
                <w:sz w:val="10"/>
                <w:szCs w:val="10"/>
                <w:i w:val="1"/>
                <w:iCs w:val="1"/>
                <w:color w:val="auto"/>
              </w:rPr>
              <w:t>(6)%</w:t>
            </w:r>
          </w:p>
        </w:tc>
        <w:tc>
          <w:tcPr>
            <w:tcW w:w="180" w:type="dxa"/>
            <w:vAlign w:val="bottom"/>
          </w:tcPr>
          <w:p>
            <w:pPr>
              <w:spacing w:after="0"/>
              <w:rPr>
                <w:sz w:val="9"/>
                <w:szCs w:val="9"/>
                <w:color w:val="auto"/>
              </w:rPr>
            </w:pPr>
          </w:p>
        </w:tc>
        <w:tc>
          <w:tcPr>
            <w:tcW w:w="360" w:type="dxa"/>
            <w:vAlign w:val="bottom"/>
            <w:tcBorders>
              <w:top w:val="single" w:sz="8" w:color="auto"/>
            </w:tcBorders>
          </w:tcPr>
          <w:p>
            <w:pPr>
              <w:jc w:val="right"/>
              <w:ind w:right="72"/>
              <w:spacing w:after="0" w:line="113" w:lineRule="exact"/>
              <w:rPr>
                <w:sz w:val="20"/>
                <w:szCs w:val="20"/>
                <w:color w:val="auto"/>
              </w:rPr>
            </w:pPr>
            <w:r>
              <w:rPr>
                <w:rFonts w:ascii="Arial" w:cs="Arial" w:eastAsia="Arial" w:hAnsi="Arial"/>
                <w:sz w:val="10"/>
                <w:szCs w:val="10"/>
                <w:b w:val="1"/>
                <w:bCs w:val="1"/>
                <w:color w:val="auto"/>
              </w:rPr>
              <w:t>$</w:t>
            </w:r>
          </w:p>
        </w:tc>
        <w:tc>
          <w:tcPr>
            <w:tcW w:w="800" w:type="dxa"/>
            <w:vAlign w:val="bottom"/>
            <w:tcBorders>
              <w:top w:val="single" w:sz="8" w:color="auto"/>
            </w:tcBorders>
          </w:tcPr>
          <w:p>
            <w:pPr>
              <w:jc w:val="right"/>
              <w:spacing w:after="0" w:line="113" w:lineRule="exact"/>
              <w:rPr>
                <w:sz w:val="20"/>
                <w:szCs w:val="20"/>
                <w:color w:val="auto"/>
              </w:rPr>
            </w:pPr>
            <w:r>
              <w:rPr>
                <w:rFonts w:ascii="Arial" w:cs="Arial" w:eastAsia="Arial" w:hAnsi="Arial"/>
                <w:sz w:val="10"/>
                <w:szCs w:val="10"/>
                <w:b w:val="1"/>
                <w:bCs w:val="1"/>
                <w:color w:val="auto"/>
              </w:rPr>
              <w:t>(7,592)</w:t>
            </w:r>
          </w:p>
        </w:tc>
        <w:tc>
          <w:tcPr>
            <w:tcW w:w="160" w:type="dxa"/>
            <w:vAlign w:val="bottom"/>
          </w:tcPr>
          <w:p>
            <w:pPr>
              <w:spacing w:after="0"/>
              <w:rPr>
                <w:sz w:val="9"/>
                <w:szCs w:val="9"/>
                <w:color w:val="auto"/>
              </w:rPr>
            </w:pPr>
          </w:p>
        </w:tc>
        <w:tc>
          <w:tcPr>
            <w:tcW w:w="780" w:type="dxa"/>
            <w:vAlign w:val="bottom"/>
          </w:tcPr>
          <w:p>
            <w:pPr>
              <w:jc w:val="right"/>
              <w:ind w:right="152"/>
              <w:spacing w:after="0" w:line="102" w:lineRule="exact"/>
              <w:rPr>
                <w:sz w:val="20"/>
                <w:szCs w:val="20"/>
                <w:color w:val="auto"/>
              </w:rPr>
            </w:pPr>
            <w:r>
              <w:rPr>
                <w:rFonts w:ascii="Arial" w:cs="Arial" w:eastAsia="Arial" w:hAnsi="Arial"/>
                <w:sz w:val="10"/>
                <w:szCs w:val="10"/>
                <w:i w:val="1"/>
                <w:iCs w:val="1"/>
                <w:color w:val="auto"/>
              </w:rPr>
              <w:t>(6)%</w:t>
            </w:r>
          </w:p>
        </w:tc>
        <w:tc>
          <w:tcPr>
            <w:tcW w:w="180" w:type="dxa"/>
            <w:vAlign w:val="bottom"/>
          </w:tcPr>
          <w:p>
            <w:pPr>
              <w:spacing w:after="0"/>
              <w:rPr>
                <w:sz w:val="9"/>
                <w:szCs w:val="9"/>
                <w:color w:val="auto"/>
              </w:rPr>
            </w:pPr>
          </w:p>
        </w:tc>
        <w:tc>
          <w:tcPr>
            <w:tcW w:w="1080" w:type="dxa"/>
            <w:vAlign w:val="bottom"/>
            <w:gridSpan w:val="2"/>
          </w:tcPr>
          <w:p>
            <w:pPr>
              <w:jc w:val="right"/>
              <w:ind w:right="232"/>
              <w:spacing w:after="0" w:line="102" w:lineRule="exact"/>
              <w:rPr>
                <w:sz w:val="20"/>
                <w:szCs w:val="20"/>
                <w:color w:val="auto"/>
              </w:rPr>
            </w:pPr>
            <w:r>
              <w:rPr>
                <w:rFonts w:ascii="Arial" w:cs="Arial" w:eastAsia="Arial" w:hAnsi="Arial"/>
                <w:sz w:val="10"/>
                <w:szCs w:val="10"/>
                <w:color w:val="auto"/>
              </w:rPr>
              <w:t>(2) %</w:t>
            </w:r>
          </w:p>
        </w:tc>
        <w:tc>
          <w:tcPr>
            <w:tcW w:w="0" w:type="dxa"/>
            <w:vAlign w:val="bottom"/>
          </w:tcPr>
          <w:p>
            <w:pPr>
              <w:spacing w:after="0"/>
              <w:rPr>
                <w:sz w:val="1"/>
                <w:szCs w:val="1"/>
                <w:color w:val="auto"/>
              </w:rPr>
            </w:pPr>
          </w:p>
        </w:tc>
      </w:tr>
      <w:tr>
        <w:trPr>
          <w:trHeight w:val="39"/>
        </w:trPr>
        <w:tc>
          <w:tcPr>
            <w:tcW w:w="1660" w:type="dxa"/>
            <w:vAlign w:val="bottom"/>
          </w:tcPr>
          <w:p>
            <w:pPr>
              <w:spacing w:after="0"/>
              <w:rPr>
                <w:sz w:val="3"/>
                <w:szCs w:val="3"/>
                <w:color w:val="auto"/>
              </w:rPr>
            </w:pPr>
          </w:p>
        </w:tc>
        <w:tc>
          <w:tcPr>
            <w:tcW w:w="3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18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00" w:type="dxa"/>
            <w:vAlign w:val="bottom"/>
          </w:tcPr>
          <w:p>
            <w:pPr>
              <w:spacing w:after="0"/>
              <w:rPr>
                <w:sz w:val="3"/>
                <w:szCs w:val="3"/>
                <w:color w:val="auto"/>
              </w:rPr>
            </w:pPr>
          </w:p>
        </w:tc>
        <w:tc>
          <w:tcPr>
            <w:tcW w:w="3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1"/>
        </w:trPr>
        <w:tc>
          <w:tcPr>
            <w:tcW w:w="1660" w:type="dxa"/>
            <w:vAlign w:val="bottom"/>
            <w:shd w:val="clear" w:color="auto" w:fill="CCEEFF"/>
          </w:tcPr>
          <w:p>
            <w:pPr>
              <w:ind w:left="800"/>
              <w:spacing w:after="0"/>
              <w:rPr>
                <w:sz w:val="20"/>
                <w:szCs w:val="20"/>
                <w:color w:val="auto"/>
              </w:rPr>
            </w:pPr>
            <w:r>
              <w:rPr>
                <w:rFonts w:ascii="Arial" w:cs="Arial" w:eastAsia="Arial" w:hAnsi="Arial"/>
                <w:sz w:val="10"/>
                <w:szCs w:val="10"/>
                <w:b w:val="1"/>
                <w:bCs w:val="1"/>
                <w:color w:val="auto"/>
              </w:rPr>
              <w:t>Australia</w:t>
            </w:r>
          </w:p>
        </w:tc>
        <w:tc>
          <w:tcPr>
            <w:tcW w:w="3280" w:type="dxa"/>
            <w:vAlign w:val="bottom"/>
            <w:gridSpan w:val="2"/>
            <w:shd w:val="clear" w:color="auto" w:fill="CCEEFF"/>
          </w:tcPr>
          <w:p>
            <w:pPr>
              <w:ind w:left="320"/>
              <w:spacing w:after="0"/>
              <w:rPr>
                <w:sz w:val="20"/>
                <w:szCs w:val="20"/>
                <w:color w:val="auto"/>
              </w:rPr>
            </w:pPr>
            <w:r>
              <w:rPr>
                <w:rFonts w:ascii="Arial" w:cs="Arial" w:eastAsia="Arial" w:hAnsi="Arial"/>
                <w:sz w:val="10"/>
                <w:szCs w:val="10"/>
                <w:color w:val="auto"/>
              </w:rPr>
              <w:t>Depreciation and amortization</w:t>
            </w:r>
          </w:p>
        </w:tc>
        <w:tc>
          <w:tcPr>
            <w:tcW w:w="3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(4,325)</w:t>
            </w:r>
          </w:p>
        </w:tc>
        <w:tc>
          <w:tcPr>
            <w:tcW w:w="780" w:type="dxa"/>
            <w:vAlign w:val="bottom"/>
            <w:shd w:val="clear" w:color="auto" w:fill="CCEEFF"/>
          </w:tcPr>
          <w:p>
            <w:pPr>
              <w:jc w:val="right"/>
              <w:ind w:right="152"/>
              <w:spacing w:after="0"/>
              <w:rPr>
                <w:sz w:val="20"/>
                <w:szCs w:val="20"/>
                <w:color w:val="auto"/>
              </w:rPr>
            </w:pPr>
            <w:r>
              <w:rPr>
                <w:rFonts w:ascii="Arial" w:cs="Arial" w:eastAsia="Arial" w:hAnsi="Arial"/>
                <w:sz w:val="10"/>
                <w:szCs w:val="10"/>
                <w:i w:val="1"/>
                <w:iCs w:val="1"/>
                <w:color w:val="auto"/>
              </w:rPr>
              <w:t>(5)%</w:t>
            </w:r>
          </w:p>
        </w:tc>
        <w:tc>
          <w:tcPr>
            <w:tcW w:w="1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(4,669)</w:t>
            </w:r>
          </w:p>
        </w:tc>
        <w:tc>
          <w:tcPr>
            <w:tcW w:w="780" w:type="dxa"/>
            <w:vAlign w:val="bottom"/>
            <w:shd w:val="clear" w:color="auto" w:fill="CCEEFF"/>
          </w:tcPr>
          <w:p>
            <w:pPr>
              <w:jc w:val="right"/>
              <w:ind w:right="152"/>
              <w:spacing w:after="0"/>
              <w:rPr>
                <w:sz w:val="20"/>
                <w:szCs w:val="20"/>
                <w:color w:val="auto"/>
              </w:rPr>
            </w:pPr>
            <w:r>
              <w:rPr>
                <w:rFonts w:ascii="Arial" w:cs="Arial" w:eastAsia="Arial" w:hAnsi="Arial"/>
                <w:sz w:val="10"/>
                <w:szCs w:val="10"/>
                <w:i w:val="1"/>
                <w:iCs w:val="1"/>
                <w:color w:val="auto"/>
              </w:rPr>
              <w:t>(5)%</w:t>
            </w: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w:t>
            </w:r>
          </w:p>
        </w:tc>
        <w:tc>
          <w:tcPr>
            <w:tcW w:w="380" w:type="dxa"/>
            <w:vAlign w:val="bottom"/>
            <w:shd w:val="clear" w:color="auto" w:fill="CCEEFF"/>
          </w:tcPr>
          <w:p>
            <w:pPr>
              <w:jc w:val="right"/>
              <w:ind w:right="232"/>
              <w:spacing w:after="0"/>
              <w:rPr>
                <w:sz w:val="20"/>
                <w:szCs w:val="20"/>
                <w:color w:val="auto"/>
              </w:rPr>
            </w:pPr>
            <w:r>
              <w:rPr>
                <w:rFonts w:ascii="Arial" w:cs="Arial" w:eastAsia="Arial" w:hAnsi="Arial"/>
                <w:sz w:val="10"/>
                <w:szCs w:val="10"/>
                <w:color w:val="auto"/>
                <w:w w:val="89"/>
              </w:rPr>
              <w:t>%</w:t>
            </w:r>
          </w:p>
        </w:tc>
        <w:tc>
          <w:tcPr>
            <w:tcW w:w="0" w:type="dxa"/>
            <w:vAlign w:val="bottom"/>
          </w:tcPr>
          <w:p>
            <w:pPr>
              <w:spacing w:after="0"/>
              <w:rPr>
                <w:sz w:val="1"/>
                <w:szCs w:val="1"/>
                <w:color w:val="auto"/>
              </w:rPr>
            </w:pPr>
          </w:p>
        </w:tc>
      </w:tr>
      <w:tr>
        <w:trPr>
          <w:trHeight w:val="171"/>
        </w:trPr>
        <w:tc>
          <w:tcPr>
            <w:tcW w:w="1660" w:type="dxa"/>
            <w:vAlign w:val="bottom"/>
          </w:tcPr>
          <w:p>
            <w:pPr>
              <w:spacing w:after="0"/>
              <w:rPr>
                <w:sz w:val="14"/>
                <w:szCs w:val="14"/>
                <w:color w:val="auto"/>
              </w:rPr>
            </w:pPr>
          </w:p>
        </w:tc>
        <w:tc>
          <w:tcPr>
            <w:tcW w:w="3280" w:type="dxa"/>
            <w:vAlign w:val="bottom"/>
            <w:gridSpan w:val="2"/>
          </w:tcPr>
          <w:p>
            <w:pPr>
              <w:ind w:left="320"/>
              <w:spacing w:after="0"/>
              <w:rPr>
                <w:sz w:val="20"/>
                <w:szCs w:val="20"/>
                <w:color w:val="auto"/>
              </w:rPr>
            </w:pPr>
            <w:r>
              <w:rPr>
                <w:rFonts w:ascii="Arial" w:cs="Arial" w:eastAsia="Arial" w:hAnsi="Arial"/>
                <w:sz w:val="10"/>
                <w:szCs w:val="10"/>
                <w:color w:val="auto"/>
              </w:rPr>
              <w:t>General and administrative expense</w:t>
            </w:r>
          </w:p>
        </w:tc>
        <w:tc>
          <w:tcPr>
            <w:tcW w:w="380" w:type="dxa"/>
            <w:vAlign w:val="bottom"/>
          </w:tcPr>
          <w:p>
            <w:pPr>
              <w:spacing w:after="0"/>
              <w:rPr>
                <w:sz w:val="14"/>
                <w:szCs w:val="14"/>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0"/>
                <w:szCs w:val="10"/>
                <w:color w:val="auto"/>
              </w:rPr>
              <w:t>(782)</w:t>
            </w:r>
          </w:p>
        </w:tc>
        <w:tc>
          <w:tcPr>
            <w:tcW w:w="780" w:type="dxa"/>
            <w:vAlign w:val="bottom"/>
          </w:tcPr>
          <w:p>
            <w:pPr>
              <w:jc w:val="right"/>
              <w:ind w:right="152"/>
              <w:spacing w:after="0"/>
              <w:rPr>
                <w:sz w:val="20"/>
                <w:szCs w:val="20"/>
                <w:color w:val="auto"/>
              </w:rPr>
            </w:pPr>
            <w:r>
              <w:rPr>
                <w:rFonts w:ascii="Arial" w:cs="Arial" w:eastAsia="Arial" w:hAnsi="Arial"/>
                <w:sz w:val="10"/>
                <w:szCs w:val="10"/>
                <w:i w:val="1"/>
                <w:iCs w:val="1"/>
                <w:color w:val="auto"/>
              </w:rPr>
              <w:t>(1)%</w:t>
            </w: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0"/>
                <w:szCs w:val="10"/>
                <w:color w:val="auto"/>
              </w:rPr>
              <w:t>(1,054)</w:t>
            </w:r>
          </w:p>
        </w:tc>
        <w:tc>
          <w:tcPr>
            <w:tcW w:w="780" w:type="dxa"/>
            <w:vAlign w:val="bottom"/>
          </w:tcPr>
          <w:p>
            <w:pPr>
              <w:jc w:val="right"/>
              <w:ind w:right="152"/>
              <w:spacing w:after="0"/>
              <w:rPr>
                <w:sz w:val="20"/>
                <w:szCs w:val="20"/>
                <w:color w:val="auto"/>
              </w:rPr>
            </w:pPr>
            <w:r>
              <w:rPr>
                <w:rFonts w:ascii="Arial" w:cs="Arial" w:eastAsia="Arial" w:hAnsi="Arial"/>
                <w:sz w:val="10"/>
                <w:szCs w:val="10"/>
                <w:i w:val="1"/>
                <w:iCs w:val="1"/>
                <w:color w:val="auto"/>
              </w:rPr>
              <w:t>(1)%</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0"/>
                <w:szCs w:val="10"/>
                <w:color w:val="auto"/>
              </w:rPr>
              <w:t>26</w:t>
            </w:r>
          </w:p>
        </w:tc>
        <w:tc>
          <w:tcPr>
            <w:tcW w:w="380" w:type="dxa"/>
            <w:vAlign w:val="bottom"/>
          </w:tcPr>
          <w:p>
            <w:pPr>
              <w:jc w:val="right"/>
              <w:ind w:right="232"/>
              <w:spacing w:after="0"/>
              <w:rPr>
                <w:sz w:val="20"/>
                <w:szCs w:val="20"/>
                <w:color w:val="auto"/>
              </w:rPr>
            </w:pPr>
            <w:r>
              <w:rPr>
                <w:rFonts w:ascii="Arial" w:cs="Arial" w:eastAsia="Arial" w:hAnsi="Arial"/>
                <w:sz w:val="10"/>
                <w:szCs w:val="10"/>
                <w:color w:val="auto"/>
                <w:w w:val="89"/>
              </w:rPr>
              <w:t>%</w:t>
            </w:r>
          </w:p>
        </w:tc>
        <w:tc>
          <w:tcPr>
            <w:tcW w:w="0" w:type="dxa"/>
            <w:vAlign w:val="bottom"/>
          </w:tcPr>
          <w:p>
            <w:pPr>
              <w:spacing w:after="0"/>
              <w:rPr>
                <w:sz w:val="1"/>
                <w:szCs w:val="1"/>
                <w:color w:val="auto"/>
              </w:rPr>
            </w:pPr>
          </w:p>
        </w:tc>
      </w:tr>
      <w:tr>
        <w:trPr>
          <w:trHeight w:val="131"/>
        </w:trPr>
        <w:tc>
          <w:tcPr>
            <w:tcW w:w="1660" w:type="dxa"/>
            <w:vAlign w:val="bottom"/>
            <w:tcBorders>
              <w:top w:val="single" w:sz="8" w:color="CCEEFF"/>
              <w:bottom w:val="single" w:sz="8" w:color="CCEEFF"/>
            </w:tcBorders>
            <w:shd w:val="clear" w:color="auto" w:fill="CCEEFF"/>
          </w:tcPr>
          <w:p>
            <w:pPr>
              <w:spacing w:after="0"/>
              <w:rPr>
                <w:sz w:val="11"/>
                <w:szCs w:val="11"/>
                <w:color w:val="auto"/>
              </w:rPr>
            </w:pPr>
          </w:p>
        </w:tc>
        <w:tc>
          <w:tcPr>
            <w:tcW w:w="3100" w:type="dxa"/>
            <w:vAlign w:val="bottom"/>
            <w:tcBorders>
              <w:top w:val="single" w:sz="8" w:color="CCEEFF"/>
              <w:bottom w:val="single" w:sz="8" w:color="CCEEFF"/>
            </w:tcBorders>
            <w:shd w:val="clear" w:color="auto" w:fill="CCEEFF"/>
          </w:tcPr>
          <w:p>
            <w:pPr>
              <w:spacing w:after="0"/>
              <w:rPr>
                <w:sz w:val="11"/>
                <w:szCs w:val="11"/>
                <w:color w:val="auto"/>
              </w:rPr>
            </w:pPr>
          </w:p>
        </w:tc>
        <w:tc>
          <w:tcPr>
            <w:tcW w:w="180" w:type="dxa"/>
            <w:vAlign w:val="bottom"/>
            <w:tcBorders>
              <w:top w:val="single" w:sz="8" w:color="CCEEFF"/>
              <w:bottom w:val="single" w:sz="8" w:color="CCEEFF"/>
            </w:tcBorders>
            <w:shd w:val="clear" w:color="auto" w:fill="CCEEFF"/>
          </w:tcPr>
          <w:p>
            <w:pPr>
              <w:spacing w:after="0"/>
              <w:rPr>
                <w:sz w:val="11"/>
                <w:szCs w:val="11"/>
                <w:color w:val="auto"/>
              </w:rPr>
            </w:pPr>
          </w:p>
        </w:tc>
        <w:tc>
          <w:tcPr>
            <w:tcW w:w="380" w:type="dxa"/>
            <w:vAlign w:val="bottom"/>
            <w:tcBorders>
              <w:top w:val="single" w:sz="8" w:color="auto"/>
              <w:bottom w:val="single" w:sz="8" w:color="CCEEFF"/>
            </w:tcBorders>
            <w:shd w:val="clear" w:color="auto" w:fill="CCEEFF"/>
          </w:tcPr>
          <w:p>
            <w:pPr>
              <w:jc w:val="right"/>
              <w:ind w:right="72"/>
              <w:spacing w:after="0" w:line="113" w:lineRule="exact"/>
              <w:rPr>
                <w:sz w:val="20"/>
                <w:szCs w:val="20"/>
                <w:color w:val="auto"/>
              </w:rPr>
            </w:pPr>
            <w:r>
              <w:rPr>
                <w:rFonts w:ascii="Arial" w:cs="Arial" w:eastAsia="Arial" w:hAnsi="Arial"/>
                <w:sz w:val="10"/>
                <w:szCs w:val="10"/>
                <w:b w:val="1"/>
                <w:bCs w:val="1"/>
                <w:color w:val="auto"/>
              </w:rPr>
              <w:t>$</w:t>
            </w:r>
          </w:p>
        </w:tc>
        <w:tc>
          <w:tcPr>
            <w:tcW w:w="800" w:type="dxa"/>
            <w:vAlign w:val="bottom"/>
            <w:tcBorders>
              <w:top w:val="single" w:sz="8" w:color="auto"/>
              <w:bottom w:val="single" w:sz="8" w:color="CCEEFF"/>
            </w:tcBorders>
            <w:shd w:val="clear" w:color="auto" w:fill="CCEEFF"/>
          </w:tcPr>
          <w:p>
            <w:pPr>
              <w:jc w:val="right"/>
              <w:spacing w:after="0" w:line="113" w:lineRule="exact"/>
              <w:rPr>
                <w:sz w:val="20"/>
                <w:szCs w:val="20"/>
                <w:color w:val="auto"/>
              </w:rPr>
            </w:pPr>
            <w:r>
              <w:rPr>
                <w:rFonts w:ascii="Arial" w:cs="Arial" w:eastAsia="Arial" w:hAnsi="Arial"/>
                <w:sz w:val="10"/>
                <w:szCs w:val="10"/>
                <w:b w:val="1"/>
                <w:bCs w:val="1"/>
                <w:color w:val="auto"/>
              </w:rPr>
              <w:t>(5,107)</w:t>
            </w:r>
          </w:p>
        </w:tc>
        <w:tc>
          <w:tcPr>
            <w:tcW w:w="180" w:type="dxa"/>
            <w:vAlign w:val="bottom"/>
            <w:tcBorders>
              <w:top w:val="single" w:sz="8" w:color="CCEEFF"/>
              <w:bottom w:val="single" w:sz="8" w:color="CCEEFF"/>
            </w:tcBorders>
            <w:shd w:val="clear" w:color="auto" w:fill="CCEEFF"/>
          </w:tcPr>
          <w:p>
            <w:pPr>
              <w:spacing w:after="0"/>
              <w:rPr>
                <w:sz w:val="11"/>
                <w:szCs w:val="11"/>
                <w:color w:val="auto"/>
              </w:rPr>
            </w:pPr>
          </w:p>
        </w:tc>
        <w:tc>
          <w:tcPr>
            <w:tcW w:w="780" w:type="dxa"/>
            <w:vAlign w:val="bottom"/>
            <w:tcBorders>
              <w:top w:val="single" w:sz="8" w:color="CCEEFF"/>
              <w:bottom w:val="single" w:sz="8" w:color="CCEEFF"/>
            </w:tcBorders>
            <w:shd w:val="clear" w:color="auto" w:fill="CCEEFF"/>
          </w:tcPr>
          <w:p>
            <w:pPr>
              <w:jc w:val="right"/>
              <w:ind w:right="152"/>
              <w:spacing w:after="0" w:line="102" w:lineRule="exact"/>
              <w:rPr>
                <w:sz w:val="20"/>
                <w:szCs w:val="20"/>
                <w:color w:val="auto"/>
              </w:rPr>
            </w:pPr>
            <w:r>
              <w:rPr>
                <w:rFonts w:ascii="Arial" w:cs="Arial" w:eastAsia="Arial" w:hAnsi="Arial"/>
                <w:sz w:val="10"/>
                <w:szCs w:val="10"/>
                <w:i w:val="1"/>
                <w:iCs w:val="1"/>
                <w:color w:val="auto"/>
              </w:rPr>
              <w:t>(6)%</w:t>
            </w:r>
          </w:p>
        </w:tc>
        <w:tc>
          <w:tcPr>
            <w:tcW w:w="180" w:type="dxa"/>
            <w:vAlign w:val="bottom"/>
            <w:tcBorders>
              <w:top w:val="single" w:sz="8" w:color="CCEEFF"/>
              <w:bottom w:val="single" w:sz="8" w:color="CCEEFF"/>
            </w:tcBorders>
            <w:shd w:val="clear" w:color="auto" w:fill="CCEEFF"/>
          </w:tcPr>
          <w:p>
            <w:pPr>
              <w:spacing w:after="0"/>
              <w:rPr>
                <w:sz w:val="11"/>
                <w:szCs w:val="11"/>
                <w:color w:val="auto"/>
              </w:rPr>
            </w:pPr>
          </w:p>
        </w:tc>
        <w:tc>
          <w:tcPr>
            <w:tcW w:w="360" w:type="dxa"/>
            <w:vAlign w:val="bottom"/>
            <w:tcBorders>
              <w:top w:val="single" w:sz="8" w:color="auto"/>
              <w:bottom w:val="single" w:sz="8" w:color="CCEEFF"/>
            </w:tcBorders>
            <w:shd w:val="clear" w:color="auto" w:fill="CCEEFF"/>
          </w:tcPr>
          <w:p>
            <w:pPr>
              <w:jc w:val="right"/>
              <w:ind w:right="72"/>
              <w:spacing w:after="0" w:line="113" w:lineRule="exact"/>
              <w:rPr>
                <w:sz w:val="20"/>
                <w:szCs w:val="20"/>
                <w:color w:val="auto"/>
              </w:rPr>
            </w:pPr>
            <w:r>
              <w:rPr>
                <w:rFonts w:ascii="Arial" w:cs="Arial" w:eastAsia="Arial" w:hAnsi="Arial"/>
                <w:sz w:val="10"/>
                <w:szCs w:val="10"/>
                <w:b w:val="1"/>
                <w:bCs w:val="1"/>
                <w:color w:val="auto"/>
              </w:rPr>
              <w:t>$</w:t>
            </w:r>
          </w:p>
        </w:tc>
        <w:tc>
          <w:tcPr>
            <w:tcW w:w="800" w:type="dxa"/>
            <w:vAlign w:val="bottom"/>
            <w:tcBorders>
              <w:top w:val="single" w:sz="8" w:color="auto"/>
              <w:bottom w:val="single" w:sz="8" w:color="CCEEFF"/>
            </w:tcBorders>
            <w:shd w:val="clear" w:color="auto" w:fill="CCEEFF"/>
          </w:tcPr>
          <w:p>
            <w:pPr>
              <w:jc w:val="right"/>
              <w:spacing w:after="0" w:line="113" w:lineRule="exact"/>
              <w:rPr>
                <w:sz w:val="20"/>
                <w:szCs w:val="20"/>
                <w:color w:val="auto"/>
              </w:rPr>
            </w:pPr>
            <w:r>
              <w:rPr>
                <w:rFonts w:ascii="Arial" w:cs="Arial" w:eastAsia="Arial" w:hAnsi="Arial"/>
                <w:sz w:val="10"/>
                <w:szCs w:val="10"/>
                <w:b w:val="1"/>
                <w:bCs w:val="1"/>
                <w:color w:val="auto"/>
              </w:rPr>
              <w:t>(5,723)</w:t>
            </w: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780" w:type="dxa"/>
            <w:vAlign w:val="bottom"/>
            <w:tcBorders>
              <w:top w:val="single" w:sz="8" w:color="CCEEFF"/>
              <w:bottom w:val="single" w:sz="8" w:color="CCEEFF"/>
            </w:tcBorders>
            <w:shd w:val="clear" w:color="auto" w:fill="CCEEFF"/>
          </w:tcPr>
          <w:p>
            <w:pPr>
              <w:jc w:val="right"/>
              <w:ind w:right="152"/>
              <w:spacing w:after="0" w:line="102" w:lineRule="exact"/>
              <w:rPr>
                <w:sz w:val="20"/>
                <w:szCs w:val="20"/>
                <w:color w:val="auto"/>
              </w:rPr>
            </w:pPr>
            <w:r>
              <w:rPr>
                <w:rFonts w:ascii="Arial" w:cs="Arial" w:eastAsia="Arial" w:hAnsi="Arial"/>
                <w:sz w:val="10"/>
                <w:szCs w:val="10"/>
                <w:i w:val="1"/>
                <w:iCs w:val="1"/>
                <w:color w:val="auto"/>
              </w:rPr>
              <w:t>(6)%</w:t>
            </w:r>
          </w:p>
        </w:tc>
        <w:tc>
          <w:tcPr>
            <w:tcW w:w="180" w:type="dxa"/>
            <w:vAlign w:val="bottom"/>
            <w:tcBorders>
              <w:top w:val="single" w:sz="8" w:color="CCEEFF"/>
              <w:bottom w:val="single" w:sz="8" w:color="CCEEFF"/>
            </w:tcBorders>
            <w:shd w:val="clear" w:color="auto" w:fill="CCEEFF"/>
          </w:tcPr>
          <w:p>
            <w:pPr>
              <w:spacing w:after="0"/>
              <w:rPr>
                <w:sz w:val="11"/>
                <w:szCs w:val="11"/>
                <w:color w:val="auto"/>
              </w:rPr>
            </w:pPr>
          </w:p>
        </w:tc>
        <w:tc>
          <w:tcPr>
            <w:tcW w:w="700" w:type="dxa"/>
            <w:vAlign w:val="bottom"/>
            <w:tcBorders>
              <w:top w:val="single" w:sz="8" w:color="CCEEFF"/>
              <w:bottom w:val="single" w:sz="8" w:color="CCEEFF"/>
            </w:tcBorders>
            <w:shd w:val="clear" w:color="auto" w:fill="CCEEFF"/>
          </w:tcPr>
          <w:p>
            <w:pPr>
              <w:jc w:val="right"/>
              <w:spacing w:after="0" w:line="102" w:lineRule="exact"/>
              <w:rPr>
                <w:sz w:val="20"/>
                <w:szCs w:val="20"/>
                <w:color w:val="auto"/>
              </w:rPr>
            </w:pPr>
            <w:r>
              <w:rPr>
                <w:rFonts w:ascii="Arial" w:cs="Arial" w:eastAsia="Arial" w:hAnsi="Arial"/>
                <w:sz w:val="10"/>
                <w:szCs w:val="10"/>
                <w:color w:val="auto"/>
              </w:rPr>
              <w:t>11</w:t>
            </w:r>
          </w:p>
        </w:tc>
        <w:tc>
          <w:tcPr>
            <w:tcW w:w="380" w:type="dxa"/>
            <w:vAlign w:val="bottom"/>
            <w:tcBorders>
              <w:top w:val="single" w:sz="8" w:color="CCEEFF"/>
              <w:bottom w:val="single" w:sz="8" w:color="CCEEFF"/>
            </w:tcBorders>
            <w:shd w:val="clear" w:color="auto" w:fill="CCEEFF"/>
          </w:tcPr>
          <w:p>
            <w:pPr>
              <w:jc w:val="right"/>
              <w:ind w:right="232"/>
              <w:spacing w:after="0" w:line="102" w:lineRule="exact"/>
              <w:rPr>
                <w:sz w:val="20"/>
                <w:szCs w:val="20"/>
                <w:color w:val="auto"/>
              </w:rPr>
            </w:pPr>
            <w:r>
              <w:rPr>
                <w:rFonts w:ascii="Arial" w:cs="Arial" w:eastAsia="Arial" w:hAnsi="Arial"/>
                <w:sz w:val="10"/>
                <w:szCs w:val="10"/>
                <w:color w:val="auto"/>
                <w:w w:val="89"/>
              </w:rPr>
              <w:t>%</w:t>
            </w:r>
          </w:p>
        </w:tc>
        <w:tc>
          <w:tcPr>
            <w:tcW w:w="0" w:type="dxa"/>
            <w:vAlign w:val="bottom"/>
          </w:tcPr>
          <w:p>
            <w:pPr>
              <w:spacing w:after="0"/>
              <w:rPr>
                <w:sz w:val="1"/>
                <w:szCs w:val="1"/>
                <w:color w:val="auto"/>
              </w:rPr>
            </w:pPr>
          </w:p>
        </w:tc>
      </w:tr>
      <w:tr>
        <w:trPr>
          <w:trHeight w:val="171"/>
        </w:trPr>
        <w:tc>
          <w:tcPr>
            <w:tcW w:w="1660" w:type="dxa"/>
            <w:vAlign w:val="bottom"/>
          </w:tcPr>
          <w:p>
            <w:pPr>
              <w:ind w:left="800"/>
              <w:spacing w:after="0"/>
              <w:rPr>
                <w:sz w:val="20"/>
                <w:szCs w:val="20"/>
                <w:color w:val="auto"/>
              </w:rPr>
            </w:pPr>
            <w:r>
              <w:rPr>
                <w:rFonts w:ascii="Arial" w:cs="Arial" w:eastAsia="Arial" w:hAnsi="Arial"/>
                <w:sz w:val="10"/>
                <w:szCs w:val="10"/>
                <w:b w:val="1"/>
                <w:bCs w:val="1"/>
                <w:color w:val="auto"/>
              </w:rPr>
              <w:t>New Zealand</w:t>
            </w:r>
          </w:p>
        </w:tc>
        <w:tc>
          <w:tcPr>
            <w:tcW w:w="3280" w:type="dxa"/>
            <w:vAlign w:val="bottom"/>
            <w:gridSpan w:val="2"/>
          </w:tcPr>
          <w:p>
            <w:pPr>
              <w:ind w:left="320"/>
              <w:spacing w:after="0"/>
              <w:rPr>
                <w:sz w:val="20"/>
                <w:szCs w:val="20"/>
                <w:color w:val="auto"/>
              </w:rPr>
            </w:pPr>
            <w:r>
              <w:rPr>
                <w:rFonts w:ascii="Arial" w:cs="Arial" w:eastAsia="Arial" w:hAnsi="Arial"/>
                <w:sz w:val="10"/>
                <w:szCs w:val="10"/>
                <w:color w:val="auto"/>
              </w:rPr>
              <w:t>Depreciation and amortization</w:t>
            </w:r>
          </w:p>
        </w:tc>
        <w:tc>
          <w:tcPr>
            <w:tcW w:w="380" w:type="dxa"/>
            <w:vAlign w:val="bottom"/>
          </w:tcPr>
          <w:p>
            <w:pPr>
              <w:spacing w:after="0"/>
              <w:rPr>
                <w:sz w:val="14"/>
                <w:szCs w:val="14"/>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0"/>
                <w:szCs w:val="10"/>
                <w:color w:val="auto"/>
              </w:rPr>
              <w:t>(1,304)</w:t>
            </w:r>
          </w:p>
        </w:tc>
        <w:tc>
          <w:tcPr>
            <w:tcW w:w="780" w:type="dxa"/>
            <w:vAlign w:val="bottom"/>
          </w:tcPr>
          <w:p>
            <w:pPr>
              <w:jc w:val="right"/>
              <w:ind w:right="152"/>
              <w:spacing w:after="0"/>
              <w:rPr>
                <w:sz w:val="20"/>
                <w:szCs w:val="20"/>
                <w:color w:val="auto"/>
              </w:rPr>
            </w:pPr>
            <w:r>
              <w:rPr>
                <w:rFonts w:ascii="Arial" w:cs="Arial" w:eastAsia="Arial" w:hAnsi="Arial"/>
                <w:sz w:val="10"/>
                <w:szCs w:val="10"/>
                <w:i w:val="1"/>
                <w:iCs w:val="1"/>
                <w:color w:val="auto"/>
              </w:rPr>
              <w:t>(6)%</w:t>
            </w: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0"/>
                <w:szCs w:val="10"/>
                <w:color w:val="auto"/>
              </w:rPr>
              <w:t>(1,260)</w:t>
            </w:r>
          </w:p>
        </w:tc>
        <w:tc>
          <w:tcPr>
            <w:tcW w:w="780" w:type="dxa"/>
            <w:vAlign w:val="bottom"/>
          </w:tcPr>
          <w:p>
            <w:pPr>
              <w:jc w:val="right"/>
              <w:ind w:right="152"/>
              <w:spacing w:after="0"/>
              <w:rPr>
                <w:sz w:val="20"/>
                <w:szCs w:val="20"/>
                <w:color w:val="auto"/>
              </w:rPr>
            </w:pPr>
            <w:r>
              <w:rPr>
                <w:rFonts w:ascii="Arial" w:cs="Arial" w:eastAsia="Arial" w:hAnsi="Arial"/>
                <w:sz w:val="10"/>
                <w:szCs w:val="10"/>
                <w:i w:val="1"/>
                <w:iCs w:val="1"/>
                <w:color w:val="auto"/>
              </w:rPr>
              <w:t>(5)%</w:t>
            </w:r>
          </w:p>
        </w:tc>
        <w:tc>
          <w:tcPr>
            <w:tcW w:w="180" w:type="dxa"/>
            <w:vAlign w:val="bottom"/>
          </w:tcPr>
          <w:p>
            <w:pPr>
              <w:spacing w:after="0"/>
              <w:rPr>
                <w:sz w:val="14"/>
                <w:szCs w:val="14"/>
                <w:color w:val="auto"/>
              </w:rPr>
            </w:pPr>
          </w:p>
        </w:tc>
        <w:tc>
          <w:tcPr>
            <w:tcW w:w="1080" w:type="dxa"/>
            <w:vAlign w:val="bottom"/>
            <w:gridSpan w:val="2"/>
          </w:tcPr>
          <w:p>
            <w:pPr>
              <w:jc w:val="right"/>
              <w:ind w:right="232"/>
              <w:spacing w:after="0"/>
              <w:rPr>
                <w:sz w:val="20"/>
                <w:szCs w:val="20"/>
                <w:color w:val="auto"/>
              </w:rPr>
            </w:pPr>
            <w:r>
              <w:rPr>
                <w:rFonts w:ascii="Arial" w:cs="Arial" w:eastAsia="Arial" w:hAnsi="Arial"/>
                <w:sz w:val="10"/>
                <w:szCs w:val="10"/>
                <w:color w:val="auto"/>
              </w:rPr>
              <w:t>(3) %</w:t>
            </w:r>
          </w:p>
        </w:tc>
        <w:tc>
          <w:tcPr>
            <w:tcW w:w="0" w:type="dxa"/>
            <w:vAlign w:val="bottom"/>
          </w:tcPr>
          <w:p>
            <w:pPr>
              <w:spacing w:after="0"/>
              <w:rPr>
                <w:sz w:val="1"/>
                <w:szCs w:val="1"/>
                <w:color w:val="auto"/>
              </w:rPr>
            </w:pPr>
          </w:p>
        </w:tc>
      </w:tr>
      <w:tr>
        <w:trPr>
          <w:trHeight w:val="171"/>
        </w:trPr>
        <w:tc>
          <w:tcPr>
            <w:tcW w:w="1660" w:type="dxa"/>
            <w:vAlign w:val="bottom"/>
            <w:shd w:val="clear" w:color="auto" w:fill="CCEEFF"/>
          </w:tcPr>
          <w:p>
            <w:pPr>
              <w:spacing w:after="0"/>
              <w:rPr>
                <w:sz w:val="14"/>
                <w:szCs w:val="14"/>
                <w:color w:val="auto"/>
              </w:rPr>
            </w:pPr>
          </w:p>
        </w:tc>
        <w:tc>
          <w:tcPr>
            <w:tcW w:w="3280" w:type="dxa"/>
            <w:vAlign w:val="bottom"/>
            <w:gridSpan w:val="2"/>
            <w:shd w:val="clear" w:color="auto" w:fill="CCEEFF"/>
          </w:tcPr>
          <w:p>
            <w:pPr>
              <w:ind w:left="320"/>
              <w:spacing w:after="0"/>
              <w:rPr>
                <w:sz w:val="20"/>
                <w:szCs w:val="20"/>
                <w:color w:val="auto"/>
              </w:rPr>
            </w:pPr>
            <w:r>
              <w:rPr>
                <w:rFonts w:ascii="Arial" w:cs="Arial" w:eastAsia="Arial" w:hAnsi="Arial"/>
                <w:sz w:val="10"/>
                <w:szCs w:val="10"/>
                <w:color w:val="auto"/>
              </w:rPr>
              <w:t>General and administrative expense</w:t>
            </w:r>
          </w:p>
        </w:tc>
        <w:tc>
          <w:tcPr>
            <w:tcW w:w="38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6</w:t>
            </w: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152"/>
              <w:spacing w:after="0"/>
              <w:rPr>
                <w:sz w:val="20"/>
                <w:szCs w:val="20"/>
                <w:color w:val="auto"/>
              </w:rPr>
            </w:pPr>
            <w:r>
              <w:rPr>
                <w:rFonts w:ascii="Arial" w:cs="Arial" w:eastAsia="Arial" w:hAnsi="Arial"/>
                <w:sz w:val="10"/>
                <w:szCs w:val="10"/>
                <w:i w:val="1"/>
                <w:iCs w:val="1"/>
                <w:color w:val="auto"/>
              </w:rPr>
              <w:t>0 %</w:t>
            </w:r>
          </w:p>
        </w:tc>
        <w:tc>
          <w:tcPr>
            <w:tcW w:w="18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(47)</w:t>
            </w: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152"/>
              <w:spacing w:after="0"/>
              <w:rPr>
                <w:sz w:val="20"/>
                <w:szCs w:val="20"/>
                <w:color w:val="auto"/>
              </w:rPr>
            </w:pPr>
            <w:r>
              <w:rPr>
                <w:rFonts w:ascii="Arial" w:cs="Arial" w:eastAsia="Arial" w:hAnsi="Arial"/>
                <w:sz w:val="10"/>
                <w:szCs w:val="10"/>
                <w:i w:val="1"/>
                <w:iCs w:val="1"/>
                <w:color w:val="auto"/>
              </w:rPr>
              <w:t>(0)%</w:t>
            </w: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113</w:t>
            </w:r>
          </w:p>
        </w:tc>
        <w:tc>
          <w:tcPr>
            <w:tcW w:w="380" w:type="dxa"/>
            <w:vAlign w:val="bottom"/>
            <w:shd w:val="clear" w:color="auto" w:fill="CCEEFF"/>
          </w:tcPr>
          <w:p>
            <w:pPr>
              <w:jc w:val="right"/>
              <w:ind w:right="232"/>
              <w:spacing w:after="0"/>
              <w:rPr>
                <w:sz w:val="20"/>
                <w:szCs w:val="20"/>
                <w:color w:val="auto"/>
              </w:rPr>
            </w:pPr>
            <w:r>
              <w:rPr>
                <w:rFonts w:ascii="Arial" w:cs="Arial" w:eastAsia="Arial" w:hAnsi="Arial"/>
                <w:sz w:val="10"/>
                <w:szCs w:val="10"/>
                <w:color w:val="auto"/>
                <w:w w:val="89"/>
              </w:rPr>
              <w:t>%</w:t>
            </w:r>
          </w:p>
        </w:tc>
        <w:tc>
          <w:tcPr>
            <w:tcW w:w="0" w:type="dxa"/>
            <w:vAlign w:val="bottom"/>
          </w:tcPr>
          <w:p>
            <w:pPr>
              <w:spacing w:after="0"/>
              <w:rPr>
                <w:sz w:val="1"/>
                <w:szCs w:val="1"/>
                <w:color w:val="auto"/>
              </w:rPr>
            </w:pPr>
          </w:p>
        </w:tc>
      </w:tr>
    </w:tbl>
    <w:p>
      <w:pPr>
        <w:spacing w:after="0" w:line="13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59690</wp:posOffset>
            </wp:positionV>
            <wp:extent cx="677989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779895" cy="42545"/>
                    </a:xfrm>
                    <a:prstGeom prst="rect">
                      <a:avLst/>
                    </a:prstGeom>
                    <a:noFill/>
                  </pic:spPr>
                </pic:pic>
              </a:graphicData>
            </a:graphic>
          </wp:anchor>
        </w:drawing>
      </w:r>
    </w:p>
    <w:p>
      <w:pPr>
        <w:sectPr>
          <w:pgSz w:w="11900" w:h="16838" w:orient="portrait"/>
          <w:cols w:equalWidth="0" w:num="1">
            <w:col w:w="10620"/>
          </w:cols>
          <w:pgMar w:left="640" w:top="127" w:right="63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141"/>
        </w:trPr>
        <w:tc>
          <w:tcPr>
            <w:tcW w:w="4940" w:type="dxa"/>
            <w:vAlign w:val="bottom"/>
          </w:tcPr>
          <w:p>
            <w:pPr>
              <w:spacing w:after="0"/>
              <w:rPr>
                <w:sz w:val="12"/>
                <w:szCs w:val="12"/>
                <w:color w:val="auto"/>
              </w:rPr>
            </w:pPr>
          </w:p>
        </w:tc>
        <w:tc>
          <w:tcPr>
            <w:tcW w:w="540" w:type="dxa"/>
            <w:vAlign w:val="bottom"/>
            <w:tcBorders>
              <w:top w:val="single" w:sz="8" w:color="auto"/>
            </w:tcBorders>
          </w:tcPr>
          <w:p>
            <w:pPr>
              <w:jc w:val="right"/>
              <w:ind w:right="232"/>
              <w:spacing w:after="0"/>
              <w:rPr>
                <w:sz w:val="20"/>
                <w:szCs w:val="20"/>
                <w:color w:val="auto"/>
              </w:rPr>
            </w:pPr>
            <w:r>
              <w:rPr>
                <w:rFonts w:ascii="Arial" w:cs="Arial" w:eastAsia="Arial" w:hAnsi="Arial"/>
                <w:sz w:val="10"/>
                <w:szCs w:val="10"/>
                <w:b w:val="1"/>
                <w:bCs w:val="1"/>
                <w:color w:val="auto"/>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0"/>
                <w:szCs w:val="10"/>
                <w:b w:val="1"/>
                <w:bCs w:val="1"/>
                <w:color w:val="auto"/>
              </w:rPr>
              <w:t>(1,298)</w:t>
            </w:r>
          </w:p>
        </w:tc>
        <w:tc>
          <w:tcPr>
            <w:tcW w:w="1140" w:type="dxa"/>
            <w:vAlign w:val="bottom"/>
          </w:tcPr>
          <w:p>
            <w:pPr>
              <w:jc w:val="right"/>
              <w:ind w:right="332"/>
              <w:spacing w:after="0"/>
              <w:rPr>
                <w:sz w:val="20"/>
                <w:szCs w:val="20"/>
                <w:color w:val="auto"/>
              </w:rPr>
            </w:pPr>
            <w:r>
              <w:rPr>
                <w:rFonts w:ascii="Arial" w:cs="Arial" w:eastAsia="Arial" w:hAnsi="Arial"/>
                <w:sz w:val="10"/>
                <w:szCs w:val="10"/>
                <w:i w:val="1"/>
                <w:iCs w:val="1"/>
                <w:color w:val="auto"/>
              </w:rPr>
              <w:t>(6)%</w:t>
            </w:r>
          </w:p>
        </w:tc>
        <w:tc>
          <w:tcPr>
            <w:tcW w:w="500" w:type="dxa"/>
            <w:vAlign w:val="bottom"/>
            <w:tcBorders>
              <w:top w:val="single" w:sz="8" w:color="auto"/>
            </w:tcBorders>
          </w:tcPr>
          <w:p>
            <w:pPr>
              <w:jc w:val="right"/>
              <w:ind w:right="212"/>
              <w:spacing w:after="0"/>
              <w:rPr>
                <w:sz w:val="20"/>
                <w:szCs w:val="20"/>
                <w:color w:val="auto"/>
              </w:rPr>
            </w:pPr>
            <w:r>
              <w:rPr>
                <w:rFonts w:ascii="Arial" w:cs="Arial" w:eastAsia="Arial" w:hAnsi="Arial"/>
                <w:sz w:val="10"/>
                <w:szCs w:val="10"/>
                <w:b w:val="1"/>
                <w:bCs w:val="1"/>
                <w:color w:val="auto"/>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0"/>
                <w:szCs w:val="10"/>
                <w:b w:val="1"/>
                <w:bCs w:val="1"/>
                <w:color w:val="auto"/>
              </w:rPr>
              <w:t>(1,307)</w:t>
            </w:r>
          </w:p>
        </w:tc>
        <w:tc>
          <w:tcPr>
            <w:tcW w:w="1220" w:type="dxa"/>
            <w:vAlign w:val="bottom"/>
          </w:tcPr>
          <w:p>
            <w:pPr>
              <w:jc w:val="right"/>
              <w:ind w:right="432"/>
              <w:spacing w:after="0"/>
              <w:rPr>
                <w:sz w:val="20"/>
                <w:szCs w:val="20"/>
                <w:color w:val="auto"/>
              </w:rPr>
            </w:pPr>
            <w:r>
              <w:rPr>
                <w:rFonts w:ascii="Arial" w:cs="Arial" w:eastAsia="Arial" w:hAnsi="Arial"/>
                <w:sz w:val="10"/>
                <w:szCs w:val="10"/>
                <w:i w:val="1"/>
                <w:iCs w:val="1"/>
                <w:color w:val="auto"/>
              </w:rPr>
              <w:t>(6)%</w:t>
            </w:r>
          </w:p>
        </w:tc>
        <w:tc>
          <w:tcPr>
            <w:tcW w:w="600" w:type="dxa"/>
            <w:vAlign w:val="bottom"/>
          </w:tcPr>
          <w:p>
            <w:pPr>
              <w:jc w:val="right"/>
              <w:spacing w:after="0"/>
              <w:rPr>
                <w:sz w:val="20"/>
                <w:szCs w:val="20"/>
                <w:color w:val="auto"/>
              </w:rPr>
            </w:pPr>
            <w:r>
              <w:rPr>
                <w:rFonts w:ascii="Arial" w:cs="Arial" w:eastAsia="Arial" w:hAnsi="Arial"/>
                <w:sz w:val="10"/>
                <w:szCs w:val="10"/>
                <w:color w:val="auto"/>
              </w:rPr>
              <w:t>1</w:t>
            </w:r>
          </w:p>
        </w:tc>
        <w:tc>
          <w:tcPr>
            <w:tcW w:w="380" w:type="dxa"/>
            <w:vAlign w:val="bottom"/>
          </w:tcPr>
          <w:p>
            <w:pPr>
              <w:jc w:val="right"/>
              <w:ind w:right="232"/>
              <w:spacing w:after="0"/>
              <w:rPr>
                <w:sz w:val="20"/>
                <w:szCs w:val="20"/>
                <w:color w:val="auto"/>
              </w:rPr>
            </w:pPr>
            <w:r>
              <w:rPr>
                <w:rFonts w:ascii="Arial" w:cs="Arial" w:eastAsia="Arial" w:hAnsi="Arial"/>
                <w:sz w:val="10"/>
                <w:szCs w:val="10"/>
                <w:color w:val="auto"/>
                <w:w w:val="89"/>
              </w:rPr>
              <w:t>%</w:t>
            </w:r>
          </w:p>
        </w:tc>
      </w:tr>
      <w:tr>
        <w:trPr>
          <w:trHeight w:val="75"/>
        </w:trPr>
        <w:tc>
          <w:tcPr>
            <w:tcW w:w="4940" w:type="dxa"/>
            <w:vAlign w:val="bottom"/>
            <w:tcBorders>
              <w:bottom w:val="single" w:sz="8" w:color="CCEEFF"/>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1140" w:type="dxa"/>
            <w:vAlign w:val="bottom"/>
            <w:tcBorders>
              <w:bottom w:val="single" w:sz="8" w:color="CCEEFF"/>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1220" w:type="dxa"/>
            <w:vAlign w:val="bottom"/>
            <w:tcBorders>
              <w:bottom w:val="single" w:sz="8" w:color="CCEEFF"/>
            </w:tcBorders>
          </w:tcPr>
          <w:p>
            <w:pPr>
              <w:spacing w:after="0"/>
              <w:rPr>
                <w:sz w:val="6"/>
                <w:szCs w:val="6"/>
                <w:color w:val="auto"/>
              </w:rPr>
            </w:pPr>
          </w:p>
        </w:tc>
        <w:tc>
          <w:tcPr>
            <w:tcW w:w="600" w:type="dxa"/>
            <w:vAlign w:val="bottom"/>
            <w:tcBorders>
              <w:bottom w:val="single" w:sz="8" w:color="CCEEFF"/>
            </w:tcBorders>
          </w:tcPr>
          <w:p>
            <w:pPr>
              <w:spacing w:after="0"/>
              <w:rPr>
                <w:sz w:val="6"/>
                <w:szCs w:val="6"/>
                <w:color w:val="auto"/>
              </w:rPr>
            </w:pPr>
          </w:p>
        </w:tc>
        <w:tc>
          <w:tcPr>
            <w:tcW w:w="380" w:type="dxa"/>
            <w:vAlign w:val="bottom"/>
            <w:tcBorders>
              <w:bottom w:val="single" w:sz="8" w:color="CCEEFF"/>
            </w:tcBorders>
          </w:tcPr>
          <w:p>
            <w:pPr>
              <w:spacing w:after="0"/>
              <w:rPr>
                <w:sz w:val="6"/>
                <w:szCs w:val="6"/>
                <w:color w:val="auto"/>
              </w:rPr>
            </w:pPr>
          </w:p>
        </w:tc>
      </w:tr>
      <w:tr>
        <w:trPr>
          <w:trHeight w:val="250"/>
        </w:trPr>
        <w:tc>
          <w:tcPr>
            <w:tcW w:w="494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0"/>
                <w:szCs w:val="10"/>
                <w:b w:val="1"/>
                <w:bCs w:val="1"/>
                <w:color w:val="auto"/>
              </w:rPr>
              <w:t>Total depreciation, amortization, and general and administrative expense</w:t>
            </w:r>
          </w:p>
        </w:tc>
        <w:tc>
          <w:tcPr>
            <w:tcW w:w="54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0"/>
                <w:szCs w:val="10"/>
                <w:b w:val="1"/>
                <w:bCs w:val="1"/>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(14,161)</w:t>
            </w:r>
          </w:p>
        </w:tc>
        <w:tc>
          <w:tcPr>
            <w:tcW w:w="1140" w:type="dxa"/>
            <w:vAlign w:val="bottom"/>
            <w:tcBorders>
              <w:bottom w:val="single" w:sz="8" w:color="CCEEFF"/>
            </w:tcBorders>
            <w:shd w:val="clear" w:color="auto" w:fill="CCEEFF"/>
          </w:tcPr>
          <w:p>
            <w:pPr>
              <w:jc w:val="right"/>
              <w:ind w:right="332"/>
              <w:spacing w:after="0"/>
              <w:rPr>
                <w:sz w:val="20"/>
                <w:szCs w:val="20"/>
                <w:color w:val="auto"/>
              </w:rPr>
            </w:pPr>
            <w:r>
              <w:rPr>
                <w:rFonts w:ascii="Arial" w:cs="Arial" w:eastAsia="Arial" w:hAnsi="Arial"/>
                <w:sz w:val="10"/>
                <w:szCs w:val="10"/>
                <w:i w:val="1"/>
                <w:iCs w:val="1"/>
                <w:color w:val="auto"/>
              </w:rPr>
              <w:t>(6)%</w:t>
            </w:r>
          </w:p>
        </w:tc>
        <w:tc>
          <w:tcPr>
            <w:tcW w:w="50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0"/>
                <w:szCs w:val="10"/>
                <w:b w:val="1"/>
                <w:bCs w:val="1"/>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(14,622)</w:t>
            </w:r>
          </w:p>
        </w:tc>
        <w:tc>
          <w:tcPr>
            <w:tcW w:w="1220" w:type="dxa"/>
            <w:vAlign w:val="bottom"/>
            <w:tcBorders>
              <w:bottom w:val="single" w:sz="8" w:color="CCEEFF"/>
            </w:tcBorders>
            <w:shd w:val="clear" w:color="auto" w:fill="CCEEFF"/>
          </w:tcPr>
          <w:p>
            <w:pPr>
              <w:jc w:val="right"/>
              <w:ind w:right="432"/>
              <w:spacing w:after="0"/>
              <w:rPr>
                <w:sz w:val="20"/>
                <w:szCs w:val="20"/>
                <w:color w:val="auto"/>
              </w:rPr>
            </w:pPr>
            <w:r>
              <w:rPr>
                <w:rFonts w:ascii="Arial" w:cs="Arial" w:eastAsia="Arial" w:hAnsi="Arial"/>
                <w:sz w:val="10"/>
                <w:szCs w:val="10"/>
                <w:i w:val="1"/>
                <w:iCs w:val="1"/>
                <w:color w:val="auto"/>
              </w:rPr>
              <w:t>(6)%</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3</w:t>
            </w:r>
          </w:p>
        </w:tc>
        <w:tc>
          <w:tcPr>
            <w:tcW w:w="380" w:type="dxa"/>
            <w:vAlign w:val="bottom"/>
            <w:tcBorders>
              <w:bottom w:val="single" w:sz="8" w:color="CCEEFF"/>
            </w:tcBorders>
            <w:shd w:val="clear" w:color="auto" w:fill="CCEEFF"/>
          </w:tcPr>
          <w:p>
            <w:pPr>
              <w:jc w:val="right"/>
              <w:ind w:right="232"/>
              <w:spacing w:after="0"/>
              <w:rPr>
                <w:sz w:val="20"/>
                <w:szCs w:val="20"/>
                <w:color w:val="auto"/>
              </w:rPr>
            </w:pPr>
            <w:r>
              <w:rPr>
                <w:rFonts w:ascii="Arial" w:cs="Arial" w:eastAsia="Arial" w:hAnsi="Arial"/>
                <w:sz w:val="10"/>
                <w:szCs w:val="10"/>
                <w:color w:val="auto"/>
                <w:w w:val="89"/>
              </w:rPr>
              <w:t>%</w:t>
            </w:r>
          </w:p>
        </w:tc>
      </w:tr>
      <w:tr>
        <w:trPr>
          <w:trHeight w:val="214"/>
        </w:trPr>
        <w:tc>
          <w:tcPr>
            <w:tcW w:w="4940" w:type="dxa"/>
            <w:vAlign w:val="bottom"/>
            <w:tcBorders>
              <w:bottom w:val="single" w:sz="8" w:color="CCEEFF"/>
            </w:tcBorders>
          </w:tcPr>
          <w:p>
            <w:pPr>
              <w:ind w:left="400"/>
              <w:spacing w:after="0"/>
              <w:rPr>
                <w:sz w:val="20"/>
                <w:szCs w:val="20"/>
                <w:color w:val="auto"/>
              </w:rPr>
            </w:pPr>
            <w:r>
              <w:rPr>
                <w:rFonts w:ascii="Arial" w:cs="Arial" w:eastAsia="Arial" w:hAnsi="Arial"/>
                <w:sz w:val="10"/>
                <w:szCs w:val="10"/>
                <w:b w:val="1"/>
                <w:bCs w:val="1"/>
                <w:color w:val="auto"/>
              </w:rPr>
              <w:t>Total expenses</w:t>
            </w:r>
          </w:p>
        </w:tc>
        <w:tc>
          <w:tcPr>
            <w:tcW w:w="540" w:type="dxa"/>
            <w:vAlign w:val="bottom"/>
            <w:tcBorders>
              <w:bottom w:val="single" w:sz="8" w:color="auto"/>
            </w:tcBorders>
          </w:tcPr>
          <w:p>
            <w:pPr>
              <w:jc w:val="right"/>
              <w:ind w:right="232"/>
              <w:spacing w:after="0"/>
              <w:rPr>
                <w:sz w:val="20"/>
                <w:szCs w:val="20"/>
                <w:color w:val="auto"/>
              </w:rPr>
            </w:pPr>
            <w:r>
              <w:rPr>
                <w:rFonts w:ascii="Arial" w:cs="Arial" w:eastAsia="Arial" w:hAnsi="Arial"/>
                <w:sz w:val="10"/>
                <w:szCs w:val="10"/>
                <w:b w:val="1"/>
                <w:bCs w:val="1"/>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(210,705)</w:t>
            </w:r>
          </w:p>
        </w:tc>
        <w:tc>
          <w:tcPr>
            <w:tcW w:w="1140" w:type="dxa"/>
            <w:vAlign w:val="bottom"/>
            <w:tcBorders>
              <w:bottom w:val="single" w:sz="8" w:color="CCEEFF"/>
            </w:tcBorders>
          </w:tcPr>
          <w:p>
            <w:pPr>
              <w:jc w:val="right"/>
              <w:ind w:right="332"/>
              <w:spacing w:after="0"/>
              <w:rPr>
                <w:sz w:val="20"/>
                <w:szCs w:val="20"/>
                <w:color w:val="auto"/>
              </w:rPr>
            </w:pPr>
            <w:r>
              <w:rPr>
                <w:rFonts w:ascii="Arial" w:cs="Arial" w:eastAsia="Arial" w:hAnsi="Arial"/>
                <w:sz w:val="10"/>
                <w:szCs w:val="10"/>
                <w:i w:val="1"/>
                <w:iCs w:val="1"/>
                <w:color w:val="auto"/>
              </w:rPr>
              <w:t>(87)%</w:t>
            </w:r>
          </w:p>
        </w:tc>
        <w:tc>
          <w:tcPr>
            <w:tcW w:w="500" w:type="dxa"/>
            <w:vAlign w:val="bottom"/>
            <w:tcBorders>
              <w:bottom w:val="single" w:sz="8" w:color="auto"/>
            </w:tcBorders>
          </w:tcPr>
          <w:p>
            <w:pPr>
              <w:jc w:val="right"/>
              <w:ind w:right="212"/>
              <w:spacing w:after="0"/>
              <w:rPr>
                <w:sz w:val="20"/>
                <w:szCs w:val="20"/>
                <w:color w:val="auto"/>
              </w:rPr>
            </w:pPr>
            <w:r>
              <w:rPr>
                <w:rFonts w:ascii="Arial" w:cs="Arial" w:eastAsia="Arial" w:hAnsi="Arial"/>
                <w:sz w:val="10"/>
                <w:szCs w:val="10"/>
                <w:b w:val="1"/>
                <w:bCs w:val="1"/>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(210,518)</w:t>
            </w:r>
          </w:p>
        </w:tc>
        <w:tc>
          <w:tcPr>
            <w:tcW w:w="1220" w:type="dxa"/>
            <w:vAlign w:val="bottom"/>
            <w:tcBorders>
              <w:bottom w:val="single" w:sz="8" w:color="CCEEFF"/>
            </w:tcBorders>
          </w:tcPr>
          <w:p>
            <w:pPr>
              <w:jc w:val="right"/>
              <w:ind w:right="432"/>
              <w:spacing w:after="0"/>
              <w:rPr>
                <w:sz w:val="20"/>
                <w:szCs w:val="20"/>
                <w:color w:val="auto"/>
              </w:rPr>
            </w:pPr>
            <w:r>
              <w:rPr>
                <w:rFonts w:ascii="Arial" w:cs="Arial" w:eastAsia="Arial" w:hAnsi="Arial"/>
                <w:sz w:val="10"/>
                <w:szCs w:val="10"/>
                <w:i w:val="1"/>
                <w:iCs w:val="1"/>
                <w:color w:val="auto"/>
              </w:rPr>
              <w:t>(89)%</w:t>
            </w:r>
          </w:p>
        </w:tc>
        <w:tc>
          <w:tcPr>
            <w:tcW w:w="980" w:type="dxa"/>
            <w:vAlign w:val="bottom"/>
            <w:tcBorders>
              <w:bottom w:val="single" w:sz="8" w:color="CCEEFF"/>
            </w:tcBorders>
            <w:gridSpan w:val="2"/>
          </w:tcPr>
          <w:p>
            <w:pPr>
              <w:jc w:val="right"/>
              <w:ind w:right="232"/>
              <w:spacing w:after="0"/>
              <w:rPr>
                <w:sz w:val="20"/>
                <w:szCs w:val="20"/>
                <w:color w:val="auto"/>
              </w:rPr>
            </w:pPr>
            <w:r>
              <w:rPr>
                <w:rFonts w:ascii="Arial" w:cs="Arial" w:eastAsia="Arial" w:hAnsi="Arial"/>
                <w:sz w:val="10"/>
                <w:szCs w:val="10"/>
                <w:color w:val="auto"/>
              </w:rPr>
              <w:t>- %</w:t>
            </w:r>
          </w:p>
        </w:tc>
      </w:tr>
      <w:tr>
        <w:trPr>
          <w:trHeight w:val="223"/>
        </w:trPr>
        <w:tc>
          <w:tcPr>
            <w:tcW w:w="4940" w:type="dxa"/>
            <w:vAlign w:val="bottom"/>
            <w:shd w:val="clear" w:color="auto" w:fill="CCEEFF"/>
          </w:tcPr>
          <w:p>
            <w:pPr>
              <w:spacing w:after="0"/>
              <w:rPr>
                <w:sz w:val="20"/>
                <w:szCs w:val="20"/>
                <w:color w:val="auto"/>
              </w:rPr>
            </w:pPr>
            <w:r>
              <w:rPr>
                <w:rFonts w:ascii="Arial" w:cs="Arial" w:eastAsia="Arial" w:hAnsi="Arial"/>
                <w:sz w:val="10"/>
                <w:szCs w:val="10"/>
                <w:b w:val="1"/>
                <w:bCs w:val="1"/>
                <w:color w:val="auto"/>
              </w:rPr>
              <w:t>OPERATING INCOME</w:t>
            </w:r>
          </w:p>
        </w:tc>
        <w:tc>
          <w:tcPr>
            <w:tcW w:w="5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r>
      <w:tr>
        <w:trPr>
          <w:trHeight w:val="171"/>
        </w:trPr>
        <w:tc>
          <w:tcPr>
            <w:tcW w:w="4940" w:type="dxa"/>
            <w:vAlign w:val="bottom"/>
          </w:tcPr>
          <w:p>
            <w:pPr>
              <w:ind w:left="400"/>
              <w:spacing w:after="0"/>
              <w:rPr>
                <w:sz w:val="20"/>
                <w:szCs w:val="20"/>
                <w:color w:val="auto"/>
              </w:rPr>
            </w:pPr>
            <w:r>
              <w:rPr>
                <w:rFonts w:ascii="Arial" w:cs="Arial" w:eastAsia="Arial" w:hAnsi="Arial"/>
                <w:sz w:val="10"/>
                <w:szCs w:val="10"/>
                <w:b w:val="1"/>
                <w:bCs w:val="1"/>
                <w:color w:val="auto"/>
              </w:rPr>
              <w:t>United States</w:t>
            </w:r>
          </w:p>
        </w:tc>
        <w:tc>
          <w:tcPr>
            <w:tcW w:w="540" w:type="dxa"/>
            <w:vAlign w:val="bottom"/>
          </w:tcPr>
          <w:p>
            <w:pPr>
              <w:jc w:val="right"/>
              <w:ind w:right="232"/>
              <w:spacing w:after="0"/>
              <w:rPr>
                <w:sz w:val="20"/>
                <w:szCs w:val="20"/>
                <w:color w:val="auto"/>
              </w:rPr>
            </w:pPr>
            <w:r>
              <w:rPr>
                <w:rFonts w:ascii="Arial" w:cs="Arial" w:eastAsia="Arial" w:hAnsi="Arial"/>
                <w:sz w:val="10"/>
                <w:szCs w:val="10"/>
                <w:color w:val="auto"/>
              </w:rPr>
              <w:t>$</w:t>
            </w:r>
          </w:p>
        </w:tc>
        <w:tc>
          <w:tcPr>
            <w:tcW w:w="640" w:type="dxa"/>
            <w:vAlign w:val="bottom"/>
          </w:tcPr>
          <w:p>
            <w:pPr>
              <w:jc w:val="right"/>
              <w:spacing w:after="0"/>
              <w:rPr>
                <w:sz w:val="20"/>
                <w:szCs w:val="20"/>
                <w:color w:val="auto"/>
              </w:rPr>
            </w:pPr>
            <w:r>
              <w:rPr>
                <w:rFonts w:ascii="Arial" w:cs="Arial" w:eastAsia="Arial" w:hAnsi="Arial"/>
                <w:sz w:val="10"/>
                <w:szCs w:val="10"/>
                <w:color w:val="auto"/>
              </w:rPr>
              <w:t>9,648</w:t>
            </w:r>
          </w:p>
        </w:tc>
        <w:tc>
          <w:tcPr>
            <w:tcW w:w="1140" w:type="dxa"/>
            <w:vAlign w:val="bottom"/>
          </w:tcPr>
          <w:p>
            <w:pPr>
              <w:jc w:val="right"/>
              <w:ind w:right="332"/>
              <w:spacing w:after="0" w:line="171" w:lineRule="exact"/>
              <w:rPr>
                <w:sz w:val="20"/>
                <w:szCs w:val="20"/>
                <w:color w:val="auto"/>
              </w:rPr>
            </w:pPr>
            <w:r>
              <w:rPr>
                <w:rFonts w:ascii="Arial" w:cs="Arial" w:eastAsia="Arial" w:hAnsi="Arial"/>
                <w:sz w:val="19"/>
                <w:szCs w:val="19"/>
                <w:i w:val="1"/>
                <w:iCs w:val="1"/>
                <w:color w:val="auto"/>
                <w:vertAlign w:val="subscript"/>
              </w:rPr>
              <w:t>7</w:t>
            </w:r>
            <w:r>
              <w:rPr>
                <w:rFonts w:ascii="Arial" w:cs="Arial" w:eastAsia="Arial" w:hAnsi="Arial"/>
                <w:sz w:val="10"/>
                <w:szCs w:val="10"/>
                <w:i w:val="1"/>
                <w:iCs w:val="1"/>
                <w:color w:val="auto"/>
              </w:rPr>
              <w:t xml:space="preserve"> %</w:t>
            </w:r>
          </w:p>
        </w:tc>
        <w:tc>
          <w:tcPr>
            <w:tcW w:w="500" w:type="dxa"/>
            <w:vAlign w:val="bottom"/>
          </w:tcPr>
          <w:p>
            <w:pPr>
              <w:jc w:val="right"/>
              <w:ind w:right="212"/>
              <w:spacing w:after="0"/>
              <w:rPr>
                <w:sz w:val="20"/>
                <w:szCs w:val="20"/>
                <w:color w:val="auto"/>
              </w:rPr>
            </w:pPr>
            <w:r>
              <w:rPr>
                <w:rFonts w:ascii="Arial" w:cs="Arial" w:eastAsia="Arial" w:hAnsi="Arial"/>
                <w:sz w:val="10"/>
                <w:szCs w:val="10"/>
                <w:color w:val="auto"/>
              </w:rPr>
              <w:t>$</w:t>
            </w:r>
          </w:p>
        </w:tc>
        <w:tc>
          <w:tcPr>
            <w:tcW w:w="660" w:type="dxa"/>
            <w:vAlign w:val="bottom"/>
          </w:tcPr>
          <w:p>
            <w:pPr>
              <w:jc w:val="right"/>
              <w:spacing w:after="0"/>
              <w:rPr>
                <w:sz w:val="20"/>
                <w:szCs w:val="20"/>
                <w:color w:val="auto"/>
              </w:rPr>
            </w:pPr>
            <w:r>
              <w:rPr>
                <w:rFonts w:ascii="Arial" w:cs="Arial" w:eastAsia="Arial" w:hAnsi="Arial"/>
                <w:sz w:val="10"/>
                <w:szCs w:val="10"/>
                <w:color w:val="auto"/>
              </w:rPr>
              <w:t>8,697</w:t>
            </w:r>
          </w:p>
        </w:tc>
        <w:tc>
          <w:tcPr>
            <w:tcW w:w="1220" w:type="dxa"/>
            <w:vAlign w:val="bottom"/>
          </w:tcPr>
          <w:p>
            <w:pPr>
              <w:jc w:val="right"/>
              <w:ind w:right="432"/>
              <w:spacing w:after="0" w:line="171" w:lineRule="exact"/>
              <w:rPr>
                <w:sz w:val="20"/>
                <w:szCs w:val="20"/>
                <w:color w:val="auto"/>
              </w:rPr>
            </w:pPr>
            <w:r>
              <w:rPr>
                <w:rFonts w:ascii="Arial" w:cs="Arial" w:eastAsia="Arial" w:hAnsi="Arial"/>
                <w:sz w:val="19"/>
                <w:szCs w:val="19"/>
                <w:i w:val="1"/>
                <w:iCs w:val="1"/>
                <w:color w:val="auto"/>
                <w:vertAlign w:val="subscript"/>
              </w:rPr>
              <w:t>7</w:t>
            </w:r>
            <w:r>
              <w:rPr>
                <w:rFonts w:ascii="Arial" w:cs="Arial" w:eastAsia="Arial" w:hAnsi="Arial"/>
                <w:sz w:val="10"/>
                <w:szCs w:val="10"/>
                <w:i w:val="1"/>
                <w:iCs w:val="1"/>
                <w:color w:val="auto"/>
              </w:rPr>
              <w:t xml:space="preserve"> %</w:t>
            </w:r>
          </w:p>
        </w:tc>
        <w:tc>
          <w:tcPr>
            <w:tcW w:w="600" w:type="dxa"/>
            <w:vAlign w:val="bottom"/>
          </w:tcPr>
          <w:p>
            <w:pPr>
              <w:jc w:val="right"/>
              <w:spacing w:after="0"/>
              <w:rPr>
                <w:sz w:val="20"/>
                <w:szCs w:val="20"/>
                <w:color w:val="auto"/>
              </w:rPr>
            </w:pPr>
            <w:r>
              <w:rPr>
                <w:rFonts w:ascii="Arial" w:cs="Arial" w:eastAsia="Arial" w:hAnsi="Arial"/>
                <w:sz w:val="10"/>
                <w:szCs w:val="10"/>
                <w:color w:val="auto"/>
              </w:rPr>
              <w:t>11</w:t>
            </w:r>
          </w:p>
        </w:tc>
        <w:tc>
          <w:tcPr>
            <w:tcW w:w="380" w:type="dxa"/>
            <w:vAlign w:val="bottom"/>
          </w:tcPr>
          <w:p>
            <w:pPr>
              <w:jc w:val="right"/>
              <w:ind w:right="232"/>
              <w:spacing w:after="0"/>
              <w:rPr>
                <w:sz w:val="20"/>
                <w:szCs w:val="20"/>
                <w:color w:val="auto"/>
              </w:rPr>
            </w:pPr>
            <w:r>
              <w:rPr>
                <w:rFonts w:ascii="Arial" w:cs="Arial" w:eastAsia="Arial" w:hAnsi="Arial"/>
                <w:sz w:val="10"/>
                <w:szCs w:val="10"/>
                <w:color w:val="auto"/>
                <w:w w:val="89"/>
              </w:rPr>
              <w:t>%</w:t>
            </w:r>
          </w:p>
        </w:tc>
      </w:tr>
      <w:tr>
        <w:trPr>
          <w:trHeight w:val="171"/>
        </w:trPr>
        <w:tc>
          <w:tcPr>
            <w:tcW w:w="4940" w:type="dxa"/>
            <w:vAlign w:val="bottom"/>
            <w:shd w:val="clear" w:color="auto" w:fill="CCEEFF"/>
          </w:tcPr>
          <w:p>
            <w:pPr>
              <w:ind w:left="400"/>
              <w:spacing w:after="0"/>
              <w:rPr>
                <w:sz w:val="20"/>
                <w:szCs w:val="20"/>
                <w:color w:val="auto"/>
              </w:rPr>
            </w:pPr>
            <w:r>
              <w:rPr>
                <w:rFonts w:ascii="Arial" w:cs="Arial" w:eastAsia="Arial" w:hAnsi="Arial"/>
                <w:sz w:val="10"/>
                <w:szCs w:val="10"/>
                <w:b w:val="1"/>
                <w:bCs w:val="1"/>
                <w:color w:val="auto"/>
              </w:rPr>
              <w:t>Australia</w:t>
            </w:r>
          </w:p>
        </w:tc>
        <w:tc>
          <w:tcPr>
            <w:tcW w:w="5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17,988</w:t>
            </w:r>
          </w:p>
        </w:tc>
        <w:tc>
          <w:tcPr>
            <w:tcW w:w="1140" w:type="dxa"/>
            <w:vAlign w:val="bottom"/>
            <w:shd w:val="clear" w:color="auto" w:fill="CCEEFF"/>
          </w:tcPr>
          <w:p>
            <w:pPr>
              <w:jc w:val="right"/>
              <w:ind w:right="332"/>
              <w:spacing w:after="0" w:line="171" w:lineRule="exact"/>
              <w:rPr>
                <w:sz w:val="20"/>
                <w:szCs w:val="20"/>
                <w:color w:val="auto"/>
              </w:rPr>
            </w:pPr>
            <w:r>
              <w:rPr>
                <w:rFonts w:ascii="Arial" w:cs="Arial" w:eastAsia="Arial" w:hAnsi="Arial"/>
                <w:sz w:val="10"/>
                <w:szCs w:val="10"/>
                <w:i w:val="1"/>
                <w:iCs w:val="1"/>
                <w:color w:val="auto"/>
              </w:rPr>
              <w:t xml:space="preserve">21 </w:t>
            </w:r>
            <w:r>
              <w:rPr>
                <w:rFonts w:ascii="Arial" w:cs="Arial" w:eastAsia="Arial" w:hAnsi="Arial"/>
                <w:sz w:val="19"/>
                <w:szCs w:val="19"/>
                <w:i w:val="1"/>
                <w:iCs w:val="1"/>
                <w:color w:val="auto"/>
                <w:vertAlign w:val="superscript"/>
              </w:rPr>
              <w:t>%</w:t>
            </w:r>
          </w:p>
        </w:tc>
        <w:tc>
          <w:tcPr>
            <w:tcW w:w="5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15,292</w:t>
            </w:r>
          </w:p>
        </w:tc>
        <w:tc>
          <w:tcPr>
            <w:tcW w:w="1220" w:type="dxa"/>
            <w:vAlign w:val="bottom"/>
            <w:shd w:val="clear" w:color="auto" w:fill="CCEEFF"/>
          </w:tcPr>
          <w:p>
            <w:pPr>
              <w:jc w:val="right"/>
              <w:ind w:right="432"/>
              <w:spacing w:after="0" w:line="171" w:lineRule="exact"/>
              <w:rPr>
                <w:sz w:val="20"/>
                <w:szCs w:val="20"/>
                <w:color w:val="auto"/>
              </w:rPr>
            </w:pPr>
            <w:r>
              <w:rPr>
                <w:rFonts w:ascii="Arial" w:cs="Arial" w:eastAsia="Arial" w:hAnsi="Arial"/>
                <w:sz w:val="10"/>
                <w:szCs w:val="10"/>
                <w:i w:val="1"/>
                <w:iCs w:val="1"/>
                <w:color w:val="auto"/>
              </w:rPr>
              <w:t xml:space="preserve">17 </w:t>
            </w:r>
            <w:r>
              <w:rPr>
                <w:rFonts w:ascii="Arial" w:cs="Arial" w:eastAsia="Arial" w:hAnsi="Arial"/>
                <w:sz w:val="19"/>
                <w:szCs w:val="19"/>
                <w:i w:val="1"/>
                <w:iCs w:val="1"/>
                <w:color w:val="auto"/>
                <w:vertAlign w:val="superscript"/>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18</w:t>
            </w:r>
          </w:p>
        </w:tc>
        <w:tc>
          <w:tcPr>
            <w:tcW w:w="380" w:type="dxa"/>
            <w:vAlign w:val="bottom"/>
            <w:shd w:val="clear" w:color="auto" w:fill="CCEEFF"/>
          </w:tcPr>
          <w:p>
            <w:pPr>
              <w:jc w:val="right"/>
              <w:ind w:right="232"/>
              <w:spacing w:after="0"/>
              <w:rPr>
                <w:sz w:val="20"/>
                <w:szCs w:val="20"/>
                <w:color w:val="auto"/>
              </w:rPr>
            </w:pPr>
            <w:r>
              <w:rPr>
                <w:rFonts w:ascii="Arial" w:cs="Arial" w:eastAsia="Arial" w:hAnsi="Arial"/>
                <w:sz w:val="10"/>
                <w:szCs w:val="10"/>
                <w:color w:val="auto"/>
                <w:w w:val="89"/>
              </w:rPr>
              <w:t>%</w:t>
            </w:r>
          </w:p>
        </w:tc>
      </w:tr>
      <w:tr>
        <w:trPr>
          <w:trHeight w:val="162"/>
        </w:trPr>
        <w:tc>
          <w:tcPr>
            <w:tcW w:w="4940" w:type="dxa"/>
            <w:vAlign w:val="bottom"/>
            <w:tcBorders>
              <w:bottom w:val="single" w:sz="8" w:color="CCEEFF"/>
            </w:tcBorders>
          </w:tcPr>
          <w:p>
            <w:pPr>
              <w:ind w:left="400"/>
              <w:spacing w:after="0"/>
              <w:rPr>
                <w:sz w:val="20"/>
                <w:szCs w:val="20"/>
                <w:color w:val="auto"/>
              </w:rPr>
            </w:pPr>
            <w:r>
              <w:rPr>
                <w:rFonts w:ascii="Arial" w:cs="Arial" w:eastAsia="Arial" w:hAnsi="Arial"/>
                <w:sz w:val="10"/>
                <w:szCs w:val="10"/>
                <w:b w:val="1"/>
                <w:bCs w:val="1"/>
                <w:color w:val="auto"/>
              </w:rPr>
              <w:t>New Zealand</w:t>
            </w:r>
          </w:p>
        </w:tc>
        <w:tc>
          <w:tcPr>
            <w:tcW w:w="5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3,940</w:t>
            </w:r>
          </w:p>
        </w:tc>
        <w:tc>
          <w:tcPr>
            <w:tcW w:w="1140" w:type="dxa"/>
            <w:vAlign w:val="bottom"/>
            <w:tcBorders>
              <w:bottom w:val="single" w:sz="8" w:color="CCEEFF"/>
            </w:tcBorders>
          </w:tcPr>
          <w:p>
            <w:pPr>
              <w:jc w:val="right"/>
              <w:ind w:right="332"/>
              <w:spacing w:after="0" w:line="162" w:lineRule="exact"/>
              <w:rPr>
                <w:sz w:val="20"/>
                <w:szCs w:val="20"/>
                <w:color w:val="auto"/>
              </w:rPr>
            </w:pPr>
            <w:r>
              <w:rPr>
                <w:rFonts w:ascii="Arial" w:cs="Arial" w:eastAsia="Arial" w:hAnsi="Arial"/>
                <w:sz w:val="9"/>
                <w:szCs w:val="9"/>
                <w:i w:val="1"/>
                <w:iCs w:val="1"/>
                <w:color w:val="auto"/>
              </w:rPr>
              <w:t xml:space="preserve">17 </w:t>
            </w:r>
            <w:r>
              <w:rPr>
                <w:rFonts w:ascii="Arial" w:cs="Arial" w:eastAsia="Arial" w:hAnsi="Arial"/>
                <w:sz w:val="18"/>
                <w:szCs w:val="18"/>
                <w:i w:val="1"/>
                <w:iCs w:val="1"/>
                <w:color w:val="auto"/>
                <w:vertAlign w:val="superscript"/>
              </w:rPr>
              <w:t>%</w:t>
            </w:r>
          </w:p>
        </w:tc>
        <w:tc>
          <w:tcPr>
            <w:tcW w:w="5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3,354</w:t>
            </w:r>
          </w:p>
        </w:tc>
        <w:tc>
          <w:tcPr>
            <w:tcW w:w="1220" w:type="dxa"/>
            <w:vAlign w:val="bottom"/>
            <w:tcBorders>
              <w:bottom w:val="single" w:sz="8" w:color="CCEEFF"/>
            </w:tcBorders>
          </w:tcPr>
          <w:p>
            <w:pPr>
              <w:jc w:val="right"/>
              <w:ind w:right="432"/>
              <w:spacing w:after="0" w:line="162" w:lineRule="exact"/>
              <w:rPr>
                <w:sz w:val="20"/>
                <w:szCs w:val="20"/>
                <w:color w:val="auto"/>
              </w:rPr>
            </w:pPr>
            <w:r>
              <w:rPr>
                <w:rFonts w:ascii="Arial" w:cs="Arial" w:eastAsia="Arial" w:hAnsi="Arial"/>
                <w:sz w:val="9"/>
                <w:szCs w:val="9"/>
                <w:i w:val="1"/>
                <w:iCs w:val="1"/>
                <w:color w:val="auto"/>
              </w:rPr>
              <w:t xml:space="preserve">14 </w:t>
            </w:r>
            <w:r>
              <w:rPr>
                <w:rFonts w:ascii="Arial" w:cs="Arial" w:eastAsia="Arial" w:hAnsi="Arial"/>
                <w:sz w:val="18"/>
                <w:szCs w:val="18"/>
                <w:i w:val="1"/>
                <w:iCs w:val="1"/>
                <w:color w:val="auto"/>
                <w:vertAlign w:val="superscript"/>
              </w:rPr>
              <w:t>%</w:t>
            </w:r>
          </w:p>
        </w:tc>
        <w:tc>
          <w:tcPr>
            <w:tcW w:w="600" w:type="dxa"/>
            <w:vAlign w:val="bottom"/>
            <w:tcBorders>
              <w:bottom w:val="single" w:sz="8" w:color="CCEEFF"/>
            </w:tcBorders>
          </w:tcPr>
          <w:p>
            <w:pPr>
              <w:jc w:val="right"/>
              <w:spacing w:after="0"/>
              <w:rPr>
                <w:sz w:val="20"/>
                <w:szCs w:val="20"/>
                <w:color w:val="auto"/>
              </w:rPr>
            </w:pPr>
            <w:r>
              <w:rPr>
                <w:rFonts w:ascii="Arial" w:cs="Arial" w:eastAsia="Arial" w:hAnsi="Arial"/>
                <w:sz w:val="10"/>
                <w:szCs w:val="10"/>
                <w:color w:val="auto"/>
              </w:rPr>
              <w:t>17</w:t>
            </w:r>
          </w:p>
        </w:tc>
        <w:tc>
          <w:tcPr>
            <w:tcW w:w="380" w:type="dxa"/>
            <w:vAlign w:val="bottom"/>
            <w:tcBorders>
              <w:bottom w:val="single" w:sz="8" w:color="CCEEFF"/>
            </w:tcBorders>
          </w:tcPr>
          <w:p>
            <w:pPr>
              <w:jc w:val="right"/>
              <w:ind w:right="232"/>
              <w:spacing w:after="0"/>
              <w:rPr>
                <w:sz w:val="20"/>
                <w:szCs w:val="20"/>
                <w:color w:val="auto"/>
              </w:rPr>
            </w:pPr>
            <w:r>
              <w:rPr>
                <w:rFonts w:ascii="Arial" w:cs="Arial" w:eastAsia="Arial" w:hAnsi="Arial"/>
                <w:sz w:val="10"/>
                <w:szCs w:val="10"/>
                <w:color w:val="auto"/>
                <w:w w:val="89"/>
              </w:rPr>
              <w:t>%</w:t>
            </w:r>
          </w:p>
        </w:tc>
      </w:tr>
      <w:tr>
        <w:trPr>
          <w:trHeight w:val="214"/>
        </w:trPr>
        <w:tc>
          <w:tcPr>
            <w:tcW w:w="494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0"/>
                <w:szCs w:val="10"/>
                <w:b w:val="1"/>
                <w:bCs w:val="1"/>
                <w:color w:val="auto"/>
              </w:rPr>
              <w:t>Total operating income</w:t>
            </w:r>
          </w:p>
        </w:tc>
        <w:tc>
          <w:tcPr>
            <w:tcW w:w="54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0"/>
                <w:szCs w:val="10"/>
                <w:b w:val="1"/>
                <w:bCs w:val="1"/>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31,576</w:t>
            </w:r>
          </w:p>
        </w:tc>
        <w:tc>
          <w:tcPr>
            <w:tcW w:w="1140" w:type="dxa"/>
            <w:vAlign w:val="bottom"/>
            <w:tcBorders>
              <w:bottom w:val="single" w:sz="8" w:color="CCEEFF"/>
            </w:tcBorders>
            <w:shd w:val="clear" w:color="auto" w:fill="CCEEFF"/>
          </w:tcPr>
          <w:p>
            <w:pPr>
              <w:jc w:val="right"/>
              <w:ind w:right="332"/>
              <w:spacing w:after="0"/>
              <w:rPr>
                <w:sz w:val="20"/>
                <w:szCs w:val="20"/>
                <w:color w:val="auto"/>
              </w:rPr>
            </w:pPr>
            <w:r>
              <w:rPr>
                <w:rFonts w:ascii="Arial" w:cs="Arial" w:eastAsia="Arial" w:hAnsi="Arial"/>
                <w:sz w:val="10"/>
                <w:szCs w:val="10"/>
                <w:i w:val="1"/>
                <w:iCs w:val="1"/>
                <w:color w:val="auto"/>
              </w:rPr>
              <w:t>13 %</w:t>
            </w:r>
          </w:p>
        </w:tc>
        <w:tc>
          <w:tcPr>
            <w:tcW w:w="50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0"/>
                <w:szCs w:val="10"/>
                <w:b w:val="1"/>
                <w:bCs w:val="1"/>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27,343</w:t>
            </w:r>
          </w:p>
        </w:tc>
        <w:tc>
          <w:tcPr>
            <w:tcW w:w="1220" w:type="dxa"/>
            <w:vAlign w:val="bottom"/>
            <w:tcBorders>
              <w:bottom w:val="single" w:sz="8" w:color="CCEEFF"/>
            </w:tcBorders>
            <w:shd w:val="clear" w:color="auto" w:fill="CCEEFF"/>
          </w:tcPr>
          <w:p>
            <w:pPr>
              <w:jc w:val="right"/>
              <w:ind w:right="432"/>
              <w:spacing w:after="0"/>
              <w:rPr>
                <w:sz w:val="20"/>
                <w:szCs w:val="20"/>
                <w:color w:val="auto"/>
              </w:rPr>
            </w:pPr>
            <w:r>
              <w:rPr>
                <w:rFonts w:ascii="Arial" w:cs="Arial" w:eastAsia="Arial" w:hAnsi="Arial"/>
                <w:sz w:val="10"/>
                <w:szCs w:val="10"/>
                <w:i w:val="1"/>
                <w:iCs w:val="1"/>
                <w:color w:val="auto"/>
              </w:rPr>
              <w:t>11 %</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15</w:t>
            </w:r>
          </w:p>
        </w:tc>
        <w:tc>
          <w:tcPr>
            <w:tcW w:w="380" w:type="dxa"/>
            <w:vAlign w:val="bottom"/>
            <w:tcBorders>
              <w:bottom w:val="single" w:sz="8" w:color="CCEEFF"/>
            </w:tcBorders>
            <w:shd w:val="clear" w:color="auto" w:fill="CCEEFF"/>
          </w:tcPr>
          <w:p>
            <w:pPr>
              <w:jc w:val="right"/>
              <w:ind w:right="232"/>
              <w:spacing w:after="0"/>
              <w:rPr>
                <w:sz w:val="20"/>
                <w:szCs w:val="20"/>
                <w:color w:val="auto"/>
              </w:rPr>
            </w:pPr>
            <w:r>
              <w:rPr>
                <w:rFonts w:ascii="Arial" w:cs="Arial" w:eastAsia="Arial" w:hAnsi="Arial"/>
                <w:sz w:val="10"/>
                <w:szCs w:val="10"/>
                <w:color w:val="auto"/>
                <w:w w:val="89"/>
              </w:rPr>
              <w:t>%</w:t>
            </w:r>
          </w:p>
        </w:tc>
      </w:tr>
    </w:tbl>
    <w:p>
      <w:pPr>
        <w:spacing w:after="0" w:line="200" w:lineRule="exact"/>
        <w:rPr>
          <w:sz w:val="20"/>
          <w:szCs w:val="20"/>
          <w:color w:val="auto"/>
        </w:rPr>
      </w:pPr>
    </w:p>
    <w:p>
      <w:pPr>
        <w:spacing w:after="0" w:line="223" w:lineRule="exact"/>
        <w:rPr>
          <w:sz w:val="20"/>
          <w:szCs w:val="20"/>
          <w:color w:val="auto"/>
        </w:rPr>
      </w:pPr>
    </w:p>
    <w:p>
      <w:pPr>
        <w:ind w:left="40"/>
        <w:spacing w:after="0"/>
        <w:rPr>
          <w:sz w:val="20"/>
          <w:szCs w:val="20"/>
          <w:color w:val="auto"/>
        </w:rPr>
      </w:pPr>
      <w:r>
        <w:rPr>
          <w:rFonts w:ascii="Arial" w:cs="Arial" w:eastAsia="Arial" w:hAnsi="Arial"/>
          <w:sz w:val="12"/>
          <w:szCs w:val="12"/>
          <w:b w:val="1"/>
          <w:bCs w:val="1"/>
          <w:i w:val="1"/>
          <w:iCs w:val="1"/>
          <w:color w:val="auto"/>
        </w:rPr>
        <w:t>Cinema segment operating income</w:t>
      </w:r>
    </w:p>
    <w:p>
      <w:pPr>
        <w:spacing w:after="0" w:line="78" w:lineRule="exact"/>
        <w:rPr>
          <w:sz w:val="20"/>
          <w:szCs w:val="20"/>
          <w:color w:val="auto"/>
        </w:rPr>
      </w:pPr>
    </w:p>
    <w:p>
      <w:pPr>
        <w:ind w:right="460"/>
        <w:spacing w:after="0" w:line="276" w:lineRule="auto"/>
        <w:rPr>
          <w:sz w:val="20"/>
          <w:szCs w:val="20"/>
          <w:color w:val="auto"/>
        </w:rPr>
      </w:pPr>
      <w:r>
        <w:rPr>
          <w:rFonts w:ascii="Arial" w:cs="Arial" w:eastAsia="Arial" w:hAnsi="Arial"/>
          <w:sz w:val="12"/>
          <w:szCs w:val="12"/>
          <w:color w:val="auto"/>
        </w:rPr>
        <w:t>Cinema segment operating income increased by 15%, or $4.2 million, to $31.6 million for the year ended December 31, 2015 compared to December 31, 2014, primarily driven by increased admissions, offset by unfavorable foreign currency movements. Refer below for further explanations.</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Revenue</w:t>
      </w:r>
    </w:p>
    <w:p>
      <w:pPr>
        <w:spacing w:after="0" w:line="78" w:lineRule="exact"/>
        <w:rPr>
          <w:sz w:val="20"/>
          <w:szCs w:val="20"/>
          <w:color w:val="auto"/>
        </w:rPr>
      </w:pPr>
    </w:p>
    <w:p>
      <w:pPr>
        <w:ind w:right="40"/>
        <w:spacing w:after="0" w:line="259" w:lineRule="auto"/>
        <w:rPr>
          <w:sz w:val="20"/>
          <w:szCs w:val="20"/>
          <w:color w:val="auto"/>
        </w:rPr>
      </w:pPr>
      <w:r>
        <w:rPr>
          <w:rFonts w:ascii="Arial" w:cs="Arial" w:eastAsia="Arial" w:hAnsi="Arial"/>
          <w:sz w:val="12"/>
          <w:szCs w:val="12"/>
          <w:color w:val="auto"/>
        </w:rPr>
        <w:t>The revenue in the United States for 2015 increased by $7.2 million or 6%, primarily driven by a higher average admission price. Australian cinema revenue decreased by $2.3 million, or 3%, primarily due to higher admission revenue and higher concession revenue in local currencies as result of higher attendance, more than offset by unfavorable foreign exchange movements. In New Zealand, cinema revenue decreased by $485,000 or 2%, mainly due to higher admission revenue and higher concession revenue in local currencies as a result of higher attendance and the opening of our Dunedin cinema in the last week of June 2014 and our LynnMall cinema in November 2015, more than offset by unfavorable foreign exchange movements.</w:t>
      </w:r>
    </w:p>
    <w:p>
      <w:pPr>
        <w:spacing w:after="0" w:line="12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Cost of services and products (excluding depreciation and amortization)</w:t>
      </w:r>
    </w:p>
    <w:p>
      <w:pPr>
        <w:spacing w:after="0" w:line="78" w:lineRule="exact"/>
        <w:rPr>
          <w:sz w:val="20"/>
          <w:szCs w:val="20"/>
          <w:color w:val="auto"/>
        </w:rPr>
      </w:pPr>
    </w:p>
    <w:p>
      <w:pPr>
        <w:ind w:right="20"/>
        <w:spacing w:after="0" w:line="263" w:lineRule="auto"/>
        <w:rPr>
          <w:sz w:val="20"/>
          <w:szCs w:val="20"/>
          <w:color w:val="auto"/>
        </w:rPr>
      </w:pPr>
      <w:r>
        <w:rPr>
          <w:rFonts w:ascii="Arial" w:cs="Arial" w:eastAsia="Arial" w:hAnsi="Arial"/>
          <w:sz w:val="12"/>
          <w:szCs w:val="12"/>
          <w:color w:val="auto"/>
        </w:rPr>
        <w:t>Cost of services and products for 2015 increased by $648,000, which was mainly attributable to increased costs due to increased admissions, which included higher film rental, payroll, occupancy and other costs. We also had additional costs associated with the refurbishment of our Angelika Film Center Carmel Mountain Plaza, the opening of our new theater, LynnMall in Auckland, New Zealand, and cost relating to the preparation for closing our Gaslamp Theater; these increased costs were mostly offset by movements in foreign currency.</w:t>
      </w:r>
    </w:p>
    <w:p>
      <w:pPr>
        <w:spacing w:after="0" w:line="51" w:lineRule="exact"/>
        <w:rPr>
          <w:sz w:val="20"/>
          <w:szCs w:val="20"/>
          <w:color w:val="auto"/>
        </w:rPr>
      </w:pPr>
    </w:p>
    <w:p>
      <w:pPr>
        <w:ind w:right="180"/>
        <w:spacing w:after="0" w:line="276" w:lineRule="auto"/>
        <w:rPr>
          <w:sz w:val="20"/>
          <w:szCs w:val="20"/>
          <w:color w:val="auto"/>
        </w:rPr>
      </w:pPr>
      <w:r>
        <w:rPr>
          <w:rFonts w:ascii="Arial" w:cs="Arial" w:eastAsia="Arial" w:hAnsi="Arial"/>
          <w:sz w:val="12"/>
          <w:szCs w:val="12"/>
          <w:color w:val="auto"/>
        </w:rPr>
        <w:t>U.S. cost of services and products increased by $6.0 million or 6%, primarily driven by higher film rent associated with increased box office sales. Australia and New Zealand cinema cost of services and products both decreased by 6%, primarily due to the favorable impact of foreign exchange rate movements.</w:t>
      </w:r>
    </w:p>
    <w:p>
      <w:pPr>
        <w:spacing w:after="0" w:line="43" w:lineRule="exact"/>
        <w:rPr>
          <w:sz w:val="20"/>
          <w:szCs w:val="20"/>
          <w:color w:val="auto"/>
        </w:rPr>
      </w:pPr>
    </w:p>
    <w:p>
      <w:pPr>
        <w:spacing w:after="0"/>
        <w:rPr>
          <w:sz w:val="20"/>
          <w:szCs w:val="20"/>
          <w:color w:val="auto"/>
        </w:rPr>
      </w:pPr>
      <w:r>
        <w:rPr>
          <w:rFonts w:ascii="Arial" w:cs="Arial" w:eastAsia="Arial" w:hAnsi="Arial"/>
          <w:sz w:val="12"/>
          <w:szCs w:val="12"/>
          <w:color w:val="auto"/>
        </w:rPr>
        <w:t>Cost of services and products as a percentage of gross revenue improved by 1% down to 81%, mainly attributable to the percentage of fixed costs compared to the increases in our revenue streams.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Depreciation, amortization, general and administrative expense</w:t>
      </w:r>
    </w:p>
    <w:p>
      <w:pPr>
        <w:spacing w:after="0" w:line="78" w:lineRule="exact"/>
        <w:rPr>
          <w:sz w:val="20"/>
          <w:szCs w:val="20"/>
          <w:color w:val="auto"/>
        </w:rPr>
      </w:pPr>
    </w:p>
    <w:p>
      <w:pPr>
        <w:ind w:right="20"/>
        <w:spacing w:after="0" w:line="323" w:lineRule="auto"/>
        <w:rPr>
          <w:sz w:val="20"/>
          <w:szCs w:val="20"/>
          <w:color w:val="auto"/>
        </w:rPr>
      </w:pPr>
      <w:r>
        <w:rPr>
          <w:rFonts w:ascii="Arial" w:cs="Arial" w:eastAsia="Arial" w:hAnsi="Arial"/>
          <w:sz w:val="11"/>
          <w:szCs w:val="11"/>
          <w:color w:val="auto"/>
        </w:rPr>
        <w:t>Depreciation, amortization, general and administrative expense for 2015 decreased by $461,000, or 3%, with lower general and administrative expense being the main driver. General and administrative expense decreased by $574,000, or 16%, mainly driven by cost reductions from a favorable currency effect for expenses in Australia and New Zealand, and some cost savings in the U.S.</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59690</wp:posOffset>
            </wp:positionV>
            <wp:extent cx="677989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779895" cy="42545"/>
                    </a:xfrm>
                    <a:prstGeom prst="rect">
                      <a:avLst/>
                    </a:prstGeom>
                    <a:noFill/>
                  </pic:spPr>
                </pic:pic>
              </a:graphicData>
            </a:graphic>
          </wp:anchor>
        </w:drawing>
      </w:r>
    </w:p>
    <w:p>
      <w:pPr>
        <w:sectPr>
          <w:pgSz w:w="11900" w:h="16838" w:orient="portrait"/>
          <w:cols w:equalWidth="0" w:num="1">
            <w:col w:w="10620"/>
          </w:cols>
          <w:pgMar w:left="640" w:top="120" w:right="639" w:bottom="1440" w:gutter="0" w:footer="0" w:header="0"/>
        </w:sectPr>
      </w:pPr>
    </w:p>
    <w:bookmarkStart w:id="41" w:name="page42"/>
    <w:bookmarkEnd w:id="41"/>
    <w:p>
      <w:pPr>
        <w:spacing w:after="0"/>
        <w:rPr>
          <w:sz w:val="20"/>
          <w:szCs w:val="20"/>
          <w:color w:val="auto"/>
        </w:rPr>
      </w:pPr>
      <w:r>
        <w:rPr>
          <w:rFonts w:ascii="Arial" w:cs="Arial" w:eastAsia="Arial" w:hAnsi="Arial"/>
          <w:sz w:val="12"/>
          <w:szCs w:val="12"/>
          <w:b w:val="1"/>
          <w:bCs w:val="1"/>
          <w:u w:val="single" w:color="auto"/>
          <w:color w:val="auto"/>
        </w:rPr>
        <w:t>Real Estate- 2015 vs. 2014</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700" w:type="dxa"/>
            <w:vAlign w:val="bottom"/>
          </w:tcPr>
          <w:p>
            <w:pPr>
              <w:spacing w:after="0"/>
              <w:rPr>
                <w:sz w:val="10"/>
                <w:szCs w:val="10"/>
                <w:color w:val="auto"/>
              </w:rPr>
            </w:pPr>
          </w:p>
        </w:tc>
        <w:tc>
          <w:tcPr>
            <w:tcW w:w="30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gridSpan w:val="2"/>
          </w:tcPr>
          <w:p>
            <w:pPr>
              <w:jc w:val="right"/>
              <w:ind w:right="232"/>
              <w:spacing w:after="0"/>
              <w:rPr>
                <w:sz w:val="20"/>
                <w:szCs w:val="20"/>
                <w:color w:val="auto"/>
              </w:rPr>
            </w:pPr>
            <w:r>
              <w:rPr>
                <w:rFonts w:ascii="Arial" w:cs="Arial" w:eastAsia="Arial" w:hAnsi="Arial"/>
                <w:sz w:val="10"/>
                <w:szCs w:val="10"/>
                <w:b w:val="1"/>
                <w:bCs w:val="1"/>
                <w:color w:val="auto"/>
              </w:rPr>
              <w:t>2015 vs. 2014</w:t>
            </w:r>
          </w:p>
        </w:tc>
        <w:tc>
          <w:tcPr>
            <w:tcW w:w="0" w:type="dxa"/>
            <w:vAlign w:val="bottom"/>
          </w:tcPr>
          <w:p>
            <w:pPr>
              <w:spacing w:after="0"/>
              <w:rPr>
                <w:sz w:val="1"/>
                <w:szCs w:val="1"/>
                <w:color w:val="auto"/>
              </w:rPr>
            </w:pPr>
          </w:p>
        </w:tc>
      </w:tr>
      <w:tr>
        <w:trPr>
          <w:trHeight w:val="114"/>
        </w:trPr>
        <w:tc>
          <w:tcPr>
            <w:tcW w:w="1700" w:type="dxa"/>
            <w:vAlign w:val="bottom"/>
          </w:tcPr>
          <w:p>
            <w:pPr>
              <w:spacing w:after="0" w:line="114" w:lineRule="exact"/>
              <w:rPr>
                <w:sz w:val="20"/>
                <w:szCs w:val="20"/>
                <w:color w:val="auto"/>
              </w:rPr>
            </w:pPr>
            <w:r>
              <w:rPr>
                <w:rFonts w:ascii="Arial" w:cs="Arial" w:eastAsia="Arial" w:hAnsi="Arial"/>
                <w:sz w:val="10"/>
                <w:szCs w:val="10"/>
                <w:color w:val="auto"/>
              </w:rPr>
              <w:t>(Dollars in thousands)</w:t>
            </w:r>
          </w:p>
        </w:tc>
        <w:tc>
          <w:tcPr>
            <w:tcW w:w="3060" w:type="dxa"/>
            <w:vAlign w:val="bottom"/>
          </w:tcPr>
          <w:p>
            <w:pPr>
              <w:spacing w:after="0"/>
              <w:rPr>
                <w:sz w:val="9"/>
                <w:szCs w:val="9"/>
                <w:color w:val="auto"/>
              </w:rPr>
            </w:pPr>
          </w:p>
        </w:tc>
        <w:tc>
          <w:tcPr>
            <w:tcW w:w="18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0" w:type="dxa"/>
            <w:vAlign w:val="bottom"/>
          </w:tcPr>
          <w:p>
            <w:pPr>
              <w:jc w:val="right"/>
              <w:ind w:right="432"/>
              <w:spacing w:after="0" w:line="114" w:lineRule="exact"/>
              <w:rPr>
                <w:sz w:val="20"/>
                <w:szCs w:val="20"/>
                <w:color w:val="auto"/>
              </w:rPr>
            </w:pPr>
            <w:r>
              <w:rPr>
                <w:rFonts w:ascii="Arial" w:cs="Arial" w:eastAsia="Arial" w:hAnsi="Arial"/>
                <w:sz w:val="10"/>
                <w:szCs w:val="10"/>
                <w:b w:val="1"/>
                <w:bCs w:val="1"/>
                <w:color w:val="auto"/>
              </w:rPr>
              <w:t>2015</w:t>
            </w:r>
          </w:p>
        </w:tc>
        <w:tc>
          <w:tcPr>
            <w:tcW w:w="180" w:type="dxa"/>
            <w:vAlign w:val="bottom"/>
          </w:tcPr>
          <w:p>
            <w:pPr>
              <w:spacing w:after="0"/>
              <w:rPr>
                <w:sz w:val="9"/>
                <w:szCs w:val="9"/>
                <w:color w:val="auto"/>
              </w:rPr>
            </w:pPr>
          </w:p>
        </w:tc>
        <w:tc>
          <w:tcPr>
            <w:tcW w:w="960" w:type="dxa"/>
            <w:vAlign w:val="bottom"/>
            <w:gridSpan w:val="2"/>
          </w:tcPr>
          <w:p>
            <w:pPr>
              <w:ind w:left="140"/>
              <w:spacing w:after="0" w:line="114" w:lineRule="exact"/>
              <w:rPr>
                <w:sz w:val="20"/>
                <w:szCs w:val="20"/>
                <w:color w:val="auto"/>
              </w:rPr>
            </w:pPr>
            <w:r>
              <w:rPr>
                <w:rFonts w:ascii="Arial" w:cs="Arial" w:eastAsia="Arial" w:hAnsi="Arial"/>
                <w:sz w:val="10"/>
                <w:szCs w:val="10"/>
                <w:i w:val="1"/>
                <w:iCs w:val="1"/>
                <w:color w:val="auto"/>
              </w:rPr>
              <w:t>% of Revenue</w:t>
            </w:r>
          </w:p>
        </w:tc>
        <w:tc>
          <w:tcPr>
            <w:tcW w:w="360" w:type="dxa"/>
            <w:vAlign w:val="bottom"/>
          </w:tcPr>
          <w:p>
            <w:pPr>
              <w:spacing w:after="0"/>
              <w:rPr>
                <w:sz w:val="9"/>
                <w:szCs w:val="9"/>
                <w:color w:val="auto"/>
              </w:rPr>
            </w:pPr>
          </w:p>
        </w:tc>
        <w:tc>
          <w:tcPr>
            <w:tcW w:w="800" w:type="dxa"/>
            <w:vAlign w:val="bottom"/>
          </w:tcPr>
          <w:p>
            <w:pPr>
              <w:jc w:val="right"/>
              <w:ind w:right="432"/>
              <w:spacing w:after="0" w:line="114" w:lineRule="exact"/>
              <w:rPr>
                <w:sz w:val="20"/>
                <w:szCs w:val="20"/>
                <w:color w:val="auto"/>
              </w:rPr>
            </w:pPr>
            <w:r>
              <w:rPr>
                <w:rFonts w:ascii="Arial" w:cs="Arial" w:eastAsia="Arial" w:hAnsi="Arial"/>
                <w:sz w:val="10"/>
                <w:szCs w:val="10"/>
                <w:b w:val="1"/>
                <w:bCs w:val="1"/>
                <w:color w:val="auto"/>
              </w:rPr>
              <w:t>2014</w:t>
            </w:r>
          </w:p>
        </w:tc>
        <w:tc>
          <w:tcPr>
            <w:tcW w:w="160" w:type="dxa"/>
            <w:vAlign w:val="bottom"/>
          </w:tcPr>
          <w:p>
            <w:pPr>
              <w:spacing w:after="0"/>
              <w:rPr>
                <w:sz w:val="9"/>
                <w:szCs w:val="9"/>
                <w:color w:val="auto"/>
              </w:rPr>
            </w:pPr>
          </w:p>
        </w:tc>
        <w:tc>
          <w:tcPr>
            <w:tcW w:w="960" w:type="dxa"/>
            <w:vAlign w:val="bottom"/>
            <w:gridSpan w:val="2"/>
          </w:tcPr>
          <w:p>
            <w:pPr>
              <w:ind w:left="140"/>
              <w:spacing w:after="0" w:line="114" w:lineRule="exact"/>
              <w:rPr>
                <w:sz w:val="20"/>
                <w:szCs w:val="20"/>
                <w:color w:val="auto"/>
              </w:rPr>
            </w:pPr>
            <w:r>
              <w:rPr>
                <w:rFonts w:ascii="Arial" w:cs="Arial" w:eastAsia="Arial" w:hAnsi="Arial"/>
                <w:sz w:val="10"/>
                <w:szCs w:val="10"/>
                <w:i w:val="1"/>
                <w:iCs w:val="1"/>
                <w:color w:val="auto"/>
              </w:rPr>
              <w:t>% of Revenue</w:t>
            </w:r>
          </w:p>
        </w:tc>
        <w:tc>
          <w:tcPr>
            <w:tcW w:w="1080" w:type="dxa"/>
            <w:vAlign w:val="bottom"/>
            <w:gridSpan w:val="2"/>
          </w:tcPr>
          <w:p>
            <w:pPr>
              <w:jc w:val="right"/>
              <w:ind w:right="212"/>
              <w:spacing w:after="0" w:line="114" w:lineRule="exact"/>
              <w:rPr>
                <w:sz w:val="20"/>
                <w:szCs w:val="20"/>
                <w:color w:val="auto"/>
              </w:rPr>
            </w:pPr>
            <w:r>
              <w:rPr>
                <w:rFonts w:ascii="Arial" w:cs="Arial" w:eastAsia="Arial" w:hAnsi="Arial"/>
                <w:sz w:val="10"/>
                <w:szCs w:val="10"/>
                <w:b w:val="1"/>
                <w:bCs w:val="1"/>
                <w:color w:val="auto"/>
              </w:rPr>
              <w:t>Fav / (Unfav)</w:t>
            </w:r>
          </w:p>
        </w:tc>
        <w:tc>
          <w:tcPr>
            <w:tcW w:w="0" w:type="dxa"/>
            <w:vAlign w:val="bottom"/>
          </w:tcPr>
          <w:p>
            <w:pPr>
              <w:spacing w:after="0"/>
              <w:rPr>
                <w:sz w:val="1"/>
                <w:szCs w:val="1"/>
                <w:color w:val="auto"/>
              </w:rPr>
            </w:pPr>
          </w:p>
        </w:tc>
      </w:tr>
      <w:tr>
        <w:trPr>
          <w:trHeight w:val="160"/>
        </w:trPr>
        <w:tc>
          <w:tcPr>
            <w:tcW w:w="1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0"/>
                <w:szCs w:val="10"/>
                <w:b w:val="1"/>
                <w:bCs w:val="1"/>
                <w:color w:val="auto"/>
              </w:rPr>
              <w:t>REVENUE</w:t>
            </w:r>
          </w:p>
        </w:tc>
        <w:tc>
          <w:tcPr>
            <w:tcW w:w="306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1700" w:type="dxa"/>
            <w:vAlign w:val="bottom"/>
          </w:tcPr>
          <w:p>
            <w:pPr>
              <w:ind w:left="400"/>
              <w:spacing w:after="0"/>
              <w:rPr>
                <w:sz w:val="20"/>
                <w:szCs w:val="20"/>
                <w:color w:val="auto"/>
              </w:rPr>
            </w:pPr>
            <w:r>
              <w:rPr>
                <w:rFonts w:ascii="Arial" w:cs="Arial" w:eastAsia="Arial" w:hAnsi="Arial"/>
                <w:sz w:val="10"/>
                <w:szCs w:val="10"/>
                <w:b w:val="1"/>
                <w:bCs w:val="1"/>
                <w:color w:val="auto"/>
              </w:rPr>
              <w:t>United States</w:t>
            </w:r>
          </w:p>
        </w:tc>
        <w:tc>
          <w:tcPr>
            <w:tcW w:w="3240" w:type="dxa"/>
            <w:vAlign w:val="bottom"/>
            <w:gridSpan w:val="2"/>
          </w:tcPr>
          <w:p>
            <w:pPr>
              <w:ind w:left="280"/>
              <w:spacing w:after="0"/>
              <w:rPr>
                <w:sz w:val="20"/>
                <w:szCs w:val="20"/>
                <w:color w:val="auto"/>
              </w:rPr>
            </w:pPr>
            <w:r>
              <w:rPr>
                <w:rFonts w:ascii="Arial" w:cs="Arial" w:eastAsia="Arial" w:hAnsi="Arial"/>
                <w:sz w:val="10"/>
                <w:szCs w:val="10"/>
                <w:color w:val="auto"/>
              </w:rPr>
              <w:t>Live theater rental and ancillary income</w:t>
            </w:r>
          </w:p>
        </w:tc>
        <w:tc>
          <w:tcPr>
            <w:tcW w:w="380" w:type="dxa"/>
            <w:vAlign w:val="bottom"/>
          </w:tcPr>
          <w:p>
            <w:pPr>
              <w:jc w:val="right"/>
              <w:ind w:right="72"/>
              <w:spacing w:after="0"/>
              <w:rPr>
                <w:sz w:val="20"/>
                <w:szCs w:val="20"/>
                <w:color w:val="auto"/>
              </w:rPr>
            </w:pPr>
            <w:r>
              <w:rPr>
                <w:rFonts w:ascii="Arial" w:cs="Arial" w:eastAsia="Arial" w:hAnsi="Arial"/>
                <w:sz w:val="10"/>
                <w:szCs w:val="10"/>
                <w:color w:val="auto"/>
              </w:rPr>
              <w:t>$</w:t>
            </w:r>
          </w:p>
        </w:tc>
        <w:tc>
          <w:tcPr>
            <w:tcW w:w="800" w:type="dxa"/>
            <w:vAlign w:val="bottom"/>
          </w:tcPr>
          <w:p>
            <w:pPr>
              <w:jc w:val="right"/>
              <w:spacing w:after="0"/>
              <w:rPr>
                <w:sz w:val="20"/>
                <w:szCs w:val="20"/>
                <w:color w:val="auto"/>
              </w:rPr>
            </w:pPr>
            <w:r>
              <w:rPr>
                <w:rFonts w:ascii="Arial" w:cs="Arial" w:eastAsia="Arial" w:hAnsi="Arial"/>
                <w:sz w:val="10"/>
                <w:szCs w:val="10"/>
                <w:color w:val="auto"/>
              </w:rPr>
              <w:t>3,844</w:t>
            </w:r>
          </w:p>
        </w:tc>
        <w:tc>
          <w:tcPr>
            <w:tcW w:w="180" w:type="dxa"/>
            <w:vAlign w:val="bottom"/>
          </w:tcPr>
          <w:p>
            <w:pPr>
              <w:spacing w:after="0"/>
              <w:rPr>
                <w:sz w:val="14"/>
                <w:szCs w:val="14"/>
                <w:color w:val="auto"/>
              </w:rPr>
            </w:pPr>
          </w:p>
        </w:tc>
        <w:tc>
          <w:tcPr>
            <w:tcW w:w="780" w:type="dxa"/>
            <w:vAlign w:val="bottom"/>
          </w:tcPr>
          <w:p>
            <w:pPr>
              <w:jc w:val="right"/>
              <w:ind w:right="152"/>
              <w:spacing w:after="0"/>
              <w:rPr>
                <w:sz w:val="20"/>
                <w:szCs w:val="20"/>
                <w:color w:val="auto"/>
              </w:rPr>
            </w:pPr>
            <w:r>
              <w:rPr>
                <w:rFonts w:ascii="Arial" w:cs="Arial" w:eastAsia="Arial" w:hAnsi="Arial"/>
                <w:sz w:val="10"/>
                <w:szCs w:val="10"/>
                <w:i w:val="1"/>
                <w:iCs w:val="1"/>
                <w:color w:val="auto"/>
              </w:rPr>
              <w:t>72 %</w:t>
            </w:r>
          </w:p>
        </w:tc>
        <w:tc>
          <w:tcPr>
            <w:tcW w:w="180" w:type="dxa"/>
            <w:vAlign w:val="bottom"/>
          </w:tcPr>
          <w:p>
            <w:pPr>
              <w:spacing w:after="0"/>
              <w:rPr>
                <w:sz w:val="14"/>
                <w:szCs w:val="14"/>
                <w:color w:val="auto"/>
              </w:rPr>
            </w:pPr>
          </w:p>
        </w:tc>
        <w:tc>
          <w:tcPr>
            <w:tcW w:w="360" w:type="dxa"/>
            <w:vAlign w:val="bottom"/>
          </w:tcPr>
          <w:p>
            <w:pPr>
              <w:jc w:val="right"/>
              <w:ind w:right="72"/>
              <w:spacing w:after="0"/>
              <w:rPr>
                <w:sz w:val="20"/>
                <w:szCs w:val="20"/>
                <w:color w:val="auto"/>
              </w:rPr>
            </w:pPr>
            <w:r>
              <w:rPr>
                <w:rFonts w:ascii="Arial" w:cs="Arial" w:eastAsia="Arial" w:hAnsi="Arial"/>
                <w:sz w:val="10"/>
                <w:szCs w:val="10"/>
                <w:color w:val="auto"/>
              </w:rPr>
              <w:t>$</w:t>
            </w:r>
          </w:p>
        </w:tc>
        <w:tc>
          <w:tcPr>
            <w:tcW w:w="800" w:type="dxa"/>
            <w:vAlign w:val="bottom"/>
          </w:tcPr>
          <w:p>
            <w:pPr>
              <w:jc w:val="right"/>
              <w:spacing w:after="0"/>
              <w:rPr>
                <w:sz w:val="20"/>
                <w:szCs w:val="20"/>
                <w:color w:val="auto"/>
              </w:rPr>
            </w:pPr>
            <w:r>
              <w:rPr>
                <w:rFonts w:ascii="Arial" w:cs="Arial" w:eastAsia="Arial" w:hAnsi="Arial"/>
                <w:sz w:val="10"/>
                <w:szCs w:val="10"/>
                <w:color w:val="auto"/>
              </w:rPr>
              <w:t>3,343</w:t>
            </w:r>
          </w:p>
        </w:tc>
        <w:tc>
          <w:tcPr>
            <w:tcW w:w="160" w:type="dxa"/>
            <w:vAlign w:val="bottom"/>
          </w:tcPr>
          <w:p>
            <w:pPr>
              <w:spacing w:after="0"/>
              <w:rPr>
                <w:sz w:val="14"/>
                <w:szCs w:val="14"/>
                <w:color w:val="auto"/>
              </w:rPr>
            </w:pPr>
          </w:p>
        </w:tc>
        <w:tc>
          <w:tcPr>
            <w:tcW w:w="780" w:type="dxa"/>
            <w:vAlign w:val="bottom"/>
          </w:tcPr>
          <w:p>
            <w:pPr>
              <w:jc w:val="right"/>
              <w:ind w:right="152"/>
              <w:spacing w:after="0"/>
              <w:rPr>
                <w:sz w:val="20"/>
                <w:szCs w:val="20"/>
                <w:color w:val="auto"/>
              </w:rPr>
            </w:pPr>
            <w:r>
              <w:rPr>
                <w:rFonts w:ascii="Arial" w:cs="Arial" w:eastAsia="Arial" w:hAnsi="Arial"/>
                <w:sz w:val="10"/>
                <w:szCs w:val="10"/>
                <w:i w:val="1"/>
                <w:iCs w:val="1"/>
                <w:color w:val="auto"/>
              </w:rPr>
              <w:t>65 %</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0"/>
                <w:szCs w:val="10"/>
                <w:color w:val="auto"/>
              </w:rPr>
              <w:t>15</w:t>
            </w:r>
          </w:p>
        </w:tc>
        <w:tc>
          <w:tcPr>
            <w:tcW w:w="380" w:type="dxa"/>
            <w:vAlign w:val="bottom"/>
          </w:tcPr>
          <w:p>
            <w:pPr>
              <w:jc w:val="right"/>
              <w:ind w:right="232"/>
              <w:spacing w:after="0"/>
              <w:rPr>
                <w:sz w:val="20"/>
                <w:szCs w:val="20"/>
                <w:color w:val="auto"/>
              </w:rPr>
            </w:pPr>
            <w:r>
              <w:rPr>
                <w:rFonts w:ascii="Arial" w:cs="Arial" w:eastAsia="Arial" w:hAnsi="Arial"/>
                <w:sz w:val="10"/>
                <w:szCs w:val="10"/>
                <w:color w:val="auto"/>
                <w:w w:val="89"/>
              </w:rPr>
              <w:t>%</w:t>
            </w:r>
          </w:p>
        </w:tc>
        <w:tc>
          <w:tcPr>
            <w:tcW w:w="0" w:type="dxa"/>
            <w:vAlign w:val="bottom"/>
          </w:tcPr>
          <w:p>
            <w:pPr>
              <w:spacing w:after="0"/>
              <w:rPr>
                <w:sz w:val="1"/>
                <w:szCs w:val="1"/>
                <w:color w:val="auto"/>
              </w:rPr>
            </w:pPr>
          </w:p>
        </w:tc>
      </w:tr>
      <w:tr>
        <w:trPr>
          <w:trHeight w:val="171"/>
        </w:trPr>
        <w:tc>
          <w:tcPr>
            <w:tcW w:w="1700" w:type="dxa"/>
            <w:vAlign w:val="bottom"/>
            <w:shd w:val="clear" w:color="auto" w:fill="CCEEFF"/>
          </w:tcPr>
          <w:p>
            <w:pPr>
              <w:spacing w:after="0"/>
              <w:rPr>
                <w:sz w:val="14"/>
                <w:szCs w:val="14"/>
                <w:color w:val="auto"/>
              </w:rPr>
            </w:pPr>
          </w:p>
        </w:tc>
        <w:tc>
          <w:tcPr>
            <w:tcW w:w="3240" w:type="dxa"/>
            <w:vAlign w:val="bottom"/>
            <w:gridSpan w:val="2"/>
            <w:shd w:val="clear" w:color="auto" w:fill="CCEEFF"/>
          </w:tcPr>
          <w:p>
            <w:pPr>
              <w:ind w:left="280"/>
              <w:spacing w:after="0"/>
              <w:rPr>
                <w:sz w:val="20"/>
                <w:szCs w:val="20"/>
                <w:color w:val="auto"/>
              </w:rPr>
            </w:pPr>
            <w:r>
              <w:rPr>
                <w:rFonts w:ascii="Arial" w:cs="Arial" w:eastAsia="Arial" w:hAnsi="Arial"/>
                <w:sz w:val="10"/>
                <w:szCs w:val="10"/>
                <w:color w:val="auto"/>
              </w:rPr>
              <w:t>Property rental income</w:t>
            </w:r>
          </w:p>
        </w:tc>
        <w:tc>
          <w:tcPr>
            <w:tcW w:w="38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1,496</w:t>
            </w: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152"/>
              <w:spacing w:after="0"/>
              <w:rPr>
                <w:sz w:val="20"/>
                <w:szCs w:val="20"/>
                <w:color w:val="auto"/>
              </w:rPr>
            </w:pPr>
            <w:r>
              <w:rPr>
                <w:rFonts w:ascii="Arial" w:cs="Arial" w:eastAsia="Arial" w:hAnsi="Arial"/>
                <w:sz w:val="10"/>
                <w:szCs w:val="10"/>
                <w:i w:val="1"/>
                <w:iCs w:val="1"/>
                <w:color w:val="auto"/>
              </w:rPr>
              <w:t>28 %</w:t>
            </w:r>
          </w:p>
        </w:tc>
        <w:tc>
          <w:tcPr>
            <w:tcW w:w="18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1,786</w:t>
            </w: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152"/>
              <w:spacing w:after="0"/>
              <w:rPr>
                <w:sz w:val="20"/>
                <w:szCs w:val="20"/>
                <w:color w:val="auto"/>
              </w:rPr>
            </w:pPr>
            <w:r>
              <w:rPr>
                <w:rFonts w:ascii="Arial" w:cs="Arial" w:eastAsia="Arial" w:hAnsi="Arial"/>
                <w:sz w:val="10"/>
                <w:szCs w:val="10"/>
                <w:i w:val="1"/>
                <w:iCs w:val="1"/>
                <w:color w:val="auto"/>
              </w:rPr>
              <w:t>35 %</w:t>
            </w:r>
          </w:p>
        </w:tc>
        <w:tc>
          <w:tcPr>
            <w:tcW w:w="18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232"/>
              <w:spacing w:after="0"/>
              <w:rPr>
                <w:sz w:val="20"/>
                <w:szCs w:val="20"/>
                <w:color w:val="auto"/>
              </w:rPr>
            </w:pPr>
            <w:r>
              <w:rPr>
                <w:rFonts w:ascii="Arial" w:cs="Arial" w:eastAsia="Arial" w:hAnsi="Arial"/>
                <w:sz w:val="10"/>
                <w:szCs w:val="10"/>
                <w:color w:val="auto"/>
              </w:rPr>
              <w:t>(16) %</w:t>
            </w:r>
          </w:p>
        </w:tc>
        <w:tc>
          <w:tcPr>
            <w:tcW w:w="0" w:type="dxa"/>
            <w:vAlign w:val="bottom"/>
          </w:tcPr>
          <w:p>
            <w:pPr>
              <w:spacing w:after="0"/>
              <w:rPr>
                <w:sz w:val="1"/>
                <w:szCs w:val="1"/>
                <w:color w:val="auto"/>
              </w:rPr>
            </w:pPr>
          </w:p>
        </w:tc>
      </w:tr>
      <w:tr>
        <w:trPr>
          <w:trHeight w:val="113"/>
        </w:trPr>
        <w:tc>
          <w:tcPr>
            <w:tcW w:w="1700" w:type="dxa"/>
            <w:vAlign w:val="bottom"/>
          </w:tcPr>
          <w:p>
            <w:pPr>
              <w:spacing w:after="0"/>
              <w:rPr>
                <w:sz w:val="9"/>
                <w:szCs w:val="9"/>
                <w:color w:val="auto"/>
              </w:rPr>
            </w:pPr>
          </w:p>
        </w:tc>
        <w:tc>
          <w:tcPr>
            <w:tcW w:w="3060" w:type="dxa"/>
            <w:vAlign w:val="bottom"/>
          </w:tcPr>
          <w:p>
            <w:pPr>
              <w:spacing w:after="0"/>
              <w:rPr>
                <w:sz w:val="9"/>
                <w:szCs w:val="9"/>
                <w:color w:val="auto"/>
              </w:rPr>
            </w:pPr>
          </w:p>
        </w:tc>
        <w:tc>
          <w:tcPr>
            <w:tcW w:w="180" w:type="dxa"/>
            <w:vAlign w:val="bottom"/>
          </w:tcPr>
          <w:p>
            <w:pPr>
              <w:spacing w:after="0"/>
              <w:rPr>
                <w:sz w:val="9"/>
                <w:szCs w:val="9"/>
                <w:color w:val="auto"/>
              </w:rPr>
            </w:pPr>
          </w:p>
        </w:tc>
        <w:tc>
          <w:tcPr>
            <w:tcW w:w="380" w:type="dxa"/>
            <w:vAlign w:val="bottom"/>
          </w:tcPr>
          <w:p>
            <w:pPr>
              <w:jc w:val="right"/>
              <w:ind w:right="72"/>
              <w:spacing w:after="0" w:line="113" w:lineRule="exact"/>
              <w:rPr>
                <w:sz w:val="20"/>
                <w:szCs w:val="20"/>
                <w:color w:val="auto"/>
              </w:rPr>
            </w:pPr>
            <w:r>
              <w:rPr>
                <w:rFonts w:ascii="Arial" w:cs="Arial" w:eastAsia="Arial" w:hAnsi="Arial"/>
                <w:sz w:val="10"/>
                <w:szCs w:val="10"/>
                <w:b w:val="1"/>
                <w:bCs w:val="1"/>
                <w:color w:val="auto"/>
              </w:rPr>
              <w:t>$</w:t>
            </w:r>
          </w:p>
        </w:tc>
        <w:tc>
          <w:tcPr>
            <w:tcW w:w="800" w:type="dxa"/>
            <w:vAlign w:val="bottom"/>
          </w:tcPr>
          <w:p>
            <w:pPr>
              <w:jc w:val="right"/>
              <w:spacing w:after="0" w:line="113" w:lineRule="exact"/>
              <w:rPr>
                <w:sz w:val="20"/>
                <w:szCs w:val="20"/>
                <w:color w:val="auto"/>
              </w:rPr>
            </w:pPr>
            <w:r>
              <w:rPr>
                <w:rFonts w:ascii="Arial" w:cs="Arial" w:eastAsia="Arial" w:hAnsi="Arial"/>
                <w:sz w:val="10"/>
                <w:szCs w:val="10"/>
                <w:b w:val="1"/>
                <w:bCs w:val="1"/>
                <w:color w:val="auto"/>
              </w:rPr>
              <w:t>5,340</w:t>
            </w:r>
          </w:p>
        </w:tc>
        <w:tc>
          <w:tcPr>
            <w:tcW w:w="180" w:type="dxa"/>
            <w:vAlign w:val="bottom"/>
          </w:tcPr>
          <w:p>
            <w:pPr>
              <w:spacing w:after="0"/>
              <w:rPr>
                <w:sz w:val="9"/>
                <w:szCs w:val="9"/>
                <w:color w:val="auto"/>
              </w:rPr>
            </w:pPr>
          </w:p>
        </w:tc>
        <w:tc>
          <w:tcPr>
            <w:tcW w:w="780" w:type="dxa"/>
            <w:vAlign w:val="bottom"/>
          </w:tcPr>
          <w:p>
            <w:pPr>
              <w:jc w:val="right"/>
              <w:ind w:right="152"/>
              <w:spacing w:after="0" w:line="102" w:lineRule="exact"/>
              <w:rPr>
                <w:sz w:val="20"/>
                <w:szCs w:val="20"/>
                <w:color w:val="auto"/>
              </w:rPr>
            </w:pPr>
            <w:r>
              <w:rPr>
                <w:rFonts w:ascii="Arial" w:cs="Arial" w:eastAsia="Arial" w:hAnsi="Arial"/>
                <w:sz w:val="10"/>
                <w:szCs w:val="10"/>
                <w:i w:val="1"/>
                <w:iCs w:val="1"/>
                <w:color w:val="auto"/>
              </w:rPr>
              <w:t>100 %</w:t>
            </w:r>
          </w:p>
        </w:tc>
        <w:tc>
          <w:tcPr>
            <w:tcW w:w="180" w:type="dxa"/>
            <w:vAlign w:val="bottom"/>
          </w:tcPr>
          <w:p>
            <w:pPr>
              <w:spacing w:after="0"/>
              <w:rPr>
                <w:sz w:val="9"/>
                <w:szCs w:val="9"/>
                <w:color w:val="auto"/>
              </w:rPr>
            </w:pPr>
          </w:p>
        </w:tc>
        <w:tc>
          <w:tcPr>
            <w:tcW w:w="360" w:type="dxa"/>
            <w:vAlign w:val="bottom"/>
          </w:tcPr>
          <w:p>
            <w:pPr>
              <w:jc w:val="right"/>
              <w:ind w:right="72"/>
              <w:spacing w:after="0" w:line="113" w:lineRule="exact"/>
              <w:rPr>
                <w:sz w:val="20"/>
                <w:szCs w:val="20"/>
                <w:color w:val="auto"/>
              </w:rPr>
            </w:pPr>
            <w:r>
              <w:rPr>
                <w:rFonts w:ascii="Arial" w:cs="Arial" w:eastAsia="Arial" w:hAnsi="Arial"/>
                <w:sz w:val="10"/>
                <w:szCs w:val="10"/>
                <w:b w:val="1"/>
                <w:bCs w:val="1"/>
                <w:color w:val="auto"/>
              </w:rPr>
              <w:t>$</w:t>
            </w:r>
          </w:p>
        </w:tc>
        <w:tc>
          <w:tcPr>
            <w:tcW w:w="800" w:type="dxa"/>
            <w:vAlign w:val="bottom"/>
          </w:tcPr>
          <w:p>
            <w:pPr>
              <w:jc w:val="right"/>
              <w:spacing w:after="0" w:line="113" w:lineRule="exact"/>
              <w:rPr>
                <w:sz w:val="20"/>
                <w:szCs w:val="20"/>
                <w:color w:val="auto"/>
              </w:rPr>
            </w:pPr>
            <w:r>
              <w:rPr>
                <w:rFonts w:ascii="Arial" w:cs="Arial" w:eastAsia="Arial" w:hAnsi="Arial"/>
                <w:sz w:val="10"/>
                <w:szCs w:val="10"/>
                <w:b w:val="1"/>
                <w:bCs w:val="1"/>
                <w:color w:val="auto"/>
              </w:rPr>
              <w:t>5,129</w:t>
            </w:r>
          </w:p>
        </w:tc>
        <w:tc>
          <w:tcPr>
            <w:tcW w:w="160" w:type="dxa"/>
            <w:vAlign w:val="bottom"/>
          </w:tcPr>
          <w:p>
            <w:pPr>
              <w:spacing w:after="0"/>
              <w:rPr>
                <w:sz w:val="9"/>
                <w:szCs w:val="9"/>
                <w:color w:val="auto"/>
              </w:rPr>
            </w:pPr>
          </w:p>
        </w:tc>
        <w:tc>
          <w:tcPr>
            <w:tcW w:w="780" w:type="dxa"/>
            <w:vAlign w:val="bottom"/>
          </w:tcPr>
          <w:p>
            <w:pPr>
              <w:jc w:val="right"/>
              <w:ind w:right="152"/>
              <w:spacing w:after="0" w:line="102" w:lineRule="exact"/>
              <w:rPr>
                <w:sz w:val="20"/>
                <w:szCs w:val="20"/>
                <w:color w:val="auto"/>
              </w:rPr>
            </w:pPr>
            <w:r>
              <w:rPr>
                <w:rFonts w:ascii="Arial" w:cs="Arial" w:eastAsia="Arial" w:hAnsi="Arial"/>
                <w:sz w:val="10"/>
                <w:szCs w:val="10"/>
                <w:i w:val="1"/>
                <w:iCs w:val="1"/>
                <w:color w:val="auto"/>
              </w:rPr>
              <w:t>100 %</w:t>
            </w:r>
          </w:p>
        </w:tc>
        <w:tc>
          <w:tcPr>
            <w:tcW w:w="180" w:type="dxa"/>
            <w:vAlign w:val="bottom"/>
          </w:tcPr>
          <w:p>
            <w:pPr>
              <w:spacing w:after="0"/>
              <w:rPr>
                <w:sz w:val="9"/>
                <w:szCs w:val="9"/>
                <w:color w:val="auto"/>
              </w:rPr>
            </w:pPr>
          </w:p>
        </w:tc>
        <w:tc>
          <w:tcPr>
            <w:tcW w:w="700" w:type="dxa"/>
            <w:vAlign w:val="bottom"/>
          </w:tcPr>
          <w:p>
            <w:pPr>
              <w:jc w:val="right"/>
              <w:spacing w:after="0" w:line="102" w:lineRule="exact"/>
              <w:rPr>
                <w:sz w:val="20"/>
                <w:szCs w:val="20"/>
                <w:color w:val="auto"/>
              </w:rPr>
            </w:pPr>
            <w:r>
              <w:rPr>
                <w:rFonts w:ascii="Arial" w:cs="Arial" w:eastAsia="Arial" w:hAnsi="Arial"/>
                <w:sz w:val="10"/>
                <w:szCs w:val="10"/>
                <w:color w:val="auto"/>
              </w:rPr>
              <w:t>4</w:t>
            </w:r>
          </w:p>
        </w:tc>
        <w:tc>
          <w:tcPr>
            <w:tcW w:w="380" w:type="dxa"/>
            <w:vAlign w:val="bottom"/>
          </w:tcPr>
          <w:p>
            <w:pPr>
              <w:jc w:val="right"/>
              <w:ind w:right="232"/>
              <w:spacing w:after="0" w:line="102" w:lineRule="exact"/>
              <w:rPr>
                <w:sz w:val="20"/>
                <w:szCs w:val="20"/>
                <w:color w:val="auto"/>
              </w:rPr>
            </w:pPr>
            <w:r>
              <w:rPr>
                <w:rFonts w:ascii="Arial" w:cs="Arial" w:eastAsia="Arial" w:hAnsi="Arial"/>
                <w:sz w:val="10"/>
                <w:szCs w:val="10"/>
                <w:color w:val="auto"/>
                <w:w w:val="89"/>
              </w:rPr>
              <w:t>%</w:t>
            </w:r>
          </w:p>
        </w:tc>
        <w:tc>
          <w:tcPr>
            <w:tcW w:w="0" w:type="dxa"/>
            <w:vAlign w:val="bottom"/>
          </w:tcPr>
          <w:p>
            <w:pPr>
              <w:spacing w:after="0"/>
              <w:rPr>
                <w:sz w:val="1"/>
                <w:szCs w:val="1"/>
                <w:color w:val="auto"/>
              </w:rPr>
            </w:pPr>
          </w:p>
        </w:tc>
      </w:tr>
      <w:tr>
        <w:trPr>
          <w:trHeight w:val="39"/>
        </w:trPr>
        <w:tc>
          <w:tcPr>
            <w:tcW w:w="1700" w:type="dxa"/>
            <w:vAlign w:val="bottom"/>
          </w:tcPr>
          <w:p>
            <w:pPr>
              <w:spacing w:after="0"/>
              <w:rPr>
                <w:sz w:val="3"/>
                <w:szCs w:val="3"/>
                <w:color w:val="auto"/>
              </w:rPr>
            </w:pPr>
          </w:p>
        </w:tc>
        <w:tc>
          <w:tcPr>
            <w:tcW w:w="3060" w:type="dxa"/>
            <w:vAlign w:val="bottom"/>
          </w:tcPr>
          <w:p>
            <w:pPr>
              <w:spacing w:after="0"/>
              <w:rPr>
                <w:sz w:val="3"/>
                <w:szCs w:val="3"/>
                <w:color w:val="auto"/>
              </w:rPr>
            </w:pPr>
          </w:p>
        </w:tc>
        <w:tc>
          <w:tcPr>
            <w:tcW w:w="18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8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80" w:type="dxa"/>
            <w:vAlign w:val="bottom"/>
            <w:gridSpan w:val="2"/>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17"/>
        </w:trPr>
        <w:tc>
          <w:tcPr>
            <w:tcW w:w="1700" w:type="dxa"/>
            <w:vAlign w:val="bottom"/>
            <w:shd w:val="clear" w:color="auto" w:fill="CCEEFF"/>
          </w:tcPr>
          <w:p>
            <w:pPr>
              <w:ind w:left="400"/>
              <w:spacing w:after="0"/>
              <w:rPr>
                <w:sz w:val="20"/>
                <w:szCs w:val="20"/>
                <w:color w:val="auto"/>
              </w:rPr>
            </w:pPr>
            <w:r>
              <w:rPr>
                <w:rFonts w:ascii="Arial" w:cs="Arial" w:eastAsia="Arial" w:hAnsi="Arial"/>
                <w:sz w:val="10"/>
                <w:szCs w:val="10"/>
                <w:b w:val="1"/>
                <w:bCs w:val="1"/>
                <w:color w:val="auto"/>
              </w:rPr>
              <w:t>Australia</w:t>
            </w:r>
          </w:p>
        </w:tc>
        <w:tc>
          <w:tcPr>
            <w:tcW w:w="3240" w:type="dxa"/>
            <w:vAlign w:val="bottom"/>
            <w:gridSpan w:val="2"/>
            <w:shd w:val="clear" w:color="auto" w:fill="CCEEFF"/>
          </w:tcPr>
          <w:p>
            <w:pPr>
              <w:ind w:left="280"/>
              <w:spacing w:after="0"/>
              <w:rPr>
                <w:sz w:val="20"/>
                <w:szCs w:val="20"/>
                <w:color w:val="auto"/>
              </w:rPr>
            </w:pPr>
            <w:r>
              <w:rPr>
                <w:rFonts w:ascii="Arial" w:cs="Arial" w:eastAsia="Arial" w:hAnsi="Arial"/>
                <w:sz w:val="10"/>
                <w:szCs w:val="10"/>
                <w:color w:val="auto"/>
              </w:rPr>
              <w:t>Property rental income</w:t>
            </w:r>
          </w:p>
        </w:tc>
        <w:tc>
          <w:tcPr>
            <w:tcW w:w="380" w:type="dxa"/>
            <w:vAlign w:val="bottom"/>
            <w:shd w:val="clear" w:color="auto" w:fill="CCEEFF"/>
          </w:tcPr>
          <w:p>
            <w:pPr>
              <w:jc w:val="right"/>
              <w:ind w:right="72"/>
              <w:spacing w:after="0"/>
              <w:rPr>
                <w:sz w:val="20"/>
                <w:szCs w:val="20"/>
                <w:color w:val="auto"/>
              </w:rPr>
            </w:pPr>
            <w:r>
              <w:rPr>
                <w:rFonts w:ascii="Arial" w:cs="Arial" w:eastAsia="Arial" w:hAnsi="Arial"/>
                <w:sz w:val="10"/>
                <w:szCs w:val="10"/>
                <w:b w:val="1"/>
                <w:bCs w:val="1"/>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11,374</w:t>
            </w:r>
          </w:p>
        </w:tc>
        <w:tc>
          <w:tcPr>
            <w:tcW w:w="180" w:type="dxa"/>
            <w:vAlign w:val="bottom"/>
            <w:shd w:val="clear" w:color="auto" w:fill="CCEEFF"/>
          </w:tcPr>
          <w:p>
            <w:pPr>
              <w:spacing w:after="0"/>
              <w:rPr>
                <w:sz w:val="10"/>
                <w:szCs w:val="10"/>
                <w:color w:val="auto"/>
              </w:rPr>
            </w:pPr>
          </w:p>
        </w:tc>
        <w:tc>
          <w:tcPr>
            <w:tcW w:w="780" w:type="dxa"/>
            <w:vAlign w:val="bottom"/>
            <w:shd w:val="clear" w:color="auto" w:fill="CCEEFF"/>
          </w:tcPr>
          <w:p>
            <w:pPr>
              <w:jc w:val="right"/>
              <w:ind w:right="152"/>
              <w:spacing w:after="0"/>
              <w:rPr>
                <w:sz w:val="20"/>
                <w:szCs w:val="20"/>
                <w:color w:val="auto"/>
              </w:rPr>
            </w:pPr>
            <w:r>
              <w:rPr>
                <w:rFonts w:ascii="Arial" w:cs="Arial" w:eastAsia="Arial" w:hAnsi="Arial"/>
                <w:sz w:val="10"/>
                <w:szCs w:val="10"/>
                <w:i w:val="1"/>
                <w:iCs w:val="1"/>
                <w:color w:val="auto"/>
              </w:rPr>
              <w:t>100 %</w:t>
            </w:r>
          </w:p>
        </w:tc>
        <w:tc>
          <w:tcPr>
            <w:tcW w:w="180" w:type="dxa"/>
            <w:vAlign w:val="bottom"/>
            <w:shd w:val="clear" w:color="auto" w:fill="CCEEFF"/>
          </w:tcPr>
          <w:p>
            <w:pPr>
              <w:spacing w:after="0"/>
              <w:rPr>
                <w:sz w:val="10"/>
                <w:szCs w:val="10"/>
                <w:color w:val="auto"/>
              </w:rPr>
            </w:pPr>
          </w:p>
        </w:tc>
        <w:tc>
          <w:tcPr>
            <w:tcW w:w="360" w:type="dxa"/>
            <w:vAlign w:val="bottom"/>
            <w:shd w:val="clear" w:color="auto" w:fill="CCEEFF"/>
          </w:tcPr>
          <w:p>
            <w:pPr>
              <w:jc w:val="right"/>
              <w:ind w:right="72"/>
              <w:spacing w:after="0"/>
              <w:rPr>
                <w:sz w:val="20"/>
                <w:szCs w:val="20"/>
                <w:color w:val="auto"/>
              </w:rPr>
            </w:pPr>
            <w:r>
              <w:rPr>
                <w:rFonts w:ascii="Arial" w:cs="Arial" w:eastAsia="Arial" w:hAnsi="Arial"/>
                <w:sz w:val="10"/>
                <w:szCs w:val="10"/>
                <w:b w:val="1"/>
                <w:bCs w:val="1"/>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0"/>
                <w:szCs w:val="10"/>
                <w:b w:val="1"/>
                <w:bCs w:val="1"/>
                <w:color w:val="auto"/>
              </w:rPr>
              <w:t>13,702</w:t>
            </w:r>
          </w:p>
        </w:tc>
        <w:tc>
          <w:tcPr>
            <w:tcW w:w="160" w:type="dxa"/>
            <w:vAlign w:val="bottom"/>
            <w:shd w:val="clear" w:color="auto" w:fill="CCEEFF"/>
          </w:tcPr>
          <w:p>
            <w:pPr>
              <w:spacing w:after="0"/>
              <w:rPr>
                <w:sz w:val="10"/>
                <w:szCs w:val="10"/>
                <w:color w:val="auto"/>
              </w:rPr>
            </w:pPr>
          </w:p>
        </w:tc>
        <w:tc>
          <w:tcPr>
            <w:tcW w:w="780" w:type="dxa"/>
            <w:vAlign w:val="bottom"/>
            <w:shd w:val="clear" w:color="auto" w:fill="CCEEFF"/>
          </w:tcPr>
          <w:p>
            <w:pPr>
              <w:jc w:val="right"/>
              <w:ind w:right="152"/>
              <w:spacing w:after="0"/>
              <w:rPr>
                <w:sz w:val="20"/>
                <w:szCs w:val="20"/>
                <w:color w:val="auto"/>
              </w:rPr>
            </w:pPr>
            <w:r>
              <w:rPr>
                <w:rFonts w:ascii="Arial" w:cs="Arial" w:eastAsia="Arial" w:hAnsi="Arial"/>
                <w:sz w:val="10"/>
                <w:szCs w:val="10"/>
                <w:i w:val="1"/>
                <w:iCs w:val="1"/>
                <w:color w:val="auto"/>
              </w:rPr>
              <w:t>100 %</w:t>
            </w:r>
          </w:p>
        </w:tc>
        <w:tc>
          <w:tcPr>
            <w:tcW w:w="180" w:type="dxa"/>
            <w:vAlign w:val="bottom"/>
            <w:shd w:val="clear" w:color="auto" w:fill="CCEEFF"/>
          </w:tcPr>
          <w:p>
            <w:pPr>
              <w:spacing w:after="0"/>
              <w:rPr>
                <w:sz w:val="10"/>
                <w:szCs w:val="10"/>
                <w:color w:val="auto"/>
              </w:rPr>
            </w:pPr>
          </w:p>
        </w:tc>
        <w:tc>
          <w:tcPr>
            <w:tcW w:w="1080" w:type="dxa"/>
            <w:vAlign w:val="bottom"/>
            <w:gridSpan w:val="2"/>
            <w:shd w:val="clear" w:color="auto" w:fill="CCEEFF"/>
          </w:tcPr>
          <w:p>
            <w:pPr>
              <w:jc w:val="right"/>
              <w:ind w:right="232"/>
              <w:spacing w:after="0"/>
              <w:rPr>
                <w:sz w:val="20"/>
                <w:szCs w:val="20"/>
                <w:color w:val="auto"/>
              </w:rPr>
            </w:pPr>
            <w:r>
              <w:rPr>
                <w:rFonts w:ascii="Arial" w:cs="Arial" w:eastAsia="Arial" w:hAnsi="Arial"/>
                <w:sz w:val="10"/>
                <w:szCs w:val="10"/>
                <w:color w:val="auto"/>
              </w:rPr>
              <w:t>(17) %</w:t>
            </w:r>
          </w:p>
        </w:tc>
        <w:tc>
          <w:tcPr>
            <w:tcW w:w="0" w:type="dxa"/>
            <w:vAlign w:val="bottom"/>
          </w:tcPr>
          <w:p>
            <w:pPr>
              <w:spacing w:after="0"/>
              <w:rPr>
                <w:sz w:val="1"/>
                <w:szCs w:val="1"/>
                <w:color w:val="auto"/>
              </w:rPr>
            </w:pPr>
          </w:p>
        </w:tc>
      </w:tr>
      <w:tr>
        <w:trPr>
          <w:trHeight w:val="34"/>
        </w:trPr>
        <w:tc>
          <w:tcPr>
            <w:tcW w:w="1700" w:type="dxa"/>
            <w:vAlign w:val="bottom"/>
            <w:tcBorders>
              <w:bottom w:val="single" w:sz="8" w:color="CCEEFF"/>
            </w:tcBorders>
            <w:shd w:val="clear" w:color="auto" w:fill="CCEEFF"/>
          </w:tcPr>
          <w:p>
            <w:pPr>
              <w:spacing w:after="0"/>
              <w:rPr>
                <w:sz w:val="2"/>
                <w:szCs w:val="2"/>
                <w:color w:val="auto"/>
              </w:rPr>
            </w:pPr>
          </w:p>
        </w:tc>
        <w:tc>
          <w:tcPr>
            <w:tcW w:w="3060" w:type="dxa"/>
            <w:vAlign w:val="bottom"/>
            <w:tcBorders>
              <w:bottom w:val="single" w:sz="8" w:color="CCEEFF"/>
            </w:tcBorders>
            <w:shd w:val="clear" w:color="auto" w:fill="CCEEFF"/>
          </w:tcPr>
          <w:p>
            <w:pPr>
              <w:spacing w:after="0"/>
              <w:rPr>
                <w:sz w:val="2"/>
                <w:szCs w:val="2"/>
                <w:color w:val="auto"/>
              </w:rPr>
            </w:pPr>
          </w:p>
        </w:tc>
        <w:tc>
          <w:tcPr>
            <w:tcW w:w="180" w:type="dxa"/>
            <w:vAlign w:val="bottom"/>
            <w:tcBorders>
              <w:bottom w:val="single" w:sz="8" w:color="CCEEFF"/>
            </w:tcBorders>
            <w:shd w:val="clear" w:color="auto" w:fill="CCEEFF"/>
          </w:tcPr>
          <w:p>
            <w:pPr>
              <w:spacing w:after="0"/>
              <w:rPr>
                <w:sz w:val="2"/>
                <w:szCs w:val="2"/>
                <w:color w:val="auto"/>
              </w:rPr>
            </w:pPr>
          </w:p>
        </w:tc>
        <w:tc>
          <w:tcPr>
            <w:tcW w:w="380" w:type="dxa"/>
            <w:vAlign w:val="bottom"/>
            <w:tcBorders>
              <w:bottom w:val="single" w:sz="8" w:color="CCEEFF"/>
            </w:tcBorders>
            <w:shd w:val="clear" w:color="auto" w:fill="CCEEFF"/>
          </w:tcPr>
          <w:p>
            <w:pPr>
              <w:spacing w:after="0"/>
              <w:rPr>
                <w:sz w:val="2"/>
                <w:szCs w:val="2"/>
                <w:color w:val="auto"/>
              </w:rPr>
            </w:pPr>
          </w:p>
        </w:tc>
        <w:tc>
          <w:tcPr>
            <w:tcW w:w="800" w:type="dxa"/>
            <w:vAlign w:val="bottom"/>
            <w:tcBorders>
              <w:bottom w:val="single" w:sz="8" w:color="CCEEFF"/>
            </w:tcBorders>
            <w:shd w:val="clear" w:color="auto" w:fill="CCEEFF"/>
          </w:tcPr>
          <w:p>
            <w:pPr>
              <w:spacing w:after="0"/>
              <w:rPr>
                <w:sz w:val="2"/>
                <w:szCs w:val="2"/>
                <w:color w:val="auto"/>
              </w:rPr>
            </w:pPr>
          </w:p>
        </w:tc>
        <w:tc>
          <w:tcPr>
            <w:tcW w:w="180" w:type="dxa"/>
            <w:vAlign w:val="bottom"/>
            <w:tcBorders>
              <w:bottom w:val="single" w:sz="8" w:color="CCEEFF"/>
            </w:tcBorders>
            <w:shd w:val="clear" w:color="auto" w:fill="CCEEFF"/>
          </w:tcPr>
          <w:p>
            <w:pPr>
              <w:spacing w:after="0"/>
              <w:rPr>
                <w:sz w:val="2"/>
                <w:szCs w:val="2"/>
                <w:color w:val="auto"/>
              </w:rPr>
            </w:pPr>
          </w:p>
        </w:tc>
        <w:tc>
          <w:tcPr>
            <w:tcW w:w="780" w:type="dxa"/>
            <w:vAlign w:val="bottom"/>
            <w:tcBorders>
              <w:bottom w:val="single" w:sz="8" w:color="CCEEFF"/>
            </w:tcBorders>
            <w:shd w:val="clear" w:color="auto" w:fill="CCEEFF"/>
          </w:tcPr>
          <w:p>
            <w:pPr>
              <w:spacing w:after="0"/>
              <w:rPr>
                <w:sz w:val="2"/>
                <w:szCs w:val="2"/>
                <w:color w:val="auto"/>
              </w:rPr>
            </w:pPr>
          </w:p>
        </w:tc>
        <w:tc>
          <w:tcPr>
            <w:tcW w:w="180" w:type="dxa"/>
            <w:vAlign w:val="bottom"/>
            <w:tcBorders>
              <w:bottom w:val="single" w:sz="8" w:color="CCEEFF"/>
            </w:tcBorders>
            <w:shd w:val="clear" w:color="auto" w:fill="CCEEFF"/>
          </w:tcPr>
          <w:p>
            <w:pPr>
              <w:spacing w:after="0"/>
              <w:rPr>
                <w:sz w:val="2"/>
                <w:szCs w:val="2"/>
                <w:color w:val="auto"/>
              </w:rPr>
            </w:pPr>
          </w:p>
        </w:tc>
        <w:tc>
          <w:tcPr>
            <w:tcW w:w="360" w:type="dxa"/>
            <w:vAlign w:val="bottom"/>
            <w:tcBorders>
              <w:bottom w:val="single" w:sz="8" w:color="CCEEFF"/>
            </w:tcBorders>
            <w:shd w:val="clear" w:color="auto" w:fill="CCEEFF"/>
          </w:tcPr>
          <w:p>
            <w:pPr>
              <w:spacing w:after="0"/>
              <w:rPr>
                <w:sz w:val="2"/>
                <w:szCs w:val="2"/>
                <w:color w:val="auto"/>
              </w:rPr>
            </w:pPr>
          </w:p>
        </w:tc>
        <w:tc>
          <w:tcPr>
            <w:tcW w:w="800" w:type="dxa"/>
            <w:vAlign w:val="bottom"/>
            <w:tcBorders>
              <w:bottom w:val="single" w:sz="8" w:color="CCEEFF"/>
            </w:tcBorders>
            <w:vMerge w:val="continue"/>
            <w:shd w:val="clear" w:color="auto" w:fill="CCEEFF"/>
          </w:tcPr>
          <w:p>
            <w:pPr>
              <w:spacing w:after="0"/>
              <w:rPr>
                <w:sz w:val="2"/>
                <w:szCs w:val="2"/>
                <w:color w:val="auto"/>
              </w:rPr>
            </w:pPr>
          </w:p>
        </w:tc>
        <w:tc>
          <w:tcPr>
            <w:tcW w:w="160" w:type="dxa"/>
            <w:vAlign w:val="bottom"/>
            <w:tcBorders>
              <w:bottom w:val="single" w:sz="8" w:color="CCEEFF"/>
            </w:tcBorders>
            <w:shd w:val="clear" w:color="auto" w:fill="CCEEFF"/>
          </w:tcPr>
          <w:p>
            <w:pPr>
              <w:spacing w:after="0"/>
              <w:rPr>
                <w:sz w:val="2"/>
                <w:szCs w:val="2"/>
                <w:color w:val="auto"/>
              </w:rPr>
            </w:pPr>
          </w:p>
        </w:tc>
        <w:tc>
          <w:tcPr>
            <w:tcW w:w="780" w:type="dxa"/>
            <w:vAlign w:val="bottom"/>
            <w:tcBorders>
              <w:bottom w:val="single" w:sz="8" w:color="CCEEFF"/>
            </w:tcBorders>
            <w:shd w:val="clear" w:color="auto" w:fill="CCEEFF"/>
          </w:tcPr>
          <w:p>
            <w:pPr>
              <w:spacing w:after="0"/>
              <w:rPr>
                <w:sz w:val="2"/>
                <w:szCs w:val="2"/>
                <w:color w:val="auto"/>
              </w:rPr>
            </w:pPr>
          </w:p>
        </w:tc>
        <w:tc>
          <w:tcPr>
            <w:tcW w:w="180" w:type="dxa"/>
            <w:vAlign w:val="bottom"/>
            <w:tcBorders>
              <w:bottom w:val="single" w:sz="8" w:color="CCEEFF"/>
            </w:tcBorders>
            <w:shd w:val="clear" w:color="auto" w:fill="CCEEFF"/>
          </w:tcPr>
          <w:p>
            <w:pPr>
              <w:spacing w:after="0"/>
              <w:rPr>
                <w:sz w:val="2"/>
                <w:szCs w:val="2"/>
                <w:color w:val="auto"/>
              </w:rPr>
            </w:pPr>
          </w:p>
        </w:tc>
        <w:tc>
          <w:tcPr>
            <w:tcW w:w="700" w:type="dxa"/>
            <w:vAlign w:val="bottom"/>
            <w:tcBorders>
              <w:bottom w:val="single" w:sz="8" w:color="CCEEFF"/>
            </w:tcBorders>
            <w:shd w:val="clear" w:color="auto" w:fill="CCEEFF"/>
          </w:tcPr>
          <w:p>
            <w:pPr>
              <w:spacing w:after="0"/>
              <w:rPr>
                <w:sz w:val="2"/>
                <w:szCs w:val="2"/>
                <w:color w:val="auto"/>
              </w:rPr>
            </w:pPr>
          </w:p>
        </w:tc>
        <w:tc>
          <w:tcPr>
            <w:tcW w:w="380" w:type="dxa"/>
            <w:vAlign w:val="bottom"/>
            <w:tcBorders>
              <w:bottom w:val="single" w:sz="8" w:color="CCEEFF"/>
            </w:tcBorders>
            <w:shd w:val="clear" w:color="auto" w:fill="CCEEFF"/>
          </w:tcPr>
          <w:p>
            <w:pPr>
              <w:spacing w:after="0"/>
              <w:rPr>
                <w:sz w:val="2"/>
                <w:szCs w:val="2"/>
                <w:color w:val="auto"/>
              </w:rPr>
            </w:pPr>
          </w:p>
        </w:tc>
        <w:tc>
          <w:tcPr>
            <w:tcW w:w="0" w:type="dxa"/>
            <w:vAlign w:val="bottom"/>
          </w:tcPr>
          <w:p>
            <w:pPr>
              <w:spacing w:after="0"/>
              <w:rPr>
                <w:sz w:val="1"/>
                <w:szCs w:val="1"/>
                <w:color w:val="auto"/>
              </w:rPr>
            </w:pPr>
          </w:p>
        </w:tc>
      </w:tr>
      <w:tr>
        <w:trPr>
          <w:trHeight w:val="124"/>
        </w:trPr>
        <w:tc>
          <w:tcPr>
            <w:tcW w:w="1700" w:type="dxa"/>
            <w:vAlign w:val="bottom"/>
          </w:tcPr>
          <w:p>
            <w:pPr>
              <w:ind w:left="400"/>
              <w:spacing w:after="0"/>
              <w:rPr>
                <w:sz w:val="20"/>
                <w:szCs w:val="20"/>
                <w:color w:val="auto"/>
              </w:rPr>
            </w:pPr>
            <w:r>
              <w:rPr>
                <w:rFonts w:ascii="Arial" w:cs="Arial" w:eastAsia="Arial" w:hAnsi="Arial"/>
                <w:sz w:val="10"/>
                <w:szCs w:val="10"/>
                <w:b w:val="1"/>
                <w:bCs w:val="1"/>
                <w:color w:val="auto"/>
              </w:rPr>
              <w:t>New Zealand</w:t>
            </w:r>
          </w:p>
        </w:tc>
        <w:tc>
          <w:tcPr>
            <w:tcW w:w="3240" w:type="dxa"/>
            <w:vAlign w:val="bottom"/>
            <w:gridSpan w:val="2"/>
          </w:tcPr>
          <w:p>
            <w:pPr>
              <w:ind w:left="280"/>
              <w:spacing w:after="0"/>
              <w:rPr>
                <w:sz w:val="20"/>
                <w:szCs w:val="20"/>
                <w:color w:val="auto"/>
              </w:rPr>
            </w:pPr>
            <w:r>
              <w:rPr>
                <w:rFonts w:ascii="Arial" w:cs="Arial" w:eastAsia="Arial" w:hAnsi="Arial"/>
                <w:sz w:val="10"/>
                <w:szCs w:val="10"/>
                <w:color w:val="auto"/>
              </w:rPr>
              <w:t>Property rental income</w:t>
            </w:r>
          </w:p>
        </w:tc>
        <w:tc>
          <w:tcPr>
            <w:tcW w:w="380" w:type="dxa"/>
            <w:vAlign w:val="bottom"/>
          </w:tcPr>
          <w:p>
            <w:pPr>
              <w:jc w:val="right"/>
              <w:ind w:right="72"/>
              <w:spacing w:after="0"/>
              <w:rPr>
                <w:sz w:val="20"/>
                <w:szCs w:val="20"/>
                <w:color w:val="auto"/>
              </w:rPr>
            </w:pPr>
            <w:r>
              <w:rPr>
                <w:rFonts w:ascii="Arial" w:cs="Arial" w:eastAsia="Arial" w:hAnsi="Arial"/>
                <w:sz w:val="10"/>
                <w:szCs w:val="10"/>
                <w:b w:val="1"/>
                <w:bCs w:val="1"/>
                <w:color w:val="auto"/>
              </w:rPr>
              <w:t>$</w:t>
            </w:r>
          </w:p>
        </w:tc>
        <w:tc>
          <w:tcPr>
            <w:tcW w:w="800" w:type="dxa"/>
            <w:vAlign w:val="bottom"/>
          </w:tcPr>
          <w:p>
            <w:pPr>
              <w:jc w:val="right"/>
              <w:spacing w:after="0"/>
              <w:rPr>
                <w:sz w:val="20"/>
                <w:szCs w:val="20"/>
                <w:color w:val="auto"/>
              </w:rPr>
            </w:pPr>
            <w:r>
              <w:rPr>
                <w:rFonts w:ascii="Arial" w:cs="Arial" w:eastAsia="Arial" w:hAnsi="Arial"/>
                <w:sz w:val="10"/>
                <w:szCs w:val="10"/>
                <w:b w:val="1"/>
                <w:bCs w:val="1"/>
                <w:color w:val="auto"/>
              </w:rPr>
              <w:t>4,865</w:t>
            </w:r>
          </w:p>
        </w:tc>
        <w:tc>
          <w:tcPr>
            <w:tcW w:w="180" w:type="dxa"/>
            <w:vAlign w:val="bottom"/>
          </w:tcPr>
          <w:p>
            <w:pPr>
              <w:spacing w:after="0"/>
              <w:rPr>
                <w:sz w:val="10"/>
                <w:szCs w:val="10"/>
                <w:color w:val="auto"/>
              </w:rPr>
            </w:pPr>
          </w:p>
        </w:tc>
        <w:tc>
          <w:tcPr>
            <w:tcW w:w="780" w:type="dxa"/>
            <w:vAlign w:val="bottom"/>
          </w:tcPr>
          <w:p>
            <w:pPr>
              <w:jc w:val="right"/>
              <w:ind w:right="152"/>
              <w:spacing w:after="0"/>
              <w:rPr>
                <w:sz w:val="20"/>
                <w:szCs w:val="20"/>
                <w:color w:val="auto"/>
              </w:rPr>
            </w:pPr>
            <w:r>
              <w:rPr>
                <w:rFonts w:ascii="Arial" w:cs="Arial" w:eastAsia="Arial" w:hAnsi="Arial"/>
                <w:sz w:val="10"/>
                <w:szCs w:val="10"/>
                <w:i w:val="1"/>
                <w:iCs w:val="1"/>
                <w:color w:val="auto"/>
              </w:rPr>
              <w:t>100 %</w:t>
            </w:r>
          </w:p>
        </w:tc>
        <w:tc>
          <w:tcPr>
            <w:tcW w:w="180" w:type="dxa"/>
            <w:vAlign w:val="bottom"/>
          </w:tcPr>
          <w:p>
            <w:pPr>
              <w:spacing w:after="0"/>
              <w:rPr>
                <w:sz w:val="10"/>
                <w:szCs w:val="10"/>
                <w:color w:val="auto"/>
              </w:rPr>
            </w:pPr>
          </w:p>
        </w:tc>
        <w:tc>
          <w:tcPr>
            <w:tcW w:w="360" w:type="dxa"/>
            <w:vAlign w:val="bottom"/>
          </w:tcPr>
          <w:p>
            <w:pPr>
              <w:jc w:val="right"/>
              <w:ind w:right="72"/>
              <w:spacing w:after="0"/>
              <w:rPr>
                <w:sz w:val="20"/>
                <w:szCs w:val="20"/>
                <w:color w:val="auto"/>
              </w:rPr>
            </w:pPr>
            <w:r>
              <w:rPr>
                <w:rFonts w:ascii="Arial" w:cs="Arial" w:eastAsia="Arial" w:hAnsi="Arial"/>
                <w:sz w:val="10"/>
                <w:szCs w:val="10"/>
                <w:b w:val="1"/>
                <w:bCs w:val="1"/>
                <w:color w:val="auto"/>
              </w:rPr>
              <w:t>$</w:t>
            </w:r>
          </w:p>
        </w:tc>
        <w:tc>
          <w:tcPr>
            <w:tcW w:w="800" w:type="dxa"/>
            <w:vAlign w:val="bottom"/>
            <w:vMerge w:val="restart"/>
          </w:tcPr>
          <w:p>
            <w:pPr>
              <w:jc w:val="right"/>
              <w:spacing w:after="0"/>
              <w:rPr>
                <w:sz w:val="20"/>
                <w:szCs w:val="20"/>
                <w:color w:val="auto"/>
              </w:rPr>
            </w:pPr>
            <w:r>
              <w:rPr>
                <w:rFonts w:ascii="Arial" w:cs="Arial" w:eastAsia="Arial" w:hAnsi="Arial"/>
                <w:sz w:val="10"/>
                <w:szCs w:val="10"/>
                <w:b w:val="1"/>
                <w:bCs w:val="1"/>
                <w:color w:val="auto"/>
              </w:rPr>
              <w:t>5,517</w:t>
            </w:r>
          </w:p>
        </w:tc>
        <w:tc>
          <w:tcPr>
            <w:tcW w:w="160" w:type="dxa"/>
            <w:vAlign w:val="bottom"/>
          </w:tcPr>
          <w:p>
            <w:pPr>
              <w:spacing w:after="0"/>
              <w:rPr>
                <w:sz w:val="10"/>
                <w:szCs w:val="10"/>
                <w:color w:val="auto"/>
              </w:rPr>
            </w:pPr>
          </w:p>
        </w:tc>
        <w:tc>
          <w:tcPr>
            <w:tcW w:w="780" w:type="dxa"/>
            <w:vAlign w:val="bottom"/>
          </w:tcPr>
          <w:p>
            <w:pPr>
              <w:jc w:val="right"/>
              <w:ind w:right="152"/>
              <w:spacing w:after="0"/>
              <w:rPr>
                <w:sz w:val="20"/>
                <w:szCs w:val="20"/>
                <w:color w:val="auto"/>
              </w:rPr>
            </w:pPr>
            <w:r>
              <w:rPr>
                <w:rFonts w:ascii="Arial" w:cs="Arial" w:eastAsia="Arial" w:hAnsi="Arial"/>
                <w:sz w:val="10"/>
                <w:szCs w:val="10"/>
                <w:i w:val="1"/>
                <w:iCs w:val="1"/>
                <w:color w:val="auto"/>
              </w:rPr>
              <w:t>100 %</w:t>
            </w:r>
          </w:p>
        </w:tc>
        <w:tc>
          <w:tcPr>
            <w:tcW w:w="180" w:type="dxa"/>
            <w:vAlign w:val="bottom"/>
          </w:tcPr>
          <w:p>
            <w:pPr>
              <w:spacing w:after="0"/>
              <w:rPr>
                <w:sz w:val="10"/>
                <w:szCs w:val="10"/>
                <w:color w:val="auto"/>
              </w:rPr>
            </w:pPr>
          </w:p>
        </w:tc>
        <w:tc>
          <w:tcPr>
            <w:tcW w:w="1080" w:type="dxa"/>
            <w:vAlign w:val="bottom"/>
            <w:gridSpan w:val="2"/>
          </w:tcPr>
          <w:p>
            <w:pPr>
              <w:jc w:val="right"/>
              <w:ind w:right="232"/>
              <w:spacing w:after="0"/>
              <w:rPr>
                <w:sz w:val="20"/>
                <w:szCs w:val="20"/>
                <w:color w:val="auto"/>
              </w:rPr>
            </w:pPr>
            <w:r>
              <w:rPr>
                <w:rFonts w:ascii="Arial" w:cs="Arial" w:eastAsia="Arial" w:hAnsi="Arial"/>
                <w:sz w:val="10"/>
                <w:szCs w:val="10"/>
                <w:color w:val="auto"/>
              </w:rPr>
              <w:t>(12) %</w:t>
            </w:r>
          </w:p>
        </w:tc>
        <w:tc>
          <w:tcPr>
            <w:tcW w:w="0" w:type="dxa"/>
            <w:vAlign w:val="bottom"/>
          </w:tcPr>
          <w:p>
            <w:pPr>
              <w:spacing w:after="0"/>
              <w:rPr>
                <w:sz w:val="1"/>
                <w:szCs w:val="1"/>
                <w:color w:val="auto"/>
              </w:rPr>
            </w:pPr>
          </w:p>
        </w:tc>
      </w:tr>
      <w:tr>
        <w:trPr>
          <w:trHeight w:val="40"/>
        </w:trPr>
        <w:tc>
          <w:tcPr>
            <w:tcW w:w="1700" w:type="dxa"/>
            <w:vAlign w:val="bottom"/>
          </w:tcPr>
          <w:p>
            <w:pPr>
              <w:spacing w:after="0"/>
              <w:rPr>
                <w:sz w:val="3"/>
                <w:szCs w:val="3"/>
                <w:color w:val="auto"/>
              </w:rPr>
            </w:pPr>
          </w:p>
        </w:tc>
        <w:tc>
          <w:tcPr>
            <w:tcW w:w="3060" w:type="dxa"/>
            <w:vAlign w:val="bottom"/>
          </w:tcPr>
          <w:p>
            <w:pPr>
              <w:spacing w:after="0"/>
              <w:rPr>
                <w:sz w:val="3"/>
                <w:szCs w:val="3"/>
                <w:color w:val="auto"/>
              </w:rPr>
            </w:pPr>
          </w:p>
        </w:tc>
        <w:tc>
          <w:tcPr>
            <w:tcW w:w="18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8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00" w:type="dxa"/>
            <w:vAlign w:val="bottom"/>
          </w:tcPr>
          <w:p>
            <w:pPr>
              <w:spacing w:after="0"/>
              <w:rPr>
                <w:sz w:val="3"/>
                <w:szCs w:val="3"/>
                <w:color w:val="auto"/>
              </w:rPr>
            </w:pPr>
          </w:p>
        </w:tc>
        <w:tc>
          <w:tcPr>
            <w:tcW w:w="3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4"/>
        </w:trPr>
        <w:tc>
          <w:tcPr>
            <w:tcW w:w="1700" w:type="dxa"/>
            <w:vAlign w:val="bottom"/>
            <w:tcBorders>
              <w:bottom w:val="single" w:sz="8" w:color="CCEEFF"/>
            </w:tcBorders>
          </w:tcPr>
          <w:p>
            <w:pPr>
              <w:spacing w:after="0"/>
              <w:rPr>
                <w:sz w:val="3"/>
                <w:szCs w:val="3"/>
                <w:color w:val="auto"/>
              </w:rPr>
            </w:pPr>
          </w:p>
        </w:tc>
        <w:tc>
          <w:tcPr>
            <w:tcW w:w="3060" w:type="dxa"/>
            <w:vAlign w:val="bottom"/>
            <w:tcBorders>
              <w:bottom w:val="single" w:sz="8" w:color="CCEEFF"/>
            </w:tcBorders>
          </w:tcPr>
          <w:p>
            <w:pPr>
              <w:spacing w:after="0"/>
              <w:rPr>
                <w:sz w:val="3"/>
                <w:szCs w:val="3"/>
                <w:color w:val="auto"/>
              </w:rPr>
            </w:pPr>
          </w:p>
        </w:tc>
        <w:tc>
          <w:tcPr>
            <w:tcW w:w="18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80" w:type="dxa"/>
            <w:vAlign w:val="bottom"/>
            <w:tcBorders>
              <w:bottom w:val="single" w:sz="8" w:color="CCEEFF"/>
            </w:tcBorders>
          </w:tcPr>
          <w:p>
            <w:pPr>
              <w:spacing w:after="0"/>
              <w:rPr>
                <w:sz w:val="3"/>
                <w:szCs w:val="3"/>
                <w:color w:val="auto"/>
              </w:rPr>
            </w:pPr>
          </w:p>
        </w:tc>
        <w:tc>
          <w:tcPr>
            <w:tcW w:w="780" w:type="dxa"/>
            <w:vAlign w:val="bottom"/>
            <w:tcBorders>
              <w:bottom w:val="single" w:sz="8" w:color="CCEEFF"/>
            </w:tcBorders>
          </w:tcPr>
          <w:p>
            <w:pPr>
              <w:spacing w:after="0"/>
              <w:rPr>
                <w:sz w:val="3"/>
                <w:szCs w:val="3"/>
                <w:color w:val="auto"/>
              </w:rPr>
            </w:pPr>
          </w:p>
        </w:tc>
        <w:tc>
          <w:tcPr>
            <w:tcW w:w="18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780" w:type="dxa"/>
            <w:vAlign w:val="bottom"/>
            <w:tcBorders>
              <w:bottom w:val="single" w:sz="8" w:color="CCEEFF"/>
            </w:tcBorders>
          </w:tcPr>
          <w:p>
            <w:pPr>
              <w:spacing w:after="0"/>
              <w:rPr>
                <w:sz w:val="3"/>
                <w:szCs w:val="3"/>
                <w:color w:val="auto"/>
              </w:rPr>
            </w:pPr>
          </w:p>
        </w:tc>
        <w:tc>
          <w:tcPr>
            <w:tcW w:w="180" w:type="dxa"/>
            <w:vAlign w:val="bottom"/>
            <w:tcBorders>
              <w:bottom w:val="single" w:sz="8" w:color="CCEEFF"/>
            </w:tcBorders>
          </w:tcPr>
          <w:p>
            <w:pPr>
              <w:spacing w:after="0"/>
              <w:rPr>
                <w:sz w:val="3"/>
                <w:szCs w:val="3"/>
                <w:color w:val="auto"/>
              </w:rPr>
            </w:pPr>
          </w:p>
        </w:tc>
        <w:tc>
          <w:tcPr>
            <w:tcW w:w="1080" w:type="dxa"/>
            <w:vAlign w:val="bottom"/>
            <w:tcBorders>
              <w:bottom w:val="single" w:sz="8" w:color="CCEEFF"/>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170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0"/>
                <w:szCs w:val="10"/>
                <w:b w:val="1"/>
                <w:bCs w:val="1"/>
                <w:color w:val="auto"/>
              </w:rPr>
              <w:t>Total revenue</w:t>
            </w:r>
          </w:p>
        </w:tc>
        <w:tc>
          <w:tcPr>
            <w:tcW w:w="306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b w:val="1"/>
                <w:bCs w:val="1"/>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21,579</w:t>
            </w:r>
          </w:p>
        </w:tc>
        <w:tc>
          <w:tcPr>
            <w:tcW w:w="18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0"/>
                <w:szCs w:val="10"/>
                <w:i w:val="1"/>
                <w:iCs w:val="1"/>
                <w:color w:val="auto"/>
              </w:rPr>
              <w:t>100 %</w:t>
            </w:r>
          </w:p>
        </w:tc>
        <w:tc>
          <w:tcPr>
            <w:tcW w:w="1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b w:val="1"/>
                <w:bCs w:val="1"/>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24,348</w:t>
            </w:r>
          </w:p>
        </w:tc>
        <w:tc>
          <w:tcPr>
            <w:tcW w:w="16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0"/>
                <w:szCs w:val="10"/>
                <w:i w:val="1"/>
                <w:iCs w:val="1"/>
                <w:color w:val="auto"/>
              </w:rPr>
              <w:t>100 %</w:t>
            </w:r>
          </w:p>
        </w:tc>
        <w:tc>
          <w:tcPr>
            <w:tcW w:w="18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gridSpan w:val="2"/>
            <w:shd w:val="clear" w:color="auto" w:fill="CCEEFF"/>
          </w:tcPr>
          <w:p>
            <w:pPr>
              <w:jc w:val="right"/>
              <w:ind w:right="232"/>
              <w:spacing w:after="0"/>
              <w:rPr>
                <w:sz w:val="20"/>
                <w:szCs w:val="20"/>
                <w:color w:val="auto"/>
              </w:rPr>
            </w:pPr>
            <w:r>
              <w:rPr>
                <w:rFonts w:ascii="Arial" w:cs="Arial" w:eastAsia="Arial" w:hAnsi="Arial"/>
                <w:sz w:val="10"/>
                <w:szCs w:val="10"/>
                <w:color w:val="auto"/>
              </w:rPr>
              <w:t>(11) %</w:t>
            </w:r>
          </w:p>
        </w:tc>
        <w:tc>
          <w:tcPr>
            <w:tcW w:w="0" w:type="dxa"/>
            <w:vAlign w:val="bottom"/>
          </w:tcPr>
          <w:p>
            <w:pPr>
              <w:spacing w:after="0"/>
              <w:rPr>
                <w:sz w:val="1"/>
                <w:szCs w:val="1"/>
                <w:color w:val="auto"/>
              </w:rPr>
            </w:pPr>
          </w:p>
        </w:tc>
      </w:tr>
      <w:tr>
        <w:trPr>
          <w:trHeight w:val="203"/>
        </w:trPr>
        <w:tc>
          <w:tcPr>
            <w:tcW w:w="1700" w:type="dxa"/>
            <w:vAlign w:val="bottom"/>
          </w:tcPr>
          <w:p>
            <w:pPr>
              <w:spacing w:after="0"/>
              <w:rPr>
                <w:sz w:val="20"/>
                <w:szCs w:val="20"/>
                <w:color w:val="auto"/>
              </w:rPr>
            </w:pPr>
            <w:r>
              <w:rPr>
                <w:rFonts w:ascii="Arial" w:cs="Arial" w:eastAsia="Arial" w:hAnsi="Arial"/>
                <w:sz w:val="10"/>
                <w:szCs w:val="10"/>
                <w:b w:val="1"/>
                <w:bCs w:val="1"/>
                <w:color w:val="auto"/>
              </w:rPr>
              <w:t>OPERATING EXPENSE</w:t>
            </w:r>
          </w:p>
        </w:tc>
        <w:tc>
          <w:tcPr>
            <w:tcW w:w="3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3"/>
        </w:trPr>
        <w:tc>
          <w:tcPr>
            <w:tcW w:w="4940" w:type="dxa"/>
            <w:vAlign w:val="bottom"/>
            <w:gridSpan w:val="3"/>
            <w:shd w:val="clear" w:color="auto" w:fill="CCEEFF"/>
          </w:tcPr>
          <w:p>
            <w:pPr>
              <w:ind w:left="400"/>
              <w:spacing w:after="0"/>
              <w:rPr>
                <w:sz w:val="20"/>
                <w:szCs w:val="20"/>
                <w:color w:val="auto"/>
              </w:rPr>
            </w:pPr>
            <w:r>
              <w:rPr>
                <w:rFonts w:ascii="Arial" w:cs="Arial" w:eastAsia="Arial" w:hAnsi="Arial"/>
                <w:sz w:val="10"/>
                <w:szCs w:val="10"/>
                <w:b w:val="1"/>
                <w:bCs w:val="1"/>
                <w:color w:val="auto"/>
              </w:rPr>
              <w:t>Cost of services and products (excl. depreciation and amortization)</w:t>
            </w:r>
          </w:p>
        </w:tc>
        <w:tc>
          <w:tcPr>
            <w:tcW w:w="38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1700" w:type="dxa"/>
            <w:vAlign w:val="bottom"/>
          </w:tcPr>
          <w:p>
            <w:pPr>
              <w:ind w:left="800"/>
              <w:spacing w:after="0"/>
              <w:rPr>
                <w:sz w:val="20"/>
                <w:szCs w:val="20"/>
                <w:color w:val="auto"/>
              </w:rPr>
            </w:pPr>
            <w:r>
              <w:rPr>
                <w:rFonts w:ascii="Arial" w:cs="Arial" w:eastAsia="Arial" w:hAnsi="Arial"/>
                <w:sz w:val="10"/>
                <w:szCs w:val="10"/>
                <w:b w:val="1"/>
                <w:bCs w:val="1"/>
                <w:color w:val="auto"/>
              </w:rPr>
              <w:t>United States</w:t>
            </w:r>
          </w:p>
        </w:tc>
        <w:tc>
          <w:tcPr>
            <w:tcW w:w="3240" w:type="dxa"/>
            <w:vAlign w:val="bottom"/>
            <w:gridSpan w:val="2"/>
          </w:tcPr>
          <w:p>
            <w:pPr>
              <w:ind w:left="280"/>
              <w:spacing w:after="0"/>
              <w:rPr>
                <w:sz w:val="20"/>
                <w:szCs w:val="20"/>
                <w:color w:val="auto"/>
              </w:rPr>
            </w:pPr>
            <w:r>
              <w:rPr>
                <w:rFonts w:ascii="Arial" w:cs="Arial" w:eastAsia="Arial" w:hAnsi="Arial"/>
                <w:sz w:val="10"/>
                <w:szCs w:val="10"/>
                <w:color w:val="auto"/>
              </w:rPr>
              <w:t>Live theater cost</w:t>
            </w:r>
          </w:p>
        </w:tc>
        <w:tc>
          <w:tcPr>
            <w:tcW w:w="380" w:type="dxa"/>
            <w:vAlign w:val="bottom"/>
          </w:tcPr>
          <w:p>
            <w:pPr>
              <w:jc w:val="right"/>
              <w:ind w:right="72"/>
              <w:spacing w:after="0"/>
              <w:rPr>
                <w:sz w:val="20"/>
                <w:szCs w:val="20"/>
                <w:color w:val="auto"/>
              </w:rPr>
            </w:pPr>
            <w:r>
              <w:rPr>
                <w:rFonts w:ascii="Arial" w:cs="Arial" w:eastAsia="Arial" w:hAnsi="Arial"/>
                <w:sz w:val="10"/>
                <w:szCs w:val="10"/>
                <w:color w:val="auto"/>
              </w:rPr>
              <w:t>$</w:t>
            </w:r>
          </w:p>
        </w:tc>
        <w:tc>
          <w:tcPr>
            <w:tcW w:w="980" w:type="dxa"/>
            <w:vAlign w:val="bottom"/>
            <w:gridSpan w:val="2"/>
          </w:tcPr>
          <w:p>
            <w:pPr>
              <w:jc w:val="right"/>
              <w:ind w:right="180"/>
              <w:spacing w:after="0"/>
              <w:rPr>
                <w:sz w:val="20"/>
                <w:szCs w:val="20"/>
                <w:color w:val="auto"/>
              </w:rPr>
            </w:pPr>
            <w:r>
              <w:rPr>
                <w:rFonts w:ascii="Arial" w:cs="Arial" w:eastAsia="Arial" w:hAnsi="Arial"/>
                <w:sz w:val="10"/>
                <w:szCs w:val="10"/>
                <w:color w:val="auto"/>
              </w:rPr>
              <w:t>(4,263)</w:t>
            </w:r>
          </w:p>
        </w:tc>
        <w:tc>
          <w:tcPr>
            <w:tcW w:w="780" w:type="dxa"/>
            <w:vAlign w:val="bottom"/>
          </w:tcPr>
          <w:p>
            <w:pPr>
              <w:jc w:val="right"/>
              <w:ind w:right="152"/>
              <w:spacing w:after="0"/>
              <w:rPr>
                <w:sz w:val="20"/>
                <w:szCs w:val="20"/>
                <w:color w:val="auto"/>
              </w:rPr>
            </w:pPr>
            <w:r>
              <w:rPr>
                <w:rFonts w:ascii="Arial" w:cs="Arial" w:eastAsia="Arial" w:hAnsi="Arial"/>
                <w:sz w:val="10"/>
                <w:szCs w:val="10"/>
                <w:i w:val="1"/>
                <w:iCs w:val="1"/>
                <w:color w:val="auto"/>
              </w:rPr>
              <w:t>(80)%</w:t>
            </w:r>
          </w:p>
        </w:tc>
        <w:tc>
          <w:tcPr>
            <w:tcW w:w="180" w:type="dxa"/>
            <w:vAlign w:val="bottom"/>
          </w:tcPr>
          <w:p>
            <w:pPr>
              <w:spacing w:after="0"/>
              <w:rPr>
                <w:sz w:val="13"/>
                <w:szCs w:val="13"/>
                <w:color w:val="auto"/>
              </w:rPr>
            </w:pPr>
          </w:p>
        </w:tc>
        <w:tc>
          <w:tcPr>
            <w:tcW w:w="360" w:type="dxa"/>
            <w:vAlign w:val="bottom"/>
          </w:tcPr>
          <w:p>
            <w:pPr>
              <w:jc w:val="right"/>
              <w:ind w:right="72"/>
              <w:spacing w:after="0"/>
              <w:rPr>
                <w:sz w:val="20"/>
                <w:szCs w:val="20"/>
                <w:color w:val="auto"/>
              </w:rPr>
            </w:pPr>
            <w:r>
              <w:rPr>
                <w:rFonts w:ascii="Arial" w:cs="Arial" w:eastAsia="Arial" w:hAnsi="Arial"/>
                <w:sz w:val="10"/>
                <w:szCs w:val="10"/>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0"/>
                <w:szCs w:val="10"/>
                <w:color w:val="auto"/>
              </w:rPr>
              <w:t>(1,592)</w:t>
            </w:r>
          </w:p>
        </w:tc>
        <w:tc>
          <w:tcPr>
            <w:tcW w:w="780" w:type="dxa"/>
            <w:vAlign w:val="bottom"/>
          </w:tcPr>
          <w:p>
            <w:pPr>
              <w:jc w:val="right"/>
              <w:ind w:right="152"/>
              <w:spacing w:after="0"/>
              <w:rPr>
                <w:sz w:val="20"/>
                <w:szCs w:val="20"/>
                <w:color w:val="auto"/>
              </w:rPr>
            </w:pPr>
            <w:r>
              <w:rPr>
                <w:rFonts w:ascii="Arial" w:cs="Arial" w:eastAsia="Arial" w:hAnsi="Arial"/>
                <w:sz w:val="10"/>
                <w:szCs w:val="10"/>
                <w:i w:val="1"/>
                <w:iCs w:val="1"/>
                <w:color w:val="auto"/>
              </w:rPr>
              <w:t>(31)%</w:t>
            </w:r>
          </w:p>
        </w:tc>
        <w:tc>
          <w:tcPr>
            <w:tcW w:w="180" w:type="dxa"/>
            <w:vAlign w:val="bottom"/>
          </w:tcPr>
          <w:p>
            <w:pPr>
              <w:spacing w:after="0"/>
              <w:rPr>
                <w:sz w:val="13"/>
                <w:szCs w:val="13"/>
                <w:color w:val="auto"/>
              </w:rPr>
            </w:pPr>
          </w:p>
        </w:tc>
        <w:tc>
          <w:tcPr>
            <w:tcW w:w="1080" w:type="dxa"/>
            <w:vAlign w:val="bottom"/>
            <w:gridSpan w:val="2"/>
          </w:tcPr>
          <w:p>
            <w:pPr>
              <w:jc w:val="right"/>
              <w:ind w:right="232"/>
              <w:spacing w:after="0"/>
              <w:rPr>
                <w:sz w:val="20"/>
                <w:szCs w:val="20"/>
                <w:color w:val="auto"/>
              </w:rPr>
            </w:pPr>
            <w:r>
              <w:rPr>
                <w:rFonts w:ascii="Arial" w:cs="Arial" w:eastAsia="Arial" w:hAnsi="Arial"/>
                <w:sz w:val="10"/>
                <w:szCs w:val="10"/>
                <w:color w:val="auto"/>
              </w:rPr>
              <w:t>(168) %</w:t>
            </w:r>
          </w:p>
        </w:tc>
        <w:tc>
          <w:tcPr>
            <w:tcW w:w="0" w:type="dxa"/>
            <w:vAlign w:val="bottom"/>
          </w:tcPr>
          <w:p>
            <w:pPr>
              <w:spacing w:after="0"/>
              <w:rPr>
                <w:sz w:val="1"/>
                <w:szCs w:val="1"/>
                <w:color w:val="auto"/>
              </w:rPr>
            </w:pPr>
          </w:p>
        </w:tc>
      </w:tr>
      <w:tr>
        <w:trPr>
          <w:trHeight w:val="153"/>
        </w:trPr>
        <w:tc>
          <w:tcPr>
            <w:tcW w:w="1700" w:type="dxa"/>
            <w:vAlign w:val="bottom"/>
            <w:shd w:val="clear" w:color="auto" w:fill="CCEEFF"/>
          </w:tcPr>
          <w:p>
            <w:pPr>
              <w:spacing w:after="0"/>
              <w:rPr>
                <w:sz w:val="13"/>
                <w:szCs w:val="13"/>
                <w:color w:val="auto"/>
              </w:rPr>
            </w:pPr>
          </w:p>
        </w:tc>
        <w:tc>
          <w:tcPr>
            <w:tcW w:w="3240" w:type="dxa"/>
            <w:vAlign w:val="bottom"/>
            <w:gridSpan w:val="2"/>
            <w:shd w:val="clear" w:color="auto" w:fill="CCEEFF"/>
          </w:tcPr>
          <w:p>
            <w:pPr>
              <w:ind w:left="280"/>
              <w:spacing w:after="0"/>
              <w:rPr>
                <w:sz w:val="20"/>
                <w:szCs w:val="20"/>
                <w:color w:val="auto"/>
              </w:rPr>
            </w:pPr>
            <w:r>
              <w:rPr>
                <w:rFonts w:ascii="Arial" w:cs="Arial" w:eastAsia="Arial" w:hAnsi="Arial"/>
                <w:sz w:val="10"/>
                <w:szCs w:val="10"/>
                <w:color w:val="auto"/>
              </w:rPr>
              <w:t>Property cost</w:t>
            </w:r>
          </w:p>
        </w:tc>
        <w:tc>
          <w:tcPr>
            <w:tcW w:w="38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(224)</w:t>
            </w:r>
          </w:p>
        </w:tc>
        <w:tc>
          <w:tcPr>
            <w:tcW w:w="780" w:type="dxa"/>
            <w:vAlign w:val="bottom"/>
            <w:shd w:val="clear" w:color="auto" w:fill="CCEEFF"/>
          </w:tcPr>
          <w:p>
            <w:pPr>
              <w:jc w:val="right"/>
              <w:ind w:right="152"/>
              <w:spacing w:after="0"/>
              <w:rPr>
                <w:sz w:val="20"/>
                <w:szCs w:val="20"/>
                <w:color w:val="auto"/>
              </w:rPr>
            </w:pPr>
            <w:r>
              <w:rPr>
                <w:rFonts w:ascii="Arial" w:cs="Arial" w:eastAsia="Arial" w:hAnsi="Arial"/>
                <w:sz w:val="10"/>
                <w:szCs w:val="10"/>
                <w:i w:val="1"/>
                <w:iCs w:val="1"/>
                <w:color w:val="auto"/>
              </w:rPr>
              <w:t>(4)%</w:t>
            </w:r>
          </w:p>
        </w:tc>
        <w:tc>
          <w:tcPr>
            <w:tcW w:w="1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w:t>
            </w:r>
          </w:p>
        </w:tc>
        <w:tc>
          <w:tcPr>
            <w:tcW w:w="160" w:type="dxa"/>
            <w:vAlign w:val="bottom"/>
            <w:shd w:val="clear" w:color="auto" w:fill="CCEEFF"/>
          </w:tcPr>
          <w:p>
            <w:pPr>
              <w:spacing w:after="0"/>
              <w:rPr>
                <w:sz w:val="13"/>
                <w:szCs w:val="13"/>
                <w:color w:val="auto"/>
              </w:rPr>
            </w:pPr>
          </w:p>
        </w:tc>
        <w:tc>
          <w:tcPr>
            <w:tcW w:w="780" w:type="dxa"/>
            <w:vAlign w:val="bottom"/>
            <w:shd w:val="clear" w:color="auto" w:fill="CCEEFF"/>
          </w:tcPr>
          <w:p>
            <w:pPr>
              <w:jc w:val="right"/>
              <w:ind w:right="152"/>
              <w:spacing w:after="0"/>
              <w:rPr>
                <w:sz w:val="20"/>
                <w:szCs w:val="20"/>
                <w:color w:val="auto"/>
              </w:rPr>
            </w:pPr>
            <w:r>
              <w:rPr>
                <w:rFonts w:ascii="Arial" w:cs="Arial" w:eastAsia="Arial" w:hAnsi="Arial"/>
                <w:sz w:val="10"/>
                <w:szCs w:val="10"/>
                <w:i w:val="1"/>
                <w:iCs w:val="1"/>
                <w:color w:val="auto"/>
              </w:rPr>
              <w:t>0 %</w:t>
            </w:r>
          </w:p>
        </w:tc>
        <w:tc>
          <w:tcPr>
            <w:tcW w:w="18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11,300</w:t>
            </w:r>
          </w:p>
        </w:tc>
        <w:tc>
          <w:tcPr>
            <w:tcW w:w="380" w:type="dxa"/>
            <w:vAlign w:val="bottom"/>
            <w:shd w:val="clear" w:color="auto" w:fill="CCEEFF"/>
          </w:tcPr>
          <w:p>
            <w:pPr>
              <w:jc w:val="right"/>
              <w:ind w:right="232"/>
              <w:spacing w:after="0"/>
              <w:rPr>
                <w:sz w:val="20"/>
                <w:szCs w:val="20"/>
                <w:color w:val="auto"/>
              </w:rPr>
            </w:pPr>
            <w:r>
              <w:rPr>
                <w:rFonts w:ascii="Arial" w:cs="Arial" w:eastAsia="Arial" w:hAnsi="Arial"/>
                <w:sz w:val="10"/>
                <w:szCs w:val="10"/>
                <w:color w:val="auto"/>
                <w:w w:val="89"/>
              </w:rPr>
              <w:t>%</w:t>
            </w:r>
          </w:p>
        </w:tc>
        <w:tc>
          <w:tcPr>
            <w:tcW w:w="0" w:type="dxa"/>
            <w:vAlign w:val="bottom"/>
          </w:tcPr>
          <w:p>
            <w:pPr>
              <w:spacing w:after="0"/>
              <w:rPr>
                <w:sz w:val="1"/>
                <w:szCs w:val="1"/>
                <w:color w:val="auto"/>
              </w:rPr>
            </w:pPr>
          </w:p>
        </w:tc>
      </w:tr>
      <w:tr>
        <w:trPr>
          <w:trHeight w:val="153"/>
        </w:trPr>
        <w:tc>
          <w:tcPr>
            <w:tcW w:w="1700" w:type="dxa"/>
            <w:vAlign w:val="bottom"/>
          </w:tcPr>
          <w:p>
            <w:pPr>
              <w:spacing w:after="0"/>
              <w:rPr>
                <w:sz w:val="13"/>
                <w:szCs w:val="13"/>
                <w:color w:val="auto"/>
              </w:rPr>
            </w:pPr>
          </w:p>
        </w:tc>
        <w:tc>
          <w:tcPr>
            <w:tcW w:w="3240" w:type="dxa"/>
            <w:vAlign w:val="bottom"/>
            <w:gridSpan w:val="2"/>
          </w:tcPr>
          <w:p>
            <w:pPr>
              <w:ind w:left="280"/>
              <w:spacing w:after="0"/>
              <w:rPr>
                <w:sz w:val="20"/>
                <w:szCs w:val="20"/>
                <w:color w:val="auto"/>
              </w:rPr>
            </w:pPr>
            <w:r>
              <w:rPr>
                <w:rFonts w:ascii="Arial" w:cs="Arial" w:eastAsia="Arial" w:hAnsi="Arial"/>
                <w:sz w:val="10"/>
                <w:szCs w:val="10"/>
                <w:color w:val="auto"/>
              </w:rPr>
              <w:t>Occupancy expense</w:t>
            </w:r>
          </w:p>
        </w:tc>
        <w:tc>
          <w:tcPr>
            <w:tcW w:w="380" w:type="dxa"/>
            <w:vAlign w:val="bottom"/>
          </w:tcPr>
          <w:p>
            <w:pPr>
              <w:spacing w:after="0"/>
              <w:rPr>
                <w:sz w:val="13"/>
                <w:szCs w:val="13"/>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0"/>
                <w:szCs w:val="10"/>
                <w:color w:val="auto"/>
              </w:rPr>
              <w:t>(1,016)</w:t>
            </w:r>
          </w:p>
        </w:tc>
        <w:tc>
          <w:tcPr>
            <w:tcW w:w="780" w:type="dxa"/>
            <w:vAlign w:val="bottom"/>
          </w:tcPr>
          <w:p>
            <w:pPr>
              <w:jc w:val="right"/>
              <w:ind w:right="152"/>
              <w:spacing w:after="0"/>
              <w:rPr>
                <w:sz w:val="20"/>
                <w:szCs w:val="20"/>
                <w:color w:val="auto"/>
              </w:rPr>
            </w:pPr>
            <w:r>
              <w:rPr>
                <w:rFonts w:ascii="Arial" w:cs="Arial" w:eastAsia="Arial" w:hAnsi="Arial"/>
                <w:sz w:val="10"/>
                <w:szCs w:val="10"/>
                <w:i w:val="1"/>
                <w:iCs w:val="1"/>
                <w:color w:val="auto"/>
              </w:rPr>
              <w:t>(19)%</w:t>
            </w: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0"/>
                <w:szCs w:val="10"/>
                <w:color w:val="auto"/>
              </w:rPr>
              <w:t>(974)</w:t>
            </w:r>
          </w:p>
        </w:tc>
        <w:tc>
          <w:tcPr>
            <w:tcW w:w="780" w:type="dxa"/>
            <w:vAlign w:val="bottom"/>
          </w:tcPr>
          <w:p>
            <w:pPr>
              <w:jc w:val="right"/>
              <w:ind w:right="152"/>
              <w:spacing w:after="0"/>
              <w:rPr>
                <w:sz w:val="20"/>
                <w:szCs w:val="20"/>
                <w:color w:val="auto"/>
              </w:rPr>
            </w:pPr>
            <w:r>
              <w:rPr>
                <w:rFonts w:ascii="Arial" w:cs="Arial" w:eastAsia="Arial" w:hAnsi="Arial"/>
                <w:sz w:val="10"/>
                <w:szCs w:val="10"/>
                <w:i w:val="1"/>
                <w:iCs w:val="1"/>
                <w:color w:val="auto"/>
              </w:rPr>
              <w:t>(19)%</w:t>
            </w:r>
          </w:p>
        </w:tc>
        <w:tc>
          <w:tcPr>
            <w:tcW w:w="180" w:type="dxa"/>
            <w:vAlign w:val="bottom"/>
          </w:tcPr>
          <w:p>
            <w:pPr>
              <w:spacing w:after="0"/>
              <w:rPr>
                <w:sz w:val="13"/>
                <w:szCs w:val="13"/>
                <w:color w:val="auto"/>
              </w:rPr>
            </w:pPr>
          </w:p>
        </w:tc>
        <w:tc>
          <w:tcPr>
            <w:tcW w:w="1080" w:type="dxa"/>
            <w:vAlign w:val="bottom"/>
            <w:gridSpan w:val="2"/>
          </w:tcPr>
          <w:p>
            <w:pPr>
              <w:jc w:val="right"/>
              <w:ind w:right="232"/>
              <w:spacing w:after="0"/>
              <w:rPr>
                <w:sz w:val="20"/>
                <w:szCs w:val="20"/>
                <w:color w:val="auto"/>
              </w:rPr>
            </w:pPr>
            <w:r>
              <w:rPr>
                <w:rFonts w:ascii="Arial" w:cs="Arial" w:eastAsia="Arial" w:hAnsi="Arial"/>
                <w:sz w:val="10"/>
                <w:szCs w:val="10"/>
                <w:color w:val="auto"/>
              </w:rPr>
              <w:t>(4) %</w:t>
            </w:r>
          </w:p>
        </w:tc>
        <w:tc>
          <w:tcPr>
            <w:tcW w:w="0" w:type="dxa"/>
            <w:vAlign w:val="bottom"/>
          </w:tcPr>
          <w:p>
            <w:pPr>
              <w:spacing w:after="0"/>
              <w:rPr>
                <w:sz w:val="1"/>
                <w:szCs w:val="1"/>
                <w:color w:val="auto"/>
              </w:rPr>
            </w:pPr>
          </w:p>
        </w:tc>
      </w:tr>
      <w:tr>
        <w:trPr>
          <w:trHeight w:val="113"/>
        </w:trPr>
        <w:tc>
          <w:tcPr>
            <w:tcW w:w="1700" w:type="dxa"/>
            <w:vAlign w:val="bottom"/>
            <w:tcBorders>
              <w:top w:val="single" w:sz="8" w:color="CCEEFF"/>
              <w:bottom w:val="single" w:sz="8" w:color="CCEEFF"/>
            </w:tcBorders>
            <w:shd w:val="clear" w:color="auto" w:fill="CCEEFF"/>
          </w:tcPr>
          <w:p>
            <w:pPr>
              <w:spacing w:after="0"/>
              <w:rPr>
                <w:sz w:val="9"/>
                <w:szCs w:val="9"/>
                <w:color w:val="auto"/>
              </w:rPr>
            </w:pPr>
          </w:p>
        </w:tc>
        <w:tc>
          <w:tcPr>
            <w:tcW w:w="3060" w:type="dxa"/>
            <w:vAlign w:val="bottom"/>
            <w:tcBorders>
              <w:top w:val="single" w:sz="8" w:color="CCEEFF"/>
              <w:bottom w:val="single" w:sz="8" w:color="CCEEFF"/>
            </w:tcBorders>
            <w:shd w:val="clear" w:color="auto" w:fill="CCEEFF"/>
          </w:tcPr>
          <w:p>
            <w:pPr>
              <w:spacing w:after="0"/>
              <w:rPr>
                <w:sz w:val="9"/>
                <w:szCs w:val="9"/>
                <w:color w:val="auto"/>
              </w:rPr>
            </w:pPr>
          </w:p>
        </w:tc>
        <w:tc>
          <w:tcPr>
            <w:tcW w:w="180" w:type="dxa"/>
            <w:vAlign w:val="bottom"/>
            <w:tcBorders>
              <w:top w:val="single" w:sz="8" w:color="CCEEFF"/>
              <w:bottom w:val="single" w:sz="8" w:color="CCEEFF"/>
            </w:tcBorders>
            <w:shd w:val="clear" w:color="auto" w:fill="CCEEFF"/>
          </w:tcPr>
          <w:p>
            <w:pPr>
              <w:spacing w:after="0"/>
              <w:rPr>
                <w:sz w:val="9"/>
                <w:szCs w:val="9"/>
                <w:color w:val="auto"/>
              </w:rPr>
            </w:pPr>
          </w:p>
        </w:tc>
        <w:tc>
          <w:tcPr>
            <w:tcW w:w="380" w:type="dxa"/>
            <w:vAlign w:val="bottom"/>
            <w:tcBorders>
              <w:top w:val="single" w:sz="8" w:color="auto"/>
              <w:bottom w:val="single" w:sz="8" w:color="CCEEFF"/>
            </w:tcBorders>
            <w:shd w:val="clear" w:color="auto" w:fill="CCEEFF"/>
          </w:tcPr>
          <w:p>
            <w:pPr>
              <w:jc w:val="right"/>
              <w:ind w:right="72"/>
              <w:spacing w:after="0" w:line="113" w:lineRule="exact"/>
              <w:rPr>
                <w:sz w:val="20"/>
                <w:szCs w:val="20"/>
                <w:color w:val="auto"/>
              </w:rPr>
            </w:pPr>
            <w:r>
              <w:rPr>
                <w:rFonts w:ascii="Arial" w:cs="Arial" w:eastAsia="Arial" w:hAnsi="Arial"/>
                <w:sz w:val="10"/>
                <w:szCs w:val="10"/>
                <w:b w:val="1"/>
                <w:bCs w:val="1"/>
                <w:color w:val="auto"/>
              </w:rPr>
              <w:t>$</w:t>
            </w:r>
          </w:p>
        </w:tc>
        <w:tc>
          <w:tcPr>
            <w:tcW w:w="800" w:type="dxa"/>
            <w:vAlign w:val="bottom"/>
            <w:tcBorders>
              <w:top w:val="single" w:sz="8" w:color="auto"/>
              <w:bottom w:val="single" w:sz="8" w:color="CCEEFF"/>
            </w:tcBorders>
            <w:shd w:val="clear" w:color="auto" w:fill="CCEEFF"/>
          </w:tcPr>
          <w:p>
            <w:pPr>
              <w:jc w:val="right"/>
              <w:spacing w:after="0" w:line="113" w:lineRule="exact"/>
              <w:rPr>
                <w:sz w:val="20"/>
                <w:szCs w:val="20"/>
                <w:color w:val="auto"/>
              </w:rPr>
            </w:pPr>
            <w:r>
              <w:rPr>
                <w:rFonts w:ascii="Arial" w:cs="Arial" w:eastAsia="Arial" w:hAnsi="Arial"/>
                <w:sz w:val="10"/>
                <w:szCs w:val="10"/>
                <w:b w:val="1"/>
                <w:bCs w:val="1"/>
                <w:color w:val="auto"/>
              </w:rPr>
              <w:t>(5,503)</w:t>
            </w:r>
          </w:p>
        </w:tc>
        <w:tc>
          <w:tcPr>
            <w:tcW w:w="180" w:type="dxa"/>
            <w:vAlign w:val="bottom"/>
            <w:tcBorders>
              <w:top w:val="single" w:sz="8" w:color="CCEEFF"/>
              <w:bottom w:val="single" w:sz="8" w:color="CCEEFF"/>
            </w:tcBorders>
            <w:shd w:val="clear" w:color="auto" w:fill="CCEEFF"/>
          </w:tcPr>
          <w:p>
            <w:pPr>
              <w:spacing w:after="0"/>
              <w:rPr>
                <w:sz w:val="9"/>
                <w:szCs w:val="9"/>
                <w:color w:val="auto"/>
              </w:rPr>
            </w:pPr>
          </w:p>
        </w:tc>
        <w:tc>
          <w:tcPr>
            <w:tcW w:w="780" w:type="dxa"/>
            <w:vAlign w:val="bottom"/>
            <w:tcBorders>
              <w:top w:val="single" w:sz="8" w:color="CCEEFF"/>
              <w:bottom w:val="single" w:sz="8" w:color="CCEEFF"/>
            </w:tcBorders>
            <w:shd w:val="clear" w:color="auto" w:fill="CCEEFF"/>
          </w:tcPr>
          <w:p>
            <w:pPr>
              <w:jc w:val="right"/>
              <w:ind w:right="152"/>
              <w:spacing w:after="0" w:line="114" w:lineRule="exact"/>
              <w:rPr>
                <w:sz w:val="20"/>
                <w:szCs w:val="20"/>
                <w:color w:val="auto"/>
              </w:rPr>
            </w:pPr>
            <w:r>
              <w:rPr>
                <w:rFonts w:ascii="Arial" w:cs="Arial" w:eastAsia="Arial" w:hAnsi="Arial"/>
                <w:sz w:val="10"/>
                <w:szCs w:val="10"/>
                <w:i w:val="1"/>
                <w:iCs w:val="1"/>
                <w:color w:val="auto"/>
              </w:rPr>
              <w:t>(103)%</w:t>
            </w:r>
          </w:p>
        </w:tc>
        <w:tc>
          <w:tcPr>
            <w:tcW w:w="180" w:type="dxa"/>
            <w:vAlign w:val="bottom"/>
            <w:tcBorders>
              <w:top w:val="single" w:sz="8" w:color="CCEEFF"/>
              <w:bottom w:val="single" w:sz="8" w:color="CCEEFF"/>
            </w:tcBorders>
            <w:shd w:val="clear" w:color="auto" w:fill="CCEEFF"/>
          </w:tcPr>
          <w:p>
            <w:pPr>
              <w:spacing w:after="0"/>
              <w:rPr>
                <w:sz w:val="9"/>
                <w:szCs w:val="9"/>
                <w:color w:val="auto"/>
              </w:rPr>
            </w:pPr>
          </w:p>
        </w:tc>
        <w:tc>
          <w:tcPr>
            <w:tcW w:w="360" w:type="dxa"/>
            <w:vAlign w:val="bottom"/>
            <w:tcBorders>
              <w:top w:val="single" w:sz="8" w:color="auto"/>
              <w:bottom w:val="single" w:sz="8" w:color="CCEEFF"/>
            </w:tcBorders>
            <w:shd w:val="clear" w:color="auto" w:fill="CCEEFF"/>
          </w:tcPr>
          <w:p>
            <w:pPr>
              <w:jc w:val="right"/>
              <w:ind w:right="72"/>
              <w:spacing w:after="0" w:line="113" w:lineRule="exact"/>
              <w:rPr>
                <w:sz w:val="20"/>
                <w:szCs w:val="20"/>
                <w:color w:val="auto"/>
              </w:rPr>
            </w:pPr>
            <w:r>
              <w:rPr>
                <w:rFonts w:ascii="Arial" w:cs="Arial" w:eastAsia="Arial" w:hAnsi="Arial"/>
                <w:sz w:val="10"/>
                <w:szCs w:val="10"/>
                <w:b w:val="1"/>
                <w:bCs w:val="1"/>
                <w:color w:val="auto"/>
              </w:rPr>
              <w:t>$</w:t>
            </w:r>
          </w:p>
        </w:tc>
        <w:tc>
          <w:tcPr>
            <w:tcW w:w="800" w:type="dxa"/>
            <w:vAlign w:val="bottom"/>
            <w:tcBorders>
              <w:top w:val="single" w:sz="8" w:color="auto"/>
              <w:bottom w:val="single" w:sz="8" w:color="CCEEFF"/>
            </w:tcBorders>
            <w:shd w:val="clear" w:color="auto" w:fill="CCEEFF"/>
          </w:tcPr>
          <w:p>
            <w:pPr>
              <w:jc w:val="right"/>
              <w:spacing w:after="0" w:line="113" w:lineRule="exact"/>
              <w:rPr>
                <w:sz w:val="20"/>
                <w:szCs w:val="20"/>
                <w:color w:val="auto"/>
              </w:rPr>
            </w:pPr>
            <w:r>
              <w:rPr>
                <w:rFonts w:ascii="Arial" w:cs="Arial" w:eastAsia="Arial" w:hAnsi="Arial"/>
                <w:sz w:val="10"/>
                <w:szCs w:val="10"/>
                <w:b w:val="1"/>
                <w:bCs w:val="1"/>
                <w:color w:val="auto"/>
              </w:rPr>
              <w:t>(2,564)</w:t>
            </w:r>
          </w:p>
        </w:tc>
        <w:tc>
          <w:tcPr>
            <w:tcW w:w="160" w:type="dxa"/>
            <w:vAlign w:val="bottom"/>
            <w:tcBorders>
              <w:top w:val="single" w:sz="8" w:color="CCEEFF"/>
              <w:bottom w:val="single" w:sz="8" w:color="CCEEFF"/>
            </w:tcBorders>
            <w:shd w:val="clear" w:color="auto" w:fill="CCEEFF"/>
          </w:tcPr>
          <w:p>
            <w:pPr>
              <w:spacing w:after="0"/>
              <w:rPr>
                <w:sz w:val="9"/>
                <w:szCs w:val="9"/>
                <w:color w:val="auto"/>
              </w:rPr>
            </w:pPr>
          </w:p>
        </w:tc>
        <w:tc>
          <w:tcPr>
            <w:tcW w:w="780" w:type="dxa"/>
            <w:vAlign w:val="bottom"/>
            <w:tcBorders>
              <w:top w:val="single" w:sz="8" w:color="CCEEFF"/>
              <w:bottom w:val="single" w:sz="8" w:color="CCEEFF"/>
            </w:tcBorders>
            <w:shd w:val="clear" w:color="auto" w:fill="CCEEFF"/>
          </w:tcPr>
          <w:p>
            <w:pPr>
              <w:jc w:val="right"/>
              <w:ind w:right="152"/>
              <w:spacing w:after="0" w:line="114" w:lineRule="exact"/>
              <w:rPr>
                <w:sz w:val="20"/>
                <w:szCs w:val="20"/>
                <w:color w:val="auto"/>
              </w:rPr>
            </w:pPr>
            <w:r>
              <w:rPr>
                <w:rFonts w:ascii="Arial" w:cs="Arial" w:eastAsia="Arial" w:hAnsi="Arial"/>
                <w:sz w:val="10"/>
                <w:szCs w:val="10"/>
                <w:i w:val="1"/>
                <w:iCs w:val="1"/>
                <w:color w:val="auto"/>
              </w:rPr>
              <w:t>(50)%</w:t>
            </w:r>
          </w:p>
        </w:tc>
        <w:tc>
          <w:tcPr>
            <w:tcW w:w="180" w:type="dxa"/>
            <w:vAlign w:val="bottom"/>
            <w:tcBorders>
              <w:top w:val="single" w:sz="8" w:color="CCEEFF"/>
              <w:bottom w:val="single" w:sz="8" w:color="CCEEFF"/>
            </w:tcBorders>
            <w:shd w:val="clear" w:color="auto" w:fill="CCEEFF"/>
          </w:tcPr>
          <w:p>
            <w:pPr>
              <w:spacing w:after="0"/>
              <w:rPr>
                <w:sz w:val="9"/>
                <w:szCs w:val="9"/>
                <w:color w:val="auto"/>
              </w:rPr>
            </w:pPr>
          </w:p>
        </w:tc>
        <w:tc>
          <w:tcPr>
            <w:tcW w:w="1080" w:type="dxa"/>
            <w:vAlign w:val="bottom"/>
            <w:tcBorders>
              <w:top w:val="single" w:sz="8" w:color="CCEEFF"/>
              <w:bottom w:val="single" w:sz="8" w:color="CCEEFF"/>
            </w:tcBorders>
            <w:gridSpan w:val="2"/>
            <w:shd w:val="clear" w:color="auto" w:fill="CCEEFF"/>
          </w:tcPr>
          <w:p>
            <w:pPr>
              <w:jc w:val="right"/>
              <w:ind w:right="232"/>
              <w:spacing w:after="0" w:line="114" w:lineRule="exact"/>
              <w:rPr>
                <w:sz w:val="20"/>
                <w:szCs w:val="20"/>
                <w:color w:val="auto"/>
              </w:rPr>
            </w:pPr>
            <w:r>
              <w:rPr>
                <w:rFonts w:ascii="Arial" w:cs="Arial" w:eastAsia="Arial" w:hAnsi="Arial"/>
                <w:sz w:val="10"/>
                <w:szCs w:val="10"/>
                <w:color w:val="auto"/>
              </w:rPr>
              <w:t>(115) %</w:t>
            </w:r>
          </w:p>
        </w:tc>
        <w:tc>
          <w:tcPr>
            <w:tcW w:w="0" w:type="dxa"/>
            <w:vAlign w:val="bottom"/>
          </w:tcPr>
          <w:p>
            <w:pPr>
              <w:spacing w:after="0"/>
              <w:rPr>
                <w:sz w:val="1"/>
                <w:szCs w:val="1"/>
                <w:color w:val="auto"/>
              </w:rPr>
            </w:pPr>
          </w:p>
        </w:tc>
      </w:tr>
      <w:tr>
        <w:trPr>
          <w:trHeight w:val="153"/>
        </w:trPr>
        <w:tc>
          <w:tcPr>
            <w:tcW w:w="1700" w:type="dxa"/>
            <w:vAlign w:val="bottom"/>
          </w:tcPr>
          <w:p>
            <w:pPr>
              <w:ind w:left="800"/>
              <w:spacing w:after="0"/>
              <w:rPr>
                <w:sz w:val="20"/>
                <w:szCs w:val="20"/>
                <w:color w:val="auto"/>
              </w:rPr>
            </w:pPr>
            <w:r>
              <w:rPr>
                <w:rFonts w:ascii="Arial" w:cs="Arial" w:eastAsia="Arial" w:hAnsi="Arial"/>
                <w:sz w:val="10"/>
                <w:szCs w:val="10"/>
                <w:b w:val="1"/>
                <w:bCs w:val="1"/>
                <w:color w:val="auto"/>
              </w:rPr>
              <w:t>Australia</w:t>
            </w:r>
          </w:p>
        </w:tc>
        <w:tc>
          <w:tcPr>
            <w:tcW w:w="3240" w:type="dxa"/>
            <w:vAlign w:val="bottom"/>
            <w:gridSpan w:val="2"/>
          </w:tcPr>
          <w:p>
            <w:pPr>
              <w:ind w:left="280"/>
              <w:spacing w:after="0"/>
              <w:rPr>
                <w:sz w:val="20"/>
                <w:szCs w:val="20"/>
                <w:color w:val="auto"/>
              </w:rPr>
            </w:pPr>
            <w:r>
              <w:rPr>
                <w:rFonts w:ascii="Arial" w:cs="Arial" w:eastAsia="Arial" w:hAnsi="Arial"/>
                <w:sz w:val="10"/>
                <w:szCs w:val="10"/>
                <w:color w:val="auto"/>
              </w:rPr>
              <w:t>Property cost</w:t>
            </w:r>
          </w:p>
        </w:tc>
        <w:tc>
          <w:tcPr>
            <w:tcW w:w="380" w:type="dxa"/>
            <w:vAlign w:val="bottom"/>
          </w:tcPr>
          <w:p>
            <w:pPr>
              <w:spacing w:after="0"/>
              <w:rPr>
                <w:sz w:val="13"/>
                <w:szCs w:val="13"/>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0"/>
                <w:szCs w:val="10"/>
                <w:color w:val="auto"/>
              </w:rPr>
              <w:t>(1,675)</w:t>
            </w:r>
          </w:p>
        </w:tc>
        <w:tc>
          <w:tcPr>
            <w:tcW w:w="780" w:type="dxa"/>
            <w:vAlign w:val="bottom"/>
          </w:tcPr>
          <w:p>
            <w:pPr>
              <w:jc w:val="right"/>
              <w:ind w:right="152"/>
              <w:spacing w:after="0"/>
              <w:rPr>
                <w:sz w:val="20"/>
                <w:szCs w:val="20"/>
                <w:color w:val="auto"/>
              </w:rPr>
            </w:pPr>
            <w:r>
              <w:rPr>
                <w:rFonts w:ascii="Arial" w:cs="Arial" w:eastAsia="Arial" w:hAnsi="Arial"/>
                <w:sz w:val="10"/>
                <w:szCs w:val="10"/>
                <w:i w:val="1"/>
                <w:iCs w:val="1"/>
                <w:color w:val="auto"/>
              </w:rPr>
              <w:t>(15)%</w:t>
            </w: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0"/>
                <w:szCs w:val="10"/>
                <w:color w:val="auto"/>
              </w:rPr>
              <w:t>(2,229)</w:t>
            </w:r>
          </w:p>
        </w:tc>
        <w:tc>
          <w:tcPr>
            <w:tcW w:w="780" w:type="dxa"/>
            <w:vAlign w:val="bottom"/>
          </w:tcPr>
          <w:p>
            <w:pPr>
              <w:jc w:val="right"/>
              <w:ind w:right="152"/>
              <w:spacing w:after="0"/>
              <w:rPr>
                <w:sz w:val="20"/>
                <w:szCs w:val="20"/>
                <w:color w:val="auto"/>
              </w:rPr>
            </w:pPr>
            <w:r>
              <w:rPr>
                <w:rFonts w:ascii="Arial" w:cs="Arial" w:eastAsia="Arial" w:hAnsi="Arial"/>
                <w:sz w:val="10"/>
                <w:szCs w:val="10"/>
                <w:i w:val="1"/>
                <w:iCs w:val="1"/>
                <w:color w:val="auto"/>
              </w:rPr>
              <w:t>(16)%</w:t>
            </w:r>
          </w:p>
        </w:tc>
        <w:tc>
          <w:tcPr>
            <w:tcW w:w="18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0"/>
                <w:szCs w:val="10"/>
                <w:color w:val="auto"/>
              </w:rPr>
              <w:t>25</w:t>
            </w:r>
          </w:p>
        </w:tc>
        <w:tc>
          <w:tcPr>
            <w:tcW w:w="380" w:type="dxa"/>
            <w:vAlign w:val="bottom"/>
          </w:tcPr>
          <w:p>
            <w:pPr>
              <w:jc w:val="right"/>
              <w:ind w:right="232"/>
              <w:spacing w:after="0"/>
              <w:rPr>
                <w:sz w:val="20"/>
                <w:szCs w:val="20"/>
                <w:color w:val="auto"/>
              </w:rPr>
            </w:pPr>
            <w:r>
              <w:rPr>
                <w:rFonts w:ascii="Arial" w:cs="Arial" w:eastAsia="Arial" w:hAnsi="Arial"/>
                <w:sz w:val="10"/>
                <w:szCs w:val="10"/>
                <w:color w:val="auto"/>
                <w:w w:val="89"/>
              </w:rPr>
              <w:t>%</w:t>
            </w:r>
          </w:p>
        </w:tc>
        <w:tc>
          <w:tcPr>
            <w:tcW w:w="0" w:type="dxa"/>
            <w:vAlign w:val="bottom"/>
          </w:tcPr>
          <w:p>
            <w:pPr>
              <w:spacing w:after="0"/>
              <w:rPr>
                <w:sz w:val="1"/>
                <w:szCs w:val="1"/>
                <w:color w:val="auto"/>
              </w:rPr>
            </w:pPr>
          </w:p>
        </w:tc>
      </w:tr>
      <w:tr>
        <w:trPr>
          <w:trHeight w:val="153"/>
        </w:trPr>
        <w:tc>
          <w:tcPr>
            <w:tcW w:w="1700" w:type="dxa"/>
            <w:vAlign w:val="bottom"/>
            <w:shd w:val="clear" w:color="auto" w:fill="CCEEFF"/>
          </w:tcPr>
          <w:p>
            <w:pPr>
              <w:spacing w:after="0"/>
              <w:rPr>
                <w:sz w:val="13"/>
                <w:szCs w:val="13"/>
                <w:color w:val="auto"/>
              </w:rPr>
            </w:pPr>
          </w:p>
        </w:tc>
        <w:tc>
          <w:tcPr>
            <w:tcW w:w="3240" w:type="dxa"/>
            <w:vAlign w:val="bottom"/>
            <w:gridSpan w:val="2"/>
            <w:shd w:val="clear" w:color="auto" w:fill="CCEEFF"/>
          </w:tcPr>
          <w:p>
            <w:pPr>
              <w:ind w:left="280"/>
              <w:spacing w:after="0"/>
              <w:rPr>
                <w:sz w:val="20"/>
                <w:szCs w:val="20"/>
                <w:color w:val="auto"/>
              </w:rPr>
            </w:pPr>
            <w:r>
              <w:rPr>
                <w:rFonts w:ascii="Arial" w:cs="Arial" w:eastAsia="Arial" w:hAnsi="Arial"/>
                <w:sz w:val="10"/>
                <w:szCs w:val="10"/>
                <w:color w:val="auto"/>
              </w:rPr>
              <w:t>Occupancy expense</w:t>
            </w:r>
          </w:p>
        </w:tc>
        <w:tc>
          <w:tcPr>
            <w:tcW w:w="38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(1,726)</w:t>
            </w:r>
          </w:p>
        </w:tc>
        <w:tc>
          <w:tcPr>
            <w:tcW w:w="780" w:type="dxa"/>
            <w:vAlign w:val="bottom"/>
            <w:shd w:val="clear" w:color="auto" w:fill="CCEEFF"/>
          </w:tcPr>
          <w:p>
            <w:pPr>
              <w:jc w:val="right"/>
              <w:ind w:right="152"/>
              <w:spacing w:after="0"/>
              <w:rPr>
                <w:sz w:val="20"/>
                <w:szCs w:val="20"/>
                <w:color w:val="auto"/>
              </w:rPr>
            </w:pPr>
            <w:r>
              <w:rPr>
                <w:rFonts w:ascii="Arial" w:cs="Arial" w:eastAsia="Arial" w:hAnsi="Arial"/>
                <w:sz w:val="10"/>
                <w:szCs w:val="10"/>
                <w:i w:val="1"/>
                <w:iCs w:val="1"/>
                <w:color w:val="auto"/>
              </w:rPr>
              <w:t>(15)%</w:t>
            </w:r>
          </w:p>
        </w:tc>
        <w:tc>
          <w:tcPr>
            <w:tcW w:w="1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(2,532)</w:t>
            </w:r>
          </w:p>
        </w:tc>
        <w:tc>
          <w:tcPr>
            <w:tcW w:w="780" w:type="dxa"/>
            <w:vAlign w:val="bottom"/>
            <w:shd w:val="clear" w:color="auto" w:fill="CCEEFF"/>
          </w:tcPr>
          <w:p>
            <w:pPr>
              <w:jc w:val="right"/>
              <w:ind w:right="152"/>
              <w:spacing w:after="0"/>
              <w:rPr>
                <w:sz w:val="20"/>
                <w:szCs w:val="20"/>
                <w:color w:val="auto"/>
              </w:rPr>
            </w:pPr>
            <w:r>
              <w:rPr>
                <w:rFonts w:ascii="Arial" w:cs="Arial" w:eastAsia="Arial" w:hAnsi="Arial"/>
                <w:sz w:val="10"/>
                <w:szCs w:val="10"/>
                <w:i w:val="1"/>
                <w:iCs w:val="1"/>
                <w:color w:val="auto"/>
              </w:rPr>
              <w:t>(18)%</w:t>
            </w:r>
          </w:p>
        </w:tc>
        <w:tc>
          <w:tcPr>
            <w:tcW w:w="18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32</w:t>
            </w:r>
          </w:p>
        </w:tc>
        <w:tc>
          <w:tcPr>
            <w:tcW w:w="380" w:type="dxa"/>
            <w:vAlign w:val="bottom"/>
            <w:shd w:val="clear" w:color="auto" w:fill="CCEEFF"/>
          </w:tcPr>
          <w:p>
            <w:pPr>
              <w:jc w:val="right"/>
              <w:ind w:right="232"/>
              <w:spacing w:after="0"/>
              <w:rPr>
                <w:sz w:val="20"/>
                <w:szCs w:val="20"/>
                <w:color w:val="auto"/>
              </w:rPr>
            </w:pPr>
            <w:r>
              <w:rPr>
                <w:rFonts w:ascii="Arial" w:cs="Arial" w:eastAsia="Arial" w:hAnsi="Arial"/>
                <w:sz w:val="10"/>
                <w:szCs w:val="10"/>
                <w:color w:val="auto"/>
                <w:w w:val="89"/>
              </w:rPr>
              <w:t>%</w:t>
            </w:r>
          </w:p>
        </w:tc>
        <w:tc>
          <w:tcPr>
            <w:tcW w:w="0" w:type="dxa"/>
            <w:vAlign w:val="bottom"/>
          </w:tcPr>
          <w:p>
            <w:pPr>
              <w:spacing w:after="0"/>
              <w:rPr>
                <w:sz w:val="1"/>
                <w:szCs w:val="1"/>
                <w:color w:val="auto"/>
              </w:rPr>
            </w:pPr>
          </w:p>
        </w:tc>
      </w:tr>
      <w:tr>
        <w:trPr>
          <w:trHeight w:val="113"/>
        </w:trPr>
        <w:tc>
          <w:tcPr>
            <w:tcW w:w="1700" w:type="dxa"/>
            <w:vAlign w:val="bottom"/>
          </w:tcPr>
          <w:p>
            <w:pPr>
              <w:spacing w:after="0"/>
              <w:rPr>
                <w:sz w:val="9"/>
                <w:szCs w:val="9"/>
                <w:color w:val="auto"/>
              </w:rPr>
            </w:pPr>
          </w:p>
        </w:tc>
        <w:tc>
          <w:tcPr>
            <w:tcW w:w="3060" w:type="dxa"/>
            <w:vAlign w:val="bottom"/>
          </w:tcPr>
          <w:p>
            <w:pPr>
              <w:spacing w:after="0"/>
              <w:rPr>
                <w:sz w:val="9"/>
                <w:szCs w:val="9"/>
                <w:color w:val="auto"/>
              </w:rPr>
            </w:pPr>
          </w:p>
        </w:tc>
        <w:tc>
          <w:tcPr>
            <w:tcW w:w="180" w:type="dxa"/>
            <w:vAlign w:val="bottom"/>
          </w:tcPr>
          <w:p>
            <w:pPr>
              <w:spacing w:after="0"/>
              <w:rPr>
                <w:sz w:val="9"/>
                <w:szCs w:val="9"/>
                <w:color w:val="auto"/>
              </w:rPr>
            </w:pPr>
          </w:p>
        </w:tc>
        <w:tc>
          <w:tcPr>
            <w:tcW w:w="380" w:type="dxa"/>
            <w:vAlign w:val="bottom"/>
            <w:tcBorders>
              <w:top w:val="single" w:sz="8" w:color="auto"/>
            </w:tcBorders>
          </w:tcPr>
          <w:p>
            <w:pPr>
              <w:jc w:val="right"/>
              <w:ind w:right="72"/>
              <w:spacing w:after="0" w:line="113" w:lineRule="exact"/>
              <w:rPr>
                <w:sz w:val="20"/>
                <w:szCs w:val="20"/>
                <w:color w:val="auto"/>
              </w:rPr>
            </w:pPr>
            <w:r>
              <w:rPr>
                <w:rFonts w:ascii="Arial" w:cs="Arial" w:eastAsia="Arial" w:hAnsi="Arial"/>
                <w:sz w:val="10"/>
                <w:szCs w:val="10"/>
                <w:b w:val="1"/>
                <w:bCs w:val="1"/>
                <w:color w:val="auto"/>
              </w:rPr>
              <w:t>$</w:t>
            </w:r>
          </w:p>
        </w:tc>
        <w:tc>
          <w:tcPr>
            <w:tcW w:w="800" w:type="dxa"/>
            <w:vAlign w:val="bottom"/>
            <w:tcBorders>
              <w:top w:val="single" w:sz="8" w:color="auto"/>
            </w:tcBorders>
          </w:tcPr>
          <w:p>
            <w:pPr>
              <w:jc w:val="right"/>
              <w:spacing w:after="0" w:line="113" w:lineRule="exact"/>
              <w:rPr>
                <w:sz w:val="20"/>
                <w:szCs w:val="20"/>
                <w:color w:val="auto"/>
              </w:rPr>
            </w:pPr>
            <w:r>
              <w:rPr>
                <w:rFonts w:ascii="Arial" w:cs="Arial" w:eastAsia="Arial" w:hAnsi="Arial"/>
                <w:sz w:val="10"/>
                <w:szCs w:val="10"/>
                <w:b w:val="1"/>
                <w:bCs w:val="1"/>
                <w:color w:val="auto"/>
              </w:rPr>
              <w:t>(3,401)</w:t>
            </w:r>
          </w:p>
        </w:tc>
        <w:tc>
          <w:tcPr>
            <w:tcW w:w="180" w:type="dxa"/>
            <w:vAlign w:val="bottom"/>
          </w:tcPr>
          <w:p>
            <w:pPr>
              <w:spacing w:after="0"/>
              <w:rPr>
                <w:sz w:val="9"/>
                <w:szCs w:val="9"/>
                <w:color w:val="auto"/>
              </w:rPr>
            </w:pPr>
          </w:p>
        </w:tc>
        <w:tc>
          <w:tcPr>
            <w:tcW w:w="780" w:type="dxa"/>
            <w:vAlign w:val="bottom"/>
            <w:vMerge w:val="restart"/>
          </w:tcPr>
          <w:p>
            <w:pPr>
              <w:jc w:val="right"/>
              <w:ind w:right="152"/>
              <w:spacing w:after="0"/>
              <w:rPr>
                <w:sz w:val="20"/>
                <w:szCs w:val="20"/>
                <w:color w:val="auto"/>
              </w:rPr>
            </w:pPr>
            <w:r>
              <w:rPr>
                <w:rFonts w:ascii="Arial" w:cs="Arial" w:eastAsia="Arial" w:hAnsi="Arial"/>
                <w:sz w:val="10"/>
                <w:szCs w:val="10"/>
                <w:i w:val="1"/>
                <w:iCs w:val="1"/>
                <w:color w:val="auto"/>
              </w:rPr>
              <w:t>(30)%</w:t>
            </w:r>
          </w:p>
        </w:tc>
        <w:tc>
          <w:tcPr>
            <w:tcW w:w="180" w:type="dxa"/>
            <w:vAlign w:val="bottom"/>
          </w:tcPr>
          <w:p>
            <w:pPr>
              <w:spacing w:after="0"/>
              <w:rPr>
                <w:sz w:val="9"/>
                <w:szCs w:val="9"/>
                <w:color w:val="auto"/>
              </w:rPr>
            </w:pPr>
          </w:p>
        </w:tc>
        <w:tc>
          <w:tcPr>
            <w:tcW w:w="360" w:type="dxa"/>
            <w:vAlign w:val="bottom"/>
            <w:tcBorders>
              <w:top w:val="single" w:sz="8" w:color="auto"/>
            </w:tcBorders>
          </w:tcPr>
          <w:p>
            <w:pPr>
              <w:jc w:val="right"/>
              <w:ind w:right="72"/>
              <w:spacing w:after="0" w:line="113" w:lineRule="exact"/>
              <w:rPr>
                <w:sz w:val="20"/>
                <w:szCs w:val="20"/>
                <w:color w:val="auto"/>
              </w:rPr>
            </w:pPr>
            <w:r>
              <w:rPr>
                <w:rFonts w:ascii="Arial" w:cs="Arial" w:eastAsia="Arial" w:hAnsi="Arial"/>
                <w:sz w:val="10"/>
                <w:szCs w:val="10"/>
                <w:b w:val="1"/>
                <w:bCs w:val="1"/>
                <w:color w:val="auto"/>
              </w:rPr>
              <w:t>$</w:t>
            </w:r>
          </w:p>
        </w:tc>
        <w:tc>
          <w:tcPr>
            <w:tcW w:w="800" w:type="dxa"/>
            <w:vAlign w:val="bottom"/>
            <w:tcBorders>
              <w:top w:val="single" w:sz="8" w:color="auto"/>
            </w:tcBorders>
          </w:tcPr>
          <w:p>
            <w:pPr>
              <w:jc w:val="right"/>
              <w:spacing w:after="0" w:line="113" w:lineRule="exact"/>
              <w:rPr>
                <w:sz w:val="20"/>
                <w:szCs w:val="20"/>
                <w:color w:val="auto"/>
              </w:rPr>
            </w:pPr>
            <w:r>
              <w:rPr>
                <w:rFonts w:ascii="Arial" w:cs="Arial" w:eastAsia="Arial" w:hAnsi="Arial"/>
                <w:sz w:val="10"/>
                <w:szCs w:val="10"/>
                <w:b w:val="1"/>
                <w:bCs w:val="1"/>
                <w:color w:val="auto"/>
              </w:rPr>
              <w:t>(4,761)</w:t>
            </w:r>
          </w:p>
        </w:tc>
        <w:tc>
          <w:tcPr>
            <w:tcW w:w="160" w:type="dxa"/>
            <w:vAlign w:val="bottom"/>
          </w:tcPr>
          <w:p>
            <w:pPr>
              <w:spacing w:after="0"/>
              <w:rPr>
                <w:sz w:val="9"/>
                <w:szCs w:val="9"/>
                <w:color w:val="auto"/>
              </w:rPr>
            </w:pPr>
          </w:p>
        </w:tc>
        <w:tc>
          <w:tcPr>
            <w:tcW w:w="780" w:type="dxa"/>
            <w:vAlign w:val="bottom"/>
            <w:vMerge w:val="restart"/>
          </w:tcPr>
          <w:p>
            <w:pPr>
              <w:jc w:val="right"/>
              <w:ind w:right="152"/>
              <w:spacing w:after="0"/>
              <w:rPr>
                <w:sz w:val="20"/>
                <w:szCs w:val="20"/>
                <w:color w:val="auto"/>
              </w:rPr>
            </w:pPr>
            <w:r>
              <w:rPr>
                <w:rFonts w:ascii="Arial" w:cs="Arial" w:eastAsia="Arial" w:hAnsi="Arial"/>
                <w:sz w:val="10"/>
                <w:szCs w:val="10"/>
                <w:i w:val="1"/>
                <w:iCs w:val="1"/>
                <w:color w:val="auto"/>
              </w:rPr>
              <w:t>(35)%</w:t>
            </w:r>
          </w:p>
        </w:tc>
        <w:tc>
          <w:tcPr>
            <w:tcW w:w="180" w:type="dxa"/>
            <w:vAlign w:val="bottom"/>
          </w:tcPr>
          <w:p>
            <w:pPr>
              <w:spacing w:after="0"/>
              <w:rPr>
                <w:sz w:val="9"/>
                <w:szCs w:val="9"/>
                <w:color w:val="auto"/>
              </w:rPr>
            </w:pPr>
          </w:p>
        </w:tc>
        <w:tc>
          <w:tcPr>
            <w:tcW w:w="700" w:type="dxa"/>
            <w:vAlign w:val="bottom"/>
            <w:vMerge w:val="restart"/>
          </w:tcPr>
          <w:p>
            <w:pPr>
              <w:jc w:val="right"/>
              <w:spacing w:after="0"/>
              <w:rPr>
                <w:sz w:val="20"/>
                <w:szCs w:val="20"/>
                <w:color w:val="auto"/>
              </w:rPr>
            </w:pPr>
            <w:r>
              <w:rPr>
                <w:rFonts w:ascii="Arial" w:cs="Arial" w:eastAsia="Arial" w:hAnsi="Arial"/>
                <w:sz w:val="10"/>
                <w:szCs w:val="10"/>
                <w:color w:val="auto"/>
              </w:rPr>
              <w:t>29</w:t>
            </w:r>
          </w:p>
        </w:tc>
        <w:tc>
          <w:tcPr>
            <w:tcW w:w="380" w:type="dxa"/>
            <w:vAlign w:val="bottom"/>
            <w:vMerge w:val="restart"/>
          </w:tcPr>
          <w:p>
            <w:pPr>
              <w:jc w:val="right"/>
              <w:ind w:right="232"/>
              <w:spacing w:after="0"/>
              <w:rPr>
                <w:sz w:val="20"/>
                <w:szCs w:val="20"/>
                <w:color w:val="auto"/>
              </w:rPr>
            </w:pPr>
            <w:r>
              <w:rPr>
                <w:rFonts w:ascii="Arial" w:cs="Arial" w:eastAsia="Arial" w:hAnsi="Arial"/>
                <w:sz w:val="10"/>
                <w:szCs w:val="10"/>
                <w:color w:val="auto"/>
                <w:w w:val="89"/>
              </w:rPr>
              <w:t>%</w:t>
            </w:r>
          </w:p>
        </w:tc>
        <w:tc>
          <w:tcPr>
            <w:tcW w:w="0" w:type="dxa"/>
            <w:vAlign w:val="bottom"/>
          </w:tcPr>
          <w:p>
            <w:pPr>
              <w:spacing w:after="0"/>
              <w:rPr>
                <w:sz w:val="1"/>
                <w:szCs w:val="1"/>
                <w:color w:val="auto"/>
              </w:rPr>
            </w:pPr>
          </w:p>
        </w:tc>
      </w:tr>
      <w:tr>
        <w:trPr>
          <w:trHeight w:val="21"/>
        </w:trPr>
        <w:tc>
          <w:tcPr>
            <w:tcW w:w="170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vMerge w:val="continue"/>
          </w:tcPr>
          <w:p>
            <w:pPr>
              <w:spacing w:after="0" w:line="20" w:lineRule="exact"/>
              <w:rPr>
                <w:sz w:val="1"/>
                <w:szCs w:val="1"/>
                <w:color w:val="auto"/>
              </w:rPr>
            </w:pPr>
          </w:p>
        </w:tc>
        <w:tc>
          <w:tcPr>
            <w:tcW w:w="3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1700" w:type="dxa"/>
            <w:vAlign w:val="bottom"/>
            <w:shd w:val="clear" w:color="auto" w:fill="CCEEFF"/>
          </w:tcPr>
          <w:p>
            <w:pPr>
              <w:ind w:left="800"/>
              <w:spacing w:after="0"/>
              <w:rPr>
                <w:sz w:val="20"/>
                <w:szCs w:val="20"/>
                <w:color w:val="auto"/>
              </w:rPr>
            </w:pPr>
            <w:r>
              <w:rPr>
                <w:rFonts w:ascii="Arial" w:cs="Arial" w:eastAsia="Arial" w:hAnsi="Arial"/>
                <w:sz w:val="10"/>
                <w:szCs w:val="10"/>
                <w:b w:val="1"/>
                <w:bCs w:val="1"/>
                <w:color w:val="auto"/>
              </w:rPr>
              <w:t>New Zealand</w:t>
            </w:r>
          </w:p>
        </w:tc>
        <w:tc>
          <w:tcPr>
            <w:tcW w:w="3240" w:type="dxa"/>
            <w:vAlign w:val="bottom"/>
            <w:gridSpan w:val="2"/>
            <w:shd w:val="clear" w:color="auto" w:fill="CCEEFF"/>
          </w:tcPr>
          <w:p>
            <w:pPr>
              <w:ind w:left="280"/>
              <w:spacing w:after="0"/>
              <w:rPr>
                <w:sz w:val="20"/>
                <w:szCs w:val="20"/>
                <w:color w:val="auto"/>
              </w:rPr>
            </w:pPr>
            <w:r>
              <w:rPr>
                <w:rFonts w:ascii="Arial" w:cs="Arial" w:eastAsia="Arial" w:hAnsi="Arial"/>
                <w:sz w:val="10"/>
                <w:szCs w:val="10"/>
                <w:color w:val="auto"/>
              </w:rPr>
              <w:t>Property cost</w:t>
            </w:r>
          </w:p>
        </w:tc>
        <w:tc>
          <w:tcPr>
            <w:tcW w:w="38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(1,344)</w:t>
            </w:r>
          </w:p>
        </w:tc>
        <w:tc>
          <w:tcPr>
            <w:tcW w:w="780" w:type="dxa"/>
            <w:vAlign w:val="bottom"/>
            <w:shd w:val="clear" w:color="auto" w:fill="CCEEFF"/>
          </w:tcPr>
          <w:p>
            <w:pPr>
              <w:jc w:val="right"/>
              <w:ind w:right="152"/>
              <w:spacing w:after="0"/>
              <w:rPr>
                <w:sz w:val="20"/>
                <w:szCs w:val="20"/>
                <w:color w:val="auto"/>
              </w:rPr>
            </w:pPr>
            <w:r>
              <w:rPr>
                <w:rFonts w:ascii="Arial" w:cs="Arial" w:eastAsia="Arial" w:hAnsi="Arial"/>
                <w:sz w:val="10"/>
                <w:szCs w:val="10"/>
                <w:i w:val="1"/>
                <w:iCs w:val="1"/>
                <w:color w:val="auto"/>
              </w:rPr>
              <w:t>(28)%</w:t>
            </w:r>
          </w:p>
        </w:tc>
        <w:tc>
          <w:tcPr>
            <w:tcW w:w="1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(1,599)</w:t>
            </w:r>
          </w:p>
        </w:tc>
        <w:tc>
          <w:tcPr>
            <w:tcW w:w="780" w:type="dxa"/>
            <w:vAlign w:val="bottom"/>
            <w:shd w:val="clear" w:color="auto" w:fill="CCEEFF"/>
          </w:tcPr>
          <w:p>
            <w:pPr>
              <w:jc w:val="right"/>
              <w:ind w:right="152"/>
              <w:spacing w:after="0"/>
              <w:rPr>
                <w:sz w:val="20"/>
                <w:szCs w:val="20"/>
                <w:color w:val="auto"/>
              </w:rPr>
            </w:pPr>
            <w:r>
              <w:rPr>
                <w:rFonts w:ascii="Arial" w:cs="Arial" w:eastAsia="Arial" w:hAnsi="Arial"/>
                <w:sz w:val="10"/>
                <w:szCs w:val="10"/>
                <w:i w:val="1"/>
                <w:iCs w:val="1"/>
                <w:color w:val="auto"/>
              </w:rPr>
              <w:t>(29)%</w:t>
            </w:r>
          </w:p>
        </w:tc>
        <w:tc>
          <w:tcPr>
            <w:tcW w:w="18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16</w:t>
            </w:r>
          </w:p>
        </w:tc>
        <w:tc>
          <w:tcPr>
            <w:tcW w:w="380" w:type="dxa"/>
            <w:vAlign w:val="bottom"/>
            <w:shd w:val="clear" w:color="auto" w:fill="CCEEFF"/>
          </w:tcPr>
          <w:p>
            <w:pPr>
              <w:jc w:val="right"/>
              <w:ind w:right="232"/>
              <w:spacing w:after="0"/>
              <w:rPr>
                <w:sz w:val="20"/>
                <w:szCs w:val="20"/>
                <w:color w:val="auto"/>
              </w:rPr>
            </w:pPr>
            <w:r>
              <w:rPr>
                <w:rFonts w:ascii="Arial" w:cs="Arial" w:eastAsia="Arial" w:hAnsi="Arial"/>
                <w:sz w:val="10"/>
                <w:szCs w:val="10"/>
                <w:color w:val="auto"/>
                <w:w w:val="89"/>
              </w:rPr>
              <w:t>%</w:t>
            </w:r>
          </w:p>
        </w:tc>
        <w:tc>
          <w:tcPr>
            <w:tcW w:w="0" w:type="dxa"/>
            <w:vAlign w:val="bottom"/>
          </w:tcPr>
          <w:p>
            <w:pPr>
              <w:spacing w:after="0"/>
              <w:rPr>
                <w:sz w:val="1"/>
                <w:szCs w:val="1"/>
                <w:color w:val="auto"/>
              </w:rPr>
            </w:pPr>
          </w:p>
        </w:tc>
      </w:tr>
      <w:tr>
        <w:trPr>
          <w:trHeight w:val="153"/>
        </w:trPr>
        <w:tc>
          <w:tcPr>
            <w:tcW w:w="1700" w:type="dxa"/>
            <w:vAlign w:val="bottom"/>
          </w:tcPr>
          <w:p>
            <w:pPr>
              <w:spacing w:after="0"/>
              <w:rPr>
                <w:sz w:val="13"/>
                <w:szCs w:val="13"/>
                <w:color w:val="auto"/>
              </w:rPr>
            </w:pPr>
          </w:p>
        </w:tc>
        <w:tc>
          <w:tcPr>
            <w:tcW w:w="3240" w:type="dxa"/>
            <w:vAlign w:val="bottom"/>
            <w:gridSpan w:val="2"/>
          </w:tcPr>
          <w:p>
            <w:pPr>
              <w:ind w:left="280"/>
              <w:spacing w:after="0"/>
              <w:rPr>
                <w:sz w:val="20"/>
                <w:szCs w:val="20"/>
                <w:color w:val="auto"/>
              </w:rPr>
            </w:pPr>
            <w:r>
              <w:rPr>
                <w:rFonts w:ascii="Arial" w:cs="Arial" w:eastAsia="Arial" w:hAnsi="Arial"/>
                <w:sz w:val="10"/>
                <w:szCs w:val="10"/>
                <w:color w:val="auto"/>
              </w:rPr>
              <w:t>Occupancy expense</w:t>
            </w:r>
          </w:p>
        </w:tc>
        <w:tc>
          <w:tcPr>
            <w:tcW w:w="380" w:type="dxa"/>
            <w:vAlign w:val="bottom"/>
          </w:tcPr>
          <w:p>
            <w:pPr>
              <w:spacing w:after="0"/>
              <w:rPr>
                <w:sz w:val="13"/>
                <w:szCs w:val="13"/>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0"/>
                <w:szCs w:val="10"/>
                <w:color w:val="auto"/>
              </w:rPr>
              <w:t>(700)</w:t>
            </w:r>
          </w:p>
        </w:tc>
        <w:tc>
          <w:tcPr>
            <w:tcW w:w="780" w:type="dxa"/>
            <w:vAlign w:val="bottom"/>
          </w:tcPr>
          <w:p>
            <w:pPr>
              <w:jc w:val="right"/>
              <w:ind w:right="152"/>
              <w:spacing w:after="0"/>
              <w:rPr>
                <w:sz w:val="20"/>
                <w:szCs w:val="20"/>
                <w:color w:val="auto"/>
              </w:rPr>
            </w:pPr>
            <w:r>
              <w:rPr>
                <w:rFonts w:ascii="Arial" w:cs="Arial" w:eastAsia="Arial" w:hAnsi="Arial"/>
                <w:sz w:val="10"/>
                <w:szCs w:val="10"/>
                <w:i w:val="1"/>
                <w:iCs w:val="1"/>
                <w:color w:val="auto"/>
              </w:rPr>
              <w:t>(14)%</w:t>
            </w: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0"/>
                <w:szCs w:val="10"/>
                <w:color w:val="auto"/>
              </w:rPr>
              <w:t>(846)</w:t>
            </w:r>
          </w:p>
        </w:tc>
        <w:tc>
          <w:tcPr>
            <w:tcW w:w="780" w:type="dxa"/>
            <w:vAlign w:val="bottom"/>
          </w:tcPr>
          <w:p>
            <w:pPr>
              <w:jc w:val="right"/>
              <w:ind w:right="152"/>
              <w:spacing w:after="0"/>
              <w:rPr>
                <w:sz w:val="20"/>
                <w:szCs w:val="20"/>
                <w:color w:val="auto"/>
              </w:rPr>
            </w:pPr>
            <w:r>
              <w:rPr>
                <w:rFonts w:ascii="Arial" w:cs="Arial" w:eastAsia="Arial" w:hAnsi="Arial"/>
                <w:sz w:val="10"/>
                <w:szCs w:val="10"/>
                <w:i w:val="1"/>
                <w:iCs w:val="1"/>
                <w:color w:val="auto"/>
              </w:rPr>
              <w:t>(15)%</w:t>
            </w:r>
          </w:p>
        </w:tc>
        <w:tc>
          <w:tcPr>
            <w:tcW w:w="18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0"/>
                <w:szCs w:val="10"/>
                <w:color w:val="auto"/>
              </w:rPr>
              <w:t>17</w:t>
            </w:r>
          </w:p>
        </w:tc>
        <w:tc>
          <w:tcPr>
            <w:tcW w:w="380" w:type="dxa"/>
            <w:vAlign w:val="bottom"/>
          </w:tcPr>
          <w:p>
            <w:pPr>
              <w:jc w:val="right"/>
              <w:ind w:right="232"/>
              <w:spacing w:after="0"/>
              <w:rPr>
                <w:sz w:val="20"/>
                <w:szCs w:val="20"/>
                <w:color w:val="auto"/>
              </w:rPr>
            </w:pPr>
            <w:r>
              <w:rPr>
                <w:rFonts w:ascii="Arial" w:cs="Arial" w:eastAsia="Arial" w:hAnsi="Arial"/>
                <w:sz w:val="10"/>
                <w:szCs w:val="10"/>
                <w:color w:val="auto"/>
                <w:w w:val="89"/>
              </w:rPr>
              <w:t>%</w:t>
            </w:r>
          </w:p>
        </w:tc>
        <w:tc>
          <w:tcPr>
            <w:tcW w:w="0" w:type="dxa"/>
            <w:vAlign w:val="bottom"/>
          </w:tcPr>
          <w:p>
            <w:pPr>
              <w:spacing w:after="0"/>
              <w:rPr>
                <w:sz w:val="1"/>
                <w:szCs w:val="1"/>
                <w:color w:val="auto"/>
              </w:rPr>
            </w:pPr>
          </w:p>
        </w:tc>
      </w:tr>
      <w:tr>
        <w:trPr>
          <w:trHeight w:val="113"/>
        </w:trPr>
        <w:tc>
          <w:tcPr>
            <w:tcW w:w="1700" w:type="dxa"/>
            <w:vAlign w:val="bottom"/>
            <w:tcBorders>
              <w:top w:val="single" w:sz="8" w:color="CCEEFF"/>
            </w:tcBorders>
            <w:shd w:val="clear" w:color="auto" w:fill="CCEEFF"/>
          </w:tcPr>
          <w:p>
            <w:pPr>
              <w:spacing w:after="0"/>
              <w:rPr>
                <w:sz w:val="9"/>
                <w:szCs w:val="9"/>
                <w:color w:val="auto"/>
              </w:rPr>
            </w:pPr>
          </w:p>
        </w:tc>
        <w:tc>
          <w:tcPr>
            <w:tcW w:w="3060" w:type="dxa"/>
            <w:vAlign w:val="bottom"/>
            <w:tcBorders>
              <w:top w:val="single" w:sz="8" w:color="CCEEFF"/>
            </w:tcBorders>
            <w:shd w:val="clear" w:color="auto" w:fill="CCEEFF"/>
          </w:tcPr>
          <w:p>
            <w:pPr>
              <w:spacing w:after="0"/>
              <w:rPr>
                <w:sz w:val="9"/>
                <w:szCs w:val="9"/>
                <w:color w:val="auto"/>
              </w:rPr>
            </w:pPr>
          </w:p>
        </w:tc>
        <w:tc>
          <w:tcPr>
            <w:tcW w:w="180" w:type="dxa"/>
            <w:vAlign w:val="bottom"/>
            <w:tcBorders>
              <w:top w:val="single" w:sz="8" w:color="CCEEFF"/>
            </w:tcBorders>
            <w:shd w:val="clear" w:color="auto" w:fill="CCEEFF"/>
          </w:tcPr>
          <w:p>
            <w:pPr>
              <w:spacing w:after="0"/>
              <w:rPr>
                <w:sz w:val="9"/>
                <w:szCs w:val="9"/>
                <w:color w:val="auto"/>
              </w:rPr>
            </w:pPr>
          </w:p>
        </w:tc>
        <w:tc>
          <w:tcPr>
            <w:tcW w:w="380" w:type="dxa"/>
            <w:vAlign w:val="bottom"/>
            <w:tcBorders>
              <w:top w:val="single" w:sz="8" w:color="auto"/>
            </w:tcBorders>
            <w:shd w:val="clear" w:color="auto" w:fill="CCEEFF"/>
          </w:tcPr>
          <w:p>
            <w:pPr>
              <w:jc w:val="right"/>
              <w:ind w:right="72"/>
              <w:spacing w:after="0" w:line="113" w:lineRule="exact"/>
              <w:rPr>
                <w:sz w:val="20"/>
                <w:szCs w:val="20"/>
                <w:color w:val="auto"/>
              </w:rPr>
            </w:pPr>
            <w:r>
              <w:rPr>
                <w:rFonts w:ascii="Arial" w:cs="Arial" w:eastAsia="Arial" w:hAnsi="Arial"/>
                <w:sz w:val="10"/>
                <w:szCs w:val="10"/>
                <w:b w:val="1"/>
                <w:bCs w:val="1"/>
                <w:color w:val="auto"/>
              </w:rPr>
              <w:t>$</w:t>
            </w:r>
          </w:p>
        </w:tc>
        <w:tc>
          <w:tcPr>
            <w:tcW w:w="80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0"/>
                <w:szCs w:val="10"/>
                <w:b w:val="1"/>
                <w:bCs w:val="1"/>
                <w:color w:val="auto"/>
              </w:rPr>
              <w:t>(2,044)</w:t>
            </w:r>
          </w:p>
        </w:tc>
        <w:tc>
          <w:tcPr>
            <w:tcW w:w="180" w:type="dxa"/>
            <w:vAlign w:val="bottom"/>
            <w:tcBorders>
              <w:top w:val="single" w:sz="8" w:color="CCEEFF"/>
            </w:tcBorders>
            <w:shd w:val="clear" w:color="auto" w:fill="CCEEFF"/>
          </w:tcPr>
          <w:p>
            <w:pPr>
              <w:spacing w:after="0"/>
              <w:rPr>
                <w:sz w:val="9"/>
                <w:szCs w:val="9"/>
                <w:color w:val="auto"/>
              </w:rPr>
            </w:pPr>
          </w:p>
        </w:tc>
        <w:tc>
          <w:tcPr>
            <w:tcW w:w="780" w:type="dxa"/>
            <w:vAlign w:val="bottom"/>
            <w:tcBorders>
              <w:top w:val="single" w:sz="8" w:color="CCEEFF"/>
            </w:tcBorders>
            <w:shd w:val="clear" w:color="auto" w:fill="CCEEFF"/>
          </w:tcPr>
          <w:p>
            <w:pPr>
              <w:jc w:val="right"/>
              <w:ind w:right="152"/>
              <w:spacing w:after="0" w:line="102" w:lineRule="exact"/>
              <w:rPr>
                <w:sz w:val="20"/>
                <w:szCs w:val="20"/>
                <w:color w:val="auto"/>
              </w:rPr>
            </w:pPr>
            <w:r>
              <w:rPr>
                <w:rFonts w:ascii="Arial" w:cs="Arial" w:eastAsia="Arial" w:hAnsi="Arial"/>
                <w:sz w:val="10"/>
                <w:szCs w:val="10"/>
                <w:i w:val="1"/>
                <w:iCs w:val="1"/>
                <w:color w:val="auto"/>
              </w:rPr>
              <w:t>(42)%</w:t>
            </w:r>
          </w:p>
        </w:tc>
        <w:tc>
          <w:tcPr>
            <w:tcW w:w="180" w:type="dxa"/>
            <w:vAlign w:val="bottom"/>
            <w:tcBorders>
              <w:top w:val="single" w:sz="8" w:color="CCEEFF"/>
            </w:tcBorders>
            <w:shd w:val="clear" w:color="auto" w:fill="CCEEFF"/>
          </w:tcPr>
          <w:p>
            <w:pPr>
              <w:spacing w:after="0"/>
              <w:rPr>
                <w:sz w:val="9"/>
                <w:szCs w:val="9"/>
                <w:color w:val="auto"/>
              </w:rPr>
            </w:pPr>
          </w:p>
        </w:tc>
        <w:tc>
          <w:tcPr>
            <w:tcW w:w="360" w:type="dxa"/>
            <w:vAlign w:val="bottom"/>
            <w:tcBorders>
              <w:top w:val="single" w:sz="8" w:color="auto"/>
            </w:tcBorders>
            <w:shd w:val="clear" w:color="auto" w:fill="CCEEFF"/>
          </w:tcPr>
          <w:p>
            <w:pPr>
              <w:jc w:val="right"/>
              <w:ind w:right="72"/>
              <w:spacing w:after="0" w:line="113" w:lineRule="exact"/>
              <w:rPr>
                <w:sz w:val="20"/>
                <w:szCs w:val="20"/>
                <w:color w:val="auto"/>
              </w:rPr>
            </w:pPr>
            <w:r>
              <w:rPr>
                <w:rFonts w:ascii="Arial" w:cs="Arial" w:eastAsia="Arial" w:hAnsi="Arial"/>
                <w:sz w:val="10"/>
                <w:szCs w:val="10"/>
                <w:b w:val="1"/>
                <w:bCs w:val="1"/>
                <w:color w:val="auto"/>
              </w:rPr>
              <w:t>$</w:t>
            </w:r>
          </w:p>
        </w:tc>
        <w:tc>
          <w:tcPr>
            <w:tcW w:w="80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0"/>
                <w:szCs w:val="10"/>
                <w:b w:val="1"/>
                <w:bCs w:val="1"/>
                <w:color w:val="auto"/>
              </w:rPr>
              <w:t>(2,445)</w:t>
            </w:r>
          </w:p>
        </w:tc>
        <w:tc>
          <w:tcPr>
            <w:tcW w:w="160" w:type="dxa"/>
            <w:vAlign w:val="bottom"/>
            <w:tcBorders>
              <w:top w:val="single" w:sz="8" w:color="CCEEFF"/>
            </w:tcBorders>
            <w:shd w:val="clear" w:color="auto" w:fill="CCEEFF"/>
          </w:tcPr>
          <w:p>
            <w:pPr>
              <w:spacing w:after="0"/>
              <w:rPr>
                <w:sz w:val="9"/>
                <w:szCs w:val="9"/>
                <w:color w:val="auto"/>
              </w:rPr>
            </w:pPr>
          </w:p>
        </w:tc>
        <w:tc>
          <w:tcPr>
            <w:tcW w:w="780" w:type="dxa"/>
            <w:vAlign w:val="bottom"/>
            <w:tcBorders>
              <w:top w:val="single" w:sz="8" w:color="CCEEFF"/>
            </w:tcBorders>
            <w:shd w:val="clear" w:color="auto" w:fill="CCEEFF"/>
          </w:tcPr>
          <w:p>
            <w:pPr>
              <w:jc w:val="right"/>
              <w:ind w:right="152"/>
              <w:spacing w:after="0" w:line="102" w:lineRule="exact"/>
              <w:rPr>
                <w:sz w:val="20"/>
                <w:szCs w:val="20"/>
                <w:color w:val="auto"/>
              </w:rPr>
            </w:pPr>
            <w:r>
              <w:rPr>
                <w:rFonts w:ascii="Arial" w:cs="Arial" w:eastAsia="Arial" w:hAnsi="Arial"/>
                <w:sz w:val="10"/>
                <w:szCs w:val="10"/>
                <w:i w:val="1"/>
                <w:iCs w:val="1"/>
                <w:color w:val="auto"/>
              </w:rPr>
              <w:t>(44)%</w:t>
            </w:r>
          </w:p>
        </w:tc>
        <w:tc>
          <w:tcPr>
            <w:tcW w:w="180" w:type="dxa"/>
            <w:vAlign w:val="bottom"/>
            <w:tcBorders>
              <w:top w:val="single" w:sz="8" w:color="CCEEFF"/>
            </w:tcBorders>
            <w:shd w:val="clear" w:color="auto" w:fill="CCEEFF"/>
          </w:tcPr>
          <w:p>
            <w:pPr>
              <w:spacing w:after="0"/>
              <w:rPr>
                <w:sz w:val="9"/>
                <w:szCs w:val="9"/>
                <w:color w:val="auto"/>
              </w:rPr>
            </w:pPr>
          </w:p>
        </w:tc>
        <w:tc>
          <w:tcPr>
            <w:tcW w:w="700" w:type="dxa"/>
            <w:vAlign w:val="bottom"/>
            <w:tcBorders>
              <w:top w:val="single" w:sz="8" w:color="CCEEFF"/>
            </w:tcBorders>
            <w:shd w:val="clear" w:color="auto" w:fill="CCEEFF"/>
          </w:tcPr>
          <w:p>
            <w:pPr>
              <w:jc w:val="right"/>
              <w:spacing w:after="0" w:line="102" w:lineRule="exact"/>
              <w:rPr>
                <w:sz w:val="20"/>
                <w:szCs w:val="20"/>
                <w:color w:val="auto"/>
              </w:rPr>
            </w:pPr>
            <w:r>
              <w:rPr>
                <w:rFonts w:ascii="Arial" w:cs="Arial" w:eastAsia="Arial" w:hAnsi="Arial"/>
                <w:sz w:val="10"/>
                <w:szCs w:val="10"/>
                <w:color w:val="auto"/>
              </w:rPr>
              <w:t>16</w:t>
            </w:r>
          </w:p>
        </w:tc>
        <w:tc>
          <w:tcPr>
            <w:tcW w:w="380" w:type="dxa"/>
            <w:vAlign w:val="bottom"/>
            <w:tcBorders>
              <w:top w:val="single" w:sz="8" w:color="CCEEFF"/>
            </w:tcBorders>
            <w:shd w:val="clear" w:color="auto" w:fill="CCEEFF"/>
          </w:tcPr>
          <w:p>
            <w:pPr>
              <w:jc w:val="right"/>
              <w:ind w:right="232"/>
              <w:spacing w:after="0" w:line="102" w:lineRule="exact"/>
              <w:rPr>
                <w:sz w:val="20"/>
                <w:szCs w:val="20"/>
                <w:color w:val="auto"/>
              </w:rPr>
            </w:pPr>
            <w:r>
              <w:rPr>
                <w:rFonts w:ascii="Arial" w:cs="Arial" w:eastAsia="Arial" w:hAnsi="Arial"/>
                <w:sz w:val="10"/>
                <w:szCs w:val="10"/>
                <w:color w:val="auto"/>
                <w:w w:val="89"/>
              </w:rPr>
              <w:t>%</w:t>
            </w:r>
          </w:p>
        </w:tc>
        <w:tc>
          <w:tcPr>
            <w:tcW w:w="0" w:type="dxa"/>
            <w:vAlign w:val="bottom"/>
          </w:tcPr>
          <w:p>
            <w:pPr>
              <w:spacing w:after="0"/>
              <w:rPr>
                <w:sz w:val="1"/>
                <w:szCs w:val="1"/>
                <w:color w:val="auto"/>
              </w:rPr>
            </w:pPr>
          </w:p>
        </w:tc>
      </w:tr>
      <w:tr>
        <w:trPr>
          <w:trHeight w:val="120"/>
        </w:trPr>
        <w:tc>
          <w:tcPr>
            <w:tcW w:w="4760" w:type="dxa"/>
            <w:vAlign w:val="bottom"/>
            <w:tcBorders>
              <w:bottom w:val="single" w:sz="8" w:color="CCEEFF"/>
            </w:tcBorders>
            <w:gridSpan w:val="2"/>
            <w:shd w:val="clear" w:color="auto" w:fill="CCEEFF"/>
          </w:tcPr>
          <w:p>
            <w:pPr>
              <w:spacing w:after="0"/>
              <w:rPr>
                <w:sz w:val="10"/>
                <w:szCs w:val="10"/>
                <w:color w:val="auto"/>
              </w:rPr>
            </w:pPr>
          </w:p>
        </w:tc>
        <w:tc>
          <w:tcPr>
            <w:tcW w:w="180" w:type="dxa"/>
            <w:vAlign w:val="bottom"/>
            <w:tcBorders>
              <w:bottom w:val="single" w:sz="8" w:color="CCEEFF"/>
            </w:tcBorders>
            <w:shd w:val="clear" w:color="auto" w:fill="CCEEFF"/>
          </w:tcPr>
          <w:p>
            <w:pPr>
              <w:spacing w:after="0"/>
              <w:rPr>
                <w:sz w:val="10"/>
                <w:szCs w:val="10"/>
                <w:color w:val="auto"/>
              </w:rPr>
            </w:pPr>
          </w:p>
        </w:tc>
        <w:tc>
          <w:tcPr>
            <w:tcW w:w="380" w:type="dxa"/>
            <w:vAlign w:val="bottom"/>
            <w:tcBorders>
              <w:bottom w:val="single" w:sz="8" w:color="auto"/>
            </w:tcBorders>
            <w:shd w:val="clear" w:color="auto" w:fill="CCEEFF"/>
          </w:tcPr>
          <w:p>
            <w:pPr>
              <w:spacing w:after="0"/>
              <w:rPr>
                <w:sz w:val="10"/>
                <w:szCs w:val="10"/>
                <w:color w:val="auto"/>
              </w:rPr>
            </w:pPr>
          </w:p>
        </w:tc>
        <w:tc>
          <w:tcPr>
            <w:tcW w:w="800" w:type="dxa"/>
            <w:vAlign w:val="bottom"/>
            <w:tcBorders>
              <w:bottom w:val="single" w:sz="8" w:color="auto"/>
            </w:tcBorders>
            <w:shd w:val="clear" w:color="auto" w:fill="CCEEFF"/>
          </w:tcPr>
          <w:p>
            <w:pPr>
              <w:spacing w:after="0"/>
              <w:rPr>
                <w:sz w:val="10"/>
                <w:szCs w:val="10"/>
                <w:color w:val="auto"/>
              </w:rPr>
            </w:pPr>
          </w:p>
        </w:tc>
        <w:tc>
          <w:tcPr>
            <w:tcW w:w="180" w:type="dxa"/>
            <w:vAlign w:val="bottom"/>
            <w:tcBorders>
              <w:bottom w:val="single" w:sz="8" w:color="CCEEFF"/>
            </w:tcBorders>
            <w:shd w:val="clear" w:color="auto" w:fill="CCEEFF"/>
          </w:tcPr>
          <w:p>
            <w:pPr>
              <w:spacing w:after="0"/>
              <w:rPr>
                <w:sz w:val="10"/>
                <w:szCs w:val="10"/>
                <w:color w:val="auto"/>
              </w:rPr>
            </w:pPr>
          </w:p>
        </w:tc>
        <w:tc>
          <w:tcPr>
            <w:tcW w:w="780" w:type="dxa"/>
            <w:vAlign w:val="bottom"/>
            <w:tcBorders>
              <w:bottom w:val="single" w:sz="8" w:color="CCEEFF"/>
            </w:tcBorders>
            <w:shd w:val="clear" w:color="auto" w:fill="CCEEFF"/>
          </w:tcPr>
          <w:p>
            <w:pPr>
              <w:spacing w:after="0"/>
              <w:rPr>
                <w:sz w:val="10"/>
                <w:szCs w:val="10"/>
                <w:color w:val="auto"/>
              </w:rPr>
            </w:pPr>
          </w:p>
        </w:tc>
        <w:tc>
          <w:tcPr>
            <w:tcW w:w="180" w:type="dxa"/>
            <w:vAlign w:val="bottom"/>
            <w:tcBorders>
              <w:bottom w:val="single" w:sz="8" w:color="CCEEFF"/>
            </w:tcBorders>
            <w:shd w:val="clear" w:color="auto" w:fill="CCEEFF"/>
          </w:tcPr>
          <w:p>
            <w:pPr>
              <w:spacing w:after="0"/>
              <w:rPr>
                <w:sz w:val="10"/>
                <w:szCs w:val="10"/>
                <w:color w:val="auto"/>
              </w:rPr>
            </w:pPr>
          </w:p>
        </w:tc>
        <w:tc>
          <w:tcPr>
            <w:tcW w:w="360" w:type="dxa"/>
            <w:vAlign w:val="bottom"/>
            <w:tcBorders>
              <w:bottom w:val="single" w:sz="8" w:color="auto"/>
            </w:tcBorders>
            <w:shd w:val="clear" w:color="auto" w:fill="CCEEFF"/>
          </w:tcPr>
          <w:p>
            <w:pPr>
              <w:spacing w:after="0"/>
              <w:rPr>
                <w:sz w:val="10"/>
                <w:szCs w:val="10"/>
                <w:color w:val="auto"/>
              </w:rPr>
            </w:pPr>
          </w:p>
        </w:tc>
        <w:tc>
          <w:tcPr>
            <w:tcW w:w="800" w:type="dxa"/>
            <w:vAlign w:val="bottom"/>
            <w:tcBorders>
              <w:bottom w:val="single" w:sz="8" w:color="auto"/>
            </w:tcBorders>
            <w:shd w:val="clear" w:color="auto" w:fill="CCEEFF"/>
          </w:tcPr>
          <w:p>
            <w:pPr>
              <w:spacing w:after="0"/>
              <w:rPr>
                <w:sz w:val="10"/>
                <w:szCs w:val="10"/>
                <w:color w:val="auto"/>
              </w:rPr>
            </w:pPr>
          </w:p>
        </w:tc>
        <w:tc>
          <w:tcPr>
            <w:tcW w:w="160" w:type="dxa"/>
            <w:vAlign w:val="bottom"/>
            <w:tcBorders>
              <w:bottom w:val="single" w:sz="8" w:color="CCEEFF"/>
            </w:tcBorders>
            <w:shd w:val="clear" w:color="auto" w:fill="CCEEFF"/>
          </w:tcPr>
          <w:p>
            <w:pPr>
              <w:spacing w:after="0"/>
              <w:rPr>
                <w:sz w:val="10"/>
                <w:szCs w:val="10"/>
                <w:color w:val="auto"/>
              </w:rPr>
            </w:pPr>
          </w:p>
        </w:tc>
        <w:tc>
          <w:tcPr>
            <w:tcW w:w="780" w:type="dxa"/>
            <w:vAlign w:val="bottom"/>
            <w:tcBorders>
              <w:bottom w:val="single" w:sz="8" w:color="CCEEFF"/>
            </w:tcBorders>
            <w:shd w:val="clear" w:color="auto" w:fill="CCEEFF"/>
          </w:tcPr>
          <w:p>
            <w:pPr>
              <w:spacing w:after="0"/>
              <w:rPr>
                <w:sz w:val="10"/>
                <w:szCs w:val="10"/>
                <w:color w:val="auto"/>
              </w:rPr>
            </w:pPr>
          </w:p>
        </w:tc>
        <w:tc>
          <w:tcPr>
            <w:tcW w:w="180" w:type="dxa"/>
            <w:vAlign w:val="bottom"/>
            <w:tcBorders>
              <w:bottom w:val="single" w:sz="8" w:color="CCEEFF"/>
            </w:tcBorders>
            <w:shd w:val="clear" w:color="auto" w:fill="CCEEFF"/>
          </w:tcPr>
          <w:p>
            <w:pPr>
              <w:spacing w:after="0"/>
              <w:rPr>
                <w:sz w:val="10"/>
                <w:szCs w:val="10"/>
                <w:color w:val="auto"/>
              </w:rPr>
            </w:pPr>
          </w:p>
        </w:tc>
        <w:tc>
          <w:tcPr>
            <w:tcW w:w="1080" w:type="dxa"/>
            <w:vAlign w:val="bottom"/>
            <w:tcBorders>
              <w:bottom w:val="single" w:sz="8" w:color="CCEEFF"/>
            </w:tcBorders>
            <w:gridSpan w:val="2"/>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59"/>
        </w:trPr>
        <w:tc>
          <w:tcPr>
            <w:tcW w:w="4940" w:type="dxa"/>
            <w:vAlign w:val="bottom"/>
            <w:gridSpan w:val="3"/>
          </w:tcPr>
          <w:p>
            <w:pPr>
              <w:ind w:left="800"/>
              <w:spacing w:after="0"/>
              <w:rPr>
                <w:sz w:val="20"/>
                <w:szCs w:val="20"/>
                <w:color w:val="auto"/>
              </w:rPr>
            </w:pPr>
            <w:r>
              <w:rPr>
                <w:rFonts w:ascii="Arial" w:cs="Arial" w:eastAsia="Arial" w:hAnsi="Arial"/>
                <w:sz w:val="10"/>
                <w:szCs w:val="10"/>
                <w:b w:val="1"/>
                <w:bCs w:val="1"/>
                <w:color w:val="auto"/>
              </w:rPr>
              <w:t>Total cost of services and products (excl. depreciation and amortization)</w:t>
            </w:r>
          </w:p>
        </w:tc>
        <w:tc>
          <w:tcPr>
            <w:tcW w:w="380" w:type="dxa"/>
            <w:vAlign w:val="bottom"/>
          </w:tcPr>
          <w:p>
            <w:pPr>
              <w:jc w:val="right"/>
              <w:ind w:right="72"/>
              <w:spacing w:after="0"/>
              <w:rPr>
                <w:sz w:val="20"/>
                <w:szCs w:val="20"/>
                <w:color w:val="auto"/>
              </w:rPr>
            </w:pPr>
            <w:r>
              <w:rPr>
                <w:rFonts w:ascii="Arial" w:cs="Arial" w:eastAsia="Arial" w:hAnsi="Arial"/>
                <w:sz w:val="10"/>
                <w:szCs w:val="10"/>
                <w:b w:val="1"/>
                <w:bCs w:val="1"/>
                <w:color w:val="auto"/>
              </w:rPr>
              <w:t>$</w:t>
            </w:r>
          </w:p>
        </w:tc>
        <w:tc>
          <w:tcPr>
            <w:tcW w:w="980" w:type="dxa"/>
            <w:vAlign w:val="bottom"/>
            <w:gridSpan w:val="2"/>
          </w:tcPr>
          <w:p>
            <w:pPr>
              <w:jc w:val="right"/>
              <w:ind w:right="180"/>
              <w:spacing w:after="0"/>
              <w:rPr>
                <w:sz w:val="20"/>
                <w:szCs w:val="20"/>
                <w:color w:val="auto"/>
              </w:rPr>
            </w:pPr>
            <w:r>
              <w:rPr>
                <w:rFonts w:ascii="Arial" w:cs="Arial" w:eastAsia="Arial" w:hAnsi="Arial"/>
                <w:sz w:val="10"/>
                <w:szCs w:val="10"/>
                <w:b w:val="1"/>
                <w:bCs w:val="1"/>
                <w:color w:val="auto"/>
              </w:rPr>
              <w:t>(10,948)</w:t>
            </w:r>
          </w:p>
        </w:tc>
        <w:tc>
          <w:tcPr>
            <w:tcW w:w="780" w:type="dxa"/>
            <w:vAlign w:val="bottom"/>
          </w:tcPr>
          <w:p>
            <w:pPr>
              <w:jc w:val="right"/>
              <w:ind w:right="152"/>
              <w:spacing w:after="0"/>
              <w:rPr>
                <w:sz w:val="20"/>
                <w:szCs w:val="20"/>
                <w:color w:val="auto"/>
              </w:rPr>
            </w:pPr>
            <w:r>
              <w:rPr>
                <w:rFonts w:ascii="Arial" w:cs="Arial" w:eastAsia="Arial" w:hAnsi="Arial"/>
                <w:sz w:val="10"/>
                <w:szCs w:val="10"/>
                <w:i w:val="1"/>
                <w:iCs w:val="1"/>
                <w:color w:val="auto"/>
              </w:rPr>
              <w:t>(51)%</w:t>
            </w:r>
          </w:p>
        </w:tc>
        <w:tc>
          <w:tcPr>
            <w:tcW w:w="180" w:type="dxa"/>
            <w:vAlign w:val="bottom"/>
          </w:tcPr>
          <w:p>
            <w:pPr>
              <w:spacing w:after="0"/>
              <w:rPr>
                <w:sz w:val="22"/>
                <w:szCs w:val="22"/>
                <w:color w:val="auto"/>
              </w:rPr>
            </w:pPr>
          </w:p>
        </w:tc>
        <w:tc>
          <w:tcPr>
            <w:tcW w:w="360" w:type="dxa"/>
            <w:vAlign w:val="bottom"/>
          </w:tcPr>
          <w:p>
            <w:pPr>
              <w:jc w:val="right"/>
              <w:ind w:right="72"/>
              <w:spacing w:after="0"/>
              <w:rPr>
                <w:sz w:val="20"/>
                <w:szCs w:val="20"/>
                <w:color w:val="auto"/>
              </w:rPr>
            </w:pPr>
            <w:r>
              <w:rPr>
                <w:rFonts w:ascii="Arial" w:cs="Arial" w:eastAsia="Arial" w:hAnsi="Arial"/>
                <w:sz w:val="10"/>
                <w:szCs w:val="10"/>
                <w:b w:val="1"/>
                <w:bCs w:val="1"/>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0"/>
                <w:szCs w:val="10"/>
                <w:b w:val="1"/>
                <w:bCs w:val="1"/>
                <w:color w:val="auto"/>
              </w:rPr>
              <w:t>(9,770)</w:t>
            </w:r>
          </w:p>
        </w:tc>
        <w:tc>
          <w:tcPr>
            <w:tcW w:w="780" w:type="dxa"/>
            <w:vAlign w:val="bottom"/>
          </w:tcPr>
          <w:p>
            <w:pPr>
              <w:jc w:val="right"/>
              <w:ind w:right="152"/>
              <w:spacing w:after="0"/>
              <w:rPr>
                <w:sz w:val="20"/>
                <w:szCs w:val="20"/>
                <w:color w:val="auto"/>
              </w:rPr>
            </w:pPr>
            <w:r>
              <w:rPr>
                <w:rFonts w:ascii="Arial" w:cs="Arial" w:eastAsia="Arial" w:hAnsi="Arial"/>
                <w:sz w:val="10"/>
                <w:szCs w:val="10"/>
                <w:i w:val="1"/>
                <w:iCs w:val="1"/>
                <w:color w:val="auto"/>
              </w:rPr>
              <w:t>(40)%</w:t>
            </w:r>
          </w:p>
        </w:tc>
        <w:tc>
          <w:tcPr>
            <w:tcW w:w="180" w:type="dxa"/>
            <w:vAlign w:val="bottom"/>
          </w:tcPr>
          <w:p>
            <w:pPr>
              <w:spacing w:after="0"/>
              <w:rPr>
                <w:sz w:val="22"/>
                <w:szCs w:val="22"/>
                <w:color w:val="auto"/>
              </w:rPr>
            </w:pPr>
          </w:p>
        </w:tc>
        <w:tc>
          <w:tcPr>
            <w:tcW w:w="1080" w:type="dxa"/>
            <w:vAlign w:val="bottom"/>
            <w:gridSpan w:val="2"/>
          </w:tcPr>
          <w:p>
            <w:pPr>
              <w:jc w:val="right"/>
              <w:ind w:right="232"/>
              <w:spacing w:after="0"/>
              <w:rPr>
                <w:sz w:val="20"/>
                <w:szCs w:val="20"/>
                <w:color w:val="auto"/>
              </w:rPr>
            </w:pPr>
            <w:r>
              <w:rPr>
                <w:rFonts w:ascii="Arial" w:cs="Arial" w:eastAsia="Arial" w:hAnsi="Arial"/>
                <w:sz w:val="10"/>
                <w:szCs w:val="10"/>
                <w:color w:val="auto"/>
              </w:rPr>
              <w:t>(12) %</w:t>
            </w:r>
          </w:p>
        </w:tc>
        <w:tc>
          <w:tcPr>
            <w:tcW w:w="0" w:type="dxa"/>
            <w:vAlign w:val="bottom"/>
          </w:tcPr>
          <w:p>
            <w:pPr>
              <w:spacing w:after="0"/>
              <w:rPr>
                <w:sz w:val="1"/>
                <w:szCs w:val="1"/>
                <w:color w:val="auto"/>
              </w:rPr>
            </w:pPr>
          </w:p>
        </w:tc>
      </w:tr>
      <w:tr>
        <w:trPr>
          <w:trHeight w:val="322"/>
        </w:trPr>
        <w:tc>
          <w:tcPr>
            <w:tcW w:w="4940" w:type="dxa"/>
            <w:vAlign w:val="bottom"/>
            <w:tcBorders>
              <w:top w:val="single" w:sz="8" w:color="CCEEFF"/>
            </w:tcBorders>
            <w:gridSpan w:val="3"/>
            <w:shd w:val="clear" w:color="auto" w:fill="CCEEFF"/>
          </w:tcPr>
          <w:p>
            <w:pPr>
              <w:ind w:left="400"/>
              <w:spacing w:after="0"/>
              <w:rPr>
                <w:sz w:val="20"/>
                <w:szCs w:val="20"/>
                <w:color w:val="auto"/>
              </w:rPr>
            </w:pPr>
            <w:r>
              <w:rPr>
                <w:rFonts w:ascii="Arial" w:cs="Arial" w:eastAsia="Arial" w:hAnsi="Arial"/>
                <w:sz w:val="10"/>
                <w:szCs w:val="10"/>
                <w:b w:val="1"/>
                <w:bCs w:val="1"/>
                <w:color w:val="auto"/>
              </w:rPr>
              <w:t>Depreciation, amortization, and general and administrative expense</w:t>
            </w:r>
          </w:p>
        </w:tc>
        <w:tc>
          <w:tcPr>
            <w:tcW w:w="380" w:type="dxa"/>
            <w:vAlign w:val="bottom"/>
            <w:tcBorders>
              <w:top w:val="single" w:sz="8" w:color="auto"/>
            </w:tcBorders>
            <w:shd w:val="clear" w:color="auto" w:fill="CCEEFF"/>
          </w:tcPr>
          <w:p>
            <w:pPr>
              <w:spacing w:after="0"/>
              <w:rPr>
                <w:sz w:val="24"/>
                <w:szCs w:val="24"/>
                <w:color w:val="auto"/>
              </w:rPr>
            </w:pPr>
          </w:p>
        </w:tc>
        <w:tc>
          <w:tcPr>
            <w:tcW w:w="800" w:type="dxa"/>
            <w:vAlign w:val="bottom"/>
            <w:tcBorders>
              <w:top w:val="single" w:sz="8" w:color="auto"/>
            </w:tcBorders>
            <w:shd w:val="clear" w:color="auto" w:fill="CCEEFF"/>
          </w:tcPr>
          <w:p>
            <w:pPr>
              <w:spacing w:after="0"/>
              <w:rPr>
                <w:sz w:val="24"/>
                <w:szCs w:val="24"/>
                <w:color w:val="auto"/>
              </w:rPr>
            </w:pPr>
          </w:p>
        </w:tc>
        <w:tc>
          <w:tcPr>
            <w:tcW w:w="180" w:type="dxa"/>
            <w:vAlign w:val="bottom"/>
            <w:tcBorders>
              <w:top w:val="single" w:sz="8" w:color="CCEEFF"/>
            </w:tcBorders>
            <w:shd w:val="clear" w:color="auto" w:fill="CCEEFF"/>
          </w:tcPr>
          <w:p>
            <w:pPr>
              <w:spacing w:after="0"/>
              <w:rPr>
                <w:sz w:val="24"/>
                <w:szCs w:val="24"/>
                <w:color w:val="auto"/>
              </w:rPr>
            </w:pPr>
          </w:p>
        </w:tc>
        <w:tc>
          <w:tcPr>
            <w:tcW w:w="780" w:type="dxa"/>
            <w:vAlign w:val="bottom"/>
            <w:tcBorders>
              <w:top w:val="single" w:sz="8" w:color="CCEEFF"/>
            </w:tcBorders>
            <w:shd w:val="clear" w:color="auto" w:fill="CCEEFF"/>
          </w:tcPr>
          <w:p>
            <w:pPr>
              <w:spacing w:after="0"/>
              <w:rPr>
                <w:sz w:val="24"/>
                <w:szCs w:val="24"/>
                <w:color w:val="auto"/>
              </w:rPr>
            </w:pPr>
          </w:p>
        </w:tc>
        <w:tc>
          <w:tcPr>
            <w:tcW w:w="180" w:type="dxa"/>
            <w:vAlign w:val="bottom"/>
            <w:tcBorders>
              <w:top w:val="single" w:sz="8" w:color="CCEEFF"/>
            </w:tcBorders>
            <w:shd w:val="clear" w:color="auto" w:fill="CCEEFF"/>
          </w:tcPr>
          <w:p>
            <w:pPr>
              <w:spacing w:after="0"/>
              <w:rPr>
                <w:sz w:val="24"/>
                <w:szCs w:val="24"/>
                <w:color w:val="auto"/>
              </w:rPr>
            </w:pPr>
          </w:p>
        </w:tc>
        <w:tc>
          <w:tcPr>
            <w:tcW w:w="360" w:type="dxa"/>
            <w:vAlign w:val="bottom"/>
            <w:tcBorders>
              <w:top w:val="single" w:sz="8" w:color="auto"/>
            </w:tcBorders>
            <w:shd w:val="clear" w:color="auto" w:fill="CCEEFF"/>
          </w:tcPr>
          <w:p>
            <w:pPr>
              <w:spacing w:after="0"/>
              <w:rPr>
                <w:sz w:val="24"/>
                <w:szCs w:val="24"/>
                <w:color w:val="auto"/>
              </w:rPr>
            </w:pPr>
          </w:p>
        </w:tc>
        <w:tc>
          <w:tcPr>
            <w:tcW w:w="800" w:type="dxa"/>
            <w:vAlign w:val="bottom"/>
            <w:tcBorders>
              <w:top w:val="single" w:sz="8" w:color="auto"/>
            </w:tcBorders>
            <w:shd w:val="clear" w:color="auto" w:fill="CCEEFF"/>
          </w:tcPr>
          <w:p>
            <w:pPr>
              <w:spacing w:after="0"/>
              <w:rPr>
                <w:sz w:val="24"/>
                <w:szCs w:val="24"/>
                <w:color w:val="auto"/>
              </w:rPr>
            </w:pPr>
          </w:p>
        </w:tc>
        <w:tc>
          <w:tcPr>
            <w:tcW w:w="160" w:type="dxa"/>
            <w:vAlign w:val="bottom"/>
            <w:tcBorders>
              <w:top w:val="single" w:sz="8" w:color="CCEEFF"/>
            </w:tcBorders>
            <w:shd w:val="clear" w:color="auto" w:fill="CCEEFF"/>
          </w:tcPr>
          <w:p>
            <w:pPr>
              <w:spacing w:after="0"/>
              <w:rPr>
                <w:sz w:val="24"/>
                <w:szCs w:val="24"/>
                <w:color w:val="auto"/>
              </w:rPr>
            </w:pPr>
          </w:p>
        </w:tc>
        <w:tc>
          <w:tcPr>
            <w:tcW w:w="780" w:type="dxa"/>
            <w:vAlign w:val="bottom"/>
            <w:tcBorders>
              <w:top w:val="single" w:sz="8" w:color="CCEEFF"/>
            </w:tcBorders>
            <w:shd w:val="clear" w:color="auto" w:fill="CCEEFF"/>
          </w:tcPr>
          <w:p>
            <w:pPr>
              <w:spacing w:after="0"/>
              <w:rPr>
                <w:sz w:val="24"/>
                <w:szCs w:val="24"/>
                <w:color w:val="auto"/>
              </w:rPr>
            </w:pPr>
          </w:p>
        </w:tc>
        <w:tc>
          <w:tcPr>
            <w:tcW w:w="180" w:type="dxa"/>
            <w:vAlign w:val="bottom"/>
            <w:tcBorders>
              <w:top w:val="single" w:sz="8" w:color="CCEEFF"/>
            </w:tcBorders>
            <w:shd w:val="clear" w:color="auto" w:fill="CCEEFF"/>
          </w:tcPr>
          <w:p>
            <w:pPr>
              <w:spacing w:after="0"/>
              <w:rPr>
                <w:sz w:val="24"/>
                <w:szCs w:val="24"/>
                <w:color w:val="auto"/>
              </w:rPr>
            </w:pPr>
          </w:p>
        </w:tc>
        <w:tc>
          <w:tcPr>
            <w:tcW w:w="700" w:type="dxa"/>
            <w:vAlign w:val="bottom"/>
            <w:tcBorders>
              <w:top w:val="single" w:sz="8" w:color="CCEEFF"/>
            </w:tcBorders>
            <w:shd w:val="clear" w:color="auto" w:fill="CCEEFF"/>
          </w:tcPr>
          <w:p>
            <w:pPr>
              <w:spacing w:after="0"/>
              <w:rPr>
                <w:sz w:val="24"/>
                <w:szCs w:val="24"/>
                <w:color w:val="auto"/>
              </w:rPr>
            </w:pPr>
          </w:p>
        </w:tc>
        <w:tc>
          <w:tcPr>
            <w:tcW w:w="380" w:type="dxa"/>
            <w:vAlign w:val="bottom"/>
            <w:tcBorders>
              <w:top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1700" w:type="dxa"/>
            <w:vAlign w:val="bottom"/>
          </w:tcPr>
          <w:p>
            <w:pPr>
              <w:ind w:left="800"/>
              <w:spacing w:after="0"/>
              <w:rPr>
                <w:sz w:val="20"/>
                <w:szCs w:val="20"/>
                <w:color w:val="auto"/>
              </w:rPr>
            </w:pPr>
            <w:r>
              <w:rPr>
                <w:rFonts w:ascii="Arial" w:cs="Arial" w:eastAsia="Arial" w:hAnsi="Arial"/>
                <w:sz w:val="10"/>
                <w:szCs w:val="10"/>
                <w:b w:val="1"/>
                <w:bCs w:val="1"/>
                <w:color w:val="auto"/>
              </w:rPr>
              <w:t>United States</w:t>
            </w:r>
          </w:p>
        </w:tc>
        <w:tc>
          <w:tcPr>
            <w:tcW w:w="3240" w:type="dxa"/>
            <w:vAlign w:val="bottom"/>
            <w:gridSpan w:val="2"/>
          </w:tcPr>
          <w:p>
            <w:pPr>
              <w:ind w:left="280"/>
              <w:spacing w:after="0"/>
              <w:rPr>
                <w:sz w:val="20"/>
                <w:szCs w:val="20"/>
                <w:color w:val="auto"/>
              </w:rPr>
            </w:pPr>
            <w:r>
              <w:rPr>
                <w:rFonts w:ascii="Arial" w:cs="Arial" w:eastAsia="Arial" w:hAnsi="Arial"/>
                <w:sz w:val="10"/>
                <w:szCs w:val="10"/>
                <w:color w:val="auto"/>
              </w:rPr>
              <w:t>Depreciation and amortization</w:t>
            </w:r>
          </w:p>
        </w:tc>
        <w:tc>
          <w:tcPr>
            <w:tcW w:w="380" w:type="dxa"/>
            <w:vAlign w:val="bottom"/>
          </w:tcPr>
          <w:p>
            <w:pPr>
              <w:jc w:val="right"/>
              <w:ind w:right="72"/>
              <w:spacing w:after="0"/>
              <w:rPr>
                <w:sz w:val="20"/>
                <w:szCs w:val="20"/>
                <w:color w:val="auto"/>
              </w:rPr>
            </w:pPr>
            <w:r>
              <w:rPr>
                <w:rFonts w:ascii="Arial" w:cs="Arial" w:eastAsia="Arial" w:hAnsi="Arial"/>
                <w:sz w:val="10"/>
                <w:szCs w:val="10"/>
                <w:color w:val="auto"/>
              </w:rPr>
              <w:t>$</w:t>
            </w:r>
          </w:p>
        </w:tc>
        <w:tc>
          <w:tcPr>
            <w:tcW w:w="980" w:type="dxa"/>
            <w:vAlign w:val="bottom"/>
            <w:gridSpan w:val="2"/>
          </w:tcPr>
          <w:p>
            <w:pPr>
              <w:jc w:val="right"/>
              <w:ind w:right="180"/>
              <w:spacing w:after="0"/>
              <w:rPr>
                <w:sz w:val="20"/>
                <w:szCs w:val="20"/>
                <w:color w:val="auto"/>
              </w:rPr>
            </w:pPr>
            <w:r>
              <w:rPr>
                <w:rFonts w:ascii="Arial" w:cs="Arial" w:eastAsia="Arial" w:hAnsi="Arial"/>
                <w:sz w:val="10"/>
                <w:szCs w:val="10"/>
                <w:color w:val="auto"/>
              </w:rPr>
              <w:t>(330)</w:t>
            </w:r>
          </w:p>
        </w:tc>
        <w:tc>
          <w:tcPr>
            <w:tcW w:w="780" w:type="dxa"/>
            <w:vAlign w:val="bottom"/>
          </w:tcPr>
          <w:p>
            <w:pPr>
              <w:jc w:val="right"/>
              <w:ind w:right="152"/>
              <w:spacing w:after="0"/>
              <w:rPr>
                <w:sz w:val="20"/>
                <w:szCs w:val="20"/>
                <w:color w:val="auto"/>
              </w:rPr>
            </w:pPr>
            <w:r>
              <w:rPr>
                <w:rFonts w:ascii="Arial" w:cs="Arial" w:eastAsia="Arial" w:hAnsi="Arial"/>
                <w:sz w:val="10"/>
                <w:szCs w:val="10"/>
                <w:i w:val="1"/>
                <w:iCs w:val="1"/>
                <w:color w:val="auto"/>
              </w:rPr>
              <w:t>(6)%</w:t>
            </w:r>
          </w:p>
        </w:tc>
        <w:tc>
          <w:tcPr>
            <w:tcW w:w="180" w:type="dxa"/>
            <w:vAlign w:val="bottom"/>
          </w:tcPr>
          <w:p>
            <w:pPr>
              <w:spacing w:after="0"/>
              <w:rPr>
                <w:sz w:val="14"/>
                <w:szCs w:val="14"/>
                <w:color w:val="auto"/>
              </w:rPr>
            </w:pPr>
          </w:p>
        </w:tc>
        <w:tc>
          <w:tcPr>
            <w:tcW w:w="360" w:type="dxa"/>
            <w:vAlign w:val="bottom"/>
          </w:tcPr>
          <w:p>
            <w:pPr>
              <w:jc w:val="right"/>
              <w:ind w:right="72"/>
              <w:spacing w:after="0"/>
              <w:rPr>
                <w:sz w:val="20"/>
                <w:szCs w:val="20"/>
                <w:color w:val="auto"/>
              </w:rPr>
            </w:pPr>
            <w:r>
              <w:rPr>
                <w:rFonts w:ascii="Arial" w:cs="Arial" w:eastAsia="Arial" w:hAnsi="Arial"/>
                <w:sz w:val="10"/>
                <w:szCs w:val="10"/>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0"/>
                <w:szCs w:val="10"/>
                <w:color w:val="auto"/>
              </w:rPr>
              <w:t>(327)</w:t>
            </w:r>
          </w:p>
        </w:tc>
        <w:tc>
          <w:tcPr>
            <w:tcW w:w="780" w:type="dxa"/>
            <w:vAlign w:val="bottom"/>
          </w:tcPr>
          <w:p>
            <w:pPr>
              <w:jc w:val="right"/>
              <w:ind w:right="152"/>
              <w:spacing w:after="0"/>
              <w:rPr>
                <w:sz w:val="20"/>
                <w:szCs w:val="20"/>
                <w:color w:val="auto"/>
              </w:rPr>
            </w:pPr>
            <w:r>
              <w:rPr>
                <w:rFonts w:ascii="Arial" w:cs="Arial" w:eastAsia="Arial" w:hAnsi="Arial"/>
                <w:sz w:val="10"/>
                <w:szCs w:val="10"/>
                <w:i w:val="1"/>
                <w:iCs w:val="1"/>
                <w:color w:val="auto"/>
              </w:rPr>
              <w:t>(6)%</w:t>
            </w:r>
          </w:p>
        </w:tc>
        <w:tc>
          <w:tcPr>
            <w:tcW w:w="180" w:type="dxa"/>
            <w:vAlign w:val="bottom"/>
          </w:tcPr>
          <w:p>
            <w:pPr>
              <w:spacing w:after="0"/>
              <w:rPr>
                <w:sz w:val="14"/>
                <w:szCs w:val="14"/>
                <w:color w:val="auto"/>
              </w:rPr>
            </w:pPr>
          </w:p>
        </w:tc>
        <w:tc>
          <w:tcPr>
            <w:tcW w:w="1080" w:type="dxa"/>
            <w:vAlign w:val="bottom"/>
            <w:gridSpan w:val="2"/>
          </w:tcPr>
          <w:p>
            <w:pPr>
              <w:jc w:val="right"/>
              <w:ind w:right="232"/>
              <w:spacing w:after="0"/>
              <w:rPr>
                <w:sz w:val="20"/>
                <w:szCs w:val="20"/>
                <w:color w:val="auto"/>
              </w:rPr>
            </w:pPr>
            <w:r>
              <w:rPr>
                <w:rFonts w:ascii="Arial" w:cs="Arial" w:eastAsia="Arial" w:hAnsi="Arial"/>
                <w:sz w:val="10"/>
                <w:szCs w:val="10"/>
                <w:color w:val="auto"/>
              </w:rPr>
              <w:t>(1) %</w:t>
            </w:r>
          </w:p>
        </w:tc>
        <w:tc>
          <w:tcPr>
            <w:tcW w:w="0" w:type="dxa"/>
            <w:vAlign w:val="bottom"/>
          </w:tcPr>
          <w:p>
            <w:pPr>
              <w:spacing w:after="0"/>
              <w:rPr>
                <w:sz w:val="1"/>
                <w:szCs w:val="1"/>
                <w:color w:val="auto"/>
              </w:rPr>
            </w:pPr>
          </w:p>
        </w:tc>
      </w:tr>
      <w:tr>
        <w:trPr>
          <w:trHeight w:val="171"/>
        </w:trPr>
        <w:tc>
          <w:tcPr>
            <w:tcW w:w="1700" w:type="dxa"/>
            <w:vAlign w:val="bottom"/>
            <w:shd w:val="clear" w:color="auto" w:fill="CCEEFF"/>
          </w:tcPr>
          <w:p>
            <w:pPr>
              <w:spacing w:after="0"/>
              <w:rPr>
                <w:sz w:val="14"/>
                <w:szCs w:val="14"/>
                <w:color w:val="auto"/>
              </w:rPr>
            </w:pPr>
          </w:p>
        </w:tc>
        <w:tc>
          <w:tcPr>
            <w:tcW w:w="3240" w:type="dxa"/>
            <w:vAlign w:val="bottom"/>
            <w:gridSpan w:val="2"/>
            <w:shd w:val="clear" w:color="auto" w:fill="CCEEFF"/>
          </w:tcPr>
          <w:p>
            <w:pPr>
              <w:ind w:left="280"/>
              <w:spacing w:after="0"/>
              <w:rPr>
                <w:sz w:val="20"/>
                <w:szCs w:val="20"/>
                <w:color w:val="auto"/>
              </w:rPr>
            </w:pPr>
            <w:r>
              <w:rPr>
                <w:rFonts w:ascii="Arial" w:cs="Arial" w:eastAsia="Arial" w:hAnsi="Arial"/>
                <w:sz w:val="10"/>
                <w:szCs w:val="10"/>
                <w:color w:val="auto"/>
              </w:rPr>
              <w:t>General and administrative expense</w:t>
            </w:r>
          </w:p>
        </w:tc>
        <w:tc>
          <w:tcPr>
            <w:tcW w:w="3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41</w:t>
            </w: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152"/>
              <w:spacing w:after="0"/>
              <w:rPr>
                <w:sz w:val="20"/>
                <w:szCs w:val="20"/>
                <w:color w:val="auto"/>
              </w:rPr>
            </w:pPr>
            <w:r>
              <w:rPr>
                <w:rFonts w:ascii="Arial" w:cs="Arial" w:eastAsia="Arial" w:hAnsi="Arial"/>
                <w:sz w:val="10"/>
                <w:szCs w:val="10"/>
                <w:i w:val="1"/>
                <w:iCs w:val="1"/>
                <w:color w:val="auto"/>
              </w:rPr>
              <w:t>1 %</w:t>
            </w:r>
          </w:p>
        </w:tc>
        <w:tc>
          <w:tcPr>
            <w:tcW w:w="1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(14)</w:t>
            </w:r>
          </w:p>
        </w:tc>
        <w:tc>
          <w:tcPr>
            <w:tcW w:w="780" w:type="dxa"/>
            <w:vAlign w:val="bottom"/>
            <w:shd w:val="clear" w:color="auto" w:fill="CCEEFF"/>
          </w:tcPr>
          <w:p>
            <w:pPr>
              <w:jc w:val="right"/>
              <w:ind w:right="152"/>
              <w:spacing w:after="0"/>
              <w:rPr>
                <w:sz w:val="20"/>
                <w:szCs w:val="20"/>
                <w:color w:val="auto"/>
              </w:rPr>
            </w:pPr>
            <w:r>
              <w:rPr>
                <w:rFonts w:ascii="Arial" w:cs="Arial" w:eastAsia="Arial" w:hAnsi="Arial"/>
                <w:sz w:val="10"/>
                <w:szCs w:val="10"/>
                <w:i w:val="1"/>
                <w:iCs w:val="1"/>
                <w:color w:val="auto"/>
              </w:rPr>
              <w:t>(0)%</w:t>
            </w: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393</w:t>
            </w:r>
          </w:p>
        </w:tc>
        <w:tc>
          <w:tcPr>
            <w:tcW w:w="380" w:type="dxa"/>
            <w:vAlign w:val="bottom"/>
            <w:shd w:val="clear" w:color="auto" w:fill="CCEEFF"/>
          </w:tcPr>
          <w:p>
            <w:pPr>
              <w:jc w:val="right"/>
              <w:ind w:right="232"/>
              <w:spacing w:after="0"/>
              <w:rPr>
                <w:sz w:val="20"/>
                <w:szCs w:val="20"/>
                <w:color w:val="auto"/>
              </w:rPr>
            </w:pPr>
            <w:r>
              <w:rPr>
                <w:rFonts w:ascii="Arial" w:cs="Arial" w:eastAsia="Arial" w:hAnsi="Arial"/>
                <w:sz w:val="10"/>
                <w:szCs w:val="10"/>
                <w:color w:val="auto"/>
                <w:w w:val="89"/>
              </w:rPr>
              <w:t>%</w:t>
            </w:r>
          </w:p>
        </w:tc>
        <w:tc>
          <w:tcPr>
            <w:tcW w:w="0" w:type="dxa"/>
            <w:vAlign w:val="bottom"/>
          </w:tcPr>
          <w:p>
            <w:pPr>
              <w:spacing w:after="0"/>
              <w:rPr>
                <w:sz w:val="1"/>
                <w:szCs w:val="1"/>
                <w:color w:val="auto"/>
              </w:rPr>
            </w:pPr>
          </w:p>
        </w:tc>
      </w:tr>
      <w:tr>
        <w:trPr>
          <w:trHeight w:val="113"/>
        </w:trPr>
        <w:tc>
          <w:tcPr>
            <w:tcW w:w="1700" w:type="dxa"/>
            <w:vAlign w:val="bottom"/>
          </w:tcPr>
          <w:p>
            <w:pPr>
              <w:spacing w:after="0"/>
              <w:rPr>
                <w:sz w:val="9"/>
                <w:szCs w:val="9"/>
                <w:color w:val="auto"/>
              </w:rPr>
            </w:pPr>
          </w:p>
        </w:tc>
        <w:tc>
          <w:tcPr>
            <w:tcW w:w="3060" w:type="dxa"/>
            <w:vAlign w:val="bottom"/>
          </w:tcPr>
          <w:p>
            <w:pPr>
              <w:spacing w:after="0"/>
              <w:rPr>
                <w:sz w:val="9"/>
                <w:szCs w:val="9"/>
                <w:color w:val="auto"/>
              </w:rPr>
            </w:pPr>
          </w:p>
        </w:tc>
        <w:tc>
          <w:tcPr>
            <w:tcW w:w="180" w:type="dxa"/>
            <w:vAlign w:val="bottom"/>
          </w:tcPr>
          <w:p>
            <w:pPr>
              <w:spacing w:after="0"/>
              <w:rPr>
                <w:sz w:val="9"/>
                <w:szCs w:val="9"/>
                <w:color w:val="auto"/>
              </w:rPr>
            </w:pPr>
          </w:p>
        </w:tc>
        <w:tc>
          <w:tcPr>
            <w:tcW w:w="380" w:type="dxa"/>
            <w:vAlign w:val="bottom"/>
            <w:tcBorders>
              <w:top w:val="single" w:sz="8" w:color="auto"/>
            </w:tcBorders>
          </w:tcPr>
          <w:p>
            <w:pPr>
              <w:jc w:val="right"/>
              <w:ind w:right="72"/>
              <w:spacing w:after="0" w:line="113" w:lineRule="exact"/>
              <w:rPr>
                <w:sz w:val="20"/>
                <w:szCs w:val="20"/>
                <w:color w:val="auto"/>
              </w:rPr>
            </w:pPr>
            <w:r>
              <w:rPr>
                <w:rFonts w:ascii="Arial" w:cs="Arial" w:eastAsia="Arial" w:hAnsi="Arial"/>
                <w:sz w:val="10"/>
                <w:szCs w:val="10"/>
                <w:b w:val="1"/>
                <w:bCs w:val="1"/>
                <w:color w:val="auto"/>
              </w:rPr>
              <w:t>$</w:t>
            </w:r>
          </w:p>
        </w:tc>
        <w:tc>
          <w:tcPr>
            <w:tcW w:w="800" w:type="dxa"/>
            <w:vAlign w:val="bottom"/>
            <w:tcBorders>
              <w:top w:val="single" w:sz="8" w:color="auto"/>
            </w:tcBorders>
          </w:tcPr>
          <w:p>
            <w:pPr>
              <w:jc w:val="right"/>
              <w:spacing w:after="0" w:line="113" w:lineRule="exact"/>
              <w:rPr>
                <w:sz w:val="20"/>
                <w:szCs w:val="20"/>
                <w:color w:val="auto"/>
              </w:rPr>
            </w:pPr>
            <w:r>
              <w:rPr>
                <w:rFonts w:ascii="Arial" w:cs="Arial" w:eastAsia="Arial" w:hAnsi="Arial"/>
                <w:sz w:val="10"/>
                <w:szCs w:val="10"/>
                <w:b w:val="1"/>
                <w:bCs w:val="1"/>
                <w:color w:val="auto"/>
              </w:rPr>
              <w:t>(289)</w:t>
            </w:r>
          </w:p>
        </w:tc>
        <w:tc>
          <w:tcPr>
            <w:tcW w:w="180" w:type="dxa"/>
            <w:vAlign w:val="bottom"/>
          </w:tcPr>
          <w:p>
            <w:pPr>
              <w:spacing w:after="0"/>
              <w:rPr>
                <w:sz w:val="9"/>
                <w:szCs w:val="9"/>
                <w:color w:val="auto"/>
              </w:rPr>
            </w:pPr>
          </w:p>
        </w:tc>
        <w:tc>
          <w:tcPr>
            <w:tcW w:w="780" w:type="dxa"/>
            <w:vAlign w:val="bottom"/>
          </w:tcPr>
          <w:p>
            <w:pPr>
              <w:jc w:val="right"/>
              <w:ind w:right="152"/>
              <w:spacing w:after="0" w:line="102" w:lineRule="exact"/>
              <w:rPr>
                <w:sz w:val="20"/>
                <w:szCs w:val="20"/>
                <w:color w:val="auto"/>
              </w:rPr>
            </w:pPr>
            <w:r>
              <w:rPr>
                <w:rFonts w:ascii="Arial" w:cs="Arial" w:eastAsia="Arial" w:hAnsi="Arial"/>
                <w:sz w:val="10"/>
                <w:szCs w:val="10"/>
                <w:i w:val="1"/>
                <w:iCs w:val="1"/>
                <w:color w:val="auto"/>
              </w:rPr>
              <w:t>(5)%</w:t>
            </w:r>
          </w:p>
        </w:tc>
        <w:tc>
          <w:tcPr>
            <w:tcW w:w="180" w:type="dxa"/>
            <w:vAlign w:val="bottom"/>
          </w:tcPr>
          <w:p>
            <w:pPr>
              <w:spacing w:after="0"/>
              <w:rPr>
                <w:sz w:val="9"/>
                <w:szCs w:val="9"/>
                <w:color w:val="auto"/>
              </w:rPr>
            </w:pPr>
          </w:p>
        </w:tc>
        <w:tc>
          <w:tcPr>
            <w:tcW w:w="360" w:type="dxa"/>
            <w:vAlign w:val="bottom"/>
            <w:tcBorders>
              <w:top w:val="single" w:sz="8" w:color="auto"/>
            </w:tcBorders>
          </w:tcPr>
          <w:p>
            <w:pPr>
              <w:jc w:val="right"/>
              <w:ind w:right="72"/>
              <w:spacing w:after="0" w:line="113" w:lineRule="exact"/>
              <w:rPr>
                <w:sz w:val="20"/>
                <w:szCs w:val="20"/>
                <w:color w:val="auto"/>
              </w:rPr>
            </w:pPr>
            <w:r>
              <w:rPr>
                <w:rFonts w:ascii="Arial" w:cs="Arial" w:eastAsia="Arial" w:hAnsi="Arial"/>
                <w:sz w:val="10"/>
                <w:szCs w:val="10"/>
                <w:b w:val="1"/>
                <w:bCs w:val="1"/>
                <w:color w:val="auto"/>
              </w:rPr>
              <w:t>$</w:t>
            </w:r>
          </w:p>
        </w:tc>
        <w:tc>
          <w:tcPr>
            <w:tcW w:w="800" w:type="dxa"/>
            <w:vAlign w:val="bottom"/>
            <w:tcBorders>
              <w:top w:val="single" w:sz="8" w:color="auto"/>
            </w:tcBorders>
          </w:tcPr>
          <w:p>
            <w:pPr>
              <w:jc w:val="right"/>
              <w:spacing w:after="0" w:line="113" w:lineRule="exact"/>
              <w:rPr>
                <w:sz w:val="20"/>
                <w:szCs w:val="20"/>
                <w:color w:val="auto"/>
              </w:rPr>
            </w:pPr>
            <w:r>
              <w:rPr>
                <w:rFonts w:ascii="Arial" w:cs="Arial" w:eastAsia="Arial" w:hAnsi="Arial"/>
                <w:sz w:val="10"/>
                <w:szCs w:val="10"/>
                <w:b w:val="1"/>
                <w:bCs w:val="1"/>
                <w:color w:val="auto"/>
              </w:rPr>
              <w:t>(341)</w:t>
            </w:r>
          </w:p>
        </w:tc>
        <w:tc>
          <w:tcPr>
            <w:tcW w:w="160" w:type="dxa"/>
            <w:vAlign w:val="bottom"/>
          </w:tcPr>
          <w:p>
            <w:pPr>
              <w:spacing w:after="0"/>
              <w:rPr>
                <w:sz w:val="9"/>
                <w:szCs w:val="9"/>
                <w:color w:val="auto"/>
              </w:rPr>
            </w:pPr>
          </w:p>
        </w:tc>
        <w:tc>
          <w:tcPr>
            <w:tcW w:w="780" w:type="dxa"/>
            <w:vAlign w:val="bottom"/>
          </w:tcPr>
          <w:p>
            <w:pPr>
              <w:jc w:val="right"/>
              <w:ind w:right="152"/>
              <w:spacing w:after="0" w:line="102" w:lineRule="exact"/>
              <w:rPr>
                <w:sz w:val="20"/>
                <w:szCs w:val="20"/>
                <w:color w:val="auto"/>
              </w:rPr>
            </w:pPr>
            <w:r>
              <w:rPr>
                <w:rFonts w:ascii="Arial" w:cs="Arial" w:eastAsia="Arial" w:hAnsi="Arial"/>
                <w:sz w:val="10"/>
                <w:szCs w:val="10"/>
                <w:i w:val="1"/>
                <w:iCs w:val="1"/>
                <w:color w:val="auto"/>
              </w:rPr>
              <w:t>(7)%</w:t>
            </w:r>
          </w:p>
        </w:tc>
        <w:tc>
          <w:tcPr>
            <w:tcW w:w="180" w:type="dxa"/>
            <w:vAlign w:val="bottom"/>
          </w:tcPr>
          <w:p>
            <w:pPr>
              <w:spacing w:after="0"/>
              <w:rPr>
                <w:sz w:val="9"/>
                <w:szCs w:val="9"/>
                <w:color w:val="auto"/>
              </w:rPr>
            </w:pPr>
          </w:p>
        </w:tc>
        <w:tc>
          <w:tcPr>
            <w:tcW w:w="700" w:type="dxa"/>
            <w:vAlign w:val="bottom"/>
          </w:tcPr>
          <w:p>
            <w:pPr>
              <w:jc w:val="right"/>
              <w:spacing w:after="0" w:line="102" w:lineRule="exact"/>
              <w:rPr>
                <w:sz w:val="20"/>
                <w:szCs w:val="20"/>
                <w:color w:val="auto"/>
              </w:rPr>
            </w:pPr>
            <w:r>
              <w:rPr>
                <w:rFonts w:ascii="Arial" w:cs="Arial" w:eastAsia="Arial" w:hAnsi="Arial"/>
                <w:sz w:val="10"/>
                <w:szCs w:val="10"/>
                <w:color w:val="auto"/>
              </w:rPr>
              <w:t>15</w:t>
            </w:r>
          </w:p>
        </w:tc>
        <w:tc>
          <w:tcPr>
            <w:tcW w:w="380" w:type="dxa"/>
            <w:vAlign w:val="bottom"/>
          </w:tcPr>
          <w:p>
            <w:pPr>
              <w:jc w:val="right"/>
              <w:ind w:right="232"/>
              <w:spacing w:after="0" w:line="102" w:lineRule="exact"/>
              <w:rPr>
                <w:sz w:val="20"/>
                <w:szCs w:val="20"/>
                <w:color w:val="auto"/>
              </w:rPr>
            </w:pPr>
            <w:r>
              <w:rPr>
                <w:rFonts w:ascii="Arial" w:cs="Arial" w:eastAsia="Arial" w:hAnsi="Arial"/>
                <w:sz w:val="10"/>
                <w:szCs w:val="10"/>
                <w:color w:val="auto"/>
                <w:w w:val="89"/>
              </w:rPr>
              <w:t>%</w:t>
            </w:r>
          </w:p>
        </w:tc>
        <w:tc>
          <w:tcPr>
            <w:tcW w:w="0" w:type="dxa"/>
            <w:vAlign w:val="bottom"/>
          </w:tcPr>
          <w:p>
            <w:pPr>
              <w:spacing w:after="0"/>
              <w:rPr>
                <w:sz w:val="1"/>
                <w:szCs w:val="1"/>
                <w:color w:val="auto"/>
              </w:rPr>
            </w:pPr>
          </w:p>
        </w:tc>
      </w:tr>
      <w:tr>
        <w:trPr>
          <w:trHeight w:val="39"/>
        </w:trPr>
        <w:tc>
          <w:tcPr>
            <w:tcW w:w="1700" w:type="dxa"/>
            <w:vAlign w:val="bottom"/>
          </w:tcPr>
          <w:p>
            <w:pPr>
              <w:spacing w:after="0"/>
              <w:rPr>
                <w:sz w:val="3"/>
                <w:szCs w:val="3"/>
                <w:color w:val="auto"/>
              </w:rPr>
            </w:pPr>
          </w:p>
        </w:tc>
        <w:tc>
          <w:tcPr>
            <w:tcW w:w="3060" w:type="dxa"/>
            <w:vAlign w:val="bottom"/>
          </w:tcPr>
          <w:p>
            <w:pPr>
              <w:spacing w:after="0"/>
              <w:rPr>
                <w:sz w:val="3"/>
                <w:szCs w:val="3"/>
                <w:color w:val="auto"/>
              </w:rPr>
            </w:pPr>
          </w:p>
        </w:tc>
        <w:tc>
          <w:tcPr>
            <w:tcW w:w="18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8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00" w:type="dxa"/>
            <w:vAlign w:val="bottom"/>
          </w:tcPr>
          <w:p>
            <w:pPr>
              <w:spacing w:after="0"/>
              <w:rPr>
                <w:sz w:val="3"/>
                <w:szCs w:val="3"/>
                <w:color w:val="auto"/>
              </w:rPr>
            </w:pPr>
          </w:p>
        </w:tc>
        <w:tc>
          <w:tcPr>
            <w:tcW w:w="3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1"/>
        </w:trPr>
        <w:tc>
          <w:tcPr>
            <w:tcW w:w="1700" w:type="dxa"/>
            <w:vAlign w:val="bottom"/>
            <w:shd w:val="clear" w:color="auto" w:fill="CCEEFF"/>
          </w:tcPr>
          <w:p>
            <w:pPr>
              <w:ind w:left="800"/>
              <w:spacing w:after="0"/>
              <w:rPr>
                <w:sz w:val="20"/>
                <w:szCs w:val="20"/>
                <w:color w:val="auto"/>
              </w:rPr>
            </w:pPr>
            <w:r>
              <w:rPr>
                <w:rFonts w:ascii="Arial" w:cs="Arial" w:eastAsia="Arial" w:hAnsi="Arial"/>
                <w:sz w:val="10"/>
                <w:szCs w:val="10"/>
                <w:b w:val="1"/>
                <w:bCs w:val="1"/>
                <w:color w:val="auto"/>
              </w:rPr>
              <w:t>Australia</w:t>
            </w:r>
          </w:p>
        </w:tc>
        <w:tc>
          <w:tcPr>
            <w:tcW w:w="3240" w:type="dxa"/>
            <w:vAlign w:val="bottom"/>
            <w:gridSpan w:val="2"/>
            <w:shd w:val="clear" w:color="auto" w:fill="CCEEFF"/>
          </w:tcPr>
          <w:p>
            <w:pPr>
              <w:ind w:left="280"/>
              <w:spacing w:after="0"/>
              <w:rPr>
                <w:sz w:val="20"/>
                <w:szCs w:val="20"/>
                <w:color w:val="auto"/>
              </w:rPr>
            </w:pPr>
            <w:r>
              <w:rPr>
                <w:rFonts w:ascii="Arial" w:cs="Arial" w:eastAsia="Arial" w:hAnsi="Arial"/>
                <w:sz w:val="10"/>
                <w:szCs w:val="10"/>
                <w:color w:val="auto"/>
              </w:rPr>
              <w:t>Depreciation and amortization</w:t>
            </w:r>
          </w:p>
        </w:tc>
        <w:tc>
          <w:tcPr>
            <w:tcW w:w="3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(1,854)</w:t>
            </w:r>
          </w:p>
        </w:tc>
        <w:tc>
          <w:tcPr>
            <w:tcW w:w="780" w:type="dxa"/>
            <w:vAlign w:val="bottom"/>
            <w:shd w:val="clear" w:color="auto" w:fill="CCEEFF"/>
          </w:tcPr>
          <w:p>
            <w:pPr>
              <w:jc w:val="right"/>
              <w:ind w:right="152"/>
              <w:spacing w:after="0"/>
              <w:rPr>
                <w:sz w:val="20"/>
                <w:szCs w:val="20"/>
                <w:color w:val="auto"/>
              </w:rPr>
            </w:pPr>
            <w:r>
              <w:rPr>
                <w:rFonts w:ascii="Arial" w:cs="Arial" w:eastAsia="Arial" w:hAnsi="Arial"/>
                <w:sz w:val="10"/>
                <w:szCs w:val="10"/>
                <w:i w:val="1"/>
                <w:iCs w:val="1"/>
                <w:color w:val="auto"/>
              </w:rPr>
              <w:t>(16)%</w:t>
            </w:r>
          </w:p>
        </w:tc>
        <w:tc>
          <w:tcPr>
            <w:tcW w:w="1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(2,785)</w:t>
            </w:r>
          </w:p>
        </w:tc>
        <w:tc>
          <w:tcPr>
            <w:tcW w:w="780" w:type="dxa"/>
            <w:vAlign w:val="bottom"/>
            <w:shd w:val="clear" w:color="auto" w:fill="CCEEFF"/>
          </w:tcPr>
          <w:p>
            <w:pPr>
              <w:jc w:val="right"/>
              <w:ind w:right="152"/>
              <w:spacing w:after="0"/>
              <w:rPr>
                <w:sz w:val="20"/>
                <w:szCs w:val="20"/>
                <w:color w:val="auto"/>
              </w:rPr>
            </w:pPr>
            <w:r>
              <w:rPr>
                <w:rFonts w:ascii="Arial" w:cs="Arial" w:eastAsia="Arial" w:hAnsi="Arial"/>
                <w:sz w:val="10"/>
                <w:szCs w:val="10"/>
                <w:i w:val="1"/>
                <w:iCs w:val="1"/>
                <w:color w:val="auto"/>
              </w:rPr>
              <w:t>(20)%</w:t>
            </w: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33</w:t>
            </w:r>
          </w:p>
        </w:tc>
        <w:tc>
          <w:tcPr>
            <w:tcW w:w="380" w:type="dxa"/>
            <w:vAlign w:val="bottom"/>
            <w:shd w:val="clear" w:color="auto" w:fill="CCEEFF"/>
          </w:tcPr>
          <w:p>
            <w:pPr>
              <w:jc w:val="right"/>
              <w:ind w:right="232"/>
              <w:spacing w:after="0"/>
              <w:rPr>
                <w:sz w:val="20"/>
                <w:szCs w:val="20"/>
                <w:color w:val="auto"/>
              </w:rPr>
            </w:pPr>
            <w:r>
              <w:rPr>
                <w:rFonts w:ascii="Arial" w:cs="Arial" w:eastAsia="Arial" w:hAnsi="Arial"/>
                <w:sz w:val="10"/>
                <w:szCs w:val="10"/>
                <w:color w:val="auto"/>
                <w:w w:val="89"/>
              </w:rPr>
              <w:t>%</w:t>
            </w:r>
          </w:p>
        </w:tc>
        <w:tc>
          <w:tcPr>
            <w:tcW w:w="0" w:type="dxa"/>
            <w:vAlign w:val="bottom"/>
          </w:tcPr>
          <w:p>
            <w:pPr>
              <w:spacing w:after="0"/>
              <w:rPr>
                <w:sz w:val="1"/>
                <w:szCs w:val="1"/>
                <w:color w:val="auto"/>
              </w:rPr>
            </w:pPr>
          </w:p>
        </w:tc>
      </w:tr>
      <w:tr>
        <w:trPr>
          <w:trHeight w:val="171"/>
        </w:trPr>
        <w:tc>
          <w:tcPr>
            <w:tcW w:w="1700" w:type="dxa"/>
            <w:vAlign w:val="bottom"/>
          </w:tcPr>
          <w:p>
            <w:pPr>
              <w:spacing w:after="0"/>
              <w:rPr>
                <w:sz w:val="14"/>
                <w:szCs w:val="14"/>
                <w:color w:val="auto"/>
              </w:rPr>
            </w:pPr>
          </w:p>
        </w:tc>
        <w:tc>
          <w:tcPr>
            <w:tcW w:w="3240" w:type="dxa"/>
            <w:vAlign w:val="bottom"/>
            <w:gridSpan w:val="2"/>
          </w:tcPr>
          <w:p>
            <w:pPr>
              <w:ind w:left="280"/>
              <w:spacing w:after="0"/>
              <w:rPr>
                <w:sz w:val="20"/>
                <w:szCs w:val="20"/>
                <w:color w:val="auto"/>
              </w:rPr>
            </w:pPr>
            <w:r>
              <w:rPr>
                <w:rFonts w:ascii="Arial" w:cs="Arial" w:eastAsia="Arial" w:hAnsi="Arial"/>
                <w:sz w:val="10"/>
                <w:szCs w:val="10"/>
                <w:color w:val="auto"/>
              </w:rPr>
              <w:t>General and administrative expense</w:t>
            </w:r>
          </w:p>
        </w:tc>
        <w:tc>
          <w:tcPr>
            <w:tcW w:w="380" w:type="dxa"/>
            <w:vAlign w:val="bottom"/>
          </w:tcPr>
          <w:p>
            <w:pPr>
              <w:spacing w:after="0"/>
              <w:rPr>
                <w:sz w:val="14"/>
                <w:szCs w:val="14"/>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0"/>
                <w:szCs w:val="10"/>
                <w:color w:val="auto"/>
              </w:rPr>
              <w:t>(719)</w:t>
            </w:r>
          </w:p>
        </w:tc>
        <w:tc>
          <w:tcPr>
            <w:tcW w:w="780" w:type="dxa"/>
            <w:vAlign w:val="bottom"/>
          </w:tcPr>
          <w:p>
            <w:pPr>
              <w:jc w:val="right"/>
              <w:ind w:right="152"/>
              <w:spacing w:after="0"/>
              <w:rPr>
                <w:sz w:val="20"/>
                <w:szCs w:val="20"/>
                <w:color w:val="auto"/>
              </w:rPr>
            </w:pPr>
            <w:r>
              <w:rPr>
                <w:rFonts w:ascii="Arial" w:cs="Arial" w:eastAsia="Arial" w:hAnsi="Arial"/>
                <w:sz w:val="10"/>
                <w:szCs w:val="10"/>
                <w:i w:val="1"/>
                <w:iCs w:val="1"/>
                <w:color w:val="auto"/>
              </w:rPr>
              <w:t>(6)%</w:t>
            </w: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0"/>
                <w:szCs w:val="10"/>
                <w:color w:val="auto"/>
              </w:rPr>
              <w:t>(973)</w:t>
            </w:r>
          </w:p>
        </w:tc>
        <w:tc>
          <w:tcPr>
            <w:tcW w:w="780" w:type="dxa"/>
            <w:vAlign w:val="bottom"/>
          </w:tcPr>
          <w:p>
            <w:pPr>
              <w:jc w:val="right"/>
              <w:ind w:right="152"/>
              <w:spacing w:after="0"/>
              <w:rPr>
                <w:sz w:val="20"/>
                <w:szCs w:val="20"/>
                <w:color w:val="auto"/>
              </w:rPr>
            </w:pPr>
            <w:r>
              <w:rPr>
                <w:rFonts w:ascii="Arial" w:cs="Arial" w:eastAsia="Arial" w:hAnsi="Arial"/>
                <w:sz w:val="10"/>
                <w:szCs w:val="10"/>
                <w:i w:val="1"/>
                <w:iCs w:val="1"/>
                <w:color w:val="auto"/>
              </w:rPr>
              <w:t>(7)%</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0"/>
                <w:szCs w:val="10"/>
                <w:color w:val="auto"/>
              </w:rPr>
              <w:t>26</w:t>
            </w:r>
          </w:p>
        </w:tc>
        <w:tc>
          <w:tcPr>
            <w:tcW w:w="380" w:type="dxa"/>
            <w:vAlign w:val="bottom"/>
          </w:tcPr>
          <w:p>
            <w:pPr>
              <w:jc w:val="right"/>
              <w:ind w:right="232"/>
              <w:spacing w:after="0"/>
              <w:rPr>
                <w:sz w:val="20"/>
                <w:szCs w:val="20"/>
                <w:color w:val="auto"/>
              </w:rPr>
            </w:pPr>
            <w:r>
              <w:rPr>
                <w:rFonts w:ascii="Arial" w:cs="Arial" w:eastAsia="Arial" w:hAnsi="Arial"/>
                <w:sz w:val="10"/>
                <w:szCs w:val="10"/>
                <w:color w:val="auto"/>
                <w:w w:val="89"/>
              </w:rPr>
              <w:t>%</w:t>
            </w:r>
          </w:p>
        </w:tc>
        <w:tc>
          <w:tcPr>
            <w:tcW w:w="0" w:type="dxa"/>
            <w:vAlign w:val="bottom"/>
          </w:tcPr>
          <w:p>
            <w:pPr>
              <w:spacing w:after="0"/>
              <w:rPr>
                <w:sz w:val="1"/>
                <w:szCs w:val="1"/>
                <w:color w:val="auto"/>
              </w:rPr>
            </w:pPr>
          </w:p>
        </w:tc>
      </w:tr>
      <w:tr>
        <w:trPr>
          <w:trHeight w:val="131"/>
        </w:trPr>
        <w:tc>
          <w:tcPr>
            <w:tcW w:w="1700" w:type="dxa"/>
            <w:vAlign w:val="bottom"/>
            <w:tcBorders>
              <w:top w:val="single" w:sz="8" w:color="CCEEFF"/>
              <w:bottom w:val="single" w:sz="8" w:color="CCEEFF"/>
            </w:tcBorders>
            <w:shd w:val="clear" w:color="auto" w:fill="CCEEFF"/>
          </w:tcPr>
          <w:p>
            <w:pPr>
              <w:spacing w:after="0"/>
              <w:rPr>
                <w:sz w:val="11"/>
                <w:szCs w:val="11"/>
                <w:color w:val="auto"/>
              </w:rPr>
            </w:pPr>
          </w:p>
        </w:tc>
        <w:tc>
          <w:tcPr>
            <w:tcW w:w="3060" w:type="dxa"/>
            <w:vAlign w:val="bottom"/>
            <w:tcBorders>
              <w:top w:val="single" w:sz="8" w:color="CCEEFF"/>
              <w:bottom w:val="single" w:sz="8" w:color="CCEEFF"/>
            </w:tcBorders>
            <w:shd w:val="clear" w:color="auto" w:fill="CCEEFF"/>
          </w:tcPr>
          <w:p>
            <w:pPr>
              <w:spacing w:after="0"/>
              <w:rPr>
                <w:sz w:val="11"/>
                <w:szCs w:val="11"/>
                <w:color w:val="auto"/>
              </w:rPr>
            </w:pPr>
          </w:p>
        </w:tc>
        <w:tc>
          <w:tcPr>
            <w:tcW w:w="180" w:type="dxa"/>
            <w:vAlign w:val="bottom"/>
            <w:tcBorders>
              <w:top w:val="single" w:sz="8" w:color="CCEEFF"/>
              <w:bottom w:val="single" w:sz="8" w:color="CCEEFF"/>
            </w:tcBorders>
            <w:shd w:val="clear" w:color="auto" w:fill="CCEEFF"/>
          </w:tcPr>
          <w:p>
            <w:pPr>
              <w:spacing w:after="0"/>
              <w:rPr>
                <w:sz w:val="11"/>
                <w:szCs w:val="11"/>
                <w:color w:val="auto"/>
              </w:rPr>
            </w:pPr>
          </w:p>
        </w:tc>
        <w:tc>
          <w:tcPr>
            <w:tcW w:w="380" w:type="dxa"/>
            <w:vAlign w:val="bottom"/>
            <w:tcBorders>
              <w:top w:val="single" w:sz="8" w:color="auto"/>
              <w:bottom w:val="single" w:sz="8" w:color="CCEEFF"/>
            </w:tcBorders>
            <w:shd w:val="clear" w:color="auto" w:fill="CCEEFF"/>
          </w:tcPr>
          <w:p>
            <w:pPr>
              <w:jc w:val="right"/>
              <w:ind w:right="72"/>
              <w:spacing w:after="0" w:line="113" w:lineRule="exact"/>
              <w:rPr>
                <w:sz w:val="20"/>
                <w:szCs w:val="20"/>
                <w:color w:val="auto"/>
              </w:rPr>
            </w:pPr>
            <w:r>
              <w:rPr>
                <w:rFonts w:ascii="Arial" w:cs="Arial" w:eastAsia="Arial" w:hAnsi="Arial"/>
                <w:sz w:val="10"/>
                <w:szCs w:val="10"/>
                <w:color w:val="auto"/>
              </w:rPr>
              <w:t>$</w:t>
            </w:r>
          </w:p>
        </w:tc>
        <w:tc>
          <w:tcPr>
            <w:tcW w:w="800" w:type="dxa"/>
            <w:vAlign w:val="bottom"/>
            <w:tcBorders>
              <w:top w:val="single" w:sz="8" w:color="auto"/>
              <w:bottom w:val="single" w:sz="8" w:color="CCEEFF"/>
            </w:tcBorders>
            <w:shd w:val="clear" w:color="auto" w:fill="CCEEFF"/>
          </w:tcPr>
          <w:p>
            <w:pPr>
              <w:jc w:val="right"/>
              <w:spacing w:after="0" w:line="113" w:lineRule="exact"/>
              <w:rPr>
                <w:sz w:val="20"/>
                <w:szCs w:val="20"/>
                <w:color w:val="auto"/>
              </w:rPr>
            </w:pPr>
            <w:r>
              <w:rPr>
                <w:rFonts w:ascii="Arial" w:cs="Arial" w:eastAsia="Arial" w:hAnsi="Arial"/>
                <w:sz w:val="10"/>
                <w:szCs w:val="10"/>
                <w:b w:val="1"/>
                <w:bCs w:val="1"/>
                <w:color w:val="auto"/>
              </w:rPr>
              <w:t>(2,573)</w:t>
            </w:r>
          </w:p>
        </w:tc>
        <w:tc>
          <w:tcPr>
            <w:tcW w:w="180" w:type="dxa"/>
            <w:vAlign w:val="bottom"/>
            <w:tcBorders>
              <w:top w:val="single" w:sz="8" w:color="CCEEFF"/>
              <w:bottom w:val="single" w:sz="8" w:color="CCEEFF"/>
            </w:tcBorders>
            <w:shd w:val="clear" w:color="auto" w:fill="CCEEFF"/>
          </w:tcPr>
          <w:p>
            <w:pPr>
              <w:spacing w:after="0"/>
              <w:rPr>
                <w:sz w:val="11"/>
                <w:szCs w:val="11"/>
                <w:color w:val="auto"/>
              </w:rPr>
            </w:pPr>
          </w:p>
        </w:tc>
        <w:tc>
          <w:tcPr>
            <w:tcW w:w="780" w:type="dxa"/>
            <w:vAlign w:val="bottom"/>
            <w:tcBorders>
              <w:top w:val="single" w:sz="8" w:color="CCEEFF"/>
              <w:bottom w:val="single" w:sz="8" w:color="CCEEFF"/>
            </w:tcBorders>
            <w:shd w:val="clear" w:color="auto" w:fill="CCEEFF"/>
          </w:tcPr>
          <w:p>
            <w:pPr>
              <w:jc w:val="right"/>
              <w:ind w:right="152"/>
              <w:spacing w:after="0" w:line="102" w:lineRule="exact"/>
              <w:rPr>
                <w:sz w:val="20"/>
                <w:szCs w:val="20"/>
                <w:color w:val="auto"/>
              </w:rPr>
            </w:pPr>
            <w:r>
              <w:rPr>
                <w:rFonts w:ascii="Arial" w:cs="Arial" w:eastAsia="Arial" w:hAnsi="Arial"/>
                <w:sz w:val="10"/>
                <w:szCs w:val="10"/>
                <w:i w:val="1"/>
                <w:iCs w:val="1"/>
                <w:color w:val="auto"/>
              </w:rPr>
              <w:t>(23)%</w:t>
            </w:r>
          </w:p>
        </w:tc>
        <w:tc>
          <w:tcPr>
            <w:tcW w:w="180" w:type="dxa"/>
            <w:vAlign w:val="bottom"/>
            <w:tcBorders>
              <w:top w:val="single" w:sz="8" w:color="CCEEFF"/>
              <w:bottom w:val="single" w:sz="8" w:color="CCEEFF"/>
            </w:tcBorders>
            <w:shd w:val="clear" w:color="auto" w:fill="CCEEFF"/>
          </w:tcPr>
          <w:p>
            <w:pPr>
              <w:spacing w:after="0"/>
              <w:rPr>
                <w:sz w:val="11"/>
                <w:szCs w:val="11"/>
                <w:color w:val="auto"/>
              </w:rPr>
            </w:pPr>
          </w:p>
        </w:tc>
        <w:tc>
          <w:tcPr>
            <w:tcW w:w="360" w:type="dxa"/>
            <w:vAlign w:val="bottom"/>
            <w:tcBorders>
              <w:top w:val="single" w:sz="8" w:color="auto"/>
              <w:bottom w:val="single" w:sz="8" w:color="CCEEFF"/>
            </w:tcBorders>
            <w:shd w:val="clear" w:color="auto" w:fill="CCEEFF"/>
          </w:tcPr>
          <w:p>
            <w:pPr>
              <w:jc w:val="right"/>
              <w:ind w:right="72"/>
              <w:spacing w:after="0" w:line="113" w:lineRule="exact"/>
              <w:rPr>
                <w:sz w:val="20"/>
                <w:szCs w:val="20"/>
                <w:color w:val="auto"/>
              </w:rPr>
            </w:pPr>
            <w:r>
              <w:rPr>
                <w:rFonts w:ascii="Arial" w:cs="Arial" w:eastAsia="Arial" w:hAnsi="Arial"/>
                <w:sz w:val="10"/>
                <w:szCs w:val="10"/>
                <w:color w:val="auto"/>
              </w:rPr>
              <w:t>$</w:t>
            </w:r>
          </w:p>
        </w:tc>
        <w:tc>
          <w:tcPr>
            <w:tcW w:w="800" w:type="dxa"/>
            <w:vAlign w:val="bottom"/>
            <w:tcBorders>
              <w:top w:val="single" w:sz="8" w:color="auto"/>
              <w:bottom w:val="single" w:sz="8" w:color="CCEEFF"/>
            </w:tcBorders>
            <w:shd w:val="clear" w:color="auto" w:fill="CCEEFF"/>
          </w:tcPr>
          <w:p>
            <w:pPr>
              <w:jc w:val="right"/>
              <w:spacing w:after="0" w:line="113" w:lineRule="exact"/>
              <w:rPr>
                <w:sz w:val="20"/>
                <w:szCs w:val="20"/>
                <w:color w:val="auto"/>
              </w:rPr>
            </w:pPr>
            <w:r>
              <w:rPr>
                <w:rFonts w:ascii="Arial" w:cs="Arial" w:eastAsia="Arial" w:hAnsi="Arial"/>
                <w:sz w:val="10"/>
                <w:szCs w:val="10"/>
                <w:b w:val="1"/>
                <w:bCs w:val="1"/>
                <w:color w:val="auto"/>
              </w:rPr>
              <w:t>(3,758)</w:t>
            </w: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780" w:type="dxa"/>
            <w:vAlign w:val="bottom"/>
            <w:tcBorders>
              <w:top w:val="single" w:sz="8" w:color="CCEEFF"/>
              <w:bottom w:val="single" w:sz="8" w:color="CCEEFF"/>
            </w:tcBorders>
            <w:shd w:val="clear" w:color="auto" w:fill="CCEEFF"/>
          </w:tcPr>
          <w:p>
            <w:pPr>
              <w:jc w:val="right"/>
              <w:ind w:right="152"/>
              <w:spacing w:after="0" w:line="102" w:lineRule="exact"/>
              <w:rPr>
                <w:sz w:val="20"/>
                <w:szCs w:val="20"/>
                <w:color w:val="auto"/>
              </w:rPr>
            </w:pPr>
            <w:r>
              <w:rPr>
                <w:rFonts w:ascii="Arial" w:cs="Arial" w:eastAsia="Arial" w:hAnsi="Arial"/>
                <w:sz w:val="10"/>
                <w:szCs w:val="10"/>
                <w:i w:val="1"/>
                <w:iCs w:val="1"/>
                <w:color w:val="auto"/>
              </w:rPr>
              <w:t>(27)%</w:t>
            </w:r>
          </w:p>
        </w:tc>
        <w:tc>
          <w:tcPr>
            <w:tcW w:w="180" w:type="dxa"/>
            <w:vAlign w:val="bottom"/>
            <w:tcBorders>
              <w:top w:val="single" w:sz="8" w:color="CCEEFF"/>
              <w:bottom w:val="single" w:sz="8" w:color="CCEEFF"/>
            </w:tcBorders>
            <w:shd w:val="clear" w:color="auto" w:fill="CCEEFF"/>
          </w:tcPr>
          <w:p>
            <w:pPr>
              <w:spacing w:after="0"/>
              <w:rPr>
                <w:sz w:val="11"/>
                <w:szCs w:val="11"/>
                <w:color w:val="auto"/>
              </w:rPr>
            </w:pPr>
          </w:p>
        </w:tc>
        <w:tc>
          <w:tcPr>
            <w:tcW w:w="700" w:type="dxa"/>
            <w:vAlign w:val="bottom"/>
            <w:tcBorders>
              <w:top w:val="single" w:sz="8" w:color="CCEEFF"/>
              <w:bottom w:val="single" w:sz="8" w:color="CCEEFF"/>
            </w:tcBorders>
            <w:shd w:val="clear" w:color="auto" w:fill="CCEEFF"/>
          </w:tcPr>
          <w:p>
            <w:pPr>
              <w:jc w:val="right"/>
              <w:spacing w:after="0" w:line="102" w:lineRule="exact"/>
              <w:rPr>
                <w:sz w:val="20"/>
                <w:szCs w:val="20"/>
                <w:color w:val="auto"/>
              </w:rPr>
            </w:pPr>
            <w:r>
              <w:rPr>
                <w:rFonts w:ascii="Arial" w:cs="Arial" w:eastAsia="Arial" w:hAnsi="Arial"/>
                <w:sz w:val="10"/>
                <w:szCs w:val="10"/>
                <w:color w:val="auto"/>
              </w:rPr>
              <w:t>32</w:t>
            </w:r>
          </w:p>
        </w:tc>
        <w:tc>
          <w:tcPr>
            <w:tcW w:w="380" w:type="dxa"/>
            <w:vAlign w:val="bottom"/>
            <w:tcBorders>
              <w:top w:val="single" w:sz="8" w:color="CCEEFF"/>
              <w:bottom w:val="single" w:sz="8" w:color="CCEEFF"/>
            </w:tcBorders>
            <w:shd w:val="clear" w:color="auto" w:fill="CCEEFF"/>
          </w:tcPr>
          <w:p>
            <w:pPr>
              <w:jc w:val="right"/>
              <w:ind w:right="232"/>
              <w:spacing w:after="0" w:line="102" w:lineRule="exact"/>
              <w:rPr>
                <w:sz w:val="20"/>
                <w:szCs w:val="20"/>
                <w:color w:val="auto"/>
              </w:rPr>
            </w:pPr>
            <w:r>
              <w:rPr>
                <w:rFonts w:ascii="Arial" w:cs="Arial" w:eastAsia="Arial" w:hAnsi="Arial"/>
                <w:sz w:val="10"/>
                <w:szCs w:val="10"/>
                <w:color w:val="auto"/>
                <w:w w:val="89"/>
              </w:rPr>
              <w:t>%</w:t>
            </w:r>
          </w:p>
        </w:tc>
        <w:tc>
          <w:tcPr>
            <w:tcW w:w="0" w:type="dxa"/>
            <w:vAlign w:val="bottom"/>
          </w:tcPr>
          <w:p>
            <w:pPr>
              <w:spacing w:after="0"/>
              <w:rPr>
                <w:sz w:val="1"/>
                <w:szCs w:val="1"/>
                <w:color w:val="auto"/>
              </w:rPr>
            </w:pPr>
          </w:p>
        </w:tc>
      </w:tr>
      <w:tr>
        <w:trPr>
          <w:trHeight w:val="171"/>
        </w:trPr>
        <w:tc>
          <w:tcPr>
            <w:tcW w:w="1700" w:type="dxa"/>
            <w:vAlign w:val="bottom"/>
          </w:tcPr>
          <w:p>
            <w:pPr>
              <w:ind w:left="800"/>
              <w:spacing w:after="0"/>
              <w:rPr>
                <w:sz w:val="20"/>
                <w:szCs w:val="20"/>
                <w:color w:val="auto"/>
              </w:rPr>
            </w:pPr>
            <w:r>
              <w:rPr>
                <w:rFonts w:ascii="Arial" w:cs="Arial" w:eastAsia="Arial" w:hAnsi="Arial"/>
                <w:sz w:val="10"/>
                <w:szCs w:val="10"/>
                <w:b w:val="1"/>
                <w:bCs w:val="1"/>
                <w:color w:val="auto"/>
              </w:rPr>
              <w:t>New Zealand</w:t>
            </w:r>
          </w:p>
        </w:tc>
        <w:tc>
          <w:tcPr>
            <w:tcW w:w="3240" w:type="dxa"/>
            <w:vAlign w:val="bottom"/>
            <w:gridSpan w:val="2"/>
          </w:tcPr>
          <w:p>
            <w:pPr>
              <w:ind w:left="280"/>
              <w:spacing w:after="0"/>
              <w:rPr>
                <w:sz w:val="20"/>
                <w:szCs w:val="20"/>
                <w:color w:val="auto"/>
              </w:rPr>
            </w:pPr>
            <w:r>
              <w:rPr>
                <w:rFonts w:ascii="Arial" w:cs="Arial" w:eastAsia="Arial" w:hAnsi="Arial"/>
                <w:sz w:val="10"/>
                <w:szCs w:val="10"/>
                <w:color w:val="auto"/>
              </w:rPr>
              <w:t>Depreciation and amortization</w:t>
            </w:r>
          </w:p>
        </w:tc>
        <w:tc>
          <w:tcPr>
            <w:tcW w:w="380" w:type="dxa"/>
            <w:vAlign w:val="bottom"/>
          </w:tcPr>
          <w:p>
            <w:pPr>
              <w:spacing w:after="0"/>
              <w:rPr>
                <w:sz w:val="14"/>
                <w:szCs w:val="14"/>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0"/>
                <w:szCs w:val="10"/>
                <w:color w:val="auto"/>
              </w:rPr>
              <w:t>(923)</w:t>
            </w:r>
          </w:p>
        </w:tc>
        <w:tc>
          <w:tcPr>
            <w:tcW w:w="780" w:type="dxa"/>
            <w:vAlign w:val="bottom"/>
          </w:tcPr>
          <w:p>
            <w:pPr>
              <w:jc w:val="right"/>
              <w:ind w:right="152"/>
              <w:spacing w:after="0"/>
              <w:rPr>
                <w:sz w:val="20"/>
                <w:szCs w:val="20"/>
                <w:color w:val="auto"/>
              </w:rPr>
            </w:pPr>
            <w:r>
              <w:rPr>
                <w:rFonts w:ascii="Arial" w:cs="Arial" w:eastAsia="Arial" w:hAnsi="Arial"/>
                <w:sz w:val="10"/>
                <w:szCs w:val="10"/>
                <w:i w:val="1"/>
                <w:iCs w:val="1"/>
                <w:color w:val="auto"/>
              </w:rPr>
              <w:t>(19)%</w:t>
            </w: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0"/>
                <w:szCs w:val="10"/>
                <w:color w:val="auto"/>
              </w:rPr>
              <w:t>(949)</w:t>
            </w:r>
          </w:p>
        </w:tc>
        <w:tc>
          <w:tcPr>
            <w:tcW w:w="780" w:type="dxa"/>
            <w:vAlign w:val="bottom"/>
          </w:tcPr>
          <w:p>
            <w:pPr>
              <w:jc w:val="right"/>
              <w:ind w:right="152"/>
              <w:spacing w:after="0"/>
              <w:rPr>
                <w:sz w:val="20"/>
                <w:szCs w:val="20"/>
                <w:color w:val="auto"/>
              </w:rPr>
            </w:pPr>
            <w:r>
              <w:rPr>
                <w:rFonts w:ascii="Arial" w:cs="Arial" w:eastAsia="Arial" w:hAnsi="Arial"/>
                <w:sz w:val="10"/>
                <w:szCs w:val="10"/>
                <w:i w:val="1"/>
                <w:iCs w:val="1"/>
                <w:color w:val="auto"/>
              </w:rPr>
              <w:t>(17)%</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0"/>
                <w:szCs w:val="10"/>
                <w:color w:val="auto"/>
              </w:rPr>
              <w:t>3</w:t>
            </w:r>
          </w:p>
        </w:tc>
        <w:tc>
          <w:tcPr>
            <w:tcW w:w="380" w:type="dxa"/>
            <w:vAlign w:val="bottom"/>
          </w:tcPr>
          <w:p>
            <w:pPr>
              <w:jc w:val="right"/>
              <w:ind w:right="232"/>
              <w:spacing w:after="0"/>
              <w:rPr>
                <w:sz w:val="20"/>
                <w:szCs w:val="20"/>
                <w:color w:val="auto"/>
              </w:rPr>
            </w:pPr>
            <w:r>
              <w:rPr>
                <w:rFonts w:ascii="Arial" w:cs="Arial" w:eastAsia="Arial" w:hAnsi="Arial"/>
                <w:sz w:val="10"/>
                <w:szCs w:val="10"/>
                <w:color w:val="auto"/>
                <w:w w:val="89"/>
              </w:rPr>
              <w:t>%</w:t>
            </w:r>
          </w:p>
        </w:tc>
        <w:tc>
          <w:tcPr>
            <w:tcW w:w="0" w:type="dxa"/>
            <w:vAlign w:val="bottom"/>
          </w:tcPr>
          <w:p>
            <w:pPr>
              <w:spacing w:after="0"/>
              <w:rPr>
                <w:sz w:val="1"/>
                <w:szCs w:val="1"/>
                <w:color w:val="auto"/>
              </w:rPr>
            </w:pPr>
          </w:p>
        </w:tc>
      </w:tr>
      <w:tr>
        <w:trPr>
          <w:trHeight w:val="171"/>
        </w:trPr>
        <w:tc>
          <w:tcPr>
            <w:tcW w:w="1700" w:type="dxa"/>
            <w:vAlign w:val="bottom"/>
            <w:shd w:val="clear" w:color="auto" w:fill="CCEEFF"/>
          </w:tcPr>
          <w:p>
            <w:pPr>
              <w:spacing w:after="0"/>
              <w:rPr>
                <w:sz w:val="14"/>
                <w:szCs w:val="14"/>
                <w:color w:val="auto"/>
              </w:rPr>
            </w:pPr>
          </w:p>
        </w:tc>
        <w:tc>
          <w:tcPr>
            <w:tcW w:w="3240" w:type="dxa"/>
            <w:vAlign w:val="bottom"/>
            <w:gridSpan w:val="2"/>
            <w:shd w:val="clear" w:color="auto" w:fill="CCEEFF"/>
          </w:tcPr>
          <w:p>
            <w:pPr>
              <w:ind w:left="280"/>
              <w:spacing w:after="0"/>
              <w:rPr>
                <w:sz w:val="20"/>
                <w:szCs w:val="20"/>
                <w:color w:val="auto"/>
              </w:rPr>
            </w:pPr>
            <w:r>
              <w:rPr>
                <w:rFonts w:ascii="Arial" w:cs="Arial" w:eastAsia="Arial" w:hAnsi="Arial"/>
                <w:sz w:val="10"/>
                <w:szCs w:val="10"/>
                <w:color w:val="auto"/>
              </w:rPr>
              <w:t>General and administrative expense</w:t>
            </w:r>
          </w:p>
        </w:tc>
        <w:tc>
          <w:tcPr>
            <w:tcW w:w="3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(50)</w:t>
            </w:r>
          </w:p>
        </w:tc>
        <w:tc>
          <w:tcPr>
            <w:tcW w:w="780" w:type="dxa"/>
            <w:vAlign w:val="bottom"/>
            <w:shd w:val="clear" w:color="auto" w:fill="CCEEFF"/>
          </w:tcPr>
          <w:p>
            <w:pPr>
              <w:jc w:val="right"/>
              <w:ind w:right="152"/>
              <w:spacing w:after="0"/>
              <w:rPr>
                <w:sz w:val="20"/>
                <w:szCs w:val="20"/>
                <w:color w:val="auto"/>
              </w:rPr>
            </w:pPr>
            <w:r>
              <w:rPr>
                <w:rFonts w:ascii="Arial" w:cs="Arial" w:eastAsia="Arial" w:hAnsi="Arial"/>
                <w:sz w:val="10"/>
                <w:szCs w:val="10"/>
                <w:i w:val="1"/>
                <w:iCs w:val="1"/>
                <w:color w:val="auto"/>
              </w:rPr>
              <w:t>(1)%</w:t>
            </w:r>
          </w:p>
        </w:tc>
        <w:tc>
          <w:tcPr>
            <w:tcW w:w="1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(55)</w:t>
            </w:r>
          </w:p>
        </w:tc>
        <w:tc>
          <w:tcPr>
            <w:tcW w:w="780" w:type="dxa"/>
            <w:vAlign w:val="bottom"/>
            <w:shd w:val="clear" w:color="auto" w:fill="CCEEFF"/>
          </w:tcPr>
          <w:p>
            <w:pPr>
              <w:jc w:val="right"/>
              <w:ind w:right="152"/>
              <w:spacing w:after="0"/>
              <w:rPr>
                <w:sz w:val="20"/>
                <w:szCs w:val="20"/>
                <w:color w:val="auto"/>
              </w:rPr>
            </w:pPr>
            <w:r>
              <w:rPr>
                <w:rFonts w:ascii="Arial" w:cs="Arial" w:eastAsia="Arial" w:hAnsi="Arial"/>
                <w:sz w:val="10"/>
                <w:szCs w:val="10"/>
                <w:i w:val="1"/>
                <w:iCs w:val="1"/>
                <w:color w:val="auto"/>
              </w:rPr>
              <w:t>(1)%</w:t>
            </w: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w:t>
            </w:r>
          </w:p>
        </w:tc>
        <w:tc>
          <w:tcPr>
            <w:tcW w:w="380" w:type="dxa"/>
            <w:vAlign w:val="bottom"/>
            <w:shd w:val="clear" w:color="auto" w:fill="CCEEFF"/>
          </w:tcPr>
          <w:p>
            <w:pPr>
              <w:jc w:val="right"/>
              <w:ind w:right="232"/>
              <w:spacing w:after="0"/>
              <w:rPr>
                <w:sz w:val="20"/>
                <w:szCs w:val="20"/>
                <w:color w:val="auto"/>
              </w:rPr>
            </w:pPr>
            <w:r>
              <w:rPr>
                <w:rFonts w:ascii="Arial" w:cs="Arial" w:eastAsia="Arial" w:hAnsi="Arial"/>
                <w:sz w:val="10"/>
                <w:szCs w:val="10"/>
                <w:color w:val="auto"/>
                <w:w w:val="89"/>
              </w:rPr>
              <w:t>%</w:t>
            </w:r>
          </w:p>
        </w:tc>
        <w:tc>
          <w:tcPr>
            <w:tcW w:w="0" w:type="dxa"/>
            <w:vAlign w:val="bottom"/>
          </w:tcPr>
          <w:p>
            <w:pPr>
              <w:spacing w:after="0"/>
              <w:rPr>
                <w:sz w:val="1"/>
                <w:szCs w:val="1"/>
                <w:color w:val="auto"/>
              </w:rPr>
            </w:pPr>
          </w:p>
        </w:tc>
      </w:tr>
      <w:tr>
        <w:trPr>
          <w:trHeight w:val="113"/>
        </w:trPr>
        <w:tc>
          <w:tcPr>
            <w:tcW w:w="1700" w:type="dxa"/>
            <w:vAlign w:val="bottom"/>
          </w:tcPr>
          <w:p>
            <w:pPr>
              <w:spacing w:after="0"/>
              <w:rPr>
                <w:sz w:val="9"/>
                <w:szCs w:val="9"/>
                <w:color w:val="auto"/>
              </w:rPr>
            </w:pPr>
          </w:p>
        </w:tc>
        <w:tc>
          <w:tcPr>
            <w:tcW w:w="3060" w:type="dxa"/>
            <w:vAlign w:val="bottom"/>
          </w:tcPr>
          <w:p>
            <w:pPr>
              <w:spacing w:after="0"/>
              <w:rPr>
                <w:sz w:val="9"/>
                <w:szCs w:val="9"/>
                <w:color w:val="auto"/>
              </w:rPr>
            </w:pPr>
          </w:p>
        </w:tc>
        <w:tc>
          <w:tcPr>
            <w:tcW w:w="180" w:type="dxa"/>
            <w:vAlign w:val="bottom"/>
          </w:tcPr>
          <w:p>
            <w:pPr>
              <w:spacing w:after="0"/>
              <w:rPr>
                <w:sz w:val="9"/>
                <w:szCs w:val="9"/>
                <w:color w:val="auto"/>
              </w:rPr>
            </w:pPr>
          </w:p>
        </w:tc>
        <w:tc>
          <w:tcPr>
            <w:tcW w:w="380" w:type="dxa"/>
            <w:vAlign w:val="bottom"/>
            <w:tcBorders>
              <w:top w:val="single" w:sz="8" w:color="auto"/>
            </w:tcBorders>
          </w:tcPr>
          <w:p>
            <w:pPr>
              <w:jc w:val="right"/>
              <w:ind w:right="72"/>
              <w:spacing w:after="0" w:line="113" w:lineRule="exact"/>
              <w:rPr>
                <w:sz w:val="20"/>
                <w:szCs w:val="20"/>
                <w:color w:val="auto"/>
              </w:rPr>
            </w:pPr>
            <w:r>
              <w:rPr>
                <w:rFonts w:ascii="Arial" w:cs="Arial" w:eastAsia="Arial" w:hAnsi="Arial"/>
                <w:sz w:val="10"/>
                <w:szCs w:val="10"/>
                <w:color w:val="auto"/>
              </w:rPr>
              <w:t>$</w:t>
            </w:r>
          </w:p>
        </w:tc>
        <w:tc>
          <w:tcPr>
            <w:tcW w:w="800" w:type="dxa"/>
            <w:vAlign w:val="bottom"/>
            <w:tcBorders>
              <w:top w:val="single" w:sz="8" w:color="auto"/>
            </w:tcBorders>
          </w:tcPr>
          <w:p>
            <w:pPr>
              <w:jc w:val="right"/>
              <w:spacing w:after="0" w:line="113" w:lineRule="exact"/>
              <w:rPr>
                <w:sz w:val="20"/>
                <w:szCs w:val="20"/>
                <w:color w:val="auto"/>
              </w:rPr>
            </w:pPr>
            <w:r>
              <w:rPr>
                <w:rFonts w:ascii="Arial" w:cs="Arial" w:eastAsia="Arial" w:hAnsi="Arial"/>
                <w:sz w:val="10"/>
                <w:szCs w:val="10"/>
                <w:b w:val="1"/>
                <w:bCs w:val="1"/>
                <w:color w:val="auto"/>
              </w:rPr>
              <w:t>(973)</w:t>
            </w:r>
          </w:p>
        </w:tc>
        <w:tc>
          <w:tcPr>
            <w:tcW w:w="180" w:type="dxa"/>
            <w:vAlign w:val="bottom"/>
          </w:tcPr>
          <w:p>
            <w:pPr>
              <w:spacing w:after="0"/>
              <w:rPr>
                <w:sz w:val="9"/>
                <w:szCs w:val="9"/>
                <w:color w:val="auto"/>
              </w:rPr>
            </w:pPr>
          </w:p>
        </w:tc>
        <w:tc>
          <w:tcPr>
            <w:tcW w:w="780" w:type="dxa"/>
            <w:vAlign w:val="bottom"/>
          </w:tcPr>
          <w:p>
            <w:pPr>
              <w:jc w:val="right"/>
              <w:ind w:right="152"/>
              <w:spacing w:after="0" w:line="102" w:lineRule="exact"/>
              <w:rPr>
                <w:sz w:val="20"/>
                <w:szCs w:val="20"/>
                <w:color w:val="auto"/>
              </w:rPr>
            </w:pPr>
            <w:r>
              <w:rPr>
                <w:rFonts w:ascii="Arial" w:cs="Arial" w:eastAsia="Arial" w:hAnsi="Arial"/>
                <w:sz w:val="10"/>
                <w:szCs w:val="10"/>
                <w:i w:val="1"/>
                <w:iCs w:val="1"/>
                <w:color w:val="auto"/>
              </w:rPr>
              <w:t>%</w:t>
            </w:r>
          </w:p>
        </w:tc>
        <w:tc>
          <w:tcPr>
            <w:tcW w:w="180" w:type="dxa"/>
            <w:vAlign w:val="bottom"/>
          </w:tcPr>
          <w:p>
            <w:pPr>
              <w:spacing w:after="0"/>
              <w:rPr>
                <w:sz w:val="9"/>
                <w:szCs w:val="9"/>
                <w:color w:val="auto"/>
              </w:rPr>
            </w:pPr>
          </w:p>
        </w:tc>
        <w:tc>
          <w:tcPr>
            <w:tcW w:w="360" w:type="dxa"/>
            <w:vAlign w:val="bottom"/>
            <w:tcBorders>
              <w:top w:val="single" w:sz="8" w:color="auto"/>
            </w:tcBorders>
          </w:tcPr>
          <w:p>
            <w:pPr>
              <w:jc w:val="right"/>
              <w:ind w:right="72"/>
              <w:spacing w:after="0" w:line="113" w:lineRule="exact"/>
              <w:rPr>
                <w:sz w:val="20"/>
                <w:szCs w:val="20"/>
                <w:color w:val="auto"/>
              </w:rPr>
            </w:pPr>
            <w:r>
              <w:rPr>
                <w:rFonts w:ascii="Arial" w:cs="Arial" w:eastAsia="Arial" w:hAnsi="Arial"/>
                <w:sz w:val="10"/>
                <w:szCs w:val="10"/>
                <w:color w:val="auto"/>
              </w:rPr>
              <w:t>$</w:t>
            </w:r>
          </w:p>
        </w:tc>
        <w:tc>
          <w:tcPr>
            <w:tcW w:w="800" w:type="dxa"/>
            <w:vAlign w:val="bottom"/>
            <w:tcBorders>
              <w:top w:val="single" w:sz="8" w:color="auto"/>
            </w:tcBorders>
          </w:tcPr>
          <w:p>
            <w:pPr>
              <w:jc w:val="right"/>
              <w:spacing w:after="0" w:line="113" w:lineRule="exact"/>
              <w:rPr>
                <w:sz w:val="20"/>
                <w:szCs w:val="20"/>
                <w:color w:val="auto"/>
              </w:rPr>
            </w:pPr>
            <w:r>
              <w:rPr>
                <w:rFonts w:ascii="Arial" w:cs="Arial" w:eastAsia="Arial" w:hAnsi="Arial"/>
                <w:sz w:val="10"/>
                <w:szCs w:val="10"/>
                <w:b w:val="1"/>
                <w:bCs w:val="1"/>
                <w:color w:val="auto"/>
              </w:rPr>
              <w:t>(1,004)</w:t>
            </w:r>
          </w:p>
        </w:tc>
        <w:tc>
          <w:tcPr>
            <w:tcW w:w="160" w:type="dxa"/>
            <w:vAlign w:val="bottom"/>
          </w:tcPr>
          <w:p>
            <w:pPr>
              <w:spacing w:after="0"/>
              <w:rPr>
                <w:sz w:val="9"/>
                <w:szCs w:val="9"/>
                <w:color w:val="auto"/>
              </w:rPr>
            </w:pPr>
          </w:p>
        </w:tc>
        <w:tc>
          <w:tcPr>
            <w:tcW w:w="780" w:type="dxa"/>
            <w:vAlign w:val="bottom"/>
          </w:tcPr>
          <w:p>
            <w:pPr>
              <w:jc w:val="right"/>
              <w:ind w:right="152"/>
              <w:spacing w:after="0" w:line="102" w:lineRule="exact"/>
              <w:rPr>
                <w:sz w:val="20"/>
                <w:szCs w:val="20"/>
                <w:color w:val="auto"/>
              </w:rPr>
            </w:pPr>
            <w:r>
              <w:rPr>
                <w:rFonts w:ascii="Arial" w:cs="Arial" w:eastAsia="Arial" w:hAnsi="Arial"/>
                <w:sz w:val="10"/>
                <w:szCs w:val="10"/>
                <w:i w:val="1"/>
                <w:iCs w:val="1"/>
                <w:color w:val="auto"/>
              </w:rPr>
              <w:t>(18)%</w:t>
            </w:r>
          </w:p>
        </w:tc>
        <w:tc>
          <w:tcPr>
            <w:tcW w:w="180" w:type="dxa"/>
            <w:vAlign w:val="bottom"/>
          </w:tcPr>
          <w:p>
            <w:pPr>
              <w:spacing w:after="0"/>
              <w:rPr>
                <w:sz w:val="9"/>
                <w:szCs w:val="9"/>
                <w:color w:val="auto"/>
              </w:rPr>
            </w:pPr>
          </w:p>
        </w:tc>
        <w:tc>
          <w:tcPr>
            <w:tcW w:w="700" w:type="dxa"/>
            <w:vAlign w:val="bottom"/>
          </w:tcPr>
          <w:p>
            <w:pPr>
              <w:jc w:val="right"/>
              <w:spacing w:after="0" w:line="102" w:lineRule="exact"/>
              <w:rPr>
                <w:sz w:val="20"/>
                <w:szCs w:val="20"/>
                <w:color w:val="auto"/>
              </w:rPr>
            </w:pPr>
            <w:r>
              <w:rPr>
                <w:rFonts w:ascii="Arial" w:cs="Arial" w:eastAsia="Arial" w:hAnsi="Arial"/>
                <w:sz w:val="10"/>
                <w:szCs w:val="10"/>
                <w:color w:val="auto"/>
              </w:rPr>
              <w:t>3</w:t>
            </w:r>
          </w:p>
        </w:tc>
        <w:tc>
          <w:tcPr>
            <w:tcW w:w="380" w:type="dxa"/>
            <w:vAlign w:val="bottom"/>
          </w:tcPr>
          <w:p>
            <w:pPr>
              <w:jc w:val="right"/>
              <w:ind w:right="232"/>
              <w:spacing w:after="0" w:line="102" w:lineRule="exact"/>
              <w:rPr>
                <w:sz w:val="20"/>
                <w:szCs w:val="20"/>
                <w:color w:val="auto"/>
              </w:rPr>
            </w:pPr>
            <w:r>
              <w:rPr>
                <w:rFonts w:ascii="Arial" w:cs="Arial" w:eastAsia="Arial" w:hAnsi="Arial"/>
                <w:sz w:val="10"/>
                <w:szCs w:val="10"/>
                <w:color w:val="auto"/>
                <w:w w:val="89"/>
              </w:rPr>
              <w:t>%</w:t>
            </w:r>
          </w:p>
        </w:tc>
        <w:tc>
          <w:tcPr>
            <w:tcW w:w="0" w:type="dxa"/>
            <w:vAlign w:val="bottom"/>
          </w:tcPr>
          <w:p>
            <w:pPr>
              <w:spacing w:after="0"/>
              <w:rPr>
                <w:sz w:val="1"/>
                <w:szCs w:val="1"/>
                <w:color w:val="auto"/>
              </w:rPr>
            </w:pPr>
          </w:p>
        </w:tc>
      </w:tr>
      <w:tr>
        <w:trPr>
          <w:trHeight w:val="138"/>
        </w:trPr>
        <w:tc>
          <w:tcPr>
            <w:tcW w:w="1700" w:type="dxa"/>
            <w:vAlign w:val="bottom"/>
            <w:tcBorders>
              <w:bottom w:val="single" w:sz="8" w:color="CCEEFF"/>
            </w:tcBorders>
          </w:tcPr>
          <w:p>
            <w:pPr>
              <w:spacing w:after="0"/>
              <w:rPr>
                <w:sz w:val="11"/>
                <w:szCs w:val="11"/>
                <w:color w:val="auto"/>
              </w:rPr>
            </w:pPr>
          </w:p>
        </w:tc>
        <w:tc>
          <w:tcPr>
            <w:tcW w:w="3060" w:type="dxa"/>
            <w:vAlign w:val="bottom"/>
            <w:tcBorders>
              <w:bottom w:val="single" w:sz="8" w:color="CCEEFF"/>
            </w:tcBorders>
          </w:tcPr>
          <w:p>
            <w:pPr>
              <w:spacing w:after="0"/>
              <w:rPr>
                <w:sz w:val="11"/>
                <w:szCs w:val="11"/>
                <w:color w:val="auto"/>
              </w:rPr>
            </w:pPr>
          </w:p>
        </w:tc>
        <w:tc>
          <w:tcPr>
            <w:tcW w:w="180" w:type="dxa"/>
            <w:vAlign w:val="bottom"/>
            <w:tcBorders>
              <w:bottom w:val="single" w:sz="8" w:color="CCEEFF"/>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80" w:type="dxa"/>
            <w:vAlign w:val="bottom"/>
            <w:tcBorders>
              <w:bottom w:val="single" w:sz="8" w:color="CCEEFF"/>
            </w:tcBorders>
          </w:tcPr>
          <w:p>
            <w:pPr>
              <w:spacing w:after="0"/>
              <w:rPr>
                <w:sz w:val="11"/>
                <w:szCs w:val="11"/>
                <w:color w:val="auto"/>
              </w:rPr>
            </w:pPr>
          </w:p>
        </w:tc>
        <w:tc>
          <w:tcPr>
            <w:tcW w:w="780" w:type="dxa"/>
            <w:vAlign w:val="bottom"/>
            <w:tcBorders>
              <w:bottom w:val="single" w:sz="8" w:color="CCEEFF"/>
            </w:tcBorders>
          </w:tcPr>
          <w:p>
            <w:pPr>
              <w:jc w:val="right"/>
              <w:ind w:right="232"/>
              <w:spacing w:after="0"/>
              <w:rPr>
                <w:sz w:val="20"/>
                <w:szCs w:val="20"/>
                <w:color w:val="auto"/>
              </w:rPr>
            </w:pPr>
            <w:r>
              <w:rPr>
                <w:rFonts w:ascii="Arial" w:cs="Arial" w:eastAsia="Arial" w:hAnsi="Arial"/>
                <w:sz w:val="10"/>
                <w:szCs w:val="10"/>
                <w:i w:val="1"/>
                <w:iCs w:val="1"/>
                <w:color w:val="auto"/>
              </w:rPr>
              <w:t>(20)</w:t>
            </w:r>
          </w:p>
        </w:tc>
        <w:tc>
          <w:tcPr>
            <w:tcW w:w="180" w:type="dxa"/>
            <w:vAlign w:val="bottom"/>
            <w:tcBorders>
              <w:bottom w:val="single" w:sz="8" w:color="CCEEFF"/>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60" w:type="dxa"/>
            <w:vAlign w:val="bottom"/>
            <w:tcBorders>
              <w:bottom w:val="single" w:sz="8" w:color="CCEEFF"/>
            </w:tcBorders>
          </w:tcPr>
          <w:p>
            <w:pPr>
              <w:spacing w:after="0"/>
              <w:rPr>
                <w:sz w:val="11"/>
                <w:szCs w:val="11"/>
                <w:color w:val="auto"/>
              </w:rPr>
            </w:pPr>
          </w:p>
        </w:tc>
        <w:tc>
          <w:tcPr>
            <w:tcW w:w="780" w:type="dxa"/>
            <w:vAlign w:val="bottom"/>
            <w:tcBorders>
              <w:bottom w:val="single" w:sz="8" w:color="CCEEFF"/>
            </w:tcBorders>
          </w:tcPr>
          <w:p>
            <w:pPr>
              <w:spacing w:after="0"/>
              <w:rPr>
                <w:sz w:val="11"/>
                <w:szCs w:val="11"/>
                <w:color w:val="auto"/>
              </w:rPr>
            </w:pPr>
          </w:p>
        </w:tc>
        <w:tc>
          <w:tcPr>
            <w:tcW w:w="180" w:type="dxa"/>
            <w:vAlign w:val="bottom"/>
            <w:tcBorders>
              <w:bottom w:val="single" w:sz="8" w:color="CCEEFF"/>
            </w:tcBorders>
          </w:tcPr>
          <w:p>
            <w:pPr>
              <w:spacing w:after="0"/>
              <w:rPr>
                <w:sz w:val="11"/>
                <w:szCs w:val="11"/>
                <w:color w:val="auto"/>
              </w:rPr>
            </w:pPr>
          </w:p>
        </w:tc>
        <w:tc>
          <w:tcPr>
            <w:tcW w:w="700" w:type="dxa"/>
            <w:vAlign w:val="bottom"/>
            <w:tcBorders>
              <w:bottom w:val="single" w:sz="8" w:color="CCEEFF"/>
            </w:tcBorders>
          </w:tcPr>
          <w:p>
            <w:pPr>
              <w:spacing w:after="0"/>
              <w:rPr>
                <w:sz w:val="11"/>
                <w:szCs w:val="11"/>
                <w:color w:val="auto"/>
              </w:rPr>
            </w:pPr>
          </w:p>
        </w:tc>
        <w:tc>
          <w:tcPr>
            <w:tcW w:w="38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259"/>
        </w:trPr>
        <w:tc>
          <w:tcPr>
            <w:tcW w:w="4940" w:type="dxa"/>
            <w:vAlign w:val="bottom"/>
            <w:gridSpan w:val="3"/>
            <w:shd w:val="clear" w:color="auto" w:fill="CCEEFF"/>
          </w:tcPr>
          <w:p>
            <w:pPr>
              <w:ind w:left="800"/>
              <w:spacing w:after="0"/>
              <w:rPr>
                <w:sz w:val="20"/>
                <w:szCs w:val="20"/>
                <w:color w:val="auto"/>
              </w:rPr>
            </w:pPr>
            <w:r>
              <w:rPr>
                <w:rFonts w:ascii="Arial" w:cs="Arial" w:eastAsia="Arial" w:hAnsi="Arial"/>
                <w:sz w:val="10"/>
                <w:szCs w:val="10"/>
                <w:b w:val="1"/>
                <w:bCs w:val="1"/>
                <w:color w:val="auto"/>
              </w:rPr>
              <w:t>Total depreciation, amortization, and general and administrative expense</w:t>
            </w:r>
          </w:p>
        </w:tc>
        <w:tc>
          <w:tcPr>
            <w:tcW w:w="380" w:type="dxa"/>
            <w:vAlign w:val="bottom"/>
            <w:shd w:val="clear" w:color="auto" w:fill="CCEEFF"/>
          </w:tcPr>
          <w:p>
            <w:pPr>
              <w:jc w:val="right"/>
              <w:ind w:right="72"/>
              <w:spacing w:after="0"/>
              <w:rPr>
                <w:sz w:val="20"/>
                <w:szCs w:val="20"/>
                <w:color w:val="auto"/>
              </w:rPr>
            </w:pPr>
            <w:r>
              <w:rPr>
                <w:rFonts w:ascii="Arial" w:cs="Arial" w:eastAsia="Arial" w:hAnsi="Arial"/>
                <w:sz w:val="10"/>
                <w:szCs w:val="10"/>
                <w:b w:val="1"/>
                <w:bCs w:val="1"/>
                <w:color w:val="auto"/>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0"/>
                <w:szCs w:val="10"/>
                <w:b w:val="1"/>
                <w:bCs w:val="1"/>
                <w:color w:val="auto"/>
              </w:rPr>
              <w:t>(3,835)</w:t>
            </w:r>
          </w:p>
        </w:tc>
        <w:tc>
          <w:tcPr>
            <w:tcW w:w="780" w:type="dxa"/>
            <w:vAlign w:val="bottom"/>
            <w:shd w:val="clear" w:color="auto" w:fill="CCEEFF"/>
          </w:tcPr>
          <w:p>
            <w:pPr>
              <w:jc w:val="right"/>
              <w:ind w:right="152"/>
              <w:spacing w:after="0"/>
              <w:rPr>
                <w:sz w:val="20"/>
                <w:szCs w:val="20"/>
                <w:color w:val="auto"/>
              </w:rPr>
            </w:pPr>
            <w:r>
              <w:rPr>
                <w:rFonts w:ascii="Arial" w:cs="Arial" w:eastAsia="Arial" w:hAnsi="Arial"/>
                <w:sz w:val="10"/>
                <w:szCs w:val="10"/>
                <w:i w:val="1"/>
                <w:iCs w:val="1"/>
                <w:color w:val="auto"/>
              </w:rPr>
              <w:t>(18)%</w:t>
            </w:r>
          </w:p>
        </w:tc>
        <w:tc>
          <w:tcPr>
            <w:tcW w:w="18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72"/>
              <w:spacing w:after="0"/>
              <w:rPr>
                <w:sz w:val="20"/>
                <w:szCs w:val="20"/>
                <w:color w:val="auto"/>
              </w:rPr>
            </w:pPr>
            <w:r>
              <w:rPr>
                <w:rFonts w:ascii="Arial" w:cs="Arial" w:eastAsia="Arial" w:hAnsi="Arial"/>
                <w:sz w:val="10"/>
                <w:szCs w:val="10"/>
                <w:b w:val="1"/>
                <w:bCs w:val="1"/>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b w:val="1"/>
                <w:bCs w:val="1"/>
                <w:color w:val="auto"/>
              </w:rPr>
              <w:t>(5,103)</w:t>
            </w:r>
          </w:p>
        </w:tc>
        <w:tc>
          <w:tcPr>
            <w:tcW w:w="780" w:type="dxa"/>
            <w:vAlign w:val="bottom"/>
            <w:shd w:val="clear" w:color="auto" w:fill="CCEEFF"/>
          </w:tcPr>
          <w:p>
            <w:pPr>
              <w:jc w:val="right"/>
              <w:ind w:right="152"/>
              <w:spacing w:after="0"/>
              <w:rPr>
                <w:sz w:val="20"/>
                <w:szCs w:val="20"/>
                <w:color w:val="auto"/>
              </w:rPr>
            </w:pPr>
            <w:r>
              <w:rPr>
                <w:rFonts w:ascii="Arial" w:cs="Arial" w:eastAsia="Arial" w:hAnsi="Arial"/>
                <w:sz w:val="10"/>
                <w:szCs w:val="10"/>
                <w:i w:val="1"/>
                <w:iCs w:val="1"/>
                <w:color w:val="auto"/>
              </w:rPr>
              <w:t>(21)%</w:t>
            </w:r>
          </w:p>
        </w:tc>
        <w:tc>
          <w:tcPr>
            <w:tcW w:w="18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25</w:t>
            </w:r>
          </w:p>
        </w:tc>
        <w:tc>
          <w:tcPr>
            <w:tcW w:w="380" w:type="dxa"/>
            <w:vAlign w:val="bottom"/>
            <w:shd w:val="clear" w:color="auto" w:fill="CCEEFF"/>
          </w:tcPr>
          <w:p>
            <w:pPr>
              <w:jc w:val="right"/>
              <w:ind w:right="232"/>
              <w:spacing w:after="0"/>
              <w:rPr>
                <w:sz w:val="20"/>
                <w:szCs w:val="20"/>
                <w:color w:val="auto"/>
              </w:rPr>
            </w:pPr>
            <w:r>
              <w:rPr>
                <w:rFonts w:ascii="Arial" w:cs="Arial" w:eastAsia="Arial" w:hAnsi="Arial"/>
                <w:sz w:val="10"/>
                <w:szCs w:val="10"/>
                <w:color w:val="auto"/>
                <w:w w:val="89"/>
              </w:rPr>
              <w:t>%</w:t>
            </w:r>
          </w:p>
        </w:tc>
        <w:tc>
          <w:tcPr>
            <w:tcW w:w="0" w:type="dxa"/>
            <w:vAlign w:val="bottom"/>
          </w:tcPr>
          <w:p>
            <w:pPr>
              <w:spacing w:after="0"/>
              <w:rPr>
                <w:sz w:val="1"/>
                <w:szCs w:val="1"/>
                <w:color w:val="auto"/>
              </w:rPr>
            </w:pPr>
          </w:p>
        </w:tc>
      </w:tr>
      <w:tr>
        <w:trPr>
          <w:trHeight w:val="20"/>
        </w:trPr>
        <w:tc>
          <w:tcPr>
            <w:tcW w:w="1700" w:type="dxa"/>
            <w:vAlign w:val="bottom"/>
            <w:shd w:val="clear" w:color="auto" w:fill="CCEEFF"/>
          </w:tcPr>
          <w:p>
            <w:pPr>
              <w:spacing w:after="0" w:line="20" w:lineRule="exact"/>
              <w:rPr>
                <w:sz w:val="1"/>
                <w:szCs w:val="1"/>
                <w:color w:val="auto"/>
              </w:rPr>
            </w:pPr>
          </w:p>
        </w:tc>
        <w:tc>
          <w:tcPr>
            <w:tcW w:w="30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1700" w:type="dxa"/>
            <w:vAlign w:val="bottom"/>
          </w:tcPr>
          <w:p>
            <w:pPr>
              <w:ind w:left="400"/>
              <w:spacing w:after="0"/>
              <w:rPr>
                <w:sz w:val="20"/>
                <w:szCs w:val="20"/>
                <w:color w:val="auto"/>
              </w:rPr>
            </w:pPr>
            <w:r>
              <w:rPr>
                <w:rFonts w:ascii="Arial" w:cs="Arial" w:eastAsia="Arial" w:hAnsi="Arial"/>
                <w:sz w:val="10"/>
                <w:szCs w:val="10"/>
                <w:b w:val="1"/>
                <w:bCs w:val="1"/>
                <w:color w:val="auto"/>
              </w:rPr>
              <w:t>Total operating expenses</w:t>
            </w:r>
          </w:p>
        </w:tc>
        <w:tc>
          <w:tcPr>
            <w:tcW w:w="3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jc w:val="right"/>
              <w:ind w:right="72"/>
              <w:spacing w:after="0"/>
              <w:rPr>
                <w:sz w:val="20"/>
                <w:szCs w:val="20"/>
                <w:color w:val="auto"/>
              </w:rPr>
            </w:pPr>
            <w:r>
              <w:rPr>
                <w:rFonts w:ascii="Arial" w:cs="Arial" w:eastAsia="Arial" w:hAnsi="Arial"/>
                <w:sz w:val="10"/>
                <w:szCs w:val="10"/>
                <w:b w:val="1"/>
                <w:bCs w:val="1"/>
                <w:color w:val="auto"/>
              </w:rPr>
              <w:t>$</w:t>
            </w:r>
          </w:p>
        </w:tc>
        <w:tc>
          <w:tcPr>
            <w:tcW w:w="980" w:type="dxa"/>
            <w:vAlign w:val="bottom"/>
            <w:gridSpan w:val="2"/>
          </w:tcPr>
          <w:p>
            <w:pPr>
              <w:jc w:val="right"/>
              <w:ind w:right="180"/>
              <w:spacing w:after="0"/>
              <w:rPr>
                <w:sz w:val="20"/>
                <w:szCs w:val="20"/>
                <w:color w:val="auto"/>
              </w:rPr>
            </w:pPr>
            <w:r>
              <w:rPr>
                <w:rFonts w:ascii="Arial" w:cs="Arial" w:eastAsia="Arial" w:hAnsi="Arial"/>
                <w:sz w:val="10"/>
                <w:szCs w:val="10"/>
                <w:b w:val="1"/>
                <w:bCs w:val="1"/>
                <w:color w:val="auto"/>
              </w:rPr>
              <w:t>(14,783)</w:t>
            </w:r>
          </w:p>
        </w:tc>
        <w:tc>
          <w:tcPr>
            <w:tcW w:w="780" w:type="dxa"/>
            <w:vAlign w:val="bottom"/>
          </w:tcPr>
          <w:p>
            <w:pPr>
              <w:jc w:val="right"/>
              <w:ind w:right="152"/>
              <w:spacing w:after="0"/>
              <w:rPr>
                <w:sz w:val="20"/>
                <w:szCs w:val="20"/>
                <w:color w:val="auto"/>
              </w:rPr>
            </w:pPr>
            <w:r>
              <w:rPr>
                <w:rFonts w:ascii="Arial" w:cs="Arial" w:eastAsia="Arial" w:hAnsi="Arial"/>
                <w:sz w:val="10"/>
                <w:szCs w:val="10"/>
                <w:i w:val="1"/>
                <w:iCs w:val="1"/>
                <w:color w:val="auto"/>
              </w:rPr>
              <w:t>(69)%</w:t>
            </w:r>
          </w:p>
        </w:tc>
        <w:tc>
          <w:tcPr>
            <w:tcW w:w="180" w:type="dxa"/>
            <w:vAlign w:val="bottom"/>
          </w:tcPr>
          <w:p>
            <w:pPr>
              <w:spacing w:after="0"/>
              <w:rPr>
                <w:sz w:val="18"/>
                <w:szCs w:val="18"/>
                <w:color w:val="auto"/>
              </w:rPr>
            </w:pPr>
          </w:p>
        </w:tc>
        <w:tc>
          <w:tcPr>
            <w:tcW w:w="360" w:type="dxa"/>
            <w:vAlign w:val="bottom"/>
          </w:tcPr>
          <w:p>
            <w:pPr>
              <w:jc w:val="right"/>
              <w:ind w:right="72"/>
              <w:spacing w:after="0"/>
              <w:rPr>
                <w:sz w:val="20"/>
                <w:szCs w:val="20"/>
                <w:color w:val="auto"/>
              </w:rPr>
            </w:pPr>
            <w:r>
              <w:rPr>
                <w:rFonts w:ascii="Arial" w:cs="Arial" w:eastAsia="Arial" w:hAnsi="Arial"/>
                <w:sz w:val="10"/>
                <w:szCs w:val="10"/>
                <w:b w:val="1"/>
                <w:bCs w:val="1"/>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0"/>
                <w:szCs w:val="10"/>
                <w:b w:val="1"/>
                <w:bCs w:val="1"/>
                <w:color w:val="auto"/>
              </w:rPr>
              <w:t>(14,873)</w:t>
            </w:r>
          </w:p>
        </w:tc>
        <w:tc>
          <w:tcPr>
            <w:tcW w:w="780" w:type="dxa"/>
            <w:vAlign w:val="bottom"/>
          </w:tcPr>
          <w:p>
            <w:pPr>
              <w:jc w:val="right"/>
              <w:ind w:right="152"/>
              <w:spacing w:after="0"/>
              <w:rPr>
                <w:sz w:val="20"/>
                <w:szCs w:val="20"/>
                <w:color w:val="auto"/>
              </w:rPr>
            </w:pPr>
            <w:r>
              <w:rPr>
                <w:rFonts w:ascii="Arial" w:cs="Arial" w:eastAsia="Arial" w:hAnsi="Arial"/>
                <w:sz w:val="10"/>
                <w:szCs w:val="10"/>
                <w:i w:val="1"/>
                <w:iCs w:val="1"/>
                <w:color w:val="auto"/>
              </w:rPr>
              <w:t>(61)%</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0"/>
                <w:szCs w:val="10"/>
                <w:color w:val="auto"/>
              </w:rPr>
              <w:t>1</w:t>
            </w:r>
          </w:p>
        </w:tc>
        <w:tc>
          <w:tcPr>
            <w:tcW w:w="380" w:type="dxa"/>
            <w:vAlign w:val="bottom"/>
          </w:tcPr>
          <w:p>
            <w:pPr>
              <w:jc w:val="right"/>
              <w:ind w:right="232"/>
              <w:spacing w:after="0"/>
              <w:rPr>
                <w:sz w:val="20"/>
                <w:szCs w:val="20"/>
                <w:color w:val="auto"/>
              </w:rPr>
            </w:pPr>
            <w:r>
              <w:rPr>
                <w:rFonts w:ascii="Arial" w:cs="Arial" w:eastAsia="Arial" w:hAnsi="Arial"/>
                <w:sz w:val="10"/>
                <w:szCs w:val="10"/>
                <w:color w:val="auto"/>
                <w:w w:val="89"/>
              </w:rPr>
              <w:t>%</w:t>
            </w:r>
          </w:p>
        </w:tc>
        <w:tc>
          <w:tcPr>
            <w:tcW w:w="0" w:type="dxa"/>
            <w:vAlign w:val="bottom"/>
          </w:tcPr>
          <w:p>
            <w:pPr>
              <w:spacing w:after="0"/>
              <w:rPr>
                <w:sz w:val="1"/>
                <w:szCs w:val="1"/>
                <w:color w:val="auto"/>
              </w:rPr>
            </w:pPr>
          </w:p>
        </w:tc>
      </w:tr>
      <w:tr>
        <w:trPr>
          <w:trHeight w:val="223"/>
        </w:trPr>
        <w:tc>
          <w:tcPr>
            <w:tcW w:w="1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0"/>
                <w:szCs w:val="10"/>
                <w:b w:val="1"/>
                <w:bCs w:val="1"/>
                <w:color w:val="auto"/>
              </w:rPr>
              <w:t>OPERATING INCOME</w:t>
            </w:r>
          </w:p>
        </w:tc>
        <w:tc>
          <w:tcPr>
            <w:tcW w:w="306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7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3"/>
        </w:trPr>
        <w:tc>
          <w:tcPr>
            <w:tcW w:w="1700" w:type="dxa"/>
            <w:vAlign w:val="bottom"/>
          </w:tcPr>
          <w:p>
            <w:pPr>
              <w:ind w:left="400"/>
              <w:spacing w:after="0"/>
              <w:rPr>
                <w:sz w:val="20"/>
                <w:szCs w:val="20"/>
                <w:color w:val="auto"/>
              </w:rPr>
            </w:pPr>
            <w:r>
              <w:rPr>
                <w:rFonts w:ascii="Arial" w:cs="Arial" w:eastAsia="Arial" w:hAnsi="Arial"/>
                <w:sz w:val="10"/>
                <w:szCs w:val="10"/>
                <w:b w:val="1"/>
                <w:bCs w:val="1"/>
                <w:color w:val="auto"/>
              </w:rPr>
              <w:t>United States</w:t>
            </w:r>
          </w:p>
        </w:tc>
        <w:tc>
          <w:tcPr>
            <w:tcW w:w="30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80" w:type="dxa"/>
            <w:vAlign w:val="bottom"/>
          </w:tcPr>
          <w:p>
            <w:pPr>
              <w:jc w:val="right"/>
              <w:ind w:right="72"/>
              <w:spacing w:after="0"/>
              <w:rPr>
                <w:sz w:val="20"/>
                <w:szCs w:val="20"/>
                <w:color w:val="auto"/>
              </w:rPr>
            </w:pPr>
            <w:r>
              <w:rPr>
                <w:rFonts w:ascii="Arial" w:cs="Arial" w:eastAsia="Arial" w:hAnsi="Arial"/>
                <w:sz w:val="10"/>
                <w:szCs w:val="10"/>
                <w:color w:val="auto"/>
              </w:rPr>
              <w:t>$</w:t>
            </w:r>
          </w:p>
        </w:tc>
        <w:tc>
          <w:tcPr>
            <w:tcW w:w="980" w:type="dxa"/>
            <w:vAlign w:val="bottom"/>
            <w:gridSpan w:val="2"/>
          </w:tcPr>
          <w:p>
            <w:pPr>
              <w:jc w:val="right"/>
              <w:ind w:right="180"/>
              <w:spacing w:after="0"/>
              <w:rPr>
                <w:sz w:val="20"/>
                <w:szCs w:val="20"/>
                <w:color w:val="auto"/>
              </w:rPr>
            </w:pPr>
            <w:r>
              <w:rPr>
                <w:rFonts w:ascii="Arial" w:cs="Arial" w:eastAsia="Arial" w:hAnsi="Arial"/>
                <w:sz w:val="10"/>
                <w:szCs w:val="10"/>
                <w:color w:val="auto"/>
              </w:rPr>
              <w:t>(452)</w:t>
            </w:r>
          </w:p>
        </w:tc>
        <w:tc>
          <w:tcPr>
            <w:tcW w:w="780" w:type="dxa"/>
            <w:vAlign w:val="bottom"/>
          </w:tcPr>
          <w:p>
            <w:pPr>
              <w:jc w:val="right"/>
              <w:ind w:right="152"/>
              <w:spacing w:after="0"/>
              <w:rPr>
                <w:sz w:val="20"/>
                <w:szCs w:val="20"/>
                <w:color w:val="auto"/>
              </w:rPr>
            </w:pPr>
            <w:r>
              <w:rPr>
                <w:rFonts w:ascii="Arial" w:cs="Arial" w:eastAsia="Arial" w:hAnsi="Arial"/>
                <w:sz w:val="10"/>
                <w:szCs w:val="10"/>
                <w:i w:val="1"/>
                <w:iCs w:val="1"/>
                <w:color w:val="auto"/>
              </w:rPr>
              <w:t>(8)%</w:t>
            </w:r>
          </w:p>
        </w:tc>
        <w:tc>
          <w:tcPr>
            <w:tcW w:w="180" w:type="dxa"/>
            <w:vAlign w:val="bottom"/>
          </w:tcPr>
          <w:p>
            <w:pPr>
              <w:spacing w:after="0"/>
              <w:rPr>
                <w:sz w:val="13"/>
                <w:szCs w:val="13"/>
                <w:color w:val="auto"/>
              </w:rPr>
            </w:pPr>
          </w:p>
        </w:tc>
        <w:tc>
          <w:tcPr>
            <w:tcW w:w="360" w:type="dxa"/>
            <w:vAlign w:val="bottom"/>
          </w:tcPr>
          <w:p>
            <w:pPr>
              <w:jc w:val="right"/>
              <w:ind w:right="72"/>
              <w:spacing w:after="0"/>
              <w:rPr>
                <w:sz w:val="20"/>
                <w:szCs w:val="20"/>
                <w:color w:val="auto"/>
              </w:rPr>
            </w:pPr>
            <w:r>
              <w:rPr>
                <w:rFonts w:ascii="Arial" w:cs="Arial" w:eastAsia="Arial" w:hAnsi="Arial"/>
                <w:sz w:val="10"/>
                <w:szCs w:val="10"/>
                <w:color w:val="auto"/>
              </w:rPr>
              <w:t>$</w:t>
            </w:r>
          </w:p>
        </w:tc>
        <w:tc>
          <w:tcPr>
            <w:tcW w:w="800" w:type="dxa"/>
            <w:vAlign w:val="bottom"/>
          </w:tcPr>
          <w:p>
            <w:pPr>
              <w:jc w:val="right"/>
              <w:spacing w:after="0"/>
              <w:rPr>
                <w:sz w:val="20"/>
                <w:szCs w:val="20"/>
                <w:color w:val="auto"/>
              </w:rPr>
            </w:pPr>
            <w:r>
              <w:rPr>
                <w:rFonts w:ascii="Arial" w:cs="Arial" w:eastAsia="Arial" w:hAnsi="Arial"/>
                <w:sz w:val="10"/>
                <w:szCs w:val="10"/>
                <w:color w:val="auto"/>
              </w:rPr>
              <w:t>2,224</w:t>
            </w:r>
          </w:p>
        </w:tc>
        <w:tc>
          <w:tcPr>
            <w:tcW w:w="160" w:type="dxa"/>
            <w:vAlign w:val="bottom"/>
          </w:tcPr>
          <w:p>
            <w:pPr>
              <w:spacing w:after="0"/>
              <w:rPr>
                <w:sz w:val="13"/>
                <w:szCs w:val="13"/>
                <w:color w:val="auto"/>
              </w:rPr>
            </w:pPr>
          </w:p>
        </w:tc>
        <w:tc>
          <w:tcPr>
            <w:tcW w:w="780" w:type="dxa"/>
            <w:vAlign w:val="bottom"/>
          </w:tcPr>
          <w:p>
            <w:pPr>
              <w:jc w:val="right"/>
              <w:ind w:right="152"/>
              <w:spacing w:after="0"/>
              <w:rPr>
                <w:sz w:val="20"/>
                <w:szCs w:val="20"/>
                <w:color w:val="auto"/>
              </w:rPr>
            </w:pPr>
            <w:r>
              <w:rPr>
                <w:rFonts w:ascii="Arial" w:cs="Arial" w:eastAsia="Arial" w:hAnsi="Arial"/>
                <w:sz w:val="10"/>
                <w:szCs w:val="10"/>
                <w:i w:val="1"/>
                <w:iCs w:val="1"/>
                <w:color w:val="auto"/>
              </w:rPr>
              <w:t>43 %</w:t>
            </w:r>
          </w:p>
        </w:tc>
        <w:tc>
          <w:tcPr>
            <w:tcW w:w="180" w:type="dxa"/>
            <w:vAlign w:val="bottom"/>
          </w:tcPr>
          <w:p>
            <w:pPr>
              <w:spacing w:after="0"/>
              <w:rPr>
                <w:sz w:val="13"/>
                <w:szCs w:val="13"/>
                <w:color w:val="auto"/>
              </w:rPr>
            </w:pPr>
          </w:p>
        </w:tc>
        <w:tc>
          <w:tcPr>
            <w:tcW w:w="1080" w:type="dxa"/>
            <w:vAlign w:val="bottom"/>
            <w:gridSpan w:val="2"/>
          </w:tcPr>
          <w:p>
            <w:pPr>
              <w:jc w:val="right"/>
              <w:ind w:right="232"/>
              <w:spacing w:after="0"/>
              <w:rPr>
                <w:sz w:val="20"/>
                <w:szCs w:val="20"/>
                <w:color w:val="auto"/>
              </w:rPr>
            </w:pPr>
            <w:r>
              <w:rPr>
                <w:rFonts w:ascii="Arial" w:cs="Arial" w:eastAsia="Arial" w:hAnsi="Arial"/>
                <w:sz w:val="10"/>
                <w:szCs w:val="10"/>
                <w:color w:val="auto"/>
              </w:rPr>
              <w:t>(120) %</w:t>
            </w:r>
          </w:p>
        </w:tc>
        <w:tc>
          <w:tcPr>
            <w:tcW w:w="0" w:type="dxa"/>
            <w:vAlign w:val="bottom"/>
          </w:tcPr>
          <w:p>
            <w:pPr>
              <w:spacing w:after="0"/>
              <w:rPr>
                <w:sz w:val="1"/>
                <w:szCs w:val="1"/>
                <w:color w:val="auto"/>
              </w:rPr>
            </w:pPr>
          </w:p>
        </w:tc>
      </w:tr>
      <w:tr>
        <w:trPr>
          <w:trHeight w:val="153"/>
        </w:trPr>
        <w:tc>
          <w:tcPr>
            <w:tcW w:w="1700" w:type="dxa"/>
            <w:vAlign w:val="bottom"/>
            <w:shd w:val="clear" w:color="auto" w:fill="CCEEFF"/>
          </w:tcPr>
          <w:p>
            <w:pPr>
              <w:ind w:left="400"/>
              <w:spacing w:after="0"/>
              <w:rPr>
                <w:sz w:val="20"/>
                <w:szCs w:val="20"/>
                <w:color w:val="auto"/>
              </w:rPr>
            </w:pPr>
            <w:r>
              <w:rPr>
                <w:rFonts w:ascii="Arial" w:cs="Arial" w:eastAsia="Arial" w:hAnsi="Arial"/>
                <w:sz w:val="10"/>
                <w:szCs w:val="10"/>
                <w:b w:val="1"/>
                <w:bCs w:val="1"/>
                <w:color w:val="auto"/>
              </w:rPr>
              <w:t>Australia</w:t>
            </w:r>
          </w:p>
        </w:tc>
        <w:tc>
          <w:tcPr>
            <w:tcW w:w="30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5,400</w:t>
            </w:r>
          </w:p>
        </w:tc>
        <w:tc>
          <w:tcPr>
            <w:tcW w:w="180" w:type="dxa"/>
            <w:vAlign w:val="bottom"/>
            <w:shd w:val="clear" w:color="auto" w:fill="CCEEFF"/>
          </w:tcPr>
          <w:p>
            <w:pPr>
              <w:spacing w:after="0"/>
              <w:rPr>
                <w:sz w:val="13"/>
                <w:szCs w:val="13"/>
                <w:color w:val="auto"/>
              </w:rPr>
            </w:pPr>
          </w:p>
        </w:tc>
        <w:tc>
          <w:tcPr>
            <w:tcW w:w="780" w:type="dxa"/>
            <w:vAlign w:val="bottom"/>
            <w:shd w:val="clear" w:color="auto" w:fill="CCEEFF"/>
          </w:tcPr>
          <w:p>
            <w:pPr>
              <w:jc w:val="right"/>
              <w:ind w:right="152"/>
              <w:spacing w:after="0"/>
              <w:rPr>
                <w:sz w:val="20"/>
                <w:szCs w:val="20"/>
                <w:color w:val="auto"/>
              </w:rPr>
            </w:pPr>
            <w:r>
              <w:rPr>
                <w:rFonts w:ascii="Arial" w:cs="Arial" w:eastAsia="Arial" w:hAnsi="Arial"/>
                <w:sz w:val="10"/>
                <w:szCs w:val="10"/>
                <w:i w:val="1"/>
                <w:iCs w:val="1"/>
                <w:color w:val="auto"/>
              </w:rPr>
              <w:t>47 %</w:t>
            </w:r>
          </w:p>
        </w:tc>
        <w:tc>
          <w:tcPr>
            <w:tcW w:w="1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5,183</w:t>
            </w:r>
          </w:p>
        </w:tc>
        <w:tc>
          <w:tcPr>
            <w:tcW w:w="160" w:type="dxa"/>
            <w:vAlign w:val="bottom"/>
            <w:shd w:val="clear" w:color="auto" w:fill="CCEEFF"/>
          </w:tcPr>
          <w:p>
            <w:pPr>
              <w:spacing w:after="0"/>
              <w:rPr>
                <w:sz w:val="13"/>
                <w:szCs w:val="13"/>
                <w:color w:val="auto"/>
              </w:rPr>
            </w:pPr>
          </w:p>
        </w:tc>
        <w:tc>
          <w:tcPr>
            <w:tcW w:w="780" w:type="dxa"/>
            <w:vAlign w:val="bottom"/>
            <w:shd w:val="clear" w:color="auto" w:fill="CCEEFF"/>
          </w:tcPr>
          <w:p>
            <w:pPr>
              <w:jc w:val="right"/>
              <w:ind w:right="152"/>
              <w:spacing w:after="0"/>
              <w:rPr>
                <w:sz w:val="20"/>
                <w:szCs w:val="20"/>
                <w:color w:val="auto"/>
              </w:rPr>
            </w:pPr>
            <w:r>
              <w:rPr>
                <w:rFonts w:ascii="Arial" w:cs="Arial" w:eastAsia="Arial" w:hAnsi="Arial"/>
                <w:sz w:val="10"/>
                <w:szCs w:val="10"/>
                <w:i w:val="1"/>
                <w:iCs w:val="1"/>
                <w:color w:val="auto"/>
              </w:rPr>
              <w:t>38 %</w:t>
            </w:r>
          </w:p>
        </w:tc>
        <w:tc>
          <w:tcPr>
            <w:tcW w:w="18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w:t>
            </w:r>
          </w:p>
        </w:tc>
        <w:tc>
          <w:tcPr>
            <w:tcW w:w="380" w:type="dxa"/>
            <w:vAlign w:val="bottom"/>
            <w:shd w:val="clear" w:color="auto" w:fill="CCEEFF"/>
          </w:tcPr>
          <w:p>
            <w:pPr>
              <w:jc w:val="right"/>
              <w:ind w:right="232"/>
              <w:spacing w:after="0"/>
              <w:rPr>
                <w:sz w:val="20"/>
                <w:szCs w:val="20"/>
                <w:color w:val="auto"/>
              </w:rPr>
            </w:pPr>
            <w:r>
              <w:rPr>
                <w:rFonts w:ascii="Arial" w:cs="Arial" w:eastAsia="Arial" w:hAnsi="Arial"/>
                <w:sz w:val="10"/>
                <w:szCs w:val="10"/>
                <w:color w:val="auto"/>
                <w:w w:val="89"/>
              </w:rPr>
              <w:t>%</w:t>
            </w:r>
          </w:p>
        </w:tc>
        <w:tc>
          <w:tcPr>
            <w:tcW w:w="0" w:type="dxa"/>
            <w:vAlign w:val="bottom"/>
          </w:tcPr>
          <w:p>
            <w:pPr>
              <w:spacing w:after="0"/>
              <w:rPr>
                <w:sz w:val="1"/>
                <w:szCs w:val="1"/>
                <w:color w:val="auto"/>
              </w:rPr>
            </w:pPr>
          </w:p>
        </w:tc>
      </w:tr>
      <w:tr>
        <w:trPr>
          <w:trHeight w:val="153"/>
        </w:trPr>
        <w:tc>
          <w:tcPr>
            <w:tcW w:w="1700" w:type="dxa"/>
            <w:vAlign w:val="bottom"/>
          </w:tcPr>
          <w:p>
            <w:pPr>
              <w:ind w:left="400"/>
              <w:spacing w:after="0"/>
              <w:rPr>
                <w:sz w:val="20"/>
                <w:szCs w:val="20"/>
                <w:color w:val="auto"/>
              </w:rPr>
            </w:pPr>
            <w:r>
              <w:rPr>
                <w:rFonts w:ascii="Arial" w:cs="Arial" w:eastAsia="Arial" w:hAnsi="Arial"/>
                <w:sz w:val="10"/>
                <w:szCs w:val="10"/>
                <w:b w:val="1"/>
                <w:bCs w:val="1"/>
                <w:color w:val="auto"/>
              </w:rPr>
              <w:t>New Zealand</w:t>
            </w:r>
          </w:p>
        </w:tc>
        <w:tc>
          <w:tcPr>
            <w:tcW w:w="30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0"/>
                <w:szCs w:val="10"/>
                <w:color w:val="auto"/>
              </w:rPr>
              <w:t>1,848</w:t>
            </w:r>
          </w:p>
        </w:tc>
        <w:tc>
          <w:tcPr>
            <w:tcW w:w="180" w:type="dxa"/>
            <w:vAlign w:val="bottom"/>
          </w:tcPr>
          <w:p>
            <w:pPr>
              <w:spacing w:after="0"/>
              <w:rPr>
                <w:sz w:val="13"/>
                <w:szCs w:val="13"/>
                <w:color w:val="auto"/>
              </w:rPr>
            </w:pPr>
          </w:p>
        </w:tc>
        <w:tc>
          <w:tcPr>
            <w:tcW w:w="780" w:type="dxa"/>
            <w:vAlign w:val="bottom"/>
          </w:tcPr>
          <w:p>
            <w:pPr>
              <w:jc w:val="right"/>
              <w:ind w:right="152"/>
              <w:spacing w:after="0"/>
              <w:rPr>
                <w:sz w:val="20"/>
                <w:szCs w:val="20"/>
                <w:color w:val="auto"/>
              </w:rPr>
            </w:pPr>
            <w:r>
              <w:rPr>
                <w:rFonts w:ascii="Arial" w:cs="Arial" w:eastAsia="Arial" w:hAnsi="Arial"/>
                <w:sz w:val="10"/>
                <w:szCs w:val="10"/>
                <w:i w:val="1"/>
                <w:iCs w:val="1"/>
                <w:color w:val="auto"/>
              </w:rPr>
              <w:t>38 %</w:t>
            </w: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0"/>
                <w:szCs w:val="10"/>
                <w:color w:val="auto"/>
              </w:rPr>
              <w:t>2,068</w:t>
            </w:r>
          </w:p>
        </w:tc>
        <w:tc>
          <w:tcPr>
            <w:tcW w:w="160" w:type="dxa"/>
            <w:vAlign w:val="bottom"/>
          </w:tcPr>
          <w:p>
            <w:pPr>
              <w:spacing w:after="0"/>
              <w:rPr>
                <w:sz w:val="13"/>
                <w:szCs w:val="13"/>
                <w:color w:val="auto"/>
              </w:rPr>
            </w:pPr>
          </w:p>
        </w:tc>
        <w:tc>
          <w:tcPr>
            <w:tcW w:w="780" w:type="dxa"/>
            <w:vAlign w:val="bottom"/>
          </w:tcPr>
          <w:p>
            <w:pPr>
              <w:jc w:val="right"/>
              <w:ind w:right="152"/>
              <w:spacing w:after="0"/>
              <w:rPr>
                <w:sz w:val="20"/>
                <w:szCs w:val="20"/>
                <w:color w:val="auto"/>
              </w:rPr>
            </w:pPr>
            <w:r>
              <w:rPr>
                <w:rFonts w:ascii="Arial" w:cs="Arial" w:eastAsia="Arial" w:hAnsi="Arial"/>
                <w:sz w:val="10"/>
                <w:szCs w:val="10"/>
                <w:i w:val="1"/>
                <w:iCs w:val="1"/>
                <w:color w:val="auto"/>
              </w:rPr>
              <w:t>37 %</w:t>
            </w:r>
          </w:p>
        </w:tc>
        <w:tc>
          <w:tcPr>
            <w:tcW w:w="180" w:type="dxa"/>
            <w:vAlign w:val="bottom"/>
          </w:tcPr>
          <w:p>
            <w:pPr>
              <w:spacing w:after="0"/>
              <w:rPr>
                <w:sz w:val="13"/>
                <w:szCs w:val="13"/>
                <w:color w:val="auto"/>
              </w:rPr>
            </w:pPr>
          </w:p>
        </w:tc>
        <w:tc>
          <w:tcPr>
            <w:tcW w:w="1080" w:type="dxa"/>
            <w:vAlign w:val="bottom"/>
            <w:gridSpan w:val="2"/>
          </w:tcPr>
          <w:p>
            <w:pPr>
              <w:jc w:val="right"/>
              <w:ind w:right="232"/>
              <w:spacing w:after="0"/>
              <w:rPr>
                <w:sz w:val="20"/>
                <w:szCs w:val="20"/>
                <w:color w:val="auto"/>
              </w:rPr>
            </w:pPr>
            <w:r>
              <w:rPr>
                <w:rFonts w:ascii="Arial" w:cs="Arial" w:eastAsia="Arial" w:hAnsi="Arial"/>
                <w:sz w:val="10"/>
                <w:szCs w:val="10"/>
                <w:color w:val="auto"/>
              </w:rPr>
              <w:t>(11) %</w:t>
            </w:r>
          </w:p>
        </w:tc>
        <w:tc>
          <w:tcPr>
            <w:tcW w:w="0" w:type="dxa"/>
            <w:vAlign w:val="bottom"/>
          </w:tcPr>
          <w:p>
            <w:pPr>
              <w:spacing w:after="0"/>
              <w:rPr>
                <w:sz w:val="1"/>
                <w:szCs w:val="1"/>
                <w:color w:val="auto"/>
              </w:rPr>
            </w:pPr>
          </w:p>
        </w:tc>
      </w:tr>
      <w:tr>
        <w:trPr>
          <w:trHeight w:val="81"/>
        </w:trPr>
        <w:tc>
          <w:tcPr>
            <w:tcW w:w="1700" w:type="dxa"/>
            <w:vAlign w:val="bottom"/>
            <w:shd w:val="clear" w:color="auto" w:fill="CCEEFF"/>
          </w:tcPr>
          <w:p>
            <w:pPr>
              <w:spacing w:after="0"/>
              <w:rPr>
                <w:sz w:val="7"/>
                <w:szCs w:val="7"/>
                <w:color w:val="auto"/>
              </w:rPr>
            </w:pPr>
          </w:p>
        </w:tc>
        <w:tc>
          <w:tcPr>
            <w:tcW w:w="306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380" w:type="dxa"/>
            <w:vAlign w:val="bottom"/>
            <w:tcBorders>
              <w:bottom w:val="single" w:sz="8" w:color="auto"/>
            </w:tcBorders>
            <w:shd w:val="clear" w:color="auto" w:fill="CCEEFF"/>
          </w:tcPr>
          <w:p>
            <w:pPr>
              <w:spacing w:after="0"/>
              <w:rPr>
                <w:sz w:val="7"/>
                <w:szCs w:val="7"/>
                <w:color w:val="auto"/>
              </w:rPr>
            </w:pPr>
          </w:p>
        </w:tc>
        <w:tc>
          <w:tcPr>
            <w:tcW w:w="800" w:type="dxa"/>
            <w:vAlign w:val="bottom"/>
            <w:tcBorders>
              <w:bottom w:val="single" w:sz="8" w:color="auto"/>
            </w:tcBorders>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360" w:type="dxa"/>
            <w:vAlign w:val="bottom"/>
            <w:tcBorders>
              <w:bottom w:val="single" w:sz="8" w:color="auto"/>
            </w:tcBorders>
            <w:shd w:val="clear" w:color="auto" w:fill="CCEEFF"/>
          </w:tcPr>
          <w:p>
            <w:pPr>
              <w:spacing w:after="0"/>
              <w:rPr>
                <w:sz w:val="7"/>
                <w:szCs w:val="7"/>
                <w:color w:val="auto"/>
              </w:rPr>
            </w:pPr>
          </w:p>
        </w:tc>
        <w:tc>
          <w:tcPr>
            <w:tcW w:w="800" w:type="dxa"/>
            <w:vAlign w:val="bottom"/>
            <w:tcBorders>
              <w:bottom w:val="single" w:sz="8" w:color="auto"/>
            </w:tcBorders>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080" w:type="dxa"/>
            <w:vAlign w:val="bottom"/>
            <w:gridSpan w:val="2"/>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33"/>
        </w:trPr>
        <w:tc>
          <w:tcPr>
            <w:tcW w:w="1700" w:type="dxa"/>
            <w:vAlign w:val="bottom"/>
          </w:tcPr>
          <w:p>
            <w:pPr>
              <w:ind w:left="400"/>
              <w:spacing w:after="0"/>
              <w:rPr>
                <w:sz w:val="20"/>
                <w:szCs w:val="20"/>
                <w:color w:val="auto"/>
              </w:rPr>
            </w:pPr>
            <w:r>
              <w:rPr>
                <w:rFonts w:ascii="Arial" w:cs="Arial" w:eastAsia="Arial" w:hAnsi="Arial"/>
                <w:sz w:val="10"/>
                <w:szCs w:val="10"/>
                <w:b w:val="1"/>
                <w:bCs w:val="1"/>
                <w:color w:val="auto"/>
              </w:rPr>
              <w:t>Total operating income</w:t>
            </w:r>
          </w:p>
        </w:tc>
        <w:tc>
          <w:tcPr>
            <w:tcW w:w="30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b w:val="1"/>
                <w:bCs w:val="1"/>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6,796</w:t>
            </w:r>
          </w:p>
        </w:tc>
        <w:tc>
          <w:tcPr>
            <w:tcW w:w="180" w:type="dxa"/>
            <w:vAlign w:val="bottom"/>
          </w:tcPr>
          <w:p>
            <w:pPr>
              <w:spacing w:after="0"/>
              <w:rPr>
                <w:sz w:val="11"/>
                <w:szCs w:val="11"/>
                <w:color w:val="auto"/>
              </w:rPr>
            </w:pPr>
          </w:p>
        </w:tc>
        <w:tc>
          <w:tcPr>
            <w:tcW w:w="780" w:type="dxa"/>
            <w:vAlign w:val="bottom"/>
          </w:tcPr>
          <w:p>
            <w:pPr>
              <w:jc w:val="right"/>
              <w:ind w:right="152"/>
              <w:spacing w:after="0"/>
              <w:rPr>
                <w:sz w:val="20"/>
                <w:szCs w:val="20"/>
                <w:color w:val="auto"/>
              </w:rPr>
            </w:pPr>
            <w:r>
              <w:rPr>
                <w:rFonts w:ascii="Arial" w:cs="Arial" w:eastAsia="Arial" w:hAnsi="Arial"/>
                <w:sz w:val="10"/>
                <w:szCs w:val="10"/>
                <w:i w:val="1"/>
                <w:iCs w:val="1"/>
                <w:color w:val="auto"/>
              </w:rPr>
              <w:t>31 %</w:t>
            </w:r>
          </w:p>
        </w:tc>
        <w:tc>
          <w:tcPr>
            <w:tcW w:w="180" w:type="dxa"/>
            <w:vAlign w:val="bottom"/>
          </w:tcPr>
          <w:p>
            <w:pPr>
              <w:spacing w:after="0"/>
              <w:rPr>
                <w:sz w:val="11"/>
                <w:szCs w:val="11"/>
                <w:color w:val="auto"/>
              </w:rPr>
            </w:pPr>
          </w:p>
        </w:tc>
        <w:tc>
          <w:tcPr>
            <w:tcW w:w="36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b w:val="1"/>
                <w:bCs w:val="1"/>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9,475</w:t>
            </w:r>
          </w:p>
        </w:tc>
        <w:tc>
          <w:tcPr>
            <w:tcW w:w="160" w:type="dxa"/>
            <w:vAlign w:val="bottom"/>
          </w:tcPr>
          <w:p>
            <w:pPr>
              <w:spacing w:after="0"/>
              <w:rPr>
                <w:sz w:val="11"/>
                <w:szCs w:val="11"/>
                <w:color w:val="auto"/>
              </w:rPr>
            </w:pPr>
          </w:p>
        </w:tc>
        <w:tc>
          <w:tcPr>
            <w:tcW w:w="780" w:type="dxa"/>
            <w:vAlign w:val="bottom"/>
          </w:tcPr>
          <w:p>
            <w:pPr>
              <w:jc w:val="right"/>
              <w:ind w:right="152"/>
              <w:spacing w:after="0"/>
              <w:rPr>
                <w:sz w:val="20"/>
                <w:szCs w:val="20"/>
                <w:color w:val="auto"/>
              </w:rPr>
            </w:pPr>
            <w:r>
              <w:rPr>
                <w:rFonts w:ascii="Arial" w:cs="Arial" w:eastAsia="Arial" w:hAnsi="Arial"/>
                <w:sz w:val="10"/>
                <w:szCs w:val="10"/>
                <w:i w:val="1"/>
                <w:iCs w:val="1"/>
                <w:color w:val="auto"/>
              </w:rPr>
              <w:t>39 %</w:t>
            </w:r>
          </w:p>
        </w:tc>
        <w:tc>
          <w:tcPr>
            <w:tcW w:w="180" w:type="dxa"/>
            <w:vAlign w:val="bottom"/>
          </w:tcPr>
          <w:p>
            <w:pPr>
              <w:spacing w:after="0"/>
              <w:rPr>
                <w:sz w:val="11"/>
                <w:szCs w:val="11"/>
                <w:color w:val="auto"/>
              </w:rPr>
            </w:pPr>
          </w:p>
        </w:tc>
        <w:tc>
          <w:tcPr>
            <w:tcW w:w="1080" w:type="dxa"/>
            <w:vAlign w:val="bottom"/>
            <w:gridSpan w:val="2"/>
          </w:tcPr>
          <w:p>
            <w:pPr>
              <w:jc w:val="right"/>
              <w:ind w:right="232"/>
              <w:spacing w:after="0"/>
              <w:rPr>
                <w:sz w:val="20"/>
                <w:szCs w:val="20"/>
                <w:color w:val="auto"/>
              </w:rPr>
            </w:pPr>
            <w:r>
              <w:rPr>
                <w:rFonts w:ascii="Arial" w:cs="Arial" w:eastAsia="Arial" w:hAnsi="Arial"/>
                <w:sz w:val="10"/>
                <w:szCs w:val="10"/>
                <w:color w:val="auto"/>
              </w:rPr>
              <w:t>(28)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59690</wp:posOffset>
            </wp:positionV>
            <wp:extent cx="677989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779895" cy="42545"/>
                    </a:xfrm>
                    <a:prstGeom prst="rect">
                      <a:avLst/>
                    </a:prstGeom>
                    <a:noFill/>
                  </pic:spPr>
                </pic:pic>
              </a:graphicData>
            </a:graphic>
          </wp:anchor>
        </w:drawing>
      </w:r>
    </w:p>
    <w:p>
      <w:pPr>
        <w:sectPr>
          <w:pgSz w:w="11900" w:h="16838" w:orient="portrait"/>
          <w:cols w:equalWidth="0" w:num="1">
            <w:col w:w="10620"/>
          </w:cols>
          <w:pgMar w:left="640" w:top="127" w:right="639" w:bottom="1440" w:gutter="0" w:footer="0" w:header="0"/>
        </w:sectPr>
      </w:pPr>
    </w:p>
    <w:bookmarkStart w:id="42" w:name="page43"/>
    <w:bookmarkEnd w:id="42"/>
    <w:p>
      <w:pPr>
        <w:spacing w:after="0"/>
        <w:rPr>
          <w:sz w:val="20"/>
          <w:szCs w:val="20"/>
          <w:color w:val="auto"/>
        </w:rPr>
      </w:pPr>
      <w:r>
        <w:rPr>
          <w:rFonts w:ascii="Arial" w:cs="Arial" w:eastAsia="Arial" w:hAnsi="Arial"/>
          <w:sz w:val="12"/>
          <w:szCs w:val="12"/>
          <w:b w:val="1"/>
          <w:bCs w:val="1"/>
          <w:i w:val="1"/>
          <w:iCs w:val="1"/>
          <w:color w:val="auto"/>
        </w:rPr>
        <w:t>Real Estate segment operating income</w:t>
      </w:r>
    </w:p>
    <w:p>
      <w:pPr>
        <w:spacing w:after="0" w:line="123" w:lineRule="exact"/>
        <w:rPr>
          <w:sz w:val="20"/>
          <w:szCs w:val="20"/>
          <w:color w:val="auto"/>
        </w:rPr>
      </w:pPr>
    </w:p>
    <w:p>
      <w:pPr>
        <w:ind w:right="380"/>
        <w:spacing w:after="0" w:line="263" w:lineRule="auto"/>
        <w:rPr>
          <w:sz w:val="20"/>
          <w:szCs w:val="20"/>
          <w:color w:val="auto"/>
        </w:rPr>
      </w:pPr>
      <w:r>
        <w:rPr>
          <w:rFonts w:ascii="Arial" w:cs="Arial" w:eastAsia="Arial" w:hAnsi="Arial"/>
          <w:sz w:val="12"/>
          <w:szCs w:val="12"/>
          <w:color w:val="auto"/>
        </w:rPr>
        <w:t>Real estate segment operating income decreased by $2.7 million or 28%, to $6.8 million for 2015 compared to 2014, the decrease was primarily attributable to 11% lower revenue, which was primarily caused by unfavorable currency fluctuations. Total operating costs decreased by $90,000, mainly due to savings caused by foreign currency exchange fluctuations, partially offset by increased legal costs due to the "STOMP" arbitration. See, "Item 3 – Legal Proceedings".</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Revenue</w:t>
      </w:r>
    </w:p>
    <w:p>
      <w:pPr>
        <w:spacing w:after="0" w:line="132" w:lineRule="exact"/>
        <w:rPr>
          <w:sz w:val="20"/>
          <w:szCs w:val="20"/>
          <w:color w:val="auto"/>
        </w:rPr>
      </w:pPr>
    </w:p>
    <w:p>
      <w:pPr>
        <w:spacing w:after="0"/>
        <w:rPr>
          <w:sz w:val="20"/>
          <w:szCs w:val="20"/>
          <w:color w:val="auto"/>
        </w:rPr>
      </w:pPr>
      <w:r>
        <w:rPr>
          <w:rFonts w:ascii="Arial" w:cs="Arial" w:eastAsia="Arial" w:hAnsi="Arial"/>
          <w:sz w:val="12"/>
          <w:szCs w:val="12"/>
          <w:color w:val="auto"/>
        </w:rPr>
        <w:t>Real estate revenue for 2015 decreased by 11%, or $2.8 million, mainly due to an unfavorable currency fluctuations in our foreign operations.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Cost of services and products (excluding depreciation and amortization)</w:t>
      </w:r>
    </w:p>
    <w:p>
      <w:pPr>
        <w:spacing w:after="0" w:line="78" w:lineRule="exact"/>
        <w:rPr>
          <w:sz w:val="20"/>
          <w:szCs w:val="20"/>
          <w:color w:val="auto"/>
        </w:rPr>
      </w:pPr>
    </w:p>
    <w:p>
      <w:pPr>
        <w:ind w:right="140"/>
        <w:spacing w:after="0" w:line="298" w:lineRule="auto"/>
        <w:rPr>
          <w:sz w:val="20"/>
          <w:szCs w:val="20"/>
          <w:color w:val="auto"/>
        </w:rPr>
      </w:pPr>
      <w:r>
        <w:rPr>
          <w:rFonts w:ascii="Arial" w:cs="Arial" w:eastAsia="Arial" w:hAnsi="Arial"/>
          <w:sz w:val="11"/>
          <w:szCs w:val="11"/>
          <w:color w:val="auto"/>
        </w:rPr>
        <w:t>Cost of services and products for 2015 increased by 12%, or $1.2 million. We had lower operating costs after the sale of our Burwood and Moonee Ponds properties, and costs also benefited from the appreciation of the U.S. dollar against the New Zealand and the Australian dollars. However, these lower costs were more than offset by higher legal costs in our live theater business. The legal expenses relate to the costs (litigation and arbitration) associated with the prosecution of certain claims against the producers of STOMP, which is playing at our Orpheum theater. See, "Item 3 – Legal Proceedings".</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Depreciation, amortization, general and administrative expense</w:t>
      </w:r>
    </w:p>
    <w:p>
      <w:pPr>
        <w:spacing w:after="0" w:line="123"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Depreciation, amortization, general and administrative expense for 2015 decreased by 25%, or $1.3 million. Depreciation and amortization expense for the twelve-month period decreased by 23%, or $954,000, mainly due to the appreciation of the U.S. dollar against the New Zealand and Australian dollars. General and administrative expense for 2015 decreased by 30%, or $315,000, mainly attributable to lower consulting fees in 2015, and the favorable impact from foreign exchange rate movements.</w:t>
      </w:r>
    </w:p>
    <w:p>
      <w:pPr>
        <w:spacing w:after="0" w:line="23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Business Segment Results - 2014 vs. 2013</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60" w:type="dxa"/>
            <w:vAlign w:val="bottom"/>
            <w:gridSpan w:val="4"/>
          </w:tcPr>
          <w:p>
            <w:pPr>
              <w:jc w:val="right"/>
              <w:ind w:right="752"/>
              <w:spacing w:after="0"/>
              <w:rPr>
                <w:sz w:val="20"/>
                <w:szCs w:val="20"/>
                <w:color w:val="auto"/>
              </w:rPr>
            </w:pPr>
            <w:r>
              <w:rPr>
                <w:rFonts w:ascii="Arial" w:cs="Arial" w:eastAsia="Arial" w:hAnsi="Arial"/>
                <w:sz w:val="10"/>
                <w:szCs w:val="10"/>
                <w:b w:val="1"/>
                <w:bCs w:val="1"/>
                <w:color w:val="auto"/>
                <w:w w:val="90"/>
              </w:rPr>
              <w:t>% Change</w:t>
            </w:r>
          </w:p>
        </w:tc>
      </w:tr>
      <w:tr>
        <w:trPr>
          <w:trHeight w:val="114"/>
        </w:trPr>
        <w:tc>
          <w:tcPr>
            <w:tcW w:w="17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gridSpan w:val="3"/>
          </w:tcPr>
          <w:p>
            <w:pPr>
              <w:jc w:val="right"/>
              <w:ind w:right="20"/>
              <w:spacing w:after="0" w:line="114" w:lineRule="exact"/>
              <w:rPr>
                <w:sz w:val="20"/>
                <w:szCs w:val="20"/>
                <w:color w:val="auto"/>
              </w:rPr>
            </w:pPr>
            <w:r>
              <w:rPr>
                <w:rFonts w:ascii="Arial" w:cs="Arial" w:eastAsia="Arial" w:hAnsi="Arial"/>
                <w:sz w:val="10"/>
                <w:szCs w:val="10"/>
                <w:b w:val="1"/>
                <w:bCs w:val="1"/>
                <w:color w:val="auto"/>
              </w:rPr>
              <w:t>2014</w:t>
            </w:r>
          </w:p>
        </w:tc>
        <w:tc>
          <w:tcPr>
            <w:tcW w:w="26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gridSpan w:val="4"/>
          </w:tcPr>
          <w:p>
            <w:pPr>
              <w:jc w:val="right"/>
              <w:ind w:right="40"/>
              <w:spacing w:after="0" w:line="114" w:lineRule="exact"/>
              <w:rPr>
                <w:sz w:val="20"/>
                <w:szCs w:val="20"/>
                <w:color w:val="auto"/>
              </w:rPr>
            </w:pPr>
            <w:r>
              <w:rPr>
                <w:rFonts w:ascii="Arial" w:cs="Arial" w:eastAsia="Arial" w:hAnsi="Arial"/>
                <w:sz w:val="10"/>
                <w:szCs w:val="10"/>
                <w:b w:val="1"/>
                <w:bCs w:val="1"/>
                <w:color w:val="auto"/>
              </w:rPr>
              <w:t>2013</w:t>
            </w:r>
          </w:p>
        </w:tc>
        <w:tc>
          <w:tcPr>
            <w:tcW w:w="2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0" w:type="dxa"/>
            <w:vAlign w:val="bottom"/>
            <w:tcBorders>
              <w:bottom w:val="single" w:sz="8" w:color="auto"/>
            </w:tcBorders>
            <w:gridSpan w:val="5"/>
          </w:tcPr>
          <w:p>
            <w:pPr>
              <w:jc w:val="right"/>
              <w:ind w:right="652"/>
              <w:spacing w:after="0" w:line="114" w:lineRule="exact"/>
              <w:rPr>
                <w:sz w:val="20"/>
                <w:szCs w:val="20"/>
                <w:color w:val="auto"/>
              </w:rPr>
            </w:pPr>
            <w:r>
              <w:rPr>
                <w:rFonts w:ascii="Arial" w:cs="Arial" w:eastAsia="Arial" w:hAnsi="Arial"/>
                <w:sz w:val="10"/>
                <w:szCs w:val="10"/>
                <w:b w:val="1"/>
                <w:bCs w:val="1"/>
                <w:color w:val="auto"/>
              </w:rPr>
              <w:t>Better/(Worse)</w:t>
            </w:r>
          </w:p>
        </w:tc>
      </w:tr>
      <w:tr>
        <w:trPr>
          <w:trHeight w:val="214"/>
        </w:trPr>
        <w:tc>
          <w:tcPr>
            <w:tcW w:w="1860" w:type="dxa"/>
            <w:vAlign w:val="bottom"/>
            <w:tcBorders>
              <w:bottom w:val="single" w:sz="8" w:color="auto"/>
            </w:tcBorders>
            <w:gridSpan w:val="2"/>
          </w:tcPr>
          <w:p>
            <w:pPr>
              <w:spacing w:after="0"/>
              <w:rPr>
                <w:sz w:val="20"/>
                <w:szCs w:val="20"/>
                <w:color w:val="auto"/>
              </w:rPr>
            </w:pPr>
            <w:r>
              <w:rPr>
                <w:rFonts w:ascii="Arial" w:cs="Arial" w:eastAsia="Arial" w:hAnsi="Arial"/>
                <w:sz w:val="10"/>
                <w:szCs w:val="10"/>
                <w:color w:val="auto"/>
              </w:rPr>
              <w:t>(Dollars in thousands)</w:t>
            </w:r>
          </w:p>
        </w:tc>
        <w:tc>
          <w:tcPr>
            <w:tcW w:w="1640" w:type="dxa"/>
            <w:vAlign w:val="bottom"/>
            <w:tcBorders>
              <w:bottom w:val="single" w:sz="8" w:color="auto"/>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32"/>
              <w:spacing w:after="0"/>
              <w:rPr>
                <w:sz w:val="20"/>
                <w:szCs w:val="20"/>
                <w:color w:val="auto"/>
              </w:rPr>
            </w:pPr>
            <w:r>
              <w:rPr>
                <w:rFonts w:ascii="Arial" w:cs="Arial" w:eastAsia="Arial" w:hAnsi="Arial"/>
                <w:sz w:val="10"/>
                <w:szCs w:val="10"/>
                <w:b w:val="1"/>
                <w:bCs w:val="1"/>
                <w:color w:val="auto"/>
              </w:rPr>
              <w:t>Cinema</w:t>
            </w:r>
          </w:p>
        </w:tc>
        <w:tc>
          <w:tcPr>
            <w:tcW w:w="200" w:type="dxa"/>
            <w:vAlign w:val="bottom"/>
            <w:tcBorders>
              <w:bottom w:val="single" w:sz="8" w:color="CCEEFF"/>
            </w:tcBorders>
            <w:gridSpan w:val="2"/>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32"/>
              <w:spacing w:after="0"/>
              <w:rPr>
                <w:sz w:val="20"/>
                <w:szCs w:val="20"/>
                <w:color w:val="auto"/>
              </w:rPr>
            </w:pPr>
            <w:r>
              <w:rPr>
                <w:rFonts w:ascii="Arial" w:cs="Arial" w:eastAsia="Arial" w:hAnsi="Arial"/>
                <w:sz w:val="10"/>
                <w:szCs w:val="10"/>
                <w:b w:val="1"/>
                <w:bCs w:val="1"/>
                <w:color w:val="auto"/>
                <w:w w:val="85"/>
              </w:rPr>
              <w:t>Real Estate</w:t>
            </w:r>
          </w:p>
        </w:tc>
        <w:tc>
          <w:tcPr>
            <w:tcW w:w="180" w:type="dxa"/>
            <w:vAlign w:val="bottom"/>
            <w:tcBorders>
              <w:bottom w:val="single" w:sz="8" w:color="CCEEFF"/>
            </w:tcBorders>
            <w:gridSpan w:val="2"/>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0"/>
                <w:szCs w:val="10"/>
                <w:b w:val="1"/>
                <w:bCs w:val="1"/>
                <w:color w:val="auto"/>
              </w:rPr>
              <w:t>Cinema</w:t>
            </w:r>
          </w:p>
        </w:tc>
        <w:tc>
          <w:tcPr>
            <w:tcW w:w="220" w:type="dxa"/>
            <w:vAlign w:val="bottom"/>
            <w:tcBorders>
              <w:bottom w:val="single" w:sz="8" w:color="CCEEFF"/>
            </w:tcBorders>
            <w:gridSpan w:val="2"/>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52"/>
              <w:spacing w:after="0"/>
              <w:rPr>
                <w:sz w:val="20"/>
                <w:szCs w:val="20"/>
                <w:color w:val="auto"/>
              </w:rPr>
            </w:pPr>
            <w:r>
              <w:rPr>
                <w:rFonts w:ascii="Arial" w:cs="Arial" w:eastAsia="Arial" w:hAnsi="Arial"/>
                <w:sz w:val="10"/>
                <w:szCs w:val="10"/>
                <w:b w:val="1"/>
                <w:bCs w:val="1"/>
                <w:color w:val="auto"/>
                <w:w w:val="92"/>
              </w:rPr>
              <w:t>Real Estate</w:t>
            </w:r>
          </w:p>
        </w:tc>
        <w:tc>
          <w:tcPr>
            <w:tcW w:w="180" w:type="dxa"/>
            <w:vAlign w:val="bottom"/>
            <w:tcBorders>
              <w:bottom w:val="single" w:sz="8" w:color="CCEEFF"/>
            </w:tcBorders>
            <w:gridSpan w:val="2"/>
          </w:tcPr>
          <w:p>
            <w:pPr>
              <w:spacing w:after="0"/>
              <w:rPr>
                <w:sz w:val="18"/>
                <w:szCs w:val="18"/>
                <w:color w:val="auto"/>
              </w:rPr>
            </w:pPr>
          </w:p>
        </w:tc>
        <w:tc>
          <w:tcPr>
            <w:tcW w:w="74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b w:val="1"/>
                <w:bCs w:val="1"/>
                <w:color w:val="auto"/>
              </w:rPr>
              <w:t>Cinema</w:t>
            </w:r>
          </w:p>
        </w:tc>
        <w:tc>
          <w:tcPr>
            <w:tcW w:w="160" w:type="dxa"/>
            <w:vAlign w:val="bottom"/>
            <w:tcBorders>
              <w:bottom w:val="single" w:sz="8" w:color="auto"/>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ind w:right="172"/>
              <w:spacing w:after="0"/>
              <w:rPr>
                <w:sz w:val="20"/>
                <w:szCs w:val="20"/>
                <w:color w:val="auto"/>
              </w:rPr>
            </w:pPr>
            <w:r>
              <w:rPr>
                <w:rFonts w:ascii="Arial" w:cs="Arial" w:eastAsia="Arial" w:hAnsi="Arial"/>
                <w:sz w:val="10"/>
                <w:szCs w:val="10"/>
                <w:b w:val="1"/>
                <w:bCs w:val="1"/>
                <w:color w:val="auto"/>
              </w:rPr>
              <w:t>Real Estate</w:t>
            </w:r>
          </w:p>
        </w:tc>
      </w:tr>
      <w:tr>
        <w:trPr>
          <w:trHeight w:val="187"/>
        </w:trPr>
        <w:tc>
          <w:tcPr>
            <w:tcW w:w="1860" w:type="dxa"/>
            <w:vAlign w:val="bottom"/>
            <w:gridSpan w:val="2"/>
            <w:shd w:val="clear" w:color="auto" w:fill="CCEEFF"/>
          </w:tcPr>
          <w:p>
            <w:pPr>
              <w:spacing w:after="0"/>
              <w:rPr>
                <w:sz w:val="20"/>
                <w:szCs w:val="20"/>
                <w:color w:val="auto"/>
              </w:rPr>
            </w:pPr>
            <w:r>
              <w:rPr>
                <w:rFonts w:ascii="Arial" w:cs="Arial" w:eastAsia="Arial" w:hAnsi="Arial"/>
                <w:sz w:val="10"/>
                <w:szCs w:val="10"/>
                <w:b w:val="1"/>
                <w:bCs w:val="1"/>
                <w:color w:val="auto"/>
              </w:rPr>
              <w:t>Revenue</w:t>
            </w:r>
          </w:p>
        </w:tc>
        <w:tc>
          <w:tcPr>
            <w:tcW w:w="16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237,861</w:t>
            </w:r>
          </w:p>
        </w:tc>
        <w:tc>
          <w:tcPr>
            <w:tcW w:w="20" w:type="dxa"/>
            <w:vAlign w:val="bottom"/>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26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24,348</w:t>
            </w: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0"/>
                <w:szCs w:val="10"/>
                <w:color w:val="auto"/>
              </w:rPr>
              <w:t>239,418</w:t>
            </w:r>
          </w:p>
        </w:tc>
        <w:tc>
          <w:tcPr>
            <w:tcW w:w="60" w:type="dxa"/>
            <w:vAlign w:val="bottom"/>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w:t>
            </w: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26,456</w:t>
            </w:r>
          </w:p>
        </w:tc>
        <w:tc>
          <w:tcPr>
            <w:tcW w:w="1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w:t>
            </w:r>
          </w:p>
        </w:tc>
        <w:tc>
          <w:tcPr>
            <w:tcW w:w="1260" w:type="dxa"/>
            <w:vAlign w:val="bottom"/>
            <w:gridSpan w:val="4"/>
            <w:shd w:val="clear" w:color="auto" w:fill="CCEEFF"/>
          </w:tcPr>
          <w:p>
            <w:pPr>
              <w:jc w:val="right"/>
              <w:ind w:right="132"/>
              <w:spacing w:after="0"/>
              <w:rPr>
                <w:sz w:val="20"/>
                <w:szCs w:val="20"/>
                <w:color w:val="auto"/>
              </w:rPr>
            </w:pPr>
            <w:r>
              <w:rPr>
                <w:rFonts w:ascii="Arial" w:cs="Arial" w:eastAsia="Arial" w:hAnsi="Arial"/>
                <w:sz w:val="10"/>
                <w:szCs w:val="10"/>
                <w:color w:val="auto"/>
              </w:rPr>
              <w:t>(8)%</w:t>
            </w:r>
          </w:p>
        </w:tc>
      </w:tr>
      <w:tr>
        <w:trPr>
          <w:trHeight w:val="198"/>
        </w:trPr>
        <w:tc>
          <w:tcPr>
            <w:tcW w:w="1860" w:type="dxa"/>
            <w:vAlign w:val="bottom"/>
            <w:gridSpan w:val="2"/>
          </w:tcPr>
          <w:p>
            <w:pPr>
              <w:spacing w:after="0"/>
              <w:rPr>
                <w:sz w:val="20"/>
                <w:szCs w:val="20"/>
                <w:color w:val="auto"/>
              </w:rPr>
            </w:pPr>
            <w:r>
              <w:rPr>
                <w:rFonts w:ascii="Arial" w:cs="Arial" w:eastAsia="Arial" w:hAnsi="Arial"/>
                <w:sz w:val="10"/>
                <w:szCs w:val="10"/>
                <w:b w:val="1"/>
                <w:bCs w:val="1"/>
                <w:color w:val="auto"/>
              </w:rPr>
              <w:t>Segment expenses</w:t>
            </w:r>
          </w:p>
        </w:tc>
        <w:tc>
          <w:tcPr>
            <w:tcW w:w="1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306"/>
        </w:trPr>
        <w:tc>
          <w:tcPr>
            <w:tcW w:w="3680" w:type="dxa"/>
            <w:vAlign w:val="bottom"/>
            <w:gridSpan w:val="4"/>
            <w:shd w:val="clear" w:color="auto" w:fill="CCEEFF"/>
          </w:tcPr>
          <w:p>
            <w:pPr>
              <w:ind w:left="80"/>
              <w:spacing w:after="0"/>
              <w:rPr>
                <w:sz w:val="20"/>
                <w:szCs w:val="20"/>
                <w:color w:val="auto"/>
              </w:rPr>
            </w:pPr>
            <w:r>
              <w:rPr>
                <w:rFonts w:ascii="Arial" w:cs="Arial" w:eastAsia="Arial" w:hAnsi="Arial"/>
                <w:sz w:val="10"/>
                <w:szCs w:val="10"/>
                <w:color w:val="auto"/>
              </w:rPr>
              <w:t>Cost of services and products (excluding depreciation and amortization)</w:t>
            </w:r>
          </w:p>
        </w:tc>
        <w:tc>
          <w:tcPr>
            <w:tcW w:w="28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0"/>
                <w:szCs w:val="10"/>
                <w:color w:val="auto"/>
              </w:rPr>
              <w:t>(195,896)</w:t>
            </w:r>
          </w:p>
        </w:tc>
        <w:tc>
          <w:tcPr>
            <w:tcW w:w="180" w:type="dxa"/>
            <w:vAlign w:val="bottom"/>
            <w:tcBorders>
              <w:right w:val="single" w:sz="8" w:color="CCEEFF"/>
            </w:tcBorders>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(9,770)</w:t>
            </w:r>
          </w:p>
        </w:tc>
        <w:tc>
          <w:tcPr>
            <w:tcW w:w="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0"/>
                <w:szCs w:val="10"/>
                <w:color w:val="auto"/>
              </w:rPr>
              <w:t>(200,859)</w:t>
            </w:r>
          </w:p>
        </w:tc>
        <w:tc>
          <w:tcPr>
            <w:tcW w:w="160" w:type="dxa"/>
            <w:vAlign w:val="bottom"/>
            <w:tcBorders>
              <w:right w:val="single" w:sz="8" w:color="CCEEFF"/>
            </w:tcBorders>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(10,830)</w:t>
            </w:r>
          </w:p>
        </w:tc>
        <w:tc>
          <w:tcPr>
            <w:tcW w:w="4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2 %</w:t>
            </w:r>
          </w:p>
        </w:tc>
        <w:tc>
          <w:tcPr>
            <w:tcW w:w="1260" w:type="dxa"/>
            <w:vAlign w:val="bottom"/>
            <w:gridSpan w:val="4"/>
            <w:shd w:val="clear" w:color="auto" w:fill="CCEEFF"/>
          </w:tcPr>
          <w:p>
            <w:pPr>
              <w:jc w:val="right"/>
              <w:ind w:right="132"/>
              <w:spacing w:after="0"/>
              <w:rPr>
                <w:sz w:val="20"/>
                <w:szCs w:val="20"/>
                <w:color w:val="auto"/>
              </w:rPr>
            </w:pPr>
            <w:r>
              <w:rPr>
                <w:rFonts w:ascii="Arial" w:cs="Arial" w:eastAsia="Arial" w:hAnsi="Arial"/>
                <w:sz w:val="10"/>
                <w:szCs w:val="10"/>
                <w:color w:val="auto"/>
              </w:rPr>
              <w:t>10 %</w:t>
            </w:r>
          </w:p>
        </w:tc>
      </w:tr>
      <w:tr>
        <w:trPr>
          <w:trHeight w:val="198"/>
        </w:trPr>
        <w:tc>
          <w:tcPr>
            <w:tcW w:w="1860" w:type="dxa"/>
            <w:vAlign w:val="bottom"/>
            <w:gridSpan w:val="2"/>
          </w:tcPr>
          <w:p>
            <w:pPr>
              <w:ind w:left="80"/>
              <w:spacing w:after="0"/>
              <w:rPr>
                <w:sz w:val="20"/>
                <w:szCs w:val="20"/>
                <w:color w:val="auto"/>
              </w:rPr>
            </w:pPr>
            <w:r>
              <w:rPr>
                <w:rFonts w:ascii="Arial" w:cs="Arial" w:eastAsia="Arial" w:hAnsi="Arial"/>
                <w:sz w:val="10"/>
                <w:szCs w:val="10"/>
                <w:color w:val="auto"/>
              </w:rPr>
              <w:t>Depreciation and amortization</w:t>
            </w:r>
          </w:p>
        </w:tc>
        <w:tc>
          <w:tcPr>
            <w:tcW w:w="1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0"/>
                <w:szCs w:val="10"/>
                <w:color w:val="auto"/>
              </w:rPr>
              <w:t>(11,047)</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0"/>
                <w:szCs w:val="10"/>
                <w:color w:val="auto"/>
              </w:rPr>
              <w:t>(4,061)</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3"/>
          </w:tcPr>
          <w:p>
            <w:pPr>
              <w:jc w:val="right"/>
              <w:ind w:right="60"/>
              <w:spacing w:after="0"/>
              <w:rPr>
                <w:sz w:val="20"/>
                <w:szCs w:val="20"/>
                <w:color w:val="auto"/>
              </w:rPr>
            </w:pPr>
            <w:r>
              <w:rPr>
                <w:rFonts w:ascii="Arial" w:cs="Arial" w:eastAsia="Arial" w:hAnsi="Arial"/>
                <w:sz w:val="10"/>
                <w:szCs w:val="10"/>
                <w:color w:val="auto"/>
              </w:rPr>
              <w:t>(10,741)</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0"/>
                <w:szCs w:val="10"/>
                <w:color w:val="auto"/>
              </w:rPr>
              <w:t>(4,023)</w:t>
            </w:r>
          </w:p>
        </w:tc>
        <w:tc>
          <w:tcPr>
            <w:tcW w:w="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0"/>
                <w:szCs w:val="10"/>
                <w:color w:val="auto"/>
              </w:rPr>
              <w:t>(3)%</w:t>
            </w:r>
          </w:p>
        </w:tc>
        <w:tc>
          <w:tcPr>
            <w:tcW w:w="1260" w:type="dxa"/>
            <w:vAlign w:val="bottom"/>
            <w:gridSpan w:val="4"/>
          </w:tcPr>
          <w:p>
            <w:pPr>
              <w:jc w:val="right"/>
              <w:ind w:right="132"/>
              <w:spacing w:after="0"/>
              <w:rPr>
                <w:sz w:val="20"/>
                <w:szCs w:val="20"/>
                <w:color w:val="auto"/>
              </w:rPr>
            </w:pPr>
            <w:r>
              <w:rPr>
                <w:rFonts w:ascii="Arial" w:cs="Arial" w:eastAsia="Arial" w:hAnsi="Arial"/>
                <w:sz w:val="10"/>
                <w:szCs w:val="10"/>
                <w:color w:val="auto"/>
              </w:rPr>
              <w:t>(1)%</w:t>
            </w:r>
          </w:p>
        </w:tc>
      </w:tr>
      <w:tr>
        <w:trPr>
          <w:trHeight w:val="198"/>
        </w:trPr>
        <w:tc>
          <w:tcPr>
            <w:tcW w:w="1860" w:type="dxa"/>
            <w:vAlign w:val="bottom"/>
            <w:gridSpan w:val="2"/>
            <w:shd w:val="clear" w:color="auto" w:fill="CCEEFF"/>
          </w:tcPr>
          <w:p>
            <w:pPr>
              <w:ind w:left="80"/>
              <w:spacing w:after="0"/>
              <w:rPr>
                <w:sz w:val="20"/>
                <w:szCs w:val="20"/>
                <w:color w:val="auto"/>
              </w:rPr>
            </w:pPr>
            <w:r>
              <w:rPr>
                <w:rFonts w:ascii="Arial" w:cs="Arial" w:eastAsia="Arial" w:hAnsi="Arial"/>
                <w:sz w:val="10"/>
                <w:szCs w:val="10"/>
                <w:color w:val="auto"/>
              </w:rPr>
              <w:t>General and administrative expense</w:t>
            </w:r>
          </w:p>
        </w:tc>
        <w:tc>
          <w:tcPr>
            <w:tcW w:w="1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(3,575)</w:t>
            </w:r>
          </w:p>
        </w:tc>
        <w:tc>
          <w:tcPr>
            <w:tcW w:w="2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(1,042)</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0"/>
                <w:szCs w:val="10"/>
                <w:color w:val="auto"/>
              </w:rPr>
              <w:t>(3,273)</w:t>
            </w:r>
          </w:p>
        </w:tc>
        <w:tc>
          <w:tcPr>
            <w:tcW w:w="16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(644)</w:t>
            </w:r>
          </w:p>
        </w:tc>
        <w:tc>
          <w:tcPr>
            <w:tcW w:w="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w:t>
            </w:r>
          </w:p>
        </w:tc>
        <w:tc>
          <w:tcPr>
            <w:tcW w:w="1260" w:type="dxa"/>
            <w:vAlign w:val="bottom"/>
            <w:gridSpan w:val="4"/>
            <w:shd w:val="clear" w:color="auto" w:fill="CCEEFF"/>
          </w:tcPr>
          <w:p>
            <w:pPr>
              <w:jc w:val="right"/>
              <w:ind w:right="132"/>
              <w:spacing w:after="0"/>
              <w:rPr>
                <w:sz w:val="20"/>
                <w:szCs w:val="20"/>
                <w:color w:val="auto"/>
              </w:rPr>
            </w:pPr>
            <w:r>
              <w:rPr>
                <w:rFonts w:ascii="Arial" w:cs="Arial" w:eastAsia="Arial" w:hAnsi="Arial"/>
                <w:sz w:val="10"/>
                <w:szCs w:val="10"/>
                <w:color w:val="auto"/>
              </w:rPr>
              <w:t>(62)%</w:t>
            </w:r>
          </w:p>
        </w:tc>
      </w:tr>
      <w:tr>
        <w:trPr>
          <w:trHeight w:val="20"/>
        </w:trPr>
        <w:tc>
          <w:tcPr>
            <w:tcW w:w="1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78"/>
        </w:trPr>
        <w:tc>
          <w:tcPr>
            <w:tcW w:w="1860" w:type="dxa"/>
            <w:vAlign w:val="bottom"/>
            <w:gridSpan w:val="2"/>
          </w:tcPr>
          <w:p>
            <w:pPr>
              <w:spacing w:after="0"/>
              <w:rPr>
                <w:sz w:val="20"/>
                <w:szCs w:val="20"/>
                <w:color w:val="auto"/>
              </w:rPr>
            </w:pPr>
            <w:r>
              <w:rPr>
                <w:rFonts w:ascii="Arial" w:cs="Arial" w:eastAsia="Arial" w:hAnsi="Arial"/>
                <w:sz w:val="10"/>
                <w:szCs w:val="10"/>
                <w:color w:val="auto"/>
              </w:rPr>
              <w:t>Total segment expenses</w:t>
            </w:r>
          </w:p>
        </w:tc>
        <w:tc>
          <w:tcPr>
            <w:tcW w:w="1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0"/>
                <w:szCs w:val="10"/>
                <w:color w:val="auto"/>
              </w:rPr>
              <w:t>(210,518)</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0"/>
                <w:szCs w:val="10"/>
                <w:color w:val="auto"/>
              </w:rPr>
              <w:t>(14,873)</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3"/>
          </w:tcPr>
          <w:p>
            <w:pPr>
              <w:jc w:val="right"/>
              <w:ind w:right="60"/>
              <w:spacing w:after="0"/>
              <w:rPr>
                <w:sz w:val="20"/>
                <w:szCs w:val="20"/>
                <w:color w:val="auto"/>
              </w:rPr>
            </w:pPr>
            <w:r>
              <w:rPr>
                <w:rFonts w:ascii="Arial" w:cs="Arial" w:eastAsia="Arial" w:hAnsi="Arial"/>
                <w:sz w:val="10"/>
                <w:szCs w:val="10"/>
                <w:color w:val="auto"/>
              </w:rPr>
              <w:t>(214,873)</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0"/>
                <w:szCs w:val="10"/>
                <w:color w:val="auto"/>
              </w:rPr>
              <w:t>(15,497)</w:t>
            </w:r>
          </w:p>
        </w:tc>
        <w:tc>
          <w:tcPr>
            <w:tcW w:w="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0"/>
                <w:szCs w:val="10"/>
                <w:color w:val="auto"/>
              </w:rPr>
              <w:t>2 %</w:t>
            </w:r>
          </w:p>
        </w:tc>
        <w:tc>
          <w:tcPr>
            <w:tcW w:w="1260" w:type="dxa"/>
            <w:vAlign w:val="bottom"/>
            <w:gridSpan w:val="4"/>
          </w:tcPr>
          <w:p>
            <w:pPr>
              <w:jc w:val="right"/>
              <w:ind w:right="132"/>
              <w:spacing w:after="0"/>
              <w:rPr>
                <w:sz w:val="20"/>
                <w:szCs w:val="20"/>
                <w:color w:val="auto"/>
              </w:rPr>
            </w:pPr>
            <w:r>
              <w:rPr>
                <w:rFonts w:ascii="Arial" w:cs="Arial" w:eastAsia="Arial" w:hAnsi="Arial"/>
                <w:sz w:val="10"/>
                <w:szCs w:val="10"/>
                <w:color w:val="auto"/>
              </w:rPr>
              <w:t>4 %</w:t>
            </w:r>
          </w:p>
        </w:tc>
      </w:tr>
      <w:tr>
        <w:trPr>
          <w:trHeight w:val="189"/>
        </w:trPr>
        <w:tc>
          <w:tcPr>
            <w:tcW w:w="18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0"/>
                <w:szCs w:val="10"/>
                <w:b w:val="1"/>
                <w:bCs w:val="1"/>
                <w:color w:val="auto"/>
              </w:rPr>
              <w:t>Segment operating income</w:t>
            </w:r>
          </w:p>
        </w:tc>
        <w:tc>
          <w:tcPr>
            <w:tcW w:w="164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CCEEFF"/>
              <w:bottom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Arial" w:cs="Arial" w:eastAsia="Arial" w:hAnsi="Arial"/>
                <w:sz w:val="10"/>
                <w:szCs w:val="10"/>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27,343</w:t>
            </w: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CCEEFF"/>
              <w:bottom w:val="single" w:sz="8" w:color="CCEEFF"/>
              <w:right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Arial" w:cs="Arial" w:eastAsia="Arial" w:hAnsi="Arial"/>
                <w:sz w:val="10"/>
                <w:szCs w:val="10"/>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9,475</w:t>
            </w: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w:t>
            </w:r>
          </w:p>
        </w:tc>
        <w:tc>
          <w:tcPr>
            <w:tcW w:w="82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0"/>
                <w:szCs w:val="10"/>
                <w:color w:val="auto"/>
              </w:rPr>
              <w:t>24,545</w:t>
            </w: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CCEEFF"/>
              <w:bottom w:val="single" w:sz="8" w:color="CCEEFF"/>
              <w:right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rPr>
              <w:t>$</w:t>
            </w:r>
          </w:p>
        </w:tc>
        <w:tc>
          <w:tcPr>
            <w:tcW w:w="8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10,959</w:t>
            </w: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7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11 %</w:t>
            </w:r>
          </w:p>
        </w:tc>
        <w:tc>
          <w:tcPr>
            <w:tcW w:w="1260" w:type="dxa"/>
            <w:vAlign w:val="bottom"/>
            <w:tcBorders>
              <w:top w:val="single" w:sz="8" w:color="CCEEFF"/>
              <w:bottom w:val="single" w:sz="8" w:color="CCEEFF"/>
            </w:tcBorders>
            <w:gridSpan w:val="4"/>
            <w:shd w:val="clear" w:color="auto" w:fill="CCEEFF"/>
          </w:tcPr>
          <w:p>
            <w:pPr>
              <w:jc w:val="right"/>
              <w:ind w:right="132"/>
              <w:spacing w:after="0"/>
              <w:rPr>
                <w:sz w:val="20"/>
                <w:szCs w:val="20"/>
                <w:color w:val="auto"/>
              </w:rPr>
            </w:pPr>
            <w:r>
              <w:rPr>
                <w:rFonts w:ascii="Arial" w:cs="Arial" w:eastAsia="Arial" w:hAnsi="Arial"/>
                <w:sz w:val="10"/>
                <w:szCs w:val="10"/>
                <w:color w:val="auto"/>
              </w:rPr>
              <w:t>(14)%</w:t>
            </w:r>
          </w:p>
        </w:tc>
      </w:tr>
      <w:tr>
        <w:trPr>
          <w:trHeight w:val="356"/>
        </w:trPr>
        <w:tc>
          <w:tcPr>
            <w:tcW w:w="1860" w:type="dxa"/>
            <w:vAlign w:val="bottom"/>
            <w:gridSpan w:val="2"/>
          </w:tcPr>
          <w:p>
            <w:pPr>
              <w:spacing w:after="0"/>
              <w:rPr>
                <w:sz w:val="20"/>
                <w:szCs w:val="20"/>
                <w:color w:val="auto"/>
              </w:rPr>
            </w:pPr>
            <w:r>
              <w:rPr>
                <w:rFonts w:ascii="Arial" w:cs="Arial" w:eastAsia="Arial" w:hAnsi="Arial"/>
                <w:sz w:val="12"/>
                <w:szCs w:val="12"/>
                <w:b w:val="1"/>
                <w:bCs w:val="1"/>
                <w:color w:val="auto"/>
                <w:w w:val="97"/>
              </w:rPr>
              <w:t>Cinema Exhibition- 2014 vs. 2013</w:t>
            </w:r>
          </w:p>
        </w:tc>
        <w:tc>
          <w:tcPr>
            <w:tcW w:w="1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53"/>
        </w:trPr>
        <w:tc>
          <w:tcPr>
            <w:tcW w:w="172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jc w:val="right"/>
              <w:ind w:right="232"/>
              <w:spacing w:after="0"/>
              <w:rPr>
                <w:sz w:val="20"/>
                <w:szCs w:val="20"/>
                <w:color w:val="auto"/>
              </w:rPr>
            </w:pPr>
            <w:r>
              <w:rPr>
                <w:rFonts w:ascii="Arial" w:cs="Arial" w:eastAsia="Arial" w:hAnsi="Arial"/>
                <w:sz w:val="10"/>
                <w:szCs w:val="10"/>
                <w:b w:val="1"/>
                <w:bCs w:val="1"/>
                <w:color w:val="auto"/>
                <w:w w:val="96"/>
              </w:rPr>
              <w:t>2014 vs. 2013</w:t>
            </w:r>
          </w:p>
        </w:tc>
      </w:tr>
      <w:tr>
        <w:trPr>
          <w:trHeight w:val="114"/>
        </w:trPr>
        <w:tc>
          <w:tcPr>
            <w:tcW w:w="1860" w:type="dxa"/>
            <w:vAlign w:val="bottom"/>
            <w:gridSpan w:val="2"/>
          </w:tcPr>
          <w:p>
            <w:pPr>
              <w:spacing w:after="0" w:line="114" w:lineRule="exact"/>
              <w:rPr>
                <w:sz w:val="20"/>
                <w:szCs w:val="20"/>
                <w:color w:val="auto"/>
              </w:rPr>
            </w:pPr>
            <w:r>
              <w:rPr>
                <w:rFonts w:ascii="Arial" w:cs="Arial" w:eastAsia="Arial" w:hAnsi="Arial"/>
                <w:sz w:val="10"/>
                <w:szCs w:val="10"/>
                <w:color w:val="auto"/>
              </w:rPr>
              <w:t>(Dollars in thousands)</w:t>
            </w:r>
          </w:p>
        </w:tc>
        <w:tc>
          <w:tcPr>
            <w:tcW w:w="1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760" w:type="dxa"/>
            <w:vAlign w:val="bottom"/>
          </w:tcPr>
          <w:p>
            <w:pPr>
              <w:jc w:val="right"/>
              <w:ind w:right="272"/>
              <w:spacing w:after="0" w:line="114" w:lineRule="exact"/>
              <w:rPr>
                <w:sz w:val="20"/>
                <w:szCs w:val="20"/>
                <w:color w:val="auto"/>
              </w:rPr>
            </w:pPr>
            <w:r>
              <w:rPr>
                <w:rFonts w:ascii="Arial" w:cs="Arial" w:eastAsia="Arial" w:hAnsi="Arial"/>
                <w:sz w:val="10"/>
                <w:szCs w:val="10"/>
                <w:b w:val="1"/>
                <w:bCs w:val="1"/>
                <w:color w:val="auto"/>
              </w:rPr>
              <w:t>2014</w:t>
            </w: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40" w:type="dxa"/>
            <w:vAlign w:val="bottom"/>
            <w:gridSpan w:val="4"/>
          </w:tcPr>
          <w:p>
            <w:pPr>
              <w:jc w:val="right"/>
              <w:ind w:right="460"/>
              <w:spacing w:after="0" w:line="114" w:lineRule="exact"/>
              <w:rPr>
                <w:sz w:val="20"/>
                <w:szCs w:val="20"/>
                <w:color w:val="auto"/>
              </w:rPr>
            </w:pPr>
            <w:r>
              <w:rPr>
                <w:rFonts w:ascii="Arial" w:cs="Arial" w:eastAsia="Arial" w:hAnsi="Arial"/>
                <w:sz w:val="10"/>
                <w:szCs w:val="10"/>
                <w:i w:val="1"/>
                <w:iCs w:val="1"/>
                <w:color w:val="auto"/>
                <w:w w:val="89"/>
              </w:rPr>
              <w:t>% of Revenue</w:t>
            </w:r>
          </w:p>
        </w:tc>
        <w:tc>
          <w:tcPr>
            <w:tcW w:w="200" w:type="dxa"/>
            <w:vAlign w:val="bottom"/>
          </w:tcPr>
          <w:p>
            <w:pPr>
              <w:spacing w:after="0"/>
              <w:rPr>
                <w:sz w:val="9"/>
                <w:szCs w:val="9"/>
                <w:color w:val="auto"/>
              </w:rPr>
            </w:pPr>
          </w:p>
        </w:tc>
        <w:tc>
          <w:tcPr>
            <w:tcW w:w="820" w:type="dxa"/>
            <w:vAlign w:val="bottom"/>
          </w:tcPr>
          <w:p>
            <w:pPr>
              <w:jc w:val="right"/>
              <w:ind w:right="452"/>
              <w:spacing w:after="0" w:line="114" w:lineRule="exact"/>
              <w:rPr>
                <w:sz w:val="20"/>
                <w:szCs w:val="20"/>
                <w:color w:val="auto"/>
              </w:rPr>
            </w:pPr>
            <w:r>
              <w:rPr>
                <w:rFonts w:ascii="Arial" w:cs="Arial" w:eastAsia="Arial" w:hAnsi="Arial"/>
                <w:sz w:val="10"/>
                <w:szCs w:val="10"/>
                <w:b w:val="1"/>
                <w:bCs w:val="1"/>
                <w:color w:val="auto"/>
              </w:rPr>
              <w:t>2013</w:t>
            </w: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Pr>
          <w:p>
            <w:pPr>
              <w:jc w:val="right"/>
              <w:ind w:right="72"/>
              <w:spacing w:after="0" w:line="114" w:lineRule="exact"/>
              <w:rPr>
                <w:sz w:val="20"/>
                <w:szCs w:val="20"/>
                <w:color w:val="auto"/>
              </w:rPr>
            </w:pPr>
            <w:r>
              <w:rPr>
                <w:rFonts w:ascii="Arial" w:cs="Arial" w:eastAsia="Arial" w:hAnsi="Arial"/>
                <w:sz w:val="10"/>
                <w:szCs w:val="10"/>
                <w:i w:val="1"/>
                <w:iCs w:val="1"/>
                <w:color w:val="auto"/>
                <w:w w:val="95"/>
              </w:rPr>
              <w:t>% of Revenue</w:t>
            </w: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tcPr>
          <w:p>
            <w:pPr>
              <w:jc w:val="right"/>
              <w:ind w:right="212"/>
              <w:spacing w:after="0" w:line="114" w:lineRule="exact"/>
              <w:rPr>
                <w:sz w:val="20"/>
                <w:szCs w:val="20"/>
                <w:color w:val="auto"/>
              </w:rPr>
            </w:pPr>
            <w:r>
              <w:rPr>
                <w:rFonts w:ascii="Arial" w:cs="Arial" w:eastAsia="Arial" w:hAnsi="Arial"/>
                <w:sz w:val="10"/>
                <w:szCs w:val="10"/>
                <w:b w:val="1"/>
                <w:bCs w:val="1"/>
                <w:color w:val="auto"/>
              </w:rPr>
              <w:t>Fav / (Unfav)</w:t>
            </w:r>
          </w:p>
        </w:tc>
      </w:tr>
      <w:tr>
        <w:trPr>
          <w:trHeight w:val="142"/>
        </w:trPr>
        <w:tc>
          <w:tcPr>
            <w:tcW w:w="18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0"/>
                <w:szCs w:val="10"/>
                <w:b w:val="1"/>
                <w:bCs w:val="1"/>
                <w:color w:val="auto"/>
              </w:rPr>
              <w:t>REVENUE</w:t>
            </w:r>
          </w:p>
        </w:tc>
        <w:tc>
          <w:tcPr>
            <w:tcW w:w="164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right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right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right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r>
      <w:tr>
        <w:trPr>
          <w:trHeight w:val="171"/>
        </w:trPr>
        <w:tc>
          <w:tcPr>
            <w:tcW w:w="1860" w:type="dxa"/>
            <w:vAlign w:val="bottom"/>
            <w:gridSpan w:val="2"/>
          </w:tcPr>
          <w:p>
            <w:pPr>
              <w:ind w:left="400"/>
              <w:spacing w:after="0"/>
              <w:rPr>
                <w:sz w:val="20"/>
                <w:szCs w:val="20"/>
                <w:color w:val="auto"/>
              </w:rPr>
            </w:pPr>
            <w:r>
              <w:rPr>
                <w:rFonts w:ascii="Arial" w:cs="Arial" w:eastAsia="Arial" w:hAnsi="Arial"/>
                <w:sz w:val="10"/>
                <w:szCs w:val="10"/>
                <w:b w:val="1"/>
                <w:bCs w:val="1"/>
                <w:color w:val="auto"/>
              </w:rPr>
              <w:t>United States</w:t>
            </w:r>
          </w:p>
        </w:tc>
        <w:tc>
          <w:tcPr>
            <w:tcW w:w="1820" w:type="dxa"/>
            <w:vAlign w:val="bottom"/>
            <w:gridSpan w:val="2"/>
          </w:tcPr>
          <w:p>
            <w:pPr>
              <w:ind w:left="120"/>
              <w:spacing w:after="0"/>
              <w:rPr>
                <w:sz w:val="20"/>
                <w:szCs w:val="20"/>
                <w:color w:val="auto"/>
              </w:rPr>
            </w:pPr>
            <w:r>
              <w:rPr>
                <w:rFonts w:ascii="Arial" w:cs="Arial" w:eastAsia="Arial" w:hAnsi="Arial"/>
                <w:sz w:val="10"/>
                <w:szCs w:val="10"/>
                <w:color w:val="auto"/>
              </w:rPr>
              <w:t>Admission revenue</w:t>
            </w: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Arial" w:cs="Arial" w:eastAsia="Arial" w:hAnsi="Arial"/>
                <w:sz w:val="10"/>
                <w:szCs w:val="10"/>
                <w:color w:val="auto"/>
              </w:rPr>
              <w:t>$</w:t>
            </w:r>
          </w:p>
        </w:tc>
        <w:tc>
          <w:tcPr>
            <w:tcW w:w="920" w:type="dxa"/>
            <w:vAlign w:val="bottom"/>
            <w:gridSpan w:val="2"/>
          </w:tcPr>
          <w:p>
            <w:pPr>
              <w:jc w:val="right"/>
              <w:ind w:right="20"/>
              <w:spacing w:after="0"/>
              <w:rPr>
                <w:sz w:val="20"/>
                <w:szCs w:val="20"/>
                <w:color w:val="auto"/>
              </w:rPr>
            </w:pPr>
            <w:r>
              <w:rPr>
                <w:rFonts w:ascii="Arial" w:cs="Arial" w:eastAsia="Arial" w:hAnsi="Arial"/>
                <w:sz w:val="10"/>
                <w:szCs w:val="10"/>
                <w:color w:val="auto"/>
              </w:rPr>
              <w:t>83,197</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ind w:right="152"/>
              <w:spacing w:after="0"/>
              <w:rPr>
                <w:sz w:val="20"/>
                <w:szCs w:val="20"/>
                <w:color w:val="auto"/>
              </w:rPr>
            </w:pPr>
            <w:r>
              <w:rPr>
                <w:rFonts w:ascii="Arial" w:cs="Arial" w:eastAsia="Arial" w:hAnsi="Arial"/>
                <w:sz w:val="10"/>
                <w:szCs w:val="10"/>
                <w:i w:val="1"/>
                <w:iCs w:val="1"/>
                <w:color w:val="auto"/>
              </w:rPr>
              <w:t>66 %</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jc w:val="right"/>
              <w:ind w:right="72"/>
              <w:spacing w:after="0"/>
              <w:rPr>
                <w:sz w:val="20"/>
                <w:szCs w:val="20"/>
                <w:color w:val="auto"/>
              </w:rPr>
            </w:pPr>
            <w:r>
              <w:rPr>
                <w:rFonts w:ascii="Arial" w:cs="Arial" w:eastAsia="Arial" w:hAnsi="Arial"/>
                <w:sz w:val="10"/>
                <w:szCs w:val="10"/>
                <w:color w:val="auto"/>
              </w:rPr>
              <w:t>$</w:t>
            </w:r>
          </w:p>
        </w:tc>
        <w:tc>
          <w:tcPr>
            <w:tcW w:w="820" w:type="dxa"/>
            <w:vAlign w:val="bottom"/>
          </w:tcPr>
          <w:p>
            <w:pPr>
              <w:jc w:val="right"/>
              <w:spacing w:after="0"/>
              <w:rPr>
                <w:sz w:val="20"/>
                <w:szCs w:val="20"/>
                <w:color w:val="auto"/>
              </w:rPr>
            </w:pPr>
            <w:r>
              <w:rPr>
                <w:rFonts w:ascii="Arial" w:cs="Arial" w:eastAsia="Arial" w:hAnsi="Arial"/>
                <w:sz w:val="10"/>
                <w:szCs w:val="10"/>
                <w:color w:val="auto"/>
              </w:rPr>
              <w:t>84,725</w:t>
            </w: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jc w:val="right"/>
              <w:ind w:right="152"/>
              <w:spacing w:after="0"/>
              <w:rPr>
                <w:sz w:val="20"/>
                <w:szCs w:val="20"/>
                <w:color w:val="auto"/>
              </w:rPr>
            </w:pPr>
            <w:r>
              <w:rPr>
                <w:rFonts w:ascii="Arial" w:cs="Arial" w:eastAsia="Arial" w:hAnsi="Arial"/>
                <w:sz w:val="10"/>
                <w:szCs w:val="10"/>
                <w:i w:val="1"/>
                <w:iCs w:val="1"/>
                <w:color w:val="auto"/>
              </w:rPr>
              <w:t>67 %</w:t>
            </w:r>
          </w:p>
        </w:tc>
        <w:tc>
          <w:tcPr>
            <w:tcW w:w="1260" w:type="dxa"/>
            <w:vAlign w:val="bottom"/>
            <w:gridSpan w:val="4"/>
          </w:tcPr>
          <w:p>
            <w:pPr>
              <w:jc w:val="right"/>
              <w:ind w:right="232"/>
              <w:spacing w:after="0"/>
              <w:rPr>
                <w:sz w:val="20"/>
                <w:szCs w:val="20"/>
                <w:color w:val="auto"/>
              </w:rPr>
            </w:pPr>
            <w:r>
              <w:rPr>
                <w:rFonts w:ascii="Arial" w:cs="Arial" w:eastAsia="Arial" w:hAnsi="Arial"/>
                <w:sz w:val="10"/>
                <w:szCs w:val="10"/>
                <w:color w:val="auto"/>
              </w:rPr>
              <w:t>(2) %</w:t>
            </w:r>
          </w:p>
        </w:tc>
      </w:tr>
      <w:tr>
        <w:trPr>
          <w:trHeight w:val="171"/>
        </w:trPr>
        <w:tc>
          <w:tcPr>
            <w:tcW w:w="17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20" w:type="dxa"/>
            <w:vAlign w:val="bottom"/>
            <w:gridSpan w:val="2"/>
            <w:shd w:val="clear" w:color="auto" w:fill="CCEEFF"/>
          </w:tcPr>
          <w:p>
            <w:pPr>
              <w:ind w:left="120"/>
              <w:spacing w:after="0"/>
              <w:rPr>
                <w:sz w:val="20"/>
                <w:szCs w:val="20"/>
                <w:color w:val="auto"/>
              </w:rPr>
            </w:pPr>
            <w:r>
              <w:rPr>
                <w:rFonts w:ascii="Arial" w:cs="Arial" w:eastAsia="Arial" w:hAnsi="Arial"/>
                <w:sz w:val="10"/>
                <w:szCs w:val="10"/>
                <w:color w:val="auto"/>
              </w:rPr>
              <w:t>Concession revenue</w:t>
            </w:r>
          </w:p>
        </w:tc>
        <w:tc>
          <w:tcPr>
            <w:tcW w:w="2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0"/>
                <w:szCs w:val="10"/>
                <w:color w:val="auto"/>
              </w:rPr>
              <w:t>35,580</w:t>
            </w: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152"/>
              <w:spacing w:after="0"/>
              <w:rPr>
                <w:sz w:val="20"/>
                <w:szCs w:val="20"/>
                <w:color w:val="auto"/>
              </w:rPr>
            </w:pPr>
            <w:r>
              <w:rPr>
                <w:rFonts w:ascii="Arial" w:cs="Arial" w:eastAsia="Arial" w:hAnsi="Arial"/>
                <w:sz w:val="10"/>
                <w:szCs w:val="10"/>
                <w:i w:val="1"/>
                <w:iCs w:val="1"/>
                <w:color w:val="auto"/>
              </w:rPr>
              <w:t>28 %</w:t>
            </w: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35,056</w:t>
            </w:r>
          </w:p>
        </w:tc>
        <w:tc>
          <w:tcPr>
            <w:tcW w:w="1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152"/>
              <w:spacing w:after="0"/>
              <w:rPr>
                <w:sz w:val="20"/>
                <w:szCs w:val="20"/>
                <w:color w:val="auto"/>
              </w:rPr>
            </w:pPr>
            <w:r>
              <w:rPr>
                <w:rFonts w:ascii="Arial" w:cs="Arial" w:eastAsia="Arial" w:hAnsi="Arial"/>
                <w:sz w:val="10"/>
                <w:szCs w:val="10"/>
                <w:i w:val="1"/>
                <w:iCs w:val="1"/>
                <w:color w:val="auto"/>
              </w:rPr>
              <w:t>28 %</w:t>
            </w:r>
          </w:p>
        </w:tc>
        <w:tc>
          <w:tcPr>
            <w:tcW w:w="1260" w:type="dxa"/>
            <w:vAlign w:val="bottom"/>
            <w:gridSpan w:val="4"/>
            <w:shd w:val="clear" w:color="auto" w:fill="CCEEFF"/>
          </w:tcPr>
          <w:p>
            <w:pPr>
              <w:jc w:val="right"/>
              <w:ind w:right="232"/>
              <w:spacing w:after="0"/>
              <w:rPr>
                <w:sz w:val="20"/>
                <w:szCs w:val="20"/>
                <w:color w:val="auto"/>
              </w:rPr>
            </w:pPr>
            <w:r>
              <w:rPr>
                <w:rFonts w:ascii="Arial" w:cs="Arial" w:eastAsia="Arial" w:hAnsi="Arial"/>
                <w:sz w:val="10"/>
                <w:szCs w:val="10"/>
                <w:color w:val="auto"/>
              </w:rPr>
              <w:t>1 %</w:t>
            </w:r>
          </w:p>
        </w:tc>
      </w:tr>
      <w:tr>
        <w:trPr>
          <w:trHeight w:val="171"/>
        </w:trPr>
        <w:tc>
          <w:tcPr>
            <w:tcW w:w="172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820" w:type="dxa"/>
            <w:vAlign w:val="bottom"/>
            <w:tcBorders>
              <w:bottom w:val="single" w:sz="8" w:color="CCEEFF"/>
            </w:tcBorders>
            <w:gridSpan w:val="2"/>
          </w:tcPr>
          <w:p>
            <w:pPr>
              <w:ind w:left="120"/>
              <w:spacing w:after="0"/>
              <w:rPr>
                <w:sz w:val="20"/>
                <w:szCs w:val="20"/>
                <w:color w:val="auto"/>
              </w:rPr>
            </w:pPr>
            <w:r>
              <w:rPr>
                <w:rFonts w:ascii="Arial" w:cs="Arial" w:eastAsia="Arial" w:hAnsi="Arial"/>
                <w:sz w:val="10"/>
                <w:szCs w:val="10"/>
                <w:color w:val="auto"/>
              </w:rPr>
              <w:t>Advertising and other revenue</w:t>
            </w:r>
          </w:p>
        </w:tc>
        <w:tc>
          <w:tcPr>
            <w:tcW w:w="280" w:type="dxa"/>
            <w:vAlign w:val="bottom"/>
            <w:tcBorders>
              <w:bottom w:val="single" w:sz="8" w:color="CCEEFF"/>
            </w:tcBorders>
          </w:tcPr>
          <w:p>
            <w:pPr>
              <w:spacing w:after="0"/>
              <w:rPr>
                <w:sz w:val="14"/>
                <w:szCs w:val="14"/>
                <w:color w:val="auto"/>
              </w:rPr>
            </w:pPr>
          </w:p>
        </w:tc>
        <w:tc>
          <w:tcPr>
            <w:tcW w:w="7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0"/>
                <w:szCs w:val="10"/>
                <w:color w:val="auto"/>
              </w:rPr>
              <w:t>6,942</w:t>
            </w: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700" w:type="dxa"/>
            <w:vAlign w:val="bottom"/>
            <w:tcBorders>
              <w:bottom w:val="single" w:sz="8" w:color="CCEEFF"/>
            </w:tcBorders>
          </w:tcPr>
          <w:p>
            <w:pPr>
              <w:jc w:val="right"/>
              <w:ind w:right="152"/>
              <w:spacing w:after="0"/>
              <w:rPr>
                <w:sz w:val="20"/>
                <w:szCs w:val="20"/>
                <w:color w:val="auto"/>
              </w:rPr>
            </w:pPr>
            <w:r>
              <w:rPr>
                <w:rFonts w:ascii="Arial" w:cs="Arial" w:eastAsia="Arial" w:hAnsi="Arial"/>
                <w:sz w:val="10"/>
                <w:szCs w:val="10"/>
                <w:i w:val="1"/>
                <w:iCs w:val="1"/>
                <w:color w:val="auto"/>
              </w:rPr>
              <w:t>6 %</w:t>
            </w:r>
          </w:p>
        </w:tc>
        <w:tc>
          <w:tcPr>
            <w:tcW w:w="12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6,539</w:t>
            </w:r>
          </w:p>
        </w:tc>
        <w:tc>
          <w:tcPr>
            <w:tcW w:w="14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740" w:type="dxa"/>
            <w:vAlign w:val="bottom"/>
            <w:tcBorders>
              <w:bottom w:val="single" w:sz="8" w:color="CCEEFF"/>
            </w:tcBorders>
          </w:tcPr>
          <w:p>
            <w:pPr>
              <w:jc w:val="right"/>
              <w:ind w:right="152"/>
              <w:spacing w:after="0"/>
              <w:rPr>
                <w:sz w:val="20"/>
                <w:szCs w:val="20"/>
                <w:color w:val="auto"/>
              </w:rPr>
            </w:pPr>
            <w:r>
              <w:rPr>
                <w:rFonts w:ascii="Arial" w:cs="Arial" w:eastAsia="Arial" w:hAnsi="Arial"/>
                <w:sz w:val="10"/>
                <w:szCs w:val="10"/>
                <w:i w:val="1"/>
                <w:iCs w:val="1"/>
                <w:color w:val="auto"/>
              </w:rPr>
              <w:t>5 %</w:t>
            </w:r>
          </w:p>
        </w:tc>
        <w:tc>
          <w:tcPr>
            <w:tcW w:w="1260" w:type="dxa"/>
            <w:vAlign w:val="bottom"/>
            <w:tcBorders>
              <w:bottom w:val="single" w:sz="8" w:color="CCEEFF"/>
            </w:tcBorders>
            <w:gridSpan w:val="4"/>
          </w:tcPr>
          <w:p>
            <w:pPr>
              <w:jc w:val="right"/>
              <w:ind w:right="232"/>
              <w:spacing w:after="0"/>
              <w:rPr>
                <w:sz w:val="20"/>
                <w:szCs w:val="20"/>
                <w:color w:val="auto"/>
              </w:rPr>
            </w:pPr>
            <w:r>
              <w:rPr>
                <w:rFonts w:ascii="Arial" w:cs="Arial" w:eastAsia="Arial" w:hAnsi="Arial"/>
                <w:sz w:val="10"/>
                <w:szCs w:val="10"/>
                <w:color w:val="auto"/>
              </w:rPr>
              <w:t>6 %</w:t>
            </w:r>
          </w:p>
        </w:tc>
      </w:tr>
      <w:tr>
        <w:trPr>
          <w:trHeight w:val="131"/>
        </w:trPr>
        <w:tc>
          <w:tcPr>
            <w:tcW w:w="172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164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spacing w:after="0"/>
              <w:rPr>
                <w:sz w:val="11"/>
                <w:szCs w:val="11"/>
                <w:color w:val="auto"/>
              </w:rPr>
            </w:pPr>
          </w:p>
        </w:tc>
        <w:tc>
          <w:tcPr>
            <w:tcW w:w="280" w:type="dxa"/>
            <w:vAlign w:val="bottom"/>
            <w:tcBorders>
              <w:bottom w:val="single" w:sz="8" w:color="CCEEFF"/>
            </w:tcBorders>
            <w:shd w:val="clear" w:color="auto" w:fill="CCEEFF"/>
          </w:tcPr>
          <w:p>
            <w:pPr>
              <w:spacing w:after="0"/>
              <w:rPr>
                <w:sz w:val="11"/>
                <w:szCs w:val="11"/>
                <w:color w:val="auto"/>
              </w:rPr>
            </w:pPr>
          </w:p>
        </w:tc>
        <w:tc>
          <w:tcPr>
            <w:tcW w:w="780" w:type="dxa"/>
            <w:vAlign w:val="bottom"/>
            <w:tcBorders>
              <w:bottom w:val="single" w:sz="8" w:color="CCEEFF"/>
            </w:tcBorders>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CCEEFF"/>
              <w:right w:val="single" w:sz="8" w:color="CCEEFF"/>
            </w:tcBorders>
            <w:shd w:val="clear" w:color="auto" w:fill="CCEEFF"/>
          </w:tcPr>
          <w:p>
            <w:pPr>
              <w:spacing w:after="0"/>
              <w:rPr>
                <w:sz w:val="11"/>
                <w:szCs w:val="11"/>
                <w:color w:val="auto"/>
              </w:rPr>
            </w:pPr>
          </w:p>
        </w:tc>
        <w:tc>
          <w:tcPr>
            <w:tcW w:w="260" w:type="dxa"/>
            <w:vAlign w:val="bottom"/>
            <w:tcBorders>
              <w:bottom w:val="single" w:sz="8" w:color="CCEEFF"/>
            </w:tcBorders>
            <w:shd w:val="clear" w:color="auto" w:fill="CCEEFF"/>
          </w:tcPr>
          <w:p>
            <w:pPr>
              <w:jc w:val="right"/>
              <w:spacing w:after="0" w:line="113" w:lineRule="exact"/>
              <w:rPr>
                <w:sz w:val="20"/>
                <w:szCs w:val="20"/>
                <w:color w:val="auto"/>
              </w:rPr>
            </w:pPr>
            <w:r>
              <w:rPr>
                <w:rFonts w:ascii="Arial" w:cs="Arial" w:eastAsia="Arial" w:hAnsi="Arial"/>
                <w:sz w:val="10"/>
                <w:szCs w:val="10"/>
                <w:b w:val="1"/>
                <w:bCs w:val="1"/>
                <w:color w:val="auto"/>
              </w:rPr>
              <w:t>$</w:t>
            </w:r>
          </w:p>
        </w:tc>
        <w:tc>
          <w:tcPr>
            <w:tcW w:w="920" w:type="dxa"/>
            <w:vAlign w:val="bottom"/>
            <w:tcBorders>
              <w:bottom w:val="single" w:sz="8" w:color="CCEEFF"/>
            </w:tcBorders>
            <w:gridSpan w:val="2"/>
            <w:shd w:val="clear" w:color="auto" w:fill="CCEEFF"/>
          </w:tcPr>
          <w:p>
            <w:pPr>
              <w:jc w:val="right"/>
              <w:ind w:right="20"/>
              <w:spacing w:after="0" w:line="113" w:lineRule="exact"/>
              <w:rPr>
                <w:sz w:val="20"/>
                <w:szCs w:val="20"/>
                <w:color w:val="auto"/>
              </w:rPr>
            </w:pPr>
            <w:r>
              <w:rPr>
                <w:rFonts w:ascii="Arial" w:cs="Arial" w:eastAsia="Arial" w:hAnsi="Arial"/>
                <w:sz w:val="10"/>
                <w:szCs w:val="10"/>
                <w:b w:val="1"/>
                <w:bCs w:val="1"/>
                <w:color w:val="auto"/>
              </w:rPr>
              <w:t>125,719</w:t>
            </w:r>
          </w:p>
        </w:tc>
        <w:tc>
          <w:tcPr>
            <w:tcW w:w="2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CCEEFF"/>
            </w:tcBorders>
            <w:shd w:val="clear" w:color="auto" w:fill="CCEEFF"/>
          </w:tcPr>
          <w:p>
            <w:pPr>
              <w:jc w:val="right"/>
              <w:ind w:right="152"/>
              <w:spacing w:after="0" w:line="102" w:lineRule="exact"/>
              <w:rPr>
                <w:sz w:val="20"/>
                <w:szCs w:val="20"/>
                <w:color w:val="auto"/>
              </w:rPr>
            </w:pPr>
            <w:r>
              <w:rPr>
                <w:rFonts w:ascii="Arial" w:cs="Arial" w:eastAsia="Arial" w:hAnsi="Arial"/>
                <w:sz w:val="10"/>
                <w:szCs w:val="10"/>
                <w:i w:val="1"/>
                <w:iCs w:val="1"/>
                <w:color w:val="auto"/>
              </w:rPr>
              <w:t>100 %</w:t>
            </w:r>
          </w:p>
        </w:tc>
        <w:tc>
          <w:tcPr>
            <w:tcW w:w="12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CCEEFF"/>
              <w:right w:val="single" w:sz="8" w:color="CCEEFF"/>
            </w:tcBorders>
            <w:shd w:val="clear" w:color="auto" w:fill="CCEEFF"/>
          </w:tcPr>
          <w:p>
            <w:pPr>
              <w:spacing w:after="0"/>
              <w:rPr>
                <w:sz w:val="11"/>
                <w:szCs w:val="11"/>
                <w:color w:val="auto"/>
              </w:rPr>
            </w:pPr>
          </w:p>
        </w:tc>
        <w:tc>
          <w:tcPr>
            <w:tcW w:w="200" w:type="dxa"/>
            <w:vAlign w:val="bottom"/>
            <w:tcBorders>
              <w:bottom w:val="single" w:sz="8" w:color="CCEEFF"/>
            </w:tcBorders>
            <w:shd w:val="clear" w:color="auto" w:fill="CCEEFF"/>
          </w:tcPr>
          <w:p>
            <w:pPr>
              <w:jc w:val="right"/>
              <w:ind w:right="72"/>
              <w:spacing w:after="0" w:line="113" w:lineRule="exact"/>
              <w:rPr>
                <w:sz w:val="20"/>
                <w:szCs w:val="20"/>
                <w:color w:val="auto"/>
              </w:rPr>
            </w:pPr>
            <w:r>
              <w:rPr>
                <w:rFonts w:ascii="Arial" w:cs="Arial" w:eastAsia="Arial" w:hAnsi="Arial"/>
                <w:sz w:val="10"/>
                <w:szCs w:val="10"/>
                <w:b w:val="1"/>
                <w:bCs w:val="1"/>
                <w:color w:val="auto"/>
              </w:rPr>
              <w:t>$</w:t>
            </w:r>
          </w:p>
        </w:tc>
        <w:tc>
          <w:tcPr>
            <w:tcW w:w="820" w:type="dxa"/>
            <w:vAlign w:val="bottom"/>
            <w:tcBorders>
              <w:bottom w:val="single" w:sz="8" w:color="CCEEFF"/>
              <w:right w:val="single" w:sz="8" w:color="CCEEFF"/>
            </w:tcBorders>
            <w:shd w:val="clear" w:color="auto" w:fill="CCEEFF"/>
          </w:tcPr>
          <w:p>
            <w:pPr>
              <w:jc w:val="right"/>
              <w:spacing w:after="0" w:line="113" w:lineRule="exact"/>
              <w:rPr>
                <w:sz w:val="20"/>
                <w:szCs w:val="20"/>
                <w:color w:val="auto"/>
              </w:rPr>
            </w:pPr>
            <w:r>
              <w:rPr>
                <w:rFonts w:ascii="Arial" w:cs="Arial" w:eastAsia="Arial" w:hAnsi="Arial"/>
                <w:sz w:val="10"/>
                <w:szCs w:val="10"/>
                <w:b w:val="1"/>
                <w:bCs w:val="1"/>
                <w:color w:val="auto"/>
              </w:rPr>
              <w:t>126,320</w:t>
            </w:r>
          </w:p>
        </w:tc>
        <w:tc>
          <w:tcPr>
            <w:tcW w:w="140" w:type="dxa"/>
            <w:vAlign w:val="bottom"/>
            <w:tcBorders>
              <w:bottom w:val="single" w:sz="8" w:color="CCEEFF"/>
            </w:tcBorders>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740" w:type="dxa"/>
            <w:vAlign w:val="bottom"/>
            <w:tcBorders>
              <w:bottom w:val="single" w:sz="8" w:color="CCEEFF"/>
            </w:tcBorders>
            <w:shd w:val="clear" w:color="auto" w:fill="CCEEFF"/>
          </w:tcPr>
          <w:p>
            <w:pPr>
              <w:jc w:val="right"/>
              <w:ind w:right="152"/>
              <w:spacing w:after="0" w:line="102" w:lineRule="exact"/>
              <w:rPr>
                <w:sz w:val="20"/>
                <w:szCs w:val="20"/>
                <w:color w:val="auto"/>
              </w:rPr>
            </w:pPr>
            <w:r>
              <w:rPr>
                <w:rFonts w:ascii="Arial" w:cs="Arial" w:eastAsia="Arial" w:hAnsi="Arial"/>
                <w:sz w:val="10"/>
                <w:szCs w:val="10"/>
                <w:i w:val="1"/>
                <w:iCs w:val="1"/>
                <w:color w:val="auto"/>
              </w:rPr>
              <w:t>100 %</w:t>
            </w:r>
          </w:p>
        </w:tc>
        <w:tc>
          <w:tcPr>
            <w:tcW w:w="1260" w:type="dxa"/>
            <w:vAlign w:val="bottom"/>
            <w:tcBorders>
              <w:bottom w:val="single" w:sz="8" w:color="CCEEFF"/>
            </w:tcBorders>
            <w:gridSpan w:val="4"/>
            <w:shd w:val="clear" w:color="auto" w:fill="CCEEFF"/>
          </w:tcPr>
          <w:p>
            <w:pPr>
              <w:jc w:val="right"/>
              <w:ind w:right="232"/>
              <w:spacing w:after="0" w:line="102" w:lineRule="exact"/>
              <w:rPr>
                <w:sz w:val="20"/>
                <w:szCs w:val="20"/>
                <w:color w:val="auto"/>
              </w:rPr>
            </w:pPr>
            <w:r>
              <w:rPr>
                <w:rFonts w:ascii="Arial" w:cs="Arial" w:eastAsia="Arial" w:hAnsi="Arial"/>
                <w:sz w:val="10"/>
                <w:szCs w:val="10"/>
                <w:color w:val="auto"/>
              </w:rPr>
              <w:t>- %</w:t>
            </w:r>
          </w:p>
        </w:tc>
      </w:tr>
      <w:tr>
        <w:trPr>
          <w:trHeight w:val="171"/>
        </w:trPr>
        <w:tc>
          <w:tcPr>
            <w:tcW w:w="1860" w:type="dxa"/>
            <w:vAlign w:val="bottom"/>
            <w:gridSpan w:val="2"/>
          </w:tcPr>
          <w:p>
            <w:pPr>
              <w:ind w:left="400"/>
              <w:spacing w:after="0"/>
              <w:rPr>
                <w:sz w:val="20"/>
                <w:szCs w:val="20"/>
                <w:color w:val="auto"/>
              </w:rPr>
            </w:pPr>
            <w:r>
              <w:rPr>
                <w:rFonts w:ascii="Arial" w:cs="Arial" w:eastAsia="Arial" w:hAnsi="Arial"/>
                <w:sz w:val="10"/>
                <w:szCs w:val="10"/>
                <w:b w:val="1"/>
                <w:bCs w:val="1"/>
                <w:color w:val="auto"/>
              </w:rPr>
              <w:t>Australia</w:t>
            </w:r>
          </w:p>
        </w:tc>
        <w:tc>
          <w:tcPr>
            <w:tcW w:w="1820" w:type="dxa"/>
            <w:vAlign w:val="bottom"/>
            <w:gridSpan w:val="2"/>
          </w:tcPr>
          <w:p>
            <w:pPr>
              <w:ind w:left="120"/>
              <w:spacing w:after="0"/>
              <w:rPr>
                <w:sz w:val="20"/>
                <w:szCs w:val="20"/>
                <w:color w:val="auto"/>
              </w:rPr>
            </w:pPr>
            <w:r>
              <w:rPr>
                <w:rFonts w:ascii="Arial" w:cs="Arial" w:eastAsia="Arial" w:hAnsi="Arial"/>
                <w:sz w:val="10"/>
                <w:szCs w:val="10"/>
                <w:color w:val="auto"/>
              </w:rPr>
              <w:t>Admission revenue</w:t>
            </w: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0"/>
                <w:szCs w:val="10"/>
                <w:color w:val="auto"/>
              </w:rPr>
              <w:t>58,148</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ind w:right="152"/>
              <w:spacing w:after="0"/>
              <w:rPr>
                <w:sz w:val="20"/>
                <w:szCs w:val="20"/>
                <w:color w:val="auto"/>
              </w:rPr>
            </w:pPr>
            <w:r>
              <w:rPr>
                <w:rFonts w:ascii="Arial" w:cs="Arial" w:eastAsia="Arial" w:hAnsi="Arial"/>
                <w:sz w:val="10"/>
                <w:szCs w:val="10"/>
                <w:i w:val="1"/>
                <w:iCs w:val="1"/>
                <w:color w:val="auto"/>
              </w:rPr>
              <w:t>66 %</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0"/>
                <w:szCs w:val="10"/>
                <w:color w:val="auto"/>
              </w:rPr>
              <w:t>61,741</w:t>
            </w: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jc w:val="right"/>
              <w:ind w:right="152"/>
              <w:spacing w:after="0"/>
              <w:rPr>
                <w:sz w:val="20"/>
                <w:szCs w:val="20"/>
                <w:color w:val="auto"/>
              </w:rPr>
            </w:pPr>
            <w:r>
              <w:rPr>
                <w:rFonts w:ascii="Arial" w:cs="Arial" w:eastAsia="Arial" w:hAnsi="Arial"/>
                <w:sz w:val="10"/>
                <w:szCs w:val="10"/>
                <w:i w:val="1"/>
                <w:iCs w:val="1"/>
                <w:color w:val="auto"/>
              </w:rPr>
              <w:t>68 %</w:t>
            </w:r>
          </w:p>
        </w:tc>
        <w:tc>
          <w:tcPr>
            <w:tcW w:w="1260" w:type="dxa"/>
            <w:vAlign w:val="bottom"/>
            <w:gridSpan w:val="4"/>
          </w:tcPr>
          <w:p>
            <w:pPr>
              <w:jc w:val="right"/>
              <w:ind w:right="232"/>
              <w:spacing w:after="0"/>
              <w:rPr>
                <w:sz w:val="20"/>
                <w:szCs w:val="20"/>
                <w:color w:val="auto"/>
              </w:rPr>
            </w:pPr>
            <w:r>
              <w:rPr>
                <w:rFonts w:ascii="Arial" w:cs="Arial" w:eastAsia="Arial" w:hAnsi="Arial"/>
                <w:sz w:val="10"/>
                <w:szCs w:val="10"/>
                <w:color w:val="auto"/>
              </w:rPr>
              <w:t>(6) %</w:t>
            </w:r>
          </w:p>
        </w:tc>
      </w:tr>
      <w:tr>
        <w:trPr>
          <w:trHeight w:val="171"/>
        </w:trPr>
        <w:tc>
          <w:tcPr>
            <w:tcW w:w="17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20" w:type="dxa"/>
            <w:vAlign w:val="bottom"/>
            <w:gridSpan w:val="2"/>
            <w:shd w:val="clear" w:color="auto" w:fill="CCEEFF"/>
          </w:tcPr>
          <w:p>
            <w:pPr>
              <w:ind w:left="120"/>
              <w:spacing w:after="0"/>
              <w:rPr>
                <w:sz w:val="20"/>
                <w:szCs w:val="20"/>
                <w:color w:val="auto"/>
              </w:rPr>
            </w:pPr>
            <w:r>
              <w:rPr>
                <w:rFonts w:ascii="Arial" w:cs="Arial" w:eastAsia="Arial" w:hAnsi="Arial"/>
                <w:sz w:val="10"/>
                <w:szCs w:val="10"/>
                <w:color w:val="auto"/>
              </w:rPr>
              <w:t>Concession revenue</w:t>
            </w:r>
          </w:p>
        </w:tc>
        <w:tc>
          <w:tcPr>
            <w:tcW w:w="2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0"/>
                <w:szCs w:val="10"/>
                <w:color w:val="auto"/>
              </w:rPr>
              <w:t>24,278</w:t>
            </w: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152"/>
              <w:spacing w:after="0"/>
              <w:rPr>
                <w:sz w:val="20"/>
                <w:szCs w:val="20"/>
                <w:color w:val="auto"/>
              </w:rPr>
            </w:pPr>
            <w:r>
              <w:rPr>
                <w:rFonts w:ascii="Arial" w:cs="Arial" w:eastAsia="Arial" w:hAnsi="Arial"/>
                <w:sz w:val="10"/>
                <w:szCs w:val="10"/>
                <w:i w:val="1"/>
                <w:iCs w:val="1"/>
                <w:color w:val="auto"/>
              </w:rPr>
              <w:t>27 %</w:t>
            </w: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24,025</w:t>
            </w:r>
          </w:p>
        </w:tc>
        <w:tc>
          <w:tcPr>
            <w:tcW w:w="1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152"/>
              <w:spacing w:after="0"/>
              <w:rPr>
                <w:sz w:val="20"/>
                <w:szCs w:val="20"/>
                <w:color w:val="auto"/>
              </w:rPr>
            </w:pPr>
            <w:r>
              <w:rPr>
                <w:rFonts w:ascii="Arial" w:cs="Arial" w:eastAsia="Arial" w:hAnsi="Arial"/>
                <w:sz w:val="10"/>
                <w:szCs w:val="10"/>
                <w:i w:val="1"/>
                <w:iCs w:val="1"/>
                <w:color w:val="auto"/>
              </w:rPr>
              <w:t>26 %</w:t>
            </w:r>
          </w:p>
        </w:tc>
        <w:tc>
          <w:tcPr>
            <w:tcW w:w="1260" w:type="dxa"/>
            <w:vAlign w:val="bottom"/>
            <w:gridSpan w:val="4"/>
            <w:shd w:val="clear" w:color="auto" w:fill="CCEEFF"/>
          </w:tcPr>
          <w:p>
            <w:pPr>
              <w:jc w:val="right"/>
              <w:ind w:right="232"/>
              <w:spacing w:after="0"/>
              <w:rPr>
                <w:sz w:val="20"/>
                <w:szCs w:val="20"/>
                <w:color w:val="auto"/>
              </w:rPr>
            </w:pPr>
            <w:r>
              <w:rPr>
                <w:rFonts w:ascii="Arial" w:cs="Arial" w:eastAsia="Arial" w:hAnsi="Arial"/>
                <w:sz w:val="10"/>
                <w:szCs w:val="10"/>
                <w:color w:val="auto"/>
              </w:rPr>
              <w:t>1 %</w:t>
            </w:r>
          </w:p>
        </w:tc>
      </w:tr>
      <w:tr>
        <w:trPr>
          <w:trHeight w:val="171"/>
        </w:trPr>
        <w:tc>
          <w:tcPr>
            <w:tcW w:w="1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20" w:type="dxa"/>
            <w:vAlign w:val="bottom"/>
            <w:gridSpan w:val="2"/>
          </w:tcPr>
          <w:p>
            <w:pPr>
              <w:ind w:left="120"/>
              <w:spacing w:after="0"/>
              <w:rPr>
                <w:sz w:val="20"/>
                <w:szCs w:val="20"/>
                <w:color w:val="auto"/>
              </w:rPr>
            </w:pPr>
            <w:r>
              <w:rPr>
                <w:rFonts w:ascii="Arial" w:cs="Arial" w:eastAsia="Arial" w:hAnsi="Arial"/>
                <w:sz w:val="10"/>
                <w:szCs w:val="10"/>
                <w:color w:val="auto"/>
              </w:rPr>
              <w:t>Advertising and other revenue</w:t>
            </w: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0"/>
                <w:szCs w:val="10"/>
                <w:color w:val="auto"/>
              </w:rPr>
              <w:t>6,068</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ind w:right="152"/>
              <w:spacing w:after="0"/>
              <w:rPr>
                <w:sz w:val="20"/>
                <w:szCs w:val="20"/>
                <w:color w:val="auto"/>
              </w:rPr>
            </w:pPr>
            <w:r>
              <w:rPr>
                <w:rFonts w:ascii="Arial" w:cs="Arial" w:eastAsia="Arial" w:hAnsi="Arial"/>
                <w:sz w:val="10"/>
                <w:szCs w:val="10"/>
                <w:i w:val="1"/>
                <w:iCs w:val="1"/>
                <w:color w:val="auto"/>
              </w:rPr>
              <w:t>7 %</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5,655</w:t>
            </w: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jc w:val="right"/>
              <w:ind w:right="152"/>
              <w:spacing w:after="0"/>
              <w:rPr>
                <w:sz w:val="20"/>
                <w:szCs w:val="20"/>
                <w:color w:val="auto"/>
              </w:rPr>
            </w:pPr>
            <w:r>
              <w:rPr>
                <w:rFonts w:ascii="Arial" w:cs="Arial" w:eastAsia="Arial" w:hAnsi="Arial"/>
                <w:sz w:val="10"/>
                <w:szCs w:val="10"/>
                <w:i w:val="1"/>
                <w:iCs w:val="1"/>
                <w:color w:val="auto"/>
              </w:rPr>
              <w:t>6 %</w:t>
            </w:r>
          </w:p>
        </w:tc>
        <w:tc>
          <w:tcPr>
            <w:tcW w:w="1260" w:type="dxa"/>
            <w:vAlign w:val="bottom"/>
            <w:gridSpan w:val="4"/>
          </w:tcPr>
          <w:p>
            <w:pPr>
              <w:jc w:val="right"/>
              <w:ind w:right="232"/>
              <w:spacing w:after="0"/>
              <w:rPr>
                <w:sz w:val="20"/>
                <w:szCs w:val="20"/>
                <w:color w:val="auto"/>
              </w:rPr>
            </w:pPr>
            <w:r>
              <w:rPr>
                <w:rFonts w:ascii="Arial" w:cs="Arial" w:eastAsia="Arial" w:hAnsi="Arial"/>
                <w:sz w:val="10"/>
                <w:szCs w:val="10"/>
                <w:color w:val="auto"/>
              </w:rPr>
              <w:t>7 %</w:t>
            </w:r>
          </w:p>
        </w:tc>
      </w:tr>
    </w:tbl>
    <w:p>
      <w:pPr>
        <w:spacing w:after="0" w:line="13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59690</wp:posOffset>
            </wp:positionV>
            <wp:extent cx="677989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779895" cy="42545"/>
                    </a:xfrm>
                    <a:prstGeom prst="rect">
                      <a:avLst/>
                    </a:prstGeom>
                    <a:noFill/>
                  </pic:spPr>
                </pic:pic>
              </a:graphicData>
            </a:graphic>
          </wp:anchor>
        </w:drawing>
      </w:r>
    </w:p>
    <w:p>
      <w:pPr>
        <w:sectPr>
          <w:pgSz w:w="11900" w:h="16838" w:orient="portrait"/>
          <w:cols w:equalWidth="0" w:num="1">
            <w:col w:w="10620"/>
          </w:cols>
          <w:pgMar w:left="640" w:top="131" w:right="63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151"/>
        </w:trPr>
        <w:tc>
          <w:tcPr>
            <w:tcW w:w="1680" w:type="dxa"/>
            <w:vAlign w:val="bottom"/>
            <w:tcBorders>
              <w:top w:val="single" w:sz="8" w:color="CCEEFF"/>
              <w:bottom w:val="single" w:sz="8" w:color="CCEEFF"/>
            </w:tcBorders>
            <w:shd w:val="clear" w:color="auto" w:fill="CCEEFF"/>
          </w:tcPr>
          <w:p>
            <w:pPr>
              <w:spacing w:after="0"/>
              <w:rPr>
                <w:sz w:val="13"/>
                <w:szCs w:val="13"/>
                <w:color w:val="auto"/>
              </w:rPr>
            </w:pPr>
          </w:p>
        </w:tc>
        <w:tc>
          <w:tcPr>
            <w:tcW w:w="3260" w:type="dxa"/>
            <w:vAlign w:val="bottom"/>
            <w:tcBorders>
              <w:top w:val="single" w:sz="8" w:color="CCEEFF"/>
              <w:bottom w:val="single" w:sz="8" w:color="CCEEFF"/>
            </w:tcBorders>
            <w:shd w:val="clear" w:color="auto" w:fill="CCEEFF"/>
          </w:tcPr>
          <w:p>
            <w:pPr>
              <w:spacing w:after="0"/>
              <w:rPr>
                <w:sz w:val="13"/>
                <w:szCs w:val="13"/>
                <w:color w:val="auto"/>
              </w:rPr>
            </w:pPr>
          </w:p>
        </w:tc>
        <w:tc>
          <w:tcPr>
            <w:tcW w:w="540" w:type="dxa"/>
            <w:vAlign w:val="bottom"/>
            <w:tcBorders>
              <w:top w:val="single" w:sz="8" w:color="auto"/>
              <w:bottom w:val="single" w:sz="8" w:color="CCEEFF"/>
            </w:tcBorders>
            <w:shd w:val="clear" w:color="auto" w:fill="CCEEFF"/>
          </w:tcPr>
          <w:p>
            <w:pPr>
              <w:jc w:val="right"/>
              <w:ind w:right="232"/>
              <w:spacing w:after="0"/>
              <w:rPr>
                <w:sz w:val="20"/>
                <w:szCs w:val="20"/>
                <w:color w:val="auto"/>
              </w:rPr>
            </w:pPr>
            <w:r>
              <w:rPr>
                <w:rFonts w:ascii="Arial" w:cs="Arial" w:eastAsia="Arial" w:hAnsi="Arial"/>
                <w:sz w:val="10"/>
                <w:szCs w:val="10"/>
                <w:b w:val="1"/>
                <w:bCs w:val="1"/>
                <w:color w:val="auto"/>
              </w:rPr>
              <w:t>$</w:t>
            </w:r>
          </w:p>
        </w:tc>
        <w:tc>
          <w:tcPr>
            <w:tcW w:w="6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88,494</w:t>
            </w:r>
          </w:p>
        </w:tc>
        <w:tc>
          <w:tcPr>
            <w:tcW w:w="260" w:type="dxa"/>
            <w:vAlign w:val="bottom"/>
            <w:tcBorders>
              <w:top w:val="single" w:sz="8" w:color="CCEEFF"/>
              <w:bottom w:val="single" w:sz="8" w:color="CCEEFF"/>
            </w:tcBorders>
            <w:shd w:val="clear" w:color="auto" w:fill="CCEEFF"/>
          </w:tcPr>
          <w:p>
            <w:pPr>
              <w:spacing w:after="0"/>
              <w:rPr>
                <w:sz w:val="13"/>
                <w:szCs w:val="13"/>
                <w:color w:val="auto"/>
              </w:rPr>
            </w:pPr>
          </w:p>
        </w:tc>
        <w:tc>
          <w:tcPr>
            <w:tcW w:w="880" w:type="dxa"/>
            <w:vAlign w:val="bottom"/>
            <w:tcBorders>
              <w:top w:val="single" w:sz="8" w:color="CCEEFF"/>
              <w:bottom w:val="single" w:sz="8" w:color="CCEEFF"/>
            </w:tcBorders>
            <w:shd w:val="clear" w:color="auto" w:fill="CCEEFF"/>
          </w:tcPr>
          <w:p>
            <w:pPr>
              <w:jc w:val="right"/>
              <w:ind w:right="332"/>
              <w:spacing w:after="0"/>
              <w:rPr>
                <w:sz w:val="20"/>
                <w:szCs w:val="20"/>
                <w:color w:val="auto"/>
              </w:rPr>
            </w:pPr>
            <w:r>
              <w:rPr>
                <w:rFonts w:ascii="Arial" w:cs="Arial" w:eastAsia="Arial" w:hAnsi="Arial"/>
                <w:sz w:val="10"/>
                <w:szCs w:val="10"/>
                <w:i w:val="1"/>
                <w:iCs w:val="1"/>
                <w:color w:val="auto"/>
              </w:rPr>
              <w:t>100 %</w:t>
            </w:r>
          </w:p>
        </w:tc>
        <w:tc>
          <w:tcPr>
            <w:tcW w:w="500" w:type="dxa"/>
            <w:vAlign w:val="bottom"/>
            <w:tcBorders>
              <w:top w:val="single" w:sz="8" w:color="auto"/>
              <w:bottom w:val="single" w:sz="8" w:color="CCEEFF"/>
            </w:tcBorders>
            <w:shd w:val="clear" w:color="auto" w:fill="CCEEFF"/>
          </w:tcPr>
          <w:p>
            <w:pPr>
              <w:jc w:val="right"/>
              <w:ind w:right="212"/>
              <w:spacing w:after="0"/>
              <w:rPr>
                <w:sz w:val="20"/>
                <w:szCs w:val="20"/>
                <w:color w:val="auto"/>
              </w:rPr>
            </w:pPr>
            <w:r>
              <w:rPr>
                <w:rFonts w:ascii="Arial" w:cs="Arial" w:eastAsia="Arial" w:hAnsi="Arial"/>
                <w:sz w:val="10"/>
                <w:szCs w:val="10"/>
                <w:b w:val="1"/>
                <w:bCs w:val="1"/>
                <w:color w:val="auto"/>
              </w:rPr>
              <w:t>$</w:t>
            </w:r>
          </w:p>
        </w:tc>
        <w:tc>
          <w:tcPr>
            <w:tcW w:w="6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91,421</w:t>
            </w:r>
          </w:p>
        </w:tc>
        <w:tc>
          <w:tcPr>
            <w:tcW w:w="240" w:type="dxa"/>
            <w:vAlign w:val="bottom"/>
            <w:tcBorders>
              <w:top w:val="single" w:sz="8" w:color="CCEEFF"/>
              <w:bottom w:val="single" w:sz="8" w:color="CCEEFF"/>
            </w:tcBorders>
            <w:shd w:val="clear" w:color="auto" w:fill="CCEEFF"/>
          </w:tcPr>
          <w:p>
            <w:pPr>
              <w:spacing w:after="0"/>
              <w:rPr>
                <w:sz w:val="13"/>
                <w:szCs w:val="13"/>
                <w:color w:val="auto"/>
              </w:rPr>
            </w:pPr>
          </w:p>
        </w:tc>
        <w:tc>
          <w:tcPr>
            <w:tcW w:w="960" w:type="dxa"/>
            <w:vAlign w:val="bottom"/>
            <w:tcBorders>
              <w:top w:val="single" w:sz="8" w:color="CCEEFF"/>
              <w:bottom w:val="single" w:sz="8" w:color="CCEEFF"/>
            </w:tcBorders>
            <w:shd w:val="clear" w:color="auto" w:fill="CCEEFF"/>
          </w:tcPr>
          <w:p>
            <w:pPr>
              <w:jc w:val="right"/>
              <w:ind w:right="412"/>
              <w:spacing w:after="0"/>
              <w:rPr>
                <w:sz w:val="20"/>
                <w:szCs w:val="20"/>
                <w:color w:val="auto"/>
              </w:rPr>
            </w:pPr>
            <w:r>
              <w:rPr>
                <w:rFonts w:ascii="Arial" w:cs="Arial" w:eastAsia="Arial" w:hAnsi="Arial"/>
                <w:sz w:val="10"/>
                <w:szCs w:val="10"/>
                <w:i w:val="1"/>
                <w:iCs w:val="1"/>
                <w:color w:val="auto"/>
              </w:rPr>
              <w:t>100 %</w:t>
            </w:r>
          </w:p>
        </w:tc>
        <w:tc>
          <w:tcPr>
            <w:tcW w:w="1000" w:type="dxa"/>
            <w:vAlign w:val="bottom"/>
            <w:tcBorders>
              <w:top w:val="single" w:sz="8" w:color="CCEEFF"/>
              <w:bottom w:val="single" w:sz="8" w:color="CCEEFF"/>
            </w:tcBorders>
            <w:gridSpan w:val="2"/>
            <w:shd w:val="clear" w:color="auto" w:fill="CCEEFF"/>
          </w:tcPr>
          <w:p>
            <w:pPr>
              <w:jc w:val="right"/>
              <w:ind w:right="232"/>
              <w:spacing w:after="0"/>
              <w:rPr>
                <w:sz w:val="20"/>
                <w:szCs w:val="20"/>
                <w:color w:val="auto"/>
              </w:rPr>
            </w:pPr>
            <w:r>
              <w:rPr>
                <w:rFonts w:ascii="Arial" w:cs="Arial" w:eastAsia="Arial" w:hAnsi="Arial"/>
                <w:sz w:val="10"/>
                <w:szCs w:val="10"/>
                <w:color w:val="auto"/>
              </w:rPr>
              <w:t>(3) %</w:t>
            </w:r>
          </w:p>
        </w:tc>
      </w:tr>
      <w:tr>
        <w:trPr>
          <w:trHeight w:val="171"/>
        </w:trPr>
        <w:tc>
          <w:tcPr>
            <w:tcW w:w="1680" w:type="dxa"/>
            <w:vAlign w:val="bottom"/>
          </w:tcPr>
          <w:p>
            <w:pPr>
              <w:ind w:left="400"/>
              <w:spacing w:after="0"/>
              <w:rPr>
                <w:sz w:val="20"/>
                <w:szCs w:val="20"/>
                <w:color w:val="auto"/>
              </w:rPr>
            </w:pPr>
            <w:r>
              <w:rPr>
                <w:rFonts w:ascii="Arial" w:cs="Arial" w:eastAsia="Arial" w:hAnsi="Arial"/>
                <w:sz w:val="10"/>
                <w:szCs w:val="10"/>
                <w:b w:val="1"/>
                <w:bCs w:val="1"/>
                <w:color w:val="auto"/>
              </w:rPr>
              <w:t>New Zealand</w:t>
            </w:r>
          </w:p>
        </w:tc>
        <w:tc>
          <w:tcPr>
            <w:tcW w:w="3260" w:type="dxa"/>
            <w:vAlign w:val="bottom"/>
          </w:tcPr>
          <w:p>
            <w:pPr>
              <w:ind w:left="300"/>
              <w:spacing w:after="0"/>
              <w:rPr>
                <w:sz w:val="20"/>
                <w:szCs w:val="20"/>
                <w:color w:val="auto"/>
              </w:rPr>
            </w:pPr>
            <w:r>
              <w:rPr>
                <w:rFonts w:ascii="Arial" w:cs="Arial" w:eastAsia="Arial" w:hAnsi="Arial"/>
                <w:sz w:val="10"/>
                <w:szCs w:val="10"/>
                <w:color w:val="auto"/>
              </w:rPr>
              <w:t>Admission revenue</w:t>
            </w:r>
          </w:p>
        </w:tc>
        <w:tc>
          <w:tcPr>
            <w:tcW w:w="5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15,908</w:t>
            </w:r>
          </w:p>
        </w:tc>
        <w:tc>
          <w:tcPr>
            <w:tcW w:w="260" w:type="dxa"/>
            <w:vAlign w:val="bottom"/>
          </w:tcPr>
          <w:p>
            <w:pPr>
              <w:spacing w:after="0"/>
              <w:rPr>
                <w:sz w:val="14"/>
                <w:szCs w:val="14"/>
                <w:color w:val="auto"/>
              </w:rPr>
            </w:pPr>
          </w:p>
        </w:tc>
        <w:tc>
          <w:tcPr>
            <w:tcW w:w="880" w:type="dxa"/>
            <w:vAlign w:val="bottom"/>
          </w:tcPr>
          <w:p>
            <w:pPr>
              <w:jc w:val="right"/>
              <w:ind w:right="332"/>
              <w:spacing w:after="0"/>
              <w:rPr>
                <w:sz w:val="20"/>
                <w:szCs w:val="20"/>
                <w:color w:val="auto"/>
              </w:rPr>
            </w:pPr>
            <w:r>
              <w:rPr>
                <w:rFonts w:ascii="Arial" w:cs="Arial" w:eastAsia="Arial" w:hAnsi="Arial"/>
                <w:sz w:val="10"/>
                <w:szCs w:val="10"/>
                <w:i w:val="1"/>
                <w:iCs w:val="1"/>
                <w:color w:val="auto"/>
              </w:rPr>
              <w:t>67 %</w:t>
            </w:r>
          </w:p>
        </w:tc>
        <w:tc>
          <w:tcPr>
            <w:tcW w:w="5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15,039</w:t>
            </w:r>
          </w:p>
        </w:tc>
        <w:tc>
          <w:tcPr>
            <w:tcW w:w="240" w:type="dxa"/>
            <w:vAlign w:val="bottom"/>
          </w:tcPr>
          <w:p>
            <w:pPr>
              <w:spacing w:after="0"/>
              <w:rPr>
                <w:sz w:val="14"/>
                <w:szCs w:val="14"/>
                <w:color w:val="auto"/>
              </w:rPr>
            </w:pPr>
          </w:p>
        </w:tc>
        <w:tc>
          <w:tcPr>
            <w:tcW w:w="960" w:type="dxa"/>
            <w:vAlign w:val="bottom"/>
          </w:tcPr>
          <w:p>
            <w:pPr>
              <w:jc w:val="right"/>
              <w:ind w:right="412"/>
              <w:spacing w:after="0"/>
              <w:rPr>
                <w:sz w:val="20"/>
                <w:szCs w:val="20"/>
                <w:color w:val="auto"/>
              </w:rPr>
            </w:pPr>
            <w:r>
              <w:rPr>
                <w:rFonts w:ascii="Arial" w:cs="Arial" w:eastAsia="Arial" w:hAnsi="Arial"/>
                <w:sz w:val="10"/>
                <w:szCs w:val="10"/>
                <w:i w:val="1"/>
                <w:iCs w:val="1"/>
                <w:color w:val="auto"/>
              </w:rPr>
              <w:t>69 %</w:t>
            </w:r>
          </w:p>
        </w:tc>
        <w:tc>
          <w:tcPr>
            <w:tcW w:w="620" w:type="dxa"/>
            <w:vAlign w:val="bottom"/>
          </w:tcPr>
          <w:p>
            <w:pPr>
              <w:jc w:val="right"/>
              <w:spacing w:after="0"/>
              <w:rPr>
                <w:sz w:val="20"/>
                <w:szCs w:val="20"/>
                <w:color w:val="auto"/>
              </w:rPr>
            </w:pPr>
            <w:r>
              <w:rPr>
                <w:rFonts w:ascii="Arial" w:cs="Arial" w:eastAsia="Arial" w:hAnsi="Arial"/>
                <w:sz w:val="10"/>
                <w:szCs w:val="10"/>
                <w:color w:val="auto"/>
              </w:rPr>
              <w:t>6</w:t>
            </w:r>
          </w:p>
        </w:tc>
        <w:tc>
          <w:tcPr>
            <w:tcW w:w="380" w:type="dxa"/>
            <w:vAlign w:val="bottom"/>
          </w:tcPr>
          <w:p>
            <w:pPr>
              <w:jc w:val="right"/>
              <w:ind w:right="232"/>
              <w:spacing w:after="0"/>
              <w:rPr>
                <w:sz w:val="20"/>
                <w:szCs w:val="20"/>
                <w:color w:val="auto"/>
              </w:rPr>
            </w:pPr>
            <w:r>
              <w:rPr>
                <w:rFonts w:ascii="Arial" w:cs="Arial" w:eastAsia="Arial" w:hAnsi="Arial"/>
                <w:sz w:val="10"/>
                <w:szCs w:val="10"/>
                <w:color w:val="auto"/>
                <w:w w:val="89"/>
              </w:rPr>
              <w:t>%</w:t>
            </w:r>
          </w:p>
        </w:tc>
      </w:tr>
      <w:tr>
        <w:trPr>
          <w:trHeight w:val="171"/>
        </w:trPr>
        <w:tc>
          <w:tcPr>
            <w:tcW w:w="1680" w:type="dxa"/>
            <w:vAlign w:val="bottom"/>
            <w:shd w:val="clear" w:color="auto" w:fill="CCEEFF"/>
          </w:tcPr>
          <w:p>
            <w:pPr>
              <w:spacing w:after="0"/>
              <w:rPr>
                <w:sz w:val="14"/>
                <w:szCs w:val="14"/>
                <w:color w:val="auto"/>
              </w:rPr>
            </w:pPr>
          </w:p>
        </w:tc>
        <w:tc>
          <w:tcPr>
            <w:tcW w:w="3260" w:type="dxa"/>
            <w:vAlign w:val="bottom"/>
            <w:shd w:val="clear" w:color="auto" w:fill="CCEEFF"/>
          </w:tcPr>
          <w:p>
            <w:pPr>
              <w:ind w:left="300"/>
              <w:spacing w:after="0"/>
              <w:rPr>
                <w:sz w:val="20"/>
                <w:szCs w:val="20"/>
                <w:color w:val="auto"/>
              </w:rPr>
            </w:pPr>
            <w:r>
              <w:rPr>
                <w:rFonts w:ascii="Arial" w:cs="Arial" w:eastAsia="Arial" w:hAnsi="Arial"/>
                <w:sz w:val="10"/>
                <w:szCs w:val="10"/>
                <w:color w:val="auto"/>
              </w:rPr>
              <w:t>Concession revenue</w:t>
            </w:r>
          </w:p>
        </w:tc>
        <w:tc>
          <w:tcPr>
            <w:tcW w:w="5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6,475</w:t>
            </w: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332"/>
              <w:spacing w:after="0"/>
              <w:rPr>
                <w:sz w:val="20"/>
                <w:szCs w:val="20"/>
                <w:color w:val="auto"/>
              </w:rPr>
            </w:pPr>
            <w:r>
              <w:rPr>
                <w:rFonts w:ascii="Arial" w:cs="Arial" w:eastAsia="Arial" w:hAnsi="Arial"/>
                <w:sz w:val="10"/>
                <w:szCs w:val="10"/>
                <w:i w:val="1"/>
                <w:iCs w:val="1"/>
                <w:color w:val="auto"/>
              </w:rPr>
              <w:t>27 %</w:t>
            </w:r>
          </w:p>
        </w:tc>
        <w:tc>
          <w:tcPr>
            <w:tcW w:w="5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5,596</w:t>
            </w:r>
          </w:p>
        </w:tc>
        <w:tc>
          <w:tcPr>
            <w:tcW w:w="24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412"/>
              <w:spacing w:after="0"/>
              <w:rPr>
                <w:sz w:val="20"/>
                <w:szCs w:val="20"/>
                <w:color w:val="auto"/>
              </w:rPr>
            </w:pPr>
            <w:r>
              <w:rPr>
                <w:rFonts w:ascii="Arial" w:cs="Arial" w:eastAsia="Arial" w:hAnsi="Arial"/>
                <w:sz w:val="10"/>
                <w:szCs w:val="10"/>
                <w:i w:val="1"/>
                <w:iCs w:val="1"/>
                <w:color w:val="auto"/>
              </w:rPr>
              <w:t>26 %</w:t>
            </w: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16</w:t>
            </w:r>
          </w:p>
        </w:tc>
        <w:tc>
          <w:tcPr>
            <w:tcW w:w="380" w:type="dxa"/>
            <w:vAlign w:val="bottom"/>
            <w:shd w:val="clear" w:color="auto" w:fill="CCEEFF"/>
          </w:tcPr>
          <w:p>
            <w:pPr>
              <w:jc w:val="right"/>
              <w:ind w:right="232"/>
              <w:spacing w:after="0"/>
              <w:rPr>
                <w:sz w:val="20"/>
                <w:szCs w:val="20"/>
                <w:color w:val="auto"/>
              </w:rPr>
            </w:pPr>
            <w:r>
              <w:rPr>
                <w:rFonts w:ascii="Arial" w:cs="Arial" w:eastAsia="Arial" w:hAnsi="Arial"/>
                <w:sz w:val="10"/>
                <w:szCs w:val="10"/>
                <w:color w:val="auto"/>
                <w:w w:val="89"/>
              </w:rPr>
              <w:t>%</w:t>
            </w:r>
          </w:p>
        </w:tc>
      </w:tr>
      <w:tr>
        <w:trPr>
          <w:trHeight w:val="171"/>
        </w:trPr>
        <w:tc>
          <w:tcPr>
            <w:tcW w:w="1680" w:type="dxa"/>
            <w:vAlign w:val="bottom"/>
            <w:tcBorders>
              <w:bottom w:val="single" w:sz="8" w:color="CCEEFF"/>
            </w:tcBorders>
          </w:tcPr>
          <w:p>
            <w:pPr>
              <w:spacing w:after="0"/>
              <w:rPr>
                <w:sz w:val="14"/>
                <w:szCs w:val="14"/>
                <w:color w:val="auto"/>
              </w:rPr>
            </w:pPr>
          </w:p>
        </w:tc>
        <w:tc>
          <w:tcPr>
            <w:tcW w:w="3260" w:type="dxa"/>
            <w:vAlign w:val="bottom"/>
            <w:tcBorders>
              <w:bottom w:val="single" w:sz="8" w:color="CCEEFF"/>
            </w:tcBorders>
          </w:tcPr>
          <w:p>
            <w:pPr>
              <w:ind w:left="300"/>
              <w:spacing w:after="0"/>
              <w:rPr>
                <w:sz w:val="20"/>
                <w:szCs w:val="20"/>
                <w:color w:val="auto"/>
              </w:rPr>
            </w:pPr>
            <w:r>
              <w:rPr>
                <w:rFonts w:ascii="Arial" w:cs="Arial" w:eastAsia="Arial" w:hAnsi="Arial"/>
                <w:sz w:val="10"/>
                <w:szCs w:val="10"/>
                <w:color w:val="auto"/>
              </w:rPr>
              <w:t>Advertising and other revenue</w:t>
            </w:r>
          </w:p>
        </w:tc>
        <w:tc>
          <w:tcPr>
            <w:tcW w:w="5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1,265</w:t>
            </w:r>
          </w:p>
        </w:tc>
        <w:tc>
          <w:tcPr>
            <w:tcW w:w="260" w:type="dxa"/>
            <w:vAlign w:val="bottom"/>
            <w:tcBorders>
              <w:bottom w:val="single" w:sz="8" w:color="CCEEFF"/>
            </w:tcBorders>
          </w:tcPr>
          <w:p>
            <w:pPr>
              <w:spacing w:after="0"/>
              <w:rPr>
                <w:sz w:val="14"/>
                <w:szCs w:val="14"/>
                <w:color w:val="auto"/>
              </w:rPr>
            </w:pPr>
          </w:p>
        </w:tc>
        <w:tc>
          <w:tcPr>
            <w:tcW w:w="880" w:type="dxa"/>
            <w:vAlign w:val="bottom"/>
            <w:tcBorders>
              <w:bottom w:val="single" w:sz="8" w:color="CCEEFF"/>
            </w:tcBorders>
          </w:tcPr>
          <w:p>
            <w:pPr>
              <w:jc w:val="right"/>
              <w:ind w:right="332"/>
              <w:spacing w:after="0"/>
              <w:rPr>
                <w:sz w:val="20"/>
                <w:szCs w:val="20"/>
                <w:color w:val="auto"/>
              </w:rPr>
            </w:pPr>
            <w:r>
              <w:rPr>
                <w:rFonts w:ascii="Arial" w:cs="Arial" w:eastAsia="Arial" w:hAnsi="Arial"/>
                <w:sz w:val="10"/>
                <w:szCs w:val="10"/>
                <w:i w:val="1"/>
                <w:iCs w:val="1"/>
                <w:color w:val="auto"/>
              </w:rPr>
              <w:t>5 %</w:t>
            </w:r>
          </w:p>
        </w:tc>
        <w:tc>
          <w:tcPr>
            <w:tcW w:w="5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1,041</w:t>
            </w:r>
          </w:p>
        </w:tc>
        <w:tc>
          <w:tcPr>
            <w:tcW w:w="240" w:type="dxa"/>
            <w:vAlign w:val="bottom"/>
            <w:tcBorders>
              <w:bottom w:val="single" w:sz="8" w:color="CCEEFF"/>
            </w:tcBorders>
          </w:tcPr>
          <w:p>
            <w:pPr>
              <w:spacing w:after="0"/>
              <w:rPr>
                <w:sz w:val="14"/>
                <w:szCs w:val="14"/>
                <w:color w:val="auto"/>
              </w:rPr>
            </w:pPr>
          </w:p>
        </w:tc>
        <w:tc>
          <w:tcPr>
            <w:tcW w:w="960" w:type="dxa"/>
            <w:vAlign w:val="bottom"/>
            <w:tcBorders>
              <w:bottom w:val="single" w:sz="8" w:color="CCEEFF"/>
            </w:tcBorders>
          </w:tcPr>
          <w:p>
            <w:pPr>
              <w:jc w:val="right"/>
              <w:ind w:right="412"/>
              <w:spacing w:after="0"/>
              <w:rPr>
                <w:sz w:val="20"/>
                <w:szCs w:val="20"/>
                <w:color w:val="auto"/>
              </w:rPr>
            </w:pPr>
            <w:r>
              <w:rPr>
                <w:rFonts w:ascii="Arial" w:cs="Arial" w:eastAsia="Arial" w:hAnsi="Arial"/>
                <w:sz w:val="10"/>
                <w:szCs w:val="10"/>
                <w:i w:val="1"/>
                <w:iCs w:val="1"/>
                <w:color w:val="auto"/>
              </w:rPr>
              <w:t>5 %</w:t>
            </w:r>
          </w:p>
        </w:tc>
        <w:tc>
          <w:tcPr>
            <w:tcW w:w="620" w:type="dxa"/>
            <w:vAlign w:val="bottom"/>
            <w:tcBorders>
              <w:bottom w:val="single" w:sz="8" w:color="CCEEFF"/>
            </w:tcBorders>
          </w:tcPr>
          <w:p>
            <w:pPr>
              <w:jc w:val="right"/>
              <w:spacing w:after="0"/>
              <w:rPr>
                <w:sz w:val="20"/>
                <w:szCs w:val="20"/>
                <w:color w:val="auto"/>
              </w:rPr>
            </w:pPr>
            <w:r>
              <w:rPr>
                <w:rFonts w:ascii="Arial" w:cs="Arial" w:eastAsia="Arial" w:hAnsi="Arial"/>
                <w:sz w:val="10"/>
                <w:szCs w:val="10"/>
                <w:color w:val="auto"/>
              </w:rPr>
              <w:t>22</w:t>
            </w:r>
          </w:p>
        </w:tc>
        <w:tc>
          <w:tcPr>
            <w:tcW w:w="380" w:type="dxa"/>
            <w:vAlign w:val="bottom"/>
            <w:tcBorders>
              <w:bottom w:val="single" w:sz="8" w:color="CCEEFF"/>
            </w:tcBorders>
          </w:tcPr>
          <w:p>
            <w:pPr>
              <w:jc w:val="right"/>
              <w:ind w:right="232"/>
              <w:spacing w:after="0"/>
              <w:rPr>
                <w:sz w:val="20"/>
                <w:szCs w:val="20"/>
                <w:color w:val="auto"/>
              </w:rPr>
            </w:pPr>
            <w:r>
              <w:rPr>
                <w:rFonts w:ascii="Arial" w:cs="Arial" w:eastAsia="Arial" w:hAnsi="Arial"/>
                <w:sz w:val="10"/>
                <w:szCs w:val="10"/>
                <w:color w:val="auto"/>
                <w:w w:val="89"/>
              </w:rPr>
              <w:t>%</w:t>
            </w:r>
          </w:p>
        </w:tc>
      </w:tr>
      <w:tr>
        <w:trPr>
          <w:trHeight w:val="113"/>
        </w:trPr>
        <w:tc>
          <w:tcPr>
            <w:tcW w:w="1680" w:type="dxa"/>
            <w:vAlign w:val="bottom"/>
            <w:shd w:val="clear" w:color="auto" w:fill="CCEEFF"/>
          </w:tcPr>
          <w:p>
            <w:pPr>
              <w:spacing w:after="0"/>
              <w:rPr>
                <w:sz w:val="9"/>
                <w:szCs w:val="9"/>
                <w:color w:val="auto"/>
              </w:rPr>
            </w:pPr>
          </w:p>
        </w:tc>
        <w:tc>
          <w:tcPr>
            <w:tcW w:w="3260" w:type="dxa"/>
            <w:vAlign w:val="bottom"/>
            <w:shd w:val="clear" w:color="auto" w:fill="CCEEFF"/>
          </w:tcPr>
          <w:p>
            <w:pPr>
              <w:spacing w:after="0"/>
              <w:rPr>
                <w:sz w:val="9"/>
                <w:szCs w:val="9"/>
                <w:color w:val="auto"/>
              </w:rPr>
            </w:pPr>
          </w:p>
        </w:tc>
        <w:tc>
          <w:tcPr>
            <w:tcW w:w="540" w:type="dxa"/>
            <w:vAlign w:val="bottom"/>
            <w:shd w:val="clear" w:color="auto" w:fill="CCEEFF"/>
          </w:tcPr>
          <w:p>
            <w:pPr>
              <w:jc w:val="right"/>
              <w:ind w:right="232"/>
              <w:spacing w:after="0" w:line="113" w:lineRule="exact"/>
              <w:rPr>
                <w:sz w:val="20"/>
                <w:szCs w:val="20"/>
                <w:color w:val="auto"/>
              </w:rPr>
            </w:pPr>
            <w:r>
              <w:rPr>
                <w:rFonts w:ascii="Arial" w:cs="Arial" w:eastAsia="Arial" w:hAnsi="Arial"/>
                <w:sz w:val="10"/>
                <w:szCs w:val="10"/>
                <w:b w:val="1"/>
                <w:bCs w:val="1"/>
                <w:color w:val="auto"/>
              </w:rPr>
              <w:t>$</w:t>
            </w:r>
          </w:p>
        </w:tc>
        <w:tc>
          <w:tcPr>
            <w:tcW w:w="640" w:type="dxa"/>
            <w:vAlign w:val="bottom"/>
            <w:shd w:val="clear" w:color="auto" w:fill="CCEEFF"/>
          </w:tcPr>
          <w:p>
            <w:pPr>
              <w:jc w:val="right"/>
              <w:spacing w:after="0" w:line="113" w:lineRule="exact"/>
              <w:rPr>
                <w:sz w:val="20"/>
                <w:szCs w:val="20"/>
                <w:color w:val="auto"/>
              </w:rPr>
            </w:pPr>
            <w:r>
              <w:rPr>
                <w:rFonts w:ascii="Arial" w:cs="Arial" w:eastAsia="Arial" w:hAnsi="Arial"/>
                <w:sz w:val="10"/>
                <w:szCs w:val="10"/>
                <w:b w:val="1"/>
                <w:bCs w:val="1"/>
                <w:color w:val="auto"/>
              </w:rPr>
              <w:t>23,648</w:t>
            </w:r>
          </w:p>
        </w:tc>
        <w:tc>
          <w:tcPr>
            <w:tcW w:w="260" w:type="dxa"/>
            <w:vAlign w:val="bottom"/>
            <w:shd w:val="clear" w:color="auto" w:fill="CCEEFF"/>
          </w:tcPr>
          <w:p>
            <w:pPr>
              <w:spacing w:after="0"/>
              <w:rPr>
                <w:sz w:val="9"/>
                <w:szCs w:val="9"/>
                <w:color w:val="auto"/>
              </w:rPr>
            </w:pPr>
          </w:p>
        </w:tc>
        <w:tc>
          <w:tcPr>
            <w:tcW w:w="880" w:type="dxa"/>
            <w:vAlign w:val="bottom"/>
            <w:shd w:val="clear" w:color="auto" w:fill="CCEEFF"/>
          </w:tcPr>
          <w:p>
            <w:pPr>
              <w:jc w:val="right"/>
              <w:ind w:right="332"/>
              <w:spacing w:after="0" w:line="102" w:lineRule="exact"/>
              <w:rPr>
                <w:sz w:val="20"/>
                <w:szCs w:val="20"/>
                <w:color w:val="auto"/>
              </w:rPr>
            </w:pPr>
            <w:r>
              <w:rPr>
                <w:rFonts w:ascii="Arial" w:cs="Arial" w:eastAsia="Arial" w:hAnsi="Arial"/>
                <w:sz w:val="10"/>
                <w:szCs w:val="10"/>
                <w:i w:val="1"/>
                <w:iCs w:val="1"/>
                <w:color w:val="auto"/>
              </w:rPr>
              <w:t>100 %</w:t>
            </w:r>
          </w:p>
        </w:tc>
        <w:tc>
          <w:tcPr>
            <w:tcW w:w="500" w:type="dxa"/>
            <w:vAlign w:val="bottom"/>
            <w:shd w:val="clear" w:color="auto" w:fill="CCEEFF"/>
          </w:tcPr>
          <w:p>
            <w:pPr>
              <w:jc w:val="right"/>
              <w:ind w:right="212"/>
              <w:spacing w:after="0" w:line="113" w:lineRule="exact"/>
              <w:rPr>
                <w:sz w:val="20"/>
                <w:szCs w:val="20"/>
                <w:color w:val="auto"/>
              </w:rPr>
            </w:pPr>
            <w:r>
              <w:rPr>
                <w:rFonts w:ascii="Arial" w:cs="Arial" w:eastAsia="Arial" w:hAnsi="Arial"/>
                <w:sz w:val="10"/>
                <w:szCs w:val="10"/>
                <w:b w:val="1"/>
                <w:bCs w:val="1"/>
                <w:color w:val="auto"/>
              </w:rPr>
              <w:t>$</w:t>
            </w:r>
          </w:p>
        </w:tc>
        <w:tc>
          <w:tcPr>
            <w:tcW w:w="660" w:type="dxa"/>
            <w:vAlign w:val="bottom"/>
            <w:shd w:val="clear" w:color="auto" w:fill="CCEEFF"/>
          </w:tcPr>
          <w:p>
            <w:pPr>
              <w:jc w:val="right"/>
              <w:spacing w:after="0" w:line="113" w:lineRule="exact"/>
              <w:rPr>
                <w:sz w:val="20"/>
                <w:szCs w:val="20"/>
                <w:color w:val="auto"/>
              </w:rPr>
            </w:pPr>
            <w:r>
              <w:rPr>
                <w:rFonts w:ascii="Arial" w:cs="Arial" w:eastAsia="Arial" w:hAnsi="Arial"/>
                <w:sz w:val="10"/>
                <w:szCs w:val="10"/>
                <w:b w:val="1"/>
                <w:bCs w:val="1"/>
                <w:color w:val="auto"/>
              </w:rPr>
              <w:t>21,676</w:t>
            </w:r>
          </w:p>
        </w:tc>
        <w:tc>
          <w:tcPr>
            <w:tcW w:w="240" w:type="dxa"/>
            <w:vAlign w:val="bottom"/>
            <w:shd w:val="clear" w:color="auto" w:fill="CCEEFF"/>
          </w:tcPr>
          <w:p>
            <w:pPr>
              <w:spacing w:after="0"/>
              <w:rPr>
                <w:sz w:val="9"/>
                <w:szCs w:val="9"/>
                <w:color w:val="auto"/>
              </w:rPr>
            </w:pPr>
          </w:p>
        </w:tc>
        <w:tc>
          <w:tcPr>
            <w:tcW w:w="960" w:type="dxa"/>
            <w:vAlign w:val="bottom"/>
            <w:shd w:val="clear" w:color="auto" w:fill="CCEEFF"/>
          </w:tcPr>
          <w:p>
            <w:pPr>
              <w:jc w:val="right"/>
              <w:ind w:right="412"/>
              <w:spacing w:after="0" w:line="102" w:lineRule="exact"/>
              <w:rPr>
                <w:sz w:val="20"/>
                <w:szCs w:val="20"/>
                <w:color w:val="auto"/>
              </w:rPr>
            </w:pPr>
            <w:r>
              <w:rPr>
                <w:rFonts w:ascii="Arial" w:cs="Arial" w:eastAsia="Arial" w:hAnsi="Arial"/>
                <w:sz w:val="10"/>
                <w:szCs w:val="10"/>
                <w:i w:val="1"/>
                <w:iCs w:val="1"/>
                <w:color w:val="auto"/>
              </w:rPr>
              <w:t>100 %</w:t>
            </w:r>
          </w:p>
        </w:tc>
        <w:tc>
          <w:tcPr>
            <w:tcW w:w="620" w:type="dxa"/>
            <w:vAlign w:val="bottom"/>
            <w:shd w:val="clear" w:color="auto" w:fill="CCEEFF"/>
          </w:tcPr>
          <w:p>
            <w:pPr>
              <w:jc w:val="right"/>
              <w:spacing w:after="0" w:line="102" w:lineRule="exact"/>
              <w:rPr>
                <w:sz w:val="20"/>
                <w:szCs w:val="20"/>
                <w:color w:val="auto"/>
              </w:rPr>
            </w:pPr>
            <w:r>
              <w:rPr>
                <w:rFonts w:ascii="Arial" w:cs="Arial" w:eastAsia="Arial" w:hAnsi="Arial"/>
                <w:sz w:val="10"/>
                <w:szCs w:val="10"/>
                <w:color w:val="auto"/>
              </w:rPr>
              <w:t>9</w:t>
            </w:r>
          </w:p>
        </w:tc>
        <w:tc>
          <w:tcPr>
            <w:tcW w:w="380" w:type="dxa"/>
            <w:vAlign w:val="bottom"/>
            <w:shd w:val="clear" w:color="auto" w:fill="CCEEFF"/>
          </w:tcPr>
          <w:p>
            <w:pPr>
              <w:jc w:val="right"/>
              <w:ind w:right="232"/>
              <w:spacing w:after="0" w:line="102" w:lineRule="exact"/>
              <w:rPr>
                <w:sz w:val="20"/>
                <w:szCs w:val="20"/>
                <w:color w:val="auto"/>
              </w:rPr>
            </w:pPr>
            <w:r>
              <w:rPr>
                <w:rFonts w:ascii="Arial" w:cs="Arial" w:eastAsia="Arial" w:hAnsi="Arial"/>
                <w:sz w:val="10"/>
                <w:szCs w:val="10"/>
                <w:color w:val="auto"/>
                <w:w w:val="89"/>
              </w:rPr>
              <w:t>%</w:t>
            </w:r>
          </w:p>
        </w:tc>
      </w:tr>
      <w:tr>
        <w:trPr>
          <w:trHeight w:val="75"/>
        </w:trPr>
        <w:tc>
          <w:tcPr>
            <w:tcW w:w="1680" w:type="dxa"/>
            <w:vAlign w:val="bottom"/>
            <w:shd w:val="clear" w:color="auto" w:fill="CCEEFF"/>
          </w:tcPr>
          <w:p>
            <w:pPr>
              <w:spacing w:after="0"/>
              <w:rPr>
                <w:sz w:val="6"/>
                <w:szCs w:val="6"/>
                <w:color w:val="auto"/>
              </w:rPr>
            </w:pPr>
          </w:p>
        </w:tc>
        <w:tc>
          <w:tcPr>
            <w:tcW w:w="3260" w:type="dxa"/>
            <w:vAlign w:val="bottom"/>
            <w:shd w:val="clear" w:color="auto" w:fill="CCEEFF"/>
          </w:tcPr>
          <w:p>
            <w:pPr>
              <w:spacing w:after="0"/>
              <w:rPr>
                <w:sz w:val="6"/>
                <w:szCs w:val="6"/>
                <w:color w:val="auto"/>
              </w:rPr>
            </w:pPr>
          </w:p>
        </w:tc>
        <w:tc>
          <w:tcPr>
            <w:tcW w:w="540" w:type="dxa"/>
            <w:vAlign w:val="bottom"/>
            <w:tcBorders>
              <w:bottom w:val="single" w:sz="8" w:color="auto"/>
            </w:tcBorders>
            <w:shd w:val="clear" w:color="auto" w:fill="CCEEFF"/>
          </w:tcPr>
          <w:p>
            <w:pPr>
              <w:spacing w:after="0"/>
              <w:rPr>
                <w:sz w:val="6"/>
                <w:szCs w:val="6"/>
                <w:color w:val="auto"/>
              </w:rPr>
            </w:pPr>
          </w:p>
        </w:tc>
        <w:tc>
          <w:tcPr>
            <w:tcW w:w="640" w:type="dxa"/>
            <w:vAlign w:val="bottom"/>
            <w:tcBorders>
              <w:bottom w:val="single" w:sz="8" w:color="auto"/>
            </w:tcBorders>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500" w:type="dxa"/>
            <w:vAlign w:val="bottom"/>
            <w:tcBorders>
              <w:bottom w:val="single" w:sz="8" w:color="auto"/>
            </w:tcBorders>
            <w:shd w:val="clear" w:color="auto" w:fill="CCEEFF"/>
          </w:tcPr>
          <w:p>
            <w:pPr>
              <w:spacing w:after="0"/>
              <w:rPr>
                <w:sz w:val="6"/>
                <w:szCs w:val="6"/>
                <w:color w:val="auto"/>
              </w:rPr>
            </w:pPr>
          </w:p>
        </w:tc>
        <w:tc>
          <w:tcPr>
            <w:tcW w:w="660" w:type="dxa"/>
            <w:vAlign w:val="bottom"/>
            <w:tcBorders>
              <w:bottom w:val="single" w:sz="8" w:color="auto"/>
            </w:tcBorders>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1000" w:type="dxa"/>
            <w:vAlign w:val="bottom"/>
            <w:gridSpan w:val="2"/>
            <w:shd w:val="clear" w:color="auto" w:fill="CCEEFF"/>
          </w:tcPr>
          <w:p>
            <w:pPr>
              <w:spacing w:after="0"/>
              <w:rPr>
                <w:sz w:val="6"/>
                <w:szCs w:val="6"/>
                <w:color w:val="auto"/>
              </w:rPr>
            </w:pPr>
          </w:p>
        </w:tc>
      </w:tr>
      <w:tr>
        <w:trPr>
          <w:trHeight w:val="151"/>
        </w:trPr>
        <w:tc>
          <w:tcPr>
            <w:tcW w:w="1680" w:type="dxa"/>
            <w:vAlign w:val="bottom"/>
            <w:tcBorders>
              <w:bottom w:val="single" w:sz="8" w:color="CCEEFF"/>
            </w:tcBorders>
          </w:tcPr>
          <w:p>
            <w:pPr>
              <w:ind w:left="400"/>
              <w:spacing w:after="0"/>
              <w:rPr>
                <w:sz w:val="20"/>
                <w:szCs w:val="20"/>
                <w:color w:val="auto"/>
              </w:rPr>
            </w:pPr>
            <w:r>
              <w:rPr>
                <w:rFonts w:ascii="Arial" w:cs="Arial" w:eastAsia="Arial" w:hAnsi="Arial"/>
                <w:sz w:val="10"/>
                <w:szCs w:val="10"/>
                <w:b w:val="1"/>
                <w:bCs w:val="1"/>
                <w:color w:val="auto"/>
              </w:rPr>
              <w:t>Total revenue</w:t>
            </w:r>
          </w:p>
        </w:tc>
        <w:tc>
          <w:tcPr>
            <w:tcW w:w="3260" w:type="dxa"/>
            <w:vAlign w:val="bottom"/>
            <w:tcBorders>
              <w:bottom w:val="single" w:sz="8" w:color="CCEEFF"/>
            </w:tcBorders>
          </w:tcPr>
          <w:p>
            <w:pPr>
              <w:spacing w:after="0"/>
              <w:rPr>
                <w:sz w:val="13"/>
                <w:szCs w:val="13"/>
                <w:color w:val="auto"/>
              </w:rPr>
            </w:pPr>
          </w:p>
        </w:tc>
        <w:tc>
          <w:tcPr>
            <w:tcW w:w="540" w:type="dxa"/>
            <w:vAlign w:val="bottom"/>
            <w:tcBorders>
              <w:bottom w:val="single" w:sz="8" w:color="auto"/>
            </w:tcBorders>
          </w:tcPr>
          <w:p>
            <w:pPr>
              <w:jc w:val="right"/>
              <w:ind w:right="232"/>
              <w:spacing w:after="0"/>
              <w:rPr>
                <w:sz w:val="20"/>
                <w:szCs w:val="20"/>
                <w:color w:val="auto"/>
              </w:rPr>
            </w:pPr>
            <w:r>
              <w:rPr>
                <w:rFonts w:ascii="Arial" w:cs="Arial" w:eastAsia="Arial" w:hAnsi="Arial"/>
                <w:sz w:val="10"/>
                <w:szCs w:val="10"/>
                <w:b w:val="1"/>
                <w:bCs w:val="1"/>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237,861</w:t>
            </w:r>
          </w:p>
        </w:tc>
        <w:tc>
          <w:tcPr>
            <w:tcW w:w="260" w:type="dxa"/>
            <w:vAlign w:val="bottom"/>
            <w:tcBorders>
              <w:bottom w:val="single" w:sz="8" w:color="CCEEFF"/>
            </w:tcBorders>
          </w:tcPr>
          <w:p>
            <w:pPr>
              <w:spacing w:after="0"/>
              <w:rPr>
                <w:sz w:val="13"/>
                <w:szCs w:val="13"/>
                <w:color w:val="auto"/>
              </w:rPr>
            </w:pPr>
          </w:p>
        </w:tc>
        <w:tc>
          <w:tcPr>
            <w:tcW w:w="880" w:type="dxa"/>
            <w:vAlign w:val="bottom"/>
            <w:tcBorders>
              <w:bottom w:val="single" w:sz="8" w:color="CCEEFF"/>
            </w:tcBorders>
          </w:tcPr>
          <w:p>
            <w:pPr>
              <w:jc w:val="right"/>
              <w:ind w:right="332"/>
              <w:spacing w:after="0"/>
              <w:rPr>
                <w:sz w:val="20"/>
                <w:szCs w:val="20"/>
                <w:color w:val="auto"/>
              </w:rPr>
            </w:pPr>
            <w:r>
              <w:rPr>
                <w:rFonts w:ascii="Arial" w:cs="Arial" w:eastAsia="Arial" w:hAnsi="Arial"/>
                <w:sz w:val="10"/>
                <w:szCs w:val="10"/>
                <w:i w:val="1"/>
                <w:iCs w:val="1"/>
                <w:color w:val="auto"/>
              </w:rPr>
              <w:t>100 %</w:t>
            </w:r>
          </w:p>
        </w:tc>
        <w:tc>
          <w:tcPr>
            <w:tcW w:w="500" w:type="dxa"/>
            <w:vAlign w:val="bottom"/>
            <w:tcBorders>
              <w:bottom w:val="single" w:sz="8" w:color="auto"/>
            </w:tcBorders>
          </w:tcPr>
          <w:p>
            <w:pPr>
              <w:jc w:val="right"/>
              <w:ind w:right="212"/>
              <w:spacing w:after="0"/>
              <w:rPr>
                <w:sz w:val="20"/>
                <w:szCs w:val="20"/>
                <w:color w:val="auto"/>
              </w:rPr>
            </w:pPr>
            <w:r>
              <w:rPr>
                <w:rFonts w:ascii="Arial" w:cs="Arial" w:eastAsia="Arial" w:hAnsi="Arial"/>
                <w:sz w:val="10"/>
                <w:szCs w:val="10"/>
                <w:b w:val="1"/>
                <w:bCs w:val="1"/>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239,417</w:t>
            </w:r>
          </w:p>
        </w:tc>
        <w:tc>
          <w:tcPr>
            <w:tcW w:w="240" w:type="dxa"/>
            <w:vAlign w:val="bottom"/>
            <w:tcBorders>
              <w:bottom w:val="single" w:sz="8" w:color="CCEEFF"/>
            </w:tcBorders>
          </w:tcPr>
          <w:p>
            <w:pPr>
              <w:spacing w:after="0"/>
              <w:rPr>
                <w:sz w:val="13"/>
                <w:szCs w:val="13"/>
                <w:color w:val="auto"/>
              </w:rPr>
            </w:pPr>
          </w:p>
        </w:tc>
        <w:tc>
          <w:tcPr>
            <w:tcW w:w="960" w:type="dxa"/>
            <w:vAlign w:val="bottom"/>
            <w:tcBorders>
              <w:bottom w:val="single" w:sz="8" w:color="CCEEFF"/>
            </w:tcBorders>
          </w:tcPr>
          <w:p>
            <w:pPr>
              <w:jc w:val="right"/>
              <w:ind w:right="412"/>
              <w:spacing w:after="0"/>
              <w:rPr>
                <w:sz w:val="20"/>
                <w:szCs w:val="20"/>
                <w:color w:val="auto"/>
              </w:rPr>
            </w:pPr>
            <w:r>
              <w:rPr>
                <w:rFonts w:ascii="Arial" w:cs="Arial" w:eastAsia="Arial" w:hAnsi="Arial"/>
                <w:sz w:val="10"/>
                <w:szCs w:val="10"/>
                <w:i w:val="1"/>
                <w:iCs w:val="1"/>
                <w:color w:val="auto"/>
              </w:rPr>
              <w:t>100 %</w:t>
            </w:r>
          </w:p>
        </w:tc>
        <w:tc>
          <w:tcPr>
            <w:tcW w:w="1000" w:type="dxa"/>
            <w:vAlign w:val="bottom"/>
            <w:tcBorders>
              <w:bottom w:val="single" w:sz="8" w:color="CCEEFF"/>
            </w:tcBorders>
            <w:gridSpan w:val="2"/>
          </w:tcPr>
          <w:p>
            <w:pPr>
              <w:jc w:val="right"/>
              <w:ind w:right="232"/>
              <w:spacing w:after="0"/>
              <w:rPr>
                <w:sz w:val="20"/>
                <w:szCs w:val="20"/>
                <w:color w:val="auto"/>
              </w:rPr>
            </w:pPr>
            <w:r>
              <w:rPr>
                <w:rFonts w:ascii="Arial" w:cs="Arial" w:eastAsia="Arial" w:hAnsi="Arial"/>
                <w:sz w:val="10"/>
                <w:szCs w:val="10"/>
                <w:color w:val="auto"/>
              </w:rPr>
              <w:t>(1) %</w:t>
            </w:r>
          </w:p>
        </w:tc>
      </w:tr>
      <w:tr>
        <w:trPr>
          <w:trHeight w:val="223"/>
        </w:trPr>
        <w:tc>
          <w:tcPr>
            <w:tcW w:w="1680" w:type="dxa"/>
            <w:vAlign w:val="bottom"/>
            <w:shd w:val="clear" w:color="auto" w:fill="CCEEFF"/>
          </w:tcPr>
          <w:p>
            <w:pPr>
              <w:spacing w:after="0"/>
              <w:rPr>
                <w:sz w:val="20"/>
                <w:szCs w:val="20"/>
                <w:color w:val="auto"/>
              </w:rPr>
            </w:pPr>
            <w:r>
              <w:rPr>
                <w:rFonts w:ascii="Arial" w:cs="Arial" w:eastAsia="Arial" w:hAnsi="Arial"/>
                <w:sz w:val="10"/>
                <w:szCs w:val="10"/>
                <w:b w:val="1"/>
                <w:bCs w:val="1"/>
                <w:color w:val="auto"/>
              </w:rPr>
              <w:t>OPERATING EXPENSE</w:t>
            </w:r>
          </w:p>
        </w:tc>
        <w:tc>
          <w:tcPr>
            <w:tcW w:w="32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r>
      <w:tr>
        <w:trPr>
          <w:trHeight w:val="333"/>
        </w:trPr>
        <w:tc>
          <w:tcPr>
            <w:tcW w:w="4940" w:type="dxa"/>
            <w:vAlign w:val="bottom"/>
            <w:gridSpan w:val="2"/>
          </w:tcPr>
          <w:p>
            <w:pPr>
              <w:ind w:left="400"/>
              <w:spacing w:after="0"/>
              <w:rPr>
                <w:sz w:val="20"/>
                <w:szCs w:val="20"/>
                <w:color w:val="auto"/>
              </w:rPr>
            </w:pPr>
            <w:r>
              <w:rPr>
                <w:rFonts w:ascii="Arial" w:cs="Arial" w:eastAsia="Arial" w:hAnsi="Arial"/>
                <w:sz w:val="10"/>
                <w:szCs w:val="10"/>
                <w:b w:val="1"/>
                <w:bCs w:val="1"/>
                <w:color w:val="auto"/>
              </w:rPr>
              <w:t>Cost of services and products (excl. depreciation and amortization)</w:t>
            </w: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153"/>
        </w:trPr>
        <w:tc>
          <w:tcPr>
            <w:tcW w:w="1680" w:type="dxa"/>
            <w:vAlign w:val="bottom"/>
            <w:shd w:val="clear" w:color="auto" w:fill="CCEEFF"/>
          </w:tcPr>
          <w:p>
            <w:pPr>
              <w:ind w:left="800"/>
              <w:spacing w:after="0"/>
              <w:rPr>
                <w:sz w:val="20"/>
                <w:szCs w:val="20"/>
                <w:color w:val="auto"/>
              </w:rPr>
            </w:pPr>
            <w:r>
              <w:rPr>
                <w:rFonts w:ascii="Arial" w:cs="Arial" w:eastAsia="Arial" w:hAnsi="Arial"/>
                <w:sz w:val="10"/>
                <w:szCs w:val="10"/>
                <w:b w:val="1"/>
                <w:bCs w:val="1"/>
                <w:color w:val="auto"/>
              </w:rPr>
              <w:t>United States</w:t>
            </w:r>
          </w:p>
        </w:tc>
        <w:tc>
          <w:tcPr>
            <w:tcW w:w="3260" w:type="dxa"/>
            <w:vAlign w:val="bottom"/>
            <w:shd w:val="clear" w:color="auto" w:fill="CCEEFF"/>
          </w:tcPr>
          <w:p>
            <w:pPr>
              <w:ind w:left="300"/>
              <w:spacing w:after="0"/>
              <w:rPr>
                <w:sz w:val="20"/>
                <w:szCs w:val="20"/>
                <w:color w:val="auto"/>
              </w:rPr>
            </w:pPr>
            <w:r>
              <w:rPr>
                <w:rFonts w:ascii="Arial" w:cs="Arial" w:eastAsia="Arial" w:hAnsi="Arial"/>
                <w:sz w:val="10"/>
                <w:szCs w:val="10"/>
                <w:color w:val="auto"/>
              </w:rPr>
              <w:t>Film rent and advertising cost</w:t>
            </w:r>
          </w:p>
        </w:tc>
        <w:tc>
          <w:tcPr>
            <w:tcW w:w="540" w:type="dxa"/>
            <w:vAlign w:val="bottom"/>
            <w:shd w:val="clear" w:color="auto" w:fill="CCEEFF"/>
          </w:tcPr>
          <w:p>
            <w:pPr>
              <w:jc w:val="right"/>
              <w:ind w:right="232"/>
              <w:spacing w:after="0"/>
              <w:rPr>
                <w:sz w:val="20"/>
                <w:szCs w:val="20"/>
                <w:color w:val="auto"/>
              </w:rPr>
            </w:pPr>
            <w:r>
              <w:rPr>
                <w:rFonts w:ascii="Arial" w:cs="Arial" w:eastAsia="Arial" w:hAnsi="Arial"/>
                <w:sz w:val="10"/>
                <w:szCs w:val="10"/>
                <w:color w:val="auto"/>
              </w:rPr>
              <w:t>$</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0"/>
                <w:szCs w:val="10"/>
                <w:color w:val="auto"/>
              </w:rPr>
              <w:t>(43,511)</w:t>
            </w:r>
          </w:p>
        </w:tc>
        <w:tc>
          <w:tcPr>
            <w:tcW w:w="880" w:type="dxa"/>
            <w:vAlign w:val="bottom"/>
            <w:shd w:val="clear" w:color="auto" w:fill="CCEEFF"/>
          </w:tcPr>
          <w:p>
            <w:pPr>
              <w:jc w:val="right"/>
              <w:ind w:right="332"/>
              <w:spacing w:after="0"/>
              <w:rPr>
                <w:sz w:val="20"/>
                <w:szCs w:val="20"/>
                <w:color w:val="auto"/>
              </w:rPr>
            </w:pPr>
            <w:r>
              <w:rPr>
                <w:rFonts w:ascii="Arial" w:cs="Arial" w:eastAsia="Arial" w:hAnsi="Arial"/>
                <w:sz w:val="10"/>
                <w:szCs w:val="10"/>
                <w:i w:val="1"/>
                <w:iCs w:val="1"/>
                <w:color w:val="auto"/>
              </w:rPr>
              <w:t>(35)%</w:t>
            </w:r>
          </w:p>
        </w:tc>
        <w:tc>
          <w:tcPr>
            <w:tcW w:w="500" w:type="dxa"/>
            <w:vAlign w:val="bottom"/>
            <w:shd w:val="clear" w:color="auto" w:fill="CCEEFF"/>
          </w:tcPr>
          <w:p>
            <w:pPr>
              <w:jc w:val="right"/>
              <w:ind w:right="212"/>
              <w:spacing w:after="0"/>
              <w:rPr>
                <w:sz w:val="20"/>
                <w:szCs w:val="20"/>
                <w:color w:val="auto"/>
              </w:rPr>
            </w:pPr>
            <w:r>
              <w:rPr>
                <w:rFonts w:ascii="Arial" w:cs="Arial" w:eastAsia="Arial" w:hAnsi="Arial"/>
                <w:sz w:val="10"/>
                <w:szCs w:val="10"/>
                <w:color w:val="auto"/>
              </w:rPr>
              <w:t>$</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(44,284)</w:t>
            </w:r>
          </w:p>
        </w:tc>
        <w:tc>
          <w:tcPr>
            <w:tcW w:w="960" w:type="dxa"/>
            <w:vAlign w:val="bottom"/>
            <w:shd w:val="clear" w:color="auto" w:fill="CCEEFF"/>
          </w:tcPr>
          <w:p>
            <w:pPr>
              <w:jc w:val="right"/>
              <w:ind w:right="412"/>
              <w:spacing w:after="0"/>
              <w:rPr>
                <w:sz w:val="20"/>
                <w:szCs w:val="20"/>
                <w:color w:val="auto"/>
              </w:rPr>
            </w:pPr>
            <w:r>
              <w:rPr>
                <w:rFonts w:ascii="Arial" w:cs="Arial" w:eastAsia="Arial" w:hAnsi="Arial"/>
                <w:sz w:val="10"/>
                <w:szCs w:val="10"/>
                <w:i w:val="1"/>
                <w:iCs w:val="1"/>
                <w:color w:val="auto"/>
              </w:rPr>
              <w:t>(35)%</w:t>
            </w: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w:t>
            </w:r>
          </w:p>
        </w:tc>
        <w:tc>
          <w:tcPr>
            <w:tcW w:w="380" w:type="dxa"/>
            <w:vAlign w:val="bottom"/>
            <w:shd w:val="clear" w:color="auto" w:fill="CCEEFF"/>
          </w:tcPr>
          <w:p>
            <w:pPr>
              <w:jc w:val="right"/>
              <w:ind w:right="232"/>
              <w:spacing w:after="0"/>
              <w:rPr>
                <w:sz w:val="20"/>
                <w:szCs w:val="20"/>
                <w:color w:val="auto"/>
              </w:rPr>
            </w:pPr>
            <w:r>
              <w:rPr>
                <w:rFonts w:ascii="Arial" w:cs="Arial" w:eastAsia="Arial" w:hAnsi="Arial"/>
                <w:sz w:val="10"/>
                <w:szCs w:val="10"/>
                <w:color w:val="auto"/>
                <w:w w:val="89"/>
              </w:rPr>
              <w:t>%</w:t>
            </w:r>
          </w:p>
        </w:tc>
      </w:tr>
      <w:tr>
        <w:trPr>
          <w:trHeight w:val="153"/>
        </w:trPr>
        <w:tc>
          <w:tcPr>
            <w:tcW w:w="1680" w:type="dxa"/>
            <w:vAlign w:val="bottom"/>
          </w:tcPr>
          <w:p>
            <w:pPr>
              <w:spacing w:after="0"/>
              <w:rPr>
                <w:sz w:val="13"/>
                <w:szCs w:val="13"/>
                <w:color w:val="auto"/>
              </w:rPr>
            </w:pPr>
          </w:p>
        </w:tc>
        <w:tc>
          <w:tcPr>
            <w:tcW w:w="3260" w:type="dxa"/>
            <w:vAlign w:val="bottom"/>
          </w:tcPr>
          <w:p>
            <w:pPr>
              <w:ind w:left="300"/>
              <w:spacing w:after="0"/>
              <w:rPr>
                <w:sz w:val="20"/>
                <w:szCs w:val="20"/>
                <w:color w:val="auto"/>
              </w:rPr>
            </w:pPr>
            <w:r>
              <w:rPr>
                <w:rFonts w:ascii="Arial" w:cs="Arial" w:eastAsia="Arial" w:hAnsi="Arial"/>
                <w:sz w:val="10"/>
                <w:szCs w:val="10"/>
                <w:color w:val="auto"/>
              </w:rPr>
              <w:t>Concession cost</w:t>
            </w:r>
          </w:p>
        </w:tc>
        <w:tc>
          <w:tcPr>
            <w:tcW w:w="540" w:type="dxa"/>
            <w:vAlign w:val="bottom"/>
          </w:tcPr>
          <w:p>
            <w:pPr>
              <w:spacing w:after="0"/>
              <w:rPr>
                <w:sz w:val="13"/>
                <w:szCs w:val="13"/>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0"/>
                <w:szCs w:val="10"/>
                <w:color w:val="auto"/>
              </w:rPr>
              <w:t>(6,145)</w:t>
            </w:r>
          </w:p>
        </w:tc>
        <w:tc>
          <w:tcPr>
            <w:tcW w:w="880" w:type="dxa"/>
            <w:vAlign w:val="bottom"/>
          </w:tcPr>
          <w:p>
            <w:pPr>
              <w:jc w:val="right"/>
              <w:ind w:right="332"/>
              <w:spacing w:after="0"/>
              <w:rPr>
                <w:sz w:val="20"/>
                <w:szCs w:val="20"/>
                <w:color w:val="auto"/>
              </w:rPr>
            </w:pPr>
            <w:r>
              <w:rPr>
                <w:rFonts w:ascii="Arial" w:cs="Arial" w:eastAsia="Arial" w:hAnsi="Arial"/>
                <w:sz w:val="10"/>
                <w:szCs w:val="10"/>
                <w:i w:val="1"/>
                <w:iCs w:val="1"/>
                <w:color w:val="auto"/>
              </w:rPr>
              <w:t>(5)%</w:t>
            </w:r>
          </w:p>
        </w:tc>
        <w:tc>
          <w:tcPr>
            <w:tcW w:w="500" w:type="dxa"/>
            <w:vAlign w:val="bottom"/>
          </w:tcPr>
          <w:p>
            <w:pPr>
              <w:spacing w:after="0"/>
              <w:rPr>
                <w:sz w:val="13"/>
                <w:szCs w:val="13"/>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0"/>
                <w:szCs w:val="10"/>
                <w:color w:val="auto"/>
              </w:rPr>
              <w:t>(5,924)</w:t>
            </w:r>
          </w:p>
        </w:tc>
        <w:tc>
          <w:tcPr>
            <w:tcW w:w="960" w:type="dxa"/>
            <w:vAlign w:val="bottom"/>
          </w:tcPr>
          <w:p>
            <w:pPr>
              <w:jc w:val="right"/>
              <w:ind w:right="412"/>
              <w:spacing w:after="0"/>
              <w:rPr>
                <w:sz w:val="20"/>
                <w:szCs w:val="20"/>
                <w:color w:val="auto"/>
              </w:rPr>
            </w:pPr>
            <w:r>
              <w:rPr>
                <w:rFonts w:ascii="Arial" w:cs="Arial" w:eastAsia="Arial" w:hAnsi="Arial"/>
                <w:sz w:val="10"/>
                <w:szCs w:val="10"/>
                <w:i w:val="1"/>
                <w:iCs w:val="1"/>
                <w:color w:val="auto"/>
              </w:rPr>
              <w:t>(5)%</w:t>
            </w:r>
          </w:p>
        </w:tc>
        <w:tc>
          <w:tcPr>
            <w:tcW w:w="1000" w:type="dxa"/>
            <w:vAlign w:val="bottom"/>
            <w:gridSpan w:val="2"/>
          </w:tcPr>
          <w:p>
            <w:pPr>
              <w:jc w:val="right"/>
              <w:ind w:right="232"/>
              <w:spacing w:after="0"/>
              <w:rPr>
                <w:sz w:val="20"/>
                <w:szCs w:val="20"/>
                <w:color w:val="auto"/>
              </w:rPr>
            </w:pPr>
            <w:r>
              <w:rPr>
                <w:rFonts w:ascii="Arial" w:cs="Arial" w:eastAsia="Arial" w:hAnsi="Arial"/>
                <w:sz w:val="10"/>
                <w:szCs w:val="10"/>
                <w:color w:val="auto"/>
              </w:rPr>
              <w:t>(4) %</w:t>
            </w:r>
          </w:p>
        </w:tc>
      </w:tr>
      <w:tr>
        <w:trPr>
          <w:trHeight w:val="153"/>
        </w:trPr>
        <w:tc>
          <w:tcPr>
            <w:tcW w:w="1680" w:type="dxa"/>
            <w:vAlign w:val="bottom"/>
            <w:shd w:val="clear" w:color="auto" w:fill="CCEEFF"/>
          </w:tcPr>
          <w:p>
            <w:pPr>
              <w:spacing w:after="0"/>
              <w:rPr>
                <w:sz w:val="13"/>
                <w:szCs w:val="13"/>
                <w:color w:val="auto"/>
              </w:rPr>
            </w:pPr>
          </w:p>
        </w:tc>
        <w:tc>
          <w:tcPr>
            <w:tcW w:w="3260" w:type="dxa"/>
            <w:vAlign w:val="bottom"/>
            <w:shd w:val="clear" w:color="auto" w:fill="CCEEFF"/>
          </w:tcPr>
          <w:p>
            <w:pPr>
              <w:ind w:left="300"/>
              <w:spacing w:after="0"/>
              <w:rPr>
                <w:sz w:val="20"/>
                <w:szCs w:val="20"/>
                <w:color w:val="auto"/>
              </w:rPr>
            </w:pPr>
            <w:r>
              <w:rPr>
                <w:rFonts w:ascii="Arial" w:cs="Arial" w:eastAsia="Arial" w:hAnsi="Arial"/>
                <w:sz w:val="10"/>
                <w:szCs w:val="10"/>
                <w:color w:val="auto"/>
              </w:rPr>
              <w:t>Occupancy expense</w:t>
            </w:r>
          </w:p>
        </w:tc>
        <w:tc>
          <w:tcPr>
            <w:tcW w:w="54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0"/>
                <w:szCs w:val="10"/>
                <w:color w:val="auto"/>
              </w:rPr>
              <w:t>(25,701)</w:t>
            </w:r>
          </w:p>
        </w:tc>
        <w:tc>
          <w:tcPr>
            <w:tcW w:w="880" w:type="dxa"/>
            <w:vAlign w:val="bottom"/>
            <w:shd w:val="clear" w:color="auto" w:fill="CCEEFF"/>
          </w:tcPr>
          <w:p>
            <w:pPr>
              <w:jc w:val="right"/>
              <w:ind w:right="332"/>
              <w:spacing w:after="0"/>
              <w:rPr>
                <w:sz w:val="20"/>
                <w:szCs w:val="20"/>
                <w:color w:val="auto"/>
              </w:rPr>
            </w:pPr>
            <w:r>
              <w:rPr>
                <w:rFonts w:ascii="Arial" w:cs="Arial" w:eastAsia="Arial" w:hAnsi="Arial"/>
                <w:sz w:val="10"/>
                <w:szCs w:val="10"/>
                <w:i w:val="1"/>
                <w:iCs w:val="1"/>
                <w:color w:val="auto"/>
              </w:rPr>
              <w:t>(20)%</w:t>
            </w:r>
          </w:p>
        </w:tc>
        <w:tc>
          <w:tcPr>
            <w:tcW w:w="50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(25,981)</w:t>
            </w:r>
          </w:p>
        </w:tc>
        <w:tc>
          <w:tcPr>
            <w:tcW w:w="960" w:type="dxa"/>
            <w:vAlign w:val="bottom"/>
            <w:shd w:val="clear" w:color="auto" w:fill="CCEEFF"/>
          </w:tcPr>
          <w:p>
            <w:pPr>
              <w:jc w:val="right"/>
              <w:ind w:right="412"/>
              <w:spacing w:after="0"/>
              <w:rPr>
                <w:sz w:val="20"/>
                <w:szCs w:val="20"/>
                <w:color w:val="auto"/>
              </w:rPr>
            </w:pPr>
            <w:r>
              <w:rPr>
                <w:rFonts w:ascii="Arial" w:cs="Arial" w:eastAsia="Arial" w:hAnsi="Arial"/>
                <w:sz w:val="10"/>
                <w:szCs w:val="10"/>
                <w:i w:val="1"/>
                <w:iCs w:val="1"/>
                <w:color w:val="auto"/>
              </w:rPr>
              <w:t>(21)%</w:t>
            </w: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w:t>
            </w:r>
          </w:p>
        </w:tc>
        <w:tc>
          <w:tcPr>
            <w:tcW w:w="380" w:type="dxa"/>
            <w:vAlign w:val="bottom"/>
            <w:shd w:val="clear" w:color="auto" w:fill="CCEEFF"/>
          </w:tcPr>
          <w:p>
            <w:pPr>
              <w:jc w:val="right"/>
              <w:ind w:right="232"/>
              <w:spacing w:after="0"/>
              <w:rPr>
                <w:sz w:val="20"/>
                <w:szCs w:val="20"/>
                <w:color w:val="auto"/>
              </w:rPr>
            </w:pPr>
            <w:r>
              <w:rPr>
                <w:rFonts w:ascii="Arial" w:cs="Arial" w:eastAsia="Arial" w:hAnsi="Arial"/>
                <w:sz w:val="10"/>
                <w:szCs w:val="10"/>
                <w:color w:val="auto"/>
                <w:w w:val="89"/>
              </w:rPr>
              <w:t>%</w:t>
            </w:r>
          </w:p>
        </w:tc>
      </w:tr>
      <w:tr>
        <w:trPr>
          <w:trHeight w:val="153"/>
        </w:trPr>
        <w:tc>
          <w:tcPr>
            <w:tcW w:w="1680" w:type="dxa"/>
            <w:vAlign w:val="bottom"/>
          </w:tcPr>
          <w:p>
            <w:pPr>
              <w:spacing w:after="0"/>
              <w:rPr>
                <w:sz w:val="13"/>
                <w:szCs w:val="13"/>
                <w:color w:val="auto"/>
              </w:rPr>
            </w:pPr>
          </w:p>
        </w:tc>
        <w:tc>
          <w:tcPr>
            <w:tcW w:w="3260" w:type="dxa"/>
            <w:vAlign w:val="bottom"/>
          </w:tcPr>
          <w:p>
            <w:pPr>
              <w:ind w:left="300"/>
              <w:spacing w:after="0"/>
              <w:rPr>
                <w:sz w:val="20"/>
                <w:szCs w:val="20"/>
                <w:color w:val="auto"/>
              </w:rPr>
            </w:pPr>
            <w:r>
              <w:rPr>
                <w:rFonts w:ascii="Arial" w:cs="Arial" w:eastAsia="Arial" w:hAnsi="Arial"/>
                <w:sz w:val="10"/>
                <w:szCs w:val="10"/>
                <w:color w:val="auto"/>
              </w:rPr>
              <w:t>Other operating expense</w:t>
            </w:r>
          </w:p>
        </w:tc>
        <w:tc>
          <w:tcPr>
            <w:tcW w:w="540" w:type="dxa"/>
            <w:vAlign w:val="bottom"/>
          </w:tcPr>
          <w:p>
            <w:pPr>
              <w:spacing w:after="0"/>
              <w:rPr>
                <w:sz w:val="13"/>
                <w:szCs w:val="13"/>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0"/>
                <w:szCs w:val="10"/>
                <w:color w:val="auto"/>
              </w:rPr>
              <w:t>(34,073)</w:t>
            </w:r>
          </w:p>
        </w:tc>
        <w:tc>
          <w:tcPr>
            <w:tcW w:w="880" w:type="dxa"/>
            <w:vAlign w:val="bottom"/>
          </w:tcPr>
          <w:p>
            <w:pPr>
              <w:jc w:val="right"/>
              <w:ind w:right="332"/>
              <w:spacing w:after="0"/>
              <w:rPr>
                <w:sz w:val="20"/>
                <w:szCs w:val="20"/>
                <w:color w:val="auto"/>
              </w:rPr>
            </w:pPr>
            <w:r>
              <w:rPr>
                <w:rFonts w:ascii="Arial" w:cs="Arial" w:eastAsia="Arial" w:hAnsi="Arial"/>
                <w:sz w:val="10"/>
                <w:szCs w:val="10"/>
                <w:i w:val="1"/>
                <w:iCs w:val="1"/>
                <w:color w:val="auto"/>
              </w:rPr>
              <w:t>(27)%</w:t>
            </w:r>
          </w:p>
        </w:tc>
        <w:tc>
          <w:tcPr>
            <w:tcW w:w="500" w:type="dxa"/>
            <w:vAlign w:val="bottom"/>
          </w:tcPr>
          <w:p>
            <w:pPr>
              <w:spacing w:after="0"/>
              <w:rPr>
                <w:sz w:val="13"/>
                <w:szCs w:val="13"/>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0"/>
                <w:szCs w:val="10"/>
                <w:color w:val="auto"/>
              </w:rPr>
              <w:t>(31,929)</w:t>
            </w:r>
          </w:p>
        </w:tc>
        <w:tc>
          <w:tcPr>
            <w:tcW w:w="960" w:type="dxa"/>
            <w:vAlign w:val="bottom"/>
          </w:tcPr>
          <w:p>
            <w:pPr>
              <w:jc w:val="right"/>
              <w:ind w:right="412"/>
              <w:spacing w:after="0"/>
              <w:rPr>
                <w:sz w:val="20"/>
                <w:szCs w:val="20"/>
                <w:color w:val="auto"/>
              </w:rPr>
            </w:pPr>
            <w:r>
              <w:rPr>
                <w:rFonts w:ascii="Arial" w:cs="Arial" w:eastAsia="Arial" w:hAnsi="Arial"/>
                <w:sz w:val="10"/>
                <w:szCs w:val="10"/>
                <w:i w:val="1"/>
                <w:iCs w:val="1"/>
                <w:color w:val="auto"/>
              </w:rPr>
              <w:t>(25)%</w:t>
            </w:r>
          </w:p>
        </w:tc>
        <w:tc>
          <w:tcPr>
            <w:tcW w:w="1000" w:type="dxa"/>
            <w:vAlign w:val="bottom"/>
            <w:gridSpan w:val="2"/>
          </w:tcPr>
          <w:p>
            <w:pPr>
              <w:jc w:val="right"/>
              <w:ind w:right="232"/>
              <w:spacing w:after="0"/>
              <w:rPr>
                <w:sz w:val="20"/>
                <w:szCs w:val="20"/>
                <w:color w:val="auto"/>
              </w:rPr>
            </w:pPr>
            <w:r>
              <w:rPr>
                <w:rFonts w:ascii="Arial" w:cs="Arial" w:eastAsia="Arial" w:hAnsi="Arial"/>
                <w:sz w:val="10"/>
                <w:szCs w:val="10"/>
                <w:color w:val="auto"/>
              </w:rPr>
              <w:t>(7) %</w:t>
            </w:r>
          </w:p>
        </w:tc>
      </w:tr>
      <w:tr>
        <w:trPr>
          <w:trHeight w:val="113"/>
        </w:trPr>
        <w:tc>
          <w:tcPr>
            <w:tcW w:w="1680" w:type="dxa"/>
            <w:vAlign w:val="bottom"/>
            <w:tcBorders>
              <w:top w:val="single" w:sz="8" w:color="CCEEFF"/>
              <w:bottom w:val="single" w:sz="8" w:color="CCEEFF"/>
            </w:tcBorders>
            <w:shd w:val="clear" w:color="auto" w:fill="CCEEFF"/>
          </w:tcPr>
          <w:p>
            <w:pPr>
              <w:spacing w:after="0"/>
              <w:rPr>
                <w:sz w:val="9"/>
                <w:szCs w:val="9"/>
                <w:color w:val="auto"/>
              </w:rPr>
            </w:pPr>
          </w:p>
        </w:tc>
        <w:tc>
          <w:tcPr>
            <w:tcW w:w="3260" w:type="dxa"/>
            <w:vAlign w:val="bottom"/>
            <w:tcBorders>
              <w:top w:val="single" w:sz="8" w:color="CCEEFF"/>
              <w:bottom w:val="single" w:sz="8" w:color="CCEEFF"/>
            </w:tcBorders>
            <w:shd w:val="clear" w:color="auto" w:fill="CCEEFF"/>
          </w:tcPr>
          <w:p>
            <w:pPr>
              <w:spacing w:after="0"/>
              <w:rPr>
                <w:sz w:val="9"/>
                <w:szCs w:val="9"/>
                <w:color w:val="auto"/>
              </w:rPr>
            </w:pPr>
          </w:p>
        </w:tc>
        <w:tc>
          <w:tcPr>
            <w:tcW w:w="540" w:type="dxa"/>
            <w:vAlign w:val="bottom"/>
            <w:tcBorders>
              <w:top w:val="single" w:sz="8" w:color="auto"/>
              <w:bottom w:val="single" w:sz="8" w:color="CCEEFF"/>
            </w:tcBorders>
            <w:shd w:val="clear" w:color="auto" w:fill="CCEEFF"/>
          </w:tcPr>
          <w:p>
            <w:pPr>
              <w:jc w:val="right"/>
              <w:ind w:right="232"/>
              <w:spacing w:after="0" w:line="113" w:lineRule="exact"/>
              <w:rPr>
                <w:sz w:val="20"/>
                <w:szCs w:val="20"/>
                <w:color w:val="auto"/>
              </w:rPr>
            </w:pPr>
            <w:r>
              <w:rPr>
                <w:rFonts w:ascii="Arial" w:cs="Arial" w:eastAsia="Arial" w:hAnsi="Arial"/>
                <w:sz w:val="10"/>
                <w:szCs w:val="10"/>
                <w:b w:val="1"/>
                <w:bCs w:val="1"/>
                <w:color w:val="auto"/>
              </w:rPr>
              <w:t>$</w:t>
            </w:r>
          </w:p>
        </w:tc>
        <w:tc>
          <w:tcPr>
            <w:tcW w:w="640" w:type="dxa"/>
            <w:vAlign w:val="bottom"/>
            <w:tcBorders>
              <w:top w:val="single" w:sz="8" w:color="auto"/>
              <w:bottom w:val="single" w:sz="8" w:color="CCEEFF"/>
            </w:tcBorders>
            <w:shd w:val="clear" w:color="auto" w:fill="CCEEFF"/>
          </w:tcPr>
          <w:p>
            <w:pPr>
              <w:jc w:val="right"/>
              <w:spacing w:after="0" w:line="113" w:lineRule="exact"/>
              <w:rPr>
                <w:sz w:val="20"/>
                <w:szCs w:val="20"/>
                <w:color w:val="auto"/>
              </w:rPr>
            </w:pPr>
            <w:r>
              <w:rPr>
                <w:rFonts w:ascii="Arial" w:cs="Arial" w:eastAsia="Arial" w:hAnsi="Arial"/>
                <w:sz w:val="10"/>
                <w:szCs w:val="10"/>
                <w:b w:val="1"/>
                <w:bCs w:val="1"/>
                <w:color w:val="auto"/>
              </w:rPr>
              <w:t>(109,430)</w:t>
            </w:r>
          </w:p>
        </w:tc>
        <w:tc>
          <w:tcPr>
            <w:tcW w:w="260" w:type="dxa"/>
            <w:vAlign w:val="bottom"/>
            <w:tcBorders>
              <w:top w:val="single" w:sz="8" w:color="CCEEFF"/>
              <w:bottom w:val="single" w:sz="8" w:color="CCEEFF"/>
            </w:tcBorders>
            <w:shd w:val="clear" w:color="auto" w:fill="CCEEFF"/>
          </w:tcPr>
          <w:p>
            <w:pPr>
              <w:spacing w:after="0"/>
              <w:rPr>
                <w:sz w:val="9"/>
                <w:szCs w:val="9"/>
                <w:color w:val="auto"/>
              </w:rPr>
            </w:pPr>
          </w:p>
        </w:tc>
        <w:tc>
          <w:tcPr>
            <w:tcW w:w="880" w:type="dxa"/>
            <w:vAlign w:val="bottom"/>
            <w:tcBorders>
              <w:top w:val="single" w:sz="8" w:color="CCEEFF"/>
              <w:bottom w:val="single" w:sz="8" w:color="CCEEFF"/>
            </w:tcBorders>
            <w:shd w:val="clear" w:color="auto" w:fill="CCEEFF"/>
          </w:tcPr>
          <w:p>
            <w:pPr>
              <w:jc w:val="right"/>
              <w:ind w:right="332"/>
              <w:spacing w:after="0" w:line="102" w:lineRule="exact"/>
              <w:rPr>
                <w:sz w:val="20"/>
                <w:szCs w:val="20"/>
                <w:color w:val="auto"/>
              </w:rPr>
            </w:pPr>
            <w:r>
              <w:rPr>
                <w:rFonts w:ascii="Arial" w:cs="Arial" w:eastAsia="Arial" w:hAnsi="Arial"/>
                <w:sz w:val="10"/>
                <w:szCs w:val="10"/>
                <w:i w:val="1"/>
                <w:iCs w:val="1"/>
                <w:color w:val="auto"/>
              </w:rPr>
              <w:t>(87)%</w:t>
            </w:r>
          </w:p>
        </w:tc>
        <w:tc>
          <w:tcPr>
            <w:tcW w:w="500" w:type="dxa"/>
            <w:vAlign w:val="bottom"/>
            <w:tcBorders>
              <w:top w:val="single" w:sz="8" w:color="auto"/>
              <w:bottom w:val="single" w:sz="8" w:color="CCEEFF"/>
            </w:tcBorders>
            <w:shd w:val="clear" w:color="auto" w:fill="CCEEFF"/>
          </w:tcPr>
          <w:p>
            <w:pPr>
              <w:jc w:val="right"/>
              <w:ind w:right="212"/>
              <w:spacing w:after="0" w:line="113" w:lineRule="exact"/>
              <w:rPr>
                <w:sz w:val="20"/>
                <w:szCs w:val="20"/>
                <w:color w:val="auto"/>
              </w:rPr>
            </w:pPr>
            <w:r>
              <w:rPr>
                <w:rFonts w:ascii="Arial" w:cs="Arial" w:eastAsia="Arial" w:hAnsi="Arial"/>
                <w:sz w:val="10"/>
                <w:szCs w:val="10"/>
                <w:b w:val="1"/>
                <w:bCs w:val="1"/>
                <w:color w:val="auto"/>
              </w:rPr>
              <w:t>$</w:t>
            </w:r>
          </w:p>
        </w:tc>
        <w:tc>
          <w:tcPr>
            <w:tcW w:w="660" w:type="dxa"/>
            <w:vAlign w:val="bottom"/>
            <w:tcBorders>
              <w:top w:val="single" w:sz="8" w:color="auto"/>
              <w:bottom w:val="single" w:sz="8" w:color="CCEEFF"/>
            </w:tcBorders>
            <w:shd w:val="clear" w:color="auto" w:fill="CCEEFF"/>
          </w:tcPr>
          <w:p>
            <w:pPr>
              <w:jc w:val="right"/>
              <w:spacing w:after="0" w:line="113" w:lineRule="exact"/>
              <w:rPr>
                <w:sz w:val="20"/>
                <w:szCs w:val="20"/>
                <w:color w:val="auto"/>
              </w:rPr>
            </w:pPr>
            <w:r>
              <w:rPr>
                <w:rFonts w:ascii="Arial" w:cs="Arial" w:eastAsia="Arial" w:hAnsi="Arial"/>
                <w:sz w:val="10"/>
                <w:szCs w:val="10"/>
                <w:b w:val="1"/>
                <w:bCs w:val="1"/>
                <w:color w:val="auto"/>
              </w:rPr>
              <w:t>(108,118)</w:t>
            </w:r>
          </w:p>
        </w:tc>
        <w:tc>
          <w:tcPr>
            <w:tcW w:w="240" w:type="dxa"/>
            <w:vAlign w:val="bottom"/>
            <w:tcBorders>
              <w:top w:val="single" w:sz="8" w:color="CCEEFF"/>
              <w:bottom w:val="single" w:sz="8" w:color="CCEEFF"/>
            </w:tcBorders>
            <w:shd w:val="clear" w:color="auto" w:fill="CCEEFF"/>
          </w:tcPr>
          <w:p>
            <w:pPr>
              <w:spacing w:after="0"/>
              <w:rPr>
                <w:sz w:val="9"/>
                <w:szCs w:val="9"/>
                <w:color w:val="auto"/>
              </w:rPr>
            </w:pPr>
          </w:p>
        </w:tc>
        <w:tc>
          <w:tcPr>
            <w:tcW w:w="960" w:type="dxa"/>
            <w:vAlign w:val="bottom"/>
            <w:tcBorders>
              <w:top w:val="single" w:sz="8" w:color="CCEEFF"/>
              <w:bottom w:val="single" w:sz="8" w:color="CCEEFF"/>
            </w:tcBorders>
            <w:shd w:val="clear" w:color="auto" w:fill="CCEEFF"/>
          </w:tcPr>
          <w:p>
            <w:pPr>
              <w:jc w:val="right"/>
              <w:ind w:right="412"/>
              <w:spacing w:after="0" w:line="102" w:lineRule="exact"/>
              <w:rPr>
                <w:sz w:val="20"/>
                <w:szCs w:val="20"/>
                <w:color w:val="auto"/>
              </w:rPr>
            </w:pPr>
            <w:r>
              <w:rPr>
                <w:rFonts w:ascii="Arial" w:cs="Arial" w:eastAsia="Arial" w:hAnsi="Arial"/>
                <w:sz w:val="10"/>
                <w:szCs w:val="10"/>
                <w:i w:val="1"/>
                <w:iCs w:val="1"/>
                <w:color w:val="auto"/>
              </w:rPr>
              <w:t>(86)%</w:t>
            </w:r>
          </w:p>
        </w:tc>
        <w:tc>
          <w:tcPr>
            <w:tcW w:w="1000" w:type="dxa"/>
            <w:vAlign w:val="bottom"/>
            <w:tcBorders>
              <w:top w:val="single" w:sz="8" w:color="CCEEFF"/>
              <w:bottom w:val="single" w:sz="8" w:color="CCEEFF"/>
            </w:tcBorders>
            <w:gridSpan w:val="2"/>
            <w:shd w:val="clear" w:color="auto" w:fill="CCEEFF"/>
          </w:tcPr>
          <w:p>
            <w:pPr>
              <w:jc w:val="right"/>
              <w:ind w:right="232"/>
              <w:spacing w:after="0" w:line="102" w:lineRule="exact"/>
              <w:rPr>
                <w:sz w:val="20"/>
                <w:szCs w:val="20"/>
                <w:color w:val="auto"/>
              </w:rPr>
            </w:pPr>
            <w:r>
              <w:rPr>
                <w:rFonts w:ascii="Arial" w:cs="Arial" w:eastAsia="Arial" w:hAnsi="Arial"/>
                <w:sz w:val="10"/>
                <w:szCs w:val="10"/>
                <w:color w:val="auto"/>
              </w:rPr>
              <w:t>(1) %</w:t>
            </w:r>
          </w:p>
        </w:tc>
      </w:tr>
      <w:tr>
        <w:trPr>
          <w:trHeight w:val="153"/>
        </w:trPr>
        <w:tc>
          <w:tcPr>
            <w:tcW w:w="1680" w:type="dxa"/>
            <w:vAlign w:val="bottom"/>
          </w:tcPr>
          <w:p>
            <w:pPr>
              <w:ind w:left="800"/>
              <w:spacing w:after="0"/>
              <w:rPr>
                <w:sz w:val="20"/>
                <w:szCs w:val="20"/>
                <w:color w:val="auto"/>
              </w:rPr>
            </w:pPr>
            <w:r>
              <w:rPr>
                <w:rFonts w:ascii="Arial" w:cs="Arial" w:eastAsia="Arial" w:hAnsi="Arial"/>
                <w:sz w:val="10"/>
                <w:szCs w:val="10"/>
                <w:b w:val="1"/>
                <w:bCs w:val="1"/>
                <w:color w:val="auto"/>
              </w:rPr>
              <w:t>Australia</w:t>
            </w:r>
          </w:p>
        </w:tc>
        <w:tc>
          <w:tcPr>
            <w:tcW w:w="3260" w:type="dxa"/>
            <w:vAlign w:val="bottom"/>
          </w:tcPr>
          <w:p>
            <w:pPr>
              <w:ind w:left="300"/>
              <w:spacing w:after="0"/>
              <w:rPr>
                <w:sz w:val="20"/>
                <w:szCs w:val="20"/>
                <w:color w:val="auto"/>
              </w:rPr>
            </w:pPr>
            <w:r>
              <w:rPr>
                <w:rFonts w:ascii="Arial" w:cs="Arial" w:eastAsia="Arial" w:hAnsi="Arial"/>
                <w:sz w:val="10"/>
                <w:szCs w:val="10"/>
                <w:color w:val="auto"/>
              </w:rPr>
              <w:t>Film rent and advertising cost</w:t>
            </w:r>
          </w:p>
        </w:tc>
        <w:tc>
          <w:tcPr>
            <w:tcW w:w="540" w:type="dxa"/>
            <w:vAlign w:val="bottom"/>
          </w:tcPr>
          <w:p>
            <w:pPr>
              <w:spacing w:after="0"/>
              <w:rPr>
                <w:sz w:val="13"/>
                <w:szCs w:val="13"/>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0"/>
                <w:szCs w:val="10"/>
                <w:color w:val="auto"/>
              </w:rPr>
              <w:t>(26,677)</w:t>
            </w:r>
          </w:p>
        </w:tc>
        <w:tc>
          <w:tcPr>
            <w:tcW w:w="880" w:type="dxa"/>
            <w:vAlign w:val="bottom"/>
          </w:tcPr>
          <w:p>
            <w:pPr>
              <w:jc w:val="right"/>
              <w:ind w:right="332"/>
              <w:spacing w:after="0"/>
              <w:rPr>
                <w:sz w:val="20"/>
                <w:szCs w:val="20"/>
                <w:color w:val="auto"/>
              </w:rPr>
            </w:pPr>
            <w:r>
              <w:rPr>
                <w:rFonts w:ascii="Arial" w:cs="Arial" w:eastAsia="Arial" w:hAnsi="Arial"/>
                <w:sz w:val="10"/>
                <w:szCs w:val="10"/>
                <w:i w:val="1"/>
                <w:iCs w:val="1"/>
                <w:color w:val="auto"/>
              </w:rPr>
              <w:t>(30)%</w:t>
            </w:r>
          </w:p>
        </w:tc>
        <w:tc>
          <w:tcPr>
            <w:tcW w:w="500" w:type="dxa"/>
            <w:vAlign w:val="bottom"/>
          </w:tcPr>
          <w:p>
            <w:pPr>
              <w:spacing w:after="0"/>
              <w:rPr>
                <w:sz w:val="13"/>
                <w:szCs w:val="13"/>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0"/>
                <w:szCs w:val="10"/>
                <w:color w:val="auto"/>
              </w:rPr>
              <w:t>(29,060)</w:t>
            </w:r>
          </w:p>
        </w:tc>
        <w:tc>
          <w:tcPr>
            <w:tcW w:w="960" w:type="dxa"/>
            <w:vAlign w:val="bottom"/>
          </w:tcPr>
          <w:p>
            <w:pPr>
              <w:jc w:val="right"/>
              <w:ind w:right="412"/>
              <w:spacing w:after="0"/>
              <w:rPr>
                <w:sz w:val="20"/>
                <w:szCs w:val="20"/>
                <w:color w:val="auto"/>
              </w:rPr>
            </w:pPr>
            <w:r>
              <w:rPr>
                <w:rFonts w:ascii="Arial" w:cs="Arial" w:eastAsia="Arial" w:hAnsi="Arial"/>
                <w:sz w:val="10"/>
                <w:szCs w:val="10"/>
                <w:i w:val="1"/>
                <w:iCs w:val="1"/>
                <w:color w:val="auto"/>
              </w:rPr>
              <w:t>(32)%</w:t>
            </w:r>
          </w:p>
        </w:tc>
        <w:tc>
          <w:tcPr>
            <w:tcW w:w="620" w:type="dxa"/>
            <w:vAlign w:val="bottom"/>
          </w:tcPr>
          <w:p>
            <w:pPr>
              <w:jc w:val="right"/>
              <w:spacing w:after="0"/>
              <w:rPr>
                <w:sz w:val="20"/>
                <w:szCs w:val="20"/>
                <w:color w:val="auto"/>
              </w:rPr>
            </w:pPr>
            <w:r>
              <w:rPr>
                <w:rFonts w:ascii="Arial" w:cs="Arial" w:eastAsia="Arial" w:hAnsi="Arial"/>
                <w:sz w:val="10"/>
                <w:szCs w:val="10"/>
                <w:color w:val="auto"/>
              </w:rPr>
              <w:t>8</w:t>
            </w:r>
          </w:p>
        </w:tc>
        <w:tc>
          <w:tcPr>
            <w:tcW w:w="380" w:type="dxa"/>
            <w:vAlign w:val="bottom"/>
          </w:tcPr>
          <w:p>
            <w:pPr>
              <w:jc w:val="right"/>
              <w:ind w:right="232"/>
              <w:spacing w:after="0"/>
              <w:rPr>
                <w:sz w:val="20"/>
                <w:szCs w:val="20"/>
                <w:color w:val="auto"/>
              </w:rPr>
            </w:pPr>
            <w:r>
              <w:rPr>
                <w:rFonts w:ascii="Arial" w:cs="Arial" w:eastAsia="Arial" w:hAnsi="Arial"/>
                <w:sz w:val="10"/>
                <w:szCs w:val="10"/>
                <w:color w:val="auto"/>
                <w:w w:val="89"/>
              </w:rPr>
              <w:t>%</w:t>
            </w:r>
          </w:p>
        </w:tc>
      </w:tr>
      <w:tr>
        <w:trPr>
          <w:trHeight w:val="153"/>
        </w:trPr>
        <w:tc>
          <w:tcPr>
            <w:tcW w:w="1680" w:type="dxa"/>
            <w:vAlign w:val="bottom"/>
            <w:shd w:val="clear" w:color="auto" w:fill="CCEEFF"/>
          </w:tcPr>
          <w:p>
            <w:pPr>
              <w:spacing w:after="0"/>
              <w:rPr>
                <w:sz w:val="13"/>
                <w:szCs w:val="13"/>
                <w:color w:val="auto"/>
              </w:rPr>
            </w:pPr>
          </w:p>
        </w:tc>
        <w:tc>
          <w:tcPr>
            <w:tcW w:w="3260" w:type="dxa"/>
            <w:vAlign w:val="bottom"/>
            <w:shd w:val="clear" w:color="auto" w:fill="CCEEFF"/>
          </w:tcPr>
          <w:p>
            <w:pPr>
              <w:ind w:left="300"/>
              <w:spacing w:after="0"/>
              <w:rPr>
                <w:sz w:val="20"/>
                <w:szCs w:val="20"/>
                <w:color w:val="auto"/>
              </w:rPr>
            </w:pPr>
            <w:r>
              <w:rPr>
                <w:rFonts w:ascii="Arial" w:cs="Arial" w:eastAsia="Arial" w:hAnsi="Arial"/>
                <w:sz w:val="10"/>
                <w:szCs w:val="10"/>
                <w:color w:val="auto"/>
              </w:rPr>
              <w:t>Concession cost</w:t>
            </w:r>
          </w:p>
        </w:tc>
        <w:tc>
          <w:tcPr>
            <w:tcW w:w="54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0"/>
                <w:szCs w:val="10"/>
                <w:color w:val="auto"/>
              </w:rPr>
              <w:t>(4,781)</w:t>
            </w:r>
          </w:p>
        </w:tc>
        <w:tc>
          <w:tcPr>
            <w:tcW w:w="880" w:type="dxa"/>
            <w:vAlign w:val="bottom"/>
            <w:shd w:val="clear" w:color="auto" w:fill="CCEEFF"/>
          </w:tcPr>
          <w:p>
            <w:pPr>
              <w:jc w:val="right"/>
              <w:ind w:right="332"/>
              <w:spacing w:after="0"/>
              <w:rPr>
                <w:sz w:val="20"/>
                <w:szCs w:val="20"/>
                <w:color w:val="auto"/>
              </w:rPr>
            </w:pPr>
            <w:r>
              <w:rPr>
                <w:rFonts w:ascii="Arial" w:cs="Arial" w:eastAsia="Arial" w:hAnsi="Arial"/>
                <w:sz w:val="10"/>
                <w:szCs w:val="10"/>
                <w:i w:val="1"/>
                <w:iCs w:val="1"/>
                <w:color w:val="auto"/>
              </w:rPr>
              <w:t>(5)%</w:t>
            </w:r>
          </w:p>
        </w:tc>
        <w:tc>
          <w:tcPr>
            <w:tcW w:w="50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(4,847)</w:t>
            </w:r>
          </w:p>
        </w:tc>
        <w:tc>
          <w:tcPr>
            <w:tcW w:w="960" w:type="dxa"/>
            <w:vAlign w:val="bottom"/>
            <w:shd w:val="clear" w:color="auto" w:fill="CCEEFF"/>
          </w:tcPr>
          <w:p>
            <w:pPr>
              <w:jc w:val="right"/>
              <w:ind w:right="412"/>
              <w:spacing w:after="0"/>
              <w:rPr>
                <w:sz w:val="20"/>
                <w:szCs w:val="20"/>
                <w:color w:val="auto"/>
              </w:rPr>
            </w:pPr>
            <w:r>
              <w:rPr>
                <w:rFonts w:ascii="Arial" w:cs="Arial" w:eastAsia="Arial" w:hAnsi="Arial"/>
                <w:sz w:val="10"/>
                <w:szCs w:val="10"/>
                <w:i w:val="1"/>
                <w:iCs w:val="1"/>
                <w:color w:val="auto"/>
              </w:rPr>
              <w:t>(5)%</w:t>
            </w: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w:t>
            </w:r>
          </w:p>
        </w:tc>
        <w:tc>
          <w:tcPr>
            <w:tcW w:w="380" w:type="dxa"/>
            <w:vAlign w:val="bottom"/>
            <w:shd w:val="clear" w:color="auto" w:fill="CCEEFF"/>
          </w:tcPr>
          <w:p>
            <w:pPr>
              <w:jc w:val="right"/>
              <w:ind w:right="232"/>
              <w:spacing w:after="0"/>
              <w:rPr>
                <w:sz w:val="20"/>
                <w:szCs w:val="20"/>
                <w:color w:val="auto"/>
              </w:rPr>
            </w:pPr>
            <w:r>
              <w:rPr>
                <w:rFonts w:ascii="Arial" w:cs="Arial" w:eastAsia="Arial" w:hAnsi="Arial"/>
                <w:sz w:val="10"/>
                <w:szCs w:val="10"/>
                <w:color w:val="auto"/>
                <w:w w:val="89"/>
              </w:rPr>
              <w:t>%</w:t>
            </w:r>
          </w:p>
        </w:tc>
      </w:tr>
      <w:tr>
        <w:trPr>
          <w:trHeight w:val="153"/>
        </w:trPr>
        <w:tc>
          <w:tcPr>
            <w:tcW w:w="1680" w:type="dxa"/>
            <w:vAlign w:val="bottom"/>
          </w:tcPr>
          <w:p>
            <w:pPr>
              <w:spacing w:after="0"/>
              <w:rPr>
                <w:sz w:val="13"/>
                <w:szCs w:val="13"/>
                <w:color w:val="auto"/>
              </w:rPr>
            </w:pPr>
          </w:p>
        </w:tc>
        <w:tc>
          <w:tcPr>
            <w:tcW w:w="3260" w:type="dxa"/>
            <w:vAlign w:val="bottom"/>
          </w:tcPr>
          <w:p>
            <w:pPr>
              <w:ind w:left="300"/>
              <w:spacing w:after="0"/>
              <w:rPr>
                <w:sz w:val="20"/>
                <w:szCs w:val="20"/>
                <w:color w:val="auto"/>
              </w:rPr>
            </w:pPr>
            <w:r>
              <w:rPr>
                <w:rFonts w:ascii="Arial" w:cs="Arial" w:eastAsia="Arial" w:hAnsi="Arial"/>
                <w:sz w:val="10"/>
                <w:szCs w:val="10"/>
                <w:color w:val="auto"/>
              </w:rPr>
              <w:t>Occupancy expense</w:t>
            </w:r>
          </w:p>
        </w:tc>
        <w:tc>
          <w:tcPr>
            <w:tcW w:w="540" w:type="dxa"/>
            <w:vAlign w:val="bottom"/>
          </w:tcPr>
          <w:p>
            <w:pPr>
              <w:spacing w:after="0"/>
              <w:rPr>
                <w:sz w:val="13"/>
                <w:szCs w:val="13"/>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0"/>
                <w:szCs w:val="10"/>
                <w:color w:val="auto"/>
              </w:rPr>
              <w:t>(16,995)</w:t>
            </w:r>
          </w:p>
        </w:tc>
        <w:tc>
          <w:tcPr>
            <w:tcW w:w="880" w:type="dxa"/>
            <w:vAlign w:val="bottom"/>
          </w:tcPr>
          <w:p>
            <w:pPr>
              <w:jc w:val="right"/>
              <w:ind w:right="332"/>
              <w:spacing w:after="0"/>
              <w:rPr>
                <w:sz w:val="20"/>
                <w:szCs w:val="20"/>
                <w:color w:val="auto"/>
              </w:rPr>
            </w:pPr>
            <w:r>
              <w:rPr>
                <w:rFonts w:ascii="Arial" w:cs="Arial" w:eastAsia="Arial" w:hAnsi="Arial"/>
                <w:sz w:val="10"/>
                <w:szCs w:val="10"/>
                <w:i w:val="1"/>
                <w:iCs w:val="1"/>
                <w:color w:val="auto"/>
              </w:rPr>
              <w:t>(19)%</w:t>
            </w:r>
          </w:p>
        </w:tc>
        <w:tc>
          <w:tcPr>
            <w:tcW w:w="500" w:type="dxa"/>
            <w:vAlign w:val="bottom"/>
          </w:tcPr>
          <w:p>
            <w:pPr>
              <w:spacing w:after="0"/>
              <w:rPr>
                <w:sz w:val="13"/>
                <w:szCs w:val="13"/>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0"/>
                <w:szCs w:val="10"/>
                <w:color w:val="auto"/>
              </w:rPr>
              <w:t>(18,371)</w:t>
            </w:r>
          </w:p>
        </w:tc>
        <w:tc>
          <w:tcPr>
            <w:tcW w:w="960" w:type="dxa"/>
            <w:vAlign w:val="bottom"/>
          </w:tcPr>
          <w:p>
            <w:pPr>
              <w:jc w:val="right"/>
              <w:ind w:right="412"/>
              <w:spacing w:after="0"/>
              <w:rPr>
                <w:sz w:val="20"/>
                <w:szCs w:val="20"/>
                <w:color w:val="auto"/>
              </w:rPr>
            </w:pPr>
            <w:r>
              <w:rPr>
                <w:rFonts w:ascii="Arial" w:cs="Arial" w:eastAsia="Arial" w:hAnsi="Arial"/>
                <w:sz w:val="10"/>
                <w:szCs w:val="10"/>
                <w:i w:val="1"/>
                <w:iCs w:val="1"/>
                <w:color w:val="auto"/>
              </w:rPr>
              <w:t>(20)%</w:t>
            </w:r>
          </w:p>
        </w:tc>
        <w:tc>
          <w:tcPr>
            <w:tcW w:w="620" w:type="dxa"/>
            <w:vAlign w:val="bottom"/>
          </w:tcPr>
          <w:p>
            <w:pPr>
              <w:jc w:val="right"/>
              <w:spacing w:after="0"/>
              <w:rPr>
                <w:sz w:val="20"/>
                <w:szCs w:val="20"/>
                <w:color w:val="auto"/>
              </w:rPr>
            </w:pPr>
            <w:r>
              <w:rPr>
                <w:rFonts w:ascii="Arial" w:cs="Arial" w:eastAsia="Arial" w:hAnsi="Arial"/>
                <w:sz w:val="10"/>
                <w:szCs w:val="10"/>
                <w:color w:val="auto"/>
              </w:rPr>
              <w:t>7</w:t>
            </w:r>
          </w:p>
        </w:tc>
        <w:tc>
          <w:tcPr>
            <w:tcW w:w="380" w:type="dxa"/>
            <w:vAlign w:val="bottom"/>
          </w:tcPr>
          <w:p>
            <w:pPr>
              <w:jc w:val="right"/>
              <w:ind w:right="232"/>
              <w:spacing w:after="0"/>
              <w:rPr>
                <w:sz w:val="20"/>
                <w:szCs w:val="20"/>
                <w:color w:val="auto"/>
              </w:rPr>
            </w:pPr>
            <w:r>
              <w:rPr>
                <w:rFonts w:ascii="Arial" w:cs="Arial" w:eastAsia="Arial" w:hAnsi="Arial"/>
                <w:sz w:val="10"/>
                <w:szCs w:val="10"/>
                <w:color w:val="auto"/>
                <w:w w:val="89"/>
              </w:rPr>
              <w:t>%</w:t>
            </w:r>
          </w:p>
        </w:tc>
      </w:tr>
      <w:tr>
        <w:trPr>
          <w:trHeight w:val="153"/>
        </w:trPr>
        <w:tc>
          <w:tcPr>
            <w:tcW w:w="1680" w:type="dxa"/>
            <w:vAlign w:val="bottom"/>
            <w:shd w:val="clear" w:color="auto" w:fill="CCEEFF"/>
          </w:tcPr>
          <w:p>
            <w:pPr>
              <w:spacing w:after="0"/>
              <w:rPr>
                <w:sz w:val="13"/>
                <w:szCs w:val="13"/>
                <w:color w:val="auto"/>
              </w:rPr>
            </w:pPr>
          </w:p>
        </w:tc>
        <w:tc>
          <w:tcPr>
            <w:tcW w:w="3260" w:type="dxa"/>
            <w:vAlign w:val="bottom"/>
            <w:shd w:val="clear" w:color="auto" w:fill="CCEEFF"/>
          </w:tcPr>
          <w:p>
            <w:pPr>
              <w:ind w:left="300"/>
              <w:spacing w:after="0"/>
              <w:rPr>
                <w:sz w:val="20"/>
                <w:szCs w:val="20"/>
                <w:color w:val="auto"/>
              </w:rPr>
            </w:pPr>
            <w:r>
              <w:rPr>
                <w:rFonts w:ascii="Arial" w:cs="Arial" w:eastAsia="Arial" w:hAnsi="Arial"/>
                <w:sz w:val="10"/>
                <w:szCs w:val="10"/>
                <w:color w:val="auto"/>
              </w:rPr>
              <w:t>Other operating expense</w:t>
            </w:r>
          </w:p>
        </w:tc>
        <w:tc>
          <w:tcPr>
            <w:tcW w:w="54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0"/>
                <w:szCs w:val="10"/>
                <w:color w:val="auto"/>
              </w:rPr>
              <w:t>(19,026)</w:t>
            </w:r>
          </w:p>
        </w:tc>
        <w:tc>
          <w:tcPr>
            <w:tcW w:w="880" w:type="dxa"/>
            <w:vAlign w:val="bottom"/>
            <w:shd w:val="clear" w:color="auto" w:fill="CCEEFF"/>
          </w:tcPr>
          <w:p>
            <w:pPr>
              <w:jc w:val="right"/>
              <w:ind w:right="332"/>
              <w:spacing w:after="0"/>
              <w:rPr>
                <w:sz w:val="20"/>
                <w:szCs w:val="20"/>
                <w:color w:val="auto"/>
              </w:rPr>
            </w:pPr>
            <w:r>
              <w:rPr>
                <w:rFonts w:ascii="Arial" w:cs="Arial" w:eastAsia="Arial" w:hAnsi="Arial"/>
                <w:sz w:val="10"/>
                <w:szCs w:val="10"/>
                <w:i w:val="1"/>
                <w:iCs w:val="1"/>
                <w:color w:val="auto"/>
              </w:rPr>
              <w:t>(21)%</w:t>
            </w:r>
          </w:p>
        </w:tc>
        <w:tc>
          <w:tcPr>
            <w:tcW w:w="50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(22,218)</w:t>
            </w:r>
          </w:p>
        </w:tc>
        <w:tc>
          <w:tcPr>
            <w:tcW w:w="960" w:type="dxa"/>
            <w:vAlign w:val="bottom"/>
            <w:shd w:val="clear" w:color="auto" w:fill="CCEEFF"/>
          </w:tcPr>
          <w:p>
            <w:pPr>
              <w:jc w:val="right"/>
              <w:ind w:right="412"/>
              <w:spacing w:after="0"/>
              <w:rPr>
                <w:sz w:val="20"/>
                <w:szCs w:val="20"/>
                <w:color w:val="auto"/>
              </w:rPr>
            </w:pPr>
            <w:r>
              <w:rPr>
                <w:rFonts w:ascii="Arial" w:cs="Arial" w:eastAsia="Arial" w:hAnsi="Arial"/>
                <w:sz w:val="10"/>
                <w:szCs w:val="10"/>
                <w:i w:val="1"/>
                <w:iCs w:val="1"/>
                <w:color w:val="auto"/>
              </w:rPr>
              <w:t>(24)%</w:t>
            </w: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14</w:t>
            </w:r>
          </w:p>
        </w:tc>
        <w:tc>
          <w:tcPr>
            <w:tcW w:w="380" w:type="dxa"/>
            <w:vAlign w:val="bottom"/>
            <w:shd w:val="clear" w:color="auto" w:fill="CCEEFF"/>
          </w:tcPr>
          <w:p>
            <w:pPr>
              <w:jc w:val="right"/>
              <w:ind w:right="232"/>
              <w:spacing w:after="0"/>
              <w:rPr>
                <w:sz w:val="20"/>
                <w:szCs w:val="20"/>
                <w:color w:val="auto"/>
              </w:rPr>
            </w:pPr>
            <w:r>
              <w:rPr>
                <w:rFonts w:ascii="Arial" w:cs="Arial" w:eastAsia="Arial" w:hAnsi="Arial"/>
                <w:sz w:val="10"/>
                <w:szCs w:val="10"/>
                <w:color w:val="auto"/>
                <w:w w:val="89"/>
              </w:rPr>
              <w:t>%</w:t>
            </w:r>
          </w:p>
        </w:tc>
      </w:tr>
      <w:tr>
        <w:trPr>
          <w:trHeight w:val="113"/>
        </w:trPr>
        <w:tc>
          <w:tcPr>
            <w:tcW w:w="1680" w:type="dxa"/>
            <w:vAlign w:val="bottom"/>
          </w:tcPr>
          <w:p>
            <w:pPr>
              <w:spacing w:after="0"/>
              <w:rPr>
                <w:sz w:val="9"/>
                <w:szCs w:val="9"/>
                <w:color w:val="auto"/>
              </w:rPr>
            </w:pPr>
          </w:p>
        </w:tc>
        <w:tc>
          <w:tcPr>
            <w:tcW w:w="3260" w:type="dxa"/>
            <w:vAlign w:val="bottom"/>
          </w:tcPr>
          <w:p>
            <w:pPr>
              <w:spacing w:after="0"/>
              <w:rPr>
                <w:sz w:val="9"/>
                <w:szCs w:val="9"/>
                <w:color w:val="auto"/>
              </w:rPr>
            </w:pPr>
          </w:p>
        </w:tc>
        <w:tc>
          <w:tcPr>
            <w:tcW w:w="540" w:type="dxa"/>
            <w:vAlign w:val="bottom"/>
            <w:tcBorders>
              <w:top w:val="single" w:sz="8" w:color="auto"/>
            </w:tcBorders>
          </w:tcPr>
          <w:p>
            <w:pPr>
              <w:jc w:val="right"/>
              <w:ind w:right="232"/>
              <w:spacing w:after="0" w:line="113" w:lineRule="exact"/>
              <w:rPr>
                <w:sz w:val="20"/>
                <w:szCs w:val="20"/>
                <w:color w:val="auto"/>
              </w:rPr>
            </w:pPr>
            <w:r>
              <w:rPr>
                <w:rFonts w:ascii="Arial" w:cs="Arial" w:eastAsia="Arial" w:hAnsi="Arial"/>
                <w:sz w:val="10"/>
                <w:szCs w:val="10"/>
                <w:b w:val="1"/>
                <w:bCs w:val="1"/>
                <w:color w:val="auto"/>
              </w:rPr>
              <w:t>$</w:t>
            </w:r>
          </w:p>
        </w:tc>
        <w:tc>
          <w:tcPr>
            <w:tcW w:w="640" w:type="dxa"/>
            <w:vAlign w:val="bottom"/>
            <w:tcBorders>
              <w:top w:val="single" w:sz="8" w:color="auto"/>
            </w:tcBorders>
          </w:tcPr>
          <w:p>
            <w:pPr>
              <w:jc w:val="right"/>
              <w:spacing w:after="0" w:line="113" w:lineRule="exact"/>
              <w:rPr>
                <w:sz w:val="20"/>
                <w:szCs w:val="20"/>
                <w:color w:val="auto"/>
              </w:rPr>
            </w:pPr>
            <w:r>
              <w:rPr>
                <w:rFonts w:ascii="Arial" w:cs="Arial" w:eastAsia="Arial" w:hAnsi="Arial"/>
                <w:sz w:val="10"/>
                <w:szCs w:val="10"/>
                <w:b w:val="1"/>
                <w:bCs w:val="1"/>
                <w:color w:val="auto"/>
              </w:rPr>
              <w:t>(67,479)</w:t>
            </w:r>
          </w:p>
        </w:tc>
        <w:tc>
          <w:tcPr>
            <w:tcW w:w="260" w:type="dxa"/>
            <w:vAlign w:val="bottom"/>
          </w:tcPr>
          <w:p>
            <w:pPr>
              <w:spacing w:after="0"/>
              <w:rPr>
                <w:sz w:val="9"/>
                <w:szCs w:val="9"/>
                <w:color w:val="auto"/>
              </w:rPr>
            </w:pPr>
          </w:p>
        </w:tc>
        <w:tc>
          <w:tcPr>
            <w:tcW w:w="880" w:type="dxa"/>
            <w:vAlign w:val="bottom"/>
          </w:tcPr>
          <w:p>
            <w:pPr>
              <w:jc w:val="right"/>
              <w:ind w:right="332"/>
              <w:spacing w:after="0" w:line="102" w:lineRule="exact"/>
              <w:rPr>
                <w:sz w:val="20"/>
                <w:szCs w:val="20"/>
                <w:color w:val="auto"/>
              </w:rPr>
            </w:pPr>
            <w:r>
              <w:rPr>
                <w:rFonts w:ascii="Arial" w:cs="Arial" w:eastAsia="Arial" w:hAnsi="Arial"/>
                <w:sz w:val="10"/>
                <w:szCs w:val="10"/>
                <w:i w:val="1"/>
                <w:iCs w:val="1"/>
                <w:color w:val="auto"/>
              </w:rPr>
              <w:t>(76)%</w:t>
            </w:r>
          </w:p>
        </w:tc>
        <w:tc>
          <w:tcPr>
            <w:tcW w:w="500" w:type="dxa"/>
            <w:vAlign w:val="bottom"/>
            <w:tcBorders>
              <w:top w:val="single" w:sz="8" w:color="auto"/>
            </w:tcBorders>
          </w:tcPr>
          <w:p>
            <w:pPr>
              <w:jc w:val="right"/>
              <w:ind w:right="212"/>
              <w:spacing w:after="0" w:line="113" w:lineRule="exact"/>
              <w:rPr>
                <w:sz w:val="20"/>
                <w:szCs w:val="20"/>
                <w:color w:val="auto"/>
              </w:rPr>
            </w:pPr>
            <w:r>
              <w:rPr>
                <w:rFonts w:ascii="Arial" w:cs="Arial" w:eastAsia="Arial" w:hAnsi="Arial"/>
                <w:sz w:val="10"/>
                <w:szCs w:val="10"/>
                <w:b w:val="1"/>
                <w:bCs w:val="1"/>
                <w:color w:val="auto"/>
              </w:rPr>
              <w:t>$</w:t>
            </w:r>
          </w:p>
        </w:tc>
        <w:tc>
          <w:tcPr>
            <w:tcW w:w="660" w:type="dxa"/>
            <w:vAlign w:val="bottom"/>
            <w:tcBorders>
              <w:top w:val="single" w:sz="8" w:color="auto"/>
            </w:tcBorders>
          </w:tcPr>
          <w:p>
            <w:pPr>
              <w:jc w:val="right"/>
              <w:spacing w:after="0" w:line="113" w:lineRule="exact"/>
              <w:rPr>
                <w:sz w:val="20"/>
                <w:szCs w:val="20"/>
                <w:color w:val="auto"/>
              </w:rPr>
            </w:pPr>
            <w:r>
              <w:rPr>
                <w:rFonts w:ascii="Arial" w:cs="Arial" w:eastAsia="Arial" w:hAnsi="Arial"/>
                <w:sz w:val="10"/>
                <w:szCs w:val="10"/>
                <w:b w:val="1"/>
                <w:bCs w:val="1"/>
                <w:color w:val="auto"/>
              </w:rPr>
              <w:t>(74,496)</w:t>
            </w:r>
          </w:p>
        </w:tc>
        <w:tc>
          <w:tcPr>
            <w:tcW w:w="240" w:type="dxa"/>
            <w:vAlign w:val="bottom"/>
          </w:tcPr>
          <w:p>
            <w:pPr>
              <w:spacing w:after="0"/>
              <w:rPr>
                <w:sz w:val="9"/>
                <w:szCs w:val="9"/>
                <w:color w:val="auto"/>
              </w:rPr>
            </w:pPr>
          </w:p>
        </w:tc>
        <w:tc>
          <w:tcPr>
            <w:tcW w:w="960" w:type="dxa"/>
            <w:vAlign w:val="bottom"/>
          </w:tcPr>
          <w:p>
            <w:pPr>
              <w:jc w:val="right"/>
              <w:ind w:right="412"/>
              <w:spacing w:after="0" w:line="102" w:lineRule="exact"/>
              <w:rPr>
                <w:sz w:val="20"/>
                <w:szCs w:val="20"/>
                <w:color w:val="auto"/>
              </w:rPr>
            </w:pPr>
            <w:r>
              <w:rPr>
                <w:rFonts w:ascii="Arial" w:cs="Arial" w:eastAsia="Arial" w:hAnsi="Arial"/>
                <w:sz w:val="10"/>
                <w:szCs w:val="10"/>
                <w:i w:val="1"/>
                <w:iCs w:val="1"/>
                <w:color w:val="auto"/>
              </w:rPr>
              <w:t>(81)%</w:t>
            </w:r>
          </w:p>
        </w:tc>
        <w:tc>
          <w:tcPr>
            <w:tcW w:w="620" w:type="dxa"/>
            <w:vAlign w:val="bottom"/>
          </w:tcPr>
          <w:p>
            <w:pPr>
              <w:jc w:val="right"/>
              <w:spacing w:after="0" w:line="102" w:lineRule="exact"/>
              <w:rPr>
                <w:sz w:val="20"/>
                <w:szCs w:val="20"/>
                <w:color w:val="auto"/>
              </w:rPr>
            </w:pPr>
            <w:r>
              <w:rPr>
                <w:rFonts w:ascii="Arial" w:cs="Arial" w:eastAsia="Arial" w:hAnsi="Arial"/>
                <w:sz w:val="10"/>
                <w:szCs w:val="10"/>
                <w:color w:val="auto"/>
              </w:rPr>
              <w:t>9</w:t>
            </w:r>
          </w:p>
        </w:tc>
        <w:tc>
          <w:tcPr>
            <w:tcW w:w="380" w:type="dxa"/>
            <w:vAlign w:val="bottom"/>
          </w:tcPr>
          <w:p>
            <w:pPr>
              <w:jc w:val="right"/>
              <w:ind w:right="232"/>
              <w:spacing w:after="0" w:line="102" w:lineRule="exact"/>
              <w:rPr>
                <w:sz w:val="20"/>
                <w:szCs w:val="20"/>
                <w:color w:val="auto"/>
              </w:rPr>
            </w:pPr>
            <w:r>
              <w:rPr>
                <w:rFonts w:ascii="Arial" w:cs="Arial" w:eastAsia="Arial" w:hAnsi="Arial"/>
                <w:sz w:val="10"/>
                <w:szCs w:val="10"/>
                <w:color w:val="auto"/>
                <w:w w:val="89"/>
              </w:rPr>
              <w:t>%</w:t>
            </w:r>
          </w:p>
        </w:tc>
      </w:tr>
      <w:tr>
        <w:trPr>
          <w:trHeight w:val="21"/>
        </w:trPr>
        <w:tc>
          <w:tcPr>
            <w:tcW w:w="168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r>
      <w:tr>
        <w:trPr>
          <w:trHeight w:val="153"/>
        </w:trPr>
        <w:tc>
          <w:tcPr>
            <w:tcW w:w="1680" w:type="dxa"/>
            <w:vAlign w:val="bottom"/>
            <w:shd w:val="clear" w:color="auto" w:fill="CCEEFF"/>
          </w:tcPr>
          <w:p>
            <w:pPr>
              <w:ind w:left="800"/>
              <w:spacing w:after="0"/>
              <w:rPr>
                <w:sz w:val="20"/>
                <w:szCs w:val="20"/>
                <w:color w:val="auto"/>
              </w:rPr>
            </w:pPr>
            <w:r>
              <w:rPr>
                <w:rFonts w:ascii="Arial" w:cs="Arial" w:eastAsia="Arial" w:hAnsi="Arial"/>
                <w:sz w:val="10"/>
                <w:szCs w:val="10"/>
                <w:b w:val="1"/>
                <w:bCs w:val="1"/>
                <w:color w:val="auto"/>
              </w:rPr>
              <w:t>New Zealand</w:t>
            </w:r>
          </w:p>
        </w:tc>
        <w:tc>
          <w:tcPr>
            <w:tcW w:w="3260" w:type="dxa"/>
            <w:vAlign w:val="bottom"/>
            <w:shd w:val="clear" w:color="auto" w:fill="CCEEFF"/>
          </w:tcPr>
          <w:p>
            <w:pPr>
              <w:ind w:left="300"/>
              <w:spacing w:after="0"/>
              <w:rPr>
                <w:sz w:val="20"/>
                <w:szCs w:val="20"/>
                <w:color w:val="auto"/>
              </w:rPr>
            </w:pPr>
            <w:r>
              <w:rPr>
                <w:rFonts w:ascii="Arial" w:cs="Arial" w:eastAsia="Arial" w:hAnsi="Arial"/>
                <w:sz w:val="10"/>
                <w:szCs w:val="10"/>
                <w:color w:val="auto"/>
              </w:rPr>
              <w:t>Film rent and advertising cost</w:t>
            </w:r>
          </w:p>
        </w:tc>
        <w:tc>
          <w:tcPr>
            <w:tcW w:w="54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0"/>
                <w:szCs w:val="10"/>
                <w:color w:val="auto"/>
              </w:rPr>
              <w:t>(7,355)</w:t>
            </w:r>
          </w:p>
        </w:tc>
        <w:tc>
          <w:tcPr>
            <w:tcW w:w="880" w:type="dxa"/>
            <w:vAlign w:val="bottom"/>
            <w:shd w:val="clear" w:color="auto" w:fill="CCEEFF"/>
          </w:tcPr>
          <w:p>
            <w:pPr>
              <w:jc w:val="right"/>
              <w:ind w:right="332"/>
              <w:spacing w:after="0"/>
              <w:rPr>
                <w:sz w:val="20"/>
                <w:szCs w:val="20"/>
                <w:color w:val="auto"/>
              </w:rPr>
            </w:pPr>
            <w:r>
              <w:rPr>
                <w:rFonts w:ascii="Arial" w:cs="Arial" w:eastAsia="Arial" w:hAnsi="Arial"/>
                <w:sz w:val="10"/>
                <w:szCs w:val="10"/>
                <w:i w:val="1"/>
                <w:iCs w:val="1"/>
                <w:color w:val="auto"/>
              </w:rPr>
              <w:t>(31)%</w:t>
            </w:r>
          </w:p>
        </w:tc>
        <w:tc>
          <w:tcPr>
            <w:tcW w:w="50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(7,116)</w:t>
            </w:r>
          </w:p>
        </w:tc>
        <w:tc>
          <w:tcPr>
            <w:tcW w:w="960" w:type="dxa"/>
            <w:vAlign w:val="bottom"/>
            <w:shd w:val="clear" w:color="auto" w:fill="CCEEFF"/>
          </w:tcPr>
          <w:p>
            <w:pPr>
              <w:jc w:val="right"/>
              <w:ind w:right="412"/>
              <w:spacing w:after="0"/>
              <w:rPr>
                <w:sz w:val="20"/>
                <w:szCs w:val="20"/>
                <w:color w:val="auto"/>
              </w:rPr>
            </w:pPr>
            <w:r>
              <w:rPr>
                <w:rFonts w:ascii="Arial" w:cs="Arial" w:eastAsia="Arial" w:hAnsi="Arial"/>
                <w:sz w:val="10"/>
                <w:szCs w:val="10"/>
                <w:i w:val="1"/>
                <w:iCs w:val="1"/>
                <w:color w:val="auto"/>
              </w:rPr>
              <w:t>(33)%</w:t>
            </w:r>
          </w:p>
        </w:tc>
        <w:tc>
          <w:tcPr>
            <w:tcW w:w="1000" w:type="dxa"/>
            <w:vAlign w:val="bottom"/>
            <w:gridSpan w:val="2"/>
            <w:shd w:val="clear" w:color="auto" w:fill="CCEEFF"/>
          </w:tcPr>
          <w:p>
            <w:pPr>
              <w:jc w:val="right"/>
              <w:ind w:right="232"/>
              <w:spacing w:after="0"/>
              <w:rPr>
                <w:sz w:val="20"/>
                <w:szCs w:val="20"/>
                <w:color w:val="auto"/>
              </w:rPr>
            </w:pPr>
            <w:r>
              <w:rPr>
                <w:rFonts w:ascii="Arial" w:cs="Arial" w:eastAsia="Arial" w:hAnsi="Arial"/>
                <w:sz w:val="10"/>
                <w:szCs w:val="10"/>
                <w:color w:val="auto"/>
              </w:rPr>
              <w:t>(3) %</w:t>
            </w:r>
          </w:p>
        </w:tc>
      </w:tr>
      <w:tr>
        <w:trPr>
          <w:trHeight w:val="153"/>
        </w:trPr>
        <w:tc>
          <w:tcPr>
            <w:tcW w:w="1680" w:type="dxa"/>
            <w:vAlign w:val="bottom"/>
          </w:tcPr>
          <w:p>
            <w:pPr>
              <w:spacing w:after="0"/>
              <w:rPr>
                <w:sz w:val="13"/>
                <w:szCs w:val="13"/>
                <w:color w:val="auto"/>
              </w:rPr>
            </w:pPr>
          </w:p>
        </w:tc>
        <w:tc>
          <w:tcPr>
            <w:tcW w:w="3260" w:type="dxa"/>
            <w:vAlign w:val="bottom"/>
          </w:tcPr>
          <w:p>
            <w:pPr>
              <w:ind w:left="300"/>
              <w:spacing w:after="0"/>
              <w:rPr>
                <w:sz w:val="20"/>
                <w:szCs w:val="20"/>
                <w:color w:val="auto"/>
              </w:rPr>
            </w:pPr>
            <w:r>
              <w:rPr>
                <w:rFonts w:ascii="Arial" w:cs="Arial" w:eastAsia="Arial" w:hAnsi="Arial"/>
                <w:sz w:val="10"/>
                <w:szCs w:val="10"/>
                <w:color w:val="auto"/>
              </w:rPr>
              <w:t>Concession cost</w:t>
            </w:r>
          </w:p>
        </w:tc>
        <w:tc>
          <w:tcPr>
            <w:tcW w:w="540" w:type="dxa"/>
            <w:vAlign w:val="bottom"/>
          </w:tcPr>
          <w:p>
            <w:pPr>
              <w:spacing w:after="0"/>
              <w:rPr>
                <w:sz w:val="13"/>
                <w:szCs w:val="13"/>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0"/>
                <w:szCs w:val="10"/>
                <w:color w:val="auto"/>
              </w:rPr>
              <w:t>(1,661)</w:t>
            </w:r>
          </w:p>
        </w:tc>
        <w:tc>
          <w:tcPr>
            <w:tcW w:w="880" w:type="dxa"/>
            <w:vAlign w:val="bottom"/>
          </w:tcPr>
          <w:p>
            <w:pPr>
              <w:jc w:val="right"/>
              <w:ind w:right="332"/>
              <w:spacing w:after="0"/>
              <w:rPr>
                <w:sz w:val="20"/>
                <w:szCs w:val="20"/>
                <w:color w:val="auto"/>
              </w:rPr>
            </w:pPr>
            <w:r>
              <w:rPr>
                <w:rFonts w:ascii="Arial" w:cs="Arial" w:eastAsia="Arial" w:hAnsi="Arial"/>
                <w:sz w:val="10"/>
                <w:szCs w:val="10"/>
                <w:i w:val="1"/>
                <w:iCs w:val="1"/>
                <w:color w:val="auto"/>
              </w:rPr>
              <w:t>(7)%</w:t>
            </w:r>
          </w:p>
        </w:tc>
        <w:tc>
          <w:tcPr>
            <w:tcW w:w="500" w:type="dxa"/>
            <w:vAlign w:val="bottom"/>
          </w:tcPr>
          <w:p>
            <w:pPr>
              <w:spacing w:after="0"/>
              <w:rPr>
                <w:sz w:val="13"/>
                <w:szCs w:val="13"/>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0"/>
                <w:szCs w:val="10"/>
                <w:color w:val="auto"/>
              </w:rPr>
              <w:t>(1,438)</w:t>
            </w:r>
          </w:p>
        </w:tc>
        <w:tc>
          <w:tcPr>
            <w:tcW w:w="960" w:type="dxa"/>
            <w:vAlign w:val="bottom"/>
          </w:tcPr>
          <w:p>
            <w:pPr>
              <w:jc w:val="right"/>
              <w:ind w:right="412"/>
              <w:spacing w:after="0"/>
              <w:rPr>
                <w:sz w:val="20"/>
                <w:szCs w:val="20"/>
                <w:color w:val="auto"/>
              </w:rPr>
            </w:pPr>
            <w:r>
              <w:rPr>
                <w:rFonts w:ascii="Arial" w:cs="Arial" w:eastAsia="Arial" w:hAnsi="Arial"/>
                <w:sz w:val="10"/>
                <w:szCs w:val="10"/>
                <w:i w:val="1"/>
                <w:iCs w:val="1"/>
                <w:color w:val="auto"/>
              </w:rPr>
              <w:t>(7)%</w:t>
            </w:r>
          </w:p>
        </w:tc>
        <w:tc>
          <w:tcPr>
            <w:tcW w:w="1000" w:type="dxa"/>
            <w:vAlign w:val="bottom"/>
            <w:gridSpan w:val="2"/>
          </w:tcPr>
          <w:p>
            <w:pPr>
              <w:jc w:val="right"/>
              <w:ind w:right="232"/>
              <w:spacing w:after="0"/>
              <w:rPr>
                <w:sz w:val="20"/>
                <w:szCs w:val="20"/>
                <w:color w:val="auto"/>
              </w:rPr>
            </w:pPr>
            <w:r>
              <w:rPr>
                <w:rFonts w:ascii="Arial" w:cs="Arial" w:eastAsia="Arial" w:hAnsi="Arial"/>
                <w:sz w:val="10"/>
                <w:szCs w:val="10"/>
                <w:color w:val="auto"/>
              </w:rPr>
              <w:t>(16) %</w:t>
            </w:r>
          </w:p>
        </w:tc>
      </w:tr>
      <w:tr>
        <w:trPr>
          <w:trHeight w:val="153"/>
        </w:trPr>
        <w:tc>
          <w:tcPr>
            <w:tcW w:w="1680" w:type="dxa"/>
            <w:vAlign w:val="bottom"/>
            <w:shd w:val="clear" w:color="auto" w:fill="CCEEFF"/>
          </w:tcPr>
          <w:p>
            <w:pPr>
              <w:spacing w:after="0"/>
              <w:rPr>
                <w:sz w:val="13"/>
                <w:szCs w:val="13"/>
                <w:color w:val="auto"/>
              </w:rPr>
            </w:pPr>
          </w:p>
        </w:tc>
        <w:tc>
          <w:tcPr>
            <w:tcW w:w="3260" w:type="dxa"/>
            <w:vAlign w:val="bottom"/>
            <w:shd w:val="clear" w:color="auto" w:fill="CCEEFF"/>
          </w:tcPr>
          <w:p>
            <w:pPr>
              <w:ind w:left="300"/>
              <w:spacing w:after="0"/>
              <w:rPr>
                <w:sz w:val="20"/>
                <w:szCs w:val="20"/>
                <w:color w:val="auto"/>
              </w:rPr>
            </w:pPr>
            <w:r>
              <w:rPr>
                <w:rFonts w:ascii="Arial" w:cs="Arial" w:eastAsia="Arial" w:hAnsi="Arial"/>
                <w:sz w:val="10"/>
                <w:szCs w:val="10"/>
                <w:color w:val="auto"/>
              </w:rPr>
              <w:t>Occupancy expense</w:t>
            </w:r>
          </w:p>
        </w:tc>
        <w:tc>
          <w:tcPr>
            <w:tcW w:w="54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0"/>
                <w:szCs w:val="10"/>
                <w:color w:val="auto"/>
              </w:rPr>
              <w:t>(4,459)</w:t>
            </w:r>
          </w:p>
        </w:tc>
        <w:tc>
          <w:tcPr>
            <w:tcW w:w="880" w:type="dxa"/>
            <w:vAlign w:val="bottom"/>
            <w:shd w:val="clear" w:color="auto" w:fill="CCEEFF"/>
          </w:tcPr>
          <w:p>
            <w:pPr>
              <w:jc w:val="right"/>
              <w:ind w:right="332"/>
              <w:spacing w:after="0"/>
              <w:rPr>
                <w:sz w:val="20"/>
                <w:szCs w:val="20"/>
                <w:color w:val="auto"/>
              </w:rPr>
            </w:pPr>
            <w:r>
              <w:rPr>
                <w:rFonts w:ascii="Arial" w:cs="Arial" w:eastAsia="Arial" w:hAnsi="Arial"/>
                <w:sz w:val="10"/>
                <w:szCs w:val="10"/>
                <w:i w:val="1"/>
                <w:iCs w:val="1"/>
                <w:color w:val="auto"/>
              </w:rPr>
              <w:t>(19)%</w:t>
            </w:r>
          </w:p>
        </w:tc>
        <w:tc>
          <w:tcPr>
            <w:tcW w:w="50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(3,943)</w:t>
            </w:r>
          </w:p>
        </w:tc>
        <w:tc>
          <w:tcPr>
            <w:tcW w:w="960" w:type="dxa"/>
            <w:vAlign w:val="bottom"/>
            <w:shd w:val="clear" w:color="auto" w:fill="CCEEFF"/>
          </w:tcPr>
          <w:p>
            <w:pPr>
              <w:jc w:val="right"/>
              <w:ind w:right="412"/>
              <w:spacing w:after="0"/>
              <w:rPr>
                <w:sz w:val="20"/>
                <w:szCs w:val="20"/>
                <w:color w:val="auto"/>
              </w:rPr>
            </w:pPr>
            <w:r>
              <w:rPr>
                <w:rFonts w:ascii="Arial" w:cs="Arial" w:eastAsia="Arial" w:hAnsi="Arial"/>
                <w:sz w:val="10"/>
                <w:szCs w:val="10"/>
                <w:i w:val="1"/>
                <w:iCs w:val="1"/>
                <w:color w:val="auto"/>
              </w:rPr>
              <w:t>(18)%</w:t>
            </w:r>
          </w:p>
        </w:tc>
        <w:tc>
          <w:tcPr>
            <w:tcW w:w="1000" w:type="dxa"/>
            <w:vAlign w:val="bottom"/>
            <w:gridSpan w:val="2"/>
            <w:shd w:val="clear" w:color="auto" w:fill="CCEEFF"/>
          </w:tcPr>
          <w:p>
            <w:pPr>
              <w:jc w:val="right"/>
              <w:ind w:right="232"/>
              <w:spacing w:after="0"/>
              <w:rPr>
                <w:sz w:val="20"/>
                <w:szCs w:val="20"/>
                <w:color w:val="auto"/>
              </w:rPr>
            </w:pPr>
            <w:r>
              <w:rPr>
                <w:rFonts w:ascii="Arial" w:cs="Arial" w:eastAsia="Arial" w:hAnsi="Arial"/>
                <w:sz w:val="10"/>
                <w:szCs w:val="10"/>
                <w:color w:val="auto"/>
              </w:rPr>
              <w:t>(13) %</w:t>
            </w:r>
          </w:p>
        </w:tc>
      </w:tr>
      <w:tr>
        <w:trPr>
          <w:trHeight w:val="153"/>
        </w:trPr>
        <w:tc>
          <w:tcPr>
            <w:tcW w:w="1680" w:type="dxa"/>
            <w:vAlign w:val="bottom"/>
          </w:tcPr>
          <w:p>
            <w:pPr>
              <w:spacing w:after="0"/>
              <w:rPr>
                <w:sz w:val="13"/>
                <w:szCs w:val="13"/>
                <w:color w:val="auto"/>
              </w:rPr>
            </w:pPr>
          </w:p>
        </w:tc>
        <w:tc>
          <w:tcPr>
            <w:tcW w:w="3260" w:type="dxa"/>
            <w:vAlign w:val="bottom"/>
          </w:tcPr>
          <w:p>
            <w:pPr>
              <w:ind w:left="300"/>
              <w:spacing w:after="0"/>
              <w:rPr>
                <w:sz w:val="20"/>
                <w:szCs w:val="20"/>
                <w:color w:val="auto"/>
              </w:rPr>
            </w:pPr>
            <w:r>
              <w:rPr>
                <w:rFonts w:ascii="Arial" w:cs="Arial" w:eastAsia="Arial" w:hAnsi="Arial"/>
                <w:sz w:val="10"/>
                <w:szCs w:val="10"/>
                <w:color w:val="auto"/>
              </w:rPr>
              <w:t>Other operating expense</w:t>
            </w:r>
          </w:p>
        </w:tc>
        <w:tc>
          <w:tcPr>
            <w:tcW w:w="540" w:type="dxa"/>
            <w:vAlign w:val="bottom"/>
          </w:tcPr>
          <w:p>
            <w:pPr>
              <w:spacing w:after="0"/>
              <w:rPr>
                <w:sz w:val="13"/>
                <w:szCs w:val="13"/>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0"/>
                <w:szCs w:val="10"/>
                <w:color w:val="auto"/>
              </w:rPr>
              <w:t>(5,512)</w:t>
            </w:r>
          </w:p>
        </w:tc>
        <w:tc>
          <w:tcPr>
            <w:tcW w:w="880" w:type="dxa"/>
            <w:vAlign w:val="bottom"/>
          </w:tcPr>
          <w:p>
            <w:pPr>
              <w:jc w:val="right"/>
              <w:ind w:right="332"/>
              <w:spacing w:after="0"/>
              <w:rPr>
                <w:sz w:val="20"/>
                <w:szCs w:val="20"/>
                <w:color w:val="auto"/>
              </w:rPr>
            </w:pPr>
            <w:r>
              <w:rPr>
                <w:rFonts w:ascii="Arial" w:cs="Arial" w:eastAsia="Arial" w:hAnsi="Arial"/>
                <w:sz w:val="10"/>
                <w:szCs w:val="10"/>
                <w:i w:val="1"/>
                <w:iCs w:val="1"/>
                <w:color w:val="auto"/>
              </w:rPr>
              <w:t>(23)%</w:t>
            </w:r>
          </w:p>
        </w:tc>
        <w:tc>
          <w:tcPr>
            <w:tcW w:w="500" w:type="dxa"/>
            <w:vAlign w:val="bottom"/>
          </w:tcPr>
          <w:p>
            <w:pPr>
              <w:spacing w:after="0"/>
              <w:rPr>
                <w:sz w:val="13"/>
                <w:szCs w:val="13"/>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0"/>
                <w:szCs w:val="10"/>
                <w:color w:val="auto"/>
              </w:rPr>
              <w:t>(5,747)</w:t>
            </w:r>
          </w:p>
        </w:tc>
        <w:tc>
          <w:tcPr>
            <w:tcW w:w="960" w:type="dxa"/>
            <w:vAlign w:val="bottom"/>
          </w:tcPr>
          <w:p>
            <w:pPr>
              <w:jc w:val="right"/>
              <w:ind w:right="412"/>
              <w:spacing w:after="0"/>
              <w:rPr>
                <w:sz w:val="20"/>
                <w:szCs w:val="20"/>
                <w:color w:val="auto"/>
              </w:rPr>
            </w:pPr>
            <w:r>
              <w:rPr>
                <w:rFonts w:ascii="Arial" w:cs="Arial" w:eastAsia="Arial" w:hAnsi="Arial"/>
                <w:sz w:val="10"/>
                <w:szCs w:val="10"/>
                <w:i w:val="1"/>
                <w:iCs w:val="1"/>
                <w:color w:val="auto"/>
              </w:rPr>
              <w:t>(27)%</w:t>
            </w:r>
          </w:p>
        </w:tc>
        <w:tc>
          <w:tcPr>
            <w:tcW w:w="620" w:type="dxa"/>
            <w:vAlign w:val="bottom"/>
          </w:tcPr>
          <w:p>
            <w:pPr>
              <w:jc w:val="right"/>
              <w:spacing w:after="0"/>
              <w:rPr>
                <w:sz w:val="20"/>
                <w:szCs w:val="20"/>
                <w:color w:val="auto"/>
              </w:rPr>
            </w:pPr>
            <w:r>
              <w:rPr>
                <w:rFonts w:ascii="Arial" w:cs="Arial" w:eastAsia="Arial" w:hAnsi="Arial"/>
                <w:sz w:val="10"/>
                <w:szCs w:val="10"/>
                <w:color w:val="auto"/>
              </w:rPr>
              <w:t>4</w:t>
            </w:r>
          </w:p>
        </w:tc>
        <w:tc>
          <w:tcPr>
            <w:tcW w:w="380" w:type="dxa"/>
            <w:vAlign w:val="bottom"/>
          </w:tcPr>
          <w:p>
            <w:pPr>
              <w:jc w:val="right"/>
              <w:ind w:right="232"/>
              <w:spacing w:after="0"/>
              <w:rPr>
                <w:sz w:val="20"/>
                <w:szCs w:val="20"/>
                <w:color w:val="auto"/>
              </w:rPr>
            </w:pPr>
            <w:r>
              <w:rPr>
                <w:rFonts w:ascii="Arial" w:cs="Arial" w:eastAsia="Arial" w:hAnsi="Arial"/>
                <w:sz w:val="10"/>
                <w:szCs w:val="10"/>
                <w:color w:val="auto"/>
                <w:w w:val="89"/>
              </w:rPr>
              <w:t>%</w:t>
            </w:r>
          </w:p>
        </w:tc>
      </w:tr>
      <w:tr>
        <w:trPr>
          <w:trHeight w:val="113"/>
        </w:trPr>
        <w:tc>
          <w:tcPr>
            <w:tcW w:w="1680" w:type="dxa"/>
            <w:vAlign w:val="bottom"/>
            <w:tcBorders>
              <w:top w:val="single" w:sz="8" w:color="CCEEFF"/>
            </w:tcBorders>
            <w:shd w:val="clear" w:color="auto" w:fill="CCEEFF"/>
          </w:tcPr>
          <w:p>
            <w:pPr>
              <w:spacing w:after="0"/>
              <w:rPr>
                <w:sz w:val="9"/>
                <w:szCs w:val="9"/>
                <w:color w:val="auto"/>
              </w:rPr>
            </w:pPr>
          </w:p>
        </w:tc>
        <w:tc>
          <w:tcPr>
            <w:tcW w:w="3260" w:type="dxa"/>
            <w:vAlign w:val="bottom"/>
            <w:tcBorders>
              <w:top w:val="single" w:sz="8" w:color="CCEEFF"/>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jc w:val="right"/>
              <w:ind w:right="232"/>
              <w:spacing w:after="0" w:line="113" w:lineRule="exact"/>
              <w:rPr>
                <w:sz w:val="20"/>
                <w:szCs w:val="20"/>
                <w:color w:val="auto"/>
              </w:rPr>
            </w:pPr>
            <w:r>
              <w:rPr>
                <w:rFonts w:ascii="Arial" w:cs="Arial" w:eastAsia="Arial" w:hAnsi="Arial"/>
                <w:sz w:val="10"/>
                <w:szCs w:val="10"/>
                <w:b w:val="1"/>
                <w:bCs w:val="1"/>
                <w:color w:val="auto"/>
              </w:rPr>
              <w:t>$</w:t>
            </w:r>
          </w:p>
        </w:tc>
        <w:tc>
          <w:tcPr>
            <w:tcW w:w="64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0"/>
                <w:szCs w:val="10"/>
                <w:b w:val="1"/>
                <w:bCs w:val="1"/>
                <w:color w:val="auto"/>
              </w:rPr>
              <w:t>(18,987)</w:t>
            </w:r>
          </w:p>
        </w:tc>
        <w:tc>
          <w:tcPr>
            <w:tcW w:w="260" w:type="dxa"/>
            <w:vAlign w:val="bottom"/>
            <w:tcBorders>
              <w:top w:val="single" w:sz="8" w:color="CCEEFF"/>
            </w:tcBorders>
            <w:shd w:val="clear" w:color="auto" w:fill="CCEEFF"/>
          </w:tcPr>
          <w:p>
            <w:pPr>
              <w:spacing w:after="0"/>
              <w:rPr>
                <w:sz w:val="9"/>
                <w:szCs w:val="9"/>
                <w:color w:val="auto"/>
              </w:rPr>
            </w:pPr>
          </w:p>
        </w:tc>
        <w:tc>
          <w:tcPr>
            <w:tcW w:w="880" w:type="dxa"/>
            <w:vAlign w:val="bottom"/>
            <w:tcBorders>
              <w:top w:val="single" w:sz="8" w:color="CCEEFF"/>
            </w:tcBorders>
            <w:shd w:val="clear" w:color="auto" w:fill="CCEEFF"/>
          </w:tcPr>
          <w:p>
            <w:pPr>
              <w:jc w:val="right"/>
              <w:ind w:right="332"/>
              <w:spacing w:after="0" w:line="102" w:lineRule="exact"/>
              <w:rPr>
                <w:sz w:val="20"/>
                <w:szCs w:val="20"/>
                <w:color w:val="auto"/>
              </w:rPr>
            </w:pPr>
            <w:r>
              <w:rPr>
                <w:rFonts w:ascii="Arial" w:cs="Arial" w:eastAsia="Arial" w:hAnsi="Arial"/>
                <w:sz w:val="10"/>
                <w:szCs w:val="10"/>
                <w:i w:val="1"/>
                <w:iCs w:val="1"/>
                <w:color w:val="auto"/>
              </w:rPr>
              <w:t>(80)%</w:t>
            </w:r>
          </w:p>
        </w:tc>
        <w:tc>
          <w:tcPr>
            <w:tcW w:w="500" w:type="dxa"/>
            <w:vAlign w:val="bottom"/>
            <w:tcBorders>
              <w:top w:val="single" w:sz="8" w:color="auto"/>
            </w:tcBorders>
            <w:shd w:val="clear" w:color="auto" w:fill="CCEEFF"/>
          </w:tcPr>
          <w:p>
            <w:pPr>
              <w:jc w:val="right"/>
              <w:ind w:right="212"/>
              <w:spacing w:after="0" w:line="113" w:lineRule="exact"/>
              <w:rPr>
                <w:sz w:val="20"/>
                <w:szCs w:val="20"/>
                <w:color w:val="auto"/>
              </w:rPr>
            </w:pPr>
            <w:r>
              <w:rPr>
                <w:rFonts w:ascii="Arial" w:cs="Arial" w:eastAsia="Arial" w:hAnsi="Arial"/>
                <w:sz w:val="10"/>
                <w:szCs w:val="10"/>
                <w:b w:val="1"/>
                <w:bCs w:val="1"/>
                <w:color w:val="auto"/>
              </w:rPr>
              <w:t>$</w:t>
            </w:r>
          </w:p>
        </w:tc>
        <w:tc>
          <w:tcPr>
            <w:tcW w:w="66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0"/>
                <w:szCs w:val="10"/>
                <w:b w:val="1"/>
                <w:bCs w:val="1"/>
                <w:color w:val="auto"/>
              </w:rPr>
              <w:t>(18,244)</w:t>
            </w:r>
          </w:p>
        </w:tc>
        <w:tc>
          <w:tcPr>
            <w:tcW w:w="240" w:type="dxa"/>
            <w:vAlign w:val="bottom"/>
            <w:tcBorders>
              <w:top w:val="single" w:sz="8" w:color="CCEEFF"/>
            </w:tcBorders>
            <w:shd w:val="clear" w:color="auto" w:fill="CCEEFF"/>
          </w:tcPr>
          <w:p>
            <w:pPr>
              <w:spacing w:after="0"/>
              <w:rPr>
                <w:sz w:val="9"/>
                <w:szCs w:val="9"/>
                <w:color w:val="auto"/>
              </w:rPr>
            </w:pPr>
          </w:p>
        </w:tc>
        <w:tc>
          <w:tcPr>
            <w:tcW w:w="960" w:type="dxa"/>
            <w:vAlign w:val="bottom"/>
            <w:tcBorders>
              <w:top w:val="single" w:sz="8" w:color="CCEEFF"/>
            </w:tcBorders>
            <w:shd w:val="clear" w:color="auto" w:fill="CCEEFF"/>
          </w:tcPr>
          <w:p>
            <w:pPr>
              <w:jc w:val="right"/>
              <w:ind w:right="412"/>
              <w:spacing w:after="0" w:line="102" w:lineRule="exact"/>
              <w:rPr>
                <w:sz w:val="20"/>
                <w:szCs w:val="20"/>
                <w:color w:val="auto"/>
              </w:rPr>
            </w:pPr>
            <w:r>
              <w:rPr>
                <w:rFonts w:ascii="Arial" w:cs="Arial" w:eastAsia="Arial" w:hAnsi="Arial"/>
                <w:sz w:val="10"/>
                <w:szCs w:val="10"/>
                <w:i w:val="1"/>
                <w:iCs w:val="1"/>
                <w:color w:val="auto"/>
              </w:rPr>
              <w:t>(84)%</w:t>
            </w:r>
          </w:p>
        </w:tc>
        <w:tc>
          <w:tcPr>
            <w:tcW w:w="1000" w:type="dxa"/>
            <w:vAlign w:val="bottom"/>
            <w:tcBorders>
              <w:top w:val="single" w:sz="8" w:color="CCEEFF"/>
            </w:tcBorders>
            <w:gridSpan w:val="2"/>
            <w:shd w:val="clear" w:color="auto" w:fill="CCEEFF"/>
          </w:tcPr>
          <w:p>
            <w:pPr>
              <w:jc w:val="right"/>
              <w:ind w:right="232"/>
              <w:spacing w:after="0" w:line="102" w:lineRule="exact"/>
              <w:rPr>
                <w:sz w:val="20"/>
                <w:szCs w:val="20"/>
                <w:color w:val="auto"/>
              </w:rPr>
            </w:pPr>
            <w:r>
              <w:rPr>
                <w:rFonts w:ascii="Arial" w:cs="Arial" w:eastAsia="Arial" w:hAnsi="Arial"/>
                <w:sz w:val="10"/>
                <w:szCs w:val="10"/>
                <w:color w:val="auto"/>
              </w:rPr>
              <w:t>(4) %</w:t>
            </w:r>
          </w:p>
        </w:tc>
      </w:tr>
      <w:tr>
        <w:trPr>
          <w:trHeight w:val="66"/>
        </w:trPr>
        <w:tc>
          <w:tcPr>
            <w:tcW w:w="4940" w:type="dxa"/>
            <w:vAlign w:val="bottom"/>
            <w:gridSpan w:val="2"/>
            <w:shd w:val="clear" w:color="auto" w:fill="CCEEFF"/>
          </w:tcPr>
          <w:p>
            <w:pPr>
              <w:spacing w:after="0"/>
              <w:rPr>
                <w:sz w:val="5"/>
                <w:szCs w:val="5"/>
                <w:color w:val="auto"/>
              </w:rPr>
            </w:pPr>
          </w:p>
        </w:tc>
        <w:tc>
          <w:tcPr>
            <w:tcW w:w="540" w:type="dxa"/>
            <w:vAlign w:val="bottom"/>
            <w:tcBorders>
              <w:bottom w:val="single" w:sz="8" w:color="auto"/>
            </w:tcBorders>
            <w:shd w:val="clear" w:color="auto" w:fill="CCEEFF"/>
          </w:tcPr>
          <w:p>
            <w:pPr>
              <w:spacing w:after="0"/>
              <w:rPr>
                <w:sz w:val="5"/>
                <w:szCs w:val="5"/>
                <w:color w:val="auto"/>
              </w:rPr>
            </w:pPr>
          </w:p>
        </w:tc>
        <w:tc>
          <w:tcPr>
            <w:tcW w:w="640" w:type="dxa"/>
            <w:vAlign w:val="bottom"/>
            <w:tcBorders>
              <w:bottom w:val="single" w:sz="8" w:color="auto"/>
            </w:tcBorders>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c>
          <w:tcPr>
            <w:tcW w:w="500" w:type="dxa"/>
            <w:vAlign w:val="bottom"/>
            <w:tcBorders>
              <w:bottom w:val="single" w:sz="8" w:color="auto"/>
            </w:tcBorders>
            <w:shd w:val="clear" w:color="auto" w:fill="CCEEFF"/>
          </w:tcPr>
          <w:p>
            <w:pPr>
              <w:spacing w:after="0"/>
              <w:rPr>
                <w:sz w:val="5"/>
                <w:szCs w:val="5"/>
                <w:color w:val="auto"/>
              </w:rPr>
            </w:pPr>
          </w:p>
        </w:tc>
        <w:tc>
          <w:tcPr>
            <w:tcW w:w="660" w:type="dxa"/>
            <w:vAlign w:val="bottom"/>
            <w:tcBorders>
              <w:bottom w:val="single" w:sz="8" w:color="auto"/>
            </w:tcBorders>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960" w:type="dxa"/>
            <w:vAlign w:val="bottom"/>
            <w:shd w:val="clear" w:color="auto" w:fill="CCEEFF"/>
          </w:tcPr>
          <w:p>
            <w:pPr>
              <w:spacing w:after="0"/>
              <w:rPr>
                <w:sz w:val="5"/>
                <w:szCs w:val="5"/>
                <w:color w:val="auto"/>
              </w:rPr>
            </w:pPr>
          </w:p>
        </w:tc>
        <w:tc>
          <w:tcPr>
            <w:tcW w:w="620" w:type="dxa"/>
            <w:vAlign w:val="bottom"/>
            <w:shd w:val="clear" w:color="auto" w:fill="CCEEFF"/>
          </w:tcPr>
          <w:p>
            <w:pPr>
              <w:spacing w:after="0"/>
              <w:rPr>
                <w:sz w:val="5"/>
                <w:szCs w:val="5"/>
                <w:color w:val="auto"/>
              </w:rPr>
            </w:pPr>
          </w:p>
        </w:tc>
        <w:tc>
          <w:tcPr>
            <w:tcW w:w="380" w:type="dxa"/>
            <w:vAlign w:val="bottom"/>
            <w:shd w:val="clear" w:color="auto" w:fill="CCEEFF"/>
          </w:tcPr>
          <w:p>
            <w:pPr>
              <w:spacing w:after="0"/>
              <w:rPr>
                <w:sz w:val="5"/>
                <w:szCs w:val="5"/>
                <w:color w:val="auto"/>
              </w:rPr>
            </w:pPr>
          </w:p>
        </w:tc>
      </w:tr>
      <w:tr>
        <w:trPr>
          <w:trHeight w:val="250"/>
        </w:trPr>
        <w:tc>
          <w:tcPr>
            <w:tcW w:w="4940" w:type="dxa"/>
            <w:vAlign w:val="bottom"/>
            <w:gridSpan w:val="2"/>
          </w:tcPr>
          <w:p>
            <w:pPr>
              <w:ind w:left="800"/>
              <w:spacing w:after="0"/>
              <w:rPr>
                <w:sz w:val="20"/>
                <w:szCs w:val="20"/>
                <w:color w:val="auto"/>
              </w:rPr>
            </w:pPr>
            <w:r>
              <w:rPr>
                <w:rFonts w:ascii="Arial" w:cs="Arial" w:eastAsia="Arial" w:hAnsi="Arial"/>
                <w:sz w:val="10"/>
                <w:szCs w:val="10"/>
                <w:b w:val="1"/>
                <w:bCs w:val="1"/>
                <w:color w:val="auto"/>
              </w:rPr>
              <w:t>Total cost of services and products (excl. depreciation and amortization)</w:t>
            </w:r>
          </w:p>
        </w:tc>
        <w:tc>
          <w:tcPr>
            <w:tcW w:w="540" w:type="dxa"/>
            <w:vAlign w:val="bottom"/>
          </w:tcPr>
          <w:p>
            <w:pPr>
              <w:jc w:val="right"/>
              <w:ind w:right="232"/>
              <w:spacing w:after="0"/>
              <w:rPr>
                <w:sz w:val="20"/>
                <w:szCs w:val="20"/>
                <w:color w:val="auto"/>
              </w:rPr>
            </w:pPr>
            <w:r>
              <w:rPr>
                <w:rFonts w:ascii="Arial" w:cs="Arial" w:eastAsia="Arial" w:hAnsi="Arial"/>
                <w:sz w:val="10"/>
                <w:szCs w:val="10"/>
                <w:b w:val="1"/>
                <w:bCs w:val="1"/>
                <w:color w:val="auto"/>
              </w:rPr>
              <w:t>$</w:t>
            </w:r>
          </w:p>
        </w:tc>
        <w:tc>
          <w:tcPr>
            <w:tcW w:w="900" w:type="dxa"/>
            <w:vAlign w:val="bottom"/>
            <w:gridSpan w:val="2"/>
          </w:tcPr>
          <w:p>
            <w:pPr>
              <w:jc w:val="right"/>
              <w:ind w:right="260"/>
              <w:spacing w:after="0"/>
              <w:rPr>
                <w:sz w:val="20"/>
                <w:szCs w:val="20"/>
                <w:color w:val="auto"/>
              </w:rPr>
            </w:pPr>
            <w:r>
              <w:rPr>
                <w:rFonts w:ascii="Arial" w:cs="Arial" w:eastAsia="Arial" w:hAnsi="Arial"/>
                <w:sz w:val="10"/>
                <w:szCs w:val="10"/>
                <w:b w:val="1"/>
                <w:bCs w:val="1"/>
                <w:color w:val="auto"/>
              </w:rPr>
              <w:t>(195,896)</w:t>
            </w:r>
          </w:p>
        </w:tc>
        <w:tc>
          <w:tcPr>
            <w:tcW w:w="880" w:type="dxa"/>
            <w:vAlign w:val="bottom"/>
          </w:tcPr>
          <w:p>
            <w:pPr>
              <w:jc w:val="right"/>
              <w:ind w:right="332"/>
              <w:spacing w:after="0"/>
              <w:rPr>
                <w:sz w:val="20"/>
                <w:szCs w:val="20"/>
                <w:color w:val="auto"/>
              </w:rPr>
            </w:pPr>
            <w:r>
              <w:rPr>
                <w:rFonts w:ascii="Arial" w:cs="Arial" w:eastAsia="Arial" w:hAnsi="Arial"/>
                <w:sz w:val="10"/>
                <w:szCs w:val="10"/>
                <w:i w:val="1"/>
                <w:iCs w:val="1"/>
                <w:color w:val="auto"/>
              </w:rPr>
              <w:t>(82)%</w:t>
            </w:r>
          </w:p>
        </w:tc>
        <w:tc>
          <w:tcPr>
            <w:tcW w:w="500" w:type="dxa"/>
            <w:vAlign w:val="bottom"/>
          </w:tcPr>
          <w:p>
            <w:pPr>
              <w:jc w:val="right"/>
              <w:ind w:right="212"/>
              <w:spacing w:after="0"/>
              <w:rPr>
                <w:sz w:val="20"/>
                <w:szCs w:val="20"/>
                <w:color w:val="auto"/>
              </w:rPr>
            </w:pPr>
            <w:r>
              <w:rPr>
                <w:rFonts w:ascii="Arial" w:cs="Arial" w:eastAsia="Arial" w:hAnsi="Arial"/>
                <w:sz w:val="10"/>
                <w:szCs w:val="10"/>
                <w:b w:val="1"/>
                <w:bCs w:val="1"/>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0"/>
                <w:szCs w:val="10"/>
                <w:b w:val="1"/>
                <w:bCs w:val="1"/>
                <w:color w:val="auto"/>
              </w:rPr>
              <w:t>(200,858)</w:t>
            </w:r>
          </w:p>
        </w:tc>
        <w:tc>
          <w:tcPr>
            <w:tcW w:w="960" w:type="dxa"/>
            <w:vAlign w:val="bottom"/>
          </w:tcPr>
          <w:p>
            <w:pPr>
              <w:jc w:val="right"/>
              <w:ind w:right="412"/>
              <w:spacing w:after="0"/>
              <w:rPr>
                <w:sz w:val="20"/>
                <w:szCs w:val="20"/>
                <w:color w:val="auto"/>
              </w:rPr>
            </w:pPr>
            <w:r>
              <w:rPr>
                <w:rFonts w:ascii="Arial" w:cs="Arial" w:eastAsia="Arial" w:hAnsi="Arial"/>
                <w:sz w:val="10"/>
                <w:szCs w:val="10"/>
                <w:i w:val="1"/>
                <w:iCs w:val="1"/>
                <w:color w:val="auto"/>
              </w:rPr>
              <w:t>(84)%</w:t>
            </w:r>
          </w:p>
        </w:tc>
        <w:tc>
          <w:tcPr>
            <w:tcW w:w="620" w:type="dxa"/>
            <w:vAlign w:val="bottom"/>
          </w:tcPr>
          <w:p>
            <w:pPr>
              <w:jc w:val="right"/>
              <w:spacing w:after="0"/>
              <w:rPr>
                <w:sz w:val="20"/>
                <w:szCs w:val="20"/>
                <w:color w:val="auto"/>
              </w:rPr>
            </w:pPr>
            <w:r>
              <w:rPr>
                <w:rFonts w:ascii="Arial" w:cs="Arial" w:eastAsia="Arial" w:hAnsi="Arial"/>
                <w:sz w:val="10"/>
                <w:szCs w:val="10"/>
                <w:color w:val="auto"/>
              </w:rPr>
              <w:t>2</w:t>
            </w:r>
          </w:p>
        </w:tc>
        <w:tc>
          <w:tcPr>
            <w:tcW w:w="380" w:type="dxa"/>
            <w:vAlign w:val="bottom"/>
          </w:tcPr>
          <w:p>
            <w:pPr>
              <w:jc w:val="right"/>
              <w:ind w:right="232"/>
              <w:spacing w:after="0"/>
              <w:rPr>
                <w:sz w:val="20"/>
                <w:szCs w:val="20"/>
                <w:color w:val="auto"/>
              </w:rPr>
            </w:pPr>
            <w:r>
              <w:rPr>
                <w:rFonts w:ascii="Arial" w:cs="Arial" w:eastAsia="Arial" w:hAnsi="Arial"/>
                <w:sz w:val="10"/>
                <w:szCs w:val="10"/>
                <w:color w:val="auto"/>
                <w:w w:val="89"/>
              </w:rPr>
              <w:t>%</w:t>
            </w:r>
          </w:p>
        </w:tc>
      </w:tr>
      <w:tr>
        <w:trPr>
          <w:trHeight w:val="322"/>
        </w:trPr>
        <w:tc>
          <w:tcPr>
            <w:tcW w:w="4940" w:type="dxa"/>
            <w:vAlign w:val="bottom"/>
            <w:tcBorders>
              <w:top w:val="single" w:sz="8" w:color="CCEEFF"/>
            </w:tcBorders>
            <w:gridSpan w:val="2"/>
            <w:shd w:val="clear" w:color="auto" w:fill="CCEEFF"/>
          </w:tcPr>
          <w:p>
            <w:pPr>
              <w:ind w:left="400"/>
              <w:spacing w:after="0"/>
              <w:rPr>
                <w:sz w:val="20"/>
                <w:szCs w:val="20"/>
                <w:color w:val="auto"/>
              </w:rPr>
            </w:pPr>
            <w:r>
              <w:rPr>
                <w:rFonts w:ascii="Arial" w:cs="Arial" w:eastAsia="Arial" w:hAnsi="Arial"/>
                <w:sz w:val="10"/>
                <w:szCs w:val="10"/>
                <w:b w:val="1"/>
                <w:bCs w:val="1"/>
                <w:color w:val="auto"/>
              </w:rPr>
              <w:t>Depreciation, amortization, and general and administrative expense</w:t>
            </w:r>
          </w:p>
        </w:tc>
        <w:tc>
          <w:tcPr>
            <w:tcW w:w="540" w:type="dxa"/>
            <w:vAlign w:val="bottom"/>
            <w:tcBorders>
              <w:top w:val="single" w:sz="8" w:color="auto"/>
            </w:tcBorders>
            <w:shd w:val="clear" w:color="auto" w:fill="CCEEFF"/>
          </w:tcPr>
          <w:p>
            <w:pPr>
              <w:spacing w:after="0"/>
              <w:rPr>
                <w:sz w:val="24"/>
                <w:szCs w:val="24"/>
                <w:color w:val="auto"/>
              </w:rPr>
            </w:pPr>
          </w:p>
        </w:tc>
        <w:tc>
          <w:tcPr>
            <w:tcW w:w="640" w:type="dxa"/>
            <w:vAlign w:val="bottom"/>
            <w:tcBorders>
              <w:top w:val="single" w:sz="8" w:color="auto"/>
            </w:tcBorders>
            <w:shd w:val="clear" w:color="auto" w:fill="CCEEFF"/>
          </w:tcPr>
          <w:p>
            <w:pPr>
              <w:spacing w:after="0"/>
              <w:rPr>
                <w:sz w:val="24"/>
                <w:szCs w:val="24"/>
                <w:color w:val="auto"/>
              </w:rPr>
            </w:pPr>
          </w:p>
        </w:tc>
        <w:tc>
          <w:tcPr>
            <w:tcW w:w="260" w:type="dxa"/>
            <w:vAlign w:val="bottom"/>
            <w:tcBorders>
              <w:top w:val="single" w:sz="8" w:color="CCEEFF"/>
            </w:tcBorders>
            <w:shd w:val="clear" w:color="auto" w:fill="CCEEFF"/>
          </w:tcPr>
          <w:p>
            <w:pPr>
              <w:spacing w:after="0"/>
              <w:rPr>
                <w:sz w:val="24"/>
                <w:szCs w:val="24"/>
                <w:color w:val="auto"/>
              </w:rPr>
            </w:pPr>
          </w:p>
        </w:tc>
        <w:tc>
          <w:tcPr>
            <w:tcW w:w="880" w:type="dxa"/>
            <w:vAlign w:val="bottom"/>
            <w:tcBorders>
              <w:top w:val="single" w:sz="8" w:color="CCEEFF"/>
            </w:tcBorders>
            <w:shd w:val="clear" w:color="auto" w:fill="CCEEFF"/>
          </w:tcPr>
          <w:p>
            <w:pPr>
              <w:spacing w:after="0"/>
              <w:rPr>
                <w:sz w:val="24"/>
                <w:szCs w:val="24"/>
                <w:color w:val="auto"/>
              </w:rPr>
            </w:pPr>
          </w:p>
        </w:tc>
        <w:tc>
          <w:tcPr>
            <w:tcW w:w="500" w:type="dxa"/>
            <w:vAlign w:val="bottom"/>
            <w:tcBorders>
              <w:top w:val="single" w:sz="8" w:color="auto"/>
            </w:tcBorders>
            <w:shd w:val="clear" w:color="auto" w:fill="CCEEFF"/>
          </w:tcPr>
          <w:p>
            <w:pPr>
              <w:spacing w:after="0"/>
              <w:rPr>
                <w:sz w:val="24"/>
                <w:szCs w:val="24"/>
                <w:color w:val="auto"/>
              </w:rPr>
            </w:pPr>
          </w:p>
        </w:tc>
        <w:tc>
          <w:tcPr>
            <w:tcW w:w="660" w:type="dxa"/>
            <w:vAlign w:val="bottom"/>
            <w:tcBorders>
              <w:top w:val="single" w:sz="8" w:color="auto"/>
            </w:tcBorders>
            <w:shd w:val="clear" w:color="auto" w:fill="CCEEFF"/>
          </w:tcPr>
          <w:p>
            <w:pPr>
              <w:spacing w:after="0"/>
              <w:rPr>
                <w:sz w:val="24"/>
                <w:szCs w:val="24"/>
                <w:color w:val="auto"/>
              </w:rPr>
            </w:pPr>
          </w:p>
        </w:tc>
        <w:tc>
          <w:tcPr>
            <w:tcW w:w="240" w:type="dxa"/>
            <w:vAlign w:val="bottom"/>
            <w:tcBorders>
              <w:top w:val="single" w:sz="8" w:color="CCEEFF"/>
            </w:tcBorders>
            <w:shd w:val="clear" w:color="auto" w:fill="CCEEFF"/>
          </w:tcPr>
          <w:p>
            <w:pPr>
              <w:spacing w:after="0"/>
              <w:rPr>
                <w:sz w:val="24"/>
                <w:szCs w:val="24"/>
                <w:color w:val="auto"/>
              </w:rPr>
            </w:pPr>
          </w:p>
        </w:tc>
        <w:tc>
          <w:tcPr>
            <w:tcW w:w="960" w:type="dxa"/>
            <w:vAlign w:val="bottom"/>
            <w:tcBorders>
              <w:top w:val="single" w:sz="8" w:color="CCEEFF"/>
            </w:tcBorders>
            <w:shd w:val="clear" w:color="auto" w:fill="CCEEFF"/>
          </w:tcPr>
          <w:p>
            <w:pPr>
              <w:spacing w:after="0"/>
              <w:rPr>
                <w:sz w:val="24"/>
                <w:szCs w:val="24"/>
                <w:color w:val="auto"/>
              </w:rPr>
            </w:pPr>
          </w:p>
        </w:tc>
        <w:tc>
          <w:tcPr>
            <w:tcW w:w="620" w:type="dxa"/>
            <w:vAlign w:val="bottom"/>
            <w:tcBorders>
              <w:top w:val="single" w:sz="8" w:color="CCEEFF"/>
            </w:tcBorders>
            <w:shd w:val="clear" w:color="auto" w:fill="CCEEFF"/>
          </w:tcPr>
          <w:p>
            <w:pPr>
              <w:spacing w:after="0"/>
              <w:rPr>
                <w:sz w:val="24"/>
                <w:szCs w:val="24"/>
                <w:color w:val="auto"/>
              </w:rPr>
            </w:pPr>
          </w:p>
        </w:tc>
        <w:tc>
          <w:tcPr>
            <w:tcW w:w="380" w:type="dxa"/>
            <w:vAlign w:val="bottom"/>
            <w:tcBorders>
              <w:top w:val="single" w:sz="8" w:color="CCEEFF"/>
            </w:tcBorders>
            <w:shd w:val="clear" w:color="auto" w:fill="CCEEFF"/>
          </w:tcPr>
          <w:p>
            <w:pPr>
              <w:spacing w:after="0"/>
              <w:rPr>
                <w:sz w:val="24"/>
                <w:szCs w:val="24"/>
                <w:color w:val="auto"/>
              </w:rPr>
            </w:pPr>
          </w:p>
        </w:tc>
      </w:tr>
      <w:tr>
        <w:trPr>
          <w:trHeight w:val="153"/>
        </w:trPr>
        <w:tc>
          <w:tcPr>
            <w:tcW w:w="1680" w:type="dxa"/>
            <w:vAlign w:val="bottom"/>
          </w:tcPr>
          <w:p>
            <w:pPr>
              <w:ind w:left="800"/>
              <w:spacing w:after="0"/>
              <w:rPr>
                <w:sz w:val="20"/>
                <w:szCs w:val="20"/>
                <w:color w:val="auto"/>
              </w:rPr>
            </w:pPr>
            <w:r>
              <w:rPr>
                <w:rFonts w:ascii="Arial" w:cs="Arial" w:eastAsia="Arial" w:hAnsi="Arial"/>
                <w:sz w:val="10"/>
                <w:szCs w:val="10"/>
                <w:b w:val="1"/>
                <w:bCs w:val="1"/>
                <w:color w:val="auto"/>
              </w:rPr>
              <w:t>United States</w:t>
            </w:r>
          </w:p>
        </w:tc>
        <w:tc>
          <w:tcPr>
            <w:tcW w:w="3260" w:type="dxa"/>
            <w:vAlign w:val="bottom"/>
          </w:tcPr>
          <w:p>
            <w:pPr>
              <w:ind w:left="300"/>
              <w:spacing w:after="0"/>
              <w:rPr>
                <w:sz w:val="20"/>
                <w:szCs w:val="20"/>
                <w:color w:val="auto"/>
              </w:rPr>
            </w:pPr>
            <w:r>
              <w:rPr>
                <w:rFonts w:ascii="Arial" w:cs="Arial" w:eastAsia="Arial" w:hAnsi="Arial"/>
                <w:sz w:val="10"/>
                <w:szCs w:val="10"/>
                <w:color w:val="auto"/>
              </w:rPr>
              <w:t>Depreciation and amortization</w:t>
            </w:r>
          </w:p>
        </w:tc>
        <w:tc>
          <w:tcPr>
            <w:tcW w:w="540" w:type="dxa"/>
            <w:vAlign w:val="bottom"/>
          </w:tcPr>
          <w:p>
            <w:pPr>
              <w:jc w:val="right"/>
              <w:ind w:right="232"/>
              <w:spacing w:after="0"/>
              <w:rPr>
                <w:sz w:val="20"/>
                <w:szCs w:val="20"/>
                <w:color w:val="auto"/>
              </w:rPr>
            </w:pPr>
            <w:r>
              <w:rPr>
                <w:rFonts w:ascii="Arial" w:cs="Arial" w:eastAsia="Arial" w:hAnsi="Arial"/>
                <w:sz w:val="10"/>
                <w:szCs w:val="10"/>
                <w:color w:val="auto"/>
              </w:rPr>
              <w:t>$</w:t>
            </w:r>
          </w:p>
        </w:tc>
        <w:tc>
          <w:tcPr>
            <w:tcW w:w="900" w:type="dxa"/>
            <w:vAlign w:val="bottom"/>
            <w:gridSpan w:val="2"/>
          </w:tcPr>
          <w:p>
            <w:pPr>
              <w:jc w:val="right"/>
              <w:ind w:right="260"/>
              <w:spacing w:after="0"/>
              <w:rPr>
                <w:sz w:val="20"/>
                <w:szCs w:val="20"/>
                <w:color w:val="auto"/>
              </w:rPr>
            </w:pPr>
            <w:r>
              <w:rPr>
                <w:rFonts w:ascii="Arial" w:cs="Arial" w:eastAsia="Arial" w:hAnsi="Arial"/>
                <w:sz w:val="10"/>
                <w:szCs w:val="10"/>
                <w:color w:val="auto"/>
              </w:rPr>
              <w:t>(5,118)</w:t>
            </w:r>
          </w:p>
        </w:tc>
        <w:tc>
          <w:tcPr>
            <w:tcW w:w="880" w:type="dxa"/>
            <w:vAlign w:val="bottom"/>
          </w:tcPr>
          <w:p>
            <w:pPr>
              <w:jc w:val="right"/>
              <w:ind w:right="332"/>
              <w:spacing w:after="0"/>
              <w:rPr>
                <w:sz w:val="20"/>
                <w:szCs w:val="20"/>
                <w:color w:val="auto"/>
              </w:rPr>
            </w:pPr>
            <w:r>
              <w:rPr>
                <w:rFonts w:ascii="Arial" w:cs="Arial" w:eastAsia="Arial" w:hAnsi="Arial"/>
                <w:sz w:val="10"/>
                <w:szCs w:val="10"/>
                <w:i w:val="1"/>
                <w:iCs w:val="1"/>
                <w:color w:val="auto"/>
              </w:rPr>
              <w:t>(4)%</w:t>
            </w:r>
          </w:p>
        </w:tc>
        <w:tc>
          <w:tcPr>
            <w:tcW w:w="500" w:type="dxa"/>
            <w:vAlign w:val="bottom"/>
          </w:tcPr>
          <w:p>
            <w:pPr>
              <w:jc w:val="right"/>
              <w:ind w:right="212"/>
              <w:spacing w:after="0"/>
              <w:rPr>
                <w:sz w:val="20"/>
                <w:szCs w:val="20"/>
                <w:color w:val="auto"/>
              </w:rPr>
            </w:pPr>
            <w:r>
              <w:rPr>
                <w:rFonts w:ascii="Arial" w:cs="Arial" w:eastAsia="Arial" w:hAnsi="Arial"/>
                <w:sz w:val="10"/>
                <w:szCs w:val="10"/>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0"/>
                <w:szCs w:val="10"/>
                <w:color w:val="auto"/>
              </w:rPr>
              <w:t>(6,181)</w:t>
            </w:r>
          </w:p>
        </w:tc>
        <w:tc>
          <w:tcPr>
            <w:tcW w:w="960" w:type="dxa"/>
            <w:vAlign w:val="bottom"/>
          </w:tcPr>
          <w:p>
            <w:pPr>
              <w:jc w:val="right"/>
              <w:ind w:right="412"/>
              <w:spacing w:after="0"/>
              <w:rPr>
                <w:sz w:val="20"/>
                <w:szCs w:val="20"/>
                <w:color w:val="auto"/>
              </w:rPr>
            </w:pPr>
            <w:r>
              <w:rPr>
                <w:rFonts w:ascii="Arial" w:cs="Arial" w:eastAsia="Arial" w:hAnsi="Arial"/>
                <w:sz w:val="10"/>
                <w:szCs w:val="10"/>
                <w:i w:val="1"/>
                <w:iCs w:val="1"/>
                <w:color w:val="auto"/>
              </w:rPr>
              <w:t>(5)%</w:t>
            </w:r>
          </w:p>
        </w:tc>
        <w:tc>
          <w:tcPr>
            <w:tcW w:w="620" w:type="dxa"/>
            <w:vAlign w:val="bottom"/>
          </w:tcPr>
          <w:p>
            <w:pPr>
              <w:jc w:val="right"/>
              <w:spacing w:after="0"/>
              <w:rPr>
                <w:sz w:val="20"/>
                <w:szCs w:val="20"/>
                <w:color w:val="auto"/>
              </w:rPr>
            </w:pPr>
            <w:r>
              <w:rPr>
                <w:rFonts w:ascii="Arial" w:cs="Arial" w:eastAsia="Arial" w:hAnsi="Arial"/>
                <w:sz w:val="10"/>
                <w:szCs w:val="10"/>
                <w:color w:val="auto"/>
              </w:rPr>
              <w:t>17</w:t>
            </w:r>
          </w:p>
        </w:tc>
        <w:tc>
          <w:tcPr>
            <w:tcW w:w="380" w:type="dxa"/>
            <w:vAlign w:val="bottom"/>
          </w:tcPr>
          <w:p>
            <w:pPr>
              <w:jc w:val="right"/>
              <w:ind w:right="232"/>
              <w:spacing w:after="0"/>
              <w:rPr>
                <w:sz w:val="20"/>
                <w:szCs w:val="20"/>
                <w:color w:val="auto"/>
              </w:rPr>
            </w:pPr>
            <w:r>
              <w:rPr>
                <w:rFonts w:ascii="Arial" w:cs="Arial" w:eastAsia="Arial" w:hAnsi="Arial"/>
                <w:sz w:val="10"/>
                <w:szCs w:val="10"/>
                <w:color w:val="auto"/>
                <w:w w:val="89"/>
              </w:rPr>
              <w:t>%</w:t>
            </w:r>
          </w:p>
        </w:tc>
      </w:tr>
      <w:tr>
        <w:trPr>
          <w:trHeight w:val="153"/>
        </w:trPr>
        <w:tc>
          <w:tcPr>
            <w:tcW w:w="1680" w:type="dxa"/>
            <w:vAlign w:val="bottom"/>
            <w:shd w:val="clear" w:color="auto" w:fill="CCEEFF"/>
          </w:tcPr>
          <w:p>
            <w:pPr>
              <w:spacing w:after="0"/>
              <w:rPr>
                <w:sz w:val="13"/>
                <w:szCs w:val="13"/>
                <w:color w:val="auto"/>
              </w:rPr>
            </w:pPr>
          </w:p>
        </w:tc>
        <w:tc>
          <w:tcPr>
            <w:tcW w:w="3260" w:type="dxa"/>
            <w:vAlign w:val="bottom"/>
            <w:shd w:val="clear" w:color="auto" w:fill="CCEEFF"/>
          </w:tcPr>
          <w:p>
            <w:pPr>
              <w:ind w:left="300"/>
              <w:spacing w:after="0"/>
              <w:rPr>
                <w:sz w:val="20"/>
                <w:szCs w:val="20"/>
                <w:color w:val="auto"/>
              </w:rPr>
            </w:pPr>
            <w:r>
              <w:rPr>
                <w:rFonts w:ascii="Arial" w:cs="Arial" w:eastAsia="Arial" w:hAnsi="Arial"/>
                <w:sz w:val="10"/>
                <w:szCs w:val="10"/>
                <w:color w:val="auto"/>
              </w:rPr>
              <w:t>General and administrative expense</w:t>
            </w:r>
          </w:p>
        </w:tc>
        <w:tc>
          <w:tcPr>
            <w:tcW w:w="54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0"/>
                <w:szCs w:val="10"/>
                <w:color w:val="auto"/>
              </w:rPr>
              <w:t>(2,474)</w:t>
            </w:r>
          </w:p>
        </w:tc>
        <w:tc>
          <w:tcPr>
            <w:tcW w:w="880" w:type="dxa"/>
            <w:vAlign w:val="bottom"/>
            <w:shd w:val="clear" w:color="auto" w:fill="CCEEFF"/>
          </w:tcPr>
          <w:p>
            <w:pPr>
              <w:jc w:val="right"/>
              <w:ind w:right="332"/>
              <w:spacing w:after="0"/>
              <w:rPr>
                <w:sz w:val="20"/>
                <w:szCs w:val="20"/>
                <w:color w:val="auto"/>
              </w:rPr>
            </w:pPr>
            <w:r>
              <w:rPr>
                <w:rFonts w:ascii="Arial" w:cs="Arial" w:eastAsia="Arial" w:hAnsi="Arial"/>
                <w:sz w:val="10"/>
                <w:szCs w:val="10"/>
                <w:i w:val="1"/>
                <w:iCs w:val="1"/>
                <w:color w:val="auto"/>
              </w:rPr>
              <w:t>(2)%</w:t>
            </w:r>
          </w:p>
        </w:tc>
        <w:tc>
          <w:tcPr>
            <w:tcW w:w="50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(2,347)</w:t>
            </w:r>
          </w:p>
        </w:tc>
        <w:tc>
          <w:tcPr>
            <w:tcW w:w="960" w:type="dxa"/>
            <w:vAlign w:val="bottom"/>
            <w:shd w:val="clear" w:color="auto" w:fill="CCEEFF"/>
          </w:tcPr>
          <w:p>
            <w:pPr>
              <w:jc w:val="right"/>
              <w:ind w:right="412"/>
              <w:spacing w:after="0"/>
              <w:rPr>
                <w:sz w:val="20"/>
                <w:szCs w:val="20"/>
                <w:color w:val="auto"/>
              </w:rPr>
            </w:pPr>
            <w:r>
              <w:rPr>
                <w:rFonts w:ascii="Arial" w:cs="Arial" w:eastAsia="Arial" w:hAnsi="Arial"/>
                <w:sz w:val="10"/>
                <w:szCs w:val="10"/>
                <w:i w:val="1"/>
                <w:iCs w:val="1"/>
                <w:color w:val="auto"/>
              </w:rPr>
              <w:t>(2)%</w:t>
            </w:r>
          </w:p>
        </w:tc>
        <w:tc>
          <w:tcPr>
            <w:tcW w:w="1000" w:type="dxa"/>
            <w:vAlign w:val="bottom"/>
            <w:gridSpan w:val="2"/>
            <w:shd w:val="clear" w:color="auto" w:fill="CCEEFF"/>
          </w:tcPr>
          <w:p>
            <w:pPr>
              <w:jc w:val="right"/>
              <w:ind w:right="232"/>
              <w:spacing w:after="0"/>
              <w:rPr>
                <w:sz w:val="20"/>
                <w:szCs w:val="20"/>
                <w:color w:val="auto"/>
              </w:rPr>
            </w:pPr>
            <w:r>
              <w:rPr>
                <w:rFonts w:ascii="Arial" w:cs="Arial" w:eastAsia="Arial" w:hAnsi="Arial"/>
                <w:sz w:val="10"/>
                <w:szCs w:val="10"/>
                <w:color w:val="auto"/>
              </w:rPr>
              <w:t>(5) %</w:t>
            </w:r>
          </w:p>
        </w:tc>
      </w:tr>
      <w:tr>
        <w:trPr>
          <w:trHeight w:val="133"/>
        </w:trPr>
        <w:tc>
          <w:tcPr>
            <w:tcW w:w="1680" w:type="dxa"/>
            <w:vAlign w:val="bottom"/>
          </w:tcPr>
          <w:p>
            <w:pPr>
              <w:spacing w:after="0"/>
              <w:rPr>
                <w:sz w:val="11"/>
                <w:szCs w:val="11"/>
                <w:color w:val="auto"/>
              </w:rPr>
            </w:pPr>
          </w:p>
        </w:tc>
        <w:tc>
          <w:tcPr>
            <w:tcW w:w="3260" w:type="dxa"/>
            <w:vAlign w:val="bottom"/>
          </w:tcPr>
          <w:p>
            <w:pPr>
              <w:spacing w:after="0"/>
              <w:rPr>
                <w:sz w:val="11"/>
                <w:szCs w:val="11"/>
                <w:color w:val="auto"/>
              </w:rPr>
            </w:pPr>
          </w:p>
        </w:tc>
        <w:tc>
          <w:tcPr>
            <w:tcW w:w="540" w:type="dxa"/>
            <w:vAlign w:val="bottom"/>
            <w:tcBorders>
              <w:top w:val="single" w:sz="8" w:color="auto"/>
            </w:tcBorders>
          </w:tcPr>
          <w:p>
            <w:pPr>
              <w:jc w:val="right"/>
              <w:ind w:right="232"/>
              <w:spacing w:after="0"/>
              <w:rPr>
                <w:sz w:val="20"/>
                <w:szCs w:val="20"/>
                <w:color w:val="auto"/>
              </w:rPr>
            </w:pPr>
            <w:r>
              <w:rPr>
                <w:rFonts w:ascii="Arial" w:cs="Arial" w:eastAsia="Arial" w:hAnsi="Arial"/>
                <w:sz w:val="10"/>
                <w:szCs w:val="10"/>
                <w:b w:val="1"/>
                <w:bCs w:val="1"/>
                <w:color w:val="auto"/>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0"/>
                <w:szCs w:val="10"/>
                <w:b w:val="1"/>
                <w:bCs w:val="1"/>
                <w:color w:val="auto"/>
              </w:rPr>
              <w:t>(7,592)</w:t>
            </w:r>
          </w:p>
        </w:tc>
        <w:tc>
          <w:tcPr>
            <w:tcW w:w="260" w:type="dxa"/>
            <w:vAlign w:val="bottom"/>
          </w:tcPr>
          <w:p>
            <w:pPr>
              <w:spacing w:after="0"/>
              <w:rPr>
                <w:sz w:val="11"/>
                <w:szCs w:val="11"/>
                <w:color w:val="auto"/>
              </w:rPr>
            </w:pPr>
          </w:p>
        </w:tc>
        <w:tc>
          <w:tcPr>
            <w:tcW w:w="880" w:type="dxa"/>
            <w:vAlign w:val="bottom"/>
          </w:tcPr>
          <w:p>
            <w:pPr>
              <w:jc w:val="right"/>
              <w:ind w:right="332"/>
              <w:spacing w:after="0"/>
              <w:rPr>
                <w:sz w:val="20"/>
                <w:szCs w:val="20"/>
                <w:color w:val="auto"/>
              </w:rPr>
            </w:pPr>
            <w:r>
              <w:rPr>
                <w:rFonts w:ascii="Arial" w:cs="Arial" w:eastAsia="Arial" w:hAnsi="Arial"/>
                <w:sz w:val="10"/>
                <w:szCs w:val="10"/>
                <w:i w:val="1"/>
                <w:iCs w:val="1"/>
                <w:color w:val="auto"/>
              </w:rPr>
              <w:t>(6)%</w:t>
            </w:r>
          </w:p>
        </w:tc>
        <w:tc>
          <w:tcPr>
            <w:tcW w:w="500" w:type="dxa"/>
            <w:vAlign w:val="bottom"/>
            <w:tcBorders>
              <w:top w:val="single" w:sz="8" w:color="auto"/>
            </w:tcBorders>
          </w:tcPr>
          <w:p>
            <w:pPr>
              <w:jc w:val="right"/>
              <w:ind w:right="212"/>
              <w:spacing w:after="0"/>
              <w:rPr>
                <w:sz w:val="20"/>
                <w:szCs w:val="20"/>
                <w:color w:val="auto"/>
              </w:rPr>
            </w:pPr>
            <w:r>
              <w:rPr>
                <w:rFonts w:ascii="Arial" w:cs="Arial" w:eastAsia="Arial" w:hAnsi="Arial"/>
                <w:sz w:val="10"/>
                <w:szCs w:val="10"/>
                <w:b w:val="1"/>
                <w:bCs w:val="1"/>
                <w:color w:val="auto"/>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0"/>
                <w:szCs w:val="10"/>
                <w:b w:val="1"/>
                <w:bCs w:val="1"/>
                <w:color w:val="auto"/>
              </w:rPr>
              <w:t>(8,528)</w:t>
            </w:r>
          </w:p>
        </w:tc>
        <w:tc>
          <w:tcPr>
            <w:tcW w:w="240" w:type="dxa"/>
            <w:vAlign w:val="bottom"/>
          </w:tcPr>
          <w:p>
            <w:pPr>
              <w:spacing w:after="0"/>
              <w:rPr>
                <w:sz w:val="11"/>
                <w:szCs w:val="11"/>
                <w:color w:val="auto"/>
              </w:rPr>
            </w:pPr>
          </w:p>
        </w:tc>
        <w:tc>
          <w:tcPr>
            <w:tcW w:w="960" w:type="dxa"/>
            <w:vAlign w:val="bottom"/>
          </w:tcPr>
          <w:p>
            <w:pPr>
              <w:jc w:val="right"/>
              <w:ind w:right="412"/>
              <w:spacing w:after="0"/>
              <w:rPr>
                <w:sz w:val="20"/>
                <w:szCs w:val="20"/>
                <w:color w:val="auto"/>
              </w:rPr>
            </w:pPr>
            <w:r>
              <w:rPr>
                <w:rFonts w:ascii="Arial" w:cs="Arial" w:eastAsia="Arial" w:hAnsi="Arial"/>
                <w:sz w:val="10"/>
                <w:szCs w:val="10"/>
                <w:i w:val="1"/>
                <w:iCs w:val="1"/>
                <w:color w:val="auto"/>
              </w:rPr>
              <w:t>(7)%</w:t>
            </w:r>
          </w:p>
        </w:tc>
        <w:tc>
          <w:tcPr>
            <w:tcW w:w="620" w:type="dxa"/>
            <w:vAlign w:val="bottom"/>
          </w:tcPr>
          <w:p>
            <w:pPr>
              <w:jc w:val="right"/>
              <w:spacing w:after="0"/>
              <w:rPr>
                <w:sz w:val="20"/>
                <w:szCs w:val="20"/>
                <w:color w:val="auto"/>
              </w:rPr>
            </w:pPr>
            <w:r>
              <w:rPr>
                <w:rFonts w:ascii="Arial" w:cs="Arial" w:eastAsia="Arial" w:hAnsi="Arial"/>
                <w:sz w:val="10"/>
                <w:szCs w:val="10"/>
                <w:color w:val="auto"/>
              </w:rPr>
              <w:t>11</w:t>
            </w:r>
          </w:p>
        </w:tc>
        <w:tc>
          <w:tcPr>
            <w:tcW w:w="380" w:type="dxa"/>
            <w:vAlign w:val="bottom"/>
          </w:tcPr>
          <w:p>
            <w:pPr>
              <w:jc w:val="right"/>
              <w:ind w:right="232"/>
              <w:spacing w:after="0" w:line="102" w:lineRule="exact"/>
              <w:rPr>
                <w:sz w:val="20"/>
                <w:szCs w:val="20"/>
                <w:color w:val="auto"/>
              </w:rPr>
            </w:pPr>
            <w:r>
              <w:rPr>
                <w:rFonts w:ascii="Arial" w:cs="Arial" w:eastAsia="Arial" w:hAnsi="Arial"/>
                <w:sz w:val="10"/>
                <w:szCs w:val="10"/>
                <w:color w:val="auto"/>
                <w:w w:val="89"/>
              </w:rPr>
              <w:t>%</w:t>
            </w:r>
          </w:p>
        </w:tc>
      </w:tr>
      <w:tr>
        <w:trPr>
          <w:trHeight w:val="153"/>
        </w:trPr>
        <w:tc>
          <w:tcPr>
            <w:tcW w:w="1680" w:type="dxa"/>
            <w:vAlign w:val="bottom"/>
            <w:shd w:val="clear" w:color="auto" w:fill="CCEEFF"/>
          </w:tcPr>
          <w:p>
            <w:pPr>
              <w:ind w:left="800"/>
              <w:spacing w:after="0"/>
              <w:rPr>
                <w:sz w:val="20"/>
                <w:szCs w:val="20"/>
                <w:color w:val="auto"/>
              </w:rPr>
            </w:pPr>
            <w:r>
              <w:rPr>
                <w:rFonts w:ascii="Arial" w:cs="Arial" w:eastAsia="Arial" w:hAnsi="Arial"/>
                <w:sz w:val="10"/>
                <w:szCs w:val="10"/>
                <w:b w:val="1"/>
                <w:bCs w:val="1"/>
                <w:color w:val="auto"/>
              </w:rPr>
              <w:t>Australia</w:t>
            </w:r>
          </w:p>
        </w:tc>
        <w:tc>
          <w:tcPr>
            <w:tcW w:w="3260" w:type="dxa"/>
            <w:vAlign w:val="bottom"/>
            <w:shd w:val="clear" w:color="auto" w:fill="CCEEFF"/>
          </w:tcPr>
          <w:p>
            <w:pPr>
              <w:ind w:left="300"/>
              <w:spacing w:after="0"/>
              <w:rPr>
                <w:sz w:val="20"/>
                <w:szCs w:val="20"/>
                <w:color w:val="auto"/>
              </w:rPr>
            </w:pPr>
            <w:r>
              <w:rPr>
                <w:rFonts w:ascii="Arial" w:cs="Arial" w:eastAsia="Arial" w:hAnsi="Arial"/>
                <w:sz w:val="10"/>
                <w:szCs w:val="10"/>
                <w:color w:val="auto"/>
              </w:rPr>
              <w:t>Depreciation and amortization</w:t>
            </w:r>
          </w:p>
        </w:tc>
        <w:tc>
          <w:tcPr>
            <w:tcW w:w="54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0"/>
                <w:szCs w:val="10"/>
                <w:color w:val="auto"/>
              </w:rPr>
              <w:t>(4,669)</w:t>
            </w:r>
          </w:p>
        </w:tc>
        <w:tc>
          <w:tcPr>
            <w:tcW w:w="880" w:type="dxa"/>
            <w:vAlign w:val="bottom"/>
            <w:shd w:val="clear" w:color="auto" w:fill="CCEEFF"/>
          </w:tcPr>
          <w:p>
            <w:pPr>
              <w:jc w:val="right"/>
              <w:ind w:right="332"/>
              <w:spacing w:after="0"/>
              <w:rPr>
                <w:sz w:val="20"/>
                <w:szCs w:val="20"/>
                <w:color w:val="auto"/>
              </w:rPr>
            </w:pPr>
            <w:r>
              <w:rPr>
                <w:rFonts w:ascii="Arial" w:cs="Arial" w:eastAsia="Arial" w:hAnsi="Arial"/>
                <w:sz w:val="10"/>
                <w:szCs w:val="10"/>
                <w:i w:val="1"/>
                <w:iCs w:val="1"/>
                <w:color w:val="auto"/>
              </w:rPr>
              <w:t>(5)%</w:t>
            </w:r>
          </w:p>
        </w:tc>
        <w:tc>
          <w:tcPr>
            <w:tcW w:w="50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(3,603)</w:t>
            </w:r>
          </w:p>
        </w:tc>
        <w:tc>
          <w:tcPr>
            <w:tcW w:w="960" w:type="dxa"/>
            <w:vAlign w:val="bottom"/>
            <w:shd w:val="clear" w:color="auto" w:fill="CCEEFF"/>
          </w:tcPr>
          <w:p>
            <w:pPr>
              <w:jc w:val="right"/>
              <w:ind w:right="412"/>
              <w:spacing w:after="0"/>
              <w:rPr>
                <w:sz w:val="20"/>
                <w:szCs w:val="20"/>
                <w:color w:val="auto"/>
              </w:rPr>
            </w:pPr>
            <w:r>
              <w:rPr>
                <w:rFonts w:ascii="Arial" w:cs="Arial" w:eastAsia="Arial" w:hAnsi="Arial"/>
                <w:sz w:val="10"/>
                <w:szCs w:val="10"/>
                <w:i w:val="1"/>
                <w:iCs w:val="1"/>
                <w:color w:val="auto"/>
              </w:rPr>
              <w:t>(4)%</w:t>
            </w:r>
          </w:p>
        </w:tc>
        <w:tc>
          <w:tcPr>
            <w:tcW w:w="1000" w:type="dxa"/>
            <w:vAlign w:val="bottom"/>
            <w:gridSpan w:val="2"/>
            <w:shd w:val="clear" w:color="auto" w:fill="CCEEFF"/>
          </w:tcPr>
          <w:p>
            <w:pPr>
              <w:jc w:val="right"/>
              <w:ind w:right="232"/>
              <w:spacing w:after="0"/>
              <w:rPr>
                <w:sz w:val="20"/>
                <w:szCs w:val="20"/>
                <w:color w:val="auto"/>
              </w:rPr>
            </w:pPr>
            <w:r>
              <w:rPr>
                <w:rFonts w:ascii="Arial" w:cs="Arial" w:eastAsia="Arial" w:hAnsi="Arial"/>
                <w:sz w:val="10"/>
                <w:szCs w:val="10"/>
                <w:color w:val="auto"/>
              </w:rPr>
              <w:t>(30) %</w:t>
            </w:r>
          </w:p>
        </w:tc>
      </w:tr>
      <w:tr>
        <w:trPr>
          <w:trHeight w:val="153"/>
        </w:trPr>
        <w:tc>
          <w:tcPr>
            <w:tcW w:w="1680" w:type="dxa"/>
            <w:vAlign w:val="bottom"/>
          </w:tcPr>
          <w:p>
            <w:pPr>
              <w:spacing w:after="0"/>
              <w:rPr>
                <w:sz w:val="13"/>
                <w:szCs w:val="13"/>
                <w:color w:val="auto"/>
              </w:rPr>
            </w:pPr>
          </w:p>
        </w:tc>
        <w:tc>
          <w:tcPr>
            <w:tcW w:w="3260" w:type="dxa"/>
            <w:vAlign w:val="bottom"/>
          </w:tcPr>
          <w:p>
            <w:pPr>
              <w:ind w:left="300"/>
              <w:spacing w:after="0"/>
              <w:rPr>
                <w:sz w:val="20"/>
                <w:szCs w:val="20"/>
                <w:color w:val="auto"/>
              </w:rPr>
            </w:pPr>
            <w:r>
              <w:rPr>
                <w:rFonts w:ascii="Arial" w:cs="Arial" w:eastAsia="Arial" w:hAnsi="Arial"/>
                <w:sz w:val="10"/>
                <w:szCs w:val="10"/>
                <w:color w:val="auto"/>
              </w:rPr>
              <w:t>General and administrative expense</w:t>
            </w:r>
          </w:p>
        </w:tc>
        <w:tc>
          <w:tcPr>
            <w:tcW w:w="540" w:type="dxa"/>
            <w:vAlign w:val="bottom"/>
          </w:tcPr>
          <w:p>
            <w:pPr>
              <w:spacing w:after="0"/>
              <w:rPr>
                <w:sz w:val="13"/>
                <w:szCs w:val="13"/>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0"/>
                <w:szCs w:val="10"/>
                <w:color w:val="auto"/>
              </w:rPr>
              <w:t>(1,054)</w:t>
            </w:r>
          </w:p>
        </w:tc>
        <w:tc>
          <w:tcPr>
            <w:tcW w:w="880" w:type="dxa"/>
            <w:vAlign w:val="bottom"/>
          </w:tcPr>
          <w:p>
            <w:pPr>
              <w:jc w:val="right"/>
              <w:ind w:right="332"/>
              <w:spacing w:after="0"/>
              <w:rPr>
                <w:sz w:val="20"/>
                <w:szCs w:val="20"/>
                <w:color w:val="auto"/>
              </w:rPr>
            </w:pPr>
            <w:r>
              <w:rPr>
                <w:rFonts w:ascii="Arial" w:cs="Arial" w:eastAsia="Arial" w:hAnsi="Arial"/>
                <w:sz w:val="10"/>
                <w:szCs w:val="10"/>
                <w:i w:val="1"/>
                <w:iCs w:val="1"/>
                <w:color w:val="auto"/>
              </w:rPr>
              <w:t>(1)%</w:t>
            </w:r>
          </w:p>
        </w:tc>
        <w:tc>
          <w:tcPr>
            <w:tcW w:w="500" w:type="dxa"/>
            <w:vAlign w:val="bottom"/>
          </w:tcPr>
          <w:p>
            <w:pPr>
              <w:spacing w:after="0"/>
              <w:rPr>
                <w:sz w:val="13"/>
                <w:szCs w:val="13"/>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0"/>
                <w:szCs w:val="10"/>
                <w:color w:val="auto"/>
              </w:rPr>
              <w:t>(926)</w:t>
            </w:r>
          </w:p>
        </w:tc>
        <w:tc>
          <w:tcPr>
            <w:tcW w:w="960" w:type="dxa"/>
            <w:vAlign w:val="bottom"/>
          </w:tcPr>
          <w:p>
            <w:pPr>
              <w:jc w:val="right"/>
              <w:ind w:right="412"/>
              <w:spacing w:after="0"/>
              <w:rPr>
                <w:sz w:val="20"/>
                <w:szCs w:val="20"/>
                <w:color w:val="auto"/>
              </w:rPr>
            </w:pPr>
            <w:r>
              <w:rPr>
                <w:rFonts w:ascii="Arial" w:cs="Arial" w:eastAsia="Arial" w:hAnsi="Arial"/>
                <w:sz w:val="10"/>
                <w:szCs w:val="10"/>
                <w:i w:val="1"/>
                <w:iCs w:val="1"/>
                <w:color w:val="auto"/>
              </w:rPr>
              <w:t>(1)%</w:t>
            </w:r>
          </w:p>
        </w:tc>
        <w:tc>
          <w:tcPr>
            <w:tcW w:w="1000" w:type="dxa"/>
            <w:vAlign w:val="bottom"/>
            <w:gridSpan w:val="2"/>
          </w:tcPr>
          <w:p>
            <w:pPr>
              <w:jc w:val="right"/>
              <w:ind w:right="232"/>
              <w:spacing w:after="0"/>
              <w:rPr>
                <w:sz w:val="20"/>
                <w:szCs w:val="20"/>
                <w:color w:val="auto"/>
              </w:rPr>
            </w:pPr>
            <w:r>
              <w:rPr>
                <w:rFonts w:ascii="Arial" w:cs="Arial" w:eastAsia="Arial" w:hAnsi="Arial"/>
                <w:sz w:val="10"/>
                <w:szCs w:val="10"/>
                <w:color w:val="auto"/>
              </w:rPr>
              <w:t>(14) %</w:t>
            </w:r>
          </w:p>
        </w:tc>
      </w:tr>
      <w:tr>
        <w:trPr>
          <w:trHeight w:val="133"/>
        </w:trPr>
        <w:tc>
          <w:tcPr>
            <w:tcW w:w="1680" w:type="dxa"/>
            <w:vAlign w:val="bottom"/>
            <w:tcBorders>
              <w:top w:val="single" w:sz="8" w:color="CCEEFF"/>
            </w:tcBorders>
            <w:shd w:val="clear" w:color="auto" w:fill="CCEEFF"/>
          </w:tcPr>
          <w:p>
            <w:pPr>
              <w:spacing w:after="0"/>
              <w:rPr>
                <w:sz w:val="11"/>
                <w:szCs w:val="11"/>
                <w:color w:val="auto"/>
              </w:rPr>
            </w:pPr>
          </w:p>
        </w:tc>
        <w:tc>
          <w:tcPr>
            <w:tcW w:w="3260" w:type="dxa"/>
            <w:vAlign w:val="bottom"/>
            <w:tcBorders>
              <w:top w:val="single" w:sz="8" w:color="CCEEFF"/>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jc w:val="right"/>
              <w:ind w:right="232"/>
              <w:spacing w:after="0"/>
              <w:rPr>
                <w:sz w:val="20"/>
                <w:szCs w:val="20"/>
                <w:color w:val="auto"/>
              </w:rPr>
            </w:pPr>
            <w:r>
              <w:rPr>
                <w:rFonts w:ascii="Arial" w:cs="Arial" w:eastAsia="Arial" w:hAnsi="Arial"/>
                <w:sz w:val="10"/>
                <w:szCs w:val="10"/>
                <w:b w:val="1"/>
                <w:bCs w:val="1"/>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(5,723)</w:t>
            </w:r>
          </w:p>
        </w:tc>
        <w:tc>
          <w:tcPr>
            <w:tcW w:w="260" w:type="dxa"/>
            <w:vAlign w:val="bottom"/>
            <w:tcBorders>
              <w:top w:val="single" w:sz="8" w:color="CCEEFF"/>
            </w:tcBorders>
            <w:shd w:val="clear" w:color="auto" w:fill="CCEEFF"/>
          </w:tcPr>
          <w:p>
            <w:pPr>
              <w:spacing w:after="0"/>
              <w:rPr>
                <w:sz w:val="11"/>
                <w:szCs w:val="11"/>
                <w:color w:val="auto"/>
              </w:rPr>
            </w:pPr>
          </w:p>
        </w:tc>
        <w:tc>
          <w:tcPr>
            <w:tcW w:w="880" w:type="dxa"/>
            <w:vAlign w:val="bottom"/>
            <w:tcBorders>
              <w:top w:val="single" w:sz="8" w:color="CCEEFF"/>
            </w:tcBorders>
            <w:shd w:val="clear" w:color="auto" w:fill="CCEEFF"/>
          </w:tcPr>
          <w:p>
            <w:pPr>
              <w:jc w:val="right"/>
              <w:ind w:right="332"/>
              <w:spacing w:after="0"/>
              <w:rPr>
                <w:sz w:val="20"/>
                <w:szCs w:val="20"/>
                <w:color w:val="auto"/>
              </w:rPr>
            </w:pPr>
            <w:r>
              <w:rPr>
                <w:rFonts w:ascii="Arial" w:cs="Arial" w:eastAsia="Arial" w:hAnsi="Arial"/>
                <w:sz w:val="10"/>
                <w:szCs w:val="10"/>
                <w:i w:val="1"/>
                <w:iCs w:val="1"/>
                <w:color w:val="auto"/>
              </w:rPr>
              <w:t>(6)%</w:t>
            </w:r>
          </w:p>
        </w:tc>
        <w:tc>
          <w:tcPr>
            <w:tcW w:w="500" w:type="dxa"/>
            <w:vAlign w:val="bottom"/>
            <w:tcBorders>
              <w:top w:val="single" w:sz="8" w:color="auto"/>
            </w:tcBorders>
            <w:shd w:val="clear" w:color="auto" w:fill="CCEEFF"/>
          </w:tcPr>
          <w:p>
            <w:pPr>
              <w:jc w:val="right"/>
              <w:ind w:right="212"/>
              <w:spacing w:after="0"/>
              <w:rPr>
                <w:sz w:val="20"/>
                <w:szCs w:val="20"/>
                <w:color w:val="auto"/>
              </w:rPr>
            </w:pPr>
            <w:r>
              <w:rPr>
                <w:rFonts w:ascii="Arial" w:cs="Arial" w:eastAsia="Arial" w:hAnsi="Arial"/>
                <w:sz w:val="10"/>
                <w:szCs w:val="10"/>
                <w:b w:val="1"/>
                <w:bCs w:val="1"/>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(4,529)</w:t>
            </w:r>
          </w:p>
        </w:tc>
        <w:tc>
          <w:tcPr>
            <w:tcW w:w="240" w:type="dxa"/>
            <w:vAlign w:val="bottom"/>
            <w:tcBorders>
              <w:top w:val="single" w:sz="8" w:color="CCEEFF"/>
            </w:tcBorders>
            <w:shd w:val="clear" w:color="auto" w:fill="CCEEFF"/>
          </w:tcPr>
          <w:p>
            <w:pPr>
              <w:spacing w:after="0"/>
              <w:rPr>
                <w:sz w:val="11"/>
                <w:szCs w:val="11"/>
                <w:color w:val="auto"/>
              </w:rPr>
            </w:pPr>
          </w:p>
        </w:tc>
        <w:tc>
          <w:tcPr>
            <w:tcW w:w="960" w:type="dxa"/>
            <w:vAlign w:val="bottom"/>
            <w:tcBorders>
              <w:top w:val="single" w:sz="8" w:color="CCEEFF"/>
            </w:tcBorders>
            <w:shd w:val="clear" w:color="auto" w:fill="CCEEFF"/>
          </w:tcPr>
          <w:p>
            <w:pPr>
              <w:jc w:val="right"/>
              <w:ind w:right="412"/>
              <w:spacing w:after="0"/>
              <w:rPr>
                <w:sz w:val="20"/>
                <w:szCs w:val="20"/>
                <w:color w:val="auto"/>
              </w:rPr>
            </w:pPr>
            <w:r>
              <w:rPr>
                <w:rFonts w:ascii="Arial" w:cs="Arial" w:eastAsia="Arial" w:hAnsi="Arial"/>
                <w:sz w:val="10"/>
                <w:szCs w:val="10"/>
                <w:i w:val="1"/>
                <w:iCs w:val="1"/>
                <w:color w:val="auto"/>
              </w:rPr>
              <w:t>(5)%</w:t>
            </w:r>
          </w:p>
        </w:tc>
        <w:tc>
          <w:tcPr>
            <w:tcW w:w="1000" w:type="dxa"/>
            <w:vAlign w:val="bottom"/>
            <w:tcBorders>
              <w:top w:val="single" w:sz="8" w:color="CCEEFF"/>
            </w:tcBorders>
            <w:gridSpan w:val="2"/>
            <w:shd w:val="clear" w:color="auto" w:fill="CCEEFF"/>
          </w:tcPr>
          <w:p>
            <w:pPr>
              <w:jc w:val="right"/>
              <w:ind w:right="232"/>
              <w:spacing w:after="0" w:line="133" w:lineRule="exact"/>
              <w:rPr>
                <w:sz w:val="20"/>
                <w:szCs w:val="20"/>
                <w:color w:val="auto"/>
              </w:rPr>
            </w:pPr>
            <w:r>
              <w:rPr>
                <w:rFonts w:ascii="Arial" w:cs="Arial" w:eastAsia="Arial" w:hAnsi="Arial"/>
                <w:sz w:val="8"/>
                <w:szCs w:val="8"/>
                <w:color w:val="auto"/>
              </w:rPr>
              <w:t xml:space="preserve">(26) </w:t>
            </w:r>
            <w:r>
              <w:rPr>
                <w:rFonts w:ascii="Arial" w:cs="Arial" w:eastAsia="Arial" w:hAnsi="Arial"/>
                <w:sz w:val="15"/>
                <w:szCs w:val="15"/>
                <w:color w:val="auto"/>
                <w:vertAlign w:val="superscript"/>
              </w:rPr>
              <w:t>%</w:t>
            </w:r>
          </w:p>
        </w:tc>
      </w:tr>
      <w:tr>
        <w:trPr>
          <w:trHeight w:val="153"/>
        </w:trPr>
        <w:tc>
          <w:tcPr>
            <w:tcW w:w="1680" w:type="dxa"/>
            <w:vAlign w:val="bottom"/>
          </w:tcPr>
          <w:p>
            <w:pPr>
              <w:ind w:left="800"/>
              <w:spacing w:after="0"/>
              <w:rPr>
                <w:sz w:val="20"/>
                <w:szCs w:val="20"/>
                <w:color w:val="auto"/>
              </w:rPr>
            </w:pPr>
            <w:r>
              <w:rPr>
                <w:rFonts w:ascii="Arial" w:cs="Arial" w:eastAsia="Arial" w:hAnsi="Arial"/>
                <w:sz w:val="10"/>
                <w:szCs w:val="10"/>
                <w:b w:val="1"/>
                <w:bCs w:val="1"/>
                <w:color w:val="auto"/>
              </w:rPr>
              <w:t>New Zealand</w:t>
            </w:r>
          </w:p>
        </w:tc>
        <w:tc>
          <w:tcPr>
            <w:tcW w:w="3260" w:type="dxa"/>
            <w:vAlign w:val="bottom"/>
          </w:tcPr>
          <w:p>
            <w:pPr>
              <w:ind w:left="300"/>
              <w:spacing w:after="0"/>
              <w:rPr>
                <w:sz w:val="20"/>
                <w:szCs w:val="20"/>
                <w:color w:val="auto"/>
              </w:rPr>
            </w:pPr>
            <w:r>
              <w:rPr>
                <w:rFonts w:ascii="Arial" w:cs="Arial" w:eastAsia="Arial" w:hAnsi="Arial"/>
                <w:sz w:val="10"/>
                <w:szCs w:val="10"/>
                <w:color w:val="auto"/>
              </w:rPr>
              <w:t>Depreciation and amortization</w:t>
            </w:r>
          </w:p>
        </w:tc>
        <w:tc>
          <w:tcPr>
            <w:tcW w:w="540" w:type="dxa"/>
            <w:vAlign w:val="bottom"/>
          </w:tcPr>
          <w:p>
            <w:pPr>
              <w:spacing w:after="0"/>
              <w:rPr>
                <w:sz w:val="13"/>
                <w:szCs w:val="13"/>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0"/>
                <w:szCs w:val="10"/>
                <w:color w:val="auto"/>
              </w:rPr>
              <w:t>(1,260)</w:t>
            </w:r>
          </w:p>
        </w:tc>
        <w:tc>
          <w:tcPr>
            <w:tcW w:w="880" w:type="dxa"/>
            <w:vAlign w:val="bottom"/>
          </w:tcPr>
          <w:p>
            <w:pPr>
              <w:jc w:val="right"/>
              <w:ind w:right="332"/>
              <w:spacing w:after="0"/>
              <w:rPr>
                <w:sz w:val="20"/>
                <w:szCs w:val="20"/>
                <w:color w:val="auto"/>
              </w:rPr>
            </w:pPr>
            <w:r>
              <w:rPr>
                <w:rFonts w:ascii="Arial" w:cs="Arial" w:eastAsia="Arial" w:hAnsi="Arial"/>
                <w:sz w:val="10"/>
                <w:szCs w:val="10"/>
                <w:i w:val="1"/>
                <w:iCs w:val="1"/>
                <w:color w:val="auto"/>
              </w:rPr>
              <w:t>(5)%</w:t>
            </w:r>
          </w:p>
        </w:tc>
        <w:tc>
          <w:tcPr>
            <w:tcW w:w="500" w:type="dxa"/>
            <w:vAlign w:val="bottom"/>
          </w:tcPr>
          <w:p>
            <w:pPr>
              <w:spacing w:after="0"/>
              <w:rPr>
                <w:sz w:val="13"/>
                <w:szCs w:val="13"/>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0"/>
                <w:szCs w:val="10"/>
                <w:color w:val="auto"/>
              </w:rPr>
              <w:t>(957)</w:t>
            </w:r>
          </w:p>
        </w:tc>
        <w:tc>
          <w:tcPr>
            <w:tcW w:w="960" w:type="dxa"/>
            <w:vAlign w:val="bottom"/>
          </w:tcPr>
          <w:p>
            <w:pPr>
              <w:jc w:val="right"/>
              <w:ind w:right="412"/>
              <w:spacing w:after="0"/>
              <w:rPr>
                <w:sz w:val="20"/>
                <w:szCs w:val="20"/>
                <w:color w:val="auto"/>
              </w:rPr>
            </w:pPr>
            <w:r>
              <w:rPr>
                <w:rFonts w:ascii="Arial" w:cs="Arial" w:eastAsia="Arial" w:hAnsi="Arial"/>
                <w:sz w:val="10"/>
                <w:szCs w:val="10"/>
                <w:i w:val="1"/>
                <w:iCs w:val="1"/>
                <w:color w:val="auto"/>
              </w:rPr>
              <w:t>(4)%</w:t>
            </w:r>
          </w:p>
        </w:tc>
        <w:tc>
          <w:tcPr>
            <w:tcW w:w="1000" w:type="dxa"/>
            <w:vAlign w:val="bottom"/>
            <w:gridSpan w:val="2"/>
          </w:tcPr>
          <w:p>
            <w:pPr>
              <w:jc w:val="right"/>
              <w:ind w:right="232"/>
              <w:spacing w:after="0"/>
              <w:rPr>
                <w:sz w:val="20"/>
                <w:szCs w:val="20"/>
                <w:color w:val="auto"/>
              </w:rPr>
            </w:pPr>
            <w:r>
              <w:rPr>
                <w:rFonts w:ascii="Arial" w:cs="Arial" w:eastAsia="Arial" w:hAnsi="Arial"/>
                <w:sz w:val="10"/>
                <w:szCs w:val="10"/>
                <w:color w:val="auto"/>
              </w:rPr>
              <w:t>(32) %</w:t>
            </w:r>
          </w:p>
        </w:tc>
      </w:tr>
      <w:tr>
        <w:trPr>
          <w:trHeight w:val="153"/>
        </w:trPr>
        <w:tc>
          <w:tcPr>
            <w:tcW w:w="1680" w:type="dxa"/>
            <w:vAlign w:val="bottom"/>
            <w:shd w:val="clear" w:color="auto" w:fill="CCEEFF"/>
          </w:tcPr>
          <w:p>
            <w:pPr>
              <w:spacing w:after="0"/>
              <w:rPr>
                <w:sz w:val="13"/>
                <w:szCs w:val="13"/>
                <w:color w:val="auto"/>
              </w:rPr>
            </w:pPr>
          </w:p>
        </w:tc>
        <w:tc>
          <w:tcPr>
            <w:tcW w:w="3260" w:type="dxa"/>
            <w:vAlign w:val="bottom"/>
            <w:shd w:val="clear" w:color="auto" w:fill="CCEEFF"/>
          </w:tcPr>
          <w:p>
            <w:pPr>
              <w:ind w:left="300"/>
              <w:spacing w:after="0"/>
              <w:rPr>
                <w:sz w:val="20"/>
                <w:szCs w:val="20"/>
                <w:color w:val="auto"/>
              </w:rPr>
            </w:pPr>
            <w:r>
              <w:rPr>
                <w:rFonts w:ascii="Arial" w:cs="Arial" w:eastAsia="Arial" w:hAnsi="Arial"/>
                <w:sz w:val="10"/>
                <w:szCs w:val="10"/>
                <w:color w:val="auto"/>
              </w:rPr>
              <w:t>General and administrative expense</w:t>
            </w:r>
          </w:p>
        </w:tc>
        <w:tc>
          <w:tcPr>
            <w:tcW w:w="54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0"/>
                <w:szCs w:val="10"/>
                <w:color w:val="auto"/>
              </w:rPr>
              <w:t>(47)</w:t>
            </w:r>
          </w:p>
        </w:tc>
        <w:tc>
          <w:tcPr>
            <w:tcW w:w="880" w:type="dxa"/>
            <w:vAlign w:val="bottom"/>
            <w:shd w:val="clear" w:color="auto" w:fill="CCEEFF"/>
          </w:tcPr>
          <w:p>
            <w:pPr>
              <w:jc w:val="right"/>
              <w:ind w:right="332"/>
              <w:spacing w:after="0"/>
              <w:rPr>
                <w:sz w:val="20"/>
                <w:szCs w:val="20"/>
                <w:color w:val="auto"/>
              </w:rPr>
            </w:pPr>
            <w:r>
              <w:rPr>
                <w:rFonts w:ascii="Arial" w:cs="Arial" w:eastAsia="Arial" w:hAnsi="Arial"/>
                <w:sz w:val="10"/>
                <w:szCs w:val="10"/>
                <w:i w:val="1"/>
                <w:iCs w:val="1"/>
                <w:color w:val="auto"/>
              </w:rPr>
              <w:t>(0)%</w:t>
            </w:r>
          </w:p>
        </w:tc>
        <w:tc>
          <w:tcPr>
            <w:tcW w:w="50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960" w:type="dxa"/>
            <w:vAlign w:val="bottom"/>
            <w:shd w:val="clear" w:color="auto" w:fill="CCEEFF"/>
          </w:tcPr>
          <w:p>
            <w:pPr>
              <w:jc w:val="right"/>
              <w:ind w:right="412"/>
              <w:spacing w:after="0"/>
              <w:rPr>
                <w:sz w:val="20"/>
                <w:szCs w:val="20"/>
                <w:color w:val="auto"/>
              </w:rPr>
            </w:pPr>
            <w:r>
              <w:rPr>
                <w:rFonts w:ascii="Arial" w:cs="Arial" w:eastAsia="Arial" w:hAnsi="Arial"/>
                <w:sz w:val="10"/>
                <w:szCs w:val="10"/>
                <w:i w:val="1"/>
                <w:iCs w:val="1"/>
                <w:color w:val="auto"/>
              </w:rPr>
              <w:t>-%</w:t>
            </w:r>
          </w:p>
        </w:tc>
        <w:tc>
          <w:tcPr>
            <w:tcW w:w="1000" w:type="dxa"/>
            <w:vAlign w:val="bottom"/>
            <w:gridSpan w:val="2"/>
            <w:shd w:val="clear" w:color="auto" w:fill="CCEEFF"/>
          </w:tcPr>
          <w:p>
            <w:pPr>
              <w:jc w:val="right"/>
              <w:ind w:right="232"/>
              <w:spacing w:after="0"/>
              <w:rPr>
                <w:sz w:val="20"/>
                <w:szCs w:val="20"/>
                <w:color w:val="auto"/>
              </w:rPr>
            </w:pPr>
            <w:r>
              <w:rPr>
                <w:rFonts w:ascii="Arial" w:cs="Arial" w:eastAsia="Arial" w:hAnsi="Arial"/>
                <w:sz w:val="10"/>
                <w:szCs w:val="10"/>
                <w:color w:val="auto"/>
              </w:rPr>
              <w:t>- %</w:t>
            </w:r>
          </w:p>
        </w:tc>
      </w:tr>
      <w:tr>
        <w:trPr>
          <w:trHeight w:val="113"/>
        </w:trPr>
        <w:tc>
          <w:tcPr>
            <w:tcW w:w="1680" w:type="dxa"/>
            <w:vAlign w:val="bottom"/>
          </w:tcPr>
          <w:p>
            <w:pPr>
              <w:spacing w:after="0"/>
              <w:rPr>
                <w:sz w:val="9"/>
                <w:szCs w:val="9"/>
                <w:color w:val="auto"/>
              </w:rPr>
            </w:pPr>
          </w:p>
        </w:tc>
        <w:tc>
          <w:tcPr>
            <w:tcW w:w="3260" w:type="dxa"/>
            <w:vAlign w:val="bottom"/>
          </w:tcPr>
          <w:p>
            <w:pPr>
              <w:spacing w:after="0"/>
              <w:rPr>
                <w:sz w:val="9"/>
                <w:szCs w:val="9"/>
                <w:color w:val="auto"/>
              </w:rPr>
            </w:pPr>
          </w:p>
        </w:tc>
        <w:tc>
          <w:tcPr>
            <w:tcW w:w="540" w:type="dxa"/>
            <w:vAlign w:val="bottom"/>
            <w:tcBorders>
              <w:top w:val="single" w:sz="8" w:color="auto"/>
            </w:tcBorders>
          </w:tcPr>
          <w:p>
            <w:pPr>
              <w:jc w:val="right"/>
              <w:ind w:right="232"/>
              <w:spacing w:after="0" w:line="113" w:lineRule="exact"/>
              <w:rPr>
                <w:sz w:val="20"/>
                <w:szCs w:val="20"/>
                <w:color w:val="auto"/>
              </w:rPr>
            </w:pPr>
            <w:r>
              <w:rPr>
                <w:rFonts w:ascii="Arial" w:cs="Arial" w:eastAsia="Arial" w:hAnsi="Arial"/>
                <w:sz w:val="10"/>
                <w:szCs w:val="10"/>
                <w:b w:val="1"/>
                <w:bCs w:val="1"/>
                <w:color w:val="auto"/>
              </w:rPr>
              <w:t>$</w:t>
            </w:r>
          </w:p>
        </w:tc>
        <w:tc>
          <w:tcPr>
            <w:tcW w:w="640" w:type="dxa"/>
            <w:vAlign w:val="bottom"/>
            <w:tcBorders>
              <w:top w:val="single" w:sz="8" w:color="auto"/>
            </w:tcBorders>
          </w:tcPr>
          <w:p>
            <w:pPr>
              <w:jc w:val="right"/>
              <w:spacing w:after="0" w:line="113" w:lineRule="exact"/>
              <w:rPr>
                <w:sz w:val="20"/>
                <w:szCs w:val="20"/>
                <w:color w:val="auto"/>
              </w:rPr>
            </w:pPr>
            <w:r>
              <w:rPr>
                <w:rFonts w:ascii="Arial" w:cs="Arial" w:eastAsia="Arial" w:hAnsi="Arial"/>
                <w:sz w:val="10"/>
                <w:szCs w:val="10"/>
                <w:b w:val="1"/>
                <w:bCs w:val="1"/>
                <w:color w:val="auto"/>
              </w:rPr>
              <w:t>(1,307)</w:t>
            </w:r>
          </w:p>
        </w:tc>
        <w:tc>
          <w:tcPr>
            <w:tcW w:w="260" w:type="dxa"/>
            <w:vAlign w:val="bottom"/>
          </w:tcPr>
          <w:p>
            <w:pPr>
              <w:spacing w:after="0"/>
              <w:rPr>
                <w:sz w:val="9"/>
                <w:szCs w:val="9"/>
                <w:color w:val="auto"/>
              </w:rPr>
            </w:pPr>
          </w:p>
        </w:tc>
        <w:tc>
          <w:tcPr>
            <w:tcW w:w="880" w:type="dxa"/>
            <w:vAlign w:val="bottom"/>
          </w:tcPr>
          <w:p>
            <w:pPr>
              <w:jc w:val="right"/>
              <w:ind w:right="332"/>
              <w:spacing w:after="0" w:line="102" w:lineRule="exact"/>
              <w:rPr>
                <w:sz w:val="20"/>
                <w:szCs w:val="20"/>
                <w:color w:val="auto"/>
              </w:rPr>
            </w:pPr>
            <w:r>
              <w:rPr>
                <w:rFonts w:ascii="Arial" w:cs="Arial" w:eastAsia="Arial" w:hAnsi="Arial"/>
                <w:sz w:val="10"/>
                <w:szCs w:val="10"/>
                <w:i w:val="1"/>
                <w:iCs w:val="1"/>
                <w:color w:val="auto"/>
              </w:rPr>
              <w:t>(6)%</w:t>
            </w:r>
          </w:p>
        </w:tc>
        <w:tc>
          <w:tcPr>
            <w:tcW w:w="500" w:type="dxa"/>
            <w:vAlign w:val="bottom"/>
            <w:tcBorders>
              <w:top w:val="single" w:sz="8" w:color="auto"/>
            </w:tcBorders>
          </w:tcPr>
          <w:p>
            <w:pPr>
              <w:jc w:val="right"/>
              <w:ind w:right="212"/>
              <w:spacing w:after="0" w:line="113" w:lineRule="exact"/>
              <w:rPr>
                <w:sz w:val="20"/>
                <w:szCs w:val="20"/>
                <w:color w:val="auto"/>
              </w:rPr>
            </w:pPr>
            <w:r>
              <w:rPr>
                <w:rFonts w:ascii="Arial" w:cs="Arial" w:eastAsia="Arial" w:hAnsi="Arial"/>
                <w:sz w:val="10"/>
                <w:szCs w:val="10"/>
                <w:b w:val="1"/>
                <w:bCs w:val="1"/>
                <w:color w:val="auto"/>
              </w:rPr>
              <w:t>$</w:t>
            </w:r>
          </w:p>
        </w:tc>
        <w:tc>
          <w:tcPr>
            <w:tcW w:w="660" w:type="dxa"/>
            <w:vAlign w:val="bottom"/>
            <w:tcBorders>
              <w:top w:val="single" w:sz="8" w:color="auto"/>
            </w:tcBorders>
          </w:tcPr>
          <w:p>
            <w:pPr>
              <w:jc w:val="right"/>
              <w:spacing w:after="0" w:line="113" w:lineRule="exact"/>
              <w:rPr>
                <w:sz w:val="20"/>
                <w:szCs w:val="20"/>
                <w:color w:val="auto"/>
              </w:rPr>
            </w:pPr>
            <w:r>
              <w:rPr>
                <w:rFonts w:ascii="Arial" w:cs="Arial" w:eastAsia="Arial" w:hAnsi="Arial"/>
                <w:sz w:val="10"/>
                <w:szCs w:val="10"/>
                <w:b w:val="1"/>
                <w:bCs w:val="1"/>
                <w:color w:val="auto"/>
              </w:rPr>
              <w:t>(957)</w:t>
            </w:r>
          </w:p>
        </w:tc>
        <w:tc>
          <w:tcPr>
            <w:tcW w:w="240" w:type="dxa"/>
            <w:vAlign w:val="bottom"/>
          </w:tcPr>
          <w:p>
            <w:pPr>
              <w:spacing w:after="0"/>
              <w:rPr>
                <w:sz w:val="9"/>
                <w:szCs w:val="9"/>
                <w:color w:val="auto"/>
              </w:rPr>
            </w:pPr>
          </w:p>
        </w:tc>
        <w:tc>
          <w:tcPr>
            <w:tcW w:w="960" w:type="dxa"/>
            <w:vAlign w:val="bottom"/>
          </w:tcPr>
          <w:p>
            <w:pPr>
              <w:jc w:val="right"/>
              <w:ind w:right="412"/>
              <w:spacing w:after="0" w:line="102" w:lineRule="exact"/>
              <w:rPr>
                <w:sz w:val="20"/>
                <w:szCs w:val="20"/>
                <w:color w:val="auto"/>
              </w:rPr>
            </w:pPr>
            <w:r>
              <w:rPr>
                <w:rFonts w:ascii="Arial" w:cs="Arial" w:eastAsia="Arial" w:hAnsi="Arial"/>
                <w:sz w:val="10"/>
                <w:szCs w:val="10"/>
                <w:i w:val="1"/>
                <w:iCs w:val="1"/>
                <w:color w:val="auto"/>
              </w:rPr>
              <w:t>(4)%</w:t>
            </w:r>
          </w:p>
        </w:tc>
        <w:tc>
          <w:tcPr>
            <w:tcW w:w="1000" w:type="dxa"/>
            <w:vAlign w:val="bottom"/>
            <w:gridSpan w:val="2"/>
          </w:tcPr>
          <w:p>
            <w:pPr>
              <w:jc w:val="right"/>
              <w:ind w:right="232"/>
              <w:spacing w:after="0" w:line="102" w:lineRule="exact"/>
              <w:rPr>
                <w:sz w:val="20"/>
                <w:szCs w:val="20"/>
                <w:color w:val="auto"/>
              </w:rPr>
            </w:pPr>
            <w:r>
              <w:rPr>
                <w:rFonts w:ascii="Arial" w:cs="Arial" w:eastAsia="Arial" w:hAnsi="Arial"/>
                <w:sz w:val="10"/>
                <w:szCs w:val="10"/>
                <w:color w:val="auto"/>
              </w:rPr>
              <w:t>(37) %</w:t>
            </w:r>
          </w:p>
        </w:tc>
      </w:tr>
      <w:tr>
        <w:trPr>
          <w:trHeight w:val="93"/>
        </w:trPr>
        <w:tc>
          <w:tcPr>
            <w:tcW w:w="4940" w:type="dxa"/>
            <w:vAlign w:val="bottom"/>
            <w:tcBorders>
              <w:bottom w:val="single" w:sz="8" w:color="CCEEFF"/>
            </w:tcBorders>
            <w:gridSpan w:val="2"/>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60" w:type="dxa"/>
            <w:vAlign w:val="bottom"/>
            <w:tcBorders>
              <w:bottom w:val="single" w:sz="8" w:color="CCEEFF"/>
            </w:tcBorders>
          </w:tcPr>
          <w:p>
            <w:pPr>
              <w:spacing w:after="0"/>
              <w:rPr>
                <w:sz w:val="8"/>
                <w:szCs w:val="8"/>
                <w:color w:val="auto"/>
              </w:rPr>
            </w:pPr>
          </w:p>
        </w:tc>
        <w:tc>
          <w:tcPr>
            <w:tcW w:w="880" w:type="dxa"/>
            <w:vAlign w:val="bottom"/>
            <w:tcBorders>
              <w:bottom w:val="single" w:sz="8" w:color="CCEEFF"/>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40" w:type="dxa"/>
            <w:vAlign w:val="bottom"/>
            <w:tcBorders>
              <w:bottom w:val="single" w:sz="8" w:color="CCEEFF"/>
            </w:tcBorders>
          </w:tcPr>
          <w:p>
            <w:pPr>
              <w:spacing w:after="0"/>
              <w:rPr>
                <w:sz w:val="8"/>
                <w:szCs w:val="8"/>
                <w:color w:val="auto"/>
              </w:rPr>
            </w:pPr>
          </w:p>
        </w:tc>
        <w:tc>
          <w:tcPr>
            <w:tcW w:w="960" w:type="dxa"/>
            <w:vAlign w:val="bottom"/>
            <w:tcBorders>
              <w:bottom w:val="single" w:sz="8" w:color="CCEEFF"/>
            </w:tcBorders>
          </w:tcPr>
          <w:p>
            <w:pPr>
              <w:spacing w:after="0"/>
              <w:rPr>
                <w:sz w:val="8"/>
                <w:szCs w:val="8"/>
                <w:color w:val="auto"/>
              </w:rPr>
            </w:pPr>
          </w:p>
        </w:tc>
        <w:tc>
          <w:tcPr>
            <w:tcW w:w="1000" w:type="dxa"/>
            <w:vAlign w:val="bottom"/>
            <w:tcBorders>
              <w:bottom w:val="single" w:sz="8" w:color="CCEEFF"/>
            </w:tcBorders>
            <w:gridSpan w:val="2"/>
          </w:tcPr>
          <w:p>
            <w:pPr>
              <w:spacing w:after="0"/>
              <w:rPr>
                <w:sz w:val="8"/>
                <w:szCs w:val="8"/>
                <w:color w:val="auto"/>
              </w:rPr>
            </w:pPr>
          </w:p>
        </w:tc>
      </w:tr>
      <w:tr>
        <w:trPr>
          <w:trHeight w:val="241"/>
        </w:trPr>
        <w:tc>
          <w:tcPr>
            <w:tcW w:w="4940" w:type="dxa"/>
            <w:vAlign w:val="bottom"/>
            <w:gridSpan w:val="2"/>
            <w:shd w:val="clear" w:color="auto" w:fill="CCEEFF"/>
          </w:tcPr>
          <w:p>
            <w:pPr>
              <w:ind w:left="800"/>
              <w:spacing w:after="0"/>
              <w:rPr>
                <w:sz w:val="20"/>
                <w:szCs w:val="20"/>
                <w:color w:val="auto"/>
              </w:rPr>
            </w:pPr>
            <w:r>
              <w:rPr>
                <w:rFonts w:ascii="Arial" w:cs="Arial" w:eastAsia="Arial" w:hAnsi="Arial"/>
                <w:sz w:val="10"/>
                <w:szCs w:val="10"/>
                <w:b w:val="1"/>
                <w:bCs w:val="1"/>
                <w:color w:val="auto"/>
              </w:rPr>
              <w:t>Total depreciation, amortization, and general and administrative expense</w:t>
            </w:r>
          </w:p>
        </w:tc>
        <w:tc>
          <w:tcPr>
            <w:tcW w:w="540" w:type="dxa"/>
            <w:vAlign w:val="bottom"/>
            <w:shd w:val="clear" w:color="auto" w:fill="CCEEFF"/>
          </w:tcPr>
          <w:p>
            <w:pPr>
              <w:jc w:val="right"/>
              <w:ind w:right="232"/>
              <w:spacing w:after="0"/>
              <w:rPr>
                <w:sz w:val="20"/>
                <w:szCs w:val="20"/>
                <w:color w:val="auto"/>
              </w:rPr>
            </w:pPr>
            <w:r>
              <w:rPr>
                <w:rFonts w:ascii="Arial" w:cs="Arial" w:eastAsia="Arial" w:hAnsi="Arial"/>
                <w:sz w:val="10"/>
                <w:szCs w:val="10"/>
                <w:b w:val="1"/>
                <w:bCs w:val="1"/>
                <w:color w:val="auto"/>
              </w:rPr>
              <w:t>$</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0"/>
                <w:szCs w:val="10"/>
                <w:b w:val="1"/>
                <w:bCs w:val="1"/>
                <w:color w:val="auto"/>
              </w:rPr>
              <w:t>(14,622)</w:t>
            </w:r>
          </w:p>
        </w:tc>
        <w:tc>
          <w:tcPr>
            <w:tcW w:w="880" w:type="dxa"/>
            <w:vAlign w:val="bottom"/>
            <w:shd w:val="clear" w:color="auto" w:fill="CCEEFF"/>
          </w:tcPr>
          <w:p>
            <w:pPr>
              <w:jc w:val="right"/>
              <w:ind w:right="332"/>
              <w:spacing w:after="0"/>
              <w:rPr>
                <w:sz w:val="20"/>
                <w:szCs w:val="20"/>
                <w:color w:val="auto"/>
              </w:rPr>
            </w:pPr>
            <w:r>
              <w:rPr>
                <w:rFonts w:ascii="Arial" w:cs="Arial" w:eastAsia="Arial" w:hAnsi="Arial"/>
                <w:sz w:val="10"/>
                <w:szCs w:val="10"/>
                <w:i w:val="1"/>
                <w:iCs w:val="1"/>
                <w:color w:val="auto"/>
              </w:rPr>
              <w:t>(6)%</w:t>
            </w:r>
          </w:p>
        </w:tc>
        <w:tc>
          <w:tcPr>
            <w:tcW w:w="500" w:type="dxa"/>
            <w:vAlign w:val="bottom"/>
            <w:shd w:val="clear" w:color="auto" w:fill="CCEEFF"/>
          </w:tcPr>
          <w:p>
            <w:pPr>
              <w:jc w:val="right"/>
              <w:ind w:right="212"/>
              <w:spacing w:after="0"/>
              <w:rPr>
                <w:sz w:val="20"/>
                <w:szCs w:val="20"/>
                <w:color w:val="auto"/>
              </w:rPr>
            </w:pPr>
            <w:r>
              <w:rPr>
                <w:rFonts w:ascii="Arial" w:cs="Arial" w:eastAsia="Arial" w:hAnsi="Arial"/>
                <w:sz w:val="10"/>
                <w:szCs w:val="10"/>
                <w:b w:val="1"/>
                <w:bCs w:val="1"/>
                <w:color w:val="auto"/>
              </w:rPr>
              <w:t>$</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b w:val="1"/>
                <w:bCs w:val="1"/>
                <w:color w:val="auto"/>
              </w:rPr>
              <w:t>(14,014)</w:t>
            </w:r>
          </w:p>
        </w:tc>
        <w:tc>
          <w:tcPr>
            <w:tcW w:w="960" w:type="dxa"/>
            <w:vAlign w:val="bottom"/>
            <w:shd w:val="clear" w:color="auto" w:fill="CCEEFF"/>
          </w:tcPr>
          <w:p>
            <w:pPr>
              <w:jc w:val="right"/>
              <w:ind w:right="412"/>
              <w:spacing w:after="0"/>
              <w:rPr>
                <w:sz w:val="20"/>
                <w:szCs w:val="20"/>
                <w:color w:val="auto"/>
              </w:rPr>
            </w:pPr>
            <w:r>
              <w:rPr>
                <w:rFonts w:ascii="Arial" w:cs="Arial" w:eastAsia="Arial" w:hAnsi="Arial"/>
                <w:sz w:val="10"/>
                <w:szCs w:val="10"/>
                <w:i w:val="1"/>
                <w:iCs w:val="1"/>
                <w:color w:val="auto"/>
              </w:rPr>
              <w:t>(6)%</w:t>
            </w:r>
          </w:p>
        </w:tc>
        <w:tc>
          <w:tcPr>
            <w:tcW w:w="1000" w:type="dxa"/>
            <w:vAlign w:val="bottom"/>
            <w:gridSpan w:val="2"/>
            <w:shd w:val="clear" w:color="auto" w:fill="CCEEFF"/>
          </w:tcPr>
          <w:p>
            <w:pPr>
              <w:jc w:val="right"/>
              <w:ind w:right="232"/>
              <w:spacing w:after="0"/>
              <w:rPr>
                <w:sz w:val="20"/>
                <w:szCs w:val="20"/>
                <w:color w:val="auto"/>
              </w:rPr>
            </w:pPr>
            <w:r>
              <w:rPr>
                <w:rFonts w:ascii="Arial" w:cs="Arial" w:eastAsia="Arial" w:hAnsi="Arial"/>
                <w:sz w:val="10"/>
                <w:szCs w:val="10"/>
                <w:color w:val="auto"/>
              </w:rPr>
              <w:t>(4) %</w:t>
            </w:r>
          </w:p>
        </w:tc>
      </w:tr>
      <w:tr>
        <w:trPr>
          <w:trHeight w:val="20"/>
        </w:trPr>
        <w:tc>
          <w:tcPr>
            <w:tcW w:w="1680" w:type="dxa"/>
            <w:vAlign w:val="bottom"/>
            <w:shd w:val="clear" w:color="auto" w:fill="CCEEFF"/>
          </w:tcPr>
          <w:p>
            <w:pPr>
              <w:spacing w:after="0" w:line="20" w:lineRule="exact"/>
              <w:rPr>
                <w:sz w:val="1"/>
                <w:szCs w:val="1"/>
                <w:color w:val="auto"/>
              </w:rPr>
            </w:pPr>
          </w:p>
        </w:tc>
        <w:tc>
          <w:tcPr>
            <w:tcW w:w="326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r>
      <w:tr>
        <w:trPr>
          <w:trHeight w:val="214"/>
        </w:trPr>
        <w:tc>
          <w:tcPr>
            <w:tcW w:w="1680" w:type="dxa"/>
            <w:vAlign w:val="bottom"/>
          </w:tcPr>
          <w:p>
            <w:pPr>
              <w:ind w:left="400"/>
              <w:spacing w:after="0"/>
              <w:rPr>
                <w:sz w:val="20"/>
                <w:szCs w:val="20"/>
                <w:color w:val="auto"/>
              </w:rPr>
            </w:pPr>
            <w:r>
              <w:rPr>
                <w:rFonts w:ascii="Arial" w:cs="Arial" w:eastAsia="Arial" w:hAnsi="Arial"/>
                <w:sz w:val="10"/>
                <w:szCs w:val="10"/>
                <w:b w:val="1"/>
                <w:bCs w:val="1"/>
                <w:color w:val="auto"/>
              </w:rPr>
              <w:t>Total operating expense</w:t>
            </w:r>
          </w:p>
        </w:tc>
        <w:tc>
          <w:tcPr>
            <w:tcW w:w="3260" w:type="dxa"/>
            <w:vAlign w:val="bottom"/>
          </w:tcPr>
          <w:p>
            <w:pPr>
              <w:spacing w:after="0"/>
              <w:rPr>
                <w:sz w:val="18"/>
                <w:szCs w:val="18"/>
                <w:color w:val="auto"/>
              </w:rPr>
            </w:pPr>
          </w:p>
        </w:tc>
        <w:tc>
          <w:tcPr>
            <w:tcW w:w="540" w:type="dxa"/>
            <w:vAlign w:val="bottom"/>
          </w:tcPr>
          <w:p>
            <w:pPr>
              <w:jc w:val="right"/>
              <w:ind w:right="232"/>
              <w:spacing w:after="0"/>
              <w:rPr>
                <w:sz w:val="20"/>
                <w:szCs w:val="20"/>
                <w:color w:val="auto"/>
              </w:rPr>
            </w:pPr>
            <w:r>
              <w:rPr>
                <w:rFonts w:ascii="Arial" w:cs="Arial" w:eastAsia="Arial" w:hAnsi="Arial"/>
                <w:sz w:val="10"/>
                <w:szCs w:val="10"/>
                <w:b w:val="1"/>
                <w:bCs w:val="1"/>
                <w:color w:val="auto"/>
              </w:rPr>
              <w:t>$</w:t>
            </w:r>
          </w:p>
        </w:tc>
        <w:tc>
          <w:tcPr>
            <w:tcW w:w="900" w:type="dxa"/>
            <w:vAlign w:val="bottom"/>
            <w:gridSpan w:val="2"/>
          </w:tcPr>
          <w:p>
            <w:pPr>
              <w:jc w:val="right"/>
              <w:ind w:right="260"/>
              <w:spacing w:after="0"/>
              <w:rPr>
                <w:sz w:val="20"/>
                <w:szCs w:val="20"/>
                <w:color w:val="auto"/>
              </w:rPr>
            </w:pPr>
            <w:r>
              <w:rPr>
                <w:rFonts w:ascii="Arial" w:cs="Arial" w:eastAsia="Arial" w:hAnsi="Arial"/>
                <w:sz w:val="10"/>
                <w:szCs w:val="10"/>
                <w:b w:val="1"/>
                <w:bCs w:val="1"/>
                <w:color w:val="auto"/>
              </w:rPr>
              <w:t>(210,518)</w:t>
            </w:r>
          </w:p>
        </w:tc>
        <w:tc>
          <w:tcPr>
            <w:tcW w:w="880" w:type="dxa"/>
            <w:vAlign w:val="bottom"/>
          </w:tcPr>
          <w:p>
            <w:pPr>
              <w:jc w:val="right"/>
              <w:ind w:right="332"/>
              <w:spacing w:after="0"/>
              <w:rPr>
                <w:sz w:val="20"/>
                <w:szCs w:val="20"/>
                <w:color w:val="auto"/>
              </w:rPr>
            </w:pPr>
            <w:r>
              <w:rPr>
                <w:rFonts w:ascii="Arial" w:cs="Arial" w:eastAsia="Arial" w:hAnsi="Arial"/>
                <w:sz w:val="10"/>
                <w:szCs w:val="10"/>
                <w:i w:val="1"/>
                <w:iCs w:val="1"/>
                <w:color w:val="auto"/>
              </w:rPr>
              <w:t>(89)%</w:t>
            </w:r>
          </w:p>
        </w:tc>
        <w:tc>
          <w:tcPr>
            <w:tcW w:w="500" w:type="dxa"/>
            <w:vAlign w:val="bottom"/>
          </w:tcPr>
          <w:p>
            <w:pPr>
              <w:jc w:val="right"/>
              <w:ind w:right="212"/>
              <w:spacing w:after="0"/>
              <w:rPr>
                <w:sz w:val="20"/>
                <w:szCs w:val="20"/>
                <w:color w:val="auto"/>
              </w:rPr>
            </w:pPr>
            <w:r>
              <w:rPr>
                <w:rFonts w:ascii="Arial" w:cs="Arial" w:eastAsia="Arial" w:hAnsi="Arial"/>
                <w:sz w:val="10"/>
                <w:szCs w:val="10"/>
                <w:b w:val="1"/>
                <w:bCs w:val="1"/>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0"/>
                <w:szCs w:val="10"/>
                <w:b w:val="1"/>
                <w:bCs w:val="1"/>
                <w:color w:val="auto"/>
              </w:rPr>
              <w:t>(214,872)</w:t>
            </w:r>
          </w:p>
        </w:tc>
        <w:tc>
          <w:tcPr>
            <w:tcW w:w="960" w:type="dxa"/>
            <w:vAlign w:val="bottom"/>
          </w:tcPr>
          <w:p>
            <w:pPr>
              <w:jc w:val="right"/>
              <w:ind w:right="412"/>
              <w:spacing w:after="0"/>
              <w:rPr>
                <w:sz w:val="20"/>
                <w:szCs w:val="20"/>
                <w:color w:val="auto"/>
              </w:rPr>
            </w:pPr>
            <w:r>
              <w:rPr>
                <w:rFonts w:ascii="Arial" w:cs="Arial" w:eastAsia="Arial" w:hAnsi="Arial"/>
                <w:sz w:val="10"/>
                <w:szCs w:val="10"/>
                <w:i w:val="1"/>
                <w:iCs w:val="1"/>
                <w:color w:val="auto"/>
              </w:rPr>
              <w:t>(90)%</w:t>
            </w:r>
          </w:p>
        </w:tc>
        <w:tc>
          <w:tcPr>
            <w:tcW w:w="620" w:type="dxa"/>
            <w:vAlign w:val="bottom"/>
          </w:tcPr>
          <w:p>
            <w:pPr>
              <w:jc w:val="right"/>
              <w:spacing w:after="0"/>
              <w:rPr>
                <w:sz w:val="20"/>
                <w:szCs w:val="20"/>
                <w:color w:val="auto"/>
              </w:rPr>
            </w:pPr>
            <w:r>
              <w:rPr>
                <w:rFonts w:ascii="Arial" w:cs="Arial" w:eastAsia="Arial" w:hAnsi="Arial"/>
                <w:sz w:val="10"/>
                <w:szCs w:val="10"/>
                <w:color w:val="auto"/>
              </w:rPr>
              <w:t>2</w:t>
            </w:r>
          </w:p>
        </w:tc>
        <w:tc>
          <w:tcPr>
            <w:tcW w:w="380" w:type="dxa"/>
            <w:vAlign w:val="bottom"/>
          </w:tcPr>
          <w:p>
            <w:pPr>
              <w:jc w:val="right"/>
              <w:ind w:right="232"/>
              <w:spacing w:after="0"/>
              <w:rPr>
                <w:sz w:val="20"/>
                <w:szCs w:val="20"/>
                <w:color w:val="auto"/>
              </w:rPr>
            </w:pPr>
            <w:r>
              <w:rPr>
                <w:rFonts w:ascii="Arial" w:cs="Arial" w:eastAsia="Arial" w:hAnsi="Arial"/>
                <w:sz w:val="10"/>
                <w:szCs w:val="10"/>
                <w:color w:val="auto"/>
                <w:w w:val="89"/>
              </w:rPr>
              <w:t>%</w:t>
            </w:r>
          </w:p>
        </w:tc>
      </w:tr>
      <w:tr>
        <w:trPr>
          <w:trHeight w:val="223"/>
        </w:trPr>
        <w:tc>
          <w:tcPr>
            <w:tcW w:w="1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0"/>
                <w:szCs w:val="10"/>
                <w:b w:val="1"/>
                <w:bCs w:val="1"/>
                <w:color w:val="auto"/>
              </w:rPr>
              <w:t>OPERATING INCOME</w:t>
            </w:r>
          </w:p>
        </w:tc>
        <w:tc>
          <w:tcPr>
            <w:tcW w:w="326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CCEEFF"/>
            </w:tcBorders>
            <w:shd w:val="clear" w:color="auto" w:fill="CCEEFF"/>
          </w:tcPr>
          <w:p>
            <w:pPr>
              <w:spacing w:after="0"/>
              <w:rPr>
                <w:sz w:val="19"/>
                <w:szCs w:val="19"/>
                <w:color w:val="auto"/>
              </w:rPr>
            </w:pPr>
          </w:p>
        </w:tc>
        <w:tc>
          <w:tcPr>
            <w:tcW w:w="6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CCEEFF"/>
            </w:tcBorders>
            <w:shd w:val="clear" w:color="auto" w:fill="CCEEFF"/>
          </w:tcPr>
          <w:p>
            <w:pPr>
              <w:spacing w:after="0"/>
              <w:rPr>
                <w:sz w:val="19"/>
                <w:szCs w:val="19"/>
                <w:color w:val="auto"/>
              </w:rPr>
            </w:pPr>
          </w:p>
        </w:tc>
      </w:tr>
      <w:tr>
        <w:trPr>
          <w:trHeight w:val="153"/>
        </w:trPr>
        <w:tc>
          <w:tcPr>
            <w:tcW w:w="1680" w:type="dxa"/>
            <w:vAlign w:val="bottom"/>
          </w:tcPr>
          <w:p>
            <w:pPr>
              <w:ind w:left="400"/>
              <w:spacing w:after="0"/>
              <w:rPr>
                <w:sz w:val="20"/>
                <w:szCs w:val="20"/>
                <w:color w:val="auto"/>
              </w:rPr>
            </w:pPr>
            <w:r>
              <w:rPr>
                <w:rFonts w:ascii="Arial" w:cs="Arial" w:eastAsia="Arial" w:hAnsi="Arial"/>
                <w:sz w:val="10"/>
                <w:szCs w:val="10"/>
                <w:b w:val="1"/>
                <w:bCs w:val="1"/>
                <w:color w:val="auto"/>
              </w:rPr>
              <w:t>United States</w:t>
            </w:r>
          </w:p>
        </w:tc>
        <w:tc>
          <w:tcPr>
            <w:tcW w:w="3260" w:type="dxa"/>
            <w:vAlign w:val="bottom"/>
          </w:tcPr>
          <w:p>
            <w:pPr>
              <w:spacing w:after="0"/>
              <w:rPr>
                <w:sz w:val="13"/>
                <w:szCs w:val="13"/>
                <w:color w:val="auto"/>
              </w:rPr>
            </w:pPr>
          </w:p>
        </w:tc>
        <w:tc>
          <w:tcPr>
            <w:tcW w:w="540" w:type="dxa"/>
            <w:vAlign w:val="bottom"/>
          </w:tcPr>
          <w:p>
            <w:pPr>
              <w:jc w:val="right"/>
              <w:ind w:right="232"/>
              <w:spacing w:after="0"/>
              <w:rPr>
                <w:sz w:val="20"/>
                <w:szCs w:val="20"/>
                <w:color w:val="auto"/>
              </w:rPr>
            </w:pPr>
            <w:r>
              <w:rPr>
                <w:rFonts w:ascii="Arial" w:cs="Arial" w:eastAsia="Arial" w:hAnsi="Arial"/>
                <w:sz w:val="10"/>
                <w:szCs w:val="10"/>
                <w:color w:val="auto"/>
              </w:rPr>
              <w:t>$</w:t>
            </w:r>
          </w:p>
        </w:tc>
        <w:tc>
          <w:tcPr>
            <w:tcW w:w="640" w:type="dxa"/>
            <w:vAlign w:val="bottom"/>
          </w:tcPr>
          <w:p>
            <w:pPr>
              <w:jc w:val="right"/>
              <w:spacing w:after="0"/>
              <w:rPr>
                <w:sz w:val="20"/>
                <w:szCs w:val="20"/>
                <w:color w:val="auto"/>
              </w:rPr>
            </w:pPr>
            <w:r>
              <w:rPr>
                <w:rFonts w:ascii="Arial" w:cs="Arial" w:eastAsia="Arial" w:hAnsi="Arial"/>
                <w:sz w:val="10"/>
                <w:szCs w:val="10"/>
                <w:color w:val="auto"/>
              </w:rPr>
              <w:t>8,697</w:t>
            </w:r>
          </w:p>
        </w:tc>
        <w:tc>
          <w:tcPr>
            <w:tcW w:w="260" w:type="dxa"/>
            <w:vAlign w:val="bottom"/>
          </w:tcPr>
          <w:p>
            <w:pPr>
              <w:spacing w:after="0"/>
              <w:rPr>
                <w:sz w:val="13"/>
                <w:szCs w:val="13"/>
                <w:color w:val="auto"/>
              </w:rPr>
            </w:pPr>
          </w:p>
        </w:tc>
        <w:tc>
          <w:tcPr>
            <w:tcW w:w="880" w:type="dxa"/>
            <w:vAlign w:val="bottom"/>
          </w:tcPr>
          <w:p>
            <w:pPr>
              <w:jc w:val="right"/>
              <w:ind w:right="332"/>
              <w:spacing w:after="0" w:line="153" w:lineRule="exact"/>
              <w:rPr>
                <w:sz w:val="20"/>
                <w:szCs w:val="20"/>
                <w:color w:val="auto"/>
              </w:rPr>
            </w:pPr>
            <w:r>
              <w:rPr>
                <w:rFonts w:ascii="Arial" w:cs="Arial" w:eastAsia="Arial" w:hAnsi="Arial"/>
                <w:sz w:val="9"/>
                <w:szCs w:val="9"/>
                <w:i w:val="1"/>
                <w:iCs w:val="1"/>
                <w:color w:val="auto"/>
              </w:rPr>
              <w:t xml:space="preserve">7 </w:t>
            </w:r>
            <w:r>
              <w:rPr>
                <w:rFonts w:ascii="Arial" w:cs="Arial" w:eastAsia="Arial" w:hAnsi="Arial"/>
                <w:sz w:val="17"/>
                <w:szCs w:val="17"/>
                <w:i w:val="1"/>
                <w:iCs w:val="1"/>
                <w:color w:val="auto"/>
                <w:vertAlign w:val="superscript"/>
              </w:rPr>
              <w:t>%</w:t>
            </w:r>
          </w:p>
        </w:tc>
        <w:tc>
          <w:tcPr>
            <w:tcW w:w="500" w:type="dxa"/>
            <w:vAlign w:val="bottom"/>
          </w:tcPr>
          <w:p>
            <w:pPr>
              <w:jc w:val="right"/>
              <w:ind w:right="212"/>
              <w:spacing w:after="0"/>
              <w:rPr>
                <w:sz w:val="20"/>
                <w:szCs w:val="20"/>
                <w:color w:val="auto"/>
              </w:rPr>
            </w:pPr>
            <w:r>
              <w:rPr>
                <w:rFonts w:ascii="Arial" w:cs="Arial" w:eastAsia="Arial" w:hAnsi="Arial"/>
                <w:sz w:val="10"/>
                <w:szCs w:val="10"/>
                <w:color w:val="auto"/>
              </w:rPr>
              <w:t>$</w:t>
            </w:r>
          </w:p>
        </w:tc>
        <w:tc>
          <w:tcPr>
            <w:tcW w:w="660" w:type="dxa"/>
            <w:vAlign w:val="bottom"/>
          </w:tcPr>
          <w:p>
            <w:pPr>
              <w:jc w:val="right"/>
              <w:spacing w:after="0"/>
              <w:rPr>
                <w:sz w:val="20"/>
                <w:szCs w:val="20"/>
                <w:color w:val="auto"/>
              </w:rPr>
            </w:pPr>
            <w:r>
              <w:rPr>
                <w:rFonts w:ascii="Arial" w:cs="Arial" w:eastAsia="Arial" w:hAnsi="Arial"/>
                <w:sz w:val="10"/>
                <w:szCs w:val="10"/>
                <w:color w:val="auto"/>
              </w:rPr>
              <w:t>9,674</w:t>
            </w:r>
          </w:p>
        </w:tc>
        <w:tc>
          <w:tcPr>
            <w:tcW w:w="240" w:type="dxa"/>
            <w:vAlign w:val="bottom"/>
          </w:tcPr>
          <w:p>
            <w:pPr>
              <w:spacing w:after="0"/>
              <w:rPr>
                <w:sz w:val="13"/>
                <w:szCs w:val="13"/>
                <w:color w:val="auto"/>
              </w:rPr>
            </w:pPr>
          </w:p>
        </w:tc>
        <w:tc>
          <w:tcPr>
            <w:tcW w:w="960" w:type="dxa"/>
            <w:vAlign w:val="bottom"/>
          </w:tcPr>
          <w:p>
            <w:pPr>
              <w:jc w:val="right"/>
              <w:ind w:right="412"/>
              <w:spacing w:after="0" w:line="153" w:lineRule="exact"/>
              <w:rPr>
                <w:sz w:val="20"/>
                <w:szCs w:val="20"/>
                <w:color w:val="auto"/>
              </w:rPr>
            </w:pPr>
            <w:r>
              <w:rPr>
                <w:rFonts w:ascii="Arial" w:cs="Arial" w:eastAsia="Arial" w:hAnsi="Arial"/>
                <w:sz w:val="9"/>
                <w:szCs w:val="9"/>
                <w:i w:val="1"/>
                <w:iCs w:val="1"/>
                <w:color w:val="auto"/>
              </w:rPr>
              <w:t xml:space="preserve">8 </w:t>
            </w:r>
            <w:r>
              <w:rPr>
                <w:rFonts w:ascii="Arial" w:cs="Arial" w:eastAsia="Arial" w:hAnsi="Arial"/>
                <w:sz w:val="17"/>
                <w:szCs w:val="17"/>
                <w:i w:val="1"/>
                <w:iCs w:val="1"/>
                <w:color w:val="auto"/>
                <w:vertAlign w:val="superscript"/>
              </w:rPr>
              <w:t>%</w:t>
            </w:r>
          </w:p>
        </w:tc>
        <w:tc>
          <w:tcPr>
            <w:tcW w:w="1000" w:type="dxa"/>
            <w:vAlign w:val="bottom"/>
            <w:gridSpan w:val="2"/>
          </w:tcPr>
          <w:p>
            <w:pPr>
              <w:jc w:val="right"/>
              <w:ind w:right="232"/>
              <w:spacing w:after="0"/>
              <w:rPr>
                <w:sz w:val="20"/>
                <w:szCs w:val="20"/>
                <w:color w:val="auto"/>
              </w:rPr>
            </w:pPr>
            <w:r>
              <w:rPr>
                <w:rFonts w:ascii="Arial" w:cs="Arial" w:eastAsia="Arial" w:hAnsi="Arial"/>
                <w:sz w:val="10"/>
                <w:szCs w:val="10"/>
                <w:color w:val="auto"/>
              </w:rPr>
              <w:t>(10) %</w:t>
            </w:r>
          </w:p>
        </w:tc>
      </w:tr>
      <w:tr>
        <w:trPr>
          <w:trHeight w:val="153"/>
        </w:trPr>
        <w:tc>
          <w:tcPr>
            <w:tcW w:w="1680" w:type="dxa"/>
            <w:vAlign w:val="bottom"/>
            <w:shd w:val="clear" w:color="auto" w:fill="CCEEFF"/>
          </w:tcPr>
          <w:p>
            <w:pPr>
              <w:ind w:left="400"/>
              <w:spacing w:after="0"/>
              <w:rPr>
                <w:sz w:val="20"/>
                <w:szCs w:val="20"/>
                <w:color w:val="auto"/>
              </w:rPr>
            </w:pPr>
            <w:r>
              <w:rPr>
                <w:rFonts w:ascii="Arial" w:cs="Arial" w:eastAsia="Arial" w:hAnsi="Arial"/>
                <w:sz w:val="10"/>
                <w:szCs w:val="10"/>
                <w:b w:val="1"/>
                <w:bCs w:val="1"/>
                <w:color w:val="auto"/>
              </w:rPr>
              <w:t>Australia</w:t>
            </w:r>
          </w:p>
        </w:tc>
        <w:tc>
          <w:tcPr>
            <w:tcW w:w="32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15,292</w:t>
            </w: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332"/>
              <w:spacing w:after="0" w:line="153" w:lineRule="exact"/>
              <w:rPr>
                <w:sz w:val="20"/>
                <w:szCs w:val="20"/>
                <w:color w:val="auto"/>
              </w:rPr>
            </w:pPr>
            <w:r>
              <w:rPr>
                <w:rFonts w:ascii="Arial" w:cs="Arial" w:eastAsia="Arial" w:hAnsi="Arial"/>
                <w:sz w:val="9"/>
                <w:szCs w:val="9"/>
                <w:i w:val="1"/>
                <w:iCs w:val="1"/>
                <w:color w:val="auto"/>
              </w:rPr>
              <w:t xml:space="preserve">17 </w:t>
            </w:r>
            <w:r>
              <w:rPr>
                <w:rFonts w:ascii="Arial" w:cs="Arial" w:eastAsia="Arial" w:hAnsi="Arial"/>
                <w:sz w:val="17"/>
                <w:szCs w:val="17"/>
                <w:i w:val="1"/>
                <w:iCs w:val="1"/>
                <w:color w:val="auto"/>
                <w:vertAlign w:val="superscript"/>
              </w:rPr>
              <w:t>%</w:t>
            </w:r>
          </w:p>
        </w:tc>
        <w:tc>
          <w:tcPr>
            <w:tcW w:w="50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12,396</w:t>
            </w:r>
          </w:p>
        </w:tc>
        <w:tc>
          <w:tcPr>
            <w:tcW w:w="240" w:type="dxa"/>
            <w:vAlign w:val="bottom"/>
            <w:shd w:val="clear" w:color="auto" w:fill="CCEEFF"/>
          </w:tcPr>
          <w:p>
            <w:pPr>
              <w:spacing w:after="0"/>
              <w:rPr>
                <w:sz w:val="13"/>
                <w:szCs w:val="13"/>
                <w:color w:val="auto"/>
              </w:rPr>
            </w:pPr>
          </w:p>
        </w:tc>
        <w:tc>
          <w:tcPr>
            <w:tcW w:w="960" w:type="dxa"/>
            <w:vAlign w:val="bottom"/>
            <w:shd w:val="clear" w:color="auto" w:fill="CCEEFF"/>
          </w:tcPr>
          <w:p>
            <w:pPr>
              <w:jc w:val="right"/>
              <w:ind w:right="412"/>
              <w:spacing w:after="0" w:line="153" w:lineRule="exact"/>
              <w:rPr>
                <w:sz w:val="20"/>
                <w:szCs w:val="20"/>
                <w:color w:val="auto"/>
              </w:rPr>
            </w:pPr>
            <w:r>
              <w:rPr>
                <w:rFonts w:ascii="Arial" w:cs="Arial" w:eastAsia="Arial" w:hAnsi="Arial"/>
                <w:sz w:val="9"/>
                <w:szCs w:val="9"/>
                <w:i w:val="1"/>
                <w:iCs w:val="1"/>
                <w:color w:val="auto"/>
              </w:rPr>
              <w:t xml:space="preserve">14 </w:t>
            </w:r>
            <w:r>
              <w:rPr>
                <w:rFonts w:ascii="Arial" w:cs="Arial" w:eastAsia="Arial" w:hAnsi="Arial"/>
                <w:sz w:val="17"/>
                <w:szCs w:val="17"/>
                <w:i w:val="1"/>
                <w:iCs w:val="1"/>
                <w:color w:val="auto"/>
                <w:vertAlign w:val="superscript"/>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23</w:t>
            </w:r>
          </w:p>
        </w:tc>
        <w:tc>
          <w:tcPr>
            <w:tcW w:w="380" w:type="dxa"/>
            <w:vAlign w:val="bottom"/>
            <w:shd w:val="clear" w:color="auto" w:fill="CCEEFF"/>
          </w:tcPr>
          <w:p>
            <w:pPr>
              <w:jc w:val="right"/>
              <w:ind w:right="232"/>
              <w:spacing w:after="0"/>
              <w:rPr>
                <w:sz w:val="20"/>
                <w:szCs w:val="20"/>
                <w:color w:val="auto"/>
              </w:rPr>
            </w:pPr>
            <w:r>
              <w:rPr>
                <w:rFonts w:ascii="Arial" w:cs="Arial" w:eastAsia="Arial" w:hAnsi="Arial"/>
                <w:sz w:val="10"/>
                <w:szCs w:val="10"/>
                <w:color w:val="auto"/>
                <w:w w:val="89"/>
              </w:rPr>
              <w:t>%</w:t>
            </w:r>
          </w:p>
        </w:tc>
      </w:tr>
      <w:tr>
        <w:trPr>
          <w:trHeight w:val="153"/>
        </w:trPr>
        <w:tc>
          <w:tcPr>
            <w:tcW w:w="1680" w:type="dxa"/>
            <w:vAlign w:val="bottom"/>
          </w:tcPr>
          <w:p>
            <w:pPr>
              <w:ind w:left="400"/>
              <w:spacing w:after="0"/>
              <w:rPr>
                <w:sz w:val="20"/>
                <w:szCs w:val="20"/>
                <w:color w:val="auto"/>
              </w:rPr>
            </w:pPr>
            <w:r>
              <w:rPr>
                <w:rFonts w:ascii="Arial" w:cs="Arial" w:eastAsia="Arial" w:hAnsi="Arial"/>
                <w:sz w:val="10"/>
                <w:szCs w:val="10"/>
                <w:b w:val="1"/>
                <w:bCs w:val="1"/>
                <w:color w:val="auto"/>
              </w:rPr>
              <w:t>New Zealand</w:t>
            </w:r>
          </w:p>
        </w:tc>
        <w:tc>
          <w:tcPr>
            <w:tcW w:w="3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3,354</w:t>
            </w:r>
          </w:p>
        </w:tc>
        <w:tc>
          <w:tcPr>
            <w:tcW w:w="260" w:type="dxa"/>
            <w:vAlign w:val="bottom"/>
          </w:tcPr>
          <w:p>
            <w:pPr>
              <w:spacing w:after="0"/>
              <w:rPr>
                <w:sz w:val="13"/>
                <w:szCs w:val="13"/>
                <w:color w:val="auto"/>
              </w:rPr>
            </w:pPr>
          </w:p>
        </w:tc>
        <w:tc>
          <w:tcPr>
            <w:tcW w:w="880" w:type="dxa"/>
            <w:vAlign w:val="bottom"/>
          </w:tcPr>
          <w:p>
            <w:pPr>
              <w:jc w:val="right"/>
              <w:ind w:right="332"/>
              <w:spacing w:after="0" w:line="153" w:lineRule="exact"/>
              <w:rPr>
                <w:sz w:val="20"/>
                <w:szCs w:val="20"/>
                <w:color w:val="auto"/>
              </w:rPr>
            </w:pPr>
            <w:r>
              <w:rPr>
                <w:rFonts w:ascii="Arial" w:cs="Arial" w:eastAsia="Arial" w:hAnsi="Arial"/>
                <w:sz w:val="9"/>
                <w:szCs w:val="9"/>
                <w:i w:val="1"/>
                <w:iCs w:val="1"/>
                <w:color w:val="auto"/>
              </w:rPr>
              <w:t xml:space="preserve">14 </w:t>
            </w:r>
            <w:r>
              <w:rPr>
                <w:rFonts w:ascii="Arial" w:cs="Arial" w:eastAsia="Arial" w:hAnsi="Arial"/>
                <w:sz w:val="17"/>
                <w:szCs w:val="17"/>
                <w:i w:val="1"/>
                <w:iCs w:val="1"/>
                <w:color w:val="auto"/>
                <w:vertAlign w:val="superscript"/>
              </w:rPr>
              <w:t>%</w:t>
            </w:r>
          </w:p>
        </w:tc>
        <w:tc>
          <w:tcPr>
            <w:tcW w:w="50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2,475</w:t>
            </w:r>
          </w:p>
        </w:tc>
        <w:tc>
          <w:tcPr>
            <w:tcW w:w="240" w:type="dxa"/>
            <w:vAlign w:val="bottom"/>
          </w:tcPr>
          <w:p>
            <w:pPr>
              <w:spacing w:after="0"/>
              <w:rPr>
                <w:sz w:val="13"/>
                <w:szCs w:val="13"/>
                <w:color w:val="auto"/>
              </w:rPr>
            </w:pPr>
          </w:p>
        </w:tc>
        <w:tc>
          <w:tcPr>
            <w:tcW w:w="960" w:type="dxa"/>
            <w:vAlign w:val="bottom"/>
          </w:tcPr>
          <w:p>
            <w:pPr>
              <w:jc w:val="right"/>
              <w:ind w:right="412"/>
              <w:spacing w:after="0" w:line="153" w:lineRule="exact"/>
              <w:rPr>
                <w:sz w:val="20"/>
                <w:szCs w:val="20"/>
                <w:color w:val="auto"/>
              </w:rPr>
            </w:pPr>
            <w:r>
              <w:rPr>
                <w:rFonts w:ascii="Arial" w:cs="Arial" w:eastAsia="Arial" w:hAnsi="Arial"/>
                <w:sz w:val="9"/>
                <w:szCs w:val="9"/>
                <w:i w:val="1"/>
                <w:iCs w:val="1"/>
                <w:color w:val="auto"/>
              </w:rPr>
              <w:t xml:space="preserve">11 </w:t>
            </w:r>
            <w:r>
              <w:rPr>
                <w:rFonts w:ascii="Arial" w:cs="Arial" w:eastAsia="Arial" w:hAnsi="Arial"/>
                <w:sz w:val="17"/>
                <w:szCs w:val="17"/>
                <w:i w:val="1"/>
                <w:iCs w:val="1"/>
                <w:color w:val="auto"/>
                <w:vertAlign w:val="superscript"/>
              </w:rPr>
              <w:t>%</w:t>
            </w:r>
          </w:p>
        </w:tc>
        <w:tc>
          <w:tcPr>
            <w:tcW w:w="620" w:type="dxa"/>
            <w:vAlign w:val="bottom"/>
          </w:tcPr>
          <w:p>
            <w:pPr>
              <w:jc w:val="right"/>
              <w:spacing w:after="0"/>
              <w:rPr>
                <w:sz w:val="20"/>
                <w:szCs w:val="20"/>
                <w:color w:val="auto"/>
              </w:rPr>
            </w:pPr>
            <w:r>
              <w:rPr>
                <w:rFonts w:ascii="Arial" w:cs="Arial" w:eastAsia="Arial" w:hAnsi="Arial"/>
                <w:sz w:val="10"/>
                <w:szCs w:val="10"/>
                <w:color w:val="auto"/>
              </w:rPr>
              <w:t>36</w:t>
            </w:r>
          </w:p>
        </w:tc>
        <w:tc>
          <w:tcPr>
            <w:tcW w:w="380" w:type="dxa"/>
            <w:vAlign w:val="bottom"/>
          </w:tcPr>
          <w:p>
            <w:pPr>
              <w:jc w:val="right"/>
              <w:ind w:right="232"/>
              <w:spacing w:after="0"/>
              <w:rPr>
                <w:sz w:val="20"/>
                <w:szCs w:val="20"/>
                <w:color w:val="auto"/>
              </w:rPr>
            </w:pPr>
            <w:r>
              <w:rPr>
                <w:rFonts w:ascii="Arial" w:cs="Arial" w:eastAsia="Arial" w:hAnsi="Arial"/>
                <w:sz w:val="10"/>
                <w:szCs w:val="10"/>
                <w:color w:val="auto"/>
                <w:w w:val="89"/>
              </w:rPr>
              <w:t>%</w:t>
            </w:r>
          </w:p>
        </w:tc>
      </w:tr>
      <w:tr>
        <w:trPr>
          <w:trHeight w:val="90"/>
        </w:trPr>
        <w:tc>
          <w:tcPr>
            <w:tcW w:w="1680" w:type="dxa"/>
            <w:vAlign w:val="bottom"/>
            <w:shd w:val="clear" w:color="auto" w:fill="CCEEFF"/>
          </w:tcPr>
          <w:p>
            <w:pPr>
              <w:spacing w:after="0"/>
              <w:rPr>
                <w:sz w:val="7"/>
                <w:szCs w:val="7"/>
                <w:color w:val="auto"/>
              </w:rPr>
            </w:pPr>
          </w:p>
        </w:tc>
        <w:tc>
          <w:tcPr>
            <w:tcW w:w="3260" w:type="dxa"/>
            <w:vAlign w:val="bottom"/>
            <w:shd w:val="clear" w:color="auto" w:fill="CCEEFF"/>
          </w:tcPr>
          <w:p>
            <w:pPr>
              <w:spacing w:after="0"/>
              <w:rPr>
                <w:sz w:val="7"/>
                <w:szCs w:val="7"/>
                <w:color w:val="auto"/>
              </w:rPr>
            </w:pPr>
          </w:p>
        </w:tc>
        <w:tc>
          <w:tcPr>
            <w:tcW w:w="540" w:type="dxa"/>
            <w:vAlign w:val="bottom"/>
            <w:tcBorders>
              <w:bottom w:val="single" w:sz="8" w:color="auto"/>
            </w:tcBorders>
            <w:shd w:val="clear" w:color="auto" w:fill="CCEEFF"/>
          </w:tcPr>
          <w:p>
            <w:pPr>
              <w:spacing w:after="0"/>
              <w:rPr>
                <w:sz w:val="7"/>
                <w:szCs w:val="7"/>
                <w:color w:val="auto"/>
              </w:rPr>
            </w:pPr>
          </w:p>
        </w:tc>
        <w:tc>
          <w:tcPr>
            <w:tcW w:w="640" w:type="dxa"/>
            <w:vAlign w:val="bottom"/>
            <w:tcBorders>
              <w:bottom w:val="single" w:sz="8" w:color="auto"/>
            </w:tcBorders>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500" w:type="dxa"/>
            <w:vAlign w:val="bottom"/>
            <w:tcBorders>
              <w:bottom w:val="single" w:sz="8" w:color="auto"/>
            </w:tcBorders>
            <w:shd w:val="clear" w:color="auto" w:fill="CCEEFF"/>
          </w:tcPr>
          <w:p>
            <w:pPr>
              <w:spacing w:after="0"/>
              <w:rPr>
                <w:sz w:val="7"/>
                <w:szCs w:val="7"/>
                <w:color w:val="auto"/>
              </w:rPr>
            </w:pPr>
          </w:p>
        </w:tc>
        <w:tc>
          <w:tcPr>
            <w:tcW w:w="660" w:type="dxa"/>
            <w:vAlign w:val="bottom"/>
            <w:tcBorders>
              <w:bottom w:val="single" w:sz="8" w:color="auto"/>
            </w:tcBorders>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96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r>
      <w:tr>
        <w:trPr>
          <w:trHeight w:val="151"/>
        </w:trPr>
        <w:tc>
          <w:tcPr>
            <w:tcW w:w="1680" w:type="dxa"/>
            <w:vAlign w:val="bottom"/>
          </w:tcPr>
          <w:p>
            <w:pPr>
              <w:ind w:left="400"/>
              <w:spacing w:after="0"/>
              <w:rPr>
                <w:sz w:val="20"/>
                <w:szCs w:val="20"/>
                <w:color w:val="auto"/>
              </w:rPr>
            </w:pPr>
            <w:r>
              <w:rPr>
                <w:rFonts w:ascii="Arial" w:cs="Arial" w:eastAsia="Arial" w:hAnsi="Arial"/>
                <w:sz w:val="10"/>
                <w:szCs w:val="10"/>
                <w:b w:val="1"/>
                <w:bCs w:val="1"/>
                <w:color w:val="auto"/>
              </w:rPr>
              <w:t>Total operating income</w:t>
            </w:r>
          </w:p>
        </w:tc>
        <w:tc>
          <w:tcPr>
            <w:tcW w:w="3260" w:type="dxa"/>
            <w:vAlign w:val="bottom"/>
          </w:tcPr>
          <w:p>
            <w:pPr>
              <w:spacing w:after="0"/>
              <w:rPr>
                <w:sz w:val="13"/>
                <w:szCs w:val="13"/>
                <w:color w:val="auto"/>
              </w:rPr>
            </w:pPr>
          </w:p>
        </w:tc>
        <w:tc>
          <w:tcPr>
            <w:tcW w:w="540" w:type="dxa"/>
            <w:vAlign w:val="bottom"/>
            <w:tcBorders>
              <w:bottom w:val="single" w:sz="8" w:color="auto"/>
            </w:tcBorders>
          </w:tcPr>
          <w:p>
            <w:pPr>
              <w:jc w:val="right"/>
              <w:ind w:right="232"/>
              <w:spacing w:after="0"/>
              <w:rPr>
                <w:sz w:val="20"/>
                <w:szCs w:val="20"/>
                <w:color w:val="auto"/>
              </w:rPr>
            </w:pPr>
            <w:r>
              <w:rPr>
                <w:rFonts w:ascii="Arial" w:cs="Arial" w:eastAsia="Arial" w:hAnsi="Arial"/>
                <w:sz w:val="10"/>
                <w:szCs w:val="10"/>
                <w:b w:val="1"/>
                <w:bCs w:val="1"/>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27,343</w:t>
            </w:r>
          </w:p>
        </w:tc>
        <w:tc>
          <w:tcPr>
            <w:tcW w:w="260" w:type="dxa"/>
            <w:vAlign w:val="bottom"/>
          </w:tcPr>
          <w:p>
            <w:pPr>
              <w:spacing w:after="0"/>
              <w:rPr>
                <w:sz w:val="13"/>
                <w:szCs w:val="13"/>
                <w:color w:val="auto"/>
              </w:rPr>
            </w:pPr>
          </w:p>
        </w:tc>
        <w:tc>
          <w:tcPr>
            <w:tcW w:w="880" w:type="dxa"/>
            <w:vAlign w:val="bottom"/>
          </w:tcPr>
          <w:p>
            <w:pPr>
              <w:jc w:val="right"/>
              <w:ind w:right="332"/>
              <w:spacing w:after="0"/>
              <w:rPr>
                <w:sz w:val="20"/>
                <w:szCs w:val="20"/>
                <w:color w:val="auto"/>
              </w:rPr>
            </w:pPr>
            <w:r>
              <w:rPr>
                <w:rFonts w:ascii="Arial" w:cs="Arial" w:eastAsia="Arial" w:hAnsi="Arial"/>
                <w:sz w:val="10"/>
                <w:szCs w:val="10"/>
                <w:i w:val="1"/>
                <w:iCs w:val="1"/>
                <w:color w:val="auto"/>
              </w:rPr>
              <w:t>11 %</w:t>
            </w:r>
          </w:p>
        </w:tc>
        <w:tc>
          <w:tcPr>
            <w:tcW w:w="500" w:type="dxa"/>
            <w:vAlign w:val="bottom"/>
            <w:tcBorders>
              <w:bottom w:val="single" w:sz="8" w:color="auto"/>
            </w:tcBorders>
          </w:tcPr>
          <w:p>
            <w:pPr>
              <w:jc w:val="right"/>
              <w:ind w:right="212"/>
              <w:spacing w:after="0"/>
              <w:rPr>
                <w:sz w:val="20"/>
                <w:szCs w:val="20"/>
                <w:color w:val="auto"/>
              </w:rPr>
            </w:pPr>
            <w:r>
              <w:rPr>
                <w:rFonts w:ascii="Arial" w:cs="Arial" w:eastAsia="Arial" w:hAnsi="Arial"/>
                <w:sz w:val="10"/>
                <w:szCs w:val="10"/>
                <w:b w:val="1"/>
                <w:bCs w:val="1"/>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24,545</w:t>
            </w:r>
          </w:p>
        </w:tc>
        <w:tc>
          <w:tcPr>
            <w:tcW w:w="240" w:type="dxa"/>
            <w:vAlign w:val="bottom"/>
          </w:tcPr>
          <w:p>
            <w:pPr>
              <w:spacing w:after="0"/>
              <w:rPr>
                <w:sz w:val="13"/>
                <w:szCs w:val="13"/>
                <w:color w:val="auto"/>
              </w:rPr>
            </w:pPr>
          </w:p>
        </w:tc>
        <w:tc>
          <w:tcPr>
            <w:tcW w:w="960" w:type="dxa"/>
            <w:vAlign w:val="bottom"/>
          </w:tcPr>
          <w:p>
            <w:pPr>
              <w:jc w:val="right"/>
              <w:ind w:right="412"/>
              <w:spacing w:after="0"/>
              <w:rPr>
                <w:sz w:val="20"/>
                <w:szCs w:val="20"/>
                <w:color w:val="auto"/>
              </w:rPr>
            </w:pPr>
            <w:r>
              <w:rPr>
                <w:rFonts w:ascii="Arial" w:cs="Arial" w:eastAsia="Arial" w:hAnsi="Arial"/>
                <w:sz w:val="10"/>
                <w:szCs w:val="10"/>
                <w:i w:val="1"/>
                <w:iCs w:val="1"/>
                <w:color w:val="auto"/>
              </w:rPr>
              <w:t>10 %</w:t>
            </w:r>
          </w:p>
        </w:tc>
        <w:tc>
          <w:tcPr>
            <w:tcW w:w="620" w:type="dxa"/>
            <w:vAlign w:val="bottom"/>
          </w:tcPr>
          <w:p>
            <w:pPr>
              <w:jc w:val="right"/>
              <w:spacing w:after="0"/>
              <w:rPr>
                <w:sz w:val="20"/>
                <w:szCs w:val="20"/>
                <w:color w:val="auto"/>
              </w:rPr>
            </w:pPr>
            <w:r>
              <w:rPr>
                <w:rFonts w:ascii="Arial" w:cs="Arial" w:eastAsia="Arial" w:hAnsi="Arial"/>
                <w:sz w:val="10"/>
                <w:szCs w:val="10"/>
                <w:color w:val="auto"/>
              </w:rPr>
              <w:t>11</w:t>
            </w:r>
          </w:p>
        </w:tc>
        <w:tc>
          <w:tcPr>
            <w:tcW w:w="380" w:type="dxa"/>
            <w:vAlign w:val="bottom"/>
          </w:tcPr>
          <w:p>
            <w:pPr>
              <w:jc w:val="right"/>
              <w:ind w:right="232"/>
              <w:spacing w:after="0"/>
              <w:rPr>
                <w:sz w:val="20"/>
                <w:szCs w:val="20"/>
                <w:color w:val="auto"/>
              </w:rPr>
            </w:pPr>
            <w:r>
              <w:rPr>
                <w:rFonts w:ascii="Arial" w:cs="Arial" w:eastAsia="Arial" w:hAnsi="Arial"/>
                <w:sz w:val="10"/>
                <w:szCs w:val="10"/>
                <w:color w:val="auto"/>
                <w:w w:val="89"/>
              </w:rPr>
              <w:t>%</w:t>
            </w:r>
          </w:p>
        </w:tc>
      </w:tr>
    </w:tbl>
    <w:p>
      <w:pPr>
        <w:spacing w:after="0" w:line="27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59690</wp:posOffset>
            </wp:positionV>
            <wp:extent cx="677989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779895" cy="42545"/>
                    </a:xfrm>
                    <a:prstGeom prst="rect">
                      <a:avLst/>
                    </a:prstGeom>
                    <a:noFill/>
                  </pic:spPr>
                </pic:pic>
              </a:graphicData>
            </a:graphic>
          </wp:anchor>
        </w:drawing>
      </w:r>
    </w:p>
    <w:p>
      <w:pPr>
        <w:sectPr>
          <w:pgSz w:w="11900" w:h="16838" w:orient="portrait"/>
          <w:cols w:equalWidth="0" w:num="1">
            <w:col w:w="10620"/>
          </w:cols>
          <w:pgMar w:left="640" w:top="120" w:right="639" w:bottom="1440" w:gutter="0" w:footer="0" w:header="0"/>
        </w:sectPr>
      </w:pPr>
    </w:p>
    <w:bookmarkStart w:id="44" w:name="page45"/>
    <w:bookmarkEnd w:id="44"/>
    <w:p>
      <w:pPr>
        <w:spacing w:after="0"/>
        <w:rPr>
          <w:sz w:val="20"/>
          <w:szCs w:val="20"/>
          <w:color w:val="auto"/>
        </w:rPr>
      </w:pPr>
      <w:r>
        <w:rPr>
          <w:rFonts w:ascii="Arial" w:cs="Arial" w:eastAsia="Arial" w:hAnsi="Arial"/>
          <w:sz w:val="12"/>
          <w:szCs w:val="12"/>
          <w:b w:val="1"/>
          <w:bCs w:val="1"/>
          <w:i w:val="1"/>
          <w:iCs w:val="1"/>
          <w:color w:val="auto"/>
        </w:rPr>
        <w:t>Cinema segment operating income</w:t>
      </w:r>
    </w:p>
    <w:p>
      <w:pPr>
        <w:spacing w:after="0" w:line="150" w:lineRule="exact"/>
        <w:rPr>
          <w:sz w:val="20"/>
          <w:szCs w:val="20"/>
          <w:color w:val="auto"/>
        </w:rPr>
      </w:pPr>
    </w:p>
    <w:p>
      <w:pPr>
        <w:spacing w:after="0"/>
        <w:rPr>
          <w:sz w:val="20"/>
          <w:szCs w:val="20"/>
          <w:color w:val="auto"/>
        </w:rPr>
      </w:pPr>
      <w:r>
        <w:rPr>
          <w:rFonts w:ascii="Arial" w:cs="Arial" w:eastAsia="Arial" w:hAnsi="Arial"/>
          <w:sz w:val="11"/>
          <w:szCs w:val="11"/>
          <w:color w:val="auto"/>
        </w:rPr>
        <w:t>Cinema segment operating income increased by 11%, or $2.8 million, to $27.3 million for 2014 compared to 2013, primarily driven by 2% lower operating expense. Refer below for further detailed explanation.</w:t>
      </w:r>
    </w:p>
    <w:p>
      <w:pPr>
        <w:spacing w:after="0" w:line="16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Revenue</w:t>
      </w:r>
    </w:p>
    <w:p>
      <w:pPr>
        <w:spacing w:after="0" w:line="78" w:lineRule="exact"/>
        <w:rPr>
          <w:sz w:val="20"/>
          <w:szCs w:val="20"/>
          <w:color w:val="auto"/>
        </w:rPr>
      </w:pPr>
    </w:p>
    <w:p>
      <w:pPr>
        <w:jc w:val="both"/>
        <w:ind w:right="100"/>
        <w:spacing w:after="0" w:line="263" w:lineRule="auto"/>
        <w:rPr>
          <w:sz w:val="20"/>
          <w:szCs w:val="20"/>
          <w:color w:val="auto"/>
        </w:rPr>
      </w:pPr>
      <w:r>
        <w:rPr>
          <w:rFonts w:ascii="Arial" w:cs="Arial" w:eastAsia="Arial" w:hAnsi="Arial"/>
          <w:sz w:val="12"/>
          <w:szCs w:val="12"/>
          <w:color w:val="auto"/>
        </w:rPr>
        <w:t>Cinema revenue for 2014 decreased by $1.6 million or 0.7% when compared to 2013, primarily attributable to higher attendances in Australia and New Zealand, more than offset by the unfavorable impact from foreign exchange movements. Comparing the twelve months of 2014 to the twelve months of 2013, the Australian dollar weakened by 6.8% in 2014 from 2013 while the New Zealand dollar strengthened against the U.S. dollar by 1.2%.</w:t>
      </w:r>
    </w:p>
    <w:p>
      <w:pPr>
        <w:spacing w:after="0" w:line="51" w:lineRule="exact"/>
        <w:rPr>
          <w:sz w:val="20"/>
          <w:szCs w:val="20"/>
          <w:color w:val="auto"/>
        </w:rPr>
      </w:pPr>
    </w:p>
    <w:p>
      <w:pPr>
        <w:spacing w:after="0" w:line="283" w:lineRule="auto"/>
        <w:rPr>
          <w:sz w:val="20"/>
          <w:szCs w:val="20"/>
          <w:color w:val="auto"/>
        </w:rPr>
      </w:pPr>
      <w:r>
        <w:rPr>
          <w:rFonts w:ascii="Arial" w:cs="Arial" w:eastAsia="Arial" w:hAnsi="Arial"/>
          <w:sz w:val="11"/>
          <w:szCs w:val="11"/>
          <w:color w:val="auto"/>
        </w:rPr>
        <w:t>The revenue in the United States for 2014 decreased $602,000, or 0%. This decrease was partially driven by a reduction in box office revenue of $1.5 million, in turn driven by an 82,000 admissions reduction, together with a 1.0% reduction in average ticket price, offset by increased concession and café revenues of approximately $524,000. Revenue in Australia decreased by $2.9 million or 3.2%. This decrease was primarily due to the strengthening of the U.S. dollar against the Australian dollar in 2014. Local currency box office was consistent with 2013, with a decrease in average ticket price of 4.5% being offset by increased ticket sales of 4.9%. Excluding currency effects, concession revenue was up 7.0%, reflecting increased admission volume and spend per admit. Revenue in New Zealand increased by $2.0 million or 9.1%. Attendance increased by 88,000 or 5.1%. The majority of this increase was achieved through the opening of our Dunedin cinema. The attendance increase more than offset the local currency reduction in average ticket price of 1.8%. Concession revenue increased by $879,000 due to the combined positive effect of increased admission volumes, improved spend per patron, and a positive U.S. dollar to N.Z. dollar exchange rate movement</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Cost of services and products (excluding depreciation and amortization)</w:t>
      </w:r>
    </w:p>
    <w:p>
      <w:pPr>
        <w:spacing w:after="0" w:line="78" w:lineRule="exact"/>
        <w:rPr>
          <w:sz w:val="20"/>
          <w:szCs w:val="20"/>
          <w:color w:val="auto"/>
        </w:rPr>
      </w:pPr>
    </w:p>
    <w:p>
      <w:pPr>
        <w:ind w:right="40"/>
        <w:spacing w:after="0" w:line="283" w:lineRule="auto"/>
        <w:rPr>
          <w:sz w:val="20"/>
          <w:szCs w:val="20"/>
          <w:color w:val="auto"/>
        </w:rPr>
      </w:pPr>
      <w:r>
        <w:rPr>
          <w:rFonts w:ascii="Arial" w:cs="Arial" w:eastAsia="Arial" w:hAnsi="Arial"/>
          <w:sz w:val="11"/>
          <w:szCs w:val="11"/>
          <w:color w:val="auto"/>
        </w:rPr>
        <w:t>Cost of services and products for 2014 decreased by $5.0 million or 2%, mainly attributable to foreign currency movements. Cost of services and products in the United States increased by $1.3 million or 1.2%, primarily related to a $773,000 decrease in film rent and advertising, together with a decrease of $280,000 in occupancy related costs, offset by an increase of $2.1 million in other operating expense, which includes not only increases in labor related costs but also increases in insurance and utilities. Cost of services and products in Australia decreased by $7.0 million or 9.4%. As with revenue, a significant contributor to the decrease was the strengthening of the U.S. dollar against the Australian dollar in 2014. Film rental costs were also lower due to a lower film rental percentage being achieved. Other operating costs were reduced by $3.2 million or 14.4%, with many incremental cost improvements, most notably a reduction in marketing costs. Cost of services and products in New Zealand increased by $743,000 or 4.1%. This increase was in line with the above-mentioned increase in cinema revenue, which directly affects film rental costs and with the above-mentioned year-over-year increase in the value of the New Zealand dollar compared to the U.S. dollar</w:t>
      </w:r>
    </w:p>
    <w:p>
      <w:pPr>
        <w:spacing w:after="0" w:line="42" w:lineRule="exact"/>
        <w:rPr>
          <w:sz w:val="20"/>
          <w:szCs w:val="20"/>
          <w:color w:val="auto"/>
        </w:rPr>
      </w:pPr>
    </w:p>
    <w:p>
      <w:pPr>
        <w:spacing w:after="0"/>
        <w:rPr>
          <w:sz w:val="20"/>
          <w:szCs w:val="20"/>
          <w:color w:val="auto"/>
        </w:rPr>
      </w:pPr>
      <w:r>
        <w:rPr>
          <w:rFonts w:ascii="Arial" w:cs="Arial" w:eastAsia="Arial" w:hAnsi="Arial"/>
          <w:sz w:val="12"/>
          <w:szCs w:val="12"/>
          <w:color w:val="auto"/>
        </w:rPr>
        <w:t>Cost of services and products as a percentage of gross revenue improved by 2% to 82%, mainly attributable to the percentage of fixed costs compared to the increases in our revenue streams.</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Depreciation, amortization, general and administrative expense</w:t>
      </w:r>
    </w:p>
    <w:p>
      <w:pPr>
        <w:spacing w:after="0" w:line="69" w:lineRule="exact"/>
        <w:rPr>
          <w:sz w:val="20"/>
          <w:szCs w:val="20"/>
          <w:color w:val="auto"/>
        </w:rPr>
      </w:pPr>
    </w:p>
    <w:p>
      <w:pPr>
        <w:spacing w:after="0"/>
        <w:rPr>
          <w:sz w:val="20"/>
          <w:szCs w:val="20"/>
          <w:color w:val="auto"/>
        </w:rPr>
      </w:pPr>
      <w:r>
        <w:rPr>
          <w:rFonts w:ascii="Arial" w:cs="Arial" w:eastAsia="Arial" w:hAnsi="Arial"/>
          <w:sz w:val="11"/>
          <w:szCs w:val="11"/>
          <w:color w:val="auto"/>
        </w:rPr>
        <w:t>Depreciation expense increased in 2014 by $306,000 or 2.8% compared to 2013. This primarily related to digital projection assets receiving their first full year of depreciation in 2014 in Australia and New Zealand.</w:t>
      </w:r>
    </w:p>
    <w:p>
      <w:pPr>
        <w:spacing w:after="0" w:line="396"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59690</wp:posOffset>
            </wp:positionV>
            <wp:extent cx="677989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779895" cy="42545"/>
                    </a:xfrm>
                    <a:prstGeom prst="rect">
                      <a:avLst/>
                    </a:prstGeom>
                    <a:noFill/>
                  </pic:spPr>
                </pic:pic>
              </a:graphicData>
            </a:graphic>
          </wp:anchor>
        </w:drawing>
      </w:r>
    </w:p>
    <w:p>
      <w:pPr>
        <w:sectPr>
          <w:pgSz w:w="11900" w:h="16838" w:orient="portrait"/>
          <w:cols w:equalWidth="0" w:num="1">
            <w:col w:w="10600"/>
          </w:cols>
          <w:pgMar w:left="640" w:top="131" w:right="659" w:bottom="1440" w:gutter="0" w:footer="0" w:header="0"/>
        </w:sectPr>
      </w:pPr>
    </w:p>
    <w:bookmarkStart w:id="45" w:name="page46"/>
    <w:bookmarkEnd w:id="45"/>
    <w:p>
      <w:pPr>
        <w:spacing w:after="0"/>
        <w:rPr>
          <w:sz w:val="20"/>
          <w:szCs w:val="20"/>
          <w:color w:val="auto"/>
        </w:rPr>
      </w:pPr>
      <w:r>
        <w:rPr>
          <w:rFonts w:ascii="Arial" w:cs="Arial" w:eastAsia="Arial" w:hAnsi="Arial"/>
          <w:sz w:val="12"/>
          <w:szCs w:val="12"/>
          <w:b w:val="1"/>
          <w:bCs w:val="1"/>
          <w:u w:val="single" w:color="auto"/>
          <w:color w:val="auto"/>
        </w:rPr>
        <w:t>Real Estate- 2014 vs. 2013</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860" w:type="dxa"/>
            <w:vAlign w:val="bottom"/>
          </w:tcPr>
          <w:p>
            <w:pPr>
              <w:spacing w:after="0"/>
              <w:rPr>
                <w:sz w:val="10"/>
                <w:szCs w:val="10"/>
                <w:color w:val="auto"/>
              </w:rPr>
            </w:pPr>
          </w:p>
        </w:tc>
        <w:tc>
          <w:tcPr>
            <w:tcW w:w="29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gridSpan w:val="2"/>
          </w:tcPr>
          <w:p>
            <w:pPr>
              <w:jc w:val="right"/>
              <w:ind w:right="232"/>
              <w:spacing w:after="0"/>
              <w:rPr>
                <w:sz w:val="20"/>
                <w:szCs w:val="20"/>
                <w:color w:val="auto"/>
              </w:rPr>
            </w:pPr>
            <w:r>
              <w:rPr>
                <w:rFonts w:ascii="Arial" w:cs="Arial" w:eastAsia="Arial" w:hAnsi="Arial"/>
                <w:sz w:val="10"/>
                <w:szCs w:val="10"/>
                <w:b w:val="1"/>
                <w:bCs w:val="1"/>
                <w:color w:val="auto"/>
              </w:rPr>
              <w:t>2014 vs. 2013</w:t>
            </w:r>
          </w:p>
        </w:tc>
      </w:tr>
      <w:tr>
        <w:trPr>
          <w:trHeight w:val="114"/>
        </w:trPr>
        <w:tc>
          <w:tcPr>
            <w:tcW w:w="1860" w:type="dxa"/>
            <w:vAlign w:val="bottom"/>
          </w:tcPr>
          <w:p>
            <w:pPr>
              <w:spacing w:after="0" w:line="114" w:lineRule="exact"/>
              <w:rPr>
                <w:sz w:val="20"/>
                <w:szCs w:val="20"/>
                <w:color w:val="auto"/>
              </w:rPr>
            </w:pPr>
            <w:r>
              <w:rPr>
                <w:rFonts w:ascii="Arial" w:cs="Arial" w:eastAsia="Arial" w:hAnsi="Arial"/>
                <w:sz w:val="10"/>
                <w:szCs w:val="10"/>
                <w:color w:val="auto"/>
              </w:rPr>
              <w:t>(Dollars in thousands)</w:t>
            </w:r>
          </w:p>
        </w:tc>
        <w:tc>
          <w:tcPr>
            <w:tcW w:w="29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0" w:type="dxa"/>
            <w:vAlign w:val="bottom"/>
          </w:tcPr>
          <w:p>
            <w:pPr>
              <w:jc w:val="right"/>
              <w:ind w:right="432"/>
              <w:spacing w:after="0" w:line="114" w:lineRule="exact"/>
              <w:rPr>
                <w:sz w:val="20"/>
                <w:szCs w:val="20"/>
                <w:color w:val="auto"/>
              </w:rPr>
            </w:pPr>
            <w:r>
              <w:rPr>
                <w:rFonts w:ascii="Arial" w:cs="Arial" w:eastAsia="Arial" w:hAnsi="Arial"/>
                <w:sz w:val="10"/>
                <w:szCs w:val="10"/>
                <w:b w:val="1"/>
                <w:bCs w:val="1"/>
                <w:color w:val="auto"/>
              </w:rPr>
              <w:t>2014</w:t>
            </w:r>
          </w:p>
        </w:tc>
        <w:tc>
          <w:tcPr>
            <w:tcW w:w="180" w:type="dxa"/>
            <w:vAlign w:val="bottom"/>
          </w:tcPr>
          <w:p>
            <w:pPr>
              <w:spacing w:after="0"/>
              <w:rPr>
                <w:sz w:val="9"/>
                <w:szCs w:val="9"/>
                <w:color w:val="auto"/>
              </w:rPr>
            </w:pPr>
          </w:p>
        </w:tc>
        <w:tc>
          <w:tcPr>
            <w:tcW w:w="960" w:type="dxa"/>
            <w:vAlign w:val="bottom"/>
            <w:gridSpan w:val="2"/>
          </w:tcPr>
          <w:p>
            <w:pPr>
              <w:ind w:left="140"/>
              <w:spacing w:after="0" w:line="114" w:lineRule="exact"/>
              <w:rPr>
                <w:sz w:val="20"/>
                <w:szCs w:val="20"/>
                <w:color w:val="auto"/>
              </w:rPr>
            </w:pPr>
            <w:r>
              <w:rPr>
                <w:rFonts w:ascii="Arial" w:cs="Arial" w:eastAsia="Arial" w:hAnsi="Arial"/>
                <w:sz w:val="10"/>
                <w:szCs w:val="10"/>
                <w:i w:val="1"/>
                <w:iCs w:val="1"/>
                <w:color w:val="auto"/>
              </w:rPr>
              <w:t>% of Revenue</w:t>
            </w:r>
          </w:p>
        </w:tc>
        <w:tc>
          <w:tcPr>
            <w:tcW w:w="360" w:type="dxa"/>
            <w:vAlign w:val="bottom"/>
          </w:tcPr>
          <w:p>
            <w:pPr>
              <w:spacing w:after="0"/>
              <w:rPr>
                <w:sz w:val="9"/>
                <w:szCs w:val="9"/>
                <w:color w:val="auto"/>
              </w:rPr>
            </w:pPr>
          </w:p>
        </w:tc>
        <w:tc>
          <w:tcPr>
            <w:tcW w:w="800" w:type="dxa"/>
            <w:vAlign w:val="bottom"/>
          </w:tcPr>
          <w:p>
            <w:pPr>
              <w:jc w:val="right"/>
              <w:ind w:right="432"/>
              <w:spacing w:after="0" w:line="114" w:lineRule="exact"/>
              <w:rPr>
                <w:sz w:val="20"/>
                <w:szCs w:val="20"/>
                <w:color w:val="auto"/>
              </w:rPr>
            </w:pPr>
            <w:r>
              <w:rPr>
                <w:rFonts w:ascii="Arial" w:cs="Arial" w:eastAsia="Arial" w:hAnsi="Arial"/>
                <w:sz w:val="10"/>
                <w:szCs w:val="10"/>
                <w:b w:val="1"/>
                <w:bCs w:val="1"/>
                <w:color w:val="auto"/>
              </w:rPr>
              <w:t>2013</w:t>
            </w:r>
          </w:p>
        </w:tc>
        <w:tc>
          <w:tcPr>
            <w:tcW w:w="160" w:type="dxa"/>
            <w:vAlign w:val="bottom"/>
          </w:tcPr>
          <w:p>
            <w:pPr>
              <w:spacing w:after="0"/>
              <w:rPr>
                <w:sz w:val="9"/>
                <w:szCs w:val="9"/>
                <w:color w:val="auto"/>
              </w:rPr>
            </w:pPr>
          </w:p>
        </w:tc>
        <w:tc>
          <w:tcPr>
            <w:tcW w:w="960" w:type="dxa"/>
            <w:vAlign w:val="bottom"/>
            <w:gridSpan w:val="2"/>
          </w:tcPr>
          <w:p>
            <w:pPr>
              <w:ind w:left="140"/>
              <w:spacing w:after="0" w:line="114" w:lineRule="exact"/>
              <w:rPr>
                <w:sz w:val="20"/>
                <w:szCs w:val="20"/>
                <w:color w:val="auto"/>
              </w:rPr>
            </w:pPr>
            <w:r>
              <w:rPr>
                <w:rFonts w:ascii="Arial" w:cs="Arial" w:eastAsia="Arial" w:hAnsi="Arial"/>
                <w:sz w:val="10"/>
                <w:szCs w:val="10"/>
                <w:i w:val="1"/>
                <w:iCs w:val="1"/>
                <w:color w:val="auto"/>
              </w:rPr>
              <w:t>% of Revenue</w:t>
            </w:r>
          </w:p>
        </w:tc>
        <w:tc>
          <w:tcPr>
            <w:tcW w:w="1080" w:type="dxa"/>
            <w:vAlign w:val="bottom"/>
            <w:gridSpan w:val="2"/>
          </w:tcPr>
          <w:p>
            <w:pPr>
              <w:jc w:val="right"/>
              <w:ind w:right="212"/>
              <w:spacing w:after="0" w:line="114" w:lineRule="exact"/>
              <w:rPr>
                <w:sz w:val="20"/>
                <w:szCs w:val="20"/>
                <w:color w:val="auto"/>
              </w:rPr>
            </w:pPr>
            <w:r>
              <w:rPr>
                <w:rFonts w:ascii="Arial" w:cs="Arial" w:eastAsia="Arial" w:hAnsi="Arial"/>
                <w:sz w:val="10"/>
                <w:szCs w:val="10"/>
                <w:b w:val="1"/>
                <w:bCs w:val="1"/>
                <w:color w:val="auto"/>
              </w:rPr>
              <w:t>Fav / (Unfav)</w:t>
            </w:r>
          </w:p>
        </w:tc>
      </w:tr>
      <w:tr>
        <w:trPr>
          <w:trHeight w:val="160"/>
        </w:trPr>
        <w:tc>
          <w:tcPr>
            <w:tcW w:w="1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0"/>
                <w:szCs w:val="10"/>
                <w:b w:val="1"/>
                <w:bCs w:val="1"/>
                <w:color w:val="auto"/>
              </w:rPr>
              <w:t>REVENUE</w:t>
            </w:r>
          </w:p>
        </w:tc>
        <w:tc>
          <w:tcPr>
            <w:tcW w:w="290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r>
      <w:tr>
        <w:trPr>
          <w:trHeight w:val="171"/>
        </w:trPr>
        <w:tc>
          <w:tcPr>
            <w:tcW w:w="1860" w:type="dxa"/>
            <w:vAlign w:val="bottom"/>
          </w:tcPr>
          <w:p>
            <w:pPr>
              <w:ind w:left="400"/>
              <w:spacing w:after="0"/>
              <w:rPr>
                <w:sz w:val="20"/>
                <w:szCs w:val="20"/>
                <w:color w:val="auto"/>
              </w:rPr>
            </w:pPr>
            <w:r>
              <w:rPr>
                <w:rFonts w:ascii="Arial" w:cs="Arial" w:eastAsia="Arial" w:hAnsi="Arial"/>
                <w:sz w:val="10"/>
                <w:szCs w:val="10"/>
                <w:b w:val="1"/>
                <w:bCs w:val="1"/>
                <w:color w:val="auto"/>
              </w:rPr>
              <w:t>United States</w:t>
            </w:r>
          </w:p>
        </w:tc>
        <w:tc>
          <w:tcPr>
            <w:tcW w:w="3080" w:type="dxa"/>
            <w:vAlign w:val="bottom"/>
            <w:gridSpan w:val="2"/>
          </w:tcPr>
          <w:p>
            <w:pPr>
              <w:ind w:left="120"/>
              <w:spacing w:after="0"/>
              <w:rPr>
                <w:sz w:val="20"/>
                <w:szCs w:val="20"/>
                <w:color w:val="auto"/>
              </w:rPr>
            </w:pPr>
            <w:r>
              <w:rPr>
                <w:rFonts w:ascii="Arial" w:cs="Arial" w:eastAsia="Arial" w:hAnsi="Arial"/>
                <w:sz w:val="10"/>
                <w:szCs w:val="10"/>
                <w:color w:val="auto"/>
              </w:rPr>
              <w:t>Live theater rental and ancillary income</w:t>
            </w:r>
          </w:p>
        </w:tc>
        <w:tc>
          <w:tcPr>
            <w:tcW w:w="380" w:type="dxa"/>
            <w:vAlign w:val="bottom"/>
          </w:tcPr>
          <w:p>
            <w:pPr>
              <w:jc w:val="right"/>
              <w:ind w:right="72"/>
              <w:spacing w:after="0"/>
              <w:rPr>
                <w:sz w:val="20"/>
                <w:szCs w:val="20"/>
                <w:color w:val="auto"/>
              </w:rPr>
            </w:pPr>
            <w:r>
              <w:rPr>
                <w:rFonts w:ascii="Arial" w:cs="Arial" w:eastAsia="Arial" w:hAnsi="Arial"/>
                <w:sz w:val="10"/>
                <w:szCs w:val="10"/>
                <w:color w:val="auto"/>
              </w:rPr>
              <w:t>$</w:t>
            </w:r>
          </w:p>
        </w:tc>
        <w:tc>
          <w:tcPr>
            <w:tcW w:w="800" w:type="dxa"/>
            <w:vAlign w:val="bottom"/>
          </w:tcPr>
          <w:p>
            <w:pPr>
              <w:jc w:val="right"/>
              <w:spacing w:after="0"/>
              <w:rPr>
                <w:sz w:val="20"/>
                <w:szCs w:val="20"/>
                <w:color w:val="auto"/>
              </w:rPr>
            </w:pPr>
            <w:r>
              <w:rPr>
                <w:rFonts w:ascii="Arial" w:cs="Arial" w:eastAsia="Arial" w:hAnsi="Arial"/>
                <w:sz w:val="10"/>
                <w:szCs w:val="10"/>
                <w:color w:val="auto"/>
              </w:rPr>
              <w:t>3,343</w:t>
            </w:r>
          </w:p>
        </w:tc>
        <w:tc>
          <w:tcPr>
            <w:tcW w:w="180" w:type="dxa"/>
            <w:vAlign w:val="bottom"/>
          </w:tcPr>
          <w:p>
            <w:pPr>
              <w:spacing w:after="0"/>
              <w:rPr>
                <w:sz w:val="14"/>
                <w:szCs w:val="14"/>
                <w:color w:val="auto"/>
              </w:rPr>
            </w:pPr>
          </w:p>
        </w:tc>
        <w:tc>
          <w:tcPr>
            <w:tcW w:w="780" w:type="dxa"/>
            <w:vAlign w:val="bottom"/>
          </w:tcPr>
          <w:p>
            <w:pPr>
              <w:jc w:val="right"/>
              <w:ind w:right="152"/>
              <w:spacing w:after="0"/>
              <w:rPr>
                <w:sz w:val="20"/>
                <w:szCs w:val="20"/>
                <w:color w:val="auto"/>
              </w:rPr>
            </w:pPr>
            <w:r>
              <w:rPr>
                <w:rFonts w:ascii="Arial" w:cs="Arial" w:eastAsia="Arial" w:hAnsi="Arial"/>
                <w:sz w:val="10"/>
                <w:szCs w:val="10"/>
                <w:i w:val="1"/>
                <w:iCs w:val="1"/>
                <w:color w:val="auto"/>
              </w:rPr>
              <w:t>65 %</w:t>
            </w:r>
          </w:p>
        </w:tc>
        <w:tc>
          <w:tcPr>
            <w:tcW w:w="180" w:type="dxa"/>
            <w:vAlign w:val="bottom"/>
          </w:tcPr>
          <w:p>
            <w:pPr>
              <w:spacing w:after="0"/>
              <w:rPr>
                <w:sz w:val="14"/>
                <w:szCs w:val="14"/>
                <w:color w:val="auto"/>
              </w:rPr>
            </w:pPr>
          </w:p>
        </w:tc>
        <w:tc>
          <w:tcPr>
            <w:tcW w:w="360" w:type="dxa"/>
            <w:vAlign w:val="bottom"/>
          </w:tcPr>
          <w:p>
            <w:pPr>
              <w:jc w:val="right"/>
              <w:ind w:right="72"/>
              <w:spacing w:after="0"/>
              <w:rPr>
                <w:sz w:val="20"/>
                <w:szCs w:val="20"/>
                <w:color w:val="auto"/>
              </w:rPr>
            </w:pPr>
            <w:r>
              <w:rPr>
                <w:rFonts w:ascii="Arial" w:cs="Arial" w:eastAsia="Arial" w:hAnsi="Arial"/>
                <w:sz w:val="10"/>
                <w:szCs w:val="10"/>
                <w:color w:val="auto"/>
              </w:rPr>
              <w:t>$</w:t>
            </w:r>
          </w:p>
        </w:tc>
        <w:tc>
          <w:tcPr>
            <w:tcW w:w="800" w:type="dxa"/>
            <w:vAlign w:val="bottom"/>
          </w:tcPr>
          <w:p>
            <w:pPr>
              <w:jc w:val="right"/>
              <w:spacing w:after="0"/>
              <w:rPr>
                <w:sz w:val="20"/>
                <w:szCs w:val="20"/>
                <w:color w:val="auto"/>
              </w:rPr>
            </w:pPr>
            <w:r>
              <w:rPr>
                <w:rFonts w:ascii="Arial" w:cs="Arial" w:eastAsia="Arial" w:hAnsi="Arial"/>
                <w:sz w:val="10"/>
                <w:szCs w:val="10"/>
                <w:color w:val="auto"/>
              </w:rPr>
              <w:t>3,500</w:t>
            </w:r>
          </w:p>
        </w:tc>
        <w:tc>
          <w:tcPr>
            <w:tcW w:w="160" w:type="dxa"/>
            <w:vAlign w:val="bottom"/>
          </w:tcPr>
          <w:p>
            <w:pPr>
              <w:spacing w:after="0"/>
              <w:rPr>
                <w:sz w:val="14"/>
                <w:szCs w:val="14"/>
                <w:color w:val="auto"/>
              </w:rPr>
            </w:pPr>
          </w:p>
        </w:tc>
        <w:tc>
          <w:tcPr>
            <w:tcW w:w="780" w:type="dxa"/>
            <w:vAlign w:val="bottom"/>
          </w:tcPr>
          <w:p>
            <w:pPr>
              <w:jc w:val="right"/>
              <w:ind w:right="152"/>
              <w:spacing w:after="0"/>
              <w:rPr>
                <w:sz w:val="20"/>
                <w:szCs w:val="20"/>
                <w:color w:val="auto"/>
              </w:rPr>
            </w:pPr>
            <w:r>
              <w:rPr>
                <w:rFonts w:ascii="Arial" w:cs="Arial" w:eastAsia="Arial" w:hAnsi="Arial"/>
                <w:sz w:val="10"/>
                <w:szCs w:val="10"/>
                <w:i w:val="1"/>
                <w:iCs w:val="1"/>
                <w:color w:val="auto"/>
              </w:rPr>
              <w:t>67 %</w:t>
            </w:r>
          </w:p>
        </w:tc>
        <w:tc>
          <w:tcPr>
            <w:tcW w:w="180" w:type="dxa"/>
            <w:vAlign w:val="bottom"/>
          </w:tcPr>
          <w:p>
            <w:pPr>
              <w:spacing w:after="0"/>
              <w:rPr>
                <w:sz w:val="14"/>
                <w:szCs w:val="14"/>
                <w:color w:val="auto"/>
              </w:rPr>
            </w:pPr>
          </w:p>
        </w:tc>
        <w:tc>
          <w:tcPr>
            <w:tcW w:w="1080" w:type="dxa"/>
            <w:vAlign w:val="bottom"/>
            <w:gridSpan w:val="2"/>
          </w:tcPr>
          <w:p>
            <w:pPr>
              <w:jc w:val="right"/>
              <w:ind w:right="232"/>
              <w:spacing w:after="0"/>
              <w:rPr>
                <w:sz w:val="20"/>
                <w:szCs w:val="20"/>
                <w:color w:val="auto"/>
              </w:rPr>
            </w:pPr>
            <w:r>
              <w:rPr>
                <w:rFonts w:ascii="Arial" w:cs="Arial" w:eastAsia="Arial" w:hAnsi="Arial"/>
                <w:sz w:val="10"/>
                <w:szCs w:val="10"/>
                <w:color w:val="auto"/>
              </w:rPr>
              <w:t>(4) %</w:t>
            </w:r>
          </w:p>
        </w:tc>
      </w:tr>
      <w:tr>
        <w:trPr>
          <w:trHeight w:val="171"/>
        </w:trPr>
        <w:tc>
          <w:tcPr>
            <w:tcW w:w="1860" w:type="dxa"/>
            <w:vAlign w:val="bottom"/>
            <w:shd w:val="clear" w:color="auto" w:fill="CCEEFF"/>
          </w:tcPr>
          <w:p>
            <w:pPr>
              <w:spacing w:after="0"/>
              <w:rPr>
                <w:sz w:val="14"/>
                <w:szCs w:val="14"/>
                <w:color w:val="auto"/>
              </w:rPr>
            </w:pPr>
          </w:p>
        </w:tc>
        <w:tc>
          <w:tcPr>
            <w:tcW w:w="3080" w:type="dxa"/>
            <w:vAlign w:val="bottom"/>
            <w:gridSpan w:val="2"/>
            <w:shd w:val="clear" w:color="auto" w:fill="CCEEFF"/>
          </w:tcPr>
          <w:p>
            <w:pPr>
              <w:ind w:left="120"/>
              <w:spacing w:after="0"/>
              <w:rPr>
                <w:sz w:val="20"/>
                <w:szCs w:val="20"/>
                <w:color w:val="auto"/>
              </w:rPr>
            </w:pPr>
            <w:r>
              <w:rPr>
                <w:rFonts w:ascii="Arial" w:cs="Arial" w:eastAsia="Arial" w:hAnsi="Arial"/>
                <w:sz w:val="10"/>
                <w:szCs w:val="10"/>
                <w:color w:val="auto"/>
              </w:rPr>
              <w:t>Property rental income</w:t>
            </w:r>
          </w:p>
        </w:tc>
        <w:tc>
          <w:tcPr>
            <w:tcW w:w="38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1,786</w:t>
            </w: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152"/>
              <w:spacing w:after="0"/>
              <w:rPr>
                <w:sz w:val="20"/>
                <w:szCs w:val="20"/>
                <w:color w:val="auto"/>
              </w:rPr>
            </w:pPr>
            <w:r>
              <w:rPr>
                <w:rFonts w:ascii="Arial" w:cs="Arial" w:eastAsia="Arial" w:hAnsi="Arial"/>
                <w:sz w:val="10"/>
                <w:szCs w:val="10"/>
                <w:i w:val="1"/>
                <w:iCs w:val="1"/>
                <w:color w:val="auto"/>
              </w:rPr>
              <w:t>35 %</w:t>
            </w:r>
          </w:p>
        </w:tc>
        <w:tc>
          <w:tcPr>
            <w:tcW w:w="18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1,692</w:t>
            </w: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152"/>
              <w:spacing w:after="0"/>
              <w:rPr>
                <w:sz w:val="20"/>
                <w:szCs w:val="20"/>
                <w:color w:val="auto"/>
              </w:rPr>
            </w:pPr>
            <w:r>
              <w:rPr>
                <w:rFonts w:ascii="Arial" w:cs="Arial" w:eastAsia="Arial" w:hAnsi="Arial"/>
                <w:sz w:val="10"/>
                <w:szCs w:val="10"/>
                <w:i w:val="1"/>
                <w:iCs w:val="1"/>
                <w:color w:val="auto"/>
              </w:rPr>
              <w:t>33 %</w:t>
            </w: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w:t>
            </w:r>
          </w:p>
        </w:tc>
        <w:tc>
          <w:tcPr>
            <w:tcW w:w="380" w:type="dxa"/>
            <w:vAlign w:val="bottom"/>
            <w:shd w:val="clear" w:color="auto" w:fill="CCEEFF"/>
          </w:tcPr>
          <w:p>
            <w:pPr>
              <w:jc w:val="right"/>
              <w:ind w:right="232"/>
              <w:spacing w:after="0"/>
              <w:rPr>
                <w:sz w:val="20"/>
                <w:szCs w:val="20"/>
                <w:color w:val="auto"/>
              </w:rPr>
            </w:pPr>
            <w:r>
              <w:rPr>
                <w:rFonts w:ascii="Arial" w:cs="Arial" w:eastAsia="Arial" w:hAnsi="Arial"/>
                <w:sz w:val="10"/>
                <w:szCs w:val="10"/>
                <w:color w:val="auto"/>
                <w:w w:val="89"/>
              </w:rPr>
              <w:t>%</w:t>
            </w:r>
          </w:p>
        </w:tc>
      </w:tr>
      <w:tr>
        <w:trPr>
          <w:trHeight w:val="151"/>
        </w:trPr>
        <w:tc>
          <w:tcPr>
            <w:tcW w:w="1860" w:type="dxa"/>
            <w:vAlign w:val="bottom"/>
          </w:tcPr>
          <w:p>
            <w:pPr>
              <w:spacing w:after="0"/>
              <w:rPr>
                <w:sz w:val="13"/>
                <w:szCs w:val="13"/>
                <w:color w:val="auto"/>
              </w:rPr>
            </w:pPr>
          </w:p>
        </w:tc>
        <w:tc>
          <w:tcPr>
            <w:tcW w:w="2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80" w:type="dxa"/>
            <w:vAlign w:val="bottom"/>
          </w:tcPr>
          <w:p>
            <w:pPr>
              <w:jc w:val="right"/>
              <w:ind w:right="72"/>
              <w:spacing w:after="0"/>
              <w:rPr>
                <w:sz w:val="20"/>
                <w:szCs w:val="20"/>
                <w:color w:val="auto"/>
              </w:rPr>
            </w:pPr>
            <w:r>
              <w:rPr>
                <w:rFonts w:ascii="Arial" w:cs="Arial" w:eastAsia="Arial" w:hAnsi="Arial"/>
                <w:sz w:val="10"/>
                <w:szCs w:val="10"/>
                <w:b w:val="1"/>
                <w:bCs w:val="1"/>
                <w:color w:val="auto"/>
              </w:rPr>
              <w:t>$</w:t>
            </w:r>
          </w:p>
        </w:tc>
        <w:tc>
          <w:tcPr>
            <w:tcW w:w="800" w:type="dxa"/>
            <w:vAlign w:val="bottom"/>
          </w:tcPr>
          <w:p>
            <w:pPr>
              <w:jc w:val="right"/>
              <w:spacing w:after="0"/>
              <w:rPr>
                <w:sz w:val="20"/>
                <w:szCs w:val="20"/>
                <w:color w:val="auto"/>
              </w:rPr>
            </w:pPr>
            <w:r>
              <w:rPr>
                <w:rFonts w:ascii="Arial" w:cs="Arial" w:eastAsia="Arial" w:hAnsi="Arial"/>
                <w:sz w:val="10"/>
                <w:szCs w:val="10"/>
                <w:b w:val="1"/>
                <w:bCs w:val="1"/>
                <w:color w:val="auto"/>
              </w:rPr>
              <w:t>5,129</w:t>
            </w:r>
          </w:p>
        </w:tc>
        <w:tc>
          <w:tcPr>
            <w:tcW w:w="180" w:type="dxa"/>
            <w:vAlign w:val="bottom"/>
          </w:tcPr>
          <w:p>
            <w:pPr>
              <w:spacing w:after="0"/>
              <w:rPr>
                <w:sz w:val="13"/>
                <w:szCs w:val="13"/>
                <w:color w:val="auto"/>
              </w:rPr>
            </w:pPr>
          </w:p>
        </w:tc>
        <w:tc>
          <w:tcPr>
            <w:tcW w:w="780" w:type="dxa"/>
            <w:vAlign w:val="bottom"/>
          </w:tcPr>
          <w:p>
            <w:pPr>
              <w:jc w:val="right"/>
              <w:ind w:right="152"/>
              <w:spacing w:after="0"/>
              <w:rPr>
                <w:sz w:val="20"/>
                <w:szCs w:val="20"/>
                <w:color w:val="auto"/>
              </w:rPr>
            </w:pPr>
            <w:r>
              <w:rPr>
                <w:rFonts w:ascii="Arial" w:cs="Arial" w:eastAsia="Arial" w:hAnsi="Arial"/>
                <w:sz w:val="10"/>
                <w:szCs w:val="10"/>
                <w:i w:val="1"/>
                <w:iCs w:val="1"/>
                <w:color w:val="auto"/>
              </w:rPr>
              <w:t>100 %</w:t>
            </w:r>
          </w:p>
        </w:tc>
        <w:tc>
          <w:tcPr>
            <w:tcW w:w="180" w:type="dxa"/>
            <w:vAlign w:val="bottom"/>
          </w:tcPr>
          <w:p>
            <w:pPr>
              <w:spacing w:after="0"/>
              <w:rPr>
                <w:sz w:val="13"/>
                <w:szCs w:val="13"/>
                <w:color w:val="auto"/>
              </w:rPr>
            </w:pPr>
          </w:p>
        </w:tc>
        <w:tc>
          <w:tcPr>
            <w:tcW w:w="360" w:type="dxa"/>
            <w:vAlign w:val="bottom"/>
          </w:tcPr>
          <w:p>
            <w:pPr>
              <w:jc w:val="right"/>
              <w:ind w:right="72"/>
              <w:spacing w:after="0"/>
              <w:rPr>
                <w:sz w:val="20"/>
                <w:szCs w:val="20"/>
                <w:color w:val="auto"/>
              </w:rPr>
            </w:pPr>
            <w:r>
              <w:rPr>
                <w:rFonts w:ascii="Arial" w:cs="Arial" w:eastAsia="Arial" w:hAnsi="Arial"/>
                <w:sz w:val="10"/>
                <w:szCs w:val="10"/>
                <w:b w:val="1"/>
                <w:bCs w:val="1"/>
                <w:color w:val="auto"/>
              </w:rPr>
              <w:t>$</w:t>
            </w:r>
          </w:p>
        </w:tc>
        <w:tc>
          <w:tcPr>
            <w:tcW w:w="800" w:type="dxa"/>
            <w:vAlign w:val="bottom"/>
          </w:tcPr>
          <w:p>
            <w:pPr>
              <w:jc w:val="right"/>
              <w:spacing w:after="0"/>
              <w:rPr>
                <w:sz w:val="20"/>
                <w:szCs w:val="20"/>
                <w:color w:val="auto"/>
              </w:rPr>
            </w:pPr>
            <w:r>
              <w:rPr>
                <w:rFonts w:ascii="Arial" w:cs="Arial" w:eastAsia="Arial" w:hAnsi="Arial"/>
                <w:sz w:val="10"/>
                <w:szCs w:val="10"/>
                <w:b w:val="1"/>
                <w:bCs w:val="1"/>
                <w:color w:val="auto"/>
              </w:rPr>
              <w:t>5,192</w:t>
            </w:r>
          </w:p>
        </w:tc>
        <w:tc>
          <w:tcPr>
            <w:tcW w:w="160" w:type="dxa"/>
            <w:vAlign w:val="bottom"/>
          </w:tcPr>
          <w:p>
            <w:pPr>
              <w:spacing w:after="0"/>
              <w:rPr>
                <w:sz w:val="13"/>
                <w:szCs w:val="13"/>
                <w:color w:val="auto"/>
              </w:rPr>
            </w:pPr>
          </w:p>
        </w:tc>
        <w:tc>
          <w:tcPr>
            <w:tcW w:w="780" w:type="dxa"/>
            <w:vAlign w:val="bottom"/>
          </w:tcPr>
          <w:p>
            <w:pPr>
              <w:jc w:val="right"/>
              <w:ind w:right="152"/>
              <w:spacing w:after="0"/>
              <w:rPr>
                <w:sz w:val="20"/>
                <w:szCs w:val="20"/>
                <w:color w:val="auto"/>
              </w:rPr>
            </w:pPr>
            <w:r>
              <w:rPr>
                <w:rFonts w:ascii="Arial" w:cs="Arial" w:eastAsia="Arial" w:hAnsi="Arial"/>
                <w:sz w:val="10"/>
                <w:szCs w:val="10"/>
                <w:i w:val="1"/>
                <w:iCs w:val="1"/>
                <w:color w:val="auto"/>
              </w:rPr>
              <w:t>100 %</w:t>
            </w:r>
          </w:p>
        </w:tc>
        <w:tc>
          <w:tcPr>
            <w:tcW w:w="180" w:type="dxa"/>
            <w:vAlign w:val="bottom"/>
          </w:tcPr>
          <w:p>
            <w:pPr>
              <w:spacing w:after="0"/>
              <w:rPr>
                <w:sz w:val="13"/>
                <w:szCs w:val="13"/>
                <w:color w:val="auto"/>
              </w:rPr>
            </w:pPr>
          </w:p>
        </w:tc>
        <w:tc>
          <w:tcPr>
            <w:tcW w:w="1080" w:type="dxa"/>
            <w:vAlign w:val="bottom"/>
            <w:gridSpan w:val="2"/>
          </w:tcPr>
          <w:p>
            <w:pPr>
              <w:jc w:val="right"/>
              <w:ind w:right="232"/>
              <w:spacing w:after="0"/>
              <w:rPr>
                <w:sz w:val="20"/>
                <w:szCs w:val="20"/>
                <w:color w:val="auto"/>
              </w:rPr>
            </w:pPr>
            <w:r>
              <w:rPr>
                <w:rFonts w:ascii="Arial" w:cs="Arial" w:eastAsia="Arial" w:hAnsi="Arial"/>
                <w:sz w:val="10"/>
                <w:szCs w:val="10"/>
                <w:color w:val="auto"/>
              </w:rPr>
              <w:t>(1) %</w:t>
            </w:r>
          </w:p>
        </w:tc>
      </w:tr>
      <w:tr>
        <w:trPr>
          <w:trHeight w:val="171"/>
        </w:trPr>
        <w:tc>
          <w:tcPr>
            <w:tcW w:w="1860" w:type="dxa"/>
            <w:vAlign w:val="bottom"/>
            <w:shd w:val="clear" w:color="auto" w:fill="CCEEFF"/>
          </w:tcPr>
          <w:p>
            <w:pPr>
              <w:ind w:left="400"/>
              <w:spacing w:after="0"/>
              <w:rPr>
                <w:sz w:val="20"/>
                <w:szCs w:val="20"/>
                <w:color w:val="auto"/>
              </w:rPr>
            </w:pPr>
            <w:r>
              <w:rPr>
                <w:rFonts w:ascii="Arial" w:cs="Arial" w:eastAsia="Arial" w:hAnsi="Arial"/>
                <w:sz w:val="10"/>
                <w:szCs w:val="10"/>
                <w:b w:val="1"/>
                <w:bCs w:val="1"/>
                <w:color w:val="auto"/>
              </w:rPr>
              <w:t>Australia</w:t>
            </w:r>
          </w:p>
        </w:tc>
        <w:tc>
          <w:tcPr>
            <w:tcW w:w="3080" w:type="dxa"/>
            <w:vAlign w:val="bottom"/>
            <w:gridSpan w:val="2"/>
            <w:shd w:val="clear" w:color="auto" w:fill="CCEEFF"/>
          </w:tcPr>
          <w:p>
            <w:pPr>
              <w:ind w:left="120"/>
              <w:spacing w:after="0"/>
              <w:rPr>
                <w:sz w:val="20"/>
                <w:szCs w:val="20"/>
                <w:color w:val="auto"/>
              </w:rPr>
            </w:pPr>
            <w:r>
              <w:rPr>
                <w:rFonts w:ascii="Arial" w:cs="Arial" w:eastAsia="Arial" w:hAnsi="Arial"/>
                <w:sz w:val="10"/>
                <w:szCs w:val="10"/>
                <w:color w:val="auto"/>
              </w:rPr>
              <w:t>Property rental income</w:t>
            </w:r>
          </w:p>
        </w:tc>
        <w:tc>
          <w:tcPr>
            <w:tcW w:w="380" w:type="dxa"/>
            <w:vAlign w:val="bottom"/>
            <w:shd w:val="clear" w:color="auto" w:fill="CCEEFF"/>
          </w:tcPr>
          <w:p>
            <w:pPr>
              <w:jc w:val="right"/>
              <w:ind w:right="72"/>
              <w:spacing w:after="0"/>
              <w:rPr>
                <w:sz w:val="20"/>
                <w:szCs w:val="20"/>
                <w:color w:val="auto"/>
              </w:rPr>
            </w:pPr>
            <w:r>
              <w:rPr>
                <w:rFonts w:ascii="Arial" w:cs="Arial" w:eastAsia="Arial" w:hAnsi="Arial"/>
                <w:sz w:val="10"/>
                <w:szCs w:val="10"/>
                <w:b w:val="1"/>
                <w:bCs w:val="1"/>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13,702</w:t>
            </w: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152"/>
              <w:spacing w:after="0"/>
              <w:rPr>
                <w:sz w:val="20"/>
                <w:szCs w:val="20"/>
                <w:color w:val="auto"/>
              </w:rPr>
            </w:pPr>
            <w:r>
              <w:rPr>
                <w:rFonts w:ascii="Arial" w:cs="Arial" w:eastAsia="Arial" w:hAnsi="Arial"/>
                <w:sz w:val="10"/>
                <w:szCs w:val="10"/>
                <w:i w:val="1"/>
                <w:iCs w:val="1"/>
                <w:color w:val="auto"/>
              </w:rPr>
              <w:t>100 %</w:t>
            </w:r>
          </w:p>
        </w:tc>
        <w:tc>
          <w:tcPr>
            <w:tcW w:w="18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72"/>
              <w:spacing w:after="0"/>
              <w:rPr>
                <w:sz w:val="20"/>
                <w:szCs w:val="20"/>
                <w:color w:val="auto"/>
              </w:rPr>
            </w:pPr>
            <w:r>
              <w:rPr>
                <w:rFonts w:ascii="Arial" w:cs="Arial" w:eastAsia="Arial" w:hAnsi="Arial"/>
                <w:sz w:val="10"/>
                <w:szCs w:val="10"/>
                <w:b w:val="1"/>
                <w:bCs w:val="1"/>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14,424</w:t>
            </w: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152"/>
              <w:spacing w:after="0"/>
              <w:rPr>
                <w:sz w:val="20"/>
                <w:szCs w:val="20"/>
                <w:color w:val="auto"/>
              </w:rPr>
            </w:pPr>
            <w:r>
              <w:rPr>
                <w:rFonts w:ascii="Arial" w:cs="Arial" w:eastAsia="Arial" w:hAnsi="Arial"/>
                <w:sz w:val="10"/>
                <w:szCs w:val="10"/>
                <w:i w:val="1"/>
                <w:iCs w:val="1"/>
                <w:color w:val="auto"/>
              </w:rPr>
              <w:t>100 %</w:t>
            </w:r>
          </w:p>
        </w:tc>
        <w:tc>
          <w:tcPr>
            <w:tcW w:w="18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232"/>
              <w:spacing w:after="0"/>
              <w:rPr>
                <w:sz w:val="20"/>
                <w:szCs w:val="20"/>
                <w:color w:val="auto"/>
              </w:rPr>
            </w:pPr>
            <w:r>
              <w:rPr>
                <w:rFonts w:ascii="Arial" w:cs="Arial" w:eastAsia="Arial" w:hAnsi="Arial"/>
                <w:sz w:val="10"/>
                <w:szCs w:val="10"/>
                <w:color w:val="auto"/>
              </w:rPr>
              <w:t>(5) %</w:t>
            </w:r>
          </w:p>
        </w:tc>
      </w:tr>
      <w:tr>
        <w:trPr>
          <w:trHeight w:val="162"/>
        </w:trPr>
        <w:tc>
          <w:tcPr>
            <w:tcW w:w="1860" w:type="dxa"/>
            <w:vAlign w:val="bottom"/>
            <w:tcBorders>
              <w:bottom w:val="single" w:sz="8" w:color="CCEEFF"/>
            </w:tcBorders>
          </w:tcPr>
          <w:p>
            <w:pPr>
              <w:ind w:left="400"/>
              <w:spacing w:after="0"/>
              <w:rPr>
                <w:sz w:val="20"/>
                <w:szCs w:val="20"/>
                <w:color w:val="auto"/>
              </w:rPr>
            </w:pPr>
            <w:r>
              <w:rPr>
                <w:rFonts w:ascii="Arial" w:cs="Arial" w:eastAsia="Arial" w:hAnsi="Arial"/>
                <w:sz w:val="10"/>
                <w:szCs w:val="10"/>
                <w:b w:val="1"/>
                <w:bCs w:val="1"/>
                <w:color w:val="auto"/>
              </w:rPr>
              <w:t>New Zealand</w:t>
            </w:r>
          </w:p>
        </w:tc>
        <w:tc>
          <w:tcPr>
            <w:tcW w:w="3080" w:type="dxa"/>
            <w:vAlign w:val="bottom"/>
            <w:tcBorders>
              <w:bottom w:val="single" w:sz="8" w:color="CCEEFF"/>
            </w:tcBorders>
            <w:gridSpan w:val="2"/>
          </w:tcPr>
          <w:p>
            <w:pPr>
              <w:ind w:left="120"/>
              <w:spacing w:after="0"/>
              <w:rPr>
                <w:sz w:val="20"/>
                <w:szCs w:val="20"/>
                <w:color w:val="auto"/>
              </w:rPr>
            </w:pPr>
            <w:r>
              <w:rPr>
                <w:rFonts w:ascii="Arial" w:cs="Arial" w:eastAsia="Arial" w:hAnsi="Arial"/>
                <w:sz w:val="10"/>
                <w:szCs w:val="10"/>
                <w:color w:val="auto"/>
              </w:rPr>
              <w:t>Property rental income</w:t>
            </w:r>
          </w:p>
        </w:tc>
        <w:tc>
          <w:tcPr>
            <w:tcW w:w="38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b w:val="1"/>
                <w:bCs w:val="1"/>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5,517</w:t>
            </w:r>
          </w:p>
        </w:tc>
        <w:tc>
          <w:tcPr>
            <w:tcW w:w="180" w:type="dxa"/>
            <w:vAlign w:val="bottom"/>
            <w:tcBorders>
              <w:bottom w:val="single" w:sz="8" w:color="CCEEFF"/>
            </w:tcBorders>
          </w:tcPr>
          <w:p>
            <w:pPr>
              <w:spacing w:after="0"/>
              <w:rPr>
                <w:sz w:val="14"/>
                <w:szCs w:val="14"/>
                <w:color w:val="auto"/>
              </w:rPr>
            </w:pPr>
          </w:p>
        </w:tc>
        <w:tc>
          <w:tcPr>
            <w:tcW w:w="780" w:type="dxa"/>
            <w:vAlign w:val="bottom"/>
            <w:tcBorders>
              <w:bottom w:val="single" w:sz="8" w:color="CCEEFF"/>
            </w:tcBorders>
          </w:tcPr>
          <w:p>
            <w:pPr>
              <w:jc w:val="right"/>
              <w:ind w:right="152"/>
              <w:spacing w:after="0"/>
              <w:rPr>
                <w:sz w:val="20"/>
                <w:szCs w:val="20"/>
                <w:color w:val="auto"/>
              </w:rPr>
            </w:pPr>
            <w:r>
              <w:rPr>
                <w:rFonts w:ascii="Arial" w:cs="Arial" w:eastAsia="Arial" w:hAnsi="Arial"/>
                <w:sz w:val="10"/>
                <w:szCs w:val="10"/>
                <w:i w:val="1"/>
                <w:iCs w:val="1"/>
                <w:color w:val="auto"/>
              </w:rPr>
              <w:t>100 %</w:t>
            </w:r>
          </w:p>
        </w:tc>
        <w:tc>
          <w:tcPr>
            <w:tcW w:w="1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b w:val="1"/>
                <w:bCs w:val="1"/>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6,840</w:t>
            </w:r>
          </w:p>
        </w:tc>
        <w:tc>
          <w:tcPr>
            <w:tcW w:w="160" w:type="dxa"/>
            <w:vAlign w:val="bottom"/>
            <w:tcBorders>
              <w:bottom w:val="single" w:sz="8" w:color="CCEEFF"/>
            </w:tcBorders>
          </w:tcPr>
          <w:p>
            <w:pPr>
              <w:spacing w:after="0"/>
              <w:rPr>
                <w:sz w:val="14"/>
                <w:szCs w:val="14"/>
                <w:color w:val="auto"/>
              </w:rPr>
            </w:pPr>
          </w:p>
        </w:tc>
        <w:tc>
          <w:tcPr>
            <w:tcW w:w="780" w:type="dxa"/>
            <w:vAlign w:val="bottom"/>
            <w:tcBorders>
              <w:bottom w:val="single" w:sz="8" w:color="CCEEFF"/>
            </w:tcBorders>
          </w:tcPr>
          <w:p>
            <w:pPr>
              <w:jc w:val="right"/>
              <w:ind w:right="152"/>
              <w:spacing w:after="0"/>
              <w:rPr>
                <w:sz w:val="20"/>
                <w:szCs w:val="20"/>
                <w:color w:val="auto"/>
              </w:rPr>
            </w:pPr>
            <w:r>
              <w:rPr>
                <w:rFonts w:ascii="Arial" w:cs="Arial" w:eastAsia="Arial" w:hAnsi="Arial"/>
                <w:sz w:val="10"/>
                <w:szCs w:val="10"/>
                <w:i w:val="1"/>
                <w:iCs w:val="1"/>
                <w:color w:val="auto"/>
              </w:rPr>
              <w:t>100 %</w:t>
            </w:r>
          </w:p>
        </w:tc>
        <w:tc>
          <w:tcPr>
            <w:tcW w:w="180" w:type="dxa"/>
            <w:vAlign w:val="bottom"/>
            <w:tcBorders>
              <w:bottom w:val="single" w:sz="8" w:color="CCEEFF"/>
            </w:tcBorders>
          </w:tcPr>
          <w:p>
            <w:pPr>
              <w:spacing w:after="0"/>
              <w:rPr>
                <w:sz w:val="14"/>
                <w:szCs w:val="14"/>
                <w:color w:val="auto"/>
              </w:rPr>
            </w:pPr>
          </w:p>
        </w:tc>
        <w:tc>
          <w:tcPr>
            <w:tcW w:w="1080" w:type="dxa"/>
            <w:vAlign w:val="bottom"/>
            <w:tcBorders>
              <w:bottom w:val="single" w:sz="8" w:color="CCEEFF"/>
            </w:tcBorders>
            <w:gridSpan w:val="2"/>
          </w:tcPr>
          <w:p>
            <w:pPr>
              <w:jc w:val="right"/>
              <w:ind w:right="232"/>
              <w:spacing w:after="0"/>
              <w:rPr>
                <w:sz w:val="20"/>
                <w:szCs w:val="20"/>
                <w:color w:val="auto"/>
              </w:rPr>
            </w:pPr>
            <w:r>
              <w:rPr>
                <w:rFonts w:ascii="Arial" w:cs="Arial" w:eastAsia="Arial" w:hAnsi="Arial"/>
                <w:sz w:val="10"/>
                <w:szCs w:val="10"/>
                <w:color w:val="auto"/>
              </w:rPr>
              <w:t>(19) %</w:t>
            </w:r>
          </w:p>
        </w:tc>
      </w:tr>
      <w:tr>
        <w:trPr>
          <w:trHeight w:val="225"/>
        </w:trPr>
        <w:tc>
          <w:tcPr>
            <w:tcW w:w="186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0"/>
                <w:szCs w:val="10"/>
                <w:b w:val="1"/>
                <w:bCs w:val="1"/>
                <w:color w:val="auto"/>
              </w:rPr>
              <w:t>Total revenue</w:t>
            </w:r>
          </w:p>
        </w:tc>
        <w:tc>
          <w:tcPr>
            <w:tcW w:w="29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b w:val="1"/>
                <w:bCs w:val="1"/>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24,348</w:t>
            </w:r>
          </w:p>
        </w:tc>
        <w:tc>
          <w:tcPr>
            <w:tcW w:w="18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0"/>
                <w:szCs w:val="10"/>
                <w:i w:val="1"/>
                <w:iCs w:val="1"/>
                <w:color w:val="auto"/>
              </w:rPr>
              <w:t>100 %</w:t>
            </w:r>
          </w:p>
        </w:tc>
        <w:tc>
          <w:tcPr>
            <w:tcW w:w="1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b w:val="1"/>
                <w:bCs w:val="1"/>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26,456</w:t>
            </w:r>
          </w:p>
        </w:tc>
        <w:tc>
          <w:tcPr>
            <w:tcW w:w="16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0"/>
                <w:szCs w:val="10"/>
                <w:i w:val="1"/>
                <w:iCs w:val="1"/>
                <w:color w:val="auto"/>
              </w:rPr>
              <w:t>100 %</w:t>
            </w:r>
          </w:p>
        </w:tc>
        <w:tc>
          <w:tcPr>
            <w:tcW w:w="18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gridSpan w:val="2"/>
            <w:shd w:val="clear" w:color="auto" w:fill="CCEEFF"/>
          </w:tcPr>
          <w:p>
            <w:pPr>
              <w:jc w:val="right"/>
              <w:ind w:right="232"/>
              <w:spacing w:after="0"/>
              <w:rPr>
                <w:sz w:val="20"/>
                <w:szCs w:val="20"/>
                <w:color w:val="auto"/>
              </w:rPr>
            </w:pPr>
            <w:r>
              <w:rPr>
                <w:rFonts w:ascii="Arial" w:cs="Arial" w:eastAsia="Arial" w:hAnsi="Arial"/>
                <w:sz w:val="10"/>
                <w:szCs w:val="10"/>
                <w:color w:val="auto"/>
              </w:rPr>
              <w:t>(8) %</w:t>
            </w:r>
          </w:p>
        </w:tc>
      </w:tr>
      <w:tr>
        <w:trPr>
          <w:trHeight w:val="140"/>
        </w:trPr>
        <w:tc>
          <w:tcPr>
            <w:tcW w:w="1860" w:type="dxa"/>
            <w:vAlign w:val="bottom"/>
          </w:tcPr>
          <w:p>
            <w:pPr>
              <w:spacing w:after="0"/>
              <w:rPr>
                <w:sz w:val="20"/>
                <w:szCs w:val="20"/>
                <w:color w:val="auto"/>
              </w:rPr>
            </w:pPr>
            <w:r>
              <w:rPr>
                <w:rFonts w:ascii="Arial" w:cs="Arial" w:eastAsia="Arial" w:hAnsi="Arial"/>
                <w:sz w:val="10"/>
                <w:szCs w:val="10"/>
                <w:b w:val="1"/>
                <w:bCs w:val="1"/>
                <w:color w:val="auto"/>
              </w:rPr>
              <w:t>OPERATING EXPENSE</w:t>
            </w:r>
          </w:p>
        </w:tc>
        <w:tc>
          <w:tcPr>
            <w:tcW w:w="2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80" w:type="dxa"/>
            <w:vAlign w:val="bottom"/>
          </w:tcPr>
          <w:p>
            <w:pPr>
              <w:spacing w:after="0"/>
              <w:rPr>
                <w:sz w:val="12"/>
                <w:szCs w:val="12"/>
                <w:color w:val="auto"/>
              </w:rPr>
            </w:pPr>
          </w:p>
        </w:tc>
      </w:tr>
      <w:tr>
        <w:trPr>
          <w:trHeight w:val="333"/>
        </w:trPr>
        <w:tc>
          <w:tcPr>
            <w:tcW w:w="4940" w:type="dxa"/>
            <w:vAlign w:val="bottom"/>
            <w:gridSpan w:val="3"/>
            <w:shd w:val="clear" w:color="auto" w:fill="CCEEFF"/>
          </w:tcPr>
          <w:p>
            <w:pPr>
              <w:ind w:left="400"/>
              <w:spacing w:after="0"/>
              <w:rPr>
                <w:sz w:val="20"/>
                <w:szCs w:val="20"/>
                <w:color w:val="auto"/>
              </w:rPr>
            </w:pPr>
            <w:r>
              <w:rPr>
                <w:rFonts w:ascii="Arial" w:cs="Arial" w:eastAsia="Arial" w:hAnsi="Arial"/>
                <w:sz w:val="10"/>
                <w:szCs w:val="10"/>
                <w:b w:val="1"/>
                <w:bCs w:val="1"/>
                <w:color w:val="auto"/>
              </w:rPr>
              <w:t>Cost of services and products (excl. depreciation and amortization)</w:t>
            </w:r>
          </w:p>
        </w:tc>
        <w:tc>
          <w:tcPr>
            <w:tcW w:w="38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r>
      <w:tr>
        <w:trPr>
          <w:trHeight w:val="171"/>
        </w:trPr>
        <w:tc>
          <w:tcPr>
            <w:tcW w:w="1860" w:type="dxa"/>
            <w:vAlign w:val="bottom"/>
          </w:tcPr>
          <w:p>
            <w:pPr>
              <w:ind w:left="800"/>
              <w:spacing w:after="0"/>
              <w:rPr>
                <w:sz w:val="20"/>
                <w:szCs w:val="20"/>
                <w:color w:val="auto"/>
              </w:rPr>
            </w:pPr>
            <w:r>
              <w:rPr>
                <w:rFonts w:ascii="Arial" w:cs="Arial" w:eastAsia="Arial" w:hAnsi="Arial"/>
                <w:sz w:val="10"/>
                <w:szCs w:val="10"/>
                <w:b w:val="1"/>
                <w:bCs w:val="1"/>
                <w:color w:val="auto"/>
              </w:rPr>
              <w:t>United States</w:t>
            </w:r>
          </w:p>
        </w:tc>
        <w:tc>
          <w:tcPr>
            <w:tcW w:w="3080" w:type="dxa"/>
            <w:vAlign w:val="bottom"/>
            <w:gridSpan w:val="2"/>
          </w:tcPr>
          <w:p>
            <w:pPr>
              <w:ind w:left="120"/>
              <w:spacing w:after="0"/>
              <w:rPr>
                <w:sz w:val="20"/>
                <w:szCs w:val="20"/>
                <w:color w:val="auto"/>
              </w:rPr>
            </w:pPr>
            <w:r>
              <w:rPr>
                <w:rFonts w:ascii="Arial" w:cs="Arial" w:eastAsia="Arial" w:hAnsi="Arial"/>
                <w:sz w:val="10"/>
                <w:szCs w:val="10"/>
                <w:color w:val="auto"/>
              </w:rPr>
              <w:t>Live theater cost</w:t>
            </w:r>
          </w:p>
        </w:tc>
        <w:tc>
          <w:tcPr>
            <w:tcW w:w="380" w:type="dxa"/>
            <w:vAlign w:val="bottom"/>
          </w:tcPr>
          <w:p>
            <w:pPr>
              <w:jc w:val="right"/>
              <w:ind w:right="72"/>
              <w:spacing w:after="0"/>
              <w:rPr>
                <w:sz w:val="20"/>
                <w:szCs w:val="20"/>
                <w:color w:val="auto"/>
              </w:rPr>
            </w:pPr>
            <w:r>
              <w:rPr>
                <w:rFonts w:ascii="Arial" w:cs="Arial" w:eastAsia="Arial" w:hAnsi="Arial"/>
                <w:sz w:val="10"/>
                <w:szCs w:val="10"/>
                <w:color w:val="auto"/>
              </w:rPr>
              <w:t>$</w:t>
            </w:r>
          </w:p>
        </w:tc>
        <w:tc>
          <w:tcPr>
            <w:tcW w:w="980" w:type="dxa"/>
            <w:vAlign w:val="bottom"/>
            <w:gridSpan w:val="2"/>
          </w:tcPr>
          <w:p>
            <w:pPr>
              <w:jc w:val="right"/>
              <w:ind w:right="180"/>
              <w:spacing w:after="0"/>
              <w:rPr>
                <w:sz w:val="20"/>
                <w:szCs w:val="20"/>
                <w:color w:val="auto"/>
              </w:rPr>
            </w:pPr>
            <w:r>
              <w:rPr>
                <w:rFonts w:ascii="Arial" w:cs="Arial" w:eastAsia="Arial" w:hAnsi="Arial"/>
                <w:sz w:val="10"/>
                <w:szCs w:val="10"/>
                <w:color w:val="auto"/>
              </w:rPr>
              <w:t>(1,592)</w:t>
            </w:r>
          </w:p>
        </w:tc>
        <w:tc>
          <w:tcPr>
            <w:tcW w:w="780" w:type="dxa"/>
            <w:vAlign w:val="bottom"/>
          </w:tcPr>
          <w:p>
            <w:pPr>
              <w:jc w:val="right"/>
              <w:ind w:right="152"/>
              <w:spacing w:after="0"/>
              <w:rPr>
                <w:sz w:val="20"/>
                <w:szCs w:val="20"/>
                <w:color w:val="auto"/>
              </w:rPr>
            </w:pPr>
            <w:r>
              <w:rPr>
                <w:rFonts w:ascii="Arial" w:cs="Arial" w:eastAsia="Arial" w:hAnsi="Arial"/>
                <w:sz w:val="10"/>
                <w:szCs w:val="10"/>
                <w:i w:val="1"/>
                <w:iCs w:val="1"/>
                <w:color w:val="auto"/>
              </w:rPr>
              <w:t>(31)%</w:t>
            </w:r>
          </w:p>
        </w:tc>
        <w:tc>
          <w:tcPr>
            <w:tcW w:w="180" w:type="dxa"/>
            <w:vAlign w:val="bottom"/>
          </w:tcPr>
          <w:p>
            <w:pPr>
              <w:spacing w:after="0"/>
              <w:rPr>
                <w:sz w:val="14"/>
                <w:szCs w:val="14"/>
                <w:color w:val="auto"/>
              </w:rPr>
            </w:pPr>
          </w:p>
        </w:tc>
        <w:tc>
          <w:tcPr>
            <w:tcW w:w="360" w:type="dxa"/>
            <w:vAlign w:val="bottom"/>
          </w:tcPr>
          <w:p>
            <w:pPr>
              <w:jc w:val="right"/>
              <w:ind w:right="72"/>
              <w:spacing w:after="0"/>
              <w:rPr>
                <w:sz w:val="20"/>
                <w:szCs w:val="20"/>
                <w:color w:val="auto"/>
              </w:rPr>
            </w:pPr>
            <w:r>
              <w:rPr>
                <w:rFonts w:ascii="Arial" w:cs="Arial" w:eastAsia="Arial" w:hAnsi="Arial"/>
                <w:sz w:val="10"/>
                <w:szCs w:val="10"/>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0"/>
                <w:szCs w:val="10"/>
                <w:color w:val="auto"/>
              </w:rPr>
              <w:t>(1,574)</w:t>
            </w:r>
          </w:p>
        </w:tc>
        <w:tc>
          <w:tcPr>
            <w:tcW w:w="780" w:type="dxa"/>
            <w:vAlign w:val="bottom"/>
          </w:tcPr>
          <w:p>
            <w:pPr>
              <w:jc w:val="right"/>
              <w:ind w:right="152"/>
              <w:spacing w:after="0"/>
              <w:rPr>
                <w:sz w:val="20"/>
                <w:szCs w:val="20"/>
                <w:color w:val="auto"/>
              </w:rPr>
            </w:pPr>
            <w:r>
              <w:rPr>
                <w:rFonts w:ascii="Arial" w:cs="Arial" w:eastAsia="Arial" w:hAnsi="Arial"/>
                <w:sz w:val="10"/>
                <w:szCs w:val="10"/>
                <w:i w:val="1"/>
                <w:iCs w:val="1"/>
                <w:color w:val="auto"/>
              </w:rPr>
              <w:t>(30)%</w:t>
            </w:r>
          </w:p>
        </w:tc>
        <w:tc>
          <w:tcPr>
            <w:tcW w:w="180" w:type="dxa"/>
            <w:vAlign w:val="bottom"/>
          </w:tcPr>
          <w:p>
            <w:pPr>
              <w:spacing w:after="0"/>
              <w:rPr>
                <w:sz w:val="14"/>
                <w:szCs w:val="14"/>
                <w:color w:val="auto"/>
              </w:rPr>
            </w:pPr>
          </w:p>
        </w:tc>
        <w:tc>
          <w:tcPr>
            <w:tcW w:w="1080" w:type="dxa"/>
            <w:vAlign w:val="bottom"/>
            <w:gridSpan w:val="2"/>
          </w:tcPr>
          <w:p>
            <w:pPr>
              <w:jc w:val="right"/>
              <w:ind w:right="232"/>
              <w:spacing w:after="0"/>
              <w:rPr>
                <w:sz w:val="20"/>
                <w:szCs w:val="20"/>
                <w:color w:val="auto"/>
              </w:rPr>
            </w:pPr>
            <w:r>
              <w:rPr>
                <w:rFonts w:ascii="Arial" w:cs="Arial" w:eastAsia="Arial" w:hAnsi="Arial"/>
                <w:sz w:val="10"/>
                <w:szCs w:val="10"/>
                <w:color w:val="auto"/>
              </w:rPr>
              <w:t>(1) %</w:t>
            </w:r>
          </w:p>
        </w:tc>
      </w:tr>
      <w:tr>
        <w:trPr>
          <w:trHeight w:val="171"/>
        </w:trPr>
        <w:tc>
          <w:tcPr>
            <w:tcW w:w="1860" w:type="dxa"/>
            <w:vAlign w:val="bottom"/>
            <w:shd w:val="clear" w:color="auto" w:fill="CCEEFF"/>
          </w:tcPr>
          <w:p>
            <w:pPr>
              <w:spacing w:after="0"/>
              <w:rPr>
                <w:sz w:val="14"/>
                <w:szCs w:val="14"/>
                <w:color w:val="auto"/>
              </w:rPr>
            </w:pPr>
          </w:p>
        </w:tc>
        <w:tc>
          <w:tcPr>
            <w:tcW w:w="3080" w:type="dxa"/>
            <w:vAlign w:val="bottom"/>
            <w:gridSpan w:val="2"/>
            <w:shd w:val="clear" w:color="auto" w:fill="CCEEFF"/>
          </w:tcPr>
          <w:p>
            <w:pPr>
              <w:ind w:left="120"/>
              <w:spacing w:after="0"/>
              <w:rPr>
                <w:sz w:val="20"/>
                <w:szCs w:val="20"/>
                <w:color w:val="auto"/>
              </w:rPr>
            </w:pPr>
            <w:r>
              <w:rPr>
                <w:rFonts w:ascii="Arial" w:cs="Arial" w:eastAsia="Arial" w:hAnsi="Arial"/>
                <w:sz w:val="10"/>
                <w:szCs w:val="10"/>
                <w:color w:val="auto"/>
              </w:rPr>
              <w:t>Property cost</w:t>
            </w:r>
          </w:p>
        </w:tc>
        <w:tc>
          <w:tcPr>
            <w:tcW w:w="3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w:t>
            </w: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152"/>
              <w:spacing w:after="0"/>
              <w:rPr>
                <w:sz w:val="20"/>
                <w:szCs w:val="20"/>
                <w:color w:val="auto"/>
              </w:rPr>
            </w:pPr>
            <w:r>
              <w:rPr>
                <w:rFonts w:ascii="Arial" w:cs="Arial" w:eastAsia="Arial" w:hAnsi="Arial"/>
                <w:sz w:val="10"/>
                <w:szCs w:val="10"/>
                <w:i w:val="1"/>
                <w:iCs w:val="1"/>
                <w:color w:val="auto"/>
              </w:rPr>
              <w:t>0 %</w:t>
            </w:r>
          </w:p>
        </w:tc>
        <w:tc>
          <w:tcPr>
            <w:tcW w:w="1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(316)</w:t>
            </w:r>
          </w:p>
        </w:tc>
        <w:tc>
          <w:tcPr>
            <w:tcW w:w="780" w:type="dxa"/>
            <w:vAlign w:val="bottom"/>
            <w:shd w:val="clear" w:color="auto" w:fill="CCEEFF"/>
          </w:tcPr>
          <w:p>
            <w:pPr>
              <w:jc w:val="right"/>
              <w:ind w:right="152"/>
              <w:spacing w:after="0"/>
              <w:rPr>
                <w:sz w:val="20"/>
                <w:szCs w:val="20"/>
                <w:color w:val="auto"/>
              </w:rPr>
            </w:pPr>
            <w:r>
              <w:rPr>
                <w:rFonts w:ascii="Arial" w:cs="Arial" w:eastAsia="Arial" w:hAnsi="Arial"/>
                <w:sz w:val="10"/>
                <w:szCs w:val="10"/>
                <w:i w:val="1"/>
                <w:iCs w:val="1"/>
                <w:color w:val="auto"/>
              </w:rPr>
              <w:t>(6)%</w:t>
            </w: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101</w:t>
            </w:r>
          </w:p>
        </w:tc>
        <w:tc>
          <w:tcPr>
            <w:tcW w:w="380" w:type="dxa"/>
            <w:vAlign w:val="bottom"/>
            <w:shd w:val="clear" w:color="auto" w:fill="CCEEFF"/>
          </w:tcPr>
          <w:p>
            <w:pPr>
              <w:jc w:val="right"/>
              <w:ind w:right="232"/>
              <w:spacing w:after="0"/>
              <w:rPr>
                <w:sz w:val="20"/>
                <w:szCs w:val="20"/>
                <w:color w:val="auto"/>
              </w:rPr>
            </w:pPr>
            <w:r>
              <w:rPr>
                <w:rFonts w:ascii="Arial" w:cs="Arial" w:eastAsia="Arial" w:hAnsi="Arial"/>
                <w:sz w:val="10"/>
                <w:szCs w:val="10"/>
                <w:color w:val="auto"/>
                <w:w w:val="89"/>
              </w:rPr>
              <w:t>%</w:t>
            </w:r>
          </w:p>
        </w:tc>
      </w:tr>
      <w:tr>
        <w:trPr>
          <w:trHeight w:val="171"/>
        </w:trPr>
        <w:tc>
          <w:tcPr>
            <w:tcW w:w="1860" w:type="dxa"/>
            <w:vAlign w:val="bottom"/>
          </w:tcPr>
          <w:p>
            <w:pPr>
              <w:spacing w:after="0"/>
              <w:rPr>
                <w:sz w:val="14"/>
                <w:szCs w:val="14"/>
                <w:color w:val="auto"/>
              </w:rPr>
            </w:pPr>
          </w:p>
        </w:tc>
        <w:tc>
          <w:tcPr>
            <w:tcW w:w="3080" w:type="dxa"/>
            <w:vAlign w:val="bottom"/>
            <w:gridSpan w:val="2"/>
          </w:tcPr>
          <w:p>
            <w:pPr>
              <w:ind w:left="120"/>
              <w:spacing w:after="0"/>
              <w:rPr>
                <w:sz w:val="20"/>
                <w:szCs w:val="20"/>
                <w:color w:val="auto"/>
              </w:rPr>
            </w:pPr>
            <w:r>
              <w:rPr>
                <w:rFonts w:ascii="Arial" w:cs="Arial" w:eastAsia="Arial" w:hAnsi="Arial"/>
                <w:sz w:val="10"/>
                <w:szCs w:val="10"/>
                <w:color w:val="auto"/>
              </w:rPr>
              <w:t>Occupancy expense</w:t>
            </w:r>
          </w:p>
        </w:tc>
        <w:tc>
          <w:tcPr>
            <w:tcW w:w="380" w:type="dxa"/>
            <w:vAlign w:val="bottom"/>
          </w:tcPr>
          <w:p>
            <w:pPr>
              <w:spacing w:after="0"/>
              <w:rPr>
                <w:sz w:val="14"/>
                <w:szCs w:val="14"/>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0"/>
                <w:szCs w:val="10"/>
                <w:color w:val="auto"/>
              </w:rPr>
              <w:t>(974)</w:t>
            </w:r>
          </w:p>
        </w:tc>
        <w:tc>
          <w:tcPr>
            <w:tcW w:w="780" w:type="dxa"/>
            <w:vAlign w:val="bottom"/>
          </w:tcPr>
          <w:p>
            <w:pPr>
              <w:jc w:val="right"/>
              <w:ind w:right="152"/>
              <w:spacing w:after="0"/>
              <w:rPr>
                <w:sz w:val="20"/>
                <w:szCs w:val="20"/>
                <w:color w:val="auto"/>
              </w:rPr>
            </w:pPr>
            <w:r>
              <w:rPr>
                <w:rFonts w:ascii="Arial" w:cs="Arial" w:eastAsia="Arial" w:hAnsi="Arial"/>
                <w:sz w:val="10"/>
                <w:szCs w:val="10"/>
                <w:i w:val="1"/>
                <w:iCs w:val="1"/>
                <w:color w:val="auto"/>
              </w:rPr>
              <w:t>(19)%</w:t>
            </w: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0"/>
                <w:szCs w:val="10"/>
                <w:color w:val="auto"/>
              </w:rPr>
              <w:t>(946)</w:t>
            </w:r>
          </w:p>
        </w:tc>
        <w:tc>
          <w:tcPr>
            <w:tcW w:w="780" w:type="dxa"/>
            <w:vAlign w:val="bottom"/>
          </w:tcPr>
          <w:p>
            <w:pPr>
              <w:jc w:val="right"/>
              <w:ind w:right="152"/>
              <w:spacing w:after="0"/>
              <w:rPr>
                <w:sz w:val="20"/>
                <w:szCs w:val="20"/>
                <w:color w:val="auto"/>
              </w:rPr>
            </w:pPr>
            <w:r>
              <w:rPr>
                <w:rFonts w:ascii="Arial" w:cs="Arial" w:eastAsia="Arial" w:hAnsi="Arial"/>
                <w:sz w:val="10"/>
                <w:szCs w:val="10"/>
                <w:i w:val="1"/>
                <w:iCs w:val="1"/>
                <w:color w:val="auto"/>
              </w:rPr>
              <w:t>(18)%</w:t>
            </w:r>
          </w:p>
        </w:tc>
        <w:tc>
          <w:tcPr>
            <w:tcW w:w="180" w:type="dxa"/>
            <w:vAlign w:val="bottom"/>
          </w:tcPr>
          <w:p>
            <w:pPr>
              <w:spacing w:after="0"/>
              <w:rPr>
                <w:sz w:val="14"/>
                <w:szCs w:val="14"/>
                <w:color w:val="auto"/>
              </w:rPr>
            </w:pPr>
          </w:p>
        </w:tc>
        <w:tc>
          <w:tcPr>
            <w:tcW w:w="1080" w:type="dxa"/>
            <w:vAlign w:val="bottom"/>
            <w:gridSpan w:val="2"/>
          </w:tcPr>
          <w:p>
            <w:pPr>
              <w:jc w:val="right"/>
              <w:ind w:right="232"/>
              <w:spacing w:after="0"/>
              <w:rPr>
                <w:sz w:val="20"/>
                <w:szCs w:val="20"/>
                <w:color w:val="auto"/>
              </w:rPr>
            </w:pPr>
            <w:r>
              <w:rPr>
                <w:rFonts w:ascii="Arial" w:cs="Arial" w:eastAsia="Arial" w:hAnsi="Arial"/>
                <w:sz w:val="10"/>
                <w:szCs w:val="10"/>
                <w:color w:val="auto"/>
              </w:rPr>
              <w:t>(3) %</w:t>
            </w:r>
          </w:p>
        </w:tc>
      </w:tr>
      <w:tr>
        <w:trPr>
          <w:trHeight w:val="20"/>
        </w:trPr>
        <w:tc>
          <w:tcPr>
            <w:tcW w:w="1860" w:type="dxa"/>
            <w:vAlign w:val="bottom"/>
            <w:shd w:val="clear" w:color="auto" w:fill="CCEEFF"/>
          </w:tcPr>
          <w:p>
            <w:pPr>
              <w:spacing w:after="0" w:line="20" w:lineRule="exact"/>
              <w:rPr>
                <w:sz w:val="1"/>
                <w:szCs w:val="1"/>
                <w:color w:val="auto"/>
              </w:rPr>
            </w:pPr>
          </w:p>
        </w:tc>
        <w:tc>
          <w:tcPr>
            <w:tcW w:w="29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r>
      <w:tr>
        <w:trPr>
          <w:trHeight w:val="151"/>
        </w:trPr>
        <w:tc>
          <w:tcPr>
            <w:tcW w:w="1860" w:type="dxa"/>
            <w:vAlign w:val="bottom"/>
            <w:shd w:val="clear" w:color="auto" w:fill="CCEEFF"/>
          </w:tcPr>
          <w:p>
            <w:pPr>
              <w:spacing w:after="0"/>
              <w:rPr>
                <w:sz w:val="13"/>
                <w:szCs w:val="13"/>
                <w:color w:val="auto"/>
              </w:rPr>
            </w:pPr>
          </w:p>
        </w:tc>
        <w:tc>
          <w:tcPr>
            <w:tcW w:w="29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380" w:type="dxa"/>
            <w:vAlign w:val="bottom"/>
            <w:shd w:val="clear" w:color="auto" w:fill="CCEEFF"/>
          </w:tcPr>
          <w:p>
            <w:pPr>
              <w:jc w:val="right"/>
              <w:ind w:right="72"/>
              <w:spacing w:after="0"/>
              <w:rPr>
                <w:sz w:val="20"/>
                <w:szCs w:val="20"/>
                <w:color w:val="auto"/>
              </w:rPr>
            </w:pPr>
            <w:r>
              <w:rPr>
                <w:rFonts w:ascii="Arial" w:cs="Arial" w:eastAsia="Arial" w:hAnsi="Arial"/>
                <w:sz w:val="10"/>
                <w:szCs w:val="10"/>
                <w:b w:val="1"/>
                <w:bCs w:val="1"/>
                <w:color w:val="auto"/>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0"/>
                <w:szCs w:val="10"/>
                <w:b w:val="1"/>
                <w:bCs w:val="1"/>
                <w:color w:val="auto"/>
              </w:rPr>
              <w:t>(2,564)</w:t>
            </w:r>
          </w:p>
        </w:tc>
        <w:tc>
          <w:tcPr>
            <w:tcW w:w="780" w:type="dxa"/>
            <w:vAlign w:val="bottom"/>
            <w:shd w:val="clear" w:color="auto" w:fill="CCEEFF"/>
          </w:tcPr>
          <w:p>
            <w:pPr>
              <w:jc w:val="right"/>
              <w:ind w:right="152"/>
              <w:spacing w:after="0"/>
              <w:rPr>
                <w:sz w:val="20"/>
                <w:szCs w:val="20"/>
                <w:color w:val="auto"/>
              </w:rPr>
            </w:pPr>
            <w:r>
              <w:rPr>
                <w:rFonts w:ascii="Arial" w:cs="Arial" w:eastAsia="Arial" w:hAnsi="Arial"/>
                <w:sz w:val="10"/>
                <w:szCs w:val="10"/>
                <w:i w:val="1"/>
                <w:iCs w:val="1"/>
                <w:color w:val="auto"/>
              </w:rPr>
              <w:t>(50)%</w:t>
            </w:r>
          </w:p>
        </w:tc>
        <w:tc>
          <w:tcPr>
            <w:tcW w:w="180" w:type="dxa"/>
            <w:vAlign w:val="bottom"/>
            <w:shd w:val="clear" w:color="auto" w:fill="CCEEFF"/>
          </w:tcPr>
          <w:p>
            <w:pPr>
              <w:spacing w:after="0"/>
              <w:rPr>
                <w:sz w:val="13"/>
                <w:szCs w:val="13"/>
                <w:color w:val="auto"/>
              </w:rPr>
            </w:pPr>
          </w:p>
        </w:tc>
        <w:tc>
          <w:tcPr>
            <w:tcW w:w="360" w:type="dxa"/>
            <w:vAlign w:val="bottom"/>
            <w:shd w:val="clear" w:color="auto" w:fill="CCEEFF"/>
          </w:tcPr>
          <w:p>
            <w:pPr>
              <w:jc w:val="right"/>
              <w:ind w:right="72"/>
              <w:spacing w:after="0"/>
              <w:rPr>
                <w:sz w:val="20"/>
                <w:szCs w:val="20"/>
                <w:color w:val="auto"/>
              </w:rPr>
            </w:pPr>
            <w:r>
              <w:rPr>
                <w:rFonts w:ascii="Arial" w:cs="Arial" w:eastAsia="Arial" w:hAnsi="Arial"/>
                <w:sz w:val="10"/>
                <w:szCs w:val="10"/>
                <w:b w:val="1"/>
                <w:bCs w:val="1"/>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b w:val="1"/>
                <w:bCs w:val="1"/>
                <w:color w:val="auto"/>
              </w:rPr>
              <w:t>(2,836)</w:t>
            </w:r>
          </w:p>
        </w:tc>
        <w:tc>
          <w:tcPr>
            <w:tcW w:w="780" w:type="dxa"/>
            <w:vAlign w:val="bottom"/>
            <w:shd w:val="clear" w:color="auto" w:fill="CCEEFF"/>
          </w:tcPr>
          <w:p>
            <w:pPr>
              <w:jc w:val="right"/>
              <w:ind w:right="152"/>
              <w:spacing w:after="0"/>
              <w:rPr>
                <w:sz w:val="20"/>
                <w:szCs w:val="20"/>
                <w:color w:val="auto"/>
              </w:rPr>
            </w:pPr>
            <w:r>
              <w:rPr>
                <w:rFonts w:ascii="Arial" w:cs="Arial" w:eastAsia="Arial" w:hAnsi="Arial"/>
                <w:sz w:val="10"/>
                <w:szCs w:val="10"/>
                <w:i w:val="1"/>
                <w:iCs w:val="1"/>
                <w:color w:val="auto"/>
              </w:rPr>
              <w:t>(55)%</w:t>
            </w:r>
          </w:p>
        </w:tc>
        <w:tc>
          <w:tcPr>
            <w:tcW w:w="18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w:t>
            </w:r>
          </w:p>
        </w:tc>
        <w:tc>
          <w:tcPr>
            <w:tcW w:w="380" w:type="dxa"/>
            <w:vAlign w:val="bottom"/>
            <w:shd w:val="clear" w:color="auto" w:fill="CCEEFF"/>
          </w:tcPr>
          <w:p>
            <w:pPr>
              <w:jc w:val="right"/>
              <w:ind w:right="232"/>
              <w:spacing w:after="0"/>
              <w:rPr>
                <w:sz w:val="20"/>
                <w:szCs w:val="20"/>
                <w:color w:val="auto"/>
              </w:rPr>
            </w:pPr>
            <w:r>
              <w:rPr>
                <w:rFonts w:ascii="Arial" w:cs="Arial" w:eastAsia="Arial" w:hAnsi="Arial"/>
                <w:sz w:val="10"/>
                <w:szCs w:val="10"/>
                <w:color w:val="auto"/>
                <w:w w:val="89"/>
              </w:rPr>
              <w:t>%</w:t>
            </w:r>
          </w:p>
        </w:tc>
      </w:tr>
      <w:tr>
        <w:trPr>
          <w:trHeight w:val="171"/>
        </w:trPr>
        <w:tc>
          <w:tcPr>
            <w:tcW w:w="1860" w:type="dxa"/>
            <w:vAlign w:val="bottom"/>
          </w:tcPr>
          <w:p>
            <w:pPr>
              <w:ind w:left="800"/>
              <w:spacing w:after="0"/>
              <w:rPr>
                <w:sz w:val="20"/>
                <w:szCs w:val="20"/>
                <w:color w:val="auto"/>
              </w:rPr>
            </w:pPr>
            <w:r>
              <w:rPr>
                <w:rFonts w:ascii="Arial" w:cs="Arial" w:eastAsia="Arial" w:hAnsi="Arial"/>
                <w:sz w:val="10"/>
                <w:szCs w:val="10"/>
                <w:b w:val="1"/>
                <w:bCs w:val="1"/>
                <w:color w:val="auto"/>
              </w:rPr>
              <w:t>Australia</w:t>
            </w:r>
          </w:p>
        </w:tc>
        <w:tc>
          <w:tcPr>
            <w:tcW w:w="3080" w:type="dxa"/>
            <w:vAlign w:val="bottom"/>
            <w:gridSpan w:val="2"/>
          </w:tcPr>
          <w:p>
            <w:pPr>
              <w:ind w:left="120"/>
              <w:spacing w:after="0"/>
              <w:rPr>
                <w:sz w:val="20"/>
                <w:szCs w:val="20"/>
                <w:color w:val="auto"/>
              </w:rPr>
            </w:pPr>
            <w:r>
              <w:rPr>
                <w:rFonts w:ascii="Arial" w:cs="Arial" w:eastAsia="Arial" w:hAnsi="Arial"/>
                <w:sz w:val="10"/>
                <w:szCs w:val="10"/>
                <w:color w:val="auto"/>
              </w:rPr>
              <w:t>Property cost</w:t>
            </w:r>
          </w:p>
        </w:tc>
        <w:tc>
          <w:tcPr>
            <w:tcW w:w="380" w:type="dxa"/>
            <w:vAlign w:val="bottom"/>
          </w:tcPr>
          <w:p>
            <w:pPr>
              <w:spacing w:after="0"/>
              <w:rPr>
                <w:sz w:val="14"/>
                <w:szCs w:val="14"/>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0"/>
                <w:szCs w:val="10"/>
                <w:color w:val="auto"/>
              </w:rPr>
              <w:t>(2,229)</w:t>
            </w:r>
          </w:p>
        </w:tc>
        <w:tc>
          <w:tcPr>
            <w:tcW w:w="780" w:type="dxa"/>
            <w:vAlign w:val="bottom"/>
          </w:tcPr>
          <w:p>
            <w:pPr>
              <w:jc w:val="right"/>
              <w:ind w:right="152"/>
              <w:spacing w:after="0"/>
              <w:rPr>
                <w:sz w:val="20"/>
                <w:szCs w:val="20"/>
                <w:color w:val="auto"/>
              </w:rPr>
            </w:pPr>
            <w:r>
              <w:rPr>
                <w:rFonts w:ascii="Arial" w:cs="Arial" w:eastAsia="Arial" w:hAnsi="Arial"/>
                <w:sz w:val="10"/>
                <w:szCs w:val="10"/>
                <w:i w:val="1"/>
                <w:iCs w:val="1"/>
                <w:color w:val="auto"/>
              </w:rPr>
              <w:t>(16)%</w:t>
            </w: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0"/>
                <w:szCs w:val="10"/>
                <w:color w:val="auto"/>
              </w:rPr>
              <w:t>(2,362)</w:t>
            </w:r>
          </w:p>
        </w:tc>
        <w:tc>
          <w:tcPr>
            <w:tcW w:w="780" w:type="dxa"/>
            <w:vAlign w:val="bottom"/>
          </w:tcPr>
          <w:p>
            <w:pPr>
              <w:jc w:val="right"/>
              <w:ind w:right="152"/>
              <w:spacing w:after="0"/>
              <w:rPr>
                <w:sz w:val="20"/>
                <w:szCs w:val="20"/>
                <w:color w:val="auto"/>
              </w:rPr>
            </w:pPr>
            <w:r>
              <w:rPr>
                <w:rFonts w:ascii="Arial" w:cs="Arial" w:eastAsia="Arial" w:hAnsi="Arial"/>
                <w:sz w:val="10"/>
                <w:szCs w:val="10"/>
                <w:i w:val="1"/>
                <w:iCs w:val="1"/>
                <w:color w:val="auto"/>
              </w:rPr>
              <w:t>(16)%</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0"/>
                <w:szCs w:val="10"/>
                <w:color w:val="auto"/>
              </w:rPr>
              <w:t>6</w:t>
            </w:r>
          </w:p>
        </w:tc>
        <w:tc>
          <w:tcPr>
            <w:tcW w:w="380" w:type="dxa"/>
            <w:vAlign w:val="bottom"/>
          </w:tcPr>
          <w:p>
            <w:pPr>
              <w:jc w:val="right"/>
              <w:ind w:right="232"/>
              <w:spacing w:after="0"/>
              <w:rPr>
                <w:sz w:val="20"/>
                <w:szCs w:val="20"/>
                <w:color w:val="auto"/>
              </w:rPr>
            </w:pPr>
            <w:r>
              <w:rPr>
                <w:rFonts w:ascii="Arial" w:cs="Arial" w:eastAsia="Arial" w:hAnsi="Arial"/>
                <w:sz w:val="10"/>
                <w:szCs w:val="10"/>
                <w:color w:val="auto"/>
                <w:w w:val="89"/>
              </w:rPr>
              <w:t>%</w:t>
            </w:r>
          </w:p>
        </w:tc>
      </w:tr>
      <w:tr>
        <w:trPr>
          <w:trHeight w:val="171"/>
        </w:trPr>
        <w:tc>
          <w:tcPr>
            <w:tcW w:w="1860" w:type="dxa"/>
            <w:vAlign w:val="bottom"/>
            <w:shd w:val="clear" w:color="auto" w:fill="CCEEFF"/>
          </w:tcPr>
          <w:p>
            <w:pPr>
              <w:spacing w:after="0"/>
              <w:rPr>
                <w:sz w:val="14"/>
                <w:szCs w:val="14"/>
                <w:color w:val="auto"/>
              </w:rPr>
            </w:pPr>
          </w:p>
        </w:tc>
        <w:tc>
          <w:tcPr>
            <w:tcW w:w="3080" w:type="dxa"/>
            <w:vAlign w:val="bottom"/>
            <w:gridSpan w:val="2"/>
            <w:shd w:val="clear" w:color="auto" w:fill="CCEEFF"/>
          </w:tcPr>
          <w:p>
            <w:pPr>
              <w:ind w:left="120"/>
              <w:spacing w:after="0"/>
              <w:rPr>
                <w:sz w:val="20"/>
                <w:szCs w:val="20"/>
                <w:color w:val="auto"/>
              </w:rPr>
            </w:pPr>
            <w:r>
              <w:rPr>
                <w:rFonts w:ascii="Arial" w:cs="Arial" w:eastAsia="Arial" w:hAnsi="Arial"/>
                <w:sz w:val="10"/>
                <w:szCs w:val="10"/>
                <w:color w:val="auto"/>
              </w:rPr>
              <w:t>Occupancy expense</w:t>
            </w:r>
          </w:p>
        </w:tc>
        <w:tc>
          <w:tcPr>
            <w:tcW w:w="3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(2,532)</w:t>
            </w:r>
          </w:p>
        </w:tc>
        <w:tc>
          <w:tcPr>
            <w:tcW w:w="780" w:type="dxa"/>
            <w:vAlign w:val="bottom"/>
            <w:shd w:val="clear" w:color="auto" w:fill="CCEEFF"/>
          </w:tcPr>
          <w:p>
            <w:pPr>
              <w:jc w:val="right"/>
              <w:ind w:right="152"/>
              <w:spacing w:after="0"/>
              <w:rPr>
                <w:sz w:val="20"/>
                <w:szCs w:val="20"/>
                <w:color w:val="auto"/>
              </w:rPr>
            </w:pPr>
            <w:r>
              <w:rPr>
                <w:rFonts w:ascii="Arial" w:cs="Arial" w:eastAsia="Arial" w:hAnsi="Arial"/>
                <w:sz w:val="10"/>
                <w:szCs w:val="10"/>
                <w:i w:val="1"/>
                <w:iCs w:val="1"/>
                <w:color w:val="auto"/>
              </w:rPr>
              <w:t>(18)%</w:t>
            </w:r>
          </w:p>
        </w:tc>
        <w:tc>
          <w:tcPr>
            <w:tcW w:w="1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(3,139)</w:t>
            </w:r>
          </w:p>
        </w:tc>
        <w:tc>
          <w:tcPr>
            <w:tcW w:w="780" w:type="dxa"/>
            <w:vAlign w:val="bottom"/>
            <w:shd w:val="clear" w:color="auto" w:fill="CCEEFF"/>
          </w:tcPr>
          <w:p>
            <w:pPr>
              <w:jc w:val="right"/>
              <w:ind w:right="152"/>
              <w:spacing w:after="0"/>
              <w:rPr>
                <w:sz w:val="20"/>
                <w:szCs w:val="20"/>
                <w:color w:val="auto"/>
              </w:rPr>
            </w:pPr>
            <w:r>
              <w:rPr>
                <w:rFonts w:ascii="Arial" w:cs="Arial" w:eastAsia="Arial" w:hAnsi="Arial"/>
                <w:sz w:val="10"/>
                <w:szCs w:val="10"/>
                <w:i w:val="1"/>
                <w:iCs w:val="1"/>
                <w:color w:val="auto"/>
              </w:rPr>
              <w:t>(22)%</w:t>
            </w: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19</w:t>
            </w:r>
          </w:p>
        </w:tc>
        <w:tc>
          <w:tcPr>
            <w:tcW w:w="380" w:type="dxa"/>
            <w:vAlign w:val="bottom"/>
            <w:shd w:val="clear" w:color="auto" w:fill="CCEEFF"/>
          </w:tcPr>
          <w:p>
            <w:pPr>
              <w:jc w:val="right"/>
              <w:ind w:right="232"/>
              <w:spacing w:after="0"/>
              <w:rPr>
                <w:sz w:val="20"/>
                <w:szCs w:val="20"/>
                <w:color w:val="auto"/>
              </w:rPr>
            </w:pPr>
            <w:r>
              <w:rPr>
                <w:rFonts w:ascii="Arial" w:cs="Arial" w:eastAsia="Arial" w:hAnsi="Arial"/>
                <w:sz w:val="10"/>
                <w:szCs w:val="10"/>
                <w:color w:val="auto"/>
                <w:w w:val="89"/>
              </w:rPr>
              <w:t>%</w:t>
            </w:r>
          </w:p>
        </w:tc>
      </w:tr>
      <w:tr>
        <w:trPr>
          <w:trHeight w:val="20"/>
        </w:trPr>
        <w:tc>
          <w:tcPr>
            <w:tcW w:w="186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51"/>
        </w:trPr>
        <w:tc>
          <w:tcPr>
            <w:tcW w:w="1860" w:type="dxa"/>
            <w:vAlign w:val="bottom"/>
          </w:tcPr>
          <w:p>
            <w:pPr>
              <w:spacing w:after="0"/>
              <w:rPr>
                <w:sz w:val="13"/>
                <w:szCs w:val="13"/>
                <w:color w:val="auto"/>
              </w:rPr>
            </w:pPr>
          </w:p>
        </w:tc>
        <w:tc>
          <w:tcPr>
            <w:tcW w:w="2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80" w:type="dxa"/>
            <w:vAlign w:val="bottom"/>
          </w:tcPr>
          <w:p>
            <w:pPr>
              <w:jc w:val="right"/>
              <w:ind w:right="72"/>
              <w:spacing w:after="0"/>
              <w:rPr>
                <w:sz w:val="20"/>
                <w:szCs w:val="20"/>
                <w:color w:val="auto"/>
              </w:rPr>
            </w:pPr>
            <w:r>
              <w:rPr>
                <w:rFonts w:ascii="Arial" w:cs="Arial" w:eastAsia="Arial" w:hAnsi="Arial"/>
                <w:sz w:val="10"/>
                <w:szCs w:val="10"/>
                <w:b w:val="1"/>
                <w:bCs w:val="1"/>
                <w:color w:val="auto"/>
              </w:rPr>
              <w:t>$</w:t>
            </w:r>
          </w:p>
        </w:tc>
        <w:tc>
          <w:tcPr>
            <w:tcW w:w="980" w:type="dxa"/>
            <w:vAlign w:val="bottom"/>
            <w:gridSpan w:val="2"/>
          </w:tcPr>
          <w:p>
            <w:pPr>
              <w:jc w:val="right"/>
              <w:ind w:right="180"/>
              <w:spacing w:after="0"/>
              <w:rPr>
                <w:sz w:val="20"/>
                <w:szCs w:val="20"/>
                <w:color w:val="auto"/>
              </w:rPr>
            </w:pPr>
            <w:r>
              <w:rPr>
                <w:rFonts w:ascii="Arial" w:cs="Arial" w:eastAsia="Arial" w:hAnsi="Arial"/>
                <w:sz w:val="10"/>
                <w:szCs w:val="10"/>
                <w:b w:val="1"/>
                <w:bCs w:val="1"/>
                <w:color w:val="auto"/>
              </w:rPr>
              <w:t>(4,761)</w:t>
            </w:r>
          </w:p>
        </w:tc>
        <w:tc>
          <w:tcPr>
            <w:tcW w:w="780" w:type="dxa"/>
            <w:vAlign w:val="bottom"/>
          </w:tcPr>
          <w:p>
            <w:pPr>
              <w:jc w:val="right"/>
              <w:ind w:right="152"/>
              <w:spacing w:after="0"/>
              <w:rPr>
                <w:sz w:val="20"/>
                <w:szCs w:val="20"/>
                <w:color w:val="auto"/>
              </w:rPr>
            </w:pPr>
            <w:r>
              <w:rPr>
                <w:rFonts w:ascii="Arial" w:cs="Arial" w:eastAsia="Arial" w:hAnsi="Arial"/>
                <w:sz w:val="10"/>
                <w:szCs w:val="10"/>
                <w:i w:val="1"/>
                <w:iCs w:val="1"/>
                <w:color w:val="auto"/>
              </w:rPr>
              <w:t>(35)%</w:t>
            </w:r>
          </w:p>
        </w:tc>
        <w:tc>
          <w:tcPr>
            <w:tcW w:w="180" w:type="dxa"/>
            <w:vAlign w:val="bottom"/>
          </w:tcPr>
          <w:p>
            <w:pPr>
              <w:spacing w:after="0"/>
              <w:rPr>
                <w:sz w:val="13"/>
                <w:szCs w:val="13"/>
                <w:color w:val="auto"/>
              </w:rPr>
            </w:pPr>
          </w:p>
        </w:tc>
        <w:tc>
          <w:tcPr>
            <w:tcW w:w="360" w:type="dxa"/>
            <w:vAlign w:val="bottom"/>
          </w:tcPr>
          <w:p>
            <w:pPr>
              <w:jc w:val="right"/>
              <w:ind w:right="72"/>
              <w:spacing w:after="0"/>
              <w:rPr>
                <w:sz w:val="20"/>
                <w:szCs w:val="20"/>
                <w:color w:val="auto"/>
              </w:rPr>
            </w:pPr>
            <w:r>
              <w:rPr>
                <w:rFonts w:ascii="Arial" w:cs="Arial" w:eastAsia="Arial" w:hAnsi="Arial"/>
                <w:sz w:val="10"/>
                <w:szCs w:val="10"/>
                <w:b w:val="1"/>
                <w:bCs w:val="1"/>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0"/>
                <w:szCs w:val="10"/>
                <w:b w:val="1"/>
                <w:bCs w:val="1"/>
                <w:color w:val="auto"/>
              </w:rPr>
              <w:t>(5,501)</w:t>
            </w:r>
          </w:p>
        </w:tc>
        <w:tc>
          <w:tcPr>
            <w:tcW w:w="780" w:type="dxa"/>
            <w:vAlign w:val="bottom"/>
          </w:tcPr>
          <w:p>
            <w:pPr>
              <w:jc w:val="right"/>
              <w:ind w:right="152"/>
              <w:spacing w:after="0"/>
              <w:rPr>
                <w:sz w:val="20"/>
                <w:szCs w:val="20"/>
                <w:color w:val="auto"/>
              </w:rPr>
            </w:pPr>
            <w:r>
              <w:rPr>
                <w:rFonts w:ascii="Arial" w:cs="Arial" w:eastAsia="Arial" w:hAnsi="Arial"/>
                <w:sz w:val="10"/>
                <w:szCs w:val="10"/>
                <w:i w:val="1"/>
                <w:iCs w:val="1"/>
                <w:color w:val="auto"/>
              </w:rPr>
              <w:t>(38)%</w:t>
            </w:r>
          </w:p>
        </w:tc>
        <w:tc>
          <w:tcPr>
            <w:tcW w:w="18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0"/>
                <w:szCs w:val="10"/>
                <w:color w:val="auto"/>
              </w:rPr>
              <w:t>13</w:t>
            </w:r>
          </w:p>
        </w:tc>
        <w:tc>
          <w:tcPr>
            <w:tcW w:w="380" w:type="dxa"/>
            <w:vAlign w:val="bottom"/>
          </w:tcPr>
          <w:p>
            <w:pPr>
              <w:jc w:val="right"/>
              <w:ind w:right="232"/>
              <w:spacing w:after="0"/>
              <w:rPr>
                <w:sz w:val="20"/>
                <w:szCs w:val="20"/>
                <w:color w:val="auto"/>
              </w:rPr>
            </w:pPr>
            <w:r>
              <w:rPr>
                <w:rFonts w:ascii="Arial" w:cs="Arial" w:eastAsia="Arial" w:hAnsi="Arial"/>
                <w:sz w:val="10"/>
                <w:szCs w:val="10"/>
                <w:color w:val="auto"/>
                <w:w w:val="89"/>
              </w:rPr>
              <w:t>%</w:t>
            </w:r>
          </w:p>
        </w:tc>
      </w:tr>
      <w:tr>
        <w:trPr>
          <w:trHeight w:val="171"/>
        </w:trPr>
        <w:tc>
          <w:tcPr>
            <w:tcW w:w="1860" w:type="dxa"/>
            <w:vAlign w:val="bottom"/>
            <w:shd w:val="clear" w:color="auto" w:fill="CCEEFF"/>
          </w:tcPr>
          <w:p>
            <w:pPr>
              <w:ind w:left="800"/>
              <w:spacing w:after="0"/>
              <w:rPr>
                <w:sz w:val="20"/>
                <w:szCs w:val="20"/>
                <w:color w:val="auto"/>
              </w:rPr>
            </w:pPr>
            <w:r>
              <w:rPr>
                <w:rFonts w:ascii="Arial" w:cs="Arial" w:eastAsia="Arial" w:hAnsi="Arial"/>
                <w:sz w:val="10"/>
                <w:szCs w:val="10"/>
                <w:b w:val="1"/>
                <w:bCs w:val="1"/>
                <w:color w:val="auto"/>
              </w:rPr>
              <w:t>New Zealand</w:t>
            </w:r>
          </w:p>
        </w:tc>
        <w:tc>
          <w:tcPr>
            <w:tcW w:w="3080" w:type="dxa"/>
            <w:vAlign w:val="bottom"/>
            <w:gridSpan w:val="2"/>
            <w:shd w:val="clear" w:color="auto" w:fill="CCEEFF"/>
          </w:tcPr>
          <w:p>
            <w:pPr>
              <w:ind w:left="120"/>
              <w:spacing w:after="0"/>
              <w:rPr>
                <w:sz w:val="20"/>
                <w:szCs w:val="20"/>
                <w:color w:val="auto"/>
              </w:rPr>
            </w:pPr>
            <w:r>
              <w:rPr>
                <w:rFonts w:ascii="Arial" w:cs="Arial" w:eastAsia="Arial" w:hAnsi="Arial"/>
                <w:sz w:val="10"/>
                <w:szCs w:val="10"/>
                <w:color w:val="auto"/>
              </w:rPr>
              <w:t>Property cost</w:t>
            </w:r>
          </w:p>
        </w:tc>
        <w:tc>
          <w:tcPr>
            <w:tcW w:w="3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(1,599)</w:t>
            </w:r>
          </w:p>
        </w:tc>
        <w:tc>
          <w:tcPr>
            <w:tcW w:w="780" w:type="dxa"/>
            <w:vAlign w:val="bottom"/>
            <w:shd w:val="clear" w:color="auto" w:fill="CCEEFF"/>
          </w:tcPr>
          <w:p>
            <w:pPr>
              <w:jc w:val="right"/>
              <w:ind w:right="152"/>
              <w:spacing w:after="0"/>
              <w:rPr>
                <w:sz w:val="20"/>
                <w:szCs w:val="20"/>
                <w:color w:val="auto"/>
              </w:rPr>
            </w:pPr>
            <w:r>
              <w:rPr>
                <w:rFonts w:ascii="Arial" w:cs="Arial" w:eastAsia="Arial" w:hAnsi="Arial"/>
                <w:sz w:val="10"/>
                <w:szCs w:val="10"/>
                <w:i w:val="1"/>
                <w:iCs w:val="1"/>
                <w:color w:val="auto"/>
              </w:rPr>
              <w:t>(29)%</w:t>
            </w:r>
          </w:p>
        </w:tc>
        <w:tc>
          <w:tcPr>
            <w:tcW w:w="1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(1,684)</w:t>
            </w:r>
          </w:p>
        </w:tc>
        <w:tc>
          <w:tcPr>
            <w:tcW w:w="780" w:type="dxa"/>
            <w:vAlign w:val="bottom"/>
            <w:shd w:val="clear" w:color="auto" w:fill="CCEEFF"/>
          </w:tcPr>
          <w:p>
            <w:pPr>
              <w:jc w:val="right"/>
              <w:ind w:right="152"/>
              <w:spacing w:after="0"/>
              <w:rPr>
                <w:sz w:val="20"/>
                <w:szCs w:val="20"/>
                <w:color w:val="auto"/>
              </w:rPr>
            </w:pPr>
            <w:r>
              <w:rPr>
                <w:rFonts w:ascii="Arial" w:cs="Arial" w:eastAsia="Arial" w:hAnsi="Arial"/>
                <w:sz w:val="10"/>
                <w:szCs w:val="10"/>
                <w:i w:val="1"/>
                <w:iCs w:val="1"/>
                <w:color w:val="auto"/>
              </w:rPr>
              <w:t>(25)%</w:t>
            </w: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w:t>
            </w:r>
          </w:p>
        </w:tc>
        <w:tc>
          <w:tcPr>
            <w:tcW w:w="380" w:type="dxa"/>
            <w:vAlign w:val="bottom"/>
            <w:shd w:val="clear" w:color="auto" w:fill="CCEEFF"/>
          </w:tcPr>
          <w:p>
            <w:pPr>
              <w:jc w:val="right"/>
              <w:ind w:right="232"/>
              <w:spacing w:after="0"/>
              <w:rPr>
                <w:sz w:val="20"/>
                <w:szCs w:val="20"/>
                <w:color w:val="auto"/>
              </w:rPr>
            </w:pPr>
            <w:r>
              <w:rPr>
                <w:rFonts w:ascii="Arial" w:cs="Arial" w:eastAsia="Arial" w:hAnsi="Arial"/>
                <w:sz w:val="10"/>
                <w:szCs w:val="10"/>
                <w:color w:val="auto"/>
                <w:w w:val="89"/>
              </w:rPr>
              <w:t>%</w:t>
            </w:r>
          </w:p>
        </w:tc>
      </w:tr>
      <w:tr>
        <w:trPr>
          <w:trHeight w:val="171"/>
        </w:trPr>
        <w:tc>
          <w:tcPr>
            <w:tcW w:w="1860" w:type="dxa"/>
            <w:vAlign w:val="bottom"/>
          </w:tcPr>
          <w:p>
            <w:pPr>
              <w:spacing w:after="0"/>
              <w:rPr>
                <w:sz w:val="14"/>
                <w:szCs w:val="14"/>
                <w:color w:val="auto"/>
              </w:rPr>
            </w:pPr>
          </w:p>
        </w:tc>
        <w:tc>
          <w:tcPr>
            <w:tcW w:w="3080" w:type="dxa"/>
            <w:vAlign w:val="bottom"/>
            <w:gridSpan w:val="2"/>
          </w:tcPr>
          <w:p>
            <w:pPr>
              <w:ind w:left="120"/>
              <w:spacing w:after="0"/>
              <w:rPr>
                <w:sz w:val="20"/>
                <w:szCs w:val="20"/>
                <w:color w:val="auto"/>
              </w:rPr>
            </w:pPr>
            <w:r>
              <w:rPr>
                <w:rFonts w:ascii="Arial" w:cs="Arial" w:eastAsia="Arial" w:hAnsi="Arial"/>
                <w:sz w:val="10"/>
                <w:szCs w:val="10"/>
                <w:color w:val="auto"/>
              </w:rPr>
              <w:t>Occupancy expense</w:t>
            </w:r>
          </w:p>
        </w:tc>
        <w:tc>
          <w:tcPr>
            <w:tcW w:w="380" w:type="dxa"/>
            <w:vAlign w:val="bottom"/>
          </w:tcPr>
          <w:p>
            <w:pPr>
              <w:spacing w:after="0"/>
              <w:rPr>
                <w:sz w:val="14"/>
                <w:szCs w:val="14"/>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0"/>
                <w:szCs w:val="10"/>
                <w:color w:val="auto"/>
              </w:rPr>
              <w:t>(846)</w:t>
            </w:r>
          </w:p>
        </w:tc>
        <w:tc>
          <w:tcPr>
            <w:tcW w:w="780" w:type="dxa"/>
            <w:vAlign w:val="bottom"/>
          </w:tcPr>
          <w:p>
            <w:pPr>
              <w:jc w:val="right"/>
              <w:ind w:right="152"/>
              <w:spacing w:after="0"/>
              <w:rPr>
                <w:sz w:val="20"/>
                <w:szCs w:val="20"/>
                <w:color w:val="auto"/>
              </w:rPr>
            </w:pPr>
            <w:r>
              <w:rPr>
                <w:rFonts w:ascii="Arial" w:cs="Arial" w:eastAsia="Arial" w:hAnsi="Arial"/>
                <w:sz w:val="10"/>
                <w:szCs w:val="10"/>
                <w:i w:val="1"/>
                <w:iCs w:val="1"/>
                <w:color w:val="auto"/>
              </w:rPr>
              <w:t>(15)%</w:t>
            </w: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0"/>
                <w:szCs w:val="10"/>
                <w:color w:val="auto"/>
              </w:rPr>
              <w:t>(809)</w:t>
            </w:r>
          </w:p>
        </w:tc>
        <w:tc>
          <w:tcPr>
            <w:tcW w:w="780" w:type="dxa"/>
            <w:vAlign w:val="bottom"/>
          </w:tcPr>
          <w:p>
            <w:pPr>
              <w:jc w:val="right"/>
              <w:ind w:right="152"/>
              <w:spacing w:after="0"/>
              <w:rPr>
                <w:sz w:val="20"/>
                <w:szCs w:val="20"/>
                <w:color w:val="auto"/>
              </w:rPr>
            </w:pPr>
            <w:r>
              <w:rPr>
                <w:rFonts w:ascii="Arial" w:cs="Arial" w:eastAsia="Arial" w:hAnsi="Arial"/>
                <w:sz w:val="10"/>
                <w:szCs w:val="10"/>
                <w:i w:val="1"/>
                <w:iCs w:val="1"/>
                <w:color w:val="auto"/>
              </w:rPr>
              <w:t>(12)%</w:t>
            </w:r>
          </w:p>
        </w:tc>
        <w:tc>
          <w:tcPr>
            <w:tcW w:w="180" w:type="dxa"/>
            <w:vAlign w:val="bottom"/>
          </w:tcPr>
          <w:p>
            <w:pPr>
              <w:spacing w:after="0"/>
              <w:rPr>
                <w:sz w:val="14"/>
                <w:szCs w:val="14"/>
                <w:color w:val="auto"/>
              </w:rPr>
            </w:pPr>
          </w:p>
        </w:tc>
        <w:tc>
          <w:tcPr>
            <w:tcW w:w="1080" w:type="dxa"/>
            <w:vAlign w:val="bottom"/>
            <w:gridSpan w:val="2"/>
          </w:tcPr>
          <w:p>
            <w:pPr>
              <w:jc w:val="right"/>
              <w:ind w:right="232"/>
              <w:spacing w:after="0"/>
              <w:rPr>
                <w:sz w:val="20"/>
                <w:szCs w:val="20"/>
                <w:color w:val="auto"/>
              </w:rPr>
            </w:pPr>
            <w:r>
              <w:rPr>
                <w:rFonts w:ascii="Arial" w:cs="Arial" w:eastAsia="Arial" w:hAnsi="Arial"/>
                <w:sz w:val="10"/>
                <w:szCs w:val="10"/>
                <w:color w:val="auto"/>
              </w:rPr>
              <w:t>(5) %</w:t>
            </w:r>
          </w:p>
        </w:tc>
      </w:tr>
      <w:tr>
        <w:trPr>
          <w:trHeight w:val="113"/>
        </w:trPr>
        <w:tc>
          <w:tcPr>
            <w:tcW w:w="1860" w:type="dxa"/>
            <w:vAlign w:val="bottom"/>
            <w:tcBorders>
              <w:top w:val="single" w:sz="8" w:color="CCEEFF"/>
            </w:tcBorders>
            <w:shd w:val="clear" w:color="auto" w:fill="CCEEFF"/>
          </w:tcPr>
          <w:p>
            <w:pPr>
              <w:spacing w:after="0"/>
              <w:rPr>
                <w:sz w:val="9"/>
                <w:szCs w:val="9"/>
                <w:color w:val="auto"/>
              </w:rPr>
            </w:pPr>
          </w:p>
        </w:tc>
        <w:tc>
          <w:tcPr>
            <w:tcW w:w="2900" w:type="dxa"/>
            <w:vAlign w:val="bottom"/>
            <w:tcBorders>
              <w:top w:val="single" w:sz="8" w:color="CCEEFF"/>
            </w:tcBorders>
            <w:shd w:val="clear" w:color="auto" w:fill="CCEEFF"/>
          </w:tcPr>
          <w:p>
            <w:pPr>
              <w:spacing w:after="0"/>
              <w:rPr>
                <w:sz w:val="9"/>
                <w:szCs w:val="9"/>
                <w:color w:val="auto"/>
              </w:rPr>
            </w:pPr>
          </w:p>
        </w:tc>
        <w:tc>
          <w:tcPr>
            <w:tcW w:w="180" w:type="dxa"/>
            <w:vAlign w:val="bottom"/>
            <w:tcBorders>
              <w:top w:val="single" w:sz="8" w:color="CCEEFF"/>
            </w:tcBorders>
            <w:shd w:val="clear" w:color="auto" w:fill="CCEEFF"/>
          </w:tcPr>
          <w:p>
            <w:pPr>
              <w:spacing w:after="0"/>
              <w:rPr>
                <w:sz w:val="9"/>
                <w:szCs w:val="9"/>
                <w:color w:val="auto"/>
              </w:rPr>
            </w:pPr>
          </w:p>
        </w:tc>
        <w:tc>
          <w:tcPr>
            <w:tcW w:w="380" w:type="dxa"/>
            <w:vAlign w:val="bottom"/>
            <w:tcBorders>
              <w:top w:val="single" w:sz="8" w:color="auto"/>
            </w:tcBorders>
            <w:shd w:val="clear" w:color="auto" w:fill="CCEEFF"/>
          </w:tcPr>
          <w:p>
            <w:pPr>
              <w:jc w:val="right"/>
              <w:ind w:right="72"/>
              <w:spacing w:after="0" w:line="113" w:lineRule="exact"/>
              <w:rPr>
                <w:sz w:val="20"/>
                <w:szCs w:val="20"/>
                <w:color w:val="auto"/>
              </w:rPr>
            </w:pPr>
            <w:r>
              <w:rPr>
                <w:rFonts w:ascii="Arial" w:cs="Arial" w:eastAsia="Arial" w:hAnsi="Arial"/>
                <w:sz w:val="10"/>
                <w:szCs w:val="10"/>
                <w:b w:val="1"/>
                <w:bCs w:val="1"/>
                <w:color w:val="auto"/>
              </w:rPr>
              <w:t>$</w:t>
            </w:r>
          </w:p>
        </w:tc>
        <w:tc>
          <w:tcPr>
            <w:tcW w:w="80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0"/>
                <w:szCs w:val="10"/>
                <w:b w:val="1"/>
                <w:bCs w:val="1"/>
                <w:color w:val="auto"/>
              </w:rPr>
              <w:t>(2,445)</w:t>
            </w:r>
          </w:p>
        </w:tc>
        <w:tc>
          <w:tcPr>
            <w:tcW w:w="180" w:type="dxa"/>
            <w:vAlign w:val="bottom"/>
            <w:tcBorders>
              <w:top w:val="single" w:sz="8" w:color="CCEEFF"/>
            </w:tcBorders>
            <w:shd w:val="clear" w:color="auto" w:fill="CCEEFF"/>
          </w:tcPr>
          <w:p>
            <w:pPr>
              <w:spacing w:after="0"/>
              <w:rPr>
                <w:sz w:val="9"/>
                <w:szCs w:val="9"/>
                <w:color w:val="auto"/>
              </w:rPr>
            </w:pPr>
          </w:p>
        </w:tc>
        <w:tc>
          <w:tcPr>
            <w:tcW w:w="780" w:type="dxa"/>
            <w:vAlign w:val="bottom"/>
            <w:tcBorders>
              <w:top w:val="single" w:sz="8" w:color="CCEEFF"/>
            </w:tcBorders>
            <w:shd w:val="clear" w:color="auto" w:fill="CCEEFF"/>
          </w:tcPr>
          <w:p>
            <w:pPr>
              <w:jc w:val="right"/>
              <w:ind w:right="152"/>
              <w:spacing w:after="0" w:line="102" w:lineRule="exact"/>
              <w:rPr>
                <w:sz w:val="20"/>
                <w:szCs w:val="20"/>
                <w:color w:val="auto"/>
              </w:rPr>
            </w:pPr>
            <w:r>
              <w:rPr>
                <w:rFonts w:ascii="Arial" w:cs="Arial" w:eastAsia="Arial" w:hAnsi="Arial"/>
                <w:sz w:val="10"/>
                <w:szCs w:val="10"/>
                <w:i w:val="1"/>
                <w:iCs w:val="1"/>
                <w:color w:val="auto"/>
              </w:rPr>
              <w:t>(44)%</w:t>
            </w:r>
          </w:p>
        </w:tc>
        <w:tc>
          <w:tcPr>
            <w:tcW w:w="180" w:type="dxa"/>
            <w:vAlign w:val="bottom"/>
            <w:tcBorders>
              <w:top w:val="single" w:sz="8" w:color="CCEEFF"/>
            </w:tcBorders>
            <w:shd w:val="clear" w:color="auto" w:fill="CCEEFF"/>
          </w:tcPr>
          <w:p>
            <w:pPr>
              <w:spacing w:after="0"/>
              <w:rPr>
                <w:sz w:val="9"/>
                <w:szCs w:val="9"/>
                <w:color w:val="auto"/>
              </w:rPr>
            </w:pPr>
          </w:p>
        </w:tc>
        <w:tc>
          <w:tcPr>
            <w:tcW w:w="360" w:type="dxa"/>
            <w:vAlign w:val="bottom"/>
            <w:tcBorders>
              <w:top w:val="single" w:sz="8" w:color="auto"/>
            </w:tcBorders>
            <w:shd w:val="clear" w:color="auto" w:fill="CCEEFF"/>
          </w:tcPr>
          <w:p>
            <w:pPr>
              <w:jc w:val="right"/>
              <w:ind w:right="72"/>
              <w:spacing w:after="0" w:line="113" w:lineRule="exact"/>
              <w:rPr>
                <w:sz w:val="20"/>
                <w:szCs w:val="20"/>
                <w:color w:val="auto"/>
              </w:rPr>
            </w:pPr>
            <w:r>
              <w:rPr>
                <w:rFonts w:ascii="Arial" w:cs="Arial" w:eastAsia="Arial" w:hAnsi="Arial"/>
                <w:sz w:val="10"/>
                <w:szCs w:val="10"/>
                <w:b w:val="1"/>
                <w:bCs w:val="1"/>
                <w:color w:val="auto"/>
              </w:rPr>
              <w:t>$</w:t>
            </w:r>
          </w:p>
        </w:tc>
        <w:tc>
          <w:tcPr>
            <w:tcW w:w="80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0"/>
                <w:szCs w:val="10"/>
                <w:b w:val="1"/>
                <w:bCs w:val="1"/>
                <w:color w:val="auto"/>
              </w:rPr>
              <w:t>(2,493)</w:t>
            </w:r>
          </w:p>
        </w:tc>
        <w:tc>
          <w:tcPr>
            <w:tcW w:w="160" w:type="dxa"/>
            <w:vAlign w:val="bottom"/>
            <w:tcBorders>
              <w:top w:val="single" w:sz="8" w:color="CCEEFF"/>
            </w:tcBorders>
            <w:shd w:val="clear" w:color="auto" w:fill="CCEEFF"/>
          </w:tcPr>
          <w:p>
            <w:pPr>
              <w:spacing w:after="0"/>
              <w:rPr>
                <w:sz w:val="9"/>
                <w:szCs w:val="9"/>
                <w:color w:val="auto"/>
              </w:rPr>
            </w:pPr>
          </w:p>
        </w:tc>
        <w:tc>
          <w:tcPr>
            <w:tcW w:w="780" w:type="dxa"/>
            <w:vAlign w:val="bottom"/>
            <w:tcBorders>
              <w:top w:val="single" w:sz="8" w:color="CCEEFF"/>
            </w:tcBorders>
            <w:shd w:val="clear" w:color="auto" w:fill="CCEEFF"/>
          </w:tcPr>
          <w:p>
            <w:pPr>
              <w:jc w:val="right"/>
              <w:ind w:right="152"/>
              <w:spacing w:after="0" w:line="102" w:lineRule="exact"/>
              <w:rPr>
                <w:sz w:val="20"/>
                <w:szCs w:val="20"/>
                <w:color w:val="auto"/>
              </w:rPr>
            </w:pPr>
            <w:r>
              <w:rPr>
                <w:rFonts w:ascii="Arial" w:cs="Arial" w:eastAsia="Arial" w:hAnsi="Arial"/>
                <w:sz w:val="10"/>
                <w:szCs w:val="10"/>
                <w:i w:val="1"/>
                <w:iCs w:val="1"/>
                <w:color w:val="auto"/>
              </w:rPr>
              <w:t>(36)%</w:t>
            </w:r>
          </w:p>
        </w:tc>
        <w:tc>
          <w:tcPr>
            <w:tcW w:w="180" w:type="dxa"/>
            <w:vAlign w:val="bottom"/>
            <w:tcBorders>
              <w:top w:val="single" w:sz="8" w:color="CCEEFF"/>
            </w:tcBorders>
            <w:shd w:val="clear" w:color="auto" w:fill="CCEEFF"/>
          </w:tcPr>
          <w:p>
            <w:pPr>
              <w:spacing w:after="0"/>
              <w:rPr>
                <w:sz w:val="9"/>
                <w:szCs w:val="9"/>
                <w:color w:val="auto"/>
              </w:rPr>
            </w:pPr>
          </w:p>
        </w:tc>
        <w:tc>
          <w:tcPr>
            <w:tcW w:w="700" w:type="dxa"/>
            <w:vAlign w:val="bottom"/>
            <w:tcBorders>
              <w:top w:val="single" w:sz="8" w:color="CCEEFF"/>
            </w:tcBorders>
            <w:shd w:val="clear" w:color="auto" w:fill="CCEEFF"/>
          </w:tcPr>
          <w:p>
            <w:pPr>
              <w:jc w:val="right"/>
              <w:spacing w:after="0" w:line="102" w:lineRule="exact"/>
              <w:rPr>
                <w:sz w:val="20"/>
                <w:szCs w:val="20"/>
                <w:color w:val="auto"/>
              </w:rPr>
            </w:pPr>
            <w:r>
              <w:rPr>
                <w:rFonts w:ascii="Arial" w:cs="Arial" w:eastAsia="Arial" w:hAnsi="Arial"/>
                <w:sz w:val="10"/>
                <w:szCs w:val="10"/>
                <w:color w:val="auto"/>
              </w:rPr>
              <w:t>2</w:t>
            </w:r>
          </w:p>
        </w:tc>
        <w:tc>
          <w:tcPr>
            <w:tcW w:w="380" w:type="dxa"/>
            <w:vAlign w:val="bottom"/>
            <w:tcBorders>
              <w:top w:val="single" w:sz="8" w:color="CCEEFF"/>
            </w:tcBorders>
            <w:shd w:val="clear" w:color="auto" w:fill="CCEEFF"/>
          </w:tcPr>
          <w:p>
            <w:pPr>
              <w:jc w:val="right"/>
              <w:ind w:right="232"/>
              <w:spacing w:after="0" w:line="102" w:lineRule="exact"/>
              <w:rPr>
                <w:sz w:val="20"/>
                <w:szCs w:val="20"/>
                <w:color w:val="auto"/>
              </w:rPr>
            </w:pPr>
            <w:r>
              <w:rPr>
                <w:rFonts w:ascii="Arial" w:cs="Arial" w:eastAsia="Arial" w:hAnsi="Arial"/>
                <w:sz w:val="10"/>
                <w:szCs w:val="10"/>
                <w:color w:val="auto"/>
                <w:w w:val="89"/>
              </w:rPr>
              <w:t>%</w:t>
            </w:r>
          </w:p>
        </w:tc>
      </w:tr>
      <w:tr>
        <w:trPr>
          <w:trHeight w:val="84"/>
        </w:trPr>
        <w:tc>
          <w:tcPr>
            <w:tcW w:w="4760" w:type="dxa"/>
            <w:vAlign w:val="bottom"/>
            <w:gridSpan w:val="2"/>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380" w:type="dxa"/>
            <w:vAlign w:val="bottom"/>
            <w:tcBorders>
              <w:bottom w:val="single" w:sz="8" w:color="auto"/>
            </w:tcBorders>
            <w:shd w:val="clear" w:color="auto" w:fill="CCEEFF"/>
          </w:tcPr>
          <w:p>
            <w:pPr>
              <w:spacing w:after="0"/>
              <w:rPr>
                <w:sz w:val="7"/>
                <w:szCs w:val="7"/>
                <w:color w:val="auto"/>
              </w:rPr>
            </w:pPr>
          </w:p>
        </w:tc>
        <w:tc>
          <w:tcPr>
            <w:tcW w:w="800" w:type="dxa"/>
            <w:vAlign w:val="bottom"/>
            <w:tcBorders>
              <w:bottom w:val="single" w:sz="8" w:color="auto"/>
            </w:tcBorders>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360" w:type="dxa"/>
            <w:vAlign w:val="bottom"/>
            <w:tcBorders>
              <w:bottom w:val="single" w:sz="8" w:color="auto"/>
            </w:tcBorders>
            <w:shd w:val="clear" w:color="auto" w:fill="CCEEFF"/>
          </w:tcPr>
          <w:p>
            <w:pPr>
              <w:spacing w:after="0"/>
              <w:rPr>
                <w:sz w:val="7"/>
                <w:szCs w:val="7"/>
                <w:color w:val="auto"/>
              </w:rPr>
            </w:pPr>
          </w:p>
        </w:tc>
        <w:tc>
          <w:tcPr>
            <w:tcW w:w="800" w:type="dxa"/>
            <w:vAlign w:val="bottom"/>
            <w:tcBorders>
              <w:bottom w:val="single" w:sz="8" w:color="auto"/>
            </w:tcBorders>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r>
      <w:tr>
        <w:trPr>
          <w:trHeight w:val="232"/>
        </w:trPr>
        <w:tc>
          <w:tcPr>
            <w:tcW w:w="4940" w:type="dxa"/>
            <w:vAlign w:val="bottom"/>
            <w:gridSpan w:val="3"/>
          </w:tcPr>
          <w:p>
            <w:pPr>
              <w:ind w:left="800"/>
              <w:spacing w:after="0"/>
              <w:rPr>
                <w:sz w:val="20"/>
                <w:szCs w:val="20"/>
                <w:color w:val="auto"/>
              </w:rPr>
            </w:pPr>
            <w:r>
              <w:rPr>
                <w:rFonts w:ascii="Arial" w:cs="Arial" w:eastAsia="Arial" w:hAnsi="Arial"/>
                <w:sz w:val="10"/>
                <w:szCs w:val="10"/>
                <w:b w:val="1"/>
                <w:bCs w:val="1"/>
                <w:color w:val="auto"/>
              </w:rPr>
              <w:t>Total cost of services and products (excl. depreciation and amortization)</w:t>
            </w:r>
          </w:p>
        </w:tc>
        <w:tc>
          <w:tcPr>
            <w:tcW w:w="380" w:type="dxa"/>
            <w:vAlign w:val="bottom"/>
          </w:tcPr>
          <w:p>
            <w:pPr>
              <w:jc w:val="right"/>
              <w:ind w:right="72"/>
              <w:spacing w:after="0"/>
              <w:rPr>
                <w:sz w:val="20"/>
                <w:szCs w:val="20"/>
                <w:color w:val="auto"/>
              </w:rPr>
            </w:pPr>
            <w:r>
              <w:rPr>
                <w:rFonts w:ascii="Arial" w:cs="Arial" w:eastAsia="Arial" w:hAnsi="Arial"/>
                <w:sz w:val="10"/>
                <w:szCs w:val="10"/>
                <w:b w:val="1"/>
                <w:bCs w:val="1"/>
                <w:color w:val="auto"/>
              </w:rPr>
              <w:t>$</w:t>
            </w:r>
          </w:p>
        </w:tc>
        <w:tc>
          <w:tcPr>
            <w:tcW w:w="980" w:type="dxa"/>
            <w:vAlign w:val="bottom"/>
            <w:gridSpan w:val="2"/>
          </w:tcPr>
          <w:p>
            <w:pPr>
              <w:jc w:val="right"/>
              <w:ind w:right="180"/>
              <w:spacing w:after="0"/>
              <w:rPr>
                <w:sz w:val="20"/>
                <w:szCs w:val="20"/>
                <w:color w:val="auto"/>
              </w:rPr>
            </w:pPr>
            <w:r>
              <w:rPr>
                <w:rFonts w:ascii="Arial" w:cs="Arial" w:eastAsia="Arial" w:hAnsi="Arial"/>
                <w:sz w:val="10"/>
                <w:szCs w:val="10"/>
                <w:b w:val="1"/>
                <w:bCs w:val="1"/>
                <w:color w:val="auto"/>
              </w:rPr>
              <w:t>(9,770)</w:t>
            </w:r>
          </w:p>
        </w:tc>
        <w:tc>
          <w:tcPr>
            <w:tcW w:w="780" w:type="dxa"/>
            <w:vAlign w:val="bottom"/>
          </w:tcPr>
          <w:p>
            <w:pPr>
              <w:jc w:val="right"/>
              <w:ind w:right="152"/>
              <w:spacing w:after="0"/>
              <w:rPr>
                <w:sz w:val="20"/>
                <w:szCs w:val="20"/>
                <w:color w:val="auto"/>
              </w:rPr>
            </w:pPr>
            <w:r>
              <w:rPr>
                <w:rFonts w:ascii="Arial" w:cs="Arial" w:eastAsia="Arial" w:hAnsi="Arial"/>
                <w:sz w:val="10"/>
                <w:szCs w:val="10"/>
                <w:i w:val="1"/>
                <w:iCs w:val="1"/>
                <w:color w:val="auto"/>
              </w:rPr>
              <w:t>(40)%</w:t>
            </w:r>
          </w:p>
        </w:tc>
        <w:tc>
          <w:tcPr>
            <w:tcW w:w="180" w:type="dxa"/>
            <w:vAlign w:val="bottom"/>
          </w:tcPr>
          <w:p>
            <w:pPr>
              <w:spacing w:after="0"/>
              <w:rPr>
                <w:sz w:val="20"/>
                <w:szCs w:val="20"/>
                <w:color w:val="auto"/>
              </w:rPr>
            </w:pPr>
          </w:p>
        </w:tc>
        <w:tc>
          <w:tcPr>
            <w:tcW w:w="360" w:type="dxa"/>
            <w:vAlign w:val="bottom"/>
          </w:tcPr>
          <w:p>
            <w:pPr>
              <w:jc w:val="right"/>
              <w:ind w:right="72"/>
              <w:spacing w:after="0"/>
              <w:rPr>
                <w:sz w:val="20"/>
                <w:szCs w:val="20"/>
                <w:color w:val="auto"/>
              </w:rPr>
            </w:pPr>
            <w:r>
              <w:rPr>
                <w:rFonts w:ascii="Arial" w:cs="Arial" w:eastAsia="Arial" w:hAnsi="Arial"/>
                <w:sz w:val="10"/>
                <w:szCs w:val="10"/>
                <w:b w:val="1"/>
                <w:bCs w:val="1"/>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0"/>
                <w:szCs w:val="10"/>
                <w:b w:val="1"/>
                <w:bCs w:val="1"/>
                <w:color w:val="auto"/>
              </w:rPr>
              <w:t>(10,830)</w:t>
            </w:r>
          </w:p>
        </w:tc>
        <w:tc>
          <w:tcPr>
            <w:tcW w:w="780" w:type="dxa"/>
            <w:vAlign w:val="bottom"/>
          </w:tcPr>
          <w:p>
            <w:pPr>
              <w:jc w:val="right"/>
              <w:ind w:right="152"/>
              <w:spacing w:after="0"/>
              <w:rPr>
                <w:sz w:val="20"/>
                <w:szCs w:val="20"/>
                <w:color w:val="auto"/>
              </w:rPr>
            </w:pPr>
            <w:r>
              <w:rPr>
                <w:rFonts w:ascii="Arial" w:cs="Arial" w:eastAsia="Arial" w:hAnsi="Arial"/>
                <w:sz w:val="10"/>
                <w:szCs w:val="10"/>
                <w:i w:val="1"/>
                <w:iCs w:val="1"/>
                <w:color w:val="auto"/>
              </w:rPr>
              <w:t>(41)%</w:t>
            </w: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0"/>
                <w:szCs w:val="10"/>
                <w:color w:val="auto"/>
              </w:rPr>
              <w:t>10</w:t>
            </w:r>
          </w:p>
        </w:tc>
        <w:tc>
          <w:tcPr>
            <w:tcW w:w="380" w:type="dxa"/>
            <w:vAlign w:val="bottom"/>
          </w:tcPr>
          <w:p>
            <w:pPr>
              <w:jc w:val="right"/>
              <w:ind w:right="232"/>
              <w:spacing w:after="0"/>
              <w:rPr>
                <w:sz w:val="20"/>
                <w:szCs w:val="20"/>
                <w:color w:val="auto"/>
              </w:rPr>
            </w:pPr>
            <w:r>
              <w:rPr>
                <w:rFonts w:ascii="Arial" w:cs="Arial" w:eastAsia="Arial" w:hAnsi="Arial"/>
                <w:sz w:val="10"/>
                <w:szCs w:val="10"/>
                <w:color w:val="auto"/>
                <w:w w:val="89"/>
              </w:rPr>
              <w:t>%</w:t>
            </w:r>
          </w:p>
        </w:tc>
      </w:tr>
      <w:tr>
        <w:trPr>
          <w:trHeight w:val="322"/>
        </w:trPr>
        <w:tc>
          <w:tcPr>
            <w:tcW w:w="4940" w:type="dxa"/>
            <w:vAlign w:val="bottom"/>
            <w:tcBorders>
              <w:top w:val="single" w:sz="8" w:color="CCEEFF"/>
            </w:tcBorders>
            <w:gridSpan w:val="3"/>
            <w:shd w:val="clear" w:color="auto" w:fill="CCEEFF"/>
          </w:tcPr>
          <w:p>
            <w:pPr>
              <w:ind w:left="400"/>
              <w:spacing w:after="0"/>
              <w:rPr>
                <w:sz w:val="20"/>
                <w:szCs w:val="20"/>
                <w:color w:val="auto"/>
              </w:rPr>
            </w:pPr>
            <w:r>
              <w:rPr>
                <w:rFonts w:ascii="Arial" w:cs="Arial" w:eastAsia="Arial" w:hAnsi="Arial"/>
                <w:sz w:val="10"/>
                <w:szCs w:val="10"/>
                <w:b w:val="1"/>
                <w:bCs w:val="1"/>
                <w:color w:val="auto"/>
              </w:rPr>
              <w:t>Depreciation, amortization, and general and administrative expense</w:t>
            </w:r>
          </w:p>
        </w:tc>
        <w:tc>
          <w:tcPr>
            <w:tcW w:w="380" w:type="dxa"/>
            <w:vAlign w:val="bottom"/>
            <w:tcBorders>
              <w:top w:val="single" w:sz="8" w:color="auto"/>
            </w:tcBorders>
            <w:shd w:val="clear" w:color="auto" w:fill="CCEEFF"/>
          </w:tcPr>
          <w:p>
            <w:pPr>
              <w:spacing w:after="0"/>
              <w:rPr>
                <w:sz w:val="24"/>
                <w:szCs w:val="24"/>
                <w:color w:val="auto"/>
              </w:rPr>
            </w:pPr>
          </w:p>
        </w:tc>
        <w:tc>
          <w:tcPr>
            <w:tcW w:w="800" w:type="dxa"/>
            <w:vAlign w:val="bottom"/>
            <w:tcBorders>
              <w:top w:val="single" w:sz="8" w:color="auto"/>
            </w:tcBorders>
            <w:shd w:val="clear" w:color="auto" w:fill="CCEEFF"/>
          </w:tcPr>
          <w:p>
            <w:pPr>
              <w:spacing w:after="0"/>
              <w:rPr>
                <w:sz w:val="24"/>
                <w:szCs w:val="24"/>
                <w:color w:val="auto"/>
              </w:rPr>
            </w:pPr>
          </w:p>
        </w:tc>
        <w:tc>
          <w:tcPr>
            <w:tcW w:w="180" w:type="dxa"/>
            <w:vAlign w:val="bottom"/>
            <w:tcBorders>
              <w:top w:val="single" w:sz="8" w:color="CCEEFF"/>
            </w:tcBorders>
            <w:shd w:val="clear" w:color="auto" w:fill="CCEEFF"/>
          </w:tcPr>
          <w:p>
            <w:pPr>
              <w:spacing w:after="0"/>
              <w:rPr>
                <w:sz w:val="24"/>
                <w:szCs w:val="24"/>
                <w:color w:val="auto"/>
              </w:rPr>
            </w:pPr>
          </w:p>
        </w:tc>
        <w:tc>
          <w:tcPr>
            <w:tcW w:w="780" w:type="dxa"/>
            <w:vAlign w:val="bottom"/>
            <w:tcBorders>
              <w:top w:val="single" w:sz="8" w:color="CCEEFF"/>
            </w:tcBorders>
            <w:shd w:val="clear" w:color="auto" w:fill="CCEEFF"/>
          </w:tcPr>
          <w:p>
            <w:pPr>
              <w:spacing w:after="0"/>
              <w:rPr>
                <w:sz w:val="24"/>
                <w:szCs w:val="24"/>
                <w:color w:val="auto"/>
              </w:rPr>
            </w:pPr>
          </w:p>
        </w:tc>
        <w:tc>
          <w:tcPr>
            <w:tcW w:w="180" w:type="dxa"/>
            <w:vAlign w:val="bottom"/>
            <w:tcBorders>
              <w:top w:val="single" w:sz="8" w:color="CCEEFF"/>
            </w:tcBorders>
            <w:shd w:val="clear" w:color="auto" w:fill="CCEEFF"/>
          </w:tcPr>
          <w:p>
            <w:pPr>
              <w:spacing w:after="0"/>
              <w:rPr>
                <w:sz w:val="24"/>
                <w:szCs w:val="24"/>
                <w:color w:val="auto"/>
              </w:rPr>
            </w:pPr>
          </w:p>
        </w:tc>
        <w:tc>
          <w:tcPr>
            <w:tcW w:w="360" w:type="dxa"/>
            <w:vAlign w:val="bottom"/>
            <w:tcBorders>
              <w:top w:val="single" w:sz="8" w:color="auto"/>
            </w:tcBorders>
            <w:shd w:val="clear" w:color="auto" w:fill="CCEEFF"/>
          </w:tcPr>
          <w:p>
            <w:pPr>
              <w:spacing w:after="0"/>
              <w:rPr>
                <w:sz w:val="24"/>
                <w:szCs w:val="24"/>
                <w:color w:val="auto"/>
              </w:rPr>
            </w:pPr>
          </w:p>
        </w:tc>
        <w:tc>
          <w:tcPr>
            <w:tcW w:w="800" w:type="dxa"/>
            <w:vAlign w:val="bottom"/>
            <w:tcBorders>
              <w:top w:val="single" w:sz="8" w:color="auto"/>
            </w:tcBorders>
            <w:shd w:val="clear" w:color="auto" w:fill="CCEEFF"/>
          </w:tcPr>
          <w:p>
            <w:pPr>
              <w:spacing w:after="0"/>
              <w:rPr>
                <w:sz w:val="24"/>
                <w:szCs w:val="24"/>
                <w:color w:val="auto"/>
              </w:rPr>
            </w:pPr>
          </w:p>
        </w:tc>
        <w:tc>
          <w:tcPr>
            <w:tcW w:w="160" w:type="dxa"/>
            <w:vAlign w:val="bottom"/>
            <w:tcBorders>
              <w:top w:val="single" w:sz="8" w:color="CCEEFF"/>
            </w:tcBorders>
            <w:shd w:val="clear" w:color="auto" w:fill="CCEEFF"/>
          </w:tcPr>
          <w:p>
            <w:pPr>
              <w:spacing w:after="0"/>
              <w:rPr>
                <w:sz w:val="24"/>
                <w:szCs w:val="24"/>
                <w:color w:val="auto"/>
              </w:rPr>
            </w:pPr>
          </w:p>
        </w:tc>
        <w:tc>
          <w:tcPr>
            <w:tcW w:w="780" w:type="dxa"/>
            <w:vAlign w:val="bottom"/>
            <w:tcBorders>
              <w:top w:val="single" w:sz="8" w:color="CCEEFF"/>
            </w:tcBorders>
            <w:shd w:val="clear" w:color="auto" w:fill="CCEEFF"/>
          </w:tcPr>
          <w:p>
            <w:pPr>
              <w:spacing w:after="0"/>
              <w:rPr>
                <w:sz w:val="24"/>
                <w:szCs w:val="24"/>
                <w:color w:val="auto"/>
              </w:rPr>
            </w:pPr>
          </w:p>
        </w:tc>
        <w:tc>
          <w:tcPr>
            <w:tcW w:w="180" w:type="dxa"/>
            <w:vAlign w:val="bottom"/>
            <w:tcBorders>
              <w:top w:val="single" w:sz="8" w:color="CCEEFF"/>
            </w:tcBorders>
            <w:shd w:val="clear" w:color="auto" w:fill="CCEEFF"/>
          </w:tcPr>
          <w:p>
            <w:pPr>
              <w:spacing w:after="0"/>
              <w:rPr>
                <w:sz w:val="24"/>
                <w:szCs w:val="24"/>
                <w:color w:val="auto"/>
              </w:rPr>
            </w:pPr>
          </w:p>
        </w:tc>
        <w:tc>
          <w:tcPr>
            <w:tcW w:w="700" w:type="dxa"/>
            <w:vAlign w:val="bottom"/>
            <w:tcBorders>
              <w:top w:val="single" w:sz="8" w:color="CCEEFF"/>
            </w:tcBorders>
            <w:shd w:val="clear" w:color="auto" w:fill="CCEEFF"/>
          </w:tcPr>
          <w:p>
            <w:pPr>
              <w:spacing w:after="0"/>
              <w:rPr>
                <w:sz w:val="24"/>
                <w:szCs w:val="24"/>
                <w:color w:val="auto"/>
              </w:rPr>
            </w:pPr>
          </w:p>
        </w:tc>
        <w:tc>
          <w:tcPr>
            <w:tcW w:w="380" w:type="dxa"/>
            <w:vAlign w:val="bottom"/>
            <w:tcBorders>
              <w:top w:val="single" w:sz="8" w:color="CCEEFF"/>
            </w:tcBorders>
            <w:shd w:val="clear" w:color="auto" w:fill="CCEEFF"/>
          </w:tcPr>
          <w:p>
            <w:pPr>
              <w:spacing w:after="0"/>
              <w:rPr>
                <w:sz w:val="24"/>
                <w:szCs w:val="24"/>
                <w:color w:val="auto"/>
              </w:rPr>
            </w:pPr>
          </w:p>
        </w:tc>
      </w:tr>
      <w:tr>
        <w:trPr>
          <w:trHeight w:val="171"/>
        </w:trPr>
        <w:tc>
          <w:tcPr>
            <w:tcW w:w="1860" w:type="dxa"/>
            <w:vAlign w:val="bottom"/>
          </w:tcPr>
          <w:p>
            <w:pPr>
              <w:ind w:left="800"/>
              <w:spacing w:after="0"/>
              <w:rPr>
                <w:sz w:val="20"/>
                <w:szCs w:val="20"/>
                <w:color w:val="auto"/>
              </w:rPr>
            </w:pPr>
            <w:r>
              <w:rPr>
                <w:rFonts w:ascii="Arial" w:cs="Arial" w:eastAsia="Arial" w:hAnsi="Arial"/>
                <w:sz w:val="10"/>
                <w:szCs w:val="10"/>
                <w:b w:val="1"/>
                <w:bCs w:val="1"/>
                <w:color w:val="auto"/>
              </w:rPr>
              <w:t>United States</w:t>
            </w:r>
          </w:p>
        </w:tc>
        <w:tc>
          <w:tcPr>
            <w:tcW w:w="3080" w:type="dxa"/>
            <w:vAlign w:val="bottom"/>
            <w:gridSpan w:val="2"/>
          </w:tcPr>
          <w:p>
            <w:pPr>
              <w:ind w:left="120"/>
              <w:spacing w:after="0"/>
              <w:rPr>
                <w:sz w:val="20"/>
                <w:szCs w:val="20"/>
                <w:color w:val="auto"/>
              </w:rPr>
            </w:pPr>
            <w:r>
              <w:rPr>
                <w:rFonts w:ascii="Arial" w:cs="Arial" w:eastAsia="Arial" w:hAnsi="Arial"/>
                <w:sz w:val="10"/>
                <w:szCs w:val="10"/>
                <w:color w:val="auto"/>
              </w:rPr>
              <w:t>Depreciation and amortization</w:t>
            </w:r>
          </w:p>
        </w:tc>
        <w:tc>
          <w:tcPr>
            <w:tcW w:w="380" w:type="dxa"/>
            <w:vAlign w:val="bottom"/>
          </w:tcPr>
          <w:p>
            <w:pPr>
              <w:jc w:val="right"/>
              <w:ind w:right="72"/>
              <w:spacing w:after="0"/>
              <w:rPr>
                <w:sz w:val="20"/>
                <w:szCs w:val="20"/>
                <w:color w:val="auto"/>
              </w:rPr>
            </w:pPr>
            <w:r>
              <w:rPr>
                <w:rFonts w:ascii="Arial" w:cs="Arial" w:eastAsia="Arial" w:hAnsi="Arial"/>
                <w:sz w:val="10"/>
                <w:szCs w:val="10"/>
                <w:color w:val="auto"/>
              </w:rPr>
              <w:t>$</w:t>
            </w:r>
          </w:p>
        </w:tc>
        <w:tc>
          <w:tcPr>
            <w:tcW w:w="980" w:type="dxa"/>
            <w:vAlign w:val="bottom"/>
            <w:gridSpan w:val="2"/>
          </w:tcPr>
          <w:p>
            <w:pPr>
              <w:jc w:val="right"/>
              <w:ind w:right="180"/>
              <w:spacing w:after="0"/>
              <w:rPr>
                <w:sz w:val="20"/>
                <w:szCs w:val="20"/>
                <w:color w:val="auto"/>
              </w:rPr>
            </w:pPr>
            <w:r>
              <w:rPr>
                <w:rFonts w:ascii="Arial" w:cs="Arial" w:eastAsia="Arial" w:hAnsi="Arial"/>
                <w:sz w:val="10"/>
                <w:szCs w:val="10"/>
                <w:color w:val="auto"/>
              </w:rPr>
              <w:t>(327)</w:t>
            </w:r>
          </w:p>
        </w:tc>
        <w:tc>
          <w:tcPr>
            <w:tcW w:w="780" w:type="dxa"/>
            <w:vAlign w:val="bottom"/>
          </w:tcPr>
          <w:p>
            <w:pPr>
              <w:jc w:val="right"/>
              <w:ind w:right="152"/>
              <w:spacing w:after="0"/>
              <w:rPr>
                <w:sz w:val="20"/>
                <w:szCs w:val="20"/>
                <w:color w:val="auto"/>
              </w:rPr>
            </w:pPr>
            <w:r>
              <w:rPr>
                <w:rFonts w:ascii="Arial" w:cs="Arial" w:eastAsia="Arial" w:hAnsi="Arial"/>
                <w:sz w:val="10"/>
                <w:szCs w:val="10"/>
                <w:i w:val="1"/>
                <w:iCs w:val="1"/>
                <w:color w:val="auto"/>
              </w:rPr>
              <w:t>(6)%</w:t>
            </w:r>
          </w:p>
        </w:tc>
        <w:tc>
          <w:tcPr>
            <w:tcW w:w="180" w:type="dxa"/>
            <w:vAlign w:val="bottom"/>
          </w:tcPr>
          <w:p>
            <w:pPr>
              <w:spacing w:after="0"/>
              <w:rPr>
                <w:sz w:val="14"/>
                <w:szCs w:val="14"/>
                <w:color w:val="auto"/>
              </w:rPr>
            </w:pPr>
          </w:p>
        </w:tc>
        <w:tc>
          <w:tcPr>
            <w:tcW w:w="360" w:type="dxa"/>
            <w:vAlign w:val="bottom"/>
          </w:tcPr>
          <w:p>
            <w:pPr>
              <w:jc w:val="right"/>
              <w:ind w:right="72"/>
              <w:spacing w:after="0"/>
              <w:rPr>
                <w:sz w:val="20"/>
                <w:szCs w:val="20"/>
                <w:color w:val="auto"/>
              </w:rPr>
            </w:pPr>
            <w:r>
              <w:rPr>
                <w:rFonts w:ascii="Arial" w:cs="Arial" w:eastAsia="Arial" w:hAnsi="Arial"/>
                <w:sz w:val="10"/>
                <w:szCs w:val="10"/>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0"/>
                <w:szCs w:val="10"/>
                <w:color w:val="auto"/>
              </w:rPr>
              <w:t>(314)</w:t>
            </w:r>
          </w:p>
        </w:tc>
        <w:tc>
          <w:tcPr>
            <w:tcW w:w="780" w:type="dxa"/>
            <w:vAlign w:val="bottom"/>
          </w:tcPr>
          <w:p>
            <w:pPr>
              <w:jc w:val="right"/>
              <w:ind w:right="152"/>
              <w:spacing w:after="0"/>
              <w:rPr>
                <w:sz w:val="20"/>
                <w:szCs w:val="20"/>
                <w:color w:val="auto"/>
              </w:rPr>
            </w:pPr>
            <w:r>
              <w:rPr>
                <w:rFonts w:ascii="Arial" w:cs="Arial" w:eastAsia="Arial" w:hAnsi="Arial"/>
                <w:sz w:val="10"/>
                <w:szCs w:val="10"/>
                <w:i w:val="1"/>
                <w:iCs w:val="1"/>
                <w:color w:val="auto"/>
              </w:rPr>
              <w:t>(6)%</w:t>
            </w:r>
          </w:p>
        </w:tc>
        <w:tc>
          <w:tcPr>
            <w:tcW w:w="180" w:type="dxa"/>
            <w:vAlign w:val="bottom"/>
          </w:tcPr>
          <w:p>
            <w:pPr>
              <w:spacing w:after="0"/>
              <w:rPr>
                <w:sz w:val="14"/>
                <w:szCs w:val="14"/>
                <w:color w:val="auto"/>
              </w:rPr>
            </w:pPr>
          </w:p>
        </w:tc>
        <w:tc>
          <w:tcPr>
            <w:tcW w:w="1080" w:type="dxa"/>
            <w:vAlign w:val="bottom"/>
            <w:gridSpan w:val="2"/>
          </w:tcPr>
          <w:p>
            <w:pPr>
              <w:jc w:val="right"/>
              <w:ind w:right="232"/>
              <w:spacing w:after="0"/>
              <w:rPr>
                <w:sz w:val="20"/>
                <w:szCs w:val="20"/>
                <w:color w:val="auto"/>
              </w:rPr>
            </w:pPr>
            <w:r>
              <w:rPr>
                <w:rFonts w:ascii="Arial" w:cs="Arial" w:eastAsia="Arial" w:hAnsi="Arial"/>
                <w:sz w:val="10"/>
                <w:szCs w:val="10"/>
                <w:color w:val="auto"/>
              </w:rPr>
              <w:t>(4) %</w:t>
            </w:r>
          </w:p>
        </w:tc>
      </w:tr>
      <w:tr>
        <w:trPr>
          <w:trHeight w:val="171"/>
        </w:trPr>
        <w:tc>
          <w:tcPr>
            <w:tcW w:w="1860" w:type="dxa"/>
            <w:vAlign w:val="bottom"/>
            <w:shd w:val="clear" w:color="auto" w:fill="CCEEFF"/>
          </w:tcPr>
          <w:p>
            <w:pPr>
              <w:spacing w:after="0"/>
              <w:rPr>
                <w:sz w:val="14"/>
                <w:szCs w:val="14"/>
                <w:color w:val="auto"/>
              </w:rPr>
            </w:pPr>
          </w:p>
        </w:tc>
        <w:tc>
          <w:tcPr>
            <w:tcW w:w="3080" w:type="dxa"/>
            <w:vAlign w:val="bottom"/>
            <w:gridSpan w:val="2"/>
            <w:shd w:val="clear" w:color="auto" w:fill="CCEEFF"/>
          </w:tcPr>
          <w:p>
            <w:pPr>
              <w:ind w:left="120"/>
              <w:spacing w:after="0"/>
              <w:rPr>
                <w:sz w:val="20"/>
                <w:szCs w:val="20"/>
                <w:color w:val="auto"/>
              </w:rPr>
            </w:pPr>
            <w:r>
              <w:rPr>
                <w:rFonts w:ascii="Arial" w:cs="Arial" w:eastAsia="Arial" w:hAnsi="Arial"/>
                <w:sz w:val="10"/>
                <w:szCs w:val="10"/>
                <w:color w:val="auto"/>
              </w:rPr>
              <w:t>General and administrative expense</w:t>
            </w:r>
          </w:p>
        </w:tc>
        <w:tc>
          <w:tcPr>
            <w:tcW w:w="3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(14)</w:t>
            </w:r>
          </w:p>
        </w:tc>
        <w:tc>
          <w:tcPr>
            <w:tcW w:w="780" w:type="dxa"/>
            <w:vAlign w:val="bottom"/>
            <w:shd w:val="clear" w:color="auto" w:fill="CCEEFF"/>
          </w:tcPr>
          <w:p>
            <w:pPr>
              <w:jc w:val="right"/>
              <w:ind w:right="152"/>
              <w:spacing w:after="0"/>
              <w:rPr>
                <w:sz w:val="20"/>
                <w:szCs w:val="20"/>
                <w:color w:val="auto"/>
              </w:rPr>
            </w:pPr>
            <w:r>
              <w:rPr>
                <w:rFonts w:ascii="Arial" w:cs="Arial" w:eastAsia="Arial" w:hAnsi="Arial"/>
                <w:sz w:val="10"/>
                <w:szCs w:val="10"/>
                <w:i w:val="1"/>
                <w:iCs w:val="1"/>
                <w:color w:val="auto"/>
              </w:rPr>
              <w:t>(0)%</w:t>
            </w:r>
          </w:p>
        </w:tc>
        <w:tc>
          <w:tcPr>
            <w:tcW w:w="1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(67)</w:t>
            </w:r>
          </w:p>
        </w:tc>
        <w:tc>
          <w:tcPr>
            <w:tcW w:w="780" w:type="dxa"/>
            <w:vAlign w:val="bottom"/>
            <w:shd w:val="clear" w:color="auto" w:fill="CCEEFF"/>
          </w:tcPr>
          <w:p>
            <w:pPr>
              <w:jc w:val="right"/>
              <w:ind w:right="152"/>
              <w:spacing w:after="0"/>
              <w:rPr>
                <w:sz w:val="20"/>
                <w:szCs w:val="20"/>
                <w:color w:val="auto"/>
              </w:rPr>
            </w:pPr>
            <w:r>
              <w:rPr>
                <w:rFonts w:ascii="Arial" w:cs="Arial" w:eastAsia="Arial" w:hAnsi="Arial"/>
                <w:sz w:val="10"/>
                <w:szCs w:val="10"/>
                <w:i w:val="1"/>
                <w:iCs w:val="1"/>
                <w:color w:val="auto"/>
              </w:rPr>
              <w:t>(1)%</w:t>
            </w: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79</w:t>
            </w:r>
          </w:p>
        </w:tc>
        <w:tc>
          <w:tcPr>
            <w:tcW w:w="380" w:type="dxa"/>
            <w:vAlign w:val="bottom"/>
            <w:shd w:val="clear" w:color="auto" w:fill="CCEEFF"/>
          </w:tcPr>
          <w:p>
            <w:pPr>
              <w:jc w:val="right"/>
              <w:ind w:right="232"/>
              <w:spacing w:after="0"/>
              <w:rPr>
                <w:sz w:val="20"/>
                <w:szCs w:val="20"/>
                <w:color w:val="auto"/>
              </w:rPr>
            </w:pPr>
            <w:r>
              <w:rPr>
                <w:rFonts w:ascii="Arial" w:cs="Arial" w:eastAsia="Arial" w:hAnsi="Arial"/>
                <w:sz w:val="10"/>
                <w:szCs w:val="10"/>
                <w:color w:val="auto"/>
                <w:w w:val="89"/>
              </w:rPr>
              <w:t>%</w:t>
            </w:r>
          </w:p>
        </w:tc>
      </w:tr>
      <w:tr>
        <w:trPr>
          <w:trHeight w:val="113"/>
        </w:trPr>
        <w:tc>
          <w:tcPr>
            <w:tcW w:w="1860" w:type="dxa"/>
            <w:vAlign w:val="bottom"/>
          </w:tcPr>
          <w:p>
            <w:pPr>
              <w:spacing w:after="0"/>
              <w:rPr>
                <w:sz w:val="9"/>
                <w:szCs w:val="9"/>
                <w:color w:val="auto"/>
              </w:rPr>
            </w:pPr>
          </w:p>
        </w:tc>
        <w:tc>
          <w:tcPr>
            <w:tcW w:w="29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80" w:type="dxa"/>
            <w:vAlign w:val="bottom"/>
            <w:tcBorders>
              <w:top w:val="single" w:sz="8" w:color="auto"/>
            </w:tcBorders>
          </w:tcPr>
          <w:p>
            <w:pPr>
              <w:jc w:val="right"/>
              <w:ind w:right="72"/>
              <w:spacing w:after="0" w:line="113" w:lineRule="exact"/>
              <w:rPr>
                <w:sz w:val="20"/>
                <w:szCs w:val="20"/>
                <w:color w:val="auto"/>
              </w:rPr>
            </w:pPr>
            <w:r>
              <w:rPr>
                <w:rFonts w:ascii="Arial" w:cs="Arial" w:eastAsia="Arial" w:hAnsi="Arial"/>
                <w:sz w:val="10"/>
                <w:szCs w:val="10"/>
                <w:b w:val="1"/>
                <w:bCs w:val="1"/>
                <w:color w:val="auto"/>
              </w:rPr>
              <w:t>$</w:t>
            </w:r>
          </w:p>
        </w:tc>
        <w:tc>
          <w:tcPr>
            <w:tcW w:w="800" w:type="dxa"/>
            <w:vAlign w:val="bottom"/>
            <w:tcBorders>
              <w:top w:val="single" w:sz="8" w:color="auto"/>
            </w:tcBorders>
          </w:tcPr>
          <w:p>
            <w:pPr>
              <w:jc w:val="right"/>
              <w:spacing w:after="0" w:line="113" w:lineRule="exact"/>
              <w:rPr>
                <w:sz w:val="20"/>
                <w:szCs w:val="20"/>
                <w:color w:val="auto"/>
              </w:rPr>
            </w:pPr>
            <w:r>
              <w:rPr>
                <w:rFonts w:ascii="Arial" w:cs="Arial" w:eastAsia="Arial" w:hAnsi="Arial"/>
                <w:sz w:val="10"/>
                <w:szCs w:val="10"/>
                <w:b w:val="1"/>
                <w:bCs w:val="1"/>
                <w:color w:val="auto"/>
              </w:rPr>
              <w:t>(341)</w:t>
            </w:r>
          </w:p>
        </w:tc>
        <w:tc>
          <w:tcPr>
            <w:tcW w:w="180" w:type="dxa"/>
            <w:vAlign w:val="bottom"/>
          </w:tcPr>
          <w:p>
            <w:pPr>
              <w:spacing w:after="0"/>
              <w:rPr>
                <w:sz w:val="9"/>
                <w:szCs w:val="9"/>
                <w:color w:val="auto"/>
              </w:rPr>
            </w:pPr>
          </w:p>
        </w:tc>
        <w:tc>
          <w:tcPr>
            <w:tcW w:w="780" w:type="dxa"/>
            <w:vAlign w:val="bottom"/>
          </w:tcPr>
          <w:p>
            <w:pPr>
              <w:jc w:val="right"/>
              <w:ind w:right="152"/>
              <w:spacing w:after="0" w:line="102" w:lineRule="exact"/>
              <w:rPr>
                <w:sz w:val="20"/>
                <w:szCs w:val="20"/>
                <w:color w:val="auto"/>
              </w:rPr>
            </w:pPr>
            <w:r>
              <w:rPr>
                <w:rFonts w:ascii="Arial" w:cs="Arial" w:eastAsia="Arial" w:hAnsi="Arial"/>
                <w:sz w:val="10"/>
                <w:szCs w:val="10"/>
                <w:i w:val="1"/>
                <w:iCs w:val="1"/>
                <w:color w:val="auto"/>
              </w:rPr>
              <w:t>(7)%</w:t>
            </w:r>
          </w:p>
        </w:tc>
        <w:tc>
          <w:tcPr>
            <w:tcW w:w="180" w:type="dxa"/>
            <w:vAlign w:val="bottom"/>
          </w:tcPr>
          <w:p>
            <w:pPr>
              <w:spacing w:after="0"/>
              <w:rPr>
                <w:sz w:val="9"/>
                <w:szCs w:val="9"/>
                <w:color w:val="auto"/>
              </w:rPr>
            </w:pPr>
          </w:p>
        </w:tc>
        <w:tc>
          <w:tcPr>
            <w:tcW w:w="360" w:type="dxa"/>
            <w:vAlign w:val="bottom"/>
            <w:tcBorders>
              <w:top w:val="single" w:sz="8" w:color="auto"/>
            </w:tcBorders>
          </w:tcPr>
          <w:p>
            <w:pPr>
              <w:jc w:val="right"/>
              <w:ind w:right="72"/>
              <w:spacing w:after="0" w:line="113" w:lineRule="exact"/>
              <w:rPr>
                <w:sz w:val="20"/>
                <w:szCs w:val="20"/>
                <w:color w:val="auto"/>
              </w:rPr>
            </w:pPr>
            <w:r>
              <w:rPr>
                <w:rFonts w:ascii="Arial" w:cs="Arial" w:eastAsia="Arial" w:hAnsi="Arial"/>
                <w:sz w:val="10"/>
                <w:szCs w:val="10"/>
                <w:b w:val="1"/>
                <w:bCs w:val="1"/>
                <w:color w:val="auto"/>
              </w:rPr>
              <w:t>$</w:t>
            </w:r>
          </w:p>
        </w:tc>
        <w:tc>
          <w:tcPr>
            <w:tcW w:w="800" w:type="dxa"/>
            <w:vAlign w:val="bottom"/>
            <w:tcBorders>
              <w:top w:val="single" w:sz="8" w:color="auto"/>
            </w:tcBorders>
          </w:tcPr>
          <w:p>
            <w:pPr>
              <w:jc w:val="right"/>
              <w:spacing w:after="0" w:line="113" w:lineRule="exact"/>
              <w:rPr>
                <w:sz w:val="20"/>
                <w:szCs w:val="20"/>
                <w:color w:val="auto"/>
              </w:rPr>
            </w:pPr>
            <w:r>
              <w:rPr>
                <w:rFonts w:ascii="Arial" w:cs="Arial" w:eastAsia="Arial" w:hAnsi="Arial"/>
                <w:sz w:val="10"/>
                <w:szCs w:val="10"/>
                <w:b w:val="1"/>
                <w:bCs w:val="1"/>
                <w:color w:val="auto"/>
              </w:rPr>
              <w:t>(381)</w:t>
            </w:r>
          </w:p>
        </w:tc>
        <w:tc>
          <w:tcPr>
            <w:tcW w:w="160" w:type="dxa"/>
            <w:vAlign w:val="bottom"/>
          </w:tcPr>
          <w:p>
            <w:pPr>
              <w:spacing w:after="0"/>
              <w:rPr>
                <w:sz w:val="9"/>
                <w:szCs w:val="9"/>
                <w:color w:val="auto"/>
              </w:rPr>
            </w:pPr>
          </w:p>
        </w:tc>
        <w:tc>
          <w:tcPr>
            <w:tcW w:w="780" w:type="dxa"/>
            <w:vAlign w:val="bottom"/>
          </w:tcPr>
          <w:p>
            <w:pPr>
              <w:jc w:val="right"/>
              <w:ind w:right="152"/>
              <w:spacing w:after="0" w:line="102" w:lineRule="exact"/>
              <w:rPr>
                <w:sz w:val="20"/>
                <w:szCs w:val="20"/>
                <w:color w:val="auto"/>
              </w:rPr>
            </w:pPr>
            <w:r>
              <w:rPr>
                <w:rFonts w:ascii="Arial" w:cs="Arial" w:eastAsia="Arial" w:hAnsi="Arial"/>
                <w:sz w:val="10"/>
                <w:szCs w:val="10"/>
                <w:i w:val="1"/>
                <w:iCs w:val="1"/>
                <w:color w:val="auto"/>
              </w:rPr>
              <w:t>(7)%</w:t>
            </w:r>
          </w:p>
        </w:tc>
        <w:tc>
          <w:tcPr>
            <w:tcW w:w="180" w:type="dxa"/>
            <w:vAlign w:val="bottom"/>
          </w:tcPr>
          <w:p>
            <w:pPr>
              <w:spacing w:after="0"/>
              <w:rPr>
                <w:sz w:val="9"/>
                <w:szCs w:val="9"/>
                <w:color w:val="auto"/>
              </w:rPr>
            </w:pPr>
          </w:p>
        </w:tc>
        <w:tc>
          <w:tcPr>
            <w:tcW w:w="700" w:type="dxa"/>
            <w:vAlign w:val="bottom"/>
          </w:tcPr>
          <w:p>
            <w:pPr>
              <w:jc w:val="right"/>
              <w:spacing w:after="0" w:line="102" w:lineRule="exact"/>
              <w:rPr>
                <w:sz w:val="20"/>
                <w:szCs w:val="20"/>
                <w:color w:val="auto"/>
              </w:rPr>
            </w:pPr>
            <w:r>
              <w:rPr>
                <w:rFonts w:ascii="Arial" w:cs="Arial" w:eastAsia="Arial" w:hAnsi="Arial"/>
                <w:sz w:val="10"/>
                <w:szCs w:val="10"/>
                <w:color w:val="auto"/>
              </w:rPr>
              <w:t>10</w:t>
            </w:r>
          </w:p>
        </w:tc>
        <w:tc>
          <w:tcPr>
            <w:tcW w:w="380" w:type="dxa"/>
            <w:vAlign w:val="bottom"/>
          </w:tcPr>
          <w:p>
            <w:pPr>
              <w:jc w:val="right"/>
              <w:ind w:right="232"/>
              <w:spacing w:after="0" w:line="102" w:lineRule="exact"/>
              <w:rPr>
                <w:sz w:val="20"/>
                <w:szCs w:val="20"/>
                <w:color w:val="auto"/>
              </w:rPr>
            </w:pPr>
            <w:r>
              <w:rPr>
                <w:rFonts w:ascii="Arial" w:cs="Arial" w:eastAsia="Arial" w:hAnsi="Arial"/>
                <w:sz w:val="10"/>
                <w:szCs w:val="10"/>
                <w:color w:val="auto"/>
                <w:w w:val="89"/>
              </w:rPr>
              <w:t>%</w:t>
            </w:r>
          </w:p>
        </w:tc>
      </w:tr>
      <w:tr>
        <w:trPr>
          <w:trHeight w:val="39"/>
        </w:trPr>
        <w:tc>
          <w:tcPr>
            <w:tcW w:w="1860" w:type="dxa"/>
            <w:vAlign w:val="bottom"/>
          </w:tcPr>
          <w:p>
            <w:pPr>
              <w:spacing w:after="0"/>
              <w:rPr>
                <w:sz w:val="3"/>
                <w:szCs w:val="3"/>
                <w:color w:val="auto"/>
              </w:rPr>
            </w:pPr>
          </w:p>
        </w:tc>
        <w:tc>
          <w:tcPr>
            <w:tcW w:w="2900" w:type="dxa"/>
            <w:vAlign w:val="bottom"/>
          </w:tcPr>
          <w:p>
            <w:pPr>
              <w:spacing w:after="0"/>
              <w:rPr>
                <w:sz w:val="3"/>
                <w:szCs w:val="3"/>
                <w:color w:val="auto"/>
              </w:rPr>
            </w:pPr>
          </w:p>
        </w:tc>
        <w:tc>
          <w:tcPr>
            <w:tcW w:w="18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8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80" w:type="dxa"/>
            <w:vAlign w:val="bottom"/>
            <w:gridSpan w:val="2"/>
          </w:tcPr>
          <w:p>
            <w:pPr>
              <w:spacing w:after="0"/>
              <w:rPr>
                <w:sz w:val="3"/>
                <w:szCs w:val="3"/>
                <w:color w:val="auto"/>
              </w:rPr>
            </w:pPr>
          </w:p>
        </w:tc>
      </w:tr>
      <w:tr>
        <w:trPr>
          <w:trHeight w:val="171"/>
        </w:trPr>
        <w:tc>
          <w:tcPr>
            <w:tcW w:w="1860" w:type="dxa"/>
            <w:vAlign w:val="bottom"/>
            <w:shd w:val="clear" w:color="auto" w:fill="CCEEFF"/>
          </w:tcPr>
          <w:p>
            <w:pPr>
              <w:ind w:left="800"/>
              <w:spacing w:after="0"/>
              <w:rPr>
                <w:sz w:val="20"/>
                <w:szCs w:val="20"/>
                <w:color w:val="auto"/>
              </w:rPr>
            </w:pPr>
            <w:r>
              <w:rPr>
                <w:rFonts w:ascii="Arial" w:cs="Arial" w:eastAsia="Arial" w:hAnsi="Arial"/>
                <w:sz w:val="10"/>
                <w:szCs w:val="10"/>
                <w:b w:val="1"/>
                <w:bCs w:val="1"/>
                <w:color w:val="auto"/>
              </w:rPr>
              <w:t>Australia</w:t>
            </w:r>
          </w:p>
        </w:tc>
        <w:tc>
          <w:tcPr>
            <w:tcW w:w="3080" w:type="dxa"/>
            <w:vAlign w:val="bottom"/>
            <w:gridSpan w:val="2"/>
            <w:shd w:val="clear" w:color="auto" w:fill="CCEEFF"/>
          </w:tcPr>
          <w:p>
            <w:pPr>
              <w:ind w:left="120"/>
              <w:spacing w:after="0"/>
              <w:rPr>
                <w:sz w:val="20"/>
                <w:szCs w:val="20"/>
                <w:color w:val="auto"/>
              </w:rPr>
            </w:pPr>
            <w:r>
              <w:rPr>
                <w:rFonts w:ascii="Arial" w:cs="Arial" w:eastAsia="Arial" w:hAnsi="Arial"/>
                <w:sz w:val="10"/>
                <w:szCs w:val="10"/>
                <w:color w:val="auto"/>
              </w:rPr>
              <w:t>Depreciation and amortization</w:t>
            </w:r>
          </w:p>
        </w:tc>
        <w:tc>
          <w:tcPr>
            <w:tcW w:w="3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(2,785)</w:t>
            </w:r>
          </w:p>
        </w:tc>
        <w:tc>
          <w:tcPr>
            <w:tcW w:w="780" w:type="dxa"/>
            <w:vAlign w:val="bottom"/>
            <w:shd w:val="clear" w:color="auto" w:fill="CCEEFF"/>
          </w:tcPr>
          <w:p>
            <w:pPr>
              <w:jc w:val="right"/>
              <w:ind w:right="152"/>
              <w:spacing w:after="0"/>
              <w:rPr>
                <w:sz w:val="20"/>
                <w:szCs w:val="20"/>
                <w:color w:val="auto"/>
              </w:rPr>
            </w:pPr>
            <w:r>
              <w:rPr>
                <w:rFonts w:ascii="Arial" w:cs="Arial" w:eastAsia="Arial" w:hAnsi="Arial"/>
                <w:sz w:val="10"/>
                <w:szCs w:val="10"/>
                <w:i w:val="1"/>
                <w:iCs w:val="1"/>
                <w:color w:val="auto"/>
              </w:rPr>
              <w:t>(20)%</w:t>
            </w:r>
          </w:p>
        </w:tc>
        <w:tc>
          <w:tcPr>
            <w:tcW w:w="1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(2,635)</w:t>
            </w:r>
          </w:p>
        </w:tc>
        <w:tc>
          <w:tcPr>
            <w:tcW w:w="780" w:type="dxa"/>
            <w:vAlign w:val="bottom"/>
            <w:shd w:val="clear" w:color="auto" w:fill="CCEEFF"/>
          </w:tcPr>
          <w:p>
            <w:pPr>
              <w:jc w:val="right"/>
              <w:ind w:right="152"/>
              <w:spacing w:after="0"/>
              <w:rPr>
                <w:sz w:val="20"/>
                <w:szCs w:val="20"/>
                <w:color w:val="auto"/>
              </w:rPr>
            </w:pPr>
            <w:r>
              <w:rPr>
                <w:rFonts w:ascii="Arial" w:cs="Arial" w:eastAsia="Arial" w:hAnsi="Arial"/>
                <w:sz w:val="10"/>
                <w:szCs w:val="10"/>
                <w:i w:val="1"/>
                <w:iCs w:val="1"/>
                <w:color w:val="auto"/>
              </w:rPr>
              <w:t>(18)%</w:t>
            </w:r>
          </w:p>
        </w:tc>
        <w:tc>
          <w:tcPr>
            <w:tcW w:w="18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232"/>
              <w:spacing w:after="0"/>
              <w:rPr>
                <w:sz w:val="20"/>
                <w:szCs w:val="20"/>
                <w:color w:val="auto"/>
              </w:rPr>
            </w:pPr>
            <w:r>
              <w:rPr>
                <w:rFonts w:ascii="Arial" w:cs="Arial" w:eastAsia="Arial" w:hAnsi="Arial"/>
                <w:sz w:val="10"/>
                <w:szCs w:val="10"/>
                <w:color w:val="auto"/>
              </w:rPr>
              <w:t>(6) %</w:t>
            </w:r>
          </w:p>
        </w:tc>
      </w:tr>
      <w:tr>
        <w:trPr>
          <w:trHeight w:val="171"/>
        </w:trPr>
        <w:tc>
          <w:tcPr>
            <w:tcW w:w="1860" w:type="dxa"/>
            <w:vAlign w:val="bottom"/>
          </w:tcPr>
          <w:p>
            <w:pPr>
              <w:spacing w:after="0"/>
              <w:rPr>
                <w:sz w:val="14"/>
                <w:szCs w:val="14"/>
                <w:color w:val="auto"/>
              </w:rPr>
            </w:pPr>
          </w:p>
        </w:tc>
        <w:tc>
          <w:tcPr>
            <w:tcW w:w="3080" w:type="dxa"/>
            <w:vAlign w:val="bottom"/>
            <w:gridSpan w:val="2"/>
          </w:tcPr>
          <w:p>
            <w:pPr>
              <w:ind w:left="120"/>
              <w:spacing w:after="0"/>
              <w:rPr>
                <w:sz w:val="20"/>
                <w:szCs w:val="20"/>
                <w:color w:val="auto"/>
              </w:rPr>
            </w:pPr>
            <w:r>
              <w:rPr>
                <w:rFonts w:ascii="Arial" w:cs="Arial" w:eastAsia="Arial" w:hAnsi="Arial"/>
                <w:sz w:val="10"/>
                <w:szCs w:val="10"/>
                <w:color w:val="auto"/>
              </w:rPr>
              <w:t>General and administrative expense</w:t>
            </w:r>
          </w:p>
        </w:tc>
        <w:tc>
          <w:tcPr>
            <w:tcW w:w="380" w:type="dxa"/>
            <w:vAlign w:val="bottom"/>
          </w:tcPr>
          <w:p>
            <w:pPr>
              <w:spacing w:after="0"/>
              <w:rPr>
                <w:sz w:val="14"/>
                <w:szCs w:val="14"/>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0"/>
                <w:szCs w:val="10"/>
                <w:color w:val="auto"/>
              </w:rPr>
              <w:t>(973)</w:t>
            </w:r>
          </w:p>
        </w:tc>
        <w:tc>
          <w:tcPr>
            <w:tcW w:w="780" w:type="dxa"/>
            <w:vAlign w:val="bottom"/>
          </w:tcPr>
          <w:p>
            <w:pPr>
              <w:jc w:val="right"/>
              <w:ind w:right="152"/>
              <w:spacing w:after="0"/>
              <w:rPr>
                <w:sz w:val="20"/>
                <w:szCs w:val="20"/>
                <w:color w:val="auto"/>
              </w:rPr>
            </w:pPr>
            <w:r>
              <w:rPr>
                <w:rFonts w:ascii="Arial" w:cs="Arial" w:eastAsia="Arial" w:hAnsi="Arial"/>
                <w:sz w:val="10"/>
                <w:szCs w:val="10"/>
                <w:i w:val="1"/>
                <w:iCs w:val="1"/>
                <w:color w:val="auto"/>
              </w:rPr>
              <w:t>(7)%</w:t>
            </w: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0"/>
                <w:szCs w:val="10"/>
                <w:color w:val="auto"/>
              </w:rPr>
              <w:t>(527)</w:t>
            </w:r>
          </w:p>
        </w:tc>
        <w:tc>
          <w:tcPr>
            <w:tcW w:w="780" w:type="dxa"/>
            <w:vAlign w:val="bottom"/>
          </w:tcPr>
          <w:p>
            <w:pPr>
              <w:jc w:val="right"/>
              <w:ind w:right="152"/>
              <w:spacing w:after="0"/>
              <w:rPr>
                <w:sz w:val="20"/>
                <w:szCs w:val="20"/>
                <w:color w:val="auto"/>
              </w:rPr>
            </w:pPr>
            <w:r>
              <w:rPr>
                <w:rFonts w:ascii="Arial" w:cs="Arial" w:eastAsia="Arial" w:hAnsi="Arial"/>
                <w:sz w:val="10"/>
                <w:szCs w:val="10"/>
                <w:i w:val="1"/>
                <w:iCs w:val="1"/>
                <w:color w:val="auto"/>
              </w:rPr>
              <w:t>(4)%</w:t>
            </w:r>
          </w:p>
        </w:tc>
        <w:tc>
          <w:tcPr>
            <w:tcW w:w="180" w:type="dxa"/>
            <w:vAlign w:val="bottom"/>
          </w:tcPr>
          <w:p>
            <w:pPr>
              <w:spacing w:after="0"/>
              <w:rPr>
                <w:sz w:val="14"/>
                <w:szCs w:val="14"/>
                <w:color w:val="auto"/>
              </w:rPr>
            </w:pPr>
          </w:p>
        </w:tc>
        <w:tc>
          <w:tcPr>
            <w:tcW w:w="1080" w:type="dxa"/>
            <w:vAlign w:val="bottom"/>
            <w:gridSpan w:val="2"/>
          </w:tcPr>
          <w:p>
            <w:pPr>
              <w:jc w:val="right"/>
              <w:ind w:right="232"/>
              <w:spacing w:after="0"/>
              <w:rPr>
                <w:sz w:val="20"/>
                <w:szCs w:val="20"/>
                <w:color w:val="auto"/>
              </w:rPr>
            </w:pPr>
            <w:r>
              <w:rPr>
                <w:rFonts w:ascii="Arial" w:cs="Arial" w:eastAsia="Arial" w:hAnsi="Arial"/>
                <w:sz w:val="10"/>
                <w:szCs w:val="10"/>
                <w:color w:val="auto"/>
              </w:rPr>
              <w:t>(85) %</w:t>
            </w:r>
          </w:p>
        </w:tc>
      </w:tr>
      <w:tr>
        <w:trPr>
          <w:trHeight w:val="131"/>
        </w:trPr>
        <w:tc>
          <w:tcPr>
            <w:tcW w:w="1860" w:type="dxa"/>
            <w:vAlign w:val="bottom"/>
            <w:tcBorders>
              <w:top w:val="single" w:sz="8" w:color="CCEEFF"/>
              <w:bottom w:val="single" w:sz="8" w:color="CCEEFF"/>
            </w:tcBorders>
            <w:shd w:val="clear" w:color="auto" w:fill="CCEEFF"/>
          </w:tcPr>
          <w:p>
            <w:pPr>
              <w:spacing w:after="0"/>
              <w:rPr>
                <w:sz w:val="11"/>
                <w:szCs w:val="11"/>
                <w:color w:val="auto"/>
              </w:rPr>
            </w:pPr>
          </w:p>
        </w:tc>
        <w:tc>
          <w:tcPr>
            <w:tcW w:w="2900" w:type="dxa"/>
            <w:vAlign w:val="bottom"/>
            <w:tcBorders>
              <w:top w:val="single" w:sz="8" w:color="CCEEFF"/>
              <w:bottom w:val="single" w:sz="8" w:color="CCEEFF"/>
            </w:tcBorders>
            <w:shd w:val="clear" w:color="auto" w:fill="CCEEFF"/>
          </w:tcPr>
          <w:p>
            <w:pPr>
              <w:spacing w:after="0"/>
              <w:rPr>
                <w:sz w:val="11"/>
                <w:szCs w:val="11"/>
                <w:color w:val="auto"/>
              </w:rPr>
            </w:pPr>
          </w:p>
        </w:tc>
        <w:tc>
          <w:tcPr>
            <w:tcW w:w="180" w:type="dxa"/>
            <w:vAlign w:val="bottom"/>
            <w:tcBorders>
              <w:top w:val="single" w:sz="8" w:color="CCEEFF"/>
              <w:bottom w:val="single" w:sz="8" w:color="CCEEFF"/>
            </w:tcBorders>
            <w:shd w:val="clear" w:color="auto" w:fill="CCEEFF"/>
          </w:tcPr>
          <w:p>
            <w:pPr>
              <w:spacing w:after="0"/>
              <w:rPr>
                <w:sz w:val="11"/>
                <w:szCs w:val="11"/>
                <w:color w:val="auto"/>
              </w:rPr>
            </w:pPr>
          </w:p>
        </w:tc>
        <w:tc>
          <w:tcPr>
            <w:tcW w:w="380" w:type="dxa"/>
            <w:vAlign w:val="bottom"/>
            <w:tcBorders>
              <w:top w:val="single" w:sz="8" w:color="auto"/>
              <w:bottom w:val="single" w:sz="8" w:color="CCEEFF"/>
            </w:tcBorders>
            <w:shd w:val="clear" w:color="auto" w:fill="CCEEFF"/>
          </w:tcPr>
          <w:p>
            <w:pPr>
              <w:jc w:val="right"/>
              <w:ind w:right="72"/>
              <w:spacing w:after="0" w:line="113" w:lineRule="exact"/>
              <w:rPr>
                <w:sz w:val="20"/>
                <w:szCs w:val="20"/>
                <w:color w:val="auto"/>
              </w:rPr>
            </w:pPr>
            <w:r>
              <w:rPr>
                <w:rFonts w:ascii="Arial" w:cs="Arial" w:eastAsia="Arial" w:hAnsi="Arial"/>
                <w:sz w:val="10"/>
                <w:szCs w:val="10"/>
                <w:b w:val="1"/>
                <w:bCs w:val="1"/>
                <w:color w:val="auto"/>
              </w:rPr>
              <w:t>$</w:t>
            </w:r>
          </w:p>
        </w:tc>
        <w:tc>
          <w:tcPr>
            <w:tcW w:w="800" w:type="dxa"/>
            <w:vAlign w:val="bottom"/>
            <w:tcBorders>
              <w:top w:val="single" w:sz="8" w:color="auto"/>
              <w:bottom w:val="single" w:sz="8" w:color="CCEEFF"/>
            </w:tcBorders>
            <w:shd w:val="clear" w:color="auto" w:fill="CCEEFF"/>
          </w:tcPr>
          <w:p>
            <w:pPr>
              <w:jc w:val="right"/>
              <w:spacing w:after="0" w:line="113" w:lineRule="exact"/>
              <w:rPr>
                <w:sz w:val="20"/>
                <w:szCs w:val="20"/>
                <w:color w:val="auto"/>
              </w:rPr>
            </w:pPr>
            <w:r>
              <w:rPr>
                <w:rFonts w:ascii="Arial" w:cs="Arial" w:eastAsia="Arial" w:hAnsi="Arial"/>
                <w:sz w:val="10"/>
                <w:szCs w:val="10"/>
                <w:b w:val="1"/>
                <w:bCs w:val="1"/>
                <w:color w:val="auto"/>
              </w:rPr>
              <w:t>(3,758)</w:t>
            </w:r>
          </w:p>
        </w:tc>
        <w:tc>
          <w:tcPr>
            <w:tcW w:w="180" w:type="dxa"/>
            <w:vAlign w:val="bottom"/>
            <w:tcBorders>
              <w:top w:val="single" w:sz="8" w:color="CCEEFF"/>
              <w:bottom w:val="single" w:sz="8" w:color="CCEEFF"/>
            </w:tcBorders>
            <w:shd w:val="clear" w:color="auto" w:fill="CCEEFF"/>
          </w:tcPr>
          <w:p>
            <w:pPr>
              <w:spacing w:after="0"/>
              <w:rPr>
                <w:sz w:val="11"/>
                <w:szCs w:val="11"/>
                <w:color w:val="auto"/>
              </w:rPr>
            </w:pPr>
          </w:p>
        </w:tc>
        <w:tc>
          <w:tcPr>
            <w:tcW w:w="780" w:type="dxa"/>
            <w:vAlign w:val="bottom"/>
            <w:tcBorders>
              <w:top w:val="single" w:sz="8" w:color="CCEEFF"/>
              <w:bottom w:val="single" w:sz="8" w:color="CCEEFF"/>
            </w:tcBorders>
            <w:shd w:val="clear" w:color="auto" w:fill="CCEEFF"/>
          </w:tcPr>
          <w:p>
            <w:pPr>
              <w:jc w:val="right"/>
              <w:ind w:right="152"/>
              <w:spacing w:after="0" w:line="102" w:lineRule="exact"/>
              <w:rPr>
                <w:sz w:val="20"/>
                <w:szCs w:val="20"/>
                <w:color w:val="auto"/>
              </w:rPr>
            </w:pPr>
            <w:r>
              <w:rPr>
                <w:rFonts w:ascii="Arial" w:cs="Arial" w:eastAsia="Arial" w:hAnsi="Arial"/>
                <w:sz w:val="10"/>
                <w:szCs w:val="10"/>
                <w:i w:val="1"/>
                <w:iCs w:val="1"/>
                <w:color w:val="auto"/>
              </w:rPr>
              <w:t>(27)%</w:t>
            </w:r>
          </w:p>
        </w:tc>
        <w:tc>
          <w:tcPr>
            <w:tcW w:w="180" w:type="dxa"/>
            <w:vAlign w:val="bottom"/>
            <w:tcBorders>
              <w:top w:val="single" w:sz="8" w:color="CCEEFF"/>
              <w:bottom w:val="single" w:sz="8" w:color="CCEEFF"/>
            </w:tcBorders>
            <w:shd w:val="clear" w:color="auto" w:fill="CCEEFF"/>
          </w:tcPr>
          <w:p>
            <w:pPr>
              <w:spacing w:after="0"/>
              <w:rPr>
                <w:sz w:val="11"/>
                <w:szCs w:val="11"/>
                <w:color w:val="auto"/>
              </w:rPr>
            </w:pPr>
          </w:p>
        </w:tc>
        <w:tc>
          <w:tcPr>
            <w:tcW w:w="360" w:type="dxa"/>
            <w:vAlign w:val="bottom"/>
            <w:tcBorders>
              <w:top w:val="single" w:sz="8" w:color="auto"/>
              <w:bottom w:val="single" w:sz="8" w:color="CCEEFF"/>
            </w:tcBorders>
            <w:shd w:val="clear" w:color="auto" w:fill="CCEEFF"/>
          </w:tcPr>
          <w:p>
            <w:pPr>
              <w:jc w:val="right"/>
              <w:ind w:right="72"/>
              <w:spacing w:after="0" w:line="113" w:lineRule="exact"/>
              <w:rPr>
                <w:sz w:val="20"/>
                <w:szCs w:val="20"/>
                <w:color w:val="auto"/>
              </w:rPr>
            </w:pPr>
            <w:r>
              <w:rPr>
                <w:rFonts w:ascii="Arial" w:cs="Arial" w:eastAsia="Arial" w:hAnsi="Arial"/>
                <w:sz w:val="10"/>
                <w:szCs w:val="10"/>
                <w:b w:val="1"/>
                <w:bCs w:val="1"/>
                <w:color w:val="auto"/>
              </w:rPr>
              <w:t>$</w:t>
            </w:r>
          </w:p>
        </w:tc>
        <w:tc>
          <w:tcPr>
            <w:tcW w:w="800" w:type="dxa"/>
            <w:vAlign w:val="bottom"/>
            <w:tcBorders>
              <w:top w:val="single" w:sz="8" w:color="auto"/>
              <w:bottom w:val="single" w:sz="8" w:color="CCEEFF"/>
            </w:tcBorders>
            <w:shd w:val="clear" w:color="auto" w:fill="CCEEFF"/>
          </w:tcPr>
          <w:p>
            <w:pPr>
              <w:jc w:val="right"/>
              <w:spacing w:after="0" w:line="113" w:lineRule="exact"/>
              <w:rPr>
                <w:sz w:val="20"/>
                <w:szCs w:val="20"/>
                <w:color w:val="auto"/>
              </w:rPr>
            </w:pPr>
            <w:r>
              <w:rPr>
                <w:rFonts w:ascii="Arial" w:cs="Arial" w:eastAsia="Arial" w:hAnsi="Arial"/>
                <w:sz w:val="10"/>
                <w:szCs w:val="10"/>
                <w:b w:val="1"/>
                <w:bCs w:val="1"/>
                <w:color w:val="auto"/>
              </w:rPr>
              <w:t>(3,162)</w:t>
            </w: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780" w:type="dxa"/>
            <w:vAlign w:val="bottom"/>
            <w:tcBorders>
              <w:top w:val="single" w:sz="8" w:color="CCEEFF"/>
              <w:bottom w:val="single" w:sz="8" w:color="CCEEFF"/>
            </w:tcBorders>
            <w:shd w:val="clear" w:color="auto" w:fill="CCEEFF"/>
          </w:tcPr>
          <w:p>
            <w:pPr>
              <w:jc w:val="right"/>
              <w:ind w:right="152"/>
              <w:spacing w:after="0" w:line="102" w:lineRule="exact"/>
              <w:rPr>
                <w:sz w:val="20"/>
                <w:szCs w:val="20"/>
                <w:color w:val="auto"/>
              </w:rPr>
            </w:pPr>
            <w:r>
              <w:rPr>
                <w:rFonts w:ascii="Arial" w:cs="Arial" w:eastAsia="Arial" w:hAnsi="Arial"/>
                <w:sz w:val="10"/>
                <w:szCs w:val="10"/>
                <w:i w:val="1"/>
                <w:iCs w:val="1"/>
                <w:color w:val="auto"/>
              </w:rPr>
              <w:t>(22)%</w:t>
            </w:r>
          </w:p>
        </w:tc>
        <w:tc>
          <w:tcPr>
            <w:tcW w:w="180" w:type="dxa"/>
            <w:vAlign w:val="bottom"/>
            <w:tcBorders>
              <w:top w:val="single" w:sz="8" w:color="CCEEFF"/>
              <w:bottom w:val="single" w:sz="8" w:color="CCEEFF"/>
            </w:tcBorders>
            <w:shd w:val="clear" w:color="auto" w:fill="CCEEFF"/>
          </w:tcPr>
          <w:p>
            <w:pPr>
              <w:spacing w:after="0"/>
              <w:rPr>
                <w:sz w:val="11"/>
                <w:szCs w:val="11"/>
                <w:color w:val="auto"/>
              </w:rPr>
            </w:pPr>
          </w:p>
        </w:tc>
        <w:tc>
          <w:tcPr>
            <w:tcW w:w="1080" w:type="dxa"/>
            <w:vAlign w:val="bottom"/>
            <w:tcBorders>
              <w:top w:val="single" w:sz="8" w:color="CCEEFF"/>
              <w:bottom w:val="single" w:sz="8" w:color="CCEEFF"/>
            </w:tcBorders>
            <w:gridSpan w:val="2"/>
            <w:shd w:val="clear" w:color="auto" w:fill="CCEEFF"/>
          </w:tcPr>
          <w:p>
            <w:pPr>
              <w:jc w:val="right"/>
              <w:ind w:right="232"/>
              <w:spacing w:after="0" w:line="102" w:lineRule="exact"/>
              <w:rPr>
                <w:sz w:val="20"/>
                <w:szCs w:val="20"/>
                <w:color w:val="auto"/>
              </w:rPr>
            </w:pPr>
            <w:r>
              <w:rPr>
                <w:rFonts w:ascii="Arial" w:cs="Arial" w:eastAsia="Arial" w:hAnsi="Arial"/>
                <w:sz w:val="10"/>
                <w:szCs w:val="10"/>
                <w:color w:val="auto"/>
              </w:rPr>
              <w:t>(19) %</w:t>
            </w:r>
          </w:p>
        </w:tc>
      </w:tr>
      <w:tr>
        <w:trPr>
          <w:trHeight w:val="171"/>
        </w:trPr>
        <w:tc>
          <w:tcPr>
            <w:tcW w:w="1860" w:type="dxa"/>
            <w:vAlign w:val="bottom"/>
          </w:tcPr>
          <w:p>
            <w:pPr>
              <w:ind w:left="800"/>
              <w:spacing w:after="0"/>
              <w:rPr>
                <w:sz w:val="20"/>
                <w:szCs w:val="20"/>
                <w:color w:val="auto"/>
              </w:rPr>
            </w:pPr>
            <w:r>
              <w:rPr>
                <w:rFonts w:ascii="Arial" w:cs="Arial" w:eastAsia="Arial" w:hAnsi="Arial"/>
                <w:sz w:val="10"/>
                <w:szCs w:val="10"/>
                <w:b w:val="1"/>
                <w:bCs w:val="1"/>
                <w:color w:val="auto"/>
              </w:rPr>
              <w:t>New Zealand</w:t>
            </w:r>
          </w:p>
        </w:tc>
        <w:tc>
          <w:tcPr>
            <w:tcW w:w="3080" w:type="dxa"/>
            <w:vAlign w:val="bottom"/>
            <w:gridSpan w:val="2"/>
          </w:tcPr>
          <w:p>
            <w:pPr>
              <w:ind w:left="120"/>
              <w:spacing w:after="0"/>
              <w:rPr>
                <w:sz w:val="20"/>
                <w:szCs w:val="20"/>
                <w:color w:val="auto"/>
              </w:rPr>
            </w:pPr>
            <w:r>
              <w:rPr>
                <w:rFonts w:ascii="Arial" w:cs="Arial" w:eastAsia="Arial" w:hAnsi="Arial"/>
                <w:sz w:val="10"/>
                <w:szCs w:val="10"/>
                <w:color w:val="auto"/>
              </w:rPr>
              <w:t>Depreciation and amortization</w:t>
            </w:r>
          </w:p>
        </w:tc>
        <w:tc>
          <w:tcPr>
            <w:tcW w:w="380" w:type="dxa"/>
            <w:vAlign w:val="bottom"/>
          </w:tcPr>
          <w:p>
            <w:pPr>
              <w:spacing w:after="0"/>
              <w:rPr>
                <w:sz w:val="14"/>
                <w:szCs w:val="14"/>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0"/>
                <w:szCs w:val="10"/>
                <w:color w:val="auto"/>
              </w:rPr>
              <w:t>(949)</w:t>
            </w:r>
          </w:p>
        </w:tc>
        <w:tc>
          <w:tcPr>
            <w:tcW w:w="780" w:type="dxa"/>
            <w:vAlign w:val="bottom"/>
          </w:tcPr>
          <w:p>
            <w:pPr>
              <w:jc w:val="right"/>
              <w:ind w:right="152"/>
              <w:spacing w:after="0"/>
              <w:rPr>
                <w:sz w:val="20"/>
                <w:szCs w:val="20"/>
                <w:color w:val="auto"/>
              </w:rPr>
            </w:pPr>
            <w:r>
              <w:rPr>
                <w:rFonts w:ascii="Arial" w:cs="Arial" w:eastAsia="Arial" w:hAnsi="Arial"/>
                <w:sz w:val="10"/>
                <w:szCs w:val="10"/>
                <w:i w:val="1"/>
                <w:iCs w:val="1"/>
                <w:color w:val="auto"/>
              </w:rPr>
              <w:t>(17)%</w:t>
            </w: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0"/>
                <w:szCs w:val="10"/>
                <w:color w:val="auto"/>
              </w:rPr>
              <w:t>(1,074)</w:t>
            </w:r>
          </w:p>
        </w:tc>
        <w:tc>
          <w:tcPr>
            <w:tcW w:w="780" w:type="dxa"/>
            <w:vAlign w:val="bottom"/>
          </w:tcPr>
          <w:p>
            <w:pPr>
              <w:jc w:val="right"/>
              <w:ind w:right="152"/>
              <w:spacing w:after="0"/>
              <w:rPr>
                <w:sz w:val="20"/>
                <w:szCs w:val="20"/>
                <w:color w:val="auto"/>
              </w:rPr>
            </w:pPr>
            <w:r>
              <w:rPr>
                <w:rFonts w:ascii="Arial" w:cs="Arial" w:eastAsia="Arial" w:hAnsi="Arial"/>
                <w:sz w:val="10"/>
                <w:szCs w:val="10"/>
                <w:i w:val="1"/>
                <w:iCs w:val="1"/>
                <w:color w:val="auto"/>
              </w:rPr>
              <w:t>(16)%</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0"/>
                <w:szCs w:val="10"/>
                <w:color w:val="auto"/>
              </w:rPr>
              <w:t>12</w:t>
            </w:r>
          </w:p>
        </w:tc>
        <w:tc>
          <w:tcPr>
            <w:tcW w:w="380" w:type="dxa"/>
            <w:vAlign w:val="bottom"/>
          </w:tcPr>
          <w:p>
            <w:pPr>
              <w:jc w:val="right"/>
              <w:ind w:right="232"/>
              <w:spacing w:after="0"/>
              <w:rPr>
                <w:sz w:val="20"/>
                <w:szCs w:val="20"/>
                <w:color w:val="auto"/>
              </w:rPr>
            </w:pPr>
            <w:r>
              <w:rPr>
                <w:rFonts w:ascii="Arial" w:cs="Arial" w:eastAsia="Arial" w:hAnsi="Arial"/>
                <w:sz w:val="10"/>
                <w:szCs w:val="10"/>
                <w:color w:val="auto"/>
                <w:w w:val="89"/>
              </w:rPr>
              <w:t>%</w:t>
            </w:r>
          </w:p>
        </w:tc>
      </w:tr>
      <w:tr>
        <w:trPr>
          <w:trHeight w:val="171"/>
        </w:trPr>
        <w:tc>
          <w:tcPr>
            <w:tcW w:w="1860" w:type="dxa"/>
            <w:vAlign w:val="bottom"/>
            <w:shd w:val="clear" w:color="auto" w:fill="CCEEFF"/>
          </w:tcPr>
          <w:p>
            <w:pPr>
              <w:spacing w:after="0"/>
              <w:rPr>
                <w:sz w:val="14"/>
                <w:szCs w:val="14"/>
                <w:color w:val="auto"/>
              </w:rPr>
            </w:pPr>
          </w:p>
        </w:tc>
        <w:tc>
          <w:tcPr>
            <w:tcW w:w="3080" w:type="dxa"/>
            <w:vAlign w:val="bottom"/>
            <w:gridSpan w:val="2"/>
            <w:shd w:val="clear" w:color="auto" w:fill="CCEEFF"/>
          </w:tcPr>
          <w:p>
            <w:pPr>
              <w:ind w:left="120"/>
              <w:spacing w:after="0"/>
              <w:rPr>
                <w:sz w:val="20"/>
                <w:szCs w:val="20"/>
                <w:color w:val="auto"/>
              </w:rPr>
            </w:pPr>
            <w:r>
              <w:rPr>
                <w:rFonts w:ascii="Arial" w:cs="Arial" w:eastAsia="Arial" w:hAnsi="Arial"/>
                <w:sz w:val="10"/>
                <w:szCs w:val="10"/>
                <w:color w:val="auto"/>
              </w:rPr>
              <w:t>General and administrative expense</w:t>
            </w:r>
          </w:p>
        </w:tc>
        <w:tc>
          <w:tcPr>
            <w:tcW w:w="3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(55)</w:t>
            </w:r>
          </w:p>
        </w:tc>
        <w:tc>
          <w:tcPr>
            <w:tcW w:w="780" w:type="dxa"/>
            <w:vAlign w:val="bottom"/>
            <w:shd w:val="clear" w:color="auto" w:fill="CCEEFF"/>
          </w:tcPr>
          <w:p>
            <w:pPr>
              <w:jc w:val="right"/>
              <w:ind w:right="152"/>
              <w:spacing w:after="0"/>
              <w:rPr>
                <w:sz w:val="20"/>
                <w:szCs w:val="20"/>
                <w:color w:val="auto"/>
              </w:rPr>
            </w:pPr>
            <w:r>
              <w:rPr>
                <w:rFonts w:ascii="Arial" w:cs="Arial" w:eastAsia="Arial" w:hAnsi="Arial"/>
                <w:sz w:val="10"/>
                <w:szCs w:val="10"/>
                <w:i w:val="1"/>
                <w:iCs w:val="1"/>
                <w:color w:val="auto"/>
              </w:rPr>
              <w:t>(1)%</w:t>
            </w:r>
          </w:p>
        </w:tc>
        <w:tc>
          <w:tcPr>
            <w:tcW w:w="1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(50)</w:t>
            </w:r>
          </w:p>
        </w:tc>
        <w:tc>
          <w:tcPr>
            <w:tcW w:w="780" w:type="dxa"/>
            <w:vAlign w:val="bottom"/>
            <w:shd w:val="clear" w:color="auto" w:fill="CCEEFF"/>
          </w:tcPr>
          <w:p>
            <w:pPr>
              <w:jc w:val="right"/>
              <w:ind w:right="152"/>
              <w:spacing w:after="0"/>
              <w:rPr>
                <w:sz w:val="20"/>
                <w:szCs w:val="20"/>
                <w:color w:val="auto"/>
              </w:rPr>
            </w:pPr>
            <w:r>
              <w:rPr>
                <w:rFonts w:ascii="Arial" w:cs="Arial" w:eastAsia="Arial" w:hAnsi="Arial"/>
                <w:sz w:val="10"/>
                <w:szCs w:val="10"/>
                <w:i w:val="1"/>
                <w:iCs w:val="1"/>
                <w:color w:val="auto"/>
              </w:rPr>
              <w:t>(1)%</w:t>
            </w:r>
          </w:p>
        </w:tc>
        <w:tc>
          <w:tcPr>
            <w:tcW w:w="18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232"/>
              <w:spacing w:after="0"/>
              <w:rPr>
                <w:sz w:val="20"/>
                <w:szCs w:val="20"/>
                <w:color w:val="auto"/>
              </w:rPr>
            </w:pPr>
            <w:r>
              <w:rPr>
                <w:rFonts w:ascii="Arial" w:cs="Arial" w:eastAsia="Arial" w:hAnsi="Arial"/>
                <w:sz w:val="10"/>
                <w:szCs w:val="10"/>
                <w:color w:val="auto"/>
              </w:rPr>
              <w:t>(10) %</w:t>
            </w:r>
          </w:p>
        </w:tc>
      </w:tr>
      <w:tr>
        <w:trPr>
          <w:trHeight w:val="113"/>
        </w:trPr>
        <w:tc>
          <w:tcPr>
            <w:tcW w:w="1860" w:type="dxa"/>
            <w:vAlign w:val="bottom"/>
          </w:tcPr>
          <w:p>
            <w:pPr>
              <w:spacing w:after="0"/>
              <w:rPr>
                <w:sz w:val="9"/>
                <w:szCs w:val="9"/>
                <w:color w:val="auto"/>
              </w:rPr>
            </w:pPr>
          </w:p>
        </w:tc>
        <w:tc>
          <w:tcPr>
            <w:tcW w:w="29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80" w:type="dxa"/>
            <w:vAlign w:val="bottom"/>
            <w:tcBorders>
              <w:top w:val="single" w:sz="8" w:color="auto"/>
            </w:tcBorders>
          </w:tcPr>
          <w:p>
            <w:pPr>
              <w:jc w:val="right"/>
              <w:ind w:right="72"/>
              <w:spacing w:after="0" w:line="113" w:lineRule="exact"/>
              <w:rPr>
                <w:sz w:val="20"/>
                <w:szCs w:val="20"/>
                <w:color w:val="auto"/>
              </w:rPr>
            </w:pPr>
            <w:r>
              <w:rPr>
                <w:rFonts w:ascii="Arial" w:cs="Arial" w:eastAsia="Arial" w:hAnsi="Arial"/>
                <w:sz w:val="10"/>
                <w:szCs w:val="10"/>
                <w:b w:val="1"/>
                <w:bCs w:val="1"/>
                <w:color w:val="auto"/>
              </w:rPr>
              <w:t>$</w:t>
            </w:r>
          </w:p>
        </w:tc>
        <w:tc>
          <w:tcPr>
            <w:tcW w:w="800" w:type="dxa"/>
            <w:vAlign w:val="bottom"/>
            <w:tcBorders>
              <w:top w:val="single" w:sz="8" w:color="auto"/>
            </w:tcBorders>
          </w:tcPr>
          <w:p>
            <w:pPr>
              <w:jc w:val="right"/>
              <w:spacing w:after="0" w:line="113" w:lineRule="exact"/>
              <w:rPr>
                <w:sz w:val="20"/>
                <w:szCs w:val="20"/>
                <w:color w:val="auto"/>
              </w:rPr>
            </w:pPr>
            <w:r>
              <w:rPr>
                <w:rFonts w:ascii="Arial" w:cs="Arial" w:eastAsia="Arial" w:hAnsi="Arial"/>
                <w:sz w:val="10"/>
                <w:szCs w:val="10"/>
                <w:b w:val="1"/>
                <w:bCs w:val="1"/>
                <w:color w:val="auto"/>
              </w:rPr>
              <w:t>(1,004)</w:t>
            </w:r>
          </w:p>
        </w:tc>
        <w:tc>
          <w:tcPr>
            <w:tcW w:w="180" w:type="dxa"/>
            <w:vAlign w:val="bottom"/>
          </w:tcPr>
          <w:p>
            <w:pPr>
              <w:spacing w:after="0"/>
              <w:rPr>
                <w:sz w:val="9"/>
                <w:szCs w:val="9"/>
                <w:color w:val="auto"/>
              </w:rPr>
            </w:pPr>
          </w:p>
        </w:tc>
        <w:tc>
          <w:tcPr>
            <w:tcW w:w="780" w:type="dxa"/>
            <w:vAlign w:val="bottom"/>
          </w:tcPr>
          <w:p>
            <w:pPr>
              <w:jc w:val="right"/>
              <w:ind w:right="152"/>
              <w:spacing w:after="0" w:line="102" w:lineRule="exact"/>
              <w:rPr>
                <w:sz w:val="20"/>
                <w:szCs w:val="20"/>
                <w:color w:val="auto"/>
              </w:rPr>
            </w:pPr>
            <w:r>
              <w:rPr>
                <w:rFonts w:ascii="Arial" w:cs="Arial" w:eastAsia="Arial" w:hAnsi="Arial"/>
                <w:sz w:val="10"/>
                <w:szCs w:val="10"/>
                <w:i w:val="1"/>
                <w:iCs w:val="1"/>
                <w:color w:val="auto"/>
              </w:rPr>
              <w:t>(18)%</w:t>
            </w:r>
          </w:p>
        </w:tc>
        <w:tc>
          <w:tcPr>
            <w:tcW w:w="180" w:type="dxa"/>
            <w:vAlign w:val="bottom"/>
          </w:tcPr>
          <w:p>
            <w:pPr>
              <w:spacing w:after="0"/>
              <w:rPr>
                <w:sz w:val="9"/>
                <w:szCs w:val="9"/>
                <w:color w:val="auto"/>
              </w:rPr>
            </w:pPr>
          </w:p>
        </w:tc>
        <w:tc>
          <w:tcPr>
            <w:tcW w:w="360" w:type="dxa"/>
            <w:vAlign w:val="bottom"/>
            <w:tcBorders>
              <w:top w:val="single" w:sz="8" w:color="auto"/>
            </w:tcBorders>
          </w:tcPr>
          <w:p>
            <w:pPr>
              <w:jc w:val="right"/>
              <w:ind w:right="72"/>
              <w:spacing w:after="0" w:line="113" w:lineRule="exact"/>
              <w:rPr>
                <w:sz w:val="20"/>
                <w:szCs w:val="20"/>
                <w:color w:val="auto"/>
              </w:rPr>
            </w:pPr>
            <w:r>
              <w:rPr>
                <w:rFonts w:ascii="Arial" w:cs="Arial" w:eastAsia="Arial" w:hAnsi="Arial"/>
                <w:sz w:val="10"/>
                <w:szCs w:val="10"/>
                <w:b w:val="1"/>
                <w:bCs w:val="1"/>
                <w:color w:val="auto"/>
              </w:rPr>
              <w:t>$</w:t>
            </w:r>
          </w:p>
        </w:tc>
        <w:tc>
          <w:tcPr>
            <w:tcW w:w="800" w:type="dxa"/>
            <w:vAlign w:val="bottom"/>
            <w:tcBorders>
              <w:top w:val="single" w:sz="8" w:color="auto"/>
            </w:tcBorders>
          </w:tcPr>
          <w:p>
            <w:pPr>
              <w:jc w:val="right"/>
              <w:spacing w:after="0" w:line="113" w:lineRule="exact"/>
              <w:rPr>
                <w:sz w:val="20"/>
                <w:szCs w:val="20"/>
                <w:color w:val="auto"/>
              </w:rPr>
            </w:pPr>
            <w:r>
              <w:rPr>
                <w:rFonts w:ascii="Arial" w:cs="Arial" w:eastAsia="Arial" w:hAnsi="Arial"/>
                <w:sz w:val="10"/>
                <w:szCs w:val="10"/>
                <w:b w:val="1"/>
                <w:bCs w:val="1"/>
                <w:color w:val="auto"/>
              </w:rPr>
              <w:t>(1,124)</w:t>
            </w:r>
          </w:p>
        </w:tc>
        <w:tc>
          <w:tcPr>
            <w:tcW w:w="160" w:type="dxa"/>
            <w:vAlign w:val="bottom"/>
          </w:tcPr>
          <w:p>
            <w:pPr>
              <w:spacing w:after="0"/>
              <w:rPr>
                <w:sz w:val="9"/>
                <w:szCs w:val="9"/>
                <w:color w:val="auto"/>
              </w:rPr>
            </w:pPr>
          </w:p>
        </w:tc>
        <w:tc>
          <w:tcPr>
            <w:tcW w:w="780" w:type="dxa"/>
            <w:vAlign w:val="bottom"/>
          </w:tcPr>
          <w:p>
            <w:pPr>
              <w:jc w:val="right"/>
              <w:ind w:right="152"/>
              <w:spacing w:after="0" w:line="102" w:lineRule="exact"/>
              <w:rPr>
                <w:sz w:val="20"/>
                <w:szCs w:val="20"/>
                <w:color w:val="auto"/>
              </w:rPr>
            </w:pPr>
            <w:r>
              <w:rPr>
                <w:rFonts w:ascii="Arial" w:cs="Arial" w:eastAsia="Arial" w:hAnsi="Arial"/>
                <w:sz w:val="10"/>
                <w:szCs w:val="10"/>
                <w:i w:val="1"/>
                <w:iCs w:val="1"/>
                <w:color w:val="auto"/>
              </w:rPr>
              <w:t>(16)%</w:t>
            </w:r>
          </w:p>
        </w:tc>
        <w:tc>
          <w:tcPr>
            <w:tcW w:w="180" w:type="dxa"/>
            <w:vAlign w:val="bottom"/>
          </w:tcPr>
          <w:p>
            <w:pPr>
              <w:spacing w:after="0"/>
              <w:rPr>
                <w:sz w:val="9"/>
                <w:szCs w:val="9"/>
                <w:color w:val="auto"/>
              </w:rPr>
            </w:pPr>
          </w:p>
        </w:tc>
        <w:tc>
          <w:tcPr>
            <w:tcW w:w="700" w:type="dxa"/>
            <w:vAlign w:val="bottom"/>
          </w:tcPr>
          <w:p>
            <w:pPr>
              <w:jc w:val="right"/>
              <w:spacing w:after="0" w:line="102" w:lineRule="exact"/>
              <w:rPr>
                <w:sz w:val="20"/>
                <w:szCs w:val="20"/>
                <w:color w:val="auto"/>
              </w:rPr>
            </w:pPr>
            <w:r>
              <w:rPr>
                <w:rFonts w:ascii="Arial" w:cs="Arial" w:eastAsia="Arial" w:hAnsi="Arial"/>
                <w:sz w:val="10"/>
                <w:szCs w:val="10"/>
                <w:color w:val="auto"/>
              </w:rPr>
              <w:t>11</w:t>
            </w:r>
          </w:p>
        </w:tc>
        <w:tc>
          <w:tcPr>
            <w:tcW w:w="380" w:type="dxa"/>
            <w:vAlign w:val="bottom"/>
          </w:tcPr>
          <w:p>
            <w:pPr>
              <w:jc w:val="right"/>
              <w:ind w:right="232"/>
              <w:spacing w:after="0" w:line="102" w:lineRule="exact"/>
              <w:rPr>
                <w:sz w:val="20"/>
                <w:szCs w:val="20"/>
                <w:color w:val="auto"/>
              </w:rPr>
            </w:pPr>
            <w:r>
              <w:rPr>
                <w:rFonts w:ascii="Arial" w:cs="Arial" w:eastAsia="Arial" w:hAnsi="Arial"/>
                <w:sz w:val="10"/>
                <w:szCs w:val="10"/>
                <w:color w:val="auto"/>
                <w:w w:val="89"/>
              </w:rPr>
              <w:t>%</w:t>
            </w:r>
          </w:p>
        </w:tc>
      </w:tr>
      <w:tr>
        <w:trPr>
          <w:trHeight w:val="129"/>
        </w:trPr>
        <w:tc>
          <w:tcPr>
            <w:tcW w:w="4760" w:type="dxa"/>
            <w:vAlign w:val="bottom"/>
            <w:tcBorders>
              <w:bottom w:val="single" w:sz="8" w:color="CCEEFF"/>
            </w:tcBorders>
            <w:gridSpan w:val="2"/>
          </w:tcPr>
          <w:p>
            <w:pPr>
              <w:spacing w:after="0"/>
              <w:rPr>
                <w:sz w:val="11"/>
                <w:szCs w:val="11"/>
                <w:color w:val="auto"/>
              </w:rPr>
            </w:pPr>
          </w:p>
        </w:tc>
        <w:tc>
          <w:tcPr>
            <w:tcW w:w="180" w:type="dxa"/>
            <w:vAlign w:val="bottom"/>
            <w:tcBorders>
              <w:bottom w:val="single" w:sz="8" w:color="CCEEFF"/>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80" w:type="dxa"/>
            <w:vAlign w:val="bottom"/>
            <w:tcBorders>
              <w:bottom w:val="single" w:sz="8" w:color="CCEEFF"/>
            </w:tcBorders>
          </w:tcPr>
          <w:p>
            <w:pPr>
              <w:spacing w:after="0"/>
              <w:rPr>
                <w:sz w:val="11"/>
                <w:szCs w:val="11"/>
                <w:color w:val="auto"/>
              </w:rPr>
            </w:pPr>
          </w:p>
        </w:tc>
        <w:tc>
          <w:tcPr>
            <w:tcW w:w="780" w:type="dxa"/>
            <w:vAlign w:val="bottom"/>
            <w:tcBorders>
              <w:bottom w:val="single" w:sz="8" w:color="CCEEFF"/>
            </w:tcBorders>
          </w:tcPr>
          <w:p>
            <w:pPr>
              <w:spacing w:after="0"/>
              <w:rPr>
                <w:sz w:val="11"/>
                <w:szCs w:val="11"/>
                <w:color w:val="auto"/>
              </w:rPr>
            </w:pPr>
          </w:p>
        </w:tc>
        <w:tc>
          <w:tcPr>
            <w:tcW w:w="180" w:type="dxa"/>
            <w:vAlign w:val="bottom"/>
            <w:tcBorders>
              <w:bottom w:val="single" w:sz="8" w:color="CCEEFF"/>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60" w:type="dxa"/>
            <w:vAlign w:val="bottom"/>
            <w:tcBorders>
              <w:bottom w:val="single" w:sz="8" w:color="CCEEFF"/>
            </w:tcBorders>
          </w:tcPr>
          <w:p>
            <w:pPr>
              <w:spacing w:after="0"/>
              <w:rPr>
                <w:sz w:val="11"/>
                <w:szCs w:val="11"/>
                <w:color w:val="auto"/>
              </w:rPr>
            </w:pPr>
          </w:p>
        </w:tc>
        <w:tc>
          <w:tcPr>
            <w:tcW w:w="780" w:type="dxa"/>
            <w:vAlign w:val="bottom"/>
            <w:tcBorders>
              <w:bottom w:val="single" w:sz="8" w:color="CCEEFF"/>
            </w:tcBorders>
          </w:tcPr>
          <w:p>
            <w:pPr>
              <w:spacing w:after="0"/>
              <w:rPr>
                <w:sz w:val="11"/>
                <w:szCs w:val="11"/>
                <w:color w:val="auto"/>
              </w:rPr>
            </w:pPr>
          </w:p>
        </w:tc>
        <w:tc>
          <w:tcPr>
            <w:tcW w:w="180" w:type="dxa"/>
            <w:vAlign w:val="bottom"/>
            <w:tcBorders>
              <w:bottom w:val="single" w:sz="8" w:color="CCEEFF"/>
            </w:tcBorders>
          </w:tcPr>
          <w:p>
            <w:pPr>
              <w:spacing w:after="0"/>
              <w:rPr>
                <w:sz w:val="11"/>
                <w:szCs w:val="11"/>
                <w:color w:val="auto"/>
              </w:rPr>
            </w:pPr>
          </w:p>
        </w:tc>
        <w:tc>
          <w:tcPr>
            <w:tcW w:w="1080" w:type="dxa"/>
            <w:vAlign w:val="bottom"/>
            <w:tcBorders>
              <w:bottom w:val="single" w:sz="8" w:color="CCEEFF"/>
            </w:tcBorders>
            <w:gridSpan w:val="2"/>
          </w:tcPr>
          <w:p>
            <w:pPr>
              <w:spacing w:after="0"/>
              <w:rPr>
                <w:sz w:val="11"/>
                <w:szCs w:val="11"/>
                <w:color w:val="auto"/>
              </w:rPr>
            </w:pPr>
          </w:p>
        </w:tc>
      </w:tr>
      <w:tr>
        <w:trPr>
          <w:trHeight w:val="277"/>
        </w:trPr>
        <w:tc>
          <w:tcPr>
            <w:tcW w:w="4940" w:type="dxa"/>
            <w:vAlign w:val="bottom"/>
            <w:gridSpan w:val="3"/>
            <w:shd w:val="clear" w:color="auto" w:fill="CCEEFF"/>
          </w:tcPr>
          <w:p>
            <w:pPr>
              <w:ind w:left="800"/>
              <w:spacing w:after="0"/>
              <w:rPr>
                <w:sz w:val="20"/>
                <w:szCs w:val="20"/>
                <w:color w:val="auto"/>
              </w:rPr>
            </w:pPr>
            <w:r>
              <w:rPr>
                <w:rFonts w:ascii="Arial" w:cs="Arial" w:eastAsia="Arial" w:hAnsi="Arial"/>
                <w:sz w:val="10"/>
                <w:szCs w:val="10"/>
                <w:b w:val="1"/>
                <w:bCs w:val="1"/>
                <w:color w:val="auto"/>
              </w:rPr>
              <w:t>Total depreciation, amortization, and general and administrative expense</w:t>
            </w:r>
          </w:p>
        </w:tc>
        <w:tc>
          <w:tcPr>
            <w:tcW w:w="380" w:type="dxa"/>
            <w:vAlign w:val="bottom"/>
            <w:shd w:val="clear" w:color="auto" w:fill="CCEEFF"/>
          </w:tcPr>
          <w:p>
            <w:pPr>
              <w:jc w:val="right"/>
              <w:ind w:right="72"/>
              <w:spacing w:after="0"/>
              <w:rPr>
                <w:sz w:val="20"/>
                <w:szCs w:val="20"/>
                <w:color w:val="auto"/>
              </w:rPr>
            </w:pPr>
            <w:r>
              <w:rPr>
                <w:rFonts w:ascii="Arial" w:cs="Arial" w:eastAsia="Arial" w:hAnsi="Arial"/>
                <w:sz w:val="10"/>
                <w:szCs w:val="10"/>
                <w:b w:val="1"/>
                <w:bCs w:val="1"/>
                <w:color w:val="auto"/>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0"/>
                <w:szCs w:val="10"/>
                <w:b w:val="1"/>
                <w:bCs w:val="1"/>
                <w:color w:val="auto"/>
              </w:rPr>
              <w:t>(5,103)</w:t>
            </w:r>
          </w:p>
        </w:tc>
        <w:tc>
          <w:tcPr>
            <w:tcW w:w="780" w:type="dxa"/>
            <w:vAlign w:val="bottom"/>
            <w:shd w:val="clear" w:color="auto" w:fill="CCEEFF"/>
          </w:tcPr>
          <w:p>
            <w:pPr>
              <w:jc w:val="right"/>
              <w:ind w:right="152"/>
              <w:spacing w:after="0"/>
              <w:rPr>
                <w:sz w:val="20"/>
                <w:szCs w:val="20"/>
                <w:color w:val="auto"/>
              </w:rPr>
            </w:pPr>
            <w:r>
              <w:rPr>
                <w:rFonts w:ascii="Arial" w:cs="Arial" w:eastAsia="Arial" w:hAnsi="Arial"/>
                <w:sz w:val="10"/>
                <w:szCs w:val="10"/>
                <w:i w:val="1"/>
                <w:iCs w:val="1"/>
                <w:color w:val="auto"/>
              </w:rPr>
              <w:t>(21)%</w:t>
            </w:r>
          </w:p>
        </w:tc>
        <w:tc>
          <w:tcPr>
            <w:tcW w:w="18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72"/>
              <w:spacing w:after="0"/>
              <w:rPr>
                <w:sz w:val="20"/>
                <w:szCs w:val="20"/>
                <w:color w:val="auto"/>
              </w:rPr>
            </w:pPr>
            <w:r>
              <w:rPr>
                <w:rFonts w:ascii="Arial" w:cs="Arial" w:eastAsia="Arial" w:hAnsi="Arial"/>
                <w:sz w:val="10"/>
                <w:szCs w:val="10"/>
                <w:b w:val="1"/>
                <w:bCs w:val="1"/>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b w:val="1"/>
                <w:bCs w:val="1"/>
                <w:color w:val="auto"/>
              </w:rPr>
              <w:t>(4,667)</w:t>
            </w:r>
          </w:p>
        </w:tc>
        <w:tc>
          <w:tcPr>
            <w:tcW w:w="780" w:type="dxa"/>
            <w:vAlign w:val="bottom"/>
            <w:shd w:val="clear" w:color="auto" w:fill="CCEEFF"/>
          </w:tcPr>
          <w:p>
            <w:pPr>
              <w:jc w:val="right"/>
              <w:ind w:right="152"/>
              <w:spacing w:after="0"/>
              <w:rPr>
                <w:sz w:val="20"/>
                <w:szCs w:val="20"/>
                <w:color w:val="auto"/>
              </w:rPr>
            </w:pPr>
            <w:r>
              <w:rPr>
                <w:rFonts w:ascii="Arial" w:cs="Arial" w:eastAsia="Arial" w:hAnsi="Arial"/>
                <w:sz w:val="10"/>
                <w:szCs w:val="10"/>
                <w:i w:val="1"/>
                <w:iCs w:val="1"/>
                <w:color w:val="auto"/>
              </w:rPr>
              <w:t>(18)%</w:t>
            </w:r>
          </w:p>
        </w:tc>
        <w:tc>
          <w:tcPr>
            <w:tcW w:w="18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32"/>
              <w:spacing w:after="0"/>
              <w:rPr>
                <w:sz w:val="20"/>
                <w:szCs w:val="20"/>
                <w:color w:val="auto"/>
              </w:rPr>
            </w:pPr>
            <w:r>
              <w:rPr>
                <w:rFonts w:ascii="Arial" w:cs="Arial" w:eastAsia="Arial" w:hAnsi="Arial"/>
                <w:sz w:val="10"/>
                <w:szCs w:val="10"/>
                <w:color w:val="auto"/>
              </w:rPr>
              <w:t>(9) %</w:t>
            </w:r>
          </w:p>
        </w:tc>
      </w:tr>
      <w:tr>
        <w:trPr>
          <w:trHeight w:val="20"/>
        </w:trPr>
        <w:tc>
          <w:tcPr>
            <w:tcW w:w="1860" w:type="dxa"/>
            <w:vAlign w:val="bottom"/>
            <w:shd w:val="clear" w:color="auto" w:fill="CCEEFF"/>
          </w:tcPr>
          <w:p>
            <w:pPr>
              <w:spacing w:after="0" w:line="20" w:lineRule="exact"/>
              <w:rPr>
                <w:sz w:val="1"/>
                <w:szCs w:val="1"/>
                <w:color w:val="auto"/>
              </w:rPr>
            </w:pPr>
          </w:p>
        </w:tc>
        <w:tc>
          <w:tcPr>
            <w:tcW w:w="29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r>
      <w:tr>
        <w:trPr>
          <w:trHeight w:val="214"/>
        </w:trPr>
        <w:tc>
          <w:tcPr>
            <w:tcW w:w="1860" w:type="dxa"/>
            <w:vAlign w:val="bottom"/>
          </w:tcPr>
          <w:p>
            <w:pPr>
              <w:ind w:left="400"/>
              <w:spacing w:after="0"/>
              <w:rPr>
                <w:sz w:val="20"/>
                <w:szCs w:val="20"/>
                <w:color w:val="auto"/>
              </w:rPr>
            </w:pPr>
            <w:r>
              <w:rPr>
                <w:rFonts w:ascii="Arial" w:cs="Arial" w:eastAsia="Arial" w:hAnsi="Arial"/>
                <w:sz w:val="10"/>
                <w:szCs w:val="10"/>
                <w:b w:val="1"/>
                <w:bCs w:val="1"/>
                <w:color w:val="auto"/>
              </w:rPr>
              <w:t>Total operating expenses</w:t>
            </w:r>
          </w:p>
        </w:tc>
        <w:tc>
          <w:tcPr>
            <w:tcW w:w="2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jc w:val="right"/>
              <w:ind w:right="72"/>
              <w:spacing w:after="0"/>
              <w:rPr>
                <w:sz w:val="20"/>
                <w:szCs w:val="20"/>
                <w:color w:val="auto"/>
              </w:rPr>
            </w:pPr>
            <w:r>
              <w:rPr>
                <w:rFonts w:ascii="Arial" w:cs="Arial" w:eastAsia="Arial" w:hAnsi="Arial"/>
                <w:sz w:val="10"/>
                <w:szCs w:val="10"/>
                <w:b w:val="1"/>
                <w:bCs w:val="1"/>
                <w:color w:val="auto"/>
              </w:rPr>
              <w:t>$</w:t>
            </w:r>
          </w:p>
        </w:tc>
        <w:tc>
          <w:tcPr>
            <w:tcW w:w="980" w:type="dxa"/>
            <w:vAlign w:val="bottom"/>
            <w:gridSpan w:val="2"/>
          </w:tcPr>
          <w:p>
            <w:pPr>
              <w:jc w:val="right"/>
              <w:ind w:right="180"/>
              <w:spacing w:after="0"/>
              <w:rPr>
                <w:sz w:val="20"/>
                <w:szCs w:val="20"/>
                <w:color w:val="auto"/>
              </w:rPr>
            </w:pPr>
            <w:r>
              <w:rPr>
                <w:rFonts w:ascii="Arial" w:cs="Arial" w:eastAsia="Arial" w:hAnsi="Arial"/>
                <w:sz w:val="10"/>
                <w:szCs w:val="10"/>
                <w:b w:val="1"/>
                <w:bCs w:val="1"/>
                <w:color w:val="auto"/>
              </w:rPr>
              <w:t>(14,873)</w:t>
            </w:r>
          </w:p>
        </w:tc>
        <w:tc>
          <w:tcPr>
            <w:tcW w:w="780" w:type="dxa"/>
            <w:vAlign w:val="bottom"/>
          </w:tcPr>
          <w:p>
            <w:pPr>
              <w:jc w:val="right"/>
              <w:ind w:right="152"/>
              <w:spacing w:after="0"/>
              <w:rPr>
                <w:sz w:val="20"/>
                <w:szCs w:val="20"/>
                <w:color w:val="auto"/>
              </w:rPr>
            </w:pPr>
            <w:r>
              <w:rPr>
                <w:rFonts w:ascii="Arial" w:cs="Arial" w:eastAsia="Arial" w:hAnsi="Arial"/>
                <w:sz w:val="10"/>
                <w:szCs w:val="10"/>
                <w:i w:val="1"/>
                <w:iCs w:val="1"/>
                <w:color w:val="auto"/>
              </w:rPr>
              <w:t>(61)%</w:t>
            </w:r>
          </w:p>
        </w:tc>
        <w:tc>
          <w:tcPr>
            <w:tcW w:w="180" w:type="dxa"/>
            <w:vAlign w:val="bottom"/>
          </w:tcPr>
          <w:p>
            <w:pPr>
              <w:spacing w:after="0"/>
              <w:rPr>
                <w:sz w:val="18"/>
                <w:szCs w:val="18"/>
                <w:color w:val="auto"/>
              </w:rPr>
            </w:pPr>
          </w:p>
        </w:tc>
        <w:tc>
          <w:tcPr>
            <w:tcW w:w="360" w:type="dxa"/>
            <w:vAlign w:val="bottom"/>
          </w:tcPr>
          <w:p>
            <w:pPr>
              <w:jc w:val="right"/>
              <w:ind w:right="72"/>
              <w:spacing w:after="0"/>
              <w:rPr>
                <w:sz w:val="20"/>
                <w:szCs w:val="20"/>
                <w:color w:val="auto"/>
              </w:rPr>
            </w:pPr>
            <w:r>
              <w:rPr>
                <w:rFonts w:ascii="Arial" w:cs="Arial" w:eastAsia="Arial" w:hAnsi="Arial"/>
                <w:sz w:val="10"/>
                <w:szCs w:val="10"/>
                <w:b w:val="1"/>
                <w:bCs w:val="1"/>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0"/>
                <w:szCs w:val="10"/>
                <w:b w:val="1"/>
                <w:bCs w:val="1"/>
                <w:color w:val="auto"/>
              </w:rPr>
              <w:t>(15,497)</w:t>
            </w:r>
          </w:p>
        </w:tc>
        <w:tc>
          <w:tcPr>
            <w:tcW w:w="780" w:type="dxa"/>
            <w:vAlign w:val="bottom"/>
          </w:tcPr>
          <w:p>
            <w:pPr>
              <w:jc w:val="right"/>
              <w:ind w:right="152"/>
              <w:spacing w:after="0"/>
              <w:rPr>
                <w:sz w:val="20"/>
                <w:szCs w:val="20"/>
                <w:color w:val="auto"/>
              </w:rPr>
            </w:pPr>
            <w:r>
              <w:rPr>
                <w:rFonts w:ascii="Arial" w:cs="Arial" w:eastAsia="Arial" w:hAnsi="Arial"/>
                <w:sz w:val="10"/>
                <w:szCs w:val="10"/>
                <w:i w:val="1"/>
                <w:iCs w:val="1"/>
                <w:color w:val="auto"/>
              </w:rPr>
              <w:t>(59)%</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0"/>
                <w:szCs w:val="10"/>
                <w:color w:val="auto"/>
              </w:rPr>
              <w:t>4</w:t>
            </w:r>
          </w:p>
        </w:tc>
        <w:tc>
          <w:tcPr>
            <w:tcW w:w="380" w:type="dxa"/>
            <w:vAlign w:val="bottom"/>
          </w:tcPr>
          <w:p>
            <w:pPr>
              <w:jc w:val="right"/>
              <w:ind w:right="232"/>
              <w:spacing w:after="0"/>
              <w:rPr>
                <w:sz w:val="20"/>
                <w:szCs w:val="20"/>
                <w:color w:val="auto"/>
              </w:rPr>
            </w:pPr>
            <w:r>
              <w:rPr>
                <w:rFonts w:ascii="Arial" w:cs="Arial" w:eastAsia="Arial" w:hAnsi="Arial"/>
                <w:sz w:val="10"/>
                <w:szCs w:val="10"/>
                <w:color w:val="auto"/>
                <w:w w:val="89"/>
              </w:rPr>
              <w:t>%</w:t>
            </w:r>
          </w:p>
        </w:tc>
      </w:tr>
      <w:tr>
        <w:trPr>
          <w:trHeight w:val="160"/>
        </w:trPr>
        <w:tc>
          <w:tcPr>
            <w:tcW w:w="1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0"/>
                <w:szCs w:val="10"/>
                <w:b w:val="1"/>
                <w:bCs w:val="1"/>
                <w:color w:val="auto"/>
              </w:rPr>
              <w:t>OPERATING INCOME</w:t>
            </w:r>
          </w:p>
        </w:tc>
        <w:tc>
          <w:tcPr>
            <w:tcW w:w="29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700" w:type="dxa"/>
            <w:vAlign w:val="bottom"/>
            <w:tcBorders>
              <w:top w:val="single" w:sz="8" w:color="CCEEFF"/>
            </w:tcBorders>
            <w:shd w:val="clear" w:color="auto" w:fill="CCEEFF"/>
          </w:tcPr>
          <w:p>
            <w:pPr>
              <w:spacing w:after="0"/>
              <w:rPr>
                <w:sz w:val="13"/>
                <w:szCs w:val="13"/>
                <w:color w:val="auto"/>
              </w:rPr>
            </w:pPr>
          </w:p>
        </w:tc>
        <w:tc>
          <w:tcPr>
            <w:tcW w:w="380" w:type="dxa"/>
            <w:vAlign w:val="bottom"/>
            <w:tcBorders>
              <w:top w:val="single" w:sz="8" w:color="CCEEFF"/>
            </w:tcBorders>
            <w:shd w:val="clear" w:color="auto" w:fill="CCEEFF"/>
          </w:tcPr>
          <w:p>
            <w:pPr>
              <w:spacing w:after="0"/>
              <w:rPr>
                <w:sz w:val="13"/>
                <w:szCs w:val="13"/>
                <w:color w:val="auto"/>
              </w:rPr>
            </w:pPr>
          </w:p>
        </w:tc>
      </w:tr>
      <w:tr>
        <w:trPr>
          <w:trHeight w:val="171"/>
        </w:trPr>
        <w:tc>
          <w:tcPr>
            <w:tcW w:w="1860" w:type="dxa"/>
            <w:vAlign w:val="bottom"/>
          </w:tcPr>
          <w:p>
            <w:pPr>
              <w:ind w:left="800"/>
              <w:spacing w:after="0"/>
              <w:rPr>
                <w:sz w:val="20"/>
                <w:szCs w:val="20"/>
                <w:color w:val="auto"/>
              </w:rPr>
            </w:pPr>
            <w:r>
              <w:rPr>
                <w:rFonts w:ascii="Arial" w:cs="Arial" w:eastAsia="Arial" w:hAnsi="Arial"/>
                <w:sz w:val="10"/>
                <w:szCs w:val="10"/>
                <w:b w:val="1"/>
                <w:bCs w:val="1"/>
                <w:color w:val="auto"/>
              </w:rPr>
              <w:t>United States</w:t>
            </w:r>
          </w:p>
        </w:tc>
        <w:tc>
          <w:tcPr>
            <w:tcW w:w="2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jc w:val="right"/>
              <w:ind w:right="72"/>
              <w:spacing w:after="0"/>
              <w:rPr>
                <w:sz w:val="20"/>
                <w:szCs w:val="20"/>
                <w:color w:val="auto"/>
              </w:rPr>
            </w:pPr>
            <w:r>
              <w:rPr>
                <w:rFonts w:ascii="Arial" w:cs="Arial" w:eastAsia="Arial" w:hAnsi="Arial"/>
                <w:sz w:val="10"/>
                <w:szCs w:val="10"/>
                <w:color w:val="auto"/>
              </w:rPr>
              <w:t>$</w:t>
            </w:r>
          </w:p>
        </w:tc>
        <w:tc>
          <w:tcPr>
            <w:tcW w:w="800" w:type="dxa"/>
            <w:vAlign w:val="bottom"/>
          </w:tcPr>
          <w:p>
            <w:pPr>
              <w:jc w:val="right"/>
              <w:spacing w:after="0"/>
              <w:rPr>
                <w:sz w:val="20"/>
                <w:szCs w:val="20"/>
                <w:color w:val="auto"/>
              </w:rPr>
            </w:pPr>
            <w:r>
              <w:rPr>
                <w:rFonts w:ascii="Arial" w:cs="Arial" w:eastAsia="Arial" w:hAnsi="Arial"/>
                <w:sz w:val="10"/>
                <w:szCs w:val="10"/>
                <w:color w:val="auto"/>
              </w:rPr>
              <w:t>2,224</w:t>
            </w:r>
          </w:p>
        </w:tc>
        <w:tc>
          <w:tcPr>
            <w:tcW w:w="180" w:type="dxa"/>
            <w:vAlign w:val="bottom"/>
          </w:tcPr>
          <w:p>
            <w:pPr>
              <w:spacing w:after="0"/>
              <w:rPr>
                <w:sz w:val="14"/>
                <w:szCs w:val="14"/>
                <w:color w:val="auto"/>
              </w:rPr>
            </w:pPr>
          </w:p>
        </w:tc>
        <w:tc>
          <w:tcPr>
            <w:tcW w:w="780" w:type="dxa"/>
            <w:vAlign w:val="bottom"/>
          </w:tcPr>
          <w:p>
            <w:pPr>
              <w:jc w:val="right"/>
              <w:ind w:right="152"/>
              <w:spacing w:after="0"/>
              <w:rPr>
                <w:sz w:val="20"/>
                <w:szCs w:val="20"/>
                <w:color w:val="auto"/>
              </w:rPr>
            </w:pPr>
            <w:r>
              <w:rPr>
                <w:rFonts w:ascii="Arial" w:cs="Arial" w:eastAsia="Arial" w:hAnsi="Arial"/>
                <w:sz w:val="10"/>
                <w:szCs w:val="10"/>
                <w:i w:val="1"/>
                <w:iCs w:val="1"/>
                <w:color w:val="auto"/>
              </w:rPr>
              <w:t>43 %</w:t>
            </w:r>
          </w:p>
        </w:tc>
        <w:tc>
          <w:tcPr>
            <w:tcW w:w="180" w:type="dxa"/>
            <w:vAlign w:val="bottom"/>
          </w:tcPr>
          <w:p>
            <w:pPr>
              <w:spacing w:after="0"/>
              <w:rPr>
                <w:sz w:val="14"/>
                <w:szCs w:val="14"/>
                <w:color w:val="auto"/>
              </w:rPr>
            </w:pPr>
          </w:p>
        </w:tc>
        <w:tc>
          <w:tcPr>
            <w:tcW w:w="360" w:type="dxa"/>
            <w:vAlign w:val="bottom"/>
          </w:tcPr>
          <w:p>
            <w:pPr>
              <w:jc w:val="right"/>
              <w:ind w:right="72"/>
              <w:spacing w:after="0"/>
              <w:rPr>
                <w:sz w:val="20"/>
                <w:szCs w:val="20"/>
                <w:color w:val="auto"/>
              </w:rPr>
            </w:pPr>
            <w:r>
              <w:rPr>
                <w:rFonts w:ascii="Arial" w:cs="Arial" w:eastAsia="Arial" w:hAnsi="Arial"/>
                <w:sz w:val="10"/>
                <w:szCs w:val="10"/>
                <w:color w:val="auto"/>
              </w:rPr>
              <w:t>$</w:t>
            </w:r>
          </w:p>
        </w:tc>
        <w:tc>
          <w:tcPr>
            <w:tcW w:w="800" w:type="dxa"/>
            <w:vAlign w:val="bottom"/>
          </w:tcPr>
          <w:p>
            <w:pPr>
              <w:jc w:val="right"/>
              <w:spacing w:after="0"/>
              <w:rPr>
                <w:sz w:val="20"/>
                <w:szCs w:val="20"/>
                <w:color w:val="auto"/>
              </w:rPr>
            </w:pPr>
            <w:r>
              <w:rPr>
                <w:rFonts w:ascii="Arial" w:cs="Arial" w:eastAsia="Arial" w:hAnsi="Arial"/>
                <w:sz w:val="10"/>
                <w:szCs w:val="10"/>
                <w:color w:val="auto"/>
              </w:rPr>
              <w:t>1,975</w:t>
            </w:r>
          </w:p>
        </w:tc>
        <w:tc>
          <w:tcPr>
            <w:tcW w:w="160" w:type="dxa"/>
            <w:vAlign w:val="bottom"/>
          </w:tcPr>
          <w:p>
            <w:pPr>
              <w:spacing w:after="0"/>
              <w:rPr>
                <w:sz w:val="14"/>
                <w:szCs w:val="14"/>
                <w:color w:val="auto"/>
              </w:rPr>
            </w:pPr>
          </w:p>
        </w:tc>
        <w:tc>
          <w:tcPr>
            <w:tcW w:w="780" w:type="dxa"/>
            <w:vAlign w:val="bottom"/>
          </w:tcPr>
          <w:p>
            <w:pPr>
              <w:jc w:val="right"/>
              <w:ind w:right="152"/>
              <w:spacing w:after="0"/>
              <w:rPr>
                <w:sz w:val="20"/>
                <w:szCs w:val="20"/>
                <w:color w:val="auto"/>
              </w:rPr>
            </w:pPr>
            <w:r>
              <w:rPr>
                <w:rFonts w:ascii="Arial" w:cs="Arial" w:eastAsia="Arial" w:hAnsi="Arial"/>
                <w:sz w:val="10"/>
                <w:szCs w:val="10"/>
                <w:i w:val="1"/>
                <w:iCs w:val="1"/>
                <w:color w:val="auto"/>
              </w:rPr>
              <w:t>38 %</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0"/>
                <w:szCs w:val="10"/>
                <w:color w:val="auto"/>
              </w:rPr>
              <w:t>13</w:t>
            </w:r>
          </w:p>
        </w:tc>
        <w:tc>
          <w:tcPr>
            <w:tcW w:w="380" w:type="dxa"/>
            <w:vAlign w:val="bottom"/>
          </w:tcPr>
          <w:p>
            <w:pPr>
              <w:jc w:val="right"/>
              <w:ind w:right="232"/>
              <w:spacing w:after="0"/>
              <w:rPr>
                <w:sz w:val="20"/>
                <w:szCs w:val="20"/>
                <w:color w:val="auto"/>
              </w:rPr>
            </w:pPr>
            <w:r>
              <w:rPr>
                <w:rFonts w:ascii="Arial" w:cs="Arial" w:eastAsia="Arial" w:hAnsi="Arial"/>
                <w:sz w:val="10"/>
                <w:szCs w:val="10"/>
                <w:color w:val="auto"/>
                <w:w w:val="89"/>
              </w:rPr>
              <w:t>%</w:t>
            </w:r>
          </w:p>
        </w:tc>
      </w:tr>
      <w:tr>
        <w:trPr>
          <w:trHeight w:val="171"/>
        </w:trPr>
        <w:tc>
          <w:tcPr>
            <w:tcW w:w="1860" w:type="dxa"/>
            <w:vAlign w:val="bottom"/>
            <w:shd w:val="clear" w:color="auto" w:fill="CCEEFF"/>
          </w:tcPr>
          <w:p>
            <w:pPr>
              <w:ind w:left="800"/>
              <w:spacing w:after="0"/>
              <w:rPr>
                <w:sz w:val="20"/>
                <w:szCs w:val="20"/>
                <w:color w:val="auto"/>
              </w:rPr>
            </w:pPr>
            <w:r>
              <w:rPr>
                <w:rFonts w:ascii="Arial" w:cs="Arial" w:eastAsia="Arial" w:hAnsi="Arial"/>
                <w:sz w:val="10"/>
                <w:szCs w:val="10"/>
                <w:b w:val="1"/>
                <w:bCs w:val="1"/>
                <w:color w:val="auto"/>
              </w:rPr>
              <w:t>Australia</w:t>
            </w:r>
          </w:p>
        </w:tc>
        <w:tc>
          <w:tcPr>
            <w:tcW w:w="29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5,183</w:t>
            </w: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152"/>
              <w:spacing w:after="0"/>
              <w:rPr>
                <w:sz w:val="20"/>
                <w:szCs w:val="20"/>
                <w:color w:val="auto"/>
              </w:rPr>
            </w:pPr>
            <w:r>
              <w:rPr>
                <w:rFonts w:ascii="Arial" w:cs="Arial" w:eastAsia="Arial" w:hAnsi="Arial"/>
                <w:sz w:val="10"/>
                <w:szCs w:val="10"/>
                <w:i w:val="1"/>
                <w:iCs w:val="1"/>
                <w:color w:val="auto"/>
              </w:rPr>
              <w:t>38 %</w:t>
            </w:r>
          </w:p>
        </w:tc>
        <w:tc>
          <w:tcPr>
            <w:tcW w:w="1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5,761</w:t>
            </w: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152"/>
              <w:spacing w:after="0"/>
              <w:rPr>
                <w:sz w:val="20"/>
                <w:szCs w:val="20"/>
                <w:color w:val="auto"/>
              </w:rPr>
            </w:pPr>
            <w:r>
              <w:rPr>
                <w:rFonts w:ascii="Arial" w:cs="Arial" w:eastAsia="Arial" w:hAnsi="Arial"/>
                <w:sz w:val="10"/>
                <w:szCs w:val="10"/>
                <w:i w:val="1"/>
                <w:iCs w:val="1"/>
                <w:color w:val="auto"/>
              </w:rPr>
              <w:t>40 %</w:t>
            </w:r>
          </w:p>
        </w:tc>
        <w:tc>
          <w:tcPr>
            <w:tcW w:w="18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232"/>
              <w:spacing w:after="0"/>
              <w:rPr>
                <w:sz w:val="20"/>
                <w:szCs w:val="20"/>
                <w:color w:val="auto"/>
              </w:rPr>
            </w:pPr>
            <w:r>
              <w:rPr>
                <w:rFonts w:ascii="Arial" w:cs="Arial" w:eastAsia="Arial" w:hAnsi="Arial"/>
                <w:sz w:val="10"/>
                <w:szCs w:val="10"/>
                <w:color w:val="auto"/>
              </w:rPr>
              <w:t>(10) %</w:t>
            </w:r>
          </w:p>
        </w:tc>
      </w:tr>
      <w:tr>
        <w:trPr>
          <w:trHeight w:val="171"/>
        </w:trPr>
        <w:tc>
          <w:tcPr>
            <w:tcW w:w="1860" w:type="dxa"/>
            <w:vAlign w:val="bottom"/>
          </w:tcPr>
          <w:p>
            <w:pPr>
              <w:ind w:left="800"/>
              <w:spacing w:after="0"/>
              <w:rPr>
                <w:sz w:val="20"/>
                <w:szCs w:val="20"/>
                <w:color w:val="auto"/>
              </w:rPr>
            </w:pPr>
            <w:r>
              <w:rPr>
                <w:rFonts w:ascii="Arial" w:cs="Arial" w:eastAsia="Arial" w:hAnsi="Arial"/>
                <w:sz w:val="10"/>
                <w:szCs w:val="10"/>
                <w:b w:val="1"/>
                <w:bCs w:val="1"/>
                <w:color w:val="auto"/>
              </w:rPr>
              <w:t>New Zealand</w:t>
            </w:r>
          </w:p>
        </w:tc>
        <w:tc>
          <w:tcPr>
            <w:tcW w:w="2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0"/>
                <w:szCs w:val="10"/>
                <w:color w:val="auto"/>
              </w:rPr>
              <w:t>2,068</w:t>
            </w:r>
          </w:p>
        </w:tc>
        <w:tc>
          <w:tcPr>
            <w:tcW w:w="180" w:type="dxa"/>
            <w:vAlign w:val="bottom"/>
          </w:tcPr>
          <w:p>
            <w:pPr>
              <w:spacing w:after="0"/>
              <w:rPr>
                <w:sz w:val="14"/>
                <w:szCs w:val="14"/>
                <w:color w:val="auto"/>
              </w:rPr>
            </w:pPr>
          </w:p>
        </w:tc>
        <w:tc>
          <w:tcPr>
            <w:tcW w:w="780" w:type="dxa"/>
            <w:vAlign w:val="bottom"/>
          </w:tcPr>
          <w:p>
            <w:pPr>
              <w:jc w:val="right"/>
              <w:ind w:right="152"/>
              <w:spacing w:after="0"/>
              <w:rPr>
                <w:sz w:val="20"/>
                <w:szCs w:val="20"/>
                <w:color w:val="auto"/>
              </w:rPr>
            </w:pPr>
            <w:r>
              <w:rPr>
                <w:rFonts w:ascii="Arial" w:cs="Arial" w:eastAsia="Arial" w:hAnsi="Arial"/>
                <w:sz w:val="10"/>
                <w:szCs w:val="10"/>
                <w:i w:val="1"/>
                <w:iCs w:val="1"/>
                <w:color w:val="auto"/>
              </w:rPr>
              <w:t>37 %</w:t>
            </w: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0"/>
                <w:szCs w:val="10"/>
                <w:color w:val="auto"/>
              </w:rPr>
              <w:t>3,223</w:t>
            </w:r>
          </w:p>
        </w:tc>
        <w:tc>
          <w:tcPr>
            <w:tcW w:w="160" w:type="dxa"/>
            <w:vAlign w:val="bottom"/>
          </w:tcPr>
          <w:p>
            <w:pPr>
              <w:spacing w:after="0"/>
              <w:rPr>
                <w:sz w:val="14"/>
                <w:szCs w:val="14"/>
                <w:color w:val="auto"/>
              </w:rPr>
            </w:pPr>
          </w:p>
        </w:tc>
        <w:tc>
          <w:tcPr>
            <w:tcW w:w="780" w:type="dxa"/>
            <w:vAlign w:val="bottom"/>
          </w:tcPr>
          <w:p>
            <w:pPr>
              <w:jc w:val="right"/>
              <w:ind w:right="152"/>
              <w:spacing w:after="0"/>
              <w:rPr>
                <w:sz w:val="20"/>
                <w:szCs w:val="20"/>
                <w:color w:val="auto"/>
              </w:rPr>
            </w:pPr>
            <w:r>
              <w:rPr>
                <w:rFonts w:ascii="Arial" w:cs="Arial" w:eastAsia="Arial" w:hAnsi="Arial"/>
                <w:sz w:val="10"/>
                <w:szCs w:val="10"/>
                <w:i w:val="1"/>
                <w:iCs w:val="1"/>
                <w:color w:val="auto"/>
              </w:rPr>
              <w:t>47 %</w:t>
            </w:r>
          </w:p>
        </w:tc>
        <w:tc>
          <w:tcPr>
            <w:tcW w:w="180" w:type="dxa"/>
            <w:vAlign w:val="bottom"/>
          </w:tcPr>
          <w:p>
            <w:pPr>
              <w:spacing w:after="0"/>
              <w:rPr>
                <w:sz w:val="14"/>
                <w:szCs w:val="14"/>
                <w:color w:val="auto"/>
              </w:rPr>
            </w:pPr>
          </w:p>
        </w:tc>
        <w:tc>
          <w:tcPr>
            <w:tcW w:w="1080" w:type="dxa"/>
            <w:vAlign w:val="bottom"/>
            <w:gridSpan w:val="2"/>
          </w:tcPr>
          <w:p>
            <w:pPr>
              <w:jc w:val="right"/>
              <w:ind w:right="232"/>
              <w:spacing w:after="0"/>
              <w:rPr>
                <w:sz w:val="20"/>
                <w:szCs w:val="20"/>
                <w:color w:val="auto"/>
              </w:rPr>
            </w:pPr>
            <w:r>
              <w:rPr>
                <w:rFonts w:ascii="Arial" w:cs="Arial" w:eastAsia="Arial" w:hAnsi="Arial"/>
                <w:sz w:val="10"/>
                <w:szCs w:val="10"/>
                <w:color w:val="auto"/>
              </w:rPr>
              <w:t>(36) %</w:t>
            </w:r>
          </w:p>
        </w:tc>
      </w:tr>
      <w:tr>
        <w:trPr>
          <w:trHeight w:val="81"/>
        </w:trPr>
        <w:tc>
          <w:tcPr>
            <w:tcW w:w="1860" w:type="dxa"/>
            <w:vAlign w:val="bottom"/>
            <w:shd w:val="clear" w:color="auto" w:fill="CCEEFF"/>
          </w:tcPr>
          <w:p>
            <w:pPr>
              <w:spacing w:after="0"/>
              <w:rPr>
                <w:sz w:val="7"/>
                <w:szCs w:val="7"/>
                <w:color w:val="auto"/>
              </w:rPr>
            </w:pPr>
          </w:p>
        </w:tc>
        <w:tc>
          <w:tcPr>
            <w:tcW w:w="29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380" w:type="dxa"/>
            <w:vAlign w:val="bottom"/>
            <w:tcBorders>
              <w:bottom w:val="single" w:sz="8" w:color="auto"/>
            </w:tcBorders>
            <w:shd w:val="clear" w:color="auto" w:fill="CCEEFF"/>
          </w:tcPr>
          <w:p>
            <w:pPr>
              <w:spacing w:after="0"/>
              <w:rPr>
                <w:sz w:val="7"/>
                <w:szCs w:val="7"/>
                <w:color w:val="auto"/>
              </w:rPr>
            </w:pPr>
          </w:p>
        </w:tc>
        <w:tc>
          <w:tcPr>
            <w:tcW w:w="800" w:type="dxa"/>
            <w:vAlign w:val="bottom"/>
            <w:tcBorders>
              <w:bottom w:val="single" w:sz="8" w:color="auto"/>
            </w:tcBorders>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360" w:type="dxa"/>
            <w:vAlign w:val="bottom"/>
            <w:tcBorders>
              <w:bottom w:val="single" w:sz="8" w:color="auto"/>
            </w:tcBorders>
            <w:shd w:val="clear" w:color="auto" w:fill="CCEEFF"/>
          </w:tcPr>
          <w:p>
            <w:pPr>
              <w:spacing w:after="0"/>
              <w:rPr>
                <w:sz w:val="7"/>
                <w:szCs w:val="7"/>
                <w:color w:val="auto"/>
              </w:rPr>
            </w:pPr>
          </w:p>
        </w:tc>
        <w:tc>
          <w:tcPr>
            <w:tcW w:w="800" w:type="dxa"/>
            <w:vAlign w:val="bottom"/>
            <w:tcBorders>
              <w:bottom w:val="single" w:sz="8" w:color="auto"/>
            </w:tcBorders>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080" w:type="dxa"/>
            <w:vAlign w:val="bottom"/>
            <w:gridSpan w:val="2"/>
            <w:shd w:val="clear" w:color="auto" w:fill="CCEEFF"/>
          </w:tcPr>
          <w:p>
            <w:pPr>
              <w:spacing w:after="0"/>
              <w:rPr>
                <w:sz w:val="7"/>
                <w:szCs w:val="7"/>
                <w:color w:val="auto"/>
              </w:rPr>
            </w:pPr>
          </w:p>
        </w:tc>
      </w:tr>
      <w:tr>
        <w:trPr>
          <w:trHeight w:val="142"/>
        </w:trPr>
        <w:tc>
          <w:tcPr>
            <w:tcW w:w="1860" w:type="dxa"/>
            <w:vAlign w:val="bottom"/>
          </w:tcPr>
          <w:p>
            <w:pPr>
              <w:ind w:left="800"/>
              <w:spacing w:after="0"/>
              <w:rPr>
                <w:sz w:val="20"/>
                <w:szCs w:val="20"/>
                <w:color w:val="auto"/>
              </w:rPr>
            </w:pPr>
            <w:r>
              <w:rPr>
                <w:rFonts w:ascii="Arial" w:cs="Arial" w:eastAsia="Arial" w:hAnsi="Arial"/>
                <w:sz w:val="10"/>
                <w:szCs w:val="10"/>
                <w:b w:val="1"/>
                <w:bCs w:val="1"/>
                <w:color w:val="auto"/>
                <w:w w:val="94"/>
              </w:rPr>
              <w:t>Total operating income</w:t>
            </w:r>
          </w:p>
        </w:tc>
        <w:tc>
          <w:tcPr>
            <w:tcW w:w="2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b w:val="1"/>
                <w:bCs w:val="1"/>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9,475</w:t>
            </w:r>
          </w:p>
        </w:tc>
        <w:tc>
          <w:tcPr>
            <w:tcW w:w="180" w:type="dxa"/>
            <w:vAlign w:val="bottom"/>
          </w:tcPr>
          <w:p>
            <w:pPr>
              <w:spacing w:after="0"/>
              <w:rPr>
                <w:sz w:val="12"/>
                <w:szCs w:val="12"/>
                <w:color w:val="auto"/>
              </w:rPr>
            </w:pPr>
          </w:p>
        </w:tc>
        <w:tc>
          <w:tcPr>
            <w:tcW w:w="780" w:type="dxa"/>
            <w:vAlign w:val="bottom"/>
          </w:tcPr>
          <w:p>
            <w:pPr>
              <w:jc w:val="right"/>
              <w:ind w:right="152"/>
              <w:spacing w:after="0"/>
              <w:rPr>
                <w:sz w:val="20"/>
                <w:szCs w:val="20"/>
                <w:color w:val="auto"/>
              </w:rPr>
            </w:pPr>
            <w:r>
              <w:rPr>
                <w:rFonts w:ascii="Arial" w:cs="Arial" w:eastAsia="Arial" w:hAnsi="Arial"/>
                <w:sz w:val="10"/>
                <w:szCs w:val="10"/>
                <w:i w:val="1"/>
                <w:iCs w:val="1"/>
                <w:color w:val="auto"/>
              </w:rPr>
              <w:t>39 %</w:t>
            </w:r>
          </w:p>
        </w:tc>
        <w:tc>
          <w:tcPr>
            <w:tcW w:w="180" w:type="dxa"/>
            <w:vAlign w:val="bottom"/>
          </w:tcPr>
          <w:p>
            <w:pPr>
              <w:spacing w:after="0"/>
              <w:rPr>
                <w:sz w:val="12"/>
                <w:szCs w:val="12"/>
                <w:color w:val="auto"/>
              </w:rPr>
            </w:pPr>
          </w:p>
        </w:tc>
        <w:tc>
          <w:tcPr>
            <w:tcW w:w="36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b w:val="1"/>
                <w:bCs w:val="1"/>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10,959</w:t>
            </w:r>
          </w:p>
        </w:tc>
        <w:tc>
          <w:tcPr>
            <w:tcW w:w="160" w:type="dxa"/>
            <w:vAlign w:val="bottom"/>
          </w:tcPr>
          <w:p>
            <w:pPr>
              <w:spacing w:after="0"/>
              <w:rPr>
                <w:sz w:val="12"/>
                <w:szCs w:val="12"/>
                <w:color w:val="auto"/>
              </w:rPr>
            </w:pPr>
          </w:p>
        </w:tc>
        <w:tc>
          <w:tcPr>
            <w:tcW w:w="780" w:type="dxa"/>
            <w:vAlign w:val="bottom"/>
          </w:tcPr>
          <w:p>
            <w:pPr>
              <w:jc w:val="right"/>
              <w:ind w:right="152"/>
              <w:spacing w:after="0"/>
              <w:rPr>
                <w:sz w:val="20"/>
                <w:szCs w:val="20"/>
                <w:color w:val="auto"/>
              </w:rPr>
            </w:pPr>
            <w:r>
              <w:rPr>
                <w:rFonts w:ascii="Arial" w:cs="Arial" w:eastAsia="Arial" w:hAnsi="Arial"/>
                <w:sz w:val="10"/>
                <w:szCs w:val="10"/>
                <w:i w:val="1"/>
                <w:iCs w:val="1"/>
                <w:color w:val="auto"/>
              </w:rPr>
              <w:t>41 %</w:t>
            </w:r>
          </w:p>
        </w:tc>
        <w:tc>
          <w:tcPr>
            <w:tcW w:w="180" w:type="dxa"/>
            <w:vAlign w:val="bottom"/>
          </w:tcPr>
          <w:p>
            <w:pPr>
              <w:spacing w:after="0"/>
              <w:rPr>
                <w:sz w:val="12"/>
                <w:szCs w:val="12"/>
                <w:color w:val="auto"/>
              </w:rPr>
            </w:pPr>
          </w:p>
        </w:tc>
        <w:tc>
          <w:tcPr>
            <w:tcW w:w="1080" w:type="dxa"/>
            <w:vAlign w:val="bottom"/>
            <w:gridSpan w:val="2"/>
          </w:tcPr>
          <w:p>
            <w:pPr>
              <w:jc w:val="right"/>
              <w:ind w:right="232"/>
              <w:spacing w:after="0"/>
              <w:rPr>
                <w:sz w:val="20"/>
                <w:szCs w:val="20"/>
                <w:color w:val="auto"/>
              </w:rPr>
            </w:pPr>
            <w:r>
              <w:rPr>
                <w:rFonts w:ascii="Arial" w:cs="Arial" w:eastAsia="Arial" w:hAnsi="Arial"/>
                <w:sz w:val="10"/>
                <w:szCs w:val="10"/>
                <w:color w:val="auto"/>
              </w:rPr>
              <w:t>(14) %</w:t>
            </w:r>
          </w:p>
        </w:tc>
      </w:tr>
    </w:tbl>
    <w:p>
      <w:pPr>
        <w:spacing w:after="0" w:line="27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59690</wp:posOffset>
            </wp:positionV>
            <wp:extent cx="677989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779895" cy="42545"/>
                    </a:xfrm>
                    <a:prstGeom prst="rect">
                      <a:avLst/>
                    </a:prstGeom>
                    <a:noFill/>
                  </pic:spPr>
                </pic:pic>
              </a:graphicData>
            </a:graphic>
          </wp:anchor>
        </w:drawing>
      </w:r>
    </w:p>
    <w:p>
      <w:pPr>
        <w:sectPr>
          <w:pgSz w:w="11900" w:h="16838" w:orient="portrait"/>
          <w:cols w:equalWidth="0" w:num="1">
            <w:col w:w="10620"/>
          </w:cols>
          <w:pgMar w:left="640" w:top="127" w:right="639" w:bottom="1440" w:gutter="0" w:footer="0" w:header="0"/>
        </w:sectPr>
      </w:pPr>
    </w:p>
    <w:bookmarkStart w:id="46" w:name="page47"/>
    <w:bookmarkEnd w:id="46"/>
    <w:p>
      <w:pPr>
        <w:spacing w:after="0"/>
        <w:rPr>
          <w:sz w:val="20"/>
          <w:szCs w:val="20"/>
          <w:color w:val="auto"/>
        </w:rPr>
      </w:pPr>
      <w:r>
        <w:rPr>
          <w:rFonts w:ascii="Arial" w:cs="Arial" w:eastAsia="Arial" w:hAnsi="Arial"/>
          <w:sz w:val="12"/>
          <w:szCs w:val="12"/>
          <w:b w:val="1"/>
          <w:bCs w:val="1"/>
          <w:i w:val="1"/>
          <w:iCs w:val="1"/>
          <w:color w:val="auto"/>
        </w:rPr>
        <w:t>Real Estate segment operating income</w:t>
      </w:r>
    </w:p>
    <w:p>
      <w:pPr>
        <w:spacing w:after="0" w:line="123" w:lineRule="exact"/>
        <w:rPr>
          <w:sz w:val="20"/>
          <w:szCs w:val="20"/>
          <w:color w:val="auto"/>
        </w:rPr>
      </w:pPr>
    </w:p>
    <w:p>
      <w:pPr>
        <w:ind w:right="260"/>
        <w:spacing w:after="0" w:line="276" w:lineRule="auto"/>
        <w:rPr>
          <w:sz w:val="20"/>
          <w:szCs w:val="20"/>
          <w:color w:val="auto"/>
        </w:rPr>
      </w:pPr>
      <w:r>
        <w:rPr>
          <w:rFonts w:ascii="Arial" w:cs="Arial" w:eastAsia="Arial" w:hAnsi="Arial"/>
          <w:sz w:val="12"/>
          <w:szCs w:val="12"/>
          <w:color w:val="auto"/>
        </w:rPr>
        <w:t>Real estate segment operating income decreased by $1.5 million or 14%, to $9.5 million for 2014 compared to 2013, primarily attributable to 8% lower revenue, partially offset by 4% lower operating expense. Refer below for further explanation.</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Revenue</w:t>
      </w:r>
    </w:p>
    <w:p>
      <w:pPr>
        <w:spacing w:after="0" w:line="150" w:lineRule="exact"/>
        <w:rPr>
          <w:sz w:val="20"/>
          <w:szCs w:val="20"/>
          <w:color w:val="auto"/>
        </w:rPr>
      </w:pPr>
    </w:p>
    <w:p>
      <w:pPr>
        <w:ind w:right="360"/>
        <w:spacing w:after="0" w:line="276" w:lineRule="auto"/>
        <w:rPr>
          <w:sz w:val="20"/>
          <w:szCs w:val="20"/>
          <w:color w:val="auto"/>
        </w:rPr>
      </w:pPr>
      <w:r>
        <w:rPr>
          <w:rFonts w:ascii="Arial" w:cs="Arial" w:eastAsia="Arial" w:hAnsi="Arial"/>
          <w:sz w:val="12"/>
          <w:szCs w:val="12"/>
          <w:color w:val="auto"/>
        </w:rPr>
        <w:t>Real estate revenue decreased by $2.1 million or 8.0%, compared to 2013, this primarily due to the closure of the Courtney Central car park building in Wellington, New Zealand. The car park building re-opened in November 2014.</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Cost of services and products</w:t>
      </w:r>
    </w:p>
    <w:p>
      <w:pPr>
        <w:spacing w:after="0" w:line="78" w:lineRule="exact"/>
        <w:rPr>
          <w:sz w:val="20"/>
          <w:szCs w:val="20"/>
          <w:color w:val="auto"/>
        </w:rPr>
      </w:pPr>
    </w:p>
    <w:p>
      <w:pPr>
        <w:ind w:right="40"/>
        <w:spacing w:after="0" w:line="276" w:lineRule="auto"/>
        <w:rPr>
          <w:sz w:val="20"/>
          <w:szCs w:val="20"/>
          <w:color w:val="auto"/>
        </w:rPr>
      </w:pPr>
      <w:r>
        <w:rPr>
          <w:rFonts w:ascii="Arial" w:cs="Arial" w:eastAsia="Arial" w:hAnsi="Arial"/>
          <w:sz w:val="12"/>
          <w:szCs w:val="12"/>
          <w:color w:val="auto"/>
        </w:rPr>
        <w:t>Cost of services and products for the real estate segment decreased by $1.1 million or 10%, compared to 2013. The main reduction in real estate operating expense was achieved in Australia and was as a result of the sale of our Burwood property, which led to significantly reduced property taxes compared to 2013.</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Depreciation, amortization, general and administrative expense</w:t>
      </w:r>
    </w:p>
    <w:p>
      <w:pPr>
        <w:spacing w:after="0" w:line="78" w:lineRule="exact"/>
        <w:rPr>
          <w:sz w:val="20"/>
          <w:szCs w:val="20"/>
          <w:color w:val="auto"/>
        </w:rPr>
      </w:pPr>
    </w:p>
    <w:p>
      <w:pPr>
        <w:jc w:val="both"/>
        <w:ind w:right="180"/>
        <w:spacing w:after="0" w:line="276" w:lineRule="auto"/>
        <w:rPr>
          <w:sz w:val="20"/>
          <w:szCs w:val="20"/>
          <w:color w:val="auto"/>
        </w:rPr>
      </w:pPr>
      <w:r>
        <w:rPr>
          <w:rFonts w:ascii="Arial" w:cs="Arial" w:eastAsia="Arial" w:hAnsi="Arial"/>
          <w:sz w:val="12"/>
          <w:szCs w:val="12"/>
          <w:color w:val="auto"/>
        </w:rPr>
        <w:t>Depreciation, amortization, general and administrative expense for 2014 increased by $436,000 or 9%. This was primarily driven by general and administrative costs increasing by $446,000 in Australia, due mainly to personnel changes in the Australian real estate department.</w:t>
      </w:r>
    </w:p>
    <w:p>
      <w:pPr>
        <w:spacing w:after="0" w:line="35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BUSINESS PLAN, LIQUIDITY AND CAPITAL RESOURCES</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Business plan</w:t>
      </w:r>
    </w:p>
    <w:p>
      <w:pPr>
        <w:spacing w:after="0" w:line="136" w:lineRule="exact"/>
        <w:rPr>
          <w:sz w:val="20"/>
          <w:szCs w:val="20"/>
          <w:color w:val="auto"/>
        </w:rPr>
      </w:pPr>
    </w:p>
    <w:p>
      <w:pPr>
        <w:jc w:val="both"/>
        <w:ind w:right="160"/>
        <w:spacing w:after="0" w:line="276" w:lineRule="auto"/>
        <w:rPr>
          <w:sz w:val="20"/>
          <w:szCs w:val="20"/>
          <w:color w:val="auto"/>
        </w:rPr>
      </w:pPr>
      <w:r>
        <w:rPr>
          <w:rFonts w:ascii="Arial" w:cs="Arial" w:eastAsia="Arial" w:hAnsi="Arial"/>
          <w:sz w:val="12"/>
          <w:szCs w:val="12"/>
          <w:color w:val="auto"/>
        </w:rPr>
        <w:t>Our cinema exhibition business plan is to enhance our current cinemas where it is financially viable to do so; develop our specialty cinemas in select markets; expand our food and beverage offering and; continue on an opportunistic basis, to identify, develop, and acquire cinema properties that allow us to leverage our cinema expertise and technology over a larger operating base.</w:t>
      </w:r>
    </w:p>
    <w:p>
      <w:pPr>
        <w:spacing w:after="0" w:line="88" w:lineRule="exact"/>
        <w:rPr>
          <w:sz w:val="20"/>
          <w:szCs w:val="20"/>
          <w:color w:val="auto"/>
        </w:rPr>
      </w:pPr>
    </w:p>
    <w:p>
      <w:pPr>
        <w:jc w:val="both"/>
        <w:ind w:right="180"/>
        <w:spacing w:after="0" w:line="263" w:lineRule="auto"/>
        <w:rPr>
          <w:sz w:val="20"/>
          <w:szCs w:val="20"/>
          <w:color w:val="auto"/>
        </w:rPr>
      </w:pPr>
      <w:r>
        <w:rPr>
          <w:rFonts w:ascii="Arial" w:cs="Arial" w:eastAsia="Arial" w:hAnsi="Arial"/>
          <w:sz w:val="12"/>
          <w:szCs w:val="12"/>
          <w:color w:val="auto"/>
        </w:rPr>
        <w:t>Our real estate business plan, given the substantial increase in Manhattan rents and commercial real estate values in recent periods, is to progress the redevelopment of our Union Square and Cinemas 1,2,3 properties in the US; to build-out our Newmarket and Auburn sites in Australia as well as our Courtenay Central site in New Zealand; and to continue to be sensitive to opportunities to convert our entertainment assets to higher and better uses, or, where appropriate, to dispose of such assets.</w:t>
      </w:r>
    </w:p>
    <w:p>
      <w:pPr>
        <w:spacing w:after="0" w:line="96" w:lineRule="exact"/>
        <w:rPr>
          <w:sz w:val="20"/>
          <w:szCs w:val="20"/>
          <w:color w:val="auto"/>
        </w:rPr>
      </w:pPr>
    </w:p>
    <w:p>
      <w:pPr>
        <w:spacing w:after="0"/>
        <w:rPr>
          <w:sz w:val="20"/>
          <w:szCs w:val="20"/>
          <w:color w:val="auto"/>
        </w:rPr>
      </w:pPr>
      <w:r>
        <w:rPr>
          <w:rFonts w:ascii="Arial" w:cs="Arial" w:eastAsia="Arial" w:hAnsi="Arial"/>
          <w:sz w:val="12"/>
          <w:szCs w:val="12"/>
          <w:color w:val="auto"/>
        </w:rPr>
        <w:t>We will also continue to investigate potential synergistic acquisitions that may not readily fall into either our cinema or real estate segment.</w:t>
      </w:r>
    </w:p>
    <w:p>
      <w:pPr>
        <w:spacing w:after="0" w:line="12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Liquidity and capital resources</w:t>
      </w:r>
    </w:p>
    <w:p>
      <w:pPr>
        <w:spacing w:after="0" w:line="127" w:lineRule="exact"/>
        <w:rPr>
          <w:sz w:val="20"/>
          <w:szCs w:val="20"/>
          <w:color w:val="auto"/>
        </w:rPr>
      </w:pPr>
    </w:p>
    <w:p>
      <w:pPr>
        <w:ind w:right="20"/>
        <w:spacing w:after="0" w:line="263" w:lineRule="auto"/>
        <w:rPr>
          <w:sz w:val="20"/>
          <w:szCs w:val="20"/>
          <w:color w:val="auto"/>
        </w:rPr>
      </w:pPr>
      <w:r>
        <w:rPr>
          <w:rFonts w:ascii="Arial" w:cs="Arial" w:eastAsia="Arial" w:hAnsi="Arial"/>
          <w:sz w:val="12"/>
          <w:szCs w:val="12"/>
          <w:color w:val="auto"/>
        </w:rPr>
        <w:t>Liquidity risk is the risk relating to our ability to meet our financial obligations when they come due. In today’s environment, our financial obligations arise mainly from capital expenditure needs, working capital requirements, and debt servicing requirements. We manage the liquidity risk by ensuring our ability to generate sufficient cash flows from operating activities and to obtain adequate, reasonable financing and/or to convert non-performing or non-strategic assets into cash.</w:t>
      </w:r>
    </w:p>
    <w:p>
      <w:pPr>
        <w:spacing w:after="0" w:line="96" w:lineRule="exact"/>
        <w:rPr>
          <w:sz w:val="20"/>
          <w:szCs w:val="20"/>
          <w:color w:val="auto"/>
        </w:rPr>
      </w:pPr>
    </w:p>
    <w:p>
      <w:pPr>
        <w:spacing w:after="0"/>
        <w:rPr>
          <w:sz w:val="20"/>
          <w:szCs w:val="20"/>
          <w:color w:val="auto"/>
        </w:rPr>
      </w:pPr>
      <w:r>
        <w:rPr>
          <w:rFonts w:ascii="Arial" w:cs="Arial" w:eastAsia="Arial" w:hAnsi="Arial"/>
          <w:sz w:val="12"/>
          <w:szCs w:val="12"/>
          <w:color w:val="auto"/>
        </w:rPr>
        <w:t>The change in cash and cash equivalents is as follows: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38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1540" w:type="dxa"/>
            <w:vAlign w:val="bottom"/>
            <w:tcBorders>
              <w:bottom w:val="single" w:sz="8" w:color="auto"/>
            </w:tcBorders>
            <w:gridSpan w:val="3"/>
          </w:tcPr>
          <w:p>
            <w:pPr>
              <w:jc w:val="right"/>
              <w:ind w:right="1012"/>
              <w:spacing w:after="0"/>
              <w:rPr>
                <w:sz w:val="20"/>
                <w:szCs w:val="20"/>
                <w:color w:val="auto"/>
              </w:rPr>
            </w:pPr>
            <w:r>
              <w:rPr>
                <w:rFonts w:ascii="Arial" w:cs="Arial" w:eastAsia="Arial" w:hAnsi="Arial"/>
                <w:sz w:val="10"/>
                <w:szCs w:val="10"/>
                <w:b w:val="1"/>
                <w:bCs w:val="1"/>
                <w:color w:val="auto"/>
                <w:w w:val="95"/>
              </w:rPr>
              <w:t>% Change</w:t>
            </w:r>
          </w:p>
        </w:tc>
      </w:tr>
      <w:tr>
        <w:trPr>
          <w:trHeight w:val="196"/>
        </w:trPr>
        <w:tc>
          <w:tcPr>
            <w:tcW w:w="382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(Dollars in thousands)</w:t>
            </w:r>
          </w:p>
        </w:tc>
        <w:tc>
          <w:tcPr>
            <w:tcW w:w="2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432"/>
              <w:spacing w:after="0"/>
              <w:rPr>
                <w:sz w:val="20"/>
                <w:szCs w:val="20"/>
                <w:color w:val="auto"/>
              </w:rPr>
            </w:pPr>
            <w:r>
              <w:rPr>
                <w:rFonts w:ascii="Arial" w:cs="Arial" w:eastAsia="Arial" w:hAnsi="Arial"/>
                <w:sz w:val="10"/>
                <w:szCs w:val="10"/>
                <w:b w:val="1"/>
                <w:bCs w:val="1"/>
                <w:color w:val="auto"/>
              </w:rPr>
              <w:t>2015</w:t>
            </w:r>
          </w:p>
        </w:tc>
        <w:tc>
          <w:tcPr>
            <w:tcW w:w="2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ind w:left="140"/>
              <w:spacing w:after="0"/>
              <w:rPr>
                <w:sz w:val="20"/>
                <w:szCs w:val="20"/>
                <w:color w:val="auto"/>
              </w:rPr>
            </w:pPr>
            <w:r>
              <w:rPr>
                <w:rFonts w:ascii="Arial" w:cs="Arial" w:eastAsia="Arial" w:hAnsi="Arial"/>
                <w:sz w:val="10"/>
                <w:szCs w:val="10"/>
                <w:b w:val="1"/>
                <w:bCs w:val="1"/>
                <w:color w:val="auto"/>
              </w:rPr>
              <w:t>2014</w:t>
            </w:r>
          </w:p>
        </w:tc>
        <w:tc>
          <w:tcPr>
            <w:tcW w:w="2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432"/>
              <w:spacing w:after="0"/>
              <w:rPr>
                <w:sz w:val="20"/>
                <w:szCs w:val="20"/>
                <w:color w:val="auto"/>
              </w:rPr>
            </w:pPr>
            <w:r>
              <w:rPr>
                <w:rFonts w:ascii="Arial" w:cs="Arial" w:eastAsia="Arial" w:hAnsi="Arial"/>
                <w:sz w:val="10"/>
                <w:szCs w:val="10"/>
                <w:b w:val="1"/>
                <w:bCs w:val="1"/>
                <w:color w:val="auto"/>
              </w:rPr>
              <w:t>2013</w:t>
            </w:r>
          </w:p>
        </w:tc>
        <w:tc>
          <w:tcPr>
            <w:tcW w:w="20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jc w:val="right"/>
              <w:ind w:right="132"/>
              <w:spacing w:after="0"/>
              <w:rPr>
                <w:sz w:val="20"/>
                <w:szCs w:val="20"/>
                <w:color w:val="auto"/>
              </w:rPr>
            </w:pPr>
            <w:r>
              <w:rPr>
                <w:rFonts w:ascii="Arial" w:cs="Arial" w:eastAsia="Arial" w:hAnsi="Arial"/>
                <w:sz w:val="10"/>
                <w:szCs w:val="10"/>
                <w:b w:val="1"/>
                <w:bCs w:val="1"/>
                <w:color w:val="auto"/>
              </w:rPr>
              <w:t>2015 vs. 2014</w:t>
            </w:r>
          </w:p>
        </w:tc>
        <w:tc>
          <w:tcPr>
            <w:tcW w:w="140" w:type="dxa"/>
            <w:vAlign w:val="bottom"/>
            <w:tcBorders>
              <w:bottom w:val="single" w:sz="8" w:color="auto"/>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tcPr>
          <w:p>
            <w:pPr>
              <w:jc w:val="right"/>
              <w:ind w:right="272"/>
              <w:spacing w:after="0"/>
              <w:rPr>
                <w:sz w:val="20"/>
                <w:szCs w:val="20"/>
                <w:color w:val="auto"/>
              </w:rPr>
            </w:pPr>
            <w:r>
              <w:rPr>
                <w:rFonts w:ascii="Arial" w:cs="Arial" w:eastAsia="Arial" w:hAnsi="Arial"/>
                <w:sz w:val="10"/>
                <w:szCs w:val="10"/>
                <w:b w:val="1"/>
                <w:bCs w:val="1"/>
                <w:color w:val="auto"/>
              </w:rPr>
              <w:t>2014 vs. 2013</w:t>
            </w:r>
          </w:p>
        </w:tc>
      </w:tr>
      <w:tr>
        <w:trPr>
          <w:trHeight w:val="205"/>
        </w:trPr>
        <w:tc>
          <w:tcPr>
            <w:tcW w:w="402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Net cash provided by operating activities</w:t>
            </w:r>
          </w:p>
        </w:tc>
        <w:tc>
          <w:tcPr>
            <w:tcW w:w="32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28,574</w:t>
            </w: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rPr>
              <w:t>$</w:t>
            </w:r>
          </w:p>
        </w:tc>
        <w:tc>
          <w:tcPr>
            <w:tcW w:w="800" w:type="dxa"/>
            <w:vAlign w:val="bottom"/>
            <w:shd w:val="clear" w:color="auto" w:fill="CCEEFF"/>
          </w:tcPr>
          <w:p>
            <w:pPr>
              <w:ind w:left="520"/>
              <w:spacing w:after="0"/>
              <w:rPr>
                <w:sz w:val="20"/>
                <w:szCs w:val="20"/>
                <w:color w:val="auto"/>
              </w:rPr>
            </w:pPr>
            <w:r>
              <w:rPr>
                <w:rFonts w:ascii="Arial" w:cs="Arial" w:eastAsia="Arial" w:hAnsi="Arial"/>
                <w:sz w:val="10"/>
                <w:szCs w:val="10"/>
                <w:color w:val="auto"/>
                <w:w w:val="84"/>
              </w:rPr>
              <w:t>28,343</w:t>
            </w: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25,183</w:t>
            </w: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1 %</w:t>
            </w:r>
          </w:p>
        </w:tc>
        <w:tc>
          <w:tcPr>
            <w:tcW w:w="1540" w:type="dxa"/>
            <w:vAlign w:val="bottom"/>
            <w:gridSpan w:val="3"/>
            <w:shd w:val="clear" w:color="auto" w:fill="CCEEFF"/>
          </w:tcPr>
          <w:p>
            <w:pPr>
              <w:jc w:val="right"/>
              <w:ind w:right="152"/>
              <w:spacing w:after="0"/>
              <w:rPr>
                <w:sz w:val="20"/>
                <w:szCs w:val="20"/>
                <w:color w:val="auto"/>
              </w:rPr>
            </w:pPr>
            <w:r>
              <w:rPr>
                <w:rFonts w:ascii="Arial" w:cs="Arial" w:eastAsia="Arial" w:hAnsi="Arial"/>
                <w:sz w:val="10"/>
                <w:szCs w:val="10"/>
                <w:color w:val="auto"/>
              </w:rPr>
              <w:t>13 %</w:t>
            </w:r>
          </w:p>
        </w:tc>
      </w:tr>
      <w:tr>
        <w:trPr>
          <w:trHeight w:val="216"/>
        </w:trPr>
        <w:tc>
          <w:tcPr>
            <w:tcW w:w="4020" w:type="dxa"/>
            <w:vAlign w:val="bottom"/>
            <w:gridSpan w:val="2"/>
          </w:tcPr>
          <w:p>
            <w:pPr>
              <w:spacing w:after="0"/>
              <w:rPr>
                <w:sz w:val="20"/>
                <w:szCs w:val="20"/>
                <w:color w:val="auto"/>
              </w:rPr>
            </w:pPr>
            <w:r>
              <w:rPr>
                <w:rFonts w:ascii="Arial" w:cs="Arial" w:eastAsia="Arial" w:hAnsi="Arial"/>
                <w:sz w:val="10"/>
                <w:szCs w:val="10"/>
                <w:color w:val="auto"/>
              </w:rPr>
              <w:t>Net cash used in investing activities</w:t>
            </w:r>
          </w:p>
        </w:tc>
        <w:tc>
          <w:tcPr>
            <w:tcW w:w="3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0"/>
                <w:szCs w:val="10"/>
                <w:color w:val="auto"/>
              </w:rPr>
              <w:t>(29,710)</w:t>
            </w:r>
          </w:p>
        </w:tc>
        <w:tc>
          <w:tcPr>
            <w:tcW w:w="340" w:type="dxa"/>
            <w:vAlign w:val="bottom"/>
          </w:tcPr>
          <w:p>
            <w:pPr>
              <w:spacing w:after="0"/>
              <w:rPr>
                <w:sz w:val="18"/>
                <w:szCs w:val="18"/>
                <w:color w:val="auto"/>
              </w:rPr>
            </w:pPr>
          </w:p>
        </w:tc>
        <w:tc>
          <w:tcPr>
            <w:tcW w:w="1000" w:type="dxa"/>
            <w:vAlign w:val="bottom"/>
            <w:gridSpan w:val="2"/>
          </w:tcPr>
          <w:p>
            <w:pPr>
              <w:ind w:left="520"/>
              <w:spacing w:after="0"/>
              <w:rPr>
                <w:sz w:val="20"/>
                <w:szCs w:val="20"/>
                <w:color w:val="auto"/>
              </w:rPr>
            </w:pPr>
            <w:r>
              <w:rPr>
                <w:rFonts w:ascii="Arial" w:cs="Arial" w:eastAsia="Arial" w:hAnsi="Arial"/>
                <w:sz w:val="10"/>
                <w:szCs w:val="10"/>
                <w:color w:val="auto"/>
              </w:rPr>
              <w:t>(9,898)</w:t>
            </w:r>
          </w:p>
        </w:tc>
        <w:tc>
          <w:tcPr>
            <w:tcW w:w="34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0"/>
                <w:szCs w:val="10"/>
                <w:color w:val="auto"/>
              </w:rPr>
              <w:t>(6,142)</w:t>
            </w:r>
          </w:p>
        </w:tc>
        <w:tc>
          <w:tcPr>
            <w:tcW w:w="1040" w:type="dxa"/>
            <w:vAlign w:val="bottom"/>
          </w:tcPr>
          <w:p>
            <w:pPr>
              <w:jc w:val="right"/>
              <w:ind w:right="12"/>
              <w:spacing w:after="0"/>
              <w:rPr>
                <w:sz w:val="20"/>
                <w:szCs w:val="20"/>
                <w:color w:val="auto"/>
              </w:rPr>
            </w:pPr>
            <w:r>
              <w:rPr>
                <w:rFonts w:ascii="Arial" w:cs="Arial" w:eastAsia="Arial" w:hAnsi="Arial"/>
                <w:sz w:val="10"/>
                <w:szCs w:val="10"/>
                <w:color w:val="auto"/>
              </w:rPr>
              <w:t>&gt; 100%</w:t>
            </w:r>
          </w:p>
        </w:tc>
        <w:tc>
          <w:tcPr>
            <w:tcW w:w="1540" w:type="dxa"/>
            <w:vAlign w:val="bottom"/>
            <w:gridSpan w:val="3"/>
          </w:tcPr>
          <w:p>
            <w:pPr>
              <w:jc w:val="right"/>
              <w:ind w:right="152"/>
              <w:spacing w:after="0"/>
              <w:rPr>
                <w:sz w:val="20"/>
                <w:szCs w:val="20"/>
                <w:color w:val="auto"/>
              </w:rPr>
            </w:pPr>
            <w:r>
              <w:rPr>
                <w:rFonts w:ascii="Arial" w:cs="Arial" w:eastAsia="Arial" w:hAnsi="Arial"/>
                <w:sz w:val="10"/>
                <w:szCs w:val="10"/>
                <w:color w:val="auto"/>
              </w:rPr>
              <w:t>61 %</w:t>
            </w:r>
          </w:p>
        </w:tc>
      </w:tr>
      <w:tr>
        <w:trPr>
          <w:trHeight w:val="216"/>
        </w:trPr>
        <w:tc>
          <w:tcPr>
            <w:tcW w:w="402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Net cash used in financing activities</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(27,961)</w:t>
            </w: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520"/>
              <w:spacing w:after="0"/>
              <w:rPr>
                <w:sz w:val="20"/>
                <w:szCs w:val="20"/>
                <w:color w:val="auto"/>
              </w:rPr>
            </w:pPr>
            <w:r>
              <w:rPr>
                <w:rFonts w:ascii="Arial" w:cs="Arial" w:eastAsia="Arial" w:hAnsi="Arial"/>
                <w:sz w:val="10"/>
                <w:szCs w:val="10"/>
                <w:color w:val="auto"/>
              </w:rPr>
              <w:t>(3,275)</w:t>
            </w: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(17,775)</w:t>
            </w: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&gt; 100%</w:t>
            </w:r>
          </w:p>
        </w:tc>
        <w:tc>
          <w:tcPr>
            <w:tcW w:w="1540" w:type="dxa"/>
            <w:vAlign w:val="bottom"/>
            <w:gridSpan w:val="3"/>
            <w:shd w:val="clear" w:color="auto" w:fill="CCEEFF"/>
          </w:tcPr>
          <w:p>
            <w:pPr>
              <w:jc w:val="right"/>
              <w:ind w:right="152"/>
              <w:spacing w:after="0"/>
              <w:rPr>
                <w:sz w:val="20"/>
                <w:szCs w:val="20"/>
                <w:color w:val="auto"/>
              </w:rPr>
            </w:pPr>
            <w:r>
              <w:rPr>
                <w:rFonts w:ascii="Arial" w:cs="Arial" w:eastAsia="Arial" w:hAnsi="Arial"/>
                <w:sz w:val="10"/>
                <w:szCs w:val="10"/>
                <w:color w:val="auto"/>
              </w:rPr>
              <w:t>(82)%</w:t>
            </w:r>
          </w:p>
        </w:tc>
      </w:tr>
      <w:tr>
        <w:trPr>
          <w:trHeight w:val="207"/>
        </w:trPr>
        <w:tc>
          <w:tcPr>
            <w:tcW w:w="4020" w:type="dxa"/>
            <w:vAlign w:val="bottom"/>
            <w:gridSpan w:val="2"/>
          </w:tcPr>
          <w:p>
            <w:pPr>
              <w:spacing w:after="0"/>
              <w:rPr>
                <w:sz w:val="20"/>
                <w:szCs w:val="20"/>
                <w:color w:val="auto"/>
              </w:rPr>
            </w:pPr>
            <w:r>
              <w:rPr>
                <w:rFonts w:ascii="Arial" w:cs="Arial" w:eastAsia="Arial" w:hAnsi="Arial"/>
                <w:sz w:val="10"/>
                <w:szCs w:val="10"/>
                <w:color w:val="auto"/>
              </w:rPr>
              <w:t>Impact of exchange rate on cash</w:t>
            </w: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0"/>
                <w:szCs w:val="10"/>
                <w:color w:val="auto"/>
              </w:rPr>
              <w:t>(1,449)</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ind w:left="520"/>
              <w:spacing w:after="0"/>
              <w:rPr>
                <w:sz w:val="20"/>
                <w:szCs w:val="20"/>
                <w:color w:val="auto"/>
              </w:rPr>
            </w:pPr>
            <w:r>
              <w:rPr>
                <w:rFonts w:ascii="Arial" w:cs="Arial" w:eastAsia="Arial" w:hAnsi="Arial"/>
                <w:sz w:val="10"/>
                <w:szCs w:val="10"/>
                <w:color w:val="auto"/>
                <w:w w:val="81"/>
              </w:rPr>
              <w:t>(2,618)</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0"/>
                <w:szCs w:val="10"/>
                <w:color w:val="auto"/>
              </w:rPr>
              <w:t>(2,101)</w:t>
            </w:r>
          </w:p>
        </w:tc>
        <w:tc>
          <w:tcPr>
            <w:tcW w:w="1040" w:type="dxa"/>
            <w:vAlign w:val="bottom"/>
          </w:tcPr>
          <w:p>
            <w:pPr>
              <w:jc w:val="right"/>
              <w:ind w:right="12"/>
              <w:spacing w:after="0"/>
              <w:rPr>
                <w:sz w:val="20"/>
                <w:szCs w:val="20"/>
                <w:color w:val="auto"/>
              </w:rPr>
            </w:pPr>
            <w:r>
              <w:rPr>
                <w:rFonts w:ascii="Arial" w:cs="Arial" w:eastAsia="Arial" w:hAnsi="Arial"/>
                <w:sz w:val="10"/>
                <w:szCs w:val="10"/>
                <w:color w:val="auto"/>
              </w:rPr>
              <w:t>(45)%</w:t>
            </w:r>
          </w:p>
        </w:tc>
        <w:tc>
          <w:tcPr>
            <w:tcW w:w="1540" w:type="dxa"/>
            <w:vAlign w:val="bottom"/>
            <w:gridSpan w:val="3"/>
          </w:tcPr>
          <w:p>
            <w:pPr>
              <w:jc w:val="right"/>
              <w:ind w:right="152"/>
              <w:spacing w:after="0"/>
              <w:rPr>
                <w:sz w:val="20"/>
                <w:szCs w:val="20"/>
                <w:color w:val="auto"/>
              </w:rPr>
            </w:pPr>
            <w:r>
              <w:rPr>
                <w:rFonts w:ascii="Arial" w:cs="Arial" w:eastAsia="Arial" w:hAnsi="Arial"/>
                <w:sz w:val="10"/>
                <w:szCs w:val="10"/>
                <w:color w:val="auto"/>
              </w:rPr>
              <w:t>25 %</w:t>
            </w:r>
          </w:p>
        </w:tc>
      </w:tr>
      <w:tr>
        <w:trPr>
          <w:trHeight w:val="20"/>
        </w:trPr>
        <w:tc>
          <w:tcPr>
            <w:tcW w:w="38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0" w:type="dxa"/>
            <w:vAlign w:val="bottom"/>
            <w:shd w:val="clear" w:color="auto" w:fill="CCEEFF"/>
          </w:tcPr>
          <w:p>
            <w:pPr>
              <w:spacing w:after="0" w:line="20" w:lineRule="exact"/>
              <w:rPr>
                <w:sz w:val="1"/>
                <w:szCs w:val="1"/>
                <w:color w:val="auto"/>
              </w:rPr>
            </w:pPr>
          </w:p>
        </w:tc>
      </w:tr>
      <w:tr>
        <w:trPr>
          <w:trHeight w:val="196"/>
        </w:trPr>
        <w:tc>
          <w:tcPr>
            <w:tcW w:w="402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Increase (decrease) in cash and cash equivalents</w:t>
            </w:r>
          </w:p>
        </w:tc>
        <w:tc>
          <w:tcPr>
            <w:tcW w:w="32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(30,546)</w:t>
            </w: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rPr>
              <w:t>$</w:t>
            </w:r>
          </w:p>
        </w:tc>
        <w:tc>
          <w:tcPr>
            <w:tcW w:w="800" w:type="dxa"/>
            <w:vAlign w:val="bottom"/>
            <w:shd w:val="clear" w:color="auto" w:fill="CCEEFF"/>
          </w:tcPr>
          <w:p>
            <w:pPr>
              <w:ind w:left="520"/>
              <w:spacing w:after="0"/>
              <w:rPr>
                <w:sz w:val="20"/>
                <w:szCs w:val="20"/>
                <w:color w:val="auto"/>
              </w:rPr>
            </w:pPr>
            <w:r>
              <w:rPr>
                <w:rFonts w:ascii="Arial" w:cs="Arial" w:eastAsia="Arial" w:hAnsi="Arial"/>
                <w:sz w:val="10"/>
                <w:szCs w:val="10"/>
                <w:color w:val="auto"/>
                <w:w w:val="84"/>
              </w:rPr>
              <w:t>12,552</w:t>
            </w: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(835)</w:t>
            </w: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(&gt; 100)%</w:t>
            </w:r>
          </w:p>
        </w:tc>
        <w:tc>
          <w:tcPr>
            <w:tcW w:w="1540" w:type="dxa"/>
            <w:vAlign w:val="bottom"/>
            <w:gridSpan w:val="3"/>
            <w:shd w:val="clear" w:color="auto" w:fill="CCEEFF"/>
          </w:tcPr>
          <w:p>
            <w:pPr>
              <w:jc w:val="right"/>
              <w:ind w:right="152"/>
              <w:spacing w:after="0"/>
              <w:rPr>
                <w:sz w:val="20"/>
                <w:szCs w:val="20"/>
                <w:color w:val="auto"/>
              </w:rPr>
            </w:pPr>
            <w:r>
              <w:rPr>
                <w:rFonts w:ascii="Arial" w:cs="Arial" w:eastAsia="Arial" w:hAnsi="Arial"/>
                <w:sz w:val="10"/>
                <w:szCs w:val="10"/>
                <w:color w:val="auto"/>
              </w:rPr>
              <w:t>(&gt; 100)%</w:t>
            </w:r>
          </w:p>
        </w:tc>
      </w:tr>
      <w:tr>
        <w:trPr>
          <w:trHeight w:val="20"/>
        </w:trPr>
        <w:tc>
          <w:tcPr>
            <w:tcW w:w="38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0" w:type="dxa"/>
            <w:vAlign w:val="bottom"/>
            <w:shd w:val="clear" w:color="auto" w:fill="CCEEFF"/>
          </w:tcPr>
          <w:p>
            <w:pPr>
              <w:spacing w:after="0" w:line="20" w:lineRule="exact"/>
              <w:rPr>
                <w:sz w:val="1"/>
                <w:szCs w:val="1"/>
                <w:color w:val="auto"/>
              </w:rPr>
            </w:pPr>
          </w:p>
        </w:tc>
      </w:tr>
    </w:tbl>
    <w:p>
      <w:pPr>
        <w:spacing w:after="0" w:line="27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59690</wp:posOffset>
            </wp:positionV>
            <wp:extent cx="677989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779895" cy="42545"/>
                    </a:xfrm>
                    <a:prstGeom prst="rect">
                      <a:avLst/>
                    </a:prstGeom>
                    <a:noFill/>
                  </pic:spPr>
                </pic:pic>
              </a:graphicData>
            </a:graphic>
          </wp:anchor>
        </w:drawing>
      </w:r>
    </w:p>
    <w:p>
      <w:pPr>
        <w:sectPr>
          <w:pgSz w:w="11900" w:h="16838" w:orient="portrait"/>
          <w:cols w:equalWidth="0" w:num="1">
            <w:col w:w="10620"/>
          </w:cols>
          <w:pgMar w:left="640" w:top="131" w:right="639" w:bottom="1440" w:gutter="0" w:footer="0" w:header="0"/>
        </w:sectPr>
      </w:pPr>
    </w:p>
    <w:bookmarkStart w:id="47" w:name="page48"/>
    <w:bookmarkEnd w:id="47"/>
    <w:p>
      <w:pPr>
        <w:spacing w:after="0"/>
        <w:rPr>
          <w:sz w:val="20"/>
          <w:szCs w:val="20"/>
          <w:color w:val="auto"/>
        </w:rPr>
      </w:pPr>
      <w:r>
        <w:rPr>
          <w:rFonts w:ascii="Arial" w:cs="Arial" w:eastAsia="Arial" w:hAnsi="Arial"/>
          <w:sz w:val="12"/>
          <w:szCs w:val="12"/>
          <w:b w:val="1"/>
          <w:bCs w:val="1"/>
          <w:i w:val="1"/>
          <w:iCs w:val="1"/>
          <w:color w:val="auto"/>
        </w:rPr>
        <w:t>Operating activities</w:t>
      </w:r>
    </w:p>
    <w:p>
      <w:pPr>
        <w:spacing w:after="0" w:line="150" w:lineRule="exact"/>
        <w:rPr>
          <w:sz w:val="20"/>
          <w:szCs w:val="20"/>
          <w:color w:val="auto"/>
        </w:rPr>
      </w:pPr>
    </w:p>
    <w:p>
      <w:pPr>
        <w:ind w:right="80"/>
        <w:spacing w:after="0" w:line="276" w:lineRule="auto"/>
        <w:rPr>
          <w:sz w:val="20"/>
          <w:szCs w:val="20"/>
          <w:color w:val="auto"/>
        </w:rPr>
      </w:pPr>
      <w:r>
        <w:rPr>
          <w:rFonts w:ascii="Arial" w:cs="Arial" w:eastAsia="Arial" w:hAnsi="Arial"/>
          <w:sz w:val="12"/>
          <w:szCs w:val="12"/>
          <w:i w:val="1"/>
          <w:iCs w:val="1"/>
          <w:u w:val="single" w:color="auto"/>
          <w:color w:val="auto"/>
        </w:rPr>
        <w:t>2015 vs. 2014</w:t>
      </w:r>
      <w:r>
        <w:rPr>
          <w:rFonts w:ascii="Arial" w:cs="Arial" w:eastAsia="Arial" w:hAnsi="Arial"/>
          <w:sz w:val="12"/>
          <w:szCs w:val="12"/>
          <w:i w:val="1"/>
          <w:iCs w:val="1"/>
          <w:color w:val="auto"/>
        </w:rPr>
        <w:t xml:space="preserve">: </w:t>
      </w:r>
      <w:r>
        <w:rPr>
          <w:rFonts w:ascii="Arial" w:cs="Arial" w:eastAsia="Arial" w:hAnsi="Arial"/>
          <w:sz w:val="12"/>
          <w:szCs w:val="12"/>
          <w:color w:val="auto"/>
        </w:rPr>
        <w:t>Cash provided by operating activities for 2015 increased by $231,000 or 1%, to $28.6 million, primarily driven by a $6.2 million change in operating assets and liabilities, partially offset by a $6.0 million</w:t>
      </w:r>
      <w:r>
        <w:rPr>
          <w:rFonts w:ascii="Arial" w:cs="Arial" w:eastAsia="Arial" w:hAnsi="Arial"/>
          <w:sz w:val="12"/>
          <w:szCs w:val="12"/>
          <w:i w:val="1"/>
          <w:iCs w:val="1"/>
          <w:color w:val="auto"/>
        </w:rPr>
        <w:t xml:space="preserve"> </w:t>
      </w:r>
      <w:r>
        <w:rPr>
          <w:rFonts w:ascii="Arial" w:cs="Arial" w:eastAsia="Arial" w:hAnsi="Arial"/>
          <w:sz w:val="12"/>
          <w:szCs w:val="12"/>
          <w:color w:val="auto"/>
        </w:rPr>
        <w:t>decrease in operational cash flows.</w:t>
      </w:r>
    </w:p>
    <w:p>
      <w:pPr>
        <w:spacing w:after="0" w:line="115" w:lineRule="exact"/>
        <w:rPr>
          <w:sz w:val="20"/>
          <w:szCs w:val="20"/>
          <w:color w:val="auto"/>
        </w:rPr>
      </w:pPr>
    </w:p>
    <w:p>
      <w:pPr>
        <w:ind w:right="60"/>
        <w:spacing w:after="0" w:line="276" w:lineRule="auto"/>
        <w:rPr>
          <w:sz w:val="20"/>
          <w:szCs w:val="20"/>
          <w:color w:val="auto"/>
        </w:rPr>
      </w:pPr>
      <w:r>
        <w:rPr>
          <w:rFonts w:ascii="Arial" w:cs="Arial" w:eastAsia="Arial" w:hAnsi="Arial"/>
          <w:sz w:val="12"/>
          <w:szCs w:val="12"/>
          <w:i w:val="1"/>
          <w:iCs w:val="1"/>
          <w:u w:val="single" w:color="auto"/>
          <w:color w:val="auto"/>
        </w:rPr>
        <w:t>2014 vs. 2013</w:t>
      </w:r>
      <w:r>
        <w:rPr>
          <w:rFonts w:ascii="Arial" w:cs="Arial" w:eastAsia="Arial" w:hAnsi="Arial"/>
          <w:sz w:val="12"/>
          <w:szCs w:val="12"/>
          <w:i w:val="1"/>
          <w:iCs w:val="1"/>
          <w:color w:val="auto"/>
        </w:rPr>
        <w:t xml:space="preserve">: </w:t>
      </w:r>
      <w:r>
        <w:rPr>
          <w:rFonts w:ascii="Arial" w:cs="Arial" w:eastAsia="Arial" w:hAnsi="Arial"/>
          <w:sz w:val="12"/>
          <w:szCs w:val="12"/>
          <w:color w:val="auto"/>
        </w:rPr>
        <w:t>Cash provided by operating activities for 2014 increased by $3.2 million or 13%, to $28.3 million, primarily driven by an increase of $2.3 million increase in operational cash flows and a $900,000 change</w:t>
      </w:r>
      <w:r>
        <w:rPr>
          <w:rFonts w:ascii="Arial" w:cs="Arial" w:eastAsia="Arial" w:hAnsi="Arial"/>
          <w:sz w:val="12"/>
          <w:szCs w:val="12"/>
          <w:i w:val="1"/>
          <w:iCs w:val="1"/>
          <w:color w:val="auto"/>
        </w:rPr>
        <w:t xml:space="preserve"> </w:t>
      </w:r>
      <w:r>
        <w:rPr>
          <w:rFonts w:ascii="Arial" w:cs="Arial" w:eastAsia="Arial" w:hAnsi="Arial"/>
          <w:sz w:val="12"/>
          <w:szCs w:val="12"/>
          <w:color w:val="auto"/>
        </w:rPr>
        <w:t>in operating assets and liabilities.</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Investing activities</w:t>
      </w:r>
    </w:p>
    <w:p>
      <w:pPr>
        <w:spacing w:after="0" w:line="150" w:lineRule="exact"/>
        <w:rPr>
          <w:sz w:val="20"/>
          <w:szCs w:val="20"/>
          <w:color w:val="auto"/>
        </w:rPr>
      </w:pPr>
    </w:p>
    <w:p>
      <w:pPr>
        <w:spacing w:after="0" w:line="323" w:lineRule="auto"/>
        <w:rPr>
          <w:sz w:val="20"/>
          <w:szCs w:val="20"/>
          <w:color w:val="auto"/>
        </w:rPr>
      </w:pPr>
      <w:r>
        <w:rPr>
          <w:rFonts w:ascii="Arial" w:cs="Arial" w:eastAsia="Arial" w:hAnsi="Arial"/>
          <w:sz w:val="11"/>
          <w:szCs w:val="11"/>
          <w:color w:val="auto"/>
        </w:rPr>
        <w:t>In 2015, the $29.7 million of cash used by investing activities was mainly related to the $53.1 million spent on fixed assets, which included the $24.3 million (AU$33.6 million) purchase of the two Cannon Park centers in Queensland, Australia, as well as enhancements to our existing properties, offset by $21.9 million dollars received from the sale of the Moonee Ponds properties, the Los Angeles condo and the Lake Taupo sites.</w:t>
      </w:r>
    </w:p>
    <w:p>
      <w:pPr>
        <w:spacing w:after="0" w:line="92" w:lineRule="exact"/>
        <w:rPr>
          <w:sz w:val="20"/>
          <w:szCs w:val="20"/>
          <w:color w:val="auto"/>
        </w:rPr>
      </w:pPr>
    </w:p>
    <w:p>
      <w:pPr>
        <w:ind w:right="240"/>
        <w:spacing w:after="0" w:line="276" w:lineRule="auto"/>
        <w:rPr>
          <w:sz w:val="20"/>
          <w:szCs w:val="20"/>
          <w:color w:val="auto"/>
        </w:rPr>
      </w:pPr>
      <w:r>
        <w:rPr>
          <w:rFonts w:ascii="Arial" w:cs="Arial" w:eastAsia="Arial" w:hAnsi="Arial"/>
          <w:sz w:val="12"/>
          <w:szCs w:val="12"/>
          <w:color w:val="auto"/>
        </w:rPr>
        <w:t>The $9.9 million of cash used by investing activities in 2014 was primarily related to $14.9 million in property enhancements to our existing properties, partially offset by the $5.4 million deposit from the sale of our Burwood property.</w:t>
      </w:r>
    </w:p>
    <w:p>
      <w:pPr>
        <w:spacing w:after="0" w:line="8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Financing activities</w:t>
      </w:r>
    </w:p>
    <w:p>
      <w:pPr>
        <w:spacing w:after="0" w:line="132" w:lineRule="exact"/>
        <w:rPr>
          <w:sz w:val="20"/>
          <w:szCs w:val="20"/>
          <w:color w:val="auto"/>
        </w:rPr>
      </w:pPr>
    </w:p>
    <w:p>
      <w:pPr>
        <w:ind w:right="120"/>
        <w:spacing w:after="0" w:line="276" w:lineRule="auto"/>
        <w:rPr>
          <w:sz w:val="20"/>
          <w:szCs w:val="20"/>
          <w:color w:val="auto"/>
        </w:rPr>
      </w:pPr>
      <w:r>
        <w:rPr>
          <w:rFonts w:ascii="Arial" w:cs="Arial" w:eastAsia="Arial" w:hAnsi="Arial"/>
          <w:sz w:val="12"/>
          <w:szCs w:val="12"/>
          <w:color w:val="auto"/>
        </w:rPr>
        <w:t>The $28.0 million of cash used in financing activities in 2015 was primarily due to a repayment of debt in the amount of $24.7 million, as well as $3.1 million used in our stock buyback program and $201,000 as part of share option transactions.</w:t>
      </w:r>
    </w:p>
    <w:p>
      <w:pPr>
        <w:spacing w:after="0" w:line="88" w:lineRule="exact"/>
        <w:rPr>
          <w:sz w:val="20"/>
          <w:szCs w:val="20"/>
          <w:color w:val="auto"/>
        </w:rPr>
      </w:pPr>
    </w:p>
    <w:p>
      <w:pPr>
        <w:ind w:right="420"/>
        <w:spacing w:after="0" w:line="462" w:lineRule="auto"/>
        <w:rPr>
          <w:sz w:val="20"/>
          <w:szCs w:val="20"/>
          <w:color w:val="auto"/>
        </w:rPr>
      </w:pPr>
      <w:r>
        <w:rPr>
          <w:rFonts w:ascii="Arial" w:cs="Arial" w:eastAsia="Arial" w:hAnsi="Arial"/>
          <w:sz w:val="12"/>
          <w:szCs w:val="12"/>
          <w:color w:val="auto"/>
        </w:rPr>
        <w:t xml:space="preserve">In 2014, the $3.2 million cash used in financing activities was primarily due to a $4.1 million used in our stock buyback program, offset by $1.0 million of proceeds from the exercising of employee stock options. </w:t>
      </w:r>
      <w:r>
        <w:rPr>
          <w:rFonts w:ascii="Arial" w:cs="Arial" w:eastAsia="Arial" w:hAnsi="Arial"/>
          <w:sz w:val="12"/>
          <w:szCs w:val="12"/>
          <w:b w:val="1"/>
          <w:bCs w:val="1"/>
          <w:u w:val="single" w:color="auto"/>
          <w:color w:val="auto"/>
        </w:rPr>
        <w:t>Future liquidity and capital resources</w:t>
      </w:r>
    </w:p>
    <w:p>
      <w:pPr>
        <w:ind w:right="360"/>
        <w:spacing w:after="0" w:line="276" w:lineRule="auto"/>
        <w:rPr>
          <w:sz w:val="20"/>
          <w:szCs w:val="20"/>
          <w:color w:val="auto"/>
        </w:rPr>
      </w:pPr>
      <w:r>
        <w:rPr>
          <w:rFonts w:ascii="Arial" w:cs="Arial" w:eastAsia="Arial" w:hAnsi="Arial"/>
          <w:sz w:val="12"/>
          <w:szCs w:val="12"/>
          <w:color w:val="auto"/>
        </w:rPr>
        <w:t>We manage our cash, investments and capital structure so we are able to meet the short-term and long-term obligations of our business, while maintaining financial flexibility and liquidity. We forecast, analyze and monitor our cash flows to enable investment and financing within the overall constraints of our financial strategy.</w:t>
      </w:r>
    </w:p>
    <w:p>
      <w:pPr>
        <w:spacing w:after="0" w:line="88" w:lineRule="exact"/>
        <w:rPr>
          <w:sz w:val="20"/>
          <w:szCs w:val="20"/>
          <w:color w:val="auto"/>
        </w:rPr>
      </w:pPr>
    </w:p>
    <w:p>
      <w:pPr>
        <w:ind w:right="160"/>
        <w:spacing w:after="0" w:line="263" w:lineRule="auto"/>
        <w:rPr>
          <w:sz w:val="20"/>
          <w:szCs w:val="20"/>
          <w:color w:val="auto"/>
        </w:rPr>
      </w:pPr>
      <w:r>
        <w:rPr>
          <w:rFonts w:ascii="Arial" w:cs="Arial" w:eastAsia="Arial" w:hAnsi="Arial"/>
          <w:sz w:val="12"/>
          <w:szCs w:val="12"/>
          <w:color w:val="auto"/>
        </w:rPr>
        <w:t>At December 31, 2015, our consolidated cash and cash equivalents totaled $19.7 million. Of this amount, $6.8 million and $3.6 million were held by our Australian and New Zealand subsidiaries, respectively. Our intention is to reinvest indefinitely Australian earnings but not reinvest indefinitely New Zealand earnings. If the Australian earnings were used to fund U.S. operations, they would be subject to additional income taxes upon repatriation.</w:t>
      </w:r>
    </w:p>
    <w:p>
      <w:pPr>
        <w:spacing w:after="0" w:line="96" w:lineRule="exact"/>
        <w:rPr>
          <w:sz w:val="20"/>
          <w:szCs w:val="20"/>
          <w:color w:val="auto"/>
        </w:rPr>
      </w:pPr>
    </w:p>
    <w:p>
      <w:pPr>
        <w:ind w:right="40"/>
        <w:spacing w:after="0" w:line="323" w:lineRule="auto"/>
        <w:rPr>
          <w:sz w:val="20"/>
          <w:szCs w:val="20"/>
          <w:color w:val="auto"/>
        </w:rPr>
      </w:pPr>
      <w:r>
        <w:rPr>
          <w:rFonts w:ascii="Arial" w:cs="Arial" w:eastAsia="Arial" w:hAnsi="Arial"/>
          <w:sz w:val="11"/>
          <w:szCs w:val="11"/>
          <w:color w:val="auto"/>
        </w:rPr>
        <w:t>Our working capital deficiency increased from $15.1 million at December 2014 to $38.5 million at December 2015. This was due to a $30.5 million reduction in cash primarily due to surplus cash being used to pay down long term debt. This was partially offset by a reduction in short term debt due to the refinancing of the Westpac Corporate Credit facility and the Union Square loan, which is no longer current.</w:t>
      </w:r>
    </w:p>
    <w:p>
      <w:pPr>
        <w:spacing w:after="0" w:line="74" w:lineRule="exact"/>
        <w:rPr>
          <w:sz w:val="20"/>
          <w:szCs w:val="20"/>
          <w:color w:val="auto"/>
        </w:rPr>
      </w:pPr>
    </w:p>
    <w:p>
      <w:pPr>
        <w:ind w:right="40"/>
        <w:spacing w:after="0" w:line="263" w:lineRule="auto"/>
        <w:rPr>
          <w:sz w:val="20"/>
          <w:szCs w:val="20"/>
          <w:color w:val="auto"/>
        </w:rPr>
      </w:pPr>
      <w:r>
        <w:rPr>
          <w:rFonts w:ascii="Arial" w:cs="Arial" w:eastAsia="Arial" w:hAnsi="Arial"/>
          <w:sz w:val="12"/>
          <w:szCs w:val="12"/>
          <w:color w:val="auto"/>
        </w:rPr>
        <w:t>We have historically funded our working capital requirements, capital expenditures and investments in individual properties primarily from a combination of internally generated cash flows and debt. The Company had $59.9 million unused capacity of available corporate credit facilities at December 31, 2015. In addition, we have $6.0 million and $10.3 million unused capacity for certain Cinema 1,2,3 uses and construction funding for New Zealand, respectively.</w:t>
      </w:r>
    </w:p>
    <w:p>
      <w:pPr>
        <w:spacing w:after="0" w:line="96" w:lineRule="exact"/>
        <w:rPr>
          <w:sz w:val="20"/>
          <w:szCs w:val="20"/>
          <w:color w:val="auto"/>
        </w:rPr>
      </w:pPr>
    </w:p>
    <w:p>
      <w:pPr>
        <w:spacing w:after="0"/>
        <w:rPr>
          <w:sz w:val="20"/>
          <w:szCs w:val="20"/>
          <w:color w:val="auto"/>
        </w:rPr>
      </w:pPr>
      <w:r>
        <w:rPr>
          <w:rFonts w:ascii="Arial" w:cs="Arial" w:eastAsia="Arial" w:hAnsi="Arial"/>
          <w:sz w:val="12"/>
          <w:szCs w:val="12"/>
          <w:color w:val="auto"/>
        </w:rPr>
        <w:t>We expect to refinance the $15.0 million Cinema 1,2,3 Term Loan prior to its maturity date of July 1, 2016.</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59690</wp:posOffset>
            </wp:positionV>
            <wp:extent cx="677989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779895" cy="42545"/>
                    </a:xfrm>
                    <a:prstGeom prst="rect">
                      <a:avLst/>
                    </a:prstGeom>
                    <a:noFill/>
                  </pic:spPr>
                </pic:pic>
              </a:graphicData>
            </a:graphic>
          </wp:anchor>
        </w:drawing>
      </w:r>
    </w:p>
    <w:p>
      <w:pPr>
        <w:sectPr>
          <w:pgSz w:w="11900" w:h="16838" w:orient="portrait"/>
          <w:cols w:equalWidth="0" w:num="1">
            <w:col w:w="10600"/>
          </w:cols>
          <w:pgMar w:left="640" w:top="275" w:right="659" w:bottom="1440" w:gutter="0" w:footer="0" w:header="0"/>
        </w:sectPr>
      </w:pPr>
    </w:p>
    <w:bookmarkStart w:id="48" w:name="page49"/>
    <w:bookmarkEnd w:id="48"/>
    <w:p>
      <w:pPr>
        <w:spacing w:after="0"/>
        <w:rPr>
          <w:sz w:val="20"/>
          <w:szCs w:val="20"/>
          <w:color w:val="auto"/>
        </w:rPr>
      </w:pPr>
      <w:r>
        <w:rPr>
          <w:rFonts w:ascii="Arial" w:cs="Arial" w:eastAsia="Arial" w:hAnsi="Arial"/>
          <w:sz w:val="12"/>
          <w:szCs w:val="12"/>
          <w:b w:val="1"/>
          <w:bCs w:val="1"/>
          <w:color w:val="auto"/>
        </w:rPr>
        <w:t>CONTRACTUAL OBLIGATIONS, COMMITMENTS AND CONTINGENCIES</w:t>
      </w:r>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color w:val="auto"/>
        </w:rPr>
        <w:t>The following table provides information with respect to the maturities and scheduled principal repayments of our recorded contractual obligations as of December 31, 2015:</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324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(Dollars in thousands)</w:t>
            </w:r>
          </w:p>
        </w:tc>
        <w:tc>
          <w:tcPr>
            <w:tcW w:w="140" w:type="dxa"/>
            <w:vAlign w:val="bottom"/>
            <w:tcBorders>
              <w:bottom w:val="single" w:sz="8" w:color="CCEEFF"/>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jc w:val="right"/>
              <w:ind w:right="332"/>
              <w:spacing w:after="0"/>
              <w:rPr>
                <w:sz w:val="20"/>
                <w:szCs w:val="20"/>
                <w:color w:val="auto"/>
              </w:rPr>
            </w:pPr>
            <w:r>
              <w:rPr>
                <w:rFonts w:ascii="Arial" w:cs="Arial" w:eastAsia="Arial" w:hAnsi="Arial"/>
                <w:sz w:val="10"/>
                <w:szCs w:val="10"/>
                <w:b w:val="1"/>
                <w:bCs w:val="1"/>
                <w:color w:val="auto"/>
              </w:rPr>
              <w:t>2016</w:t>
            </w:r>
          </w:p>
        </w:tc>
        <w:tc>
          <w:tcPr>
            <w:tcW w:w="120" w:type="dxa"/>
            <w:vAlign w:val="bottom"/>
            <w:tcBorders>
              <w:bottom w:val="single" w:sz="8" w:color="CCEEFF"/>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jc w:val="right"/>
              <w:ind w:right="312"/>
              <w:spacing w:after="0"/>
              <w:rPr>
                <w:sz w:val="20"/>
                <w:szCs w:val="20"/>
                <w:color w:val="auto"/>
              </w:rPr>
            </w:pPr>
            <w:r>
              <w:rPr>
                <w:rFonts w:ascii="Arial" w:cs="Arial" w:eastAsia="Arial" w:hAnsi="Arial"/>
                <w:sz w:val="10"/>
                <w:szCs w:val="10"/>
                <w:b w:val="1"/>
                <w:bCs w:val="1"/>
                <w:color w:val="auto"/>
              </w:rPr>
              <w:t>2017</w:t>
            </w:r>
          </w:p>
        </w:tc>
        <w:tc>
          <w:tcPr>
            <w:tcW w:w="140" w:type="dxa"/>
            <w:vAlign w:val="bottom"/>
            <w:tcBorders>
              <w:bottom w:val="single" w:sz="8" w:color="CCEEFF"/>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jc w:val="right"/>
              <w:ind w:right="312"/>
              <w:spacing w:after="0"/>
              <w:rPr>
                <w:sz w:val="20"/>
                <w:szCs w:val="20"/>
                <w:color w:val="auto"/>
              </w:rPr>
            </w:pPr>
            <w:r>
              <w:rPr>
                <w:rFonts w:ascii="Arial" w:cs="Arial" w:eastAsia="Arial" w:hAnsi="Arial"/>
                <w:sz w:val="10"/>
                <w:szCs w:val="10"/>
                <w:b w:val="1"/>
                <w:bCs w:val="1"/>
                <w:color w:val="auto"/>
              </w:rPr>
              <w:t>2018</w:t>
            </w:r>
          </w:p>
        </w:tc>
        <w:tc>
          <w:tcPr>
            <w:tcW w:w="140" w:type="dxa"/>
            <w:vAlign w:val="bottom"/>
            <w:tcBorders>
              <w:bottom w:val="single" w:sz="8" w:color="CCEEFF"/>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jc w:val="right"/>
              <w:ind w:right="332"/>
              <w:spacing w:after="0"/>
              <w:rPr>
                <w:sz w:val="20"/>
                <w:szCs w:val="20"/>
                <w:color w:val="auto"/>
              </w:rPr>
            </w:pPr>
            <w:r>
              <w:rPr>
                <w:rFonts w:ascii="Arial" w:cs="Arial" w:eastAsia="Arial" w:hAnsi="Arial"/>
                <w:sz w:val="10"/>
                <w:szCs w:val="10"/>
                <w:b w:val="1"/>
                <w:bCs w:val="1"/>
                <w:color w:val="auto"/>
              </w:rPr>
              <w:t>2019</w:t>
            </w:r>
          </w:p>
        </w:tc>
        <w:tc>
          <w:tcPr>
            <w:tcW w:w="120" w:type="dxa"/>
            <w:vAlign w:val="bottom"/>
            <w:tcBorders>
              <w:bottom w:val="single" w:sz="8" w:color="CCEEFF"/>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jc w:val="right"/>
              <w:ind w:right="312"/>
              <w:spacing w:after="0"/>
              <w:rPr>
                <w:sz w:val="20"/>
                <w:szCs w:val="20"/>
                <w:color w:val="auto"/>
              </w:rPr>
            </w:pPr>
            <w:r>
              <w:rPr>
                <w:rFonts w:ascii="Arial" w:cs="Arial" w:eastAsia="Arial" w:hAnsi="Arial"/>
                <w:sz w:val="10"/>
                <w:szCs w:val="10"/>
                <w:b w:val="1"/>
                <w:bCs w:val="1"/>
                <w:color w:val="auto"/>
              </w:rPr>
              <w:t>2020</w:t>
            </w:r>
          </w:p>
        </w:tc>
        <w:tc>
          <w:tcPr>
            <w:tcW w:w="140" w:type="dxa"/>
            <w:vAlign w:val="bottom"/>
            <w:tcBorders>
              <w:bottom w:val="single" w:sz="8" w:color="CCEEFF"/>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jc w:val="right"/>
              <w:ind w:right="192"/>
              <w:spacing w:after="0"/>
              <w:rPr>
                <w:sz w:val="20"/>
                <w:szCs w:val="20"/>
                <w:color w:val="auto"/>
              </w:rPr>
            </w:pPr>
            <w:r>
              <w:rPr>
                <w:rFonts w:ascii="Arial" w:cs="Arial" w:eastAsia="Arial" w:hAnsi="Arial"/>
                <w:sz w:val="10"/>
                <w:szCs w:val="10"/>
                <w:b w:val="1"/>
                <w:bCs w:val="1"/>
                <w:color w:val="auto"/>
                <w:w w:val="93"/>
              </w:rPr>
              <w:t>Thereafter</w:t>
            </w:r>
          </w:p>
        </w:tc>
        <w:tc>
          <w:tcPr>
            <w:tcW w:w="140" w:type="dxa"/>
            <w:vAlign w:val="bottom"/>
            <w:tcBorders>
              <w:bottom w:val="single" w:sz="8" w:color="CCEEFF"/>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jc w:val="right"/>
              <w:ind w:right="312"/>
              <w:spacing w:after="0"/>
              <w:rPr>
                <w:sz w:val="20"/>
                <w:szCs w:val="20"/>
                <w:color w:val="auto"/>
              </w:rPr>
            </w:pPr>
            <w:r>
              <w:rPr>
                <w:rFonts w:ascii="Arial" w:cs="Arial" w:eastAsia="Arial" w:hAnsi="Arial"/>
                <w:sz w:val="10"/>
                <w:szCs w:val="10"/>
                <w:b w:val="1"/>
                <w:bCs w:val="1"/>
                <w:color w:val="auto"/>
              </w:rPr>
              <w:t>Total</w:t>
            </w:r>
          </w:p>
        </w:tc>
      </w:tr>
      <w:tr>
        <w:trPr>
          <w:trHeight w:val="187"/>
        </w:trPr>
        <w:tc>
          <w:tcPr>
            <w:tcW w:w="338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Notes payable</w:t>
            </w:r>
          </w:p>
        </w:tc>
        <w:tc>
          <w:tcPr>
            <w:tcW w:w="24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15,000</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10,500</w:t>
            </w: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21,184</w:t>
            </w: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56,344</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103,028</w:t>
            </w:r>
          </w:p>
        </w:tc>
      </w:tr>
      <w:tr>
        <w:trPr>
          <w:trHeight w:val="198"/>
        </w:trPr>
        <w:tc>
          <w:tcPr>
            <w:tcW w:w="3380" w:type="dxa"/>
            <w:vAlign w:val="bottom"/>
            <w:gridSpan w:val="2"/>
          </w:tcPr>
          <w:p>
            <w:pPr>
              <w:spacing w:after="0"/>
              <w:rPr>
                <w:sz w:val="20"/>
                <w:szCs w:val="20"/>
                <w:color w:val="auto"/>
              </w:rPr>
            </w:pPr>
            <w:r>
              <w:rPr>
                <w:rFonts w:ascii="Arial" w:cs="Arial" w:eastAsia="Arial" w:hAnsi="Arial"/>
                <w:sz w:val="10"/>
                <w:szCs w:val="10"/>
                <w:color w:val="auto"/>
              </w:rPr>
              <w:t>Subordinated debt</w:t>
            </w:r>
          </w:p>
        </w:tc>
        <w:tc>
          <w:tcPr>
            <w:tcW w:w="240" w:type="dxa"/>
            <w:vAlign w:val="bottom"/>
          </w:tcPr>
          <w:p>
            <w:pPr>
              <w:spacing w:after="0"/>
              <w:rPr>
                <w:sz w:val="17"/>
                <w:szCs w:val="17"/>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260" w:type="dxa"/>
            <w:vAlign w:val="bottom"/>
          </w:tcPr>
          <w:p>
            <w:pPr>
              <w:spacing w:after="0"/>
              <w:rPr>
                <w:sz w:val="17"/>
                <w:szCs w:val="17"/>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240" w:type="dxa"/>
            <w:vAlign w:val="bottom"/>
          </w:tcPr>
          <w:p>
            <w:pPr>
              <w:spacing w:after="0"/>
              <w:rPr>
                <w:sz w:val="17"/>
                <w:szCs w:val="17"/>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240" w:type="dxa"/>
            <w:vAlign w:val="bottom"/>
          </w:tcPr>
          <w:p>
            <w:pPr>
              <w:spacing w:after="0"/>
              <w:rPr>
                <w:sz w:val="17"/>
                <w:szCs w:val="17"/>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260" w:type="dxa"/>
            <w:vAlign w:val="bottom"/>
          </w:tcPr>
          <w:p>
            <w:pPr>
              <w:spacing w:after="0"/>
              <w:rPr>
                <w:sz w:val="17"/>
                <w:szCs w:val="17"/>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0"/>
                <w:szCs w:val="10"/>
                <w:color w:val="auto"/>
              </w:rPr>
              <w:t>27,913</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27,913</w:t>
            </w:r>
          </w:p>
        </w:tc>
      </w:tr>
      <w:tr>
        <w:trPr>
          <w:trHeight w:val="198"/>
        </w:trPr>
        <w:tc>
          <w:tcPr>
            <w:tcW w:w="338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Pension liability</w:t>
            </w: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1,539</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684</w:t>
            </w: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684</w:t>
            </w: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684</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684</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3,500</w:t>
            </w: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7,775</w:t>
            </w:r>
          </w:p>
        </w:tc>
      </w:tr>
      <w:tr>
        <w:trPr>
          <w:trHeight w:val="198"/>
        </w:trPr>
        <w:tc>
          <w:tcPr>
            <w:tcW w:w="3380" w:type="dxa"/>
            <w:vAlign w:val="bottom"/>
            <w:gridSpan w:val="2"/>
          </w:tcPr>
          <w:p>
            <w:pPr>
              <w:spacing w:after="0"/>
              <w:rPr>
                <w:sz w:val="20"/>
                <w:szCs w:val="20"/>
                <w:color w:val="auto"/>
              </w:rPr>
            </w:pPr>
            <w:r>
              <w:rPr>
                <w:rFonts w:ascii="Arial" w:cs="Arial" w:eastAsia="Arial" w:hAnsi="Arial"/>
                <w:sz w:val="10"/>
                <w:szCs w:val="10"/>
                <w:color w:val="auto"/>
              </w:rPr>
              <w:t>Lease obligations</w:t>
            </w:r>
          </w:p>
        </w:tc>
        <w:tc>
          <w:tcPr>
            <w:tcW w:w="2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30,117</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29,998</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26,087</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23,374</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16,712</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0"/>
                <w:szCs w:val="10"/>
                <w:color w:val="auto"/>
              </w:rPr>
              <w:t>122,129</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248,417</w:t>
            </w:r>
          </w:p>
        </w:tc>
      </w:tr>
      <w:tr>
        <w:trPr>
          <w:trHeight w:val="198"/>
        </w:trPr>
        <w:tc>
          <w:tcPr>
            <w:tcW w:w="338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Estimated interest on debt</w:t>
            </w:r>
            <w:r>
              <w:rPr>
                <w:rFonts w:ascii="Arial" w:cs="Arial" w:eastAsia="Arial" w:hAnsi="Arial"/>
                <w:sz w:val="4"/>
                <w:szCs w:val="4"/>
                <w:color w:val="auto"/>
              </w:rPr>
              <w:t>(1)</w:t>
            </w:r>
          </w:p>
        </w:tc>
        <w:tc>
          <w:tcPr>
            <w:tcW w:w="24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4,511</w:t>
            </w:r>
          </w:p>
        </w:tc>
        <w:tc>
          <w:tcPr>
            <w:tcW w:w="1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4,230</w:t>
            </w:r>
          </w:p>
        </w:tc>
        <w:tc>
          <w:tcPr>
            <w:tcW w:w="14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3,629</w:t>
            </w:r>
          </w:p>
        </w:tc>
        <w:tc>
          <w:tcPr>
            <w:tcW w:w="14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2,642</w:t>
            </w:r>
          </w:p>
        </w:tc>
        <w:tc>
          <w:tcPr>
            <w:tcW w:w="1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1,196</w:t>
            </w:r>
          </w:p>
        </w:tc>
        <w:tc>
          <w:tcPr>
            <w:tcW w:w="14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7,775</w:t>
            </w:r>
          </w:p>
        </w:tc>
        <w:tc>
          <w:tcPr>
            <w:tcW w:w="14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23,984</w:t>
            </w:r>
          </w:p>
        </w:tc>
      </w:tr>
      <w:tr>
        <w:trPr>
          <w:trHeight w:val="169"/>
        </w:trPr>
        <w:tc>
          <w:tcPr>
            <w:tcW w:w="3380" w:type="dxa"/>
            <w:vAlign w:val="bottom"/>
            <w:gridSpan w:val="2"/>
          </w:tcPr>
          <w:p>
            <w:pPr>
              <w:ind w:left="80"/>
              <w:spacing w:after="0"/>
              <w:rPr>
                <w:sz w:val="20"/>
                <w:szCs w:val="20"/>
                <w:color w:val="auto"/>
              </w:rPr>
            </w:pPr>
            <w:r>
              <w:rPr>
                <w:rFonts w:ascii="Arial" w:cs="Arial" w:eastAsia="Arial" w:hAnsi="Arial"/>
                <w:sz w:val="10"/>
                <w:szCs w:val="10"/>
                <w:color w:val="auto"/>
              </w:rPr>
              <w:t>Total</w:t>
            </w:r>
          </w:p>
        </w:tc>
        <w:tc>
          <w:tcPr>
            <w:tcW w:w="24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51,167</w:t>
            </w:r>
          </w:p>
        </w:tc>
        <w:tc>
          <w:tcPr>
            <w:tcW w:w="120" w:type="dxa"/>
            <w:vAlign w:val="bottom"/>
          </w:tcPr>
          <w:p>
            <w:pPr>
              <w:spacing w:after="0"/>
              <w:rPr>
                <w:sz w:val="14"/>
                <w:szCs w:val="14"/>
                <w:color w:val="auto"/>
              </w:rPr>
            </w:pPr>
          </w:p>
        </w:tc>
        <w:tc>
          <w:tcPr>
            <w:tcW w:w="26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45,412</w:t>
            </w:r>
          </w:p>
        </w:tc>
        <w:tc>
          <w:tcPr>
            <w:tcW w:w="140" w:type="dxa"/>
            <w:vAlign w:val="bottom"/>
          </w:tcPr>
          <w:p>
            <w:pPr>
              <w:spacing w:after="0"/>
              <w:rPr>
                <w:sz w:val="14"/>
                <w:szCs w:val="14"/>
                <w:color w:val="auto"/>
              </w:rPr>
            </w:pPr>
          </w:p>
        </w:tc>
        <w:tc>
          <w:tcPr>
            <w:tcW w:w="24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51,584</w:t>
            </w:r>
          </w:p>
        </w:tc>
        <w:tc>
          <w:tcPr>
            <w:tcW w:w="140" w:type="dxa"/>
            <w:vAlign w:val="bottom"/>
          </w:tcPr>
          <w:p>
            <w:pPr>
              <w:spacing w:after="0"/>
              <w:rPr>
                <w:sz w:val="14"/>
                <w:szCs w:val="14"/>
                <w:color w:val="auto"/>
              </w:rPr>
            </w:pPr>
          </w:p>
        </w:tc>
        <w:tc>
          <w:tcPr>
            <w:tcW w:w="24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83,044</w:t>
            </w:r>
          </w:p>
        </w:tc>
        <w:tc>
          <w:tcPr>
            <w:tcW w:w="120" w:type="dxa"/>
            <w:vAlign w:val="bottom"/>
          </w:tcPr>
          <w:p>
            <w:pPr>
              <w:spacing w:after="0"/>
              <w:rPr>
                <w:sz w:val="14"/>
                <w:szCs w:val="14"/>
                <w:color w:val="auto"/>
              </w:rPr>
            </w:pPr>
          </w:p>
        </w:tc>
        <w:tc>
          <w:tcPr>
            <w:tcW w:w="26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18,592</w:t>
            </w:r>
          </w:p>
        </w:tc>
        <w:tc>
          <w:tcPr>
            <w:tcW w:w="140" w:type="dxa"/>
            <w:vAlign w:val="bottom"/>
          </w:tcPr>
          <w:p>
            <w:pPr>
              <w:spacing w:after="0"/>
              <w:rPr>
                <w:sz w:val="14"/>
                <w:szCs w:val="14"/>
                <w:color w:val="auto"/>
              </w:rPr>
            </w:pPr>
          </w:p>
        </w:tc>
        <w:tc>
          <w:tcPr>
            <w:tcW w:w="20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161,317</w:t>
            </w:r>
          </w:p>
        </w:tc>
        <w:tc>
          <w:tcPr>
            <w:tcW w:w="140" w:type="dxa"/>
            <w:vAlign w:val="bottom"/>
          </w:tcPr>
          <w:p>
            <w:pPr>
              <w:spacing w:after="0"/>
              <w:rPr>
                <w:sz w:val="14"/>
                <w:szCs w:val="14"/>
                <w:color w:val="auto"/>
              </w:rPr>
            </w:pPr>
          </w:p>
        </w:tc>
        <w:tc>
          <w:tcPr>
            <w:tcW w:w="24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411,117</w:t>
            </w:r>
          </w:p>
        </w:tc>
      </w:tr>
    </w:tbl>
    <w:p>
      <w:pPr>
        <w:spacing w:after="0" w:line="141" w:lineRule="exact"/>
        <w:rPr>
          <w:sz w:val="20"/>
          <w:szCs w:val="20"/>
          <w:color w:val="auto"/>
        </w:rPr>
      </w:pPr>
    </w:p>
    <w:p>
      <w:pPr>
        <w:ind w:left="480" w:hanging="259"/>
        <w:spacing w:after="0"/>
        <w:tabs>
          <w:tab w:leader="none" w:pos="480" w:val="left"/>
        </w:tabs>
        <w:numPr>
          <w:ilvl w:val="0"/>
          <w:numId w:val="25"/>
        </w:numPr>
        <w:rPr>
          <w:rFonts w:ascii="Arial" w:cs="Arial" w:eastAsia="Arial" w:hAnsi="Arial"/>
          <w:sz w:val="10"/>
          <w:szCs w:val="10"/>
          <w:color w:val="auto"/>
        </w:rPr>
      </w:pPr>
      <w:r>
        <w:rPr>
          <w:rFonts w:ascii="Arial" w:cs="Arial" w:eastAsia="Arial" w:hAnsi="Arial"/>
          <w:sz w:val="10"/>
          <w:szCs w:val="10"/>
          <w:color w:val="auto"/>
        </w:rPr>
        <w:t>Estimated interest on debt is based on the anticipated loan balances for future periods and current applicable interest rates.</w:t>
      </w:r>
    </w:p>
    <w:p>
      <w:pPr>
        <w:spacing w:after="0" w:line="10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Litigation</w:t>
      </w:r>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color w:val="auto"/>
        </w:rPr>
        <w:t>We are currently involved in certain legal proceedings and, as required, have accrued estimates of probable and estimable losses for the resolution of these claims.</w:t>
      </w:r>
    </w:p>
    <w:p>
      <w:pPr>
        <w:spacing w:after="0" w:line="123" w:lineRule="exact"/>
        <w:rPr>
          <w:sz w:val="20"/>
          <w:szCs w:val="20"/>
          <w:color w:val="auto"/>
        </w:rPr>
      </w:pPr>
    </w:p>
    <w:p>
      <w:pPr>
        <w:ind w:right="100"/>
        <w:spacing w:after="0" w:line="263" w:lineRule="auto"/>
        <w:rPr>
          <w:sz w:val="20"/>
          <w:szCs w:val="20"/>
          <w:color w:val="auto"/>
        </w:rPr>
      </w:pPr>
      <w:r>
        <w:rPr>
          <w:rFonts w:ascii="Arial" w:cs="Arial" w:eastAsia="Arial" w:hAnsi="Arial"/>
          <w:sz w:val="12"/>
          <w:szCs w:val="12"/>
          <w:color w:val="auto"/>
        </w:rPr>
        <w:t>Where we are the plaintiffs, we expense all legal fees on an on-going basis and make no provision for any potential settlement amounts until received. In Australia, the prevailing party is usually entitled to recover its attorneys’ fees, which recoveries typically work out to be approximately 60% of the amounts actually spent where first-class legal counsel is engaged at customary rates. Where we are a plaintiff, we have likewise made no provision for the liability for the defendant’s attorneys' fees in the event we are determined not to be the prevailing party.</w:t>
      </w:r>
    </w:p>
    <w:p>
      <w:pPr>
        <w:spacing w:after="0" w:line="105" w:lineRule="exact"/>
        <w:rPr>
          <w:sz w:val="20"/>
          <w:szCs w:val="20"/>
          <w:color w:val="auto"/>
        </w:rPr>
      </w:pPr>
    </w:p>
    <w:p>
      <w:pPr>
        <w:ind w:right="200"/>
        <w:spacing w:after="0" w:line="298" w:lineRule="auto"/>
        <w:rPr>
          <w:sz w:val="20"/>
          <w:szCs w:val="20"/>
          <w:color w:val="auto"/>
        </w:rPr>
      </w:pPr>
      <w:r>
        <w:rPr>
          <w:rFonts w:ascii="Arial" w:cs="Arial" w:eastAsia="Arial" w:hAnsi="Arial"/>
          <w:sz w:val="11"/>
          <w:szCs w:val="11"/>
          <w:color w:val="auto"/>
        </w:rPr>
        <w:t xml:space="preserve">Where we are the defendants, we accrue for probable damages that insurance may not cover as they become known and can be reasonably estimated. In our opinion, any claims and litigation in which we are currently involved are not reasonably likely to have a material adverse effect on our business, results of operations, financial position, or liquidity. It is possible, however, that future results of the operations for any particular quarterly or annual period could be materially affected by the ultimate outcome of the legal proceedings. Please refer to Item 3 – </w:t>
      </w:r>
      <w:r>
        <w:rPr>
          <w:rFonts w:ascii="Arial" w:cs="Arial" w:eastAsia="Arial" w:hAnsi="Arial"/>
          <w:sz w:val="11"/>
          <w:szCs w:val="11"/>
          <w:i w:val="1"/>
          <w:iCs w:val="1"/>
          <w:color w:val="auto"/>
        </w:rPr>
        <w:t>Legal Proceedings</w:t>
      </w:r>
      <w:r>
        <w:rPr>
          <w:rFonts w:ascii="Arial" w:cs="Arial" w:eastAsia="Arial" w:hAnsi="Arial"/>
          <w:sz w:val="11"/>
          <w:szCs w:val="11"/>
          <w:color w:val="auto"/>
        </w:rPr>
        <w:t xml:space="preserve"> in this report for more information.</w:t>
      </w:r>
    </w:p>
    <w:p>
      <w:pPr>
        <w:spacing w:after="0" w:line="7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Off-Balance Sheet Arrangements</w:t>
      </w:r>
    </w:p>
    <w:p>
      <w:pPr>
        <w:spacing w:after="0" w:line="127" w:lineRule="exact"/>
        <w:rPr>
          <w:sz w:val="20"/>
          <w:szCs w:val="20"/>
          <w:color w:val="auto"/>
        </w:rPr>
      </w:pPr>
    </w:p>
    <w:p>
      <w:pPr>
        <w:ind w:right="420"/>
        <w:spacing w:after="0" w:line="276" w:lineRule="auto"/>
        <w:rPr>
          <w:sz w:val="20"/>
          <w:szCs w:val="20"/>
          <w:color w:val="auto"/>
        </w:rPr>
      </w:pPr>
      <w:r>
        <w:rPr>
          <w:rFonts w:ascii="Arial" w:cs="Arial" w:eastAsia="Arial" w:hAnsi="Arial"/>
          <w:sz w:val="12"/>
          <w:szCs w:val="12"/>
          <w:color w:val="auto"/>
        </w:rPr>
        <w:t>There are no off-balance sheet arrangements or obligations (including contingent obligations) that have, or are reasonably likely to have, a current or future material effect on our financial condition, changes in the financial condition, revenue or expense, results of operations, liquidity, capital expenditures or capital resources.</w:t>
      </w:r>
    </w:p>
    <w:p>
      <w:pPr>
        <w:spacing w:after="0" w:line="9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FINANCIAL RISK MANAGEMENT</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Currency and interest rate risk</w:t>
      </w:r>
    </w:p>
    <w:p>
      <w:pPr>
        <w:spacing w:after="0" w:line="127" w:lineRule="exact"/>
        <w:rPr>
          <w:sz w:val="20"/>
          <w:szCs w:val="20"/>
          <w:color w:val="auto"/>
        </w:rPr>
      </w:pPr>
    </w:p>
    <w:p>
      <w:pPr>
        <w:ind w:right="360"/>
        <w:spacing w:after="0" w:line="276" w:lineRule="auto"/>
        <w:rPr>
          <w:sz w:val="20"/>
          <w:szCs w:val="20"/>
          <w:color w:val="auto"/>
        </w:rPr>
      </w:pPr>
      <w:r>
        <w:rPr>
          <w:rFonts w:ascii="Arial" w:cs="Arial" w:eastAsia="Arial" w:hAnsi="Arial"/>
          <w:sz w:val="12"/>
          <w:szCs w:val="12"/>
          <w:color w:val="auto"/>
        </w:rPr>
        <w:t>The Company’s objective in managing exposure to foreign currency and interest rate fluctuations is to reduce volatility of earnings and cash flows in order to allow management to focus on core business issues and challenges.</w:t>
      </w:r>
    </w:p>
    <w:p>
      <w:pPr>
        <w:spacing w:after="0" w:line="97" w:lineRule="exact"/>
        <w:rPr>
          <w:sz w:val="20"/>
          <w:szCs w:val="20"/>
          <w:color w:val="auto"/>
        </w:rPr>
      </w:pPr>
    </w:p>
    <w:p>
      <w:pPr>
        <w:ind w:right="80"/>
        <w:spacing w:after="0" w:line="298" w:lineRule="auto"/>
        <w:rPr>
          <w:sz w:val="20"/>
          <w:szCs w:val="20"/>
          <w:color w:val="auto"/>
        </w:rPr>
      </w:pPr>
      <w:r>
        <w:rPr>
          <w:rFonts w:ascii="Arial" w:cs="Arial" w:eastAsia="Arial" w:hAnsi="Arial"/>
          <w:sz w:val="11"/>
          <w:szCs w:val="11"/>
          <w:color w:val="auto"/>
        </w:rPr>
        <w:t>We currently manage our currency exposure by creating, whenever possible, natural hedges in Australia and New Zealand. This involves local country sourcing of goods and services, as well as borrowing in local currencies to match revenues and expenses. Since we intend to conduct business on a self-funding basis, (except for funds used to pay an appropriate share of our U.S. corporate overhead), we do not believe the currency fluctuations present a material risk to the Company. As such, we do not use derivative financial instruments to hedge against the risk of foreign currency exposure.</w:t>
      </w:r>
    </w:p>
    <w:p>
      <w:pPr>
        <w:spacing w:after="0" w:line="78" w:lineRule="exact"/>
        <w:rPr>
          <w:sz w:val="20"/>
          <w:szCs w:val="20"/>
          <w:color w:val="auto"/>
        </w:rPr>
      </w:pPr>
    </w:p>
    <w:p>
      <w:pPr>
        <w:ind w:right="400"/>
        <w:spacing w:after="0" w:line="276" w:lineRule="auto"/>
        <w:rPr>
          <w:sz w:val="20"/>
          <w:szCs w:val="20"/>
          <w:color w:val="auto"/>
        </w:rPr>
      </w:pPr>
      <w:r>
        <w:rPr>
          <w:rFonts w:ascii="Arial" w:cs="Arial" w:eastAsia="Arial" w:hAnsi="Arial"/>
          <w:sz w:val="12"/>
          <w:szCs w:val="12"/>
          <w:color w:val="auto"/>
        </w:rPr>
        <w:t>Our U.S. operations are funded in part by the operational results of Australia and New Zealand, and fluctuations in these foreign currencies affect such funding. As we continue to progress with our acquisition and development activities in Australia and New Zealand, the effect of variations in currency values will likely increase.</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59690</wp:posOffset>
            </wp:positionV>
            <wp:extent cx="677989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779895" cy="42545"/>
                    </a:xfrm>
                    <a:prstGeom prst="rect">
                      <a:avLst/>
                    </a:prstGeom>
                    <a:noFill/>
                  </pic:spPr>
                </pic:pic>
              </a:graphicData>
            </a:graphic>
          </wp:anchor>
        </w:drawing>
      </w:r>
    </w:p>
    <w:p>
      <w:pPr>
        <w:sectPr>
          <w:pgSz w:w="11900" w:h="16838" w:orient="portrait"/>
          <w:cols w:equalWidth="0" w:num="1">
            <w:col w:w="10620"/>
          </w:cols>
          <w:pgMar w:left="640" w:top="271" w:right="639" w:bottom="1440" w:gutter="0" w:footer="0" w:header="0"/>
        </w:sectPr>
      </w:pPr>
    </w:p>
    <w:bookmarkStart w:id="49" w:name="page50"/>
    <w:bookmarkEnd w:id="49"/>
    <w:p>
      <w:pPr>
        <w:ind w:right="40"/>
        <w:spacing w:after="0" w:line="263" w:lineRule="auto"/>
        <w:rPr>
          <w:sz w:val="20"/>
          <w:szCs w:val="20"/>
          <w:color w:val="auto"/>
        </w:rPr>
      </w:pPr>
      <w:r>
        <w:rPr>
          <w:rFonts w:ascii="Arial" w:cs="Arial" w:eastAsia="Arial" w:hAnsi="Arial"/>
          <w:sz w:val="12"/>
          <w:szCs w:val="12"/>
          <w:color w:val="auto"/>
        </w:rPr>
        <w:t>Our exposure to interest rate risk arises out of our long-term floating-rate borrowings. To manage the risk, we utilize interest rate derivative contracts to convert certain floating-rate borrowings into fixed-rate borrowings. It is the Company’s policy to enter into interest rate derivative transactions only to the extent considered necessary to meet its objectives as stated above. The Company does not enter into these transactions or any other hedging transactions for speculative purposes.</w:t>
      </w:r>
    </w:p>
    <w:p>
      <w:pPr>
        <w:spacing w:after="0" w:line="9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Inflation</w:t>
      </w:r>
    </w:p>
    <w:p>
      <w:pPr>
        <w:spacing w:after="0" w:line="136" w:lineRule="exact"/>
        <w:rPr>
          <w:sz w:val="20"/>
          <w:szCs w:val="20"/>
          <w:color w:val="auto"/>
        </w:rPr>
      </w:pPr>
    </w:p>
    <w:p>
      <w:pPr>
        <w:ind w:right="100"/>
        <w:spacing w:after="0" w:line="259" w:lineRule="auto"/>
        <w:rPr>
          <w:sz w:val="20"/>
          <w:szCs w:val="20"/>
          <w:color w:val="auto"/>
        </w:rPr>
      </w:pPr>
      <w:r>
        <w:rPr>
          <w:rFonts w:ascii="Arial" w:cs="Arial" w:eastAsia="Arial" w:hAnsi="Arial"/>
          <w:sz w:val="12"/>
          <w:szCs w:val="12"/>
          <w:color w:val="auto"/>
        </w:rPr>
        <w:t>We continually monitor inflation and the effects of changing prices. Inflation increases the cost of goods and services used. Competitive conditions in many of our markets restrict our ability to recover fully the higher costs of acquired goods and services through price increases. We attempt to mitigate the impact of inflation by implementing continuous process improvement solutions to enhance productivity and efficiency and, as a result, lower costs and operating expenses. In our opinion, we have managed the effects of inflation appropriately, and, as a result, it has not had a material impact on our operations and the resulting financial position or liquidity.</w:t>
      </w:r>
    </w:p>
    <w:p>
      <w:pPr>
        <w:spacing w:after="0" w:line="9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Accounting Pronouncements Adopted and Issued During 2015</w:t>
      </w:r>
    </w:p>
    <w:p>
      <w:pPr>
        <w:spacing w:after="0" w:line="127" w:lineRule="exact"/>
        <w:rPr>
          <w:sz w:val="20"/>
          <w:szCs w:val="20"/>
          <w:color w:val="auto"/>
        </w:rPr>
      </w:pPr>
    </w:p>
    <w:p>
      <w:pPr>
        <w:ind w:right="420"/>
        <w:spacing w:after="0" w:line="276" w:lineRule="auto"/>
        <w:rPr>
          <w:sz w:val="20"/>
          <w:szCs w:val="20"/>
          <w:color w:val="auto"/>
        </w:rPr>
      </w:pPr>
      <w:r>
        <w:rPr>
          <w:rFonts w:ascii="Arial" w:cs="Arial" w:eastAsia="Arial" w:hAnsi="Arial"/>
          <w:sz w:val="12"/>
          <w:szCs w:val="12"/>
          <w:color w:val="auto"/>
        </w:rPr>
        <w:t xml:space="preserve">Please see Note 2 – </w:t>
      </w:r>
      <w:r>
        <w:rPr>
          <w:rFonts w:ascii="Arial" w:cs="Arial" w:eastAsia="Arial" w:hAnsi="Arial"/>
          <w:sz w:val="12"/>
          <w:szCs w:val="12"/>
          <w:i w:val="1"/>
          <w:iCs w:val="1"/>
          <w:color w:val="auto"/>
        </w:rPr>
        <w:t>Summary of Significant Accounting Policies – Accounting Pronouncements Adopted and Issued During 2015</w:t>
      </w:r>
      <w:r>
        <w:rPr>
          <w:rFonts w:ascii="Arial" w:cs="Arial" w:eastAsia="Arial" w:hAnsi="Arial"/>
          <w:sz w:val="12"/>
          <w:szCs w:val="12"/>
          <w:color w:val="auto"/>
        </w:rPr>
        <w:t xml:space="preserve"> to our consolidated financial statements for information regarding new accounting pronouncements adopted and issued in 2015.</w:t>
      </w:r>
    </w:p>
    <w:p>
      <w:pPr>
        <w:spacing w:after="0" w:line="9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CRITICAL ACCOUNTING POLICIES AND ESTIMATES</w:t>
      </w:r>
    </w:p>
    <w:p>
      <w:pPr>
        <w:spacing w:after="0" w:line="127" w:lineRule="exact"/>
        <w:rPr>
          <w:sz w:val="20"/>
          <w:szCs w:val="20"/>
          <w:color w:val="auto"/>
        </w:rPr>
      </w:pPr>
    </w:p>
    <w:p>
      <w:pPr>
        <w:ind w:right="180"/>
        <w:spacing w:after="0" w:line="276" w:lineRule="auto"/>
        <w:rPr>
          <w:sz w:val="20"/>
          <w:szCs w:val="20"/>
          <w:color w:val="auto"/>
        </w:rPr>
      </w:pPr>
      <w:r>
        <w:rPr>
          <w:rFonts w:ascii="Arial" w:cs="Arial" w:eastAsia="Arial" w:hAnsi="Arial"/>
          <w:sz w:val="12"/>
          <w:szCs w:val="12"/>
          <w:color w:val="auto"/>
        </w:rPr>
        <w:t>We believe that the application of the following accounting policies, which are important to our financial position and results of operations, require significant judgments and estimates on the part of management. For a summary of our significant accounting policies, including the accounting policies discussed below, see Note 2 to the consolidated financial statements.</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Impairment of long-lived assets, including goodwill and intangible assets</w:t>
      </w:r>
    </w:p>
    <w:p>
      <w:pPr>
        <w:spacing w:after="0" w:line="127" w:lineRule="exact"/>
        <w:rPr>
          <w:sz w:val="20"/>
          <w:szCs w:val="20"/>
          <w:color w:val="auto"/>
        </w:rPr>
      </w:pPr>
    </w:p>
    <w:p>
      <w:pPr>
        <w:ind w:right="160"/>
        <w:spacing w:after="0" w:line="276" w:lineRule="auto"/>
        <w:rPr>
          <w:sz w:val="20"/>
          <w:szCs w:val="20"/>
          <w:color w:val="auto"/>
        </w:rPr>
      </w:pPr>
      <w:r>
        <w:rPr>
          <w:rFonts w:ascii="Arial" w:cs="Arial" w:eastAsia="Arial" w:hAnsi="Arial"/>
          <w:sz w:val="12"/>
          <w:szCs w:val="12"/>
          <w:color w:val="auto"/>
        </w:rPr>
        <w:t>We review long-lived assets, including goodwill and intangibles, for impairment as part of our annual budgeting process, at the beginning of the fourth quarter, and whenever events or changes in circumstances indicate that the carrying amount of the asset may not be fully recoverable.</w:t>
      </w:r>
    </w:p>
    <w:p>
      <w:pPr>
        <w:spacing w:after="0" w:line="97" w:lineRule="exact"/>
        <w:rPr>
          <w:sz w:val="20"/>
          <w:szCs w:val="20"/>
          <w:color w:val="auto"/>
        </w:rPr>
      </w:pPr>
    </w:p>
    <w:p>
      <w:pPr>
        <w:spacing w:after="0" w:line="259" w:lineRule="auto"/>
        <w:rPr>
          <w:sz w:val="20"/>
          <w:szCs w:val="20"/>
          <w:color w:val="auto"/>
        </w:rPr>
      </w:pPr>
      <w:r>
        <w:rPr>
          <w:rFonts w:ascii="Arial" w:cs="Arial" w:eastAsia="Arial" w:hAnsi="Arial"/>
          <w:sz w:val="12"/>
          <w:szCs w:val="12"/>
          <w:color w:val="auto"/>
        </w:rPr>
        <w:t>Pursuant to US GAAP, we review internal management reports on a monthly basis as well as monitoring current and potential future competition in film markets for indications of potential impairment. We evaluate our long-lived assets using historical and projected data of cash flow as our primary indicator of potential impairment, and we also take into consideration the seasonality of our business. If the sum of the estimated, undiscounted future cash flows is less than the carrying amount of the asset, then impairment is recognized for the amount by which the carrying value of the asset exceeds its estimated fair value based on an appraisal or a discounted cash flow calculation.</w:t>
      </w:r>
    </w:p>
    <w:p>
      <w:pPr>
        <w:spacing w:after="0" w:line="98" w:lineRule="exact"/>
        <w:rPr>
          <w:sz w:val="20"/>
          <w:szCs w:val="20"/>
          <w:color w:val="auto"/>
        </w:rPr>
      </w:pPr>
    </w:p>
    <w:p>
      <w:pPr>
        <w:ind w:right="500"/>
        <w:spacing w:after="0" w:line="276" w:lineRule="auto"/>
        <w:rPr>
          <w:sz w:val="20"/>
          <w:szCs w:val="20"/>
          <w:color w:val="auto"/>
        </w:rPr>
      </w:pPr>
      <w:r>
        <w:rPr>
          <w:rFonts w:ascii="Arial" w:cs="Arial" w:eastAsia="Arial" w:hAnsi="Arial"/>
          <w:sz w:val="12"/>
          <w:szCs w:val="12"/>
          <w:color w:val="auto"/>
        </w:rPr>
        <w:t>For certain non-income producing properties, we obtain appraisals or other evidence to evaluate whether there are impairment indicators for these assets. No impairment losses were recorded for the years ended December 31, 2015, 2014 or 2013.</w:t>
      </w:r>
    </w:p>
    <w:p>
      <w:pPr>
        <w:spacing w:after="0" w:line="88" w:lineRule="exact"/>
        <w:rPr>
          <w:sz w:val="20"/>
          <w:szCs w:val="20"/>
          <w:color w:val="auto"/>
        </w:rPr>
      </w:pPr>
    </w:p>
    <w:p>
      <w:pPr>
        <w:ind w:right="220"/>
        <w:spacing w:after="0" w:line="259" w:lineRule="auto"/>
        <w:rPr>
          <w:sz w:val="20"/>
          <w:szCs w:val="20"/>
          <w:color w:val="auto"/>
        </w:rPr>
      </w:pPr>
      <w:r>
        <w:rPr>
          <w:rFonts w:ascii="Arial" w:cs="Arial" w:eastAsia="Arial" w:hAnsi="Arial"/>
          <w:sz w:val="12"/>
          <w:szCs w:val="12"/>
          <w:color w:val="auto"/>
        </w:rPr>
        <w:t>Pursuant to US GAAP, goodwill and intangible assets are evaluated annually on a reporting unit basis. The impairment evaluation is based on the present value of estimated future cash flows of the segment plus the expected terminal value. There are significant assumptions and estimates used in determining the present value. The most significant assumptions include our estimated future cash flow, cost of debt and cost of equity assumptions that comprise the weighted average cost of capital for each reporting unit. Accordingly, actual results could vary materially from such estimates. There was no impairment for the goodwill and intangible assets for the years ended December 31, 2015, 2014, and 2013.</w:t>
      </w:r>
    </w:p>
    <w:p>
      <w:pPr>
        <w:spacing w:after="0" w:line="10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Tax valuation allowance and obligations</w:t>
      </w:r>
    </w:p>
    <w:p>
      <w:pPr>
        <w:spacing w:after="0" w:line="127" w:lineRule="exact"/>
        <w:rPr>
          <w:sz w:val="20"/>
          <w:szCs w:val="20"/>
          <w:color w:val="auto"/>
        </w:rPr>
      </w:pPr>
    </w:p>
    <w:p>
      <w:pPr>
        <w:spacing w:after="0"/>
        <w:rPr>
          <w:sz w:val="20"/>
          <w:szCs w:val="20"/>
          <w:color w:val="auto"/>
        </w:rPr>
      </w:pPr>
      <w:r>
        <w:rPr>
          <w:rFonts w:ascii="Arial" w:cs="Arial" w:eastAsia="Arial" w:hAnsi="Arial"/>
          <w:sz w:val="10"/>
          <w:szCs w:val="10"/>
          <w:color w:val="auto"/>
        </w:rPr>
        <w:t>We record our estimated future tax benefits and liabilities arising from the temporary differences between the tax bases of assets and liabilities and amounts reported in the accompanying consolidated balance sheets, as</w:t>
      </w:r>
    </w:p>
    <w:p>
      <w:pPr>
        <w:spacing w:after="0" w:line="38" w:lineRule="exact"/>
        <w:rPr>
          <w:sz w:val="20"/>
          <w:szCs w:val="20"/>
          <w:color w:val="auto"/>
        </w:rPr>
      </w:pPr>
    </w:p>
    <w:p>
      <w:pPr>
        <w:spacing w:after="0"/>
        <w:rPr>
          <w:sz w:val="20"/>
          <w:szCs w:val="20"/>
          <w:color w:val="auto"/>
        </w:rPr>
      </w:pPr>
      <w:r>
        <w:rPr>
          <w:rFonts w:ascii="Arial" w:cs="Arial" w:eastAsia="Arial" w:hAnsi="Arial"/>
          <w:sz w:val="11"/>
          <w:szCs w:val="11"/>
          <w:color w:val="auto"/>
        </w:rPr>
        <w:t>well as operating loss carry-forwards. We estimate the recoverability of any tax assets recorded on the balance sheet and provide any necessary allowances as required. As of December 31, 2015, we had recorded</w:t>
      </w:r>
    </w:p>
    <w:p>
      <w:pPr>
        <w:spacing w:after="0" w:line="18" w:lineRule="exact"/>
        <w:rPr>
          <w:sz w:val="20"/>
          <w:szCs w:val="20"/>
          <w:color w:val="auto"/>
        </w:rPr>
      </w:pPr>
    </w:p>
    <w:p>
      <w:pPr>
        <w:spacing w:after="0"/>
        <w:rPr>
          <w:sz w:val="20"/>
          <w:szCs w:val="20"/>
          <w:color w:val="auto"/>
        </w:rPr>
      </w:pPr>
      <w:r>
        <w:rPr>
          <w:rFonts w:ascii="Arial" w:cs="Arial" w:eastAsia="Arial" w:hAnsi="Arial"/>
          <w:sz w:val="10"/>
          <w:szCs w:val="10"/>
          <w:color w:val="auto"/>
        </w:rPr>
        <w:t>approximately $37.1 million of deferred tax assets (net of $13.4 million deferred tax liabilities) related to the temporary differences between the tax bases of assets and liabilities and amounts reported in the accompanying</w:t>
      </w:r>
    </w:p>
    <w:p>
      <w:pPr>
        <w:spacing w:after="0" w:line="29" w:lineRule="exact"/>
        <w:rPr>
          <w:sz w:val="20"/>
          <w:szCs w:val="20"/>
          <w:color w:val="auto"/>
        </w:rPr>
      </w:pPr>
    </w:p>
    <w:p>
      <w:pPr>
        <w:spacing w:after="0"/>
        <w:rPr>
          <w:sz w:val="20"/>
          <w:szCs w:val="20"/>
          <w:color w:val="auto"/>
        </w:rPr>
      </w:pPr>
      <w:r>
        <w:rPr>
          <w:rFonts w:ascii="Arial" w:cs="Arial" w:eastAsia="Arial" w:hAnsi="Arial"/>
          <w:sz w:val="11"/>
          <w:szCs w:val="11"/>
          <w:color w:val="auto"/>
        </w:rPr>
        <w:t>consolidated balance sheets, as well as operating loss carry-forwards and tax credit carry-forwards. These deferred tax assets were offset by a valuation allowance of $11.5 million resulting in a net deferred tax asset of</w:t>
      </w:r>
    </w:p>
    <w:p>
      <w:pPr>
        <w:spacing w:after="0" w:line="18" w:lineRule="exact"/>
        <w:rPr>
          <w:sz w:val="20"/>
          <w:szCs w:val="20"/>
          <w:color w:val="auto"/>
        </w:rPr>
      </w:pPr>
    </w:p>
    <w:p>
      <w:pPr>
        <w:spacing w:after="0"/>
        <w:rPr>
          <w:sz w:val="20"/>
          <w:szCs w:val="20"/>
          <w:color w:val="auto"/>
        </w:rPr>
      </w:pPr>
      <w:r>
        <w:rPr>
          <w:rFonts w:ascii="Arial" w:cs="Arial" w:eastAsia="Arial" w:hAnsi="Arial"/>
          <w:sz w:val="11"/>
          <w:szCs w:val="11"/>
          <w:color w:val="auto"/>
        </w:rPr>
        <w:t>$25.6 million. The recoverability of deferred tax assets is dependent upon our ability to generate future taxable income. There is no assurance that sufficient future taxable income will be generated to benefit from our tax</w:t>
      </w:r>
    </w:p>
    <w:p>
      <w:pPr>
        <w:spacing w:after="0" w:line="18" w:lineRule="exact"/>
        <w:rPr>
          <w:sz w:val="20"/>
          <w:szCs w:val="20"/>
          <w:color w:val="auto"/>
        </w:rPr>
      </w:pPr>
    </w:p>
    <w:p>
      <w:pPr>
        <w:spacing w:after="0"/>
        <w:rPr>
          <w:sz w:val="20"/>
          <w:szCs w:val="20"/>
          <w:color w:val="auto"/>
        </w:rPr>
      </w:pPr>
      <w:r>
        <w:rPr>
          <w:rFonts w:ascii="Arial" w:cs="Arial" w:eastAsia="Arial" w:hAnsi="Arial"/>
          <w:sz w:val="12"/>
          <w:szCs w:val="12"/>
          <w:color w:val="auto"/>
        </w:rPr>
        <w:t>loss carry-forwards and tax credit carry-forwards.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59690</wp:posOffset>
            </wp:positionV>
            <wp:extent cx="677989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779895" cy="42545"/>
                    </a:xfrm>
                    <a:prstGeom prst="rect">
                      <a:avLst/>
                    </a:prstGeom>
                    <a:noFill/>
                  </pic:spPr>
                </pic:pic>
              </a:graphicData>
            </a:graphic>
          </wp:anchor>
        </w:drawing>
      </w:r>
    </w:p>
    <w:p>
      <w:pPr>
        <w:sectPr>
          <w:pgSz w:w="11900" w:h="16838" w:orient="portrait"/>
          <w:cols w:equalWidth="0" w:num="1">
            <w:col w:w="10620"/>
          </w:cols>
          <w:pgMar w:left="640" w:top="131" w:right="639" w:bottom="1440" w:gutter="0" w:footer="0" w:header="0"/>
        </w:sectPr>
      </w:pPr>
    </w:p>
    <w:bookmarkStart w:id="50" w:name="page51"/>
    <w:bookmarkEnd w:id="50"/>
    <w:p>
      <w:pPr>
        <w:spacing w:after="0"/>
        <w:rPr>
          <w:sz w:val="20"/>
          <w:szCs w:val="20"/>
          <w:color w:val="auto"/>
        </w:rPr>
      </w:pPr>
      <w:r>
        <w:rPr>
          <w:rFonts w:ascii="Arial" w:cs="Arial" w:eastAsia="Arial" w:hAnsi="Arial"/>
          <w:sz w:val="12"/>
          <w:szCs w:val="12"/>
          <w:b w:val="1"/>
          <w:bCs w:val="1"/>
          <w:color w:val="auto"/>
        </w:rPr>
        <w:t>Legal and environmental obligations</w:t>
      </w:r>
    </w:p>
    <w:p>
      <w:pPr>
        <w:spacing w:after="0" w:line="127" w:lineRule="exact"/>
        <w:rPr>
          <w:sz w:val="20"/>
          <w:szCs w:val="20"/>
          <w:color w:val="auto"/>
        </w:rPr>
      </w:pPr>
    </w:p>
    <w:p>
      <w:pPr>
        <w:ind w:right="20"/>
        <w:spacing w:after="0" w:line="290" w:lineRule="auto"/>
        <w:rPr>
          <w:sz w:val="20"/>
          <w:szCs w:val="20"/>
          <w:color w:val="auto"/>
        </w:rPr>
      </w:pPr>
      <w:r>
        <w:rPr>
          <w:rFonts w:ascii="Arial" w:cs="Arial" w:eastAsia="Arial" w:hAnsi="Arial"/>
          <w:sz w:val="11"/>
          <w:szCs w:val="11"/>
          <w:color w:val="auto"/>
        </w:rPr>
        <w:t>Certain of our subsidiaries were historically involved in railroad operations, coal mining, and manufacturing. Also, certain of these subsidiaries appear in the chain of title of properties that may suffer from contamination. Accordingly, certain of these subsidiaries have, from time-to-time, been named in, and may in the future be named in, various actions brought under applicable environmental laws. Also, we are in the real estate development business and may encounter from time-to-time unanticipated environmental conditions at properties that we have acquired for development. These environmental conditions can increase the cost of such projects and adversely affect the value and potential for profit of such projects. We do not currently believe that our exposure under applicable environmental laws is material in amount.</w:t>
      </w:r>
    </w:p>
    <w:p>
      <w:pPr>
        <w:spacing w:after="0" w:line="91" w:lineRule="exact"/>
        <w:rPr>
          <w:sz w:val="20"/>
          <w:szCs w:val="20"/>
          <w:color w:val="auto"/>
        </w:rPr>
      </w:pPr>
    </w:p>
    <w:p>
      <w:pPr>
        <w:ind w:right="80"/>
        <w:spacing w:after="0" w:line="298" w:lineRule="auto"/>
        <w:rPr>
          <w:sz w:val="20"/>
          <w:szCs w:val="20"/>
          <w:color w:val="auto"/>
        </w:rPr>
      </w:pPr>
      <w:r>
        <w:rPr>
          <w:rFonts w:ascii="Arial" w:cs="Arial" w:eastAsia="Arial" w:hAnsi="Arial"/>
          <w:sz w:val="11"/>
          <w:szCs w:val="11"/>
          <w:color w:val="auto"/>
        </w:rPr>
        <w:t>From time-to-time, we have claims brought against us relating to the exposure of former employees of our railroad operations to asbestos and coal dust. These are generally covered by an insurance settlement reached in September 1990 with our insurance carriers. However, this insurance settlement does not cover litigation by people who were not our employees and who may claim second-hand exposure to asbestos, coal dust, and/or other chemicals or elements now recognized as potentially causing cancer in humans. Our known exposure to these types of claims, asserted or probable of being asserted, is not material.</w:t>
      </w:r>
    </w:p>
    <w:p>
      <w:pPr>
        <w:spacing w:after="0" w:line="78" w:lineRule="exact"/>
        <w:rPr>
          <w:sz w:val="20"/>
          <w:szCs w:val="20"/>
          <w:color w:val="auto"/>
        </w:rPr>
      </w:pPr>
    </w:p>
    <w:p>
      <w:pPr>
        <w:spacing w:after="0" w:line="276" w:lineRule="auto"/>
        <w:rPr>
          <w:sz w:val="20"/>
          <w:szCs w:val="20"/>
          <w:color w:val="auto"/>
        </w:rPr>
      </w:pPr>
      <w:r>
        <w:rPr>
          <w:rFonts w:ascii="Arial" w:cs="Arial" w:eastAsia="Arial" w:hAnsi="Arial"/>
          <w:sz w:val="12"/>
          <w:szCs w:val="12"/>
          <w:color w:val="auto"/>
        </w:rPr>
        <w:t>From time-to-time, we are involved with claims and lawsuits arising in the ordinary course of our business that may include contractual obligations, insurance claims, tax claims, employment matters, and anti-trust issues, among other matters.</w:t>
      </w:r>
    </w:p>
    <w:p>
      <w:pPr>
        <w:spacing w:after="0" w:line="88" w:lineRule="exact"/>
        <w:rPr>
          <w:sz w:val="20"/>
          <w:szCs w:val="20"/>
          <w:color w:val="auto"/>
        </w:rPr>
      </w:pPr>
    </w:p>
    <w:p>
      <w:pPr>
        <w:ind w:right="80"/>
        <w:spacing w:after="0" w:line="323" w:lineRule="auto"/>
        <w:rPr>
          <w:sz w:val="20"/>
          <w:szCs w:val="20"/>
          <w:color w:val="auto"/>
        </w:rPr>
      </w:pPr>
      <w:r>
        <w:rPr>
          <w:rFonts w:ascii="Arial" w:cs="Arial" w:eastAsia="Arial" w:hAnsi="Arial"/>
          <w:sz w:val="11"/>
          <w:szCs w:val="11"/>
          <w:color w:val="auto"/>
        </w:rPr>
        <w:t>All of these matters require that we make judgments based on the facts known to us. These judgments are inherently uncertain and can change significantly when additional facts become known. We provide accruals for matters that are either probably or reasonably possible and can be properly estimated as to their expected negative outcome. We do not record expected gains until the proceeds are received by us.</w:t>
      </w:r>
    </w:p>
    <w:p>
      <w:pPr>
        <w:spacing w:after="0" w:line="92"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59690</wp:posOffset>
            </wp:positionV>
            <wp:extent cx="677989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779895" cy="42545"/>
                    </a:xfrm>
                    <a:prstGeom prst="rect">
                      <a:avLst/>
                    </a:prstGeom>
                    <a:noFill/>
                  </pic:spPr>
                </pic:pic>
              </a:graphicData>
            </a:graphic>
          </wp:anchor>
        </w:drawing>
      </w:r>
    </w:p>
    <w:p>
      <w:pPr>
        <w:sectPr>
          <w:pgSz w:w="11900" w:h="16838" w:orient="portrait"/>
          <w:cols w:equalWidth="0" w:num="1">
            <w:col w:w="10580"/>
          </w:cols>
          <w:pgMar w:left="640" w:top="127" w:right="679" w:bottom="1440" w:gutter="0" w:footer="0" w:header="0"/>
        </w:sectPr>
      </w:pPr>
    </w:p>
    <w:bookmarkStart w:id="51" w:name="page52"/>
    <w:bookmarkEnd w:id="51"/>
    <w:p>
      <w:pPr>
        <w:spacing w:after="0"/>
        <w:rPr>
          <w:sz w:val="20"/>
          <w:szCs w:val="20"/>
          <w:color w:val="auto"/>
        </w:rPr>
      </w:pPr>
      <w:r>
        <w:rPr>
          <w:rFonts w:ascii="Arial" w:cs="Arial" w:eastAsia="Arial" w:hAnsi="Arial"/>
          <w:sz w:val="12"/>
          <w:szCs w:val="12"/>
          <w:b w:val="1"/>
          <w:bCs w:val="1"/>
          <w:u w:val="single" w:color="auto"/>
          <w:color w:val="auto"/>
        </w:rPr>
        <w:t>Item 7A – Quantitative and Qualitative Disclosure about Market Risk</w:t>
      </w:r>
    </w:p>
    <w:p>
      <w:pPr>
        <w:spacing w:after="0" w:line="127" w:lineRule="exact"/>
        <w:rPr>
          <w:sz w:val="20"/>
          <w:szCs w:val="20"/>
          <w:color w:val="auto"/>
        </w:rPr>
      </w:pPr>
    </w:p>
    <w:p>
      <w:pPr>
        <w:ind w:right="180"/>
        <w:spacing w:after="0" w:line="263" w:lineRule="auto"/>
        <w:rPr>
          <w:sz w:val="20"/>
          <w:szCs w:val="20"/>
          <w:color w:val="auto"/>
        </w:rPr>
      </w:pPr>
      <w:r>
        <w:rPr>
          <w:rFonts w:ascii="Arial" w:cs="Arial" w:eastAsia="Arial" w:hAnsi="Arial"/>
          <w:sz w:val="12"/>
          <w:szCs w:val="12"/>
          <w:color w:val="auto"/>
        </w:rPr>
        <w:t>The Securities and Exchange Commission requires that registrants include information about potential effects of changes in currency exchange and interest rates in their Form 10-K filings. Several alternatives, all with some limitations, have been offered. The following discussion is based on a sensitivity analysis, which models the effects of fluctuations in currency exchange rates and interest rates. This analysis is constrained by several factors, including the following:</w:t>
      </w:r>
    </w:p>
    <w:p>
      <w:pPr>
        <w:spacing w:after="0" w:line="105" w:lineRule="exact"/>
        <w:rPr>
          <w:sz w:val="20"/>
          <w:szCs w:val="20"/>
          <w:color w:val="auto"/>
        </w:rPr>
      </w:pPr>
    </w:p>
    <w:p>
      <w:pPr>
        <w:ind w:left="400" w:hanging="179"/>
        <w:spacing w:after="0"/>
        <w:tabs>
          <w:tab w:leader="none" w:pos="400" w:val="left"/>
        </w:tabs>
        <w:numPr>
          <w:ilvl w:val="0"/>
          <w:numId w:val="26"/>
        </w:numPr>
        <w:rPr>
          <w:rFonts w:ascii="Arial" w:cs="Arial" w:eastAsia="Arial" w:hAnsi="Arial"/>
          <w:sz w:val="12"/>
          <w:szCs w:val="12"/>
          <w:color w:val="auto"/>
        </w:rPr>
      </w:pPr>
      <w:r>
        <w:rPr>
          <w:rFonts w:ascii="Arial" w:cs="Arial" w:eastAsia="Arial" w:hAnsi="Arial"/>
          <w:sz w:val="12"/>
          <w:szCs w:val="12"/>
          <w:color w:val="auto"/>
        </w:rPr>
        <w:t>it is based on a single point in time; and</w:t>
      </w:r>
    </w:p>
    <w:p>
      <w:pPr>
        <w:spacing w:after="0" w:line="14" w:lineRule="exact"/>
        <w:rPr>
          <w:rFonts w:ascii="Arial" w:cs="Arial" w:eastAsia="Arial" w:hAnsi="Arial"/>
          <w:sz w:val="12"/>
          <w:szCs w:val="12"/>
          <w:color w:val="auto"/>
        </w:rPr>
      </w:pPr>
    </w:p>
    <w:p>
      <w:pPr>
        <w:ind w:left="280" w:hanging="59"/>
        <w:spacing w:after="0"/>
        <w:tabs>
          <w:tab w:leader="none" w:pos="280" w:val="left"/>
        </w:tabs>
        <w:numPr>
          <w:ilvl w:val="0"/>
          <w:numId w:val="26"/>
        </w:numPr>
        <w:rPr>
          <w:rFonts w:ascii="Arial" w:cs="Arial" w:eastAsia="Arial" w:hAnsi="Arial"/>
          <w:sz w:val="12"/>
          <w:szCs w:val="12"/>
          <w:color w:val="auto"/>
        </w:rPr>
      </w:pPr>
      <w:r>
        <w:rPr>
          <w:rFonts w:ascii="Arial" w:cs="Arial" w:eastAsia="Arial" w:hAnsi="Arial"/>
          <w:sz w:val="12"/>
          <w:szCs w:val="12"/>
          <w:color w:val="auto"/>
        </w:rPr>
        <w:t>it does not include the effects of other complex market reactions that would arise from the changes modeled.</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color w:val="auto"/>
        </w:rPr>
        <w:t>Although the results of such an analysis may be useful as a benchmark, they should not be viewed as forecasts.</w:t>
      </w:r>
    </w:p>
    <w:p>
      <w:pPr>
        <w:spacing w:after="0" w:line="123" w:lineRule="exact"/>
        <w:rPr>
          <w:sz w:val="20"/>
          <w:szCs w:val="20"/>
          <w:color w:val="auto"/>
        </w:rPr>
      </w:pPr>
    </w:p>
    <w:p>
      <w:pPr>
        <w:ind w:right="100"/>
        <w:spacing w:after="0" w:line="263" w:lineRule="auto"/>
        <w:rPr>
          <w:sz w:val="20"/>
          <w:szCs w:val="20"/>
          <w:color w:val="auto"/>
        </w:rPr>
      </w:pPr>
      <w:r>
        <w:rPr>
          <w:rFonts w:ascii="Arial" w:cs="Arial" w:eastAsia="Arial" w:hAnsi="Arial"/>
          <w:sz w:val="12"/>
          <w:szCs w:val="12"/>
          <w:color w:val="auto"/>
        </w:rPr>
        <w:t>At December 31, 2015, approximately 46% and 19% of our assets were invested in assets denominated in Australian dollars (Reading Australia) and New Zealand dollars (Reading New Zealand), respectively, including approximately $10.4 million in cash and cash equivalents. At December 31, 2014, approximately 44% and 21% of our assets were invested in assets denominated in Australian and New Zealand dollars, respectively, including approximately $40.1 million in cash and cash equivalents.</w:t>
      </w:r>
    </w:p>
    <w:p>
      <w:pPr>
        <w:spacing w:after="0" w:line="105" w:lineRule="exact"/>
        <w:rPr>
          <w:sz w:val="20"/>
          <w:szCs w:val="20"/>
          <w:color w:val="auto"/>
        </w:rPr>
      </w:pPr>
    </w:p>
    <w:p>
      <w:pPr>
        <w:ind w:right="40"/>
        <w:spacing w:after="0" w:line="257" w:lineRule="auto"/>
        <w:rPr>
          <w:sz w:val="20"/>
          <w:szCs w:val="20"/>
          <w:color w:val="auto"/>
        </w:rPr>
      </w:pPr>
      <w:r>
        <w:rPr>
          <w:rFonts w:ascii="Arial" w:cs="Arial" w:eastAsia="Arial" w:hAnsi="Arial"/>
          <w:sz w:val="12"/>
          <w:szCs w:val="12"/>
          <w:color w:val="auto"/>
        </w:rPr>
        <w:t>Our policy in Australia and New Zealand is to match revenues and expenses, whenever possible, in local currencies. As a result, we have procured in local currencies a majority of our expenses in Australia and New Zealand. Due to the developing nature of our operations in Australia and New Zealand, our revenue is not yet significantly greater than our operating and interest expenses. Despite this natural hedge, recent movements in foreign currencies have had an effect on our current earnings. Although foreign currency has had an effect on our current earnings, the effect of the translation adjustment on our assets and liabilities noted in our other comprehensive income was a decrease of $16.5 million for the year ended December 31, 2015. As we continue to progress our acquisition and development activities in Australia and New Zealand, we cannot assure you that the foreign currency effect on our earnings will be negligible in the future.</w:t>
      </w:r>
    </w:p>
    <w:p>
      <w:pPr>
        <w:spacing w:after="0" w:line="99" w:lineRule="exact"/>
        <w:rPr>
          <w:sz w:val="20"/>
          <w:szCs w:val="20"/>
          <w:color w:val="auto"/>
        </w:rPr>
      </w:pPr>
    </w:p>
    <w:p>
      <w:pPr>
        <w:ind w:right="60"/>
        <w:spacing w:after="0" w:line="286" w:lineRule="auto"/>
        <w:rPr>
          <w:sz w:val="20"/>
          <w:szCs w:val="20"/>
          <w:color w:val="auto"/>
        </w:rPr>
      </w:pPr>
      <w:r>
        <w:rPr>
          <w:rFonts w:ascii="Arial" w:cs="Arial" w:eastAsia="Arial" w:hAnsi="Arial"/>
          <w:sz w:val="11"/>
          <w:szCs w:val="11"/>
          <w:color w:val="auto"/>
        </w:rPr>
        <w:t>Historically, our policy has been to borrow in local currencies to finance the development and construction of our long-term assets in Australia and New Zealand whenever possible. As a result, the borrowings in local currencies have provided somewhat of a natural hedge against the foreign currency exchange exposure. Even so, and as a result of our issuance of fully subordinated Trust Preferred Securities in 2007, and their subsequent partial repayment, approximately 75% and 52% of our Australian and New Zealand assets, respectively, remain subject to such exposure, unless we elect to hedge our foreign currency exchange between the U.S. and Australian and New Zealand dollars. If the foreign currency rates were to fluctuate by 10%, the resulting change in Australian and New Zealand assets would be $13.0 million and $3.7 million, respectively, and the change in our net income for the year would be $1.9 million and $102,000, respectively. Presently, we have no plan to hedge such exposure.</w:t>
      </w:r>
    </w:p>
    <w:p>
      <w:pPr>
        <w:spacing w:after="0" w:line="84" w:lineRule="exact"/>
        <w:rPr>
          <w:sz w:val="20"/>
          <w:szCs w:val="20"/>
          <w:color w:val="auto"/>
        </w:rPr>
      </w:pPr>
    </w:p>
    <w:p>
      <w:pPr>
        <w:ind w:right="60"/>
        <w:spacing w:after="0" w:line="276" w:lineRule="auto"/>
        <w:rPr>
          <w:sz w:val="20"/>
          <w:szCs w:val="20"/>
          <w:color w:val="auto"/>
        </w:rPr>
      </w:pPr>
      <w:r>
        <w:rPr>
          <w:rFonts w:ascii="Arial" w:cs="Arial" w:eastAsia="Arial" w:hAnsi="Arial"/>
          <w:sz w:val="12"/>
          <w:szCs w:val="12"/>
          <w:color w:val="auto"/>
        </w:rPr>
        <w:t>We record unrealized foreign currency translation gains or losses that could materially affect our financial position. We have accumulated unrealized foreign currency translation gains of approximately $14.6 million and $31.1 million as of December 31, 2015 and 2014, respectively.</w:t>
      </w:r>
    </w:p>
    <w:p>
      <w:pPr>
        <w:spacing w:after="0" w:line="97" w:lineRule="exact"/>
        <w:rPr>
          <w:sz w:val="20"/>
          <w:szCs w:val="20"/>
          <w:color w:val="auto"/>
        </w:rPr>
      </w:pPr>
    </w:p>
    <w:p>
      <w:pPr>
        <w:ind w:right="160"/>
        <w:spacing w:after="0" w:line="323" w:lineRule="auto"/>
        <w:rPr>
          <w:sz w:val="20"/>
          <w:szCs w:val="20"/>
          <w:color w:val="auto"/>
        </w:rPr>
      </w:pPr>
      <w:r>
        <w:rPr>
          <w:rFonts w:ascii="Arial" w:cs="Arial" w:eastAsia="Arial" w:hAnsi="Arial"/>
          <w:sz w:val="11"/>
          <w:szCs w:val="11"/>
          <w:color w:val="auto"/>
        </w:rPr>
        <w:t>Historically, we maintained most of our cash and cash equivalent balances in short-term money market instruments with original maturities of six months or less. Some of our money market investments may decline in value if interest rates increase. Due to the short-term nature of such investments, a change of 1% in short-term interest rates would not have a material effect on our financial condition.</w:t>
      </w:r>
    </w:p>
    <w:p>
      <w:pPr>
        <w:spacing w:after="0" w:line="65" w:lineRule="exact"/>
        <w:rPr>
          <w:sz w:val="20"/>
          <w:szCs w:val="20"/>
          <w:color w:val="auto"/>
        </w:rPr>
      </w:pPr>
    </w:p>
    <w:p>
      <w:pPr>
        <w:spacing w:after="0" w:line="276" w:lineRule="auto"/>
        <w:rPr>
          <w:sz w:val="20"/>
          <w:szCs w:val="20"/>
          <w:color w:val="auto"/>
        </w:rPr>
      </w:pPr>
      <w:r>
        <w:rPr>
          <w:rFonts w:ascii="Arial" w:cs="Arial" w:eastAsia="Arial" w:hAnsi="Arial"/>
          <w:sz w:val="12"/>
          <w:szCs w:val="12"/>
          <w:color w:val="auto"/>
        </w:rPr>
        <w:t>We have a combination of fixed and variable interest rate loans. In connection with our variable interest rate loans, a change of approximately 1% in short-term interest rates would have resulted in approximately $658,000 increase or decrease in our 2015 interest expense.</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59690</wp:posOffset>
            </wp:positionV>
            <wp:extent cx="677989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779895" cy="42545"/>
                    </a:xfrm>
                    <a:prstGeom prst="rect">
                      <a:avLst/>
                    </a:prstGeom>
                    <a:noFill/>
                  </pic:spPr>
                </pic:pic>
              </a:graphicData>
            </a:graphic>
          </wp:anchor>
        </w:drawing>
      </w:r>
    </w:p>
    <w:p>
      <w:pPr>
        <w:sectPr>
          <w:pgSz w:w="11900" w:h="16838" w:orient="portrait"/>
          <w:cols w:equalWidth="0" w:num="1">
            <w:col w:w="10620"/>
          </w:cols>
          <w:pgMar w:left="640" w:top="127" w:right="639" w:bottom="1440" w:gutter="0" w:footer="0" w:header="0"/>
        </w:sectPr>
      </w:pPr>
    </w:p>
    <w:bookmarkStart w:id="52" w:name="page53"/>
    <w:bookmarkEnd w:id="52"/>
    <w:p>
      <w:pPr>
        <w:spacing w:after="0"/>
        <w:rPr>
          <w:sz w:val="20"/>
          <w:szCs w:val="20"/>
          <w:color w:val="auto"/>
        </w:rPr>
      </w:pPr>
      <w:r>
        <w:rPr>
          <w:rFonts w:ascii="Arial" w:cs="Arial" w:eastAsia="Arial" w:hAnsi="Arial"/>
          <w:sz w:val="12"/>
          <w:szCs w:val="12"/>
          <w:b w:val="1"/>
          <w:bCs w:val="1"/>
          <w:u w:val="single" w:color="auto"/>
          <w:color w:val="auto"/>
        </w:rPr>
        <w:t>Item 8 – Financial Statements and Supplementary Data</w:t>
      </w:r>
    </w:p>
    <w:p>
      <w:pPr>
        <w:spacing w:after="0" w:line="293" w:lineRule="exact"/>
        <w:rPr>
          <w:sz w:val="20"/>
          <w:szCs w:val="20"/>
          <w:color w:val="auto"/>
        </w:rPr>
      </w:pPr>
    </w:p>
    <w:p>
      <w:pPr>
        <w:ind w:left="2620"/>
        <w:spacing w:after="0"/>
        <w:rPr>
          <w:sz w:val="20"/>
          <w:szCs w:val="20"/>
          <w:color w:val="auto"/>
        </w:rPr>
      </w:pPr>
      <w:r>
        <w:rPr>
          <w:rFonts w:ascii="Arial" w:cs="Arial" w:eastAsia="Arial" w:hAnsi="Arial"/>
          <w:sz w:val="11"/>
          <w:szCs w:val="11"/>
          <w:u w:val="single" w:color="auto"/>
          <w:color w:val="auto"/>
        </w:rPr>
        <w:t>TABLE OF CONTENTS</w:t>
      </w:r>
    </w:p>
    <w:p>
      <w:pPr>
        <w:spacing w:after="0" w:line="167" w:lineRule="exact"/>
        <w:rPr>
          <w:sz w:val="20"/>
          <w:szCs w:val="20"/>
          <w:color w:val="auto"/>
        </w:rPr>
      </w:pPr>
    </w:p>
    <w:tbl>
      <w:tblPr>
        <w:tblLayout w:type="fixed"/>
        <w:tblInd w:w="60" w:type="dxa"/>
        <w:tblCellMar>
          <w:top w:w="0" w:type="dxa"/>
          <w:left w:w="0" w:type="dxa"/>
          <w:bottom w:w="0" w:type="dxa"/>
          <w:right w:w="0" w:type="dxa"/>
        </w:tblCellMar>
      </w:tblPr>
      <w:tr>
        <w:trPr>
          <w:trHeight w:val="180"/>
        </w:trPr>
        <w:tc>
          <w:tcPr>
            <w:tcW w:w="80" w:type="dxa"/>
            <w:vAlign w:val="bottom"/>
            <w:shd w:val="clear" w:color="auto" w:fill="CCEEFF"/>
          </w:tcPr>
          <w:p>
            <w:pPr>
              <w:spacing w:after="0"/>
              <w:rPr>
                <w:sz w:val="15"/>
                <w:szCs w:val="15"/>
                <w:color w:val="auto"/>
              </w:rPr>
            </w:pPr>
          </w:p>
        </w:tc>
        <w:tc>
          <w:tcPr>
            <w:tcW w:w="5400" w:type="dxa"/>
            <w:vAlign w:val="bottom"/>
            <w:gridSpan w:val="9"/>
            <w:shd w:val="clear" w:color="auto" w:fill="CCEEFF"/>
          </w:tcPr>
          <w:p>
            <w:pPr>
              <w:spacing w:after="0"/>
              <w:rPr>
                <w:rFonts w:ascii="Arial" w:cs="Arial" w:eastAsia="Arial" w:hAnsi="Arial"/>
                <w:sz w:val="11"/>
                <w:szCs w:val="11"/>
                <w:color w:val="0000EE"/>
              </w:rPr>
            </w:pPr>
            <w:hyperlink w:anchor="page54">
              <w:r>
                <w:rPr>
                  <w:rFonts w:ascii="Arial" w:cs="Arial" w:eastAsia="Arial" w:hAnsi="Arial"/>
                  <w:sz w:val="11"/>
                  <w:szCs w:val="11"/>
                  <w:color w:val="0000EE"/>
                </w:rPr>
                <w:t>Report of Independent Registered Public Accounting Firm</w:t>
              </w:r>
            </w:hyperlink>
          </w:p>
        </w:tc>
        <w:tc>
          <w:tcPr>
            <w:tcW w:w="1280" w:type="dxa"/>
            <w:vAlign w:val="bottom"/>
            <w:shd w:val="clear" w:color="auto" w:fill="CCEEFF"/>
          </w:tcPr>
          <w:p>
            <w:pPr>
              <w:jc w:val="right"/>
              <w:ind w:right="286"/>
              <w:spacing w:after="0"/>
              <w:rPr>
                <w:sz w:val="20"/>
                <w:szCs w:val="20"/>
                <w:color w:val="auto"/>
              </w:rPr>
            </w:pPr>
            <w:r>
              <w:rPr>
                <w:rFonts w:ascii="Arial" w:cs="Arial" w:eastAsia="Arial" w:hAnsi="Arial"/>
                <w:sz w:val="11"/>
                <w:szCs w:val="11"/>
                <w:b w:val="1"/>
                <w:bCs w:val="1"/>
                <w:color w:val="auto"/>
              </w:rPr>
              <w:t>54</w:t>
            </w:r>
          </w:p>
        </w:tc>
      </w:tr>
      <w:tr>
        <w:trPr>
          <w:trHeight w:val="79"/>
        </w:trPr>
        <w:tc>
          <w:tcPr>
            <w:tcW w:w="80" w:type="dxa"/>
            <w:vAlign w:val="bottom"/>
            <w:tcBorders>
              <w:top w:val="single" w:sz="8" w:color="CCEEFF"/>
            </w:tcBorders>
            <w:shd w:val="clear" w:color="auto" w:fill="CCEEFF"/>
          </w:tcPr>
          <w:p>
            <w:pPr>
              <w:spacing w:after="0"/>
              <w:rPr>
                <w:sz w:val="6"/>
                <w:szCs w:val="6"/>
                <w:color w:val="auto"/>
              </w:rPr>
            </w:pPr>
          </w:p>
        </w:tc>
        <w:tc>
          <w:tcPr>
            <w:tcW w:w="190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40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9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800" w:type="dxa"/>
            <w:vAlign w:val="bottom"/>
            <w:tcBorders>
              <w:top w:val="single" w:sz="8" w:color="CCEEFF"/>
            </w:tcBorders>
            <w:shd w:val="clear" w:color="auto" w:fill="CCEEFF"/>
          </w:tcPr>
          <w:p>
            <w:pPr>
              <w:spacing w:after="0"/>
              <w:rPr>
                <w:sz w:val="6"/>
                <w:szCs w:val="6"/>
                <w:color w:val="auto"/>
              </w:rPr>
            </w:pPr>
          </w:p>
        </w:tc>
        <w:tc>
          <w:tcPr>
            <w:tcW w:w="1280" w:type="dxa"/>
            <w:vAlign w:val="bottom"/>
            <w:tcBorders>
              <w:top w:val="single" w:sz="8" w:color="CCEEFF"/>
            </w:tcBorders>
            <w:shd w:val="clear" w:color="auto" w:fill="CCEEFF"/>
          </w:tcPr>
          <w:p>
            <w:pPr>
              <w:spacing w:after="0"/>
              <w:rPr>
                <w:sz w:val="6"/>
                <w:szCs w:val="6"/>
                <w:color w:val="auto"/>
              </w:rPr>
            </w:pPr>
          </w:p>
        </w:tc>
      </w:tr>
      <w:tr>
        <w:trPr>
          <w:trHeight w:val="180"/>
        </w:trPr>
        <w:tc>
          <w:tcPr>
            <w:tcW w:w="80" w:type="dxa"/>
            <w:vAlign w:val="bottom"/>
          </w:tcPr>
          <w:p>
            <w:pPr>
              <w:spacing w:after="0"/>
              <w:rPr>
                <w:sz w:val="15"/>
                <w:szCs w:val="15"/>
                <w:color w:val="auto"/>
              </w:rPr>
            </w:pPr>
          </w:p>
        </w:tc>
        <w:tc>
          <w:tcPr>
            <w:tcW w:w="5400" w:type="dxa"/>
            <w:vAlign w:val="bottom"/>
            <w:gridSpan w:val="9"/>
          </w:tcPr>
          <w:p>
            <w:pPr>
              <w:spacing w:after="0"/>
              <w:rPr>
                <w:rFonts w:ascii="Arial" w:cs="Arial" w:eastAsia="Arial" w:hAnsi="Arial"/>
                <w:sz w:val="11"/>
                <w:szCs w:val="11"/>
                <w:color w:val="0000EE"/>
              </w:rPr>
            </w:pPr>
            <w:hyperlink w:anchor="page55">
              <w:r>
                <w:rPr>
                  <w:rFonts w:ascii="Arial" w:cs="Arial" w:eastAsia="Arial" w:hAnsi="Arial"/>
                  <w:sz w:val="11"/>
                  <w:szCs w:val="11"/>
                  <w:color w:val="0000EE"/>
                </w:rPr>
                <w:t>Consolidated Balance Sheets as of December 31, 2015 and 2014</w:t>
              </w:r>
            </w:hyperlink>
          </w:p>
        </w:tc>
        <w:tc>
          <w:tcPr>
            <w:tcW w:w="1280" w:type="dxa"/>
            <w:vAlign w:val="bottom"/>
          </w:tcPr>
          <w:p>
            <w:pPr>
              <w:jc w:val="right"/>
              <w:ind w:right="286"/>
              <w:spacing w:after="0"/>
              <w:rPr>
                <w:sz w:val="20"/>
                <w:szCs w:val="20"/>
                <w:color w:val="auto"/>
              </w:rPr>
            </w:pPr>
            <w:r>
              <w:rPr>
                <w:rFonts w:ascii="Arial" w:cs="Arial" w:eastAsia="Arial" w:hAnsi="Arial"/>
                <w:sz w:val="11"/>
                <w:szCs w:val="11"/>
                <w:b w:val="1"/>
                <w:bCs w:val="1"/>
                <w:color w:val="auto"/>
              </w:rPr>
              <w:t>55</w:t>
            </w:r>
          </w:p>
        </w:tc>
      </w:tr>
      <w:tr>
        <w:trPr>
          <w:trHeight w:val="79"/>
        </w:trPr>
        <w:tc>
          <w:tcPr>
            <w:tcW w:w="80" w:type="dxa"/>
            <w:vAlign w:val="bottom"/>
          </w:tcPr>
          <w:p>
            <w:pPr>
              <w:spacing w:after="0"/>
              <w:rPr>
                <w:sz w:val="6"/>
                <w:szCs w:val="6"/>
                <w:color w:val="auto"/>
              </w:rPr>
            </w:pPr>
          </w:p>
        </w:tc>
        <w:tc>
          <w:tcPr>
            <w:tcW w:w="190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40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94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80" w:type="dxa"/>
            <w:vAlign w:val="bottom"/>
          </w:tcPr>
          <w:p>
            <w:pPr>
              <w:spacing w:after="0"/>
              <w:rPr>
                <w:sz w:val="6"/>
                <w:szCs w:val="6"/>
                <w:color w:val="auto"/>
              </w:rPr>
            </w:pPr>
          </w:p>
        </w:tc>
      </w:tr>
      <w:tr>
        <w:trPr>
          <w:trHeight w:val="180"/>
        </w:trPr>
        <w:tc>
          <w:tcPr>
            <w:tcW w:w="80" w:type="dxa"/>
            <w:vAlign w:val="bottom"/>
            <w:shd w:val="clear" w:color="auto" w:fill="CCEEFF"/>
          </w:tcPr>
          <w:p>
            <w:pPr>
              <w:spacing w:after="0"/>
              <w:rPr>
                <w:sz w:val="15"/>
                <w:szCs w:val="15"/>
                <w:color w:val="auto"/>
              </w:rPr>
            </w:pPr>
          </w:p>
        </w:tc>
        <w:tc>
          <w:tcPr>
            <w:tcW w:w="5400" w:type="dxa"/>
            <w:vAlign w:val="bottom"/>
            <w:gridSpan w:val="9"/>
            <w:shd w:val="clear" w:color="auto" w:fill="CCEEFF"/>
          </w:tcPr>
          <w:p>
            <w:pPr>
              <w:spacing w:after="0"/>
              <w:rPr>
                <w:rFonts w:ascii="Arial" w:cs="Arial" w:eastAsia="Arial" w:hAnsi="Arial"/>
                <w:sz w:val="11"/>
                <w:szCs w:val="11"/>
                <w:color w:val="0000EE"/>
              </w:rPr>
            </w:pPr>
            <w:hyperlink w:anchor="page57">
              <w:r>
                <w:rPr>
                  <w:rFonts w:ascii="Arial" w:cs="Arial" w:eastAsia="Arial" w:hAnsi="Arial"/>
                  <w:sz w:val="11"/>
                  <w:szCs w:val="11"/>
                  <w:color w:val="0000EE"/>
                </w:rPr>
                <w:t>Consolidated Statements of Operations for the Three Years Ended December 31, 2015</w:t>
              </w:r>
            </w:hyperlink>
          </w:p>
        </w:tc>
        <w:tc>
          <w:tcPr>
            <w:tcW w:w="1280" w:type="dxa"/>
            <w:vAlign w:val="bottom"/>
            <w:shd w:val="clear" w:color="auto" w:fill="CCEEFF"/>
          </w:tcPr>
          <w:p>
            <w:pPr>
              <w:jc w:val="right"/>
              <w:ind w:right="286"/>
              <w:spacing w:after="0"/>
              <w:rPr>
                <w:sz w:val="20"/>
                <w:szCs w:val="20"/>
                <w:color w:val="auto"/>
              </w:rPr>
            </w:pPr>
            <w:r>
              <w:rPr>
                <w:rFonts w:ascii="Arial" w:cs="Arial" w:eastAsia="Arial" w:hAnsi="Arial"/>
                <w:sz w:val="11"/>
                <w:szCs w:val="11"/>
                <w:b w:val="1"/>
                <w:bCs w:val="1"/>
                <w:color w:val="auto"/>
              </w:rPr>
              <w:t>57</w:t>
            </w:r>
          </w:p>
        </w:tc>
      </w:tr>
      <w:tr>
        <w:trPr>
          <w:trHeight w:val="79"/>
        </w:trPr>
        <w:tc>
          <w:tcPr>
            <w:tcW w:w="80" w:type="dxa"/>
            <w:vAlign w:val="bottom"/>
            <w:tcBorders>
              <w:top w:val="single" w:sz="8" w:color="CCEEFF"/>
            </w:tcBorders>
            <w:shd w:val="clear" w:color="auto" w:fill="CCEEFF"/>
          </w:tcPr>
          <w:p>
            <w:pPr>
              <w:spacing w:after="0"/>
              <w:rPr>
                <w:sz w:val="6"/>
                <w:szCs w:val="6"/>
                <w:color w:val="auto"/>
              </w:rPr>
            </w:pPr>
          </w:p>
        </w:tc>
        <w:tc>
          <w:tcPr>
            <w:tcW w:w="190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40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9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800" w:type="dxa"/>
            <w:vAlign w:val="bottom"/>
            <w:tcBorders>
              <w:top w:val="single" w:sz="8" w:color="CCEEFF"/>
            </w:tcBorders>
            <w:shd w:val="clear" w:color="auto" w:fill="CCEEFF"/>
          </w:tcPr>
          <w:p>
            <w:pPr>
              <w:spacing w:after="0"/>
              <w:rPr>
                <w:sz w:val="6"/>
                <w:szCs w:val="6"/>
                <w:color w:val="auto"/>
              </w:rPr>
            </w:pPr>
          </w:p>
        </w:tc>
        <w:tc>
          <w:tcPr>
            <w:tcW w:w="1280" w:type="dxa"/>
            <w:vAlign w:val="bottom"/>
            <w:tcBorders>
              <w:top w:val="single" w:sz="8" w:color="CCEEFF"/>
            </w:tcBorders>
            <w:shd w:val="clear" w:color="auto" w:fill="CCEEFF"/>
          </w:tcPr>
          <w:p>
            <w:pPr>
              <w:spacing w:after="0"/>
              <w:rPr>
                <w:sz w:val="6"/>
                <w:szCs w:val="6"/>
                <w:color w:val="auto"/>
              </w:rPr>
            </w:pPr>
          </w:p>
        </w:tc>
      </w:tr>
      <w:tr>
        <w:trPr>
          <w:trHeight w:val="180"/>
        </w:trPr>
        <w:tc>
          <w:tcPr>
            <w:tcW w:w="80" w:type="dxa"/>
            <w:vAlign w:val="bottom"/>
          </w:tcPr>
          <w:p>
            <w:pPr>
              <w:spacing w:after="0"/>
              <w:rPr>
                <w:sz w:val="15"/>
                <w:szCs w:val="15"/>
                <w:color w:val="auto"/>
              </w:rPr>
            </w:pPr>
          </w:p>
        </w:tc>
        <w:tc>
          <w:tcPr>
            <w:tcW w:w="5400" w:type="dxa"/>
            <w:vAlign w:val="bottom"/>
            <w:gridSpan w:val="9"/>
          </w:tcPr>
          <w:p>
            <w:pPr>
              <w:spacing w:after="0"/>
              <w:rPr>
                <w:rFonts w:ascii="Arial" w:cs="Arial" w:eastAsia="Arial" w:hAnsi="Arial"/>
                <w:sz w:val="11"/>
                <w:szCs w:val="11"/>
                <w:color w:val="0000EE"/>
              </w:rPr>
            </w:pPr>
            <w:hyperlink w:anchor="page58">
              <w:r>
                <w:rPr>
                  <w:rFonts w:ascii="Arial" w:cs="Arial" w:eastAsia="Arial" w:hAnsi="Arial"/>
                  <w:sz w:val="11"/>
                  <w:szCs w:val="11"/>
                  <w:color w:val="0000EE"/>
                </w:rPr>
                <w:t>Consolidated Statements of Comprehensive Income (Loss) for the Three Years Ended December 31, 2015</w:t>
              </w:r>
            </w:hyperlink>
          </w:p>
        </w:tc>
        <w:tc>
          <w:tcPr>
            <w:tcW w:w="1280" w:type="dxa"/>
            <w:vAlign w:val="bottom"/>
          </w:tcPr>
          <w:p>
            <w:pPr>
              <w:jc w:val="right"/>
              <w:ind w:right="286"/>
              <w:spacing w:after="0"/>
              <w:rPr>
                <w:sz w:val="20"/>
                <w:szCs w:val="20"/>
                <w:color w:val="auto"/>
              </w:rPr>
            </w:pPr>
            <w:r>
              <w:rPr>
                <w:rFonts w:ascii="Arial" w:cs="Arial" w:eastAsia="Arial" w:hAnsi="Arial"/>
                <w:sz w:val="11"/>
                <w:szCs w:val="11"/>
                <w:b w:val="1"/>
                <w:bCs w:val="1"/>
                <w:color w:val="auto"/>
              </w:rPr>
              <w:t>58</w:t>
            </w:r>
          </w:p>
        </w:tc>
      </w:tr>
      <w:tr>
        <w:trPr>
          <w:trHeight w:val="79"/>
        </w:trPr>
        <w:tc>
          <w:tcPr>
            <w:tcW w:w="80" w:type="dxa"/>
            <w:vAlign w:val="bottom"/>
          </w:tcPr>
          <w:p>
            <w:pPr>
              <w:spacing w:after="0"/>
              <w:rPr>
                <w:sz w:val="6"/>
                <w:szCs w:val="6"/>
                <w:color w:val="auto"/>
              </w:rPr>
            </w:pPr>
          </w:p>
        </w:tc>
        <w:tc>
          <w:tcPr>
            <w:tcW w:w="190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40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9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20" w:type="dxa"/>
            <w:vAlign w:val="bottom"/>
            <w:tcBorders>
              <w:top w:val="single" w:sz="8" w:color="0000EE"/>
            </w:tcBorders>
          </w:tcPr>
          <w:p>
            <w:pPr>
              <w:spacing w:after="0"/>
              <w:rPr>
                <w:sz w:val="6"/>
                <w:szCs w:val="6"/>
                <w:color w:val="auto"/>
              </w:rPr>
            </w:pPr>
          </w:p>
        </w:tc>
        <w:tc>
          <w:tcPr>
            <w:tcW w:w="420" w:type="dxa"/>
            <w:vAlign w:val="bottom"/>
            <w:tcBorders>
              <w:top w:val="single" w:sz="8" w:color="0000EE"/>
            </w:tcBorders>
          </w:tcPr>
          <w:p>
            <w:pPr>
              <w:spacing w:after="0"/>
              <w:rPr>
                <w:sz w:val="6"/>
                <w:szCs w:val="6"/>
                <w:color w:val="auto"/>
              </w:rPr>
            </w:pPr>
          </w:p>
        </w:tc>
        <w:tc>
          <w:tcPr>
            <w:tcW w:w="800" w:type="dxa"/>
            <w:vAlign w:val="bottom"/>
          </w:tcPr>
          <w:p>
            <w:pPr>
              <w:spacing w:after="0"/>
              <w:rPr>
                <w:sz w:val="6"/>
                <w:szCs w:val="6"/>
                <w:color w:val="auto"/>
              </w:rPr>
            </w:pPr>
          </w:p>
        </w:tc>
        <w:tc>
          <w:tcPr>
            <w:tcW w:w="1280" w:type="dxa"/>
            <w:vAlign w:val="bottom"/>
          </w:tcPr>
          <w:p>
            <w:pPr>
              <w:spacing w:after="0"/>
              <w:rPr>
                <w:sz w:val="6"/>
                <w:szCs w:val="6"/>
                <w:color w:val="auto"/>
              </w:rPr>
            </w:pPr>
          </w:p>
        </w:tc>
      </w:tr>
      <w:tr>
        <w:trPr>
          <w:trHeight w:val="180"/>
        </w:trPr>
        <w:tc>
          <w:tcPr>
            <w:tcW w:w="80" w:type="dxa"/>
            <w:vAlign w:val="bottom"/>
            <w:shd w:val="clear" w:color="auto" w:fill="CCEEFF"/>
          </w:tcPr>
          <w:p>
            <w:pPr>
              <w:spacing w:after="0"/>
              <w:rPr>
                <w:sz w:val="15"/>
                <w:szCs w:val="15"/>
                <w:color w:val="auto"/>
              </w:rPr>
            </w:pPr>
          </w:p>
        </w:tc>
        <w:tc>
          <w:tcPr>
            <w:tcW w:w="5400" w:type="dxa"/>
            <w:vAlign w:val="bottom"/>
            <w:gridSpan w:val="9"/>
            <w:shd w:val="clear" w:color="auto" w:fill="CCEEFF"/>
          </w:tcPr>
          <w:p>
            <w:pPr>
              <w:spacing w:after="0"/>
              <w:rPr>
                <w:rFonts w:ascii="Arial" w:cs="Arial" w:eastAsia="Arial" w:hAnsi="Arial"/>
                <w:sz w:val="11"/>
                <w:szCs w:val="11"/>
                <w:color w:val="0000EE"/>
              </w:rPr>
            </w:pPr>
            <w:hyperlink w:anchor="page59">
              <w:r>
                <w:rPr>
                  <w:rFonts w:ascii="Arial" w:cs="Arial" w:eastAsia="Arial" w:hAnsi="Arial"/>
                  <w:sz w:val="11"/>
                  <w:szCs w:val="11"/>
                  <w:color w:val="0000EE"/>
                </w:rPr>
                <w:t>Consolidated Statements of Stockholders’ Equity for the Three Years Ended December 31, 2015</w:t>
              </w:r>
            </w:hyperlink>
          </w:p>
        </w:tc>
        <w:tc>
          <w:tcPr>
            <w:tcW w:w="1280" w:type="dxa"/>
            <w:vAlign w:val="bottom"/>
            <w:shd w:val="clear" w:color="auto" w:fill="CCEEFF"/>
          </w:tcPr>
          <w:p>
            <w:pPr>
              <w:jc w:val="right"/>
              <w:ind w:right="286"/>
              <w:spacing w:after="0"/>
              <w:rPr>
                <w:sz w:val="20"/>
                <w:szCs w:val="20"/>
                <w:color w:val="auto"/>
              </w:rPr>
            </w:pPr>
            <w:r>
              <w:rPr>
                <w:rFonts w:ascii="Arial" w:cs="Arial" w:eastAsia="Arial" w:hAnsi="Arial"/>
                <w:sz w:val="11"/>
                <w:szCs w:val="11"/>
                <w:b w:val="1"/>
                <w:bCs w:val="1"/>
                <w:color w:val="auto"/>
              </w:rPr>
              <w:t>59</w:t>
            </w:r>
          </w:p>
        </w:tc>
      </w:tr>
      <w:tr>
        <w:trPr>
          <w:trHeight w:val="79"/>
        </w:trPr>
        <w:tc>
          <w:tcPr>
            <w:tcW w:w="80" w:type="dxa"/>
            <w:vAlign w:val="bottom"/>
            <w:tcBorders>
              <w:top w:val="single" w:sz="8" w:color="CCEEFF"/>
            </w:tcBorders>
            <w:shd w:val="clear" w:color="auto" w:fill="CCEEFF"/>
          </w:tcPr>
          <w:p>
            <w:pPr>
              <w:spacing w:after="0"/>
              <w:rPr>
                <w:sz w:val="6"/>
                <w:szCs w:val="6"/>
                <w:color w:val="auto"/>
              </w:rPr>
            </w:pPr>
          </w:p>
        </w:tc>
        <w:tc>
          <w:tcPr>
            <w:tcW w:w="190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40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9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20" w:type="dxa"/>
            <w:vAlign w:val="bottom"/>
            <w:tcBorders>
              <w:top w:val="single" w:sz="8" w:color="0000EE"/>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800" w:type="dxa"/>
            <w:vAlign w:val="bottom"/>
            <w:tcBorders>
              <w:top w:val="single" w:sz="8" w:color="CCEEFF"/>
            </w:tcBorders>
            <w:shd w:val="clear" w:color="auto" w:fill="CCEEFF"/>
          </w:tcPr>
          <w:p>
            <w:pPr>
              <w:spacing w:after="0"/>
              <w:rPr>
                <w:sz w:val="6"/>
                <w:szCs w:val="6"/>
                <w:color w:val="auto"/>
              </w:rPr>
            </w:pPr>
          </w:p>
        </w:tc>
        <w:tc>
          <w:tcPr>
            <w:tcW w:w="1280" w:type="dxa"/>
            <w:vAlign w:val="bottom"/>
            <w:tcBorders>
              <w:top w:val="single" w:sz="8" w:color="CCEEFF"/>
            </w:tcBorders>
            <w:shd w:val="clear" w:color="auto" w:fill="CCEEFF"/>
          </w:tcPr>
          <w:p>
            <w:pPr>
              <w:spacing w:after="0"/>
              <w:rPr>
                <w:sz w:val="6"/>
                <w:szCs w:val="6"/>
                <w:color w:val="auto"/>
              </w:rPr>
            </w:pPr>
          </w:p>
        </w:tc>
      </w:tr>
      <w:tr>
        <w:trPr>
          <w:trHeight w:val="180"/>
        </w:trPr>
        <w:tc>
          <w:tcPr>
            <w:tcW w:w="80" w:type="dxa"/>
            <w:vAlign w:val="bottom"/>
          </w:tcPr>
          <w:p>
            <w:pPr>
              <w:spacing w:after="0"/>
              <w:rPr>
                <w:sz w:val="15"/>
                <w:szCs w:val="15"/>
                <w:color w:val="auto"/>
              </w:rPr>
            </w:pPr>
          </w:p>
        </w:tc>
        <w:tc>
          <w:tcPr>
            <w:tcW w:w="5400" w:type="dxa"/>
            <w:vAlign w:val="bottom"/>
            <w:gridSpan w:val="9"/>
          </w:tcPr>
          <w:p>
            <w:pPr>
              <w:spacing w:after="0"/>
              <w:rPr>
                <w:rFonts w:ascii="Arial" w:cs="Arial" w:eastAsia="Arial" w:hAnsi="Arial"/>
                <w:sz w:val="11"/>
                <w:szCs w:val="11"/>
                <w:color w:val="0000EE"/>
              </w:rPr>
            </w:pPr>
            <w:hyperlink w:anchor="page60">
              <w:r>
                <w:rPr>
                  <w:rFonts w:ascii="Arial" w:cs="Arial" w:eastAsia="Arial" w:hAnsi="Arial"/>
                  <w:sz w:val="11"/>
                  <w:szCs w:val="11"/>
                  <w:color w:val="0000EE"/>
                </w:rPr>
                <w:t>Consolidated Statements of Cash Flows for the Three Years Ended December 31, 2015</w:t>
              </w:r>
            </w:hyperlink>
          </w:p>
        </w:tc>
        <w:tc>
          <w:tcPr>
            <w:tcW w:w="1280" w:type="dxa"/>
            <w:vAlign w:val="bottom"/>
          </w:tcPr>
          <w:p>
            <w:pPr>
              <w:jc w:val="right"/>
              <w:ind w:right="286"/>
              <w:spacing w:after="0"/>
              <w:rPr>
                <w:sz w:val="20"/>
                <w:szCs w:val="20"/>
                <w:color w:val="auto"/>
              </w:rPr>
            </w:pPr>
            <w:r>
              <w:rPr>
                <w:rFonts w:ascii="Arial" w:cs="Arial" w:eastAsia="Arial" w:hAnsi="Arial"/>
                <w:sz w:val="11"/>
                <w:szCs w:val="11"/>
                <w:b w:val="1"/>
                <w:bCs w:val="1"/>
                <w:color w:val="auto"/>
              </w:rPr>
              <w:t>60</w:t>
            </w:r>
          </w:p>
        </w:tc>
      </w:tr>
      <w:tr>
        <w:trPr>
          <w:trHeight w:val="79"/>
        </w:trPr>
        <w:tc>
          <w:tcPr>
            <w:tcW w:w="80" w:type="dxa"/>
            <w:vAlign w:val="bottom"/>
          </w:tcPr>
          <w:p>
            <w:pPr>
              <w:spacing w:after="0"/>
              <w:rPr>
                <w:sz w:val="6"/>
                <w:szCs w:val="6"/>
                <w:color w:val="auto"/>
              </w:rPr>
            </w:pPr>
          </w:p>
        </w:tc>
        <w:tc>
          <w:tcPr>
            <w:tcW w:w="190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40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9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80" w:type="dxa"/>
            <w:vAlign w:val="bottom"/>
          </w:tcPr>
          <w:p>
            <w:pPr>
              <w:spacing w:after="0"/>
              <w:rPr>
                <w:sz w:val="6"/>
                <w:szCs w:val="6"/>
                <w:color w:val="auto"/>
              </w:rPr>
            </w:pPr>
          </w:p>
        </w:tc>
      </w:tr>
      <w:tr>
        <w:trPr>
          <w:trHeight w:val="180"/>
        </w:trPr>
        <w:tc>
          <w:tcPr>
            <w:tcW w:w="80" w:type="dxa"/>
            <w:vAlign w:val="bottom"/>
            <w:shd w:val="clear" w:color="auto" w:fill="CCEEFF"/>
          </w:tcPr>
          <w:p>
            <w:pPr>
              <w:spacing w:after="0"/>
              <w:rPr>
                <w:sz w:val="15"/>
                <w:szCs w:val="15"/>
                <w:color w:val="auto"/>
              </w:rPr>
            </w:pPr>
          </w:p>
        </w:tc>
        <w:tc>
          <w:tcPr>
            <w:tcW w:w="5400" w:type="dxa"/>
            <w:vAlign w:val="bottom"/>
            <w:gridSpan w:val="9"/>
            <w:shd w:val="clear" w:color="auto" w:fill="CCEEFF"/>
          </w:tcPr>
          <w:p>
            <w:pPr>
              <w:spacing w:after="0"/>
              <w:rPr>
                <w:rFonts w:ascii="Arial" w:cs="Arial" w:eastAsia="Arial" w:hAnsi="Arial"/>
                <w:sz w:val="11"/>
                <w:szCs w:val="11"/>
                <w:color w:val="0000EE"/>
              </w:rPr>
            </w:pPr>
            <w:hyperlink w:anchor="page61">
              <w:r>
                <w:rPr>
                  <w:rFonts w:ascii="Arial" w:cs="Arial" w:eastAsia="Arial" w:hAnsi="Arial"/>
                  <w:sz w:val="11"/>
                  <w:szCs w:val="11"/>
                  <w:color w:val="0000EE"/>
                </w:rPr>
                <w:t>Notes to Consolidated Financial Statements</w:t>
              </w:r>
            </w:hyperlink>
          </w:p>
        </w:tc>
        <w:tc>
          <w:tcPr>
            <w:tcW w:w="1280" w:type="dxa"/>
            <w:vAlign w:val="bottom"/>
            <w:shd w:val="clear" w:color="auto" w:fill="CCEEFF"/>
          </w:tcPr>
          <w:p>
            <w:pPr>
              <w:jc w:val="right"/>
              <w:ind w:right="286"/>
              <w:spacing w:after="0"/>
              <w:rPr>
                <w:sz w:val="20"/>
                <w:szCs w:val="20"/>
                <w:color w:val="auto"/>
              </w:rPr>
            </w:pPr>
            <w:r>
              <w:rPr>
                <w:rFonts w:ascii="Arial" w:cs="Arial" w:eastAsia="Arial" w:hAnsi="Arial"/>
                <w:sz w:val="11"/>
                <w:szCs w:val="11"/>
                <w:b w:val="1"/>
                <w:bCs w:val="1"/>
                <w:color w:val="auto"/>
              </w:rPr>
              <w:t>61</w:t>
            </w:r>
          </w:p>
        </w:tc>
      </w:tr>
      <w:tr>
        <w:trPr>
          <w:trHeight w:val="79"/>
        </w:trPr>
        <w:tc>
          <w:tcPr>
            <w:tcW w:w="80" w:type="dxa"/>
            <w:vAlign w:val="bottom"/>
            <w:tcBorders>
              <w:top w:val="single" w:sz="8" w:color="CCEEFF"/>
            </w:tcBorders>
            <w:shd w:val="clear" w:color="auto" w:fill="CCEEFF"/>
          </w:tcPr>
          <w:p>
            <w:pPr>
              <w:spacing w:after="0"/>
              <w:rPr>
                <w:sz w:val="6"/>
                <w:szCs w:val="6"/>
                <w:color w:val="auto"/>
              </w:rPr>
            </w:pPr>
          </w:p>
        </w:tc>
        <w:tc>
          <w:tcPr>
            <w:tcW w:w="190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9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800" w:type="dxa"/>
            <w:vAlign w:val="bottom"/>
            <w:tcBorders>
              <w:top w:val="single" w:sz="8" w:color="CCEEFF"/>
            </w:tcBorders>
            <w:shd w:val="clear" w:color="auto" w:fill="CCEEFF"/>
          </w:tcPr>
          <w:p>
            <w:pPr>
              <w:spacing w:after="0"/>
              <w:rPr>
                <w:sz w:val="6"/>
                <w:szCs w:val="6"/>
                <w:color w:val="auto"/>
              </w:rPr>
            </w:pPr>
          </w:p>
        </w:tc>
        <w:tc>
          <w:tcPr>
            <w:tcW w:w="1280" w:type="dxa"/>
            <w:vAlign w:val="bottom"/>
            <w:tcBorders>
              <w:top w:val="single" w:sz="8" w:color="CCEEFF"/>
            </w:tcBorders>
            <w:shd w:val="clear" w:color="auto" w:fill="CCEEFF"/>
          </w:tcPr>
          <w:p>
            <w:pPr>
              <w:spacing w:after="0"/>
              <w:rPr>
                <w:sz w:val="6"/>
                <w:szCs w:val="6"/>
                <w:color w:val="auto"/>
              </w:rPr>
            </w:pPr>
          </w:p>
        </w:tc>
      </w:tr>
      <w:tr>
        <w:trPr>
          <w:trHeight w:val="180"/>
        </w:trPr>
        <w:tc>
          <w:tcPr>
            <w:tcW w:w="80" w:type="dxa"/>
            <w:vAlign w:val="bottom"/>
          </w:tcPr>
          <w:p>
            <w:pPr>
              <w:spacing w:after="0"/>
              <w:rPr>
                <w:sz w:val="15"/>
                <w:szCs w:val="15"/>
                <w:color w:val="auto"/>
              </w:rPr>
            </w:pPr>
          </w:p>
        </w:tc>
        <w:tc>
          <w:tcPr>
            <w:tcW w:w="2140" w:type="dxa"/>
            <w:vAlign w:val="bottom"/>
            <w:tcBorders>
              <w:bottom w:val="single" w:sz="8" w:color="0000EE"/>
            </w:tcBorders>
            <w:gridSpan w:val="2"/>
          </w:tcPr>
          <w:p>
            <w:pPr>
              <w:spacing w:after="0"/>
              <w:rPr>
                <w:rFonts w:ascii="Arial" w:cs="Arial" w:eastAsia="Arial" w:hAnsi="Arial"/>
                <w:sz w:val="11"/>
                <w:szCs w:val="11"/>
                <w:color w:val="0000EE"/>
                <w:w w:val="90"/>
              </w:rPr>
            </w:pPr>
            <w:hyperlink w:anchor="page96">
              <w:r>
                <w:rPr>
                  <w:rFonts w:ascii="Arial" w:cs="Arial" w:eastAsia="Arial" w:hAnsi="Arial"/>
                  <w:sz w:val="11"/>
                  <w:szCs w:val="11"/>
                  <w:color w:val="0000EE"/>
                  <w:w w:val="90"/>
                </w:rPr>
                <w:t>Schedule II – Valuation and Qualifying Accounts</w:t>
              </w:r>
            </w:hyperlink>
          </w:p>
        </w:tc>
        <w:tc>
          <w:tcPr>
            <w:tcW w:w="3260" w:type="dxa"/>
            <w:vAlign w:val="bottom"/>
            <w:gridSpan w:val="7"/>
          </w:tcPr>
          <w:p>
            <w:pPr>
              <w:spacing w:after="0"/>
              <w:rPr>
                <w:sz w:val="15"/>
                <w:szCs w:val="15"/>
                <w:color w:val="auto"/>
              </w:rPr>
            </w:pPr>
          </w:p>
        </w:tc>
        <w:tc>
          <w:tcPr>
            <w:tcW w:w="1280" w:type="dxa"/>
            <w:vAlign w:val="bottom"/>
          </w:tcPr>
          <w:p>
            <w:pPr>
              <w:jc w:val="right"/>
              <w:ind w:right="286"/>
              <w:spacing w:after="0"/>
              <w:rPr>
                <w:sz w:val="20"/>
                <w:szCs w:val="20"/>
                <w:color w:val="auto"/>
              </w:rPr>
            </w:pPr>
            <w:r>
              <w:rPr>
                <w:rFonts w:ascii="Arial" w:cs="Arial" w:eastAsia="Arial" w:hAnsi="Arial"/>
                <w:sz w:val="11"/>
                <w:szCs w:val="11"/>
                <w:b w:val="1"/>
                <w:bCs w:val="1"/>
                <w:color w:val="auto"/>
              </w:rPr>
              <w:t>96</w:t>
            </w:r>
          </w:p>
        </w:tc>
      </w:tr>
    </w:tbl>
    <w:p>
      <w:pPr>
        <w:spacing w:after="0" w:line="378" w:lineRule="exact"/>
        <w:rPr>
          <w:sz w:val="20"/>
          <w:szCs w:val="20"/>
          <w:color w:val="auto"/>
        </w:rPr>
      </w:pPr>
    </w:p>
    <w:p>
      <w:pPr>
        <w:ind w:left="5260"/>
        <w:spacing w:after="0"/>
        <w:rPr>
          <w:sz w:val="20"/>
          <w:szCs w:val="20"/>
          <w:color w:val="auto"/>
        </w:rPr>
      </w:pPr>
      <w:r>
        <w:rPr>
          <w:rFonts w:ascii="Arial" w:cs="Arial" w:eastAsia="Arial" w:hAnsi="Arial"/>
          <w:sz w:val="12"/>
          <w:szCs w:val="1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59690</wp:posOffset>
            </wp:positionV>
            <wp:extent cx="677989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779895" cy="42545"/>
                    </a:xfrm>
                    <a:prstGeom prst="rect">
                      <a:avLst/>
                    </a:prstGeom>
                    <a:noFill/>
                  </pic:spPr>
                </pic:pic>
              </a:graphicData>
            </a:graphic>
          </wp:anchor>
        </w:drawing>
      </w:r>
    </w:p>
    <w:p>
      <w:pPr>
        <w:sectPr>
          <w:pgSz w:w="11900" w:h="16838" w:orient="portrait"/>
          <w:cols w:equalWidth="0" w:num="1">
            <w:col w:w="9819"/>
          </w:cols>
          <w:pgMar w:left="640" w:top="388" w:right="1440" w:bottom="1440" w:gutter="0" w:footer="0" w:header="0"/>
        </w:sectPr>
      </w:pPr>
    </w:p>
    <w:bookmarkStart w:id="53" w:name="page54"/>
    <w:bookmarkEnd w:id="53"/>
    <w:p>
      <w:pPr>
        <w:jc w:val="center"/>
        <w:ind w:right="-79"/>
        <w:spacing w:after="0"/>
        <w:rPr>
          <w:sz w:val="20"/>
          <w:szCs w:val="20"/>
          <w:color w:val="auto"/>
        </w:rPr>
      </w:pPr>
      <w:r>
        <w:rPr>
          <w:rFonts w:ascii="Arial" w:cs="Arial" w:eastAsia="Arial" w:hAnsi="Arial"/>
          <w:sz w:val="12"/>
          <w:szCs w:val="12"/>
          <w:b w:val="1"/>
          <w:bCs w:val="1"/>
          <w:color w:val="auto"/>
        </w:rPr>
        <w:t>REPORT OF INDEPENDENT REGISTERED PUBLIC ACCOUNTING FIRM</w:t>
      </w:r>
    </w:p>
    <w:p>
      <w:pPr>
        <w:spacing w:after="0" w:line="217" w:lineRule="exact"/>
        <w:rPr>
          <w:sz w:val="20"/>
          <w:szCs w:val="20"/>
          <w:color w:val="auto"/>
        </w:rPr>
      </w:pPr>
    </w:p>
    <w:p>
      <w:pPr>
        <w:spacing w:after="0"/>
        <w:rPr>
          <w:sz w:val="20"/>
          <w:szCs w:val="20"/>
          <w:color w:val="auto"/>
        </w:rPr>
      </w:pPr>
      <w:r>
        <w:rPr>
          <w:rFonts w:ascii="Arial" w:cs="Arial" w:eastAsia="Arial" w:hAnsi="Arial"/>
          <w:sz w:val="12"/>
          <w:szCs w:val="12"/>
          <w:color w:val="auto"/>
        </w:rPr>
        <w:t>Board of Directors and Stockholders</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Reading International, Inc.</w:t>
      </w:r>
    </w:p>
    <w:p>
      <w:pPr>
        <w:spacing w:after="0" w:line="195" w:lineRule="exact"/>
        <w:rPr>
          <w:sz w:val="20"/>
          <w:szCs w:val="20"/>
          <w:color w:val="auto"/>
        </w:rPr>
      </w:pPr>
    </w:p>
    <w:p>
      <w:pPr>
        <w:spacing w:after="0" w:line="259" w:lineRule="auto"/>
        <w:rPr>
          <w:sz w:val="20"/>
          <w:szCs w:val="20"/>
          <w:color w:val="auto"/>
        </w:rPr>
      </w:pPr>
      <w:r>
        <w:rPr>
          <w:rFonts w:ascii="Arial" w:cs="Arial" w:eastAsia="Arial" w:hAnsi="Arial"/>
          <w:sz w:val="12"/>
          <w:szCs w:val="12"/>
          <w:color w:val="auto"/>
        </w:rPr>
        <w:t>We have audited the accompanying consolidated balance sheets of Reading International, Inc. and subsidiaries (the “Company”) as of December 31, 2015 and 2014, and the related consolidated statements of operations, comprehensive income (loss), stockholders’ equity, and cash flows for each of the three years in the period ended December 31, 2015. Our audits of the basic consolidated financial statements included the financial statement schedule listed in the index appearing under Schedule II. These financial statements and financial statement schedule are the responsibility of the Company’s management. Our responsibility is to express an opinion on these financial statements and financial statement schedule based on our audits.</w:t>
      </w:r>
    </w:p>
    <w:p>
      <w:pPr>
        <w:spacing w:after="0" w:line="44" w:lineRule="exact"/>
        <w:rPr>
          <w:sz w:val="20"/>
          <w:szCs w:val="20"/>
          <w:color w:val="auto"/>
        </w:rPr>
      </w:pPr>
    </w:p>
    <w:p>
      <w:pPr>
        <w:ind w:right="60"/>
        <w:spacing w:after="0" w:line="259" w:lineRule="auto"/>
        <w:rPr>
          <w:sz w:val="20"/>
          <w:szCs w:val="20"/>
          <w:color w:val="auto"/>
        </w:rPr>
      </w:pPr>
      <w:r>
        <w:rPr>
          <w:rFonts w:ascii="Arial" w:cs="Arial" w:eastAsia="Arial" w:hAnsi="Arial"/>
          <w:sz w:val="12"/>
          <w:szCs w:val="12"/>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44" w:lineRule="exact"/>
        <w:rPr>
          <w:sz w:val="20"/>
          <w:szCs w:val="20"/>
          <w:color w:val="auto"/>
        </w:rPr>
      </w:pPr>
    </w:p>
    <w:p>
      <w:pPr>
        <w:jc w:val="both"/>
        <w:ind w:right="60"/>
        <w:spacing w:after="0" w:line="350" w:lineRule="auto"/>
        <w:rPr>
          <w:sz w:val="20"/>
          <w:szCs w:val="20"/>
          <w:color w:val="auto"/>
        </w:rPr>
      </w:pPr>
      <w:r>
        <w:rPr>
          <w:rFonts w:ascii="Arial" w:cs="Arial" w:eastAsia="Arial" w:hAnsi="Arial"/>
          <w:sz w:val="10"/>
          <w:szCs w:val="10"/>
          <w:color w:val="auto"/>
        </w:rPr>
        <w:t>In our opinion, the consolidated financial statements referred to above present fairly, in all material respects, the financial position of Reading International, Inc. and subsidiaries as of December 31, 2015 and 2014, and the results of their operations and their cash flows for each of the three years in the period ended December 31, 2015 in conformity with accounting principles generally accepted in the United States of America. Also in our opinion, the related financial statement schedule, when considered in relation to the basic consolidated financial statements taken as a whole, presents fairly, in all material respects, the information set forth therein.</w:t>
      </w:r>
    </w:p>
    <w:p>
      <w:pPr>
        <w:spacing w:after="0" w:line="1" w:lineRule="exact"/>
        <w:rPr>
          <w:sz w:val="20"/>
          <w:szCs w:val="20"/>
          <w:color w:val="auto"/>
        </w:rPr>
      </w:pPr>
    </w:p>
    <w:p>
      <w:pPr>
        <w:jc w:val="both"/>
        <w:ind w:right="100"/>
        <w:spacing w:after="0" w:line="263" w:lineRule="auto"/>
        <w:rPr>
          <w:sz w:val="20"/>
          <w:szCs w:val="20"/>
          <w:color w:val="auto"/>
        </w:rPr>
      </w:pPr>
      <w:r>
        <w:rPr>
          <w:rFonts w:ascii="Arial" w:cs="Arial" w:eastAsia="Arial" w:hAnsi="Arial"/>
          <w:sz w:val="12"/>
          <w:szCs w:val="12"/>
          <w:color w:val="auto"/>
        </w:rPr>
        <w:t xml:space="preserve">We also have audited, in accordance with the standards of the Public Company Accounting Oversight Board (United States), the Company’s internal control over financial reporting as of December 31, 2015, based on criteria established in the 2013 </w:t>
      </w:r>
      <w:r>
        <w:rPr>
          <w:rFonts w:ascii="Arial" w:cs="Arial" w:eastAsia="Arial" w:hAnsi="Arial"/>
          <w:sz w:val="12"/>
          <w:szCs w:val="12"/>
          <w:i w:val="1"/>
          <w:iCs w:val="1"/>
          <w:color w:val="auto"/>
        </w:rPr>
        <w:t>Internal Control—Integrated Framework</w:t>
      </w:r>
      <w:r>
        <w:rPr>
          <w:rFonts w:ascii="Arial" w:cs="Arial" w:eastAsia="Arial" w:hAnsi="Arial"/>
          <w:sz w:val="12"/>
          <w:szCs w:val="12"/>
          <w:color w:val="auto"/>
        </w:rPr>
        <w:t xml:space="preserve"> issued by the Committee of Sponsoring Organizations of the Treadway Commission (COSO), and our report dated April 29, 2016 expressed an adverse opinion.</w:t>
      </w:r>
    </w:p>
    <w:p>
      <w:pPr>
        <w:spacing w:after="0" w:line="42" w:lineRule="exact"/>
        <w:rPr>
          <w:sz w:val="20"/>
          <w:szCs w:val="20"/>
          <w:color w:val="auto"/>
        </w:rPr>
      </w:pPr>
    </w:p>
    <w:p>
      <w:pPr>
        <w:spacing w:after="0"/>
        <w:rPr>
          <w:sz w:val="20"/>
          <w:szCs w:val="20"/>
          <w:color w:val="auto"/>
        </w:rPr>
      </w:pPr>
      <w:r>
        <w:rPr>
          <w:rFonts w:ascii="Arial" w:cs="Arial" w:eastAsia="Arial" w:hAnsi="Arial"/>
          <w:sz w:val="12"/>
          <w:szCs w:val="12"/>
          <w:color w:val="auto"/>
        </w:rPr>
        <w:t>/s/ GRANT THORNTON LLP</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Los Angeles, California</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April 29, 2016</w:t>
      </w:r>
    </w:p>
    <w:p>
      <w:pPr>
        <w:spacing w:after="0" w:line="303" w:lineRule="exact"/>
        <w:rPr>
          <w:sz w:val="20"/>
          <w:szCs w:val="20"/>
          <w:color w:val="auto"/>
        </w:rPr>
      </w:pPr>
    </w:p>
    <w:p>
      <w:pPr>
        <w:jc w:val="center"/>
        <w:ind w:right="-79"/>
        <w:spacing w:after="0"/>
        <w:rPr>
          <w:sz w:val="20"/>
          <w:szCs w:val="20"/>
          <w:color w:val="auto"/>
        </w:rPr>
      </w:pPr>
      <w:r>
        <w:rPr>
          <w:rFonts w:ascii="Arial" w:cs="Arial" w:eastAsia="Arial" w:hAnsi="Arial"/>
          <w:sz w:val="12"/>
          <w:szCs w:val="1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59690</wp:posOffset>
            </wp:positionV>
            <wp:extent cx="677989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779895" cy="42545"/>
                    </a:xfrm>
                    <a:prstGeom prst="rect">
                      <a:avLst/>
                    </a:prstGeom>
                    <a:noFill/>
                  </pic:spPr>
                </pic:pic>
              </a:graphicData>
            </a:graphic>
          </wp:anchor>
        </w:drawing>
      </w:r>
    </w:p>
    <w:p>
      <w:pPr>
        <w:sectPr>
          <w:pgSz w:w="11900" w:h="16838" w:orient="portrait"/>
          <w:cols w:equalWidth="0" w:num="1">
            <w:col w:w="10540"/>
          </w:cols>
          <w:pgMar w:left="640" w:top="127" w:right="719" w:bottom="1440" w:gutter="0" w:footer="0" w:header="0"/>
        </w:sectPr>
      </w:pPr>
    </w:p>
    <w:bookmarkStart w:id="54" w:name="page55"/>
    <w:bookmarkEnd w:id="54"/>
    <w:p>
      <w:pPr>
        <w:spacing w:after="0"/>
        <w:rPr>
          <w:sz w:val="20"/>
          <w:szCs w:val="20"/>
          <w:color w:val="auto"/>
        </w:rPr>
      </w:pPr>
      <w:r>
        <w:rPr>
          <w:rFonts w:ascii="Arial" w:cs="Arial" w:eastAsia="Arial" w:hAnsi="Arial"/>
          <w:sz w:val="11"/>
          <w:szCs w:val="11"/>
          <w:b w:val="1"/>
          <w:bCs w:val="1"/>
          <w:color w:val="auto"/>
        </w:rPr>
        <w:t>Reading International, Inc. and Subsidiaries</w:t>
      </w:r>
    </w:p>
    <w:p>
      <w:pPr>
        <w:spacing w:after="0" w:line="14"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Consolidated Balance Sheets as of December 31, 2015 and 2014</w:t>
      </w:r>
    </w:p>
    <w:p>
      <w:pPr>
        <w:spacing w:after="0" w:line="9"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(U.S. dollars in thousands, except share data)</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2280" w:type="dxa"/>
            <w:vAlign w:val="bottom"/>
          </w:tcPr>
          <w:p>
            <w:pPr>
              <w:spacing w:after="0"/>
              <w:rPr>
                <w:sz w:val="12"/>
                <w:szCs w:val="12"/>
                <w:color w:val="auto"/>
              </w:rPr>
            </w:pPr>
          </w:p>
        </w:tc>
        <w:tc>
          <w:tcPr>
            <w:tcW w:w="6160" w:type="dxa"/>
            <w:vAlign w:val="bottom"/>
          </w:tcPr>
          <w:p>
            <w:pPr>
              <w:jc w:val="right"/>
              <w:spacing w:after="0"/>
              <w:rPr>
                <w:sz w:val="20"/>
                <w:szCs w:val="20"/>
                <w:color w:val="auto"/>
              </w:rPr>
            </w:pPr>
            <w:r>
              <w:rPr>
                <w:rFonts w:ascii="Arial" w:cs="Arial" w:eastAsia="Arial" w:hAnsi="Arial"/>
                <w:sz w:val="11"/>
                <w:szCs w:val="11"/>
                <w:b w:val="1"/>
                <w:bCs w:val="1"/>
                <w:color w:val="auto"/>
              </w:rPr>
              <w:t>December 31,</w:t>
            </w: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20" w:type="dxa"/>
            <w:vAlign w:val="bottom"/>
          </w:tcPr>
          <w:p>
            <w:pPr>
              <w:jc w:val="right"/>
              <w:ind w:right="406"/>
              <w:spacing w:after="0"/>
              <w:rPr>
                <w:sz w:val="20"/>
                <w:szCs w:val="20"/>
                <w:color w:val="auto"/>
              </w:rPr>
            </w:pPr>
            <w:r>
              <w:rPr>
                <w:rFonts w:ascii="Arial" w:cs="Arial" w:eastAsia="Arial" w:hAnsi="Arial"/>
                <w:sz w:val="11"/>
                <w:szCs w:val="11"/>
                <w:b w:val="1"/>
                <w:bCs w:val="1"/>
                <w:color w:val="auto"/>
              </w:rPr>
              <w:t>December 31,</w:t>
            </w:r>
          </w:p>
        </w:tc>
      </w:tr>
      <w:tr>
        <w:trPr>
          <w:trHeight w:val="229"/>
        </w:trPr>
        <w:tc>
          <w:tcPr>
            <w:tcW w:w="2280" w:type="dxa"/>
            <w:vAlign w:val="bottom"/>
            <w:tcBorders>
              <w:bottom w:val="single" w:sz="8" w:color="auto"/>
            </w:tcBorders>
          </w:tcPr>
          <w:p>
            <w:pPr>
              <w:spacing w:after="0"/>
              <w:rPr>
                <w:sz w:val="19"/>
                <w:szCs w:val="19"/>
                <w:color w:val="auto"/>
              </w:rPr>
            </w:pPr>
          </w:p>
        </w:tc>
        <w:tc>
          <w:tcPr>
            <w:tcW w:w="6160" w:type="dxa"/>
            <w:vAlign w:val="bottom"/>
            <w:tcBorders>
              <w:bottom w:val="single" w:sz="8" w:color="auto"/>
            </w:tcBorders>
          </w:tcPr>
          <w:p>
            <w:pPr>
              <w:jc w:val="right"/>
              <w:ind w:right="186"/>
              <w:spacing w:after="0"/>
              <w:rPr>
                <w:sz w:val="20"/>
                <w:szCs w:val="20"/>
                <w:color w:val="auto"/>
              </w:rPr>
            </w:pPr>
            <w:r>
              <w:rPr>
                <w:rFonts w:ascii="Arial" w:cs="Arial" w:eastAsia="Arial" w:hAnsi="Arial"/>
                <w:sz w:val="11"/>
                <w:szCs w:val="11"/>
                <w:b w:val="1"/>
                <w:bCs w:val="1"/>
                <w:color w:val="auto"/>
              </w:rPr>
              <w:t>2015</w:t>
            </w:r>
          </w:p>
        </w:tc>
        <w:tc>
          <w:tcPr>
            <w:tcW w:w="5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66"/>
              <w:spacing w:after="0"/>
              <w:rPr>
                <w:sz w:val="20"/>
                <w:szCs w:val="20"/>
                <w:color w:val="auto"/>
              </w:rPr>
            </w:pPr>
            <w:r>
              <w:rPr>
                <w:rFonts w:ascii="Arial" w:cs="Arial" w:eastAsia="Arial" w:hAnsi="Arial"/>
                <w:sz w:val="11"/>
                <w:szCs w:val="11"/>
                <w:b w:val="1"/>
                <w:bCs w:val="1"/>
                <w:color w:val="auto"/>
              </w:rPr>
              <w:t>2014</w:t>
            </w:r>
            <w:r>
              <w:rPr>
                <w:rFonts w:ascii="Arial" w:cs="Arial" w:eastAsia="Arial" w:hAnsi="Arial"/>
                <w:sz w:val="14"/>
                <w:szCs w:val="14"/>
                <w:b w:val="1"/>
                <w:bCs w:val="1"/>
                <w:color w:val="auto"/>
                <w:vertAlign w:val="superscript"/>
              </w:rPr>
              <w:t>(1)</w:t>
            </w:r>
          </w:p>
        </w:tc>
      </w:tr>
      <w:tr>
        <w:trPr>
          <w:trHeight w:val="151"/>
        </w:trPr>
        <w:tc>
          <w:tcPr>
            <w:tcW w:w="228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ASSETS</w:t>
            </w:r>
          </w:p>
        </w:tc>
        <w:tc>
          <w:tcPr>
            <w:tcW w:w="61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r>
      <w:tr>
        <w:trPr>
          <w:trHeight w:val="160"/>
        </w:trPr>
        <w:tc>
          <w:tcPr>
            <w:tcW w:w="2280" w:type="dxa"/>
            <w:vAlign w:val="bottom"/>
          </w:tcPr>
          <w:p>
            <w:pPr>
              <w:spacing w:after="0"/>
              <w:rPr>
                <w:sz w:val="20"/>
                <w:szCs w:val="20"/>
                <w:color w:val="auto"/>
              </w:rPr>
            </w:pPr>
            <w:r>
              <w:rPr>
                <w:rFonts w:ascii="Arial" w:cs="Arial" w:eastAsia="Arial" w:hAnsi="Arial"/>
                <w:sz w:val="11"/>
                <w:szCs w:val="11"/>
                <w:b w:val="1"/>
                <w:bCs w:val="1"/>
                <w:color w:val="auto"/>
              </w:rPr>
              <w:t>Current Assets:</w:t>
            </w:r>
          </w:p>
        </w:tc>
        <w:tc>
          <w:tcPr>
            <w:tcW w:w="6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320" w:type="dxa"/>
            <w:vAlign w:val="bottom"/>
          </w:tcPr>
          <w:p>
            <w:pPr>
              <w:spacing w:after="0"/>
              <w:rPr>
                <w:sz w:val="13"/>
                <w:szCs w:val="13"/>
                <w:color w:val="auto"/>
              </w:rPr>
            </w:pPr>
          </w:p>
        </w:tc>
      </w:tr>
      <w:tr>
        <w:trPr>
          <w:trHeight w:val="164"/>
        </w:trPr>
        <w:tc>
          <w:tcPr>
            <w:tcW w:w="2280" w:type="dxa"/>
            <w:vAlign w:val="bottom"/>
            <w:shd w:val="clear" w:color="auto" w:fill="CCEEFF"/>
          </w:tcPr>
          <w:p>
            <w:pPr>
              <w:ind w:left="80"/>
              <w:spacing w:after="0"/>
              <w:rPr>
                <w:sz w:val="20"/>
                <w:szCs w:val="20"/>
                <w:color w:val="auto"/>
              </w:rPr>
            </w:pPr>
            <w:r>
              <w:rPr>
                <w:rFonts w:ascii="Arial" w:cs="Arial" w:eastAsia="Arial" w:hAnsi="Arial"/>
                <w:sz w:val="11"/>
                <w:szCs w:val="11"/>
                <w:color w:val="auto"/>
              </w:rPr>
              <w:t>Cash and cash equivalents</w:t>
            </w:r>
          </w:p>
        </w:tc>
        <w:tc>
          <w:tcPr>
            <w:tcW w:w="6160" w:type="dxa"/>
            <w:vAlign w:val="bottom"/>
            <w:shd w:val="clear" w:color="auto" w:fill="CCEEFF"/>
          </w:tcPr>
          <w:p>
            <w:pPr>
              <w:jc w:val="right"/>
              <w:ind w:right="1066"/>
              <w:spacing w:after="0"/>
              <w:rPr>
                <w:sz w:val="20"/>
                <w:szCs w:val="20"/>
                <w:color w:val="auto"/>
              </w:rPr>
            </w:pPr>
            <w:r>
              <w:rPr>
                <w:rFonts w:ascii="Arial" w:cs="Arial" w:eastAsia="Arial" w:hAnsi="Arial"/>
                <w:sz w:val="11"/>
                <w:szCs w:val="11"/>
                <w:color w:val="auto"/>
              </w:rPr>
              <w:t>$</w:t>
            </w:r>
          </w:p>
        </w:tc>
        <w:tc>
          <w:tcPr>
            <w:tcW w:w="50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19,702</w:t>
            </w:r>
          </w:p>
        </w:tc>
        <w:tc>
          <w:tcPr>
            <w:tcW w:w="360" w:type="dxa"/>
            <w:vAlign w:val="bottom"/>
            <w:shd w:val="clear" w:color="auto" w:fill="CCEEFF"/>
          </w:tcPr>
          <w:p>
            <w:pPr>
              <w:jc w:val="right"/>
              <w:ind w:right="186"/>
              <w:spacing w:after="0"/>
              <w:rPr>
                <w:sz w:val="20"/>
                <w:szCs w:val="20"/>
                <w:color w:val="auto"/>
              </w:rPr>
            </w:pPr>
            <w:r>
              <w:rPr>
                <w:rFonts w:ascii="Arial" w:cs="Arial" w:eastAsia="Arial" w:hAnsi="Arial"/>
                <w:sz w:val="11"/>
                <w:szCs w:val="11"/>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50,248</w:t>
            </w:r>
          </w:p>
        </w:tc>
      </w:tr>
      <w:tr>
        <w:trPr>
          <w:trHeight w:val="160"/>
        </w:trPr>
        <w:tc>
          <w:tcPr>
            <w:tcW w:w="2280" w:type="dxa"/>
            <w:vAlign w:val="bottom"/>
          </w:tcPr>
          <w:p>
            <w:pPr>
              <w:ind w:left="80"/>
              <w:spacing w:after="0"/>
              <w:rPr>
                <w:sz w:val="20"/>
                <w:szCs w:val="20"/>
                <w:color w:val="auto"/>
              </w:rPr>
            </w:pPr>
            <w:r>
              <w:rPr>
                <w:rFonts w:ascii="Arial" w:cs="Arial" w:eastAsia="Arial" w:hAnsi="Arial"/>
                <w:sz w:val="11"/>
                <w:szCs w:val="11"/>
                <w:color w:val="auto"/>
              </w:rPr>
              <w:t>Receivables</w:t>
            </w:r>
          </w:p>
        </w:tc>
        <w:tc>
          <w:tcPr>
            <w:tcW w:w="6160" w:type="dxa"/>
            <w:vAlign w:val="bottom"/>
          </w:tcPr>
          <w:p>
            <w:pPr>
              <w:spacing w:after="0"/>
              <w:rPr>
                <w:sz w:val="13"/>
                <w:szCs w:val="13"/>
                <w:color w:val="auto"/>
              </w:rPr>
            </w:pPr>
          </w:p>
        </w:tc>
        <w:tc>
          <w:tcPr>
            <w:tcW w:w="500" w:type="dxa"/>
            <w:vAlign w:val="bottom"/>
          </w:tcPr>
          <w:p>
            <w:pPr>
              <w:jc w:val="right"/>
              <w:ind w:right="46"/>
              <w:spacing w:after="0"/>
              <w:rPr>
                <w:sz w:val="20"/>
                <w:szCs w:val="20"/>
                <w:color w:val="auto"/>
              </w:rPr>
            </w:pPr>
            <w:r>
              <w:rPr>
                <w:rFonts w:ascii="Arial" w:cs="Arial" w:eastAsia="Arial" w:hAnsi="Arial"/>
                <w:sz w:val="11"/>
                <w:szCs w:val="11"/>
                <w:color w:val="auto"/>
              </w:rPr>
              <w:t>10,036</w:t>
            </w:r>
          </w:p>
        </w:tc>
        <w:tc>
          <w:tcPr>
            <w:tcW w:w="36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Arial" w:cs="Arial" w:eastAsia="Arial" w:hAnsi="Arial"/>
                <w:sz w:val="11"/>
                <w:szCs w:val="11"/>
                <w:color w:val="auto"/>
              </w:rPr>
              <w:t>11,348</w:t>
            </w:r>
          </w:p>
        </w:tc>
      </w:tr>
      <w:tr>
        <w:trPr>
          <w:trHeight w:val="164"/>
        </w:trPr>
        <w:tc>
          <w:tcPr>
            <w:tcW w:w="2280" w:type="dxa"/>
            <w:vAlign w:val="bottom"/>
            <w:shd w:val="clear" w:color="auto" w:fill="CCEEFF"/>
          </w:tcPr>
          <w:p>
            <w:pPr>
              <w:ind w:left="80"/>
              <w:spacing w:after="0"/>
              <w:rPr>
                <w:sz w:val="20"/>
                <w:szCs w:val="20"/>
                <w:color w:val="auto"/>
              </w:rPr>
            </w:pPr>
            <w:r>
              <w:rPr>
                <w:rFonts w:ascii="Arial" w:cs="Arial" w:eastAsia="Arial" w:hAnsi="Arial"/>
                <w:sz w:val="11"/>
                <w:szCs w:val="11"/>
                <w:color w:val="auto"/>
              </w:rPr>
              <w:t>Inventory</w:t>
            </w:r>
          </w:p>
        </w:tc>
        <w:tc>
          <w:tcPr>
            <w:tcW w:w="616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1,122</w:t>
            </w:r>
          </w:p>
        </w:tc>
        <w:tc>
          <w:tcPr>
            <w:tcW w:w="36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1,010</w:t>
            </w:r>
          </w:p>
        </w:tc>
      </w:tr>
      <w:tr>
        <w:trPr>
          <w:trHeight w:val="160"/>
        </w:trPr>
        <w:tc>
          <w:tcPr>
            <w:tcW w:w="2280" w:type="dxa"/>
            <w:vAlign w:val="bottom"/>
          </w:tcPr>
          <w:p>
            <w:pPr>
              <w:ind w:left="80"/>
              <w:spacing w:after="0"/>
              <w:rPr>
                <w:sz w:val="20"/>
                <w:szCs w:val="20"/>
                <w:color w:val="auto"/>
              </w:rPr>
            </w:pPr>
            <w:r>
              <w:rPr>
                <w:rFonts w:ascii="Arial" w:cs="Arial" w:eastAsia="Arial" w:hAnsi="Arial"/>
                <w:sz w:val="11"/>
                <w:szCs w:val="11"/>
                <w:color w:val="auto"/>
              </w:rPr>
              <w:t>Investment in marketable securities</w:t>
            </w:r>
          </w:p>
        </w:tc>
        <w:tc>
          <w:tcPr>
            <w:tcW w:w="6160" w:type="dxa"/>
            <w:vAlign w:val="bottom"/>
          </w:tcPr>
          <w:p>
            <w:pPr>
              <w:spacing w:after="0"/>
              <w:rPr>
                <w:sz w:val="13"/>
                <w:szCs w:val="13"/>
                <w:color w:val="auto"/>
              </w:rPr>
            </w:pPr>
          </w:p>
        </w:tc>
        <w:tc>
          <w:tcPr>
            <w:tcW w:w="500" w:type="dxa"/>
            <w:vAlign w:val="bottom"/>
          </w:tcPr>
          <w:p>
            <w:pPr>
              <w:jc w:val="right"/>
              <w:ind w:right="46"/>
              <w:spacing w:after="0"/>
              <w:rPr>
                <w:sz w:val="20"/>
                <w:szCs w:val="20"/>
                <w:color w:val="auto"/>
              </w:rPr>
            </w:pPr>
            <w:r>
              <w:rPr>
                <w:rFonts w:ascii="Arial" w:cs="Arial" w:eastAsia="Arial" w:hAnsi="Arial"/>
                <w:sz w:val="11"/>
                <w:szCs w:val="11"/>
                <w:color w:val="auto"/>
              </w:rPr>
              <w:t>51</w:t>
            </w:r>
          </w:p>
        </w:tc>
        <w:tc>
          <w:tcPr>
            <w:tcW w:w="36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Arial" w:cs="Arial" w:eastAsia="Arial" w:hAnsi="Arial"/>
                <w:sz w:val="11"/>
                <w:szCs w:val="11"/>
                <w:color w:val="auto"/>
              </w:rPr>
              <w:t>54</w:t>
            </w:r>
          </w:p>
        </w:tc>
      </w:tr>
      <w:tr>
        <w:trPr>
          <w:trHeight w:val="164"/>
        </w:trPr>
        <w:tc>
          <w:tcPr>
            <w:tcW w:w="2280" w:type="dxa"/>
            <w:vAlign w:val="bottom"/>
            <w:shd w:val="clear" w:color="auto" w:fill="CCEEFF"/>
          </w:tcPr>
          <w:p>
            <w:pPr>
              <w:ind w:left="80"/>
              <w:spacing w:after="0"/>
              <w:rPr>
                <w:sz w:val="20"/>
                <w:szCs w:val="20"/>
                <w:color w:val="auto"/>
              </w:rPr>
            </w:pPr>
            <w:r>
              <w:rPr>
                <w:rFonts w:ascii="Arial" w:cs="Arial" w:eastAsia="Arial" w:hAnsi="Arial"/>
                <w:sz w:val="11"/>
                <w:szCs w:val="11"/>
                <w:color w:val="auto"/>
              </w:rPr>
              <w:t>Restricted cash</w:t>
            </w:r>
          </w:p>
        </w:tc>
        <w:tc>
          <w:tcPr>
            <w:tcW w:w="616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160</w:t>
            </w:r>
          </w:p>
        </w:tc>
        <w:tc>
          <w:tcPr>
            <w:tcW w:w="36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1,433</w:t>
            </w:r>
          </w:p>
        </w:tc>
      </w:tr>
      <w:tr>
        <w:trPr>
          <w:trHeight w:val="160"/>
        </w:trPr>
        <w:tc>
          <w:tcPr>
            <w:tcW w:w="2280" w:type="dxa"/>
            <w:vAlign w:val="bottom"/>
          </w:tcPr>
          <w:p>
            <w:pPr>
              <w:ind w:left="80"/>
              <w:spacing w:after="0"/>
              <w:rPr>
                <w:sz w:val="20"/>
                <w:szCs w:val="20"/>
                <w:color w:val="auto"/>
              </w:rPr>
            </w:pPr>
            <w:r>
              <w:rPr>
                <w:rFonts w:ascii="Arial" w:cs="Arial" w:eastAsia="Arial" w:hAnsi="Arial"/>
                <w:sz w:val="11"/>
                <w:szCs w:val="11"/>
                <w:color w:val="auto"/>
              </w:rPr>
              <w:t>Prepaid and other current assets</w:t>
            </w:r>
          </w:p>
        </w:tc>
        <w:tc>
          <w:tcPr>
            <w:tcW w:w="6160" w:type="dxa"/>
            <w:vAlign w:val="bottom"/>
          </w:tcPr>
          <w:p>
            <w:pPr>
              <w:spacing w:after="0"/>
              <w:rPr>
                <w:sz w:val="13"/>
                <w:szCs w:val="13"/>
                <w:color w:val="auto"/>
              </w:rPr>
            </w:pPr>
          </w:p>
        </w:tc>
        <w:tc>
          <w:tcPr>
            <w:tcW w:w="500" w:type="dxa"/>
            <w:vAlign w:val="bottom"/>
          </w:tcPr>
          <w:p>
            <w:pPr>
              <w:jc w:val="right"/>
              <w:ind w:right="46"/>
              <w:spacing w:after="0"/>
              <w:rPr>
                <w:sz w:val="20"/>
                <w:szCs w:val="20"/>
                <w:color w:val="auto"/>
              </w:rPr>
            </w:pPr>
            <w:r>
              <w:rPr>
                <w:rFonts w:ascii="Arial" w:cs="Arial" w:eastAsia="Arial" w:hAnsi="Arial"/>
                <w:sz w:val="11"/>
                <w:szCs w:val="11"/>
                <w:color w:val="auto"/>
              </w:rPr>
              <w:t>5,429</w:t>
            </w:r>
          </w:p>
        </w:tc>
        <w:tc>
          <w:tcPr>
            <w:tcW w:w="36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Arial" w:cs="Arial" w:eastAsia="Arial" w:hAnsi="Arial"/>
                <w:sz w:val="11"/>
                <w:szCs w:val="11"/>
                <w:color w:val="auto"/>
              </w:rPr>
              <w:t>3,426</w:t>
            </w:r>
          </w:p>
        </w:tc>
      </w:tr>
      <w:tr>
        <w:trPr>
          <w:trHeight w:val="162"/>
        </w:trPr>
        <w:tc>
          <w:tcPr>
            <w:tcW w:w="228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1"/>
                <w:szCs w:val="11"/>
                <w:color w:val="auto"/>
              </w:rPr>
              <w:t>Land held for sale-current</w:t>
            </w:r>
          </w:p>
        </w:tc>
        <w:tc>
          <w:tcPr>
            <w:tcW w:w="616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1"/>
                <w:szCs w:val="11"/>
                <w:color w:val="auto"/>
              </w:rPr>
              <w:t>421</w:t>
            </w:r>
          </w:p>
        </w:tc>
        <w:tc>
          <w:tcPr>
            <w:tcW w:w="360" w:type="dxa"/>
            <w:vAlign w:val="bottom"/>
            <w:tcBorders>
              <w:bottom w:val="single" w:sz="8" w:color="auto"/>
            </w:tcBorders>
            <w:shd w:val="clear" w:color="auto" w:fill="CCEEFF"/>
          </w:tcPr>
          <w:p>
            <w:pPr>
              <w:spacing w:after="0"/>
              <w:rPr>
                <w:sz w:val="14"/>
                <w:szCs w:val="14"/>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10,112</w:t>
            </w:r>
          </w:p>
        </w:tc>
      </w:tr>
      <w:tr>
        <w:trPr>
          <w:trHeight w:val="142"/>
        </w:trPr>
        <w:tc>
          <w:tcPr>
            <w:tcW w:w="2280" w:type="dxa"/>
            <w:vAlign w:val="bottom"/>
          </w:tcPr>
          <w:p>
            <w:pPr>
              <w:spacing w:after="0"/>
              <w:rPr>
                <w:sz w:val="20"/>
                <w:szCs w:val="20"/>
                <w:color w:val="auto"/>
              </w:rPr>
            </w:pPr>
            <w:r>
              <w:rPr>
                <w:rFonts w:ascii="Arial" w:cs="Arial" w:eastAsia="Arial" w:hAnsi="Arial"/>
                <w:sz w:val="11"/>
                <w:szCs w:val="11"/>
                <w:b w:val="1"/>
                <w:bCs w:val="1"/>
                <w:color w:val="auto"/>
              </w:rPr>
              <w:t>Total current assets</w:t>
            </w:r>
          </w:p>
        </w:tc>
        <w:tc>
          <w:tcPr>
            <w:tcW w:w="6160" w:type="dxa"/>
            <w:vAlign w:val="bottom"/>
          </w:tcPr>
          <w:p>
            <w:pPr>
              <w:spacing w:after="0"/>
              <w:rPr>
                <w:sz w:val="12"/>
                <w:szCs w:val="12"/>
                <w:color w:val="auto"/>
              </w:rPr>
            </w:pPr>
          </w:p>
        </w:tc>
        <w:tc>
          <w:tcPr>
            <w:tcW w:w="500" w:type="dxa"/>
            <w:vAlign w:val="bottom"/>
          </w:tcPr>
          <w:p>
            <w:pPr>
              <w:jc w:val="right"/>
              <w:ind w:right="46"/>
              <w:spacing w:after="0"/>
              <w:rPr>
                <w:sz w:val="20"/>
                <w:szCs w:val="20"/>
                <w:color w:val="auto"/>
              </w:rPr>
            </w:pPr>
            <w:r>
              <w:rPr>
                <w:rFonts w:ascii="Arial" w:cs="Arial" w:eastAsia="Arial" w:hAnsi="Arial"/>
                <w:sz w:val="11"/>
                <w:szCs w:val="11"/>
                <w:color w:val="auto"/>
              </w:rPr>
              <w:t>36,921</w:t>
            </w:r>
          </w:p>
        </w:tc>
        <w:tc>
          <w:tcPr>
            <w:tcW w:w="360" w:type="dxa"/>
            <w:vAlign w:val="bottom"/>
          </w:tcPr>
          <w:p>
            <w:pPr>
              <w:spacing w:after="0"/>
              <w:rPr>
                <w:sz w:val="12"/>
                <w:szCs w:val="12"/>
                <w:color w:val="auto"/>
              </w:rPr>
            </w:pPr>
          </w:p>
        </w:tc>
        <w:tc>
          <w:tcPr>
            <w:tcW w:w="1320" w:type="dxa"/>
            <w:vAlign w:val="bottom"/>
          </w:tcPr>
          <w:p>
            <w:pPr>
              <w:jc w:val="right"/>
              <w:spacing w:after="0"/>
              <w:rPr>
                <w:sz w:val="20"/>
                <w:szCs w:val="20"/>
                <w:color w:val="auto"/>
              </w:rPr>
            </w:pPr>
            <w:r>
              <w:rPr>
                <w:rFonts w:ascii="Arial" w:cs="Arial" w:eastAsia="Arial" w:hAnsi="Arial"/>
                <w:sz w:val="11"/>
                <w:szCs w:val="11"/>
                <w:color w:val="auto"/>
              </w:rPr>
              <w:t>77,631</w:t>
            </w:r>
          </w:p>
        </w:tc>
      </w:tr>
      <w:tr>
        <w:trPr>
          <w:trHeight w:val="83"/>
        </w:trPr>
        <w:tc>
          <w:tcPr>
            <w:tcW w:w="2280" w:type="dxa"/>
            <w:vAlign w:val="bottom"/>
            <w:shd w:val="clear" w:color="auto" w:fill="CCEEFF"/>
          </w:tcPr>
          <w:p>
            <w:pPr>
              <w:spacing w:after="0"/>
              <w:rPr>
                <w:sz w:val="7"/>
                <w:szCs w:val="7"/>
                <w:color w:val="auto"/>
              </w:rPr>
            </w:pPr>
          </w:p>
        </w:tc>
        <w:tc>
          <w:tcPr>
            <w:tcW w:w="616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320" w:type="dxa"/>
            <w:vAlign w:val="bottom"/>
            <w:shd w:val="clear" w:color="auto" w:fill="CCEEFF"/>
          </w:tcPr>
          <w:p>
            <w:pPr>
              <w:spacing w:after="0"/>
              <w:rPr>
                <w:sz w:val="7"/>
                <w:szCs w:val="7"/>
                <w:color w:val="auto"/>
              </w:rPr>
            </w:pPr>
          </w:p>
        </w:tc>
      </w:tr>
      <w:tr>
        <w:trPr>
          <w:trHeight w:val="160"/>
        </w:trPr>
        <w:tc>
          <w:tcPr>
            <w:tcW w:w="2280" w:type="dxa"/>
            <w:vAlign w:val="bottom"/>
          </w:tcPr>
          <w:p>
            <w:pPr>
              <w:spacing w:after="0"/>
              <w:rPr>
                <w:sz w:val="20"/>
                <w:szCs w:val="20"/>
                <w:color w:val="auto"/>
              </w:rPr>
            </w:pPr>
            <w:r>
              <w:rPr>
                <w:rFonts w:ascii="Arial" w:cs="Arial" w:eastAsia="Arial" w:hAnsi="Arial"/>
                <w:sz w:val="11"/>
                <w:szCs w:val="11"/>
                <w:color w:val="auto"/>
              </w:rPr>
              <w:t>Operating property, net</w:t>
            </w:r>
          </w:p>
        </w:tc>
        <w:tc>
          <w:tcPr>
            <w:tcW w:w="6160" w:type="dxa"/>
            <w:vAlign w:val="bottom"/>
          </w:tcPr>
          <w:p>
            <w:pPr>
              <w:spacing w:after="0"/>
              <w:rPr>
                <w:sz w:val="13"/>
                <w:szCs w:val="13"/>
                <w:color w:val="auto"/>
              </w:rPr>
            </w:pPr>
          </w:p>
        </w:tc>
        <w:tc>
          <w:tcPr>
            <w:tcW w:w="500" w:type="dxa"/>
            <w:vAlign w:val="bottom"/>
          </w:tcPr>
          <w:p>
            <w:pPr>
              <w:jc w:val="right"/>
              <w:ind w:right="46"/>
              <w:spacing w:after="0"/>
              <w:rPr>
                <w:sz w:val="20"/>
                <w:szCs w:val="20"/>
                <w:color w:val="auto"/>
              </w:rPr>
            </w:pPr>
            <w:r>
              <w:rPr>
                <w:rFonts w:ascii="Arial" w:cs="Arial" w:eastAsia="Arial" w:hAnsi="Arial"/>
                <w:sz w:val="11"/>
                <w:szCs w:val="11"/>
                <w:color w:val="auto"/>
                <w:w w:val="95"/>
              </w:rPr>
              <w:t>210,298</w:t>
            </w:r>
          </w:p>
        </w:tc>
        <w:tc>
          <w:tcPr>
            <w:tcW w:w="36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Arial" w:cs="Arial" w:eastAsia="Arial" w:hAnsi="Arial"/>
                <w:sz w:val="11"/>
                <w:szCs w:val="11"/>
                <w:color w:val="auto"/>
              </w:rPr>
              <w:t>186,889</w:t>
            </w:r>
          </w:p>
        </w:tc>
      </w:tr>
      <w:tr>
        <w:trPr>
          <w:trHeight w:val="164"/>
        </w:trPr>
        <w:tc>
          <w:tcPr>
            <w:tcW w:w="2280" w:type="dxa"/>
            <w:vAlign w:val="bottom"/>
            <w:shd w:val="clear" w:color="auto" w:fill="CCEEFF"/>
          </w:tcPr>
          <w:p>
            <w:pPr>
              <w:spacing w:after="0"/>
              <w:rPr>
                <w:sz w:val="20"/>
                <w:szCs w:val="20"/>
                <w:color w:val="auto"/>
              </w:rPr>
            </w:pPr>
            <w:r>
              <w:rPr>
                <w:rFonts w:ascii="Arial" w:cs="Arial" w:eastAsia="Arial" w:hAnsi="Arial"/>
                <w:sz w:val="11"/>
                <w:szCs w:val="11"/>
                <w:color w:val="auto"/>
              </w:rPr>
              <w:t>Land held for sale-non current</w:t>
            </w:r>
          </w:p>
        </w:tc>
        <w:tc>
          <w:tcPr>
            <w:tcW w:w="616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37,966</w:t>
            </w:r>
          </w:p>
        </w:tc>
        <w:tc>
          <w:tcPr>
            <w:tcW w:w="36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42,588</w:t>
            </w:r>
          </w:p>
        </w:tc>
      </w:tr>
      <w:tr>
        <w:trPr>
          <w:trHeight w:val="160"/>
        </w:trPr>
        <w:tc>
          <w:tcPr>
            <w:tcW w:w="2280" w:type="dxa"/>
            <w:vAlign w:val="bottom"/>
          </w:tcPr>
          <w:p>
            <w:pPr>
              <w:spacing w:after="0"/>
              <w:rPr>
                <w:sz w:val="20"/>
                <w:szCs w:val="20"/>
                <w:color w:val="auto"/>
              </w:rPr>
            </w:pPr>
            <w:r>
              <w:rPr>
                <w:rFonts w:ascii="Arial" w:cs="Arial" w:eastAsia="Arial" w:hAnsi="Arial"/>
                <w:sz w:val="11"/>
                <w:szCs w:val="11"/>
                <w:color w:val="auto"/>
              </w:rPr>
              <w:t>Investment and development property, net</w:t>
            </w:r>
          </w:p>
        </w:tc>
        <w:tc>
          <w:tcPr>
            <w:tcW w:w="6160" w:type="dxa"/>
            <w:vAlign w:val="bottom"/>
          </w:tcPr>
          <w:p>
            <w:pPr>
              <w:spacing w:after="0"/>
              <w:rPr>
                <w:sz w:val="13"/>
                <w:szCs w:val="13"/>
                <w:color w:val="auto"/>
              </w:rPr>
            </w:pPr>
          </w:p>
        </w:tc>
        <w:tc>
          <w:tcPr>
            <w:tcW w:w="500" w:type="dxa"/>
            <w:vAlign w:val="bottom"/>
          </w:tcPr>
          <w:p>
            <w:pPr>
              <w:jc w:val="right"/>
              <w:ind w:right="46"/>
              <w:spacing w:after="0"/>
              <w:rPr>
                <w:sz w:val="20"/>
                <w:szCs w:val="20"/>
                <w:color w:val="auto"/>
              </w:rPr>
            </w:pPr>
            <w:r>
              <w:rPr>
                <w:rFonts w:ascii="Arial" w:cs="Arial" w:eastAsia="Arial" w:hAnsi="Arial"/>
                <w:sz w:val="11"/>
                <w:szCs w:val="11"/>
                <w:color w:val="auto"/>
              </w:rPr>
              <w:t>23,002</w:t>
            </w:r>
          </w:p>
        </w:tc>
        <w:tc>
          <w:tcPr>
            <w:tcW w:w="36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Arial" w:cs="Arial" w:eastAsia="Arial" w:hAnsi="Arial"/>
                <w:sz w:val="11"/>
                <w:szCs w:val="11"/>
                <w:color w:val="auto"/>
              </w:rPr>
              <w:t>26,124</w:t>
            </w:r>
          </w:p>
        </w:tc>
      </w:tr>
      <w:tr>
        <w:trPr>
          <w:trHeight w:val="164"/>
        </w:trPr>
        <w:tc>
          <w:tcPr>
            <w:tcW w:w="844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Investment in unconsolidated joint ventures and entities</w:t>
            </w:r>
          </w:p>
        </w:tc>
        <w:tc>
          <w:tcPr>
            <w:tcW w:w="50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5,370</w:t>
            </w:r>
          </w:p>
        </w:tc>
        <w:tc>
          <w:tcPr>
            <w:tcW w:w="36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6,169</w:t>
            </w:r>
          </w:p>
        </w:tc>
      </w:tr>
      <w:tr>
        <w:trPr>
          <w:trHeight w:val="160"/>
        </w:trPr>
        <w:tc>
          <w:tcPr>
            <w:tcW w:w="2280" w:type="dxa"/>
            <w:vAlign w:val="bottom"/>
          </w:tcPr>
          <w:p>
            <w:pPr>
              <w:spacing w:after="0"/>
              <w:rPr>
                <w:sz w:val="20"/>
                <w:szCs w:val="20"/>
                <w:color w:val="auto"/>
              </w:rPr>
            </w:pPr>
            <w:r>
              <w:rPr>
                <w:rFonts w:ascii="Arial" w:cs="Arial" w:eastAsia="Arial" w:hAnsi="Arial"/>
                <w:sz w:val="11"/>
                <w:szCs w:val="11"/>
                <w:color w:val="auto"/>
              </w:rPr>
              <w:t>Investment in Reading International Trust I</w:t>
            </w:r>
          </w:p>
        </w:tc>
        <w:tc>
          <w:tcPr>
            <w:tcW w:w="6160" w:type="dxa"/>
            <w:vAlign w:val="bottom"/>
          </w:tcPr>
          <w:p>
            <w:pPr>
              <w:spacing w:after="0"/>
              <w:rPr>
                <w:sz w:val="13"/>
                <w:szCs w:val="13"/>
                <w:color w:val="auto"/>
              </w:rPr>
            </w:pPr>
          </w:p>
        </w:tc>
        <w:tc>
          <w:tcPr>
            <w:tcW w:w="500" w:type="dxa"/>
            <w:vAlign w:val="bottom"/>
          </w:tcPr>
          <w:p>
            <w:pPr>
              <w:jc w:val="right"/>
              <w:ind w:right="46"/>
              <w:spacing w:after="0"/>
              <w:rPr>
                <w:sz w:val="20"/>
                <w:szCs w:val="20"/>
                <w:color w:val="auto"/>
              </w:rPr>
            </w:pPr>
            <w:r>
              <w:rPr>
                <w:rFonts w:ascii="Arial" w:cs="Arial" w:eastAsia="Arial" w:hAnsi="Arial"/>
                <w:sz w:val="11"/>
                <w:szCs w:val="11"/>
                <w:color w:val="auto"/>
              </w:rPr>
              <w:t>838</w:t>
            </w:r>
          </w:p>
        </w:tc>
        <w:tc>
          <w:tcPr>
            <w:tcW w:w="36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Arial" w:cs="Arial" w:eastAsia="Arial" w:hAnsi="Arial"/>
                <w:sz w:val="11"/>
                <w:szCs w:val="11"/>
                <w:color w:val="auto"/>
              </w:rPr>
              <w:t>838</w:t>
            </w:r>
          </w:p>
        </w:tc>
      </w:tr>
      <w:tr>
        <w:trPr>
          <w:trHeight w:val="164"/>
        </w:trPr>
        <w:tc>
          <w:tcPr>
            <w:tcW w:w="2280" w:type="dxa"/>
            <w:vAlign w:val="bottom"/>
            <w:shd w:val="clear" w:color="auto" w:fill="CCEEFF"/>
          </w:tcPr>
          <w:p>
            <w:pPr>
              <w:spacing w:after="0"/>
              <w:rPr>
                <w:sz w:val="20"/>
                <w:szCs w:val="20"/>
                <w:color w:val="auto"/>
              </w:rPr>
            </w:pPr>
            <w:r>
              <w:rPr>
                <w:rFonts w:ascii="Arial" w:cs="Arial" w:eastAsia="Arial" w:hAnsi="Arial"/>
                <w:sz w:val="11"/>
                <w:szCs w:val="11"/>
                <w:color w:val="auto"/>
              </w:rPr>
              <w:t>Goodwill</w:t>
            </w:r>
          </w:p>
        </w:tc>
        <w:tc>
          <w:tcPr>
            <w:tcW w:w="616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19,715</w:t>
            </w:r>
          </w:p>
        </w:tc>
        <w:tc>
          <w:tcPr>
            <w:tcW w:w="36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21,281</w:t>
            </w:r>
          </w:p>
        </w:tc>
      </w:tr>
      <w:tr>
        <w:trPr>
          <w:trHeight w:val="160"/>
        </w:trPr>
        <w:tc>
          <w:tcPr>
            <w:tcW w:w="2280" w:type="dxa"/>
            <w:vAlign w:val="bottom"/>
          </w:tcPr>
          <w:p>
            <w:pPr>
              <w:spacing w:after="0"/>
              <w:rPr>
                <w:sz w:val="20"/>
                <w:szCs w:val="20"/>
                <w:color w:val="auto"/>
              </w:rPr>
            </w:pPr>
            <w:r>
              <w:rPr>
                <w:rFonts w:ascii="Arial" w:cs="Arial" w:eastAsia="Arial" w:hAnsi="Arial"/>
                <w:sz w:val="11"/>
                <w:szCs w:val="11"/>
                <w:color w:val="auto"/>
              </w:rPr>
              <w:t>Intangible assets, net</w:t>
            </w:r>
          </w:p>
        </w:tc>
        <w:tc>
          <w:tcPr>
            <w:tcW w:w="6160" w:type="dxa"/>
            <w:vAlign w:val="bottom"/>
          </w:tcPr>
          <w:p>
            <w:pPr>
              <w:spacing w:after="0"/>
              <w:rPr>
                <w:sz w:val="13"/>
                <w:szCs w:val="13"/>
                <w:color w:val="auto"/>
              </w:rPr>
            </w:pPr>
          </w:p>
        </w:tc>
        <w:tc>
          <w:tcPr>
            <w:tcW w:w="500" w:type="dxa"/>
            <w:vAlign w:val="bottom"/>
          </w:tcPr>
          <w:p>
            <w:pPr>
              <w:jc w:val="right"/>
              <w:ind w:right="46"/>
              <w:spacing w:after="0"/>
              <w:rPr>
                <w:sz w:val="20"/>
                <w:szCs w:val="20"/>
                <w:color w:val="auto"/>
              </w:rPr>
            </w:pPr>
            <w:r>
              <w:rPr>
                <w:rFonts w:ascii="Arial" w:cs="Arial" w:eastAsia="Arial" w:hAnsi="Arial"/>
                <w:sz w:val="11"/>
                <w:szCs w:val="11"/>
                <w:color w:val="auto"/>
              </w:rPr>
              <w:t>9,889</w:t>
            </w:r>
          </w:p>
        </w:tc>
        <w:tc>
          <w:tcPr>
            <w:tcW w:w="36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Arial" w:cs="Arial" w:eastAsia="Arial" w:hAnsi="Arial"/>
                <w:sz w:val="11"/>
                <w:szCs w:val="11"/>
                <w:color w:val="auto"/>
              </w:rPr>
              <w:t>11,486</w:t>
            </w:r>
          </w:p>
        </w:tc>
      </w:tr>
      <w:tr>
        <w:trPr>
          <w:trHeight w:val="164"/>
        </w:trPr>
        <w:tc>
          <w:tcPr>
            <w:tcW w:w="2280" w:type="dxa"/>
            <w:vAlign w:val="bottom"/>
            <w:shd w:val="clear" w:color="auto" w:fill="CCEEFF"/>
          </w:tcPr>
          <w:p>
            <w:pPr>
              <w:spacing w:after="0"/>
              <w:rPr>
                <w:sz w:val="20"/>
                <w:szCs w:val="20"/>
                <w:color w:val="auto"/>
              </w:rPr>
            </w:pPr>
            <w:r>
              <w:rPr>
                <w:rFonts w:ascii="Arial" w:cs="Arial" w:eastAsia="Arial" w:hAnsi="Arial"/>
                <w:sz w:val="11"/>
                <w:szCs w:val="11"/>
                <w:color w:val="auto"/>
              </w:rPr>
              <w:t>Deferred tax asset, net</w:t>
            </w:r>
          </w:p>
        </w:tc>
        <w:tc>
          <w:tcPr>
            <w:tcW w:w="616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25,649</w:t>
            </w:r>
          </w:p>
        </w:tc>
        <w:tc>
          <w:tcPr>
            <w:tcW w:w="36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22,267</w:t>
            </w:r>
          </w:p>
        </w:tc>
      </w:tr>
      <w:tr>
        <w:trPr>
          <w:trHeight w:val="160"/>
        </w:trPr>
        <w:tc>
          <w:tcPr>
            <w:tcW w:w="2280" w:type="dxa"/>
            <w:vAlign w:val="bottom"/>
            <w:tcBorders>
              <w:bottom w:val="single" w:sz="8" w:color="auto"/>
            </w:tcBorders>
          </w:tcPr>
          <w:p>
            <w:pPr>
              <w:spacing w:after="0"/>
              <w:rPr>
                <w:sz w:val="20"/>
                <w:szCs w:val="20"/>
                <w:color w:val="auto"/>
              </w:rPr>
            </w:pPr>
            <w:r>
              <w:rPr>
                <w:rFonts w:ascii="Arial" w:cs="Arial" w:eastAsia="Arial" w:hAnsi="Arial"/>
                <w:sz w:val="11"/>
                <w:szCs w:val="11"/>
                <w:color w:val="auto"/>
              </w:rPr>
              <w:t>Other assets</w:t>
            </w:r>
          </w:p>
        </w:tc>
        <w:tc>
          <w:tcPr>
            <w:tcW w:w="616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46"/>
              <w:spacing w:after="0"/>
              <w:rPr>
                <w:sz w:val="20"/>
                <w:szCs w:val="20"/>
                <w:color w:val="auto"/>
              </w:rPr>
            </w:pPr>
            <w:r>
              <w:rPr>
                <w:rFonts w:ascii="Arial" w:cs="Arial" w:eastAsia="Arial" w:hAnsi="Arial"/>
                <w:sz w:val="11"/>
                <w:szCs w:val="11"/>
                <w:color w:val="auto"/>
              </w:rPr>
              <w:t>5,443</w:t>
            </w:r>
          </w:p>
        </w:tc>
        <w:tc>
          <w:tcPr>
            <w:tcW w:w="36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6,313</w:t>
            </w:r>
          </w:p>
        </w:tc>
      </w:tr>
      <w:tr>
        <w:trPr>
          <w:trHeight w:val="133"/>
        </w:trPr>
        <w:tc>
          <w:tcPr>
            <w:tcW w:w="22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1"/>
                <w:szCs w:val="11"/>
                <w:b w:val="1"/>
                <w:bCs w:val="1"/>
                <w:color w:val="auto"/>
              </w:rPr>
              <w:t>Total assets</w:t>
            </w:r>
          </w:p>
        </w:tc>
        <w:tc>
          <w:tcPr>
            <w:tcW w:w="6160" w:type="dxa"/>
            <w:vAlign w:val="bottom"/>
            <w:tcBorders>
              <w:bottom w:val="single" w:sz="8" w:color="auto"/>
            </w:tcBorders>
            <w:shd w:val="clear" w:color="auto" w:fill="CCEEFF"/>
          </w:tcPr>
          <w:p>
            <w:pPr>
              <w:jc w:val="right"/>
              <w:ind w:right="1066"/>
              <w:spacing w:after="0"/>
              <w:rPr>
                <w:sz w:val="20"/>
                <w:szCs w:val="20"/>
                <w:color w:val="auto"/>
              </w:rPr>
            </w:pPr>
            <w:r>
              <w:rPr>
                <w:rFonts w:ascii="Arial" w:cs="Arial" w:eastAsia="Arial" w:hAnsi="Arial"/>
                <w:sz w:val="11"/>
                <w:szCs w:val="11"/>
                <w:color w:val="auto"/>
              </w:rPr>
              <w:t>$</w:t>
            </w:r>
          </w:p>
        </w:tc>
        <w:tc>
          <w:tcPr>
            <w:tcW w:w="50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1"/>
                <w:szCs w:val="11"/>
                <w:color w:val="auto"/>
                <w:w w:val="95"/>
              </w:rPr>
              <w:t>375,091</w:t>
            </w:r>
          </w:p>
        </w:tc>
        <w:tc>
          <w:tcPr>
            <w:tcW w:w="360" w:type="dxa"/>
            <w:vAlign w:val="bottom"/>
            <w:tcBorders>
              <w:bottom w:val="single" w:sz="8" w:color="auto"/>
            </w:tcBorders>
            <w:shd w:val="clear" w:color="auto" w:fill="CCEEFF"/>
          </w:tcPr>
          <w:p>
            <w:pPr>
              <w:jc w:val="right"/>
              <w:ind w:right="186"/>
              <w:spacing w:after="0"/>
              <w:rPr>
                <w:sz w:val="20"/>
                <w:szCs w:val="20"/>
                <w:color w:val="auto"/>
              </w:rPr>
            </w:pPr>
            <w:r>
              <w:rPr>
                <w:rFonts w:ascii="Arial" w:cs="Arial" w:eastAsia="Arial" w:hAnsi="Arial"/>
                <w:sz w:val="11"/>
                <w:szCs w:val="11"/>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401,586</w:t>
            </w:r>
          </w:p>
        </w:tc>
      </w:tr>
      <w:tr>
        <w:trPr>
          <w:trHeight w:val="81"/>
        </w:trPr>
        <w:tc>
          <w:tcPr>
            <w:tcW w:w="2280" w:type="dxa"/>
            <w:vAlign w:val="bottom"/>
          </w:tcPr>
          <w:p>
            <w:pPr>
              <w:spacing w:after="0"/>
              <w:rPr>
                <w:sz w:val="7"/>
                <w:szCs w:val="7"/>
                <w:color w:val="auto"/>
              </w:rPr>
            </w:pPr>
          </w:p>
        </w:tc>
        <w:tc>
          <w:tcPr>
            <w:tcW w:w="6160" w:type="dxa"/>
            <w:vAlign w:val="bottom"/>
          </w:tcPr>
          <w:p>
            <w:pPr>
              <w:spacing w:after="0"/>
              <w:rPr>
                <w:sz w:val="7"/>
                <w:szCs w:val="7"/>
                <w:color w:val="auto"/>
              </w:rPr>
            </w:pPr>
          </w:p>
        </w:tc>
        <w:tc>
          <w:tcPr>
            <w:tcW w:w="500" w:type="dxa"/>
            <w:vAlign w:val="bottom"/>
          </w:tcPr>
          <w:p>
            <w:pPr>
              <w:spacing w:after="0"/>
              <w:rPr>
                <w:sz w:val="7"/>
                <w:szCs w:val="7"/>
                <w:color w:val="auto"/>
              </w:rPr>
            </w:pPr>
          </w:p>
        </w:tc>
        <w:tc>
          <w:tcPr>
            <w:tcW w:w="360" w:type="dxa"/>
            <w:vAlign w:val="bottom"/>
          </w:tcPr>
          <w:p>
            <w:pPr>
              <w:spacing w:after="0"/>
              <w:rPr>
                <w:sz w:val="7"/>
                <w:szCs w:val="7"/>
                <w:color w:val="auto"/>
              </w:rPr>
            </w:pPr>
          </w:p>
        </w:tc>
        <w:tc>
          <w:tcPr>
            <w:tcW w:w="1320" w:type="dxa"/>
            <w:vAlign w:val="bottom"/>
          </w:tcPr>
          <w:p>
            <w:pPr>
              <w:spacing w:after="0"/>
              <w:rPr>
                <w:sz w:val="7"/>
                <w:szCs w:val="7"/>
                <w:color w:val="auto"/>
              </w:rPr>
            </w:pPr>
          </w:p>
        </w:tc>
      </w:tr>
      <w:tr>
        <w:trPr>
          <w:trHeight w:val="162"/>
        </w:trPr>
        <w:tc>
          <w:tcPr>
            <w:tcW w:w="8440" w:type="dxa"/>
            <w:vAlign w:val="bottom"/>
            <w:gridSpan w:val="2"/>
            <w:shd w:val="clear" w:color="auto" w:fill="CCEEFF"/>
          </w:tcPr>
          <w:p>
            <w:pPr>
              <w:spacing w:after="0"/>
              <w:rPr>
                <w:sz w:val="20"/>
                <w:szCs w:val="20"/>
                <w:color w:val="auto"/>
              </w:rPr>
            </w:pPr>
            <w:r>
              <w:rPr>
                <w:rFonts w:ascii="Arial" w:cs="Arial" w:eastAsia="Arial" w:hAnsi="Arial"/>
                <w:sz w:val="11"/>
                <w:szCs w:val="11"/>
                <w:b w:val="1"/>
                <w:bCs w:val="1"/>
                <w:color w:val="auto"/>
              </w:rPr>
              <w:t>LIABILITIES AND STOCKHOLDERS' EQUITY</w:t>
            </w:r>
          </w:p>
        </w:tc>
        <w:tc>
          <w:tcPr>
            <w:tcW w:w="5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r>
      <w:tr>
        <w:trPr>
          <w:trHeight w:val="160"/>
        </w:trPr>
        <w:tc>
          <w:tcPr>
            <w:tcW w:w="2280" w:type="dxa"/>
            <w:vAlign w:val="bottom"/>
          </w:tcPr>
          <w:p>
            <w:pPr>
              <w:spacing w:after="0"/>
              <w:rPr>
                <w:sz w:val="20"/>
                <w:szCs w:val="20"/>
                <w:color w:val="auto"/>
              </w:rPr>
            </w:pPr>
            <w:r>
              <w:rPr>
                <w:rFonts w:ascii="Arial" w:cs="Arial" w:eastAsia="Arial" w:hAnsi="Arial"/>
                <w:sz w:val="11"/>
                <w:szCs w:val="11"/>
                <w:b w:val="1"/>
                <w:bCs w:val="1"/>
                <w:color w:val="auto"/>
              </w:rPr>
              <w:t>Current Liabilities:</w:t>
            </w:r>
          </w:p>
        </w:tc>
        <w:tc>
          <w:tcPr>
            <w:tcW w:w="6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320" w:type="dxa"/>
            <w:vAlign w:val="bottom"/>
          </w:tcPr>
          <w:p>
            <w:pPr>
              <w:spacing w:after="0"/>
              <w:rPr>
                <w:sz w:val="13"/>
                <w:szCs w:val="13"/>
                <w:color w:val="auto"/>
              </w:rPr>
            </w:pPr>
          </w:p>
        </w:tc>
      </w:tr>
      <w:tr>
        <w:trPr>
          <w:trHeight w:val="164"/>
        </w:trPr>
        <w:tc>
          <w:tcPr>
            <w:tcW w:w="2280" w:type="dxa"/>
            <w:vAlign w:val="bottom"/>
            <w:shd w:val="clear" w:color="auto" w:fill="CCEEFF"/>
          </w:tcPr>
          <w:p>
            <w:pPr>
              <w:ind w:left="80"/>
              <w:spacing w:after="0"/>
              <w:rPr>
                <w:sz w:val="20"/>
                <w:szCs w:val="20"/>
                <w:color w:val="auto"/>
              </w:rPr>
            </w:pPr>
            <w:r>
              <w:rPr>
                <w:rFonts w:ascii="Arial" w:cs="Arial" w:eastAsia="Arial" w:hAnsi="Arial"/>
                <w:sz w:val="11"/>
                <w:szCs w:val="11"/>
                <w:color w:val="auto"/>
              </w:rPr>
              <w:t>Accounts payable and accrued liabilities</w:t>
            </w:r>
          </w:p>
        </w:tc>
        <w:tc>
          <w:tcPr>
            <w:tcW w:w="6160" w:type="dxa"/>
            <w:vAlign w:val="bottom"/>
            <w:shd w:val="clear" w:color="auto" w:fill="CCEEFF"/>
          </w:tcPr>
          <w:p>
            <w:pPr>
              <w:jc w:val="right"/>
              <w:ind w:right="1066"/>
              <w:spacing w:after="0"/>
              <w:rPr>
                <w:sz w:val="20"/>
                <w:szCs w:val="20"/>
                <w:color w:val="auto"/>
              </w:rPr>
            </w:pPr>
            <w:r>
              <w:rPr>
                <w:rFonts w:ascii="Arial" w:cs="Arial" w:eastAsia="Arial" w:hAnsi="Arial"/>
                <w:sz w:val="11"/>
                <w:szCs w:val="11"/>
                <w:color w:val="auto"/>
              </w:rPr>
              <w:t>$</w:t>
            </w:r>
          </w:p>
        </w:tc>
        <w:tc>
          <w:tcPr>
            <w:tcW w:w="50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23,638</w:t>
            </w:r>
          </w:p>
        </w:tc>
        <w:tc>
          <w:tcPr>
            <w:tcW w:w="360" w:type="dxa"/>
            <w:vAlign w:val="bottom"/>
            <w:shd w:val="clear" w:color="auto" w:fill="CCEEFF"/>
          </w:tcPr>
          <w:p>
            <w:pPr>
              <w:jc w:val="right"/>
              <w:ind w:right="186"/>
              <w:spacing w:after="0"/>
              <w:rPr>
                <w:sz w:val="20"/>
                <w:szCs w:val="20"/>
                <w:color w:val="auto"/>
              </w:rPr>
            </w:pPr>
            <w:r>
              <w:rPr>
                <w:rFonts w:ascii="Arial" w:cs="Arial" w:eastAsia="Arial" w:hAnsi="Arial"/>
                <w:sz w:val="11"/>
                <w:szCs w:val="11"/>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19,517</w:t>
            </w:r>
          </w:p>
        </w:tc>
      </w:tr>
      <w:tr>
        <w:trPr>
          <w:trHeight w:val="160"/>
        </w:trPr>
        <w:tc>
          <w:tcPr>
            <w:tcW w:w="2280" w:type="dxa"/>
            <w:vAlign w:val="bottom"/>
          </w:tcPr>
          <w:p>
            <w:pPr>
              <w:ind w:left="80"/>
              <w:spacing w:after="0"/>
              <w:rPr>
                <w:sz w:val="20"/>
                <w:szCs w:val="20"/>
                <w:color w:val="auto"/>
              </w:rPr>
            </w:pPr>
            <w:r>
              <w:rPr>
                <w:rFonts w:ascii="Arial" w:cs="Arial" w:eastAsia="Arial" w:hAnsi="Arial"/>
                <w:sz w:val="11"/>
                <w:szCs w:val="11"/>
                <w:color w:val="auto"/>
              </w:rPr>
              <w:t>Film rent payable</w:t>
            </w:r>
          </w:p>
        </w:tc>
        <w:tc>
          <w:tcPr>
            <w:tcW w:w="6160" w:type="dxa"/>
            <w:vAlign w:val="bottom"/>
          </w:tcPr>
          <w:p>
            <w:pPr>
              <w:spacing w:after="0"/>
              <w:rPr>
                <w:sz w:val="13"/>
                <w:szCs w:val="13"/>
                <w:color w:val="auto"/>
              </w:rPr>
            </w:pPr>
          </w:p>
        </w:tc>
        <w:tc>
          <w:tcPr>
            <w:tcW w:w="500" w:type="dxa"/>
            <w:vAlign w:val="bottom"/>
          </w:tcPr>
          <w:p>
            <w:pPr>
              <w:jc w:val="right"/>
              <w:ind w:right="46"/>
              <w:spacing w:after="0"/>
              <w:rPr>
                <w:sz w:val="20"/>
                <w:szCs w:val="20"/>
                <w:color w:val="auto"/>
              </w:rPr>
            </w:pPr>
            <w:r>
              <w:rPr>
                <w:rFonts w:ascii="Arial" w:cs="Arial" w:eastAsia="Arial" w:hAnsi="Arial"/>
                <w:sz w:val="11"/>
                <w:szCs w:val="11"/>
                <w:color w:val="auto"/>
              </w:rPr>
              <w:t>9,291</w:t>
            </w:r>
          </w:p>
        </w:tc>
        <w:tc>
          <w:tcPr>
            <w:tcW w:w="36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Arial" w:cs="Arial" w:eastAsia="Arial" w:hAnsi="Arial"/>
                <w:sz w:val="11"/>
                <w:szCs w:val="11"/>
                <w:color w:val="auto"/>
              </w:rPr>
              <w:t>9,328</w:t>
            </w:r>
          </w:p>
        </w:tc>
      </w:tr>
      <w:tr>
        <w:trPr>
          <w:trHeight w:val="164"/>
        </w:trPr>
        <w:tc>
          <w:tcPr>
            <w:tcW w:w="2280" w:type="dxa"/>
            <w:vAlign w:val="bottom"/>
            <w:shd w:val="clear" w:color="auto" w:fill="CCEEFF"/>
          </w:tcPr>
          <w:p>
            <w:pPr>
              <w:ind w:left="80"/>
              <w:spacing w:after="0"/>
              <w:rPr>
                <w:sz w:val="20"/>
                <w:szCs w:val="20"/>
                <w:color w:val="auto"/>
              </w:rPr>
            </w:pPr>
            <w:r>
              <w:rPr>
                <w:rFonts w:ascii="Arial" w:cs="Arial" w:eastAsia="Arial" w:hAnsi="Arial"/>
                <w:sz w:val="11"/>
                <w:szCs w:val="11"/>
                <w:color w:val="auto"/>
              </w:rPr>
              <w:t>Debt – current portion</w:t>
            </w:r>
          </w:p>
        </w:tc>
        <w:tc>
          <w:tcPr>
            <w:tcW w:w="616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15,000</w:t>
            </w:r>
          </w:p>
        </w:tc>
        <w:tc>
          <w:tcPr>
            <w:tcW w:w="36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38,104</w:t>
            </w:r>
          </w:p>
        </w:tc>
      </w:tr>
      <w:tr>
        <w:trPr>
          <w:trHeight w:val="160"/>
        </w:trPr>
        <w:tc>
          <w:tcPr>
            <w:tcW w:w="2280" w:type="dxa"/>
            <w:vAlign w:val="bottom"/>
          </w:tcPr>
          <w:p>
            <w:pPr>
              <w:ind w:left="80"/>
              <w:spacing w:after="0"/>
              <w:rPr>
                <w:sz w:val="20"/>
                <w:szCs w:val="20"/>
                <w:color w:val="auto"/>
              </w:rPr>
            </w:pPr>
            <w:r>
              <w:rPr>
                <w:rFonts w:ascii="Arial" w:cs="Arial" w:eastAsia="Arial" w:hAnsi="Arial"/>
                <w:sz w:val="11"/>
                <w:szCs w:val="11"/>
                <w:color w:val="auto"/>
              </w:rPr>
              <w:t>Taxes payable</w:t>
            </w:r>
          </w:p>
        </w:tc>
        <w:tc>
          <w:tcPr>
            <w:tcW w:w="6160" w:type="dxa"/>
            <w:vAlign w:val="bottom"/>
          </w:tcPr>
          <w:p>
            <w:pPr>
              <w:spacing w:after="0"/>
              <w:rPr>
                <w:sz w:val="13"/>
                <w:szCs w:val="13"/>
                <w:color w:val="auto"/>
              </w:rPr>
            </w:pPr>
          </w:p>
        </w:tc>
        <w:tc>
          <w:tcPr>
            <w:tcW w:w="500" w:type="dxa"/>
            <w:vAlign w:val="bottom"/>
          </w:tcPr>
          <w:p>
            <w:pPr>
              <w:jc w:val="right"/>
              <w:ind w:right="46"/>
              <w:spacing w:after="0"/>
              <w:rPr>
                <w:sz w:val="20"/>
                <w:szCs w:val="20"/>
                <w:color w:val="auto"/>
              </w:rPr>
            </w:pPr>
            <w:r>
              <w:rPr>
                <w:rFonts w:ascii="Arial" w:cs="Arial" w:eastAsia="Arial" w:hAnsi="Arial"/>
                <w:sz w:val="11"/>
                <w:szCs w:val="11"/>
                <w:color w:val="auto"/>
              </w:rPr>
              <w:t>5,275</w:t>
            </w:r>
          </w:p>
        </w:tc>
        <w:tc>
          <w:tcPr>
            <w:tcW w:w="36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Arial" w:cs="Arial" w:eastAsia="Arial" w:hAnsi="Arial"/>
                <w:sz w:val="11"/>
                <w:szCs w:val="11"/>
                <w:color w:val="auto"/>
              </w:rPr>
              <w:t>4,593</w:t>
            </w:r>
          </w:p>
        </w:tc>
      </w:tr>
      <w:tr>
        <w:trPr>
          <w:trHeight w:val="164"/>
        </w:trPr>
        <w:tc>
          <w:tcPr>
            <w:tcW w:w="2280" w:type="dxa"/>
            <w:vAlign w:val="bottom"/>
            <w:shd w:val="clear" w:color="auto" w:fill="CCEEFF"/>
          </w:tcPr>
          <w:p>
            <w:pPr>
              <w:ind w:left="80"/>
              <w:spacing w:after="0"/>
              <w:rPr>
                <w:sz w:val="20"/>
                <w:szCs w:val="20"/>
                <w:color w:val="auto"/>
              </w:rPr>
            </w:pPr>
            <w:r>
              <w:rPr>
                <w:rFonts w:ascii="Arial" w:cs="Arial" w:eastAsia="Arial" w:hAnsi="Arial"/>
                <w:sz w:val="11"/>
                <w:szCs w:val="11"/>
                <w:color w:val="auto"/>
              </w:rPr>
              <w:t>Deferred current revenue</w:t>
            </w:r>
          </w:p>
        </w:tc>
        <w:tc>
          <w:tcPr>
            <w:tcW w:w="616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14,591</w:t>
            </w:r>
          </w:p>
        </w:tc>
        <w:tc>
          <w:tcPr>
            <w:tcW w:w="36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14,239</w:t>
            </w:r>
          </w:p>
        </w:tc>
      </w:tr>
      <w:tr>
        <w:trPr>
          <w:trHeight w:val="160"/>
        </w:trPr>
        <w:tc>
          <w:tcPr>
            <w:tcW w:w="2280" w:type="dxa"/>
            <w:vAlign w:val="bottom"/>
            <w:tcBorders>
              <w:bottom w:val="single" w:sz="8" w:color="auto"/>
            </w:tcBorders>
          </w:tcPr>
          <w:p>
            <w:pPr>
              <w:ind w:left="80"/>
              <w:spacing w:after="0"/>
              <w:rPr>
                <w:sz w:val="20"/>
                <w:szCs w:val="20"/>
                <w:color w:val="auto"/>
              </w:rPr>
            </w:pPr>
            <w:r>
              <w:rPr>
                <w:rFonts w:ascii="Arial" w:cs="Arial" w:eastAsia="Arial" w:hAnsi="Arial"/>
                <w:sz w:val="11"/>
                <w:szCs w:val="11"/>
                <w:color w:val="auto"/>
              </w:rPr>
              <w:t>Other current liabilities</w:t>
            </w:r>
          </w:p>
        </w:tc>
        <w:tc>
          <w:tcPr>
            <w:tcW w:w="616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46"/>
              <w:spacing w:after="0"/>
              <w:rPr>
                <w:sz w:val="20"/>
                <w:szCs w:val="20"/>
                <w:color w:val="auto"/>
              </w:rPr>
            </w:pPr>
            <w:r>
              <w:rPr>
                <w:rFonts w:ascii="Arial" w:cs="Arial" w:eastAsia="Arial" w:hAnsi="Arial"/>
                <w:sz w:val="11"/>
                <w:szCs w:val="11"/>
                <w:color w:val="auto"/>
              </w:rPr>
              <w:t>7,640</w:t>
            </w:r>
          </w:p>
        </w:tc>
        <w:tc>
          <w:tcPr>
            <w:tcW w:w="36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6,969</w:t>
            </w:r>
          </w:p>
        </w:tc>
      </w:tr>
      <w:tr>
        <w:trPr>
          <w:trHeight w:val="144"/>
        </w:trPr>
        <w:tc>
          <w:tcPr>
            <w:tcW w:w="228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Total current liabilities</w:t>
            </w:r>
          </w:p>
        </w:tc>
        <w:tc>
          <w:tcPr>
            <w:tcW w:w="6160" w:type="dxa"/>
            <w:vAlign w:val="bottom"/>
            <w:shd w:val="clear" w:color="auto" w:fill="CCEEFF"/>
          </w:tcPr>
          <w:p>
            <w:pPr>
              <w:spacing w:after="0"/>
              <w:rPr>
                <w:sz w:val="12"/>
                <w:szCs w:val="12"/>
                <w:color w:val="auto"/>
              </w:rPr>
            </w:pPr>
          </w:p>
        </w:tc>
        <w:tc>
          <w:tcPr>
            <w:tcW w:w="50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75,435</w:t>
            </w:r>
          </w:p>
        </w:tc>
        <w:tc>
          <w:tcPr>
            <w:tcW w:w="36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92,750</w:t>
            </w:r>
          </w:p>
        </w:tc>
      </w:tr>
      <w:tr>
        <w:trPr>
          <w:trHeight w:val="81"/>
        </w:trPr>
        <w:tc>
          <w:tcPr>
            <w:tcW w:w="2280" w:type="dxa"/>
            <w:vAlign w:val="bottom"/>
          </w:tcPr>
          <w:p>
            <w:pPr>
              <w:spacing w:after="0"/>
              <w:rPr>
                <w:sz w:val="7"/>
                <w:szCs w:val="7"/>
                <w:color w:val="auto"/>
              </w:rPr>
            </w:pPr>
          </w:p>
        </w:tc>
        <w:tc>
          <w:tcPr>
            <w:tcW w:w="6160" w:type="dxa"/>
            <w:vAlign w:val="bottom"/>
          </w:tcPr>
          <w:p>
            <w:pPr>
              <w:spacing w:after="0"/>
              <w:rPr>
                <w:sz w:val="7"/>
                <w:szCs w:val="7"/>
                <w:color w:val="auto"/>
              </w:rPr>
            </w:pPr>
          </w:p>
        </w:tc>
        <w:tc>
          <w:tcPr>
            <w:tcW w:w="500" w:type="dxa"/>
            <w:vAlign w:val="bottom"/>
          </w:tcPr>
          <w:p>
            <w:pPr>
              <w:spacing w:after="0"/>
              <w:rPr>
                <w:sz w:val="7"/>
                <w:szCs w:val="7"/>
                <w:color w:val="auto"/>
              </w:rPr>
            </w:pPr>
          </w:p>
        </w:tc>
        <w:tc>
          <w:tcPr>
            <w:tcW w:w="360" w:type="dxa"/>
            <w:vAlign w:val="bottom"/>
          </w:tcPr>
          <w:p>
            <w:pPr>
              <w:spacing w:after="0"/>
              <w:rPr>
                <w:sz w:val="7"/>
                <w:szCs w:val="7"/>
                <w:color w:val="auto"/>
              </w:rPr>
            </w:pPr>
          </w:p>
        </w:tc>
        <w:tc>
          <w:tcPr>
            <w:tcW w:w="1320" w:type="dxa"/>
            <w:vAlign w:val="bottom"/>
          </w:tcPr>
          <w:p>
            <w:pPr>
              <w:spacing w:after="0"/>
              <w:rPr>
                <w:sz w:val="7"/>
                <w:szCs w:val="7"/>
                <w:color w:val="auto"/>
              </w:rPr>
            </w:pPr>
          </w:p>
        </w:tc>
      </w:tr>
      <w:tr>
        <w:trPr>
          <w:trHeight w:val="162"/>
        </w:trPr>
        <w:tc>
          <w:tcPr>
            <w:tcW w:w="2280" w:type="dxa"/>
            <w:vAlign w:val="bottom"/>
            <w:shd w:val="clear" w:color="auto" w:fill="CCEEFF"/>
          </w:tcPr>
          <w:p>
            <w:pPr>
              <w:spacing w:after="0"/>
              <w:rPr>
                <w:sz w:val="20"/>
                <w:szCs w:val="20"/>
                <w:color w:val="auto"/>
              </w:rPr>
            </w:pPr>
            <w:r>
              <w:rPr>
                <w:rFonts w:ascii="Arial" w:cs="Arial" w:eastAsia="Arial" w:hAnsi="Arial"/>
                <w:sz w:val="11"/>
                <w:szCs w:val="11"/>
                <w:color w:val="auto"/>
              </w:rPr>
              <w:t>Debt – long-term portion</w:t>
            </w:r>
          </w:p>
        </w:tc>
        <w:tc>
          <w:tcPr>
            <w:tcW w:w="616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88,028</w:t>
            </w:r>
          </w:p>
        </w:tc>
        <w:tc>
          <w:tcPr>
            <w:tcW w:w="36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98,019</w:t>
            </w:r>
          </w:p>
        </w:tc>
      </w:tr>
      <w:tr>
        <w:trPr>
          <w:trHeight w:val="160"/>
        </w:trPr>
        <w:tc>
          <w:tcPr>
            <w:tcW w:w="2280" w:type="dxa"/>
            <w:vAlign w:val="bottom"/>
          </w:tcPr>
          <w:p>
            <w:pPr>
              <w:spacing w:after="0"/>
              <w:rPr>
                <w:sz w:val="20"/>
                <w:szCs w:val="20"/>
                <w:color w:val="auto"/>
              </w:rPr>
            </w:pPr>
            <w:r>
              <w:rPr>
                <w:rFonts w:ascii="Arial" w:cs="Arial" w:eastAsia="Arial" w:hAnsi="Arial"/>
                <w:sz w:val="11"/>
                <w:szCs w:val="11"/>
                <w:color w:val="auto"/>
              </w:rPr>
              <w:t>Subordinated debt</w:t>
            </w:r>
          </w:p>
        </w:tc>
        <w:tc>
          <w:tcPr>
            <w:tcW w:w="6160" w:type="dxa"/>
            <w:vAlign w:val="bottom"/>
          </w:tcPr>
          <w:p>
            <w:pPr>
              <w:spacing w:after="0"/>
              <w:rPr>
                <w:sz w:val="13"/>
                <w:szCs w:val="13"/>
                <w:color w:val="auto"/>
              </w:rPr>
            </w:pPr>
          </w:p>
        </w:tc>
        <w:tc>
          <w:tcPr>
            <w:tcW w:w="500" w:type="dxa"/>
            <w:vAlign w:val="bottom"/>
          </w:tcPr>
          <w:p>
            <w:pPr>
              <w:jc w:val="right"/>
              <w:ind w:right="46"/>
              <w:spacing w:after="0"/>
              <w:rPr>
                <w:sz w:val="20"/>
                <w:szCs w:val="20"/>
                <w:color w:val="auto"/>
              </w:rPr>
            </w:pPr>
            <w:r>
              <w:rPr>
                <w:rFonts w:ascii="Arial" w:cs="Arial" w:eastAsia="Arial" w:hAnsi="Arial"/>
                <w:sz w:val="11"/>
                <w:szCs w:val="11"/>
                <w:color w:val="auto"/>
              </w:rPr>
              <w:t>27,913</w:t>
            </w:r>
          </w:p>
        </w:tc>
        <w:tc>
          <w:tcPr>
            <w:tcW w:w="36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Arial" w:cs="Arial" w:eastAsia="Arial" w:hAnsi="Arial"/>
                <w:sz w:val="11"/>
                <w:szCs w:val="11"/>
                <w:color w:val="auto"/>
              </w:rPr>
              <w:t>27,913</w:t>
            </w:r>
          </w:p>
        </w:tc>
      </w:tr>
      <w:tr>
        <w:trPr>
          <w:trHeight w:val="164"/>
        </w:trPr>
        <w:tc>
          <w:tcPr>
            <w:tcW w:w="2280" w:type="dxa"/>
            <w:vAlign w:val="bottom"/>
            <w:shd w:val="clear" w:color="auto" w:fill="CCEEFF"/>
          </w:tcPr>
          <w:p>
            <w:pPr>
              <w:spacing w:after="0"/>
              <w:rPr>
                <w:sz w:val="20"/>
                <w:szCs w:val="20"/>
                <w:color w:val="auto"/>
              </w:rPr>
            </w:pPr>
            <w:r>
              <w:rPr>
                <w:rFonts w:ascii="Arial" w:cs="Arial" w:eastAsia="Arial" w:hAnsi="Arial"/>
                <w:sz w:val="11"/>
                <w:szCs w:val="11"/>
                <w:color w:val="auto"/>
              </w:rPr>
              <w:t>Noncurrent tax liabilities</w:t>
            </w:r>
          </w:p>
        </w:tc>
        <w:tc>
          <w:tcPr>
            <w:tcW w:w="616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16,457</w:t>
            </w:r>
          </w:p>
        </w:tc>
        <w:tc>
          <w:tcPr>
            <w:tcW w:w="36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17,045</w:t>
            </w:r>
          </w:p>
        </w:tc>
      </w:tr>
      <w:tr>
        <w:trPr>
          <w:trHeight w:val="160"/>
        </w:trPr>
        <w:tc>
          <w:tcPr>
            <w:tcW w:w="2280" w:type="dxa"/>
            <w:vAlign w:val="bottom"/>
            <w:tcBorders>
              <w:bottom w:val="single" w:sz="8" w:color="auto"/>
            </w:tcBorders>
          </w:tcPr>
          <w:p>
            <w:pPr>
              <w:spacing w:after="0"/>
              <w:rPr>
                <w:sz w:val="20"/>
                <w:szCs w:val="20"/>
                <w:color w:val="auto"/>
              </w:rPr>
            </w:pPr>
            <w:r>
              <w:rPr>
                <w:rFonts w:ascii="Arial" w:cs="Arial" w:eastAsia="Arial" w:hAnsi="Arial"/>
                <w:sz w:val="11"/>
                <w:szCs w:val="11"/>
                <w:color w:val="auto"/>
              </w:rPr>
              <w:t>Other liabilities</w:t>
            </w:r>
          </w:p>
        </w:tc>
        <w:tc>
          <w:tcPr>
            <w:tcW w:w="616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46"/>
              <w:spacing w:after="0"/>
              <w:rPr>
                <w:sz w:val="20"/>
                <w:szCs w:val="20"/>
                <w:color w:val="auto"/>
              </w:rPr>
            </w:pPr>
            <w:r>
              <w:rPr>
                <w:rFonts w:ascii="Arial" w:cs="Arial" w:eastAsia="Arial" w:hAnsi="Arial"/>
                <w:sz w:val="11"/>
                <w:szCs w:val="11"/>
                <w:color w:val="auto"/>
              </w:rPr>
              <w:t>30,062</w:t>
            </w:r>
          </w:p>
        </w:tc>
        <w:tc>
          <w:tcPr>
            <w:tcW w:w="36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33,561</w:t>
            </w:r>
          </w:p>
        </w:tc>
      </w:tr>
      <w:tr>
        <w:trPr>
          <w:trHeight w:val="142"/>
        </w:trPr>
        <w:tc>
          <w:tcPr>
            <w:tcW w:w="22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1"/>
                <w:szCs w:val="11"/>
                <w:b w:val="1"/>
                <w:bCs w:val="1"/>
                <w:color w:val="auto"/>
              </w:rPr>
              <w:t>Total liabilities</w:t>
            </w:r>
          </w:p>
        </w:tc>
        <w:tc>
          <w:tcPr>
            <w:tcW w:w="616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1"/>
                <w:szCs w:val="11"/>
                <w:color w:val="auto"/>
                <w:w w:val="95"/>
              </w:rPr>
              <w:t>237,895</w:t>
            </w:r>
          </w:p>
        </w:tc>
        <w:tc>
          <w:tcPr>
            <w:tcW w:w="360" w:type="dxa"/>
            <w:vAlign w:val="bottom"/>
            <w:tcBorders>
              <w:bottom w:val="single" w:sz="8" w:color="auto"/>
            </w:tcBorders>
            <w:shd w:val="clear" w:color="auto" w:fill="CCEEFF"/>
          </w:tcPr>
          <w:p>
            <w:pPr>
              <w:spacing w:after="0"/>
              <w:rPr>
                <w:sz w:val="12"/>
                <w:szCs w:val="1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269,288</w:t>
            </w:r>
          </w:p>
        </w:tc>
      </w:tr>
      <w:tr>
        <w:trPr>
          <w:trHeight w:val="142"/>
        </w:trPr>
        <w:tc>
          <w:tcPr>
            <w:tcW w:w="2280" w:type="dxa"/>
            <w:vAlign w:val="bottom"/>
          </w:tcPr>
          <w:p>
            <w:pPr>
              <w:spacing w:after="0"/>
              <w:rPr>
                <w:sz w:val="20"/>
                <w:szCs w:val="20"/>
                <w:color w:val="auto"/>
              </w:rPr>
            </w:pPr>
            <w:r>
              <w:rPr>
                <w:rFonts w:ascii="Arial" w:cs="Arial" w:eastAsia="Arial" w:hAnsi="Arial"/>
                <w:sz w:val="11"/>
                <w:szCs w:val="11"/>
                <w:b w:val="1"/>
                <w:bCs w:val="1"/>
                <w:color w:val="auto"/>
              </w:rPr>
              <w:t>Commitments and contingencies (Note 12)</w:t>
            </w:r>
          </w:p>
        </w:tc>
        <w:tc>
          <w:tcPr>
            <w:tcW w:w="6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20" w:type="dxa"/>
            <w:vAlign w:val="bottom"/>
          </w:tcPr>
          <w:p>
            <w:pPr>
              <w:spacing w:after="0"/>
              <w:rPr>
                <w:sz w:val="12"/>
                <w:szCs w:val="12"/>
                <w:color w:val="auto"/>
              </w:rPr>
            </w:pPr>
          </w:p>
        </w:tc>
      </w:tr>
      <w:tr>
        <w:trPr>
          <w:trHeight w:val="164"/>
        </w:trPr>
        <w:tc>
          <w:tcPr>
            <w:tcW w:w="228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Stockholders’ equity:</w:t>
            </w:r>
          </w:p>
        </w:tc>
        <w:tc>
          <w:tcPr>
            <w:tcW w:w="61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r>
      <w:tr>
        <w:trPr>
          <w:trHeight w:val="160"/>
        </w:trPr>
        <w:tc>
          <w:tcPr>
            <w:tcW w:w="2280" w:type="dxa"/>
            <w:vAlign w:val="bottom"/>
          </w:tcPr>
          <w:p>
            <w:pPr>
              <w:spacing w:after="0"/>
              <w:rPr>
                <w:sz w:val="20"/>
                <w:szCs w:val="20"/>
                <w:color w:val="auto"/>
              </w:rPr>
            </w:pPr>
            <w:r>
              <w:rPr>
                <w:rFonts w:ascii="Arial" w:cs="Arial" w:eastAsia="Arial" w:hAnsi="Arial"/>
                <w:sz w:val="11"/>
                <w:szCs w:val="11"/>
                <w:color w:val="auto"/>
                <w:w w:val="89"/>
              </w:rPr>
              <w:t>Class A non-voting common stock, par value $0.01,</w:t>
            </w:r>
          </w:p>
        </w:tc>
        <w:tc>
          <w:tcPr>
            <w:tcW w:w="6160" w:type="dxa"/>
            <w:vAlign w:val="bottom"/>
          </w:tcPr>
          <w:p>
            <w:pPr>
              <w:jc w:val="right"/>
              <w:ind w:right="4726"/>
              <w:spacing w:after="0"/>
              <w:rPr>
                <w:sz w:val="20"/>
                <w:szCs w:val="20"/>
                <w:color w:val="auto"/>
              </w:rPr>
            </w:pPr>
            <w:r>
              <w:rPr>
                <w:rFonts w:ascii="Arial" w:cs="Arial" w:eastAsia="Arial" w:hAnsi="Arial"/>
                <w:sz w:val="11"/>
                <w:szCs w:val="11"/>
                <w:color w:val="auto"/>
                <w:w w:val="87"/>
              </w:rPr>
              <w:t>100,000,000 shares authorized,</w:t>
            </w: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320" w:type="dxa"/>
            <w:vAlign w:val="bottom"/>
          </w:tcPr>
          <w:p>
            <w:pPr>
              <w:spacing w:after="0"/>
              <w:rPr>
                <w:sz w:val="13"/>
                <w:szCs w:val="13"/>
                <w:color w:val="auto"/>
              </w:rPr>
            </w:pPr>
          </w:p>
        </w:tc>
      </w:tr>
      <w:tr>
        <w:trPr>
          <w:trHeight w:val="164"/>
        </w:trPr>
        <w:tc>
          <w:tcPr>
            <w:tcW w:w="8440" w:type="dxa"/>
            <w:vAlign w:val="bottom"/>
            <w:gridSpan w:val="2"/>
            <w:shd w:val="clear" w:color="auto" w:fill="CCEEFF"/>
          </w:tcPr>
          <w:p>
            <w:pPr>
              <w:ind w:left="80"/>
              <w:spacing w:after="0"/>
              <w:rPr>
                <w:sz w:val="20"/>
                <w:szCs w:val="20"/>
                <w:color w:val="auto"/>
              </w:rPr>
            </w:pPr>
            <w:r>
              <w:rPr>
                <w:rFonts w:ascii="Arial" w:cs="Arial" w:eastAsia="Arial" w:hAnsi="Arial"/>
                <w:sz w:val="11"/>
                <w:szCs w:val="11"/>
                <w:color w:val="auto"/>
              </w:rPr>
              <w:t>32,831,113 issued and 21,654,302 outstanding at December 31, 2015 and 32,537,008</w:t>
            </w:r>
          </w:p>
        </w:tc>
        <w:tc>
          <w:tcPr>
            <w:tcW w:w="5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r>
      <w:tr>
        <w:trPr>
          <w:trHeight w:val="160"/>
        </w:trPr>
        <w:tc>
          <w:tcPr>
            <w:tcW w:w="8440" w:type="dxa"/>
            <w:vAlign w:val="bottom"/>
            <w:gridSpan w:val="2"/>
          </w:tcPr>
          <w:p>
            <w:pPr>
              <w:ind w:left="80"/>
              <w:spacing w:after="0"/>
              <w:rPr>
                <w:sz w:val="20"/>
                <w:szCs w:val="20"/>
                <w:color w:val="auto"/>
              </w:rPr>
            </w:pPr>
            <w:r>
              <w:rPr>
                <w:rFonts w:ascii="Arial" w:cs="Arial" w:eastAsia="Arial" w:hAnsi="Arial"/>
                <w:sz w:val="11"/>
                <w:szCs w:val="11"/>
                <w:color w:val="auto"/>
              </w:rPr>
              <w:t>issued and 21,741,586 outstanding at December 31, 2014</w:t>
            </w:r>
          </w:p>
        </w:tc>
        <w:tc>
          <w:tcPr>
            <w:tcW w:w="500" w:type="dxa"/>
            <w:vAlign w:val="bottom"/>
          </w:tcPr>
          <w:p>
            <w:pPr>
              <w:jc w:val="right"/>
              <w:ind w:right="46"/>
              <w:spacing w:after="0"/>
              <w:rPr>
                <w:sz w:val="20"/>
                <w:szCs w:val="20"/>
                <w:color w:val="auto"/>
              </w:rPr>
            </w:pPr>
            <w:r>
              <w:rPr>
                <w:rFonts w:ascii="Arial" w:cs="Arial" w:eastAsia="Arial" w:hAnsi="Arial"/>
                <w:sz w:val="11"/>
                <w:szCs w:val="11"/>
                <w:color w:val="auto"/>
              </w:rPr>
              <w:t>229</w:t>
            </w:r>
          </w:p>
        </w:tc>
        <w:tc>
          <w:tcPr>
            <w:tcW w:w="36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Arial" w:cs="Arial" w:eastAsia="Arial" w:hAnsi="Arial"/>
                <w:sz w:val="11"/>
                <w:szCs w:val="11"/>
                <w:color w:val="auto"/>
              </w:rPr>
              <w:t>228</w:t>
            </w:r>
          </w:p>
        </w:tc>
      </w:tr>
      <w:tr>
        <w:trPr>
          <w:trHeight w:val="164"/>
        </w:trPr>
        <w:tc>
          <w:tcPr>
            <w:tcW w:w="844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Class B voting common stock, par value $0.01, 20,000,000 shares authorized and</w:t>
            </w:r>
          </w:p>
        </w:tc>
        <w:tc>
          <w:tcPr>
            <w:tcW w:w="5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r>
      <w:tr>
        <w:trPr>
          <w:trHeight w:val="160"/>
        </w:trPr>
        <w:tc>
          <w:tcPr>
            <w:tcW w:w="8440" w:type="dxa"/>
            <w:vAlign w:val="bottom"/>
            <w:gridSpan w:val="2"/>
          </w:tcPr>
          <w:p>
            <w:pPr>
              <w:ind w:left="80"/>
              <w:spacing w:after="0"/>
              <w:rPr>
                <w:sz w:val="20"/>
                <w:szCs w:val="20"/>
                <w:color w:val="auto"/>
              </w:rPr>
            </w:pPr>
            <w:r>
              <w:rPr>
                <w:rFonts w:ascii="Arial" w:cs="Arial" w:eastAsia="Arial" w:hAnsi="Arial"/>
                <w:sz w:val="11"/>
                <w:szCs w:val="11"/>
                <w:color w:val="auto"/>
              </w:rPr>
              <w:t>1,680,590 issued and outstanding at December 31, 2015 and 1,495,490 issued and</w:t>
            </w: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320" w:type="dxa"/>
            <w:vAlign w:val="bottom"/>
          </w:tcPr>
          <w:p>
            <w:pPr>
              <w:spacing w:after="0"/>
              <w:rPr>
                <w:sz w:val="13"/>
                <w:szCs w:val="13"/>
                <w:color w:val="auto"/>
              </w:rPr>
            </w:pPr>
          </w:p>
        </w:tc>
      </w:tr>
      <w:tr>
        <w:trPr>
          <w:trHeight w:val="164"/>
        </w:trPr>
        <w:tc>
          <w:tcPr>
            <w:tcW w:w="2280" w:type="dxa"/>
            <w:vAlign w:val="bottom"/>
            <w:shd w:val="clear" w:color="auto" w:fill="CCEEFF"/>
          </w:tcPr>
          <w:p>
            <w:pPr>
              <w:ind w:left="80"/>
              <w:spacing w:after="0"/>
              <w:rPr>
                <w:sz w:val="20"/>
                <w:szCs w:val="20"/>
                <w:color w:val="auto"/>
              </w:rPr>
            </w:pPr>
            <w:r>
              <w:rPr>
                <w:rFonts w:ascii="Arial" w:cs="Arial" w:eastAsia="Arial" w:hAnsi="Arial"/>
                <w:sz w:val="11"/>
                <w:szCs w:val="11"/>
                <w:color w:val="auto"/>
              </w:rPr>
              <w:t>outstanding at December 31, 2014</w:t>
            </w:r>
          </w:p>
        </w:tc>
        <w:tc>
          <w:tcPr>
            <w:tcW w:w="616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17</w:t>
            </w:r>
          </w:p>
        </w:tc>
        <w:tc>
          <w:tcPr>
            <w:tcW w:w="36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w:t>
            </w:r>
          </w:p>
        </w:tc>
      </w:tr>
      <w:tr>
        <w:trPr>
          <w:trHeight w:val="160"/>
        </w:trPr>
        <w:tc>
          <w:tcPr>
            <w:tcW w:w="8440" w:type="dxa"/>
            <w:vAlign w:val="bottom"/>
            <w:gridSpan w:val="2"/>
          </w:tcPr>
          <w:p>
            <w:pPr>
              <w:spacing w:after="0"/>
              <w:rPr>
                <w:sz w:val="20"/>
                <w:szCs w:val="20"/>
                <w:color w:val="auto"/>
              </w:rPr>
            </w:pPr>
            <w:r>
              <w:rPr>
                <w:rFonts w:ascii="Arial" w:cs="Arial" w:eastAsia="Arial" w:hAnsi="Arial"/>
                <w:sz w:val="11"/>
                <w:szCs w:val="11"/>
                <w:color w:val="auto"/>
              </w:rPr>
              <w:t>Nonvoting preferred stock, par value $0.01, 12,000 shares authorized and no issued</w:t>
            </w: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320" w:type="dxa"/>
            <w:vAlign w:val="bottom"/>
          </w:tcPr>
          <w:p>
            <w:pPr>
              <w:spacing w:after="0"/>
              <w:rPr>
                <w:sz w:val="13"/>
                <w:szCs w:val="13"/>
                <w:color w:val="auto"/>
              </w:rPr>
            </w:pPr>
          </w:p>
        </w:tc>
      </w:tr>
      <w:tr>
        <w:trPr>
          <w:trHeight w:val="164"/>
        </w:trPr>
        <w:tc>
          <w:tcPr>
            <w:tcW w:w="8440" w:type="dxa"/>
            <w:vAlign w:val="bottom"/>
            <w:gridSpan w:val="2"/>
            <w:shd w:val="clear" w:color="auto" w:fill="CCEEFF"/>
          </w:tcPr>
          <w:p>
            <w:pPr>
              <w:ind w:left="80"/>
              <w:spacing w:after="0"/>
              <w:rPr>
                <w:sz w:val="20"/>
                <w:szCs w:val="20"/>
                <w:color w:val="auto"/>
              </w:rPr>
            </w:pPr>
            <w:r>
              <w:rPr>
                <w:rFonts w:ascii="Arial" w:cs="Arial" w:eastAsia="Arial" w:hAnsi="Arial"/>
                <w:sz w:val="11"/>
                <w:szCs w:val="11"/>
                <w:color w:val="auto"/>
              </w:rPr>
              <w:t>or outstanding shares at December 31, 2015 and 2014</w:t>
            </w:r>
          </w:p>
        </w:tc>
        <w:tc>
          <w:tcPr>
            <w:tcW w:w="50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w:t>
            </w:r>
          </w:p>
        </w:tc>
        <w:tc>
          <w:tcPr>
            <w:tcW w:w="36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r>
    </w:tbl>
    <w:p>
      <w:pPr>
        <w:spacing w:after="0" w:line="13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59690</wp:posOffset>
            </wp:positionV>
            <wp:extent cx="677989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779895" cy="42545"/>
                    </a:xfrm>
                    <a:prstGeom prst="rect">
                      <a:avLst/>
                    </a:prstGeom>
                    <a:noFill/>
                  </pic:spPr>
                </pic:pic>
              </a:graphicData>
            </a:graphic>
          </wp:anchor>
        </w:drawing>
      </w:r>
    </w:p>
    <w:p>
      <w:pPr>
        <w:sectPr>
          <w:pgSz w:w="11900" w:h="16838" w:orient="portrait"/>
          <w:cols w:equalWidth="0" w:num="1">
            <w:col w:w="10620"/>
          </w:cols>
          <w:pgMar w:left="640" w:top="130" w:right="63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138"/>
        </w:trPr>
        <w:tc>
          <w:tcPr>
            <w:tcW w:w="4880" w:type="dxa"/>
            <w:vAlign w:val="bottom"/>
          </w:tcPr>
          <w:p>
            <w:pPr>
              <w:spacing w:after="0"/>
              <w:rPr>
                <w:sz w:val="20"/>
                <w:szCs w:val="20"/>
                <w:color w:val="auto"/>
              </w:rPr>
            </w:pPr>
            <w:r>
              <w:rPr>
                <w:rFonts w:ascii="Arial" w:cs="Arial" w:eastAsia="Arial" w:hAnsi="Arial"/>
                <w:sz w:val="11"/>
                <w:szCs w:val="11"/>
                <w:color w:val="auto"/>
              </w:rPr>
              <w:t>Additional paid-in capital</w:t>
            </w:r>
          </w:p>
        </w:tc>
        <w:tc>
          <w:tcPr>
            <w:tcW w:w="3020" w:type="dxa"/>
            <w:vAlign w:val="bottom"/>
          </w:tcPr>
          <w:p>
            <w:pPr>
              <w:spacing w:after="0"/>
              <w:rPr>
                <w:sz w:val="12"/>
                <w:szCs w:val="12"/>
                <w:color w:val="auto"/>
              </w:rPr>
            </w:pPr>
          </w:p>
        </w:tc>
        <w:tc>
          <w:tcPr>
            <w:tcW w:w="1040" w:type="dxa"/>
            <w:vAlign w:val="bottom"/>
          </w:tcPr>
          <w:p>
            <w:pPr>
              <w:jc w:val="right"/>
              <w:ind w:right="46"/>
              <w:spacing w:after="0"/>
              <w:rPr>
                <w:sz w:val="20"/>
                <w:szCs w:val="20"/>
                <w:color w:val="auto"/>
              </w:rPr>
            </w:pPr>
            <w:r>
              <w:rPr>
                <w:rFonts w:ascii="Arial" w:cs="Arial" w:eastAsia="Arial" w:hAnsi="Arial"/>
                <w:sz w:val="11"/>
                <w:szCs w:val="11"/>
                <w:color w:val="auto"/>
              </w:rPr>
              <w:t>143,815</w:t>
            </w:r>
          </w:p>
        </w:tc>
        <w:tc>
          <w:tcPr>
            <w:tcW w:w="72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140,237</w:t>
            </w:r>
          </w:p>
        </w:tc>
      </w:tr>
      <w:tr>
        <w:trPr>
          <w:trHeight w:val="164"/>
        </w:trPr>
        <w:tc>
          <w:tcPr>
            <w:tcW w:w="4880" w:type="dxa"/>
            <w:vAlign w:val="bottom"/>
            <w:shd w:val="clear" w:color="auto" w:fill="CCEEFF"/>
          </w:tcPr>
          <w:p>
            <w:pPr>
              <w:spacing w:after="0"/>
              <w:rPr>
                <w:sz w:val="20"/>
                <w:szCs w:val="20"/>
                <w:color w:val="auto"/>
              </w:rPr>
            </w:pPr>
            <w:r>
              <w:rPr>
                <w:rFonts w:ascii="Arial" w:cs="Arial" w:eastAsia="Arial" w:hAnsi="Arial"/>
                <w:sz w:val="11"/>
                <w:szCs w:val="11"/>
                <w:color w:val="auto"/>
              </w:rPr>
              <w:t>Accumulated deficit</w:t>
            </w:r>
          </w:p>
        </w:tc>
        <w:tc>
          <w:tcPr>
            <w:tcW w:w="3020" w:type="dxa"/>
            <w:vAlign w:val="bottom"/>
            <w:shd w:val="clear" w:color="auto" w:fill="CCEEFF"/>
          </w:tcPr>
          <w:p>
            <w:pPr>
              <w:spacing w:after="0"/>
              <w:rPr>
                <w:sz w:val="14"/>
                <w:szCs w:val="14"/>
                <w:color w:val="auto"/>
              </w:rPr>
            </w:pPr>
          </w:p>
        </w:tc>
        <w:tc>
          <w:tcPr>
            <w:tcW w:w="104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(9,478)</w:t>
            </w:r>
          </w:p>
        </w:tc>
        <w:tc>
          <w:tcPr>
            <w:tcW w:w="72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(32,251)</w:t>
            </w:r>
          </w:p>
        </w:tc>
      </w:tr>
      <w:tr>
        <w:trPr>
          <w:trHeight w:val="160"/>
        </w:trPr>
        <w:tc>
          <w:tcPr>
            <w:tcW w:w="4880" w:type="dxa"/>
            <w:vAlign w:val="bottom"/>
          </w:tcPr>
          <w:p>
            <w:pPr>
              <w:spacing w:after="0"/>
              <w:rPr>
                <w:sz w:val="20"/>
                <w:szCs w:val="20"/>
                <w:color w:val="auto"/>
              </w:rPr>
            </w:pPr>
            <w:r>
              <w:rPr>
                <w:rFonts w:ascii="Arial" w:cs="Arial" w:eastAsia="Arial" w:hAnsi="Arial"/>
                <w:sz w:val="11"/>
                <w:szCs w:val="11"/>
                <w:color w:val="auto"/>
              </w:rPr>
              <w:t>Treasury shares</w:t>
            </w:r>
          </w:p>
        </w:tc>
        <w:tc>
          <w:tcPr>
            <w:tcW w:w="3020" w:type="dxa"/>
            <w:vAlign w:val="bottom"/>
          </w:tcPr>
          <w:p>
            <w:pPr>
              <w:spacing w:after="0"/>
              <w:rPr>
                <w:sz w:val="13"/>
                <w:szCs w:val="13"/>
                <w:color w:val="auto"/>
              </w:rPr>
            </w:pPr>
          </w:p>
        </w:tc>
        <w:tc>
          <w:tcPr>
            <w:tcW w:w="1040" w:type="dxa"/>
            <w:vAlign w:val="bottom"/>
          </w:tcPr>
          <w:p>
            <w:pPr>
              <w:jc w:val="right"/>
              <w:ind w:right="26"/>
              <w:spacing w:after="0"/>
              <w:rPr>
                <w:sz w:val="20"/>
                <w:szCs w:val="20"/>
                <w:color w:val="auto"/>
              </w:rPr>
            </w:pPr>
            <w:r>
              <w:rPr>
                <w:rFonts w:ascii="Arial" w:cs="Arial" w:eastAsia="Arial" w:hAnsi="Arial"/>
                <w:sz w:val="11"/>
                <w:szCs w:val="11"/>
                <w:color w:val="auto"/>
              </w:rPr>
              <w:t>(13,524)</w:t>
            </w:r>
          </w:p>
        </w:tc>
        <w:tc>
          <w:tcPr>
            <w:tcW w:w="72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(8,582)</w:t>
            </w:r>
          </w:p>
        </w:tc>
      </w:tr>
      <w:tr>
        <w:trPr>
          <w:trHeight w:val="162"/>
        </w:trPr>
        <w:tc>
          <w:tcPr>
            <w:tcW w:w="48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1"/>
                <w:szCs w:val="11"/>
                <w:color w:val="auto"/>
              </w:rPr>
              <w:t>Accumulated other comprehensive income</w:t>
            </w:r>
          </w:p>
        </w:tc>
        <w:tc>
          <w:tcPr>
            <w:tcW w:w="302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1"/>
                <w:szCs w:val="11"/>
                <w:color w:val="auto"/>
              </w:rPr>
              <w:t>11,806</w:t>
            </w:r>
          </w:p>
        </w:tc>
        <w:tc>
          <w:tcPr>
            <w:tcW w:w="72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28,039</w:t>
            </w:r>
          </w:p>
        </w:tc>
      </w:tr>
      <w:tr>
        <w:trPr>
          <w:trHeight w:val="142"/>
        </w:trPr>
        <w:tc>
          <w:tcPr>
            <w:tcW w:w="4880" w:type="dxa"/>
            <w:vAlign w:val="bottom"/>
          </w:tcPr>
          <w:p>
            <w:pPr>
              <w:spacing w:after="0"/>
              <w:rPr>
                <w:sz w:val="20"/>
                <w:szCs w:val="20"/>
                <w:color w:val="auto"/>
              </w:rPr>
            </w:pPr>
            <w:r>
              <w:rPr>
                <w:rFonts w:ascii="Arial" w:cs="Arial" w:eastAsia="Arial" w:hAnsi="Arial"/>
                <w:sz w:val="11"/>
                <w:szCs w:val="11"/>
                <w:b w:val="1"/>
                <w:bCs w:val="1"/>
                <w:color w:val="auto"/>
              </w:rPr>
              <w:t>Total Reading International, Inc. stockholders’ equity</w:t>
            </w:r>
          </w:p>
        </w:tc>
        <w:tc>
          <w:tcPr>
            <w:tcW w:w="3020" w:type="dxa"/>
            <w:vAlign w:val="bottom"/>
          </w:tcPr>
          <w:p>
            <w:pPr>
              <w:spacing w:after="0"/>
              <w:rPr>
                <w:sz w:val="12"/>
                <w:szCs w:val="12"/>
                <w:color w:val="auto"/>
              </w:rPr>
            </w:pPr>
          </w:p>
        </w:tc>
        <w:tc>
          <w:tcPr>
            <w:tcW w:w="1040" w:type="dxa"/>
            <w:vAlign w:val="bottom"/>
          </w:tcPr>
          <w:p>
            <w:pPr>
              <w:jc w:val="right"/>
              <w:ind w:right="46"/>
              <w:spacing w:after="0"/>
              <w:rPr>
                <w:sz w:val="20"/>
                <w:szCs w:val="20"/>
                <w:color w:val="auto"/>
              </w:rPr>
            </w:pPr>
            <w:r>
              <w:rPr>
                <w:rFonts w:ascii="Arial" w:cs="Arial" w:eastAsia="Arial" w:hAnsi="Arial"/>
                <w:sz w:val="11"/>
                <w:szCs w:val="11"/>
                <w:color w:val="auto"/>
              </w:rPr>
              <w:t>132,865</w:t>
            </w:r>
          </w:p>
        </w:tc>
        <w:tc>
          <w:tcPr>
            <w:tcW w:w="72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127,686</w:t>
            </w:r>
          </w:p>
        </w:tc>
      </w:tr>
      <w:tr>
        <w:trPr>
          <w:trHeight w:val="162"/>
        </w:trPr>
        <w:tc>
          <w:tcPr>
            <w:tcW w:w="48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1"/>
                <w:szCs w:val="11"/>
                <w:color w:val="auto"/>
              </w:rPr>
              <w:t>Noncontrolling interests</w:t>
            </w:r>
          </w:p>
        </w:tc>
        <w:tc>
          <w:tcPr>
            <w:tcW w:w="302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1"/>
                <w:szCs w:val="11"/>
                <w:color w:val="auto"/>
              </w:rPr>
              <w:t>4,331</w:t>
            </w:r>
          </w:p>
        </w:tc>
        <w:tc>
          <w:tcPr>
            <w:tcW w:w="72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4,612</w:t>
            </w:r>
          </w:p>
        </w:tc>
      </w:tr>
      <w:tr>
        <w:trPr>
          <w:trHeight w:val="142"/>
        </w:trPr>
        <w:tc>
          <w:tcPr>
            <w:tcW w:w="488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rPr>
              <w:t>Total stockholders’ equity</w:t>
            </w:r>
          </w:p>
        </w:tc>
        <w:tc>
          <w:tcPr>
            <w:tcW w:w="30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6"/>
              <w:spacing w:after="0"/>
              <w:rPr>
                <w:sz w:val="20"/>
                <w:szCs w:val="20"/>
                <w:color w:val="auto"/>
              </w:rPr>
            </w:pPr>
            <w:r>
              <w:rPr>
                <w:rFonts w:ascii="Arial" w:cs="Arial" w:eastAsia="Arial" w:hAnsi="Arial"/>
                <w:sz w:val="11"/>
                <w:szCs w:val="11"/>
                <w:color w:val="auto"/>
              </w:rPr>
              <w:t>137,196</w:t>
            </w:r>
          </w:p>
        </w:tc>
        <w:tc>
          <w:tcPr>
            <w:tcW w:w="7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132,298</w:t>
            </w:r>
          </w:p>
        </w:tc>
      </w:tr>
      <w:tr>
        <w:trPr>
          <w:trHeight w:val="133"/>
        </w:trPr>
        <w:tc>
          <w:tcPr>
            <w:tcW w:w="48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1"/>
                <w:szCs w:val="11"/>
                <w:b w:val="1"/>
                <w:bCs w:val="1"/>
                <w:color w:val="auto"/>
              </w:rPr>
              <w:t>Total liabilities and stockholders’ equity</w:t>
            </w:r>
          </w:p>
        </w:tc>
        <w:tc>
          <w:tcPr>
            <w:tcW w:w="3020" w:type="dxa"/>
            <w:vAlign w:val="bottom"/>
            <w:tcBorders>
              <w:bottom w:val="single" w:sz="8" w:color="auto"/>
            </w:tcBorders>
            <w:shd w:val="clear" w:color="auto" w:fill="CCEEFF"/>
          </w:tcPr>
          <w:p>
            <w:pPr>
              <w:jc w:val="right"/>
              <w:ind w:right="526"/>
              <w:spacing w:after="0"/>
              <w:rPr>
                <w:sz w:val="20"/>
                <w:szCs w:val="20"/>
                <w:color w:val="auto"/>
              </w:rPr>
            </w:pPr>
            <w:r>
              <w:rPr>
                <w:rFonts w:ascii="Arial" w:cs="Arial" w:eastAsia="Arial" w:hAnsi="Arial"/>
                <w:sz w:val="11"/>
                <w:szCs w:val="11"/>
                <w:color w:val="auto"/>
              </w:rPr>
              <w:t>$</w:t>
            </w:r>
          </w:p>
        </w:tc>
        <w:tc>
          <w:tcPr>
            <w:tcW w:w="104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1"/>
                <w:szCs w:val="11"/>
                <w:color w:val="auto"/>
              </w:rPr>
              <w:t>375,091</w:t>
            </w:r>
          </w:p>
        </w:tc>
        <w:tc>
          <w:tcPr>
            <w:tcW w:w="720" w:type="dxa"/>
            <w:vAlign w:val="bottom"/>
            <w:tcBorders>
              <w:bottom w:val="single" w:sz="8" w:color="auto"/>
            </w:tcBorders>
            <w:shd w:val="clear" w:color="auto" w:fill="CCEEFF"/>
          </w:tcPr>
          <w:p>
            <w:pPr>
              <w:jc w:val="right"/>
              <w:ind w:right="546"/>
              <w:spacing w:after="0"/>
              <w:rPr>
                <w:sz w:val="20"/>
                <w:szCs w:val="20"/>
                <w:color w:val="auto"/>
              </w:rPr>
            </w:pPr>
            <w:r>
              <w:rPr>
                <w:rFonts w:ascii="Arial" w:cs="Arial" w:eastAsia="Arial" w:hAnsi="Arial"/>
                <w:sz w:val="11"/>
                <w:szCs w:val="11"/>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401,586</w:t>
            </w:r>
          </w:p>
        </w:tc>
      </w:tr>
    </w:tbl>
    <w:p>
      <w:pPr>
        <w:spacing w:after="0" w:line="249" w:lineRule="exact"/>
        <w:rPr>
          <w:sz w:val="20"/>
          <w:szCs w:val="20"/>
          <w:color w:val="auto"/>
        </w:rPr>
      </w:pPr>
    </w:p>
    <w:p>
      <w:pPr>
        <w:spacing w:after="0"/>
        <w:rPr>
          <w:sz w:val="20"/>
          <w:szCs w:val="20"/>
          <w:color w:val="auto"/>
        </w:rPr>
      </w:pPr>
      <w:r>
        <w:rPr>
          <w:rFonts w:ascii="Arial" w:cs="Arial" w:eastAsia="Arial" w:hAnsi="Arial"/>
          <w:sz w:val="10"/>
          <w:szCs w:val="10"/>
          <w:color w:val="auto"/>
        </w:rPr>
        <w:t>See accompanying notes to consolidated financial statements.</w:t>
      </w:r>
    </w:p>
    <w:p>
      <w:pPr>
        <w:spacing w:after="0" w:line="110" w:lineRule="exact"/>
        <w:rPr>
          <w:sz w:val="20"/>
          <w:szCs w:val="20"/>
          <w:color w:val="auto"/>
        </w:rPr>
      </w:pPr>
    </w:p>
    <w:p>
      <w:pPr>
        <w:ind w:left="80" w:hanging="76"/>
        <w:spacing w:after="0"/>
        <w:tabs>
          <w:tab w:leader="none" w:pos="80" w:val="left"/>
        </w:tabs>
        <w:numPr>
          <w:ilvl w:val="0"/>
          <w:numId w:val="27"/>
        </w:numPr>
        <w:rPr>
          <w:rFonts w:ascii="Arial" w:cs="Arial" w:eastAsia="Arial" w:hAnsi="Arial"/>
          <w:sz w:val="8"/>
          <w:szCs w:val="8"/>
          <w:color w:val="auto"/>
          <w:vertAlign w:val="superscript"/>
        </w:rPr>
      </w:pPr>
      <w:r>
        <w:rPr>
          <w:rFonts w:ascii="Arial" w:cs="Arial" w:eastAsia="Arial" w:hAnsi="Arial"/>
          <w:sz w:val="8"/>
          <w:szCs w:val="8"/>
          <w:color w:val="auto"/>
        </w:rPr>
        <w:t xml:space="preserve">Certain prior period amounts have been reclassified to conform to the current period presentation (see Note 2 – </w:t>
      </w:r>
      <w:r>
        <w:rPr>
          <w:rFonts w:ascii="Arial" w:cs="Arial" w:eastAsia="Arial" w:hAnsi="Arial"/>
          <w:sz w:val="8"/>
          <w:szCs w:val="8"/>
          <w:i w:val="1"/>
          <w:iCs w:val="1"/>
          <w:color w:val="auto"/>
        </w:rPr>
        <w:t>Significant Accounting Policies – Reclassifications</w:t>
      </w:r>
      <w:r>
        <w:rPr>
          <w:rFonts w:ascii="Arial" w:cs="Arial" w:eastAsia="Arial" w:hAnsi="Arial"/>
          <w:sz w:val="8"/>
          <w:szCs w:val="8"/>
          <w:color w:val="auto"/>
        </w:rPr>
        <w:t>).</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59690</wp:posOffset>
            </wp:positionV>
            <wp:extent cx="677989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779895" cy="42545"/>
                    </a:xfrm>
                    <a:prstGeom prst="rect">
                      <a:avLst/>
                    </a:prstGeom>
                    <a:noFill/>
                  </pic:spPr>
                </pic:pic>
              </a:graphicData>
            </a:graphic>
          </wp:anchor>
        </w:drawing>
      </w:r>
    </w:p>
    <w:p>
      <w:pPr>
        <w:sectPr>
          <w:pgSz w:w="11900" w:h="16838" w:orient="portrait"/>
          <w:cols w:equalWidth="0" w:num="1">
            <w:col w:w="10620"/>
          </w:cols>
          <w:pgMar w:left="640" w:top="161" w:right="639" w:bottom="1440" w:gutter="0" w:footer="0" w:header="0"/>
        </w:sectPr>
      </w:pPr>
    </w:p>
    <w:bookmarkStart w:id="56" w:name="page57"/>
    <w:bookmarkEnd w:id="56"/>
    <w:p>
      <w:pPr>
        <w:spacing w:after="0"/>
        <w:rPr>
          <w:sz w:val="20"/>
          <w:szCs w:val="20"/>
          <w:color w:val="auto"/>
        </w:rPr>
      </w:pPr>
      <w:r>
        <w:rPr>
          <w:rFonts w:ascii="Arial" w:cs="Arial" w:eastAsia="Arial" w:hAnsi="Arial"/>
          <w:sz w:val="12"/>
          <w:szCs w:val="12"/>
          <w:b w:val="1"/>
          <w:bCs w:val="1"/>
          <w:color w:val="auto"/>
        </w:rPr>
        <w:t>Reading International, Inc. and Subsidiaries</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Consolidated Statements of Operations for the Three Years Ended December 31, 2015</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(U.S. dollars in thousands, except share and per share data)</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0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2015</w:t>
            </w:r>
          </w:p>
        </w:tc>
        <w:tc>
          <w:tcPr>
            <w:tcW w:w="6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2014</w:t>
            </w:r>
            <w:r>
              <w:rPr>
                <w:rFonts w:ascii="Arial" w:cs="Arial" w:eastAsia="Arial" w:hAnsi="Arial"/>
                <w:sz w:val="14"/>
                <w:szCs w:val="14"/>
                <w:b w:val="1"/>
                <w:bCs w:val="1"/>
                <w:color w:val="auto"/>
                <w:vertAlign w:val="superscript"/>
              </w:rPr>
              <w:t>(1)</w:t>
            </w:r>
          </w:p>
        </w:tc>
        <w:tc>
          <w:tcPr>
            <w:tcW w:w="6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26"/>
              <w:spacing w:after="0"/>
              <w:rPr>
                <w:sz w:val="20"/>
                <w:szCs w:val="20"/>
                <w:color w:val="auto"/>
              </w:rPr>
            </w:pPr>
            <w:r>
              <w:rPr>
                <w:rFonts w:ascii="Arial" w:cs="Arial" w:eastAsia="Arial" w:hAnsi="Arial"/>
                <w:sz w:val="11"/>
                <w:szCs w:val="11"/>
                <w:b w:val="1"/>
                <w:bCs w:val="1"/>
                <w:color w:val="auto"/>
              </w:rPr>
              <w:t>2013</w:t>
            </w:r>
            <w:r>
              <w:rPr>
                <w:rFonts w:ascii="Arial" w:cs="Arial" w:eastAsia="Arial" w:hAnsi="Arial"/>
                <w:sz w:val="14"/>
                <w:szCs w:val="14"/>
                <w:b w:val="1"/>
                <w:bCs w:val="1"/>
                <w:color w:val="auto"/>
                <w:vertAlign w:val="superscript"/>
              </w:rPr>
              <w:t>(1)</w:t>
            </w:r>
          </w:p>
        </w:tc>
      </w:tr>
      <w:tr>
        <w:trPr>
          <w:trHeight w:val="205"/>
        </w:trPr>
        <w:tc>
          <w:tcPr>
            <w:tcW w:w="510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Revenue</w:t>
            </w:r>
          </w:p>
        </w:tc>
        <w:tc>
          <w:tcPr>
            <w:tcW w:w="17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14"/>
        </w:trPr>
        <w:tc>
          <w:tcPr>
            <w:tcW w:w="5100" w:type="dxa"/>
            <w:vAlign w:val="bottom"/>
          </w:tcPr>
          <w:p>
            <w:pPr>
              <w:spacing w:after="0"/>
              <w:rPr>
                <w:sz w:val="20"/>
                <w:szCs w:val="20"/>
                <w:color w:val="auto"/>
              </w:rPr>
            </w:pPr>
            <w:r>
              <w:rPr>
                <w:rFonts w:ascii="Arial" w:cs="Arial" w:eastAsia="Arial" w:hAnsi="Arial"/>
                <w:sz w:val="11"/>
                <w:szCs w:val="11"/>
                <w:color w:val="auto"/>
              </w:rPr>
              <w:t>Cinema</w:t>
            </w:r>
          </w:p>
        </w:tc>
        <w:tc>
          <w:tcPr>
            <w:tcW w:w="1760" w:type="dxa"/>
            <w:vAlign w:val="bottom"/>
          </w:tcPr>
          <w:p>
            <w:pPr>
              <w:jc w:val="right"/>
              <w:ind w:right="846"/>
              <w:spacing w:after="0"/>
              <w:rPr>
                <w:sz w:val="20"/>
                <w:szCs w:val="20"/>
                <w:color w:val="auto"/>
              </w:rPr>
            </w:pPr>
            <w:r>
              <w:rPr>
                <w:rFonts w:ascii="Arial" w:cs="Arial" w:eastAsia="Arial" w:hAnsi="Arial"/>
                <w:sz w:val="11"/>
                <w:szCs w:val="11"/>
                <w:color w:val="auto"/>
              </w:rPr>
              <w:t>$</w:t>
            </w:r>
          </w:p>
        </w:tc>
        <w:tc>
          <w:tcPr>
            <w:tcW w:w="620" w:type="dxa"/>
            <w:vAlign w:val="bottom"/>
          </w:tcPr>
          <w:p>
            <w:pPr>
              <w:jc w:val="right"/>
              <w:ind w:right="26"/>
              <w:spacing w:after="0"/>
              <w:rPr>
                <w:sz w:val="20"/>
                <w:szCs w:val="20"/>
                <w:color w:val="auto"/>
              </w:rPr>
            </w:pPr>
            <w:r>
              <w:rPr>
                <w:rFonts w:ascii="Arial" w:cs="Arial" w:eastAsia="Arial" w:hAnsi="Arial"/>
                <w:sz w:val="11"/>
                <w:szCs w:val="11"/>
                <w:color w:val="auto"/>
              </w:rPr>
              <w:t>242,281</w:t>
            </w:r>
          </w:p>
        </w:tc>
        <w:tc>
          <w:tcPr>
            <w:tcW w:w="1000" w:type="dxa"/>
            <w:vAlign w:val="bottom"/>
          </w:tcPr>
          <w:p>
            <w:pPr>
              <w:jc w:val="right"/>
              <w:ind w:right="846"/>
              <w:spacing w:after="0"/>
              <w:rPr>
                <w:sz w:val="20"/>
                <w:szCs w:val="20"/>
                <w:color w:val="auto"/>
              </w:rPr>
            </w:pPr>
            <w:r>
              <w:rPr>
                <w:rFonts w:ascii="Arial" w:cs="Arial" w:eastAsia="Arial" w:hAnsi="Arial"/>
                <w:sz w:val="11"/>
                <w:szCs w:val="11"/>
                <w:color w:val="auto"/>
              </w:rPr>
              <w:t>$</w:t>
            </w:r>
          </w:p>
        </w:tc>
        <w:tc>
          <w:tcPr>
            <w:tcW w:w="600" w:type="dxa"/>
            <w:vAlign w:val="bottom"/>
          </w:tcPr>
          <w:p>
            <w:pPr>
              <w:jc w:val="right"/>
              <w:ind w:right="26"/>
              <w:spacing w:after="0"/>
              <w:rPr>
                <w:sz w:val="20"/>
                <w:szCs w:val="20"/>
                <w:color w:val="auto"/>
              </w:rPr>
            </w:pPr>
            <w:r>
              <w:rPr>
                <w:rFonts w:ascii="Arial" w:cs="Arial" w:eastAsia="Arial" w:hAnsi="Arial"/>
                <w:sz w:val="11"/>
                <w:szCs w:val="11"/>
                <w:color w:val="auto"/>
              </w:rPr>
              <w:t>237,861</w:t>
            </w:r>
          </w:p>
        </w:tc>
        <w:tc>
          <w:tcPr>
            <w:tcW w:w="380" w:type="dxa"/>
            <w:vAlign w:val="bottom"/>
          </w:tcPr>
          <w:p>
            <w:pPr>
              <w:jc w:val="right"/>
              <w:ind w:right="226"/>
              <w:spacing w:after="0"/>
              <w:rPr>
                <w:sz w:val="20"/>
                <w:szCs w:val="20"/>
                <w:color w:val="auto"/>
              </w:rPr>
            </w:pPr>
            <w:r>
              <w:rPr>
                <w:rFonts w:ascii="Arial" w:cs="Arial" w:eastAsia="Arial" w:hAnsi="Arial"/>
                <w:sz w:val="11"/>
                <w:szCs w:val="11"/>
                <w:color w:val="auto"/>
              </w:rPr>
              <w:t>$</w:t>
            </w:r>
          </w:p>
        </w:tc>
        <w:tc>
          <w:tcPr>
            <w:tcW w:w="1160" w:type="dxa"/>
            <w:vAlign w:val="bottom"/>
          </w:tcPr>
          <w:p>
            <w:pPr>
              <w:jc w:val="right"/>
              <w:spacing w:after="0"/>
              <w:rPr>
                <w:sz w:val="20"/>
                <w:szCs w:val="20"/>
                <w:color w:val="auto"/>
              </w:rPr>
            </w:pPr>
            <w:r>
              <w:rPr>
                <w:rFonts w:ascii="Arial" w:cs="Arial" w:eastAsia="Arial" w:hAnsi="Arial"/>
                <w:sz w:val="11"/>
                <w:szCs w:val="11"/>
                <w:color w:val="auto"/>
              </w:rPr>
              <w:t>239,418</w:t>
            </w:r>
          </w:p>
        </w:tc>
      </w:tr>
      <w:tr>
        <w:trPr>
          <w:trHeight w:val="216"/>
        </w:trPr>
        <w:tc>
          <w:tcPr>
            <w:tcW w:w="5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1"/>
                <w:szCs w:val="11"/>
                <w:color w:val="auto"/>
              </w:rPr>
              <w:t>Real estate</w:t>
            </w:r>
          </w:p>
        </w:tc>
        <w:tc>
          <w:tcPr>
            <w:tcW w:w="17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1"/>
                <w:szCs w:val="11"/>
                <w:color w:val="auto"/>
              </w:rPr>
              <w:t>15,042</w:t>
            </w:r>
          </w:p>
        </w:tc>
        <w:tc>
          <w:tcPr>
            <w:tcW w:w="10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1"/>
                <w:szCs w:val="11"/>
                <w:color w:val="auto"/>
              </w:rPr>
              <w:t>16,887</w:t>
            </w:r>
          </w:p>
        </w:tc>
        <w:tc>
          <w:tcPr>
            <w:tcW w:w="3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18,803</w:t>
            </w:r>
          </w:p>
        </w:tc>
      </w:tr>
      <w:tr>
        <w:trPr>
          <w:trHeight w:val="196"/>
        </w:trPr>
        <w:tc>
          <w:tcPr>
            <w:tcW w:w="5100" w:type="dxa"/>
            <w:vAlign w:val="bottom"/>
            <w:tcBorders>
              <w:bottom w:val="single" w:sz="8" w:color="auto"/>
            </w:tcBorders>
          </w:tcPr>
          <w:p>
            <w:pPr>
              <w:spacing w:after="0"/>
              <w:rPr>
                <w:sz w:val="20"/>
                <w:szCs w:val="20"/>
                <w:color w:val="auto"/>
              </w:rPr>
            </w:pPr>
            <w:r>
              <w:rPr>
                <w:rFonts w:ascii="Arial" w:cs="Arial" w:eastAsia="Arial" w:hAnsi="Arial"/>
                <w:sz w:val="11"/>
                <w:szCs w:val="11"/>
                <w:color w:val="auto"/>
              </w:rPr>
              <w:t>Total revenue</w:t>
            </w:r>
          </w:p>
        </w:tc>
        <w:tc>
          <w:tcPr>
            <w:tcW w:w="17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color w:val="auto"/>
              </w:rPr>
              <w:t>257,323</w:t>
            </w:r>
          </w:p>
        </w:tc>
        <w:tc>
          <w:tcPr>
            <w:tcW w:w="10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color w:val="auto"/>
              </w:rPr>
              <w:t>254,748</w:t>
            </w:r>
          </w:p>
        </w:tc>
        <w:tc>
          <w:tcPr>
            <w:tcW w:w="3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258,221</w:t>
            </w:r>
          </w:p>
        </w:tc>
      </w:tr>
      <w:tr>
        <w:trPr>
          <w:trHeight w:val="198"/>
        </w:trPr>
        <w:tc>
          <w:tcPr>
            <w:tcW w:w="510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Costs and expenses</w:t>
            </w:r>
          </w:p>
        </w:tc>
        <w:tc>
          <w:tcPr>
            <w:tcW w:w="17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14"/>
        </w:trPr>
        <w:tc>
          <w:tcPr>
            <w:tcW w:w="5100" w:type="dxa"/>
            <w:vAlign w:val="bottom"/>
          </w:tcPr>
          <w:p>
            <w:pPr>
              <w:spacing w:after="0"/>
              <w:rPr>
                <w:sz w:val="20"/>
                <w:szCs w:val="20"/>
                <w:color w:val="auto"/>
              </w:rPr>
            </w:pPr>
            <w:r>
              <w:rPr>
                <w:rFonts w:ascii="Arial" w:cs="Arial" w:eastAsia="Arial" w:hAnsi="Arial"/>
                <w:sz w:val="11"/>
                <w:szCs w:val="11"/>
                <w:color w:val="auto"/>
              </w:rPr>
              <w:t>Cinema</w:t>
            </w:r>
          </w:p>
        </w:tc>
        <w:tc>
          <w:tcPr>
            <w:tcW w:w="1760" w:type="dxa"/>
            <w:vAlign w:val="bottom"/>
          </w:tcPr>
          <w:p>
            <w:pPr>
              <w:spacing w:after="0"/>
              <w:rPr>
                <w:sz w:val="18"/>
                <w:szCs w:val="18"/>
                <w:color w:val="auto"/>
              </w:rPr>
            </w:pPr>
          </w:p>
        </w:tc>
        <w:tc>
          <w:tcPr>
            <w:tcW w:w="620" w:type="dxa"/>
            <w:vAlign w:val="bottom"/>
          </w:tcPr>
          <w:p>
            <w:pPr>
              <w:jc w:val="right"/>
              <w:ind w:right="6"/>
              <w:spacing w:after="0"/>
              <w:rPr>
                <w:sz w:val="20"/>
                <w:szCs w:val="20"/>
                <w:color w:val="auto"/>
              </w:rPr>
            </w:pPr>
            <w:r>
              <w:rPr>
                <w:rFonts w:ascii="Arial" w:cs="Arial" w:eastAsia="Arial" w:hAnsi="Arial"/>
                <w:sz w:val="11"/>
                <w:szCs w:val="11"/>
                <w:color w:val="auto"/>
              </w:rPr>
              <w:t>(190,007)</w:t>
            </w:r>
          </w:p>
        </w:tc>
        <w:tc>
          <w:tcPr>
            <w:tcW w:w="1000" w:type="dxa"/>
            <w:vAlign w:val="bottom"/>
          </w:tcPr>
          <w:p>
            <w:pPr>
              <w:spacing w:after="0"/>
              <w:rPr>
                <w:sz w:val="18"/>
                <w:szCs w:val="18"/>
                <w:color w:val="auto"/>
              </w:rPr>
            </w:pPr>
          </w:p>
        </w:tc>
        <w:tc>
          <w:tcPr>
            <w:tcW w:w="600" w:type="dxa"/>
            <w:vAlign w:val="bottom"/>
          </w:tcPr>
          <w:p>
            <w:pPr>
              <w:jc w:val="right"/>
              <w:ind w:right="6"/>
              <w:spacing w:after="0"/>
              <w:rPr>
                <w:sz w:val="20"/>
                <w:szCs w:val="20"/>
                <w:color w:val="auto"/>
              </w:rPr>
            </w:pPr>
            <w:r>
              <w:rPr>
                <w:rFonts w:ascii="Arial" w:cs="Arial" w:eastAsia="Arial" w:hAnsi="Arial"/>
                <w:sz w:val="11"/>
                <w:szCs w:val="11"/>
                <w:color w:val="auto"/>
              </w:rPr>
              <w:t>(188,435)</w:t>
            </w:r>
          </w:p>
        </w:tc>
        <w:tc>
          <w:tcPr>
            <w:tcW w:w="3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1"/>
                <w:szCs w:val="11"/>
                <w:color w:val="auto"/>
              </w:rPr>
              <w:t>(193,206)</w:t>
            </w:r>
          </w:p>
        </w:tc>
      </w:tr>
      <w:tr>
        <w:trPr>
          <w:trHeight w:val="218"/>
        </w:trPr>
        <w:tc>
          <w:tcPr>
            <w:tcW w:w="5100" w:type="dxa"/>
            <w:vAlign w:val="bottom"/>
            <w:shd w:val="clear" w:color="auto" w:fill="CCEEFF"/>
          </w:tcPr>
          <w:p>
            <w:pPr>
              <w:spacing w:after="0"/>
              <w:rPr>
                <w:sz w:val="20"/>
                <w:szCs w:val="20"/>
                <w:color w:val="auto"/>
              </w:rPr>
            </w:pPr>
            <w:r>
              <w:rPr>
                <w:rFonts w:ascii="Arial" w:cs="Arial" w:eastAsia="Arial" w:hAnsi="Arial"/>
                <w:sz w:val="11"/>
                <w:szCs w:val="11"/>
                <w:color w:val="auto"/>
              </w:rPr>
              <w:t>Real estate</w:t>
            </w:r>
          </w:p>
        </w:tc>
        <w:tc>
          <w:tcPr>
            <w:tcW w:w="176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(10,948)</w:t>
            </w:r>
          </w:p>
        </w:tc>
        <w:tc>
          <w:tcPr>
            <w:tcW w:w="10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(9,770)</w:t>
            </w: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(10,830)</w:t>
            </w:r>
          </w:p>
        </w:tc>
      </w:tr>
      <w:tr>
        <w:trPr>
          <w:trHeight w:val="214"/>
        </w:trPr>
        <w:tc>
          <w:tcPr>
            <w:tcW w:w="5100" w:type="dxa"/>
            <w:vAlign w:val="bottom"/>
          </w:tcPr>
          <w:p>
            <w:pPr>
              <w:spacing w:after="0"/>
              <w:rPr>
                <w:sz w:val="20"/>
                <w:szCs w:val="20"/>
                <w:color w:val="auto"/>
              </w:rPr>
            </w:pPr>
            <w:r>
              <w:rPr>
                <w:rFonts w:ascii="Arial" w:cs="Arial" w:eastAsia="Arial" w:hAnsi="Arial"/>
                <w:sz w:val="11"/>
                <w:szCs w:val="11"/>
                <w:color w:val="auto"/>
              </w:rPr>
              <w:t>Depreciation and amortization</w:t>
            </w:r>
          </w:p>
        </w:tc>
        <w:tc>
          <w:tcPr>
            <w:tcW w:w="1760" w:type="dxa"/>
            <w:vAlign w:val="bottom"/>
          </w:tcPr>
          <w:p>
            <w:pPr>
              <w:spacing w:after="0"/>
              <w:rPr>
                <w:sz w:val="18"/>
                <w:szCs w:val="18"/>
                <w:color w:val="auto"/>
              </w:rPr>
            </w:pPr>
          </w:p>
        </w:tc>
        <w:tc>
          <w:tcPr>
            <w:tcW w:w="620" w:type="dxa"/>
            <w:vAlign w:val="bottom"/>
          </w:tcPr>
          <w:p>
            <w:pPr>
              <w:jc w:val="right"/>
              <w:ind w:right="6"/>
              <w:spacing w:after="0"/>
              <w:rPr>
                <w:sz w:val="20"/>
                <w:szCs w:val="20"/>
                <w:color w:val="auto"/>
              </w:rPr>
            </w:pPr>
            <w:r>
              <w:rPr>
                <w:rFonts w:ascii="Arial" w:cs="Arial" w:eastAsia="Arial" w:hAnsi="Arial"/>
                <w:sz w:val="11"/>
                <w:szCs w:val="11"/>
                <w:color w:val="auto"/>
              </w:rPr>
              <w:t>(14,562)</w:t>
            </w:r>
          </w:p>
        </w:tc>
        <w:tc>
          <w:tcPr>
            <w:tcW w:w="1000" w:type="dxa"/>
            <w:vAlign w:val="bottom"/>
          </w:tcPr>
          <w:p>
            <w:pPr>
              <w:spacing w:after="0"/>
              <w:rPr>
                <w:sz w:val="18"/>
                <w:szCs w:val="18"/>
                <w:color w:val="auto"/>
              </w:rPr>
            </w:pPr>
          </w:p>
        </w:tc>
        <w:tc>
          <w:tcPr>
            <w:tcW w:w="600" w:type="dxa"/>
            <w:vAlign w:val="bottom"/>
          </w:tcPr>
          <w:p>
            <w:pPr>
              <w:jc w:val="right"/>
              <w:ind w:right="6"/>
              <w:spacing w:after="0"/>
              <w:rPr>
                <w:sz w:val="20"/>
                <w:szCs w:val="20"/>
                <w:color w:val="auto"/>
              </w:rPr>
            </w:pPr>
            <w:r>
              <w:rPr>
                <w:rFonts w:ascii="Arial" w:cs="Arial" w:eastAsia="Arial" w:hAnsi="Arial"/>
                <w:sz w:val="11"/>
                <w:szCs w:val="11"/>
                <w:color w:val="auto"/>
              </w:rPr>
              <w:t>(15,468)</w:t>
            </w:r>
          </w:p>
        </w:tc>
        <w:tc>
          <w:tcPr>
            <w:tcW w:w="3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1"/>
                <w:szCs w:val="11"/>
                <w:color w:val="auto"/>
              </w:rPr>
              <w:t>(15,197)</w:t>
            </w:r>
          </w:p>
        </w:tc>
      </w:tr>
      <w:tr>
        <w:trPr>
          <w:trHeight w:val="216"/>
        </w:trPr>
        <w:tc>
          <w:tcPr>
            <w:tcW w:w="5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1"/>
                <w:szCs w:val="11"/>
                <w:color w:val="auto"/>
              </w:rPr>
              <w:t>General and administrative</w:t>
            </w:r>
          </w:p>
        </w:tc>
        <w:tc>
          <w:tcPr>
            <w:tcW w:w="17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(18,652)</w:t>
            </w:r>
          </w:p>
        </w:tc>
        <w:tc>
          <w:tcPr>
            <w:tcW w:w="10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(18,902)</w:t>
            </w:r>
          </w:p>
        </w:tc>
        <w:tc>
          <w:tcPr>
            <w:tcW w:w="3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(18,053)</w:t>
            </w:r>
          </w:p>
        </w:tc>
      </w:tr>
      <w:tr>
        <w:trPr>
          <w:trHeight w:val="196"/>
        </w:trPr>
        <w:tc>
          <w:tcPr>
            <w:tcW w:w="5100" w:type="dxa"/>
            <w:vAlign w:val="bottom"/>
            <w:tcBorders>
              <w:bottom w:val="single" w:sz="8" w:color="auto"/>
            </w:tcBorders>
          </w:tcPr>
          <w:p>
            <w:pPr>
              <w:spacing w:after="0"/>
              <w:rPr>
                <w:sz w:val="20"/>
                <w:szCs w:val="20"/>
                <w:color w:val="auto"/>
              </w:rPr>
            </w:pPr>
            <w:r>
              <w:rPr>
                <w:rFonts w:ascii="Arial" w:cs="Arial" w:eastAsia="Arial" w:hAnsi="Arial"/>
                <w:sz w:val="11"/>
                <w:szCs w:val="11"/>
                <w:color w:val="auto"/>
              </w:rPr>
              <w:t>Total costs and expenses</w:t>
            </w:r>
          </w:p>
        </w:tc>
        <w:tc>
          <w:tcPr>
            <w:tcW w:w="17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(234,169)</w:t>
            </w:r>
          </w:p>
        </w:tc>
        <w:tc>
          <w:tcPr>
            <w:tcW w:w="10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(232,575)</w:t>
            </w:r>
          </w:p>
        </w:tc>
        <w:tc>
          <w:tcPr>
            <w:tcW w:w="3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(237,286)</w:t>
            </w:r>
          </w:p>
        </w:tc>
      </w:tr>
      <w:tr>
        <w:trPr>
          <w:trHeight w:val="198"/>
        </w:trPr>
        <w:tc>
          <w:tcPr>
            <w:tcW w:w="510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Operating income</w:t>
            </w:r>
          </w:p>
        </w:tc>
        <w:tc>
          <w:tcPr>
            <w:tcW w:w="176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23,154</w:t>
            </w:r>
          </w:p>
        </w:tc>
        <w:tc>
          <w:tcPr>
            <w:tcW w:w="100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22,173</w:t>
            </w:r>
          </w:p>
        </w:tc>
        <w:tc>
          <w:tcPr>
            <w:tcW w:w="38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20,935</w:t>
            </w:r>
          </w:p>
        </w:tc>
      </w:tr>
      <w:tr>
        <w:trPr>
          <w:trHeight w:val="214"/>
        </w:trPr>
        <w:tc>
          <w:tcPr>
            <w:tcW w:w="5100" w:type="dxa"/>
            <w:vAlign w:val="bottom"/>
          </w:tcPr>
          <w:p>
            <w:pPr>
              <w:spacing w:after="0"/>
              <w:rPr>
                <w:sz w:val="20"/>
                <w:szCs w:val="20"/>
                <w:color w:val="auto"/>
              </w:rPr>
            </w:pPr>
            <w:r>
              <w:rPr>
                <w:rFonts w:ascii="Arial" w:cs="Arial" w:eastAsia="Arial" w:hAnsi="Arial"/>
                <w:sz w:val="11"/>
                <w:szCs w:val="11"/>
                <w:color w:val="auto"/>
              </w:rPr>
              <w:t>Interest income</w:t>
            </w:r>
          </w:p>
        </w:tc>
        <w:tc>
          <w:tcPr>
            <w:tcW w:w="1760" w:type="dxa"/>
            <w:vAlign w:val="bottom"/>
          </w:tcPr>
          <w:p>
            <w:pPr>
              <w:spacing w:after="0"/>
              <w:rPr>
                <w:sz w:val="18"/>
                <w:szCs w:val="18"/>
                <w:color w:val="auto"/>
              </w:rPr>
            </w:pPr>
          </w:p>
        </w:tc>
        <w:tc>
          <w:tcPr>
            <w:tcW w:w="620" w:type="dxa"/>
            <w:vAlign w:val="bottom"/>
          </w:tcPr>
          <w:p>
            <w:pPr>
              <w:jc w:val="right"/>
              <w:ind w:right="26"/>
              <w:spacing w:after="0"/>
              <w:rPr>
                <w:sz w:val="20"/>
                <w:szCs w:val="20"/>
                <w:color w:val="auto"/>
              </w:rPr>
            </w:pPr>
            <w:r>
              <w:rPr>
                <w:rFonts w:ascii="Arial" w:cs="Arial" w:eastAsia="Arial" w:hAnsi="Arial"/>
                <w:sz w:val="11"/>
                <w:szCs w:val="11"/>
                <w:color w:val="auto"/>
              </w:rPr>
              <w:t>1,268</w:t>
            </w:r>
          </w:p>
        </w:tc>
        <w:tc>
          <w:tcPr>
            <w:tcW w:w="1000" w:type="dxa"/>
            <w:vAlign w:val="bottom"/>
          </w:tcPr>
          <w:p>
            <w:pPr>
              <w:spacing w:after="0"/>
              <w:rPr>
                <w:sz w:val="18"/>
                <w:szCs w:val="18"/>
                <w:color w:val="auto"/>
              </w:rPr>
            </w:pPr>
          </w:p>
        </w:tc>
        <w:tc>
          <w:tcPr>
            <w:tcW w:w="600" w:type="dxa"/>
            <w:vAlign w:val="bottom"/>
          </w:tcPr>
          <w:p>
            <w:pPr>
              <w:jc w:val="right"/>
              <w:ind w:right="26"/>
              <w:spacing w:after="0"/>
              <w:rPr>
                <w:sz w:val="20"/>
                <w:szCs w:val="20"/>
                <w:color w:val="auto"/>
              </w:rPr>
            </w:pPr>
            <w:r>
              <w:rPr>
                <w:rFonts w:ascii="Arial" w:cs="Arial" w:eastAsia="Arial" w:hAnsi="Arial"/>
                <w:sz w:val="11"/>
                <w:szCs w:val="11"/>
                <w:color w:val="auto"/>
              </w:rPr>
              <w:t>662</w:t>
            </w:r>
          </w:p>
        </w:tc>
        <w:tc>
          <w:tcPr>
            <w:tcW w:w="3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1"/>
                <w:szCs w:val="11"/>
                <w:color w:val="auto"/>
              </w:rPr>
              <w:t>407</w:t>
            </w:r>
          </w:p>
        </w:tc>
      </w:tr>
      <w:tr>
        <w:trPr>
          <w:trHeight w:val="218"/>
        </w:trPr>
        <w:tc>
          <w:tcPr>
            <w:tcW w:w="5100" w:type="dxa"/>
            <w:vAlign w:val="bottom"/>
            <w:shd w:val="clear" w:color="auto" w:fill="CCEEFF"/>
          </w:tcPr>
          <w:p>
            <w:pPr>
              <w:spacing w:after="0"/>
              <w:rPr>
                <w:sz w:val="20"/>
                <w:szCs w:val="20"/>
                <w:color w:val="auto"/>
              </w:rPr>
            </w:pPr>
            <w:r>
              <w:rPr>
                <w:rFonts w:ascii="Arial" w:cs="Arial" w:eastAsia="Arial" w:hAnsi="Arial"/>
                <w:sz w:val="11"/>
                <w:szCs w:val="11"/>
                <w:color w:val="auto"/>
              </w:rPr>
              <w:t>Interest expense</w:t>
            </w:r>
          </w:p>
        </w:tc>
        <w:tc>
          <w:tcPr>
            <w:tcW w:w="176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(8,572)</w:t>
            </w:r>
          </w:p>
        </w:tc>
        <w:tc>
          <w:tcPr>
            <w:tcW w:w="10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(9,662)</w:t>
            </w: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(10,444)</w:t>
            </w:r>
          </w:p>
        </w:tc>
      </w:tr>
      <w:tr>
        <w:trPr>
          <w:trHeight w:val="214"/>
        </w:trPr>
        <w:tc>
          <w:tcPr>
            <w:tcW w:w="5100" w:type="dxa"/>
            <w:vAlign w:val="bottom"/>
          </w:tcPr>
          <w:p>
            <w:pPr>
              <w:spacing w:after="0"/>
              <w:rPr>
                <w:sz w:val="20"/>
                <w:szCs w:val="20"/>
                <w:color w:val="auto"/>
              </w:rPr>
            </w:pPr>
            <w:r>
              <w:rPr>
                <w:rFonts w:ascii="Arial" w:cs="Arial" w:eastAsia="Arial" w:hAnsi="Arial"/>
                <w:sz w:val="11"/>
                <w:szCs w:val="11"/>
                <w:color w:val="auto"/>
              </w:rPr>
              <w:t>Net gain (loss) on sale of assets</w:t>
            </w:r>
          </w:p>
        </w:tc>
        <w:tc>
          <w:tcPr>
            <w:tcW w:w="1760" w:type="dxa"/>
            <w:vAlign w:val="bottom"/>
          </w:tcPr>
          <w:p>
            <w:pPr>
              <w:spacing w:after="0"/>
              <w:rPr>
                <w:sz w:val="18"/>
                <w:szCs w:val="18"/>
                <w:color w:val="auto"/>
              </w:rPr>
            </w:pPr>
          </w:p>
        </w:tc>
        <w:tc>
          <w:tcPr>
            <w:tcW w:w="620" w:type="dxa"/>
            <w:vAlign w:val="bottom"/>
          </w:tcPr>
          <w:p>
            <w:pPr>
              <w:jc w:val="right"/>
              <w:ind w:right="26"/>
              <w:spacing w:after="0"/>
              <w:rPr>
                <w:sz w:val="20"/>
                <w:szCs w:val="20"/>
                <w:color w:val="auto"/>
              </w:rPr>
            </w:pPr>
            <w:r>
              <w:rPr>
                <w:rFonts w:ascii="Arial" w:cs="Arial" w:eastAsia="Arial" w:hAnsi="Arial"/>
                <w:sz w:val="11"/>
                <w:szCs w:val="11"/>
                <w:color w:val="auto"/>
              </w:rPr>
              <w:t>11,023</w:t>
            </w:r>
          </w:p>
        </w:tc>
        <w:tc>
          <w:tcPr>
            <w:tcW w:w="1000" w:type="dxa"/>
            <w:vAlign w:val="bottom"/>
          </w:tcPr>
          <w:p>
            <w:pPr>
              <w:spacing w:after="0"/>
              <w:rPr>
                <w:sz w:val="18"/>
                <w:szCs w:val="18"/>
                <w:color w:val="auto"/>
              </w:rPr>
            </w:pPr>
          </w:p>
        </w:tc>
        <w:tc>
          <w:tcPr>
            <w:tcW w:w="600" w:type="dxa"/>
            <w:vAlign w:val="bottom"/>
          </w:tcPr>
          <w:p>
            <w:pPr>
              <w:jc w:val="right"/>
              <w:ind w:right="26"/>
              <w:spacing w:after="0"/>
              <w:rPr>
                <w:sz w:val="20"/>
                <w:szCs w:val="20"/>
                <w:color w:val="auto"/>
              </w:rPr>
            </w:pPr>
            <w:r>
              <w:rPr>
                <w:rFonts w:ascii="Arial" w:cs="Arial" w:eastAsia="Arial" w:hAnsi="Arial"/>
                <w:sz w:val="11"/>
                <w:szCs w:val="11"/>
                <w:color w:val="auto"/>
              </w:rPr>
              <w:t>25</w:t>
            </w:r>
          </w:p>
        </w:tc>
        <w:tc>
          <w:tcPr>
            <w:tcW w:w="3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1"/>
                <w:szCs w:val="11"/>
                <w:color w:val="auto"/>
              </w:rPr>
              <w:t>(56)</w:t>
            </w:r>
          </w:p>
        </w:tc>
      </w:tr>
      <w:tr>
        <w:trPr>
          <w:trHeight w:val="216"/>
        </w:trPr>
        <w:tc>
          <w:tcPr>
            <w:tcW w:w="5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1"/>
                <w:szCs w:val="11"/>
                <w:color w:val="auto"/>
              </w:rPr>
              <w:t>Other income (expense)</w:t>
            </w:r>
          </w:p>
        </w:tc>
        <w:tc>
          <w:tcPr>
            <w:tcW w:w="17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(440)</w:t>
            </w:r>
          </w:p>
        </w:tc>
        <w:tc>
          <w:tcPr>
            <w:tcW w:w="10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1"/>
                <w:szCs w:val="11"/>
                <w:color w:val="auto"/>
              </w:rPr>
              <w:t>1,646</w:t>
            </w:r>
          </w:p>
        </w:tc>
        <w:tc>
          <w:tcPr>
            <w:tcW w:w="3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1,876</w:t>
            </w:r>
          </w:p>
        </w:tc>
      </w:tr>
      <w:tr>
        <w:trPr>
          <w:trHeight w:val="340"/>
        </w:trPr>
        <w:tc>
          <w:tcPr>
            <w:tcW w:w="5100" w:type="dxa"/>
            <w:vAlign w:val="bottom"/>
          </w:tcPr>
          <w:p>
            <w:pPr>
              <w:spacing w:after="0"/>
              <w:rPr>
                <w:sz w:val="20"/>
                <w:szCs w:val="20"/>
                <w:color w:val="auto"/>
              </w:rPr>
            </w:pPr>
            <w:r>
              <w:rPr>
                <w:rFonts w:ascii="Arial" w:cs="Arial" w:eastAsia="Arial" w:hAnsi="Arial"/>
                <w:sz w:val="11"/>
                <w:szCs w:val="11"/>
                <w:b w:val="1"/>
                <w:bCs w:val="1"/>
                <w:color w:val="auto"/>
              </w:rPr>
              <w:t>Income before income taxes and equity earnings of unconsolidated joint ventures and entities</w:t>
            </w:r>
          </w:p>
        </w:tc>
        <w:tc>
          <w:tcPr>
            <w:tcW w:w="1760" w:type="dxa"/>
            <w:vAlign w:val="bottom"/>
          </w:tcPr>
          <w:p>
            <w:pPr>
              <w:spacing w:after="0"/>
              <w:rPr>
                <w:sz w:val="24"/>
                <w:szCs w:val="24"/>
                <w:color w:val="auto"/>
              </w:rPr>
            </w:pPr>
          </w:p>
        </w:tc>
        <w:tc>
          <w:tcPr>
            <w:tcW w:w="620" w:type="dxa"/>
            <w:vAlign w:val="bottom"/>
          </w:tcPr>
          <w:p>
            <w:pPr>
              <w:jc w:val="right"/>
              <w:ind w:right="26"/>
              <w:spacing w:after="0"/>
              <w:rPr>
                <w:sz w:val="20"/>
                <w:szCs w:val="20"/>
                <w:color w:val="auto"/>
              </w:rPr>
            </w:pPr>
            <w:r>
              <w:rPr>
                <w:rFonts w:ascii="Arial" w:cs="Arial" w:eastAsia="Arial" w:hAnsi="Arial"/>
                <w:sz w:val="11"/>
                <w:szCs w:val="11"/>
                <w:color w:val="auto"/>
              </w:rPr>
              <w:t>26,433</w:t>
            </w:r>
          </w:p>
        </w:tc>
        <w:tc>
          <w:tcPr>
            <w:tcW w:w="1000" w:type="dxa"/>
            <w:vAlign w:val="bottom"/>
          </w:tcPr>
          <w:p>
            <w:pPr>
              <w:spacing w:after="0"/>
              <w:rPr>
                <w:sz w:val="24"/>
                <w:szCs w:val="24"/>
                <w:color w:val="auto"/>
              </w:rPr>
            </w:pPr>
          </w:p>
        </w:tc>
        <w:tc>
          <w:tcPr>
            <w:tcW w:w="600" w:type="dxa"/>
            <w:vAlign w:val="bottom"/>
          </w:tcPr>
          <w:p>
            <w:pPr>
              <w:jc w:val="right"/>
              <w:ind w:right="26"/>
              <w:spacing w:after="0"/>
              <w:rPr>
                <w:sz w:val="20"/>
                <w:szCs w:val="20"/>
                <w:color w:val="auto"/>
              </w:rPr>
            </w:pPr>
            <w:r>
              <w:rPr>
                <w:rFonts w:ascii="Arial" w:cs="Arial" w:eastAsia="Arial" w:hAnsi="Arial"/>
                <w:sz w:val="11"/>
                <w:szCs w:val="11"/>
                <w:color w:val="auto"/>
              </w:rPr>
              <w:t>14,844</w:t>
            </w:r>
          </w:p>
        </w:tc>
        <w:tc>
          <w:tcPr>
            <w:tcW w:w="3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1"/>
                <w:szCs w:val="11"/>
                <w:color w:val="auto"/>
              </w:rPr>
              <w:t>12,718</w:t>
            </w:r>
          </w:p>
        </w:tc>
      </w:tr>
      <w:tr>
        <w:trPr>
          <w:trHeight w:val="216"/>
        </w:trPr>
        <w:tc>
          <w:tcPr>
            <w:tcW w:w="5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1"/>
                <w:szCs w:val="11"/>
                <w:color w:val="auto"/>
              </w:rPr>
              <w:t>Equity earnings of unconsolidated joint ventures and entities</w:t>
            </w:r>
          </w:p>
        </w:tc>
        <w:tc>
          <w:tcPr>
            <w:tcW w:w="17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1"/>
                <w:szCs w:val="11"/>
                <w:color w:val="auto"/>
              </w:rPr>
              <w:t>1,204</w:t>
            </w:r>
          </w:p>
        </w:tc>
        <w:tc>
          <w:tcPr>
            <w:tcW w:w="10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1"/>
                <w:szCs w:val="11"/>
                <w:color w:val="auto"/>
              </w:rPr>
              <w:t>1,015</w:t>
            </w:r>
          </w:p>
        </w:tc>
        <w:tc>
          <w:tcPr>
            <w:tcW w:w="3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1,369</w:t>
            </w:r>
          </w:p>
        </w:tc>
      </w:tr>
      <w:tr>
        <w:trPr>
          <w:trHeight w:val="196"/>
        </w:trPr>
        <w:tc>
          <w:tcPr>
            <w:tcW w:w="5100" w:type="dxa"/>
            <w:vAlign w:val="bottom"/>
          </w:tcPr>
          <w:p>
            <w:pPr>
              <w:spacing w:after="0"/>
              <w:rPr>
                <w:sz w:val="20"/>
                <w:szCs w:val="20"/>
                <w:color w:val="auto"/>
              </w:rPr>
            </w:pPr>
            <w:r>
              <w:rPr>
                <w:rFonts w:ascii="Arial" w:cs="Arial" w:eastAsia="Arial" w:hAnsi="Arial"/>
                <w:sz w:val="11"/>
                <w:szCs w:val="11"/>
                <w:b w:val="1"/>
                <w:bCs w:val="1"/>
                <w:color w:val="auto"/>
              </w:rPr>
              <w:t>Income before income taxes</w:t>
            </w:r>
          </w:p>
        </w:tc>
        <w:tc>
          <w:tcPr>
            <w:tcW w:w="1760" w:type="dxa"/>
            <w:vAlign w:val="bottom"/>
          </w:tcPr>
          <w:p>
            <w:pPr>
              <w:spacing w:after="0"/>
              <w:rPr>
                <w:sz w:val="17"/>
                <w:szCs w:val="17"/>
                <w:color w:val="auto"/>
              </w:rPr>
            </w:pPr>
          </w:p>
        </w:tc>
        <w:tc>
          <w:tcPr>
            <w:tcW w:w="620" w:type="dxa"/>
            <w:vAlign w:val="bottom"/>
          </w:tcPr>
          <w:p>
            <w:pPr>
              <w:jc w:val="right"/>
              <w:ind w:right="26"/>
              <w:spacing w:after="0"/>
              <w:rPr>
                <w:sz w:val="20"/>
                <w:szCs w:val="20"/>
                <w:color w:val="auto"/>
              </w:rPr>
            </w:pPr>
            <w:r>
              <w:rPr>
                <w:rFonts w:ascii="Arial" w:cs="Arial" w:eastAsia="Arial" w:hAnsi="Arial"/>
                <w:sz w:val="11"/>
                <w:szCs w:val="11"/>
                <w:color w:val="auto"/>
              </w:rPr>
              <w:t>27,637</w:t>
            </w:r>
          </w:p>
        </w:tc>
        <w:tc>
          <w:tcPr>
            <w:tcW w:w="1000" w:type="dxa"/>
            <w:vAlign w:val="bottom"/>
          </w:tcPr>
          <w:p>
            <w:pPr>
              <w:spacing w:after="0"/>
              <w:rPr>
                <w:sz w:val="17"/>
                <w:szCs w:val="17"/>
                <w:color w:val="auto"/>
              </w:rPr>
            </w:pPr>
          </w:p>
        </w:tc>
        <w:tc>
          <w:tcPr>
            <w:tcW w:w="600" w:type="dxa"/>
            <w:vAlign w:val="bottom"/>
          </w:tcPr>
          <w:p>
            <w:pPr>
              <w:jc w:val="right"/>
              <w:ind w:right="26"/>
              <w:spacing w:after="0"/>
              <w:rPr>
                <w:sz w:val="20"/>
                <w:szCs w:val="20"/>
                <w:color w:val="auto"/>
              </w:rPr>
            </w:pPr>
            <w:r>
              <w:rPr>
                <w:rFonts w:ascii="Arial" w:cs="Arial" w:eastAsia="Arial" w:hAnsi="Arial"/>
                <w:sz w:val="11"/>
                <w:szCs w:val="11"/>
                <w:color w:val="auto"/>
              </w:rPr>
              <w:t>15,859</w:t>
            </w:r>
          </w:p>
        </w:tc>
        <w:tc>
          <w:tcPr>
            <w:tcW w:w="3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1"/>
                <w:szCs w:val="11"/>
                <w:color w:val="auto"/>
              </w:rPr>
              <w:t>14,087</w:t>
            </w:r>
          </w:p>
        </w:tc>
      </w:tr>
      <w:tr>
        <w:trPr>
          <w:trHeight w:val="216"/>
        </w:trPr>
        <w:tc>
          <w:tcPr>
            <w:tcW w:w="5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1"/>
                <w:szCs w:val="11"/>
                <w:color w:val="auto"/>
              </w:rPr>
              <w:t>Income tax benefit (expense)</w:t>
            </w:r>
          </w:p>
        </w:tc>
        <w:tc>
          <w:tcPr>
            <w:tcW w:w="17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(4,943)</w:t>
            </w:r>
          </w:p>
        </w:tc>
        <w:tc>
          <w:tcPr>
            <w:tcW w:w="10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1"/>
                <w:szCs w:val="11"/>
                <w:color w:val="auto"/>
              </w:rPr>
              <w:t>9,785</w:t>
            </w:r>
          </w:p>
        </w:tc>
        <w:tc>
          <w:tcPr>
            <w:tcW w:w="3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(4,942)</w:t>
            </w:r>
          </w:p>
        </w:tc>
      </w:tr>
      <w:tr>
        <w:trPr>
          <w:trHeight w:val="196"/>
        </w:trPr>
        <w:tc>
          <w:tcPr>
            <w:tcW w:w="5100" w:type="dxa"/>
            <w:vAlign w:val="bottom"/>
          </w:tcPr>
          <w:p>
            <w:pPr>
              <w:spacing w:after="0"/>
              <w:rPr>
                <w:sz w:val="20"/>
                <w:szCs w:val="20"/>
                <w:color w:val="auto"/>
              </w:rPr>
            </w:pPr>
            <w:r>
              <w:rPr>
                <w:rFonts w:ascii="Arial" w:cs="Arial" w:eastAsia="Arial" w:hAnsi="Arial"/>
                <w:sz w:val="11"/>
                <w:szCs w:val="11"/>
                <w:b w:val="1"/>
                <w:bCs w:val="1"/>
                <w:color w:val="auto"/>
              </w:rPr>
              <w:t>Net income</w:t>
            </w:r>
          </w:p>
        </w:tc>
        <w:tc>
          <w:tcPr>
            <w:tcW w:w="1760" w:type="dxa"/>
            <w:vAlign w:val="bottom"/>
          </w:tcPr>
          <w:p>
            <w:pPr>
              <w:jc w:val="right"/>
              <w:ind w:right="846"/>
              <w:spacing w:after="0"/>
              <w:rPr>
                <w:sz w:val="20"/>
                <w:szCs w:val="20"/>
                <w:color w:val="auto"/>
              </w:rPr>
            </w:pPr>
            <w:r>
              <w:rPr>
                <w:rFonts w:ascii="Arial" w:cs="Arial" w:eastAsia="Arial" w:hAnsi="Arial"/>
                <w:sz w:val="11"/>
                <w:szCs w:val="11"/>
                <w:color w:val="auto"/>
              </w:rPr>
              <w:t>$</w:t>
            </w:r>
          </w:p>
        </w:tc>
        <w:tc>
          <w:tcPr>
            <w:tcW w:w="620" w:type="dxa"/>
            <w:vAlign w:val="bottom"/>
          </w:tcPr>
          <w:p>
            <w:pPr>
              <w:jc w:val="right"/>
              <w:ind w:right="26"/>
              <w:spacing w:after="0"/>
              <w:rPr>
                <w:sz w:val="20"/>
                <w:szCs w:val="20"/>
                <w:color w:val="auto"/>
              </w:rPr>
            </w:pPr>
            <w:r>
              <w:rPr>
                <w:rFonts w:ascii="Arial" w:cs="Arial" w:eastAsia="Arial" w:hAnsi="Arial"/>
                <w:sz w:val="11"/>
                <w:szCs w:val="11"/>
                <w:color w:val="auto"/>
              </w:rPr>
              <w:t>22,694</w:t>
            </w:r>
          </w:p>
        </w:tc>
        <w:tc>
          <w:tcPr>
            <w:tcW w:w="1000" w:type="dxa"/>
            <w:vAlign w:val="bottom"/>
          </w:tcPr>
          <w:p>
            <w:pPr>
              <w:jc w:val="right"/>
              <w:ind w:right="846"/>
              <w:spacing w:after="0"/>
              <w:rPr>
                <w:sz w:val="20"/>
                <w:szCs w:val="20"/>
                <w:color w:val="auto"/>
              </w:rPr>
            </w:pPr>
            <w:r>
              <w:rPr>
                <w:rFonts w:ascii="Arial" w:cs="Arial" w:eastAsia="Arial" w:hAnsi="Arial"/>
                <w:sz w:val="11"/>
                <w:szCs w:val="11"/>
                <w:color w:val="auto"/>
              </w:rPr>
              <w:t>$</w:t>
            </w:r>
          </w:p>
        </w:tc>
        <w:tc>
          <w:tcPr>
            <w:tcW w:w="600" w:type="dxa"/>
            <w:vAlign w:val="bottom"/>
          </w:tcPr>
          <w:p>
            <w:pPr>
              <w:jc w:val="right"/>
              <w:ind w:right="26"/>
              <w:spacing w:after="0"/>
              <w:rPr>
                <w:sz w:val="20"/>
                <w:szCs w:val="20"/>
                <w:color w:val="auto"/>
              </w:rPr>
            </w:pPr>
            <w:r>
              <w:rPr>
                <w:rFonts w:ascii="Arial" w:cs="Arial" w:eastAsia="Arial" w:hAnsi="Arial"/>
                <w:sz w:val="11"/>
                <w:szCs w:val="11"/>
                <w:color w:val="auto"/>
              </w:rPr>
              <w:t>25,644</w:t>
            </w:r>
          </w:p>
        </w:tc>
        <w:tc>
          <w:tcPr>
            <w:tcW w:w="380" w:type="dxa"/>
            <w:vAlign w:val="bottom"/>
          </w:tcPr>
          <w:p>
            <w:pPr>
              <w:jc w:val="right"/>
              <w:ind w:right="226"/>
              <w:spacing w:after="0"/>
              <w:rPr>
                <w:sz w:val="20"/>
                <w:szCs w:val="20"/>
                <w:color w:val="auto"/>
              </w:rPr>
            </w:pPr>
            <w:r>
              <w:rPr>
                <w:rFonts w:ascii="Arial" w:cs="Arial" w:eastAsia="Arial" w:hAnsi="Arial"/>
                <w:sz w:val="11"/>
                <w:szCs w:val="11"/>
                <w:color w:val="auto"/>
              </w:rPr>
              <w:t>$</w:t>
            </w:r>
          </w:p>
        </w:tc>
        <w:tc>
          <w:tcPr>
            <w:tcW w:w="1160" w:type="dxa"/>
            <w:vAlign w:val="bottom"/>
          </w:tcPr>
          <w:p>
            <w:pPr>
              <w:jc w:val="right"/>
              <w:spacing w:after="0"/>
              <w:rPr>
                <w:sz w:val="20"/>
                <w:szCs w:val="20"/>
                <w:color w:val="auto"/>
              </w:rPr>
            </w:pPr>
            <w:r>
              <w:rPr>
                <w:rFonts w:ascii="Arial" w:cs="Arial" w:eastAsia="Arial" w:hAnsi="Arial"/>
                <w:sz w:val="11"/>
                <w:szCs w:val="11"/>
                <w:color w:val="auto"/>
              </w:rPr>
              <w:t>9,145</w:t>
            </w:r>
          </w:p>
        </w:tc>
      </w:tr>
      <w:tr>
        <w:trPr>
          <w:trHeight w:val="216"/>
        </w:trPr>
        <w:tc>
          <w:tcPr>
            <w:tcW w:w="5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1"/>
                <w:szCs w:val="11"/>
                <w:color w:val="auto"/>
              </w:rPr>
              <w:t>Less: Net income (loss) attributable to noncontrolling interests</w:t>
            </w:r>
          </w:p>
        </w:tc>
        <w:tc>
          <w:tcPr>
            <w:tcW w:w="17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(79)</w:t>
            </w:r>
          </w:p>
        </w:tc>
        <w:tc>
          <w:tcPr>
            <w:tcW w:w="10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(57)</w:t>
            </w:r>
          </w:p>
        </w:tc>
        <w:tc>
          <w:tcPr>
            <w:tcW w:w="3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104</w:t>
            </w:r>
          </w:p>
        </w:tc>
      </w:tr>
      <w:tr>
        <w:trPr>
          <w:trHeight w:val="331"/>
        </w:trPr>
        <w:tc>
          <w:tcPr>
            <w:tcW w:w="510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rPr>
              <w:t>Net income attributable to Reading International, Inc. common shareholders</w:t>
            </w:r>
          </w:p>
        </w:tc>
        <w:tc>
          <w:tcPr>
            <w:tcW w:w="1760" w:type="dxa"/>
            <w:vAlign w:val="bottom"/>
            <w:tcBorders>
              <w:bottom w:val="single" w:sz="8" w:color="auto"/>
            </w:tcBorders>
          </w:tcPr>
          <w:p>
            <w:pPr>
              <w:jc w:val="right"/>
              <w:ind w:right="846"/>
              <w:spacing w:after="0"/>
              <w:rPr>
                <w:sz w:val="20"/>
                <w:szCs w:val="20"/>
                <w:color w:val="auto"/>
              </w:rPr>
            </w:pPr>
            <w:r>
              <w:rPr>
                <w:rFonts w:ascii="Arial" w:cs="Arial" w:eastAsia="Arial" w:hAnsi="Arial"/>
                <w:sz w:val="11"/>
                <w:szCs w:val="11"/>
                <w:color w:val="auto"/>
              </w:rPr>
              <w:t>$</w:t>
            </w:r>
          </w:p>
        </w:tc>
        <w:tc>
          <w:tcPr>
            <w:tcW w:w="62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color w:val="auto"/>
              </w:rPr>
              <w:t>22,773</w:t>
            </w:r>
          </w:p>
        </w:tc>
        <w:tc>
          <w:tcPr>
            <w:tcW w:w="1000" w:type="dxa"/>
            <w:vAlign w:val="bottom"/>
            <w:tcBorders>
              <w:bottom w:val="single" w:sz="8" w:color="auto"/>
            </w:tcBorders>
          </w:tcPr>
          <w:p>
            <w:pPr>
              <w:jc w:val="right"/>
              <w:ind w:right="846"/>
              <w:spacing w:after="0"/>
              <w:rPr>
                <w:sz w:val="20"/>
                <w:szCs w:val="20"/>
                <w:color w:val="auto"/>
              </w:rPr>
            </w:pPr>
            <w:r>
              <w:rPr>
                <w:rFonts w:ascii="Arial" w:cs="Arial" w:eastAsia="Arial" w:hAnsi="Arial"/>
                <w:sz w:val="11"/>
                <w:szCs w:val="11"/>
                <w:color w:val="auto"/>
              </w:rPr>
              <w:t>$</w:t>
            </w:r>
          </w:p>
        </w:tc>
        <w:tc>
          <w:tcPr>
            <w:tcW w:w="60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color w:val="auto"/>
              </w:rPr>
              <w:t>25,701</w:t>
            </w:r>
          </w:p>
        </w:tc>
        <w:tc>
          <w:tcPr>
            <w:tcW w:w="380" w:type="dxa"/>
            <w:vAlign w:val="bottom"/>
            <w:tcBorders>
              <w:bottom w:val="single" w:sz="8" w:color="auto"/>
            </w:tcBorders>
          </w:tcPr>
          <w:p>
            <w:pPr>
              <w:jc w:val="right"/>
              <w:ind w:right="226"/>
              <w:spacing w:after="0"/>
              <w:rPr>
                <w:sz w:val="20"/>
                <w:szCs w:val="20"/>
                <w:color w:val="auto"/>
              </w:rPr>
            </w:pPr>
            <w:r>
              <w:rPr>
                <w:rFonts w:ascii="Arial" w:cs="Arial" w:eastAsia="Arial" w:hAnsi="Arial"/>
                <w:sz w:val="11"/>
                <w:szCs w:val="11"/>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9,041</w:t>
            </w:r>
          </w:p>
        </w:tc>
      </w:tr>
      <w:tr>
        <w:trPr>
          <w:trHeight w:val="340"/>
        </w:trPr>
        <w:tc>
          <w:tcPr>
            <w:tcW w:w="5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1"/>
                <w:szCs w:val="11"/>
                <w:b w:val="1"/>
                <w:bCs w:val="1"/>
                <w:color w:val="auto"/>
              </w:rPr>
              <w:t>Basic income per share attributable to Reading International, Inc. shareholders</w:t>
            </w:r>
          </w:p>
        </w:tc>
        <w:tc>
          <w:tcPr>
            <w:tcW w:w="1760" w:type="dxa"/>
            <w:vAlign w:val="bottom"/>
            <w:tcBorders>
              <w:bottom w:val="single" w:sz="8" w:color="auto"/>
            </w:tcBorders>
            <w:shd w:val="clear" w:color="auto" w:fill="CCEEFF"/>
          </w:tcPr>
          <w:p>
            <w:pPr>
              <w:jc w:val="right"/>
              <w:ind w:right="846"/>
              <w:spacing w:after="0"/>
              <w:rPr>
                <w:sz w:val="20"/>
                <w:szCs w:val="20"/>
                <w:color w:val="auto"/>
              </w:rPr>
            </w:pPr>
            <w:r>
              <w:rPr>
                <w:rFonts w:ascii="Arial" w:cs="Arial" w:eastAsia="Arial" w:hAnsi="Arial"/>
                <w:sz w:val="11"/>
                <w:szCs w:val="11"/>
                <w:color w:val="auto"/>
              </w:rPr>
              <w:t>$</w:t>
            </w:r>
          </w:p>
        </w:tc>
        <w:tc>
          <w:tcPr>
            <w:tcW w:w="62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1"/>
                <w:szCs w:val="11"/>
                <w:color w:val="auto"/>
              </w:rPr>
              <w:t>0.98</w:t>
            </w:r>
          </w:p>
        </w:tc>
        <w:tc>
          <w:tcPr>
            <w:tcW w:w="1000" w:type="dxa"/>
            <w:vAlign w:val="bottom"/>
            <w:tcBorders>
              <w:bottom w:val="single" w:sz="8" w:color="auto"/>
            </w:tcBorders>
            <w:shd w:val="clear" w:color="auto" w:fill="CCEEFF"/>
          </w:tcPr>
          <w:p>
            <w:pPr>
              <w:jc w:val="right"/>
              <w:ind w:right="846"/>
              <w:spacing w:after="0"/>
              <w:rPr>
                <w:sz w:val="20"/>
                <w:szCs w:val="20"/>
                <w:color w:val="auto"/>
              </w:rPr>
            </w:pPr>
            <w:r>
              <w:rPr>
                <w:rFonts w:ascii="Arial" w:cs="Arial" w:eastAsia="Arial" w:hAnsi="Arial"/>
                <w:sz w:val="11"/>
                <w:szCs w:val="11"/>
                <w:color w:val="auto"/>
              </w:rPr>
              <w:t>$</w:t>
            </w:r>
          </w:p>
        </w:tc>
        <w:tc>
          <w:tcPr>
            <w:tcW w:w="60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1"/>
                <w:szCs w:val="11"/>
                <w:color w:val="auto"/>
              </w:rPr>
              <w:t>1.10</w:t>
            </w:r>
          </w:p>
        </w:tc>
        <w:tc>
          <w:tcPr>
            <w:tcW w:w="380" w:type="dxa"/>
            <w:vAlign w:val="bottom"/>
            <w:tcBorders>
              <w:bottom w:val="single" w:sz="8" w:color="auto"/>
            </w:tcBorders>
            <w:shd w:val="clear" w:color="auto" w:fill="CCEEFF"/>
          </w:tcPr>
          <w:p>
            <w:pPr>
              <w:jc w:val="right"/>
              <w:ind w:right="226"/>
              <w:spacing w:after="0"/>
              <w:rPr>
                <w:sz w:val="20"/>
                <w:szCs w:val="20"/>
                <w:color w:val="auto"/>
              </w:rPr>
            </w:pPr>
            <w:r>
              <w:rPr>
                <w:rFonts w:ascii="Arial" w:cs="Arial" w:eastAsia="Arial" w:hAnsi="Arial"/>
                <w:sz w:val="11"/>
                <w:szCs w:val="11"/>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0.39</w:t>
            </w:r>
          </w:p>
        </w:tc>
      </w:tr>
      <w:tr>
        <w:trPr>
          <w:trHeight w:val="340"/>
        </w:trPr>
        <w:tc>
          <w:tcPr>
            <w:tcW w:w="510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rPr>
              <w:t>Diluted income per share attributable to Reading International, Inc. shareholders</w:t>
            </w:r>
          </w:p>
        </w:tc>
        <w:tc>
          <w:tcPr>
            <w:tcW w:w="1760" w:type="dxa"/>
            <w:vAlign w:val="bottom"/>
            <w:tcBorders>
              <w:bottom w:val="single" w:sz="8" w:color="auto"/>
            </w:tcBorders>
          </w:tcPr>
          <w:p>
            <w:pPr>
              <w:jc w:val="right"/>
              <w:ind w:right="846"/>
              <w:spacing w:after="0"/>
              <w:rPr>
                <w:sz w:val="20"/>
                <w:szCs w:val="20"/>
                <w:color w:val="auto"/>
              </w:rPr>
            </w:pPr>
            <w:r>
              <w:rPr>
                <w:rFonts w:ascii="Arial" w:cs="Arial" w:eastAsia="Arial" w:hAnsi="Arial"/>
                <w:sz w:val="11"/>
                <w:szCs w:val="11"/>
                <w:color w:val="auto"/>
              </w:rPr>
              <w:t>$</w:t>
            </w:r>
          </w:p>
        </w:tc>
        <w:tc>
          <w:tcPr>
            <w:tcW w:w="62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color w:val="auto"/>
              </w:rPr>
              <w:t>0.97</w:t>
            </w:r>
          </w:p>
        </w:tc>
        <w:tc>
          <w:tcPr>
            <w:tcW w:w="1000" w:type="dxa"/>
            <w:vAlign w:val="bottom"/>
            <w:tcBorders>
              <w:bottom w:val="single" w:sz="8" w:color="auto"/>
            </w:tcBorders>
          </w:tcPr>
          <w:p>
            <w:pPr>
              <w:jc w:val="right"/>
              <w:ind w:right="846"/>
              <w:spacing w:after="0"/>
              <w:rPr>
                <w:sz w:val="20"/>
                <w:szCs w:val="20"/>
                <w:color w:val="auto"/>
              </w:rPr>
            </w:pPr>
            <w:r>
              <w:rPr>
                <w:rFonts w:ascii="Arial" w:cs="Arial" w:eastAsia="Arial" w:hAnsi="Arial"/>
                <w:sz w:val="11"/>
                <w:szCs w:val="11"/>
                <w:color w:val="auto"/>
              </w:rPr>
              <w:t>$</w:t>
            </w:r>
          </w:p>
        </w:tc>
        <w:tc>
          <w:tcPr>
            <w:tcW w:w="60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color w:val="auto"/>
              </w:rPr>
              <w:t>1.08</w:t>
            </w:r>
          </w:p>
        </w:tc>
        <w:tc>
          <w:tcPr>
            <w:tcW w:w="380" w:type="dxa"/>
            <w:vAlign w:val="bottom"/>
            <w:tcBorders>
              <w:bottom w:val="single" w:sz="8" w:color="auto"/>
            </w:tcBorders>
          </w:tcPr>
          <w:p>
            <w:pPr>
              <w:jc w:val="right"/>
              <w:ind w:right="226"/>
              <w:spacing w:after="0"/>
              <w:rPr>
                <w:sz w:val="20"/>
                <w:szCs w:val="20"/>
                <w:color w:val="auto"/>
              </w:rPr>
            </w:pPr>
            <w:r>
              <w:rPr>
                <w:rFonts w:ascii="Arial" w:cs="Arial" w:eastAsia="Arial" w:hAnsi="Arial"/>
                <w:sz w:val="11"/>
                <w:szCs w:val="11"/>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0.38</w:t>
            </w:r>
          </w:p>
        </w:tc>
      </w:tr>
      <w:tr>
        <w:trPr>
          <w:trHeight w:val="207"/>
        </w:trPr>
        <w:tc>
          <w:tcPr>
            <w:tcW w:w="510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Weighted average number of shares outstanding–basic</w:t>
            </w:r>
          </w:p>
        </w:tc>
        <w:tc>
          <w:tcPr>
            <w:tcW w:w="176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w w:val="94"/>
              </w:rPr>
              <w:t>23,293,696</w:t>
            </w:r>
          </w:p>
        </w:tc>
        <w:tc>
          <w:tcPr>
            <w:tcW w:w="10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w w:val="90"/>
              </w:rPr>
              <w:t>23,431,855</w:t>
            </w: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23,348,003</w:t>
            </w:r>
          </w:p>
        </w:tc>
      </w:tr>
      <w:tr>
        <w:trPr>
          <w:trHeight w:val="205"/>
        </w:trPr>
        <w:tc>
          <w:tcPr>
            <w:tcW w:w="510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rPr>
              <w:t>Weighted average number of shares outstanding–diluted</w:t>
            </w:r>
          </w:p>
        </w:tc>
        <w:tc>
          <w:tcPr>
            <w:tcW w:w="17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color w:val="auto"/>
                <w:w w:val="94"/>
              </w:rPr>
              <w:t>23,495,618</w:t>
            </w:r>
          </w:p>
        </w:tc>
        <w:tc>
          <w:tcPr>
            <w:tcW w:w="10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color w:val="auto"/>
                <w:w w:val="90"/>
              </w:rPr>
              <w:t>23,749,221</w:t>
            </w:r>
          </w:p>
        </w:tc>
        <w:tc>
          <w:tcPr>
            <w:tcW w:w="3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23,520,271</w:t>
            </w:r>
          </w:p>
        </w:tc>
      </w:tr>
    </w:tbl>
    <w:p>
      <w:pPr>
        <w:spacing w:after="0" w:line="204" w:lineRule="exact"/>
        <w:rPr>
          <w:sz w:val="20"/>
          <w:szCs w:val="20"/>
          <w:color w:val="auto"/>
        </w:rPr>
      </w:pPr>
    </w:p>
    <w:p>
      <w:pPr>
        <w:spacing w:after="0"/>
        <w:rPr>
          <w:sz w:val="20"/>
          <w:szCs w:val="20"/>
          <w:color w:val="auto"/>
        </w:rPr>
      </w:pPr>
      <w:r>
        <w:rPr>
          <w:rFonts w:ascii="Arial" w:cs="Arial" w:eastAsia="Arial" w:hAnsi="Arial"/>
          <w:sz w:val="10"/>
          <w:szCs w:val="10"/>
          <w:color w:val="auto"/>
        </w:rPr>
        <w:t>See accompanying notes to consolidated financial statements.</w:t>
      </w:r>
    </w:p>
    <w:p>
      <w:pPr>
        <w:spacing w:after="0" w:line="110" w:lineRule="exact"/>
        <w:rPr>
          <w:sz w:val="20"/>
          <w:szCs w:val="20"/>
          <w:color w:val="auto"/>
        </w:rPr>
      </w:pPr>
    </w:p>
    <w:p>
      <w:pPr>
        <w:ind w:left="80" w:hanging="76"/>
        <w:spacing w:after="0"/>
        <w:tabs>
          <w:tab w:leader="none" w:pos="80" w:val="left"/>
        </w:tabs>
        <w:numPr>
          <w:ilvl w:val="0"/>
          <w:numId w:val="28"/>
        </w:numPr>
        <w:rPr>
          <w:rFonts w:ascii="Arial" w:cs="Arial" w:eastAsia="Arial" w:hAnsi="Arial"/>
          <w:sz w:val="8"/>
          <w:szCs w:val="8"/>
          <w:color w:val="auto"/>
          <w:vertAlign w:val="superscript"/>
        </w:rPr>
      </w:pPr>
      <w:r>
        <w:rPr>
          <w:rFonts w:ascii="Arial" w:cs="Arial" w:eastAsia="Arial" w:hAnsi="Arial"/>
          <w:sz w:val="8"/>
          <w:szCs w:val="8"/>
          <w:color w:val="auto"/>
        </w:rPr>
        <w:t xml:space="preserve">Certain prior period amounts have been reclassified to conform to the current period presentation (see Note 2 – </w:t>
      </w:r>
      <w:r>
        <w:rPr>
          <w:rFonts w:ascii="Arial" w:cs="Arial" w:eastAsia="Arial" w:hAnsi="Arial"/>
          <w:sz w:val="8"/>
          <w:szCs w:val="8"/>
          <w:i w:val="1"/>
          <w:iCs w:val="1"/>
          <w:color w:val="auto"/>
        </w:rPr>
        <w:t>Significant Accounting Policies – Reclassifications</w:t>
      </w:r>
      <w:r>
        <w:rPr>
          <w:rFonts w:ascii="Arial" w:cs="Arial" w:eastAsia="Arial" w:hAnsi="Arial"/>
          <w:sz w:val="8"/>
          <w:szCs w:val="8"/>
          <w:color w:val="auto"/>
        </w:rPr>
        <w:t>).</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59690</wp:posOffset>
            </wp:positionV>
            <wp:extent cx="677989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779895" cy="42545"/>
                    </a:xfrm>
                    <a:prstGeom prst="rect">
                      <a:avLst/>
                    </a:prstGeom>
                    <a:noFill/>
                  </pic:spPr>
                </pic:pic>
              </a:graphicData>
            </a:graphic>
          </wp:anchor>
        </w:drawing>
      </w:r>
    </w:p>
    <w:p>
      <w:pPr>
        <w:sectPr>
          <w:pgSz w:w="11900" w:h="16838" w:orient="portrait"/>
          <w:cols w:equalWidth="0" w:num="1">
            <w:col w:w="10620"/>
          </w:cols>
          <w:pgMar w:left="640" w:top="136" w:right="639" w:bottom="1440" w:gutter="0" w:footer="0" w:header="0"/>
        </w:sectPr>
      </w:pPr>
    </w:p>
    <w:bookmarkStart w:id="57" w:name="page58"/>
    <w:bookmarkEnd w:id="57"/>
    <w:p>
      <w:pPr>
        <w:spacing w:after="0"/>
        <w:rPr>
          <w:sz w:val="20"/>
          <w:szCs w:val="20"/>
          <w:color w:val="auto"/>
        </w:rPr>
      </w:pPr>
      <w:r>
        <w:rPr>
          <w:rFonts w:ascii="Arial" w:cs="Arial" w:eastAsia="Arial" w:hAnsi="Arial"/>
          <w:sz w:val="12"/>
          <w:szCs w:val="12"/>
          <w:b w:val="1"/>
          <w:bCs w:val="1"/>
          <w:color w:val="auto"/>
        </w:rPr>
        <w:t>Reading International, Inc. and Subsidiaries</w:t>
      </w:r>
    </w:p>
    <w:p>
      <w:pPr>
        <w:spacing w:after="0" w:line="19" w:lineRule="exact"/>
        <w:rPr>
          <w:sz w:val="20"/>
          <w:szCs w:val="20"/>
          <w:color w:val="auto"/>
        </w:rPr>
      </w:pPr>
    </w:p>
    <w:p>
      <w:pPr>
        <w:ind w:right="5220"/>
        <w:spacing w:after="0" w:line="261" w:lineRule="auto"/>
        <w:rPr>
          <w:sz w:val="20"/>
          <w:szCs w:val="20"/>
          <w:color w:val="auto"/>
        </w:rPr>
      </w:pPr>
      <w:r>
        <w:rPr>
          <w:rFonts w:ascii="Arial" w:cs="Arial" w:eastAsia="Arial" w:hAnsi="Arial"/>
          <w:sz w:val="12"/>
          <w:szCs w:val="12"/>
          <w:b w:val="1"/>
          <w:bCs w:val="1"/>
          <w:color w:val="auto"/>
        </w:rPr>
        <w:t>Consolidated Statements of Comprehensive Income (Loss) for the Three Years Ended December 31, 2015 (U.S. dollars in thousands)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6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b w:val="1"/>
                <w:bCs w:val="1"/>
                <w:color w:val="auto"/>
              </w:rPr>
              <w:t>2015</w:t>
            </w:r>
          </w:p>
        </w:tc>
        <w:tc>
          <w:tcPr>
            <w:tcW w:w="6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6"/>
              <w:spacing w:after="0"/>
              <w:rPr>
                <w:sz w:val="20"/>
                <w:szCs w:val="20"/>
                <w:color w:val="auto"/>
              </w:rPr>
            </w:pPr>
            <w:r>
              <w:rPr>
                <w:rFonts w:ascii="Arial" w:cs="Arial" w:eastAsia="Arial" w:hAnsi="Arial"/>
                <w:sz w:val="11"/>
                <w:szCs w:val="11"/>
                <w:b w:val="1"/>
                <w:bCs w:val="1"/>
                <w:color w:val="auto"/>
              </w:rPr>
              <w:t>2014</w:t>
            </w:r>
            <w:r>
              <w:rPr>
                <w:rFonts w:ascii="Arial" w:cs="Arial" w:eastAsia="Arial" w:hAnsi="Arial"/>
                <w:sz w:val="14"/>
                <w:szCs w:val="14"/>
                <w:b w:val="1"/>
                <w:bCs w:val="1"/>
                <w:color w:val="auto"/>
                <w:vertAlign w:val="superscript"/>
              </w:rPr>
              <w:t>(1)</w:t>
            </w:r>
          </w:p>
        </w:tc>
        <w:tc>
          <w:tcPr>
            <w:tcW w:w="5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46"/>
              <w:spacing w:after="0"/>
              <w:rPr>
                <w:sz w:val="20"/>
                <w:szCs w:val="20"/>
                <w:color w:val="auto"/>
              </w:rPr>
            </w:pPr>
            <w:r>
              <w:rPr>
                <w:rFonts w:ascii="Arial" w:cs="Arial" w:eastAsia="Arial" w:hAnsi="Arial"/>
                <w:sz w:val="11"/>
                <w:szCs w:val="11"/>
                <w:b w:val="1"/>
                <w:bCs w:val="1"/>
                <w:color w:val="auto"/>
              </w:rPr>
              <w:t>2013</w:t>
            </w:r>
          </w:p>
        </w:tc>
      </w:tr>
      <w:tr>
        <w:trPr>
          <w:trHeight w:val="169"/>
        </w:trPr>
        <w:tc>
          <w:tcPr>
            <w:tcW w:w="4360" w:type="dxa"/>
            <w:vAlign w:val="bottom"/>
            <w:shd w:val="clear" w:color="auto" w:fill="CCEEFF"/>
          </w:tcPr>
          <w:p>
            <w:pPr>
              <w:spacing w:after="0"/>
              <w:rPr>
                <w:sz w:val="20"/>
                <w:szCs w:val="20"/>
                <w:color w:val="auto"/>
              </w:rPr>
            </w:pPr>
            <w:r>
              <w:rPr>
                <w:rFonts w:ascii="Arial" w:cs="Arial" w:eastAsia="Arial" w:hAnsi="Arial"/>
                <w:sz w:val="11"/>
                <w:szCs w:val="11"/>
                <w:color w:val="auto"/>
              </w:rPr>
              <w:t>Net income</w:t>
            </w:r>
          </w:p>
        </w:tc>
        <w:tc>
          <w:tcPr>
            <w:tcW w:w="2280" w:type="dxa"/>
            <w:vAlign w:val="bottom"/>
            <w:shd w:val="clear" w:color="auto" w:fill="CCEEFF"/>
          </w:tcPr>
          <w:p>
            <w:pPr>
              <w:jc w:val="right"/>
              <w:ind w:right="906"/>
              <w:spacing w:after="0"/>
              <w:rPr>
                <w:sz w:val="20"/>
                <w:szCs w:val="20"/>
                <w:color w:val="auto"/>
              </w:rPr>
            </w:pPr>
            <w:r>
              <w:rPr>
                <w:rFonts w:ascii="Arial" w:cs="Arial" w:eastAsia="Arial" w:hAnsi="Arial"/>
                <w:sz w:val="11"/>
                <w:szCs w:val="11"/>
                <w:color w:val="auto"/>
              </w:rPr>
              <w:t>$</w:t>
            </w:r>
          </w:p>
        </w:tc>
        <w:tc>
          <w:tcPr>
            <w:tcW w:w="620" w:type="dxa"/>
            <w:vAlign w:val="bottom"/>
            <w:shd w:val="clear" w:color="auto" w:fill="CCEEFF"/>
          </w:tcPr>
          <w:p>
            <w:pPr>
              <w:jc w:val="right"/>
              <w:ind w:right="106"/>
              <w:spacing w:after="0"/>
              <w:rPr>
                <w:sz w:val="20"/>
                <w:szCs w:val="20"/>
                <w:color w:val="auto"/>
              </w:rPr>
            </w:pPr>
            <w:r>
              <w:rPr>
                <w:rFonts w:ascii="Arial" w:cs="Arial" w:eastAsia="Arial" w:hAnsi="Arial"/>
                <w:sz w:val="11"/>
                <w:szCs w:val="11"/>
                <w:color w:val="auto"/>
              </w:rPr>
              <w:t>22,694</w:t>
            </w:r>
          </w:p>
        </w:tc>
        <w:tc>
          <w:tcPr>
            <w:tcW w:w="1160" w:type="dxa"/>
            <w:vAlign w:val="bottom"/>
            <w:shd w:val="clear" w:color="auto" w:fill="CCEEFF"/>
          </w:tcPr>
          <w:p>
            <w:pPr>
              <w:jc w:val="right"/>
              <w:ind w:right="926"/>
              <w:spacing w:after="0"/>
              <w:rPr>
                <w:sz w:val="20"/>
                <w:szCs w:val="20"/>
                <w:color w:val="auto"/>
              </w:rPr>
            </w:pPr>
            <w:r>
              <w:rPr>
                <w:rFonts w:ascii="Arial" w:cs="Arial" w:eastAsia="Arial" w:hAnsi="Arial"/>
                <w:sz w:val="11"/>
                <w:szCs w:val="11"/>
                <w:color w:val="auto"/>
              </w:rPr>
              <w:t>$</w:t>
            </w:r>
          </w:p>
        </w:tc>
        <w:tc>
          <w:tcPr>
            <w:tcW w:w="58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rPr>
              <w:t>25,644</w:t>
            </w:r>
          </w:p>
        </w:tc>
        <w:tc>
          <w:tcPr>
            <w:tcW w:w="480" w:type="dxa"/>
            <w:vAlign w:val="bottom"/>
            <w:shd w:val="clear" w:color="auto" w:fill="CCEEFF"/>
          </w:tcPr>
          <w:p>
            <w:pPr>
              <w:jc w:val="right"/>
              <w:ind w:right="246"/>
              <w:spacing w:after="0"/>
              <w:rPr>
                <w:sz w:val="20"/>
                <w:szCs w:val="20"/>
                <w:color w:val="auto"/>
              </w:rPr>
            </w:pPr>
            <w:r>
              <w:rPr>
                <w:rFonts w:ascii="Arial" w:cs="Arial" w:eastAsia="Arial" w:hAnsi="Arial"/>
                <w:sz w:val="11"/>
                <w:szCs w:val="11"/>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9,145</w:t>
            </w:r>
          </w:p>
        </w:tc>
      </w:tr>
      <w:tr>
        <w:trPr>
          <w:trHeight w:val="178"/>
        </w:trPr>
        <w:tc>
          <w:tcPr>
            <w:tcW w:w="4360" w:type="dxa"/>
            <w:vAlign w:val="bottom"/>
          </w:tcPr>
          <w:p>
            <w:pPr>
              <w:spacing w:after="0"/>
              <w:rPr>
                <w:sz w:val="20"/>
                <w:szCs w:val="20"/>
                <w:color w:val="auto"/>
              </w:rPr>
            </w:pPr>
            <w:r>
              <w:rPr>
                <w:rFonts w:ascii="Arial" w:cs="Arial" w:eastAsia="Arial" w:hAnsi="Arial"/>
                <w:sz w:val="11"/>
                <w:szCs w:val="11"/>
                <w:color w:val="auto"/>
              </w:rPr>
              <w:t>Cumulative foreign currency adjustment</w:t>
            </w:r>
          </w:p>
        </w:tc>
        <w:tc>
          <w:tcPr>
            <w:tcW w:w="2280" w:type="dxa"/>
            <w:vAlign w:val="bottom"/>
          </w:tcPr>
          <w:p>
            <w:pPr>
              <w:spacing w:after="0"/>
              <w:rPr>
                <w:sz w:val="15"/>
                <w:szCs w:val="15"/>
                <w:color w:val="auto"/>
              </w:rPr>
            </w:pPr>
          </w:p>
        </w:tc>
        <w:tc>
          <w:tcPr>
            <w:tcW w:w="620" w:type="dxa"/>
            <w:vAlign w:val="bottom"/>
          </w:tcPr>
          <w:p>
            <w:pPr>
              <w:jc w:val="right"/>
              <w:ind w:right="86"/>
              <w:spacing w:after="0"/>
              <w:rPr>
                <w:sz w:val="20"/>
                <w:szCs w:val="20"/>
                <w:color w:val="auto"/>
              </w:rPr>
            </w:pPr>
            <w:r>
              <w:rPr>
                <w:rFonts w:ascii="Arial" w:cs="Arial" w:eastAsia="Arial" w:hAnsi="Arial"/>
                <w:sz w:val="11"/>
                <w:szCs w:val="11"/>
                <w:color w:val="auto"/>
              </w:rPr>
              <w:t>(16,488)</w:t>
            </w:r>
          </w:p>
        </w:tc>
        <w:tc>
          <w:tcPr>
            <w:tcW w:w="1160" w:type="dxa"/>
            <w:vAlign w:val="bottom"/>
          </w:tcPr>
          <w:p>
            <w:pPr>
              <w:spacing w:after="0"/>
              <w:rPr>
                <w:sz w:val="15"/>
                <w:szCs w:val="15"/>
                <w:color w:val="auto"/>
              </w:rPr>
            </w:pP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(14,255)</w:t>
            </w:r>
          </w:p>
        </w:tc>
        <w:tc>
          <w:tcPr>
            <w:tcW w:w="4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(19,368)</w:t>
            </w:r>
          </w:p>
        </w:tc>
      </w:tr>
      <w:tr>
        <w:trPr>
          <w:trHeight w:val="182"/>
        </w:trPr>
        <w:tc>
          <w:tcPr>
            <w:tcW w:w="4360" w:type="dxa"/>
            <w:vAlign w:val="bottom"/>
            <w:shd w:val="clear" w:color="auto" w:fill="CCEEFF"/>
          </w:tcPr>
          <w:p>
            <w:pPr>
              <w:spacing w:after="0"/>
              <w:rPr>
                <w:sz w:val="20"/>
                <w:szCs w:val="20"/>
                <w:color w:val="auto"/>
              </w:rPr>
            </w:pPr>
            <w:r>
              <w:rPr>
                <w:rFonts w:ascii="Arial" w:cs="Arial" w:eastAsia="Arial" w:hAnsi="Arial"/>
                <w:sz w:val="11"/>
                <w:szCs w:val="11"/>
                <w:color w:val="auto"/>
              </w:rPr>
              <w:t>Unrealized income on available for sale investments</w:t>
            </w:r>
          </w:p>
        </w:tc>
        <w:tc>
          <w:tcPr>
            <w:tcW w:w="228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106"/>
              <w:spacing w:after="0"/>
              <w:rPr>
                <w:sz w:val="20"/>
                <w:szCs w:val="20"/>
                <w:color w:val="auto"/>
              </w:rPr>
            </w:pPr>
            <w:r>
              <w:rPr>
                <w:rFonts w:ascii="Arial" w:cs="Arial" w:eastAsia="Arial" w:hAnsi="Arial"/>
                <w:sz w:val="11"/>
                <w:szCs w:val="11"/>
                <w:color w:val="auto"/>
              </w:rPr>
              <w:t>2</w:t>
            </w:r>
          </w:p>
        </w:tc>
        <w:tc>
          <w:tcPr>
            <w:tcW w:w="116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w:t>
            </w:r>
          </w:p>
        </w:tc>
        <w:tc>
          <w:tcPr>
            <w:tcW w:w="4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r>
      <w:tr>
        <w:trPr>
          <w:trHeight w:val="178"/>
        </w:trPr>
        <w:tc>
          <w:tcPr>
            <w:tcW w:w="4360" w:type="dxa"/>
            <w:vAlign w:val="bottom"/>
            <w:tcBorders>
              <w:bottom w:val="single" w:sz="8" w:color="auto"/>
            </w:tcBorders>
          </w:tcPr>
          <w:p>
            <w:pPr>
              <w:spacing w:after="0"/>
              <w:rPr>
                <w:sz w:val="20"/>
                <w:szCs w:val="20"/>
                <w:color w:val="auto"/>
              </w:rPr>
            </w:pPr>
            <w:r>
              <w:rPr>
                <w:rFonts w:ascii="Arial" w:cs="Arial" w:eastAsia="Arial" w:hAnsi="Arial"/>
                <w:sz w:val="11"/>
                <w:szCs w:val="11"/>
                <w:color w:val="auto"/>
              </w:rPr>
              <w:t>Accrued pension service benefit (costs)</w:t>
            </w:r>
          </w:p>
        </w:tc>
        <w:tc>
          <w:tcPr>
            <w:tcW w:w="22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207</w:t>
            </w:r>
          </w:p>
        </w:tc>
        <w:tc>
          <w:tcPr>
            <w:tcW w:w="11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738</w:t>
            </w:r>
          </w:p>
        </w:tc>
        <w:tc>
          <w:tcPr>
            <w:tcW w:w="4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(593)</w:t>
            </w:r>
          </w:p>
        </w:tc>
      </w:tr>
      <w:tr>
        <w:trPr>
          <w:trHeight w:val="162"/>
        </w:trPr>
        <w:tc>
          <w:tcPr>
            <w:tcW w:w="4360" w:type="dxa"/>
            <w:vAlign w:val="bottom"/>
            <w:shd w:val="clear" w:color="auto" w:fill="CCEEFF"/>
          </w:tcPr>
          <w:p>
            <w:pPr>
              <w:spacing w:after="0"/>
              <w:rPr>
                <w:sz w:val="20"/>
                <w:szCs w:val="20"/>
                <w:color w:val="auto"/>
              </w:rPr>
            </w:pPr>
            <w:r>
              <w:rPr>
                <w:rFonts w:ascii="Arial" w:cs="Arial" w:eastAsia="Arial" w:hAnsi="Arial"/>
                <w:sz w:val="11"/>
                <w:szCs w:val="11"/>
                <w:color w:val="auto"/>
              </w:rPr>
              <w:t>Comprehensive income (loss)</w:t>
            </w:r>
          </w:p>
        </w:tc>
        <w:tc>
          <w:tcPr>
            <w:tcW w:w="2280" w:type="dxa"/>
            <w:vAlign w:val="bottom"/>
            <w:shd w:val="clear" w:color="auto" w:fill="CCEEFF"/>
          </w:tcPr>
          <w:p>
            <w:pPr>
              <w:jc w:val="right"/>
              <w:ind w:right="906"/>
              <w:spacing w:after="0"/>
              <w:rPr>
                <w:sz w:val="20"/>
                <w:szCs w:val="20"/>
                <w:color w:val="auto"/>
              </w:rPr>
            </w:pPr>
            <w:r>
              <w:rPr>
                <w:rFonts w:ascii="Arial" w:cs="Arial" w:eastAsia="Arial" w:hAnsi="Arial"/>
                <w:sz w:val="11"/>
                <w:szCs w:val="11"/>
                <w:color w:val="auto"/>
              </w:rPr>
              <w:t>$</w:t>
            </w:r>
          </w:p>
        </w:tc>
        <w:tc>
          <w:tcPr>
            <w:tcW w:w="620" w:type="dxa"/>
            <w:vAlign w:val="bottom"/>
            <w:shd w:val="clear" w:color="auto" w:fill="CCEEFF"/>
          </w:tcPr>
          <w:p>
            <w:pPr>
              <w:jc w:val="right"/>
              <w:ind w:right="106"/>
              <w:spacing w:after="0"/>
              <w:rPr>
                <w:sz w:val="20"/>
                <w:szCs w:val="20"/>
                <w:color w:val="auto"/>
              </w:rPr>
            </w:pPr>
            <w:r>
              <w:rPr>
                <w:rFonts w:ascii="Arial" w:cs="Arial" w:eastAsia="Arial" w:hAnsi="Arial"/>
                <w:sz w:val="11"/>
                <w:szCs w:val="11"/>
                <w:color w:val="auto"/>
              </w:rPr>
              <w:t>6,415</w:t>
            </w:r>
          </w:p>
        </w:tc>
        <w:tc>
          <w:tcPr>
            <w:tcW w:w="1160" w:type="dxa"/>
            <w:vAlign w:val="bottom"/>
            <w:shd w:val="clear" w:color="auto" w:fill="CCEEFF"/>
          </w:tcPr>
          <w:p>
            <w:pPr>
              <w:jc w:val="right"/>
              <w:ind w:right="926"/>
              <w:spacing w:after="0"/>
              <w:rPr>
                <w:sz w:val="20"/>
                <w:szCs w:val="20"/>
                <w:color w:val="auto"/>
              </w:rPr>
            </w:pPr>
            <w:r>
              <w:rPr>
                <w:rFonts w:ascii="Arial" w:cs="Arial" w:eastAsia="Arial" w:hAnsi="Arial"/>
                <w:sz w:val="11"/>
                <w:szCs w:val="11"/>
                <w:color w:val="auto"/>
              </w:rPr>
              <w:t>$</w:t>
            </w:r>
          </w:p>
        </w:tc>
        <w:tc>
          <w:tcPr>
            <w:tcW w:w="58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rPr>
              <w:t>12,127</w:t>
            </w:r>
          </w:p>
        </w:tc>
        <w:tc>
          <w:tcPr>
            <w:tcW w:w="480" w:type="dxa"/>
            <w:vAlign w:val="bottom"/>
            <w:shd w:val="clear" w:color="auto" w:fill="CCEEFF"/>
          </w:tcPr>
          <w:p>
            <w:pPr>
              <w:jc w:val="right"/>
              <w:ind w:right="246"/>
              <w:spacing w:after="0"/>
              <w:rPr>
                <w:sz w:val="20"/>
                <w:szCs w:val="20"/>
                <w:color w:val="auto"/>
              </w:rPr>
            </w:pPr>
            <w:r>
              <w:rPr>
                <w:rFonts w:ascii="Arial" w:cs="Arial" w:eastAsia="Arial" w:hAnsi="Arial"/>
                <w:sz w:val="11"/>
                <w:szCs w:val="11"/>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(10,816)</w:t>
            </w:r>
          </w:p>
        </w:tc>
      </w:tr>
      <w:tr>
        <w:trPr>
          <w:trHeight w:val="178"/>
        </w:trPr>
        <w:tc>
          <w:tcPr>
            <w:tcW w:w="4360" w:type="dxa"/>
            <w:vAlign w:val="bottom"/>
          </w:tcPr>
          <w:p>
            <w:pPr>
              <w:spacing w:after="0"/>
              <w:rPr>
                <w:sz w:val="20"/>
                <w:szCs w:val="20"/>
                <w:color w:val="auto"/>
              </w:rPr>
            </w:pPr>
            <w:r>
              <w:rPr>
                <w:rFonts w:ascii="Arial" w:cs="Arial" w:eastAsia="Arial" w:hAnsi="Arial"/>
                <w:sz w:val="11"/>
                <w:szCs w:val="11"/>
                <w:color w:val="auto"/>
              </w:rPr>
              <w:t>Less: Net income (loss) attributable to noncontrolling interests</w:t>
            </w:r>
          </w:p>
        </w:tc>
        <w:tc>
          <w:tcPr>
            <w:tcW w:w="2280" w:type="dxa"/>
            <w:vAlign w:val="bottom"/>
          </w:tcPr>
          <w:p>
            <w:pPr>
              <w:spacing w:after="0"/>
              <w:rPr>
                <w:sz w:val="15"/>
                <w:szCs w:val="15"/>
                <w:color w:val="auto"/>
              </w:rPr>
            </w:pPr>
          </w:p>
        </w:tc>
        <w:tc>
          <w:tcPr>
            <w:tcW w:w="620" w:type="dxa"/>
            <w:vAlign w:val="bottom"/>
          </w:tcPr>
          <w:p>
            <w:pPr>
              <w:jc w:val="right"/>
              <w:ind w:right="86"/>
              <w:spacing w:after="0"/>
              <w:rPr>
                <w:sz w:val="20"/>
                <w:szCs w:val="20"/>
                <w:color w:val="auto"/>
              </w:rPr>
            </w:pPr>
            <w:r>
              <w:rPr>
                <w:rFonts w:ascii="Arial" w:cs="Arial" w:eastAsia="Arial" w:hAnsi="Arial"/>
                <w:sz w:val="11"/>
                <w:szCs w:val="11"/>
                <w:color w:val="auto"/>
              </w:rPr>
              <w:t>(79)</w:t>
            </w:r>
          </w:p>
        </w:tc>
        <w:tc>
          <w:tcPr>
            <w:tcW w:w="1160" w:type="dxa"/>
            <w:vAlign w:val="bottom"/>
          </w:tcPr>
          <w:p>
            <w:pPr>
              <w:spacing w:after="0"/>
              <w:rPr>
                <w:sz w:val="15"/>
                <w:szCs w:val="15"/>
                <w:color w:val="auto"/>
              </w:rPr>
            </w:pP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(57)</w:t>
            </w:r>
          </w:p>
        </w:tc>
        <w:tc>
          <w:tcPr>
            <w:tcW w:w="4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104</w:t>
            </w:r>
          </w:p>
        </w:tc>
      </w:tr>
      <w:tr>
        <w:trPr>
          <w:trHeight w:val="180"/>
        </w:trPr>
        <w:tc>
          <w:tcPr>
            <w:tcW w:w="43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1"/>
                <w:szCs w:val="11"/>
                <w:color w:val="auto"/>
              </w:rPr>
              <w:t>Less: Comprehensive loss attributable to noncontrolling interests</w:t>
            </w:r>
          </w:p>
        </w:tc>
        <w:tc>
          <w:tcPr>
            <w:tcW w:w="228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color w:val="auto"/>
              </w:rPr>
              <w:t>(46)</w:t>
            </w:r>
          </w:p>
        </w:tc>
        <w:tc>
          <w:tcPr>
            <w:tcW w:w="116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(41)</w:t>
            </w:r>
          </w:p>
        </w:tc>
        <w:tc>
          <w:tcPr>
            <w:tcW w:w="48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(107)</w:t>
            </w:r>
          </w:p>
        </w:tc>
      </w:tr>
      <w:tr>
        <w:trPr>
          <w:trHeight w:val="151"/>
        </w:trPr>
        <w:tc>
          <w:tcPr>
            <w:tcW w:w="4360" w:type="dxa"/>
            <w:vAlign w:val="bottom"/>
            <w:tcBorders>
              <w:bottom w:val="single" w:sz="8" w:color="auto"/>
            </w:tcBorders>
          </w:tcPr>
          <w:p>
            <w:pPr>
              <w:spacing w:after="0"/>
              <w:rPr>
                <w:sz w:val="20"/>
                <w:szCs w:val="20"/>
                <w:color w:val="auto"/>
              </w:rPr>
            </w:pPr>
            <w:r>
              <w:rPr>
                <w:rFonts w:ascii="Arial" w:cs="Arial" w:eastAsia="Arial" w:hAnsi="Arial"/>
                <w:sz w:val="11"/>
                <w:szCs w:val="11"/>
                <w:color w:val="auto"/>
              </w:rPr>
              <w:t>Comprehensive income (loss) attributable to Reading International, Inc.</w:t>
            </w:r>
          </w:p>
        </w:tc>
        <w:tc>
          <w:tcPr>
            <w:tcW w:w="2280" w:type="dxa"/>
            <w:vAlign w:val="bottom"/>
            <w:tcBorders>
              <w:bottom w:val="single" w:sz="8" w:color="auto"/>
            </w:tcBorders>
          </w:tcPr>
          <w:p>
            <w:pPr>
              <w:jc w:val="right"/>
              <w:ind w:right="906"/>
              <w:spacing w:after="0"/>
              <w:rPr>
                <w:sz w:val="20"/>
                <w:szCs w:val="20"/>
                <w:color w:val="auto"/>
              </w:rPr>
            </w:pPr>
            <w:r>
              <w:rPr>
                <w:rFonts w:ascii="Arial" w:cs="Arial" w:eastAsia="Arial" w:hAnsi="Arial"/>
                <w:sz w:val="11"/>
                <w:szCs w:val="11"/>
                <w:color w:val="auto"/>
              </w:rPr>
              <w:t>$</w:t>
            </w:r>
          </w:p>
        </w:tc>
        <w:tc>
          <w:tcPr>
            <w:tcW w:w="62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6,540</w:t>
            </w:r>
          </w:p>
        </w:tc>
        <w:tc>
          <w:tcPr>
            <w:tcW w:w="1160" w:type="dxa"/>
            <w:vAlign w:val="bottom"/>
            <w:tcBorders>
              <w:bottom w:val="single" w:sz="8" w:color="auto"/>
            </w:tcBorders>
          </w:tcPr>
          <w:p>
            <w:pPr>
              <w:jc w:val="right"/>
              <w:ind w:right="926"/>
              <w:spacing w:after="0"/>
              <w:rPr>
                <w:sz w:val="20"/>
                <w:szCs w:val="20"/>
                <w:color w:val="auto"/>
              </w:rPr>
            </w:pPr>
            <w:r>
              <w:rPr>
                <w:rFonts w:ascii="Arial" w:cs="Arial" w:eastAsia="Arial" w:hAnsi="Arial"/>
                <w:sz w:val="11"/>
                <w:szCs w:val="11"/>
                <w:color w:val="auto"/>
              </w:rPr>
              <w:t>$</w:t>
            </w:r>
          </w:p>
        </w:tc>
        <w:tc>
          <w:tcPr>
            <w:tcW w:w="58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12,225</w:t>
            </w:r>
          </w:p>
        </w:tc>
        <w:tc>
          <w:tcPr>
            <w:tcW w:w="480" w:type="dxa"/>
            <w:vAlign w:val="bottom"/>
            <w:tcBorders>
              <w:bottom w:val="single" w:sz="8" w:color="auto"/>
            </w:tcBorders>
          </w:tcPr>
          <w:p>
            <w:pPr>
              <w:jc w:val="right"/>
              <w:ind w:right="246"/>
              <w:spacing w:after="0"/>
              <w:rPr>
                <w:sz w:val="20"/>
                <w:szCs w:val="20"/>
                <w:color w:val="auto"/>
              </w:rPr>
            </w:pPr>
            <w:r>
              <w:rPr>
                <w:rFonts w:ascii="Arial" w:cs="Arial" w:eastAsia="Arial" w:hAnsi="Arial"/>
                <w:sz w:val="11"/>
                <w:szCs w:val="11"/>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(10,813)</w:t>
            </w:r>
          </w:p>
        </w:tc>
      </w:tr>
    </w:tbl>
    <w:p>
      <w:pPr>
        <w:spacing w:after="0" w:line="258" w:lineRule="exact"/>
        <w:rPr>
          <w:sz w:val="20"/>
          <w:szCs w:val="20"/>
          <w:color w:val="auto"/>
        </w:rPr>
      </w:pPr>
    </w:p>
    <w:p>
      <w:pPr>
        <w:spacing w:after="0"/>
        <w:rPr>
          <w:sz w:val="20"/>
          <w:szCs w:val="20"/>
          <w:color w:val="auto"/>
        </w:rPr>
      </w:pPr>
      <w:r>
        <w:rPr>
          <w:rFonts w:ascii="Arial" w:cs="Arial" w:eastAsia="Arial" w:hAnsi="Arial"/>
          <w:sz w:val="10"/>
          <w:szCs w:val="10"/>
          <w:color w:val="auto"/>
        </w:rPr>
        <w:t>See accompanying notes to consolidated financial statements.</w:t>
      </w:r>
    </w:p>
    <w:p>
      <w:pPr>
        <w:spacing w:after="0" w:line="38" w:lineRule="exact"/>
        <w:rPr>
          <w:sz w:val="20"/>
          <w:szCs w:val="20"/>
          <w:color w:val="auto"/>
        </w:rPr>
      </w:pPr>
    </w:p>
    <w:p>
      <w:pPr>
        <w:ind w:left="80" w:hanging="76"/>
        <w:spacing w:after="0"/>
        <w:tabs>
          <w:tab w:leader="none" w:pos="80" w:val="left"/>
        </w:tabs>
        <w:numPr>
          <w:ilvl w:val="0"/>
          <w:numId w:val="29"/>
        </w:numPr>
        <w:rPr>
          <w:rFonts w:ascii="Arial" w:cs="Arial" w:eastAsia="Arial" w:hAnsi="Arial"/>
          <w:sz w:val="8"/>
          <w:szCs w:val="8"/>
          <w:color w:val="auto"/>
          <w:vertAlign w:val="superscript"/>
        </w:rPr>
      </w:pPr>
      <w:r>
        <w:rPr>
          <w:rFonts w:ascii="Arial" w:cs="Arial" w:eastAsia="Arial" w:hAnsi="Arial"/>
          <w:sz w:val="8"/>
          <w:szCs w:val="8"/>
          <w:color w:val="auto"/>
        </w:rPr>
        <w:t xml:space="preserve">Certain prior period amounts have been reclassified to conform to the current period presentation (see Note 2 – </w:t>
      </w:r>
      <w:r>
        <w:rPr>
          <w:rFonts w:ascii="Arial" w:cs="Arial" w:eastAsia="Arial" w:hAnsi="Arial"/>
          <w:sz w:val="8"/>
          <w:szCs w:val="8"/>
          <w:i w:val="1"/>
          <w:iCs w:val="1"/>
          <w:color w:val="auto"/>
        </w:rPr>
        <w:t>Significant Accounting Policies – Reclassifications</w:t>
      </w:r>
      <w:r>
        <w:rPr>
          <w:rFonts w:ascii="Arial" w:cs="Arial" w:eastAsia="Arial" w:hAnsi="Arial"/>
          <w:sz w:val="8"/>
          <w:szCs w:val="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59690</wp:posOffset>
            </wp:positionV>
            <wp:extent cx="677989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779895" cy="42545"/>
                    </a:xfrm>
                    <a:prstGeom prst="rect">
                      <a:avLst/>
                    </a:prstGeom>
                    <a:noFill/>
                  </pic:spPr>
                </pic:pic>
              </a:graphicData>
            </a:graphic>
          </wp:anchor>
        </w:drawing>
      </w:r>
    </w:p>
    <w:p>
      <w:pPr>
        <w:sectPr>
          <w:pgSz w:w="11900" w:h="16838" w:orient="portrait"/>
          <w:cols w:equalWidth="0" w:num="1">
            <w:col w:w="10620"/>
          </w:cols>
          <w:pgMar w:left="640" w:top="397" w:right="639" w:bottom="1440" w:gutter="0" w:footer="0" w:header="0"/>
        </w:sectPr>
      </w:pPr>
    </w:p>
    <w:bookmarkStart w:id="58" w:name="page59"/>
    <w:bookmarkEnd w:id="58"/>
    <w:p>
      <w:pPr>
        <w:spacing w:after="0"/>
        <w:rPr>
          <w:sz w:val="20"/>
          <w:szCs w:val="20"/>
          <w:color w:val="auto"/>
        </w:rPr>
      </w:pPr>
      <w:r>
        <w:rPr>
          <w:rFonts w:ascii="Arial" w:cs="Arial" w:eastAsia="Arial" w:hAnsi="Arial"/>
          <w:sz w:val="10"/>
          <w:szCs w:val="10"/>
          <w:b w:val="1"/>
          <w:bCs w:val="1"/>
          <w:color w:val="auto"/>
        </w:rPr>
        <w:t>Reading International, Inc. and Subsidiaries</w:t>
      </w:r>
    </w:p>
    <w:p>
      <w:pPr>
        <w:spacing w:after="0" w:line="206" w:lineRule="auto"/>
        <w:rPr>
          <w:sz w:val="20"/>
          <w:szCs w:val="20"/>
          <w:color w:val="auto"/>
        </w:rPr>
      </w:pPr>
      <w:r>
        <w:rPr>
          <w:rFonts w:ascii="Arial" w:cs="Arial" w:eastAsia="Arial" w:hAnsi="Arial"/>
          <w:sz w:val="10"/>
          <w:szCs w:val="10"/>
          <w:b w:val="1"/>
          <w:bCs w:val="1"/>
          <w:color w:val="auto"/>
        </w:rPr>
        <w:t>Consolidated Statements of Stockholders’ Equity for the Three Years Ended December 31, 2015</w:t>
      </w:r>
    </w:p>
    <w:p>
      <w:pPr>
        <w:spacing w:after="0" w:line="237" w:lineRule="auto"/>
        <w:rPr>
          <w:sz w:val="20"/>
          <w:szCs w:val="20"/>
          <w:color w:val="auto"/>
        </w:rPr>
      </w:pPr>
      <w:r>
        <w:rPr>
          <w:rFonts w:ascii="Arial" w:cs="Arial" w:eastAsia="Arial" w:hAnsi="Arial"/>
          <w:sz w:val="10"/>
          <w:szCs w:val="10"/>
          <w:b w:val="1"/>
          <w:bCs w:val="1"/>
          <w:color w:val="auto"/>
        </w:rPr>
        <w:t>(In thousands)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01"/>
        </w:trPr>
        <w:tc>
          <w:tcPr>
            <w:tcW w:w="254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180" w:type="dxa"/>
            <w:vAlign w:val="bottom"/>
            <w:tcBorders>
              <w:bottom w:val="single" w:sz="8" w:color="auto"/>
            </w:tcBorders>
            <w:gridSpan w:val="4"/>
          </w:tcPr>
          <w:p>
            <w:pPr>
              <w:jc w:val="right"/>
              <w:ind w:right="380"/>
              <w:spacing w:after="0"/>
              <w:rPr>
                <w:sz w:val="20"/>
                <w:szCs w:val="20"/>
                <w:color w:val="auto"/>
              </w:rPr>
            </w:pPr>
            <w:r>
              <w:rPr>
                <w:rFonts w:ascii="Arial" w:cs="Arial" w:eastAsia="Arial" w:hAnsi="Arial"/>
                <w:sz w:val="8"/>
                <w:szCs w:val="8"/>
                <w:b w:val="1"/>
                <w:bCs w:val="1"/>
                <w:color w:val="auto"/>
              </w:rPr>
              <w:t>Common Stock</w:t>
            </w:r>
          </w:p>
        </w:tc>
        <w:tc>
          <w:tcPr>
            <w:tcW w:w="14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jc w:val="center"/>
              <w:ind w:right="158"/>
              <w:spacing w:after="0"/>
              <w:rPr>
                <w:sz w:val="20"/>
                <w:szCs w:val="20"/>
                <w:color w:val="auto"/>
              </w:rPr>
            </w:pPr>
            <w:r>
              <w:rPr>
                <w:rFonts w:ascii="Arial" w:cs="Arial" w:eastAsia="Arial" w:hAnsi="Arial"/>
                <w:sz w:val="8"/>
                <w:szCs w:val="8"/>
                <w:b w:val="1"/>
                <w:bCs w:val="1"/>
                <w:color w:val="auto"/>
                <w:w w:val="95"/>
              </w:rPr>
              <w:t>Accumulated</w:t>
            </w:r>
          </w:p>
        </w:tc>
        <w:tc>
          <w:tcPr>
            <w:tcW w:w="120" w:type="dxa"/>
            <w:vAlign w:val="bottom"/>
          </w:tcPr>
          <w:p>
            <w:pPr>
              <w:spacing w:after="0"/>
              <w:rPr>
                <w:sz w:val="8"/>
                <w:szCs w:val="8"/>
                <w:color w:val="auto"/>
              </w:rPr>
            </w:pPr>
          </w:p>
        </w:tc>
        <w:tc>
          <w:tcPr>
            <w:tcW w:w="780" w:type="dxa"/>
            <w:vAlign w:val="bottom"/>
          </w:tcPr>
          <w:p>
            <w:pPr>
              <w:jc w:val="center"/>
              <w:ind w:right="198"/>
              <w:spacing w:after="0"/>
              <w:rPr>
                <w:sz w:val="20"/>
                <w:szCs w:val="20"/>
                <w:color w:val="auto"/>
              </w:rPr>
            </w:pPr>
            <w:r>
              <w:rPr>
                <w:rFonts w:ascii="Arial" w:cs="Arial" w:eastAsia="Arial" w:hAnsi="Arial"/>
                <w:sz w:val="8"/>
                <w:szCs w:val="8"/>
                <w:b w:val="1"/>
                <w:bCs w:val="1"/>
                <w:color w:val="auto"/>
                <w:w w:val="94"/>
              </w:rPr>
              <w:t>Reading</w:t>
            </w: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2540" w:type="dxa"/>
            <w:vAlign w:val="bottom"/>
            <w:tcBorders>
              <w:right w:val="single" w:sz="8" w:color="auto"/>
            </w:tcBorders>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Borders>
              <w:right w:val="single" w:sz="8" w:color="auto"/>
            </w:tcBorders>
          </w:tcPr>
          <w:p>
            <w:pPr>
              <w:jc w:val="center"/>
              <w:ind w:right="178"/>
              <w:spacing w:after="0"/>
              <w:rPr>
                <w:sz w:val="20"/>
                <w:szCs w:val="20"/>
                <w:color w:val="auto"/>
              </w:rPr>
            </w:pPr>
            <w:r>
              <w:rPr>
                <w:rFonts w:ascii="Arial" w:cs="Arial" w:eastAsia="Arial" w:hAnsi="Arial"/>
                <w:sz w:val="8"/>
                <w:szCs w:val="8"/>
                <w:b w:val="1"/>
                <w:bCs w:val="1"/>
                <w:color w:val="auto"/>
                <w:w w:val="95"/>
              </w:rPr>
              <w:t>Class A</w:t>
            </w: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Borders>
              <w:right w:val="single" w:sz="8" w:color="auto"/>
            </w:tcBorders>
          </w:tcPr>
          <w:p>
            <w:pPr>
              <w:jc w:val="center"/>
              <w:ind w:right="118"/>
              <w:spacing w:after="0"/>
              <w:rPr>
                <w:sz w:val="20"/>
                <w:szCs w:val="20"/>
                <w:color w:val="auto"/>
              </w:rPr>
            </w:pPr>
            <w:r>
              <w:rPr>
                <w:rFonts w:ascii="Arial" w:cs="Arial" w:eastAsia="Arial" w:hAnsi="Arial"/>
                <w:sz w:val="8"/>
                <w:szCs w:val="8"/>
                <w:b w:val="1"/>
                <w:bCs w:val="1"/>
                <w:color w:val="auto"/>
                <w:w w:val="95"/>
              </w:rPr>
              <w:t>Class B</w:t>
            </w:r>
          </w:p>
        </w:tc>
        <w:tc>
          <w:tcPr>
            <w:tcW w:w="140" w:type="dxa"/>
            <w:vAlign w:val="bottom"/>
          </w:tcPr>
          <w:p>
            <w:pPr>
              <w:spacing w:after="0"/>
              <w:rPr>
                <w:sz w:val="11"/>
                <w:szCs w:val="11"/>
                <w:color w:val="auto"/>
              </w:rPr>
            </w:pPr>
          </w:p>
        </w:tc>
        <w:tc>
          <w:tcPr>
            <w:tcW w:w="620" w:type="dxa"/>
            <w:vAlign w:val="bottom"/>
          </w:tcPr>
          <w:p>
            <w:pPr>
              <w:jc w:val="right"/>
              <w:ind w:right="178"/>
              <w:spacing w:after="0"/>
              <w:rPr>
                <w:sz w:val="20"/>
                <w:szCs w:val="20"/>
                <w:color w:val="auto"/>
              </w:rPr>
            </w:pPr>
            <w:r>
              <w:rPr>
                <w:rFonts w:ascii="Arial" w:cs="Arial" w:eastAsia="Arial" w:hAnsi="Arial"/>
                <w:sz w:val="8"/>
                <w:szCs w:val="8"/>
                <w:b w:val="1"/>
                <w:bCs w:val="1"/>
                <w:color w:val="auto"/>
                <w:w w:val="97"/>
              </w:rPr>
              <w:t>Additional</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center"/>
              <w:ind w:right="158"/>
              <w:spacing w:after="0"/>
              <w:rPr>
                <w:sz w:val="20"/>
                <w:szCs w:val="20"/>
                <w:color w:val="auto"/>
              </w:rPr>
            </w:pPr>
            <w:r>
              <w:rPr>
                <w:rFonts w:ascii="Arial" w:cs="Arial" w:eastAsia="Arial" w:hAnsi="Arial"/>
                <w:sz w:val="8"/>
                <w:szCs w:val="8"/>
                <w:b w:val="1"/>
                <w:bCs w:val="1"/>
                <w:color w:val="auto"/>
                <w:w w:val="93"/>
              </w:rPr>
              <w:t>Other</w:t>
            </w:r>
          </w:p>
        </w:tc>
        <w:tc>
          <w:tcPr>
            <w:tcW w:w="900" w:type="dxa"/>
            <w:vAlign w:val="bottom"/>
            <w:gridSpan w:val="2"/>
          </w:tcPr>
          <w:p>
            <w:pPr>
              <w:jc w:val="center"/>
              <w:ind w:right="78"/>
              <w:spacing w:after="0"/>
              <w:rPr>
                <w:sz w:val="20"/>
                <w:szCs w:val="20"/>
                <w:color w:val="auto"/>
              </w:rPr>
            </w:pPr>
            <w:r>
              <w:rPr>
                <w:rFonts w:ascii="Arial" w:cs="Arial" w:eastAsia="Arial" w:hAnsi="Arial"/>
                <w:sz w:val="8"/>
                <w:szCs w:val="8"/>
                <w:b w:val="1"/>
                <w:bCs w:val="1"/>
                <w:color w:val="auto"/>
                <w:w w:val="96"/>
              </w:rPr>
              <w:t>International Inc.</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center"/>
              <w:ind w:right="118"/>
              <w:spacing w:after="0"/>
              <w:rPr>
                <w:sz w:val="20"/>
                <w:szCs w:val="20"/>
                <w:color w:val="auto"/>
              </w:rPr>
            </w:pPr>
            <w:r>
              <w:rPr>
                <w:rFonts w:ascii="Arial" w:cs="Arial" w:eastAsia="Arial" w:hAnsi="Arial"/>
                <w:sz w:val="8"/>
                <w:szCs w:val="8"/>
                <w:b w:val="1"/>
                <w:bCs w:val="1"/>
                <w:color w:val="auto"/>
                <w:w w:val="93"/>
              </w:rPr>
              <w:t>Total</w:t>
            </w:r>
          </w:p>
        </w:tc>
        <w:tc>
          <w:tcPr>
            <w:tcW w:w="0" w:type="dxa"/>
            <w:vAlign w:val="bottom"/>
          </w:tcPr>
          <w:p>
            <w:pPr>
              <w:spacing w:after="0"/>
              <w:rPr>
                <w:sz w:val="1"/>
                <w:szCs w:val="1"/>
                <w:color w:val="auto"/>
              </w:rPr>
            </w:pPr>
          </w:p>
        </w:tc>
      </w:tr>
      <w:tr>
        <w:trPr>
          <w:trHeight w:val="144"/>
        </w:trPr>
        <w:tc>
          <w:tcPr>
            <w:tcW w:w="2540" w:type="dxa"/>
            <w:vAlign w:val="bottom"/>
            <w:tcBorders>
              <w:right w:val="single" w:sz="8" w:color="auto"/>
            </w:tcBorders>
          </w:tcPr>
          <w:p>
            <w:pPr>
              <w:spacing w:after="0"/>
              <w:rPr>
                <w:sz w:val="12"/>
                <w:szCs w:val="12"/>
                <w:color w:val="auto"/>
              </w:rPr>
            </w:pPr>
          </w:p>
        </w:tc>
        <w:tc>
          <w:tcPr>
            <w:tcW w:w="540" w:type="dxa"/>
            <w:vAlign w:val="bottom"/>
            <w:tcBorders>
              <w:right w:val="single" w:sz="8" w:color="auto"/>
            </w:tcBorders>
          </w:tcPr>
          <w:p>
            <w:pPr>
              <w:jc w:val="right"/>
              <w:ind w:right="138"/>
              <w:spacing w:after="0"/>
              <w:rPr>
                <w:sz w:val="20"/>
                <w:szCs w:val="20"/>
                <w:color w:val="auto"/>
              </w:rPr>
            </w:pPr>
            <w:r>
              <w:rPr>
                <w:rFonts w:ascii="Arial" w:cs="Arial" w:eastAsia="Arial" w:hAnsi="Arial"/>
                <w:sz w:val="8"/>
                <w:szCs w:val="8"/>
                <w:b w:val="1"/>
                <w:bCs w:val="1"/>
                <w:color w:val="auto"/>
              </w:rPr>
              <w:t>Class A</w:t>
            </w:r>
          </w:p>
        </w:tc>
        <w:tc>
          <w:tcPr>
            <w:tcW w:w="180" w:type="dxa"/>
            <w:vAlign w:val="bottom"/>
          </w:tcPr>
          <w:p>
            <w:pPr>
              <w:spacing w:after="0"/>
              <w:rPr>
                <w:sz w:val="12"/>
                <w:szCs w:val="12"/>
                <w:color w:val="auto"/>
              </w:rPr>
            </w:pPr>
          </w:p>
        </w:tc>
        <w:tc>
          <w:tcPr>
            <w:tcW w:w="500" w:type="dxa"/>
            <w:vAlign w:val="bottom"/>
            <w:tcBorders>
              <w:right w:val="single" w:sz="8" w:color="auto"/>
            </w:tcBorders>
          </w:tcPr>
          <w:p>
            <w:pPr>
              <w:jc w:val="center"/>
              <w:ind w:right="178"/>
              <w:spacing w:after="0"/>
              <w:rPr>
                <w:sz w:val="20"/>
                <w:szCs w:val="20"/>
                <w:color w:val="auto"/>
              </w:rPr>
            </w:pPr>
            <w:r>
              <w:rPr>
                <w:rFonts w:ascii="Arial" w:cs="Arial" w:eastAsia="Arial" w:hAnsi="Arial"/>
                <w:sz w:val="8"/>
                <w:szCs w:val="8"/>
                <w:b w:val="1"/>
                <w:bCs w:val="1"/>
                <w:color w:val="auto"/>
                <w:w w:val="92"/>
              </w:rPr>
              <w:t>Par</w:t>
            </w:r>
          </w:p>
        </w:tc>
        <w:tc>
          <w:tcPr>
            <w:tcW w:w="40" w:type="dxa"/>
            <w:vAlign w:val="bottom"/>
          </w:tcPr>
          <w:p>
            <w:pPr>
              <w:spacing w:after="0"/>
              <w:rPr>
                <w:sz w:val="12"/>
                <w:szCs w:val="12"/>
                <w:color w:val="auto"/>
              </w:rPr>
            </w:pPr>
          </w:p>
        </w:tc>
        <w:tc>
          <w:tcPr>
            <w:tcW w:w="64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8"/>
                <w:szCs w:val="8"/>
                <w:b w:val="1"/>
                <w:bCs w:val="1"/>
                <w:color w:val="auto"/>
              </w:rPr>
              <w:t>Class B</w:t>
            </w:r>
          </w:p>
        </w:tc>
        <w:tc>
          <w:tcPr>
            <w:tcW w:w="140" w:type="dxa"/>
            <w:vAlign w:val="bottom"/>
          </w:tcPr>
          <w:p>
            <w:pPr>
              <w:spacing w:after="0"/>
              <w:rPr>
                <w:sz w:val="12"/>
                <w:szCs w:val="12"/>
                <w:color w:val="auto"/>
              </w:rPr>
            </w:pPr>
          </w:p>
        </w:tc>
        <w:tc>
          <w:tcPr>
            <w:tcW w:w="480" w:type="dxa"/>
            <w:vAlign w:val="bottom"/>
            <w:tcBorders>
              <w:right w:val="single" w:sz="8" w:color="auto"/>
            </w:tcBorders>
          </w:tcPr>
          <w:p>
            <w:pPr>
              <w:jc w:val="center"/>
              <w:ind w:right="118"/>
              <w:spacing w:after="0"/>
              <w:rPr>
                <w:sz w:val="20"/>
                <w:szCs w:val="20"/>
                <w:color w:val="auto"/>
              </w:rPr>
            </w:pPr>
            <w:r>
              <w:rPr>
                <w:rFonts w:ascii="Arial" w:cs="Arial" w:eastAsia="Arial" w:hAnsi="Arial"/>
                <w:sz w:val="8"/>
                <w:szCs w:val="8"/>
                <w:b w:val="1"/>
                <w:bCs w:val="1"/>
                <w:color w:val="auto"/>
                <w:w w:val="92"/>
              </w:rPr>
              <w:t>Par</w:t>
            </w:r>
          </w:p>
        </w:tc>
        <w:tc>
          <w:tcPr>
            <w:tcW w:w="140" w:type="dxa"/>
            <w:vAlign w:val="bottom"/>
          </w:tcPr>
          <w:p>
            <w:pPr>
              <w:spacing w:after="0"/>
              <w:rPr>
                <w:sz w:val="12"/>
                <w:szCs w:val="12"/>
                <w:color w:val="auto"/>
              </w:rPr>
            </w:pPr>
          </w:p>
        </w:tc>
        <w:tc>
          <w:tcPr>
            <w:tcW w:w="620" w:type="dxa"/>
            <w:vAlign w:val="bottom"/>
          </w:tcPr>
          <w:p>
            <w:pPr>
              <w:jc w:val="right"/>
              <w:ind w:right="238"/>
              <w:spacing w:after="0"/>
              <w:rPr>
                <w:sz w:val="20"/>
                <w:szCs w:val="20"/>
                <w:color w:val="auto"/>
              </w:rPr>
            </w:pPr>
            <w:r>
              <w:rPr>
                <w:rFonts w:ascii="Arial" w:cs="Arial" w:eastAsia="Arial" w:hAnsi="Arial"/>
                <w:sz w:val="8"/>
                <w:szCs w:val="8"/>
                <w:b w:val="1"/>
                <w:bCs w:val="1"/>
                <w:color w:val="auto"/>
              </w:rPr>
              <w:t>Paid-In</w:t>
            </w:r>
          </w:p>
        </w:tc>
        <w:tc>
          <w:tcPr>
            <w:tcW w:w="100" w:type="dxa"/>
            <w:vAlign w:val="bottom"/>
          </w:tcPr>
          <w:p>
            <w:pPr>
              <w:spacing w:after="0"/>
              <w:rPr>
                <w:sz w:val="12"/>
                <w:szCs w:val="12"/>
                <w:color w:val="auto"/>
              </w:rPr>
            </w:pPr>
          </w:p>
        </w:tc>
        <w:tc>
          <w:tcPr>
            <w:tcW w:w="700" w:type="dxa"/>
            <w:vAlign w:val="bottom"/>
          </w:tcPr>
          <w:p>
            <w:pPr>
              <w:jc w:val="right"/>
              <w:ind w:right="178"/>
              <w:spacing w:after="0"/>
              <w:rPr>
                <w:sz w:val="20"/>
                <w:szCs w:val="20"/>
                <w:color w:val="auto"/>
              </w:rPr>
            </w:pPr>
            <w:r>
              <w:rPr>
                <w:rFonts w:ascii="Arial" w:cs="Arial" w:eastAsia="Arial" w:hAnsi="Arial"/>
                <w:sz w:val="8"/>
                <w:szCs w:val="8"/>
                <w:b w:val="1"/>
                <w:bCs w:val="1"/>
                <w:color w:val="auto"/>
                <w:w w:val="91"/>
              </w:rPr>
              <w:t>Accumulated</w:t>
            </w:r>
          </w:p>
        </w:tc>
        <w:tc>
          <w:tcPr>
            <w:tcW w:w="120" w:type="dxa"/>
            <w:vAlign w:val="bottom"/>
          </w:tcPr>
          <w:p>
            <w:pPr>
              <w:spacing w:after="0"/>
              <w:rPr>
                <w:sz w:val="12"/>
                <w:szCs w:val="12"/>
                <w:color w:val="auto"/>
              </w:rPr>
            </w:pPr>
          </w:p>
        </w:tc>
        <w:tc>
          <w:tcPr>
            <w:tcW w:w="620" w:type="dxa"/>
            <w:vAlign w:val="bottom"/>
          </w:tcPr>
          <w:p>
            <w:pPr>
              <w:jc w:val="right"/>
              <w:ind w:right="218"/>
              <w:spacing w:after="0"/>
              <w:rPr>
                <w:sz w:val="20"/>
                <w:szCs w:val="20"/>
                <w:color w:val="auto"/>
              </w:rPr>
            </w:pPr>
            <w:r>
              <w:rPr>
                <w:rFonts w:ascii="Arial" w:cs="Arial" w:eastAsia="Arial" w:hAnsi="Arial"/>
                <w:sz w:val="8"/>
                <w:szCs w:val="8"/>
                <w:b w:val="1"/>
                <w:bCs w:val="1"/>
                <w:color w:val="auto"/>
              </w:rPr>
              <w:t>Treasury</w:t>
            </w:r>
          </w:p>
        </w:tc>
        <w:tc>
          <w:tcPr>
            <w:tcW w:w="800" w:type="dxa"/>
            <w:vAlign w:val="bottom"/>
            <w:gridSpan w:val="2"/>
          </w:tcPr>
          <w:p>
            <w:pPr>
              <w:jc w:val="center"/>
              <w:ind w:right="78"/>
              <w:spacing w:after="0"/>
              <w:rPr>
                <w:sz w:val="20"/>
                <w:szCs w:val="20"/>
                <w:color w:val="auto"/>
              </w:rPr>
            </w:pPr>
            <w:r>
              <w:rPr>
                <w:rFonts w:ascii="Arial" w:cs="Arial" w:eastAsia="Arial" w:hAnsi="Arial"/>
                <w:sz w:val="8"/>
                <w:szCs w:val="8"/>
                <w:b w:val="1"/>
                <w:bCs w:val="1"/>
                <w:color w:val="auto"/>
                <w:w w:val="93"/>
              </w:rPr>
              <w:t>Comprehensive</w:t>
            </w:r>
          </w:p>
        </w:tc>
        <w:tc>
          <w:tcPr>
            <w:tcW w:w="120" w:type="dxa"/>
            <w:vAlign w:val="bottom"/>
          </w:tcPr>
          <w:p>
            <w:pPr>
              <w:spacing w:after="0"/>
              <w:rPr>
                <w:sz w:val="12"/>
                <w:szCs w:val="12"/>
                <w:color w:val="auto"/>
              </w:rPr>
            </w:pPr>
          </w:p>
        </w:tc>
        <w:tc>
          <w:tcPr>
            <w:tcW w:w="780" w:type="dxa"/>
            <w:vAlign w:val="bottom"/>
          </w:tcPr>
          <w:p>
            <w:pPr>
              <w:jc w:val="center"/>
              <w:ind w:right="198"/>
              <w:spacing w:after="0"/>
              <w:rPr>
                <w:sz w:val="20"/>
                <w:szCs w:val="20"/>
                <w:color w:val="auto"/>
              </w:rPr>
            </w:pPr>
            <w:r>
              <w:rPr>
                <w:rFonts w:ascii="Arial" w:cs="Arial" w:eastAsia="Arial" w:hAnsi="Arial"/>
                <w:sz w:val="8"/>
                <w:szCs w:val="8"/>
                <w:b w:val="1"/>
                <w:bCs w:val="1"/>
                <w:color w:val="auto"/>
                <w:w w:val="94"/>
              </w:rPr>
              <w:t>Stockholders’</w:t>
            </w:r>
          </w:p>
        </w:tc>
        <w:tc>
          <w:tcPr>
            <w:tcW w:w="800" w:type="dxa"/>
            <w:vAlign w:val="bottom"/>
            <w:gridSpan w:val="2"/>
          </w:tcPr>
          <w:p>
            <w:pPr>
              <w:jc w:val="right"/>
              <w:ind w:right="138"/>
              <w:spacing w:after="0"/>
              <w:rPr>
                <w:sz w:val="20"/>
                <w:szCs w:val="20"/>
                <w:color w:val="auto"/>
              </w:rPr>
            </w:pPr>
            <w:r>
              <w:rPr>
                <w:rFonts w:ascii="Arial" w:cs="Arial" w:eastAsia="Arial" w:hAnsi="Arial"/>
                <w:sz w:val="8"/>
                <w:szCs w:val="8"/>
                <w:b w:val="1"/>
                <w:bCs w:val="1"/>
                <w:color w:val="auto"/>
              </w:rPr>
              <w:t>Noncontrolling</w:t>
            </w:r>
          </w:p>
        </w:tc>
        <w:tc>
          <w:tcPr>
            <w:tcW w:w="100" w:type="dxa"/>
            <w:vAlign w:val="bottom"/>
          </w:tcPr>
          <w:p>
            <w:pPr>
              <w:spacing w:after="0"/>
              <w:rPr>
                <w:sz w:val="12"/>
                <w:szCs w:val="12"/>
                <w:color w:val="auto"/>
              </w:rPr>
            </w:pPr>
          </w:p>
        </w:tc>
        <w:tc>
          <w:tcPr>
            <w:tcW w:w="660" w:type="dxa"/>
            <w:vAlign w:val="bottom"/>
          </w:tcPr>
          <w:p>
            <w:pPr>
              <w:jc w:val="center"/>
              <w:ind w:right="118"/>
              <w:spacing w:after="0"/>
              <w:rPr>
                <w:sz w:val="20"/>
                <w:szCs w:val="20"/>
                <w:color w:val="auto"/>
              </w:rPr>
            </w:pPr>
            <w:r>
              <w:rPr>
                <w:rFonts w:ascii="Arial" w:cs="Arial" w:eastAsia="Arial" w:hAnsi="Arial"/>
                <w:sz w:val="8"/>
                <w:szCs w:val="8"/>
                <w:b w:val="1"/>
                <w:bCs w:val="1"/>
                <w:color w:val="auto"/>
                <w:w w:val="94"/>
              </w:rPr>
              <w:t>Stockholders’</w:t>
            </w:r>
          </w:p>
        </w:tc>
        <w:tc>
          <w:tcPr>
            <w:tcW w:w="0" w:type="dxa"/>
            <w:vAlign w:val="bottom"/>
          </w:tcPr>
          <w:p>
            <w:pPr>
              <w:spacing w:after="0"/>
              <w:rPr>
                <w:sz w:val="1"/>
                <w:szCs w:val="1"/>
                <w:color w:val="auto"/>
              </w:rPr>
            </w:pPr>
          </w:p>
        </w:tc>
      </w:tr>
      <w:tr>
        <w:trPr>
          <w:trHeight w:val="138"/>
        </w:trPr>
        <w:tc>
          <w:tcPr>
            <w:tcW w:w="2540" w:type="dxa"/>
            <w:vAlign w:val="bottom"/>
            <w:tcBorders>
              <w:bottom w:val="single" w:sz="8" w:color="auto"/>
              <w:right w:val="single" w:sz="8" w:color="auto"/>
            </w:tcBorders>
          </w:tcPr>
          <w:p>
            <w:pPr>
              <w:spacing w:after="0"/>
              <w:rPr>
                <w:sz w:val="12"/>
                <w:szCs w:val="12"/>
                <w:color w:val="auto"/>
              </w:rPr>
            </w:pPr>
          </w:p>
        </w:tc>
        <w:tc>
          <w:tcPr>
            <w:tcW w:w="540" w:type="dxa"/>
            <w:vAlign w:val="bottom"/>
            <w:tcBorders>
              <w:bottom w:val="single" w:sz="8" w:color="auto"/>
              <w:right w:val="single" w:sz="8" w:color="auto"/>
            </w:tcBorders>
          </w:tcPr>
          <w:p>
            <w:pPr>
              <w:jc w:val="right"/>
              <w:ind w:right="158"/>
              <w:spacing w:after="0"/>
              <w:rPr>
                <w:sz w:val="20"/>
                <w:szCs w:val="20"/>
                <w:color w:val="auto"/>
              </w:rPr>
            </w:pPr>
            <w:r>
              <w:rPr>
                <w:rFonts w:ascii="Arial" w:cs="Arial" w:eastAsia="Arial" w:hAnsi="Arial"/>
                <w:sz w:val="8"/>
                <w:szCs w:val="8"/>
                <w:b w:val="1"/>
                <w:bCs w:val="1"/>
                <w:color w:val="auto"/>
              </w:rPr>
              <w:t>Shares</w:t>
            </w:r>
          </w:p>
        </w:tc>
        <w:tc>
          <w:tcPr>
            <w:tcW w:w="180" w:type="dxa"/>
            <w:vAlign w:val="bottom"/>
            <w:tcBorders>
              <w:bottom w:val="single" w:sz="8" w:color="auto"/>
            </w:tcBorders>
          </w:tcPr>
          <w:p>
            <w:pPr>
              <w:spacing w:after="0"/>
              <w:rPr>
                <w:sz w:val="12"/>
                <w:szCs w:val="12"/>
                <w:color w:val="auto"/>
              </w:rPr>
            </w:pPr>
          </w:p>
        </w:tc>
        <w:tc>
          <w:tcPr>
            <w:tcW w:w="500" w:type="dxa"/>
            <w:vAlign w:val="bottom"/>
            <w:tcBorders>
              <w:bottom w:val="single" w:sz="8" w:color="auto"/>
              <w:right w:val="single" w:sz="8" w:color="auto"/>
            </w:tcBorders>
          </w:tcPr>
          <w:p>
            <w:pPr>
              <w:jc w:val="center"/>
              <w:ind w:right="178"/>
              <w:spacing w:after="0"/>
              <w:rPr>
                <w:sz w:val="20"/>
                <w:szCs w:val="20"/>
                <w:color w:val="auto"/>
              </w:rPr>
            </w:pPr>
            <w:r>
              <w:rPr>
                <w:rFonts w:ascii="Arial" w:cs="Arial" w:eastAsia="Arial" w:hAnsi="Arial"/>
                <w:sz w:val="8"/>
                <w:szCs w:val="8"/>
                <w:b w:val="1"/>
                <w:bCs w:val="1"/>
                <w:color w:val="auto"/>
                <w:w w:val="93"/>
              </w:rPr>
              <w:t>Value</w:t>
            </w:r>
          </w:p>
        </w:tc>
        <w:tc>
          <w:tcPr>
            <w:tcW w:w="40" w:type="dxa"/>
            <w:vAlign w:val="bottom"/>
            <w:tcBorders>
              <w:bottom w:val="single" w:sz="8" w:color="auto"/>
            </w:tcBorders>
          </w:tcPr>
          <w:p>
            <w:pPr>
              <w:spacing w:after="0"/>
              <w:rPr>
                <w:sz w:val="12"/>
                <w:szCs w:val="12"/>
                <w:color w:val="auto"/>
              </w:rPr>
            </w:pPr>
          </w:p>
        </w:tc>
        <w:tc>
          <w:tcPr>
            <w:tcW w:w="640" w:type="dxa"/>
            <w:vAlign w:val="bottom"/>
            <w:tcBorders>
              <w:bottom w:val="single" w:sz="8" w:color="auto"/>
              <w:right w:val="single" w:sz="8" w:color="auto"/>
            </w:tcBorders>
            <w:gridSpan w:val="2"/>
          </w:tcPr>
          <w:p>
            <w:pPr>
              <w:jc w:val="right"/>
              <w:ind w:right="240"/>
              <w:spacing w:after="0"/>
              <w:rPr>
                <w:sz w:val="20"/>
                <w:szCs w:val="20"/>
                <w:color w:val="auto"/>
              </w:rPr>
            </w:pPr>
            <w:r>
              <w:rPr>
                <w:rFonts w:ascii="Arial" w:cs="Arial" w:eastAsia="Arial" w:hAnsi="Arial"/>
                <w:sz w:val="8"/>
                <w:szCs w:val="8"/>
                <w:b w:val="1"/>
                <w:bCs w:val="1"/>
                <w:color w:val="auto"/>
              </w:rPr>
              <w:t>Shares</w:t>
            </w:r>
          </w:p>
        </w:tc>
        <w:tc>
          <w:tcPr>
            <w:tcW w:w="140" w:type="dxa"/>
            <w:vAlign w:val="bottom"/>
            <w:tcBorders>
              <w:bottom w:val="single" w:sz="8" w:color="auto"/>
            </w:tcBorders>
          </w:tcPr>
          <w:p>
            <w:pPr>
              <w:spacing w:after="0"/>
              <w:rPr>
                <w:sz w:val="12"/>
                <w:szCs w:val="12"/>
                <w:color w:val="auto"/>
              </w:rPr>
            </w:pPr>
          </w:p>
        </w:tc>
        <w:tc>
          <w:tcPr>
            <w:tcW w:w="480" w:type="dxa"/>
            <w:vAlign w:val="bottom"/>
            <w:tcBorders>
              <w:bottom w:val="single" w:sz="8" w:color="auto"/>
              <w:right w:val="single" w:sz="8" w:color="auto"/>
            </w:tcBorders>
          </w:tcPr>
          <w:p>
            <w:pPr>
              <w:jc w:val="center"/>
              <w:ind w:right="118"/>
              <w:spacing w:after="0"/>
              <w:rPr>
                <w:sz w:val="20"/>
                <w:szCs w:val="20"/>
                <w:color w:val="auto"/>
              </w:rPr>
            </w:pPr>
            <w:r>
              <w:rPr>
                <w:rFonts w:ascii="Arial" w:cs="Arial" w:eastAsia="Arial" w:hAnsi="Arial"/>
                <w:sz w:val="8"/>
                <w:szCs w:val="8"/>
                <w:b w:val="1"/>
                <w:bCs w:val="1"/>
                <w:color w:val="auto"/>
                <w:w w:val="93"/>
              </w:rPr>
              <w:t>Value</w:t>
            </w: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238"/>
              <w:spacing w:after="0"/>
              <w:rPr>
                <w:sz w:val="20"/>
                <w:szCs w:val="20"/>
                <w:color w:val="auto"/>
              </w:rPr>
            </w:pPr>
            <w:r>
              <w:rPr>
                <w:rFonts w:ascii="Arial" w:cs="Arial" w:eastAsia="Arial" w:hAnsi="Arial"/>
                <w:sz w:val="8"/>
                <w:szCs w:val="8"/>
                <w:b w:val="1"/>
                <w:bCs w:val="1"/>
                <w:color w:val="auto"/>
              </w:rPr>
              <w:t>Capital</w:t>
            </w: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98"/>
              <w:spacing w:after="0"/>
              <w:rPr>
                <w:sz w:val="20"/>
                <w:szCs w:val="20"/>
                <w:color w:val="auto"/>
              </w:rPr>
            </w:pPr>
            <w:r>
              <w:rPr>
                <w:rFonts w:ascii="Arial" w:cs="Arial" w:eastAsia="Arial" w:hAnsi="Arial"/>
                <w:sz w:val="8"/>
                <w:szCs w:val="8"/>
                <w:b w:val="1"/>
                <w:bCs w:val="1"/>
                <w:color w:val="auto"/>
              </w:rPr>
              <w:t>Deficit</w:t>
            </w:r>
          </w:p>
        </w:tc>
        <w:tc>
          <w:tcPr>
            <w:tcW w:w="1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278"/>
              <w:spacing w:after="0"/>
              <w:rPr>
                <w:sz w:val="20"/>
                <w:szCs w:val="20"/>
                <w:color w:val="auto"/>
              </w:rPr>
            </w:pPr>
            <w:r>
              <w:rPr>
                <w:rFonts w:ascii="Arial" w:cs="Arial" w:eastAsia="Arial" w:hAnsi="Arial"/>
                <w:sz w:val="8"/>
                <w:szCs w:val="8"/>
                <w:b w:val="1"/>
                <w:bCs w:val="1"/>
                <w:color w:val="auto"/>
              </w:rPr>
              <w:t>Stock</w:t>
            </w: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center"/>
              <w:ind w:right="158"/>
              <w:spacing w:after="0"/>
              <w:rPr>
                <w:sz w:val="20"/>
                <w:szCs w:val="20"/>
                <w:color w:val="auto"/>
              </w:rPr>
            </w:pPr>
            <w:r>
              <w:rPr>
                <w:rFonts w:ascii="Arial" w:cs="Arial" w:eastAsia="Arial" w:hAnsi="Arial"/>
                <w:sz w:val="8"/>
                <w:szCs w:val="8"/>
                <w:b w:val="1"/>
                <w:bCs w:val="1"/>
                <w:color w:val="auto"/>
                <w:w w:val="95"/>
              </w:rPr>
              <w:t>Income/(Loss)</w:t>
            </w:r>
          </w:p>
        </w:tc>
        <w:tc>
          <w:tcPr>
            <w:tcW w:w="1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center"/>
              <w:ind w:right="178"/>
              <w:spacing w:after="0"/>
              <w:rPr>
                <w:sz w:val="20"/>
                <w:szCs w:val="20"/>
                <w:color w:val="auto"/>
              </w:rPr>
            </w:pPr>
            <w:r>
              <w:rPr>
                <w:rFonts w:ascii="Arial" w:cs="Arial" w:eastAsia="Arial" w:hAnsi="Arial"/>
                <w:sz w:val="8"/>
                <w:szCs w:val="8"/>
                <w:b w:val="1"/>
                <w:bCs w:val="1"/>
                <w:color w:val="auto"/>
                <w:w w:val="97"/>
              </w:rPr>
              <w:t>Equity</w:t>
            </w:r>
          </w:p>
        </w:tc>
        <w:tc>
          <w:tcPr>
            <w:tcW w:w="1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58"/>
              <w:spacing w:after="0"/>
              <w:rPr>
                <w:sz w:val="20"/>
                <w:szCs w:val="20"/>
                <w:color w:val="auto"/>
              </w:rPr>
            </w:pPr>
            <w:r>
              <w:rPr>
                <w:rFonts w:ascii="Arial" w:cs="Arial" w:eastAsia="Arial" w:hAnsi="Arial"/>
                <w:sz w:val="8"/>
                <w:szCs w:val="8"/>
                <w:b w:val="1"/>
                <w:bCs w:val="1"/>
                <w:color w:val="auto"/>
              </w:rPr>
              <w:t>Interests</w:t>
            </w: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center"/>
              <w:ind w:right="98"/>
              <w:spacing w:after="0"/>
              <w:rPr>
                <w:sz w:val="20"/>
                <w:szCs w:val="20"/>
                <w:color w:val="auto"/>
              </w:rPr>
            </w:pPr>
            <w:r>
              <w:rPr>
                <w:rFonts w:ascii="Arial" w:cs="Arial" w:eastAsia="Arial" w:hAnsi="Arial"/>
                <w:sz w:val="8"/>
                <w:szCs w:val="8"/>
                <w:b w:val="1"/>
                <w:bCs w:val="1"/>
                <w:color w:val="auto"/>
                <w:w w:val="97"/>
              </w:rPr>
              <w:t>Equity</w:t>
            </w:r>
          </w:p>
        </w:tc>
        <w:tc>
          <w:tcPr>
            <w:tcW w:w="0" w:type="dxa"/>
            <w:vAlign w:val="bottom"/>
          </w:tcPr>
          <w:p>
            <w:pPr>
              <w:spacing w:after="0"/>
              <w:rPr>
                <w:sz w:val="1"/>
                <w:szCs w:val="1"/>
                <w:color w:val="auto"/>
              </w:rPr>
            </w:pPr>
          </w:p>
        </w:tc>
      </w:tr>
      <w:tr>
        <w:trPr>
          <w:trHeight w:val="124"/>
        </w:trPr>
        <w:tc>
          <w:tcPr>
            <w:tcW w:w="254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8"/>
                <w:szCs w:val="8"/>
                <w:color w:val="auto"/>
              </w:rPr>
              <w:t>At January 1, 2013</w:t>
            </w:r>
          </w:p>
        </w:tc>
        <w:tc>
          <w:tcPr>
            <w:tcW w:w="540" w:type="dxa"/>
            <w:vAlign w:val="bottom"/>
            <w:tcBorders>
              <w:bottom w:val="single" w:sz="8" w:color="auto"/>
              <w:right w:val="single" w:sz="8" w:color="auto"/>
            </w:tcBorders>
            <w:shd w:val="clear" w:color="auto" w:fill="CCEEFF"/>
          </w:tcPr>
          <w:p>
            <w:pPr>
              <w:jc w:val="right"/>
              <w:ind w:right="58"/>
              <w:spacing w:after="0"/>
              <w:rPr>
                <w:sz w:val="20"/>
                <w:szCs w:val="20"/>
                <w:color w:val="auto"/>
              </w:rPr>
            </w:pPr>
            <w:r>
              <w:rPr>
                <w:rFonts w:ascii="Arial" w:cs="Arial" w:eastAsia="Arial" w:hAnsi="Arial"/>
                <w:sz w:val="8"/>
                <w:szCs w:val="8"/>
                <w:color w:val="auto"/>
              </w:rPr>
              <w:t>21,588</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w:t>
            </w:r>
          </w:p>
        </w:tc>
        <w:tc>
          <w:tcPr>
            <w:tcW w:w="5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223</w:t>
            </w:r>
          </w:p>
        </w:tc>
        <w:tc>
          <w:tcPr>
            <w:tcW w:w="40" w:type="dxa"/>
            <w:vAlign w:val="bottom"/>
            <w:tcBorders>
              <w:bottom w:val="single" w:sz="8" w:color="auto"/>
            </w:tcBorders>
            <w:shd w:val="clear" w:color="auto" w:fill="CCEEFF"/>
          </w:tcPr>
          <w:p>
            <w:pPr>
              <w:spacing w:after="0"/>
              <w:rPr>
                <w:sz w:val="10"/>
                <w:szCs w:val="10"/>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1,495</w:t>
            </w:r>
          </w:p>
        </w:tc>
        <w:tc>
          <w:tcPr>
            <w:tcW w:w="100" w:type="dxa"/>
            <w:vAlign w:val="bottom"/>
            <w:tcBorders>
              <w:bottom w:val="single" w:sz="8" w:color="auto"/>
              <w:right w:val="single" w:sz="8" w:color="auto"/>
            </w:tcBorders>
            <w:shd w:val="clear" w:color="auto" w:fill="CCEEFF"/>
          </w:tcPr>
          <w:p>
            <w:pPr>
              <w:spacing w:after="0"/>
              <w:rPr>
                <w:sz w:val="10"/>
                <w:szCs w:val="1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w:t>
            </w:r>
          </w:p>
        </w:tc>
        <w:tc>
          <w:tcPr>
            <w:tcW w:w="4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15</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w:t>
            </w:r>
          </w:p>
        </w:tc>
        <w:tc>
          <w:tcPr>
            <w:tcW w:w="62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8"/>
                <w:szCs w:val="8"/>
                <w:color w:val="auto"/>
              </w:rPr>
              <w:t>136,754</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(66,993)</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w:t>
            </w:r>
          </w:p>
        </w:tc>
        <w:tc>
          <w:tcPr>
            <w:tcW w:w="62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8"/>
                <w:szCs w:val="8"/>
                <w:color w:val="auto"/>
              </w:rPr>
              <w:t>(4,512)</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w:t>
            </w:r>
          </w:p>
        </w:tc>
        <w:tc>
          <w:tcPr>
            <w:tcW w:w="72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8"/>
                <w:szCs w:val="8"/>
                <w:color w:val="auto"/>
              </w:rPr>
              <w:t>61,369</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w:t>
            </w:r>
          </w:p>
        </w:tc>
        <w:tc>
          <w:tcPr>
            <w:tcW w:w="78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8"/>
                <w:szCs w:val="8"/>
                <w:color w:val="auto"/>
              </w:rPr>
              <w:t>126,856</w:t>
            </w:r>
          </w:p>
        </w:tc>
        <w:tc>
          <w:tcPr>
            <w:tcW w:w="14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8"/>
                <w:szCs w:val="8"/>
                <w:color w:val="auto"/>
              </w:rPr>
              <w:t>$</w:t>
            </w:r>
          </w:p>
        </w:tc>
        <w:tc>
          <w:tcPr>
            <w:tcW w:w="66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8"/>
                <w:szCs w:val="8"/>
                <w:color w:val="auto"/>
              </w:rPr>
              <w:t>4,098</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130,954</w:t>
            </w:r>
          </w:p>
        </w:tc>
        <w:tc>
          <w:tcPr>
            <w:tcW w:w="0" w:type="dxa"/>
            <w:vAlign w:val="bottom"/>
          </w:tcPr>
          <w:p>
            <w:pPr>
              <w:spacing w:after="0"/>
              <w:rPr>
                <w:sz w:val="1"/>
                <w:szCs w:val="1"/>
                <w:color w:val="auto"/>
              </w:rPr>
            </w:pPr>
          </w:p>
        </w:tc>
      </w:tr>
      <w:tr>
        <w:trPr>
          <w:trHeight w:val="151"/>
        </w:trPr>
        <w:tc>
          <w:tcPr>
            <w:tcW w:w="2540" w:type="dxa"/>
            <w:vAlign w:val="bottom"/>
            <w:tcBorders>
              <w:right w:val="single" w:sz="8" w:color="auto"/>
            </w:tcBorders>
          </w:tcPr>
          <w:p>
            <w:pPr>
              <w:spacing w:after="0"/>
              <w:rPr>
                <w:sz w:val="20"/>
                <w:szCs w:val="20"/>
                <w:color w:val="auto"/>
              </w:rPr>
            </w:pPr>
            <w:r>
              <w:rPr>
                <w:rFonts w:ascii="Arial" w:cs="Arial" w:eastAsia="Arial" w:hAnsi="Arial"/>
                <w:sz w:val="8"/>
                <w:szCs w:val="8"/>
                <w:color w:val="auto"/>
              </w:rPr>
              <w:t>Net income</w:t>
            </w:r>
          </w:p>
        </w:tc>
        <w:tc>
          <w:tcPr>
            <w:tcW w:w="540" w:type="dxa"/>
            <w:vAlign w:val="bottom"/>
            <w:tcBorders>
              <w:right w:val="single" w:sz="8" w:color="auto"/>
            </w:tcBorders>
          </w:tcPr>
          <w:p>
            <w:pPr>
              <w:jc w:val="right"/>
              <w:ind w:right="38"/>
              <w:spacing w:after="0"/>
              <w:rPr>
                <w:sz w:val="20"/>
                <w:szCs w:val="20"/>
                <w:color w:val="auto"/>
              </w:rPr>
            </w:pPr>
            <w:r>
              <w:rPr>
                <w:rFonts w:ascii="Arial" w:cs="Arial" w:eastAsia="Arial" w:hAnsi="Arial"/>
                <w:sz w:val="8"/>
                <w:szCs w:val="8"/>
                <w:color w:val="auto"/>
              </w:rPr>
              <w:t>--</w:t>
            </w:r>
          </w:p>
        </w:tc>
        <w:tc>
          <w:tcPr>
            <w:tcW w:w="180" w:type="dxa"/>
            <w:vAlign w:val="bottom"/>
          </w:tcPr>
          <w:p>
            <w:pPr>
              <w:spacing w:after="0"/>
              <w:rPr>
                <w:sz w:val="13"/>
                <w:szCs w:val="13"/>
                <w:color w:val="auto"/>
              </w:rPr>
            </w:pPr>
          </w:p>
        </w:tc>
        <w:tc>
          <w:tcPr>
            <w:tcW w:w="500" w:type="dxa"/>
            <w:vAlign w:val="bottom"/>
            <w:tcBorders>
              <w:right w:val="single" w:sz="8" w:color="auto"/>
            </w:tcBorders>
          </w:tcPr>
          <w:p>
            <w:pPr>
              <w:jc w:val="right"/>
              <w:spacing w:after="0"/>
              <w:rPr>
                <w:sz w:val="20"/>
                <w:szCs w:val="20"/>
                <w:color w:val="auto"/>
              </w:rPr>
            </w:pPr>
            <w:r>
              <w:rPr>
                <w:rFonts w:ascii="Arial" w:cs="Arial" w:eastAsia="Arial" w:hAnsi="Arial"/>
                <w:sz w:val="8"/>
                <w:szCs w:val="8"/>
                <w:color w:val="auto"/>
              </w:rPr>
              <w:t>--</w:t>
            </w:r>
          </w:p>
        </w:tc>
        <w:tc>
          <w:tcPr>
            <w:tcW w:w="40" w:type="dxa"/>
            <w:vAlign w:val="bottom"/>
          </w:tcPr>
          <w:p>
            <w:pPr>
              <w:spacing w:after="0"/>
              <w:rPr>
                <w:sz w:val="13"/>
                <w:szCs w:val="13"/>
                <w:color w:val="auto"/>
              </w:rPr>
            </w:pPr>
          </w:p>
        </w:tc>
        <w:tc>
          <w:tcPr>
            <w:tcW w:w="64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8"/>
                <w:szCs w:val="8"/>
                <w:color w:val="auto"/>
              </w:rPr>
              <w:t>--</w:t>
            </w:r>
          </w:p>
        </w:tc>
        <w:tc>
          <w:tcPr>
            <w:tcW w:w="140" w:type="dxa"/>
            <w:vAlign w:val="bottom"/>
          </w:tcPr>
          <w:p>
            <w:pPr>
              <w:spacing w:after="0"/>
              <w:rPr>
                <w:sz w:val="13"/>
                <w:szCs w:val="13"/>
                <w:color w:val="auto"/>
              </w:rPr>
            </w:pPr>
          </w:p>
        </w:tc>
        <w:tc>
          <w:tcPr>
            <w:tcW w:w="480" w:type="dxa"/>
            <w:vAlign w:val="bottom"/>
            <w:tcBorders>
              <w:right w:val="single" w:sz="8" w:color="auto"/>
            </w:tcBorders>
          </w:tcPr>
          <w:p>
            <w:pPr>
              <w:jc w:val="right"/>
              <w:spacing w:after="0"/>
              <w:rPr>
                <w:sz w:val="20"/>
                <w:szCs w:val="20"/>
                <w:color w:val="auto"/>
              </w:rPr>
            </w:pPr>
            <w:r>
              <w:rPr>
                <w:rFonts w:ascii="Arial" w:cs="Arial" w:eastAsia="Arial" w:hAnsi="Arial"/>
                <w:sz w:val="8"/>
                <w:szCs w:val="8"/>
                <w:color w:val="auto"/>
              </w:rPr>
              <w:t>--</w:t>
            </w:r>
          </w:p>
        </w:tc>
        <w:tc>
          <w:tcPr>
            <w:tcW w:w="140" w:type="dxa"/>
            <w:vAlign w:val="bottom"/>
          </w:tcPr>
          <w:p>
            <w:pPr>
              <w:spacing w:after="0"/>
              <w:rPr>
                <w:sz w:val="13"/>
                <w:szCs w:val="13"/>
                <w:color w:val="auto"/>
              </w:rPr>
            </w:pPr>
          </w:p>
        </w:tc>
        <w:tc>
          <w:tcPr>
            <w:tcW w:w="620" w:type="dxa"/>
            <w:vAlign w:val="bottom"/>
          </w:tcPr>
          <w:p>
            <w:pPr>
              <w:jc w:val="right"/>
              <w:ind w:right="18"/>
              <w:spacing w:after="0"/>
              <w:rPr>
                <w:sz w:val="20"/>
                <w:szCs w:val="20"/>
                <w:color w:val="auto"/>
              </w:rPr>
            </w:pPr>
            <w:r>
              <w:rPr>
                <w:rFonts w:ascii="Arial" w:cs="Arial" w:eastAsia="Arial" w:hAnsi="Arial"/>
                <w:sz w:val="8"/>
                <w:szCs w:val="8"/>
                <w:color w:val="auto"/>
              </w:rPr>
              <w:t>--</w:t>
            </w:r>
          </w:p>
        </w:tc>
        <w:tc>
          <w:tcPr>
            <w:tcW w:w="100" w:type="dxa"/>
            <w:vAlign w:val="bottom"/>
          </w:tcPr>
          <w:p>
            <w:pPr>
              <w:spacing w:after="0"/>
              <w:rPr>
                <w:sz w:val="13"/>
                <w:szCs w:val="13"/>
                <w:color w:val="auto"/>
              </w:rPr>
            </w:pPr>
          </w:p>
        </w:tc>
        <w:tc>
          <w:tcPr>
            <w:tcW w:w="700" w:type="dxa"/>
            <w:vAlign w:val="bottom"/>
          </w:tcPr>
          <w:p>
            <w:pPr>
              <w:jc w:val="right"/>
              <w:ind w:right="38"/>
              <w:spacing w:after="0"/>
              <w:rPr>
                <w:sz w:val="20"/>
                <w:szCs w:val="20"/>
                <w:color w:val="auto"/>
              </w:rPr>
            </w:pPr>
            <w:r>
              <w:rPr>
                <w:rFonts w:ascii="Arial" w:cs="Arial" w:eastAsia="Arial" w:hAnsi="Arial"/>
                <w:sz w:val="8"/>
                <w:szCs w:val="8"/>
                <w:color w:val="auto"/>
              </w:rPr>
              <w:t>9,041</w:t>
            </w:r>
          </w:p>
        </w:tc>
        <w:tc>
          <w:tcPr>
            <w:tcW w:w="120" w:type="dxa"/>
            <w:vAlign w:val="bottom"/>
          </w:tcPr>
          <w:p>
            <w:pPr>
              <w:spacing w:after="0"/>
              <w:rPr>
                <w:sz w:val="13"/>
                <w:szCs w:val="13"/>
                <w:color w:val="auto"/>
              </w:rPr>
            </w:pPr>
          </w:p>
        </w:tc>
        <w:tc>
          <w:tcPr>
            <w:tcW w:w="620" w:type="dxa"/>
            <w:vAlign w:val="bottom"/>
          </w:tcPr>
          <w:p>
            <w:pPr>
              <w:jc w:val="right"/>
              <w:ind w:right="18"/>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13"/>
                <w:szCs w:val="13"/>
                <w:color w:val="auto"/>
              </w:rPr>
            </w:pPr>
          </w:p>
        </w:tc>
        <w:tc>
          <w:tcPr>
            <w:tcW w:w="720" w:type="dxa"/>
            <w:vAlign w:val="bottom"/>
          </w:tcPr>
          <w:p>
            <w:pPr>
              <w:jc w:val="right"/>
              <w:ind w:right="18"/>
              <w:spacing w:after="0"/>
              <w:rPr>
                <w:sz w:val="20"/>
                <w:szCs w:val="20"/>
                <w:color w:val="auto"/>
              </w:rPr>
            </w:pPr>
            <w:r>
              <w:rPr>
                <w:rFonts w:ascii="Arial" w:cs="Arial" w:eastAsia="Arial" w:hAnsi="Arial"/>
                <w:sz w:val="8"/>
                <w:szCs w:val="8"/>
                <w:color w:val="auto"/>
              </w:rPr>
              <w:t>--</w:t>
            </w:r>
          </w:p>
        </w:tc>
        <w:tc>
          <w:tcPr>
            <w:tcW w:w="120" w:type="dxa"/>
            <w:vAlign w:val="bottom"/>
          </w:tcPr>
          <w:p>
            <w:pPr>
              <w:spacing w:after="0"/>
              <w:rPr>
                <w:sz w:val="13"/>
                <w:szCs w:val="13"/>
                <w:color w:val="auto"/>
              </w:rPr>
            </w:pPr>
          </w:p>
        </w:tc>
        <w:tc>
          <w:tcPr>
            <w:tcW w:w="780" w:type="dxa"/>
            <w:vAlign w:val="bottom"/>
          </w:tcPr>
          <w:p>
            <w:pPr>
              <w:jc w:val="right"/>
              <w:ind w:right="38"/>
              <w:spacing w:after="0"/>
              <w:rPr>
                <w:sz w:val="20"/>
                <w:szCs w:val="20"/>
                <w:color w:val="auto"/>
              </w:rPr>
            </w:pPr>
            <w:r>
              <w:rPr>
                <w:rFonts w:ascii="Arial" w:cs="Arial" w:eastAsia="Arial" w:hAnsi="Arial"/>
                <w:sz w:val="8"/>
                <w:szCs w:val="8"/>
                <w:color w:val="auto"/>
              </w:rPr>
              <w:t>9,041</w:t>
            </w:r>
          </w:p>
        </w:tc>
        <w:tc>
          <w:tcPr>
            <w:tcW w:w="140" w:type="dxa"/>
            <w:vAlign w:val="bottom"/>
          </w:tcPr>
          <w:p>
            <w:pPr>
              <w:spacing w:after="0"/>
              <w:rPr>
                <w:sz w:val="13"/>
                <w:szCs w:val="13"/>
                <w:color w:val="auto"/>
              </w:rPr>
            </w:pPr>
          </w:p>
        </w:tc>
        <w:tc>
          <w:tcPr>
            <w:tcW w:w="660" w:type="dxa"/>
            <w:vAlign w:val="bottom"/>
          </w:tcPr>
          <w:p>
            <w:pPr>
              <w:jc w:val="right"/>
              <w:ind w:right="38"/>
              <w:spacing w:after="0"/>
              <w:rPr>
                <w:sz w:val="20"/>
                <w:szCs w:val="20"/>
                <w:color w:val="auto"/>
              </w:rPr>
            </w:pPr>
            <w:r>
              <w:rPr>
                <w:rFonts w:ascii="Arial" w:cs="Arial" w:eastAsia="Arial" w:hAnsi="Arial"/>
                <w:sz w:val="8"/>
                <w:szCs w:val="8"/>
                <w:color w:val="auto"/>
              </w:rPr>
              <w:t>104</w:t>
            </w:r>
          </w:p>
        </w:tc>
        <w:tc>
          <w:tcPr>
            <w:tcW w:w="10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8"/>
                <w:szCs w:val="8"/>
                <w:color w:val="auto"/>
              </w:rPr>
              <w:t>9,145</w:t>
            </w:r>
          </w:p>
        </w:tc>
        <w:tc>
          <w:tcPr>
            <w:tcW w:w="0" w:type="dxa"/>
            <w:vAlign w:val="bottom"/>
          </w:tcPr>
          <w:p>
            <w:pPr>
              <w:spacing w:after="0"/>
              <w:rPr>
                <w:sz w:val="1"/>
                <w:szCs w:val="1"/>
                <w:color w:val="auto"/>
              </w:rPr>
            </w:pPr>
          </w:p>
        </w:tc>
      </w:tr>
      <w:tr>
        <w:trPr>
          <w:trHeight w:val="108"/>
        </w:trPr>
        <w:tc>
          <w:tcPr>
            <w:tcW w:w="254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8"/>
                <w:szCs w:val="8"/>
                <w:color w:val="auto"/>
              </w:rPr>
              <w:t>Other comprehensive loss</w:t>
            </w:r>
          </w:p>
        </w:tc>
        <w:tc>
          <w:tcPr>
            <w:tcW w:w="540" w:type="dxa"/>
            <w:vAlign w:val="bottom"/>
            <w:tcBorders>
              <w:right w:val="single" w:sz="8" w:color="auto"/>
            </w:tcBorders>
            <w:shd w:val="clear" w:color="auto" w:fill="CCEEFF"/>
          </w:tcPr>
          <w:p>
            <w:pPr>
              <w:jc w:val="right"/>
              <w:ind w:right="38"/>
              <w:spacing w:after="0"/>
              <w:rPr>
                <w:sz w:val="20"/>
                <w:szCs w:val="20"/>
                <w:color w:val="auto"/>
              </w:rPr>
            </w:pPr>
            <w:r>
              <w:rPr>
                <w:rFonts w:ascii="Arial" w:cs="Arial" w:eastAsia="Arial" w:hAnsi="Arial"/>
                <w:sz w:val="8"/>
                <w:szCs w:val="8"/>
                <w:color w:val="auto"/>
              </w:rPr>
              <w:t>--</w:t>
            </w:r>
          </w:p>
        </w:tc>
        <w:tc>
          <w:tcPr>
            <w:tcW w:w="180" w:type="dxa"/>
            <w:vAlign w:val="bottom"/>
            <w:shd w:val="clear" w:color="auto" w:fill="CCEEFF"/>
          </w:tcPr>
          <w:p>
            <w:pPr>
              <w:spacing w:after="0"/>
              <w:rPr>
                <w:sz w:val="9"/>
                <w:szCs w:val="9"/>
                <w:color w:val="auto"/>
              </w:rPr>
            </w:pPr>
          </w:p>
        </w:tc>
        <w:tc>
          <w:tcPr>
            <w:tcW w:w="5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w:t>
            </w:r>
          </w:p>
        </w:tc>
        <w:tc>
          <w:tcPr>
            <w:tcW w:w="40" w:type="dxa"/>
            <w:vAlign w:val="bottom"/>
            <w:shd w:val="clear" w:color="auto" w:fill="CCEEFF"/>
          </w:tcPr>
          <w:p>
            <w:pPr>
              <w:spacing w:after="0"/>
              <w:rPr>
                <w:sz w:val="9"/>
                <w:szCs w:val="9"/>
                <w:color w:val="auto"/>
              </w:rPr>
            </w:pPr>
          </w:p>
        </w:tc>
        <w:tc>
          <w:tcPr>
            <w:tcW w:w="64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8"/>
                <w:szCs w:val="8"/>
                <w:color w:val="auto"/>
              </w:rPr>
              <w:t>--</w:t>
            </w:r>
          </w:p>
        </w:tc>
        <w:tc>
          <w:tcPr>
            <w:tcW w:w="140" w:type="dxa"/>
            <w:vAlign w:val="bottom"/>
            <w:shd w:val="clear" w:color="auto" w:fill="CCEEFF"/>
          </w:tcPr>
          <w:p>
            <w:pPr>
              <w:spacing w:after="0"/>
              <w:rPr>
                <w:sz w:val="9"/>
                <w:szCs w:val="9"/>
                <w:color w:val="auto"/>
              </w:rPr>
            </w:pPr>
          </w:p>
        </w:tc>
        <w:tc>
          <w:tcPr>
            <w:tcW w:w="48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w:t>
            </w:r>
          </w:p>
        </w:tc>
        <w:tc>
          <w:tcPr>
            <w:tcW w:w="140" w:type="dxa"/>
            <w:vAlign w:val="bottom"/>
            <w:shd w:val="clear" w:color="auto" w:fill="CCEEFF"/>
          </w:tcPr>
          <w:p>
            <w:pPr>
              <w:spacing w:after="0"/>
              <w:rPr>
                <w:sz w:val="9"/>
                <w:szCs w:val="9"/>
                <w:color w:val="auto"/>
              </w:rPr>
            </w:pPr>
          </w:p>
        </w:tc>
        <w:tc>
          <w:tcPr>
            <w:tcW w:w="620" w:type="dxa"/>
            <w:vAlign w:val="bottom"/>
            <w:shd w:val="clear" w:color="auto" w:fill="CCEEFF"/>
          </w:tcPr>
          <w:p>
            <w:pPr>
              <w:jc w:val="right"/>
              <w:ind w:right="18"/>
              <w:spacing w:after="0"/>
              <w:rPr>
                <w:sz w:val="20"/>
                <w:szCs w:val="20"/>
                <w:color w:val="auto"/>
              </w:rPr>
            </w:pPr>
            <w:r>
              <w:rPr>
                <w:rFonts w:ascii="Arial" w:cs="Arial" w:eastAsia="Arial" w:hAnsi="Arial"/>
                <w:sz w:val="8"/>
                <w:szCs w:val="8"/>
                <w:color w:val="auto"/>
              </w:rPr>
              <w:t>--</w:t>
            </w:r>
          </w:p>
        </w:tc>
        <w:tc>
          <w:tcPr>
            <w:tcW w:w="100" w:type="dxa"/>
            <w:vAlign w:val="bottom"/>
            <w:shd w:val="clear" w:color="auto" w:fill="CCEEFF"/>
          </w:tcPr>
          <w:p>
            <w:pPr>
              <w:spacing w:after="0"/>
              <w:rPr>
                <w:sz w:val="9"/>
                <w:szCs w:val="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8"/>
                <w:szCs w:val="8"/>
                <w:color w:val="auto"/>
              </w:rPr>
              <w:t>--</w:t>
            </w:r>
          </w:p>
        </w:tc>
        <w:tc>
          <w:tcPr>
            <w:tcW w:w="120" w:type="dxa"/>
            <w:vAlign w:val="bottom"/>
            <w:shd w:val="clear" w:color="auto" w:fill="CCEEFF"/>
          </w:tcPr>
          <w:p>
            <w:pPr>
              <w:spacing w:after="0"/>
              <w:rPr>
                <w:sz w:val="9"/>
                <w:szCs w:val="9"/>
                <w:color w:val="auto"/>
              </w:rPr>
            </w:pPr>
          </w:p>
        </w:tc>
        <w:tc>
          <w:tcPr>
            <w:tcW w:w="620" w:type="dxa"/>
            <w:vAlign w:val="bottom"/>
            <w:shd w:val="clear" w:color="auto" w:fill="CCEEFF"/>
          </w:tcPr>
          <w:p>
            <w:pPr>
              <w:jc w:val="right"/>
              <w:ind w:right="18"/>
              <w:spacing w:after="0"/>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9"/>
                <w:szCs w:val="9"/>
                <w:color w:val="auto"/>
              </w:rPr>
            </w:pPr>
          </w:p>
        </w:tc>
        <w:tc>
          <w:tcPr>
            <w:tcW w:w="720" w:type="dxa"/>
            <w:vAlign w:val="bottom"/>
            <w:shd w:val="clear" w:color="auto" w:fill="CCEEFF"/>
          </w:tcPr>
          <w:p>
            <w:pPr>
              <w:jc w:val="right"/>
              <w:ind w:right="18"/>
              <w:spacing w:after="0"/>
              <w:rPr>
                <w:sz w:val="20"/>
                <w:szCs w:val="20"/>
                <w:color w:val="auto"/>
              </w:rPr>
            </w:pPr>
            <w:r>
              <w:rPr>
                <w:rFonts w:ascii="Arial" w:cs="Arial" w:eastAsia="Arial" w:hAnsi="Arial"/>
                <w:sz w:val="8"/>
                <w:szCs w:val="8"/>
                <w:color w:val="auto"/>
              </w:rPr>
              <w:t>(19,854)</w:t>
            </w:r>
          </w:p>
        </w:tc>
        <w:tc>
          <w:tcPr>
            <w:tcW w:w="120" w:type="dxa"/>
            <w:vAlign w:val="bottom"/>
            <w:shd w:val="clear" w:color="auto" w:fill="CCEEFF"/>
          </w:tcPr>
          <w:p>
            <w:pPr>
              <w:spacing w:after="0"/>
              <w:rPr>
                <w:sz w:val="9"/>
                <w:szCs w:val="9"/>
                <w:color w:val="auto"/>
              </w:rPr>
            </w:pPr>
          </w:p>
        </w:tc>
        <w:tc>
          <w:tcPr>
            <w:tcW w:w="780" w:type="dxa"/>
            <w:vAlign w:val="bottom"/>
            <w:shd w:val="clear" w:color="auto" w:fill="CCEEFF"/>
          </w:tcPr>
          <w:p>
            <w:pPr>
              <w:jc w:val="right"/>
              <w:ind w:right="18"/>
              <w:spacing w:after="0"/>
              <w:rPr>
                <w:sz w:val="20"/>
                <w:szCs w:val="20"/>
                <w:color w:val="auto"/>
              </w:rPr>
            </w:pPr>
            <w:r>
              <w:rPr>
                <w:rFonts w:ascii="Arial" w:cs="Arial" w:eastAsia="Arial" w:hAnsi="Arial"/>
                <w:sz w:val="8"/>
                <w:szCs w:val="8"/>
                <w:color w:val="auto"/>
              </w:rPr>
              <w:t>(19,854)</w:t>
            </w:r>
          </w:p>
        </w:tc>
        <w:tc>
          <w:tcPr>
            <w:tcW w:w="140" w:type="dxa"/>
            <w:vAlign w:val="bottom"/>
            <w:shd w:val="clear" w:color="auto" w:fill="CCEEFF"/>
          </w:tcPr>
          <w:p>
            <w:pPr>
              <w:spacing w:after="0"/>
              <w:rPr>
                <w:sz w:val="9"/>
                <w:szCs w:val="9"/>
                <w:color w:val="auto"/>
              </w:rPr>
            </w:pPr>
          </w:p>
        </w:tc>
        <w:tc>
          <w:tcPr>
            <w:tcW w:w="660" w:type="dxa"/>
            <w:vAlign w:val="bottom"/>
            <w:shd w:val="clear" w:color="auto" w:fill="CCEEFF"/>
          </w:tcPr>
          <w:p>
            <w:pPr>
              <w:jc w:val="right"/>
              <w:ind w:right="18"/>
              <w:spacing w:after="0"/>
              <w:rPr>
                <w:sz w:val="20"/>
                <w:szCs w:val="20"/>
                <w:color w:val="auto"/>
              </w:rPr>
            </w:pPr>
            <w:r>
              <w:rPr>
                <w:rFonts w:ascii="Arial" w:cs="Arial" w:eastAsia="Arial" w:hAnsi="Arial"/>
                <w:sz w:val="8"/>
                <w:szCs w:val="8"/>
                <w:color w:val="auto"/>
              </w:rPr>
              <w:t>(107)</w:t>
            </w:r>
          </w:p>
        </w:tc>
        <w:tc>
          <w:tcPr>
            <w:tcW w:w="100" w:type="dxa"/>
            <w:vAlign w:val="bottom"/>
            <w:shd w:val="clear" w:color="auto" w:fill="CCEEFF"/>
          </w:tcPr>
          <w:p>
            <w:pPr>
              <w:spacing w:after="0"/>
              <w:rPr>
                <w:sz w:val="9"/>
                <w:szCs w:val="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8"/>
                <w:szCs w:val="8"/>
                <w:color w:val="auto"/>
              </w:rPr>
              <w:t>(19,961)</w:t>
            </w:r>
          </w:p>
        </w:tc>
        <w:tc>
          <w:tcPr>
            <w:tcW w:w="0" w:type="dxa"/>
            <w:vAlign w:val="bottom"/>
          </w:tcPr>
          <w:p>
            <w:pPr>
              <w:spacing w:after="0"/>
              <w:rPr>
                <w:sz w:val="1"/>
                <w:szCs w:val="1"/>
                <w:color w:val="auto"/>
              </w:rPr>
            </w:pPr>
          </w:p>
        </w:tc>
      </w:tr>
      <w:tr>
        <w:trPr>
          <w:trHeight w:val="162"/>
        </w:trPr>
        <w:tc>
          <w:tcPr>
            <w:tcW w:w="2540" w:type="dxa"/>
            <w:vAlign w:val="bottom"/>
            <w:tcBorders>
              <w:right w:val="single" w:sz="8" w:color="auto"/>
            </w:tcBorders>
          </w:tcPr>
          <w:p>
            <w:pPr>
              <w:spacing w:after="0"/>
              <w:rPr>
                <w:sz w:val="20"/>
                <w:szCs w:val="20"/>
                <w:color w:val="auto"/>
              </w:rPr>
            </w:pPr>
            <w:r>
              <w:rPr>
                <w:rFonts w:ascii="Arial" w:cs="Arial" w:eastAsia="Arial" w:hAnsi="Arial"/>
                <w:sz w:val="8"/>
                <w:szCs w:val="8"/>
                <w:color w:val="auto"/>
              </w:rPr>
              <w:t>Stock option and restricted stock compensation expense</w:t>
            </w:r>
          </w:p>
        </w:tc>
        <w:tc>
          <w:tcPr>
            <w:tcW w:w="540" w:type="dxa"/>
            <w:vAlign w:val="bottom"/>
            <w:tcBorders>
              <w:right w:val="single" w:sz="8" w:color="auto"/>
            </w:tcBorders>
          </w:tcPr>
          <w:p>
            <w:pPr>
              <w:jc w:val="right"/>
              <w:ind w:right="38"/>
              <w:spacing w:after="0"/>
              <w:rPr>
                <w:sz w:val="20"/>
                <w:szCs w:val="20"/>
                <w:color w:val="auto"/>
              </w:rPr>
            </w:pPr>
            <w:r>
              <w:rPr>
                <w:rFonts w:ascii="Arial" w:cs="Arial" w:eastAsia="Arial" w:hAnsi="Arial"/>
                <w:sz w:val="8"/>
                <w:szCs w:val="8"/>
                <w:color w:val="auto"/>
              </w:rPr>
              <w:t>--</w:t>
            </w:r>
          </w:p>
        </w:tc>
        <w:tc>
          <w:tcPr>
            <w:tcW w:w="180" w:type="dxa"/>
            <w:vAlign w:val="bottom"/>
          </w:tcPr>
          <w:p>
            <w:pPr>
              <w:spacing w:after="0"/>
              <w:rPr>
                <w:sz w:val="14"/>
                <w:szCs w:val="14"/>
                <w:color w:val="auto"/>
              </w:rPr>
            </w:pPr>
          </w:p>
        </w:tc>
        <w:tc>
          <w:tcPr>
            <w:tcW w:w="500" w:type="dxa"/>
            <w:vAlign w:val="bottom"/>
            <w:tcBorders>
              <w:right w:val="single" w:sz="8" w:color="auto"/>
            </w:tcBorders>
          </w:tcPr>
          <w:p>
            <w:pPr>
              <w:jc w:val="right"/>
              <w:spacing w:after="0"/>
              <w:rPr>
                <w:sz w:val="20"/>
                <w:szCs w:val="20"/>
                <w:color w:val="auto"/>
              </w:rPr>
            </w:pPr>
            <w:r>
              <w:rPr>
                <w:rFonts w:ascii="Arial" w:cs="Arial" w:eastAsia="Arial" w:hAnsi="Arial"/>
                <w:sz w:val="8"/>
                <w:szCs w:val="8"/>
                <w:color w:val="auto"/>
              </w:rPr>
              <w:t>2</w:t>
            </w:r>
          </w:p>
        </w:tc>
        <w:tc>
          <w:tcPr>
            <w:tcW w:w="40" w:type="dxa"/>
            <w:vAlign w:val="bottom"/>
          </w:tcPr>
          <w:p>
            <w:pPr>
              <w:spacing w:after="0"/>
              <w:rPr>
                <w:sz w:val="14"/>
                <w:szCs w:val="14"/>
                <w:color w:val="auto"/>
              </w:rPr>
            </w:pPr>
          </w:p>
        </w:tc>
        <w:tc>
          <w:tcPr>
            <w:tcW w:w="64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8"/>
                <w:szCs w:val="8"/>
                <w:color w:val="auto"/>
              </w:rPr>
              <w:t>--</w:t>
            </w:r>
          </w:p>
        </w:tc>
        <w:tc>
          <w:tcPr>
            <w:tcW w:w="140" w:type="dxa"/>
            <w:vAlign w:val="bottom"/>
          </w:tcPr>
          <w:p>
            <w:pPr>
              <w:spacing w:after="0"/>
              <w:rPr>
                <w:sz w:val="14"/>
                <w:szCs w:val="14"/>
                <w:color w:val="auto"/>
              </w:rPr>
            </w:pPr>
          </w:p>
        </w:tc>
        <w:tc>
          <w:tcPr>
            <w:tcW w:w="480" w:type="dxa"/>
            <w:vAlign w:val="bottom"/>
            <w:tcBorders>
              <w:right w:val="single" w:sz="8" w:color="auto"/>
            </w:tcBorders>
          </w:tcPr>
          <w:p>
            <w:pPr>
              <w:jc w:val="right"/>
              <w:spacing w:after="0"/>
              <w:rPr>
                <w:sz w:val="20"/>
                <w:szCs w:val="20"/>
                <w:color w:val="auto"/>
              </w:rPr>
            </w:pPr>
            <w:r>
              <w:rPr>
                <w:rFonts w:ascii="Arial" w:cs="Arial" w:eastAsia="Arial" w:hAnsi="Arial"/>
                <w:sz w:val="8"/>
                <w:szCs w:val="8"/>
                <w:color w:val="auto"/>
              </w:rPr>
              <w:t>--</w:t>
            </w:r>
          </w:p>
        </w:tc>
        <w:tc>
          <w:tcPr>
            <w:tcW w:w="140" w:type="dxa"/>
            <w:vAlign w:val="bottom"/>
          </w:tcPr>
          <w:p>
            <w:pPr>
              <w:spacing w:after="0"/>
              <w:rPr>
                <w:sz w:val="14"/>
                <w:szCs w:val="14"/>
                <w:color w:val="auto"/>
              </w:rPr>
            </w:pPr>
          </w:p>
        </w:tc>
        <w:tc>
          <w:tcPr>
            <w:tcW w:w="620" w:type="dxa"/>
            <w:vAlign w:val="bottom"/>
          </w:tcPr>
          <w:p>
            <w:pPr>
              <w:jc w:val="right"/>
              <w:ind w:right="38"/>
              <w:spacing w:after="0"/>
              <w:rPr>
                <w:sz w:val="20"/>
                <w:szCs w:val="20"/>
                <w:color w:val="auto"/>
              </w:rPr>
            </w:pPr>
            <w:r>
              <w:rPr>
                <w:rFonts w:ascii="Arial" w:cs="Arial" w:eastAsia="Arial" w:hAnsi="Arial"/>
                <w:sz w:val="8"/>
                <w:szCs w:val="8"/>
                <w:color w:val="auto"/>
              </w:rPr>
              <w:t>948</w:t>
            </w: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8"/>
                <w:szCs w:val="8"/>
                <w:color w:val="auto"/>
              </w:rPr>
              <w:t>--</w:t>
            </w:r>
          </w:p>
        </w:tc>
        <w:tc>
          <w:tcPr>
            <w:tcW w:w="120" w:type="dxa"/>
            <w:vAlign w:val="bottom"/>
          </w:tcPr>
          <w:p>
            <w:pPr>
              <w:spacing w:after="0"/>
              <w:rPr>
                <w:sz w:val="14"/>
                <w:szCs w:val="14"/>
                <w:color w:val="auto"/>
              </w:rPr>
            </w:pPr>
          </w:p>
        </w:tc>
        <w:tc>
          <w:tcPr>
            <w:tcW w:w="620" w:type="dxa"/>
            <w:vAlign w:val="bottom"/>
          </w:tcPr>
          <w:p>
            <w:pPr>
              <w:jc w:val="right"/>
              <w:ind w:right="18"/>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14"/>
                <w:szCs w:val="14"/>
                <w:color w:val="auto"/>
              </w:rPr>
            </w:pPr>
          </w:p>
        </w:tc>
        <w:tc>
          <w:tcPr>
            <w:tcW w:w="720" w:type="dxa"/>
            <w:vAlign w:val="bottom"/>
          </w:tcPr>
          <w:p>
            <w:pPr>
              <w:jc w:val="right"/>
              <w:ind w:right="18"/>
              <w:spacing w:after="0"/>
              <w:rPr>
                <w:sz w:val="20"/>
                <w:szCs w:val="20"/>
                <w:color w:val="auto"/>
              </w:rPr>
            </w:pPr>
            <w:r>
              <w:rPr>
                <w:rFonts w:ascii="Arial" w:cs="Arial" w:eastAsia="Arial" w:hAnsi="Arial"/>
                <w:sz w:val="8"/>
                <w:szCs w:val="8"/>
                <w:color w:val="auto"/>
              </w:rPr>
              <w:t>--</w:t>
            </w:r>
          </w:p>
        </w:tc>
        <w:tc>
          <w:tcPr>
            <w:tcW w:w="120" w:type="dxa"/>
            <w:vAlign w:val="bottom"/>
          </w:tcPr>
          <w:p>
            <w:pPr>
              <w:spacing w:after="0"/>
              <w:rPr>
                <w:sz w:val="14"/>
                <w:szCs w:val="14"/>
                <w:color w:val="auto"/>
              </w:rPr>
            </w:pPr>
          </w:p>
        </w:tc>
        <w:tc>
          <w:tcPr>
            <w:tcW w:w="780" w:type="dxa"/>
            <w:vAlign w:val="bottom"/>
          </w:tcPr>
          <w:p>
            <w:pPr>
              <w:jc w:val="right"/>
              <w:ind w:right="38"/>
              <w:spacing w:after="0"/>
              <w:rPr>
                <w:sz w:val="20"/>
                <w:szCs w:val="20"/>
                <w:color w:val="auto"/>
              </w:rPr>
            </w:pPr>
            <w:r>
              <w:rPr>
                <w:rFonts w:ascii="Arial" w:cs="Arial" w:eastAsia="Arial" w:hAnsi="Arial"/>
                <w:sz w:val="8"/>
                <w:szCs w:val="8"/>
                <w:color w:val="auto"/>
              </w:rPr>
              <w:t>950</w:t>
            </w:r>
          </w:p>
        </w:tc>
        <w:tc>
          <w:tcPr>
            <w:tcW w:w="140" w:type="dxa"/>
            <w:vAlign w:val="bottom"/>
          </w:tcPr>
          <w:p>
            <w:pPr>
              <w:spacing w:after="0"/>
              <w:rPr>
                <w:sz w:val="14"/>
                <w:szCs w:val="14"/>
                <w:color w:val="auto"/>
              </w:rPr>
            </w:pPr>
          </w:p>
        </w:tc>
        <w:tc>
          <w:tcPr>
            <w:tcW w:w="660" w:type="dxa"/>
            <w:vAlign w:val="bottom"/>
          </w:tcPr>
          <w:p>
            <w:pPr>
              <w:jc w:val="right"/>
              <w:ind w:right="18"/>
              <w:spacing w:after="0"/>
              <w:rPr>
                <w:sz w:val="20"/>
                <w:szCs w:val="20"/>
                <w:color w:val="auto"/>
              </w:rPr>
            </w:pPr>
            <w:r>
              <w:rPr>
                <w:rFonts w:ascii="Arial" w:cs="Arial" w:eastAsia="Arial" w:hAnsi="Arial"/>
                <w:sz w:val="8"/>
                <w:szCs w:val="8"/>
                <w:color w:val="auto"/>
              </w:rPr>
              <w:t>--</w:t>
            </w: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8"/>
                <w:szCs w:val="8"/>
                <w:color w:val="auto"/>
              </w:rPr>
              <w:t>950</w:t>
            </w:r>
          </w:p>
        </w:tc>
        <w:tc>
          <w:tcPr>
            <w:tcW w:w="0" w:type="dxa"/>
            <w:vAlign w:val="bottom"/>
          </w:tcPr>
          <w:p>
            <w:pPr>
              <w:spacing w:after="0"/>
              <w:rPr>
                <w:sz w:val="1"/>
                <w:szCs w:val="1"/>
                <w:color w:val="auto"/>
              </w:rPr>
            </w:pPr>
          </w:p>
        </w:tc>
      </w:tr>
      <w:tr>
        <w:trPr>
          <w:trHeight w:val="195"/>
        </w:trPr>
        <w:tc>
          <w:tcPr>
            <w:tcW w:w="254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8"/>
                <w:szCs w:val="8"/>
                <w:color w:val="auto"/>
              </w:rPr>
              <w:t>In-kind exchange of stock for the exercise of options, net issued</w:t>
            </w:r>
          </w:p>
        </w:tc>
        <w:tc>
          <w:tcPr>
            <w:tcW w:w="540" w:type="dxa"/>
            <w:vAlign w:val="bottom"/>
            <w:tcBorders>
              <w:right w:val="single" w:sz="8" w:color="auto"/>
            </w:tcBorders>
            <w:vMerge w:val="restart"/>
            <w:shd w:val="clear" w:color="auto" w:fill="CCEEFF"/>
          </w:tcPr>
          <w:p>
            <w:pPr>
              <w:jc w:val="right"/>
              <w:ind w:right="58"/>
              <w:spacing w:after="0"/>
              <w:rPr>
                <w:sz w:val="20"/>
                <w:szCs w:val="20"/>
                <w:color w:val="auto"/>
              </w:rPr>
            </w:pPr>
            <w:r>
              <w:rPr>
                <w:rFonts w:ascii="Arial" w:cs="Arial" w:eastAsia="Arial" w:hAnsi="Arial"/>
                <w:sz w:val="8"/>
                <w:szCs w:val="8"/>
                <w:color w:val="auto"/>
              </w:rPr>
              <w:t>22</w:t>
            </w:r>
          </w:p>
        </w:tc>
        <w:tc>
          <w:tcPr>
            <w:tcW w:w="180" w:type="dxa"/>
            <w:vAlign w:val="bottom"/>
            <w:shd w:val="clear" w:color="auto" w:fill="CCEEFF"/>
          </w:tcPr>
          <w:p>
            <w:pPr>
              <w:spacing w:after="0"/>
              <w:rPr>
                <w:sz w:val="16"/>
                <w:szCs w:val="16"/>
                <w:color w:val="auto"/>
              </w:rPr>
            </w:pPr>
          </w:p>
        </w:tc>
        <w:tc>
          <w:tcPr>
            <w:tcW w:w="50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8"/>
                <w:szCs w:val="8"/>
                <w:color w:val="auto"/>
              </w:rPr>
              <w:t>--</w:t>
            </w:r>
          </w:p>
        </w:tc>
        <w:tc>
          <w:tcPr>
            <w:tcW w:w="40" w:type="dxa"/>
            <w:vAlign w:val="bottom"/>
            <w:shd w:val="clear" w:color="auto" w:fill="CCEEFF"/>
          </w:tcPr>
          <w:p>
            <w:pPr>
              <w:spacing w:after="0"/>
              <w:rPr>
                <w:sz w:val="16"/>
                <w:szCs w:val="16"/>
                <w:color w:val="auto"/>
              </w:rPr>
            </w:pPr>
          </w:p>
        </w:tc>
        <w:tc>
          <w:tcPr>
            <w:tcW w:w="640" w:type="dxa"/>
            <w:vAlign w:val="bottom"/>
            <w:tcBorders>
              <w:right w:val="single" w:sz="8" w:color="auto"/>
            </w:tcBorders>
            <w:gridSpan w:val="2"/>
            <w:vMerge w:val="restart"/>
            <w:shd w:val="clear" w:color="auto" w:fill="CCEEFF"/>
          </w:tcPr>
          <w:p>
            <w:pPr>
              <w:jc w:val="right"/>
              <w:ind w:right="100"/>
              <w:spacing w:after="0"/>
              <w:rPr>
                <w:sz w:val="20"/>
                <w:szCs w:val="20"/>
                <w:color w:val="auto"/>
              </w:rPr>
            </w:pPr>
            <w:r>
              <w:rPr>
                <w:rFonts w:ascii="Arial" w:cs="Arial" w:eastAsia="Arial" w:hAnsi="Arial"/>
                <w:sz w:val="8"/>
                <w:szCs w:val="8"/>
                <w:color w:val="auto"/>
              </w:rPr>
              <w:t>--</w:t>
            </w:r>
          </w:p>
        </w:tc>
        <w:tc>
          <w:tcPr>
            <w:tcW w:w="140" w:type="dxa"/>
            <w:vAlign w:val="bottom"/>
            <w:shd w:val="clear" w:color="auto" w:fill="CCEEFF"/>
          </w:tcPr>
          <w:p>
            <w:pPr>
              <w:spacing w:after="0"/>
              <w:rPr>
                <w:sz w:val="16"/>
                <w:szCs w:val="16"/>
                <w:color w:val="auto"/>
              </w:rPr>
            </w:pPr>
          </w:p>
        </w:tc>
        <w:tc>
          <w:tcPr>
            <w:tcW w:w="48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8"/>
                <w:szCs w:val="8"/>
                <w:color w:val="auto"/>
              </w:rPr>
              <w:t>--</w:t>
            </w:r>
          </w:p>
        </w:tc>
        <w:tc>
          <w:tcPr>
            <w:tcW w:w="140" w:type="dxa"/>
            <w:vAlign w:val="bottom"/>
            <w:shd w:val="clear" w:color="auto" w:fill="CCEEFF"/>
          </w:tcPr>
          <w:p>
            <w:pPr>
              <w:spacing w:after="0"/>
              <w:rPr>
                <w:sz w:val="16"/>
                <w:szCs w:val="16"/>
                <w:color w:val="auto"/>
              </w:rPr>
            </w:pPr>
          </w:p>
        </w:tc>
        <w:tc>
          <w:tcPr>
            <w:tcW w:w="620" w:type="dxa"/>
            <w:vAlign w:val="bottom"/>
            <w:vMerge w:val="restart"/>
            <w:shd w:val="clear" w:color="auto" w:fill="CCEEFF"/>
          </w:tcPr>
          <w:p>
            <w:pPr>
              <w:jc w:val="right"/>
              <w:ind w:right="18"/>
              <w:spacing w:after="0"/>
              <w:rPr>
                <w:sz w:val="20"/>
                <w:szCs w:val="20"/>
                <w:color w:val="auto"/>
              </w:rPr>
            </w:pPr>
            <w:r>
              <w:rPr>
                <w:rFonts w:ascii="Arial" w:cs="Arial" w:eastAsia="Arial" w:hAnsi="Arial"/>
                <w:sz w:val="8"/>
                <w:szCs w:val="8"/>
                <w:color w:val="auto"/>
              </w:rPr>
              <w:t>--</w:t>
            </w:r>
          </w:p>
        </w:tc>
        <w:tc>
          <w:tcPr>
            <w:tcW w:w="100" w:type="dxa"/>
            <w:vAlign w:val="bottom"/>
            <w:shd w:val="clear" w:color="auto" w:fill="CCEEFF"/>
          </w:tcPr>
          <w:p>
            <w:pPr>
              <w:spacing w:after="0"/>
              <w:rPr>
                <w:sz w:val="16"/>
                <w:szCs w:val="16"/>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8"/>
                <w:szCs w:val="8"/>
                <w:color w:val="auto"/>
              </w:rPr>
              <w:t>--</w:t>
            </w:r>
          </w:p>
        </w:tc>
        <w:tc>
          <w:tcPr>
            <w:tcW w:w="120" w:type="dxa"/>
            <w:vAlign w:val="bottom"/>
            <w:shd w:val="clear" w:color="auto" w:fill="CCEEFF"/>
          </w:tcPr>
          <w:p>
            <w:pPr>
              <w:spacing w:after="0"/>
              <w:rPr>
                <w:sz w:val="16"/>
                <w:szCs w:val="16"/>
                <w:color w:val="auto"/>
              </w:rPr>
            </w:pPr>
          </w:p>
        </w:tc>
        <w:tc>
          <w:tcPr>
            <w:tcW w:w="620" w:type="dxa"/>
            <w:vAlign w:val="bottom"/>
            <w:vMerge w:val="restart"/>
            <w:shd w:val="clear" w:color="auto" w:fill="CCEEFF"/>
          </w:tcPr>
          <w:p>
            <w:pPr>
              <w:jc w:val="right"/>
              <w:ind w:right="18"/>
              <w:spacing w:after="0"/>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16"/>
                <w:szCs w:val="16"/>
                <w:color w:val="auto"/>
              </w:rPr>
            </w:pPr>
          </w:p>
        </w:tc>
        <w:tc>
          <w:tcPr>
            <w:tcW w:w="720" w:type="dxa"/>
            <w:vAlign w:val="bottom"/>
            <w:vMerge w:val="restart"/>
            <w:shd w:val="clear" w:color="auto" w:fill="CCEEFF"/>
          </w:tcPr>
          <w:p>
            <w:pPr>
              <w:jc w:val="right"/>
              <w:ind w:right="18"/>
              <w:spacing w:after="0"/>
              <w:rPr>
                <w:sz w:val="20"/>
                <w:szCs w:val="20"/>
                <w:color w:val="auto"/>
              </w:rPr>
            </w:pPr>
            <w:r>
              <w:rPr>
                <w:rFonts w:ascii="Arial" w:cs="Arial" w:eastAsia="Arial" w:hAnsi="Arial"/>
                <w:sz w:val="8"/>
                <w:szCs w:val="8"/>
                <w:color w:val="auto"/>
              </w:rPr>
              <w:t>--</w:t>
            </w:r>
          </w:p>
        </w:tc>
        <w:tc>
          <w:tcPr>
            <w:tcW w:w="120" w:type="dxa"/>
            <w:vAlign w:val="bottom"/>
            <w:shd w:val="clear" w:color="auto" w:fill="CCEEFF"/>
          </w:tcPr>
          <w:p>
            <w:pPr>
              <w:spacing w:after="0"/>
              <w:rPr>
                <w:sz w:val="16"/>
                <w:szCs w:val="16"/>
                <w:color w:val="auto"/>
              </w:rPr>
            </w:pPr>
          </w:p>
        </w:tc>
        <w:tc>
          <w:tcPr>
            <w:tcW w:w="780" w:type="dxa"/>
            <w:vAlign w:val="bottom"/>
            <w:vMerge w:val="restart"/>
            <w:shd w:val="clear" w:color="auto" w:fill="CCEEFF"/>
          </w:tcPr>
          <w:p>
            <w:pPr>
              <w:jc w:val="right"/>
              <w:ind w:right="18"/>
              <w:spacing w:after="0"/>
              <w:rPr>
                <w:sz w:val="20"/>
                <w:szCs w:val="20"/>
                <w:color w:val="auto"/>
              </w:rPr>
            </w:pPr>
            <w:r>
              <w:rPr>
                <w:rFonts w:ascii="Arial" w:cs="Arial" w:eastAsia="Arial" w:hAnsi="Arial"/>
                <w:sz w:val="8"/>
                <w:szCs w:val="8"/>
                <w:color w:val="auto"/>
              </w:rPr>
              <w:t>--</w:t>
            </w:r>
          </w:p>
        </w:tc>
        <w:tc>
          <w:tcPr>
            <w:tcW w:w="140" w:type="dxa"/>
            <w:vAlign w:val="bottom"/>
            <w:shd w:val="clear" w:color="auto" w:fill="CCEEFF"/>
          </w:tcPr>
          <w:p>
            <w:pPr>
              <w:spacing w:after="0"/>
              <w:rPr>
                <w:sz w:val="16"/>
                <w:szCs w:val="16"/>
                <w:color w:val="auto"/>
              </w:rPr>
            </w:pPr>
          </w:p>
        </w:tc>
        <w:tc>
          <w:tcPr>
            <w:tcW w:w="660" w:type="dxa"/>
            <w:vAlign w:val="bottom"/>
            <w:vMerge w:val="restart"/>
            <w:shd w:val="clear" w:color="auto" w:fill="CCEEFF"/>
          </w:tcPr>
          <w:p>
            <w:pPr>
              <w:jc w:val="right"/>
              <w:ind w:right="18"/>
              <w:spacing w:after="0"/>
              <w:rPr>
                <w:sz w:val="20"/>
                <w:szCs w:val="20"/>
                <w:color w:val="auto"/>
              </w:rPr>
            </w:pPr>
            <w:r>
              <w:rPr>
                <w:rFonts w:ascii="Arial" w:cs="Arial" w:eastAsia="Arial" w:hAnsi="Arial"/>
                <w:sz w:val="8"/>
                <w:szCs w:val="8"/>
                <w:color w:val="auto"/>
              </w:rPr>
              <w:t>--</w:t>
            </w:r>
          </w:p>
        </w:tc>
        <w:tc>
          <w:tcPr>
            <w:tcW w:w="100" w:type="dxa"/>
            <w:vAlign w:val="bottom"/>
            <w:shd w:val="clear" w:color="auto" w:fill="CCEEFF"/>
          </w:tcPr>
          <w:p>
            <w:pPr>
              <w:spacing w:after="0"/>
              <w:rPr>
                <w:sz w:val="16"/>
                <w:szCs w:val="16"/>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93"/>
        </w:trPr>
        <w:tc>
          <w:tcPr>
            <w:tcW w:w="2540" w:type="dxa"/>
            <w:vAlign w:val="bottom"/>
            <w:tcBorders>
              <w:right w:val="single" w:sz="8" w:color="auto"/>
            </w:tcBorders>
            <w:shd w:val="clear" w:color="auto" w:fill="CCEEFF"/>
          </w:tcPr>
          <w:p>
            <w:pPr>
              <w:spacing w:after="0"/>
              <w:rPr>
                <w:sz w:val="8"/>
                <w:szCs w:val="8"/>
                <w:color w:val="auto"/>
              </w:rPr>
            </w:pPr>
          </w:p>
        </w:tc>
        <w:tc>
          <w:tcPr>
            <w:tcW w:w="540" w:type="dxa"/>
            <w:vAlign w:val="bottom"/>
            <w:tcBorders>
              <w:right w:val="single" w:sz="8" w:color="auto"/>
            </w:tcBorders>
            <w:vMerge w:val="continue"/>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500" w:type="dxa"/>
            <w:vAlign w:val="bottom"/>
            <w:tcBorders>
              <w:right w:val="single" w:sz="8" w:color="auto"/>
            </w:tcBorders>
            <w:vMerge w:val="continue"/>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640" w:type="dxa"/>
            <w:vAlign w:val="bottom"/>
            <w:tcBorders>
              <w:right w:val="single" w:sz="8" w:color="auto"/>
            </w:tcBorders>
            <w:gridSpan w:val="2"/>
            <w:vMerge w:val="continue"/>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80" w:type="dxa"/>
            <w:vAlign w:val="bottom"/>
            <w:tcBorders>
              <w:right w:val="single" w:sz="8" w:color="auto"/>
            </w:tcBorders>
            <w:vMerge w:val="continue"/>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2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0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20" w:type="dxa"/>
            <w:vAlign w:val="bottom"/>
            <w:vMerge w:val="continue"/>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2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80" w:type="dxa"/>
            <w:vAlign w:val="bottom"/>
            <w:vMerge w:val="continue"/>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6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6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540" w:type="dxa"/>
            <w:vAlign w:val="bottom"/>
            <w:tcBorders>
              <w:right w:val="single" w:sz="8" w:color="auto"/>
            </w:tcBorders>
          </w:tcPr>
          <w:p>
            <w:pPr>
              <w:spacing w:after="0"/>
              <w:rPr>
                <w:sz w:val="20"/>
                <w:szCs w:val="20"/>
                <w:color w:val="auto"/>
              </w:rPr>
            </w:pPr>
            <w:r>
              <w:rPr>
                <w:rFonts w:ascii="Arial" w:cs="Arial" w:eastAsia="Arial" w:hAnsi="Arial"/>
                <w:sz w:val="8"/>
                <w:szCs w:val="8"/>
                <w:color w:val="auto"/>
                <w:w w:val="99"/>
              </w:rPr>
              <w:t>Class A common stock issued for stock bonuses and options exercised</w:t>
            </w:r>
          </w:p>
        </w:tc>
        <w:tc>
          <w:tcPr>
            <w:tcW w:w="540" w:type="dxa"/>
            <w:vAlign w:val="bottom"/>
            <w:tcBorders>
              <w:right w:val="single" w:sz="8" w:color="auto"/>
            </w:tcBorders>
            <w:vMerge w:val="restart"/>
          </w:tcPr>
          <w:p>
            <w:pPr>
              <w:jc w:val="right"/>
              <w:ind w:right="58"/>
              <w:spacing w:after="0"/>
              <w:rPr>
                <w:sz w:val="20"/>
                <w:szCs w:val="20"/>
                <w:color w:val="auto"/>
              </w:rPr>
            </w:pPr>
            <w:r>
              <w:rPr>
                <w:rFonts w:ascii="Arial" w:cs="Arial" w:eastAsia="Arial" w:hAnsi="Arial"/>
                <w:sz w:val="8"/>
                <w:szCs w:val="8"/>
                <w:color w:val="auto"/>
              </w:rPr>
              <w:t>280</w:t>
            </w:r>
          </w:p>
        </w:tc>
        <w:tc>
          <w:tcPr>
            <w:tcW w:w="180" w:type="dxa"/>
            <w:vAlign w:val="bottom"/>
          </w:tcPr>
          <w:p>
            <w:pPr>
              <w:spacing w:after="0"/>
              <w:rPr>
                <w:sz w:val="12"/>
                <w:szCs w:val="12"/>
                <w:color w:val="auto"/>
              </w:rPr>
            </w:pPr>
          </w:p>
        </w:tc>
        <w:tc>
          <w:tcPr>
            <w:tcW w:w="500" w:type="dxa"/>
            <w:vAlign w:val="bottom"/>
            <w:tcBorders>
              <w:right w:val="single" w:sz="8" w:color="auto"/>
            </w:tcBorders>
            <w:vMerge w:val="restart"/>
          </w:tcPr>
          <w:p>
            <w:pPr>
              <w:jc w:val="right"/>
              <w:spacing w:after="0"/>
              <w:rPr>
                <w:sz w:val="20"/>
                <w:szCs w:val="20"/>
                <w:color w:val="auto"/>
              </w:rPr>
            </w:pPr>
            <w:r>
              <w:rPr>
                <w:rFonts w:ascii="Arial" w:cs="Arial" w:eastAsia="Arial" w:hAnsi="Arial"/>
                <w:sz w:val="8"/>
                <w:szCs w:val="8"/>
                <w:color w:val="auto"/>
              </w:rPr>
              <w:t>--</w:t>
            </w:r>
          </w:p>
        </w:tc>
        <w:tc>
          <w:tcPr>
            <w:tcW w:w="40" w:type="dxa"/>
            <w:vAlign w:val="bottom"/>
          </w:tcPr>
          <w:p>
            <w:pPr>
              <w:spacing w:after="0"/>
              <w:rPr>
                <w:sz w:val="12"/>
                <w:szCs w:val="12"/>
                <w:color w:val="auto"/>
              </w:rPr>
            </w:pPr>
          </w:p>
        </w:tc>
        <w:tc>
          <w:tcPr>
            <w:tcW w:w="640" w:type="dxa"/>
            <w:vAlign w:val="bottom"/>
            <w:tcBorders>
              <w:right w:val="single" w:sz="8" w:color="auto"/>
            </w:tcBorders>
            <w:gridSpan w:val="2"/>
            <w:vMerge w:val="restart"/>
          </w:tcPr>
          <w:p>
            <w:pPr>
              <w:jc w:val="right"/>
              <w:ind w:right="100"/>
              <w:spacing w:after="0"/>
              <w:rPr>
                <w:sz w:val="20"/>
                <w:szCs w:val="20"/>
                <w:color w:val="auto"/>
              </w:rPr>
            </w:pPr>
            <w:r>
              <w:rPr>
                <w:rFonts w:ascii="Arial" w:cs="Arial" w:eastAsia="Arial" w:hAnsi="Arial"/>
                <w:sz w:val="8"/>
                <w:szCs w:val="8"/>
                <w:color w:val="auto"/>
              </w:rPr>
              <w:t>--</w:t>
            </w:r>
          </w:p>
        </w:tc>
        <w:tc>
          <w:tcPr>
            <w:tcW w:w="140" w:type="dxa"/>
            <w:vAlign w:val="bottom"/>
          </w:tcPr>
          <w:p>
            <w:pPr>
              <w:spacing w:after="0"/>
              <w:rPr>
                <w:sz w:val="12"/>
                <w:szCs w:val="12"/>
                <w:color w:val="auto"/>
              </w:rPr>
            </w:pPr>
          </w:p>
        </w:tc>
        <w:tc>
          <w:tcPr>
            <w:tcW w:w="480" w:type="dxa"/>
            <w:vAlign w:val="bottom"/>
            <w:tcBorders>
              <w:right w:val="single" w:sz="8" w:color="auto"/>
            </w:tcBorders>
            <w:vMerge w:val="restart"/>
          </w:tcPr>
          <w:p>
            <w:pPr>
              <w:jc w:val="right"/>
              <w:spacing w:after="0"/>
              <w:rPr>
                <w:sz w:val="20"/>
                <w:szCs w:val="20"/>
                <w:color w:val="auto"/>
              </w:rPr>
            </w:pPr>
            <w:r>
              <w:rPr>
                <w:rFonts w:ascii="Arial" w:cs="Arial" w:eastAsia="Arial" w:hAnsi="Arial"/>
                <w:sz w:val="8"/>
                <w:szCs w:val="8"/>
                <w:color w:val="auto"/>
              </w:rPr>
              <w:t>--</w:t>
            </w:r>
          </w:p>
        </w:tc>
        <w:tc>
          <w:tcPr>
            <w:tcW w:w="140" w:type="dxa"/>
            <w:vAlign w:val="bottom"/>
          </w:tcPr>
          <w:p>
            <w:pPr>
              <w:spacing w:after="0"/>
              <w:rPr>
                <w:sz w:val="12"/>
                <w:szCs w:val="12"/>
                <w:color w:val="auto"/>
              </w:rPr>
            </w:pPr>
          </w:p>
        </w:tc>
        <w:tc>
          <w:tcPr>
            <w:tcW w:w="620" w:type="dxa"/>
            <w:vAlign w:val="bottom"/>
            <w:vMerge w:val="restart"/>
          </w:tcPr>
          <w:p>
            <w:pPr>
              <w:jc w:val="right"/>
              <w:ind w:right="38"/>
              <w:spacing w:after="0"/>
              <w:rPr>
                <w:sz w:val="20"/>
                <w:szCs w:val="20"/>
                <w:color w:val="auto"/>
              </w:rPr>
            </w:pPr>
            <w:r>
              <w:rPr>
                <w:rFonts w:ascii="Arial" w:cs="Arial" w:eastAsia="Arial" w:hAnsi="Arial"/>
                <w:sz w:val="8"/>
                <w:szCs w:val="8"/>
                <w:color w:val="auto"/>
              </w:rPr>
              <w:t>248</w:t>
            </w:r>
          </w:p>
        </w:tc>
        <w:tc>
          <w:tcPr>
            <w:tcW w:w="10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Arial" w:cs="Arial" w:eastAsia="Arial" w:hAnsi="Arial"/>
                <w:sz w:val="8"/>
                <w:szCs w:val="8"/>
                <w:color w:val="auto"/>
              </w:rPr>
              <w:t>--</w:t>
            </w:r>
          </w:p>
        </w:tc>
        <w:tc>
          <w:tcPr>
            <w:tcW w:w="120" w:type="dxa"/>
            <w:vAlign w:val="bottom"/>
          </w:tcPr>
          <w:p>
            <w:pPr>
              <w:spacing w:after="0"/>
              <w:rPr>
                <w:sz w:val="12"/>
                <w:szCs w:val="12"/>
                <w:color w:val="auto"/>
              </w:rPr>
            </w:pPr>
          </w:p>
        </w:tc>
        <w:tc>
          <w:tcPr>
            <w:tcW w:w="620" w:type="dxa"/>
            <w:vAlign w:val="bottom"/>
            <w:vMerge w:val="restart"/>
          </w:tcPr>
          <w:p>
            <w:pPr>
              <w:jc w:val="right"/>
              <w:ind w:right="18"/>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12"/>
                <w:szCs w:val="12"/>
                <w:color w:val="auto"/>
              </w:rPr>
            </w:pPr>
          </w:p>
        </w:tc>
        <w:tc>
          <w:tcPr>
            <w:tcW w:w="720" w:type="dxa"/>
            <w:vAlign w:val="bottom"/>
            <w:vMerge w:val="restart"/>
          </w:tcPr>
          <w:p>
            <w:pPr>
              <w:jc w:val="right"/>
              <w:ind w:right="18"/>
              <w:spacing w:after="0"/>
              <w:rPr>
                <w:sz w:val="20"/>
                <w:szCs w:val="20"/>
                <w:color w:val="auto"/>
              </w:rPr>
            </w:pPr>
            <w:r>
              <w:rPr>
                <w:rFonts w:ascii="Arial" w:cs="Arial" w:eastAsia="Arial" w:hAnsi="Arial"/>
                <w:sz w:val="8"/>
                <w:szCs w:val="8"/>
                <w:color w:val="auto"/>
              </w:rPr>
              <w:t>--</w:t>
            </w:r>
          </w:p>
        </w:tc>
        <w:tc>
          <w:tcPr>
            <w:tcW w:w="120" w:type="dxa"/>
            <w:vAlign w:val="bottom"/>
          </w:tcPr>
          <w:p>
            <w:pPr>
              <w:spacing w:after="0"/>
              <w:rPr>
                <w:sz w:val="12"/>
                <w:szCs w:val="12"/>
                <w:color w:val="auto"/>
              </w:rPr>
            </w:pPr>
          </w:p>
        </w:tc>
        <w:tc>
          <w:tcPr>
            <w:tcW w:w="780" w:type="dxa"/>
            <w:vAlign w:val="bottom"/>
            <w:vMerge w:val="restart"/>
          </w:tcPr>
          <w:p>
            <w:pPr>
              <w:jc w:val="right"/>
              <w:ind w:right="38"/>
              <w:spacing w:after="0"/>
              <w:rPr>
                <w:sz w:val="20"/>
                <w:szCs w:val="20"/>
                <w:color w:val="auto"/>
              </w:rPr>
            </w:pPr>
            <w:r>
              <w:rPr>
                <w:rFonts w:ascii="Arial" w:cs="Arial" w:eastAsia="Arial" w:hAnsi="Arial"/>
                <w:sz w:val="8"/>
                <w:szCs w:val="8"/>
                <w:color w:val="auto"/>
              </w:rPr>
              <w:t>248</w:t>
            </w:r>
          </w:p>
        </w:tc>
        <w:tc>
          <w:tcPr>
            <w:tcW w:w="140" w:type="dxa"/>
            <w:vAlign w:val="bottom"/>
          </w:tcPr>
          <w:p>
            <w:pPr>
              <w:spacing w:after="0"/>
              <w:rPr>
                <w:sz w:val="12"/>
                <w:szCs w:val="12"/>
                <w:color w:val="auto"/>
              </w:rPr>
            </w:pPr>
          </w:p>
        </w:tc>
        <w:tc>
          <w:tcPr>
            <w:tcW w:w="660" w:type="dxa"/>
            <w:vAlign w:val="bottom"/>
            <w:vMerge w:val="restart"/>
          </w:tcPr>
          <w:p>
            <w:pPr>
              <w:jc w:val="right"/>
              <w:ind w:right="18"/>
              <w:spacing w:after="0"/>
              <w:rPr>
                <w:sz w:val="20"/>
                <w:szCs w:val="20"/>
                <w:color w:val="auto"/>
              </w:rPr>
            </w:pPr>
            <w:r>
              <w:rPr>
                <w:rFonts w:ascii="Arial" w:cs="Arial" w:eastAsia="Arial" w:hAnsi="Arial"/>
                <w:sz w:val="8"/>
                <w:szCs w:val="8"/>
                <w:color w:val="auto"/>
              </w:rPr>
              <w:t>--</w:t>
            </w:r>
          </w:p>
        </w:tc>
        <w:tc>
          <w:tcPr>
            <w:tcW w:w="10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Arial" w:cs="Arial" w:eastAsia="Arial" w:hAnsi="Arial"/>
                <w:sz w:val="8"/>
                <w:szCs w:val="8"/>
                <w:color w:val="auto"/>
              </w:rPr>
              <w:t>248</w:t>
            </w:r>
          </w:p>
        </w:tc>
        <w:tc>
          <w:tcPr>
            <w:tcW w:w="0" w:type="dxa"/>
            <w:vAlign w:val="bottom"/>
          </w:tcPr>
          <w:p>
            <w:pPr>
              <w:spacing w:after="0"/>
              <w:rPr>
                <w:sz w:val="1"/>
                <w:szCs w:val="1"/>
                <w:color w:val="auto"/>
              </w:rPr>
            </w:pPr>
          </w:p>
        </w:tc>
      </w:tr>
      <w:tr>
        <w:trPr>
          <w:trHeight w:val="48"/>
        </w:trPr>
        <w:tc>
          <w:tcPr>
            <w:tcW w:w="2540" w:type="dxa"/>
            <w:vAlign w:val="bottom"/>
            <w:tcBorders>
              <w:right w:val="single" w:sz="8" w:color="auto"/>
            </w:tcBorders>
          </w:tcPr>
          <w:p>
            <w:pPr>
              <w:spacing w:after="0"/>
              <w:rPr>
                <w:sz w:val="4"/>
                <w:szCs w:val="4"/>
                <w:color w:val="auto"/>
              </w:rPr>
            </w:pPr>
          </w:p>
        </w:tc>
        <w:tc>
          <w:tcPr>
            <w:tcW w:w="540" w:type="dxa"/>
            <w:vAlign w:val="bottom"/>
            <w:tcBorders>
              <w:right w:val="single" w:sz="8" w:color="auto"/>
            </w:tcBorders>
            <w:vMerge w:val="continue"/>
          </w:tcPr>
          <w:p>
            <w:pPr>
              <w:spacing w:after="0"/>
              <w:rPr>
                <w:sz w:val="4"/>
                <w:szCs w:val="4"/>
                <w:color w:val="auto"/>
              </w:rPr>
            </w:pPr>
          </w:p>
        </w:tc>
        <w:tc>
          <w:tcPr>
            <w:tcW w:w="180" w:type="dxa"/>
            <w:vAlign w:val="bottom"/>
          </w:tcPr>
          <w:p>
            <w:pPr>
              <w:spacing w:after="0"/>
              <w:rPr>
                <w:sz w:val="4"/>
                <w:szCs w:val="4"/>
                <w:color w:val="auto"/>
              </w:rPr>
            </w:pPr>
          </w:p>
        </w:tc>
        <w:tc>
          <w:tcPr>
            <w:tcW w:w="500" w:type="dxa"/>
            <w:vAlign w:val="bottom"/>
            <w:tcBorders>
              <w:right w:val="single" w:sz="8" w:color="auto"/>
            </w:tcBorders>
            <w:vMerge w:val="continue"/>
          </w:tcPr>
          <w:p>
            <w:pPr>
              <w:spacing w:after="0"/>
              <w:rPr>
                <w:sz w:val="4"/>
                <w:szCs w:val="4"/>
                <w:color w:val="auto"/>
              </w:rPr>
            </w:pPr>
          </w:p>
        </w:tc>
        <w:tc>
          <w:tcPr>
            <w:tcW w:w="40" w:type="dxa"/>
            <w:vAlign w:val="bottom"/>
          </w:tcPr>
          <w:p>
            <w:pPr>
              <w:spacing w:after="0"/>
              <w:rPr>
                <w:sz w:val="4"/>
                <w:szCs w:val="4"/>
                <w:color w:val="auto"/>
              </w:rPr>
            </w:pPr>
          </w:p>
        </w:tc>
        <w:tc>
          <w:tcPr>
            <w:tcW w:w="640" w:type="dxa"/>
            <w:vAlign w:val="bottom"/>
            <w:tcBorders>
              <w:right w:val="single" w:sz="8" w:color="auto"/>
            </w:tcBorders>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480" w:type="dxa"/>
            <w:vAlign w:val="bottom"/>
            <w:tcBorders>
              <w:right w:val="single" w:sz="8" w:color="auto"/>
            </w:tcBorders>
            <w:vMerge w:val="continue"/>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54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8"/>
                <w:szCs w:val="8"/>
                <w:color w:val="auto"/>
              </w:rPr>
              <w:t>Conversion of noncontrolling interest to equity</w:t>
            </w:r>
          </w:p>
        </w:tc>
        <w:tc>
          <w:tcPr>
            <w:tcW w:w="540" w:type="dxa"/>
            <w:vAlign w:val="bottom"/>
            <w:tcBorders>
              <w:right w:val="single" w:sz="8" w:color="auto"/>
            </w:tcBorders>
            <w:shd w:val="clear" w:color="auto" w:fill="CCEEFF"/>
          </w:tcPr>
          <w:p>
            <w:pPr>
              <w:jc w:val="right"/>
              <w:ind w:right="38"/>
              <w:spacing w:after="0"/>
              <w:rPr>
                <w:sz w:val="20"/>
                <w:szCs w:val="20"/>
                <w:color w:val="auto"/>
              </w:rPr>
            </w:pPr>
            <w:r>
              <w:rPr>
                <w:rFonts w:ascii="Arial" w:cs="Arial" w:eastAsia="Arial" w:hAnsi="Arial"/>
                <w:sz w:val="8"/>
                <w:szCs w:val="8"/>
                <w:color w:val="auto"/>
              </w:rPr>
              <w:t>--</w:t>
            </w:r>
          </w:p>
        </w:tc>
        <w:tc>
          <w:tcPr>
            <w:tcW w:w="180" w:type="dxa"/>
            <w:vAlign w:val="bottom"/>
            <w:shd w:val="clear" w:color="auto" w:fill="CCEEFF"/>
          </w:tcPr>
          <w:p>
            <w:pPr>
              <w:spacing w:after="0"/>
              <w:rPr>
                <w:sz w:val="14"/>
                <w:szCs w:val="14"/>
                <w:color w:val="auto"/>
              </w:rPr>
            </w:pPr>
          </w:p>
        </w:tc>
        <w:tc>
          <w:tcPr>
            <w:tcW w:w="5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w:t>
            </w:r>
          </w:p>
        </w:tc>
        <w:tc>
          <w:tcPr>
            <w:tcW w:w="40" w:type="dxa"/>
            <w:vAlign w:val="bottom"/>
            <w:shd w:val="clear" w:color="auto" w:fill="CCEEFF"/>
          </w:tcPr>
          <w:p>
            <w:pPr>
              <w:spacing w:after="0"/>
              <w:rPr>
                <w:sz w:val="14"/>
                <w:szCs w:val="14"/>
                <w:color w:val="auto"/>
              </w:rPr>
            </w:pPr>
          </w:p>
        </w:tc>
        <w:tc>
          <w:tcPr>
            <w:tcW w:w="64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8"/>
                <w:szCs w:val="8"/>
                <w:color w:val="auto"/>
              </w:rPr>
              <w:t>--</w:t>
            </w:r>
          </w:p>
        </w:tc>
        <w:tc>
          <w:tcPr>
            <w:tcW w:w="140" w:type="dxa"/>
            <w:vAlign w:val="bottom"/>
            <w:shd w:val="clear" w:color="auto" w:fill="CCEEFF"/>
          </w:tcPr>
          <w:p>
            <w:pPr>
              <w:spacing w:after="0"/>
              <w:rPr>
                <w:sz w:val="14"/>
                <w:szCs w:val="14"/>
                <w:color w:val="auto"/>
              </w:rPr>
            </w:pPr>
          </w:p>
        </w:tc>
        <w:tc>
          <w:tcPr>
            <w:tcW w:w="48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w:t>
            </w: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18"/>
              <w:spacing w:after="0"/>
              <w:rPr>
                <w:sz w:val="20"/>
                <w:szCs w:val="20"/>
                <w:color w:val="auto"/>
              </w:rPr>
            </w:pPr>
            <w:r>
              <w:rPr>
                <w:rFonts w:ascii="Arial" w:cs="Arial" w:eastAsia="Arial" w:hAnsi="Arial"/>
                <w:sz w:val="8"/>
                <w:szCs w:val="8"/>
                <w:color w:val="auto"/>
              </w:rPr>
              <w:t>(101)</w:t>
            </w: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8"/>
                <w:szCs w:val="8"/>
                <w:color w:val="auto"/>
              </w:rPr>
              <w:t>--</w:t>
            </w: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18"/>
              <w:spacing w:after="0"/>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18"/>
              <w:spacing w:after="0"/>
              <w:rPr>
                <w:sz w:val="20"/>
                <w:szCs w:val="20"/>
                <w:color w:val="auto"/>
              </w:rPr>
            </w:pPr>
            <w:r>
              <w:rPr>
                <w:rFonts w:ascii="Arial" w:cs="Arial" w:eastAsia="Arial" w:hAnsi="Arial"/>
                <w:sz w:val="8"/>
                <w:szCs w:val="8"/>
                <w:color w:val="auto"/>
              </w:rPr>
              <w:t>--</w:t>
            </w: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18"/>
              <w:spacing w:after="0"/>
              <w:rPr>
                <w:sz w:val="20"/>
                <w:szCs w:val="20"/>
                <w:color w:val="auto"/>
              </w:rPr>
            </w:pPr>
            <w:r>
              <w:rPr>
                <w:rFonts w:ascii="Arial" w:cs="Arial" w:eastAsia="Arial" w:hAnsi="Arial"/>
                <w:sz w:val="8"/>
                <w:szCs w:val="8"/>
                <w:color w:val="auto"/>
              </w:rPr>
              <w:t>(101)</w:t>
            </w: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38"/>
              <w:spacing w:after="0"/>
              <w:rPr>
                <w:sz w:val="20"/>
                <w:szCs w:val="20"/>
                <w:color w:val="auto"/>
              </w:rPr>
            </w:pPr>
            <w:r>
              <w:rPr>
                <w:rFonts w:ascii="Arial" w:cs="Arial" w:eastAsia="Arial" w:hAnsi="Arial"/>
                <w:sz w:val="8"/>
                <w:szCs w:val="8"/>
                <w:color w:val="auto"/>
              </w:rPr>
              <w:t>101</w:t>
            </w: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162"/>
        </w:trPr>
        <w:tc>
          <w:tcPr>
            <w:tcW w:w="2540" w:type="dxa"/>
            <w:vAlign w:val="bottom"/>
            <w:tcBorders>
              <w:right w:val="single" w:sz="8" w:color="auto"/>
            </w:tcBorders>
          </w:tcPr>
          <w:p>
            <w:pPr>
              <w:spacing w:after="0"/>
              <w:rPr>
                <w:sz w:val="20"/>
                <w:szCs w:val="20"/>
                <w:color w:val="auto"/>
              </w:rPr>
            </w:pPr>
            <w:r>
              <w:rPr>
                <w:rFonts w:ascii="Arial" w:cs="Arial" w:eastAsia="Arial" w:hAnsi="Arial"/>
                <w:sz w:val="8"/>
                <w:szCs w:val="8"/>
                <w:color w:val="auto"/>
              </w:rPr>
              <w:t>Contributions from noncontrolling shareholders</w:t>
            </w:r>
          </w:p>
        </w:tc>
        <w:tc>
          <w:tcPr>
            <w:tcW w:w="540" w:type="dxa"/>
            <w:vAlign w:val="bottom"/>
            <w:tcBorders>
              <w:right w:val="single" w:sz="8" w:color="auto"/>
            </w:tcBorders>
          </w:tcPr>
          <w:p>
            <w:pPr>
              <w:jc w:val="right"/>
              <w:ind w:right="38"/>
              <w:spacing w:after="0"/>
              <w:rPr>
                <w:sz w:val="20"/>
                <w:szCs w:val="20"/>
                <w:color w:val="auto"/>
              </w:rPr>
            </w:pPr>
            <w:r>
              <w:rPr>
                <w:rFonts w:ascii="Arial" w:cs="Arial" w:eastAsia="Arial" w:hAnsi="Arial"/>
                <w:sz w:val="8"/>
                <w:szCs w:val="8"/>
                <w:color w:val="auto"/>
              </w:rPr>
              <w:t>--</w:t>
            </w:r>
          </w:p>
        </w:tc>
        <w:tc>
          <w:tcPr>
            <w:tcW w:w="180" w:type="dxa"/>
            <w:vAlign w:val="bottom"/>
          </w:tcPr>
          <w:p>
            <w:pPr>
              <w:spacing w:after="0"/>
              <w:rPr>
                <w:sz w:val="14"/>
                <w:szCs w:val="14"/>
                <w:color w:val="auto"/>
              </w:rPr>
            </w:pPr>
          </w:p>
        </w:tc>
        <w:tc>
          <w:tcPr>
            <w:tcW w:w="500" w:type="dxa"/>
            <w:vAlign w:val="bottom"/>
            <w:tcBorders>
              <w:right w:val="single" w:sz="8" w:color="auto"/>
            </w:tcBorders>
          </w:tcPr>
          <w:p>
            <w:pPr>
              <w:jc w:val="right"/>
              <w:spacing w:after="0"/>
              <w:rPr>
                <w:sz w:val="20"/>
                <w:szCs w:val="20"/>
                <w:color w:val="auto"/>
              </w:rPr>
            </w:pPr>
            <w:r>
              <w:rPr>
                <w:rFonts w:ascii="Arial" w:cs="Arial" w:eastAsia="Arial" w:hAnsi="Arial"/>
                <w:sz w:val="8"/>
                <w:szCs w:val="8"/>
                <w:color w:val="auto"/>
              </w:rPr>
              <w:t>--</w:t>
            </w:r>
          </w:p>
        </w:tc>
        <w:tc>
          <w:tcPr>
            <w:tcW w:w="40" w:type="dxa"/>
            <w:vAlign w:val="bottom"/>
          </w:tcPr>
          <w:p>
            <w:pPr>
              <w:spacing w:after="0"/>
              <w:rPr>
                <w:sz w:val="14"/>
                <w:szCs w:val="14"/>
                <w:color w:val="auto"/>
              </w:rPr>
            </w:pPr>
          </w:p>
        </w:tc>
        <w:tc>
          <w:tcPr>
            <w:tcW w:w="64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8"/>
                <w:szCs w:val="8"/>
                <w:color w:val="auto"/>
              </w:rPr>
              <w:t>--</w:t>
            </w:r>
          </w:p>
        </w:tc>
        <w:tc>
          <w:tcPr>
            <w:tcW w:w="140" w:type="dxa"/>
            <w:vAlign w:val="bottom"/>
          </w:tcPr>
          <w:p>
            <w:pPr>
              <w:spacing w:after="0"/>
              <w:rPr>
                <w:sz w:val="14"/>
                <w:szCs w:val="14"/>
                <w:color w:val="auto"/>
              </w:rPr>
            </w:pPr>
          </w:p>
        </w:tc>
        <w:tc>
          <w:tcPr>
            <w:tcW w:w="480" w:type="dxa"/>
            <w:vAlign w:val="bottom"/>
            <w:tcBorders>
              <w:right w:val="single" w:sz="8" w:color="auto"/>
            </w:tcBorders>
          </w:tcPr>
          <w:p>
            <w:pPr>
              <w:jc w:val="right"/>
              <w:spacing w:after="0"/>
              <w:rPr>
                <w:sz w:val="20"/>
                <w:szCs w:val="20"/>
                <w:color w:val="auto"/>
              </w:rPr>
            </w:pPr>
            <w:r>
              <w:rPr>
                <w:rFonts w:ascii="Arial" w:cs="Arial" w:eastAsia="Arial" w:hAnsi="Arial"/>
                <w:sz w:val="8"/>
                <w:szCs w:val="8"/>
                <w:color w:val="auto"/>
              </w:rPr>
              <w:t>--</w:t>
            </w:r>
          </w:p>
        </w:tc>
        <w:tc>
          <w:tcPr>
            <w:tcW w:w="140" w:type="dxa"/>
            <w:vAlign w:val="bottom"/>
          </w:tcPr>
          <w:p>
            <w:pPr>
              <w:spacing w:after="0"/>
              <w:rPr>
                <w:sz w:val="14"/>
                <w:szCs w:val="14"/>
                <w:color w:val="auto"/>
              </w:rPr>
            </w:pPr>
          </w:p>
        </w:tc>
        <w:tc>
          <w:tcPr>
            <w:tcW w:w="620" w:type="dxa"/>
            <w:vAlign w:val="bottom"/>
          </w:tcPr>
          <w:p>
            <w:pPr>
              <w:jc w:val="right"/>
              <w:ind w:right="18"/>
              <w:spacing w:after="0"/>
              <w:rPr>
                <w:sz w:val="20"/>
                <w:szCs w:val="20"/>
                <w:color w:val="auto"/>
              </w:rPr>
            </w:pPr>
            <w:r>
              <w:rPr>
                <w:rFonts w:ascii="Arial" w:cs="Arial" w:eastAsia="Arial" w:hAnsi="Arial"/>
                <w:sz w:val="8"/>
                <w:szCs w:val="8"/>
                <w:color w:val="auto"/>
              </w:rPr>
              <w:t>--</w:t>
            </w: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8"/>
                <w:szCs w:val="8"/>
                <w:color w:val="auto"/>
              </w:rPr>
              <w:t>--</w:t>
            </w:r>
          </w:p>
        </w:tc>
        <w:tc>
          <w:tcPr>
            <w:tcW w:w="120" w:type="dxa"/>
            <w:vAlign w:val="bottom"/>
          </w:tcPr>
          <w:p>
            <w:pPr>
              <w:spacing w:after="0"/>
              <w:rPr>
                <w:sz w:val="14"/>
                <w:szCs w:val="14"/>
                <w:color w:val="auto"/>
              </w:rPr>
            </w:pPr>
          </w:p>
        </w:tc>
        <w:tc>
          <w:tcPr>
            <w:tcW w:w="620" w:type="dxa"/>
            <w:vAlign w:val="bottom"/>
          </w:tcPr>
          <w:p>
            <w:pPr>
              <w:jc w:val="right"/>
              <w:ind w:right="18"/>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14"/>
                <w:szCs w:val="14"/>
                <w:color w:val="auto"/>
              </w:rPr>
            </w:pPr>
          </w:p>
        </w:tc>
        <w:tc>
          <w:tcPr>
            <w:tcW w:w="720" w:type="dxa"/>
            <w:vAlign w:val="bottom"/>
          </w:tcPr>
          <w:p>
            <w:pPr>
              <w:jc w:val="right"/>
              <w:ind w:right="18"/>
              <w:spacing w:after="0"/>
              <w:rPr>
                <w:sz w:val="20"/>
                <w:szCs w:val="20"/>
                <w:color w:val="auto"/>
              </w:rPr>
            </w:pPr>
            <w:r>
              <w:rPr>
                <w:rFonts w:ascii="Arial" w:cs="Arial" w:eastAsia="Arial" w:hAnsi="Arial"/>
                <w:sz w:val="8"/>
                <w:szCs w:val="8"/>
                <w:color w:val="auto"/>
              </w:rPr>
              <w:t>--</w:t>
            </w:r>
          </w:p>
        </w:tc>
        <w:tc>
          <w:tcPr>
            <w:tcW w:w="120" w:type="dxa"/>
            <w:vAlign w:val="bottom"/>
          </w:tcPr>
          <w:p>
            <w:pPr>
              <w:spacing w:after="0"/>
              <w:rPr>
                <w:sz w:val="14"/>
                <w:szCs w:val="14"/>
                <w:color w:val="auto"/>
              </w:rPr>
            </w:pPr>
          </w:p>
        </w:tc>
        <w:tc>
          <w:tcPr>
            <w:tcW w:w="780" w:type="dxa"/>
            <w:vAlign w:val="bottom"/>
          </w:tcPr>
          <w:p>
            <w:pPr>
              <w:jc w:val="right"/>
              <w:ind w:right="18"/>
              <w:spacing w:after="0"/>
              <w:rPr>
                <w:sz w:val="20"/>
                <w:szCs w:val="20"/>
                <w:color w:val="auto"/>
              </w:rPr>
            </w:pPr>
            <w:r>
              <w:rPr>
                <w:rFonts w:ascii="Arial" w:cs="Arial" w:eastAsia="Arial" w:hAnsi="Arial"/>
                <w:sz w:val="8"/>
                <w:szCs w:val="8"/>
                <w:color w:val="auto"/>
              </w:rPr>
              <w:t>--</w:t>
            </w:r>
          </w:p>
        </w:tc>
        <w:tc>
          <w:tcPr>
            <w:tcW w:w="140" w:type="dxa"/>
            <w:vAlign w:val="bottom"/>
          </w:tcPr>
          <w:p>
            <w:pPr>
              <w:spacing w:after="0"/>
              <w:rPr>
                <w:sz w:val="14"/>
                <w:szCs w:val="14"/>
                <w:color w:val="auto"/>
              </w:rPr>
            </w:pPr>
          </w:p>
        </w:tc>
        <w:tc>
          <w:tcPr>
            <w:tcW w:w="660" w:type="dxa"/>
            <w:vAlign w:val="bottom"/>
          </w:tcPr>
          <w:p>
            <w:pPr>
              <w:jc w:val="right"/>
              <w:ind w:right="38"/>
              <w:spacing w:after="0"/>
              <w:rPr>
                <w:sz w:val="20"/>
                <w:szCs w:val="20"/>
                <w:color w:val="auto"/>
              </w:rPr>
            </w:pPr>
            <w:r>
              <w:rPr>
                <w:rFonts w:ascii="Arial" w:cs="Arial" w:eastAsia="Arial" w:hAnsi="Arial"/>
                <w:sz w:val="8"/>
                <w:szCs w:val="8"/>
                <w:color w:val="auto"/>
              </w:rPr>
              <w:t>2,513</w:t>
            </w: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8"/>
                <w:szCs w:val="8"/>
                <w:color w:val="auto"/>
              </w:rPr>
              <w:t>2,513</w:t>
            </w:r>
          </w:p>
        </w:tc>
        <w:tc>
          <w:tcPr>
            <w:tcW w:w="0" w:type="dxa"/>
            <w:vAlign w:val="bottom"/>
          </w:tcPr>
          <w:p>
            <w:pPr>
              <w:spacing w:after="0"/>
              <w:rPr>
                <w:sz w:val="1"/>
                <w:szCs w:val="1"/>
                <w:color w:val="auto"/>
              </w:rPr>
            </w:pPr>
          </w:p>
        </w:tc>
      </w:tr>
      <w:tr>
        <w:trPr>
          <w:trHeight w:val="162"/>
        </w:trPr>
        <w:tc>
          <w:tcPr>
            <w:tcW w:w="254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8"/>
                <w:szCs w:val="8"/>
                <w:color w:val="auto"/>
              </w:rPr>
              <w:t>Distributions to noncontrolling shareholders</w:t>
            </w:r>
          </w:p>
        </w:tc>
        <w:tc>
          <w:tcPr>
            <w:tcW w:w="540" w:type="dxa"/>
            <w:vAlign w:val="bottom"/>
            <w:tcBorders>
              <w:bottom w:val="single" w:sz="8" w:color="auto"/>
              <w:right w:val="single" w:sz="8" w:color="auto"/>
            </w:tcBorders>
            <w:shd w:val="clear" w:color="auto" w:fill="CCEEFF"/>
          </w:tcPr>
          <w:p>
            <w:pPr>
              <w:jc w:val="right"/>
              <w:ind w:right="38"/>
              <w:spacing w:after="0"/>
              <w:rPr>
                <w:sz w:val="20"/>
                <w:szCs w:val="20"/>
                <w:color w:val="auto"/>
              </w:rPr>
            </w:pPr>
            <w:r>
              <w:rPr>
                <w:rFonts w:ascii="Arial" w:cs="Arial" w:eastAsia="Arial" w:hAnsi="Arial"/>
                <w:sz w:val="8"/>
                <w:szCs w:val="8"/>
                <w:color w:val="auto"/>
              </w:rPr>
              <w:t>--</w:t>
            </w:r>
          </w:p>
        </w:tc>
        <w:tc>
          <w:tcPr>
            <w:tcW w:w="18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w:t>
            </w:r>
          </w:p>
        </w:tc>
        <w:tc>
          <w:tcPr>
            <w:tcW w:w="4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8"/>
                <w:szCs w:val="8"/>
                <w:color w:val="auto"/>
              </w:rPr>
              <w:t>--</w:t>
            </w:r>
          </w:p>
        </w:tc>
        <w:tc>
          <w:tcPr>
            <w:tcW w:w="14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w:t>
            </w:r>
          </w:p>
        </w:tc>
        <w:tc>
          <w:tcPr>
            <w:tcW w:w="14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8"/>
                <w:szCs w:val="8"/>
                <w:color w:val="auto"/>
              </w:rPr>
              <w:t>--</w:t>
            </w:r>
          </w:p>
        </w:tc>
        <w:tc>
          <w:tcPr>
            <w:tcW w:w="10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w:t>
            </w:r>
          </w:p>
        </w:tc>
        <w:tc>
          <w:tcPr>
            <w:tcW w:w="12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8"/>
                <w:szCs w:val="8"/>
                <w:color w:val="auto"/>
              </w:rPr>
              <w:t>--</w:t>
            </w:r>
          </w:p>
        </w:tc>
        <w:tc>
          <w:tcPr>
            <w:tcW w:w="8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8"/>
                <w:szCs w:val="8"/>
                <w:color w:val="auto"/>
              </w:rPr>
              <w:t>--</w:t>
            </w:r>
          </w:p>
        </w:tc>
        <w:tc>
          <w:tcPr>
            <w:tcW w:w="12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8"/>
                <w:szCs w:val="8"/>
                <w:color w:val="auto"/>
              </w:rPr>
              <w:t>--</w:t>
            </w:r>
          </w:p>
        </w:tc>
        <w:tc>
          <w:tcPr>
            <w:tcW w:w="14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8"/>
                <w:szCs w:val="8"/>
                <w:color w:val="auto"/>
              </w:rPr>
              <w:t>(2,102)</w:t>
            </w:r>
          </w:p>
        </w:tc>
        <w:tc>
          <w:tcPr>
            <w:tcW w:w="10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(2,102)</w:t>
            </w:r>
          </w:p>
        </w:tc>
        <w:tc>
          <w:tcPr>
            <w:tcW w:w="0" w:type="dxa"/>
            <w:vAlign w:val="bottom"/>
          </w:tcPr>
          <w:p>
            <w:pPr>
              <w:spacing w:after="0"/>
              <w:rPr>
                <w:sz w:val="1"/>
                <w:szCs w:val="1"/>
                <w:color w:val="auto"/>
              </w:rPr>
            </w:pPr>
          </w:p>
        </w:tc>
      </w:tr>
      <w:tr>
        <w:trPr>
          <w:trHeight w:val="97"/>
        </w:trPr>
        <w:tc>
          <w:tcPr>
            <w:tcW w:w="25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8"/>
                <w:szCs w:val="8"/>
                <w:color w:val="auto"/>
              </w:rPr>
              <w:t>At December 31, 2013</w:t>
            </w:r>
          </w:p>
        </w:tc>
        <w:tc>
          <w:tcPr>
            <w:tcW w:w="540" w:type="dxa"/>
            <w:vAlign w:val="bottom"/>
            <w:tcBorders>
              <w:bottom w:val="single" w:sz="8" w:color="auto"/>
              <w:right w:val="single" w:sz="8" w:color="auto"/>
            </w:tcBorders>
          </w:tcPr>
          <w:p>
            <w:pPr>
              <w:jc w:val="right"/>
              <w:ind w:right="58"/>
              <w:spacing w:after="0"/>
              <w:rPr>
                <w:sz w:val="20"/>
                <w:szCs w:val="20"/>
                <w:color w:val="auto"/>
              </w:rPr>
            </w:pPr>
            <w:r>
              <w:rPr>
                <w:rFonts w:ascii="Arial" w:cs="Arial" w:eastAsia="Arial" w:hAnsi="Arial"/>
                <w:sz w:val="8"/>
                <w:szCs w:val="8"/>
                <w:color w:val="auto"/>
              </w:rPr>
              <w:t>21,890</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w:t>
            </w:r>
          </w:p>
        </w:tc>
        <w:tc>
          <w:tcPr>
            <w:tcW w:w="5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8"/>
                <w:szCs w:val="8"/>
                <w:color w:val="auto"/>
              </w:rPr>
              <w:t>225</w:t>
            </w:r>
          </w:p>
        </w:tc>
        <w:tc>
          <w:tcPr>
            <w:tcW w:w="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1,495</w:t>
            </w:r>
          </w:p>
        </w:tc>
        <w:tc>
          <w:tcPr>
            <w:tcW w:w="100" w:type="dxa"/>
            <w:vAlign w:val="bottom"/>
            <w:tcBorders>
              <w:bottom w:val="single" w:sz="8" w:color="auto"/>
              <w:right w:val="single" w:sz="8" w:color="auto"/>
            </w:tcBorders>
          </w:tcPr>
          <w:p>
            <w:pPr>
              <w:spacing w:after="0"/>
              <w:rPr>
                <w:sz w:val="8"/>
                <w:szCs w:val="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w:t>
            </w:r>
          </w:p>
        </w:tc>
        <w:tc>
          <w:tcPr>
            <w:tcW w:w="4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8"/>
                <w:szCs w:val="8"/>
                <w:color w:val="auto"/>
              </w:rPr>
              <w:t>15</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w:t>
            </w:r>
          </w:p>
        </w:tc>
        <w:tc>
          <w:tcPr>
            <w:tcW w:w="620" w:type="dxa"/>
            <w:vAlign w:val="bottom"/>
            <w:tcBorders>
              <w:bottom w:val="single" w:sz="8" w:color="auto"/>
            </w:tcBorders>
          </w:tcPr>
          <w:p>
            <w:pPr>
              <w:jc w:val="right"/>
              <w:ind w:right="38"/>
              <w:spacing w:after="0"/>
              <w:rPr>
                <w:sz w:val="20"/>
                <w:szCs w:val="20"/>
                <w:color w:val="auto"/>
              </w:rPr>
            </w:pPr>
            <w:r>
              <w:rPr>
                <w:rFonts w:ascii="Arial" w:cs="Arial" w:eastAsia="Arial" w:hAnsi="Arial"/>
                <w:sz w:val="8"/>
                <w:szCs w:val="8"/>
                <w:color w:val="auto"/>
              </w:rPr>
              <w:t>137,849</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(57,952)</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w:t>
            </w:r>
          </w:p>
        </w:tc>
        <w:tc>
          <w:tcPr>
            <w:tcW w:w="620" w:type="dxa"/>
            <w:vAlign w:val="bottom"/>
            <w:tcBorders>
              <w:bottom w:val="single" w:sz="8" w:color="auto"/>
            </w:tcBorders>
          </w:tcPr>
          <w:p>
            <w:pPr>
              <w:jc w:val="right"/>
              <w:ind w:right="18"/>
              <w:spacing w:after="0"/>
              <w:rPr>
                <w:sz w:val="20"/>
                <w:szCs w:val="20"/>
                <w:color w:val="auto"/>
              </w:rPr>
            </w:pPr>
            <w:r>
              <w:rPr>
                <w:rFonts w:ascii="Arial" w:cs="Arial" w:eastAsia="Arial" w:hAnsi="Arial"/>
                <w:sz w:val="8"/>
                <w:szCs w:val="8"/>
                <w:color w:val="auto"/>
              </w:rPr>
              <w:t>(4,512)</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w:t>
            </w:r>
          </w:p>
        </w:tc>
        <w:tc>
          <w:tcPr>
            <w:tcW w:w="720" w:type="dxa"/>
            <w:vAlign w:val="bottom"/>
            <w:tcBorders>
              <w:bottom w:val="single" w:sz="8" w:color="auto"/>
            </w:tcBorders>
          </w:tcPr>
          <w:p>
            <w:pPr>
              <w:jc w:val="right"/>
              <w:ind w:right="38"/>
              <w:spacing w:after="0"/>
              <w:rPr>
                <w:sz w:val="20"/>
                <w:szCs w:val="20"/>
                <w:color w:val="auto"/>
              </w:rPr>
            </w:pPr>
            <w:r>
              <w:rPr>
                <w:rFonts w:ascii="Arial" w:cs="Arial" w:eastAsia="Arial" w:hAnsi="Arial"/>
                <w:sz w:val="8"/>
                <w:szCs w:val="8"/>
                <w:color w:val="auto"/>
              </w:rPr>
              <w:t>41,515</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w:t>
            </w:r>
          </w:p>
        </w:tc>
        <w:tc>
          <w:tcPr>
            <w:tcW w:w="780" w:type="dxa"/>
            <w:vAlign w:val="bottom"/>
            <w:tcBorders>
              <w:bottom w:val="single" w:sz="8" w:color="auto"/>
            </w:tcBorders>
          </w:tcPr>
          <w:p>
            <w:pPr>
              <w:jc w:val="right"/>
              <w:ind w:right="38"/>
              <w:spacing w:after="0"/>
              <w:rPr>
                <w:sz w:val="20"/>
                <w:szCs w:val="20"/>
                <w:color w:val="auto"/>
              </w:rPr>
            </w:pPr>
            <w:r>
              <w:rPr>
                <w:rFonts w:ascii="Arial" w:cs="Arial" w:eastAsia="Arial" w:hAnsi="Arial"/>
                <w:sz w:val="8"/>
                <w:szCs w:val="8"/>
                <w:color w:val="auto"/>
              </w:rPr>
              <w:t>117,140</w:t>
            </w:r>
          </w:p>
        </w:tc>
        <w:tc>
          <w:tcPr>
            <w:tcW w:w="140" w:type="dxa"/>
            <w:vAlign w:val="bottom"/>
            <w:tcBorders>
              <w:bottom w:val="single" w:sz="8" w:color="auto"/>
            </w:tcBorders>
          </w:tcPr>
          <w:p>
            <w:pPr>
              <w:jc w:val="right"/>
              <w:ind w:right="18"/>
              <w:spacing w:after="0"/>
              <w:rPr>
                <w:sz w:val="20"/>
                <w:szCs w:val="20"/>
                <w:color w:val="auto"/>
              </w:rPr>
            </w:pPr>
            <w:r>
              <w:rPr>
                <w:rFonts w:ascii="Arial" w:cs="Arial" w:eastAsia="Arial" w:hAnsi="Arial"/>
                <w:sz w:val="8"/>
                <w:szCs w:val="8"/>
                <w:color w:val="auto"/>
              </w:rPr>
              <w:t>$</w:t>
            </w:r>
          </w:p>
        </w:tc>
        <w:tc>
          <w:tcPr>
            <w:tcW w:w="660" w:type="dxa"/>
            <w:vAlign w:val="bottom"/>
            <w:tcBorders>
              <w:bottom w:val="single" w:sz="8" w:color="auto"/>
            </w:tcBorders>
          </w:tcPr>
          <w:p>
            <w:pPr>
              <w:jc w:val="right"/>
              <w:ind w:right="38"/>
              <w:spacing w:after="0"/>
              <w:rPr>
                <w:sz w:val="20"/>
                <w:szCs w:val="20"/>
                <w:color w:val="auto"/>
              </w:rPr>
            </w:pPr>
            <w:r>
              <w:rPr>
                <w:rFonts w:ascii="Arial" w:cs="Arial" w:eastAsia="Arial" w:hAnsi="Arial"/>
                <w:sz w:val="8"/>
                <w:szCs w:val="8"/>
                <w:color w:val="auto"/>
              </w:rPr>
              <w:t>4,607</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121,747</w:t>
            </w:r>
          </w:p>
        </w:tc>
        <w:tc>
          <w:tcPr>
            <w:tcW w:w="0" w:type="dxa"/>
            <w:vAlign w:val="bottom"/>
          </w:tcPr>
          <w:p>
            <w:pPr>
              <w:spacing w:after="0"/>
              <w:rPr>
                <w:sz w:val="1"/>
                <w:szCs w:val="1"/>
                <w:color w:val="auto"/>
              </w:rPr>
            </w:pPr>
          </w:p>
        </w:tc>
      </w:tr>
      <w:tr>
        <w:trPr>
          <w:trHeight w:val="151"/>
        </w:trPr>
        <w:tc>
          <w:tcPr>
            <w:tcW w:w="254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8"/>
                <w:szCs w:val="8"/>
                <w:color w:val="auto"/>
              </w:rPr>
              <w:t>Net income (loss)</w:t>
            </w:r>
          </w:p>
        </w:tc>
        <w:tc>
          <w:tcPr>
            <w:tcW w:w="540" w:type="dxa"/>
            <w:vAlign w:val="bottom"/>
            <w:tcBorders>
              <w:right w:val="single" w:sz="8" w:color="auto"/>
            </w:tcBorders>
            <w:shd w:val="clear" w:color="auto" w:fill="CCEEFF"/>
          </w:tcPr>
          <w:p>
            <w:pPr>
              <w:jc w:val="right"/>
              <w:ind w:right="38"/>
              <w:spacing w:after="0"/>
              <w:rPr>
                <w:sz w:val="20"/>
                <w:szCs w:val="20"/>
                <w:color w:val="auto"/>
              </w:rPr>
            </w:pPr>
            <w:r>
              <w:rPr>
                <w:rFonts w:ascii="Arial" w:cs="Arial" w:eastAsia="Arial" w:hAnsi="Arial"/>
                <w:sz w:val="8"/>
                <w:szCs w:val="8"/>
                <w:color w:val="auto"/>
              </w:rPr>
              <w:t>--</w:t>
            </w:r>
          </w:p>
        </w:tc>
        <w:tc>
          <w:tcPr>
            <w:tcW w:w="180" w:type="dxa"/>
            <w:vAlign w:val="bottom"/>
            <w:shd w:val="clear" w:color="auto" w:fill="CCEEFF"/>
          </w:tcPr>
          <w:p>
            <w:pPr>
              <w:spacing w:after="0"/>
              <w:rPr>
                <w:sz w:val="13"/>
                <w:szCs w:val="13"/>
                <w:color w:val="auto"/>
              </w:rPr>
            </w:pPr>
          </w:p>
        </w:tc>
        <w:tc>
          <w:tcPr>
            <w:tcW w:w="5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w:t>
            </w:r>
          </w:p>
        </w:tc>
        <w:tc>
          <w:tcPr>
            <w:tcW w:w="40" w:type="dxa"/>
            <w:vAlign w:val="bottom"/>
            <w:shd w:val="clear" w:color="auto" w:fill="CCEEFF"/>
          </w:tcPr>
          <w:p>
            <w:pPr>
              <w:spacing w:after="0"/>
              <w:rPr>
                <w:sz w:val="13"/>
                <w:szCs w:val="13"/>
                <w:color w:val="auto"/>
              </w:rPr>
            </w:pPr>
          </w:p>
        </w:tc>
        <w:tc>
          <w:tcPr>
            <w:tcW w:w="64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8"/>
                <w:szCs w:val="8"/>
                <w:color w:val="auto"/>
              </w:rPr>
              <w:t>--</w:t>
            </w:r>
          </w:p>
        </w:tc>
        <w:tc>
          <w:tcPr>
            <w:tcW w:w="140" w:type="dxa"/>
            <w:vAlign w:val="bottom"/>
            <w:shd w:val="clear" w:color="auto" w:fill="CCEEFF"/>
          </w:tcPr>
          <w:p>
            <w:pPr>
              <w:spacing w:after="0"/>
              <w:rPr>
                <w:sz w:val="13"/>
                <w:szCs w:val="13"/>
                <w:color w:val="auto"/>
              </w:rPr>
            </w:pPr>
          </w:p>
        </w:tc>
        <w:tc>
          <w:tcPr>
            <w:tcW w:w="48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w:t>
            </w: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18"/>
              <w:spacing w:after="0"/>
              <w:rPr>
                <w:sz w:val="20"/>
                <w:szCs w:val="20"/>
                <w:color w:val="auto"/>
              </w:rPr>
            </w:pPr>
            <w:r>
              <w:rPr>
                <w:rFonts w:ascii="Arial" w:cs="Arial" w:eastAsia="Arial" w:hAnsi="Arial"/>
                <w:sz w:val="8"/>
                <w:szCs w:val="8"/>
                <w:color w:val="auto"/>
              </w:rPr>
              <w:t>--</w:t>
            </w: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jc w:val="right"/>
              <w:ind w:right="38"/>
              <w:spacing w:after="0"/>
              <w:rPr>
                <w:sz w:val="20"/>
                <w:szCs w:val="20"/>
                <w:color w:val="auto"/>
              </w:rPr>
            </w:pPr>
            <w:r>
              <w:rPr>
                <w:rFonts w:ascii="Arial" w:cs="Arial" w:eastAsia="Arial" w:hAnsi="Arial"/>
                <w:sz w:val="8"/>
                <w:szCs w:val="8"/>
                <w:color w:val="auto"/>
              </w:rPr>
              <w:t>25,701</w:t>
            </w: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18"/>
              <w:spacing w:after="0"/>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18"/>
              <w:spacing w:after="0"/>
              <w:rPr>
                <w:sz w:val="20"/>
                <w:szCs w:val="20"/>
                <w:color w:val="auto"/>
              </w:rPr>
            </w:pPr>
            <w:r>
              <w:rPr>
                <w:rFonts w:ascii="Arial" w:cs="Arial" w:eastAsia="Arial" w:hAnsi="Arial"/>
                <w:sz w:val="8"/>
                <w:szCs w:val="8"/>
                <w:color w:val="auto"/>
              </w:rPr>
              <w:t>--</w:t>
            </w: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jc w:val="right"/>
              <w:ind w:right="38"/>
              <w:spacing w:after="0"/>
              <w:rPr>
                <w:sz w:val="20"/>
                <w:szCs w:val="20"/>
                <w:color w:val="auto"/>
              </w:rPr>
            </w:pPr>
            <w:r>
              <w:rPr>
                <w:rFonts w:ascii="Arial" w:cs="Arial" w:eastAsia="Arial" w:hAnsi="Arial"/>
                <w:sz w:val="8"/>
                <w:szCs w:val="8"/>
                <w:color w:val="auto"/>
              </w:rPr>
              <w:t>25,701</w:t>
            </w: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18"/>
              <w:spacing w:after="0"/>
              <w:rPr>
                <w:sz w:val="20"/>
                <w:szCs w:val="20"/>
                <w:color w:val="auto"/>
              </w:rPr>
            </w:pPr>
            <w:r>
              <w:rPr>
                <w:rFonts w:ascii="Arial" w:cs="Arial" w:eastAsia="Arial" w:hAnsi="Arial"/>
                <w:sz w:val="8"/>
                <w:szCs w:val="8"/>
                <w:color w:val="auto"/>
              </w:rPr>
              <w:t>(57)</w:t>
            </w: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8"/>
                <w:szCs w:val="8"/>
                <w:color w:val="auto"/>
              </w:rPr>
              <w:t>25,644</w:t>
            </w:r>
          </w:p>
        </w:tc>
        <w:tc>
          <w:tcPr>
            <w:tcW w:w="0" w:type="dxa"/>
            <w:vAlign w:val="bottom"/>
          </w:tcPr>
          <w:p>
            <w:pPr>
              <w:spacing w:after="0"/>
              <w:rPr>
                <w:sz w:val="1"/>
                <w:szCs w:val="1"/>
                <w:color w:val="auto"/>
              </w:rPr>
            </w:pPr>
          </w:p>
        </w:tc>
      </w:tr>
      <w:tr>
        <w:trPr>
          <w:trHeight w:val="162"/>
        </w:trPr>
        <w:tc>
          <w:tcPr>
            <w:tcW w:w="2540" w:type="dxa"/>
            <w:vAlign w:val="bottom"/>
            <w:tcBorders>
              <w:right w:val="single" w:sz="8" w:color="auto"/>
            </w:tcBorders>
          </w:tcPr>
          <w:p>
            <w:pPr>
              <w:spacing w:after="0"/>
              <w:rPr>
                <w:sz w:val="20"/>
                <w:szCs w:val="20"/>
                <w:color w:val="auto"/>
              </w:rPr>
            </w:pPr>
            <w:r>
              <w:rPr>
                <w:rFonts w:ascii="Arial" w:cs="Arial" w:eastAsia="Arial" w:hAnsi="Arial"/>
                <w:sz w:val="8"/>
                <w:szCs w:val="8"/>
                <w:color w:val="auto"/>
              </w:rPr>
              <w:t>Other comprehensive loss</w:t>
            </w:r>
          </w:p>
        </w:tc>
        <w:tc>
          <w:tcPr>
            <w:tcW w:w="540" w:type="dxa"/>
            <w:vAlign w:val="bottom"/>
            <w:tcBorders>
              <w:right w:val="single" w:sz="8" w:color="auto"/>
            </w:tcBorders>
          </w:tcPr>
          <w:p>
            <w:pPr>
              <w:jc w:val="right"/>
              <w:ind w:right="38"/>
              <w:spacing w:after="0"/>
              <w:rPr>
                <w:sz w:val="20"/>
                <w:szCs w:val="20"/>
                <w:color w:val="auto"/>
              </w:rPr>
            </w:pPr>
            <w:r>
              <w:rPr>
                <w:rFonts w:ascii="Arial" w:cs="Arial" w:eastAsia="Arial" w:hAnsi="Arial"/>
                <w:sz w:val="8"/>
                <w:szCs w:val="8"/>
                <w:color w:val="auto"/>
              </w:rPr>
              <w:t>--</w:t>
            </w:r>
          </w:p>
        </w:tc>
        <w:tc>
          <w:tcPr>
            <w:tcW w:w="180" w:type="dxa"/>
            <w:vAlign w:val="bottom"/>
          </w:tcPr>
          <w:p>
            <w:pPr>
              <w:spacing w:after="0"/>
              <w:rPr>
                <w:sz w:val="14"/>
                <w:szCs w:val="14"/>
                <w:color w:val="auto"/>
              </w:rPr>
            </w:pPr>
          </w:p>
        </w:tc>
        <w:tc>
          <w:tcPr>
            <w:tcW w:w="500" w:type="dxa"/>
            <w:vAlign w:val="bottom"/>
            <w:tcBorders>
              <w:right w:val="single" w:sz="8" w:color="auto"/>
            </w:tcBorders>
          </w:tcPr>
          <w:p>
            <w:pPr>
              <w:jc w:val="right"/>
              <w:spacing w:after="0"/>
              <w:rPr>
                <w:sz w:val="20"/>
                <w:szCs w:val="20"/>
                <w:color w:val="auto"/>
              </w:rPr>
            </w:pPr>
            <w:r>
              <w:rPr>
                <w:rFonts w:ascii="Arial" w:cs="Arial" w:eastAsia="Arial" w:hAnsi="Arial"/>
                <w:sz w:val="8"/>
                <w:szCs w:val="8"/>
                <w:color w:val="auto"/>
              </w:rPr>
              <w:t>--</w:t>
            </w:r>
          </w:p>
        </w:tc>
        <w:tc>
          <w:tcPr>
            <w:tcW w:w="40" w:type="dxa"/>
            <w:vAlign w:val="bottom"/>
          </w:tcPr>
          <w:p>
            <w:pPr>
              <w:spacing w:after="0"/>
              <w:rPr>
                <w:sz w:val="14"/>
                <w:szCs w:val="14"/>
                <w:color w:val="auto"/>
              </w:rPr>
            </w:pPr>
          </w:p>
        </w:tc>
        <w:tc>
          <w:tcPr>
            <w:tcW w:w="64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8"/>
                <w:szCs w:val="8"/>
                <w:color w:val="auto"/>
              </w:rPr>
              <w:t>--</w:t>
            </w:r>
          </w:p>
        </w:tc>
        <w:tc>
          <w:tcPr>
            <w:tcW w:w="140" w:type="dxa"/>
            <w:vAlign w:val="bottom"/>
          </w:tcPr>
          <w:p>
            <w:pPr>
              <w:spacing w:after="0"/>
              <w:rPr>
                <w:sz w:val="14"/>
                <w:szCs w:val="14"/>
                <w:color w:val="auto"/>
              </w:rPr>
            </w:pPr>
          </w:p>
        </w:tc>
        <w:tc>
          <w:tcPr>
            <w:tcW w:w="480" w:type="dxa"/>
            <w:vAlign w:val="bottom"/>
            <w:tcBorders>
              <w:right w:val="single" w:sz="8" w:color="auto"/>
            </w:tcBorders>
          </w:tcPr>
          <w:p>
            <w:pPr>
              <w:jc w:val="right"/>
              <w:spacing w:after="0"/>
              <w:rPr>
                <w:sz w:val="20"/>
                <w:szCs w:val="20"/>
                <w:color w:val="auto"/>
              </w:rPr>
            </w:pPr>
            <w:r>
              <w:rPr>
                <w:rFonts w:ascii="Arial" w:cs="Arial" w:eastAsia="Arial" w:hAnsi="Arial"/>
                <w:sz w:val="8"/>
                <w:szCs w:val="8"/>
                <w:color w:val="auto"/>
              </w:rPr>
              <w:t>--</w:t>
            </w:r>
          </w:p>
        </w:tc>
        <w:tc>
          <w:tcPr>
            <w:tcW w:w="140" w:type="dxa"/>
            <w:vAlign w:val="bottom"/>
          </w:tcPr>
          <w:p>
            <w:pPr>
              <w:spacing w:after="0"/>
              <w:rPr>
                <w:sz w:val="14"/>
                <w:szCs w:val="14"/>
                <w:color w:val="auto"/>
              </w:rPr>
            </w:pPr>
          </w:p>
        </w:tc>
        <w:tc>
          <w:tcPr>
            <w:tcW w:w="620" w:type="dxa"/>
            <w:vAlign w:val="bottom"/>
          </w:tcPr>
          <w:p>
            <w:pPr>
              <w:jc w:val="right"/>
              <w:ind w:right="18"/>
              <w:spacing w:after="0"/>
              <w:rPr>
                <w:sz w:val="20"/>
                <w:szCs w:val="20"/>
                <w:color w:val="auto"/>
              </w:rPr>
            </w:pPr>
            <w:r>
              <w:rPr>
                <w:rFonts w:ascii="Arial" w:cs="Arial" w:eastAsia="Arial" w:hAnsi="Arial"/>
                <w:sz w:val="8"/>
                <w:szCs w:val="8"/>
                <w:color w:val="auto"/>
              </w:rPr>
              <w:t>--</w:t>
            </w: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8"/>
                <w:szCs w:val="8"/>
                <w:color w:val="auto"/>
              </w:rPr>
              <w:t>--</w:t>
            </w:r>
          </w:p>
        </w:tc>
        <w:tc>
          <w:tcPr>
            <w:tcW w:w="120" w:type="dxa"/>
            <w:vAlign w:val="bottom"/>
          </w:tcPr>
          <w:p>
            <w:pPr>
              <w:spacing w:after="0"/>
              <w:rPr>
                <w:sz w:val="14"/>
                <w:szCs w:val="14"/>
                <w:color w:val="auto"/>
              </w:rPr>
            </w:pPr>
          </w:p>
        </w:tc>
        <w:tc>
          <w:tcPr>
            <w:tcW w:w="620" w:type="dxa"/>
            <w:vAlign w:val="bottom"/>
          </w:tcPr>
          <w:p>
            <w:pPr>
              <w:jc w:val="right"/>
              <w:ind w:right="18"/>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14"/>
                <w:szCs w:val="14"/>
                <w:color w:val="auto"/>
              </w:rPr>
            </w:pPr>
          </w:p>
        </w:tc>
        <w:tc>
          <w:tcPr>
            <w:tcW w:w="720" w:type="dxa"/>
            <w:vAlign w:val="bottom"/>
          </w:tcPr>
          <w:p>
            <w:pPr>
              <w:jc w:val="right"/>
              <w:ind w:right="18"/>
              <w:spacing w:after="0"/>
              <w:rPr>
                <w:sz w:val="20"/>
                <w:szCs w:val="20"/>
                <w:color w:val="auto"/>
              </w:rPr>
            </w:pPr>
            <w:r>
              <w:rPr>
                <w:rFonts w:ascii="Arial" w:cs="Arial" w:eastAsia="Arial" w:hAnsi="Arial"/>
                <w:sz w:val="8"/>
                <w:szCs w:val="8"/>
                <w:color w:val="auto"/>
              </w:rPr>
              <w:t>(13,476)</w:t>
            </w:r>
          </w:p>
        </w:tc>
        <w:tc>
          <w:tcPr>
            <w:tcW w:w="120" w:type="dxa"/>
            <w:vAlign w:val="bottom"/>
          </w:tcPr>
          <w:p>
            <w:pPr>
              <w:spacing w:after="0"/>
              <w:rPr>
                <w:sz w:val="14"/>
                <w:szCs w:val="14"/>
                <w:color w:val="auto"/>
              </w:rPr>
            </w:pPr>
          </w:p>
        </w:tc>
        <w:tc>
          <w:tcPr>
            <w:tcW w:w="780" w:type="dxa"/>
            <w:vAlign w:val="bottom"/>
          </w:tcPr>
          <w:p>
            <w:pPr>
              <w:jc w:val="right"/>
              <w:ind w:right="18"/>
              <w:spacing w:after="0"/>
              <w:rPr>
                <w:sz w:val="20"/>
                <w:szCs w:val="20"/>
                <w:color w:val="auto"/>
              </w:rPr>
            </w:pPr>
            <w:r>
              <w:rPr>
                <w:rFonts w:ascii="Arial" w:cs="Arial" w:eastAsia="Arial" w:hAnsi="Arial"/>
                <w:sz w:val="8"/>
                <w:szCs w:val="8"/>
                <w:color w:val="auto"/>
              </w:rPr>
              <w:t>(13,476)</w:t>
            </w:r>
          </w:p>
        </w:tc>
        <w:tc>
          <w:tcPr>
            <w:tcW w:w="140" w:type="dxa"/>
            <w:vAlign w:val="bottom"/>
          </w:tcPr>
          <w:p>
            <w:pPr>
              <w:spacing w:after="0"/>
              <w:rPr>
                <w:sz w:val="14"/>
                <w:szCs w:val="14"/>
                <w:color w:val="auto"/>
              </w:rPr>
            </w:pPr>
          </w:p>
        </w:tc>
        <w:tc>
          <w:tcPr>
            <w:tcW w:w="660" w:type="dxa"/>
            <w:vAlign w:val="bottom"/>
          </w:tcPr>
          <w:p>
            <w:pPr>
              <w:jc w:val="right"/>
              <w:ind w:right="18"/>
              <w:spacing w:after="0"/>
              <w:rPr>
                <w:sz w:val="20"/>
                <w:szCs w:val="20"/>
                <w:color w:val="auto"/>
              </w:rPr>
            </w:pPr>
            <w:r>
              <w:rPr>
                <w:rFonts w:ascii="Arial" w:cs="Arial" w:eastAsia="Arial" w:hAnsi="Arial"/>
                <w:sz w:val="8"/>
                <w:szCs w:val="8"/>
                <w:color w:val="auto"/>
              </w:rPr>
              <w:t>(41)</w:t>
            </w: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8"/>
                <w:szCs w:val="8"/>
                <w:color w:val="auto"/>
              </w:rPr>
              <w:t>(13,517)</w:t>
            </w:r>
          </w:p>
        </w:tc>
        <w:tc>
          <w:tcPr>
            <w:tcW w:w="0" w:type="dxa"/>
            <w:vAlign w:val="bottom"/>
          </w:tcPr>
          <w:p>
            <w:pPr>
              <w:spacing w:after="0"/>
              <w:rPr>
                <w:sz w:val="1"/>
                <w:szCs w:val="1"/>
                <w:color w:val="auto"/>
              </w:rPr>
            </w:pPr>
          </w:p>
        </w:tc>
      </w:tr>
      <w:tr>
        <w:trPr>
          <w:trHeight w:val="162"/>
        </w:trPr>
        <w:tc>
          <w:tcPr>
            <w:tcW w:w="254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8"/>
                <w:szCs w:val="8"/>
                <w:color w:val="auto"/>
              </w:rPr>
              <w:t>Stock option and restricted stock compensation expense</w:t>
            </w:r>
          </w:p>
        </w:tc>
        <w:tc>
          <w:tcPr>
            <w:tcW w:w="540" w:type="dxa"/>
            <w:vAlign w:val="bottom"/>
            <w:tcBorders>
              <w:right w:val="single" w:sz="8" w:color="auto"/>
            </w:tcBorders>
            <w:shd w:val="clear" w:color="auto" w:fill="CCEEFF"/>
          </w:tcPr>
          <w:p>
            <w:pPr>
              <w:jc w:val="right"/>
              <w:ind w:right="38"/>
              <w:spacing w:after="0"/>
              <w:rPr>
                <w:sz w:val="20"/>
                <w:szCs w:val="20"/>
                <w:color w:val="auto"/>
              </w:rPr>
            </w:pPr>
            <w:r>
              <w:rPr>
                <w:rFonts w:ascii="Arial" w:cs="Arial" w:eastAsia="Arial" w:hAnsi="Arial"/>
                <w:sz w:val="8"/>
                <w:szCs w:val="8"/>
                <w:color w:val="auto"/>
              </w:rPr>
              <w:t>--</w:t>
            </w:r>
          </w:p>
        </w:tc>
        <w:tc>
          <w:tcPr>
            <w:tcW w:w="180" w:type="dxa"/>
            <w:vAlign w:val="bottom"/>
            <w:shd w:val="clear" w:color="auto" w:fill="CCEEFF"/>
          </w:tcPr>
          <w:p>
            <w:pPr>
              <w:spacing w:after="0"/>
              <w:rPr>
                <w:sz w:val="14"/>
                <w:szCs w:val="14"/>
                <w:color w:val="auto"/>
              </w:rPr>
            </w:pPr>
          </w:p>
        </w:tc>
        <w:tc>
          <w:tcPr>
            <w:tcW w:w="5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3</w:t>
            </w:r>
          </w:p>
        </w:tc>
        <w:tc>
          <w:tcPr>
            <w:tcW w:w="40" w:type="dxa"/>
            <w:vAlign w:val="bottom"/>
            <w:shd w:val="clear" w:color="auto" w:fill="CCEEFF"/>
          </w:tcPr>
          <w:p>
            <w:pPr>
              <w:spacing w:after="0"/>
              <w:rPr>
                <w:sz w:val="14"/>
                <w:szCs w:val="14"/>
                <w:color w:val="auto"/>
              </w:rPr>
            </w:pPr>
          </w:p>
        </w:tc>
        <w:tc>
          <w:tcPr>
            <w:tcW w:w="64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8"/>
                <w:szCs w:val="8"/>
                <w:color w:val="auto"/>
              </w:rPr>
              <w:t>--</w:t>
            </w:r>
          </w:p>
        </w:tc>
        <w:tc>
          <w:tcPr>
            <w:tcW w:w="140" w:type="dxa"/>
            <w:vAlign w:val="bottom"/>
            <w:shd w:val="clear" w:color="auto" w:fill="CCEEFF"/>
          </w:tcPr>
          <w:p>
            <w:pPr>
              <w:spacing w:after="0"/>
              <w:rPr>
                <w:sz w:val="14"/>
                <w:szCs w:val="14"/>
                <w:color w:val="auto"/>
              </w:rPr>
            </w:pPr>
          </w:p>
        </w:tc>
        <w:tc>
          <w:tcPr>
            <w:tcW w:w="48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w:t>
            </w: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38"/>
              <w:spacing w:after="0"/>
              <w:rPr>
                <w:sz w:val="20"/>
                <w:szCs w:val="20"/>
                <w:color w:val="auto"/>
              </w:rPr>
            </w:pPr>
            <w:r>
              <w:rPr>
                <w:rFonts w:ascii="Arial" w:cs="Arial" w:eastAsia="Arial" w:hAnsi="Arial"/>
                <w:sz w:val="8"/>
                <w:szCs w:val="8"/>
                <w:color w:val="auto"/>
              </w:rPr>
              <w:t>1,410</w:t>
            </w: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8"/>
                <w:szCs w:val="8"/>
                <w:color w:val="auto"/>
              </w:rPr>
              <w:t>--</w:t>
            </w: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18"/>
              <w:spacing w:after="0"/>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18"/>
              <w:spacing w:after="0"/>
              <w:rPr>
                <w:sz w:val="20"/>
                <w:szCs w:val="20"/>
                <w:color w:val="auto"/>
              </w:rPr>
            </w:pPr>
            <w:r>
              <w:rPr>
                <w:rFonts w:ascii="Arial" w:cs="Arial" w:eastAsia="Arial" w:hAnsi="Arial"/>
                <w:sz w:val="8"/>
                <w:szCs w:val="8"/>
                <w:color w:val="auto"/>
              </w:rPr>
              <w:t>--</w:t>
            </w: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38"/>
              <w:spacing w:after="0"/>
              <w:rPr>
                <w:sz w:val="20"/>
                <w:szCs w:val="20"/>
                <w:color w:val="auto"/>
              </w:rPr>
            </w:pPr>
            <w:r>
              <w:rPr>
                <w:rFonts w:ascii="Arial" w:cs="Arial" w:eastAsia="Arial" w:hAnsi="Arial"/>
                <w:sz w:val="8"/>
                <w:szCs w:val="8"/>
                <w:color w:val="auto"/>
              </w:rPr>
              <w:t>1,413</w:t>
            </w: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18"/>
              <w:spacing w:after="0"/>
              <w:rPr>
                <w:sz w:val="20"/>
                <w:szCs w:val="20"/>
                <w:color w:val="auto"/>
              </w:rPr>
            </w:pPr>
            <w:r>
              <w:rPr>
                <w:rFonts w:ascii="Arial" w:cs="Arial" w:eastAsia="Arial" w:hAnsi="Arial"/>
                <w:sz w:val="8"/>
                <w:szCs w:val="8"/>
                <w:color w:val="auto"/>
              </w:rPr>
              <w:t>--</w:t>
            </w: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8"/>
                <w:szCs w:val="8"/>
                <w:color w:val="auto"/>
              </w:rPr>
              <w:t>1,413</w:t>
            </w:r>
          </w:p>
        </w:tc>
        <w:tc>
          <w:tcPr>
            <w:tcW w:w="0" w:type="dxa"/>
            <w:vAlign w:val="bottom"/>
          </w:tcPr>
          <w:p>
            <w:pPr>
              <w:spacing w:after="0"/>
              <w:rPr>
                <w:sz w:val="1"/>
                <w:szCs w:val="1"/>
                <w:color w:val="auto"/>
              </w:rPr>
            </w:pPr>
          </w:p>
        </w:tc>
      </w:tr>
      <w:tr>
        <w:trPr>
          <w:trHeight w:val="162"/>
        </w:trPr>
        <w:tc>
          <w:tcPr>
            <w:tcW w:w="2540" w:type="dxa"/>
            <w:vAlign w:val="bottom"/>
            <w:tcBorders>
              <w:right w:val="single" w:sz="8" w:color="auto"/>
            </w:tcBorders>
          </w:tcPr>
          <w:p>
            <w:pPr>
              <w:spacing w:after="0"/>
              <w:rPr>
                <w:sz w:val="20"/>
                <w:szCs w:val="20"/>
                <w:color w:val="auto"/>
              </w:rPr>
            </w:pPr>
            <w:r>
              <w:rPr>
                <w:rFonts w:ascii="Arial" w:cs="Arial" w:eastAsia="Arial" w:hAnsi="Arial"/>
                <w:sz w:val="8"/>
                <w:szCs w:val="8"/>
                <w:color w:val="auto"/>
              </w:rPr>
              <w:t>Stock repurchase plan</w:t>
            </w:r>
          </w:p>
        </w:tc>
        <w:tc>
          <w:tcPr>
            <w:tcW w:w="540" w:type="dxa"/>
            <w:vAlign w:val="bottom"/>
            <w:tcBorders>
              <w:right w:val="single" w:sz="8" w:color="auto"/>
            </w:tcBorders>
          </w:tcPr>
          <w:p>
            <w:pPr>
              <w:jc w:val="right"/>
              <w:ind w:right="38"/>
              <w:spacing w:after="0"/>
              <w:rPr>
                <w:sz w:val="20"/>
                <w:szCs w:val="20"/>
                <w:color w:val="auto"/>
              </w:rPr>
            </w:pPr>
            <w:r>
              <w:rPr>
                <w:rFonts w:ascii="Arial" w:cs="Arial" w:eastAsia="Arial" w:hAnsi="Arial"/>
                <w:sz w:val="8"/>
                <w:szCs w:val="8"/>
                <w:color w:val="auto"/>
              </w:rPr>
              <w:t>(432)</w:t>
            </w:r>
          </w:p>
        </w:tc>
        <w:tc>
          <w:tcPr>
            <w:tcW w:w="180" w:type="dxa"/>
            <w:vAlign w:val="bottom"/>
          </w:tcPr>
          <w:p>
            <w:pPr>
              <w:spacing w:after="0"/>
              <w:rPr>
                <w:sz w:val="14"/>
                <w:szCs w:val="14"/>
                <w:color w:val="auto"/>
              </w:rPr>
            </w:pPr>
          </w:p>
        </w:tc>
        <w:tc>
          <w:tcPr>
            <w:tcW w:w="500" w:type="dxa"/>
            <w:vAlign w:val="bottom"/>
            <w:tcBorders>
              <w:right w:val="single" w:sz="8" w:color="auto"/>
            </w:tcBorders>
          </w:tcPr>
          <w:p>
            <w:pPr>
              <w:jc w:val="right"/>
              <w:spacing w:after="0"/>
              <w:rPr>
                <w:sz w:val="20"/>
                <w:szCs w:val="20"/>
                <w:color w:val="auto"/>
              </w:rPr>
            </w:pPr>
            <w:r>
              <w:rPr>
                <w:rFonts w:ascii="Arial" w:cs="Arial" w:eastAsia="Arial" w:hAnsi="Arial"/>
                <w:sz w:val="8"/>
                <w:szCs w:val="8"/>
                <w:color w:val="auto"/>
              </w:rPr>
              <w:t>--</w:t>
            </w:r>
          </w:p>
        </w:tc>
        <w:tc>
          <w:tcPr>
            <w:tcW w:w="40" w:type="dxa"/>
            <w:vAlign w:val="bottom"/>
          </w:tcPr>
          <w:p>
            <w:pPr>
              <w:spacing w:after="0"/>
              <w:rPr>
                <w:sz w:val="14"/>
                <w:szCs w:val="14"/>
                <w:color w:val="auto"/>
              </w:rPr>
            </w:pPr>
          </w:p>
        </w:tc>
        <w:tc>
          <w:tcPr>
            <w:tcW w:w="64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8"/>
                <w:szCs w:val="8"/>
                <w:color w:val="auto"/>
              </w:rPr>
              <w:t>--</w:t>
            </w:r>
          </w:p>
        </w:tc>
        <w:tc>
          <w:tcPr>
            <w:tcW w:w="140" w:type="dxa"/>
            <w:vAlign w:val="bottom"/>
          </w:tcPr>
          <w:p>
            <w:pPr>
              <w:spacing w:after="0"/>
              <w:rPr>
                <w:sz w:val="14"/>
                <w:szCs w:val="14"/>
                <w:color w:val="auto"/>
              </w:rPr>
            </w:pPr>
          </w:p>
        </w:tc>
        <w:tc>
          <w:tcPr>
            <w:tcW w:w="480" w:type="dxa"/>
            <w:vAlign w:val="bottom"/>
            <w:tcBorders>
              <w:right w:val="single" w:sz="8" w:color="auto"/>
            </w:tcBorders>
          </w:tcPr>
          <w:p>
            <w:pPr>
              <w:jc w:val="right"/>
              <w:spacing w:after="0"/>
              <w:rPr>
                <w:sz w:val="20"/>
                <w:szCs w:val="20"/>
                <w:color w:val="auto"/>
              </w:rPr>
            </w:pPr>
            <w:r>
              <w:rPr>
                <w:rFonts w:ascii="Arial" w:cs="Arial" w:eastAsia="Arial" w:hAnsi="Arial"/>
                <w:sz w:val="8"/>
                <w:szCs w:val="8"/>
                <w:color w:val="auto"/>
              </w:rPr>
              <w:t>--</w:t>
            </w:r>
          </w:p>
        </w:tc>
        <w:tc>
          <w:tcPr>
            <w:tcW w:w="140" w:type="dxa"/>
            <w:vAlign w:val="bottom"/>
          </w:tcPr>
          <w:p>
            <w:pPr>
              <w:spacing w:after="0"/>
              <w:rPr>
                <w:sz w:val="14"/>
                <w:szCs w:val="14"/>
                <w:color w:val="auto"/>
              </w:rPr>
            </w:pPr>
          </w:p>
        </w:tc>
        <w:tc>
          <w:tcPr>
            <w:tcW w:w="620" w:type="dxa"/>
            <w:vAlign w:val="bottom"/>
          </w:tcPr>
          <w:p>
            <w:pPr>
              <w:jc w:val="right"/>
              <w:ind w:right="18"/>
              <w:spacing w:after="0"/>
              <w:rPr>
                <w:sz w:val="20"/>
                <w:szCs w:val="20"/>
                <w:color w:val="auto"/>
              </w:rPr>
            </w:pPr>
            <w:r>
              <w:rPr>
                <w:rFonts w:ascii="Arial" w:cs="Arial" w:eastAsia="Arial" w:hAnsi="Arial"/>
                <w:sz w:val="8"/>
                <w:szCs w:val="8"/>
                <w:color w:val="auto"/>
              </w:rPr>
              <w:t>--</w:t>
            </w: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8"/>
                <w:szCs w:val="8"/>
                <w:color w:val="auto"/>
              </w:rPr>
              <w:t>--</w:t>
            </w:r>
          </w:p>
        </w:tc>
        <w:tc>
          <w:tcPr>
            <w:tcW w:w="120" w:type="dxa"/>
            <w:vAlign w:val="bottom"/>
          </w:tcPr>
          <w:p>
            <w:pPr>
              <w:spacing w:after="0"/>
              <w:rPr>
                <w:sz w:val="14"/>
                <w:szCs w:val="14"/>
                <w:color w:val="auto"/>
              </w:rPr>
            </w:pPr>
          </w:p>
        </w:tc>
        <w:tc>
          <w:tcPr>
            <w:tcW w:w="620" w:type="dxa"/>
            <w:vAlign w:val="bottom"/>
          </w:tcPr>
          <w:p>
            <w:pPr>
              <w:jc w:val="right"/>
              <w:ind w:right="18"/>
              <w:spacing w:after="0"/>
              <w:rPr>
                <w:sz w:val="20"/>
                <w:szCs w:val="20"/>
                <w:color w:val="auto"/>
              </w:rPr>
            </w:pPr>
            <w:r>
              <w:rPr>
                <w:rFonts w:ascii="Arial" w:cs="Arial" w:eastAsia="Arial" w:hAnsi="Arial"/>
                <w:sz w:val="8"/>
                <w:szCs w:val="8"/>
                <w:color w:val="auto"/>
              </w:rPr>
              <w:t>(4,070)</w:t>
            </w:r>
          </w:p>
        </w:tc>
        <w:tc>
          <w:tcPr>
            <w:tcW w:w="80" w:type="dxa"/>
            <w:vAlign w:val="bottom"/>
          </w:tcPr>
          <w:p>
            <w:pPr>
              <w:spacing w:after="0"/>
              <w:rPr>
                <w:sz w:val="14"/>
                <w:szCs w:val="14"/>
                <w:color w:val="auto"/>
              </w:rPr>
            </w:pPr>
          </w:p>
        </w:tc>
        <w:tc>
          <w:tcPr>
            <w:tcW w:w="720" w:type="dxa"/>
            <w:vAlign w:val="bottom"/>
          </w:tcPr>
          <w:p>
            <w:pPr>
              <w:jc w:val="right"/>
              <w:ind w:right="18"/>
              <w:spacing w:after="0"/>
              <w:rPr>
                <w:sz w:val="20"/>
                <w:szCs w:val="20"/>
                <w:color w:val="auto"/>
              </w:rPr>
            </w:pPr>
            <w:r>
              <w:rPr>
                <w:rFonts w:ascii="Arial" w:cs="Arial" w:eastAsia="Arial" w:hAnsi="Arial"/>
                <w:sz w:val="8"/>
                <w:szCs w:val="8"/>
                <w:color w:val="auto"/>
              </w:rPr>
              <w:t>--</w:t>
            </w:r>
          </w:p>
        </w:tc>
        <w:tc>
          <w:tcPr>
            <w:tcW w:w="120" w:type="dxa"/>
            <w:vAlign w:val="bottom"/>
          </w:tcPr>
          <w:p>
            <w:pPr>
              <w:spacing w:after="0"/>
              <w:rPr>
                <w:sz w:val="14"/>
                <w:szCs w:val="14"/>
                <w:color w:val="auto"/>
              </w:rPr>
            </w:pPr>
          </w:p>
        </w:tc>
        <w:tc>
          <w:tcPr>
            <w:tcW w:w="780" w:type="dxa"/>
            <w:vAlign w:val="bottom"/>
          </w:tcPr>
          <w:p>
            <w:pPr>
              <w:jc w:val="right"/>
              <w:ind w:right="18"/>
              <w:spacing w:after="0"/>
              <w:rPr>
                <w:sz w:val="20"/>
                <w:szCs w:val="20"/>
                <w:color w:val="auto"/>
              </w:rPr>
            </w:pPr>
            <w:r>
              <w:rPr>
                <w:rFonts w:ascii="Arial" w:cs="Arial" w:eastAsia="Arial" w:hAnsi="Arial"/>
                <w:sz w:val="8"/>
                <w:szCs w:val="8"/>
                <w:color w:val="auto"/>
              </w:rPr>
              <w:t>(4,070)</w:t>
            </w:r>
          </w:p>
        </w:tc>
        <w:tc>
          <w:tcPr>
            <w:tcW w:w="140" w:type="dxa"/>
            <w:vAlign w:val="bottom"/>
          </w:tcPr>
          <w:p>
            <w:pPr>
              <w:spacing w:after="0"/>
              <w:rPr>
                <w:sz w:val="14"/>
                <w:szCs w:val="14"/>
                <w:color w:val="auto"/>
              </w:rPr>
            </w:pPr>
          </w:p>
        </w:tc>
        <w:tc>
          <w:tcPr>
            <w:tcW w:w="660" w:type="dxa"/>
            <w:vAlign w:val="bottom"/>
          </w:tcPr>
          <w:p>
            <w:pPr>
              <w:jc w:val="right"/>
              <w:ind w:right="18"/>
              <w:spacing w:after="0"/>
              <w:rPr>
                <w:sz w:val="20"/>
                <w:szCs w:val="20"/>
                <w:color w:val="auto"/>
              </w:rPr>
            </w:pPr>
            <w:r>
              <w:rPr>
                <w:rFonts w:ascii="Arial" w:cs="Arial" w:eastAsia="Arial" w:hAnsi="Arial"/>
                <w:sz w:val="8"/>
                <w:szCs w:val="8"/>
                <w:color w:val="auto"/>
              </w:rPr>
              <w:t>--</w:t>
            </w: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8"/>
                <w:szCs w:val="8"/>
                <w:color w:val="auto"/>
              </w:rPr>
              <w:t>(4,070)</w:t>
            </w:r>
          </w:p>
        </w:tc>
        <w:tc>
          <w:tcPr>
            <w:tcW w:w="0" w:type="dxa"/>
            <w:vAlign w:val="bottom"/>
          </w:tcPr>
          <w:p>
            <w:pPr>
              <w:spacing w:after="0"/>
              <w:rPr>
                <w:sz w:val="1"/>
                <w:szCs w:val="1"/>
                <w:color w:val="auto"/>
              </w:rPr>
            </w:pPr>
          </w:p>
        </w:tc>
      </w:tr>
      <w:tr>
        <w:trPr>
          <w:trHeight w:val="196"/>
        </w:trPr>
        <w:tc>
          <w:tcPr>
            <w:tcW w:w="2540" w:type="dxa"/>
            <w:vAlign w:val="bottom"/>
            <w:tcBorders>
              <w:bottom w:val="single" w:sz="8" w:color="CCEEFF"/>
              <w:right w:val="single" w:sz="8" w:color="auto"/>
            </w:tcBorders>
            <w:shd w:val="clear" w:color="auto" w:fill="CCEEFF"/>
          </w:tcPr>
          <w:p>
            <w:pPr>
              <w:spacing w:after="0"/>
              <w:rPr>
                <w:sz w:val="20"/>
                <w:szCs w:val="20"/>
                <w:color w:val="auto"/>
              </w:rPr>
            </w:pPr>
            <w:r>
              <w:rPr>
                <w:rFonts w:ascii="Arial" w:cs="Arial" w:eastAsia="Arial" w:hAnsi="Arial"/>
                <w:sz w:val="8"/>
                <w:szCs w:val="8"/>
                <w:color w:val="auto"/>
                <w:w w:val="99"/>
              </w:rPr>
              <w:t>Class A common stock issued for stock bonuses and options exercised</w:t>
            </w:r>
          </w:p>
        </w:tc>
        <w:tc>
          <w:tcPr>
            <w:tcW w:w="540" w:type="dxa"/>
            <w:vAlign w:val="bottom"/>
            <w:tcBorders>
              <w:bottom w:val="single" w:sz="8" w:color="CCEEFF"/>
              <w:right w:val="single" w:sz="8" w:color="auto"/>
            </w:tcBorders>
            <w:shd w:val="clear" w:color="auto" w:fill="CCEEFF"/>
          </w:tcPr>
          <w:p>
            <w:pPr>
              <w:jc w:val="right"/>
              <w:ind w:right="58"/>
              <w:spacing w:after="0"/>
              <w:rPr>
                <w:sz w:val="20"/>
                <w:szCs w:val="20"/>
                <w:color w:val="auto"/>
              </w:rPr>
            </w:pPr>
            <w:r>
              <w:rPr>
                <w:rFonts w:ascii="Arial" w:cs="Arial" w:eastAsia="Arial" w:hAnsi="Arial"/>
                <w:sz w:val="8"/>
                <w:szCs w:val="8"/>
                <w:color w:val="auto"/>
              </w:rPr>
              <w:t>283</w:t>
            </w:r>
          </w:p>
        </w:tc>
        <w:tc>
          <w:tcPr>
            <w:tcW w:w="18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w:t>
            </w:r>
          </w:p>
        </w:tc>
        <w:tc>
          <w:tcPr>
            <w:tcW w:w="4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8"/>
                <w:szCs w:val="8"/>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8"/>
                <w:szCs w:val="8"/>
                <w:color w:val="auto"/>
              </w:rPr>
              <w:t>978</w:t>
            </w:r>
          </w:p>
        </w:tc>
        <w:tc>
          <w:tcPr>
            <w:tcW w:w="10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8"/>
                <w:szCs w:val="8"/>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8"/>
                <w:szCs w:val="8"/>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8"/>
                <w:szCs w:val="8"/>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8"/>
                <w:szCs w:val="8"/>
                <w:color w:val="auto"/>
              </w:rPr>
              <w:t>978</w:t>
            </w:r>
          </w:p>
        </w:tc>
        <w:tc>
          <w:tcPr>
            <w:tcW w:w="14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8"/>
                <w:szCs w:val="8"/>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8"/>
                <w:szCs w:val="8"/>
                <w:color w:val="auto"/>
              </w:rPr>
              <w:t>978</w:t>
            </w:r>
          </w:p>
        </w:tc>
        <w:tc>
          <w:tcPr>
            <w:tcW w:w="0" w:type="dxa"/>
            <w:vAlign w:val="bottom"/>
          </w:tcPr>
          <w:p>
            <w:pPr>
              <w:spacing w:after="0"/>
              <w:rPr>
                <w:sz w:val="1"/>
                <w:szCs w:val="1"/>
                <w:color w:val="auto"/>
              </w:rPr>
            </w:pPr>
          </w:p>
        </w:tc>
      </w:tr>
      <w:tr>
        <w:trPr>
          <w:trHeight w:val="162"/>
        </w:trPr>
        <w:tc>
          <w:tcPr>
            <w:tcW w:w="2540" w:type="dxa"/>
            <w:vAlign w:val="bottom"/>
            <w:tcBorders>
              <w:right w:val="single" w:sz="8" w:color="auto"/>
            </w:tcBorders>
          </w:tcPr>
          <w:p>
            <w:pPr>
              <w:spacing w:after="0"/>
              <w:rPr>
                <w:sz w:val="20"/>
                <w:szCs w:val="20"/>
                <w:color w:val="auto"/>
              </w:rPr>
            </w:pPr>
            <w:r>
              <w:rPr>
                <w:rFonts w:ascii="Arial" w:cs="Arial" w:eastAsia="Arial" w:hAnsi="Arial"/>
                <w:sz w:val="8"/>
                <w:szCs w:val="8"/>
                <w:color w:val="auto"/>
              </w:rPr>
              <w:t>Contributions from noncontrolling shareholders</w:t>
            </w:r>
          </w:p>
        </w:tc>
        <w:tc>
          <w:tcPr>
            <w:tcW w:w="540" w:type="dxa"/>
            <w:vAlign w:val="bottom"/>
            <w:tcBorders>
              <w:right w:val="single" w:sz="8" w:color="auto"/>
            </w:tcBorders>
          </w:tcPr>
          <w:p>
            <w:pPr>
              <w:jc w:val="right"/>
              <w:ind w:right="38"/>
              <w:spacing w:after="0"/>
              <w:rPr>
                <w:sz w:val="20"/>
                <w:szCs w:val="20"/>
                <w:color w:val="auto"/>
              </w:rPr>
            </w:pPr>
            <w:r>
              <w:rPr>
                <w:rFonts w:ascii="Arial" w:cs="Arial" w:eastAsia="Arial" w:hAnsi="Arial"/>
                <w:sz w:val="8"/>
                <w:szCs w:val="8"/>
                <w:color w:val="auto"/>
              </w:rPr>
              <w:t>--</w:t>
            </w:r>
          </w:p>
        </w:tc>
        <w:tc>
          <w:tcPr>
            <w:tcW w:w="180" w:type="dxa"/>
            <w:vAlign w:val="bottom"/>
          </w:tcPr>
          <w:p>
            <w:pPr>
              <w:spacing w:after="0"/>
              <w:rPr>
                <w:sz w:val="14"/>
                <w:szCs w:val="14"/>
                <w:color w:val="auto"/>
              </w:rPr>
            </w:pPr>
          </w:p>
        </w:tc>
        <w:tc>
          <w:tcPr>
            <w:tcW w:w="500" w:type="dxa"/>
            <w:vAlign w:val="bottom"/>
            <w:tcBorders>
              <w:right w:val="single" w:sz="8" w:color="auto"/>
            </w:tcBorders>
          </w:tcPr>
          <w:p>
            <w:pPr>
              <w:jc w:val="right"/>
              <w:spacing w:after="0"/>
              <w:rPr>
                <w:sz w:val="20"/>
                <w:szCs w:val="20"/>
                <w:color w:val="auto"/>
              </w:rPr>
            </w:pPr>
            <w:r>
              <w:rPr>
                <w:rFonts w:ascii="Arial" w:cs="Arial" w:eastAsia="Arial" w:hAnsi="Arial"/>
                <w:sz w:val="8"/>
                <w:szCs w:val="8"/>
                <w:color w:val="auto"/>
              </w:rPr>
              <w:t>--</w:t>
            </w:r>
          </w:p>
        </w:tc>
        <w:tc>
          <w:tcPr>
            <w:tcW w:w="40" w:type="dxa"/>
            <w:vAlign w:val="bottom"/>
          </w:tcPr>
          <w:p>
            <w:pPr>
              <w:spacing w:after="0"/>
              <w:rPr>
                <w:sz w:val="14"/>
                <w:szCs w:val="14"/>
                <w:color w:val="auto"/>
              </w:rPr>
            </w:pPr>
          </w:p>
        </w:tc>
        <w:tc>
          <w:tcPr>
            <w:tcW w:w="64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8"/>
                <w:szCs w:val="8"/>
                <w:color w:val="auto"/>
              </w:rPr>
              <w:t>--</w:t>
            </w:r>
          </w:p>
        </w:tc>
        <w:tc>
          <w:tcPr>
            <w:tcW w:w="140" w:type="dxa"/>
            <w:vAlign w:val="bottom"/>
          </w:tcPr>
          <w:p>
            <w:pPr>
              <w:spacing w:after="0"/>
              <w:rPr>
                <w:sz w:val="14"/>
                <w:szCs w:val="14"/>
                <w:color w:val="auto"/>
              </w:rPr>
            </w:pPr>
          </w:p>
        </w:tc>
        <w:tc>
          <w:tcPr>
            <w:tcW w:w="480" w:type="dxa"/>
            <w:vAlign w:val="bottom"/>
            <w:tcBorders>
              <w:right w:val="single" w:sz="8" w:color="auto"/>
            </w:tcBorders>
          </w:tcPr>
          <w:p>
            <w:pPr>
              <w:jc w:val="right"/>
              <w:spacing w:after="0"/>
              <w:rPr>
                <w:sz w:val="20"/>
                <w:szCs w:val="20"/>
                <w:color w:val="auto"/>
              </w:rPr>
            </w:pPr>
            <w:r>
              <w:rPr>
                <w:rFonts w:ascii="Arial" w:cs="Arial" w:eastAsia="Arial" w:hAnsi="Arial"/>
                <w:sz w:val="8"/>
                <w:szCs w:val="8"/>
                <w:color w:val="auto"/>
              </w:rPr>
              <w:t>--</w:t>
            </w:r>
          </w:p>
        </w:tc>
        <w:tc>
          <w:tcPr>
            <w:tcW w:w="140" w:type="dxa"/>
            <w:vAlign w:val="bottom"/>
          </w:tcPr>
          <w:p>
            <w:pPr>
              <w:spacing w:after="0"/>
              <w:rPr>
                <w:sz w:val="14"/>
                <w:szCs w:val="14"/>
                <w:color w:val="auto"/>
              </w:rPr>
            </w:pPr>
          </w:p>
        </w:tc>
        <w:tc>
          <w:tcPr>
            <w:tcW w:w="620" w:type="dxa"/>
            <w:vAlign w:val="bottom"/>
          </w:tcPr>
          <w:p>
            <w:pPr>
              <w:jc w:val="right"/>
              <w:ind w:right="18"/>
              <w:spacing w:after="0"/>
              <w:rPr>
                <w:sz w:val="20"/>
                <w:szCs w:val="20"/>
                <w:color w:val="auto"/>
              </w:rPr>
            </w:pPr>
            <w:r>
              <w:rPr>
                <w:rFonts w:ascii="Arial" w:cs="Arial" w:eastAsia="Arial" w:hAnsi="Arial"/>
                <w:sz w:val="8"/>
                <w:szCs w:val="8"/>
                <w:color w:val="auto"/>
              </w:rPr>
              <w:t>--</w:t>
            </w: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8"/>
                <w:szCs w:val="8"/>
                <w:color w:val="auto"/>
              </w:rPr>
              <w:t>--</w:t>
            </w:r>
          </w:p>
        </w:tc>
        <w:tc>
          <w:tcPr>
            <w:tcW w:w="120" w:type="dxa"/>
            <w:vAlign w:val="bottom"/>
          </w:tcPr>
          <w:p>
            <w:pPr>
              <w:spacing w:after="0"/>
              <w:rPr>
                <w:sz w:val="14"/>
                <w:szCs w:val="14"/>
                <w:color w:val="auto"/>
              </w:rPr>
            </w:pPr>
          </w:p>
        </w:tc>
        <w:tc>
          <w:tcPr>
            <w:tcW w:w="620" w:type="dxa"/>
            <w:vAlign w:val="bottom"/>
          </w:tcPr>
          <w:p>
            <w:pPr>
              <w:jc w:val="right"/>
              <w:ind w:right="18"/>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14"/>
                <w:szCs w:val="14"/>
                <w:color w:val="auto"/>
              </w:rPr>
            </w:pPr>
          </w:p>
        </w:tc>
        <w:tc>
          <w:tcPr>
            <w:tcW w:w="720" w:type="dxa"/>
            <w:vAlign w:val="bottom"/>
          </w:tcPr>
          <w:p>
            <w:pPr>
              <w:jc w:val="right"/>
              <w:ind w:right="18"/>
              <w:spacing w:after="0"/>
              <w:rPr>
                <w:sz w:val="20"/>
                <w:szCs w:val="20"/>
                <w:color w:val="auto"/>
              </w:rPr>
            </w:pPr>
            <w:r>
              <w:rPr>
                <w:rFonts w:ascii="Arial" w:cs="Arial" w:eastAsia="Arial" w:hAnsi="Arial"/>
                <w:sz w:val="8"/>
                <w:szCs w:val="8"/>
                <w:color w:val="auto"/>
              </w:rPr>
              <w:t>--</w:t>
            </w:r>
          </w:p>
        </w:tc>
        <w:tc>
          <w:tcPr>
            <w:tcW w:w="120" w:type="dxa"/>
            <w:vAlign w:val="bottom"/>
          </w:tcPr>
          <w:p>
            <w:pPr>
              <w:spacing w:after="0"/>
              <w:rPr>
                <w:sz w:val="14"/>
                <w:szCs w:val="14"/>
                <w:color w:val="auto"/>
              </w:rPr>
            </w:pPr>
          </w:p>
        </w:tc>
        <w:tc>
          <w:tcPr>
            <w:tcW w:w="780" w:type="dxa"/>
            <w:vAlign w:val="bottom"/>
          </w:tcPr>
          <w:p>
            <w:pPr>
              <w:jc w:val="right"/>
              <w:ind w:right="18"/>
              <w:spacing w:after="0"/>
              <w:rPr>
                <w:sz w:val="20"/>
                <w:szCs w:val="20"/>
                <w:color w:val="auto"/>
              </w:rPr>
            </w:pPr>
            <w:r>
              <w:rPr>
                <w:rFonts w:ascii="Arial" w:cs="Arial" w:eastAsia="Arial" w:hAnsi="Arial"/>
                <w:sz w:val="8"/>
                <w:szCs w:val="8"/>
                <w:color w:val="auto"/>
              </w:rPr>
              <w:t>--</w:t>
            </w:r>
          </w:p>
        </w:tc>
        <w:tc>
          <w:tcPr>
            <w:tcW w:w="140" w:type="dxa"/>
            <w:vAlign w:val="bottom"/>
          </w:tcPr>
          <w:p>
            <w:pPr>
              <w:spacing w:after="0"/>
              <w:rPr>
                <w:sz w:val="14"/>
                <w:szCs w:val="14"/>
                <w:color w:val="auto"/>
              </w:rPr>
            </w:pPr>
          </w:p>
        </w:tc>
        <w:tc>
          <w:tcPr>
            <w:tcW w:w="660" w:type="dxa"/>
            <w:vAlign w:val="bottom"/>
          </w:tcPr>
          <w:p>
            <w:pPr>
              <w:jc w:val="right"/>
              <w:ind w:right="38"/>
              <w:spacing w:after="0"/>
              <w:rPr>
                <w:sz w:val="20"/>
                <w:szCs w:val="20"/>
                <w:color w:val="auto"/>
              </w:rPr>
            </w:pPr>
            <w:r>
              <w:rPr>
                <w:rFonts w:ascii="Arial" w:cs="Arial" w:eastAsia="Arial" w:hAnsi="Arial"/>
                <w:sz w:val="8"/>
                <w:szCs w:val="8"/>
                <w:color w:val="auto"/>
              </w:rPr>
              <w:t>327</w:t>
            </w: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8"/>
                <w:szCs w:val="8"/>
                <w:color w:val="auto"/>
              </w:rPr>
              <w:t>327</w:t>
            </w:r>
          </w:p>
        </w:tc>
        <w:tc>
          <w:tcPr>
            <w:tcW w:w="0" w:type="dxa"/>
            <w:vAlign w:val="bottom"/>
          </w:tcPr>
          <w:p>
            <w:pPr>
              <w:spacing w:after="0"/>
              <w:rPr>
                <w:sz w:val="1"/>
                <w:szCs w:val="1"/>
                <w:color w:val="auto"/>
              </w:rPr>
            </w:pPr>
          </w:p>
        </w:tc>
      </w:tr>
      <w:tr>
        <w:trPr>
          <w:trHeight w:val="162"/>
        </w:trPr>
        <w:tc>
          <w:tcPr>
            <w:tcW w:w="254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8"/>
                <w:szCs w:val="8"/>
                <w:color w:val="auto"/>
              </w:rPr>
              <w:t>Distributions to noncontrolling shareholders</w:t>
            </w:r>
          </w:p>
        </w:tc>
        <w:tc>
          <w:tcPr>
            <w:tcW w:w="540" w:type="dxa"/>
            <w:vAlign w:val="bottom"/>
            <w:tcBorders>
              <w:right w:val="single" w:sz="8" w:color="auto"/>
            </w:tcBorders>
            <w:shd w:val="clear" w:color="auto" w:fill="CCEEFF"/>
          </w:tcPr>
          <w:p>
            <w:pPr>
              <w:jc w:val="right"/>
              <w:ind w:right="38"/>
              <w:spacing w:after="0"/>
              <w:rPr>
                <w:sz w:val="20"/>
                <w:szCs w:val="20"/>
                <w:color w:val="auto"/>
              </w:rPr>
            </w:pPr>
            <w:r>
              <w:rPr>
                <w:rFonts w:ascii="Arial" w:cs="Arial" w:eastAsia="Arial" w:hAnsi="Arial"/>
                <w:sz w:val="8"/>
                <w:szCs w:val="8"/>
                <w:color w:val="auto"/>
              </w:rPr>
              <w:t>--</w:t>
            </w:r>
          </w:p>
        </w:tc>
        <w:tc>
          <w:tcPr>
            <w:tcW w:w="180" w:type="dxa"/>
            <w:vAlign w:val="bottom"/>
            <w:shd w:val="clear" w:color="auto" w:fill="CCEEFF"/>
          </w:tcPr>
          <w:p>
            <w:pPr>
              <w:spacing w:after="0"/>
              <w:rPr>
                <w:sz w:val="14"/>
                <w:szCs w:val="14"/>
                <w:color w:val="auto"/>
              </w:rPr>
            </w:pPr>
          </w:p>
        </w:tc>
        <w:tc>
          <w:tcPr>
            <w:tcW w:w="5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w:t>
            </w:r>
          </w:p>
        </w:tc>
        <w:tc>
          <w:tcPr>
            <w:tcW w:w="40" w:type="dxa"/>
            <w:vAlign w:val="bottom"/>
            <w:shd w:val="clear" w:color="auto" w:fill="CCEEFF"/>
          </w:tcPr>
          <w:p>
            <w:pPr>
              <w:spacing w:after="0"/>
              <w:rPr>
                <w:sz w:val="14"/>
                <w:szCs w:val="14"/>
                <w:color w:val="auto"/>
              </w:rPr>
            </w:pPr>
          </w:p>
        </w:tc>
        <w:tc>
          <w:tcPr>
            <w:tcW w:w="64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8"/>
                <w:szCs w:val="8"/>
                <w:color w:val="auto"/>
              </w:rPr>
              <w:t>--</w:t>
            </w:r>
          </w:p>
        </w:tc>
        <w:tc>
          <w:tcPr>
            <w:tcW w:w="140" w:type="dxa"/>
            <w:vAlign w:val="bottom"/>
            <w:shd w:val="clear" w:color="auto" w:fill="CCEEFF"/>
          </w:tcPr>
          <w:p>
            <w:pPr>
              <w:spacing w:after="0"/>
              <w:rPr>
                <w:sz w:val="14"/>
                <w:szCs w:val="14"/>
                <w:color w:val="auto"/>
              </w:rPr>
            </w:pPr>
          </w:p>
        </w:tc>
        <w:tc>
          <w:tcPr>
            <w:tcW w:w="48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w:t>
            </w: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18"/>
              <w:spacing w:after="0"/>
              <w:rPr>
                <w:sz w:val="20"/>
                <w:szCs w:val="20"/>
                <w:color w:val="auto"/>
              </w:rPr>
            </w:pPr>
            <w:r>
              <w:rPr>
                <w:rFonts w:ascii="Arial" w:cs="Arial" w:eastAsia="Arial" w:hAnsi="Arial"/>
                <w:sz w:val="8"/>
                <w:szCs w:val="8"/>
                <w:color w:val="auto"/>
              </w:rPr>
              <w:t>--</w:t>
            </w: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8"/>
                <w:szCs w:val="8"/>
                <w:color w:val="auto"/>
              </w:rPr>
              <w:t>--</w:t>
            </w: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18"/>
              <w:spacing w:after="0"/>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18"/>
              <w:spacing w:after="0"/>
              <w:rPr>
                <w:sz w:val="20"/>
                <w:szCs w:val="20"/>
                <w:color w:val="auto"/>
              </w:rPr>
            </w:pPr>
            <w:r>
              <w:rPr>
                <w:rFonts w:ascii="Arial" w:cs="Arial" w:eastAsia="Arial" w:hAnsi="Arial"/>
                <w:sz w:val="8"/>
                <w:szCs w:val="8"/>
                <w:color w:val="auto"/>
              </w:rPr>
              <w:t>--</w:t>
            </w: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18"/>
              <w:spacing w:after="0"/>
              <w:rPr>
                <w:sz w:val="20"/>
                <w:szCs w:val="20"/>
                <w:color w:val="auto"/>
              </w:rPr>
            </w:pPr>
            <w:r>
              <w:rPr>
                <w:rFonts w:ascii="Arial" w:cs="Arial" w:eastAsia="Arial" w:hAnsi="Arial"/>
                <w:sz w:val="8"/>
                <w:szCs w:val="8"/>
                <w:color w:val="auto"/>
              </w:rPr>
              <w:t>--</w:t>
            </w: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18"/>
              <w:spacing w:after="0"/>
              <w:rPr>
                <w:sz w:val="20"/>
                <w:szCs w:val="20"/>
                <w:color w:val="auto"/>
              </w:rPr>
            </w:pPr>
            <w:r>
              <w:rPr>
                <w:rFonts w:ascii="Arial" w:cs="Arial" w:eastAsia="Arial" w:hAnsi="Arial"/>
                <w:sz w:val="8"/>
                <w:szCs w:val="8"/>
                <w:color w:val="auto"/>
              </w:rPr>
              <w:t>(224)</w:t>
            </w: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8"/>
                <w:szCs w:val="8"/>
                <w:color w:val="auto"/>
              </w:rPr>
              <w:t>(224)</w:t>
            </w:r>
          </w:p>
        </w:tc>
        <w:tc>
          <w:tcPr>
            <w:tcW w:w="0" w:type="dxa"/>
            <w:vAlign w:val="bottom"/>
          </w:tcPr>
          <w:p>
            <w:pPr>
              <w:spacing w:after="0"/>
              <w:rPr>
                <w:sz w:val="1"/>
                <w:szCs w:val="1"/>
                <w:color w:val="auto"/>
              </w:rPr>
            </w:pPr>
          </w:p>
        </w:tc>
      </w:tr>
      <w:tr>
        <w:trPr>
          <w:trHeight w:val="142"/>
        </w:trPr>
        <w:tc>
          <w:tcPr>
            <w:tcW w:w="254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8"/>
                <w:szCs w:val="8"/>
                <w:color w:val="auto"/>
              </w:rPr>
              <w:t>At December 31, 2014</w:t>
            </w:r>
          </w:p>
        </w:tc>
        <w:tc>
          <w:tcPr>
            <w:tcW w:w="540" w:type="dxa"/>
            <w:vAlign w:val="bottom"/>
            <w:tcBorders>
              <w:top w:val="single" w:sz="8" w:color="auto"/>
              <w:bottom w:val="single" w:sz="8" w:color="auto"/>
              <w:right w:val="single" w:sz="8" w:color="auto"/>
            </w:tcBorders>
          </w:tcPr>
          <w:p>
            <w:pPr>
              <w:jc w:val="right"/>
              <w:ind w:right="58"/>
              <w:spacing w:after="0"/>
              <w:rPr>
                <w:sz w:val="20"/>
                <w:szCs w:val="20"/>
                <w:color w:val="auto"/>
              </w:rPr>
            </w:pPr>
            <w:r>
              <w:rPr>
                <w:rFonts w:ascii="Arial" w:cs="Arial" w:eastAsia="Arial" w:hAnsi="Arial"/>
                <w:sz w:val="8"/>
                <w:szCs w:val="8"/>
                <w:color w:val="auto"/>
              </w:rPr>
              <w:t>21,741</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8"/>
                <w:szCs w:val="8"/>
                <w:color w:val="auto"/>
              </w:rPr>
              <w:t>$</w:t>
            </w:r>
          </w:p>
        </w:tc>
        <w:tc>
          <w:tcPr>
            <w:tcW w:w="500" w:type="dxa"/>
            <w:vAlign w:val="bottom"/>
            <w:tcBorders>
              <w:top w:val="single" w:sz="8" w:color="auto"/>
              <w:bottom w:val="single" w:sz="8" w:color="auto"/>
              <w:right w:val="single" w:sz="8" w:color="auto"/>
            </w:tcBorders>
          </w:tcPr>
          <w:p>
            <w:pPr>
              <w:jc w:val="right"/>
              <w:spacing w:after="0"/>
              <w:rPr>
                <w:sz w:val="20"/>
                <w:szCs w:val="20"/>
                <w:color w:val="auto"/>
              </w:rPr>
            </w:pPr>
            <w:r>
              <w:rPr>
                <w:rFonts w:ascii="Arial" w:cs="Arial" w:eastAsia="Arial" w:hAnsi="Arial"/>
                <w:sz w:val="8"/>
                <w:szCs w:val="8"/>
                <w:color w:val="auto"/>
              </w:rPr>
              <w:t>228</w:t>
            </w:r>
          </w:p>
        </w:tc>
        <w:tc>
          <w:tcPr>
            <w:tcW w:w="40" w:type="dxa"/>
            <w:vAlign w:val="bottom"/>
            <w:tcBorders>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8"/>
                <w:szCs w:val="8"/>
                <w:color w:val="auto"/>
              </w:rPr>
              <w:t>1,495</w:t>
            </w:r>
          </w:p>
        </w:tc>
        <w:tc>
          <w:tcPr>
            <w:tcW w:w="100" w:type="dxa"/>
            <w:vAlign w:val="bottom"/>
            <w:tcBorders>
              <w:bottom w:val="single" w:sz="8" w:color="auto"/>
              <w:right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8"/>
                <w:szCs w:val="8"/>
                <w:color w:val="auto"/>
              </w:rPr>
              <w:t>$</w:t>
            </w:r>
          </w:p>
        </w:tc>
        <w:tc>
          <w:tcPr>
            <w:tcW w:w="480" w:type="dxa"/>
            <w:vAlign w:val="bottom"/>
            <w:tcBorders>
              <w:top w:val="single" w:sz="8" w:color="auto"/>
              <w:bottom w:val="single" w:sz="8" w:color="auto"/>
              <w:right w:val="single" w:sz="8" w:color="auto"/>
            </w:tcBorders>
          </w:tcPr>
          <w:p>
            <w:pPr>
              <w:jc w:val="right"/>
              <w:spacing w:after="0"/>
              <w:rPr>
                <w:sz w:val="20"/>
                <w:szCs w:val="20"/>
                <w:color w:val="auto"/>
              </w:rPr>
            </w:pPr>
            <w:r>
              <w:rPr>
                <w:rFonts w:ascii="Arial" w:cs="Arial" w:eastAsia="Arial" w:hAnsi="Arial"/>
                <w:sz w:val="8"/>
                <w:szCs w:val="8"/>
                <w:color w:val="auto"/>
              </w:rPr>
              <w:t>15</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8"/>
                <w:szCs w:val="8"/>
                <w:color w:val="auto"/>
              </w:rPr>
              <w:t>$</w:t>
            </w:r>
          </w:p>
        </w:tc>
        <w:tc>
          <w:tcPr>
            <w:tcW w:w="62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8"/>
                <w:szCs w:val="8"/>
                <w:color w:val="auto"/>
              </w:rPr>
              <w:t>140,237</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8"/>
                <w:szCs w:val="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8"/>
                <w:szCs w:val="8"/>
                <w:color w:val="auto"/>
              </w:rPr>
              <w:t>(32,251)</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8"/>
                <w:szCs w:val="8"/>
                <w:color w:val="auto"/>
              </w:rPr>
              <w:t>$</w:t>
            </w:r>
          </w:p>
        </w:tc>
        <w:tc>
          <w:tcPr>
            <w:tcW w:w="62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8"/>
                <w:szCs w:val="8"/>
                <w:color w:val="auto"/>
              </w:rPr>
              <w:t>(8,582)</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8"/>
                <w:szCs w:val="8"/>
                <w:color w:val="auto"/>
              </w:rPr>
              <w:t>$</w:t>
            </w:r>
          </w:p>
        </w:tc>
        <w:tc>
          <w:tcPr>
            <w:tcW w:w="72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8"/>
                <w:szCs w:val="8"/>
                <w:color w:val="auto"/>
              </w:rPr>
              <w:t>28,039</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8"/>
                <w:szCs w:val="8"/>
                <w:color w:val="auto"/>
              </w:rPr>
              <w:t>$</w:t>
            </w:r>
          </w:p>
        </w:tc>
        <w:tc>
          <w:tcPr>
            <w:tcW w:w="78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8"/>
                <w:szCs w:val="8"/>
                <w:color w:val="auto"/>
              </w:rPr>
              <w:t>127,686</w:t>
            </w:r>
          </w:p>
        </w:tc>
        <w:tc>
          <w:tcPr>
            <w:tcW w:w="14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8"/>
                <w:szCs w:val="8"/>
                <w:color w:val="auto"/>
              </w:rPr>
              <w:t>$</w:t>
            </w:r>
          </w:p>
        </w:tc>
        <w:tc>
          <w:tcPr>
            <w:tcW w:w="66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8"/>
                <w:szCs w:val="8"/>
                <w:color w:val="auto"/>
              </w:rPr>
              <w:t>4,612</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8"/>
                <w:szCs w:val="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8"/>
                <w:szCs w:val="8"/>
                <w:color w:val="auto"/>
              </w:rPr>
              <w:t>132,298</w:t>
            </w:r>
          </w:p>
        </w:tc>
        <w:tc>
          <w:tcPr>
            <w:tcW w:w="0" w:type="dxa"/>
            <w:vAlign w:val="bottom"/>
          </w:tcPr>
          <w:p>
            <w:pPr>
              <w:spacing w:after="0"/>
              <w:rPr>
                <w:sz w:val="1"/>
                <w:szCs w:val="1"/>
                <w:color w:val="auto"/>
              </w:rPr>
            </w:pPr>
          </w:p>
        </w:tc>
      </w:tr>
      <w:tr>
        <w:trPr>
          <w:trHeight w:val="160"/>
        </w:trPr>
        <w:tc>
          <w:tcPr>
            <w:tcW w:w="254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8"/>
                <w:szCs w:val="8"/>
                <w:color w:val="auto"/>
              </w:rPr>
              <w:t>Net income (loss)</w:t>
            </w:r>
          </w:p>
        </w:tc>
        <w:tc>
          <w:tcPr>
            <w:tcW w:w="540" w:type="dxa"/>
            <w:vAlign w:val="bottom"/>
            <w:tcBorders>
              <w:right w:val="single" w:sz="8" w:color="auto"/>
            </w:tcBorders>
            <w:shd w:val="clear" w:color="auto" w:fill="CCEEFF"/>
          </w:tcPr>
          <w:p>
            <w:pPr>
              <w:jc w:val="right"/>
              <w:ind w:right="38"/>
              <w:spacing w:after="0"/>
              <w:rPr>
                <w:sz w:val="20"/>
                <w:szCs w:val="20"/>
                <w:color w:val="auto"/>
              </w:rPr>
            </w:pPr>
            <w:r>
              <w:rPr>
                <w:rFonts w:ascii="Arial" w:cs="Arial" w:eastAsia="Arial" w:hAnsi="Arial"/>
                <w:sz w:val="8"/>
                <w:szCs w:val="8"/>
                <w:color w:val="auto"/>
              </w:rPr>
              <w:t>--</w:t>
            </w:r>
          </w:p>
        </w:tc>
        <w:tc>
          <w:tcPr>
            <w:tcW w:w="180" w:type="dxa"/>
            <w:vAlign w:val="bottom"/>
            <w:shd w:val="clear" w:color="auto" w:fill="CCEEFF"/>
          </w:tcPr>
          <w:p>
            <w:pPr>
              <w:spacing w:after="0"/>
              <w:rPr>
                <w:sz w:val="13"/>
                <w:szCs w:val="13"/>
                <w:color w:val="auto"/>
              </w:rPr>
            </w:pPr>
          </w:p>
        </w:tc>
        <w:tc>
          <w:tcPr>
            <w:tcW w:w="5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w:t>
            </w:r>
          </w:p>
        </w:tc>
        <w:tc>
          <w:tcPr>
            <w:tcW w:w="40" w:type="dxa"/>
            <w:vAlign w:val="bottom"/>
            <w:shd w:val="clear" w:color="auto" w:fill="CCEEFF"/>
          </w:tcPr>
          <w:p>
            <w:pPr>
              <w:spacing w:after="0"/>
              <w:rPr>
                <w:sz w:val="13"/>
                <w:szCs w:val="13"/>
                <w:color w:val="auto"/>
              </w:rPr>
            </w:pPr>
          </w:p>
        </w:tc>
        <w:tc>
          <w:tcPr>
            <w:tcW w:w="64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8"/>
                <w:szCs w:val="8"/>
                <w:color w:val="auto"/>
              </w:rPr>
              <w:t>--</w:t>
            </w:r>
          </w:p>
        </w:tc>
        <w:tc>
          <w:tcPr>
            <w:tcW w:w="140" w:type="dxa"/>
            <w:vAlign w:val="bottom"/>
            <w:shd w:val="clear" w:color="auto" w:fill="CCEEFF"/>
          </w:tcPr>
          <w:p>
            <w:pPr>
              <w:spacing w:after="0"/>
              <w:rPr>
                <w:sz w:val="13"/>
                <w:szCs w:val="13"/>
                <w:color w:val="auto"/>
              </w:rPr>
            </w:pPr>
          </w:p>
        </w:tc>
        <w:tc>
          <w:tcPr>
            <w:tcW w:w="48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w:t>
            </w: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18"/>
              <w:spacing w:after="0"/>
              <w:rPr>
                <w:sz w:val="20"/>
                <w:szCs w:val="20"/>
                <w:color w:val="auto"/>
              </w:rPr>
            </w:pPr>
            <w:r>
              <w:rPr>
                <w:rFonts w:ascii="Arial" w:cs="Arial" w:eastAsia="Arial" w:hAnsi="Arial"/>
                <w:sz w:val="8"/>
                <w:szCs w:val="8"/>
                <w:color w:val="auto"/>
              </w:rPr>
              <w:t>--</w:t>
            </w: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jc w:val="right"/>
              <w:ind w:right="38"/>
              <w:spacing w:after="0"/>
              <w:rPr>
                <w:sz w:val="20"/>
                <w:szCs w:val="20"/>
                <w:color w:val="auto"/>
              </w:rPr>
            </w:pPr>
            <w:r>
              <w:rPr>
                <w:rFonts w:ascii="Arial" w:cs="Arial" w:eastAsia="Arial" w:hAnsi="Arial"/>
                <w:sz w:val="8"/>
                <w:szCs w:val="8"/>
                <w:color w:val="auto"/>
              </w:rPr>
              <w:t>22,773</w:t>
            </w: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18"/>
              <w:spacing w:after="0"/>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18"/>
              <w:spacing w:after="0"/>
              <w:rPr>
                <w:sz w:val="20"/>
                <w:szCs w:val="20"/>
                <w:color w:val="auto"/>
              </w:rPr>
            </w:pPr>
            <w:r>
              <w:rPr>
                <w:rFonts w:ascii="Arial" w:cs="Arial" w:eastAsia="Arial" w:hAnsi="Arial"/>
                <w:sz w:val="8"/>
                <w:szCs w:val="8"/>
                <w:color w:val="auto"/>
              </w:rPr>
              <w:t>--</w:t>
            </w: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jc w:val="right"/>
              <w:ind w:right="38"/>
              <w:spacing w:after="0"/>
              <w:rPr>
                <w:sz w:val="20"/>
                <w:szCs w:val="20"/>
                <w:color w:val="auto"/>
              </w:rPr>
            </w:pPr>
            <w:r>
              <w:rPr>
                <w:rFonts w:ascii="Arial" w:cs="Arial" w:eastAsia="Arial" w:hAnsi="Arial"/>
                <w:sz w:val="8"/>
                <w:szCs w:val="8"/>
                <w:color w:val="auto"/>
              </w:rPr>
              <w:t>22,773</w:t>
            </w: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18"/>
              <w:spacing w:after="0"/>
              <w:rPr>
                <w:sz w:val="20"/>
                <w:szCs w:val="20"/>
                <w:color w:val="auto"/>
              </w:rPr>
            </w:pPr>
            <w:r>
              <w:rPr>
                <w:rFonts w:ascii="Arial" w:cs="Arial" w:eastAsia="Arial" w:hAnsi="Arial"/>
                <w:sz w:val="8"/>
                <w:szCs w:val="8"/>
                <w:color w:val="auto"/>
              </w:rPr>
              <w:t>(79)</w:t>
            </w: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8"/>
                <w:szCs w:val="8"/>
                <w:color w:val="auto"/>
              </w:rPr>
              <w:t>22,694</w:t>
            </w:r>
          </w:p>
        </w:tc>
        <w:tc>
          <w:tcPr>
            <w:tcW w:w="0" w:type="dxa"/>
            <w:vAlign w:val="bottom"/>
          </w:tcPr>
          <w:p>
            <w:pPr>
              <w:spacing w:after="0"/>
              <w:rPr>
                <w:sz w:val="1"/>
                <w:szCs w:val="1"/>
                <w:color w:val="auto"/>
              </w:rPr>
            </w:pPr>
          </w:p>
        </w:tc>
      </w:tr>
      <w:tr>
        <w:trPr>
          <w:trHeight w:val="171"/>
        </w:trPr>
        <w:tc>
          <w:tcPr>
            <w:tcW w:w="2540" w:type="dxa"/>
            <w:vAlign w:val="bottom"/>
            <w:tcBorders>
              <w:right w:val="single" w:sz="8" w:color="auto"/>
            </w:tcBorders>
          </w:tcPr>
          <w:p>
            <w:pPr>
              <w:spacing w:after="0"/>
              <w:rPr>
                <w:sz w:val="20"/>
                <w:szCs w:val="20"/>
                <w:color w:val="auto"/>
              </w:rPr>
            </w:pPr>
            <w:r>
              <w:rPr>
                <w:rFonts w:ascii="Arial" w:cs="Arial" w:eastAsia="Arial" w:hAnsi="Arial"/>
                <w:sz w:val="8"/>
                <w:szCs w:val="8"/>
                <w:color w:val="auto"/>
              </w:rPr>
              <w:t>Other comprehensive loss</w:t>
            </w:r>
          </w:p>
        </w:tc>
        <w:tc>
          <w:tcPr>
            <w:tcW w:w="540" w:type="dxa"/>
            <w:vAlign w:val="bottom"/>
            <w:tcBorders>
              <w:right w:val="single" w:sz="8" w:color="auto"/>
            </w:tcBorders>
          </w:tcPr>
          <w:p>
            <w:pPr>
              <w:jc w:val="right"/>
              <w:ind w:right="38"/>
              <w:spacing w:after="0"/>
              <w:rPr>
                <w:sz w:val="20"/>
                <w:szCs w:val="20"/>
                <w:color w:val="auto"/>
              </w:rPr>
            </w:pPr>
            <w:r>
              <w:rPr>
                <w:rFonts w:ascii="Arial" w:cs="Arial" w:eastAsia="Arial" w:hAnsi="Arial"/>
                <w:sz w:val="8"/>
                <w:szCs w:val="8"/>
                <w:color w:val="auto"/>
              </w:rPr>
              <w:t>--</w:t>
            </w:r>
          </w:p>
        </w:tc>
        <w:tc>
          <w:tcPr>
            <w:tcW w:w="180" w:type="dxa"/>
            <w:vAlign w:val="bottom"/>
          </w:tcPr>
          <w:p>
            <w:pPr>
              <w:spacing w:after="0"/>
              <w:rPr>
                <w:sz w:val="14"/>
                <w:szCs w:val="14"/>
                <w:color w:val="auto"/>
              </w:rPr>
            </w:pPr>
          </w:p>
        </w:tc>
        <w:tc>
          <w:tcPr>
            <w:tcW w:w="500" w:type="dxa"/>
            <w:vAlign w:val="bottom"/>
            <w:tcBorders>
              <w:right w:val="single" w:sz="8" w:color="auto"/>
            </w:tcBorders>
          </w:tcPr>
          <w:p>
            <w:pPr>
              <w:jc w:val="right"/>
              <w:spacing w:after="0"/>
              <w:rPr>
                <w:sz w:val="20"/>
                <w:szCs w:val="20"/>
                <w:color w:val="auto"/>
              </w:rPr>
            </w:pPr>
            <w:r>
              <w:rPr>
                <w:rFonts w:ascii="Arial" w:cs="Arial" w:eastAsia="Arial" w:hAnsi="Arial"/>
                <w:sz w:val="8"/>
                <w:szCs w:val="8"/>
                <w:color w:val="auto"/>
              </w:rPr>
              <w:t>--</w:t>
            </w:r>
          </w:p>
        </w:tc>
        <w:tc>
          <w:tcPr>
            <w:tcW w:w="40" w:type="dxa"/>
            <w:vAlign w:val="bottom"/>
          </w:tcPr>
          <w:p>
            <w:pPr>
              <w:spacing w:after="0"/>
              <w:rPr>
                <w:sz w:val="14"/>
                <w:szCs w:val="14"/>
                <w:color w:val="auto"/>
              </w:rPr>
            </w:pPr>
          </w:p>
        </w:tc>
        <w:tc>
          <w:tcPr>
            <w:tcW w:w="64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8"/>
                <w:szCs w:val="8"/>
                <w:color w:val="auto"/>
              </w:rPr>
              <w:t>--</w:t>
            </w:r>
          </w:p>
        </w:tc>
        <w:tc>
          <w:tcPr>
            <w:tcW w:w="140" w:type="dxa"/>
            <w:vAlign w:val="bottom"/>
          </w:tcPr>
          <w:p>
            <w:pPr>
              <w:spacing w:after="0"/>
              <w:rPr>
                <w:sz w:val="14"/>
                <w:szCs w:val="14"/>
                <w:color w:val="auto"/>
              </w:rPr>
            </w:pPr>
          </w:p>
        </w:tc>
        <w:tc>
          <w:tcPr>
            <w:tcW w:w="480" w:type="dxa"/>
            <w:vAlign w:val="bottom"/>
            <w:tcBorders>
              <w:right w:val="single" w:sz="8" w:color="auto"/>
            </w:tcBorders>
          </w:tcPr>
          <w:p>
            <w:pPr>
              <w:jc w:val="right"/>
              <w:spacing w:after="0"/>
              <w:rPr>
                <w:sz w:val="20"/>
                <w:szCs w:val="20"/>
                <w:color w:val="auto"/>
              </w:rPr>
            </w:pPr>
            <w:r>
              <w:rPr>
                <w:rFonts w:ascii="Arial" w:cs="Arial" w:eastAsia="Arial" w:hAnsi="Arial"/>
                <w:sz w:val="8"/>
                <w:szCs w:val="8"/>
                <w:color w:val="auto"/>
              </w:rPr>
              <w:t>--</w:t>
            </w:r>
          </w:p>
        </w:tc>
        <w:tc>
          <w:tcPr>
            <w:tcW w:w="140" w:type="dxa"/>
            <w:vAlign w:val="bottom"/>
          </w:tcPr>
          <w:p>
            <w:pPr>
              <w:spacing w:after="0"/>
              <w:rPr>
                <w:sz w:val="14"/>
                <w:szCs w:val="14"/>
                <w:color w:val="auto"/>
              </w:rPr>
            </w:pPr>
          </w:p>
        </w:tc>
        <w:tc>
          <w:tcPr>
            <w:tcW w:w="620" w:type="dxa"/>
            <w:vAlign w:val="bottom"/>
          </w:tcPr>
          <w:p>
            <w:pPr>
              <w:jc w:val="right"/>
              <w:ind w:right="18"/>
              <w:spacing w:after="0"/>
              <w:rPr>
                <w:sz w:val="20"/>
                <w:szCs w:val="20"/>
                <w:color w:val="auto"/>
              </w:rPr>
            </w:pPr>
            <w:r>
              <w:rPr>
                <w:rFonts w:ascii="Arial" w:cs="Arial" w:eastAsia="Arial" w:hAnsi="Arial"/>
                <w:sz w:val="8"/>
                <w:szCs w:val="8"/>
                <w:color w:val="auto"/>
              </w:rPr>
              <w:t>--</w:t>
            </w: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8"/>
                <w:szCs w:val="8"/>
                <w:color w:val="auto"/>
              </w:rPr>
              <w:t>--</w:t>
            </w:r>
          </w:p>
        </w:tc>
        <w:tc>
          <w:tcPr>
            <w:tcW w:w="120" w:type="dxa"/>
            <w:vAlign w:val="bottom"/>
          </w:tcPr>
          <w:p>
            <w:pPr>
              <w:spacing w:after="0"/>
              <w:rPr>
                <w:sz w:val="14"/>
                <w:szCs w:val="14"/>
                <w:color w:val="auto"/>
              </w:rPr>
            </w:pPr>
          </w:p>
        </w:tc>
        <w:tc>
          <w:tcPr>
            <w:tcW w:w="620" w:type="dxa"/>
            <w:vAlign w:val="bottom"/>
          </w:tcPr>
          <w:p>
            <w:pPr>
              <w:jc w:val="right"/>
              <w:ind w:right="18"/>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14"/>
                <w:szCs w:val="14"/>
                <w:color w:val="auto"/>
              </w:rPr>
            </w:pPr>
          </w:p>
        </w:tc>
        <w:tc>
          <w:tcPr>
            <w:tcW w:w="720" w:type="dxa"/>
            <w:vAlign w:val="bottom"/>
          </w:tcPr>
          <w:p>
            <w:pPr>
              <w:jc w:val="right"/>
              <w:ind w:right="18"/>
              <w:spacing w:after="0"/>
              <w:rPr>
                <w:sz w:val="20"/>
                <w:szCs w:val="20"/>
                <w:color w:val="auto"/>
              </w:rPr>
            </w:pPr>
            <w:r>
              <w:rPr>
                <w:rFonts w:ascii="Arial" w:cs="Arial" w:eastAsia="Arial" w:hAnsi="Arial"/>
                <w:sz w:val="8"/>
                <w:szCs w:val="8"/>
                <w:color w:val="auto"/>
              </w:rPr>
              <w:t>(16,233)</w:t>
            </w:r>
          </w:p>
        </w:tc>
        <w:tc>
          <w:tcPr>
            <w:tcW w:w="120" w:type="dxa"/>
            <w:vAlign w:val="bottom"/>
          </w:tcPr>
          <w:p>
            <w:pPr>
              <w:spacing w:after="0"/>
              <w:rPr>
                <w:sz w:val="14"/>
                <w:szCs w:val="14"/>
                <w:color w:val="auto"/>
              </w:rPr>
            </w:pPr>
          </w:p>
        </w:tc>
        <w:tc>
          <w:tcPr>
            <w:tcW w:w="780" w:type="dxa"/>
            <w:vAlign w:val="bottom"/>
          </w:tcPr>
          <w:p>
            <w:pPr>
              <w:jc w:val="right"/>
              <w:ind w:right="18"/>
              <w:spacing w:after="0"/>
              <w:rPr>
                <w:sz w:val="20"/>
                <w:szCs w:val="20"/>
                <w:color w:val="auto"/>
              </w:rPr>
            </w:pPr>
            <w:r>
              <w:rPr>
                <w:rFonts w:ascii="Arial" w:cs="Arial" w:eastAsia="Arial" w:hAnsi="Arial"/>
                <w:sz w:val="8"/>
                <w:szCs w:val="8"/>
                <w:color w:val="auto"/>
              </w:rPr>
              <w:t>(16,233)</w:t>
            </w:r>
          </w:p>
        </w:tc>
        <w:tc>
          <w:tcPr>
            <w:tcW w:w="140" w:type="dxa"/>
            <w:vAlign w:val="bottom"/>
          </w:tcPr>
          <w:p>
            <w:pPr>
              <w:spacing w:after="0"/>
              <w:rPr>
                <w:sz w:val="14"/>
                <w:szCs w:val="14"/>
                <w:color w:val="auto"/>
              </w:rPr>
            </w:pPr>
          </w:p>
        </w:tc>
        <w:tc>
          <w:tcPr>
            <w:tcW w:w="660" w:type="dxa"/>
            <w:vAlign w:val="bottom"/>
          </w:tcPr>
          <w:p>
            <w:pPr>
              <w:jc w:val="right"/>
              <w:ind w:right="18"/>
              <w:spacing w:after="0"/>
              <w:rPr>
                <w:sz w:val="20"/>
                <w:szCs w:val="20"/>
                <w:color w:val="auto"/>
              </w:rPr>
            </w:pPr>
            <w:r>
              <w:rPr>
                <w:rFonts w:ascii="Arial" w:cs="Arial" w:eastAsia="Arial" w:hAnsi="Arial"/>
                <w:sz w:val="8"/>
                <w:szCs w:val="8"/>
                <w:color w:val="auto"/>
              </w:rPr>
              <w:t>(46)</w:t>
            </w: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8"/>
                <w:szCs w:val="8"/>
                <w:color w:val="auto"/>
              </w:rPr>
              <w:t>(16,279)</w:t>
            </w:r>
          </w:p>
        </w:tc>
        <w:tc>
          <w:tcPr>
            <w:tcW w:w="0" w:type="dxa"/>
            <w:vAlign w:val="bottom"/>
          </w:tcPr>
          <w:p>
            <w:pPr>
              <w:spacing w:after="0"/>
              <w:rPr>
                <w:sz w:val="1"/>
                <w:szCs w:val="1"/>
                <w:color w:val="auto"/>
              </w:rPr>
            </w:pPr>
          </w:p>
        </w:tc>
      </w:tr>
      <w:tr>
        <w:trPr>
          <w:trHeight w:val="171"/>
        </w:trPr>
        <w:tc>
          <w:tcPr>
            <w:tcW w:w="254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8"/>
                <w:szCs w:val="8"/>
                <w:color w:val="auto"/>
              </w:rPr>
              <w:t>Stock option and restricted stock compensation expense</w:t>
            </w:r>
          </w:p>
        </w:tc>
        <w:tc>
          <w:tcPr>
            <w:tcW w:w="540" w:type="dxa"/>
            <w:vAlign w:val="bottom"/>
            <w:tcBorders>
              <w:right w:val="single" w:sz="8" w:color="auto"/>
            </w:tcBorders>
            <w:shd w:val="clear" w:color="auto" w:fill="CCEEFF"/>
          </w:tcPr>
          <w:p>
            <w:pPr>
              <w:jc w:val="right"/>
              <w:ind w:right="58"/>
              <w:spacing w:after="0"/>
              <w:rPr>
                <w:sz w:val="20"/>
                <w:szCs w:val="20"/>
                <w:color w:val="auto"/>
              </w:rPr>
            </w:pPr>
            <w:r>
              <w:rPr>
                <w:rFonts w:ascii="Arial" w:cs="Arial" w:eastAsia="Arial" w:hAnsi="Arial"/>
                <w:sz w:val="8"/>
                <w:szCs w:val="8"/>
                <w:color w:val="auto"/>
              </w:rPr>
              <w:t>7</w:t>
            </w:r>
          </w:p>
        </w:tc>
        <w:tc>
          <w:tcPr>
            <w:tcW w:w="180" w:type="dxa"/>
            <w:vAlign w:val="bottom"/>
            <w:shd w:val="clear" w:color="auto" w:fill="CCEEFF"/>
          </w:tcPr>
          <w:p>
            <w:pPr>
              <w:spacing w:after="0"/>
              <w:rPr>
                <w:sz w:val="14"/>
                <w:szCs w:val="14"/>
                <w:color w:val="auto"/>
              </w:rPr>
            </w:pPr>
          </w:p>
        </w:tc>
        <w:tc>
          <w:tcPr>
            <w:tcW w:w="5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w:t>
            </w:r>
          </w:p>
        </w:tc>
        <w:tc>
          <w:tcPr>
            <w:tcW w:w="40" w:type="dxa"/>
            <w:vAlign w:val="bottom"/>
            <w:shd w:val="clear" w:color="auto" w:fill="CCEEFF"/>
          </w:tcPr>
          <w:p>
            <w:pPr>
              <w:spacing w:after="0"/>
              <w:rPr>
                <w:sz w:val="14"/>
                <w:szCs w:val="14"/>
                <w:color w:val="auto"/>
              </w:rPr>
            </w:pPr>
          </w:p>
        </w:tc>
        <w:tc>
          <w:tcPr>
            <w:tcW w:w="64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8"/>
                <w:szCs w:val="8"/>
                <w:color w:val="auto"/>
              </w:rPr>
              <w:t>--</w:t>
            </w:r>
          </w:p>
        </w:tc>
        <w:tc>
          <w:tcPr>
            <w:tcW w:w="140" w:type="dxa"/>
            <w:vAlign w:val="bottom"/>
            <w:shd w:val="clear" w:color="auto" w:fill="CCEEFF"/>
          </w:tcPr>
          <w:p>
            <w:pPr>
              <w:spacing w:after="0"/>
              <w:rPr>
                <w:sz w:val="14"/>
                <w:szCs w:val="14"/>
                <w:color w:val="auto"/>
              </w:rPr>
            </w:pPr>
          </w:p>
        </w:tc>
        <w:tc>
          <w:tcPr>
            <w:tcW w:w="48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w:t>
            </w: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38"/>
              <w:spacing w:after="0"/>
              <w:rPr>
                <w:sz w:val="20"/>
                <w:szCs w:val="20"/>
                <w:color w:val="auto"/>
              </w:rPr>
            </w:pPr>
            <w:r>
              <w:rPr>
                <w:rFonts w:ascii="Arial" w:cs="Arial" w:eastAsia="Arial" w:hAnsi="Arial"/>
                <w:sz w:val="8"/>
                <w:szCs w:val="8"/>
                <w:color w:val="auto"/>
              </w:rPr>
              <w:t>1,458</w:t>
            </w: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8"/>
                <w:szCs w:val="8"/>
                <w:color w:val="auto"/>
              </w:rPr>
              <w:t>--</w:t>
            </w: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18"/>
              <w:spacing w:after="0"/>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18"/>
              <w:spacing w:after="0"/>
              <w:rPr>
                <w:sz w:val="20"/>
                <w:szCs w:val="20"/>
                <w:color w:val="auto"/>
              </w:rPr>
            </w:pPr>
            <w:r>
              <w:rPr>
                <w:rFonts w:ascii="Arial" w:cs="Arial" w:eastAsia="Arial" w:hAnsi="Arial"/>
                <w:sz w:val="8"/>
                <w:szCs w:val="8"/>
                <w:color w:val="auto"/>
              </w:rPr>
              <w:t>--</w:t>
            </w: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38"/>
              <w:spacing w:after="0"/>
              <w:rPr>
                <w:sz w:val="20"/>
                <w:szCs w:val="20"/>
                <w:color w:val="auto"/>
              </w:rPr>
            </w:pPr>
            <w:r>
              <w:rPr>
                <w:rFonts w:ascii="Arial" w:cs="Arial" w:eastAsia="Arial" w:hAnsi="Arial"/>
                <w:sz w:val="8"/>
                <w:szCs w:val="8"/>
                <w:color w:val="auto"/>
              </w:rPr>
              <w:t>1,458</w:t>
            </w: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18"/>
              <w:spacing w:after="0"/>
              <w:rPr>
                <w:sz w:val="20"/>
                <w:szCs w:val="20"/>
                <w:color w:val="auto"/>
              </w:rPr>
            </w:pPr>
            <w:r>
              <w:rPr>
                <w:rFonts w:ascii="Arial" w:cs="Arial" w:eastAsia="Arial" w:hAnsi="Arial"/>
                <w:sz w:val="8"/>
                <w:szCs w:val="8"/>
                <w:color w:val="auto"/>
              </w:rPr>
              <w:t>--</w:t>
            </w: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8"/>
                <w:szCs w:val="8"/>
                <w:color w:val="auto"/>
              </w:rPr>
              <w:t>1,458</w:t>
            </w:r>
          </w:p>
        </w:tc>
        <w:tc>
          <w:tcPr>
            <w:tcW w:w="0" w:type="dxa"/>
            <w:vAlign w:val="bottom"/>
          </w:tcPr>
          <w:p>
            <w:pPr>
              <w:spacing w:after="0"/>
              <w:rPr>
                <w:sz w:val="1"/>
                <w:szCs w:val="1"/>
                <w:color w:val="auto"/>
              </w:rPr>
            </w:pPr>
          </w:p>
        </w:tc>
      </w:tr>
      <w:tr>
        <w:trPr>
          <w:trHeight w:val="171"/>
        </w:trPr>
        <w:tc>
          <w:tcPr>
            <w:tcW w:w="2540" w:type="dxa"/>
            <w:vAlign w:val="bottom"/>
            <w:tcBorders>
              <w:right w:val="single" w:sz="8" w:color="auto"/>
            </w:tcBorders>
          </w:tcPr>
          <w:p>
            <w:pPr>
              <w:spacing w:after="0"/>
              <w:rPr>
                <w:sz w:val="20"/>
                <w:szCs w:val="20"/>
                <w:color w:val="auto"/>
              </w:rPr>
            </w:pPr>
            <w:r>
              <w:rPr>
                <w:rFonts w:ascii="Arial" w:cs="Arial" w:eastAsia="Arial" w:hAnsi="Arial"/>
                <w:sz w:val="8"/>
                <w:szCs w:val="8"/>
                <w:color w:val="auto"/>
              </w:rPr>
              <w:t>Stock repurchase plan</w:t>
            </w:r>
          </w:p>
        </w:tc>
        <w:tc>
          <w:tcPr>
            <w:tcW w:w="540" w:type="dxa"/>
            <w:vAlign w:val="bottom"/>
            <w:tcBorders>
              <w:right w:val="single" w:sz="8" w:color="auto"/>
            </w:tcBorders>
          </w:tcPr>
          <w:p>
            <w:pPr>
              <w:jc w:val="right"/>
              <w:ind w:right="38"/>
              <w:spacing w:after="0"/>
              <w:rPr>
                <w:sz w:val="20"/>
                <w:szCs w:val="20"/>
                <w:color w:val="auto"/>
              </w:rPr>
            </w:pPr>
            <w:r>
              <w:rPr>
                <w:rFonts w:ascii="Arial" w:cs="Arial" w:eastAsia="Arial" w:hAnsi="Arial"/>
                <w:sz w:val="8"/>
                <w:szCs w:val="8"/>
                <w:color w:val="auto"/>
              </w:rPr>
              <w:t>(240)</w:t>
            </w:r>
          </w:p>
        </w:tc>
        <w:tc>
          <w:tcPr>
            <w:tcW w:w="180" w:type="dxa"/>
            <w:vAlign w:val="bottom"/>
          </w:tcPr>
          <w:p>
            <w:pPr>
              <w:spacing w:after="0"/>
              <w:rPr>
                <w:sz w:val="14"/>
                <w:szCs w:val="14"/>
                <w:color w:val="auto"/>
              </w:rPr>
            </w:pPr>
          </w:p>
        </w:tc>
        <w:tc>
          <w:tcPr>
            <w:tcW w:w="500" w:type="dxa"/>
            <w:vAlign w:val="bottom"/>
            <w:tcBorders>
              <w:right w:val="single" w:sz="8" w:color="auto"/>
            </w:tcBorders>
          </w:tcPr>
          <w:p>
            <w:pPr>
              <w:jc w:val="right"/>
              <w:spacing w:after="0"/>
              <w:rPr>
                <w:sz w:val="20"/>
                <w:szCs w:val="20"/>
                <w:color w:val="auto"/>
              </w:rPr>
            </w:pPr>
            <w:r>
              <w:rPr>
                <w:rFonts w:ascii="Arial" w:cs="Arial" w:eastAsia="Arial" w:hAnsi="Arial"/>
                <w:sz w:val="8"/>
                <w:szCs w:val="8"/>
                <w:color w:val="auto"/>
              </w:rPr>
              <w:t>--</w:t>
            </w:r>
          </w:p>
        </w:tc>
        <w:tc>
          <w:tcPr>
            <w:tcW w:w="40" w:type="dxa"/>
            <w:vAlign w:val="bottom"/>
          </w:tcPr>
          <w:p>
            <w:pPr>
              <w:spacing w:after="0"/>
              <w:rPr>
                <w:sz w:val="14"/>
                <w:szCs w:val="14"/>
                <w:color w:val="auto"/>
              </w:rPr>
            </w:pPr>
          </w:p>
        </w:tc>
        <w:tc>
          <w:tcPr>
            <w:tcW w:w="64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8"/>
                <w:szCs w:val="8"/>
                <w:color w:val="auto"/>
              </w:rPr>
              <w:t>--</w:t>
            </w:r>
          </w:p>
        </w:tc>
        <w:tc>
          <w:tcPr>
            <w:tcW w:w="140" w:type="dxa"/>
            <w:vAlign w:val="bottom"/>
          </w:tcPr>
          <w:p>
            <w:pPr>
              <w:spacing w:after="0"/>
              <w:rPr>
                <w:sz w:val="14"/>
                <w:szCs w:val="14"/>
                <w:color w:val="auto"/>
              </w:rPr>
            </w:pPr>
          </w:p>
        </w:tc>
        <w:tc>
          <w:tcPr>
            <w:tcW w:w="480" w:type="dxa"/>
            <w:vAlign w:val="bottom"/>
            <w:tcBorders>
              <w:right w:val="single" w:sz="8" w:color="auto"/>
            </w:tcBorders>
          </w:tcPr>
          <w:p>
            <w:pPr>
              <w:jc w:val="right"/>
              <w:spacing w:after="0"/>
              <w:rPr>
                <w:sz w:val="20"/>
                <w:szCs w:val="20"/>
                <w:color w:val="auto"/>
              </w:rPr>
            </w:pPr>
            <w:r>
              <w:rPr>
                <w:rFonts w:ascii="Arial" w:cs="Arial" w:eastAsia="Arial" w:hAnsi="Arial"/>
                <w:sz w:val="8"/>
                <w:szCs w:val="8"/>
                <w:color w:val="auto"/>
              </w:rPr>
              <w:t>--</w:t>
            </w:r>
          </w:p>
        </w:tc>
        <w:tc>
          <w:tcPr>
            <w:tcW w:w="140" w:type="dxa"/>
            <w:vAlign w:val="bottom"/>
          </w:tcPr>
          <w:p>
            <w:pPr>
              <w:spacing w:after="0"/>
              <w:rPr>
                <w:sz w:val="14"/>
                <w:szCs w:val="14"/>
                <w:color w:val="auto"/>
              </w:rPr>
            </w:pPr>
          </w:p>
        </w:tc>
        <w:tc>
          <w:tcPr>
            <w:tcW w:w="620" w:type="dxa"/>
            <w:vAlign w:val="bottom"/>
          </w:tcPr>
          <w:p>
            <w:pPr>
              <w:jc w:val="right"/>
              <w:ind w:right="18"/>
              <w:spacing w:after="0"/>
              <w:rPr>
                <w:sz w:val="20"/>
                <w:szCs w:val="20"/>
                <w:color w:val="auto"/>
              </w:rPr>
            </w:pPr>
            <w:r>
              <w:rPr>
                <w:rFonts w:ascii="Arial" w:cs="Arial" w:eastAsia="Arial" w:hAnsi="Arial"/>
                <w:sz w:val="8"/>
                <w:szCs w:val="8"/>
                <w:color w:val="auto"/>
              </w:rPr>
              <w:t>--</w:t>
            </w: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8"/>
                <w:szCs w:val="8"/>
                <w:color w:val="auto"/>
              </w:rPr>
              <w:t>--</w:t>
            </w:r>
          </w:p>
        </w:tc>
        <w:tc>
          <w:tcPr>
            <w:tcW w:w="120" w:type="dxa"/>
            <w:vAlign w:val="bottom"/>
          </w:tcPr>
          <w:p>
            <w:pPr>
              <w:spacing w:after="0"/>
              <w:rPr>
                <w:sz w:val="14"/>
                <w:szCs w:val="14"/>
                <w:color w:val="auto"/>
              </w:rPr>
            </w:pPr>
          </w:p>
        </w:tc>
        <w:tc>
          <w:tcPr>
            <w:tcW w:w="620" w:type="dxa"/>
            <w:vAlign w:val="bottom"/>
          </w:tcPr>
          <w:p>
            <w:pPr>
              <w:jc w:val="right"/>
              <w:ind w:right="18"/>
              <w:spacing w:after="0"/>
              <w:rPr>
                <w:sz w:val="20"/>
                <w:szCs w:val="20"/>
                <w:color w:val="auto"/>
              </w:rPr>
            </w:pPr>
            <w:r>
              <w:rPr>
                <w:rFonts w:ascii="Arial" w:cs="Arial" w:eastAsia="Arial" w:hAnsi="Arial"/>
                <w:sz w:val="8"/>
                <w:szCs w:val="8"/>
                <w:color w:val="auto"/>
              </w:rPr>
              <w:t>(3,110)</w:t>
            </w:r>
          </w:p>
        </w:tc>
        <w:tc>
          <w:tcPr>
            <w:tcW w:w="80" w:type="dxa"/>
            <w:vAlign w:val="bottom"/>
          </w:tcPr>
          <w:p>
            <w:pPr>
              <w:spacing w:after="0"/>
              <w:rPr>
                <w:sz w:val="14"/>
                <w:szCs w:val="14"/>
                <w:color w:val="auto"/>
              </w:rPr>
            </w:pPr>
          </w:p>
        </w:tc>
        <w:tc>
          <w:tcPr>
            <w:tcW w:w="720" w:type="dxa"/>
            <w:vAlign w:val="bottom"/>
          </w:tcPr>
          <w:p>
            <w:pPr>
              <w:jc w:val="right"/>
              <w:ind w:right="18"/>
              <w:spacing w:after="0"/>
              <w:rPr>
                <w:sz w:val="20"/>
                <w:szCs w:val="20"/>
                <w:color w:val="auto"/>
              </w:rPr>
            </w:pPr>
            <w:r>
              <w:rPr>
                <w:rFonts w:ascii="Arial" w:cs="Arial" w:eastAsia="Arial" w:hAnsi="Arial"/>
                <w:sz w:val="8"/>
                <w:szCs w:val="8"/>
                <w:color w:val="auto"/>
              </w:rPr>
              <w:t>--</w:t>
            </w:r>
          </w:p>
        </w:tc>
        <w:tc>
          <w:tcPr>
            <w:tcW w:w="120" w:type="dxa"/>
            <w:vAlign w:val="bottom"/>
          </w:tcPr>
          <w:p>
            <w:pPr>
              <w:spacing w:after="0"/>
              <w:rPr>
                <w:sz w:val="14"/>
                <w:szCs w:val="14"/>
                <w:color w:val="auto"/>
              </w:rPr>
            </w:pPr>
          </w:p>
        </w:tc>
        <w:tc>
          <w:tcPr>
            <w:tcW w:w="780" w:type="dxa"/>
            <w:vAlign w:val="bottom"/>
          </w:tcPr>
          <w:p>
            <w:pPr>
              <w:jc w:val="right"/>
              <w:ind w:right="18"/>
              <w:spacing w:after="0"/>
              <w:rPr>
                <w:sz w:val="20"/>
                <w:szCs w:val="20"/>
                <w:color w:val="auto"/>
              </w:rPr>
            </w:pPr>
            <w:r>
              <w:rPr>
                <w:rFonts w:ascii="Arial" w:cs="Arial" w:eastAsia="Arial" w:hAnsi="Arial"/>
                <w:sz w:val="8"/>
                <w:szCs w:val="8"/>
                <w:color w:val="auto"/>
              </w:rPr>
              <w:t>(3,110)</w:t>
            </w:r>
          </w:p>
        </w:tc>
        <w:tc>
          <w:tcPr>
            <w:tcW w:w="140" w:type="dxa"/>
            <w:vAlign w:val="bottom"/>
          </w:tcPr>
          <w:p>
            <w:pPr>
              <w:spacing w:after="0"/>
              <w:rPr>
                <w:sz w:val="14"/>
                <w:szCs w:val="14"/>
                <w:color w:val="auto"/>
              </w:rPr>
            </w:pPr>
          </w:p>
        </w:tc>
        <w:tc>
          <w:tcPr>
            <w:tcW w:w="660" w:type="dxa"/>
            <w:vAlign w:val="bottom"/>
          </w:tcPr>
          <w:p>
            <w:pPr>
              <w:jc w:val="right"/>
              <w:ind w:right="18"/>
              <w:spacing w:after="0"/>
              <w:rPr>
                <w:sz w:val="20"/>
                <w:szCs w:val="20"/>
                <w:color w:val="auto"/>
              </w:rPr>
            </w:pPr>
            <w:r>
              <w:rPr>
                <w:rFonts w:ascii="Arial" w:cs="Arial" w:eastAsia="Arial" w:hAnsi="Arial"/>
                <w:sz w:val="8"/>
                <w:szCs w:val="8"/>
                <w:color w:val="auto"/>
              </w:rPr>
              <w:t>--</w:t>
            </w: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8"/>
                <w:szCs w:val="8"/>
                <w:color w:val="auto"/>
              </w:rPr>
              <w:t>(3,110)</w:t>
            </w:r>
          </w:p>
        </w:tc>
        <w:tc>
          <w:tcPr>
            <w:tcW w:w="0" w:type="dxa"/>
            <w:vAlign w:val="bottom"/>
          </w:tcPr>
          <w:p>
            <w:pPr>
              <w:spacing w:after="0"/>
              <w:rPr>
                <w:sz w:val="1"/>
                <w:szCs w:val="1"/>
                <w:color w:val="auto"/>
              </w:rPr>
            </w:pPr>
          </w:p>
        </w:tc>
      </w:tr>
      <w:tr>
        <w:trPr>
          <w:trHeight w:val="195"/>
        </w:trPr>
        <w:tc>
          <w:tcPr>
            <w:tcW w:w="254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8"/>
                <w:szCs w:val="8"/>
                <w:color w:val="auto"/>
                <w:w w:val="99"/>
              </w:rPr>
              <w:t>Class A common stock issued for stock bonuses and options exercised</w:t>
            </w:r>
          </w:p>
        </w:tc>
        <w:tc>
          <w:tcPr>
            <w:tcW w:w="540" w:type="dxa"/>
            <w:vAlign w:val="bottom"/>
            <w:tcBorders>
              <w:right w:val="single" w:sz="8" w:color="auto"/>
            </w:tcBorders>
            <w:vMerge w:val="restart"/>
            <w:shd w:val="clear" w:color="auto" w:fill="CCEEFF"/>
          </w:tcPr>
          <w:p>
            <w:pPr>
              <w:jc w:val="right"/>
              <w:ind w:right="58"/>
              <w:spacing w:after="0"/>
              <w:rPr>
                <w:sz w:val="20"/>
                <w:szCs w:val="20"/>
                <w:color w:val="auto"/>
              </w:rPr>
            </w:pPr>
            <w:r>
              <w:rPr>
                <w:rFonts w:ascii="Arial" w:cs="Arial" w:eastAsia="Arial" w:hAnsi="Arial"/>
                <w:sz w:val="8"/>
                <w:szCs w:val="8"/>
                <w:color w:val="auto"/>
              </w:rPr>
              <w:t>235</w:t>
            </w:r>
          </w:p>
        </w:tc>
        <w:tc>
          <w:tcPr>
            <w:tcW w:w="180" w:type="dxa"/>
            <w:vAlign w:val="bottom"/>
            <w:shd w:val="clear" w:color="auto" w:fill="CCEEFF"/>
          </w:tcPr>
          <w:p>
            <w:pPr>
              <w:spacing w:after="0"/>
              <w:rPr>
                <w:sz w:val="16"/>
                <w:szCs w:val="16"/>
                <w:color w:val="auto"/>
              </w:rPr>
            </w:pPr>
          </w:p>
        </w:tc>
        <w:tc>
          <w:tcPr>
            <w:tcW w:w="50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8"/>
                <w:szCs w:val="8"/>
                <w:color w:val="auto"/>
              </w:rPr>
              <w:t>2</w:t>
            </w:r>
          </w:p>
        </w:tc>
        <w:tc>
          <w:tcPr>
            <w:tcW w:w="40" w:type="dxa"/>
            <w:vAlign w:val="bottom"/>
            <w:shd w:val="clear" w:color="auto" w:fill="CCEEFF"/>
          </w:tcPr>
          <w:p>
            <w:pPr>
              <w:spacing w:after="0"/>
              <w:rPr>
                <w:sz w:val="16"/>
                <w:szCs w:val="16"/>
                <w:color w:val="auto"/>
              </w:rPr>
            </w:pPr>
          </w:p>
        </w:tc>
        <w:tc>
          <w:tcPr>
            <w:tcW w:w="640" w:type="dxa"/>
            <w:vAlign w:val="bottom"/>
            <w:tcBorders>
              <w:right w:val="single" w:sz="8" w:color="auto"/>
            </w:tcBorders>
            <w:gridSpan w:val="2"/>
            <w:vMerge w:val="restart"/>
            <w:shd w:val="clear" w:color="auto" w:fill="CCEEFF"/>
          </w:tcPr>
          <w:p>
            <w:pPr>
              <w:jc w:val="right"/>
              <w:ind w:right="100"/>
              <w:spacing w:after="0"/>
              <w:rPr>
                <w:sz w:val="20"/>
                <w:szCs w:val="20"/>
                <w:color w:val="auto"/>
              </w:rPr>
            </w:pPr>
            <w:r>
              <w:rPr>
                <w:rFonts w:ascii="Arial" w:cs="Arial" w:eastAsia="Arial" w:hAnsi="Arial"/>
                <w:sz w:val="8"/>
                <w:szCs w:val="8"/>
                <w:color w:val="auto"/>
              </w:rPr>
              <w:t>-</w:t>
            </w:r>
          </w:p>
        </w:tc>
        <w:tc>
          <w:tcPr>
            <w:tcW w:w="140" w:type="dxa"/>
            <w:vAlign w:val="bottom"/>
            <w:shd w:val="clear" w:color="auto" w:fill="CCEEFF"/>
          </w:tcPr>
          <w:p>
            <w:pPr>
              <w:spacing w:after="0"/>
              <w:rPr>
                <w:sz w:val="16"/>
                <w:szCs w:val="16"/>
                <w:color w:val="auto"/>
              </w:rPr>
            </w:pPr>
          </w:p>
        </w:tc>
        <w:tc>
          <w:tcPr>
            <w:tcW w:w="48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8"/>
                <w:szCs w:val="8"/>
                <w:color w:val="auto"/>
              </w:rPr>
              <w:t>--</w:t>
            </w:r>
          </w:p>
        </w:tc>
        <w:tc>
          <w:tcPr>
            <w:tcW w:w="140" w:type="dxa"/>
            <w:vAlign w:val="bottom"/>
            <w:shd w:val="clear" w:color="auto" w:fill="CCEEFF"/>
          </w:tcPr>
          <w:p>
            <w:pPr>
              <w:spacing w:after="0"/>
              <w:rPr>
                <w:sz w:val="16"/>
                <w:szCs w:val="16"/>
                <w:color w:val="auto"/>
              </w:rPr>
            </w:pPr>
          </w:p>
        </w:tc>
        <w:tc>
          <w:tcPr>
            <w:tcW w:w="620" w:type="dxa"/>
            <w:vAlign w:val="bottom"/>
            <w:vMerge w:val="restart"/>
            <w:shd w:val="clear" w:color="auto" w:fill="CCEEFF"/>
          </w:tcPr>
          <w:p>
            <w:pPr>
              <w:jc w:val="right"/>
              <w:ind w:right="38"/>
              <w:spacing w:after="0"/>
              <w:rPr>
                <w:sz w:val="20"/>
                <w:szCs w:val="20"/>
                <w:color w:val="auto"/>
              </w:rPr>
            </w:pPr>
            <w:r>
              <w:rPr>
                <w:rFonts w:ascii="Arial" w:cs="Arial" w:eastAsia="Arial" w:hAnsi="Arial"/>
                <w:sz w:val="8"/>
                <w:szCs w:val="8"/>
                <w:color w:val="auto"/>
              </w:rPr>
              <w:t>490</w:t>
            </w:r>
          </w:p>
        </w:tc>
        <w:tc>
          <w:tcPr>
            <w:tcW w:w="100" w:type="dxa"/>
            <w:vAlign w:val="bottom"/>
            <w:shd w:val="clear" w:color="auto" w:fill="CCEEFF"/>
          </w:tcPr>
          <w:p>
            <w:pPr>
              <w:spacing w:after="0"/>
              <w:rPr>
                <w:sz w:val="16"/>
                <w:szCs w:val="16"/>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8"/>
                <w:szCs w:val="8"/>
                <w:color w:val="auto"/>
              </w:rPr>
              <w:t>--</w:t>
            </w:r>
          </w:p>
        </w:tc>
        <w:tc>
          <w:tcPr>
            <w:tcW w:w="120" w:type="dxa"/>
            <w:vAlign w:val="bottom"/>
            <w:shd w:val="clear" w:color="auto" w:fill="CCEEFF"/>
          </w:tcPr>
          <w:p>
            <w:pPr>
              <w:spacing w:after="0"/>
              <w:rPr>
                <w:sz w:val="16"/>
                <w:szCs w:val="16"/>
                <w:color w:val="auto"/>
              </w:rPr>
            </w:pPr>
          </w:p>
        </w:tc>
        <w:tc>
          <w:tcPr>
            <w:tcW w:w="620" w:type="dxa"/>
            <w:vAlign w:val="bottom"/>
            <w:vMerge w:val="restart"/>
            <w:shd w:val="clear" w:color="auto" w:fill="CCEEFF"/>
          </w:tcPr>
          <w:p>
            <w:pPr>
              <w:jc w:val="right"/>
              <w:ind w:right="18"/>
              <w:spacing w:after="0"/>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16"/>
                <w:szCs w:val="16"/>
                <w:color w:val="auto"/>
              </w:rPr>
            </w:pPr>
          </w:p>
        </w:tc>
        <w:tc>
          <w:tcPr>
            <w:tcW w:w="720" w:type="dxa"/>
            <w:vAlign w:val="bottom"/>
            <w:vMerge w:val="restart"/>
            <w:shd w:val="clear" w:color="auto" w:fill="CCEEFF"/>
          </w:tcPr>
          <w:p>
            <w:pPr>
              <w:jc w:val="right"/>
              <w:ind w:right="18"/>
              <w:spacing w:after="0"/>
              <w:rPr>
                <w:sz w:val="20"/>
                <w:szCs w:val="20"/>
                <w:color w:val="auto"/>
              </w:rPr>
            </w:pPr>
            <w:r>
              <w:rPr>
                <w:rFonts w:ascii="Arial" w:cs="Arial" w:eastAsia="Arial" w:hAnsi="Arial"/>
                <w:sz w:val="8"/>
                <w:szCs w:val="8"/>
                <w:color w:val="auto"/>
              </w:rPr>
              <w:t>--</w:t>
            </w:r>
          </w:p>
        </w:tc>
        <w:tc>
          <w:tcPr>
            <w:tcW w:w="120" w:type="dxa"/>
            <w:vAlign w:val="bottom"/>
            <w:shd w:val="clear" w:color="auto" w:fill="CCEEFF"/>
          </w:tcPr>
          <w:p>
            <w:pPr>
              <w:spacing w:after="0"/>
              <w:rPr>
                <w:sz w:val="16"/>
                <w:szCs w:val="16"/>
                <w:color w:val="auto"/>
              </w:rPr>
            </w:pPr>
          </w:p>
        </w:tc>
        <w:tc>
          <w:tcPr>
            <w:tcW w:w="780" w:type="dxa"/>
            <w:vAlign w:val="bottom"/>
            <w:vMerge w:val="restart"/>
            <w:shd w:val="clear" w:color="auto" w:fill="CCEEFF"/>
          </w:tcPr>
          <w:p>
            <w:pPr>
              <w:jc w:val="right"/>
              <w:ind w:right="38"/>
              <w:spacing w:after="0"/>
              <w:rPr>
                <w:sz w:val="20"/>
                <w:szCs w:val="20"/>
                <w:color w:val="auto"/>
              </w:rPr>
            </w:pPr>
            <w:r>
              <w:rPr>
                <w:rFonts w:ascii="Arial" w:cs="Arial" w:eastAsia="Arial" w:hAnsi="Arial"/>
                <w:sz w:val="8"/>
                <w:szCs w:val="8"/>
                <w:color w:val="auto"/>
              </w:rPr>
              <w:t>492</w:t>
            </w:r>
          </w:p>
        </w:tc>
        <w:tc>
          <w:tcPr>
            <w:tcW w:w="140" w:type="dxa"/>
            <w:vAlign w:val="bottom"/>
            <w:shd w:val="clear" w:color="auto" w:fill="CCEEFF"/>
          </w:tcPr>
          <w:p>
            <w:pPr>
              <w:spacing w:after="0"/>
              <w:rPr>
                <w:sz w:val="16"/>
                <w:szCs w:val="16"/>
                <w:color w:val="auto"/>
              </w:rPr>
            </w:pPr>
          </w:p>
        </w:tc>
        <w:tc>
          <w:tcPr>
            <w:tcW w:w="660" w:type="dxa"/>
            <w:vAlign w:val="bottom"/>
            <w:vMerge w:val="restart"/>
            <w:shd w:val="clear" w:color="auto" w:fill="CCEEFF"/>
          </w:tcPr>
          <w:p>
            <w:pPr>
              <w:jc w:val="right"/>
              <w:ind w:right="18"/>
              <w:spacing w:after="0"/>
              <w:rPr>
                <w:sz w:val="20"/>
                <w:szCs w:val="20"/>
                <w:color w:val="auto"/>
              </w:rPr>
            </w:pPr>
            <w:r>
              <w:rPr>
                <w:rFonts w:ascii="Arial" w:cs="Arial" w:eastAsia="Arial" w:hAnsi="Arial"/>
                <w:sz w:val="8"/>
                <w:szCs w:val="8"/>
                <w:color w:val="auto"/>
              </w:rPr>
              <w:t>--</w:t>
            </w:r>
          </w:p>
        </w:tc>
        <w:tc>
          <w:tcPr>
            <w:tcW w:w="100" w:type="dxa"/>
            <w:vAlign w:val="bottom"/>
            <w:shd w:val="clear" w:color="auto" w:fill="CCEEFF"/>
          </w:tcPr>
          <w:p>
            <w:pPr>
              <w:spacing w:after="0"/>
              <w:rPr>
                <w:sz w:val="16"/>
                <w:szCs w:val="16"/>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8"/>
                <w:szCs w:val="8"/>
                <w:color w:val="auto"/>
              </w:rPr>
              <w:t>492</w:t>
            </w:r>
          </w:p>
        </w:tc>
        <w:tc>
          <w:tcPr>
            <w:tcW w:w="0" w:type="dxa"/>
            <w:vAlign w:val="bottom"/>
          </w:tcPr>
          <w:p>
            <w:pPr>
              <w:spacing w:after="0"/>
              <w:rPr>
                <w:sz w:val="1"/>
                <w:szCs w:val="1"/>
                <w:color w:val="auto"/>
              </w:rPr>
            </w:pPr>
          </w:p>
        </w:tc>
      </w:tr>
      <w:tr>
        <w:trPr>
          <w:trHeight w:val="93"/>
        </w:trPr>
        <w:tc>
          <w:tcPr>
            <w:tcW w:w="2540" w:type="dxa"/>
            <w:vAlign w:val="bottom"/>
            <w:tcBorders>
              <w:right w:val="single" w:sz="8" w:color="auto"/>
            </w:tcBorders>
            <w:shd w:val="clear" w:color="auto" w:fill="CCEEFF"/>
          </w:tcPr>
          <w:p>
            <w:pPr>
              <w:spacing w:after="0"/>
              <w:rPr>
                <w:sz w:val="8"/>
                <w:szCs w:val="8"/>
                <w:color w:val="auto"/>
              </w:rPr>
            </w:pPr>
          </w:p>
        </w:tc>
        <w:tc>
          <w:tcPr>
            <w:tcW w:w="540" w:type="dxa"/>
            <w:vAlign w:val="bottom"/>
            <w:tcBorders>
              <w:right w:val="single" w:sz="8" w:color="auto"/>
            </w:tcBorders>
            <w:vMerge w:val="continue"/>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500" w:type="dxa"/>
            <w:vAlign w:val="bottom"/>
            <w:tcBorders>
              <w:right w:val="single" w:sz="8" w:color="auto"/>
            </w:tcBorders>
            <w:vMerge w:val="continue"/>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640" w:type="dxa"/>
            <w:vAlign w:val="bottom"/>
            <w:tcBorders>
              <w:right w:val="single" w:sz="8" w:color="auto"/>
            </w:tcBorders>
            <w:gridSpan w:val="2"/>
            <w:vMerge w:val="continue"/>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80" w:type="dxa"/>
            <w:vAlign w:val="bottom"/>
            <w:tcBorders>
              <w:right w:val="single" w:sz="8" w:color="auto"/>
            </w:tcBorders>
            <w:vMerge w:val="continue"/>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2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0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20" w:type="dxa"/>
            <w:vAlign w:val="bottom"/>
            <w:vMerge w:val="continue"/>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2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80" w:type="dxa"/>
            <w:vAlign w:val="bottom"/>
            <w:vMerge w:val="continue"/>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6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6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07"/>
        </w:trPr>
        <w:tc>
          <w:tcPr>
            <w:tcW w:w="2540" w:type="dxa"/>
            <w:vAlign w:val="bottom"/>
            <w:tcBorders>
              <w:right w:val="single" w:sz="8" w:color="auto"/>
            </w:tcBorders>
          </w:tcPr>
          <w:p>
            <w:pPr>
              <w:spacing w:after="0"/>
              <w:rPr>
                <w:sz w:val="20"/>
                <w:szCs w:val="20"/>
                <w:color w:val="auto"/>
              </w:rPr>
            </w:pPr>
            <w:r>
              <w:rPr>
                <w:rFonts w:ascii="Arial" w:cs="Arial" w:eastAsia="Arial" w:hAnsi="Arial"/>
                <w:sz w:val="8"/>
                <w:szCs w:val="8"/>
                <w:color w:val="auto"/>
              </w:rPr>
              <w:t>In-kind exchange of stock for the exercise of options, net issued</w:t>
            </w:r>
          </w:p>
        </w:tc>
        <w:tc>
          <w:tcPr>
            <w:tcW w:w="540" w:type="dxa"/>
            <w:vAlign w:val="bottom"/>
            <w:tcBorders>
              <w:right w:val="single" w:sz="8" w:color="auto"/>
            </w:tcBorders>
          </w:tcPr>
          <w:p>
            <w:pPr>
              <w:jc w:val="right"/>
              <w:ind w:right="38"/>
              <w:spacing w:after="0"/>
              <w:rPr>
                <w:sz w:val="20"/>
                <w:szCs w:val="20"/>
                <w:color w:val="auto"/>
              </w:rPr>
            </w:pPr>
            <w:r>
              <w:rPr>
                <w:rFonts w:ascii="Arial" w:cs="Arial" w:eastAsia="Arial" w:hAnsi="Arial"/>
                <w:sz w:val="8"/>
                <w:szCs w:val="8"/>
                <w:color w:val="auto"/>
              </w:rPr>
              <w:t>(89)</w:t>
            </w:r>
          </w:p>
        </w:tc>
        <w:tc>
          <w:tcPr>
            <w:tcW w:w="180" w:type="dxa"/>
            <w:vAlign w:val="bottom"/>
          </w:tcPr>
          <w:p>
            <w:pPr>
              <w:spacing w:after="0"/>
              <w:rPr>
                <w:sz w:val="18"/>
                <w:szCs w:val="18"/>
                <w:color w:val="auto"/>
              </w:rPr>
            </w:pPr>
          </w:p>
        </w:tc>
        <w:tc>
          <w:tcPr>
            <w:tcW w:w="500" w:type="dxa"/>
            <w:vAlign w:val="bottom"/>
            <w:tcBorders>
              <w:right w:val="single" w:sz="8" w:color="auto"/>
            </w:tcBorders>
          </w:tcPr>
          <w:p>
            <w:pPr>
              <w:jc w:val="right"/>
              <w:spacing w:after="0"/>
              <w:rPr>
                <w:sz w:val="20"/>
                <w:szCs w:val="20"/>
                <w:color w:val="auto"/>
              </w:rPr>
            </w:pPr>
            <w:r>
              <w:rPr>
                <w:rFonts w:ascii="Arial" w:cs="Arial" w:eastAsia="Arial" w:hAnsi="Arial"/>
                <w:sz w:val="8"/>
                <w:szCs w:val="8"/>
                <w:color w:val="auto"/>
              </w:rPr>
              <w:t>(1)</w:t>
            </w:r>
          </w:p>
        </w:tc>
        <w:tc>
          <w:tcPr>
            <w:tcW w:w="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8"/>
                <w:szCs w:val="8"/>
                <w:color w:val="auto"/>
              </w:rPr>
              <w:t>185</w:t>
            </w:r>
          </w:p>
        </w:tc>
        <w:tc>
          <w:tcPr>
            <w:tcW w:w="10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Borders>
              <w:right w:val="single" w:sz="8" w:color="auto"/>
            </w:tcBorders>
          </w:tcPr>
          <w:p>
            <w:pPr>
              <w:jc w:val="right"/>
              <w:spacing w:after="0"/>
              <w:rPr>
                <w:sz w:val="20"/>
                <w:szCs w:val="20"/>
                <w:color w:val="auto"/>
              </w:rPr>
            </w:pPr>
            <w:r>
              <w:rPr>
                <w:rFonts w:ascii="Arial" w:cs="Arial" w:eastAsia="Arial" w:hAnsi="Arial"/>
                <w:sz w:val="8"/>
                <w:szCs w:val="8"/>
                <w:color w:val="auto"/>
              </w:rPr>
              <w:t>2</w:t>
            </w:r>
          </w:p>
        </w:tc>
        <w:tc>
          <w:tcPr>
            <w:tcW w:w="140" w:type="dxa"/>
            <w:vAlign w:val="bottom"/>
          </w:tcPr>
          <w:p>
            <w:pPr>
              <w:spacing w:after="0"/>
              <w:rPr>
                <w:sz w:val="18"/>
                <w:szCs w:val="18"/>
                <w:color w:val="auto"/>
              </w:rPr>
            </w:pPr>
          </w:p>
        </w:tc>
        <w:tc>
          <w:tcPr>
            <w:tcW w:w="620" w:type="dxa"/>
            <w:vAlign w:val="bottom"/>
          </w:tcPr>
          <w:p>
            <w:pPr>
              <w:jc w:val="right"/>
              <w:ind w:right="38"/>
              <w:spacing w:after="0"/>
              <w:rPr>
                <w:sz w:val="20"/>
                <w:szCs w:val="20"/>
                <w:color w:val="auto"/>
              </w:rPr>
            </w:pPr>
            <w:r>
              <w:rPr>
                <w:rFonts w:ascii="Arial" w:cs="Arial" w:eastAsia="Arial" w:hAnsi="Arial"/>
                <w:sz w:val="8"/>
                <w:szCs w:val="8"/>
                <w:color w:val="auto"/>
              </w:rPr>
              <w:t>1,630</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8"/>
                <w:szCs w:val="8"/>
                <w:color w:val="auto"/>
              </w:rPr>
              <w:t>--</w:t>
            </w:r>
          </w:p>
        </w:tc>
        <w:tc>
          <w:tcPr>
            <w:tcW w:w="120" w:type="dxa"/>
            <w:vAlign w:val="bottom"/>
          </w:tcPr>
          <w:p>
            <w:pPr>
              <w:spacing w:after="0"/>
              <w:rPr>
                <w:sz w:val="18"/>
                <w:szCs w:val="18"/>
                <w:color w:val="auto"/>
              </w:rPr>
            </w:pPr>
          </w:p>
        </w:tc>
        <w:tc>
          <w:tcPr>
            <w:tcW w:w="620" w:type="dxa"/>
            <w:vAlign w:val="bottom"/>
          </w:tcPr>
          <w:p>
            <w:pPr>
              <w:jc w:val="right"/>
              <w:ind w:right="18"/>
              <w:spacing w:after="0"/>
              <w:rPr>
                <w:sz w:val="20"/>
                <w:szCs w:val="20"/>
                <w:color w:val="auto"/>
              </w:rPr>
            </w:pPr>
            <w:r>
              <w:rPr>
                <w:rFonts w:ascii="Arial" w:cs="Arial" w:eastAsia="Arial" w:hAnsi="Arial"/>
                <w:sz w:val="8"/>
                <w:szCs w:val="8"/>
                <w:color w:val="auto"/>
              </w:rPr>
              <w:t>(1,832)</w:t>
            </w:r>
          </w:p>
        </w:tc>
        <w:tc>
          <w:tcPr>
            <w:tcW w:w="80" w:type="dxa"/>
            <w:vAlign w:val="bottom"/>
          </w:tcPr>
          <w:p>
            <w:pPr>
              <w:spacing w:after="0"/>
              <w:rPr>
                <w:sz w:val="18"/>
                <w:szCs w:val="18"/>
                <w:color w:val="auto"/>
              </w:rPr>
            </w:pPr>
          </w:p>
        </w:tc>
        <w:tc>
          <w:tcPr>
            <w:tcW w:w="720" w:type="dxa"/>
            <w:vAlign w:val="bottom"/>
          </w:tcPr>
          <w:p>
            <w:pPr>
              <w:jc w:val="right"/>
              <w:ind w:right="18"/>
              <w:spacing w:after="0"/>
              <w:rPr>
                <w:sz w:val="20"/>
                <w:szCs w:val="20"/>
                <w:color w:val="auto"/>
              </w:rPr>
            </w:pPr>
            <w:r>
              <w:rPr>
                <w:rFonts w:ascii="Arial" w:cs="Arial" w:eastAsia="Arial" w:hAnsi="Arial"/>
                <w:sz w:val="8"/>
                <w:szCs w:val="8"/>
                <w:color w:val="auto"/>
              </w:rPr>
              <w:t>--</w:t>
            </w:r>
          </w:p>
        </w:tc>
        <w:tc>
          <w:tcPr>
            <w:tcW w:w="120" w:type="dxa"/>
            <w:vAlign w:val="bottom"/>
          </w:tcPr>
          <w:p>
            <w:pPr>
              <w:spacing w:after="0"/>
              <w:rPr>
                <w:sz w:val="18"/>
                <w:szCs w:val="18"/>
                <w:color w:val="auto"/>
              </w:rPr>
            </w:pPr>
          </w:p>
        </w:tc>
        <w:tc>
          <w:tcPr>
            <w:tcW w:w="780" w:type="dxa"/>
            <w:vAlign w:val="bottom"/>
          </w:tcPr>
          <w:p>
            <w:pPr>
              <w:jc w:val="right"/>
              <w:ind w:right="18"/>
              <w:spacing w:after="0"/>
              <w:rPr>
                <w:sz w:val="20"/>
                <w:szCs w:val="20"/>
                <w:color w:val="auto"/>
              </w:rPr>
            </w:pPr>
            <w:r>
              <w:rPr>
                <w:rFonts w:ascii="Arial" w:cs="Arial" w:eastAsia="Arial" w:hAnsi="Arial"/>
                <w:sz w:val="8"/>
                <w:szCs w:val="8"/>
                <w:color w:val="auto"/>
              </w:rPr>
              <w:t>(201)</w:t>
            </w:r>
          </w:p>
        </w:tc>
        <w:tc>
          <w:tcPr>
            <w:tcW w:w="140" w:type="dxa"/>
            <w:vAlign w:val="bottom"/>
          </w:tcPr>
          <w:p>
            <w:pPr>
              <w:spacing w:after="0"/>
              <w:rPr>
                <w:sz w:val="18"/>
                <w:szCs w:val="18"/>
                <w:color w:val="auto"/>
              </w:rPr>
            </w:pPr>
          </w:p>
        </w:tc>
        <w:tc>
          <w:tcPr>
            <w:tcW w:w="660" w:type="dxa"/>
            <w:vAlign w:val="bottom"/>
          </w:tcPr>
          <w:p>
            <w:pPr>
              <w:jc w:val="right"/>
              <w:ind w:right="18"/>
              <w:spacing w:after="0"/>
              <w:rPr>
                <w:sz w:val="20"/>
                <w:szCs w:val="20"/>
                <w:color w:val="auto"/>
              </w:rPr>
            </w:pPr>
            <w:r>
              <w:rPr>
                <w:rFonts w:ascii="Arial" w:cs="Arial" w:eastAsia="Arial" w:hAnsi="Arial"/>
                <w:sz w:val="8"/>
                <w:szCs w:val="8"/>
                <w:color w:val="auto"/>
              </w:rPr>
              <w:t>--</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8"/>
                <w:szCs w:val="8"/>
                <w:color w:val="auto"/>
              </w:rPr>
              <w:t>(201)</w:t>
            </w:r>
          </w:p>
        </w:tc>
        <w:tc>
          <w:tcPr>
            <w:tcW w:w="0" w:type="dxa"/>
            <w:vAlign w:val="bottom"/>
          </w:tcPr>
          <w:p>
            <w:pPr>
              <w:spacing w:after="0"/>
              <w:rPr>
                <w:sz w:val="1"/>
                <w:szCs w:val="1"/>
                <w:color w:val="auto"/>
              </w:rPr>
            </w:pPr>
          </w:p>
        </w:tc>
      </w:tr>
      <w:tr>
        <w:trPr>
          <w:trHeight w:val="108"/>
        </w:trPr>
        <w:tc>
          <w:tcPr>
            <w:tcW w:w="254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8"/>
                <w:szCs w:val="8"/>
                <w:color w:val="auto"/>
              </w:rPr>
              <w:t>Contributions from noncontrolling shareholders</w:t>
            </w:r>
          </w:p>
        </w:tc>
        <w:tc>
          <w:tcPr>
            <w:tcW w:w="540" w:type="dxa"/>
            <w:vAlign w:val="bottom"/>
            <w:tcBorders>
              <w:right w:val="single" w:sz="8" w:color="auto"/>
            </w:tcBorders>
            <w:shd w:val="clear" w:color="auto" w:fill="CCEEFF"/>
          </w:tcPr>
          <w:p>
            <w:pPr>
              <w:jc w:val="right"/>
              <w:ind w:right="38"/>
              <w:spacing w:after="0"/>
              <w:rPr>
                <w:sz w:val="20"/>
                <w:szCs w:val="20"/>
                <w:color w:val="auto"/>
              </w:rPr>
            </w:pPr>
            <w:r>
              <w:rPr>
                <w:rFonts w:ascii="Arial" w:cs="Arial" w:eastAsia="Arial" w:hAnsi="Arial"/>
                <w:sz w:val="8"/>
                <w:szCs w:val="8"/>
                <w:color w:val="auto"/>
              </w:rPr>
              <w:t>--</w:t>
            </w:r>
          </w:p>
        </w:tc>
        <w:tc>
          <w:tcPr>
            <w:tcW w:w="180" w:type="dxa"/>
            <w:vAlign w:val="bottom"/>
            <w:shd w:val="clear" w:color="auto" w:fill="CCEEFF"/>
          </w:tcPr>
          <w:p>
            <w:pPr>
              <w:spacing w:after="0"/>
              <w:rPr>
                <w:sz w:val="9"/>
                <w:szCs w:val="9"/>
                <w:color w:val="auto"/>
              </w:rPr>
            </w:pPr>
          </w:p>
        </w:tc>
        <w:tc>
          <w:tcPr>
            <w:tcW w:w="5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w:t>
            </w:r>
          </w:p>
        </w:tc>
        <w:tc>
          <w:tcPr>
            <w:tcW w:w="40" w:type="dxa"/>
            <w:vAlign w:val="bottom"/>
            <w:shd w:val="clear" w:color="auto" w:fill="CCEEFF"/>
          </w:tcPr>
          <w:p>
            <w:pPr>
              <w:spacing w:after="0"/>
              <w:rPr>
                <w:sz w:val="9"/>
                <w:szCs w:val="9"/>
                <w:color w:val="auto"/>
              </w:rPr>
            </w:pPr>
          </w:p>
        </w:tc>
        <w:tc>
          <w:tcPr>
            <w:tcW w:w="64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8"/>
                <w:szCs w:val="8"/>
                <w:color w:val="auto"/>
              </w:rPr>
              <w:t>--</w:t>
            </w:r>
          </w:p>
        </w:tc>
        <w:tc>
          <w:tcPr>
            <w:tcW w:w="140" w:type="dxa"/>
            <w:vAlign w:val="bottom"/>
            <w:shd w:val="clear" w:color="auto" w:fill="CCEEFF"/>
          </w:tcPr>
          <w:p>
            <w:pPr>
              <w:spacing w:after="0"/>
              <w:rPr>
                <w:sz w:val="9"/>
                <w:szCs w:val="9"/>
                <w:color w:val="auto"/>
              </w:rPr>
            </w:pPr>
          </w:p>
        </w:tc>
        <w:tc>
          <w:tcPr>
            <w:tcW w:w="48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w:t>
            </w:r>
          </w:p>
        </w:tc>
        <w:tc>
          <w:tcPr>
            <w:tcW w:w="140" w:type="dxa"/>
            <w:vAlign w:val="bottom"/>
            <w:shd w:val="clear" w:color="auto" w:fill="CCEEFF"/>
          </w:tcPr>
          <w:p>
            <w:pPr>
              <w:spacing w:after="0"/>
              <w:rPr>
                <w:sz w:val="9"/>
                <w:szCs w:val="9"/>
                <w:color w:val="auto"/>
              </w:rPr>
            </w:pPr>
          </w:p>
        </w:tc>
        <w:tc>
          <w:tcPr>
            <w:tcW w:w="620" w:type="dxa"/>
            <w:vAlign w:val="bottom"/>
            <w:shd w:val="clear" w:color="auto" w:fill="CCEEFF"/>
          </w:tcPr>
          <w:p>
            <w:pPr>
              <w:jc w:val="right"/>
              <w:ind w:right="18"/>
              <w:spacing w:after="0"/>
              <w:rPr>
                <w:sz w:val="20"/>
                <w:szCs w:val="20"/>
                <w:color w:val="auto"/>
              </w:rPr>
            </w:pPr>
            <w:r>
              <w:rPr>
                <w:rFonts w:ascii="Arial" w:cs="Arial" w:eastAsia="Arial" w:hAnsi="Arial"/>
                <w:sz w:val="8"/>
                <w:szCs w:val="8"/>
                <w:color w:val="auto"/>
              </w:rPr>
              <w:t>--</w:t>
            </w:r>
          </w:p>
        </w:tc>
        <w:tc>
          <w:tcPr>
            <w:tcW w:w="100" w:type="dxa"/>
            <w:vAlign w:val="bottom"/>
            <w:shd w:val="clear" w:color="auto" w:fill="CCEEFF"/>
          </w:tcPr>
          <w:p>
            <w:pPr>
              <w:spacing w:after="0"/>
              <w:rPr>
                <w:sz w:val="9"/>
                <w:szCs w:val="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8"/>
                <w:szCs w:val="8"/>
                <w:color w:val="auto"/>
              </w:rPr>
              <w:t>--</w:t>
            </w:r>
          </w:p>
        </w:tc>
        <w:tc>
          <w:tcPr>
            <w:tcW w:w="120" w:type="dxa"/>
            <w:vAlign w:val="bottom"/>
            <w:shd w:val="clear" w:color="auto" w:fill="CCEEFF"/>
          </w:tcPr>
          <w:p>
            <w:pPr>
              <w:spacing w:after="0"/>
              <w:rPr>
                <w:sz w:val="9"/>
                <w:szCs w:val="9"/>
                <w:color w:val="auto"/>
              </w:rPr>
            </w:pPr>
          </w:p>
        </w:tc>
        <w:tc>
          <w:tcPr>
            <w:tcW w:w="620" w:type="dxa"/>
            <w:vAlign w:val="bottom"/>
            <w:shd w:val="clear" w:color="auto" w:fill="CCEEFF"/>
          </w:tcPr>
          <w:p>
            <w:pPr>
              <w:jc w:val="right"/>
              <w:ind w:right="18"/>
              <w:spacing w:after="0"/>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9"/>
                <w:szCs w:val="9"/>
                <w:color w:val="auto"/>
              </w:rPr>
            </w:pPr>
          </w:p>
        </w:tc>
        <w:tc>
          <w:tcPr>
            <w:tcW w:w="720" w:type="dxa"/>
            <w:vAlign w:val="bottom"/>
            <w:shd w:val="clear" w:color="auto" w:fill="CCEEFF"/>
          </w:tcPr>
          <w:p>
            <w:pPr>
              <w:jc w:val="right"/>
              <w:ind w:right="18"/>
              <w:spacing w:after="0"/>
              <w:rPr>
                <w:sz w:val="20"/>
                <w:szCs w:val="20"/>
                <w:color w:val="auto"/>
              </w:rPr>
            </w:pPr>
            <w:r>
              <w:rPr>
                <w:rFonts w:ascii="Arial" w:cs="Arial" w:eastAsia="Arial" w:hAnsi="Arial"/>
                <w:sz w:val="8"/>
                <w:szCs w:val="8"/>
                <w:color w:val="auto"/>
              </w:rPr>
              <w:t>--</w:t>
            </w:r>
          </w:p>
        </w:tc>
        <w:tc>
          <w:tcPr>
            <w:tcW w:w="120" w:type="dxa"/>
            <w:vAlign w:val="bottom"/>
            <w:shd w:val="clear" w:color="auto" w:fill="CCEEFF"/>
          </w:tcPr>
          <w:p>
            <w:pPr>
              <w:spacing w:after="0"/>
              <w:rPr>
                <w:sz w:val="9"/>
                <w:szCs w:val="9"/>
                <w:color w:val="auto"/>
              </w:rPr>
            </w:pPr>
          </w:p>
        </w:tc>
        <w:tc>
          <w:tcPr>
            <w:tcW w:w="780" w:type="dxa"/>
            <w:vAlign w:val="bottom"/>
            <w:shd w:val="clear" w:color="auto" w:fill="CCEEFF"/>
          </w:tcPr>
          <w:p>
            <w:pPr>
              <w:jc w:val="right"/>
              <w:ind w:right="18"/>
              <w:spacing w:after="0"/>
              <w:rPr>
                <w:sz w:val="20"/>
                <w:szCs w:val="20"/>
                <w:color w:val="auto"/>
              </w:rPr>
            </w:pPr>
            <w:r>
              <w:rPr>
                <w:rFonts w:ascii="Arial" w:cs="Arial" w:eastAsia="Arial" w:hAnsi="Arial"/>
                <w:sz w:val="8"/>
                <w:szCs w:val="8"/>
                <w:color w:val="auto"/>
              </w:rPr>
              <w:t>--</w:t>
            </w:r>
          </w:p>
        </w:tc>
        <w:tc>
          <w:tcPr>
            <w:tcW w:w="140" w:type="dxa"/>
            <w:vAlign w:val="bottom"/>
            <w:shd w:val="clear" w:color="auto" w:fill="CCEEFF"/>
          </w:tcPr>
          <w:p>
            <w:pPr>
              <w:spacing w:after="0"/>
              <w:rPr>
                <w:sz w:val="9"/>
                <w:szCs w:val="9"/>
                <w:color w:val="auto"/>
              </w:rPr>
            </w:pPr>
          </w:p>
        </w:tc>
        <w:tc>
          <w:tcPr>
            <w:tcW w:w="660" w:type="dxa"/>
            <w:vAlign w:val="bottom"/>
            <w:shd w:val="clear" w:color="auto" w:fill="CCEEFF"/>
          </w:tcPr>
          <w:p>
            <w:pPr>
              <w:jc w:val="right"/>
              <w:ind w:right="38"/>
              <w:spacing w:after="0"/>
              <w:rPr>
                <w:sz w:val="20"/>
                <w:szCs w:val="20"/>
                <w:color w:val="auto"/>
              </w:rPr>
            </w:pPr>
            <w:r>
              <w:rPr>
                <w:rFonts w:ascii="Arial" w:cs="Arial" w:eastAsia="Arial" w:hAnsi="Arial"/>
                <w:sz w:val="8"/>
                <w:szCs w:val="8"/>
                <w:color w:val="auto"/>
              </w:rPr>
              <w:t>17</w:t>
            </w:r>
          </w:p>
        </w:tc>
        <w:tc>
          <w:tcPr>
            <w:tcW w:w="100" w:type="dxa"/>
            <w:vAlign w:val="bottom"/>
            <w:shd w:val="clear" w:color="auto" w:fill="CCEEFF"/>
          </w:tcPr>
          <w:p>
            <w:pPr>
              <w:spacing w:after="0"/>
              <w:rPr>
                <w:sz w:val="9"/>
                <w:szCs w:val="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8"/>
                <w:szCs w:val="8"/>
                <w:color w:val="auto"/>
              </w:rPr>
              <w:t>17</w:t>
            </w:r>
          </w:p>
        </w:tc>
        <w:tc>
          <w:tcPr>
            <w:tcW w:w="0" w:type="dxa"/>
            <w:vAlign w:val="bottom"/>
          </w:tcPr>
          <w:p>
            <w:pPr>
              <w:spacing w:after="0"/>
              <w:rPr>
                <w:sz w:val="1"/>
                <w:szCs w:val="1"/>
                <w:color w:val="auto"/>
              </w:rPr>
            </w:pPr>
          </w:p>
        </w:tc>
      </w:tr>
      <w:tr>
        <w:trPr>
          <w:trHeight w:val="108"/>
        </w:trPr>
        <w:tc>
          <w:tcPr>
            <w:tcW w:w="2540" w:type="dxa"/>
            <w:vAlign w:val="bottom"/>
            <w:tcBorders>
              <w:right w:val="single" w:sz="8" w:color="auto"/>
            </w:tcBorders>
          </w:tcPr>
          <w:p>
            <w:pPr>
              <w:spacing w:after="0"/>
              <w:rPr>
                <w:sz w:val="20"/>
                <w:szCs w:val="20"/>
                <w:color w:val="auto"/>
              </w:rPr>
            </w:pPr>
            <w:r>
              <w:rPr>
                <w:rFonts w:ascii="Arial" w:cs="Arial" w:eastAsia="Arial" w:hAnsi="Arial"/>
                <w:sz w:val="8"/>
                <w:szCs w:val="8"/>
                <w:color w:val="auto"/>
              </w:rPr>
              <w:t>Distributions to noncontrolling shareholders</w:t>
            </w:r>
          </w:p>
        </w:tc>
        <w:tc>
          <w:tcPr>
            <w:tcW w:w="540" w:type="dxa"/>
            <w:vAlign w:val="bottom"/>
            <w:tcBorders>
              <w:right w:val="single" w:sz="8" w:color="auto"/>
            </w:tcBorders>
          </w:tcPr>
          <w:p>
            <w:pPr>
              <w:jc w:val="right"/>
              <w:ind w:right="38"/>
              <w:spacing w:after="0"/>
              <w:rPr>
                <w:sz w:val="20"/>
                <w:szCs w:val="20"/>
                <w:color w:val="auto"/>
              </w:rPr>
            </w:pPr>
            <w:r>
              <w:rPr>
                <w:rFonts w:ascii="Arial" w:cs="Arial" w:eastAsia="Arial" w:hAnsi="Arial"/>
                <w:sz w:val="8"/>
                <w:szCs w:val="8"/>
                <w:color w:val="auto"/>
              </w:rPr>
              <w:t>--</w:t>
            </w:r>
          </w:p>
        </w:tc>
        <w:tc>
          <w:tcPr>
            <w:tcW w:w="180" w:type="dxa"/>
            <w:vAlign w:val="bottom"/>
          </w:tcPr>
          <w:p>
            <w:pPr>
              <w:spacing w:after="0"/>
              <w:rPr>
                <w:sz w:val="9"/>
                <w:szCs w:val="9"/>
                <w:color w:val="auto"/>
              </w:rPr>
            </w:pPr>
          </w:p>
        </w:tc>
        <w:tc>
          <w:tcPr>
            <w:tcW w:w="500" w:type="dxa"/>
            <w:vAlign w:val="bottom"/>
            <w:tcBorders>
              <w:right w:val="single" w:sz="8" w:color="auto"/>
            </w:tcBorders>
          </w:tcPr>
          <w:p>
            <w:pPr>
              <w:jc w:val="right"/>
              <w:spacing w:after="0"/>
              <w:rPr>
                <w:sz w:val="20"/>
                <w:szCs w:val="20"/>
                <w:color w:val="auto"/>
              </w:rPr>
            </w:pPr>
            <w:r>
              <w:rPr>
                <w:rFonts w:ascii="Arial" w:cs="Arial" w:eastAsia="Arial" w:hAnsi="Arial"/>
                <w:sz w:val="8"/>
                <w:szCs w:val="8"/>
                <w:color w:val="auto"/>
              </w:rPr>
              <w:t>--</w:t>
            </w:r>
          </w:p>
        </w:tc>
        <w:tc>
          <w:tcPr>
            <w:tcW w:w="40" w:type="dxa"/>
            <w:vAlign w:val="bottom"/>
          </w:tcPr>
          <w:p>
            <w:pPr>
              <w:spacing w:after="0"/>
              <w:rPr>
                <w:sz w:val="9"/>
                <w:szCs w:val="9"/>
                <w:color w:val="auto"/>
              </w:rPr>
            </w:pPr>
          </w:p>
        </w:tc>
        <w:tc>
          <w:tcPr>
            <w:tcW w:w="64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8"/>
                <w:szCs w:val="8"/>
                <w:color w:val="auto"/>
              </w:rPr>
              <w:t>--</w:t>
            </w:r>
          </w:p>
        </w:tc>
        <w:tc>
          <w:tcPr>
            <w:tcW w:w="140" w:type="dxa"/>
            <w:vAlign w:val="bottom"/>
          </w:tcPr>
          <w:p>
            <w:pPr>
              <w:spacing w:after="0"/>
              <w:rPr>
                <w:sz w:val="9"/>
                <w:szCs w:val="9"/>
                <w:color w:val="auto"/>
              </w:rPr>
            </w:pPr>
          </w:p>
        </w:tc>
        <w:tc>
          <w:tcPr>
            <w:tcW w:w="480" w:type="dxa"/>
            <w:vAlign w:val="bottom"/>
            <w:tcBorders>
              <w:right w:val="single" w:sz="8" w:color="auto"/>
            </w:tcBorders>
          </w:tcPr>
          <w:p>
            <w:pPr>
              <w:jc w:val="right"/>
              <w:spacing w:after="0"/>
              <w:rPr>
                <w:sz w:val="20"/>
                <w:szCs w:val="20"/>
                <w:color w:val="auto"/>
              </w:rPr>
            </w:pPr>
            <w:r>
              <w:rPr>
                <w:rFonts w:ascii="Arial" w:cs="Arial" w:eastAsia="Arial" w:hAnsi="Arial"/>
                <w:sz w:val="8"/>
                <w:szCs w:val="8"/>
                <w:color w:val="auto"/>
              </w:rPr>
              <w:t>--</w:t>
            </w:r>
          </w:p>
        </w:tc>
        <w:tc>
          <w:tcPr>
            <w:tcW w:w="140" w:type="dxa"/>
            <w:vAlign w:val="bottom"/>
          </w:tcPr>
          <w:p>
            <w:pPr>
              <w:spacing w:after="0"/>
              <w:rPr>
                <w:sz w:val="9"/>
                <w:szCs w:val="9"/>
                <w:color w:val="auto"/>
              </w:rPr>
            </w:pPr>
          </w:p>
        </w:tc>
        <w:tc>
          <w:tcPr>
            <w:tcW w:w="620" w:type="dxa"/>
            <w:vAlign w:val="bottom"/>
          </w:tcPr>
          <w:p>
            <w:pPr>
              <w:jc w:val="right"/>
              <w:ind w:right="18"/>
              <w:spacing w:after="0"/>
              <w:rPr>
                <w:sz w:val="20"/>
                <w:szCs w:val="20"/>
                <w:color w:val="auto"/>
              </w:rPr>
            </w:pPr>
            <w:r>
              <w:rPr>
                <w:rFonts w:ascii="Arial" w:cs="Arial" w:eastAsia="Arial" w:hAnsi="Arial"/>
                <w:sz w:val="8"/>
                <w:szCs w:val="8"/>
                <w:color w:val="auto"/>
              </w:rPr>
              <w:t>--</w:t>
            </w:r>
          </w:p>
        </w:tc>
        <w:tc>
          <w:tcPr>
            <w:tcW w:w="100" w:type="dxa"/>
            <w:vAlign w:val="bottom"/>
          </w:tcPr>
          <w:p>
            <w:pPr>
              <w:spacing w:after="0"/>
              <w:rPr>
                <w:sz w:val="9"/>
                <w:szCs w:val="9"/>
                <w:color w:val="auto"/>
              </w:rPr>
            </w:pPr>
          </w:p>
        </w:tc>
        <w:tc>
          <w:tcPr>
            <w:tcW w:w="700" w:type="dxa"/>
            <w:vAlign w:val="bottom"/>
          </w:tcPr>
          <w:p>
            <w:pPr>
              <w:jc w:val="right"/>
              <w:spacing w:after="0"/>
              <w:rPr>
                <w:sz w:val="20"/>
                <w:szCs w:val="20"/>
                <w:color w:val="auto"/>
              </w:rPr>
            </w:pPr>
            <w:r>
              <w:rPr>
                <w:rFonts w:ascii="Arial" w:cs="Arial" w:eastAsia="Arial" w:hAnsi="Arial"/>
                <w:sz w:val="8"/>
                <w:szCs w:val="8"/>
                <w:color w:val="auto"/>
              </w:rPr>
              <w:t>--</w:t>
            </w:r>
          </w:p>
        </w:tc>
        <w:tc>
          <w:tcPr>
            <w:tcW w:w="120" w:type="dxa"/>
            <w:vAlign w:val="bottom"/>
          </w:tcPr>
          <w:p>
            <w:pPr>
              <w:spacing w:after="0"/>
              <w:rPr>
                <w:sz w:val="9"/>
                <w:szCs w:val="9"/>
                <w:color w:val="auto"/>
              </w:rPr>
            </w:pPr>
          </w:p>
        </w:tc>
        <w:tc>
          <w:tcPr>
            <w:tcW w:w="620" w:type="dxa"/>
            <w:vAlign w:val="bottom"/>
          </w:tcPr>
          <w:p>
            <w:pPr>
              <w:jc w:val="right"/>
              <w:ind w:right="18"/>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9"/>
                <w:szCs w:val="9"/>
                <w:color w:val="auto"/>
              </w:rPr>
            </w:pPr>
          </w:p>
        </w:tc>
        <w:tc>
          <w:tcPr>
            <w:tcW w:w="720" w:type="dxa"/>
            <w:vAlign w:val="bottom"/>
          </w:tcPr>
          <w:p>
            <w:pPr>
              <w:jc w:val="right"/>
              <w:ind w:right="18"/>
              <w:spacing w:after="0"/>
              <w:rPr>
                <w:sz w:val="20"/>
                <w:szCs w:val="20"/>
                <w:color w:val="auto"/>
              </w:rPr>
            </w:pPr>
            <w:r>
              <w:rPr>
                <w:rFonts w:ascii="Arial" w:cs="Arial" w:eastAsia="Arial" w:hAnsi="Arial"/>
                <w:sz w:val="8"/>
                <w:szCs w:val="8"/>
                <w:color w:val="auto"/>
              </w:rPr>
              <w:t>--</w:t>
            </w:r>
          </w:p>
        </w:tc>
        <w:tc>
          <w:tcPr>
            <w:tcW w:w="120" w:type="dxa"/>
            <w:vAlign w:val="bottom"/>
          </w:tcPr>
          <w:p>
            <w:pPr>
              <w:spacing w:after="0"/>
              <w:rPr>
                <w:sz w:val="9"/>
                <w:szCs w:val="9"/>
                <w:color w:val="auto"/>
              </w:rPr>
            </w:pPr>
          </w:p>
        </w:tc>
        <w:tc>
          <w:tcPr>
            <w:tcW w:w="780" w:type="dxa"/>
            <w:vAlign w:val="bottom"/>
          </w:tcPr>
          <w:p>
            <w:pPr>
              <w:jc w:val="right"/>
              <w:ind w:right="18"/>
              <w:spacing w:after="0"/>
              <w:rPr>
                <w:sz w:val="20"/>
                <w:szCs w:val="20"/>
                <w:color w:val="auto"/>
              </w:rPr>
            </w:pPr>
            <w:r>
              <w:rPr>
                <w:rFonts w:ascii="Arial" w:cs="Arial" w:eastAsia="Arial" w:hAnsi="Arial"/>
                <w:sz w:val="8"/>
                <w:szCs w:val="8"/>
                <w:color w:val="auto"/>
              </w:rPr>
              <w:t>--</w:t>
            </w:r>
          </w:p>
        </w:tc>
        <w:tc>
          <w:tcPr>
            <w:tcW w:w="140" w:type="dxa"/>
            <w:vAlign w:val="bottom"/>
          </w:tcPr>
          <w:p>
            <w:pPr>
              <w:spacing w:after="0"/>
              <w:rPr>
                <w:sz w:val="9"/>
                <w:szCs w:val="9"/>
                <w:color w:val="auto"/>
              </w:rPr>
            </w:pPr>
          </w:p>
        </w:tc>
        <w:tc>
          <w:tcPr>
            <w:tcW w:w="660" w:type="dxa"/>
            <w:vAlign w:val="bottom"/>
          </w:tcPr>
          <w:p>
            <w:pPr>
              <w:jc w:val="right"/>
              <w:ind w:right="18"/>
              <w:spacing w:after="0"/>
              <w:rPr>
                <w:sz w:val="20"/>
                <w:szCs w:val="20"/>
                <w:color w:val="auto"/>
              </w:rPr>
            </w:pPr>
            <w:r>
              <w:rPr>
                <w:rFonts w:ascii="Arial" w:cs="Arial" w:eastAsia="Arial" w:hAnsi="Arial"/>
                <w:sz w:val="8"/>
                <w:szCs w:val="8"/>
                <w:color w:val="auto"/>
              </w:rPr>
              <w:t>(173)</w:t>
            </w:r>
          </w:p>
        </w:tc>
        <w:tc>
          <w:tcPr>
            <w:tcW w:w="100" w:type="dxa"/>
            <w:vAlign w:val="bottom"/>
          </w:tcPr>
          <w:p>
            <w:pPr>
              <w:spacing w:after="0"/>
              <w:rPr>
                <w:sz w:val="9"/>
                <w:szCs w:val="9"/>
                <w:color w:val="auto"/>
              </w:rPr>
            </w:pPr>
          </w:p>
        </w:tc>
        <w:tc>
          <w:tcPr>
            <w:tcW w:w="660" w:type="dxa"/>
            <w:vAlign w:val="bottom"/>
          </w:tcPr>
          <w:p>
            <w:pPr>
              <w:jc w:val="right"/>
              <w:spacing w:after="0"/>
              <w:rPr>
                <w:sz w:val="20"/>
                <w:szCs w:val="20"/>
                <w:color w:val="auto"/>
              </w:rPr>
            </w:pPr>
            <w:r>
              <w:rPr>
                <w:rFonts w:ascii="Arial" w:cs="Arial" w:eastAsia="Arial" w:hAnsi="Arial"/>
                <w:sz w:val="8"/>
                <w:szCs w:val="8"/>
                <w:color w:val="auto"/>
              </w:rPr>
              <w:t>(173)</w:t>
            </w:r>
          </w:p>
        </w:tc>
        <w:tc>
          <w:tcPr>
            <w:tcW w:w="0" w:type="dxa"/>
            <w:vAlign w:val="bottom"/>
          </w:tcPr>
          <w:p>
            <w:pPr>
              <w:spacing w:after="0"/>
              <w:rPr>
                <w:sz w:val="1"/>
                <w:szCs w:val="1"/>
                <w:color w:val="auto"/>
              </w:rPr>
            </w:pPr>
          </w:p>
        </w:tc>
      </w:tr>
      <w:tr>
        <w:trPr>
          <w:trHeight w:val="142"/>
        </w:trPr>
        <w:tc>
          <w:tcPr>
            <w:tcW w:w="2540" w:type="dxa"/>
            <w:vAlign w:val="bottom"/>
            <w:tcBorders>
              <w:top w:val="single" w:sz="8" w:color="auto"/>
              <w:bottom w:val="single" w:sz="8" w:color="auto"/>
              <w:right w:val="single" w:sz="8" w:color="auto"/>
            </w:tcBorders>
            <w:shd w:val="clear" w:color="auto" w:fill="CCEEFF"/>
          </w:tcPr>
          <w:p>
            <w:pPr>
              <w:spacing w:after="0"/>
              <w:rPr>
                <w:sz w:val="20"/>
                <w:szCs w:val="20"/>
                <w:color w:val="auto"/>
              </w:rPr>
            </w:pPr>
            <w:r>
              <w:rPr>
                <w:rFonts w:ascii="Arial" w:cs="Arial" w:eastAsia="Arial" w:hAnsi="Arial"/>
                <w:sz w:val="8"/>
                <w:szCs w:val="8"/>
                <w:color w:val="auto"/>
              </w:rPr>
              <w:t>At December 31, 2015</w:t>
            </w:r>
          </w:p>
        </w:tc>
        <w:tc>
          <w:tcPr>
            <w:tcW w:w="540" w:type="dxa"/>
            <w:vAlign w:val="bottom"/>
            <w:tcBorders>
              <w:top w:val="single" w:sz="8" w:color="auto"/>
              <w:bottom w:val="single" w:sz="8" w:color="auto"/>
              <w:right w:val="single" w:sz="8" w:color="auto"/>
            </w:tcBorders>
            <w:shd w:val="clear" w:color="auto" w:fill="CCEEFF"/>
          </w:tcPr>
          <w:p>
            <w:pPr>
              <w:jc w:val="right"/>
              <w:ind w:right="58"/>
              <w:spacing w:after="0"/>
              <w:rPr>
                <w:sz w:val="20"/>
                <w:szCs w:val="20"/>
                <w:color w:val="auto"/>
              </w:rPr>
            </w:pPr>
            <w:r>
              <w:rPr>
                <w:rFonts w:ascii="Arial" w:cs="Arial" w:eastAsia="Arial" w:hAnsi="Arial"/>
                <w:sz w:val="8"/>
                <w:szCs w:val="8"/>
                <w:color w:val="auto"/>
              </w:rPr>
              <w:t>21,654</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w:t>
            </w:r>
          </w:p>
        </w:tc>
        <w:tc>
          <w:tcPr>
            <w:tcW w:w="500" w:type="dxa"/>
            <w:vAlign w:val="bottom"/>
            <w:tcBorders>
              <w:top w:val="single" w:sz="8" w:color="auto"/>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229</w:t>
            </w:r>
          </w:p>
        </w:tc>
        <w:tc>
          <w:tcPr>
            <w:tcW w:w="40" w:type="dxa"/>
            <w:vAlign w:val="bottom"/>
            <w:tcBorders>
              <w:top w:val="single" w:sz="8" w:color="CCEEFF"/>
              <w:bottom w:val="single" w:sz="8" w:color="auto"/>
            </w:tcBorders>
            <w:shd w:val="clear" w:color="auto" w:fill="CCEEFF"/>
          </w:tcPr>
          <w:p>
            <w:pPr>
              <w:spacing w:after="0"/>
              <w:rPr>
                <w:sz w:val="12"/>
                <w:szCs w:val="12"/>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1,680</w:t>
            </w:r>
          </w:p>
        </w:tc>
        <w:tc>
          <w:tcPr>
            <w:tcW w:w="100" w:type="dxa"/>
            <w:vAlign w:val="bottom"/>
            <w:tcBorders>
              <w:top w:val="single" w:sz="8" w:color="CCEEFF"/>
              <w:bottom w:val="single" w:sz="8" w:color="auto"/>
              <w:right w:val="single" w:sz="8" w:color="auto"/>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w:t>
            </w:r>
          </w:p>
        </w:tc>
        <w:tc>
          <w:tcPr>
            <w:tcW w:w="480" w:type="dxa"/>
            <w:vAlign w:val="bottom"/>
            <w:tcBorders>
              <w:top w:val="single" w:sz="8" w:color="auto"/>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17</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w:t>
            </w:r>
          </w:p>
        </w:tc>
        <w:tc>
          <w:tcPr>
            <w:tcW w:w="620" w:type="dxa"/>
            <w:vAlign w:val="bottom"/>
            <w:tcBorders>
              <w:top w:val="single" w:sz="8" w:color="auto"/>
              <w:bottom w:val="single" w:sz="8" w:color="auto"/>
            </w:tcBorders>
            <w:shd w:val="clear" w:color="auto" w:fill="CCEEFF"/>
          </w:tcPr>
          <w:p>
            <w:pPr>
              <w:jc w:val="right"/>
              <w:ind w:right="38"/>
              <w:spacing w:after="0"/>
              <w:rPr>
                <w:sz w:val="20"/>
                <w:szCs w:val="20"/>
                <w:color w:val="auto"/>
              </w:rPr>
            </w:pPr>
            <w:r>
              <w:rPr>
                <w:rFonts w:ascii="Arial" w:cs="Arial" w:eastAsia="Arial" w:hAnsi="Arial"/>
                <w:sz w:val="8"/>
                <w:szCs w:val="8"/>
                <w:color w:val="auto"/>
              </w:rPr>
              <w:t>143,815</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(9,478)</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w:t>
            </w:r>
          </w:p>
        </w:tc>
        <w:tc>
          <w:tcPr>
            <w:tcW w:w="620" w:type="dxa"/>
            <w:vAlign w:val="bottom"/>
            <w:tcBorders>
              <w:top w:val="single" w:sz="8" w:color="auto"/>
              <w:bottom w:val="single" w:sz="8" w:color="auto"/>
            </w:tcBorders>
            <w:shd w:val="clear" w:color="auto" w:fill="CCEEFF"/>
          </w:tcPr>
          <w:p>
            <w:pPr>
              <w:jc w:val="right"/>
              <w:ind w:right="18"/>
              <w:spacing w:after="0"/>
              <w:rPr>
                <w:sz w:val="20"/>
                <w:szCs w:val="20"/>
                <w:color w:val="auto"/>
              </w:rPr>
            </w:pPr>
            <w:r>
              <w:rPr>
                <w:rFonts w:ascii="Arial" w:cs="Arial" w:eastAsia="Arial" w:hAnsi="Arial"/>
                <w:sz w:val="8"/>
                <w:szCs w:val="8"/>
                <w:color w:val="auto"/>
              </w:rPr>
              <w:t>(13,524)</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w:t>
            </w:r>
          </w:p>
        </w:tc>
        <w:tc>
          <w:tcPr>
            <w:tcW w:w="720" w:type="dxa"/>
            <w:vAlign w:val="bottom"/>
            <w:tcBorders>
              <w:top w:val="single" w:sz="8" w:color="auto"/>
              <w:bottom w:val="single" w:sz="8" w:color="auto"/>
            </w:tcBorders>
            <w:shd w:val="clear" w:color="auto" w:fill="CCEEFF"/>
          </w:tcPr>
          <w:p>
            <w:pPr>
              <w:jc w:val="right"/>
              <w:ind w:right="38"/>
              <w:spacing w:after="0"/>
              <w:rPr>
                <w:sz w:val="20"/>
                <w:szCs w:val="20"/>
                <w:color w:val="auto"/>
              </w:rPr>
            </w:pPr>
            <w:r>
              <w:rPr>
                <w:rFonts w:ascii="Arial" w:cs="Arial" w:eastAsia="Arial" w:hAnsi="Arial"/>
                <w:sz w:val="8"/>
                <w:szCs w:val="8"/>
                <w:color w:val="auto"/>
              </w:rPr>
              <w:t>11,806</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w:t>
            </w:r>
          </w:p>
        </w:tc>
        <w:tc>
          <w:tcPr>
            <w:tcW w:w="780" w:type="dxa"/>
            <w:vAlign w:val="bottom"/>
            <w:tcBorders>
              <w:top w:val="single" w:sz="8" w:color="auto"/>
              <w:bottom w:val="single" w:sz="8" w:color="auto"/>
            </w:tcBorders>
            <w:shd w:val="clear" w:color="auto" w:fill="CCEEFF"/>
          </w:tcPr>
          <w:p>
            <w:pPr>
              <w:jc w:val="right"/>
              <w:ind w:right="38"/>
              <w:spacing w:after="0"/>
              <w:rPr>
                <w:sz w:val="20"/>
                <w:szCs w:val="20"/>
                <w:color w:val="auto"/>
              </w:rPr>
            </w:pPr>
            <w:r>
              <w:rPr>
                <w:rFonts w:ascii="Arial" w:cs="Arial" w:eastAsia="Arial" w:hAnsi="Arial"/>
                <w:sz w:val="8"/>
                <w:szCs w:val="8"/>
                <w:color w:val="auto"/>
              </w:rPr>
              <w:t>132,865</w:t>
            </w:r>
          </w:p>
        </w:tc>
        <w:tc>
          <w:tcPr>
            <w:tcW w:w="140" w:type="dxa"/>
            <w:vAlign w:val="bottom"/>
            <w:tcBorders>
              <w:top w:val="single" w:sz="8" w:color="auto"/>
              <w:bottom w:val="single" w:sz="8" w:color="auto"/>
            </w:tcBorders>
            <w:shd w:val="clear" w:color="auto" w:fill="CCEEFF"/>
          </w:tcPr>
          <w:p>
            <w:pPr>
              <w:jc w:val="right"/>
              <w:ind w:right="18"/>
              <w:spacing w:after="0"/>
              <w:rPr>
                <w:sz w:val="20"/>
                <w:szCs w:val="20"/>
                <w:color w:val="auto"/>
              </w:rPr>
            </w:pPr>
            <w:r>
              <w:rPr>
                <w:rFonts w:ascii="Arial" w:cs="Arial" w:eastAsia="Arial" w:hAnsi="Arial"/>
                <w:sz w:val="8"/>
                <w:szCs w:val="8"/>
                <w:color w:val="auto"/>
              </w:rPr>
              <w:t>$</w:t>
            </w:r>
          </w:p>
        </w:tc>
        <w:tc>
          <w:tcPr>
            <w:tcW w:w="660" w:type="dxa"/>
            <w:vAlign w:val="bottom"/>
            <w:tcBorders>
              <w:top w:val="single" w:sz="8" w:color="auto"/>
              <w:bottom w:val="single" w:sz="8" w:color="auto"/>
            </w:tcBorders>
            <w:shd w:val="clear" w:color="auto" w:fill="CCEEFF"/>
          </w:tcPr>
          <w:p>
            <w:pPr>
              <w:jc w:val="right"/>
              <w:ind w:right="38"/>
              <w:spacing w:after="0"/>
              <w:rPr>
                <w:sz w:val="20"/>
                <w:szCs w:val="20"/>
                <w:color w:val="auto"/>
              </w:rPr>
            </w:pPr>
            <w:r>
              <w:rPr>
                <w:rFonts w:ascii="Arial" w:cs="Arial" w:eastAsia="Arial" w:hAnsi="Arial"/>
                <w:sz w:val="8"/>
                <w:szCs w:val="8"/>
                <w:color w:val="auto"/>
              </w:rPr>
              <w:t>4,331</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137,196</w:t>
            </w:r>
          </w:p>
        </w:tc>
        <w:tc>
          <w:tcPr>
            <w:tcW w:w="0" w:type="dxa"/>
            <w:vAlign w:val="bottom"/>
          </w:tcPr>
          <w:p>
            <w:pPr>
              <w:spacing w:after="0"/>
              <w:rPr>
                <w:sz w:val="1"/>
                <w:szCs w:val="1"/>
                <w:color w:val="auto"/>
              </w:rPr>
            </w:pPr>
          </w:p>
        </w:tc>
      </w:tr>
    </w:tbl>
    <w:p>
      <w:pPr>
        <w:spacing w:after="0" w:line="132" w:lineRule="exact"/>
        <w:rPr>
          <w:sz w:val="20"/>
          <w:szCs w:val="20"/>
          <w:color w:val="auto"/>
        </w:rPr>
      </w:pPr>
    </w:p>
    <w:p>
      <w:pPr>
        <w:spacing w:after="0"/>
        <w:rPr>
          <w:sz w:val="20"/>
          <w:szCs w:val="20"/>
          <w:color w:val="auto"/>
        </w:rPr>
      </w:pPr>
      <w:r>
        <w:rPr>
          <w:rFonts w:ascii="Arial" w:cs="Arial" w:eastAsia="Arial" w:hAnsi="Arial"/>
          <w:sz w:val="10"/>
          <w:szCs w:val="10"/>
          <w:color w:val="auto"/>
        </w:rPr>
        <w:t>See accompanying notes to consolidated financial statements.</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59690</wp:posOffset>
            </wp:positionV>
            <wp:extent cx="677989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779895" cy="42545"/>
                    </a:xfrm>
                    <a:prstGeom prst="rect">
                      <a:avLst/>
                    </a:prstGeom>
                    <a:noFill/>
                  </pic:spPr>
                </pic:pic>
              </a:graphicData>
            </a:graphic>
          </wp:anchor>
        </w:drawing>
      </w:r>
    </w:p>
    <w:p>
      <w:pPr>
        <w:sectPr>
          <w:pgSz w:w="11900" w:h="16838" w:orient="portrait"/>
          <w:cols w:equalWidth="0" w:num="1">
            <w:col w:w="10620"/>
          </w:cols>
          <w:pgMar w:left="640" w:top="254" w:right="639" w:bottom="1440" w:gutter="0" w:footer="0" w:header="0"/>
        </w:sectPr>
      </w:pPr>
    </w:p>
    <w:bookmarkStart w:id="59" w:name="page60"/>
    <w:bookmarkEnd w:id="59"/>
    <w:p>
      <w:pPr>
        <w:spacing w:after="0"/>
        <w:rPr>
          <w:sz w:val="20"/>
          <w:szCs w:val="20"/>
          <w:color w:val="auto"/>
        </w:rPr>
      </w:pPr>
      <w:r>
        <w:rPr>
          <w:rFonts w:ascii="Arial" w:cs="Arial" w:eastAsia="Arial" w:hAnsi="Arial"/>
          <w:sz w:val="11"/>
          <w:szCs w:val="11"/>
          <w:b w:val="1"/>
          <w:bCs w:val="1"/>
          <w:color w:val="auto"/>
        </w:rPr>
        <w:t>Reading International, Inc. and Subsidiaries</w:t>
      </w:r>
    </w:p>
    <w:p>
      <w:pPr>
        <w:spacing w:after="0" w:line="14"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Consolidated Statements of Cash Flows for the Three Years Ended December 31, 2015</w:t>
      </w:r>
    </w:p>
    <w:p>
      <w:pPr>
        <w:spacing w:after="0" w:line="9"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(U.S. dollars in thousands)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2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tcPr>
          <w:p>
            <w:pPr>
              <w:jc w:val="right"/>
              <w:ind w:right="46"/>
              <w:spacing w:after="0"/>
              <w:rPr>
                <w:sz w:val="20"/>
                <w:szCs w:val="20"/>
                <w:color w:val="auto"/>
              </w:rPr>
            </w:pPr>
            <w:r>
              <w:rPr>
                <w:rFonts w:ascii="Arial" w:cs="Arial" w:eastAsia="Arial" w:hAnsi="Arial"/>
                <w:sz w:val="11"/>
                <w:szCs w:val="11"/>
                <w:b w:val="1"/>
                <w:bCs w:val="1"/>
                <w:color w:val="auto"/>
              </w:rPr>
              <w:t>2015</w:t>
            </w:r>
          </w:p>
        </w:tc>
        <w:tc>
          <w:tcPr>
            <w:tcW w:w="5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b w:val="1"/>
                <w:bCs w:val="1"/>
                <w:color w:val="auto"/>
              </w:rPr>
              <w:t>2014</w:t>
            </w:r>
            <w:r>
              <w:rPr>
                <w:rFonts w:ascii="Arial" w:cs="Arial" w:eastAsia="Arial" w:hAnsi="Arial"/>
                <w:sz w:val="14"/>
                <w:szCs w:val="14"/>
                <w:b w:val="1"/>
                <w:bCs w:val="1"/>
                <w:color w:val="auto"/>
                <w:vertAlign w:val="superscript"/>
              </w:rPr>
              <w:t>(1)</w:t>
            </w:r>
          </w:p>
        </w:tc>
        <w:tc>
          <w:tcPr>
            <w:tcW w:w="5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46"/>
              <w:spacing w:after="0"/>
              <w:rPr>
                <w:sz w:val="20"/>
                <w:szCs w:val="20"/>
                <w:color w:val="auto"/>
              </w:rPr>
            </w:pPr>
            <w:r>
              <w:rPr>
                <w:rFonts w:ascii="Arial" w:cs="Arial" w:eastAsia="Arial" w:hAnsi="Arial"/>
                <w:sz w:val="11"/>
                <w:szCs w:val="11"/>
                <w:b w:val="1"/>
                <w:bCs w:val="1"/>
                <w:color w:val="auto"/>
              </w:rPr>
              <w:t>2013</w:t>
            </w:r>
            <w:r>
              <w:rPr>
                <w:rFonts w:ascii="Arial" w:cs="Arial" w:eastAsia="Arial" w:hAnsi="Arial"/>
                <w:sz w:val="14"/>
                <w:szCs w:val="14"/>
                <w:b w:val="1"/>
                <w:bCs w:val="1"/>
                <w:color w:val="auto"/>
                <w:vertAlign w:val="superscript"/>
              </w:rPr>
              <w:t>(1)</w:t>
            </w:r>
          </w:p>
        </w:tc>
      </w:tr>
      <w:tr>
        <w:trPr>
          <w:trHeight w:val="142"/>
        </w:trPr>
        <w:tc>
          <w:tcPr>
            <w:tcW w:w="512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Operating Activities</w:t>
            </w:r>
          </w:p>
        </w:tc>
        <w:tc>
          <w:tcPr>
            <w:tcW w:w="19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r>
      <w:tr>
        <w:trPr>
          <w:trHeight w:val="135"/>
        </w:trPr>
        <w:tc>
          <w:tcPr>
            <w:tcW w:w="5120" w:type="dxa"/>
            <w:vAlign w:val="bottom"/>
          </w:tcPr>
          <w:p>
            <w:pPr>
              <w:spacing w:after="0"/>
              <w:rPr>
                <w:sz w:val="20"/>
                <w:szCs w:val="20"/>
                <w:color w:val="auto"/>
              </w:rPr>
            </w:pPr>
            <w:r>
              <w:rPr>
                <w:rFonts w:ascii="Arial" w:cs="Arial" w:eastAsia="Arial" w:hAnsi="Arial"/>
                <w:sz w:val="11"/>
                <w:szCs w:val="11"/>
                <w:color w:val="auto"/>
              </w:rPr>
              <w:t>Net income</w:t>
            </w:r>
          </w:p>
        </w:tc>
        <w:tc>
          <w:tcPr>
            <w:tcW w:w="1940" w:type="dxa"/>
            <w:vAlign w:val="bottom"/>
          </w:tcPr>
          <w:p>
            <w:pPr>
              <w:jc w:val="right"/>
              <w:ind w:right="806"/>
              <w:spacing w:after="0"/>
              <w:rPr>
                <w:sz w:val="20"/>
                <w:szCs w:val="20"/>
                <w:color w:val="auto"/>
              </w:rPr>
            </w:pPr>
            <w:r>
              <w:rPr>
                <w:rFonts w:ascii="Arial" w:cs="Arial" w:eastAsia="Arial" w:hAnsi="Arial"/>
                <w:sz w:val="11"/>
                <w:szCs w:val="11"/>
                <w:color w:val="auto"/>
              </w:rPr>
              <w:t>$</w:t>
            </w:r>
          </w:p>
        </w:tc>
        <w:tc>
          <w:tcPr>
            <w:tcW w:w="560" w:type="dxa"/>
            <w:vAlign w:val="bottom"/>
          </w:tcPr>
          <w:p>
            <w:pPr>
              <w:jc w:val="right"/>
              <w:ind w:right="66"/>
              <w:spacing w:after="0"/>
              <w:rPr>
                <w:sz w:val="20"/>
                <w:szCs w:val="20"/>
                <w:color w:val="auto"/>
              </w:rPr>
            </w:pPr>
            <w:r>
              <w:rPr>
                <w:rFonts w:ascii="Arial" w:cs="Arial" w:eastAsia="Arial" w:hAnsi="Arial"/>
                <w:sz w:val="11"/>
                <w:szCs w:val="11"/>
                <w:color w:val="auto"/>
              </w:rPr>
              <w:t>22,694</w:t>
            </w:r>
          </w:p>
        </w:tc>
        <w:tc>
          <w:tcPr>
            <w:tcW w:w="1020" w:type="dxa"/>
            <w:vAlign w:val="bottom"/>
          </w:tcPr>
          <w:p>
            <w:pPr>
              <w:jc w:val="right"/>
              <w:ind w:right="826"/>
              <w:spacing w:after="0"/>
              <w:rPr>
                <w:sz w:val="20"/>
                <w:szCs w:val="20"/>
                <w:color w:val="auto"/>
              </w:rPr>
            </w:pPr>
            <w:r>
              <w:rPr>
                <w:rFonts w:ascii="Arial" w:cs="Arial" w:eastAsia="Arial" w:hAnsi="Arial"/>
                <w:sz w:val="11"/>
                <w:szCs w:val="11"/>
                <w:color w:val="auto"/>
              </w:rPr>
              <w:t>$</w:t>
            </w:r>
          </w:p>
        </w:tc>
        <w:tc>
          <w:tcPr>
            <w:tcW w:w="520" w:type="dxa"/>
            <w:vAlign w:val="bottom"/>
          </w:tcPr>
          <w:p>
            <w:pPr>
              <w:jc w:val="right"/>
              <w:ind w:right="46"/>
              <w:spacing w:after="0"/>
              <w:rPr>
                <w:sz w:val="20"/>
                <w:szCs w:val="20"/>
                <w:color w:val="auto"/>
              </w:rPr>
            </w:pPr>
            <w:r>
              <w:rPr>
                <w:rFonts w:ascii="Arial" w:cs="Arial" w:eastAsia="Arial" w:hAnsi="Arial"/>
                <w:sz w:val="11"/>
                <w:szCs w:val="11"/>
                <w:color w:val="auto"/>
              </w:rPr>
              <w:t>25,644</w:t>
            </w:r>
          </w:p>
        </w:tc>
        <w:tc>
          <w:tcPr>
            <w:tcW w:w="400" w:type="dxa"/>
            <w:vAlign w:val="bottom"/>
          </w:tcPr>
          <w:p>
            <w:pPr>
              <w:jc w:val="right"/>
              <w:ind w:right="206"/>
              <w:spacing w:after="0"/>
              <w:rPr>
                <w:sz w:val="20"/>
                <w:szCs w:val="20"/>
                <w:color w:val="auto"/>
              </w:rPr>
            </w:pPr>
            <w:r>
              <w:rPr>
                <w:rFonts w:ascii="Arial" w:cs="Arial" w:eastAsia="Arial" w:hAnsi="Arial"/>
                <w:sz w:val="11"/>
                <w:szCs w:val="11"/>
                <w:color w:val="auto"/>
              </w:rPr>
              <w:t>$</w:t>
            </w:r>
          </w:p>
        </w:tc>
        <w:tc>
          <w:tcPr>
            <w:tcW w:w="1060" w:type="dxa"/>
            <w:vAlign w:val="bottom"/>
          </w:tcPr>
          <w:p>
            <w:pPr>
              <w:jc w:val="right"/>
              <w:spacing w:after="0"/>
              <w:rPr>
                <w:sz w:val="20"/>
                <w:szCs w:val="20"/>
                <w:color w:val="auto"/>
              </w:rPr>
            </w:pPr>
            <w:r>
              <w:rPr>
                <w:rFonts w:ascii="Arial" w:cs="Arial" w:eastAsia="Arial" w:hAnsi="Arial"/>
                <w:sz w:val="11"/>
                <w:szCs w:val="11"/>
                <w:color w:val="auto"/>
              </w:rPr>
              <w:t>9,145</w:t>
            </w:r>
          </w:p>
        </w:tc>
      </w:tr>
      <w:tr>
        <w:trPr>
          <w:trHeight w:val="144"/>
        </w:trPr>
        <w:tc>
          <w:tcPr>
            <w:tcW w:w="5120" w:type="dxa"/>
            <w:vAlign w:val="bottom"/>
            <w:shd w:val="clear" w:color="auto" w:fill="CCEEFF"/>
          </w:tcPr>
          <w:p>
            <w:pPr>
              <w:ind w:left="80"/>
              <w:spacing w:after="0"/>
              <w:rPr>
                <w:sz w:val="20"/>
                <w:szCs w:val="20"/>
                <w:color w:val="auto"/>
              </w:rPr>
            </w:pPr>
            <w:r>
              <w:rPr>
                <w:rFonts w:ascii="Arial" w:cs="Arial" w:eastAsia="Arial" w:hAnsi="Arial"/>
                <w:sz w:val="11"/>
                <w:szCs w:val="11"/>
                <w:color w:val="auto"/>
              </w:rPr>
              <w:t>Adjustments to reconcile net income to net cash provided by operating activities:</w:t>
            </w:r>
          </w:p>
        </w:tc>
        <w:tc>
          <w:tcPr>
            <w:tcW w:w="19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r>
      <w:tr>
        <w:trPr>
          <w:trHeight w:val="142"/>
        </w:trPr>
        <w:tc>
          <w:tcPr>
            <w:tcW w:w="5120" w:type="dxa"/>
            <w:vAlign w:val="bottom"/>
          </w:tcPr>
          <w:p>
            <w:pPr>
              <w:ind w:left="140"/>
              <w:spacing w:after="0"/>
              <w:rPr>
                <w:sz w:val="20"/>
                <w:szCs w:val="20"/>
                <w:color w:val="auto"/>
              </w:rPr>
            </w:pPr>
            <w:r>
              <w:rPr>
                <w:rFonts w:ascii="Arial" w:cs="Arial" w:eastAsia="Arial" w:hAnsi="Arial"/>
                <w:sz w:val="11"/>
                <w:szCs w:val="11"/>
                <w:color w:val="auto"/>
              </w:rPr>
              <w:t>Foreign currency transactions</w:t>
            </w:r>
          </w:p>
        </w:tc>
        <w:tc>
          <w:tcPr>
            <w:tcW w:w="1940" w:type="dxa"/>
            <w:vAlign w:val="bottom"/>
          </w:tcPr>
          <w:p>
            <w:pPr>
              <w:spacing w:after="0"/>
              <w:rPr>
                <w:sz w:val="12"/>
                <w:szCs w:val="12"/>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1020" w:type="dxa"/>
            <w:vAlign w:val="bottom"/>
          </w:tcPr>
          <w:p>
            <w:pPr>
              <w:spacing w:after="0"/>
              <w:rPr>
                <w:sz w:val="12"/>
                <w:szCs w:val="12"/>
                <w:color w:val="auto"/>
              </w:rPr>
            </w:pPr>
          </w:p>
        </w:tc>
        <w:tc>
          <w:tcPr>
            <w:tcW w:w="52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40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(415)</w:t>
            </w:r>
          </w:p>
        </w:tc>
      </w:tr>
      <w:tr>
        <w:trPr>
          <w:trHeight w:val="146"/>
        </w:trPr>
        <w:tc>
          <w:tcPr>
            <w:tcW w:w="5120" w:type="dxa"/>
            <w:vAlign w:val="bottom"/>
            <w:shd w:val="clear" w:color="auto" w:fill="CCEEFF"/>
          </w:tcPr>
          <w:p>
            <w:pPr>
              <w:ind w:left="140"/>
              <w:spacing w:after="0"/>
              <w:rPr>
                <w:sz w:val="20"/>
                <w:szCs w:val="20"/>
                <w:color w:val="auto"/>
              </w:rPr>
            </w:pPr>
            <w:r>
              <w:rPr>
                <w:rFonts w:ascii="Arial" w:cs="Arial" w:eastAsia="Arial" w:hAnsi="Arial"/>
                <w:sz w:val="11"/>
                <w:szCs w:val="11"/>
                <w:color w:val="auto"/>
              </w:rPr>
              <w:t>Equity earnings of unconsolidated joint ventures and entities</w:t>
            </w:r>
          </w:p>
        </w:tc>
        <w:tc>
          <w:tcPr>
            <w:tcW w:w="1940" w:type="dxa"/>
            <w:vAlign w:val="bottom"/>
            <w:shd w:val="clear" w:color="auto" w:fill="CCEEFF"/>
          </w:tcPr>
          <w:p>
            <w:pPr>
              <w:spacing w:after="0"/>
              <w:rPr>
                <w:sz w:val="12"/>
                <w:szCs w:val="12"/>
                <w:color w:val="auto"/>
              </w:rPr>
            </w:pPr>
          </w:p>
        </w:tc>
        <w:tc>
          <w:tcPr>
            <w:tcW w:w="56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(1,204)</w:t>
            </w:r>
          </w:p>
        </w:tc>
        <w:tc>
          <w:tcPr>
            <w:tcW w:w="1020" w:type="dxa"/>
            <w:vAlign w:val="bottom"/>
            <w:shd w:val="clear" w:color="auto" w:fill="CCEEFF"/>
          </w:tcPr>
          <w:p>
            <w:pPr>
              <w:spacing w:after="0"/>
              <w:rPr>
                <w:sz w:val="12"/>
                <w:szCs w:val="12"/>
                <w:color w:val="auto"/>
              </w:rPr>
            </w:pPr>
          </w:p>
        </w:tc>
        <w:tc>
          <w:tcPr>
            <w:tcW w:w="52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(1,015)</w:t>
            </w:r>
          </w:p>
        </w:tc>
        <w:tc>
          <w:tcPr>
            <w:tcW w:w="40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(1,369)</w:t>
            </w:r>
          </w:p>
        </w:tc>
      </w:tr>
      <w:tr>
        <w:trPr>
          <w:trHeight w:val="142"/>
        </w:trPr>
        <w:tc>
          <w:tcPr>
            <w:tcW w:w="5120" w:type="dxa"/>
            <w:vAlign w:val="bottom"/>
          </w:tcPr>
          <w:p>
            <w:pPr>
              <w:ind w:left="140"/>
              <w:spacing w:after="0"/>
              <w:rPr>
                <w:sz w:val="20"/>
                <w:szCs w:val="20"/>
                <w:color w:val="auto"/>
              </w:rPr>
            </w:pPr>
            <w:r>
              <w:rPr>
                <w:rFonts w:ascii="Arial" w:cs="Arial" w:eastAsia="Arial" w:hAnsi="Arial"/>
                <w:sz w:val="11"/>
                <w:szCs w:val="11"/>
                <w:color w:val="auto"/>
              </w:rPr>
              <w:t>Distributions of earnings from unconsolidated joint ventures and entities</w:t>
            </w:r>
          </w:p>
        </w:tc>
        <w:tc>
          <w:tcPr>
            <w:tcW w:w="1940" w:type="dxa"/>
            <w:vAlign w:val="bottom"/>
          </w:tcPr>
          <w:p>
            <w:pPr>
              <w:spacing w:after="0"/>
              <w:rPr>
                <w:sz w:val="12"/>
                <w:szCs w:val="12"/>
                <w:color w:val="auto"/>
              </w:rPr>
            </w:pPr>
          </w:p>
        </w:tc>
        <w:tc>
          <w:tcPr>
            <w:tcW w:w="560" w:type="dxa"/>
            <w:vAlign w:val="bottom"/>
          </w:tcPr>
          <w:p>
            <w:pPr>
              <w:jc w:val="right"/>
              <w:ind w:right="66"/>
              <w:spacing w:after="0"/>
              <w:rPr>
                <w:sz w:val="20"/>
                <w:szCs w:val="20"/>
                <w:color w:val="auto"/>
              </w:rPr>
            </w:pPr>
            <w:r>
              <w:rPr>
                <w:rFonts w:ascii="Arial" w:cs="Arial" w:eastAsia="Arial" w:hAnsi="Arial"/>
                <w:sz w:val="11"/>
                <w:szCs w:val="11"/>
                <w:color w:val="auto"/>
              </w:rPr>
              <w:t>1,074</w:t>
            </w:r>
          </w:p>
        </w:tc>
        <w:tc>
          <w:tcPr>
            <w:tcW w:w="1020" w:type="dxa"/>
            <w:vAlign w:val="bottom"/>
          </w:tcPr>
          <w:p>
            <w:pPr>
              <w:spacing w:after="0"/>
              <w:rPr>
                <w:sz w:val="12"/>
                <w:szCs w:val="12"/>
                <w:color w:val="auto"/>
              </w:rPr>
            </w:pPr>
          </w:p>
        </w:tc>
        <w:tc>
          <w:tcPr>
            <w:tcW w:w="520" w:type="dxa"/>
            <w:vAlign w:val="bottom"/>
          </w:tcPr>
          <w:p>
            <w:pPr>
              <w:jc w:val="right"/>
              <w:ind w:right="46"/>
              <w:spacing w:after="0"/>
              <w:rPr>
                <w:sz w:val="20"/>
                <w:szCs w:val="20"/>
                <w:color w:val="auto"/>
              </w:rPr>
            </w:pPr>
            <w:r>
              <w:rPr>
                <w:rFonts w:ascii="Arial" w:cs="Arial" w:eastAsia="Arial" w:hAnsi="Arial"/>
                <w:sz w:val="11"/>
                <w:szCs w:val="11"/>
                <w:color w:val="auto"/>
              </w:rPr>
              <w:t>857</w:t>
            </w:r>
          </w:p>
        </w:tc>
        <w:tc>
          <w:tcPr>
            <w:tcW w:w="40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1,095</w:t>
            </w:r>
          </w:p>
        </w:tc>
      </w:tr>
      <w:tr>
        <w:trPr>
          <w:trHeight w:val="146"/>
        </w:trPr>
        <w:tc>
          <w:tcPr>
            <w:tcW w:w="5120" w:type="dxa"/>
            <w:vAlign w:val="bottom"/>
            <w:shd w:val="clear" w:color="auto" w:fill="CCEEFF"/>
          </w:tcPr>
          <w:p>
            <w:pPr>
              <w:ind w:left="140"/>
              <w:spacing w:after="0"/>
              <w:rPr>
                <w:sz w:val="20"/>
                <w:szCs w:val="20"/>
                <w:color w:val="auto"/>
              </w:rPr>
            </w:pPr>
            <w:r>
              <w:rPr>
                <w:rFonts w:ascii="Arial" w:cs="Arial" w:eastAsia="Arial" w:hAnsi="Arial"/>
                <w:sz w:val="11"/>
                <w:szCs w:val="11"/>
                <w:color w:val="auto"/>
              </w:rPr>
              <w:t>(Gain) loss on sale of assets</w:t>
            </w:r>
          </w:p>
        </w:tc>
        <w:tc>
          <w:tcPr>
            <w:tcW w:w="1940" w:type="dxa"/>
            <w:vAlign w:val="bottom"/>
            <w:shd w:val="clear" w:color="auto" w:fill="CCEEFF"/>
          </w:tcPr>
          <w:p>
            <w:pPr>
              <w:spacing w:after="0"/>
              <w:rPr>
                <w:sz w:val="12"/>
                <w:szCs w:val="12"/>
                <w:color w:val="auto"/>
              </w:rPr>
            </w:pPr>
          </w:p>
        </w:tc>
        <w:tc>
          <w:tcPr>
            <w:tcW w:w="56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(11,023)</w:t>
            </w:r>
          </w:p>
        </w:tc>
        <w:tc>
          <w:tcPr>
            <w:tcW w:w="1020" w:type="dxa"/>
            <w:vAlign w:val="bottom"/>
            <w:shd w:val="clear" w:color="auto" w:fill="CCEEFF"/>
          </w:tcPr>
          <w:p>
            <w:pPr>
              <w:spacing w:after="0"/>
              <w:rPr>
                <w:sz w:val="12"/>
                <w:szCs w:val="12"/>
                <w:color w:val="auto"/>
              </w:rPr>
            </w:pPr>
          </w:p>
        </w:tc>
        <w:tc>
          <w:tcPr>
            <w:tcW w:w="52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(25)</w:t>
            </w:r>
          </w:p>
        </w:tc>
        <w:tc>
          <w:tcPr>
            <w:tcW w:w="40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56</w:t>
            </w:r>
          </w:p>
        </w:tc>
      </w:tr>
      <w:tr>
        <w:trPr>
          <w:trHeight w:val="142"/>
        </w:trPr>
        <w:tc>
          <w:tcPr>
            <w:tcW w:w="5120" w:type="dxa"/>
            <w:vAlign w:val="bottom"/>
          </w:tcPr>
          <w:p>
            <w:pPr>
              <w:ind w:left="140"/>
              <w:spacing w:after="0"/>
              <w:rPr>
                <w:sz w:val="20"/>
                <w:szCs w:val="20"/>
                <w:color w:val="auto"/>
              </w:rPr>
            </w:pPr>
            <w:r>
              <w:rPr>
                <w:rFonts w:ascii="Arial" w:cs="Arial" w:eastAsia="Arial" w:hAnsi="Arial"/>
                <w:sz w:val="11"/>
                <w:szCs w:val="11"/>
                <w:color w:val="auto"/>
              </w:rPr>
              <w:t>Gain on cinema acquisition and settlement</w:t>
            </w:r>
          </w:p>
        </w:tc>
        <w:tc>
          <w:tcPr>
            <w:tcW w:w="1940" w:type="dxa"/>
            <w:vAlign w:val="bottom"/>
          </w:tcPr>
          <w:p>
            <w:pPr>
              <w:spacing w:after="0"/>
              <w:rPr>
                <w:sz w:val="12"/>
                <w:szCs w:val="12"/>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1020" w:type="dxa"/>
            <w:vAlign w:val="bottom"/>
          </w:tcPr>
          <w:p>
            <w:pPr>
              <w:spacing w:after="0"/>
              <w:rPr>
                <w:sz w:val="12"/>
                <w:szCs w:val="12"/>
                <w:color w:val="auto"/>
              </w:rPr>
            </w:pPr>
          </w:p>
        </w:tc>
        <w:tc>
          <w:tcPr>
            <w:tcW w:w="52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40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(1,359)</w:t>
            </w:r>
          </w:p>
        </w:tc>
      </w:tr>
      <w:tr>
        <w:trPr>
          <w:trHeight w:val="146"/>
        </w:trPr>
        <w:tc>
          <w:tcPr>
            <w:tcW w:w="5120" w:type="dxa"/>
            <w:vAlign w:val="bottom"/>
            <w:shd w:val="clear" w:color="auto" w:fill="CCEEFF"/>
          </w:tcPr>
          <w:p>
            <w:pPr>
              <w:ind w:left="140"/>
              <w:spacing w:after="0"/>
              <w:rPr>
                <w:sz w:val="20"/>
                <w:szCs w:val="20"/>
                <w:color w:val="auto"/>
              </w:rPr>
            </w:pPr>
            <w:r>
              <w:rPr>
                <w:rFonts w:ascii="Arial" w:cs="Arial" w:eastAsia="Arial" w:hAnsi="Arial"/>
                <w:sz w:val="11"/>
                <w:szCs w:val="11"/>
                <w:color w:val="auto"/>
              </w:rPr>
              <w:t>Change in net deferred tax assets</w:t>
            </w:r>
          </w:p>
        </w:tc>
        <w:tc>
          <w:tcPr>
            <w:tcW w:w="1940" w:type="dxa"/>
            <w:vAlign w:val="bottom"/>
            <w:shd w:val="clear" w:color="auto" w:fill="CCEEFF"/>
          </w:tcPr>
          <w:p>
            <w:pPr>
              <w:spacing w:after="0"/>
              <w:rPr>
                <w:sz w:val="12"/>
                <w:szCs w:val="12"/>
                <w:color w:val="auto"/>
              </w:rPr>
            </w:pPr>
          </w:p>
        </w:tc>
        <w:tc>
          <w:tcPr>
            <w:tcW w:w="56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(4,067)</w:t>
            </w:r>
          </w:p>
        </w:tc>
        <w:tc>
          <w:tcPr>
            <w:tcW w:w="1020" w:type="dxa"/>
            <w:vAlign w:val="bottom"/>
            <w:shd w:val="clear" w:color="auto" w:fill="CCEEFF"/>
          </w:tcPr>
          <w:p>
            <w:pPr>
              <w:spacing w:after="0"/>
              <w:rPr>
                <w:sz w:val="12"/>
                <w:szCs w:val="12"/>
                <w:color w:val="auto"/>
              </w:rPr>
            </w:pPr>
          </w:p>
        </w:tc>
        <w:tc>
          <w:tcPr>
            <w:tcW w:w="52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(14,029)</w:t>
            </w:r>
          </w:p>
        </w:tc>
        <w:tc>
          <w:tcPr>
            <w:tcW w:w="40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2,198</w:t>
            </w:r>
          </w:p>
        </w:tc>
      </w:tr>
      <w:tr>
        <w:trPr>
          <w:trHeight w:val="142"/>
        </w:trPr>
        <w:tc>
          <w:tcPr>
            <w:tcW w:w="5120" w:type="dxa"/>
            <w:vAlign w:val="bottom"/>
          </w:tcPr>
          <w:p>
            <w:pPr>
              <w:ind w:left="140"/>
              <w:spacing w:after="0"/>
              <w:rPr>
                <w:sz w:val="20"/>
                <w:szCs w:val="20"/>
                <w:color w:val="auto"/>
              </w:rPr>
            </w:pPr>
            <w:r>
              <w:rPr>
                <w:rFonts w:ascii="Arial" w:cs="Arial" w:eastAsia="Arial" w:hAnsi="Arial"/>
                <w:sz w:val="11"/>
                <w:szCs w:val="11"/>
                <w:color w:val="auto"/>
              </w:rPr>
              <w:t>Depreciation and amortization</w:t>
            </w:r>
          </w:p>
        </w:tc>
        <w:tc>
          <w:tcPr>
            <w:tcW w:w="1940" w:type="dxa"/>
            <w:vAlign w:val="bottom"/>
          </w:tcPr>
          <w:p>
            <w:pPr>
              <w:spacing w:after="0"/>
              <w:rPr>
                <w:sz w:val="12"/>
                <w:szCs w:val="12"/>
                <w:color w:val="auto"/>
              </w:rPr>
            </w:pPr>
          </w:p>
        </w:tc>
        <w:tc>
          <w:tcPr>
            <w:tcW w:w="560" w:type="dxa"/>
            <w:vAlign w:val="bottom"/>
          </w:tcPr>
          <w:p>
            <w:pPr>
              <w:jc w:val="right"/>
              <w:ind w:right="66"/>
              <w:spacing w:after="0"/>
              <w:rPr>
                <w:sz w:val="20"/>
                <w:szCs w:val="20"/>
                <w:color w:val="auto"/>
              </w:rPr>
            </w:pPr>
            <w:r>
              <w:rPr>
                <w:rFonts w:ascii="Arial" w:cs="Arial" w:eastAsia="Arial" w:hAnsi="Arial"/>
                <w:sz w:val="11"/>
                <w:szCs w:val="11"/>
                <w:color w:val="auto"/>
              </w:rPr>
              <w:t>14,562</w:t>
            </w:r>
          </w:p>
        </w:tc>
        <w:tc>
          <w:tcPr>
            <w:tcW w:w="1020" w:type="dxa"/>
            <w:vAlign w:val="bottom"/>
          </w:tcPr>
          <w:p>
            <w:pPr>
              <w:spacing w:after="0"/>
              <w:rPr>
                <w:sz w:val="12"/>
                <w:szCs w:val="12"/>
                <w:color w:val="auto"/>
              </w:rPr>
            </w:pPr>
          </w:p>
        </w:tc>
        <w:tc>
          <w:tcPr>
            <w:tcW w:w="520" w:type="dxa"/>
            <w:vAlign w:val="bottom"/>
          </w:tcPr>
          <w:p>
            <w:pPr>
              <w:jc w:val="right"/>
              <w:ind w:right="46"/>
              <w:spacing w:after="0"/>
              <w:rPr>
                <w:sz w:val="20"/>
                <w:szCs w:val="20"/>
                <w:color w:val="auto"/>
              </w:rPr>
            </w:pPr>
            <w:r>
              <w:rPr>
                <w:rFonts w:ascii="Arial" w:cs="Arial" w:eastAsia="Arial" w:hAnsi="Arial"/>
                <w:sz w:val="11"/>
                <w:szCs w:val="11"/>
                <w:color w:val="auto"/>
              </w:rPr>
              <w:t>15,468</w:t>
            </w:r>
          </w:p>
        </w:tc>
        <w:tc>
          <w:tcPr>
            <w:tcW w:w="40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15,197</w:t>
            </w:r>
          </w:p>
        </w:tc>
      </w:tr>
      <w:tr>
        <w:trPr>
          <w:trHeight w:val="146"/>
        </w:trPr>
        <w:tc>
          <w:tcPr>
            <w:tcW w:w="5120" w:type="dxa"/>
            <w:vAlign w:val="bottom"/>
            <w:shd w:val="clear" w:color="auto" w:fill="CCEEFF"/>
          </w:tcPr>
          <w:p>
            <w:pPr>
              <w:ind w:left="140"/>
              <w:spacing w:after="0"/>
              <w:rPr>
                <w:sz w:val="20"/>
                <w:szCs w:val="20"/>
                <w:color w:val="auto"/>
              </w:rPr>
            </w:pPr>
            <w:r>
              <w:rPr>
                <w:rFonts w:ascii="Arial" w:cs="Arial" w:eastAsia="Arial" w:hAnsi="Arial"/>
                <w:sz w:val="11"/>
                <w:szCs w:val="11"/>
                <w:color w:val="auto"/>
              </w:rPr>
              <w:t>Other amortization</w:t>
            </w:r>
          </w:p>
        </w:tc>
        <w:tc>
          <w:tcPr>
            <w:tcW w:w="1940" w:type="dxa"/>
            <w:vAlign w:val="bottom"/>
            <w:shd w:val="clear" w:color="auto" w:fill="CCEEFF"/>
          </w:tcPr>
          <w:p>
            <w:pPr>
              <w:spacing w:after="0"/>
              <w:rPr>
                <w:sz w:val="12"/>
                <w:szCs w:val="12"/>
                <w:color w:val="auto"/>
              </w:rPr>
            </w:pPr>
          </w:p>
        </w:tc>
        <w:tc>
          <w:tcPr>
            <w:tcW w:w="56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919</w:t>
            </w:r>
          </w:p>
        </w:tc>
        <w:tc>
          <w:tcPr>
            <w:tcW w:w="1020" w:type="dxa"/>
            <w:vAlign w:val="bottom"/>
            <w:shd w:val="clear" w:color="auto" w:fill="CCEEFF"/>
          </w:tcPr>
          <w:p>
            <w:pPr>
              <w:spacing w:after="0"/>
              <w:rPr>
                <w:sz w:val="12"/>
                <w:szCs w:val="12"/>
                <w:color w:val="auto"/>
              </w:rPr>
            </w:pPr>
          </w:p>
        </w:tc>
        <w:tc>
          <w:tcPr>
            <w:tcW w:w="52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2,077</w:t>
            </w:r>
          </w:p>
        </w:tc>
        <w:tc>
          <w:tcPr>
            <w:tcW w:w="40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2,601</w:t>
            </w:r>
          </w:p>
        </w:tc>
      </w:tr>
      <w:tr>
        <w:trPr>
          <w:trHeight w:val="142"/>
        </w:trPr>
        <w:tc>
          <w:tcPr>
            <w:tcW w:w="5120" w:type="dxa"/>
            <w:vAlign w:val="bottom"/>
          </w:tcPr>
          <w:p>
            <w:pPr>
              <w:ind w:left="140"/>
              <w:spacing w:after="0"/>
              <w:rPr>
                <w:sz w:val="20"/>
                <w:szCs w:val="20"/>
                <w:color w:val="auto"/>
              </w:rPr>
            </w:pPr>
            <w:r>
              <w:rPr>
                <w:rFonts w:ascii="Arial" w:cs="Arial" w:eastAsia="Arial" w:hAnsi="Arial"/>
                <w:sz w:val="11"/>
                <w:szCs w:val="11"/>
                <w:color w:val="auto"/>
              </w:rPr>
              <w:t>Stock based compensation expense</w:t>
            </w:r>
          </w:p>
        </w:tc>
        <w:tc>
          <w:tcPr>
            <w:tcW w:w="1940" w:type="dxa"/>
            <w:vAlign w:val="bottom"/>
          </w:tcPr>
          <w:p>
            <w:pPr>
              <w:spacing w:after="0"/>
              <w:rPr>
                <w:sz w:val="12"/>
                <w:szCs w:val="12"/>
                <w:color w:val="auto"/>
              </w:rPr>
            </w:pPr>
          </w:p>
        </w:tc>
        <w:tc>
          <w:tcPr>
            <w:tcW w:w="560" w:type="dxa"/>
            <w:vAlign w:val="bottom"/>
          </w:tcPr>
          <w:p>
            <w:pPr>
              <w:jc w:val="right"/>
              <w:ind w:right="66"/>
              <w:spacing w:after="0"/>
              <w:rPr>
                <w:sz w:val="20"/>
                <w:szCs w:val="20"/>
                <w:color w:val="auto"/>
              </w:rPr>
            </w:pPr>
            <w:r>
              <w:rPr>
                <w:rFonts w:ascii="Arial" w:cs="Arial" w:eastAsia="Arial" w:hAnsi="Arial"/>
                <w:sz w:val="11"/>
                <w:szCs w:val="11"/>
                <w:color w:val="auto"/>
              </w:rPr>
              <w:t>1,458</w:t>
            </w:r>
          </w:p>
        </w:tc>
        <w:tc>
          <w:tcPr>
            <w:tcW w:w="1020" w:type="dxa"/>
            <w:vAlign w:val="bottom"/>
          </w:tcPr>
          <w:p>
            <w:pPr>
              <w:spacing w:after="0"/>
              <w:rPr>
                <w:sz w:val="12"/>
                <w:szCs w:val="12"/>
                <w:color w:val="auto"/>
              </w:rPr>
            </w:pPr>
          </w:p>
        </w:tc>
        <w:tc>
          <w:tcPr>
            <w:tcW w:w="520" w:type="dxa"/>
            <w:vAlign w:val="bottom"/>
          </w:tcPr>
          <w:p>
            <w:pPr>
              <w:jc w:val="right"/>
              <w:ind w:right="46"/>
              <w:spacing w:after="0"/>
              <w:rPr>
                <w:sz w:val="20"/>
                <w:szCs w:val="20"/>
                <w:color w:val="auto"/>
              </w:rPr>
            </w:pPr>
            <w:r>
              <w:rPr>
                <w:rFonts w:ascii="Arial" w:cs="Arial" w:eastAsia="Arial" w:hAnsi="Arial"/>
                <w:sz w:val="11"/>
                <w:szCs w:val="11"/>
                <w:color w:val="auto"/>
              </w:rPr>
              <w:t>1,413</w:t>
            </w:r>
          </w:p>
        </w:tc>
        <w:tc>
          <w:tcPr>
            <w:tcW w:w="40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950</w:t>
            </w:r>
          </w:p>
        </w:tc>
      </w:tr>
      <w:tr>
        <w:trPr>
          <w:trHeight w:val="146"/>
        </w:trPr>
        <w:tc>
          <w:tcPr>
            <w:tcW w:w="5120" w:type="dxa"/>
            <w:vAlign w:val="bottom"/>
            <w:shd w:val="clear" w:color="auto" w:fill="CCEEFF"/>
          </w:tcPr>
          <w:p>
            <w:pPr>
              <w:ind w:left="140"/>
              <w:spacing w:after="0"/>
              <w:rPr>
                <w:sz w:val="20"/>
                <w:szCs w:val="20"/>
                <w:color w:val="auto"/>
              </w:rPr>
            </w:pPr>
            <w:r>
              <w:rPr>
                <w:rFonts w:ascii="Arial" w:cs="Arial" w:eastAsia="Arial" w:hAnsi="Arial"/>
                <w:sz w:val="11"/>
                <w:szCs w:val="11"/>
                <w:color w:val="auto"/>
              </w:rPr>
              <w:t>Net change in:</w:t>
            </w:r>
          </w:p>
        </w:tc>
        <w:tc>
          <w:tcPr>
            <w:tcW w:w="19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r>
      <w:tr>
        <w:trPr>
          <w:trHeight w:val="142"/>
        </w:trPr>
        <w:tc>
          <w:tcPr>
            <w:tcW w:w="5120" w:type="dxa"/>
            <w:vAlign w:val="bottom"/>
          </w:tcPr>
          <w:p>
            <w:pPr>
              <w:ind w:left="220"/>
              <w:spacing w:after="0"/>
              <w:rPr>
                <w:sz w:val="20"/>
                <w:szCs w:val="20"/>
                <w:color w:val="auto"/>
              </w:rPr>
            </w:pPr>
            <w:r>
              <w:rPr>
                <w:rFonts w:ascii="Arial" w:cs="Arial" w:eastAsia="Arial" w:hAnsi="Arial"/>
                <w:sz w:val="11"/>
                <w:szCs w:val="11"/>
                <w:color w:val="auto"/>
              </w:rPr>
              <w:t>Receivables</w:t>
            </w:r>
          </w:p>
        </w:tc>
        <w:tc>
          <w:tcPr>
            <w:tcW w:w="1940" w:type="dxa"/>
            <w:vAlign w:val="bottom"/>
          </w:tcPr>
          <w:p>
            <w:pPr>
              <w:spacing w:after="0"/>
              <w:rPr>
                <w:sz w:val="12"/>
                <w:szCs w:val="12"/>
                <w:color w:val="auto"/>
              </w:rPr>
            </w:pPr>
          </w:p>
        </w:tc>
        <w:tc>
          <w:tcPr>
            <w:tcW w:w="560" w:type="dxa"/>
            <w:vAlign w:val="bottom"/>
          </w:tcPr>
          <w:p>
            <w:pPr>
              <w:jc w:val="right"/>
              <w:ind w:right="66"/>
              <w:spacing w:after="0"/>
              <w:rPr>
                <w:sz w:val="20"/>
                <w:szCs w:val="20"/>
                <w:color w:val="auto"/>
              </w:rPr>
            </w:pPr>
            <w:r>
              <w:rPr>
                <w:rFonts w:ascii="Arial" w:cs="Arial" w:eastAsia="Arial" w:hAnsi="Arial"/>
                <w:sz w:val="11"/>
                <w:szCs w:val="11"/>
                <w:color w:val="auto"/>
              </w:rPr>
              <w:t>620</w:t>
            </w:r>
          </w:p>
        </w:tc>
        <w:tc>
          <w:tcPr>
            <w:tcW w:w="1020" w:type="dxa"/>
            <w:vAlign w:val="bottom"/>
          </w:tcPr>
          <w:p>
            <w:pPr>
              <w:spacing w:after="0"/>
              <w:rPr>
                <w:sz w:val="12"/>
                <w:szCs w:val="12"/>
                <w:color w:val="auto"/>
              </w:rPr>
            </w:pPr>
          </w:p>
        </w:tc>
        <w:tc>
          <w:tcPr>
            <w:tcW w:w="520" w:type="dxa"/>
            <w:vAlign w:val="bottom"/>
          </w:tcPr>
          <w:p>
            <w:pPr>
              <w:jc w:val="right"/>
              <w:ind w:right="26"/>
              <w:spacing w:after="0"/>
              <w:rPr>
                <w:sz w:val="20"/>
                <w:szCs w:val="20"/>
                <w:color w:val="auto"/>
              </w:rPr>
            </w:pPr>
            <w:r>
              <w:rPr>
                <w:rFonts w:ascii="Arial" w:cs="Arial" w:eastAsia="Arial" w:hAnsi="Arial"/>
                <w:sz w:val="11"/>
                <w:szCs w:val="11"/>
                <w:color w:val="auto"/>
              </w:rPr>
              <w:t>(2,753)</w:t>
            </w:r>
          </w:p>
        </w:tc>
        <w:tc>
          <w:tcPr>
            <w:tcW w:w="40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281</w:t>
            </w:r>
          </w:p>
        </w:tc>
      </w:tr>
      <w:tr>
        <w:trPr>
          <w:trHeight w:val="146"/>
        </w:trPr>
        <w:tc>
          <w:tcPr>
            <w:tcW w:w="5120" w:type="dxa"/>
            <w:vAlign w:val="bottom"/>
            <w:shd w:val="clear" w:color="auto" w:fill="CCEEFF"/>
          </w:tcPr>
          <w:p>
            <w:pPr>
              <w:ind w:left="220"/>
              <w:spacing w:after="0"/>
              <w:rPr>
                <w:sz w:val="20"/>
                <w:szCs w:val="20"/>
                <w:color w:val="auto"/>
              </w:rPr>
            </w:pPr>
            <w:r>
              <w:rPr>
                <w:rFonts w:ascii="Arial" w:cs="Arial" w:eastAsia="Arial" w:hAnsi="Arial"/>
                <w:sz w:val="11"/>
                <w:szCs w:val="11"/>
                <w:color w:val="auto"/>
              </w:rPr>
              <w:t>Prepaid and other assets</w:t>
            </w:r>
          </w:p>
        </w:tc>
        <w:tc>
          <w:tcPr>
            <w:tcW w:w="1940" w:type="dxa"/>
            <w:vAlign w:val="bottom"/>
            <w:shd w:val="clear" w:color="auto" w:fill="CCEEFF"/>
          </w:tcPr>
          <w:p>
            <w:pPr>
              <w:spacing w:after="0"/>
              <w:rPr>
                <w:sz w:val="12"/>
                <w:szCs w:val="12"/>
                <w:color w:val="auto"/>
              </w:rPr>
            </w:pPr>
          </w:p>
        </w:tc>
        <w:tc>
          <w:tcPr>
            <w:tcW w:w="56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(2,386)</w:t>
            </w:r>
          </w:p>
        </w:tc>
        <w:tc>
          <w:tcPr>
            <w:tcW w:w="1020" w:type="dxa"/>
            <w:vAlign w:val="bottom"/>
            <w:shd w:val="clear" w:color="auto" w:fill="CCEEFF"/>
          </w:tcPr>
          <w:p>
            <w:pPr>
              <w:spacing w:after="0"/>
              <w:rPr>
                <w:sz w:val="12"/>
                <w:szCs w:val="12"/>
                <w:color w:val="auto"/>
              </w:rPr>
            </w:pPr>
          </w:p>
        </w:tc>
        <w:tc>
          <w:tcPr>
            <w:tcW w:w="52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(493)</w:t>
            </w:r>
          </w:p>
        </w:tc>
        <w:tc>
          <w:tcPr>
            <w:tcW w:w="40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w:t>
            </w:r>
          </w:p>
        </w:tc>
      </w:tr>
      <w:tr>
        <w:trPr>
          <w:trHeight w:val="142"/>
        </w:trPr>
        <w:tc>
          <w:tcPr>
            <w:tcW w:w="5120" w:type="dxa"/>
            <w:vAlign w:val="bottom"/>
          </w:tcPr>
          <w:p>
            <w:pPr>
              <w:ind w:left="220"/>
              <w:spacing w:after="0"/>
              <w:rPr>
                <w:sz w:val="20"/>
                <w:szCs w:val="20"/>
                <w:color w:val="auto"/>
              </w:rPr>
            </w:pPr>
            <w:r>
              <w:rPr>
                <w:rFonts w:ascii="Arial" w:cs="Arial" w:eastAsia="Arial" w:hAnsi="Arial"/>
                <w:sz w:val="11"/>
                <w:szCs w:val="11"/>
                <w:color w:val="auto"/>
              </w:rPr>
              <w:t>Accounts payable and accrued expenses</w:t>
            </w:r>
          </w:p>
        </w:tc>
        <w:tc>
          <w:tcPr>
            <w:tcW w:w="1940" w:type="dxa"/>
            <w:vAlign w:val="bottom"/>
          </w:tcPr>
          <w:p>
            <w:pPr>
              <w:spacing w:after="0"/>
              <w:rPr>
                <w:sz w:val="12"/>
                <w:szCs w:val="12"/>
                <w:color w:val="auto"/>
              </w:rPr>
            </w:pPr>
          </w:p>
        </w:tc>
        <w:tc>
          <w:tcPr>
            <w:tcW w:w="560" w:type="dxa"/>
            <w:vAlign w:val="bottom"/>
          </w:tcPr>
          <w:p>
            <w:pPr>
              <w:jc w:val="right"/>
              <w:ind w:right="66"/>
              <w:spacing w:after="0"/>
              <w:rPr>
                <w:sz w:val="20"/>
                <w:szCs w:val="20"/>
                <w:color w:val="auto"/>
              </w:rPr>
            </w:pPr>
            <w:r>
              <w:rPr>
                <w:rFonts w:ascii="Arial" w:cs="Arial" w:eastAsia="Arial" w:hAnsi="Arial"/>
                <w:sz w:val="11"/>
                <w:szCs w:val="11"/>
                <w:color w:val="auto"/>
              </w:rPr>
              <w:t>6,479</w:t>
            </w:r>
          </w:p>
        </w:tc>
        <w:tc>
          <w:tcPr>
            <w:tcW w:w="1020" w:type="dxa"/>
            <w:vAlign w:val="bottom"/>
          </w:tcPr>
          <w:p>
            <w:pPr>
              <w:spacing w:after="0"/>
              <w:rPr>
                <w:sz w:val="12"/>
                <w:szCs w:val="12"/>
                <w:color w:val="auto"/>
              </w:rPr>
            </w:pPr>
          </w:p>
        </w:tc>
        <w:tc>
          <w:tcPr>
            <w:tcW w:w="520" w:type="dxa"/>
            <w:vAlign w:val="bottom"/>
          </w:tcPr>
          <w:p>
            <w:pPr>
              <w:jc w:val="right"/>
              <w:ind w:right="46"/>
              <w:spacing w:after="0"/>
              <w:rPr>
                <w:sz w:val="20"/>
                <w:szCs w:val="20"/>
                <w:color w:val="auto"/>
              </w:rPr>
            </w:pPr>
            <w:r>
              <w:rPr>
                <w:rFonts w:ascii="Arial" w:cs="Arial" w:eastAsia="Arial" w:hAnsi="Arial"/>
                <w:sz w:val="11"/>
                <w:szCs w:val="11"/>
                <w:color w:val="auto"/>
              </w:rPr>
              <w:t>148</w:t>
            </w:r>
          </w:p>
        </w:tc>
        <w:tc>
          <w:tcPr>
            <w:tcW w:w="40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556</w:t>
            </w:r>
          </w:p>
        </w:tc>
      </w:tr>
      <w:tr>
        <w:trPr>
          <w:trHeight w:val="146"/>
        </w:trPr>
        <w:tc>
          <w:tcPr>
            <w:tcW w:w="5120" w:type="dxa"/>
            <w:vAlign w:val="bottom"/>
            <w:shd w:val="clear" w:color="auto" w:fill="CCEEFF"/>
          </w:tcPr>
          <w:p>
            <w:pPr>
              <w:ind w:left="220"/>
              <w:spacing w:after="0"/>
              <w:rPr>
                <w:sz w:val="20"/>
                <w:szCs w:val="20"/>
                <w:color w:val="auto"/>
              </w:rPr>
            </w:pPr>
            <w:r>
              <w:rPr>
                <w:rFonts w:ascii="Arial" w:cs="Arial" w:eastAsia="Arial" w:hAnsi="Arial"/>
                <w:sz w:val="11"/>
                <w:szCs w:val="11"/>
                <w:color w:val="auto"/>
              </w:rPr>
              <w:t>Film rent payable</w:t>
            </w:r>
          </w:p>
        </w:tc>
        <w:tc>
          <w:tcPr>
            <w:tcW w:w="1940" w:type="dxa"/>
            <w:vAlign w:val="bottom"/>
            <w:shd w:val="clear" w:color="auto" w:fill="CCEEFF"/>
          </w:tcPr>
          <w:p>
            <w:pPr>
              <w:spacing w:after="0"/>
              <w:rPr>
                <w:sz w:val="12"/>
                <w:szCs w:val="12"/>
                <w:color w:val="auto"/>
              </w:rPr>
            </w:pPr>
          </w:p>
        </w:tc>
        <w:tc>
          <w:tcPr>
            <w:tcW w:w="56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282</w:t>
            </w:r>
          </w:p>
        </w:tc>
        <w:tc>
          <w:tcPr>
            <w:tcW w:w="1020" w:type="dxa"/>
            <w:vAlign w:val="bottom"/>
            <w:shd w:val="clear" w:color="auto" w:fill="CCEEFF"/>
          </w:tcPr>
          <w:p>
            <w:pPr>
              <w:spacing w:after="0"/>
              <w:rPr>
                <w:sz w:val="12"/>
                <w:szCs w:val="12"/>
                <w:color w:val="auto"/>
              </w:rPr>
            </w:pPr>
          </w:p>
        </w:tc>
        <w:tc>
          <w:tcPr>
            <w:tcW w:w="52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3,117</w:t>
            </w:r>
          </w:p>
        </w:tc>
        <w:tc>
          <w:tcPr>
            <w:tcW w:w="40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133</w:t>
            </w:r>
          </w:p>
        </w:tc>
      </w:tr>
      <w:tr>
        <w:trPr>
          <w:trHeight w:val="142"/>
        </w:trPr>
        <w:tc>
          <w:tcPr>
            <w:tcW w:w="5120" w:type="dxa"/>
            <w:vAlign w:val="bottom"/>
          </w:tcPr>
          <w:p>
            <w:pPr>
              <w:ind w:left="220"/>
              <w:spacing w:after="0"/>
              <w:rPr>
                <w:sz w:val="20"/>
                <w:szCs w:val="20"/>
                <w:color w:val="auto"/>
              </w:rPr>
            </w:pPr>
            <w:r>
              <w:rPr>
                <w:rFonts w:ascii="Arial" w:cs="Arial" w:eastAsia="Arial" w:hAnsi="Arial"/>
                <w:sz w:val="11"/>
                <w:szCs w:val="11"/>
                <w:color w:val="auto"/>
              </w:rPr>
              <w:t>Taxes payable</w:t>
            </w:r>
          </w:p>
        </w:tc>
        <w:tc>
          <w:tcPr>
            <w:tcW w:w="1940" w:type="dxa"/>
            <w:vAlign w:val="bottom"/>
          </w:tcPr>
          <w:p>
            <w:pPr>
              <w:spacing w:after="0"/>
              <w:rPr>
                <w:sz w:val="12"/>
                <w:szCs w:val="12"/>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(631)</w:t>
            </w:r>
          </w:p>
        </w:tc>
        <w:tc>
          <w:tcPr>
            <w:tcW w:w="1020" w:type="dxa"/>
            <w:vAlign w:val="bottom"/>
          </w:tcPr>
          <w:p>
            <w:pPr>
              <w:spacing w:after="0"/>
              <w:rPr>
                <w:sz w:val="12"/>
                <w:szCs w:val="12"/>
                <w:color w:val="auto"/>
              </w:rPr>
            </w:pPr>
          </w:p>
        </w:tc>
        <w:tc>
          <w:tcPr>
            <w:tcW w:w="520" w:type="dxa"/>
            <w:vAlign w:val="bottom"/>
          </w:tcPr>
          <w:p>
            <w:pPr>
              <w:jc w:val="right"/>
              <w:ind w:right="26"/>
              <w:spacing w:after="0"/>
              <w:rPr>
                <w:sz w:val="20"/>
                <w:szCs w:val="20"/>
                <w:color w:val="auto"/>
              </w:rPr>
            </w:pPr>
            <w:r>
              <w:rPr>
                <w:rFonts w:ascii="Arial" w:cs="Arial" w:eastAsia="Arial" w:hAnsi="Arial"/>
                <w:sz w:val="11"/>
                <w:szCs w:val="11"/>
                <w:color w:val="auto"/>
              </w:rPr>
              <w:t>(4,743)</w:t>
            </w:r>
          </w:p>
        </w:tc>
        <w:tc>
          <w:tcPr>
            <w:tcW w:w="40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(3,294)</w:t>
            </w:r>
          </w:p>
        </w:tc>
      </w:tr>
      <w:tr>
        <w:trPr>
          <w:trHeight w:val="144"/>
        </w:trPr>
        <w:tc>
          <w:tcPr>
            <w:tcW w:w="512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1"/>
                <w:szCs w:val="11"/>
                <w:color w:val="auto"/>
              </w:rPr>
              <w:t>Deferred revenue and other liabilities</w:t>
            </w:r>
          </w:p>
        </w:tc>
        <w:tc>
          <w:tcPr>
            <w:tcW w:w="194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1"/>
                <w:szCs w:val="11"/>
                <w:color w:val="auto"/>
              </w:rPr>
              <w:t>(203)</w:t>
            </w:r>
          </w:p>
        </w:tc>
        <w:tc>
          <w:tcPr>
            <w:tcW w:w="102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1"/>
                <w:szCs w:val="11"/>
                <w:color w:val="auto"/>
              </w:rPr>
              <w:t>2,677</w:t>
            </w:r>
          </w:p>
        </w:tc>
        <w:tc>
          <w:tcPr>
            <w:tcW w:w="400" w:type="dxa"/>
            <w:vAlign w:val="bottom"/>
            <w:tcBorders>
              <w:bottom w:val="single" w:sz="8" w:color="auto"/>
            </w:tcBorders>
            <w:shd w:val="clear" w:color="auto" w:fill="CCEEFF"/>
          </w:tcPr>
          <w:p>
            <w:pPr>
              <w:spacing w:after="0"/>
              <w:rPr>
                <w:sz w:val="12"/>
                <w:szCs w:val="1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(576)</w:t>
            </w:r>
          </w:p>
        </w:tc>
      </w:tr>
      <w:tr>
        <w:trPr>
          <w:trHeight w:val="133"/>
        </w:trPr>
        <w:tc>
          <w:tcPr>
            <w:tcW w:w="5120" w:type="dxa"/>
            <w:vAlign w:val="bottom"/>
            <w:tcBorders>
              <w:bottom w:val="single" w:sz="8" w:color="auto"/>
            </w:tcBorders>
          </w:tcPr>
          <w:p>
            <w:pPr>
              <w:spacing w:after="0"/>
              <w:rPr>
                <w:sz w:val="20"/>
                <w:szCs w:val="20"/>
                <w:color w:val="auto"/>
              </w:rPr>
            </w:pPr>
            <w:r>
              <w:rPr>
                <w:rFonts w:ascii="Arial" w:cs="Arial" w:eastAsia="Arial" w:hAnsi="Arial"/>
                <w:sz w:val="11"/>
                <w:szCs w:val="11"/>
                <w:color w:val="auto"/>
              </w:rPr>
              <w:t>Net cash provided by operating activities</w:t>
            </w:r>
          </w:p>
        </w:tc>
        <w:tc>
          <w:tcPr>
            <w:tcW w:w="194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28,574</w:t>
            </w:r>
          </w:p>
        </w:tc>
        <w:tc>
          <w:tcPr>
            <w:tcW w:w="102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46"/>
              <w:spacing w:after="0"/>
              <w:rPr>
                <w:sz w:val="20"/>
                <w:szCs w:val="20"/>
                <w:color w:val="auto"/>
              </w:rPr>
            </w:pPr>
            <w:r>
              <w:rPr>
                <w:rFonts w:ascii="Arial" w:cs="Arial" w:eastAsia="Arial" w:hAnsi="Arial"/>
                <w:sz w:val="11"/>
                <w:szCs w:val="11"/>
                <w:color w:val="auto"/>
              </w:rPr>
              <w:t>28,343</w:t>
            </w:r>
          </w:p>
        </w:tc>
        <w:tc>
          <w:tcPr>
            <w:tcW w:w="40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25,183</w:t>
            </w:r>
          </w:p>
        </w:tc>
      </w:tr>
      <w:tr>
        <w:trPr>
          <w:trHeight w:val="135"/>
        </w:trPr>
        <w:tc>
          <w:tcPr>
            <w:tcW w:w="512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Investing Activities</w:t>
            </w:r>
          </w:p>
        </w:tc>
        <w:tc>
          <w:tcPr>
            <w:tcW w:w="19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r>
      <w:tr>
        <w:trPr>
          <w:trHeight w:val="142"/>
        </w:trPr>
        <w:tc>
          <w:tcPr>
            <w:tcW w:w="5120" w:type="dxa"/>
            <w:vAlign w:val="bottom"/>
          </w:tcPr>
          <w:p>
            <w:pPr>
              <w:ind w:left="140"/>
              <w:spacing w:after="0"/>
              <w:rPr>
                <w:sz w:val="20"/>
                <w:szCs w:val="20"/>
                <w:color w:val="auto"/>
              </w:rPr>
            </w:pPr>
            <w:r>
              <w:rPr>
                <w:rFonts w:ascii="Arial" w:cs="Arial" w:eastAsia="Arial" w:hAnsi="Arial"/>
                <w:sz w:val="11"/>
                <w:szCs w:val="11"/>
                <w:color w:val="auto"/>
              </w:rPr>
              <w:t>Cash received from cinema acquisition</w:t>
            </w:r>
          </w:p>
        </w:tc>
        <w:tc>
          <w:tcPr>
            <w:tcW w:w="1940" w:type="dxa"/>
            <w:vAlign w:val="bottom"/>
          </w:tcPr>
          <w:p>
            <w:pPr>
              <w:spacing w:after="0"/>
              <w:rPr>
                <w:sz w:val="12"/>
                <w:szCs w:val="12"/>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1020" w:type="dxa"/>
            <w:vAlign w:val="bottom"/>
          </w:tcPr>
          <w:p>
            <w:pPr>
              <w:spacing w:after="0"/>
              <w:rPr>
                <w:sz w:val="12"/>
                <w:szCs w:val="12"/>
                <w:color w:val="auto"/>
              </w:rPr>
            </w:pPr>
          </w:p>
        </w:tc>
        <w:tc>
          <w:tcPr>
            <w:tcW w:w="52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40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1,936</w:t>
            </w:r>
          </w:p>
        </w:tc>
      </w:tr>
      <w:tr>
        <w:trPr>
          <w:trHeight w:val="146"/>
        </w:trPr>
        <w:tc>
          <w:tcPr>
            <w:tcW w:w="5120" w:type="dxa"/>
            <w:vAlign w:val="bottom"/>
            <w:shd w:val="clear" w:color="auto" w:fill="CCEEFF"/>
          </w:tcPr>
          <w:p>
            <w:pPr>
              <w:ind w:left="140"/>
              <w:spacing w:after="0"/>
              <w:rPr>
                <w:sz w:val="20"/>
                <w:szCs w:val="20"/>
                <w:color w:val="auto"/>
              </w:rPr>
            </w:pPr>
            <w:r>
              <w:rPr>
                <w:rFonts w:ascii="Arial" w:cs="Arial" w:eastAsia="Arial" w:hAnsi="Arial"/>
                <w:sz w:val="11"/>
                <w:szCs w:val="11"/>
                <w:color w:val="auto"/>
              </w:rPr>
              <w:t>Purchases of and additions to operating property</w:t>
            </w:r>
          </w:p>
        </w:tc>
        <w:tc>
          <w:tcPr>
            <w:tcW w:w="1940" w:type="dxa"/>
            <w:vAlign w:val="bottom"/>
            <w:shd w:val="clear" w:color="auto" w:fill="CCEEFF"/>
          </w:tcPr>
          <w:p>
            <w:pPr>
              <w:spacing w:after="0"/>
              <w:rPr>
                <w:sz w:val="12"/>
                <w:szCs w:val="12"/>
                <w:color w:val="auto"/>
              </w:rPr>
            </w:pPr>
          </w:p>
        </w:tc>
        <w:tc>
          <w:tcPr>
            <w:tcW w:w="56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(53,119)</w:t>
            </w:r>
          </w:p>
        </w:tc>
        <w:tc>
          <w:tcPr>
            <w:tcW w:w="1020" w:type="dxa"/>
            <w:vAlign w:val="bottom"/>
            <w:shd w:val="clear" w:color="auto" w:fill="CCEEFF"/>
          </w:tcPr>
          <w:p>
            <w:pPr>
              <w:spacing w:after="0"/>
              <w:rPr>
                <w:sz w:val="12"/>
                <w:szCs w:val="12"/>
                <w:color w:val="auto"/>
              </w:rPr>
            </w:pPr>
          </w:p>
        </w:tc>
        <w:tc>
          <w:tcPr>
            <w:tcW w:w="52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(14,914)</w:t>
            </w:r>
          </w:p>
        </w:tc>
        <w:tc>
          <w:tcPr>
            <w:tcW w:w="40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(20,082)</w:t>
            </w:r>
          </w:p>
        </w:tc>
      </w:tr>
      <w:tr>
        <w:trPr>
          <w:trHeight w:val="142"/>
        </w:trPr>
        <w:tc>
          <w:tcPr>
            <w:tcW w:w="5120" w:type="dxa"/>
            <w:vAlign w:val="bottom"/>
          </w:tcPr>
          <w:p>
            <w:pPr>
              <w:ind w:left="140"/>
              <w:spacing w:after="0"/>
              <w:rPr>
                <w:sz w:val="20"/>
                <w:szCs w:val="20"/>
                <w:color w:val="auto"/>
              </w:rPr>
            </w:pPr>
            <w:r>
              <w:rPr>
                <w:rFonts w:ascii="Arial" w:cs="Arial" w:eastAsia="Arial" w:hAnsi="Arial"/>
                <w:sz w:val="11"/>
                <w:szCs w:val="11"/>
                <w:color w:val="auto"/>
              </w:rPr>
              <w:t>Change in restricted cash</w:t>
            </w:r>
          </w:p>
        </w:tc>
        <w:tc>
          <w:tcPr>
            <w:tcW w:w="1940" w:type="dxa"/>
            <w:vAlign w:val="bottom"/>
          </w:tcPr>
          <w:p>
            <w:pPr>
              <w:spacing w:after="0"/>
              <w:rPr>
                <w:sz w:val="12"/>
                <w:szCs w:val="12"/>
                <w:color w:val="auto"/>
              </w:rPr>
            </w:pPr>
          </w:p>
        </w:tc>
        <w:tc>
          <w:tcPr>
            <w:tcW w:w="560" w:type="dxa"/>
            <w:vAlign w:val="bottom"/>
          </w:tcPr>
          <w:p>
            <w:pPr>
              <w:jc w:val="right"/>
              <w:ind w:right="66"/>
              <w:spacing w:after="0"/>
              <w:rPr>
                <w:sz w:val="20"/>
                <w:szCs w:val="20"/>
                <w:color w:val="auto"/>
              </w:rPr>
            </w:pPr>
            <w:r>
              <w:rPr>
                <w:rFonts w:ascii="Arial" w:cs="Arial" w:eastAsia="Arial" w:hAnsi="Arial"/>
                <w:sz w:val="11"/>
                <w:szCs w:val="11"/>
                <w:color w:val="auto"/>
              </w:rPr>
              <w:t>1,292</w:t>
            </w:r>
          </w:p>
        </w:tc>
        <w:tc>
          <w:tcPr>
            <w:tcW w:w="1020" w:type="dxa"/>
            <w:vAlign w:val="bottom"/>
          </w:tcPr>
          <w:p>
            <w:pPr>
              <w:spacing w:after="0"/>
              <w:rPr>
                <w:sz w:val="12"/>
                <w:szCs w:val="12"/>
                <w:color w:val="auto"/>
              </w:rPr>
            </w:pPr>
          </w:p>
        </w:tc>
        <w:tc>
          <w:tcPr>
            <w:tcW w:w="520" w:type="dxa"/>
            <w:vAlign w:val="bottom"/>
          </w:tcPr>
          <w:p>
            <w:pPr>
              <w:jc w:val="right"/>
              <w:ind w:right="26"/>
              <w:spacing w:after="0"/>
              <w:rPr>
                <w:sz w:val="20"/>
                <w:szCs w:val="20"/>
                <w:color w:val="auto"/>
              </w:rPr>
            </w:pPr>
            <w:r>
              <w:rPr>
                <w:rFonts w:ascii="Arial" w:cs="Arial" w:eastAsia="Arial" w:hAnsi="Arial"/>
                <w:sz w:val="11"/>
                <w:szCs w:val="11"/>
                <w:color w:val="auto"/>
              </w:rPr>
              <w:t>(614)</w:t>
            </w:r>
          </w:p>
        </w:tc>
        <w:tc>
          <w:tcPr>
            <w:tcW w:w="40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1,609</w:t>
            </w:r>
          </w:p>
        </w:tc>
      </w:tr>
      <w:tr>
        <w:trPr>
          <w:trHeight w:val="146"/>
        </w:trPr>
        <w:tc>
          <w:tcPr>
            <w:tcW w:w="5120" w:type="dxa"/>
            <w:vAlign w:val="bottom"/>
            <w:shd w:val="clear" w:color="auto" w:fill="CCEEFF"/>
          </w:tcPr>
          <w:p>
            <w:pPr>
              <w:ind w:left="140"/>
              <w:spacing w:after="0"/>
              <w:rPr>
                <w:sz w:val="20"/>
                <w:szCs w:val="20"/>
                <w:color w:val="auto"/>
              </w:rPr>
            </w:pPr>
            <w:r>
              <w:rPr>
                <w:rFonts w:ascii="Arial" w:cs="Arial" w:eastAsia="Arial" w:hAnsi="Arial"/>
                <w:sz w:val="11"/>
                <w:szCs w:val="11"/>
                <w:color w:val="auto"/>
              </w:rPr>
              <w:t>Proceeds from notes receivable</w:t>
            </w:r>
          </w:p>
        </w:tc>
        <w:tc>
          <w:tcPr>
            <w:tcW w:w="1940" w:type="dxa"/>
            <w:vAlign w:val="bottom"/>
            <w:shd w:val="clear" w:color="auto" w:fill="CCEEFF"/>
          </w:tcPr>
          <w:p>
            <w:pPr>
              <w:spacing w:after="0"/>
              <w:rPr>
                <w:sz w:val="12"/>
                <w:szCs w:val="12"/>
                <w:color w:val="auto"/>
              </w:rPr>
            </w:pPr>
          </w:p>
        </w:tc>
        <w:tc>
          <w:tcPr>
            <w:tcW w:w="56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w:t>
            </w:r>
          </w:p>
        </w:tc>
        <w:tc>
          <w:tcPr>
            <w:tcW w:w="1020" w:type="dxa"/>
            <w:vAlign w:val="bottom"/>
            <w:shd w:val="clear" w:color="auto" w:fill="CCEEFF"/>
          </w:tcPr>
          <w:p>
            <w:pPr>
              <w:spacing w:after="0"/>
              <w:rPr>
                <w:sz w:val="12"/>
                <w:szCs w:val="12"/>
                <w:color w:val="auto"/>
              </w:rPr>
            </w:pPr>
          </w:p>
        </w:tc>
        <w:tc>
          <w:tcPr>
            <w:tcW w:w="52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w:t>
            </w:r>
          </w:p>
        </w:tc>
        <w:tc>
          <w:tcPr>
            <w:tcW w:w="40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2,000</w:t>
            </w:r>
          </w:p>
        </w:tc>
      </w:tr>
      <w:tr>
        <w:trPr>
          <w:trHeight w:val="142"/>
        </w:trPr>
        <w:tc>
          <w:tcPr>
            <w:tcW w:w="5120" w:type="dxa"/>
            <w:vAlign w:val="bottom"/>
          </w:tcPr>
          <w:p>
            <w:pPr>
              <w:ind w:left="140"/>
              <w:spacing w:after="0"/>
              <w:rPr>
                <w:sz w:val="20"/>
                <w:szCs w:val="20"/>
                <w:color w:val="auto"/>
              </w:rPr>
            </w:pPr>
            <w:r>
              <w:rPr>
                <w:rFonts w:ascii="Arial" w:cs="Arial" w:eastAsia="Arial" w:hAnsi="Arial"/>
                <w:sz w:val="11"/>
                <w:szCs w:val="11"/>
                <w:color w:val="auto"/>
              </w:rPr>
              <w:t>Distributions of investment in unconsolidated joint ventures and entities</w:t>
            </w:r>
          </w:p>
        </w:tc>
        <w:tc>
          <w:tcPr>
            <w:tcW w:w="1940" w:type="dxa"/>
            <w:vAlign w:val="bottom"/>
          </w:tcPr>
          <w:p>
            <w:pPr>
              <w:spacing w:after="0"/>
              <w:rPr>
                <w:sz w:val="12"/>
                <w:szCs w:val="12"/>
                <w:color w:val="auto"/>
              </w:rPr>
            </w:pPr>
          </w:p>
        </w:tc>
        <w:tc>
          <w:tcPr>
            <w:tcW w:w="560" w:type="dxa"/>
            <w:vAlign w:val="bottom"/>
          </w:tcPr>
          <w:p>
            <w:pPr>
              <w:jc w:val="right"/>
              <w:ind w:right="66"/>
              <w:spacing w:after="0"/>
              <w:rPr>
                <w:sz w:val="20"/>
                <w:szCs w:val="20"/>
                <w:color w:val="auto"/>
              </w:rPr>
            </w:pPr>
            <w:r>
              <w:rPr>
                <w:rFonts w:ascii="Arial" w:cs="Arial" w:eastAsia="Arial" w:hAnsi="Arial"/>
                <w:sz w:val="11"/>
                <w:szCs w:val="11"/>
                <w:color w:val="auto"/>
              </w:rPr>
              <w:t>228</w:t>
            </w:r>
          </w:p>
        </w:tc>
        <w:tc>
          <w:tcPr>
            <w:tcW w:w="1020" w:type="dxa"/>
            <w:vAlign w:val="bottom"/>
          </w:tcPr>
          <w:p>
            <w:pPr>
              <w:spacing w:after="0"/>
              <w:rPr>
                <w:sz w:val="12"/>
                <w:szCs w:val="12"/>
                <w:color w:val="auto"/>
              </w:rPr>
            </w:pPr>
          </w:p>
        </w:tc>
        <w:tc>
          <w:tcPr>
            <w:tcW w:w="520" w:type="dxa"/>
            <w:vAlign w:val="bottom"/>
          </w:tcPr>
          <w:p>
            <w:pPr>
              <w:jc w:val="right"/>
              <w:ind w:right="46"/>
              <w:spacing w:after="0"/>
              <w:rPr>
                <w:sz w:val="20"/>
                <w:szCs w:val="20"/>
                <w:color w:val="auto"/>
              </w:rPr>
            </w:pPr>
            <w:r>
              <w:rPr>
                <w:rFonts w:ascii="Arial" w:cs="Arial" w:eastAsia="Arial" w:hAnsi="Arial"/>
                <w:sz w:val="11"/>
                <w:szCs w:val="11"/>
                <w:color w:val="auto"/>
              </w:rPr>
              <w:t>208</w:t>
            </w:r>
          </w:p>
        </w:tc>
        <w:tc>
          <w:tcPr>
            <w:tcW w:w="40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395</w:t>
            </w:r>
          </w:p>
        </w:tc>
      </w:tr>
      <w:tr>
        <w:trPr>
          <w:trHeight w:val="146"/>
        </w:trPr>
        <w:tc>
          <w:tcPr>
            <w:tcW w:w="5120" w:type="dxa"/>
            <w:vAlign w:val="bottom"/>
            <w:shd w:val="clear" w:color="auto" w:fill="CCEEFF"/>
          </w:tcPr>
          <w:p>
            <w:pPr>
              <w:ind w:left="140"/>
              <w:spacing w:after="0"/>
              <w:rPr>
                <w:sz w:val="20"/>
                <w:szCs w:val="20"/>
                <w:color w:val="auto"/>
              </w:rPr>
            </w:pPr>
            <w:r>
              <w:rPr>
                <w:rFonts w:ascii="Arial" w:cs="Arial" w:eastAsia="Arial" w:hAnsi="Arial"/>
                <w:sz w:val="11"/>
                <w:szCs w:val="11"/>
                <w:color w:val="auto"/>
              </w:rPr>
              <w:t>Proceeds from sale of property</w:t>
            </w:r>
          </w:p>
        </w:tc>
        <w:tc>
          <w:tcPr>
            <w:tcW w:w="1940" w:type="dxa"/>
            <w:vAlign w:val="bottom"/>
            <w:shd w:val="clear" w:color="auto" w:fill="CCEEFF"/>
          </w:tcPr>
          <w:p>
            <w:pPr>
              <w:spacing w:after="0"/>
              <w:rPr>
                <w:sz w:val="12"/>
                <w:szCs w:val="12"/>
                <w:color w:val="auto"/>
              </w:rPr>
            </w:pPr>
          </w:p>
        </w:tc>
        <w:tc>
          <w:tcPr>
            <w:tcW w:w="56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21,889</w:t>
            </w:r>
          </w:p>
        </w:tc>
        <w:tc>
          <w:tcPr>
            <w:tcW w:w="1020" w:type="dxa"/>
            <w:vAlign w:val="bottom"/>
            <w:shd w:val="clear" w:color="auto" w:fill="CCEEFF"/>
          </w:tcPr>
          <w:p>
            <w:pPr>
              <w:spacing w:after="0"/>
              <w:rPr>
                <w:sz w:val="12"/>
                <w:szCs w:val="12"/>
                <w:color w:val="auto"/>
              </w:rPr>
            </w:pPr>
          </w:p>
        </w:tc>
        <w:tc>
          <w:tcPr>
            <w:tcW w:w="52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5,422</w:t>
            </w:r>
          </w:p>
        </w:tc>
        <w:tc>
          <w:tcPr>
            <w:tcW w:w="40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r>
      <w:tr>
        <w:trPr>
          <w:trHeight w:val="142"/>
        </w:trPr>
        <w:tc>
          <w:tcPr>
            <w:tcW w:w="5120" w:type="dxa"/>
            <w:vAlign w:val="bottom"/>
            <w:tcBorders>
              <w:bottom w:val="single" w:sz="8" w:color="auto"/>
            </w:tcBorders>
          </w:tcPr>
          <w:p>
            <w:pPr>
              <w:ind w:left="140"/>
              <w:spacing w:after="0"/>
              <w:rPr>
                <w:sz w:val="20"/>
                <w:szCs w:val="20"/>
                <w:color w:val="auto"/>
              </w:rPr>
            </w:pPr>
            <w:r>
              <w:rPr>
                <w:rFonts w:ascii="Arial" w:cs="Arial" w:eastAsia="Arial" w:hAnsi="Arial"/>
                <w:sz w:val="11"/>
                <w:szCs w:val="11"/>
                <w:color w:val="auto"/>
              </w:rPr>
              <w:t>Proceeds from time deposits</w:t>
            </w:r>
          </w:p>
        </w:tc>
        <w:tc>
          <w:tcPr>
            <w:tcW w:w="19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46"/>
              <w:spacing w:after="0"/>
              <w:rPr>
                <w:sz w:val="20"/>
                <w:szCs w:val="20"/>
                <w:color w:val="auto"/>
              </w:rPr>
            </w:pPr>
            <w:r>
              <w:rPr>
                <w:rFonts w:ascii="Arial" w:cs="Arial" w:eastAsia="Arial" w:hAnsi="Arial"/>
                <w:sz w:val="11"/>
                <w:szCs w:val="11"/>
                <w:color w:val="auto"/>
              </w:rPr>
              <w:t>--</w:t>
            </w:r>
          </w:p>
        </w:tc>
        <w:tc>
          <w:tcPr>
            <w:tcW w:w="10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color w:val="auto"/>
              </w:rPr>
              <w:t>--</w:t>
            </w:r>
          </w:p>
        </w:tc>
        <w:tc>
          <w:tcPr>
            <w:tcW w:w="4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8,000</w:t>
            </w:r>
          </w:p>
        </w:tc>
      </w:tr>
      <w:tr>
        <w:trPr>
          <w:trHeight w:val="133"/>
        </w:trPr>
        <w:tc>
          <w:tcPr>
            <w:tcW w:w="5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1"/>
                <w:szCs w:val="11"/>
                <w:color w:val="auto"/>
              </w:rPr>
              <w:t>Net cash used in investing activities</w:t>
            </w:r>
          </w:p>
        </w:tc>
        <w:tc>
          <w:tcPr>
            <w:tcW w:w="1940" w:type="dxa"/>
            <w:vAlign w:val="bottom"/>
            <w:tcBorders>
              <w:bottom w:val="single" w:sz="8" w:color="auto"/>
            </w:tcBorders>
            <w:shd w:val="clear" w:color="auto" w:fill="CCEEFF"/>
          </w:tcPr>
          <w:p>
            <w:pPr>
              <w:spacing w:after="0"/>
              <w:rPr>
                <w:sz w:val="11"/>
                <w:szCs w:val="11"/>
                <w:color w:val="auto"/>
              </w:rPr>
            </w:pPr>
          </w:p>
        </w:tc>
        <w:tc>
          <w:tcPr>
            <w:tcW w:w="56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1"/>
                <w:szCs w:val="11"/>
                <w:color w:val="auto"/>
              </w:rPr>
              <w:t>(29,710)</w:t>
            </w:r>
          </w:p>
        </w:tc>
        <w:tc>
          <w:tcPr>
            <w:tcW w:w="1020" w:type="dxa"/>
            <w:vAlign w:val="bottom"/>
            <w:tcBorders>
              <w:bottom w:val="single" w:sz="8" w:color="auto"/>
            </w:tcBorders>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1"/>
                <w:szCs w:val="11"/>
                <w:color w:val="auto"/>
              </w:rPr>
              <w:t>(9,898)</w:t>
            </w:r>
          </w:p>
        </w:tc>
        <w:tc>
          <w:tcPr>
            <w:tcW w:w="400" w:type="dxa"/>
            <w:vAlign w:val="bottom"/>
            <w:tcBorders>
              <w:bottom w:val="single" w:sz="8" w:color="auto"/>
            </w:tcBorders>
            <w:shd w:val="clear" w:color="auto" w:fill="CCEEFF"/>
          </w:tcPr>
          <w:p>
            <w:pPr>
              <w:spacing w:after="0"/>
              <w:rPr>
                <w:sz w:val="11"/>
                <w:szCs w:val="1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(6,142)</w:t>
            </w:r>
          </w:p>
        </w:tc>
      </w:tr>
      <w:tr>
        <w:trPr>
          <w:trHeight w:val="133"/>
        </w:trPr>
        <w:tc>
          <w:tcPr>
            <w:tcW w:w="5120" w:type="dxa"/>
            <w:vAlign w:val="bottom"/>
          </w:tcPr>
          <w:p>
            <w:pPr>
              <w:spacing w:after="0"/>
              <w:rPr>
                <w:sz w:val="20"/>
                <w:szCs w:val="20"/>
                <w:color w:val="auto"/>
              </w:rPr>
            </w:pPr>
            <w:r>
              <w:rPr>
                <w:rFonts w:ascii="Arial" w:cs="Arial" w:eastAsia="Arial" w:hAnsi="Arial"/>
                <w:sz w:val="11"/>
                <w:szCs w:val="11"/>
                <w:b w:val="1"/>
                <w:bCs w:val="1"/>
                <w:color w:val="auto"/>
              </w:rPr>
              <w:t>Financing Activities</w:t>
            </w:r>
          </w:p>
        </w:tc>
        <w:tc>
          <w:tcPr>
            <w:tcW w:w="19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60" w:type="dxa"/>
            <w:vAlign w:val="bottom"/>
          </w:tcPr>
          <w:p>
            <w:pPr>
              <w:spacing w:after="0"/>
              <w:rPr>
                <w:sz w:val="11"/>
                <w:szCs w:val="11"/>
                <w:color w:val="auto"/>
              </w:rPr>
            </w:pPr>
          </w:p>
        </w:tc>
      </w:tr>
      <w:tr>
        <w:trPr>
          <w:trHeight w:val="146"/>
        </w:trPr>
        <w:tc>
          <w:tcPr>
            <w:tcW w:w="5120" w:type="dxa"/>
            <w:vAlign w:val="bottom"/>
            <w:shd w:val="clear" w:color="auto" w:fill="CCEEFF"/>
          </w:tcPr>
          <w:p>
            <w:pPr>
              <w:ind w:left="140"/>
              <w:spacing w:after="0"/>
              <w:rPr>
                <w:sz w:val="20"/>
                <w:szCs w:val="20"/>
                <w:color w:val="auto"/>
              </w:rPr>
            </w:pPr>
            <w:r>
              <w:rPr>
                <w:rFonts w:ascii="Arial" w:cs="Arial" w:eastAsia="Arial" w:hAnsi="Arial"/>
                <w:sz w:val="11"/>
                <w:szCs w:val="11"/>
                <w:color w:val="auto"/>
              </w:rPr>
              <w:t>Repayment of long-term borrowings</w:t>
            </w:r>
          </w:p>
        </w:tc>
        <w:tc>
          <w:tcPr>
            <w:tcW w:w="1940" w:type="dxa"/>
            <w:vAlign w:val="bottom"/>
            <w:shd w:val="clear" w:color="auto" w:fill="CCEEFF"/>
          </w:tcPr>
          <w:p>
            <w:pPr>
              <w:spacing w:after="0"/>
              <w:rPr>
                <w:sz w:val="12"/>
                <w:szCs w:val="12"/>
                <w:color w:val="auto"/>
              </w:rPr>
            </w:pPr>
          </w:p>
        </w:tc>
        <w:tc>
          <w:tcPr>
            <w:tcW w:w="56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(35,239)</w:t>
            </w:r>
          </w:p>
        </w:tc>
        <w:tc>
          <w:tcPr>
            <w:tcW w:w="1020" w:type="dxa"/>
            <w:vAlign w:val="bottom"/>
            <w:shd w:val="clear" w:color="auto" w:fill="CCEEFF"/>
          </w:tcPr>
          <w:p>
            <w:pPr>
              <w:spacing w:after="0"/>
              <w:rPr>
                <w:sz w:val="12"/>
                <w:szCs w:val="12"/>
                <w:color w:val="auto"/>
              </w:rPr>
            </w:pPr>
          </w:p>
        </w:tc>
        <w:tc>
          <w:tcPr>
            <w:tcW w:w="52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(7,140)</w:t>
            </w:r>
          </w:p>
        </w:tc>
        <w:tc>
          <w:tcPr>
            <w:tcW w:w="40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(28,121)</w:t>
            </w:r>
          </w:p>
        </w:tc>
      </w:tr>
      <w:tr>
        <w:trPr>
          <w:trHeight w:val="142"/>
        </w:trPr>
        <w:tc>
          <w:tcPr>
            <w:tcW w:w="5120" w:type="dxa"/>
            <w:vAlign w:val="bottom"/>
          </w:tcPr>
          <w:p>
            <w:pPr>
              <w:ind w:left="140"/>
              <w:spacing w:after="0"/>
              <w:rPr>
                <w:sz w:val="20"/>
                <w:szCs w:val="20"/>
                <w:color w:val="auto"/>
              </w:rPr>
            </w:pPr>
            <w:r>
              <w:rPr>
                <w:rFonts w:ascii="Arial" w:cs="Arial" w:eastAsia="Arial" w:hAnsi="Arial"/>
                <w:sz w:val="11"/>
                <w:szCs w:val="11"/>
                <w:color w:val="auto"/>
              </w:rPr>
              <w:t>Proceeds from borrowings</w:t>
            </w:r>
          </w:p>
        </w:tc>
        <w:tc>
          <w:tcPr>
            <w:tcW w:w="1940" w:type="dxa"/>
            <w:vAlign w:val="bottom"/>
          </w:tcPr>
          <w:p>
            <w:pPr>
              <w:spacing w:after="0"/>
              <w:rPr>
                <w:sz w:val="12"/>
                <w:szCs w:val="12"/>
                <w:color w:val="auto"/>
              </w:rPr>
            </w:pPr>
          </w:p>
        </w:tc>
        <w:tc>
          <w:tcPr>
            <w:tcW w:w="560" w:type="dxa"/>
            <w:vAlign w:val="bottom"/>
          </w:tcPr>
          <w:p>
            <w:pPr>
              <w:jc w:val="right"/>
              <w:ind w:right="66"/>
              <w:spacing w:after="0"/>
              <w:rPr>
                <w:sz w:val="20"/>
                <w:szCs w:val="20"/>
                <w:color w:val="auto"/>
              </w:rPr>
            </w:pPr>
            <w:r>
              <w:rPr>
                <w:rFonts w:ascii="Arial" w:cs="Arial" w:eastAsia="Arial" w:hAnsi="Arial"/>
                <w:sz w:val="11"/>
                <w:szCs w:val="11"/>
                <w:color w:val="auto"/>
              </w:rPr>
              <w:t>10,500</w:t>
            </w:r>
          </w:p>
        </w:tc>
        <w:tc>
          <w:tcPr>
            <w:tcW w:w="1020" w:type="dxa"/>
            <w:vAlign w:val="bottom"/>
          </w:tcPr>
          <w:p>
            <w:pPr>
              <w:spacing w:after="0"/>
              <w:rPr>
                <w:sz w:val="12"/>
                <w:szCs w:val="12"/>
                <w:color w:val="auto"/>
              </w:rPr>
            </w:pPr>
          </w:p>
        </w:tc>
        <w:tc>
          <w:tcPr>
            <w:tcW w:w="520" w:type="dxa"/>
            <w:vAlign w:val="bottom"/>
          </w:tcPr>
          <w:p>
            <w:pPr>
              <w:jc w:val="right"/>
              <w:ind w:right="46"/>
              <w:spacing w:after="0"/>
              <w:rPr>
                <w:sz w:val="20"/>
                <w:szCs w:val="20"/>
                <w:color w:val="auto"/>
              </w:rPr>
            </w:pPr>
            <w:r>
              <w:rPr>
                <w:rFonts w:ascii="Arial" w:cs="Arial" w:eastAsia="Arial" w:hAnsi="Arial"/>
                <w:sz w:val="11"/>
                <w:szCs w:val="11"/>
                <w:color w:val="auto"/>
              </w:rPr>
              <w:t>8,173</w:t>
            </w:r>
          </w:p>
        </w:tc>
        <w:tc>
          <w:tcPr>
            <w:tcW w:w="40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12,500</w:t>
            </w:r>
          </w:p>
        </w:tc>
      </w:tr>
      <w:tr>
        <w:trPr>
          <w:trHeight w:val="146"/>
        </w:trPr>
        <w:tc>
          <w:tcPr>
            <w:tcW w:w="5120" w:type="dxa"/>
            <w:vAlign w:val="bottom"/>
            <w:shd w:val="clear" w:color="auto" w:fill="CCEEFF"/>
          </w:tcPr>
          <w:p>
            <w:pPr>
              <w:ind w:left="140"/>
              <w:spacing w:after="0"/>
              <w:rPr>
                <w:sz w:val="20"/>
                <w:szCs w:val="20"/>
                <w:color w:val="auto"/>
              </w:rPr>
            </w:pPr>
            <w:r>
              <w:rPr>
                <w:rFonts w:ascii="Arial" w:cs="Arial" w:eastAsia="Arial" w:hAnsi="Arial"/>
                <w:sz w:val="11"/>
                <w:szCs w:val="11"/>
                <w:color w:val="auto"/>
              </w:rPr>
              <w:t>Capitalized borrowing costs</w:t>
            </w:r>
          </w:p>
        </w:tc>
        <w:tc>
          <w:tcPr>
            <w:tcW w:w="1940" w:type="dxa"/>
            <w:vAlign w:val="bottom"/>
            <w:shd w:val="clear" w:color="auto" w:fill="CCEEFF"/>
          </w:tcPr>
          <w:p>
            <w:pPr>
              <w:spacing w:after="0"/>
              <w:rPr>
                <w:sz w:val="12"/>
                <w:szCs w:val="12"/>
                <w:color w:val="auto"/>
              </w:rPr>
            </w:pPr>
          </w:p>
        </w:tc>
        <w:tc>
          <w:tcPr>
            <w:tcW w:w="56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(248)</w:t>
            </w:r>
          </w:p>
        </w:tc>
        <w:tc>
          <w:tcPr>
            <w:tcW w:w="1020" w:type="dxa"/>
            <w:vAlign w:val="bottom"/>
            <w:shd w:val="clear" w:color="auto" w:fill="CCEEFF"/>
          </w:tcPr>
          <w:p>
            <w:pPr>
              <w:spacing w:after="0"/>
              <w:rPr>
                <w:sz w:val="12"/>
                <w:szCs w:val="12"/>
                <w:color w:val="auto"/>
              </w:rPr>
            </w:pPr>
          </w:p>
        </w:tc>
        <w:tc>
          <w:tcPr>
            <w:tcW w:w="52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(1,320)</w:t>
            </w:r>
          </w:p>
        </w:tc>
        <w:tc>
          <w:tcPr>
            <w:tcW w:w="40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(563)</w:t>
            </w:r>
          </w:p>
        </w:tc>
      </w:tr>
      <w:tr>
        <w:trPr>
          <w:trHeight w:val="142"/>
        </w:trPr>
        <w:tc>
          <w:tcPr>
            <w:tcW w:w="5120" w:type="dxa"/>
            <w:vAlign w:val="bottom"/>
          </w:tcPr>
          <w:p>
            <w:pPr>
              <w:ind w:left="140"/>
              <w:spacing w:after="0"/>
              <w:rPr>
                <w:sz w:val="20"/>
                <w:szCs w:val="20"/>
                <w:color w:val="auto"/>
              </w:rPr>
            </w:pPr>
            <w:r>
              <w:rPr>
                <w:rFonts w:ascii="Arial" w:cs="Arial" w:eastAsia="Arial" w:hAnsi="Arial"/>
                <w:sz w:val="11"/>
                <w:szCs w:val="11"/>
                <w:color w:val="auto"/>
              </w:rPr>
              <w:t>Repurchase of Class A Nonvoting Common Stock</w:t>
            </w:r>
          </w:p>
        </w:tc>
        <w:tc>
          <w:tcPr>
            <w:tcW w:w="1940" w:type="dxa"/>
            <w:vAlign w:val="bottom"/>
          </w:tcPr>
          <w:p>
            <w:pPr>
              <w:spacing w:after="0"/>
              <w:rPr>
                <w:sz w:val="12"/>
                <w:szCs w:val="12"/>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(3,310)</w:t>
            </w:r>
          </w:p>
        </w:tc>
        <w:tc>
          <w:tcPr>
            <w:tcW w:w="1020" w:type="dxa"/>
            <w:vAlign w:val="bottom"/>
          </w:tcPr>
          <w:p>
            <w:pPr>
              <w:spacing w:after="0"/>
              <w:rPr>
                <w:sz w:val="12"/>
                <w:szCs w:val="12"/>
                <w:color w:val="auto"/>
              </w:rPr>
            </w:pPr>
          </w:p>
        </w:tc>
        <w:tc>
          <w:tcPr>
            <w:tcW w:w="520" w:type="dxa"/>
            <w:vAlign w:val="bottom"/>
          </w:tcPr>
          <w:p>
            <w:pPr>
              <w:jc w:val="right"/>
              <w:ind w:right="26"/>
              <w:spacing w:after="0"/>
              <w:rPr>
                <w:sz w:val="20"/>
                <w:szCs w:val="20"/>
                <w:color w:val="auto"/>
              </w:rPr>
            </w:pPr>
            <w:r>
              <w:rPr>
                <w:rFonts w:ascii="Arial" w:cs="Arial" w:eastAsia="Arial" w:hAnsi="Arial"/>
                <w:sz w:val="11"/>
                <w:szCs w:val="11"/>
                <w:color w:val="auto"/>
              </w:rPr>
              <w:t>(4,070)</w:t>
            </w:r>
          </w:p>
        </w:tc>
        <w:tc>
          <w:tcPr>
            <w:tcW w:w="40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46"/>
        </w:trPr>
        <w:tc>
          <w:tcPr>
            <w:tcW w:w="5120" w:type="dxa"/>
            <w:vAlign w:val="bottom"/>
            <w:shd w:val="clear" w:color="auto" w:fill="CCEEFF"/>
          </w:tcPr>
          <w:p>
            <w:pPr>
              <w:ind w:left="140"/>
              <w:spacing w:after="0"/>
              <w:rPr>
                <w:sz w:val="20"/>
                <w:szCs w:val="20"/>
                <w:color w:val="auto"/>
              </w:rPr>
            </w:pPr>
            <w:r>
              <w:rPr>
                <w:rFonts w:ascii="Arial" w:cs="Arial" w:eastAsia="Arial" w:hAnsi="Arial"/>
                <w:sz w:val="11"/>
                <w:szCs w:val="11"/>
                <w:color w:val="auto"/>
              </w:rPr>
              <w:t>Proceeds from the exercise of stock options</w:t>
            </w:r>
          </w:p>
        </w:tc>
        <w:tc>
          <w:tcPr>
            <w:tcW w:w="1940" w:type="dxa"/>
            <w:vAlign w:val="bottom"/>
            <w:shd w:val="clear" w:color="auto" w:fill="CCEEFF"/>
          </w:tcPr>
          <w:p>
            <w:pPr>
              <w:spacing w:after="0"/>
              <w:rPr>
                <w:sz w:val="12"/>
                <w:szCs w:val="12"/>
                <w:color w:val="auto"/>
              </w:rPr>
            </w:pPr>
          </w:p>
        </w:tc>
        <w:tc>
          <w:tcPr>
            <w:tcW w:w="56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492</w:t>
            </w:r>
          </w:p>
        </w:tc>
        <w:tc>
          <w:tcPr>
            <w:tcW w:w="1020" w:type="dxa"/>
            <w:vAlign w:val="bottom"/>
            <w:shd w:val="clear" w:color="auto" w:fill="CCEEFF"/>
          </w:tcPr>
          <w:p>
            <w:pPr>
              <w:spacing w:after="0"/>
              <w:rPr>
                <w:sz w:val="12"/>
                <w:szCs w:val="12"/>
                <w:color w:val="auto"/>
              </w:rPr>
            </w:pPr>
          </w:p>
        </w:tc>
        <w:tc>
          <w:tcPr>
            <w:tcW w:w="52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978</w:t>
            </w:r>
          </w:p>
        </w:tc>
        <w:tc>
          <w:tcPr>
            <w:tcW w:w="40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248</w:t>
            </w:r>
          </w:p>
        </w:tc>
      </w:tr>
      <w:tr>
        <w:trPr>
          <w:trHeight w:val="142"/>
        </w:trPr>
        <w:tc>
          <w:tcPr>
            <w:tcW w:w="5120" w:type="dxa"/>
            <w:vAlign w:val="bottom"/>
          </w:tcPr>
          <w:p>
            <w:pPr>
              <w:ind w:left="140"/>
              <w:spacing w:after="0"/>
              <w:rPr>
                <w:sz w:val="20"/>
                <w:szCs w:val="20"/>
                <w:color w:val="auto"/>
              </w:rPr>
            </w:pPr>
            <w:r>
              <w:rPr>
                <w:rFonts w:ascii="Arial" w:cs="Arial" w:eastAsia="Arial" w:hAnsi="Arial"/>
                <w:sz w:val="11"/>
                <w:szCs w:val="11"/>
                <w:color w:val="auto"/>
              </w:rPr>
              <w:t>Noncontrolling interest contributions</w:t>
            </w:r>
          </w:p>
        </w:tc>
        <w:tc>
          <w:tcPr>
            <w:tcW w:w="1940" w:type="dxa"/>
            <w:vAlign w:val="bottom"/>
          </w:tcPr>
          <w:p>
            <w:pPr>
              <w:spacing w:after="0"/>
              <w:rPr>
                <w:sz w:val="12"/>
                <w:szCs w:val="12"/>
                <w:color w:val="auto"/>
              </w:rPr>
            </w:pPr>
          </w:p>
        </w:tc>
        <w:tc>
          <w:tcPr>
            <w:tcW w:w="560" w:type="dxa"/>
            <w:vAlign w:val="bottom"/>
          </w:tcPr>
          <w:p>
            <w:pPr>
              <w:jc w:val="right"/>
              <w:ind w:right="66"/>
              <w:spacing w:after="0"/>
              <w:rPr>
                <w:sz w:val="20"/>
                <w:szCs w:val="20"/>
                <w:color w:val="auto"/>
              </w:rPr>
            </w:pPr>
            <w:r>
              <w:rPr>
                <w:rFonts w:ascii="Arial" w:cs="Arial" w:eastAsia="Arial" w:hAnsi="Arial"/>
                <w:sz w:val="11"/>
                <w:szCs w:val="11"/>
                <w:color w:val="auto"/>
              </w:rPr>
              <w:t>17</w:t>
            </w:r>
          </w:p>
        </w:tc>
        <w:tc>
          <w:tcPr>
            <w:tcW w:w="1020" w:type="dxa"/>
            <w:vAlign w:val="bottom"/>
          </w:tcPr>
          <w:p>
            <w:pPr>
              <w:spacing w:after="0"/>
              <w:rPr>
                <w:sz w:val="12"/>
                <w:szCs w:val="12"/>
                <w:color w:val="auto"/>
              </w:rPr>
            </w:pPr>
          </w:p>
        </w:tc>
        <w:tc>
          <w:tcPr>
            <w:tcW w:w="520" w:type="dxa"/>
            <w:vAlign w:val="bottom"/>
          </w:tcPr>
          <w:p>
            <w:pPr>
              <w:jc w:val="right"/>
              <w:ind w:right="46"/>
              <w:spacing w:after="0"/>
              <w:rPr>
                <w:sz w:val="20"/>
                <w:szCs w:val="20"/>
                <w:color w:val="auto"/>
              </w:rPr>
            </w:pPr>
            <w:r>
              <w:rPr>
                <w:rFonts w:ascii="Arial" w:cs="Arial" w:eastAsia="Arial" w:hAnsi="Arial"/>
                <w:sz w:val="11"/>
                <w:szCs w:val="11"/>
                <w:color w:val="auto"/>
              </w:rPr>
              <w:t>327</w:t>
            </w:r>
          </w:p>
        </w:tc>
        <w:tc>
          <w:tcPr>
            <w:tcW w:w="40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263</w:t>
            </w:r>
          </w:p>
        </w:tc>
      </w:tr>
      <w:tr>
        <w:trPr>
          <w:trHeight w:val="144"/>
        </w:trPr>
        <w:tc>
          <w:tcPr>
            <w:tcW w:w="51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1"/>
                <w:szCs w:val="11"/>
                <w:color w:val="auto"/>
              </w:rPr>
              <w:t>Noncontrolling interest distributions</w:t>
            </w:r>
          </w:p>
        </w:tc>
        <w:tc>
          <w:tcPr>
            <w:tcW w:w="194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1"/>
                <w:szCs w:val="11"/>
                <w:color w:val="auto"/>
              </w:rPr>
              <w:t>(173)</w:t>
            </w:r>
          </w:p>
        </w:tc>
        <w:tc>
          <w:tcPr>
            <w:tcW w:w="102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1"/>
                <w:szCs w:val="11"/>
                <w:color w:val="auto"/>
              </w:rPr>
              <w:t>(223)</w:t>
            </w:r>
          </w:p>
        </w:tc>
        <w:tc>
          <w:tcPr>
            <w:tcW w:w="400" w:type="dxa"/>
            <w:vAlign w:val="bottom"/>
            <w:tcBorders>
              <w:bottom w:val="single" w:sz="8" w:color="auto"/>
            </w:tcBorders>
            <w:shd w:val="clear" w:color="auto" w:fill="CCEEFF"/>
          </w:tcPr>
          <w:p>
            <w:pPr>
              <w:spacing w:after="0"/>
              <w:rPr>
                <w:sz w:val="12"/>
                <w:szCs w:val="1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(2,102)</w:t>
            </w:r>
          </w:p>
        </w:tc>
      </w:tr>
      <w:tr>
        <w:trPr>
          <w:trHeight w:val="133"/>
        </w:trPr>
        <w:tc>
          <w:tcPr>
            <w:tcW w:w="5120" w:type="dxa"/>
            <w:vAlign w:val="bottom"/>
            <w:tcBorders>
              <w:bottom w:val="single" w:sz="8" w:color="auto"/>
            </w:tcBorders>
          </w:tcPr>
          <w:p>
            <w:pPr>
              <w:spacing w:after="0"/>
              <w:rPr>
                <w:sz w:val="20"/>
                <w:szCs w:val="20"/>
                <w:color w:val="auto"/>
              </w:rPr>
            </w:pPr>
            <w:r>
              <w:rPr>
                <w:rFonts w:ascii="Arial" w:cs="Arial" w:eastAsia="Arial" w:hAnsi="Arial"/>
                <w:sz w:val="11"/>
                <w:szCs w:val="11"/>
                <w:color w:val="auto"/>
              </w:rPr>
              <w:t>Net cash used in financing activities</w:t>
            </w:r>
          </w:p>
        </w:tc>
        <w:tc>
          <w:tcPr>
            <w:tcW w:w="194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ind w:right="46"/>
              <w:spacing w:after="0"/>
              <w:rPr>
                <w:sz w:val="20"/>
                <w:szCs w:val="20"/>
                <w:color w:val="auto"/>
              </w:rPr>
            </w:pPr>
            <w:r>
              <w:rPr>
                <w:rFonts w:ascii="Arial" w:cs="Arial" w:eastAsia="Arial" w:hAnsi="Arial"/>
                <w:sz w:val="11"/>
                <w:szCs w:val="11"/>
                <w:color w:val="auto"/>
              </w:rPr>
              <w:t>(27,961)</w:t>
            </w:r>
          </w:p>
        </w:tc>
        <w:tc>
          <w:tcPr>
            <w:tcW w:w="102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color w:val="auto"/>
              </w:rPr>
              <w:t>(3,275)</w:t>
            </w:r>
          </w:p>
        </w:tc>
        <w:tc>
          <w:tcPr>
            <w:tcW w:w="40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(17,775)</w:t>
            </w:r>
          </w:p>
        </w:tc>
      </w:tr>
      <w:tr>
        <w:trPr>
          <w:trHeight w:val="135"/>
        </w:trPr>
        <w:tc>
          <w:tcPr>
            <w:tcW w:w="512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Effect of exchange rate on cash</w:t>
            </w:r>
          </w:p>
        </w:tc>
        <w:tc>
          <w:tcPr>
            <w:tcW w:w="1940" w:type="dxa"/>
            <w:vAlign w:val="bottom"/>
            <w:shd w:val="clear" w:color="auto" w:fill="CCEEFF"/>
          </w:tcPr>
          <w:p>
            <w:pPr>
              <w:spacing w:after="0"/>
              <w:rPr>
                <w:sz w:val="11"/>
                <w:szCs w:val="11"/>
                <w:color w:val="auto"/>
              </w:rPr>
            </w:pPr>
          </w:p>
        </w:tc>
        <w:tc>
          <w:tcPr>
            <w:tcW w:w="56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(1,449)</w:t>
            </w:r>
          </w:p>
        </w:tc>
        <w:tc>
          <w:tcPr>
            <w:tcW w:w="1020" w:type="dxa"/>
            <w:vAlign w:val="bottom"/>
            <w:shd w:val="clear" w:color="auto" w:fill="CCEEFF"/>
          </w:tcPr>
          <w:p>
            <w:pPr>
              <w:spacing w:after="0"/>
              <w:rPr>
                <w:sz w:val="11"/>
                <w:szCs w:val="11"/>
                <w:color w:val="auto"/>
              </w:rPr>
            </w:pPr>
          </w:p>
        </w:tc>
        <w:tc>
          <w:tcPr>
            <w:tcW w:w="52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(2,618)</w:t>
            </w:r>
          </w:p>
        </w:tc>
        <w:tc>
          <w:tcPr>
            <w:tcW w:w="400" w:type="dxa"/>
            <w:vAlign w:val="bottom"/>
            <w:shd w:val="clear" w:color="auto" w:fill="CCEEFF"/>
          </w:tcPr>
          <w:p>
            <w:pPr>
              <w:spacing w:after="0"/>
              <w:rPr>
                <w:sz w:val="11"/>
                <w:szCs w:val="1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(2,101)</w:t>
            </w:r>
          </w:p>
        </w:tc>
      </w:tr>
      <w:tr>
        <w:trPr>
          <w:trHeight w:val="142"/>
        </w:trPr>
        <w:tc>
          <w:tcPr>
            <w:tcW w:w="5120" w:type="dxa"/>
            <w:vAlign w:val="bottom"/>
          </w:tcPr>
          <w:p>
            <w:pPr>
              <w:spacing w:after="0"/>
              <w:rPr>
                <w:sz w:val="20"/>
                <w:szCs w:val="20"/>
                <w:color w:val="auto"/>
              </w:rPr>
            </w:pPr>
            <w:r>
              <w:rPr>
                <w:rFonts w:ascii="Arial" w:cs="Arial" w:eastAsia="Arial" w:hAnsi="Arial"/>
                <w:sz w:val="11"/>
                <w:szCs w:val="11"/>
                <w:b w:val="1"/>
                <w:bCs w:val="1"/>
                <w:color w:val="auto"/>
              </w:rPr>
              <w:t>Increase (decrease) in cash and cash equivalents</w:t>
            </w:r>
          </w:p>
        </w:tc>
        <w:tc>
          <w:tcPr>
            <w:tcW w:w="1940" w:type="dxa"/>
            <w:vAlign w:val="bottom"/>
          </w:tcPr>
          <w:p>
            <w:pPr>
              <w:spacing w:after="0"/>
              <w:rPr>
                <w:sz w:val="12"/>
                <w:szCs w:val="12"/>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(30,546)</w:t>
            </w:r>
          </w:p>
        </w:tc>
        <w:tc>
          <w:tcPr>
            <w:tcW w:w="1020" w:type="dxa"/>
            <w:vAlign w:val="bottom"/>
          </w:tcPr>
          <w:p>
            <w:pPr>
              <w:spacing w:after="0"/>
              <w:rPr>
                <w:sz w:val="12"/>
                <w:szCs w:val="12"/>
                <w:color w:val="auto"/>
              </w:rPr>
            </w:pPr>
          </w:p>
        </w:tc>
        <w:tc>
          <w:tcPr>
            <w:tcW w:w="520" w:type="dxa"/>
            <w:vAlign w:val="bottom"/>
          </w:tcPr>
          <w:p>
            <w:pPr>
              <w:jc w:val="right"/>
              <w:ind w:right="46"/>
              <w:spacing w:after="0"/>
              <w:rPr>
                <w:sz w:val="20"/>
                <w:szCs w:val="20"/>
                <w:color w:val="auto"/>
              </w:rPr>
            </w:pPr>
            <w:r>
              <w:rPr>
                <w:rFonts w:ascii="Arial" w:cs="Arial" w:eastAsia="Arial" w:hAnsi="Arial"/>
                <w:sz w:val="11"/>
                <w:szCs w:val="11"/>
                <w:color w:val="auto"/>
              </w:rPr>
              <w:t>12,552</w:t>
            </w:r>
          </w:p>
        </w:tc>
        <w:tc>
          <w:tcPr>
            <w:tcW w:w="40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(835)</w:t>
            </w:r>
          </w:p>
        </w:tc>
      </w:tr>
      <w:tr>
        <w:trPr>
          <w:trHeight w:val="144"/>
        </w:trPr>
        <w:tc>
          <w:tcPr>
            <w:tcW w:w="5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1"/>
                <w:szCs w:val="11"/>
                <w:b w:val="1"/>
                <w:bCs w:val="1"/>
                <w:color w:val="auto"/>
              </w:rPr>
              <w:t>Cash and cash equivalents at the beginning of the period</w:t>
            </w:r>
          </w:p>
        </w:tc>
        <w:tc>
          <w:tcPr>
            <w:tcW w:w="194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50,248</w:t>
            </w:r>
          </w:p>
        </w:tc>
        <w:tc>
          <w:tcPr>
            <w:tcW w:w="102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1"/>
                <w:szCs w:val="11"/>
                <w:color w:val="auto"/>
              </w:rPr>
              <w:t>37,696</w:t>
            </w:r>
          </w:p>
        </w:tc>
        <w:tc>
          <w:tcPr>
            <w:tcW w:w="400" w:type="dxa"/>
            <w:vAlign w:val="bottom"/>
            <w:tcBorders>
              <w:bottom w:val="single" w:sz="8" w:color="auto"/>
            </w:tcBorders>
            <w:shd w:val="clear" w:color="auto" w:fill="CCEEFF"/>
          </w:tcPr>
          <w:p>
            <w:pPr>
              <w:spacing w:after="0"/>
              <w:rPr>
                <w:sz w:val="12"/>
                <w:szCs w:val="1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38,531</w:t>
            </w:r>
          </w:p>
        </w:tc>
      </w:tr>
      <w:tr>
        <w:trPr>
          <w:trHeight w:val="126"/>
        </w:trPr>
        <w:tc>
          <w:tcPr>
            <w:tcW w:w="512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rPr>
              <w:t>Cash and cash equivalents at the end of the period</w:t>
            </w:r>
          </w:p>
        </w:tc>
        <w:tc>
          <w:tcPr>
            <w:tcW w:w="1940" w:type="dxa"/>
            <w:vAlign w:val="bottom"/>
            <w:tcBorders>
              <w:bottom w:val="single" w:sz="8" w:color="auto"/>
            </w:tcBorders>
          </w:tcPr>
          <w:p>
            <w:pPr>
              <w:jc w:val="right"/>
              <w:ind w:right="806"/>
              <w:spacing w:after="0"/>
              <w:rPr>
                <w:sz w:val="20"/>
                <w:szCs w:val="20"/>
                <w:color w:val="auto"/>
              </w:rPr>
            </w:pPr>
            <w:r>
              <w:rPr>
                <w:rFonts w:ascii="Arial" w:cs="Arial" w:eastAsia="Arial" w:hAnsi="Arial"/>
                <w:sz w:val="11"/>
                <w:szCs w:val="11"/>
                <w:color w:val="auto"/>
              </w:rPr>
              <w:t>$</w:t>
            </w:r>
          </w:p>
        </w:tc>
        <w:tc>
          <w:tcPr>
            <w:tcW w:w="56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19,702</w:t>
            </w:r>
          </w:p>
        </w:tc>
        <w:tc>
          <w:tcPr>
            <w:tcW w:w="1020" w:type="dxa"/>
            <w:vAlign w:val="bottom"/>
            <w:tcBorders>
              <w:bottom w:val="single" w:sz="8" w:color="auto"/>
            </w:tcBorders>
          </w:tcPr>
          <w:p>
            <w:pPr>
              <w:jc w:val="right"/>
              <w:ind w:right="826"/>
              <w:spacing w:after="0"/>
              <w:rPr>
                <w:sz w:val="20"/>
                <w:szCs w:val="20"/>
                <w:color w:val="auto"/>
              </w:rPr>
            </w:pPr>
            <w:r>
              <w:rPr>
                <w:rFonts w:ascii="Arial" w:cs="Arial" w:eastAsia="Arial" w:hAnsi="Arial"/>
                <w:sz w:val="11"/>
                <w:szCs w:val="11"/>
                <w:color w:val="auto"/>
              </w:rPr>
              <w:t>$</w:t>
            </w:r>
          </w:p>
        </w:tc>
        <w:tc>
          <w:tcPr>
            <w:tcW w:w="520" w:type="dxa"/>
            <w:vAlign w:val="bottom"/>
            <w:tcBorders>
              <w:bottom w:val="single" w:sz="8" w:color="auto"/>
            </w:tcBorders>
          </w:tcPr>
          <w:p>
            <w:pPr>
              <w:jc w:val="right"/>
              <w:ind w:right="46"/>
              <w:spacing w:after="0"/>
              <w:rPr>
                <w:sz w:val="20"/>
                <w:szCs w:val="20"/>
                <w:color w:val="auto"/>
              </w:rPr>
            </w:pPr>
            <w:r>
              <w:rPr>
                <w:rFonts w:ascii="Arial" w:cs="Arial" w:eastAsia="Arial" w:hAnsi="Arial"/>
                <w:sz w:val="11"/>
                <w:szCs w:val="11"/>
                <w:color w:val="auto"/>
              </w:rPr>
              <w:t>50,248</w:t>
            </w:r>
          </w:p>
        </w:tc>
        <w:tc>
          <w:tcPr>
            <w:tcW w:w="400" w:type="dxa"/>
            <w:vAlign w:val="bottom"/>
            <w:tcBorders>
              <w:bottom w:val="single" w:sz="8" w:color="auto"/>
            </w:tcBorders>
          </w:tcPr>
          <w:p>
            <w:pPr>
              <w:jc w:val="right"/>
              <w:ind w:right="206"/>
              <w:spacing w:after="0"/>
              <w:rPr>
                <w:sz w:val="20"/>
                <w:szCs w:val="20"/>
                <w:color w:val="auto"/>
              </w:rPr>
            </w:pPr>
            <w:r>
              <w:rPr>
                <w:rFonts w:ascii="Arial" w:cs="Arial" w:eastAsia="Arial" w:hAnsi="Arial"/>
                <w:sz w:val="11"/>
                <w:szCs w:val="11"/>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37,696</w:t>
            </w:r>
          </w:p>
        </w:tc>
      </w:tr>
      <w:tr>
        <w:trPr>
          <w:trHeight w:val="142"/>
        </w:trPr>
        <w:tc>
          <w:tcPr>
            <w:tcW w:w="512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Supplemental Disclosures</w:t>
            </w:r>
          </w:p>
        </w:tc>
        <w:tc>
          <w:tcPr>
            <w:tcW w:w="19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r>
      <w:tr>
        <w:trPr>
          <w:trHeight w:val="135"/>
        </w:trPr>
        <w:tc>
          <w:tcPr>
            <w:tcW w:w="5120" w:type="dxa"/>
            <w:vAlign w:val="bottom"/>
          </w:tcPr>
          <w:p>
            <w:pPr>
              <w:ind w:left="140"/>
              <w:spacing w:after="0"/>
              <w:rPr>
                <w:sz w:val="20"/>
                <w:szCs w:val="20"/>
                <w:color w:val="auto"/>
              </w:rPr>
            </w:pPr>
            <w:r>
              <w:rPr>
                <w:rFonts w:ascii="Arial" w:cs="Arial" w:eastAsia="Arial" w:hAnsi="Arial"/>
                <w:sz w:val="11"/>
                <w:szCs w:val="11"/>
                <w:color w:val="auto"/>
              </w:rPr>
              <w:t>Interest paid</w:t>
            </w:r>
          </w:p>
        </w:tc>
        <w:tc>
          <w:tcPr>
            <w:tcW w:w="1940" w:type="dxa"/>
            <w:vAlign w:val="bottom"/>
          </w:tcPr>
          <w:p>
            <w:pPr>
              <w:jc w:val="right"/>
              <w:ind w:right="806"/>
              <w:spacing w:after="0"/>
              <w:rPr>
                <w:sz w:val="20"/>
                <w:szCs w:val="20"/>
                <w:color w:val="auto"/>
              </w:rPr>
            </w:pPr>
            <w:r>
              <w:rPr>
                <w:rFonts w:ascii="Arial" w:cs="Arial" w:eastAsia="Arial" w:hAnsi="Arial"/>
                <w:sz w:val="11"/>
                <w:szCs w:val="11"/>
                <w:color w:val="auto"/>
              </w:rPr>
              <w:t>$</w:t>
            </w:r>
          </w:p>
        </w:tc>
        <w:tc>
          <w:tcPr>
            <w:tcW w:w="560" w:type="dxa"/>
            <w:vAlign w:val="bottom"/>
          </w:tcPr>
          <w:p>
            <w:pPr>
              <w:jc w:val="right"/>
              <w:ind w:right="66"/>
              <w:spacing w:after="0"/>
              <w:rPr>
                <w:sz w:val="20"/>
                <w:szCs w:val="20"/>
                <w:color w:val="auto"/>
              </w:rPr>
            </w:pPr>
            <w:r>
              <w:rPr>
                <w:rFonts w:ascii="Arial" w:cs="Arial" w:eastAsia="Arial" w:hAnsi="Arial"/>
                <w:sz w:val="11"/>
                <w:szCs w:val="11"/>
                <w:color w:val="auto"/>
              </w:rPr>
              <w:t>9,023</w:t>
            </w:r>
          </w:p>
        </w:tc>
        <w:tc>
          <w:tcPr>
            <w:tcW w:w="1020" w:type="dxa"/>
            <w:vAlign w:val="bottom"/>
          </w:tcPr>
          <w:p>
            <w:pPr>
              <w:jc w:val="right"/>
              <w:ind w:right="826"/>
              <w:spacing w:after="0"/>
              <w:rPr>
                <w:sz w:val="20"/>
                <w:szCs w:val="20"/>
                <w:color w:val="auto"/>
              </w:rPr>
            </w:pPr>
            <w:r>
              <w:rPr>
                <w:rFonts w:ascii="Arial" w:cs="Arial" w:eastAsia="Arial" w:hAnsi="Arial"/>
                <w:sz w:val="11"/>
                <w:szCs w:val="11"/>
                <w:color w:val="auto"/>
              </w:rPr>
              <w:t>$</w:t>
            </w:r>
          </w:p>
        </w:tc>
        <w:tc>
          <w:tcPr>
            <w:tcW w:w="520" w:type="dxa"/>
            <w:vAlign w:val="bottom"/>
          </w:tcPr>
          <w:p>
            <w:pPr>
              <w:jc w:val="right"/>
              <w:ind w:right="46"/>
              <w:spacing w:after="0"/>
              <w:rPr>
                <w:sz w:val="20"/>
                <w:szCs w:val="20"/>
                <w:color w:val="auto"/>
              </w:rPr>
            </w:pPr>
            <w:r>
              <w:rPr>
                <w:rFonts w:ascii="Arial" w:cs="Arial" w:eastAsia="Arial" w:hAnsi="Arial"/>
                <w:sz w:val="11"/>
                <w:szCs w:val="11"/>
                <w:color w:val="auto"/>
              </w:rPr>
              <w:t>9,504</w:t>
            </w:r>
          </w:p>
        </w:tc>
        <w:tc>
          <w:tcPr>
            <w:tcW w:w="400" w:type="dxa"/>
            <w:vAlign w:val="bottom"/>
          </w:tcPr>
          <w:p>
            <w:pPr>
              <w:jc w:val="right"/>
              <w:ind w:right="206"/>
              <w:spacing w:after="0"/>
              <w:rPr>
                <w:sz w:val="20"/>
                <w:szCs w:val="20"/>
                <w:color w:val="auto"/>
              </w:rPr>
            </w:pPr>
            <w:r>
              <w:rPr>
                <w:rFonts w:ascii="Arial" w:cs="Arial" w:eastAsia="Arial" w:hAnsi="Arial"/>
                <w:sz w:val="11"/>
                <w:szCs w:val="11"/>
                <w:color w:val="auto"/>
              </w:rPr>
              <w:t>$</w:t>
            </w:r>
          </w:p>
        </w:tc>
        <w:tc>
          <w:tcPr>
            <w:tcW w:w="1060" w:type="dxa"/>
            <w:vAlign w:val="bottom"/>
          </w:tcPr>
          <w:p>
            <w:pPr>
              <w:jc w:val="right"/>
              <w:spacing w:after="0"/>
              <w:rPr>
                <w:sz w:val="20"/>
                <w:szCs w:val="20"/>
                <w:color w:val="auto"/>
              </w:rPr>
            </w:pPr>
            <w:r>
              <w:rPr>
                <w:rFonts w:ascii="Arial" w:cs="Arial" w:eastAsia="Arial" w:hAnsi="Arial"/>
                <w:sz w:val="11"/>
                <w:szCs w:val="11"/>
                <w:color w:val="auto"/>
              </w:rPr>
              <w:t>6,953</w:t>
            </w:r>
          </w:p>
        </w:tc>
      </w:tr>
      <w:tr>
        <w:trPr>
          <w:trHeight w:val="171"/>
        </w:trPr>
        <w:tc>
          <w:tcPr>
            <w:tcW w:w="5120" w:type="dxa"/>
            <w:vAlign w:val="bottom"/>
            <w:shd w:val="clear" w:color="auto" w:fill="CCEEFF"/>
          </w:tcPr>
          <w:p>
            <w:pPr>
              <w:ind w:left="140"/>
              <w:spacing w:after="0"/>
              <w:rPr>
                <w:sz w:val="20"/>
                <w:szCs w:val="20"/>
                <w:color w:val="auto"/>
              </w:rPr>
            </w:pPr>
            <w:r>
              <w:rPr>
                <w:rFonts w:ascii="Arial" w:cs="Arial" w:eastAsia="Arial" w:hAnsi="Arial"/>
                <w:sz w:val="11"/>
                <w:szCs w:val="11"/>
                <w:color w:val="auto"/>
              </w:rPr>
              <w:t>Income taxes paid, net</w:t>
            </w:r>
          </w:p>
        </w:tc>
        <w:tc>
          <w:tcPr>
            <w:tcW w:w="194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8,553</w:t>
            </w:r>
          </w:p>
        </w:tc>
        <w:tc>
          <w:tcPr>
            <w:tcW w:w="1020" w:type="dxa"/>
            <w:vAlign w:val="bottom"/>
            <w:shd w:val="clear" w:color="auto" w:fill="CCEEFF"/>
          </w:tcPr>
          <w:p>
            <w:pPr>
              <w:spacing w:after="0"/>
              <w:rPr>
                <w:sz w:val="14"/>
                <w:szCs w:val="14"/>
                <w:color w:val="auto"/>
              </w:rPr>
            </w:pPr>
          </w:p>
        </w:tc>
        <w:tc>
          <w:tcPr>
            <w:tcW w:w="52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6,407</w:t>
            </w:r>
          </w:p>
        </w:tc>
        <w:tc>
          <w:tcPr>
            <w:tcW w:w="40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5,903</w:t>
            </w:r>
          </w:p>
        </w:tc>
      </w:tr>
      <w:tr>
        <w:trPr>
          <w:trHeight w:val="169"/>
        </w:trPr>
        <w:tc>
          <w:tcPr>
            <w:tcW w:w="5120" w:type="dxa"/>
            <w:vAlign w:val="bottom"/>
          </w:tcPr>
          <w:p>
            <w:pPr>
              <w:spacing w:after="0"/>
              <w:rPr>
                <w:sz w:val="20"/>
                <w:szCs w:val="20"/>
                <w:color w:val="auto"/>
              </w:rPr>
            </w:pPr>
            <w:r>
              <w:rPr>
                <w:rFonts w:ascii="Arial" w:cs="Arial" w:eastAsia="Arial" w:hAnsi="Arial"/>
                <w:sz w:val="11"/>
                <w:szCs w:val="11"/>
                <w:b w:val="1"/>
                <w:bCs w:val="1"/>
                <w:color w:val="auto"/>
              </w:rPr>
              <w:t>Non-Cash Transactions</w:t>
            </w:r>
          </w:p>
        </w:tc>
        <w:tc>
          <w:tcPr>
            <w:tcW w:w="19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37"/>
        </w:trPr>
        <w:tc>
          <w:tcPr>
            <w:tcW w:w="5120" w:type="dxa"/>
            <w:vAlign w:val="bottom"/>
            <w:shd w:val="clear" w:color="auto" w:fill="CCEEFF"/>
          </w:tcPr>
          <w:p>
            <w:pPr>
              <w:ind w:left="140"/>
              <w:spacing w:after="0"/>
              <w:rPr>
                <w:sz w:val="20"/>
                <w:szCs w:val="20"/>
                <w:color w:val="auto"/>
              </w:rPr>
            </w:pPr>
            <w:r>
              <w:rPr>
                <w:rFonts w:ascii="Arial" w:cs="Arial" w:eastAsia="Arial" w:hAnsi="Arial"/>
                <w:sz w:val="11"/>
                <w:szCs w:val="11"/>
                <w:color w:val="auto"/>
              </w:rPr>
              <w:t>Lease make-good accrual</w:t>
            </w:r>
          </w:p>
        </w:tc>
        <w:tc>
          <w:tcPr>
            <w:tcW w:w="1940" w:type="dxa"/>
            <w:vAlign w:val="bottom"/>
            <w:shd w:val="clear" w:color="auto" w:fill="CCEEFF"/>
          </w:tcPr>
          <w:p>
            <w:pPr>
              <w:jc w:val="right"/>
              <w:ind w:right="806"/>
              <w:spacing w:after="0"/>
              <w:rPr>
                <w:sz w:val="20"/>
                <w:szCs w:val="20"/>
                <w:color w:val="auto"/>
              </w:rPr>
            </w:pPr>
            <w:r>
              <w:rPr>
                <w:rFonts w:ascii="Arial" w:cs="Arial" w:eastAsia="Arial" w:hAnsi="Arial"/>
                <w:sz w:val="11"/>
                <w:szCs w:val="11"/>
                <w:color w:val="auto"/>
              </w:rPr>
              <w:t>$</w:t>
            </w:r>
          </w:p>
        </w:tc>
        <w:tc>
          <w:tcPr>
            <w:tcW w:w="56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1,314</w:t>
            </w:r>
          </w:p>
        </w:tc>
        <w:tc>
          <w:tcPr>
            <w:tcW w:w="1020" w:type="dxa"/>
            <w:vAlign w:val="bottom"/>
            <w:shd w:val="clear" w:color="auto" w:fill="CCEEFF"/>
          </w:tcPr>
          <w:p>
            <w:pPr>
              <w:jc w:val="right"/>
              <w:ind w:right="826"/>
              <w:spacing w:after="0"/>
              <w:rPr>
                <w:sz w:val="20"/>
                <w:szCs w:val="20"/>
                <w:color w:val="auto"/>
              </w:rPr>
            </w:pPr>
            <w:r>
              <w:rPr>
                <w:rFonts w:ascii="Arial" w:cs="Arial" w:eastAsia="Arial" w:hAnsi="Arial"/>
                <w:sz w:val="11"/>
                <w:szCs w:val="11"/>
                <w:color w:val="auto"/>
              </w:rPr>
              <w:t>$</w:t>
            </w:r>
          </w:p>
        </w:tc>
        <w:tc>
          <w:tcPr>
            <w:tcW w:w="52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4,385</w:t>
            </w:r>
          </w:p>
        </w:tc>
        <w:tc>
          <w:tcPr>
            <w:tcW w:w="400" w:type="dxa"/>
            <w:vAlign w:val="bottom"/>
            <w:shd w:val="clear" w:color="auto" w:fill="CCEEFF"/>
          </w:tcPr>
          <w:p>
            <w:pPr>
              <w:jc w:val="right"/>
              <w:ind w:right="206"/>
              <w:spacing w:after="0"/>
              <w:rPr>
                <w:sz w:val="20"/>
                <w:szCs w:val="20"/>
                <w:color w:val="auto"/>
              </w:rPr>
            </w:pPr>
            <w:r>
              <w:rPr>
                <w:rFonts w:ascii="Arial" w:cs="Arial" w:eastAsia="Arial" w:hAnsi="Arial"/>
                <w:sz w:val="11"/>
                <w:szCs w:val="11"/>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r>
      <w:tr>
        <w:trPr>
          <w:trHeight w:val="142"/>
        </w:trPr>
        <w:tc>
          <w:tcPr>
            <w:tcW w:w="5120" w:type="dxa"/>
            <w:vAlign w:val="bottom"/>
          </w:tcPr>
          <w:p>
            <w:pPr>
              <w:ind w:left="140"/>
              <w:spacing w:after="0"/>
              <w:rPr>
                <w:sz w:val="20"/>
                <w:szCs w:val="20"/>
                <w:color w:val="auto"/>
              </w:rPr>
            </w:pPr>
            <w:r>
              <w:rPr>
                <w:rFonts w:ascii="Arial" w:cs="Arial" w:eastAsia="Arial" w:hAnsi="Arial"/>
                <w:sz w:val="11"/>
                <w:szCs w:val="11"/>
                <w:color w:val="auto"/>
              </w:rPr>
              <w:t>Contribution from noncontrolling shareholder in exchange for debt reduction - related party</w:t>
            </w:r>
          </w:p>
        </w:tc>
        <w:tc>
          <w:tcPr>
            <w:tcW w:w="1940" w:type="dxa"/>
            <w:vAlign w:val="bottom"/>
          </w:tcPr>
          <w:p>
            <w:pPr>
              <w:spacing w:after="0"/>
              <w:rPr>
                <w:sz w:val="12"/>
                <w:szCs w:val="12"/>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1020" w:type="dxa"/>
            <w:vAlign w:val="bottom"/>
          </w:tcPr>
          <w:p>
            <w:pPr>
              <w:spacing w:after="0"/>
              <w:rPr>
                <w:sz w:val="12"/>
                <w:szCs w:val="12"/>
                <w:color w:val="auto"/>
              </w:rPr>
            </w:pPr>
          </w:p>
        </w:tc>
        <w:tc>
          <w:tcPr>
            <w:tcW w:w="52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40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2,250</w:t>
            </w:r>
          </w:p>
        </w:tc>
      </w:tr>
      <w:tr>
        <w:trPr>
          <w:trHeight w:val="146"/>
        </w:trPr>
        <w:tc>
          <w:tcPr>
            <w:tcW w:w="5120" w:type="dxa"/>
            <w:vAlign w:val="bottom"/>
            <w:shd w:val="clear" w:color="auto" w:fill="CCEEFF"/>
          </w:tcPr>
          <w:p>
            <w:pPr>
              <w:ind w:left="140"/>
              <w:spacing w:after="0"/>
              <w:rPr>
                <w:sz w:val="20"/>
                <w:szCs w:val="20"/>
                <w:color w:val="auto"/>
              </w:rPr>
            </w:pPr>
            <w:r>
              <w:rPr>
                <w:rFonts w:ascii="Arial" w:cs="Arial" w:eastAsia="Arial" w:hAnsi="Arial"/>
                <w:sz w:val="11"/>
                <w:szCs w:val="11"/>
                <w:color w:val="auto"/>
              </w:rPr>
              <w:t>Conversion of noncontrolling interest to equity</w:t>
            </w:r>
          </w:p>
        </w:tc>
        <w:tc>
          <w:tcPr>
            <w:tcW w:w="1940" w:type="dxa"/>
            <w:vAlign w:val="bottom"/>
            <w:shd w:val="clear" w:color="auto" w:fill="CCEEFF"/>
          </w:tcPr>
          <w:p>
            <w:pPr>
              <w:spacing w:after="0"/>
              <w:rPr>
                <w:sz w:val="12"/>
                <w:szCs w:val="12"/>
                <w:color w:val="auto"/>
              </w:rPr>
            </w:pPr>
          </w:p>
        </w:tc>
        <w:tc>
          <w:tcPr>
            <w:tcW w:w="56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w:t>
            </w:r>
          </w:p>
        </w:tc>
        <w:tc>
          <w:tcPr>
            <w:tcW w:w="1020" w:type="dxa"/>
            <w:vAlign w:val="bottom"/>
            <w:shd w:val="clear" w:color="auto" w:fill="CCEEFF"/>
          </w:tcPr>
          <w:p>
            <w:pPr>
              <w:spacing w:after="0"/>
              <w:rPr>
                <w:sz w:val="12"/>
                <w:szCs w:val="12"/>
                <w:color w:val="auto"/>
              </w:rPr>
            </w:pPr>
          </w:p>
        </w:tc>
        <w:tc>
          <w:tcPr>
            <w:tcW w:w="52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w:t>
            </w:r>
          </w:p>
        </w:tc>
        <w:tc>
          <w:tcPr>
            <w:tcW w:w="40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101</w:t>
            </w:r>
          </w:p>
        </w:tc>
      </w:tr>
      <w:tr>
        <w:trPr>
          <w:trHeight w:val="140"/>
        </w:trPr>
        <w:tc>
          <w:tcPr>
            <w:tcW w:w="5120" w:type="dxa"/>
            <w:vAlign w:val="bottom"/>
          </w:tcPr>
          <w:p>
            <w:pPr>
              <w:ind w:left="140"/>
              <w:spacing w:after="0"/>
              <w:rPr>
                <w:sz w:val="20"/>
                <w:szCs w:val="20"/>
                <w:color w:val="auto"/>
              </w:rPr>
            </w:pPr>
            <w:r>
              <w:rPr>
                <w:rFonts w:ascii="Arial" w:cs="Arial" w:eastAsia="Arial" w:hAnsi="Arial"/>
                <w:sz w:val="11"/>
                <w:szCs w:val="11"/>
                <w:color w:val="auto"/>
              </w:rPr>
              <w:t>In-kind exchange of stock for the exercise of options, net</w:t>
            </w:r>
          </w:p>
        </w:tc>
        <w:tc>
          <w:tcPr>
            <w:tcW w:w="1940" w:type="dxa"/>
            <w:vAlign w:val="bottom"/>
          </w:tcPr>
          <w:p>
            <w:pPr>
              <w:spacing w:after="0"/>
              <w:rPr>
                <w:sz w:val="12"/>
                <w:szCs w:val="12"/>
                <w:color w:val="auto"/>
              </w:rPr>
            </w:pPr>
          </w:p>
        </w:tc>
        <w:tc>
          <w:tcPr>
            <w:tcW w:w="560" w:type="dxa"/>
            <w:vAlign w:val="bottom"/>
          </w:tcPr>
          <w:p>
            <w:pPr>
              <w:jc w:val="right"/>
              <w:ind w:right="66"/>
              <w:spacing w:after="0"/>
              <w:rPr>
                <w:sz w:val="20"/>
                <w:szCs w:val="20"/>
                <w:color w:val="auto"/>
              </w:rPr>
            </w:pPr>
            <w:r>
              <w:rPr>
                <w:rFonts w:ascii="Arial" w:cs="Arial" w:eastAsia="Arial" w:hAnsi="Arial"/>
                <w:sz w:val="11"/>
                <w:szCs w:val="11"/>
                <w:color w:val="auto"/>
              </w:rPr>
              <w:t>1,833</w:t>
            </w:r>
          </w:p>
        </w:tc>
        <w:tc>
          <w:tcPr>
            <w:tcW w:w="1020" w:type="dxa"/>
            <w:vAlign w:val="bottom"/>
          </w:tcPr>
          <w:p>
            <w:pPr>
              <w:spacing w:after="0"/>
              <w:rPr>
                <w:sz w:val="12"/>
                <w:szCs w:val="12"/>
                <w:color w:val="auto"/>
              </w:rPr>
            </w:pPr>
          </w:p>
        </w:tc>
        <w:tc>
          <w:tcPr>
            <w:tcW w:w="52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40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301</w:t>
            </w:r>
          </w:p>
        </w:tc>
      </w:tr>
    </w:tbl>
    <w:p>
      <w:pPr>
        <w:spacing w:after="0" w:line="125" w:lineRule="exact"/>
        <w:rPr>
          <w:sz w:val="20"/>
          <w:szCs w:val="20"/>
          <w:color w:val="auto"/>
        </w:rPr>
      </w:pPr>
    </w:p>
    <w:p>
      <w:pPr>
        <w:spacing w:after="0"/>
        <w:rPr>
          <w:sz w:val="20"/>
          <w:szCs w:val="20"/>
          <w:color w:val="auto"/>
        </w:rPr>
      </w:pPr>
      <w:r>
        <w:rPr>
          <w:rFonts w:ascii="Arial" w:cs="Arial" w:eastAsia="Arial" w:hAnsi="Arial"/>
          <w:sz w:val="10"/>
          <w:szCs w:val="10"/>
          <w:color w:val="auto"/>
        </w:rPr>
        <w:t>See accompanying notes to consolidated financial statements.</w:t>
      </w:r>
    </w:p>
    <w:p>
      <w:pPr>
        <w:ind w:left="80" w:hanging="76"/>
        <w:spacing w:after="0"/>
        <w:tabs>
          <w:tab w:leader="none" w:pos="80" w:val="left"/>
        </w:tabs>
        <w:numPr>
          <w:ilvl w:val="0"/>
          <w:numId w:val="30"/>
        </w:numPr>
        <w:rPr>
          <w:rFonts w:ascii="Arial" w:cs="Arial" w:eastAsia="Arial" w:hAnsi="Arial"/>
          <w:sz w:val="8"/>
          <w:szCs w:val="8"/>
          <w:color w:val="auto"/>
          <w:vertAlign w:val="superscript"/>
        </w:rPr>
      </w:pPr>
      <w:r>
        <w:rPr>
          <w:rFonts w:ascii="Arial" w:cs="Arial" w:eastAsia="Arial" w:hAnsi="Arial"/>
          <w:sz w:val="8"/>
          <w:szCs w:val="8"/>
          <w:color w:val="auto"/>
        </w:rPr>
        <w:t xml:space="preserve">Certain prior period amounts have been reclassified to conform to the current period presentation (see Note 2 – </w:t>
      </w:r>
      <w:r>
        <w:rPr>
          <w:rFonts w:ascii="Arial" w:cs="Arial" w:eastAsia="Arial" w:hAnsi="Arial"/>
          <w:sz w:val="8"/>
          <w:szCs w:val="8"/>
          <w:i w:val="1"/>
          <w:iCs w:val="1"/>
          <w:color w:val="auto"/>
        </w:rPr>
        <w:t>Significant Accounting Policies – Reclassifications</w:t>
      </w:r>
      <w:r>
        <w:rPr>
          <w:rFonts w:ascii="Arial" w:cs="Arial" w:eastAsia="Arial" w:hAnsi="Arial"/>
          <w:sz w:val="8"/>
          <w:szCs w:val="8"/>
          <w:color w:val="auto"/>
        </w:rPr>
        <w:t>).</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59690</wp:posOffset>
            </wp:positionV>
            <wp:extent cx="677989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779895" cy="42545"/>
                    </a:xfrm>
                    <a:prstGeom prst="rect">
                      <a:avLst/>
                    </a:prstGeom>
                    <a:noFill/>
                  </pic:spPr>
                </pic:pic>
              </a:graphicData>
            </a:graphic>
          </wp:anchor>
        </w:drawing>
      </w:r>
    </w:p>
    <w:p>
      <w:pPr>
        <w:sectPr>
          <w:pgSz w:w="11900" w:h="16838" w:orient="portrait"/>
          <w:cols w:equalWidth="0" w:num="1">
            <w:col w:w="10620"/>
          </w:cols>
          <w:pgMar w:left="640" w:top="283" w:right="639" w:bottom="1440" w:gutter="0" w:footer="0" w:header="0"/>
        </w:sectPr>
      </w:pPr>
    </w:p>
    <w:bookmarkStart w:id="60" w:name="page61"/>
    <w:bookmarkEnd w:id="60"/>
    <w:p>
      <w:pPr>
        <w:spacing w:after="0"/>
        <w:rPr>
          <w:sz w:val="20"/>
          <w:szCs w:val="20"/>
          <w:color w:val="auto"/>
        </w:rPr>
      </w:pPr>
      <w:r>
        <w:rPr>
          <w:rFonts w:ascii="Arial" w:cs="Arial" w:eastAsia="Arial" w:hAnsi="Arial"/>
          <w:sz w:val="12"/>
          <w:szCs w:val="12"/>
          <w:b w:val="1"/>
          <w:bCs w:val="1"/>
          <w:color w:val="auto"/>
        </w:rPr>
        <w:t>Reading International, Inc. and Subsidiaries</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December 31, 2015</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_____________________________________________________________________________________________________________________________________</w:t>
      </w:r>
    </w:p>
    <w:p>
      <w:pPr>
        <w:spacing w:after="0" w:line="20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1 – Description of Business and Segment Reporting</w:t>
      </w:r>
    </w:p>
    <w:p>
      <w:pPr>
        <w:spacing w:after="0" w:line="136" w:lineRule="exact"/>
        <w:rPr>
          <w:sz w:val="20"/>
          <w:szCs w:val="20"/>
          <w:color w:val="auto"/>
        </w:rPr>
      </w:pPr>
    </w:p>
    <w:p>
      <w:pPr>
        <w:ind w:right="60"/>
        <w:spacing w:after="0" w:line="263" w:lineRule="auto"/>
        <w:rPr>
          <w:sz w:val="20"/>
          <w:szCs w:val="20"/>
          <w:color w:val="auto"/>
        </w:rPr>
      </w:pPr>
      <w:r>
        <w:rPr>
          <w:rFonts w:ascii="Arial" w:cs="Arial" w:eastAsia="Arial" w:hAnsi="Arial"/>
          <w:sz w:val="12"/>
          <w:szCs w:val="12"/>
          <w:color w:val="auto"/>
        </w:rPr>
        <w:t>Reading International, Inc., a Nevada corporation (“RDI” and collectively with our consolidated subsidiaries and corporate predecessors, the “Company,” “Reading” and “we,” “us,” or “our”), was incorporated in 1999, and, following the consummation of a consolidation transaction on December 31, 2001, is now the owner of the consolidated businesses and assets of Reading Entertainment, Inc. (“RDGE”), Craig Corporation (“CRG”), and Citadel Holding Corporation (“CDL”). Our businesses consist primarily of:</w:t>
      </w:r>
    </w:p>
    <w:p>
      <w:pPr>
        <w:spacing w:after="0" w:line="96" w:lineRule="exact"/>
        <w:rPr>
          <w:sz w:val="20"/>
          <w:szCs w:val="20"/>
          <w:color w:val="auto"/>
        </w:rPr>
      </w:pPr>
    </w:p>
    <w:p>
      <w:pPr>
        <w:ind w:left="280" w:hanging="59"/>
        <w:spacing w:after="0"/>
        <w:tabs>
          <w:tab w:leader="none" w:pos="280" w:val="left"/>
        </w:tabs>
        <w:numPr>
          <w:ilvl w:val="0"/>
          <w:numId w:val="31"/>
        </w:numPr>
        <w:rPr>
          <w:rFonts w:ascii="Arial" w:cs="Arial" w:eastAsia="Arial" w:hAnsi="Arial"/>
          <w:sz w:val="12"/>
          <w:szCs w:val="12"/>
          <w:color w:val="auto"/>
        </w:rPr>
      </w:pPr>
      <w:r>
        <w:rPr>
          <w:rFonts w:ascii="Arial" w:cs="Arial" w:eastAsia="Arial" w:hAnsi="Arial"/>
          <w:sz w:val="12"/>
          <w:szCs w:val="12"/>
          <w:color w:val="auto"/>
        </w:rPr>
        <w:t>Development, ownership and operation of multiplex cinemas in the United States, Australia, and New Zealand; and</w:t>
      </w:r>
    </w:p>
    <w:p>
      <w:pPr>
        <w:spacing w:after="0" w:line="123" w:lineRule="exact"/>
        <w:rPr>
          <w:rFonts w:ascii="Arial" w:cs="Arial" w:eastAsia="Arial" w:hAnsi="Arial"/>
          <w:sz w:val="12"/>
          <w:szCs w:val="12"/>
          <w:color w:val="auto"/>
        </w:rPr>
      </w:pPr>
    </w:p>
    <w:p>
      <w:pPr>
        <w:ind w:left="280" w:hanging="59"/>
        <w:spacing w:after="0"/>
        <w:tabs>
          <w:tab w:leader="none" w:pos="280" w:val="left"/>
        </w:tabs>
        <w:numPr>
          <w:ilvl w:val="0"/>
          <w:numId w:val="31"/>
        </w:numPr>
        <w:rPr>
          <w:rFonts w:ascii="Arial" w:cs="Arial" w:eastAsia="Arial" w:hAnsi="Arial"/>
          <w:sz w:val="12"/>
          <w:szCs w:val="12"/>
          <w:color w:val="auto"/>
        </w:rPr>
      </w:pPr>
      <w:r>
        <w:rPr>
          <w:rFonts w:ascii="Arial" w:cs="Arial" w:eastAsia="Arial" w:hAnsi="Arial"/>
          <w:sz w:val="12"/>
          <w:szCs w:val="12"/>
          <w:color w:val="auto"/>
        </w:rPr>
        <w:t>Development, ownership, and operation of retail and commercial real estate in Australia, New Zealand, and the United States</w:t>
      </w:r>
    </w:p>
    <w:p>
      <w:pPr>
        <w:spacing w:after="0" w:line="123" w:lineRule="exact"/>
        <w:rPr>
          <w:sz w:val="20"/>
          <w:szCs w:val="20"/>
          <w:color w:val="auto"/>
        </w:rPr>
      </w:pPr>
    </w:p>
    <w:p>
      <w:pPr>
        <w:ind w:right="180"/>
        <w:spacing w:after="0" w:line="323" w:lineRule="auto"/>
        <w:rPr>
          <w:sz w:val="20"/>
          <w:szCs w:val="20"/>
          <w:color w:val="auto"/>
        </w:rPr>
      </w:pPr>
      <w:r>
        <w:rPr>
          <w:rFonts w:ascii="Arial" w:cs="Arial" w:eastAsia="Arial" w:hAnsi="Arial"/>
          <w:sz w:val="11"/>
          <w:szCs w:val="11"/>
          <w:color w:val="auto"/>
        </w:rPr>
        <w:t>Reported below are the operating segments of the Company for which separate financial information is available and for which segment results are evaluated regularly by the Chief Executive Officer. In addition to the cinema exhibition and real estate activities, we have acquired, and continue to hold, raw land in urban and suburban centers in Australia, New Zealand, and the United States as part of our real estate activities.</w:t>
      </w:r>
    </w:p>
    <w:p>
      <w:pPr>
        <w:spacing w:after="0" w:line="65" w:lineRule="exact"/>
        <w:rPr>
          <w:sz w:val="20"/>
          <w:szCs w:val="20"/>
          <w:color w:val="auto"/>
        </w:rPr>
      </w:pPr>
    </w:p>
    <w:p>
      <w:pPr>
        <w:ind w:right="500"/>
        <w:spacing w:after="0" w:line="276" w:lineRule="auto"/>
        <w:rPr>
          <w:sz w:val="20"/>
          <w:szCs w:val="20"/>
          <w:color w:val="auto"/>
        </w:rPr>
      </w:pPr>
      <w:r>
        <w:rPr>
          <w:rFonts w:ascii="Arial" w:cs="Arial" w:eastAsia="Arial" w:hAnsi="Arial"/>
          <w:sz w:val="12"/>
          <w:szCs w:val="12"/>
          <w:color w:val="auto"/>
        </w:rPr>
        <w:t>The tables below summarize the results of operations for each of our business segments. Operating expense includes costs associated with the day-to-day operations of the cinemas and the management of rental properties, including our live theater assets.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0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jc w:val="right"/>
              <w:ind w:right="272"/>
              <w:spacing w:after="0"/>
              <w:rPr>
                <w:sz w:val="20"/>
                <w:szCs w:val="20"/>
                <w:color w:val="auto"/>
              </w:rPr>
            </w:pPr>
            <w:r>
              <w:rPr>
                <w:rFonts w:ascii="Arial" w:cs="Arial" w:eastAsia="Arial" w:hAnsi="Arial"/>
                <w:sz w:val="10"/>
                <w:szCs w:val="10"/>
                <w:b w:val="1"/>
                <w:bCs w:val="1"/>
                <w:color w:val="auto"/>
              </w:rPr>
              <w:t>2015</w:t>
            </w:r>
          </w:p>
        </w:tc>
        <w:tc>
          <w:tcPr>
            <w:tcW w:w="1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jc w:val="right"/>
              <w:ind w:right="252"/>
              <w:spacing w:after="0"/>
              <w:rPr>
                <w:sz w:val="20"/>
                <w:szCs w:val="20"/>
                <w:color w:val="auto"/>
              </w:rPr>
            </w:pPr>
            <w:r>
              <w:rPr>
                <w:rFonts w:ascii="Arial" w:cs="Arial" w:eastAsia="Arial" w:hAnsi="Arial"/>
                <w:sz w:val="10"/>
                <w:szCs w:val="10"/>
                <w:b w:val="1"/>
                <w:bCs w:val="1"/>
                <w:color w:val="auto"/>
              </w:rPr>
              <w:t>2014</w:t>
            </w:r>
          </w:p>
        </w:tc>
        <w:tc>
          <w:tcPr>
            <w:tcW w:w="14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jc w:val="right"/>
              <w:ind w:right="252"/>
              <w:spacing w:after="0"/>
              <w:rPr>
                <w:sz w:val="20"/>
                <w:szCs w:val="20"/>
                <w:color w:val="auto"/>
              </w:rPr>
            </w:pPr>
            <w:r>
              <w:rPr>
                <w:rFonts w:ascii="Arial" w:cs="Arial" w:eastAsia="Arial" w:hAnsi="Arial"/>
                <w:sz w:val="10"/>
                <w:szCs w:val="10"/>
                <w:b w:val="1"/>
                <w:bCs w:val="1"/>
                <w:color w:val="auto"/>
              </w:rPr>
              <w:t>2013</w:t>
            </w:r>
          </w:p>
        </w:tc>
        <w:tc>
          <w:tcPr>
            <w:tcW w:w="1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r>
      <w:tr>
        <w:trPr>
          <w:trHeight w:val="178"/>
        </w:trPr>
        <w:tc>
          <w:tcPr>
            <w:tcW w:w="202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(Dollars in thousands)</w:t>
            </w:r>
          </w:p>
        </w:tc>
        <w:tc>
          <w:tcPr>
            <w:tcW w:w="14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92"/>
              <w:spacing w:after="0"/>
              <w:rPr>
                <w:sz w:val="20"/>
                <w:szCs w:val="20"/>
                <w:color w:val="auto"/>
              </w:rPr>
            </w:pPr>
            <w:r>
              <w:rPr>
                <w:rFonts w:ascii="Arial" w:cs="Arial" w:eastAsia="Arial" w:hAnsi="Arial"/>
                <w:sz w:val="10"/>
                <w:szCs w:val="10"/>
                <w:b w:val="1"/>
                <w:bCs w:val="1"/>
                <w:color w:val="auto"/>
                <w:w w:val="99"/>
              </w:rPr>
              <w:t>Cinema</w:t>
            </w:r>
          </w:p>
        </w:tc>
        <w:tc>
          <w:tcPr>
            <w:tcW w:w="1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32"/>
              <w:spacing w:after="0"/>
              <w:rPr>
                <w:sz w:val="20"/>
                <w:szCs w:val="20"/>
                <w:color w:val="auto"/>
              </w:rPr>
            </w:pPr>
            <w:r>
              <w:rPr>
                <w:rFonts w:ascii="Arial" w:cs="Arial" w:eastAsia="Arial" w:hAnsi="Arial"/>
                <w:sz w:val="10"/>
                <w:szCs w:val="10"/>
                <w:b w:val="1"/>
                <w:bCs w:val="1"/>
                <w:color w:val="auto"/>
                <w:w w:val="85"/>
              </w:rPr>
              <w:t>Real Estate</w:t>
            </w:r>
          </w:p>
        </w:tc>
        <w:tc>
          <w:tcPr>
            <w:tcW w:w="14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252"/>
              <w:spacing w:after="0"/>
              <w:rPr>
                <w:sz w:val="20"/>
                <w:szCs w:val="20"/>
                <w:color w:val="auto"/>
              </w:rPr>
            </w:pPr>
            <w:r>
              <w:rPr>
                <w:rFonts w:ascii="Arial" w:cs="Arial" w:eastAsia="Arial" w:hAnsi="Arial"/>
                <w:sz w:val="10"/>
                <w:szCs w:val="10"/>
                <w:b w:val="1"/>
                <w:bCs w:val="1"/>
                <w:color w:val="auto"/>
              </w:rPr>
              <w:t>Total</w:t>
            </w:r>
          </w:p>
        </w:tc>
        <w:tc>
          <w:tcPr>
            <w:tcW w:w="14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92"/>
              <w:spacing w:after="0"/>
              <w:rPr>
                <w:sz w:val="20"/>
                <w:szCs w:val="20"/>
                <w:color w:val="auto"/>
              </w:rPr>
            </w:pPr>
            <w:r>
              <w:rPr>
                <w:rFonts w:ascii="Arial" w:cs="Arial" w:eastAsia="Arial" w:hAnsi="Arial"/>
                <w:sz w:val="10"/>
                <w:szCs w:val="10"/>
                <w:b w:val="1"/>
                <w:bCs w:val="1"/>
                <w:color w:val="auto"/>
                <w:w w:val="93"/>
              </w:rPr>
              <w:t>Cinema</w:t>
            </w:r>
          </w:p>
        </w:tc>
        <w:tc>
          <w:tcPr>
            <w:tcW w:w="1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12"/>
              <w:spacing w:after="0"/>
              <w:rPr>
                <w:sz w:val="20"/>
                <w:szCs w:val="20"/>
                <w:color w:val="auto"/>
              </w:rPr>
            </w:pPr>
            <w:r>
              <w:rPr>
                <w:rFonts w:ascii="Arial" w:cs="Arial" w:eastAsia="Arial" w:hAnsi="Arial"/>
                <w:sz w:val="10"/>
                <w:szCs w:val="10"/>
                <w:b w:val="1"/>
                <w:bCs w:val="1"/>
                <w:color w:val="auto"/>
                <w:w w:val="85"/>
              </w:rPr>
              <w:t>Real Estate</w:t>
            </w:r>
          </w:p>
        </w:tc>
        <w:tc>
          <w:tcPr>
            <w:tcW w:w="14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252"/>
              <w:spacing w:after="0"/>
              <w:rPr>
                <w:sz w:val="20"/>
                <w:szCs w:val="20"/>
                <w:color w:val="auto"/>
              </w:rPr>
            </w:pPr>
            <w:r>
              <w:rPr>
                <w:rFonts w:ascii="Arial" w:cs="Arial" w:eastAsia="Arial" w:hAnsi="Arial"/>
                <w:sz w:val="10"/>
                <w:szCs w:val="10"/>
                <w:b w:val="1"/>
                <w:bCs w:val="1"/>
                <w:color w:val="auto"/>
              </w:rPr>
              <w:t>Total</w:t>
            </w:r>
          </w:p>
        </w:tc>
        <w:tc>
          <w:tcPr>
            <w:tcW w:w="14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212"/>
              <w:spacing w:after="0"/>
              <w:rPr>
                <w:sz w:val="20"/>
                <w:szCs w:val="20"/>
                <w:color w:val="auto"/>
              </w:rPr>
            </w:pPr>
            <w:r>
              <w:rPr>
                <w:rFonts w:ascii="Arial" w:cs="Arial" w:eastAsia="Arial" w:hAnsi="Arial"/>
                <w:sz w:val="10"/>
                <w:szCs w:val="10"/>
                <w:b w:val="1"/>
                <w:bCs w:val="1"/>
                <w:color w:val="auto"/>
                <w:w w:val="93"/>
              </w:rPr>
              <w:t>Cinema</w:t>
            </w:r>
          </w:p>
        </w:tc>
        <w:tc>
          <w:tcPr>
            <w:tcW w:w="1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12"/>
              <w:spacing w:after="0"/>
              <w:rPr>
                <w:sz w:val="20"/>
                <w:szCs w:val="20"/>
                <w:color w:val="auto"/>
              </w:rPr>
            </w:pPr>
            <w:r>
              <w:rPr>
                <w:rFonts w:ascii="Arial" w:cs="Arial" w:eastAsia="Arial" w:hAnsi="Arial"/>
                <w:sz w:val="10"/>
                <w:szCs w:val="10"/>
                <w:b w:val="1"/>
                <w:bCs w:val="1"/>
                <w:color w:val="auto"/>
                <w:w w:val="85"/>
              </w:rPr>
              <w:t>Real Estate</w:t>
            </w:r>
          </w:p>
        </w:tc>
        <w:tc>
          <w:tcPr>
            <w:tcW w:w="16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252"/>
              <w:spacing w:after="0"/>
              <w:rPr>
                <w:sz w:val="20"/>
                <w:szCs w:val="20"/>
                <w:color w:val="auto"/>
              </w:rPr>
            </w:pPr>
            <w:r>
              <w:rPr>
                <w:rFonts w:ascii="Arial" w:cs="Arial" w:eastAsia="Arial" w:hAnsi="Arial"/>
                <w:sz w:val="10"/>
                <w:szCs w:val="10"/>
                <w:b w:val="1"/>
                <w:bCs w:val="1"/>
                <w:color w:val="auto"/>
              </w:rPr>
              <w:t>Total</w:t>
            </w:r>
          </w:p>
        </w:tc>
      </w:tr>
      <w:tr>
        <w:trPr>
          <w:trHeight w:val="187"/>
        </w:trPr>
        <w:tc>
          <w:tcPr>
            <w:tcW w:w="2160" w:type="dxa"/>
            <w:vAlign w:val="bottom"/>
            <w:gridSpan w:val="2"/>
            <w:shd w:val="clear" w:color="auto" w:fill="CCEEFF"/>
          </w:tcPr>
          <w:p>
            <w:pPr>
              <w:spacing w:after="0"/>
              <w:rPr>
                <w:sz w:val="20"/>
                <w:szCs w:val="20"/>
                <w:color w:val="auto"/>
              </w:rPr>
            </w:pPr>
            <w:r>
              <w:rPr>
                <w:rFonts w:ascii="Arial" w:cs="Arial" w:eastAsia="Arial" w:hAnsi="Arial"/>
                <w:sz w:val="10"/>
                <w:szCs w:val="10"/>
                <w:b w:val="1"/>
                <w:bCs w:val="1"/>
                <w:color w:val="auto"/>
              </w:rPr>
              <w:t>Revenue</w:t>
            </w:r>
          </w:p>
        </w:tc>
        <w:tc>
          <w:tcPr>
            <w:tcW w:w="2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242,281</w:t>
            </w: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21,579</w:t>
            </w: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263,860</w:t>
            </w: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237,861</w:t>
            </w: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24,348</w:t>
            </w: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262,209</w:t>
            </w: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239,418</w:t>
            </w: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26,456</w:t>
            </w: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265,874</w:t>
            </w:r>
          </w:p>
        </w:tc>
      </w:tr>
      <w:tr>
        <w:trPr>
          <w:trHeight w:val="234"/>
        </w:trPr>
        <w:tc>
          <w:tcPr>
            <w:tcW w:w="2160" w:type="dxa"/>
            <w:vAlign w:val="bottom"/>
            <w:gridSpan w:val="2"/>
          </w:tcPr>
          <w:p>
            <w:pPr>
              <w:ind w:left="80"/>
              <w:spacing w:after="0"/>
              <w:rPr>
                <w:sz w:val="20"/>
                <w:szCs w:val="20"/>
                <w:color w:val="auto"/>
              </w:rPr>
            </w:pPr>
            <w:r>
              <w:rPr>
                <w:rFonts w:ascii="Arial" w:cs="Arial" w:eastAsia="Arial" w:hAnsi="Arial"/>
                <w:sz w:val="10"/>
                <w:szCs w:val="10"/>
                <w:color w:val="auto"/>
              </w:rPr>
              <w:t>Inter-segment elimination</w:t>
            </w:r>
            <w:r>
              <w:rPr>
                <w:rFonts w:ascii="Arial" w:cs="Arial" w:eastAsia="Arial" w:hAnsi="Arial"/>
                <w:sz w:val="4"/>
                <w:szCs w:val="4"/>
                <w:color w:val="auto"/>
              </w:rPr>
              <w:t>(1)</w:t>
            </w:r>
          </w:p>
        </w:tc>
        <w:tc>
          <w:tcPr>
            <w:tcW w:w="200" w:type="dxa"/>
            <w:vAlign w:val="bottom"/>
          </w:tcPr>
          <w:p>
            <w:pPr>
              <w:spacing w:after="0"/>
              <w:rPr>
                <w:sz w:val="20"/>
                <w:szCs w:val="20"/>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20"/>
                <w:szCs w:val="20"/>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20"/>
                <w:szCs w:val="20"/>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0"/>
                <w:szCs w:val="10"/>
                <w:color w:val="auto"/>
              </w:rPr>
              <w:t>(6,537)</w:t>
            </w:r>
          </w:p>
        </w:tc>
        <w:tc>
          <w:tcPr>
            <w:tcW w:w="200" w:type="dxa"/>
            <w:vAlign w:val="bottom"/>
          </w:tcPr>
          <w:p>
            <w:pPr>
              <w:spacing w:after="0"/>
              <w:rPr>
                <w:sz w:val="20"/>
                <w:szCs w:val="20"/>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20"/>
                <w:szCs w:val="20"/>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240" w:type="dxa"/>
            <w:vAlign w:val="bottom"/>
          </w:tcPr>
          <w:p>
            <w:pPr>
              <w:spacing w:after="0"/>
              <w:rPr>
                <w:sz w:val="20"/>
                <w:szCs w:val="20"/>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0"/>
                <w:szCs w:val="10"/>
                <w:color w:val="auto"/>
              </w:rPr>
              <w:t>(7,461)</w:t>
            </w:r>
          </w:p>
        </w:tc>
        <w:tc>
          <w:tcPr>
            <w:tcW w:w="200" w:type="dxa"/>
            <w:vAlign w:val="bottom"/>
          </w:tcPr>
          <w:p>
            <w:pPr>
              <w:spacing w:after="0"/>
              <w:rPr>
                <w:sz w:val="20"/>
                <w:szCs w:val="20"/>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20"/>
                <w:szCs w:val="20"/>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auto"/>
              </w:rPr>
              <w:t>(7,653)</w:t>
            </w:r>
          </w:p>
        </w:tc>
      </w:tr>
      <w:tr>
        <w:trPr>
          <w:trHeight w:val="178"/>
        </w:trPr>
        <w:tc>
          <w:tcPr>
            <w:tcW w:w="21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0"/>
                <w:szCs w:val="10"/>
                <w:color w:val="auto"/>
              </w:rPr>
              <w:t>Total revenue</w:t>
            </w:r>
          </w:p>
        </w:tc>
        <w:tc>
          <w:tcPr>
            <w:tcW w:w="20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242,281</w:t>
            </w:r>
          </w:p>
        </w:tc>
        <w:tc>
          <w:tcPr>
            <w:tcW w:w="1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21,579</w:t>
            </w:r>
          </w:p>
        </w:tc>
        <w:tc>
          <w:tcPr>
            <w:tcW w:w="14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257,323</w:t>
            </w:r>
          </w:p>
        </w:tc>
        <w:tc>
          <w:tcPr>
            <w:tcW w:w="14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237,861</w:t>
            </w:r>
          </w:p>
        </w:tc>
        <w:tc>
          <w:tcPr>
            <w:tcW w:w="1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24,348</w:t>
            </w:r>
          </w:p>
        </w:tc>
        <w:tc>
          <w:tcPr>
            <w:tcW w:w="14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254,748</w:t>
            </w:r>
          </w:p>
        </w:tc>
        <w:tc>
          <w:tcPr>
            <w:tcW w:w="14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239,418</w:t>
            </w:r>
          </w:p>
        </w:tc>
        <w:tc>
          <w:tcPr>
            <w:tcW w:w="1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26,456</w:t>
            </w:r>
          </w:p>
        </w:tc>
        <w:tc>
          <w:tcPr>
            <w:tcW w:w="16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258,221</w:t>
            </w:r>
          </w:p>
        </w:tc>
      </w:tr>
      <w:tr>
        <w:trPr>
          <w:trHeight w:val="198"/>
        </w:trPr>
        <w:tc>
          <w:tcPr>
            <w:tcW w:w="2160" w:type="dxa"/>
            <w:vAlign w:val="bottom"/>
            <w:gridSpan w:val="2"/>
          </w:tcPr>
          <w:p>
            <w:pPr>
              <w:spacing w:after="0"/>
              <w:rPr>
                <w:sz w:val="20"/>
                <w:szCs w:val="20"/>
                <w:color w:val="auto"/>
              </w:rPr>
            </w:pPr>
            <w:r>
              <w:rPr>
                <w:rFonts w:ascii="Arial" w:cs="Arial" w:eastAsia="Arial" w:hAnsi="Arial"/>
                <w:sz w:val="10"/>
                <w:szCs w:val="10"/>
                <w:b w:val="1"/>
                <w:bCs w:val="1"/>
                <w:color w:val="auto"/>
              </w:rPr>
              <w:t>Operating expense</w:t>
            </w: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375"/>
        </w:trPr>
        <w:tc>
          <w:tcPr>
            <w:tcW w:w="2160" w:type="dxa"/>
            <w:vAlign w:val="bottom"/>
            <w:gridSpan w:val="2"/>
            <w:shd w:val="clear" w:color="auto" w:fill="CCEEFF"/>
          </w:tcPr>
          <w:p>
            <w:pPr>
              <w:ind w:left="80"/>
              <w:spacing w:after="0"/>
              <w:rPr>
                <w:sz w:val="20"/>
                <w:szCs w:val="20"/>
                <w:color w:val="auto"/>
              </w:rPr>
            </w:pPr>
            <w:r>
              <w:rPr>
                <w:rFonts w:ascii="Arial" w:cs="Arial" w:eastAsia="Arial" w:hAnsi="Arial"/>
                <w:sz w:val="10"/>
                <w:szCs w:val="10"/>
                <w:color w:val="auto"/>
              </w:rPr>
              <w:t>Cost of services and products (excluding</w:t>
            </w:r>
          </w:p>
        </w:tc>
        <w:tc>
          <w:tcPr>
            <w:tcW w:w="20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r>
      <w:tr>
        <w:trPr>
          <w:trHeight w:val="112"/>
        </w:trPr>
        <w:tc>
          <w:tcPr>
            <w:tcW w:w="2160" w:type="dxa"/>
            <w:vAlign w:val="bottom"/>
            <w:gridSpan w:val="2"/>
            <w:shd w:val="clear" w:color="auto" w:fill="CCEEFF"/>
          </w:tcPr>
          <w:p>
            <w:pPr>
              <w:ind w:left="80"/>
              <w:spacing w:after="0" w:line="112" w:lineRule="exact"/>
              <w:rPr>
                <w:sz w:val="20"/>
                <w:szCs w:val="20"/>
                <w:color w:val="auto"/>
              </w:rPr>
            </w:pPr>
            <w:r>
              <w:rPr>
                <w:rFonts w:ascii="Arial" w:cs="Arial" w:eastAsia="Arial" w:hAnsi="Arial"/>
                <w:sz w:val="10"/>
                <w:szCs w:val="10"/>
                <w:color w:val="auto"/>
              </w:rPr>
              <w:t>depreciation and amortization)</w:t>
            </w:r>
          </w:p>
        </w:tc>
        <w:tc>
          <w:tcPr>
            <w:tcW w:w="200" w:type="dxa"/>
            <w:vAlign w:val="bottom"/>
            <w:shd w:val="clear" w:color="auto" w:fill="CCEEFF"/>
          </w:tcPr>
          <w:p>
            <w:pPr>
              <w:spacing w:after="0"/>
              <w:rPr>
                <w:sz w:val="9"/>
                <w:szCs w:val="9"/>
                <w:color w:val="auto"/>
              </w:rPr>
            </w:pPr>
          </w:p>
        </w:tc>
        <w:tc>
          <w:tcPr>
            <w:tcW w:w="760" w:type="dxa"/>
            <w:vAlign w:val="bottom"/>
            <w:gridSpan w:val="2"/>
            <w:shd w:val="clear" w:color="auto" w:fill="CCEEFF"/>
          </w:tcPr>
          <w:p>
            <w:pPr>
              <w:jc w:val="right"/>
              <w:ind w:right="140"/>
              <w:spacing w:after="0" w:line="112" w:lineRule="exact"/>
              <w:rPr>
                <w:sz w:val="20"/>
                <w:szCs w:val="20"/>
                <w:color w:val="auto"/>
              </w:rPr>
            </w:pPr>
            <w:r>
              <w:rPr>
                <w:rFonts w:ascii="Arial" w:cs="Arial" w:eastAsia="Arial" w:hAnsi="Arial"/>
                <w:sz w:val="10"/>
                <w:szCs w:val="10"/>
                <w:color w:val="auto"/>
              </w:rPr>
              <w:t>(196,544)</w:t>
            </w:r>
          </w:p>
        </w:tc>
        <w:tc>
          <w:tcPr>
            <w:tcW w:w="160" w:type="dxa"/>
            <w:vAlign w:val="bottom"/>
            <w:shd w:val="clear" w:color="auto" w:fill="CCEEFF"/>
          </w:tcPr>
          <w:p>
            <w:pPr>
              <w:spacing w:after="0"/>
              <w:rPr>
                <w:sz w:val="9"/>
                <w:szCs w:val="9"/>
                <w:color w:val="auto"/>
              </w:rPr>
            </w:pPr>
          </w:p>
        </w:tc>
        <w:tc>
          <w:tcPr>
            <w:tcW w:w="800" w:type="dxa"/>
            <w:vAlign w:val="bottom"/>
            <w:gridSpan w:val="2"/>
            <w:shd w:val="clear" w:color="auto" w:fill="CCEEFF"/>
          </w:tcPr>
          <w:p>
            <w:pPr>
              <w:jc w:val="right"/>
              <w:ind w:right="140"/>
              <w:spacing w:after="0" w:line="112" w:lineRule="exact"/>
              <w:rPr>
                <w:sz w:val="20"/>
                <w:szCs w:val="20"/>
                <w:color w:val="auto"/>
              </w:rPr>
            </w:pPr>
            <w:r>
              <w:rPr>
                <w:rFonts w:ascii="Arial" w:cs="Arial" w:eastAsia="Arial" w:hAnsi="Arial"/>
                <w:sz w:val="10"/>
                <w:szCs w:val="10"/>
                <w:color w:val="auto"/>
              </w:rPr>
              <w:t>(10,948)</w:t>
            </w:r>
          </w:p>
        </w:tc>
        <w:tc>
          <w:tcPr>
            <w:tcW w:w="220" w:type="dxa"/>
            <w:vAlign w:val="bottom"/>
            <w:shd w:val="clear" w:color="auto" w:fill="CCEEFF"/>
          </w:tcPr>
          <w:p>
            <w:pPr>
              <w:spacing w:after="0"/>
              <w:rPr>
                <w:sz w:val="9"/>
                <w:szCs w:val="9"/>
                <w:color w:val="auto"/>
              </w:rPr>
            </w:pPr>
          </w:p>
        </w:tc>
        <w:tc>
          <w:tcPr>
            <w:tcW w:w="740" w:type="dxa"/>
            <w:vAlign w:val="bottom"/>
            <w:gridSpan w:val="2"/>
            <w:shd w:val="clear" w:color="auto" w:fill="CCEEFF"/>
          </w:tcPr>
          <w:p>
            <w:pPr>
              <w:jc w:val="right"/>
              <w:ind w:right="140"/>
              <w:spacing w:after="0" w:line="112" w:lineRule="exact"/>
              <w:rPr>
                <w:sz w:val="20"/>
                <w:szCs w:val="20"/>
                <w:color w:val="auto"/>
              </w:rPr>
            </w:pPr>
            <w:r>
              <w:rPr>
                <w:rFonts w:ascii="Arial" w:cs="Arial" w:eastAsia="Arial" w:hAnsi="Arial"/>
                <w:sz w:val="10"/>
                <w:szCs w:val="10"/>
                <w:color w:val="auto"/>
              </w:rPr>
              <w:t>(207,492)</w:t>
            </w:r>
          </w:p>
        </w:tc>
        <w:tc>
          <w:tcPr>
            <w:tcW w:w="200" w:type="dxa"/>
            <w:vAlign w:val="bottom"/>
            <w:shd w:val="clear" w:color="auto" w:fill="CCEEFF"/>
          </w:tcPr>
          <w:p>
            <w:pPr>
              <w:spacing w:after="0"/>
              <w:rPr>
                <w:sz w:val="9"/>
                <w:szCs w:val="9"/>
                <w:color w:val="auto"/>
              </w:rPr>
            </w:pPr>
          </w:p>
        </w:tc>
        <w:tc>
          <w:tcPr>
            <w:tcW w:w="760" w:type="dxa"/>
            <w:vAlign w:val="bottom"/>
            <w:gridSpan w:val="2"/>
            <w:shd w:val="clear" w:color="auto" w:fill="CCEEFF"/>
          </w:tcPr>
          <w:p>
            <w:pPr>
              <w:jc w:val="right"/>
              <w:ind w:right="140"/>
              <w:spacing w:after="0" w:line="112" w:lineRule="exact"/>
              <w:rPr>
                <w:sz w:val="20"/>
                <w:szCs w:val="20"/>
                <w:color w:val="auto"/>
              </w:rPr>
            </w:pPr>
            <w:r>
              <w:rPr>
                <w:rFonts w:ascii="Arial" w:cs="Arial" w:eastAsia="Arial" w:hAnsi="Arial"/>
                <w:sz w:val="10"/>
                <w:szCs w:val="10"/>
                <w:color w:val="auto"/>
              </w:rPr>
              <w:t>(195,896)</w:t>
            </w:r>
          </w:p>
        </w:tc>
        <w:tc>
          <w:tcPr>
            <w:tcW w:w="160" w:type="dxa"/>
            <w:vAlign w:val="bottom"/>
            <w:shd w:val="clear" w:color="auto" w:fill="CCEEFF"/>
          </w:tcPr>
          <w:p>
            <w:pPr>
              <w:spacing w:after="0"/>
              <w:rPr>
                <w:sz w:val="9"/>
                <w:szCs w:val="9"/>
                <w:color w:val="auto"/>
              </w:rPr>
            </w:pPr>
          </w:p>
        </w:tc>
        <w:tc>
          <w:tcPr>
            <w:tcW w:w="780" w:type="dxa"/>
            <w:vAlign w:val="bottom"/>
            <w:gridSpan w:val="2"/>
            <w:shd w:val="clear" w:color="auto" w:fill="CCEEFF"/>
          </w:tcPr>
          <w:p>
            <w:pPr>
              <w:jc w:val="right"/>
              <w:ind w:right="140"/>
              <w:spacing w:after="0" w:line="112" w:lineRule="exact"/>
              <w:rPr>
                <w:sz w:val="20"/>
                <w:szCs w:val="20"/>
                <w:color w:val="auto"/>
              </w:rPr>
            </w:pPr>
            <w:r>
              <w:rPr>
                <w:rFonts w:ascii="Arial" w:cs="Arial" w:eastAsia="Arial" w:hAnsi="Arial"/>
                <w:sz w:val="10"/>
                <w:szCs w:val="10"/>
                <w:color w:val="auto"/>
              </w:rPr>
              <w:t>(9,770)</w:t>
            </w:r>
          </w:p>
        </w:tc>
        <w:tc>
          <w:tcPr>
            <w:tcW w:w="24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140"/>
              <w:spacing w:after="0" w:line="112" w:lineRule="exact"/>
              <w:rPr>
                <w:sz w:val="20"/>
                <w:szCs w:val="20"/>
                <w:color w:val="auto"/>
              </w:rPr>
            </w:pPr>
            <w:r>
              <w:rPr>
                <w:rFonts w:ascii="Arial" w:cs="Arial" w:eastAsia="Arial" w:hAnsi="Arial"/>
                <w:sz w:val="10"/>
                <w:szCs w:val="10"/>
                <w:color w:val="auto"/>
              </w:rPr>
              <w:t>(205,666)</w:t>
            </w:r>
          </w:p>
        </w:tc>
        <w:tc>
          <w:tcPr>
            <w:tcW w:w="200" w:type="dxa"/>
            <w:vAlign w:val="bottom"/>
            <w:shd w:val="clear" w:color="auto" w:fill="CCEEFF"/>
          </w:tcPr>
          <w:p>
            <w:pPr>
              <w:spacing w:after="0"/>
              <w:rPr>
                <w:sz w:val="9"/>
                <w:szCs w:val="9"/>
                <w:color w:val="auto"/>
              </w:rPr>
            </w:pPr>
          </w:p>
        </w:tc>
        <w:tc>
          <w:tcPr>
            <w:tcW w:w="760" w:type="dxa"/>
            <w:vAlign w:val="bottom"/>
            <w:gridSpan w:val="2"/>
            <w:shd w:val="clear" w:color="auto" w:fill="CCEEFF"/>
          </w:tcPr>
          <w:p>
            <w:pPr>
              <w:jc w:val="right"/>
              <w:ind w:right="140"/>
              <w:spacing w:after="0" w:line="112" w:lineRule="exact"/>
              <w:rPr>
                <w:sz w:val="20"/>
                <w:szCs w:val="20"/>
                <w:color w:val="auto"/>
              </w:rPr>
            </w:pPr>
            <w:r>
              <w:rPr>
                <w:rFonts w:ascii="Arial" w:cs="Arial" w:eastAsia="Arial" w:hAnsi="Arial"/>
                <w:sz w:val="10"/>
                <w:szCs w:val="10"/>
                <w:color w:val="auto"/>
              </w:rPr>
              <w:t>(200,859)</w:t>
            </w:r>
          </w:p>
        </w:tc>
        <w:tc>
          <w:tcPr>
            <w:tcW w:w="160" w:type="dxa"/>
            <w:vAlign w:val="bottom"/>
            <w:shd w:val="clear" w:color="auto" w:fill="CCEEFF"/>
          </w:tcPr>
          <w:p>
            <w:pPr>
              <w:spacing w:after="0"/>
              <w:rPr>
                <w:sz w:val="9"/>
                <w:szCs w:val="9"/>
                <w:color w:val="auto"/>
              </w:rPr>
            </w:pPr>
          </w:p>
        </w:tc>
        <w:tc>
          <w:tcPr>
            <w:tcW w:w="800" w:type="dxa"/>
            <w:vAlign w:val="bottom"/>
            <w:gridSpan w:val="2"/>
            <w:shd w:val="clear" w:color="auto" w:fill="CCEEFF"/>
          </w:tcPr>
          <w:p>
            <w:pPr>
              <w:jc w:val="right"/>
              <w:ind w:right="160"/>
              <w:spacing w:after="0" w:line="112" w:lineRule="exact"/>
              <w:rPr>
                <w:sz w:val="20"/>
                <w:szCs w:val="20"/>
                <w:color w:val="auto"/>
              </w:rPr>
            </w:pPr>
            <w:r>
              <w:rPr>
                <w:rFonts w:ascii="Arial" w:cs="Arial" w:eastAsia="Arial" w:hAnsi="Arial"/>
                <w:sz w:val="10"/>
                <w:szCs w:val="10"/>
                <w:color w:val="auto"/>
              </w:rPr>
              <w:t>(10,830)</w:t>
            </w:r>
          </w:p>
        </w:tc>
        <w:tc>
          <w:tcPr>
            <w:tcW w:w="220" w:type="dxa"/>
            <w:vAlign w:val="bottom"/>
            <w:shd w:val="clear" w:color="auto" w:fill="CCEEFF"/>
          </w:tcPr>
          <w:p>
            <w:pPr>
              <w:spacing w:after="0"/>
              <w:rPr>
                <w:sz w:val="9"/>
                <w:szCs w:val="9"/>
                <w:color w:val="auto"/>
              </w:rPr>
            </w:pPr>
          </w:p>
        </w:tc>
        <w:tc>
          <w:tcPr>
            <w:tcW w:w="580" w:type="dxa"/>
            <w:vAlign w:val="bottom"/>
            <w:shd w:val="clear" w:color="auto" w:fill="CCEEFF"/>
          </w:tcPr>
          <w:p>
            <w:pPr>
              <w:jc w:val="right"/>
              <w:spacing w:after="0" w:line="112" w:lineRule="exact"/>
              <w:rPr>
                <w:sz w:val="20"/>
                <w:szCs w:val="20"/>
                <w:color w:val="auto"/>
              </w:rPr>
            </w:pPr>
            <w:r>
              <w:rPr>
                <w:rFonts w:ascii="Arial" w:cs="Arial" w:eastAsia="Arial" w:hAnsi="Arial"/>
                <w:sz w:val="10"/>
                <w:szCs w:val="10"/>
                <w:color w:val="auto"/>
              </w:rPr>
              <w:t>(211,689)</w:t>
            </w:r>
          </w:p>
        </w:tc>
      </w:tr>
      <w:tr>
        <w:trPr>
          <w:trHeight w:val="234"/>
        </w:trPr>
        <w:tc>
          <w:tcPr>
            <w:tcW w:w="2160" w:type="dxa"/>
            <w:vAlign w:val="bottom"/>
            <w:gridSpan w:val="2"/>
          </w:tcPr>
          <w:p>
            <w:pPr>
              <w:ind w:left="80"/>
              <w:spacing w:after="0"/>
              <w:rPr>
                <w:sz w:val="20"/>
                <w:szCs w:val="20"/>
                <w:color w:val="auto"/>
              </w:rPr>
            </w:pPr>
            <w:r>
              <w:rPr>
                <w:rFonts w:ascii="Arial" w:cs="Arial" w:eastAsia="Arial" w:hAnsi="Arial"/>
                <w:sz w:val="10"/>
                <w:szCs w:val="10"/>
                <w:color w:val="auto"/>
              </w:rPr>
              <w:t>Inter-segment elimination</w:t>
            </w:r>
            <w:r>
              <w:rPr>
                <w:rFonts w:ascii="Arial" w:cs="Arial" w:eastAsia="Arial" w:hAnsi="Arial"/>
                <w:sz w:val="4"/>
                <w:szCs w:val="4"/>
                <w:color w:val="auto"/>
              </w:rPr>
              <w:t>(1)</w:t>
            </w:r>
          </w:p>
        </w:tc>
        <w:tc>
          <w:tcPr>
            <w:tcW w:w="200" w:type="dxa"/>
            <w:vAlign w:val="bottom"/>
          </w:tcPr>
          <w:p>
            <w:pPr>
              <w:spacing w:after="0"/>
              <w:rPr>
                <w:sz w:val="20"/>
                <w:szCs w:val="20"/>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0"/>
                <w:szCs w:val="10"/>
                <w:color w:val="auto"/>
              </w:rPr>
              <w:t>6,537</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auto"/>
              </w:rPr>
              <w:t>7,461</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20"/>
                <w:szCs w:val="20"/>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auto"/>
              </w:rPr>
              <w:t>7,653</w:t>
            </w:r>
          </w:p>
        </w:tc>
      </w:tr>
      <w:tr>
        <w:trPr>
          <w:trHeight w:val="20"/>
        </w:trPr>
        <w:tc>
          <w:tcPr>
            <w:tcW w:w="20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r>
      <w:tr>
        <w:trPr>
          <w:trHeight w:val="286"/>
        </w:trPr>
        <w:tc>
          <w:tcPr>
            <w:tcW w:w="216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Total cost of services and products</w:t>
            </w:r>
          </w:p>
        </w:tc>
        <w:tc>
          <w:tcPr>
            <w:tcW w:w="20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(196,544)</w:t>
            </w:r>
          </w:p>
        </w:tc>
        <w:tc>
          <w:tcPr>
            <w:tcW w:w="16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(10,948)</w:t>
            </w:r>
          </w:p>
        </w:tc>
        <w:tc>
          <w:tcPr>
            <w:tcW w:w="22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(200,955)</w:t>
            </w:r>
          </w:p>
        </w:tc>
        <w:tc>
          <w:tcPr>
            <w:tcW w:w="20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(195,896)</w:t>
            </w:r>
          </w:p>
        </w:tc>
        <w:tc>
          <w:tcPr>
            <w:tcW w:w="16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(9,770)</w:t>
            </w:r>
          </w:p>
        </w:tc>
        <w:tc>
          <w:tcPr>
            <w:tcW w:w="24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(198,205)</w:t>
            </w:r>
          </w:p>
        </w:tc>
        <w:tc>
          <w:tcPr>
            <w:tcW w:w="20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(200,859)</w:t>
            </w:r>
          </w:p>
        </w:tc>
        <w:tc>
          <w:tcPr>
            <w:tcW w:w="16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(10,830)</w:t>
            </w:r>
          </w:p>
        </w:tc>
        <w:tc>
          <w:tcPr>
            <w:tcW w:w="22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(204,036)</w:t>
            </w:r>
          </w:p>
        </w:tc>
      </w:tr>
      <w:tr>
        <w:trPr>
          <w:trHeight w:val="306"/>
        </w:trPr>
        <w:tc>
          <w:tcPr>
            <w:tcW w:w="2160" w:type="dxa"/>
            <w:vAlign w:val="bottom"/>
            <w:gridSpan w:val="2"/>
          </w:tcPr>
          <w:p>
            <w:pPr>
              <w:ind w:left="80"/>
              <w:spacing w:after="0"/>
              <w:rPr>
                <w:sz w:val="20"/>
                <w:szCs w:val="20"/>
                <w:color w:val="auto"/>
              </w:rPr>
            </w:pPr>
            <w:r>
              <w:rPr>
                <w:rFonts w:ascii="Arial" w:cs="Arial" w:eastAsia="Arial" w:hAnsi="Arial"/>
                <w:sz w:val="10"/>
                <w:szCs w:val="10"/>
                <w:color w:val="auto"/>
              </w:rPr>
              <w:t>Depreciation and amortization</w:t>
            </w:r>
          </w:p>
        </w:tc>
        <w:tc>
          <w:tcPr>
            <w:tcW w:w="200" w:type="dxa"/>
            <w:vAlign w:val="bottom"/>
          </w:tcPr>
          <w:p>
            <w:pPr>
              <w:spacing w:after="0"/>
              <w:rPr>
                <w:sz w:val="24"/>
                <w:szCs w:val="2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0"/>
                <w:szCs w:val="10"/>
                <w:color w:val="auto"/>
              </w:rPr>
              <w:t>(11,161)</w:t>
            </w:r>
          </w:p>
        </w:tc>
        <w:tc>
          <w:tcPr>
            <w:tcW w:w="160" w:type="dxa"/>
            <w:vAlign w:val="bottom"/>
          </w:tcPr>
          <w:p>
            <w:pPr>
              <w:spacing w:after="0"/>
              <w:rPr>
                <w:sz w:val="24"/>
                <w:szCs w:val="24"/>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0"/>
                <w:szCs w:val="10"/>
                <w:color w:val="auto"/>
              </w:rPr>
              <w:t>(3,107)</w:t>
            </w:r>
          </w:p>
        </w:tc>
        <w:tc>
          <w:tcPr>
            <w:tcW w:w="220" w:type="dxa"/>
            <w:vAlign w:val="bottom"/>
          </w:tcPr>
          <w:p>
            <w:pPr>
              <w:spacing w:after="0"/>
              <w:rPr>
                <w:sz w:val="24"/>
                <w:szCs w:val="24"/>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0"/>
                <w:szCs w:val="10"/>
                <w:color w:val="auto"/>
              </w:rPr>
              <w:t>(14,268)</w:t>
            </w:r>
          </w:p>
        </w:tc>
        <w:tc>
          <w:tcPr>
            <w:tcW w:w="200" w:type="dxa"/>
            <w:vAlign w:val="bottom"/>
          </w:tcPr>
          <w:p>
            <w:pPr>
              <w:spacing w:after="0"/>
              <w:rPr>
                <w:sz w:val="24"/>
                <w:szCs w:val="2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0"/>
                <w:szCs w:val="10"/>
                <w:color w:val="auto"/>
              </w:rPr>
              <w:t>(11,047)</w:t>
            </w:r>
          </w:p>
        </w:tc>
        <w:tc>
          <w:tcPr>
            <w:tcW w:w="160" w:type="dxa"/>
            <w:vAlign w:val="bottom"/>
          </w:tcPr>
          <w:p>
            <w:pPr>
              <w:spacing w:after="0"/>
              <w:rPr>
                <w:sz w:val="24"/>
                <w:szCs w:val="24"/>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0"/>
                <w:szCs w:val="10"/>
                <w:color w:val="auto"/>
              </w:rPr>
              <w:t>(4,061)</w:t>
            </w:r>
          </w:p>
        </w:tc>
        <w:tc>
          <w:tcPr>
            <w:tcW w:w="240" w:type="dxa"/>
            <w:vAlign w:val="bottom"/>
          </w:tcPr>
          <w:p>
            <w:pPr>
              <w:spacing w:after="0"/>
              <w:rPr>
                <w:sz w:val="24"/>
                <w:szCs w:val="24"/>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0"/>
                <w:szCs w:val="10"/>
                <w:color w:val="auto"/>
              </w:rPr>
              <w:t>(15,108)</w:t>
            </w:r>
          </w:p>
        </w:tc>
        <w:tc>
          <w:tcPr>
            <w:tcW w:w="200" w:type="dxa"/>
            <w:vAlign w:val="bottom"/>
          </w:tcPr>
          <w:p>
            <w:pPr>
              <w:spacing w:after="0"/>
              <w:rPr>
                <w:sz w:val="24"/>
                <w:szCs w:val="2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0"/>
                <w:szCs w:val="10"/>
                <w:color w:val="auto"/>
              </w:rPr>
              <w:t>(10,741)</w:t>
            </w:r>
          </w:p>
        </w:tc>
        <w:tc>
          <w:tcPr>
            <w:tcW w:w="160" w:type="dxa"/>
            <w:vAlign w:val="bottom"/>
          </w:tcPr>
          <w:p>
            <w:pPr>
              <w:spacing w:after="0"/>
              <w:rPr>
                <w:sz w:val="24"/>
                <w:szCs w:val="2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0"/>
                <w:szCs w:val="10"/>
                <w:color w:val="auto"/>
              </w:rPr>
              <w:t>(4,023)</w:t>
            </w:r>
          </w:p>
        </w:tc>
        <w:tc>
          <w:tcPr>
            <w:tcW w:w="2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auto"/>
              </w:rPr>
              <w:t>(14,764)</w:t>
            </w:r>
          </w:p>
        </w:tc>
      </w:tr>
      <w:tr>
        <w:trPr>
          <w:trHeight w:val="306"/>
        </w:trPr>
        <w:tc>
          <w:tcPr>
            <w:tcW w:w="2160" w:type="dxa"/>
            <w:vAlign w:val="bottom"/>
            <w:gridSpan w:val="2"/>
            <w:shd w:val="clear" w:color="auto" w:fill="CCEEFF"/>
          </w:tcPr>
          <w:p>
            <w:pPr>
              <w:ind w:left="80"/>
              <w:spacing w:after="0"/>
              <w:rPr>
                <w:sz w:val="20"/>
                <w:szCs w:val="20"/>
                <w:color w:val="auto"/>
              </w:rPr>
            </w:pPr>
            <w:r>
              <w:rPr>
                <w:rFonts w:ascii="Arial" w:cs="Arial" w:eastAsia="Arial" w:hAnsi="Arial"/>
                <w:sz w:val="10"/>
                <w:szCs w:val="10"/>
                <w:color w:val="auto"/>
              </w:rPr>
              <w:t>General and administrative expense</w:t>
            </w:r>
          </w:p>
        </w:tc>
        <w:tc>
          <w:tcPr>
            <w:tcW w:w="20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(3,000)</w:t>
            </w:r>
          </w:p>
        </w:tc>
        <w:tc>
          <w:tcPr>
            <w:tcW w:w="16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(728)</w:t>
            </w:r>
          </w:p>
        </w:tc>
        <w:tc>
          <w:tcPr>
            <w:tcW w:w="1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(3,728)</w:t>
            </w:r>
          </w:p>
        </w:tc>
        <w:tc>
          <w:tcPr>
            <w:tcW w:w="20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(3,575)</w:t>
            </w:r>
          </w:p>
        </w:tc>
        <w:tc>
          <w:tcPr>
            <w:tcW w:w="16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(1,042)</w:t>
            </w:r>
          </w:p>
        </w:tc>
        <w:tc>
          <w:tcPr>
            <w:tcW w:w="24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(4,617)</w:t>
            </w:r>
          </w:p>
        </w:tc>
        <w:tc>
          <w:tcPr>
            <w:tcW w:w="20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(3,273)</w:t>
            </w:r>
          </w:p>
        </w:tc>
        <w:tc>
          <w:tcPr>
            <w:tcW w:w="16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(644)</w:t>
            </w:r>
          </w:p>
        </w:tc>
        <w:tc>
          <w:tcPr>
            <w:tcW w:w="22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(3,917)</w:t>
            </w:r>
          </w:p>
        </w:tc>
      </w:tr>
      <w:tr>
        <w:trPr>
          <w:trHeight w:val="20"/>
        </w:trPr>
        <w:tc>
          <w:tcPr>
            <w:tcW w:w="2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r>
      <w:tr>
        <w:trPr>
          <w:trHeight w:val="286"/>
        </w:trPr>
        <w:tc>
          <w:tcPr>
            <w:tcW w:w="2160" w:type="dxa"/>
            <w:vAlign w:val="bottom"/>
            <w:gridSpan w:val="2"/>
          </w:tcPr>
          <w:p>
            <w:pPr>
              <w:spacing w:after="0"/>
              <w:rPr>
                <w:sz w:val="20"/>
                <w:szCs w:val="20"/>
                <w:color w:val="auto"/>
              </w:rPr>
            </w:pPr>
            <w:r>
              <w:rPr>
                <w:rFonts w:ascii="Arial" w:cs="Arial" w:eastAsia="Arial" w:hAnsi="Arial"/>
                <w:sz w:val="10"/>
                <w:szCs w:val="10"/>
                <w:color w:val="auto"/>
              </w:rPr>
              <w:t>Total operating expense</w:t>
            </w:r>
          </w:p>
        </w:tc>
        <w:tc>
          <w:tcPr>
            <w:tcW w:w="200" w:type="dxa"/>
            <w:vAlign w:val="bottom"/>
          </w:tcPr>
          <w:p>
            <w:pPr>
              <w:spacing w:after="0"/>
              <w:rPr>
                <w:sz w:val="24"/>
                <w:szCs w:val="2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0"/>
                <w:szCs w:val="10"/>
                <w:color w:val="auto"/>
              </w:rPr>
              <w:t>(210,705)</w:t>
            </w:r>
          </w:p>
        </w:tc>
        <w:tc>
          <w:tcPr>
            <w:tcW w:w="160" w:type="dxa"/>
            <w:vAlign w:val="bottom"/>
          </w:tcPr>
          <w:p>
            <w:pPr>
              <w:spacing w:after="0"/>
              <w:rPr>
                <w:sz w:val="24"/>
                <w:szCs w:val="24"/>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0"/>
                <w:szCs w:val="10"/>
                <w:color w:val="auto"/>
              </w:rPr>
              <w:t>(14,783)</w:t>
            </w:r>
          </w:p>
        </w:tc>
        <w:tc>
          <w:tcPr>
            <w:tcW w:w="220" w:type="dxa"/>
            <w:vAlign w:val="bottom"/>
          </w:tcPr>
          <w:p>
            <w:pPr>
              <w:spacing w:after="0"/>
              <w:rPr>
                <w:sz w:val="24"/>
                <w:szCs w:val="24"/>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0"/>
                <w:szCs w:val="10"/>
                <w:color w:val="auto"/>
              </w:rPr>
              <w:t>(218,951)</w:t>
            </w:r>
          </w:p>
        </w:tc>
        <w:tc>
          <w:tcPr>
            <w:tcW w:w="200" w:type="dxa"/>
            <w:vAlign w:val="bottom"/>
          </w:tcPr>
          <w:p>
            <w:pPr>
              <w:spacing w:after="0"/>
              <w:rPr>
                <w:sz w:val="24"/>
                <w:szCs w:val="2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0"/>
                <w:szCs w:val="10"/>
                <w:color w:val="auto"/>
              </w:rPr>
              <w:t>(210,518)</w:t>
            </w:r>
          </w:p>
        </w:tc>
        <w:tc>
          <w:tcPr>
            <w:tcW w:w="160" w:type="dxa"/>
            <w:vAlign w:val="bottom"/>
          </w:tcPr>
          <w:p>
            <w:pPr>
              <w:spacing w:after="0"/>
              <w:rPr>
                <w:sz w:val="24"/>
                <w:szCs w:val="24"/>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0"/>
                <w:szCs w:val="10"/>
                <w:color w:val="auto"/>
              </w:rPr>
              <w:t>(14,873)</w:t>
            </w:r>
          </w:p>
        </w:tc>
        <w:tc>
          <w:tcPr>
            <w:tcW w:w="240" w:type="dxa"/>
            <w:vAlign w:val="bottom"/>
          </w:tcPr>
          <w:p>
            <w:pPr>
              <w:spacing w:after="0"/>
              <w:rPr>
                <w:sz w:val="24"/>
                <w:szCs w:val="24"/>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0"/>
                <w:szCs w:val="10"/>
                <w:color w:val="auto"/>
              </w:rPr>
              <w:t>(217,930)</w:t>
            </w:r>
          </w:p>
        </w:tc>
        <w:tc>
          <w:tcPr>
            <w:tcW w:w="200" w:type="dxa"/>
            <w:vAlign w:val="bottom"/>
          </w:tcPr>
          <w:p>
            <w:pPr>
              <w:spacing w:after="0"/>
              <w:rPr>
                <w:sz w:val="24"/>
                <w:szCs w:val="2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0"/>
                <w:szCs w:val="10"/>
                <w:color w:val="auto"/>
              </w:rPr>
              <w:t>(214,873)</w:t>
            </w:r>
          </w:p>
        </w:tc>
        <w:tc>
          <w:tcPr>
            <w:tcW w:w="160" w:type="dxa"/>
            <w:vAlign w:val="bottom"/>
          </w:tcPr>
          <w:p>
            <w:pPr>
              <w:spacing w:after="0"/>
              <w:rPr>
                <w:sz w:val="24"/>
                <w:szCs w:val="2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0"/>
                <w:szCs w:val="10"/>
                <w:color w:val="auto"/>
              </w:rPr>
              <w:t>(15,497)</w:t>
            </w:r>
          </w:p>
        </w:tc>
        <w:tc>
          <w:tcPr>
            <w:tcW w:w="2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auto"/>
              </w:rPr>
              <w:t>(222,717)</w:t>
            </w:r>
          </w:p>
        </w:tc>
      </w:tr>
      <w:tr>
        <w:trPr>
          <w:trHeight w:val="169"/>
        </w:trPr>
        <w:tc>
          <w:tcPr>
            <w:tcW w:w="21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0"/>
                <w:szCs w:val="10"/>
                <w:b w:val="1"/>
                <w:bCs w:val="1"/>
                <w:color w:val="auto"/>
              </w:rPr>
              <w:t>Segment operating income</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31,576</w:t>
            </w: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6,796</w:t>
            </w: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38,372</w:t>
            </w: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20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27,343</w:t>
            </w: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9,475</w:t>
            </w: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36,818</w:t>
            </w: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20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24,545</w:t>
            </w: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10,959</w:t>
            </w: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35,504</w:t>
            </w:r>
          </w:p>
        </w:tc>
      </w:tr>
    </w:tbl>
    <w:p>
      <w:pPr>
        <w:spacing w:after="0" w:line="252" w:lineRule="exact"/>
        <w:rPr>
          <w:sz w:val="20"/>
          <w:szCs w:val="20"/>
          <w:color w:val="auto"/>
        </w:rPr>
      </w:pPr>
    </w:p>
    <w:p>
      <w:pPr>
        <w:ind w:left="5260" w:right="3180" w:hanging="5256"/>
        <w:spacing w:after="0" w:line="527" w:lineRule="auto"/>
        <w:tabs>
          <w:tab w:leader="none" w:pos="110" w:val="left"/>
        </w:tabs>
        <w:numPr>
          <w:ilvl w:val="0"/>
          <w:numId w:val="32"/>
        </w:numPr>
        <w:rPr>
          <w:rFonts w:ascii="Arial" w:cs="Arial" w:eastAsia="Arial" w:hAnsi="Arial"/>
          <w:sz w:val="6"/>
          <w:szCs w:val="6"/>
          <w:color w:val="auto"/>
        </w:rPr>
      </w:pPr>
      <w:r>
        <w:rPr>
          <w:rFonts w:ascii="Arial" w:cs="Arial" w:eastAsia="Arial" w:hAnsi="Arial"/>
          <w:sz w:val="12"/>
          <w:szCs w:val="12"/>
          <w:color w:val="auto"/>
        </w:rPr>
        <w:t>Inter-segment eliminations relates to the internal charge between the two segments where the cinema operates within real estate owned within the group. 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-53975</wp:posOffset>
            </wp:positionV>
            <wp:extent cx="677989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779895" cy="42545"/>
                    </a:xfrm>
                    <a:prstGeom prst="rect">
                      <a:avLst/>
                    </a:prstGeom>
                    <a:noFill/>
                  </pic:spPr>
                </pic:pic>
              </a:graphicData>
            </a:graphic>
          </wp:anchor>
        </w:drawing>
      </w:r>
    </w:p>
    <w:p>
      <w:pPr>
        <w:sectPr>
          <w:pgSz w:w="11900" w:h="16838" w:orient="portrait"/>
          <w:cols w:equalWidth="0" w:num="1">
            <w:col w:w="10620"/>
          </w:cols>
          <w:pgMar w:left="640" w:top="388" w:right="639" w:bottom="1440" w:gutter="0" w:footer="0" w:header="0"/>
        </w:sectPr>
      </w:pPr>
    </w:p>
    <w:bookmarkStart w:id="61" w:name="page62"/>
    <w:bookmarkEnd w:id="61"/>
    <w:p>
      <w:pPr>
        <w:spacing w:after="0"/>
        <w:rPr>
          <w:sz w:val="20"/>
          <w:szCs w:val="20"/>
          <w:color w:val="auto"/>
        </w:rPr>
      </w:pPr>
      <w:r>
        <w:rPr>
          <w:rFonts w:ascii="Arial" w:cs="Arial" w:eastAsia="Arial" w:hAnsi="Arial"/>
          <w:sz w:val="12"/>
          <w:szCs w:val="12"/>
          <w:color w:val="auto"/>
        </w:rPr>
        <w:t>A reconciliation of segment operating income to income before income taxes is as follows: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436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(Dollars in thousands)</w:t>
            </w:r>
          </w:p>
        </w:tc>
        <w:tc>
          <w:tcPr>
            <w:tcW w:w="320" w:type="dxa"/>
            <w:vAlign w:val="bottom"/>
            <w:tcBorders>
              <w:bottom w:val="single" w:sz="8" w:color="CCEEFF"/>
            </w:tcBorders>
          </w:tcPr>
          <w:p>
            <w:pPr>
              <w:spacing w:after="0"/>
              <w:rPr>
                <w:sz w:val="10"/>
                <w:szCs w:val="10"/>
                <w:color w:val="auto"/>
              </w:rPr>
            </w:pPr>
          </w:p>
        </w:tc>
        <w:tc>
          <w:tcPr>
            <w:tcW w:w="1220" w:type="dxa"/>
            <w:vAlign w:val="bottom"/>
            <w:tcBorders>
              <w:bottom w:val="single" w:sz="8" w:color="auto"/>
            </w:tcBorders>
          </w:tcPr>
          <w:p>
            <w:pPr>
              <w:jc w:val="right"/>
              <w:ind w:right="192"/>
              <w:spacing w:after="0"/>
              <w:rPr>
                <w:sz w:val="20"/>
                <w:szCs w:val="20"/>
                <w:color w:val="auto"/>
              </w:rPr>
            </w:pPr>
            <w:r>
              <w:rPr>
                <w:rFonts w:ascii="Arial" w:cs="Arial" w:eastAsia="Arial" w:hAnsi="Arial"/>
                <w:sz w:val="10"/>
                <w:szCs w:val="10"/>
                <w:b w:val="1"/>
                <w:bCs w:val="1"/>
                <w:color w:val="auto"/>
              </w:rPr>
              <w:t>2015</w:t>
            </w:r>
          </w:p>
        </w:tc>
        <w:tc>
          <w:tcPr>
            <w:tcW w:w="560" w:type="dxa"/>
            <w:vAlign w:val="bottom"/>
            <w:tcBorders>
              <w:bottom w:val="single" w:sz="8" w:color="auto"/>
            </w:tcBorders>
          </w:tcPr>
          <w:p>
            <w:pPr>
              <w:spacing w:after="0"/>
              <w:rPr>
                <w:sz w:val="10"/>
                <w:szCs w:val="10"/>
                <w:color w:val="auto"/>
              </w:rPr>
            </w:pPr>
          </w:p>
        </w:tc>
        <w:tc>
          <w:tcPr>
            <w:tcW w:w="320" w:type="dxa"/>
            <w:vAlign w:val="bottom"/>
            <w:tcBorders>
              <w:bottom w:val="single" w:sz="8" w:color="CCEEFF"/>
            </w:tcBorders>
          </w:tcPr>
          <w:p>
            <w:pPr>
              <w:spacing w:after="0"/>
              <w:rPr>
                <w:sz w:val="10"/>
                <w:szCs w:val="10"/>
                <w:color w:val="auto"/>
              </w:rPr>
            </w:pPr>
          </w:p>
        </w:tc>
        <w:tc>
          <w:tcPr>
            <w:tcW w:w="1200" w:type="dxa"/>
            <w:vAlign w:val="bottom"/>
            <w:tcBorders>
              <w:bottom w:val="single" w:sz="8" w:color="auto"/>
            </w:tcBorders>
          </w:tcPr>
          <w:p>
            <w:pPr>
              <w:jc w:val="right"/>
              <w:ind w:right="172"/>
              <w:spacing w:after="0"/>
              <w:rPr>
                <w:sz w:val="20"/>
                <w:szCs w:val="20"/>
                <w:color w:val="auto"/>
              </w:rPr>
            </w:pPr>
            <w:r>
              <w:rPr>
                <w:rFonts w:ascii="Arial" w:cs="Arial" w:eastAsia="Arial" w:hAnsi="Arial"/>
                <w:sz w:val="10"/>
                <w:szCs w:val="10"/>
                <w:b w:val="1"/>
                <w:bCs w:val="1"/>
                <w:color w:val="auto"/>
              </w:rPr>
              <w:t>2014</w:t>
            </w:r>
          </w:p>
        </w:tc>
        <w:tc>
          <w:tcPr>
            <w:tcW w:w="560" w:type="dxa"/>
            <w:vAlign w:val="bottom"/>
            <w:tcBorders>
              <w:bottom w:val="single" w:sz="8" w:color="auto"/>
            </w:tcBorders>
          </w:tcPr>
          <w:p>
            <w:pPr>
              <w:spacing w:after="0"/>
              <w:rPr>
                <w:sz w:val="10"/>
                <w:szCs w:val="10"/>
                <w:color w:val="auto"/>
              </w:rPr>
            </w:pPr>
          </w:p>
        </w:tc>
        <w:tc>
          <w:tcPr>
            <w:tcW w:w="320" w:type="dxa"/>
            <w:vAlign w:val="bottom"/>
            <w:tcBorders>
              <w:bottom w:val="single" w:sz="8" w:color="CCEEFF"/>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jc w:val="right"/>
              <w:ind w:right="732"/>
              <w:spacing w:after="0"/>
              <w:rPr>
                <w:sz w:val="20"/>
                <w:szCs w:val="20"/>
                <w:color w:val="auto"/>
              </w:rPr>
            </w:pPr>
            <w:r>
              <w:rPr>
                <w:rFonts w:ascii="Arial" w:cs="Arial" w:eastAsia="Arial" w:hAnsi="Arial"/>
                <w:sz w:val="10"/>
                <w:szCs w:val="10"/>
                <w:b w:val="1"/>
                <w:bCs w:val="1"/>
                <w:color w:val="auto"/>
              </w:rPr>
              <w:t>2013</w:t>
            </w:r>
          </w:p>
        </w:tc>
      </w:tr>
      <w:tr>
        <w:trPr>
          <w:trHeight w:val="187"/>
        </w:trPr>
        <w:tc>
          <w:tcPr>
            <w:tcW w:w="4680" w:type="dxa"/>
            <w:vAlign w:val="bottom"/>
            <w:gridSpan w:val="2"/>
            <w:shd w:val="clear" w:color="auto" w:fill="CCEEFF"/>
          </w:tcPr>
          <w:p>
            <w:pPr>
              <w:spacing w:after="0"/>
              <w:rPr>
                <w:sz w:val="20"/>
                <w:szCs w:val="20"/>
                <w:color w:val="auto"/>
              </w:rPr>
            </w:pPr>
            <w:r>
              <w:rPr>
                <w:rFonts w:ascii="Arial" w:cs="Arial" w:eastAsia="Arial" w:hAnsi="Arial"/>
                <w:sz w:val="10"/>
                <w:szCs w:val="10"/>
                <w:b w:val="1"/>
                <w:bCs w:val="1"/>
                <w:color w:val="auto"/>
              </w:rPr>
              <w:t>Segment operating income</w:t>
            </w:r>
          </w:p>
        </w:tc>
        <w:tc>
          <w:tcPr>
            <w:tcW w:w="1220" w:type="dxa"/>
            <w:vAlign w:val="bottom"/>
            <w:shd w:val="clear" w:color="auto" w:fill="CCEEFF"/>
          </w:tcPr>
          <w:p>
            <w:pPr>
              <w:jc w:val="right"/>
              <w:ind w:right="852"/>
              <w:spacing w:after="0"/>
              <w:rPr>
                <w:sz w:val="20"/>
                <w:szCs w:val="20"/>
                <w:color w:val="auto"/>
              </w:rPr>
            </w:pPr>
            <w:r>
              <w:rPr>
                <w:rFonts w:ascii="Arial" w:cs="Arial" w:eastAsia="Arial" w:hAnsi="Arial"/>
                <w:sz w:val="10"/>
                <w:szCs w:val="10"/>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38,372</w:t>
            </w:r>
          </w:p>
        </w:tc>
        <w:tc>
          <w:tcPr>
            <w:tcW w:w="32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832"/>
              <w:spacing w:after="0"/>
              <w:rPr>
                <w:sz w:val="20"/>
                <w:szCs w:val="20"/>
                <w:color w:val="auto"/>
              </w:rPr>
            </w:pPr>
            <w:r>
              <w:rPr>
                <w:rFonts w:ascii="Arial" w:cs="Arial" w:eastAsia="Arial" w:hAnsi="Arial"/>
                <w:sz w:val="10"/>
                <w:szCs w:val="10"/>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36,818</w:t>
            </w:r>
          </w:p>
        </w:tc>
        <w:tc>
          <w:tcPr>
            <w:tcW w:w="320" w:type="dxa"/>
            <w:vAlign w:val="bottom"/>
            <w:shd w:val="clear" w:color="auto" w:fill="CCEEFF"/>
          </w:tcPr>
          <w:p>
            <w:pPr>
              <w:spacing w:after="0"/>
              <w:rPr>
                <w:sz w:val="16"/>
                <w:szCs w:val="16"/>
                <w:color w:val="auto"/>
              </w:rPr>
            </w:pPr>
          </w:p>
        </w:tc>
        <w:tc>
          <w:tcPr>
            <w:tcW w:w="540" w:type="dxa"/>
            <w:vAlign w:val="bottom"/>
            <w:shd w:val="clear" w:color="auto" w:fill="CCEEFF"/>
          </w:tcPr>
          <w:p>
            <w:pPr>
              <w:jc w:val="right"/>
              <w:ind w:right="172"/>
              <w:spacing w:after="0"/>
              <w:rPr>
                <w:sz w:val="20"/>
                <w:szCs w:val="20"/>
                <w:color w:val="auto"/>
              </w:rPr>
            </w:pPr>
            <w:r>
              <w:rPr>
                <w:rFonts w:ascii="Arial" w:cs="Arial" w:eastAsia="Arial" w:hAnsi="Arial"/>
                <w:sz w:val="10"/>
                <w:szCs w:val="10"/>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35,504</w:t>
            </w:r>
          </w:p>
        </w:tc>
      </w:tr>
      <w:tr>
        <w:trPr>
          <w:trHeight w:val="198"/>
        </w:trPr>
        <w:tc>
          <w:tcPr>
            <w:tcW w:w="4680" w:type="dxa"/>
            <w:vAlign w:val="bottom"/>
            <w:gridSpan w:val="2"/>
          </w:tcPr>
          <w:p>
            <w:pPr>
              <w:spacing w:after="0"/>
              <w:rPr>
                <w:sz w:val="20"/>
                <w:szCs w:val="20"/>
                <w:color w:val="auto"/>
              </w:rPr>
            </w:pPr>
            <w:r>
              <w:rPr>
                <w:rFonts w:ascii="Arial" w:cs="Arial" w:eastAsia="Arial" w:hAnsi="Arial"/>
                <w:sz w:val="10"/>
                <w:szCs w:val="10"/>
                <w:color w:val="auto"/>
              </w:rPr>
              <w:t>Unallocated corporate expense:</w:t>
            </w:r>
          </w:p>
        </w:tc>
        <w:tc>
          <w:tcPr>
            <w:tcW w:w="1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189"/>
        </w:trPr>
        <w:tc>
          <w:tcPr>
            <w:tcW w:w="4680" w:type="dxa"/>
            <w:vAlign w:val="bottom"/>
            <w:gridSpan w:val="2"/>
            <w:shd w:val="clear" w:color="auto" w:fill="CCEEFF"/>
          </w:tcPr>
          <w:p>
            <w:pPr>
              <w:ind w:left="80"/>
              <w:spacing w:after="0"/>
              <w:rPr>
                <w:sz w:val="20"/>
                <w:szCs w:val="20"/>
                <w:color w:val="auto"/>
              </w:rPr>
            </w:pPr>
            <w:r>
              <w:rPr>
                <w:rFonts w:ascii="Arial" w:cs="Arial" w:eastAsia="Arial" w:hAnsi="Arial"/>
                <w:sz w:val="10"/>
                <w:szCs w:val="10"/>
                <w:color w:val="auto"/>
              </w:rPr>
              <w:t>Depreciation and amortization expense</w:t>
            </w:r>
          </w:p>
        </w:tc>
        <w:tc>
          <w:tcPr>
            <w:tcW w:w="12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0"/>
                <w:szCs w:val="10"/>
                <w:color w:val="auto"/>
              </w:rPr>
              <w:t>(294)</w:t>
            </w:r>
          </w:p>
        </w:tc>
        <w:tc>
          <w:tcPr>
            <w:tcW w:w="12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0"/>
                <w:szCs w:val="10"/>
                <w:color w:val="auto"/>
              </w:rPr>
              <w:t>(360)</w:t>
            </w:r>
          </w:p>
        </w:tc>
        <w:tc>
          <w:tcPr>
            <w:tcW w:w="54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(433)</w:t>
            </w:r>
          </w:p>
        </w:tc>
      </w:tr>
      <w:tr>
        <w:trPr>
          <w:trHeight w:val="189"/>
        </w:trPr>
        <w:tc>
          <w:tcPr>
            <w:tcW w:w="4680" w:type="dxa"/>
            <w:vAlign w:val="bottom"/>
            <w:gridSpan w:val="2"/>
          </w:tcPr>
          <w:p>
            <w:pPr>
              <w:ind w:left="80"/>
              <w:spacing w:after="0"/>
              <w:rPr>
                <w:sz w:val="20"/>
                <w:szCs w:val="20"/>
                <w:color w:val="auto"/>
              </w:rPr>
            </w:pPr>
            <w:r>
              <w:rPr>
                <w:rFonts w:ascii="Arial" w:cs="Arial" w:eastAsia="Arial" w:hAnsi="Arial"/>
                <w:sz w:val="10"/>
                <w:szCs w:val="10"/>
                <w:color w:val="auto"/>
              </w:rPr>
              <w:t>General and administrative expense</w:t>
            </w:r>
          </w:p>
        </w:tc>
        <w:tc>
          <w:tcPr>
            <w:tcW w:w="1220" w:type="dxa"/>
            <w:vAlign w:val="bottom"/>
          </w:tcPr>
          <w:p>
            <w:pPr>
              <w:spacing w:after="0"/>
              <w:rPr>
                <w:sz w:val="16"/>
                <w:szCs w:val="16"/>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0"/>
                <w:szCs w:val="10"/>
                <w:color w:val="auto"/>
              </w:rPr>
              <w:t>(14,924)</w:t>
            </w:r>
          </w:p>
        </w:tc>
        <w:tc>
          <w:tcPr>
            <w:tcW w:w="1200" w:type="dxa"/>
            <w:vAlign w:val="bottom"/>
          </w:tcPr>
          <w:p>
            <w:pPr>
              <w:spacing w:after="0"/>
              <w:rPr>
                <w:sz w:val="16"/>
                <w:szCs w:val="16"/>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0"/>
                <w:szCs w:val="10"/>
                <w:color w:val="auto"/>
              </w:rPr>
              <w:t>(14,285)</w:t>
            </w:r>
          </w:p>
        </w:tc>
        <w:tc>
          <w:tcPr>
            <w:tcW w:w="5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0"/>
                <w:szCs w:val="10"/>
                <w:color w:val="auto"/>
              </w:rPr>
              <w:t>(14,136)</w:t>
            </w:r>
          </w:p>
        </w:tc>
      </w:tr>
      <w:tr>
        <w:trPr>
          <w:trHeight w:val="198"/>
        </w:trPr>
        <w:tc>
          <w:tcPr>
            <w:tcW w:w="4680" w:type="dxa"/>
            <w:vAlign w:val="bottom"/>
            <w:gridSpan w:val="2"/>
            <w:shd w:val="clear" w:color="auto" w:fill="CCEEFF"/>
          </w:tcPr>
          <w:p>
            <w:pPr>
              <w:ind w:left="80"/>
              <w:spacing w:after="0"/>
              <w:rPr>
                <w:sz w:val="20"/>
                <w:szCs w:val="20"/>
                <w:color w:val="auto"/>
              </w:rPr>
            </w:pPr>
            <w:r>
              <w:rPr>
                <w:rFonts w:ascii="Arial" w:cs="Arial" w:eastAsia="Arial" w:hAnsi="Arial"/>
                <w:sz w:val="10"/>
                <w:szCs w:val="10"/>
                <w:color w:val="auto"/>
              </w:rPr>
              <w:t>Interest expense, net</w:t>
            </w:r>
          </w:p>
        </w:tc>
        <w:tc>
          <w:tcPr>
            <w:tcW w:w="12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0"/>
                <w:szCs w:val="10"/>
                <w:color w:val="auto"/>
              </w:rPr>
              <w:t>(7,304)</w:t>
            </w:r>
          </w:p>
        </w:tc>
        <w:tc>
          <w:tcPr>
            <w:tcW w:w="12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0"/>
                <w:szCs w:val="10"/>
                <w:color w:val="auto"/>
              </w:rPr>
              <w:t>(9,000)</w:t>
            </w:r>
          </w:p>
        </w:tc>
        <w:tc>
          <w:tcPr>
            <w:tcW w:w="5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(10,037)</w:t>
            </w:r>
          </w:p>
        </w:tc>
      </w:tr>
      <w:tr>
        <w:trPr>
          <w:trHeight w:val="198"/>
        </w:trPr>
        <w:tc>
          <w:tcPr>
            <w:tcW w:w="4680" w:type="dxa"/>
            <w:vAlign w:val="bottom"/>
            <w:gridSpan w:val="2"/>
          </w:tcPr>
          <w:p>
            <w:pPr>
              <w:spacing w:after="0"/>
              <w:rPr>
                <w:sz w:val="20"/>
                <w:szCs w:val="20"/>
                <w:color w:val="auto"/>
              </w:rPr>
            </w:pPr>
            <w:r>
              <w:rPr>
                <w:rFonts w:ascii="Arial" w:cs="Arial" w:eastAsia="Arial" w:hAnsi="Arial"/>
                <w:sz w:val="10"/>
                <w:szCs w:val="10"/>
                <w:color w:val="auto"/>
              </w:rPr>
              <w:t>Equity earnings of unconsolidated joint ventures and entities</w:t>
            </w:r>
          </w:p>
        </w:tc>
        <w:tc>
          <w:tcPr>
            <w:tcW w:w="12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0"/>
                <w:szCs w:val="10"/>
                <w:color w:val="auto"/>
              </w:rPr>
              <w:t>1,204</w:t>
            </w:r>
          </w:p>
        </w:tc>
        <w:tc>
          <w:tcPr>
            <w:tcW w:w="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0"/>
                <w:szCs w:val="10"/>
                <w:color w:val="auto"/>
              </w:rPr>
              <w:t>1,015</w:t>
            </w: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0"/>
                <w:szCs w:val="10"/>
                <w:color w:val="auto"/>
              </w:rPr>
              <w:t>1,369</w:t>
            </w:r>
          </w:p>
        </w:tc>
      </w:tr>
      <w:tr>
        <w:trPr>
          <w:trHeight w:val="198"/>
        </w:trPr>
        <w:tc>
          <w:tcPr>
            <w:tcW w:w="468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Gain (loss) on sale of assets</w:t>
            </w:r>
          </w:p>
        </w:tc>
        <w:tc>
          <w:tcPr>
            <w:tcW w:w="12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11,023</w:t>
            </w:r>
          </w:p>
        </w:tc>
        <w:tc>
          <w:tcPr>
            <w:tcW w:w="3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25</w:t>
            </w:r>
          </w:p>
        </w:tc>
        <w:tc>
          <w:tcPr>
            <w:tcW w:w="3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(56)</w:t>
            </w:r>
          </w:p>
        </w:tc>
      </w:tr>
      <w:tr>
        <w:trPr>
          <w:trHeight w:val="198"/>
        </w:trPr>
        <w:tc>
          <w:tcPr>
            <w:tcW w:w="4680" w:type="dxa"/>
            <w:vAlign w:val="bottom"/>
            <w:gridSpan w:val="2"/>
          </w:tcPr>
          <w:p>
            <w:pPr>
              <w:spacing w:after="0"/>
              <w:rPr>
                <w:sz w:val="20"/>
                <w:szCs w:val="20"/>
                <w:color w:val="auto"/>
              </w:rPr>
            </w:pPr>
            <w:r>
              <w:rPr>
                <w:rFonts w:ascii="Arial" w:cs="Arial" w:eastAsia="Arial" w:hAnsi="Arial"/>
                <w:sz w:val="10"/>
                <w:szCs w:val="10"/>
                <w:color w:val="auto"/>
              </w:rPr>
              <w:t>Other income (expense)</w:t>
            </w:r>
          </w:p>
        </w:tc>
        <w:tc>
          <w:tcPr>
            <w:tcW w:w="1220" w:type="dxa"/>
            <w:vAlign w:val="bottom"/>
          </w:tcPr>
          <w:p>
            <w:pPr>
              <w:spacing w:after="0"/>
              <w:rPr>
                <w:sz w:val="17"/>
                <w:szCs w:val="17"/>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0"/>
                <w:szCs w:val="10"/>
                <w:color w:val="auto"/>
              </w:rPr>
              <w:t>(440)</w:t>
            </w:r>
          </w:p>
        </w:tc>
        <w:tc>
          <w:tcPr>
            <w:tcW w:w="12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0"/>
                <w:szCs w:val="10"/>
                <w:color w:val="auto"/>
              </w:rPr>
              <w:t>1,646</w:t>
            </w: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0"/>
                <w:szCs w:val="10"/>
                <w:color w:val="auto"/>
              </w:rPr>
              <w:t>1,876</w:t>
            </w:r>
          </w:p>
        </w:tc>
      </w:tr>
      <w:tr>
        <w:trPr>
          <w:trHeight w:val="178"/>
        </w:trPr>
        <w:tc>
          <w:tcPr>
            <w:tcW w:w="46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0"/>
                <w:szCs w:val="10"/>
                <w:b w:val="1"/>
                <w:bCs w:val="1"/>
                <w:color w:val="auto"/>
              </w:rPr>
              <w:t>Income before income taxes</w:t>
            </w:r>
          </w:p>
        </w:tc>
        <w:tc>
          <w:tcPr>
            <w:tcW w:w="1220" w:type="dxa"/>
            <w:vAlign w:val="bottom"/>
            <w:tcBorders>
              <w:top w:val="single" w:sz="8" w:color="auto"/>
              <w:bottom w:val="single" w:sz="8" w:color="auto"/>
            </w:tcBorders>
            <w:shd w:val="clear" w:color="auto" w:fill="CCEEFF"/>
          </w:tcPr>
          <w:p>
            <w:pPr>
              <w:jc w:val="right"/>
              <w:ind w:right="852"/>
              <w:spacing w:after="0"/>
              <w:rPr>
                <w:sz w:val="20"/>
                <w:szCs w:val="20"/>
                <w:color w:val="auto"/>
              </w:rPr>
            </w:pPr>
            <w:r>
              <w:rPr>
                <w:rFonts w:ascii="Arial" w:cs="Arial" w:eastAsia="Arial" w:hAnsi="Arial"/>
                <w:sz w:val="10"/>
                <w:szCs w:val="10"/>
                <w:color w:val="auto"/>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27,637</w:t>
            </w:r>
          </w:p>
        </w:tc>
        <w:tc>
          <w:tcPr>
            <w:tcW w:w="320" w:type="dxa"/>
            <w:vAlign w:val="bottom"/>
            <w:tcBorders>
              <w:top w:val="single" w:sz="8" w:color="CCEEFF"/>
              <w:bottom w:val="single" w:sz="8" w:color="CCEEFF"/>
            </w:tcBorders>
            <w:shd w:val="clear" w:color="auto" w:fill="CCEEFF"/>
          </w:tcPr>
          <w:p>
            <w:pPr>
              <w:spacing w:after="0"/>
              <w:rPr>
                <w:sz w:val="15"/>
                <w:szCs w:val="15"/>
                <w:color w:val="auto"/>
              </w:rPr>
            </w:pPr>
          </w:p>
        </w:tc>
        <w:tc>
          <w:tcPr>
            <w:tcW w:w="1200" w:type="dxa"/>
            <w:vAlign w:val="bottom"/>
            <w:tcBorders>
              <w:top w:val="single" w:sz="8" w:color="auto"/>
              <w:bottom w:val="single" w:sz="8" w:color="auto"/>
            </w:tcBorders>
            <w:shd w:val="clear" w:color="auto" w:fill="CCEEFF"/>
          </w:tcPr>
          <w:p>
            <w:pPr>
              <w:jc w:val="right"/>
              <w:ind w:right="832"/>
              <w:spacing w:after="0"/>
              <w:rPr>
                <w:sz w:val="20"/>
                <w:szCs w:val="20"/>
                <w:color w:val="auto"/>
              </w:rPr>
            </w:pPr>
            <w:r>
              <w:rPr>
                <w:rFonts w:ascii="Arial" w:cs="Arial" w:eastAsia="Arial" w:hAnsi="Arial"/>
                <w:sz w:val="10"/>
                <w:szCs w:val="10"/>
                <w:color w:val="auto"/>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15,859</w:t>
            </w:r>
          </w:p>
        </w:tc>
        <w:tc>
          <w:tcPr>
            <w:tcW w:w="320" w:type="dxa"/>
            <w:vAlign w:val="bottom"/>
            <w:tcBorders>
              <w:top w:val="single" w:sz="8" w:color="CCEEFF"/>
              <w:bottom w:val="single" w:sz="8" w:color="CCEEFF"/>
            </w:tcBorders>
            <w:shd w:val="clear" w:color="auto" w:fill="CCEEFF"/>
          </w:tcPr>
          <w:p>
            <w:pPr>
              <w:spacing w:after="0"/>
              <w:rPr>
                <w:sz w:val="15"/>
                <w:szCs w:val="15"/>
                <w:color w:val="auto"/>
              </w:rPr>
            </w:pPr>
          </w:p>
        </w:tc>
        <w:tc>
          <w:tcPr>
            <w:tcW w:w="540" w:type="dxa"/>
            <w:vAlign w:val="bottom"/>
            <w:tcBorders>
              <w:top w:val="single" w:sz="8" w:color="auto"/>
              <w:bottom w:val="single" w:sz="8" w:color="auto"/>
            </w:tcBorders>
            <w:shd w:val="clear" w:color="auto" w:fill="CCEEFF"/>
          </w:tcPr>
          <w:p>
            <w:pPr>
              <w:jc w:val="right"/>
              <w:ind w:right="172"/>
              <w:spacing w:after="0"/>
              <w:rPr>
                <w:sz w:val="20"/>
                <w:szCs w:val="20"/>
                <w:color w:val="auto"/>
              </w:rPr>
            </w:pPr>
            <w:r>
              <w:rPr>
                <w:rFonts w:ascii="Arial" w:cs="Arial" w:eastAsia="Arial" w:hAnsi="Arial"/>
                <w:sz w:val="10"/>
                <w:szCs w:val="10"/>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14,087</w:t>
            </w:r>
          </w:p>
        </w:tc>
      </w:tr>
      <w:tr>
        <w:trPr>
          <w:trHeight w:val="286"/>
        </w:trPr>
        <w:tc>
          <w:tcPr>
            <w:tcW w:w="7980" w:type="dxa"/>
            <w:vAlign w:val="bottom"/>
            <w:gridSpan w:val="6"/>
          </w:tcPr>
          <w:p>
            <w:pPr>
              <w:spacing w:after="0"/>
              <w:rPr>
                <w:sz w:val="20"/>
                <w:szCs w:val="20"/>
                <w:color w:val="auto"/>
              </w:rPr>
            </w:pPr>
            <w:r>
              <w:rPr>
                <w:rFonts w:ascii="Arial" w:cs="Arial" w:eastAsia="Arial" w:hAnsi="Arial"/>
                <w:sz w:val="12"/>
                <w:szCs w:val="12"/>
                <w:color w:val="auto"/>
                <w:w w:val="98"/>
              </w:rPr>
              <w:t>Assuming cash and cash equivalents are accounted for as corporate assets, total assets by business segment and by country are presented as follows:</w:t>
            </w: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436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(Dollars in thousands)</w:t>
            </w:r>
          </w:p>
        </w:tc>
        <w:tc>
          <w:tcPr>
            <w:tcW w:w="320" w:type="dxa"/>
            <w:vAlign w:val="bottom"/>
            <w:tcBorders>
              <w:bottom w:val="single" w:sz="8" w:color="CCEEFF"/>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tcPr>
          <w:p>
            <w:pPr>
              <w:jc w:val="right"/>
              <w:ind w:right="452"/>
              <w:spacing w:after="0"/>
              <w:rPr>
                <w:sz w:val="20"/>
                <w:szCs w:val="20"/>
                <w:color w:val="auto"/>
              </w:rPr>
            </w:pPr>
            <w:r>
              <w:rPr>
                <w:rFonts w:ascii="Arial" w:cs="Arial" w:eastAsia="Arial" w:hAnsi="Arial"/>
                <w:sz w:val="10"/>
                <w:szCs w:val="10"/>
                <w:b w:val="1"/>
                <w:bCs w:val="1"/>
                <w:color w:val="auto"/>
                <w:w w:val="93"/>
              </w:rPr>
              <w:t>December 31, 2015</w:t>
            </w:r>
          </w:p>
        </w:tc>
        <w:tc>
          <w:tcPr>
            <w:tcW w:w="320" w:type="dxa"/>
            <w:vAlign w:val="bottom"/>
            <w:tcBorders>
              <w:bottom w:val="single" w:sz="8" w:color="CCEEFF"/>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tcPr>
          <w:p>
            <w:pPr>
              <w:jc w:val="right"/>
              <w:ind w:right="452"/>
              <w:spacing w:after="0"/>
              <w:rPr>
                <w:sz w:val="20"/>
                <w:szCs w:val="20"/>
                <w:color w:val="auto"/>
              </w:rPr>
            </w:pPr>
            <w:r>
              <w:rPr>
                <w:rFonts w:ascii="Arial" w:cs="Arial" w:eastAsia="Arial" w:hAnsi="Arial"/>
                <w:sz w:val="10"/>
                <w:szCs w:val="10"/>
                <w:b w:val="1"/>
                <w:bCs w:val="1"/>
                <w:color w:val="auto"/>
                <w:w w:val="93"/>
              </w:rPr>
              <w:t>December 31, 2014</w:t>
            </w:r>
          </w:p>
        </w:tc>
        <w:tc>
          <w:tcPr>
            <w:tcW w:w="320" w:type="dxa"/>
            <w:vAlign w:val="bottom"/>
            <w:tcBorders>
              <w:bottom w:val="single" w:sz="8" w:color="CCEEFF"/>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tcPr>
          <w:p>
            <w:pPr>
              <w:jc w:val="right"/>
              <w:ind w:right="452"/>
              <w:spacing w:after="0"/>
              <w:rPr>
                <w:sz w:val="20"/>
                <w:szCs w:val="20"/>
                <w:color w:val="auto"/>
              </w:rPr>
            </w:pPr>
            <w:r>
              <w:rPr>
                <w:rFonts w:ascii="Arial" w:cs="Arial" w:eastAsia="Arial" w:hAnsi="Arial"/>
                <w:sz w:val="10"/>
                <w:szCs w:val="10"/>
                <w:b w:val="1"/>
                <w:bCs w:val="1"/>
                <w:color w:val="auto"/>
                <w:w w:val="93"/>
              </w:rPr>
              <w:t>December 31, 2013</w:t>
            </w:r>
          </w:p>
        </w:tc>
      </w:tr>
      <w:tr>
        <w:trPr>
          <w:trHeight w:val="160"/>
        </w:trPr>
        <w:tc>
          <w:tcPr>
            <w:tcW w:w="4680" w:type="dxa"/>
            <w:vAlign w:val="bottom"/>
            <w:gridSpan w:val="2"/>
            <w:shd w:val="clear" w:color="auto" w:fill="CCEEFF"/>
          </w:tcPr>
          <w:p>
            <w:pPr>
              <w:spacing w:after="0"/>
              <w:rPr>
                <w:sz w:val="20"/>
                <w:szCs w:val="20"/>
                <w:color w:val="auto"/>
              </w:rPr>
            </w:pPr>
            <w:r>
              <w:rPr>
                <w:rFonts w:ascii="Arial" w:cs="Arial" w:eastAsia="Arial" w:hAnsi="Arial"/>
                <w:sz w:val="10"/>
                <w:szCs w:val="10"/>
                <w:b w:val="1"/>
                <w:bCs w:val="1"/>
                <w:color w:val="auto"/>
              </w:rPr>
              <w:t>By segment:</w:t>
            </w:r>
          </w:p>
        </w:tc>
        <w:tc>
          <w:tcPr>
            <w:tcW w:w="42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r>
      <w:tr>
        <w:trPr>
          <w:trHeight w:val="171"/>
        </w:trPr>
        <w:tc>
          <w:tcPr>
            <w:tcW w:w="4680" w:type="dxa"/>
            <w:vAlign w:val="bottom"/>
            <w:gridSpan w:val="2"/>
          </w:tcPr>
          <w:p>
            <w:pPr>
              <w:spacing w:after="0"/>
              <w:rPr>
                <w:sz w:val="20"/>
                <w:szCs w:val="20"/>
                <w:color w:val="auto"/>
              </w:rPr>
            </w:pPr>
            <w:r>
              <w:rPr>
                <w:rFonts w:ascii="Arial" w:cs="Arial" w:eastAsia="Arial" w:hAnsi="Arial"/>
                <w:sz w:val="10"/>
                <w:szCs w:val="10"/>
                <w:color w:val="auto"/>
              </w:rPr>
              <w:t>Cinema</w:t>
            </w:r>
          </w:p>
        </w:tc>
        <w:tc>
          <w:tcPr>
            <w:tcW w:w="420" w:type="dxa"/>
            <w:vAlign w:val="bottom"/>
          </w:tcPr>
          <w:p>
            <w:pPr>
              <w:jc w:val="right"/>
              <w:ind w:right="52"/>
              <w:spacing w:after="0"/>
              <w:rPr>
                <w:sz w:val="20"/>
                <w:szCs w:val="20"/>
                <w:color w:val="auto"/>
              </w:rPr>
            </w:pPr>
            <w:r>
              <w:rPr>
                <w:rFonts w:ascii="Arial" w:cs="Arial" w:eastAsia="Arial" w:hAnsi="Arial"/>
                <w:sz w:val="10"/>
                <w:szCs w:val="10"/>
                <w:color w:val="auto"/>
              </w:rPr>
              <w:t>$</w:t>
            </w:r>
          </w:p>
        </w:tc>
        <w:tc>
          <w:tcPr>
            <w:tcW w:w="1360" w:type="dxa"/>
            <w:vAlign w:val="bottom"/>
          </w:tcPr>
          <w:p>
            <w:pPr>
              <w:jc w:val="right"/>
              <w:spacing w:after="0"/>
              <w:rPr>
                <w:sz w:val="20"/>
                <w:szCs w:val="20"/>
                <w:color w:val="auto"/>
              </w:rPr>
            </w:pPr>
            <w:r>
              <w:rPr>
                <w:rFonts w:ascii="Arial" w:cs="Arial" w:eastAsia="Arial" w:hAnsi="Arial"/>
                <w:sz w:val="10"/>
                <w:szCs w:val="10"/>
                <w:color w:val="auto"/>
              </w:rPr>
              <w:t>107,808</w:t>
            </w:r>
          </w:p>
        </w:tc>
        <w:tc>
          <w:tcPr>
            <w:tcW w:w="320" w:type="dxa"/>
            <w:vAlign w:val="bottom"/>
          </w:tcPr>
          <w:p>
            <w:pPr>
              <w:spacing w:after="0"/>
              <w:rPr>
                <w:sz w:val="14"/>
                <w:szCs w:val="14"/>
                <w:color w:val="auto"/>
              </w:rPr>
            </w:pPr>
          </w:p>
        </w:tc>
        <w:tc>
          <w:tcPr>
            <w:tcW w:w="400" w:type="dxa"/>
            <w:vAlign w:val="bottom"/>
          </w:tcPr>
          <w:p>
            <w:pPr>
              <w:jc w:val="right"/>
              <w:ind w:right="32"/>
              <w:spacing w:after="0"/>
              <w:rPr>
                <w:sz w:val="20"/>
                <w:szCs w:val="20"/>
                <w:color w:val="auto"/>
              </w:rPr>
            </w:pPr>
            <w:r>
              <w:rPr>
                <w:rFonts w:ascii="Arial" w:cs="Arial" w:eastAsia="Arial" w:hAnsi="Arial"/>
                <w:sz w:val="10"/>
                <w:szCs w:val="10"/>
                <w:color w:val="auto"/>
              </w:rPr>
              <w:t>$</w:t>
            </w:r>
          </w:p>
        </w:tc>
        <w:tc>
          <w:tcPr>
            <w:tcW w:w="1360" w:type="dxa"/>
            <w:vAlign w:val="bottom"/>
          </w:tcPr>
          <w:p>
            <w:pPr>
              <w:jc w:val="right"/>
              <w:spacing w:after="0"/>
              <w:rPr>
                <w:sz w:val="20"/>
                <w:szCs w:val="20"/>
                <w:color w:val="auto"/>
              </w:rPr>
            </w:pPr>
            <w:r>
              <w:rPr>
                <w:rFonts w:ascii="Arial" w:cs="Arial" w:eastAsia="Arial" w:hAnsi="Arial"/>
                <w:sz w:val="10"/>
                <w:szCs w:val="10"/>
                <w:color w:val="auto"/>
              </w:rPr>
              <w:t>107,695</w:t>
            </w:r>
          </w:p>
        </w:tc>
        <w:tc>
          <w:tcPr>
            <w:tcW w:w="320" w:type="dxa"/>
            <w:vAlign w:val="bottom"/>
          </w:tcPr>
          <w:p>
            <w:pPr>
              <w:spacing w:after="0"/>
              <w:rPr>
                <w:sz w:val="14"/>
                <w:szCs w:val="14"/>
                <w:color w:val="auto"/>
              </w:rPr>
            </w:pPr>
          </w:p>
        </w:tc>
        <w:tc>
          <w:tcPr>
            <w:tcW w:w="400" w:type="dxa"/>
            <w:vAlign w:val="bottom"/>
          </w:tcPr>
          <w:p>
            <w:pPr>
              <w:jc w:val="right"/>
              <w:ind w:right="32"/>
              <w:spacing w:after="0"/>
              <w:rPr>
                <w:sz w:val="20"/>
                <w:szCs w:val="20"/>
                <w:color w:val="auto"/>
              </w:rPr>
            </w:pPr>
            <w:r>
              <w:rPr>
                <w:rFonts w:ascii="Arial" w:cs="Arial" w:eastAsia="Arial" w:hAnsi="Arial"/>
                <w:sz w:val="10"/>
                <w:szCs w:val="10"/>
                <w:color w:val="auto"/>
              </w:rPr>
              <w:t>$</w:t>
            </w:r>
          </w:p>
        </w:tc>
        <w:tc>
          <w:tcPr>
            <w:tcW w:w="1360" w:type="dxa"/>
            <w:vAlign w:val="bottom"/>
          </w:tcPr>
          <w:p>
            <w:pPr>
              <w:jc w:val="right"/>
              <w:spacing w:after="0"/>
              <w:rPr>
                <w:sz w:val="20"/>
                <w:szCs w:val="20"/>
                <w:color w:val="auto"/>
              </w:rPr>
            </w:pPr>
            <w:r>
              <w:rPr>
                <w:rFonts w:ascii="Arial" w:cs="Arial" w:eastAsia="Arial" w:hAnsi="Arial"/>
                <w:sz w:val="10"/>
                <w:szCs w:val="10"/>
                <w:color w:val="auto"/>
              </w:rPr>
              <w:t>120,709</w:t>
            </w:r>
          </w:p>
        </w:tc>
      </w:tr>
      <w:tr>
        <w:trPr>
          <w:trHeight w:val="171"/>
        </w:trPr>
        <w:tc>
          <w:tcPr>
            <w:tcW w:w="468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Real estate</w:t>
            </w:r>
          </w:p>
        </w:tc>
        <w:tc>
          <w:tcPr>
            <w:tcW w:w="42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219,813</w:t>
            </w:r>
          </w:p>
        </w:tc>
        <w:tc>
          <w:tcPr>
            <w:tcW w:w="3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219,737</w:t>
            </w:r>
          </w:p>
        </w:tc>
        <w:tc>
          <w:tcPr>
            <w:tcW w:w="3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226,926</w:t>
            </w:r>
          </w:p>
        </w:tc>
      </w:tr>
      <w:tr>
        <w:trPr>
          <w:trHeight w:val="171"/>
        </w:trPr>
        <w:tc>
          <w:tcPr>
            <w:tcW w:w="4680" w:type="dxa"/>
            <w:vAlign w:val="bottom"/>
            <w:tcBorders>
              <w:bottom w:val="single" w:sz="8" w:color="CCEEFF"/>
            </w:tcBorders>
            <w:gridSpan w:val="2"/>
          </w:tcPr>
          <w:p>
            <w:pPr>
              <w:spacing w:after="0"/>
              <w:rPr>
                <w:sz w:val="20"/>
                <w:szCs w:val="20"/>
                <w:color w:val="auto"/>
              </w:rPr>
            </w:pPr>
            <w:r>
              <w:rPr>
                <w:rFonts w:ascii="Arial" w:cs="Arial" w:eastAsia="Arial" w:hAnsi="Arial"/>
                <w:sz w:val="10"/>
                <w:szCs w:val="10"/>
                <w:color w:val="auto"/>
              </w:rPr>
              <w:t xml:space="preserve">Corporate </w:t>
            </w:r>
            <w:r>
              <w:rPr>
                <w:rFonts w:ascii="Arial" w:cs="Arial" w:eastAsia="Arial" w:hAnsi="Arial"/>
                <w:sz w:val="4"/>
                <w:szCs w:val="4"/>
                <w:color w:val="auto"/>
              </w:rPr>
              <w:t>(1)</w:t>
            </w:r>
          </w:p>
        </w:tc>
        <w:tc>
          <w:tcPr>
            <w:tcW w:w="4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47,470</w:t>
            </w:r>
          </w:p>
        </w:tc>
        <w:tc>
          <w:tcPr>
            <w:tcW w:w="32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74,154</w:t>
            </w:r>
          </w:p>
        </w:tc>
        <w:tc>
          <w:tcPr>
            <w:tcW w:w="32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39,172</w:t>
            </w:r>
          </w:p>
        </w:tc>
      </w:tr>
      <w:tr>
        <w:trPr>
          <w:trHeight w:val="162"/>
        </w:trPr>
        <w:tc>
          <w:tcPr>
            <w:tcW w:w="468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0"/>
                <w:szCs w:val="10"/>
                <w:color w:val="auto"/>
              </w:rPr>
              <w:t>Total assets</w:t>
            </w:r>
          </w:p>
        </w:tc>
        <w:tc>
          <w:tcPr>
            <w:tcW w:w="42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0"/>
                <w:szCs w:val="10"/>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375,091</w:t>
            </w:r>
          </w:p>
        </w:tc>
        <w:tc>
          <w:tcPr>
            <w:tcW w:w="32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401,586</w:t>
            </w:r>
          </w:p>
        </w:tc>
        <w:tc>
          <w:tcPr>
            <w:tcW w:w="32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386,807</w:t>
            </w:r>
          </w:p>
        </w:tc>
      </w:tr>
      <w:tr>
        <w:trPr>
          <w:trHeight w:val="140"/>
        </w:trPr>
        <w:tc>
          <w:tcPr>
            <w:tcW w:w="4680" w:type="dxa"/>
            <w:vAlign w:val="bottom"/>
            <w:gridSpan w:val="2"/>
          </w:tcPr>
          <w:p>
            <w:pPr>
              <w:spacing w:after="0"/>
              <w:rPr>
                <w:sz w:val="20"/>
                <w:szCs w:val="20"/>
                <w:color w:val="auto"/>
              </w:rPr>
            </w:pPr>
            <w:r>
              <w:rPr>
                <w:rFonts w:ascii="Arial" w:cs="Arial" w:eastAsia="Arial" w:hAnsi="Arial"/>
                <w:sz w:val="10"/>
                <w:szCs w:val="10"/>
                <w:b w:val="1"/>
                <w:bCs w:val="1"/>
                <w:color w:val="auto"/>
              </w:rPr>
              <w:t>By country:</w:t>
            </w:r>
          </w:p>
        </w:tc>
        <w:tc>
          <w:tcPr>
            <w:tcW w:w="4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60" w:type="dxa"/>
            <w:vAlign w:val="bottom"/>
          </w:tcPr>
          <w:p>
            <w:pPr>
              <w:spacing w:after="0"/>
              <w:rPr>
                <w:sz w:val="12"/>
                <w:szCs w:val="12"/>
                <w:color w:val="auto"/>
              </w:rPr>
            </w:pPr>
          </w:p>
        </w:tc>
      </w:tr>
      <w:tr>
        <w:trPr>
          <w:trHeight w:val="171"/>
        </w:trPr>
        <w:tc>
          <w:tcPr>
            <w:tcW w:w="468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United States</w:t>
            </w:r>
          </w:p>
        </w:tc>
        <w:tc>
          <w:tcPr>
            <w:tcW w:w="42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131,965</w:t>
            </w:r>
          </w:p>
        </w:tc>
        <w:tc>
          <w:tcPr>
            <w:tcW w:w="32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141,768</w:t>
            </w:r>
          </w:p>
        </w:tc>
        <w:tc>
          <w:tcPr>
            <w:tcW w:w="32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110,677</w:t>
            </w:r>
          </w:p>
        </w:tc>
      </w:tr>
      <w:tr>
        <w:trPr>
          <w:trHeight w:val="171"/>
        </w:trPr>
        <w:tc>
          <w:tcPr>
            <w:tcW w:w="4680" w:type="dxa"/>
            <w:vAlign w:val="bottom"/>
            <w:gridSpan w:val="2"/>
          </w:tcPr>
          <w:p>
            <w:pPr>
              <w:spacing w:after="0"/>
              <w:rPr>
                <w:sz w:val="20"/>
                <w:szCs w:val="20"/>
                <w:color w:val="auto"/>
              </w:rPr>
            </w:pPr>
            <w:r>
              <w:rPr>
                <w:rFonts w:ascii="Arial" w:cs="Arial" w:eastAsia="Arial" w:hAnsi="Arial"/>
                <w:sz w:val="10"/>
                <w:szCs w:val="10"/>
                <w:color w:val="auto"/>
              </w:rPr>
              <w:t>Australia</w:t>
            </w:r>
          </w:p>
        </w:tc>
        <w:tc>
          <w:tcPr>
            <w:tcW w:w="42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0"/>
                <w:szCs w:val="10"/>
                <w:color w:val="auto"/>
              </w:rPr>
              <w:t>173,227</w:t>
            </w:r>
          </w:p>
        </w:tc>
        <w:tc>
          <w:tcPr>
            <w:tcW w:w="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0"/>
                <w:szCs w:val="10"/>
                <w:color w:val="auto"/>
              </w:rPr>
              <w:t>178,202</w:t>
            </w:r>
          </w:p>
        </w:tc>
        <w:tc>
          <w:tcPr>
            <w:tcW w:w="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0"/>
                <w:szCs w:val="10"/>
                <w:color w:val="auto"/>
              </w:rPr>
              <w:t>196,050</w:t>
            </w:r>
          </w:p>
        </w:tc>
      </w:tr>
      <w:tr>
        <w:trPr>
          <w:trHeight w:val="171"/>
        </w:trPr>
        <w:tc>
          <w:tcPr>
            <w:tcW w:w="468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New Zealand</w:t>
            </w:r>
          </w:p>
        </w:tc>
        <w:tc>
          <w:tcPr>
            <w:tcW w:w="420" w:type="dxa"/>
            <w:vAlign w:val="bottom"/>
            <w:tcBorders>
              <w:bottom w:val="single" w:sz="8" w:color="auto"/>
            </w:tcBorders>
            <w:shd w:val="clear" w:color="auto" w:fill="CCEEFF"/>
          </w:tcPr>
          <w:p>
            <w:pPr>
              <w:spacing w:after="0"/>
              <w:rPr>
                <w:sz w:val="14"/>
                <w:szCs w:val="14"/>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69,899</w:t>
            </w:r>
          </w:p>
        </w:tc>
        <w:tc>
          <w:tcPr>
            <w:tcW w:w="320" w:type="dxa"/>
            <w:vAlign w:val="bottom"/>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spacing w:after="0"/>
              <w:rPr>
                <w:sz w:val="14"/>
                <w:szCs w:val="14"/>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81,616</w:t>
            </w:r>
          </w:p>
        </w:tc>
        <w:tc>
          <w:tcPr>
            <w:tcW w:w="320" w:type="dxa"/>
            <w:vAlign w:val="bottom"/>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spacing w:after="0"/>
              <w:rPr>
                <w:sz w:val="14"/>
                <w:szCs w:val="14"/>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80,080</w:t>
            </w:r>
          </w:p>
        </w:tc>
      </w:tr>
      <w:tr>
        <w:trPr>
          <w:trHeight w:val="142"/>
        </w:trPr>
        <w:tc>
          <w:tcPr>
            <w:tcW w:w="4680" w:type="dxa"/>
            <w:vAlign w:val="bottom"/>
            <w:gridSpan w:val="2"/>
          </w:tcPr>
          <w:p>
            <w:pPr>
              <w:ind w:left="80"/>
              <w:spacing w:after="0"/>
              <w:rPr>
                <w:sz w:val="20"/>
                <w:szCs w:val="20"/>
                <w:color w:val="auto"/>
              </w:rPr>
            </w:pPr>
            <w:r>
              <w:rPr>
                <w:rFonts w:ascii="Arial" w:cs="Arial" w:eastAsia="Arial" w:hAnsi="Arial"/>
                <w:sz w:val="10"/>
                <w:szCs w:val="10"/>
                <w:color w:val="auto"/>
              </w:rPr>
              <w:t>Total assets</w:t>
            </w:r>
          </w:p>
        </w:tc>
        <w:tc>
          <w:tcPr>
            <w:tcW w:w="42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375,091</w:t>
            </w:r>
          </w:p>
        </w:tc>
        <w:tc>
          <w:tcPr>
            <w:tcW w:w="320" w:type="dxa"/>
            <w:vAlign w:val="bottom"/>
          </w:tcPr>
          <w:p>
            <w:pPr>
              <w:spacing w:after="0"/>
              <w:rPr>
                <w:sz w:val="12"/>
                <w:szCs w:val="12"/>
                <w:color w:val="auto"/>
              </w:rPr>
            </w:pPr>
          </w:p>
        </w:tc>
        <w:tc>
          <w:tcPr>
            <w:tcW w:w="400" w:type="dxa"/>
            <w:vAlign w:val="bottom"/>
            <w:tcBorders>
              <w:bottom w:val="single" w:sz="8" w:color="auto"/>
            </w:tcBorders>
          </w:tcPr>
          <w:p>
            <w:pPr>
              <w:jc w:val="right"/>
              <w:ind w:right="32"/>
              <w:spacing w:after="0"/>
              <w:rPr>
                <w:sz w:val="20"/>
                <w:szCs w:val="20"/>
                <w:color w:val="auto"/>
              </w:rPr>
            </w:pPr>
            <w:r>
              <w:rPr>
                <w:rFonts w:ascii="Arial" w:cs="Arial" w:eastAsia="Arial" w:hAnsi="Arial"/>
                <w:sz w:val="10"/>
                <w:szCs w:val="10"/>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401,586</w:t>
            </w:r>
          </w:p>
        </w:tc>
        <w:tc>
          <w:tcPr>
            <w:tcW w:w="320" w:type="dxa"/>
            <w:vAlign w:val="bottom"/>
          </w:tcPr>
          <w:p>
            <w:pPr>
              <w:spacing w:after="0"/>
              <w:rPr>
                <w:sz w:val="12"/>
                <w:szCs w:val="12"/>
                <w:color w:val="auto"/>
              </w:rPr>
            </w:pPr>
          </w:p>
        </w:tc>
        <w:tc>
          <w:tcPr>
            <w:tcW w:w="400" w:type="dxa"/>
            <w:vAlign w:val="bottom"/>
            <w:tcBorders>
              <w:bottom w:val="single" w:sz="8" w:color="auto"/>
            </w:tcBorders>
          </w:tcPr>
          <w:p>
            <w:pPr>
              <w:jc w:val="right"/>
              <w:ind w:right="32"/>
              <w:spacing w:after="0"/>
              <w:rPr>
                <w:sz w:val="20"/>
                <w:szCs w:val="20"/>
                <w:color w:val="auto"/>
              </w:rPr>
            </w:pPr>
            <w:r>
              <w:rPr>
                <w:rFonts w:ascii="Arial" w:cs="Arial" w:eastAsia="Arial" w:hAnsi="Arial"/>
                <w:sz w:val="10"/>
                <w:szCs w:val="10"/>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386,807</w:t>
            </w:r>
          </w:p>
        </w:tc>
      </w:tr>
    </w:tbl>
    <w:p>
      <w:pPr>
        <w:spacing w:after="0" w:line="132" w:lineRule="exact"/>
        <w:rPr>
          <w:sz w:val="20"/>
          <w:szCs w:val="20"/>
          <w:color w:val="auto"/>
        </w:rPr>
      </w:pPr>
    </w:p>
    <w:p>
      <w:pPr>
        <w:ind w:left="80" w:hanging="76"/>
        <w:spacing w:after="0"/>
        <w:tabs>
          <w:tab w:leader="none" w:pos="80" w:val="left"/>
        </w:tabs>
        <w:numPr>
          <w:ilvl w:val="0"/>
          <w:numId w:val="33"/>
        </w:numPr>
        <w:rPr>
          <w:rFonts w:ascii="Arial" w:cs="Arial" w:eastAsia="Arial" w:hAnsi="Arial"/>
          <w:sz w:val="8"/>
          <w:szCs w:val="8"/>
          <w:color w:val="auto"/>
          <w:vertAlign w:val="superscript"/>
        </w:rPr>
      </w:pPr>
      <w:r>
        <w:rPr>
          <w:rFonts w:ascii="Arial" w:cs="Arial" w:eastAsia="Arial" w:hAnsi="Arial"/>
          <w:sz w:val="8"/>
          <w:szCs w:val="8"/>
          <w:color w:val="auto"/>
        </w:rPr>
        <w:t>Includes cash and cash equivalents of $19.7million, $50.2 million, and $37.7 million for the years ended December 31, 2015, 2014, and 2013, respectively.</w:t>
      </w:r>
    </w:p>
    <w:p>
      <w:pPr>
        <w:spacing w:after="0" w:line="128" w:lineRule="exact"/>
        <w:rPr>
          <w:sz w:val="20"/>
          <w:szCs w:val="20"/>
          <w:color w:val="auto"/>
        </w:rPr>
      </w:pPr>
    </w:p>
    <w:p>
      <w:pPr>
        <w:spacing w:after="0"/>
        <w:rPr>
          <w:sz w:val="20"/>
          <w:szCs w:val="20"/>
          <w:color w:val="auto"/>
        </w:rPr>
      </w:pPr>
      <w:r>
        <w:rPr>
          <w:rFonts w:ascii="Arial" w:cs="Arial" w:eastAsia="Arial" w:hAnsi="Arial"/>
          <w:sz w:val="12"/>
          <w:szCs w:val="12"/>
          <w:color w:val="auto"/>
        </w:rPr>
        <w:t>The following table sets forth our operating properties by country:</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5100" w:type="dxa"/>
            <w:vAlign w:val="bottom"/>
            <w:gridSpan w:val="3"/>
          </w:tcPr>
          <w:p>
            <w:pPr>
              <w:spacing w:after="0"/>
              <w:rPr>
                <w:sz w:val="20"/>
                <w:szCs w:val="20"/>
                <w:color w:val="auto"/>
              </w:rPr>
            </w:pPr>
            <w:r>
              <w:rPr>
                <w:rFonts w:ascii="Arial" w:cs="Arial" w:eastAsia="Arial" w:hAnsi="Arial"/>
                <w:sz w:val="10"/>
                <w:szCs w:val="10"/>
                <w:color w:val="auto"/>
              </w:rPr>
              <w:t>(Dollars in thousands)</w:t>
            </w:r>
          </w:p>
        </w:tc>
        <w:tc>
          <w:tcPr>
            <w:tcW w:w="1680" w:type="dxa"/>
            <w:vAlign w:val="bottom"/>
            <w:gridSpan w:val="2"/>
          </w:tcPr>
          <w:p>
            <w:pPr>
              <w:ind w:left="80"/>
              <w:spacing w:after="0"/>
              <w:rPr>
                <w:sz w:val="20"/>
                <w:szCs w:val="20"/>
                <w:color w:val="auto"/>
              </w:rPr>
            </w:pPr>
            <w:r>
              <w:rPr>
                <w:rFonts w:ascii="Arial" w:cs="Arial" w:eastAsia="Arial" w:hAnsi="Arial"/>
                <w:sz w:val="10"/>
                <w:szCs w:val="10"/>
                <w:b w:val="1"/>
                <w:bCs w:val="1"/>
                <w:color w:val="auto"/>
              </w:rPr>
              <w:t>December 31, 2015</w:t>
            </w:r>
          </w:p>
        </w:tc>
        <w:tc>
          <w:tcPr>
            <w:tcW w:w="400" w:type="dxa"/>
            <w:vAlign w:val="bottom"/>
          </w:tcPr>
          <w:p>
            <w:pPr>
              <w:spacing w:after="0"/>
              <w:rPr>
                <w:sz w:val="10"/>
                <w:szCs w:val="10"/>
                <w:color w:val="auto"/>
              </w:rPr>
            </w:pPr>
          </w:p>
        </w:tc>
        <w:tc>
          <w:tcPr>
            <w:tcW w:w="1680" w:type="dxa"/>
            <w:vAlign w:val="bottom"/>
            <w:gridSpan w:val="2"/>
          </w:tcPr>
          <w:p>
            <w:pPr>
              <w:ind w:left="100"/>
              <w:spacing w:after="0"/>
              <w:rPr>
                <w:sz w:val="20"/>
                <w:szCs w:val="20"/>
                <w:color w:val="auto"/>
              </w:rPr>
            </w:pPr>
            <w:r>
              <w:rPr>
                <w:rFonts w:ascii="Arial" w:cs="Arial" w:eastAsia="Arial" w:hAnsi="Arial"/>
                <w:sz w:val="10"/>
                <w:szCs w:val="10"/>
                <w:b w:val="1"/>
                <w:bCs w:val="1"/>
                <w:color w:val="auto"/>
              </w:rPr>
              <w:t>December 31, 2014</w:t>
            </w:r>
          </w:p>
        </w:tc>
        <w:tc>
          <w:tcPr>
            <w:tcW w:w="400" w:type="dxa"/>
            <w:vAlign w:val="bottom"/>
          </w:tcPr>
          <w:p>
            <w:pPr>
              <w:spacing w:after="0"/>
              <w:rPr>
                <w:sz w:val="10"/>
                <w:szCs w:val="10"/>
                <w:color w:val="auto"/>
              </w:rPr>
            </w:pPr>
          </w:p>
        </w:tc>
        <w:tc>
          <w:tcPr>
            <w:tcW w:w="1360" w:type="dxa"/>
            <w:vAlign w:val="bottom"/>
          </w:tcPr>
          <w:p>
            <w:pPr>
              <w:jc w:val="right"/>
              <w:ind w:right="452"/>
              <w:spacing w:after="0"/>
              <w:rPr>
                <w:sz w:val="20"/>
                <w:szCs w:val="20"/>
                <w:color w:val="auto"/>
              </w:rPr>
            </w:pPr>
            <w:r>
              <w:rPr>
                <w:rFonts w:ascii="Arial" w:cs="Arial" w:eastAsia="Arial" w:hAnsi="Arial"/>
                <w:sz w:val="10"/>
                <w:szCs w:val="10"/>
                <w:b w:val="1"/>
                <w:bCs w:val="1"/>
                <w:color w:val="auto"/>
                <w:w w:val="93"/>
              </w:rPr>
              <w:t>December 31, 2013</w:t>
            </w:r>
          </w:p>
        </w:tc>
        <w:tc>
          <w:tcPr>
            <w:tcW w:w="0" w:type="dxa"/>
            <w:vAlign w:val="bottom"/>
          </w:tcPr>
          <w:p>
            <w:pPr>
              <w:spacing w:after="0"/>
              <w:rPr>
                <w:sz w:val="1"/>
                <w:szCs w:val="1"/>
                <w:color w:val="auto"/>
              </w:rPr>
            </w:pPr>
          </w:p>
        </w:tc>
      </w:tr>
      <w:tr>
        <w:trPr>
          <w:trHeight w:val="94"/>
        </w:trPr>
        <w:tc>
          <w:tcPr>
            <w:tcW w:w="4360" w:type="dxa"/>
            <w:vAlign w:val="bottom"/>
            <w:tcBorders>
              <w:top w:val="single" w:sz="8" w:color="auto"/>
            </w:tcBorders>
            <w:shd w:val="clear" w:color="auto" w:fill="CCEEFF"/>
          </w:tcPr>
          <w:p>
            <w:pPr>
              <w:spacing w:after="0" w:line="94" w:lineRule="exact"/>
              <w:rPr>
                <w:sz w:val="20"/>
                <w:szCs w:val="20"/>
                <w:color w:val="auto"/>
              </w:rPr>
            </w:pPr>
            <w:r>
              <w:rPr>
                <w:rFonts w:ascii="Arial" w:cs="Arial" w:eastAsia="Arial" w:hAnsi="Arial"/>
                <w:sz w:val="10"/>
                <w:szCs w:val="10"/>
                <w:color w:val="auto"/>
              </w:rPr>
              <w:t>Australia</w:t>
            </w:r>
          </w:p>
        </w:tc>
        <w:tc>
          <w:tcPr>
            <w:tcW w:w="320" w:type="dxa"/>
            <w:vAlign w:val="bottom"/>
            <w:tcBorders>
              <w:top w:val="single" w:sz="8" w:color="CCEEFF"/>
            </w:tcBorders>
            <w:shd w:val="clear" w:color="auto" w:fill="CCEEFF"/>
          </w:tcPr>
          <w:p>
            <w:pPr>
              <w:spacing w:after="0"/>
              <w:rPr>
                <w:sz w:val="8"/>
                <w:szCs w:val="8"/>
                <w:color w:val="auto"/>
              </w:rPr>
            </w:pPr>
          </w:p>
        </w:tc>
        <w:tc>
          <w:tcPr>
            <w:tcW w:w="420" w:type="dxa"/>
            <w:vAlign w:val="bottom"/>
            <w:tcBorders>
              <w:top w:val="single" w:sz="8" w:color="auto"/>
            </w:tcBorders>
            <w:shd w:val="clear" w:color="auto" w:fill="CCEEFF"/>
          </w:tcPr>
          <w:p>
            <w:pPr>
              <w:spacing w:after="0"/>
              <w:rPr>
                <w:sz w:val="8"/>
                <w:szCs w:val="8"/>
                <w:color w:val="auto"/>
              </w:rPr>
            </w:pPr>
          </w:p>
        </w:tc>
        <w:tc>
          <w:tcPr>
            <w:tcW w:w="1360" w:type="dxa"/>
            <w:vAlign w:val="bottom"/>
            <w:tcBorders>
              <w:top w:val="single" w:sz="8" w:color="auto"/>
            </w:tcBorders>
            <w:shd w:val="clear" w:color="auto" w:fill="CCEEFF"/>
          </w:tcPr>
          <w:p>
            <w:pPr>
              <w:spacing w:after="0"/>
              <w:rPr>
                <w:sz w:val="8"/>
                <w:szCs w:val="8"/>
                <w:color w:val="auto"/>
              </w:rPr>
            </w:pPr>
          </w:p>
        </w:tc>
        <w:tc>
          <w:tcPr>
            <w:tcW w:w="320" w:type="dxa"/>
            <w:vAlign w:val="bottom"/>
            <w:tcBorders>
              <w:top w:val="single" w:sz="8" w:color="CCEEFF"/>
            </w:tcBorders>
            <w:shd w:val="clear" w:color="auto" w:fill="CCEEFF"/>
          </w:tcPr>
          <w:p>
            <w:pPr>
              <w:spacing w:after="0"/>
              <w:rPr>
                <w:sz w:val="8"/>
                <w:szCs w:val="8"/>
                <w:color w:val="auto"/>
              </w:rPr>
            </w:pPr>
          </w:p>
        </w:tc>
        <w:tc>
          <w:tcPr>
            <w:tcW w:w="400" w:type="dxa"/>
            <w:vAlign w:val="bottom"/>
            <w:tcBorders>
              <w:top w:val="single" w:sz="8" w:color="auto"/>
            </w:tcBorders>
            <w:shd w:val="clear" w:color="auto" w:fill="CCEEFF"/>
          </w:tcPr>
          <w:p>
            <w:pPr>
              <w:spacing w:after="0"/>
              <w:rPr>
                <w:sz w:val="8"/>
                <w:szCs w:val="8"/>
                <w:color w:val="auto"/>
              </w:rPr>
            </w:pPr>
          </w:p>
        </w:tc>
        <w:tc>
          <w:tcPr>
            <w:tcW w:w="1360" w:type="dxa"/>
            <w:vAlign w:val="bottom"/>
            <w:tcBorders>
              <w:top w:val="single" w:sz="8" w:color="auto"/>
            </w:tcBorders>
            <w:shd w:val="clear" w:color="auto" w:fill="CCEEFF"/>
          </w:tcPr>
          <w:p>
            <w:pPr>
              <w:spacing w:after="0"/>
              <w:rPr>
                <w:sz w:val="8"/>
                <w:szCs w:val="8"/>
                <w:color w:val="auto"/>
              </w:rPr>
            </w:pPr>
          </w:p>
        </w:tc>
        <w:tc>
          <w:tcPr>
            <w:tcW w:w="320" w:type="dxa"/>
            <w:vAlign w:val="bottom"/>
            <w:tcBorders>
              <w:top w:val="single" w:sz="8" w:color="CCEEFF"/>
            </w:tcBorders>
            <w:shd w:val="clear" w:color="auto" w:fill="CCEEFF"/>
          </w:tcPr>
          <w:p>
            <w:pPr>
              <w:spacing w:after="0"/>
              <w:rPr>
                <w:sz w:val="8"/>
                <w:szCs w:val="8"/>
                <w:color w:val="auto"/>
              </w:rPr>
            </w:pPr>
          </w:p>
        </w:tc>
        <w:tc>
          <w:tcPr>
            <w:tcW w:w="400" w:type="dxa"/>
            <w:vAlign w:val="bottom"/>
            <w:tcBorders>
              <w:top w:val="single" w:sz="8" w:color="auto"/>
            </w:tcBorders>
            <w:shd w:val="clear" w:color="auto" w:fill="CCEEFF"/>
          </w:tcPr>
          <w:p>
            <w:pPr>
              <w:spacing w:after="0"/>
              <w:rPr>
                <w:sz w:val="8"/>
                <w:szCs w:val="8"/>
                <w:color w:val="auto"/>
              </w:rPr>
            </w:pPr>
          </w:p>
        </w:tc>
        <w:tc>
          <w:tcPr>
            <w:tcW w:w="1360" w:type="dxa"/>
            <w:vAlign w:val="bottom"/>
            <w:tcBorders>
              <w:top w:val="single" w:sz="8" w:color="auto"/>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2"/>
        </w:trPr>
        <w:tc>
          <w:tcPr>
            <w:tcW w:w="5100" w:type="dxa"/>
            <w:vAlign w:val="bottom"/>
            <w:gridSpan w:val="3"/>
            <w:shd w:val="clear" w:color="auto" w:fill="CCEEFF"/>
          </w:tcPr>
          <w:p>
            <w:pPr>
              <w:ind w:left="4960"/>
              <w:spacing w:after="0" w:line="112" w:lineRule="exact"/>
              <w:rPr>
                <w:sz w:val="20"/>
                <w:szCs w:val="20"/>
                <w:color w:val="auto"/>
              </w:rPr>
            </w:pPr>
            <w:r>
              <w:rPr>
                <w:rFonts w:ascii="Arial" w:cs="Arial" w:eastAsia="Arial" w:hAnsi="Arial"/>
                <w:sz w:val="10"/>
                <w:szCs w:val="10"/>
                <w:color w:val="auto"/>
              </w:rPr>
              <w:t>$</w:t>
            </w:r>
          </w:p>
        </w:tc>
        <w:tc>
          <w:tcPr>
            <w:tcW w:w="1360" w:type="dxa"/>
            <w:vAlign w:val="bottom"/>
            <w:shd w:val="clear" w:color="auto" w:fill="CCEEFF"/>
          </w:tcPr>
          <w:p>
            <w:pPr>
              <w:jc w:val="right"/>
              <w:spacing w:after="0" w:line="112" w:lineRule="exact"/>
              <w:rPr>
                <w:sz w:val="20"/>
                <w:szCs w:val="20"/>
                <w:color w:val="auto"/>
              </w:rPr>
            </w:pPr>
            <w:r>
              <w:rPr>
                <w:rFonts w:ascii="Arial" w:cs="Arial" w:eastAsia="Arial" w:hAnsi="Arial"/>
                <w:sz w:val="10"/>
                <w:szCs w:val="10"/>
                <w:color w:val="auto"/>
              </w:rPr>
              <w:t>106,985</w:t>
            </w:r>
          </w:p>
        </w:tc>
        <w:tc>
          <w:tcPr>
            <w:tcW w:w="320" w:type="dxa"/>
            <w:vAlign w:val="bottom"/>
            <w:shd w:val="clear" w:color="auto" w:fill="CCEEFF"/>
          </w:tcPr>
          <w:p>
            <w:pPr>
              <w:spacing w:after="0"/>
              <w:rPr>
                <w:sz w:val="9"/>
                <w:szCs w:val="9"/>
                <w:color w:val="auto"/>
              </w:rPr>
            </w:pPr>
          </w:p>
        </w:tc>
        <w:tc>
          <w:tcPr>
            <w:tcW w:w="400" w:type="dxa"/>
            <w:vAlign w:val="bottom"/>
            <w:shd w:val="clear" w:color="auto" w:fill="CCEEFF"/>
          </w:tcPr>
          <w:p>
            <w:pPr>
              <w:jc w:val="right"/>
              <w:ind w:right="32"/>
              <w:spacing w:after="0" w:line="112" w:lineRule="exact"/>
              <w:rPr>
                <w:sz w:val="20"/>
                <w:szCs w:val="20"/>
                <w:color w:val="auto"/>
              </w:rPr>
            </w:pPr>
            <w:r>
              <w:rPr>
                <w:rFonts w:ascii="Arial" w:cs="Arial" w:eastAsia="Arial" w:hAnsi="Arial"/>
                <w:sz w:val="10"/>
                <w:szCs w:val="10"/>
                <w:color w:val="auto"/>
              </w:rPr>
              <w:t>$</w:t>
            </w:r>
          </w:p>
        </w:tc>
        <w:tc>
          <w:tcPr>
            <w:tcW w:w="1360" w:type="dxa"/>
            <w:vAlign w:val="bottom"/>
            <w:shd w:val="clear" w:color="auto" w:fill="CCEEFF"/>
          </w:tcPr>
          <w:p>
            <w:pPr>
              <w:jc w:val="right"/>
              <w:spacing w:after="0" w:line="112" w:lineRule="exact"/>
              <w:rPr>
                <w:sz w:val="20"/>
                <w:szCs w:val="20"/>
                <w:color w:val="auto"/>
              </w:rPr>
            </w:pPr>
            <w:r>
              <w:rPr>
                <w:rFonts w:ascii="Arial" w:cs="Arial" w:eastAsia="Arial" w:hAnsi="Arial"/>
                <w:sz w:val="10"/>
                <w:szCs w:val="10"/>
                <w:color w:val="auto"/>
              </w:rPr>
              <w:t>87,536</w:t>
            </w:r>
          </w:p>
        </w:tc>
        <w:tc>
          <w:tcPr>
            <w:tcW w:w="320" w:type="dxa"/>
            <w:vAlign w:val="bottom"/>
            <w:shd w:val="clear" w:color="auto" w:fill="CCEEFF"/>
          </w:tcPr>
          <w:p>
            <w:pPr>
              <w:spacing w:after="0"/>
              <w:rPr>
                <w:sz w:val="9"/>
                <w:szCs w:val="9"/>
                <w:color w:val="auto"/>
              </w:rPr>
            </w:pPr>
          </w:p>
        </w:tc>
        <w:tc>
          <w:tcPr>
            <w:tcW w:w="400" w:type="dxa"/>
            <w:vAlign w:val="bottom"/>
            <w:shd w:val="clear" w:color="auto" w:fill="CCEEFF"/>
          </w:tcPr>
          <w:p>
            <w:pPr>
              <w:jc w:val="right"/>
              <w:ind w:right="32"/>
              <w:spacing w:after="0" w:line="112" w:lineRule="exact"/>
              <w:rPr>
                <w:sz w:val="20"/>
                <w:szCs w:val="20"/>
                <w:color w:val="auto"/>
              </w:rPr>
            </w:pPr>
            <w:r>
              <w:rPr>
                <w:rFonts w:ascii="Arial" w:cs="Arial" w:eastAsia="Arial" w:hAnsi="Arial"/>
                <w:sz w:val="10"/>
                <w:szCs w:val="10"/>
                <w:color w:val="auto"/>
              </w:rPr>
              <w:t>$</w:t>
            </w:r>
          </w:p>
        </w:tc>
        <w:tc>
          <w:tcPr>
            <w:tcW w:w="1360" w:type="dxa"/>
            <w:vAlign w:val="bottom"/>
            <w:shd w:val="clear" w:color="auto" w:fill="CCEEFF"/>
          </w:tcPr>
          <w:p>
            <w:pPr>
              <w:jc w:val="right"/>
              <w:spacing w:after="0" w:line="112" w:lineRule="exact"/>
              <w:rPr>
                <w:sz w:val="20"/>
                <w:szCs w:val="20"/>
                <w:color w:val="auto"/>
              </w:rPr>
            </w:pPr>
            <w:r>
              <w:rPr>
                <w:rFonts w:ascii="Arial" w:cs="Arial" w:eastAsia="Arial" w:hAnsi="Arial"/>
                <w:sz w:val="10"/>
                <w:szCs w:val="10"/>
                <w:color w:val="auto"/>
              </w:rPr>
              <w:t>97,240</w:t>
            </w:r>
          </w:p>
        </w:tc>
        <w:tc>
          <w:tcPr>
            <w:tcW w:w="0" w:type="dxa"/>
            <w:vAlign w:val="bottom"/>
          </w:tcPr>
          <w:p>
            <w:pPr>
              <w:spacing w:after="0"/>
              <w:rPr>
                <w:sz w:val="1"/>
                <w:szCs w:val="1"/>
                <w:color w:val="auto"/>
              </w:rPr>
            </w:pPr>
          </w:p>
        </w:tc>
      </w:tr>
      <w:tr>
        <w:trPr>
          <w:trHeight w:val="122"/>
        </w:trPr>
        <w:tc>
          <w:tcPr>
            <w:tcW w:w="5100" w:type="dxa"/>
            <w:vAlign w:val="bottom"/>
            <w:gridSpan w:val="3"/>
          </w:tcPr>
          <w:p>
            <w:pPr>
              <w:spacing w:after="0"/>
              <w:rPr>
                <w:sz w:val="20"/>
                <w:szCs w:val="20"/>
                <w:color w:val="auto"/>
              </w:rPr>
            </w:pPr>
            <w:r>
              <w:rPr>
                <w:rFonts w:ascii="Arial" w:cs="Arial" w:eastAsia="Arial" w:hAnsi="Arial"/>
                <w:sz w:val="10"/>
                <w:szCs w:val="10"/>
                <w:color w:val="auto"/>
              </w:rPr>
              <w:t>New Zealand</w:t>
            </w:r>
          </w:p>
        </w:tc>
        <w:tc>
          <w:tcPr>
            <w:tcW w:w="1360" w:type="dxa"/>
            <w:vAlign w:val="bottom"/>
            <w:vMerge w:val="restart"/>
          </w:tcPr>
          <w:p>
            <w:pPr>
              <w:jc w:val="right"/>
              <w:spacing w:after="0"/>
              <w:rPr>
                <w:sz w:val="20"/>
                <w:szCs w:val="20"/>
                <w:color w:val="auto"/>
              </w:rPr>
            </w:pPr>
            <w:r>
              <w:rPr>
                <w:rFonts w:ascii="Arial" w:cs="Arial" w:eastAsia="Arial" w:hAnsi="Arial"/>
                <w:sz w:val="10"/>
                <w:szCs w:val="10"/>
                <w:color w:val="auto"/>
              </w:rPr>
              <w:t>36,526</w:t>
            </w:r>
          </w:p>
        </w:tc>
        <w:tc>
          <w:tcPr>
            <w:tcW w:w="3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360" w:type="dxa"/>
            <w:vAlign w:val="bottom"/>
            <w:vMerge w:val="restart"/>
          </w:tcPr>
          <w:p>
            <w:pPr>
              <w:jc w:val="right"/>
              <w:spacing w:after="0"/>
              <w:rPr>
                <w:sz w:val="20"/>
                <w:szCs w:val="20"/>
                <w:color w:val="auto"/>
              </w:rPr>
            </w:pPr>
            <w:r>
              <w:rPr>
                <w:rFonts w:ascii="Arial" w:cs="Arial" w:eastAsia="Arial" w:hAnsi="Arial"/>
                <w:sz w:val="10"/>
                <w:szCs w:val="10"/>
                <w:color w:val="auto"/>
              </w:rPr>
              <w:t>39,800</w:t>
            </w:r>
          </w:p>
        </w:tc>
        <w:tc>
          <w:tcPr>
            <w:tcW w:w="3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360" w:type="dxa"/>
            <w:vAlign w:val="bottom"/>
            <w:vMerge w:val="restart"/>
          </w:tcPr>
          <w:p>
            <w:pPr>
              <w:jc w:val="right"/>
              <w:spacing w:after="0"/>
              <w:rPr>
                <w:sz w:val="20"/>
                <w:szCs w:val="20"/>
                <w:color w:val="auto"/>
              </w:rPr>
            </w:pPr>
            <w:r>
              <w:rPr>
                <w:rFonts w:ascii="Arial" w:cs="Arial" w:eastAsia="Arial" w:hAnsi="Arial"/>
                <w:sz w:val="10"/>
                <w:szCs w:val="10"/>
                <w:color w:val="auto"/>
              </w:rPr>
              <w:t>36,319</w:t>
            </w:r>
          </w:p>
        </w:tc>
        <w:tc>
          <w:tcPr>
            <w:tcW w:w="0" w:type="dxa"/>
            <w:vAlign w:val="bottom"/>
          </w:tcPr>
          <w:p>
            <w:pPr>
              <w:spacing w:after="0"/>
              <w:rPr>
                <w:sz w:val="1"/>
                <w:szCs w:val="1"/>
                <w:color w:val="auto"/>
              </w:rPr>
            </w:pPr>
          </w:p>
        </w:tc>
      </w:tr>
      <w:tr>
        <w:trPr>
          <w:trHeight w:val="95"/>
        </w:trPr>
        <w:tc>
          <w:tcPr>
            <w:tcW w:w="4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36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36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3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5100" w:type="dxa"/>
            <w:vAlign w:val="bottom"/>
            <w:gridSpan w:val="3"/>
            <w:shd w:val="clear" w:color="auto" w:fill="CCEEFF"/>
          </w:tcPr>
          <w:p>
            <w:pPr>
              <w:spacing w:after="0"/>
              <w:rPr>
                <w:sz w:val="20"/>
                <w:szCs w:val="20"/>
                <w:color w:val="auto"/>
              </w:rPr>
            </w:pPr>
            <w:r>
              <w:rPr>
                <w:rFonts w:ascii="Arial" w:cs="Arial" w:eastAsia="Arial" w:hAnsi="Arial"/>
                <w:sz w:val="10"/>
                <w:szCs w:val="10"/>
                <w:color w:val="auto"/>
              </w:rPr>
              <w:t>United States</w:t>
            </w: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66,787</w:t>
            </w:r>
          </w:p>
        </w:tc>
        <w:tc>
          <w:tcPr>
            <w:tcW w:w="32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59,553</w:t>
            </w:r>
          </w:p>
        </w:tc>
        <w:tc>
          <w:tcPr>
            <w:tcW w:w="32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58,101</w:t>
            </w:r>
          </w:p>
        </w:tc>
        <w:tc>
          <w:tcPr>
            <w:tcW w:w="0" w:type="dxa"/>
            <w:vAlign w:val="bottom"/>
          </w:tcPr>
          <w:p>
            <w:pPr>
              <w:spacing w:after="0"/>
              <w:rPr>
                <w:sz w:val="1"/>
                <w:szCs w:val="1"/>
                <w:color w:val="auto"/>
              </w:rPr>
            </w:pPr>
          </w:p>
        </w:tc>
      </w:tr>
      <w:tr>
        <w:trPr>
          <w:trHeight w:val="95"/>
        </w:trPr>
        <w:tc>
          <w:tcPr>
            <w:tcW w:w="436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420" w:type="dxa"/>
            <w:vAlign w:val="bottom"/>
            <w:tcBorders>
              <w:bottom w:val="single" w:sz="8" w:color="auto"/>
            </w:tcBorders>
            <w:shd w:val="clear" w:color="auto" w:fill="CCEEFF"/>
          </w:tcPr>
          <w:p>
            <w:pPr>
              <w:spacing w:after="0"/>
              <w:rPr>
                <w:sz w:val="8"/>
                <w:szCs w:val="8"/>
                <w:color w:val="auto"/>
              </w:rPr>
            </w:pPr>
          </w:p>
        </w:tc>
        <w:tc>
          <w:tcPr>
            <w:tcW w:w="1360" w:type="dxa"/>
            <w:vAlign w:val="bottom"/>
            <w:tcBorders>
              <w:bottom w:val="single" w:sz="8" w:color="auto"/>
            </w:tcBorders>
            <w:vMerge w:val="continue"/>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400" w:type="dxa"/>
            <w:vAlign w:val="bottom"/>
            <w:tcBorders>
              <w:bottom w:val="single" w:sz="8" w:color="auto"/>
            </w:tcBorders>
            <w:shd w:val="clear" w:color="auto" w:fill="CCEEFF"/>
          </w:tcPr>
          <w:p>
            <w:pPr>
              <w:spacing w:after="0"/>
              <w:rPr>
                <w:sz w:val="8"/>
                <w:szCs w:val="8"/>
                <w:color w:val="auto"/>
              </w:rPr>
            </w:pPr>
          </w:p>
        </w:tc>
        <w:tc>
          <w:tcPr>
            <w:tcW w:w="1360" w:type="dxa"/>
            <w:vAlign w:val="bottom"/>
            <w:tcBorders>
              <w:bottom w:val="single" w:sz="8" w:color="auto"/>
            </w:tcBorders>
            <w:vMerge w:val="continue"/>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400" w:type="dxa"/>
            <w:vAlign w:val="bottom"/>
            <w:tcBorders>
              <w:bottom w:val="single" w:sz="8" w:color="auto"/>
            </w:tcBorders>
            <w:shd w:val="clear" w:color="auto" w:fill="CCEEFF"/>
          </w:tcPr>
          <w:p>
            <w:pPr>
              <w:spacing w:after="0"/>
              <w:rPr>
                <w:sz w:val="8"/>
                <w:szCs w:val="8"/>
                <w:color w:val="auto"/>
              </w:rPr>
            </w:pPr>
          </w:p>
        </w:tc>
        <w:tc>
          <w:tcPr>
            <w:tcW w:w="1360" w:type="dxa"/>
            <w:vAlign w:val="bottom"/>
            <w:tcBorders>
              <w:bottom w:val="single" w:sz="8" w:color="auto"/>
            </w:tcBorders>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76"/>
        </w:trPr>
        <w:tc>
          <w:tcPr>
            <w:tcW w:w="4680" w:type="dxa"/>
            <w:vAlign w:val="bottom"/>
            <w:gridSpan w:val="2"/>
          </w:tcPr>
          <w:p>
            <w:pPr>
              <w:ind w:left="80"/>
              <w:spacing w:after="0" w:line="76" w:lineRule="exact"/>
              <w:rPr>
                <w:sz w:val="20"/>
                <w:szCs w:val="20"/>
                <w:color w:val="auto"/>
              </w:rPr>
            </w:pPr>
            <w:r>
              <w:rPr>
                <w:rFonts w:ascii="Arial" w:cs="Arial" w:eastAsia="Arial" w:hAnsi="Arial"/>
                <w:sz w:val="8"/>
                <w:szCs w:val="8"/>
                <w:color w:val="auto"/>
              </w:rPr>
              <w:t>Total operating property</w:t>
            </w:r>
          </w:p>
        </w:tc>
        <w:tc>
          <w:tcPr>
            <w:tcW w:w="420" w:type="dxa"/>
            <w:vAlign w:val="bottom"/>
          </w:tcPr>
          <w:p>
            <w:pPr>
              <w:spacing w:after="0"/>
              <w:rPr>
                <w:sz w:val="6"/>
                <w:szCs w:val="6"/>
                <w:color w:val="auto"/>
              </w:rPr>
            </w:pPr>
          </w:p>
        </w:tc>
        <w:tc>
          <w:tcPr>
            <w:tcW w:w="1360" w:type="dxa"/>
            <w:vAlign w:val="bottom"/>
          </w:tcPr>
          <w:p>
            <w:pPr>
              <w:spacing w:after="0"/>
              <w:rPr>
                <w:sz w:val="6"/>
                <w:szCs w:val="6"/>
                <w:color w:val="auto"/>
              </w:rPr>
            </w:pPr>
          </w:p>
        </w:tc>
        <w:tc>
          <w:tcPr>
            <w:tcW w:w="3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360" w:type="dxa"/>
            <w:vAlign w:val="bottom"/>
          </w:tcPr>
          <w:p>
            <w:pPr>
              <w:spacing w:after="0"/>
              <w:rPr>
                <w:sz w:val="6"/>
                <w:szCs w:val="6"/>
                <w:color w:val="auto"/>
              </w:rPr>
            </w:pPr>
          </w:p>
        </w:tc>
        <w:tc>
          <w:tcPr>
            <w:tcW w:w="3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3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2"/>
        </w:trPr>
        <w:tc>
          <w:tcPr>
            <w:tcW w:w="4680" w:type="dxa"/>
            <w:vAlign w:val="bottom"/>
            <w:gridSpan w:val="2"/>
          </w:tcPr>
          <w:p>
            <w:pPr>
              <w:spacing w:after="0"/>
              <w:rPr>
                <w:sz w:val="9"/>
                <w:szCs w:val="9"/>
                <w:color w:val="auto"/>
              </w:rPr>
            </w:pPr>
          </w:p>
        </w:tc>
        <w:tc>
          <w:tcPr>
            <w:tcW w:w="420" w:type="dxa"/>
            <w:vAlign w:val="bottom"/>
            <w:tcBorders>
              <w:bottom w:val="single" w:sz="8" w:color="auto"/>
            </w:tcBorders>
          </w:tcPr>
          <w:p>
            <w:pPr>
              <w:ind w:left="280"/>
              <w:spacing w:after="0" w:line="112" w:lineRule="exact"/>
              <w:rPr>
                <w:sz w:val="20"/>
                <w:szCs w:val="20"/>
                <w:color w:val="auto"/>
              </w:rPr>
            </w:pPr>
            <w:r>
              <w:rPr>
                <w:rFonts w:ascii="Arial" w:cs="Arial" w:eastAsia="Arial" w:hAnsi="Arial"/>
                <w:sz w:val="10"/>
                <w:szCs w:val="10"/>
                <w:color w:val="auto"/>
              </w:rPr>
              <w:t>$</w:t>
            </w:r>
          </w:p>
        </w:tc>
        <w:tc>
          <w:tcPr>
            <w:tcW w:w="1360" w:type="dxa"/>
            <w:vAlign w:val="bottom"/>
            <w:tcBorders>
              <w:bottom w:val="single" w:sz="8" w:color="auto"/>
            </w:tcBorders>
          </w:tcPr>
          <w:p>
            <w:pPr>
              <w:jc w:val="right"/>
              <w:spacing w:after="0" w:line="112" w:lineRule="exact"/>
              <w:rPr>
                <w:sz w:val="20"/>
                <w:szCs w:val="20"/>
                <w:color w:val="auto"/>
              </w:rPr>
            </w:pPr>
            <w:r>
              <w:rPr>
                <w:rFonts w:ascii="Arial" w:cs="Arial" w:eastAsia="Arial" w:hAnsi="Arial"/>
                <w:sz w:val="10"/>
                <w:szCs w:val="10"/>
                <w:color w:val="auto"/>
              </w:rPr>
              <w:t>210,298</w:t>
            </w:r>
          </w:p>
        </w:tc>
        <w:tc>
          <w:tcPr>
            <w:tcW w:w="320" w:type="dxa"/>
            <w:vAlign w:val="bottom"/>
          </w:tcPr>
          <w:p>
            <w:pPr>
              <w:spacing w:after="0"/>
              <w:rPr>
                <w:sz w:val="9"/>
                <w:szCs w:val="9"/>
                <w:color w:val="auto"/>
              </w:rPr>
            </w:pPr>
          </w:p>
        </w:tc>
        <w:tc>
          <w:tcPr>
            <w:tcW w:w="400" w:type="dxa"/>
            <w:vAlign w:val="bottom"/>
            <w:tcBorders>
              <w:bottom w:val="single" w:sz="8" w:color="auto"/>
            </w:tcBorders>
          </w:tcPr>
          <w:p>
            <w:pPr>
              <w:jc w:val="right"/>
              <w:ind w:right="32"/>
              <w:spacing w:after="0" w:line="112" w:lineRule="exact"/>
              <w:rPr>
                <w:sz w:val="20"/>
                <w:szCs w:val="20"/>
                <w:color w:val="auto"/>
              </w:rPr>
            </w:pPr>
            <w:r>
              <w:rPr>
                <w:rFonts w:ascii="Arial" w:cs="Arial" w:eastAsia="Arial" w:hAnsi="Arial"/>
                <w:sz w:val="10"/>
                <w:szCs w:val="10"/>
                <w:color w:val="auto"/>
              </w:rPr>
              <w:t>$</w:t>
            </w:r>
          </w:p>
        </w:tc>
        <w:tc>
          <w:tcPr>
            <w:tcW w:w="1360" w:type="dxa"/>
            <w:vAlign w:val="bottom"/>
            <w:tcBorders>
              <w:bottom w:val="single" w:sz="8" w:color="auto"/>
            </w:tcBorders>
          </w:tcPr>
          <w:p>
            <w:pPr>
              <w:jc w:val="right"/>
              <w:spacing w:after="0" w:line="112" w:lineRule="exact"/>
              <w:rPr>
                <w:sz w:val="20"/>
                <w:szCs w:val="20"/>
                <w:color w:val="auto"/>
              </w:rPr>
            </w:pPr>
            <w:r>
              <w:rPr>
                <w:rFonts w:ascii="Arial" w:cs="Arial" w:eastAsia="Arial" w:hAnsi="Arial"/>
                <w:sz w:val="10"/>
                <w:szCs w:val="10"/>
                <w:color w:val="auto"/>
              </w:rPr>
              <w:t>186,889</w:t>
            </w:r>
          </w:p>
        </w:tc>
        <w:tc>
          <w:tcPr>
            <w:tcW w:w="320" w:type="dxa"/>
            <w:vAlign w:val="bottom"/>
          </w:tcPr>
          <w:p>
            <w:pPr>
              <w:spacing w:after="0"/>
              <w:rPr>
                <w:sz w:val="9"/>
                <w:szCs w:val="9"/>
                <w:color w:val="auto"/>
              </w:rPr>
            </w:pPr>
          </w:p>
        </w:tc>
        <w:tc>
          <w:tcPr>
            <w:tcW w:w="400" w:type="dxa"/>
            <w:vAlign w:val="bottom"/>
            <w:tcBorders>
              <w:bottom w:val="single" w:sz="8" w:color="auto"/>
            </w:tcBorders>
          </w:tcPr>
          <w:p>
            <w:pPr>
              <w:jc w:val="right"/>
              <w:ind w:right="32"/>
              <w:spacing w:after="0" w:line="112" w:lineRule="exact"/>
              <w:rPr>
                <w:sz w:val="20"/>
                <w:szCs w:val="20"/>
                <w:color w:val="auto"/>
              </w:rPr>
            </w:pPr>
            <w:r>
              <w:rPr>
                <w:rFonts w:ascii="Arial" w:cs="Arial" w:eastAsia="Arial" w:hAnsi="Arial"/>
                <w:sz w:val="10"/>
                <w:szCs w:val="10"/>
                <w:color w:val="auto"/>
              </w:rPr>
              <w:t>$</w:t>
            </w:r>
          </w:p>
        </w:tc>
        <w:tc>
          <w:tcPr>
            <w:tcW w:w="1360" w:type="dxa"/>
            <w:vAlign w:val="bottom"/>
            <w:tcBorders>
              <w:bottom w:val="single" w:sz="8" w:color="auto"/>
            </w:tcBorders>
          </w:tcPr>
          <w:p>
            <w:pPr>
              <w:jc w:val="right"/>
              <w:spacing w:after="0" w:line="112" w:lineRule="exact"/>
              <w:rPr>
                <w:sz w:val="20"/>
                <w:szCs w:val="20"/>
                <w:color w:val="auto"/>
              </w:rPr>
            </w:pPr>
            <w:r>
              <w:rPr>
                <w:rFonts w:ascii="Arial" w:cs="Arial" w:eastAsia="Arial" w:hAnsi="Arial"/>
                <w:sz w:val="10"/>
                <w:szCs w:val="10"/>
                <w:color w:val="auto"/>
              </w:rPr>
              <w:t>191,660</w:t>
            </w:r>
          </w:p>
        </w:tc>
        <w:tc>
          <w:tcPr>
            <w:tcW w:w="0" w:type="dxa"/>
            <w:vAlign w:val="bottom"/>
          </w:tcPr>
          <w:p>
            <w:pPr>
              <w:spacing w:after="0"/>
              <w:rPr>
                <w:sz w:val="1"/>
                <w:szCs w:val="1"/>
                <w:color w:val="auto"/>
              </w:rPr>
            </w:pPr>
          </w:p>
        </w:tc>
      </w:tr>
    </w:tbl>
    <w:p>
      <w:pPr>
        <w:spacing w:after="0" w:line="135" w:lineRule="exact"/>
        <w:rPr>
          <w:sz w:val="20"/>
          <w:szCs w:val="20"/>
          <w:color w:val="auto"/>
        </w:rPr>
      </w:pPr>
    </w:p>
    <w:p>
      <w:pPr>
        <w:spacing w:after="0"/>
        <w:rPr>
          <w:sz w:val="20"/>
          <w:szCs w:val="20"/>
          <w:color w:val="auto"/>
        </w:rPr>
      </w:pPr>
      <w:r>
        <w:rPr>
          <w:rFonts w:ascii="Arial" w:cs="Arial" w:eastAsia="Arial" w:hAnsi="Arial"/>
          <w:sz w:val="12"/>
          <w:szCs w:val="12"/>
          <w:color w:val="auto"/>
        </w:rPr>
        <w:t>The table below summarizes capital expenditures for the three years ended December 31, 2015:</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436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(Dollars in thousands)</w:t>
            </w:r>
          </w:p>
        </w:tc>
        <w:tc>
          <w:tcPr>
            <w:tcW w:w="320" w:type="dxa"/>
            <w:vAlign w:val="bottom"/>
            <w:tcBorders>
              <w:bottom w:val="single" w:sz="8" w:color="CCEEFF"/>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jc w:val="right"/>
              <w:ind w:right="752"/>
              <w:spacing w:after="0"/>
              <w:rPr>
                <w:sz w:val="20"/>
                <w:szCs w:val="20"/>
                <w:color w:val="auto"/>
              </w:rPr>
            </w:pPr>
            <w:r>
              <w:rPr>
                <w:rFonts w:ascii="Arial" w:cs="Arial" w:eastAsia="Arial" w:hAnsi="Arial"/>
                <w:sz w:val="10"/>
                <w:szCs w:val="10"/>
                <w:b w:val="1"/>
                <w:bCs w:val="1"/>
                <w:color w:val="auto"/>
              </w:rPr>
              <w:t>2015</w:t>
            </w:r>
          </w:p>
        </w:tc>
        <w:tc>
          <w:tcPr>
            <w:tcW w:w="320" w:type="dxa"/>
            <w:vAlign w:val="bottom"/>
            <w:tcBorders>
              <w:bottom w:val="single" w:sz="8" w:color="CCEEFF"/>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jc w:val="right"/>
              <w:ind w:right="732"/>
              <w:spacing w:after="0"/>
              <w:rPr>
                <w:sz w:val="20"/>
                <w:szCs w:val="20"/>
                <w:color w:val="auto"/>
              </w:rPr>
            </w:pPr>
            <w:r>
              <w:rPr>
                <w:rFonts w:ascii="Arial" w:cs="Arial" w:eastAsia="Arial" w:hAnsi="Arial"/>
                <w:sz w:val="10"/>
                <w:szCs w:val="10"/>
                <w:b w:val="1"/>
                <w:bCs w:val="1"/>
                <w:color w:val="auto"/>
              </w:rPr>
              <w:t>2014</w:t>
            </w:r>
          </w:p>
        </w:tc>
        <w:tc>
          <w:tcPr>
            <w:tcW w:w="320" w:type="dxa"/>
            <w:vAlign w:val="bottom"/>
            <w:tcBorders>
              <w:bottom w:val="single" w:sz="8" w:color="CCEEFF"/>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jc w:val="right"/>
              <w:ind w:right="732"/>
              <w:spacing w:after="0"/>
              <w:rPr>
                <w:sz w:val="20"/>
                <w:szCs w:val="20"/>
                <w:color w:val="auto"/>
              </w:rPr>
            </w:pPr>
            <w:r>
              <w:rPr>
                <w:rFonts w:ascii="Arial" w:cs="Arial" w:eastAsia="Arial" w:hAnsi="Arial"/>
                <w:sz w:val="10"/>
                <w:szCs w:val="10"/>
                <w:b w:val="1"/>
                <w:bCs w:val="1"/>
                <w:color w:val="auto"/>
              </w:rPr>
              <w:t>2013</w:t>
            </w:r>
          </w:p>
        </w:tc>
      </w:tr>
      <w:tr>
        <w:trPr>
          <w:trHeight w:val="205"/>
        </w:trPr>
        <w:tc>
          <w:tcPr>
            <w:tcW w:w="468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Segment capital expenditures</w:t>
            </w:r>
          </w:p>
        </w:tc>
        <w:tc>
          <w:tcPr>
            <w:tcW w:w="560" w:type="dxa"/>
            <w:vAlign w:val="bottom"/>
            <w:shd w:val="clear" w:color="auto" w:fill="CCEEFF"/>
          </w:tcPr>
          <w:p>
            <w:pPr>
              <w:jc w:val="right"/>
              <w:ind w:right="192"/>
              <w:spacing w:after="0"/>
              <w:rPr>
                <w:sz w:val="20"/>
                <w:szCs w:val="20"/>
                <w:color w:val="auto"/>
              </w:rPr>
            </w:pPr>
            <w:r>
              <w:rPr>
                <w:rFonts w:ascii="Arial" w:cs="Arial" w:eastAsia="Arial" w:hAnsi="Arial"/>
                <w:sz w:val="10"/>
                <w:szCs w:val="10"/>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52,989</w:t>
            </w:r>
          </w:p>
        </w:tc>
        <w:tc>
          <w:tcPr>
            <w:tcW w:w="32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172"/>
              <w:spacing w:after="0"/>
              <w:rPr>
                <w:sz w:val="20"/>
                <w:szCs w:val="20"/>
                <w:color w:val="auto"/>
              </w:rPr>
            </w:pPr>
            <w:r>
              <w:rPr>
                <w:rFonts w:ascii="Arial" w:cs="Arial" w:eastAsia="Arial" w:hAnsi="Arial"/>
                <w:sz w:val="10"/>
                <w:szCs w:val="10"/>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14,310</w:t>
            </w:r>
          </w:p>
        </w:tc>
        <w:tc>
          <w:tcPr>
            <w:tcW w:w="32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172"/>
              <w:spacing w:after="0"/>
              <w:rPr>
                <w:sz w:val="20"/>
                <w:szCs w:val="20"/>
                <w:color w:val="auto"/>
              </w:rPr>
            </w:pPr>
            <w:r>
              <w:rPr>
                <w:rFonts w:ascii="Arial" w:cs="Arial" w:eastAsia="Arial" w:hAnsi="Arial"/>
                <w:sz w:val="10"/>
                <w:szCs w:val="10"/>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19,910</w:t>
            </w:r>
          </w:p>
        </w:tc>
      </w:tr>
      <w:tr>
        <w:trPr>
          <w:trHeight w:val="216"/>
        </w:trPr>
        <w:tc>
          <w:tcPr>
            <w:tcW w:w="4680" w:type="dxa"/>
            <w:vAlign w:val="bottom"/>
            <w:tcBorders>
              <w:bottom w:val="single" w:sz="8" w:color="CCEEFF"/>
            </w:tcBorders>
            <w:gridSpan w:val="2"/>
          </w:tcPr>
          <w:p>
            <w:pPr>
              <w:spacing w:after="0"/>
              <w:rPr>
                <w:sz w:val="20"/>
                <w:szCs w:val="20"/>
                <w:color w:val="auto"/>
              </w:rPr>
            </w:pPr>
            <w:r>
              <w:rPr>
                <w:rFonts w:ascii="Arial" w:cs="Arial" w:eastAsia="Arial" w:hAnsi="Arial"/>
                <w:sz w:val="10"/>
                <w:szCs w:val="10"/>
                <w:color w:val="auto"/>
              </w:rPr>
              <w:t>Corporate capital expenditures</w:t>
            </w:r>
          </w:p>
        </w:tc>
        <w:tc>
          <w:tcPr>
            <w:tcW w:w="5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130</w:t>
            </w:r>
          </w:p>
        </w:tc>
        <w:tc>
          <w:tcPr>
            <w:tcW w:w="32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604</w:t>
            </w:r>
          </w:p>
        </w:tc>
        <w:tc>
          <w:tcPr>
            <w:tcW w:w="32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172</w:t>
            </w:r>
          </w:p>
        </w:tc>
      </w:tr>
      <w:tr>
        <w:trPr>
          <w:trHeight w:val="187"/>
        </w:trPr>
        <w:tc>
          <w:tcPr>
            <w:tcW w:w="468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0"/>
                <w:szCs w:val="10"/>
                <w:color w:val="auto"/>
              </w:rPr>
              <w:t>Total capital expenditures</w:t>
            </w:r>
          </w:p>
        </w:tc>
        <w:tc>
          <w:tcPr>
            <w:tcW w:w="56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0"/>
                <w:szCs w:val="10"/>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53,119</w:t>
            </w:r>
          </w:p>
        </w:tc>
        <w:tc>
          <w:tcPr>
            <w:tcW w:w="32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0"/>
                <w:szCs w:val="10"/>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14,914</w:t>
            </w:r>
          </w:p>
        </w:tc>
        <w:tc>
          <w:tcPr>
            <w:tcW w:w="32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0"/>
                <w:szCs w:val="10"/>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20,082</w:t>
            </w:r>
          </w:p>
        </w:tc>
      </w:tr>
    </w:tbl>
    <w:p>
      <w:pPr>
        <w:spacing w:after="0" w:line="14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59690</wp:posOffset>
            </wp:positionV>
            <wp:extent cx="677989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779895" cy="42545"/>
                    </a:xfrm>
                    <a:prstGeom prst="rect">
                      <a:avLst/>
                    </a:prstGeom>
                    <a:noFill/>
                  </pic:spPr>
                </pic:pic>
              </a:graphicData>
            </a:graphic>
          </wp:anchor>
        </w:drawing>
      </w:r>
    </w:p>
    <w:p>
      <w:pPr>
        <w:sectPr>
          <w:pgSz w:w="11900" w:h="16838" w:orient="portrait"/>
          <w:cols w:equalWidth="0" w:num="1">
            <w:col w:w="10620"/>
          </w:cols>
          <w:pgMar w:left="640" w:top="284" w:right="639" w:bottom="1440" w:gutter="0" w:footer="0" w:header="0"/>
        </w:sectPr>
      </w:pPr>
    </w:p>
    <w:bookmarkStart w:id="62" w:name="page63"/>
    <w:bookmarkEnd w:id="62"/>
    <w:p>
      <w:pPr>
        <w:spacing w:after="0"/>
        <w:rPr>
          <w:sz w:val="20"/>
          <w:szCs w:val="20"/>
          <w:color w:val="auto"/>
        </w:rPr>
      </w:pPr>
      <w:r>
        <w:rPr>
          <w:rFonts w:ascii="Arial" w:cs="Arial" w:eastAsia="Arial" w:hAnsi="Arial"/>
          <w:sz w:val="12"/>
          <w:szCs w:val="12"/>
          <w:b w:val="1"/>
          <w:bCs w:val="1"/>
          <w:color w:val="auto"/>
        </w:rPr>
        <w:t>NOTE 2 – Summary of Significant Accounting Policies</w:t>
      </w:r>
    </w:p>
    <w:p>
      <w:pPr>
        <w:spacing w:after="0" w:line="13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Significant Accounting Policies</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Basis of Consolidation</w:t>
      </w:r>
    </w:p>
    <w:p>
      <w:pPr>
        <w:spacing w:after="0" w:line="15" w:lineRule="exact"/>
        <w:rPr>
          <w:sz w:val="20"/>
          <w:szCs w:val="20"/>
          <w:color w:val="auto"/>
        </w:rPr>
      </w:pPr>
    </w:p>
    <w:p>
      <w:pPr>
        <w:ind w:right="20"/>
        <w:spacing w:after="0" w:line="290" w:lineRule="auto"/>
        <w:rPr>
          <w:sz w:val="20"/>
          <w:szCs w:val="20"/>
          <w:color w:val="auto"/>
        </w:rPr>
      </w:pPr>
      <w:r>
        <w:rPr>
          <w:rFonts w:ascii="Arial" w:cs="Arial" w:eastAsia="Arial" w:hAnsi="Arial"/>
          <w:sz w:val="11"/>
          <w:szCs w:val="11"/>
          <w:color w:val="auto"/>
        </w:rPr>
        <w:t>The consolidated financial statements of RDI and its wholly-owned subsidiaries include the accounts of RDGE, CRG, and CDL. Also consolidated are Australia Country Cinemas Pty, Limited, a company in which we own a 75% interest and whose only assets are our leasehold cinemas in Townsville and Dubbo, Australia, Sutton Hill Properties, LLC, a company in which we own a 75% interest and whose only asset is the fee interest in the Cinemas 1,2,3, and Shadow View Land and Farming, LLC in which we own a 50% controlling membership interest and whose only asset is a 202-acre land parcel in Coachella, California.</w:t>
      </w:r>
    </w:p>
    <w:p>
      <w:pPr>
        <w:spacing w:after="0" w:line="82" w:lineRule="exact"/>
        <w:rPr>
          <w:sz w:val="20"/>
          <w:szCs w:val="20"/>
          <w:color w:val="auto"/>
        </w:rPr>
      </w:pPr>
    </w:p>
    <w:p>
      <w:pPr>
        <w:ind w:right="200"/>
        <w:spacing w:after="0" w:line="276" w:lineRule="auto"/>
        <w:rPr>
          <w:sz w:val="20"/>
          <w:szCs w:val="20"/>
          <w:color w:val="auto"/>
        </w:rPr>
      </w:pPr>
      <w:r>
        <w:rPr>
          <w:rFonts w:ascii="Arial" w:cs="Arial" w:eastAsia="Arial" w:hAnsi="Arial"/>
          <w:sz w:val="12"/>
          <w:szCs w:val="12"/>
          <w:color w:val="auto"/>
        </w:rPr>
        <w:t>Our investment interests are accounted for as unconsolidated joint ventures and entities, and accordingly, our unconsolidated joint ventures and entities in 20% to 50% owned companies are accounted for on the equity method. These investment interests include our:</w:t>
      </w:r>
    </w:p>
    <w:p>
      <w:pPr>
        <w:spacing w:after="0" w:line="88" w:lineRule="exact"/>
        <w:rPr>
          <w:sz w:val="20"/>
          <w:szCs w:val="20"/>
          <w:color w:val="auto"/>
        </w:rPr>
      </w:pPr>
    </w:p>
    <w:p>
      <w:pPr>
        <w:ind w:left="260" w:right="320" w:hanging="35"/>
        <w:spacing w:after="0" w:line="258" w:lineRule="auto"/>
        <w:rPr>
          <w:sz w:val="20"/>
          <w:szCs w:val="20"/>
          <w:color w:val="auto"/>
        </w:rPr>
      </w:pPr>
      <w:r>
        <w:rPr>
          <w:rFonts w:ascii="Arial" w:cs="Arial" w:eastAsia="Arial" w:hAnsi="Arial"/>
          <w:sz w:val="12"/>
          <w:szCs w:val="12"/>
          <w:color w:val="auto"/>
        </w:rPr>
        <w:t>·25% undivided interest in the unincorporated joint venture that owns 205-209 East 57th Street Associates, LLC a limited liability company formed to redevelop our former cinema site at 205 East 57th Street in Manhattan;</w:t>
      </w:r>
    </w:p>
    <w:p>
      <w:pPr>
        <w:ind w:left="220"/>
        <w:spacing w:after="0"/>
        <w:rPr>
          <w:sz w:val="20"/>
          <w:szCs w:val="20"/>
          <w:color w:val="auto"/>
        </w:rPr>
      </w:pPr>
      <w:r>
        <w:rPr>
          <w:rFonts w:ascii="Arial" w:cs="Arial" w:eastAsia="Arial" w:hAnsi="Arial"/>
          <w:sz w:val="12"/>
          <w:szCs w:val="12"/>
          <w:color w:val="auto"/>
        </w:rPr>
        <w:t>· 33.3% undivided interest in the unincorporated joint venture that owns the Mt. Gravatt cinema in a suburb of Brisbane, Australia;</w:t>
      </w:r>
    </w:p>
    <w:p>
      <w:pPr>
        <w:spacing w:after="0" w:line="6" w:lineRule="exact"/>
        <w:rPr>
          <w:sz w:val="20"/>
          <w:szCs w:val="20"/>
          <w:color w:val="auto"/>
        </w:rPr>
      </w:pPr>
    </w:p>
    <w:p>
      <w:pPr>
        <w:ind w:left="220" w:right="2540"/>
        <w:spacing w:after="0" w:line="261" w:lineRule="auto"/>
        <w:rPr>
          <w:sz w:val="20"/>
          <w:szCs w:val="20"/>
          <w:color w:val="auto"/>
        </w:rPr>
      </w:pPr>
      <w:r>
        <w:rPr>
          <w:rFonts w:ascii="Arial" w:cs="Arial" w:eastAsia="Arial" w:hAnsi="Arial"/>
          <w:sz w:val="12"/>
          <w:szCs w:val="12"/>
          <w:color w:val="auto"/>
        </w:rPr>
        <w:t>·33.3% undivided interest in Rialto Distribution, an unincorporated joint venture engaged in the business of distributing art film in New Zealand and Australia; and · 50% undivided interest in the unincorporated joint venture that owns Rialto Cinemas.</w:t>
      </w:r>
    </w:p>
    <w:p>
      <w:pPr>
        <w:spacing w:after="0" w:line="9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Accounting Principles</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Our consolidated financial statements have been prepared in accordance with accounting principles generally accepted in the United States of America (“US GAAP”).</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Reclassifications</w:t>
      </w:r>
    </w:p>
    <w:p>
      <w:pPr>
        <w:spacing w:after="0" w:line="15" w:lineRule="exact"/>
        <w:rPr>
          <w:sz w:val="20"/>
          <w:szCs w:val="20"/>
          <w:color w:val="auto"/>
        </w:rPr>
      </w:pPr>
    </w:p>
    <w:p>
      <w:pPr>
        <w:ind w:right="100"/>
        <w:spacing w:after="0" w:line="321" w:lineRule="auto"/>
        <w:rPr>
          <w:sz w:val="20"/>
          <w:szCs w:val="20"/>
          <w:color w:val="auto"/>
        </w:rPr>
      </w:pPr>
      <w:r>
        <w:rPr>
          <w:rFonts w:ascii="Arial" w:cs="Arial" w:eastAsia="Arial" w:hAnsi="Arial"/>
          <w:sz w:val="10"/>
          <w:szCs w:val="10"/>
          <w:color w:val="auto"/>
        </w:rPr>
        <w:t xml:space="preserve">Certain reclassifications have been made in the 2014 and 2013 financial statements and notes to conform to the 2015 presentation. These changes include combining certain long-term debt items in the 2014 consolidated balance sheet, changing the line item presentation of “Equity earnings of unconsolidated joint ventures and entities” in the 2014 and 2013 consolidated statements of operations, reclassifying certain amounts in the 2014 consolidated statement of comprehensive income, reclassifying certain current deferred tax balances (see </w:t>
      </w:r>
      <w:r>
        <w:rPr>
          <w:rFonts w:ascii="Arial" w:cs="Arial" w:eastAsia="Arial" w:hAnsi="Arial"/>
          <w:sz w:val="10"/>
          <w:szCs w:val="10"/>
          <w:i w:val="1"/>
          <w:iCs w:val="1"/>
          <w:color w:val="auto"/>
        </w:rPr>
        <w:t>Accounting Pronouncements Adopted and Issued During 2015</w:t>
      </w:r>
      <w:r>
        <w:rPr>
          <w:rFonts w:ascii="Arial" w:cs="Arial" w:eastAsia="Arial" w:hAnsi="Arial"/>
          <w:sz w:val="10"/>
          <w:szCs w:val="10"/>
          <w:color w:val="auto"/>
        </w:rPr>
        <w:t>) and combining certain amortization items in the 2014 and 2013 consolidated statements of cash flows. These changes had no impact on our 2014 financial position, or our 2014 and 2013 results of operations and cash flows as previously reported.</w:t>
      </w:r>
    </w:p>
    <w:p>
      <w:pPr>
        <w:spacing w:after="0" w:line="6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Use of Estimates</w:t>
      </w:r>
    </w:p>
    <w:p>
      <w:pPr>
        <w:spacing w:after="0" w:line="15" w:lineRule="exact"/>
        <w:rPr>
          <w:sz w:val="20"/>
          <w:szCs w:val="20"/>
          <w:color w:val="auto"/>
        </w:rPr>
      </w:pPr>
    </w:p>
    <w:p>
      <w:pPr>
        <w:jc w:val="both"/>
        <w:ind w:right="160"/>
        <w:spacing w:after="0" w:line="255" w:lineRule="auto"/>
        <w:rPr>
          <w:sz w:val="20"/>
          <w:szCs w:val="20"/>
          <w:color w:val="auto"/>
        </w:rPr>
      </w:pPr>
      <w:r>
        <w:rPr>
          <w:rFonts w:ascii="Arial" w:cs="Arial" w:eastAsia="Arial" w:hAnsi="Arial"/>
          <w:sz w:val="12"/>
          <w:szCs w:val="12"/>
          <w:color w:val="auto"/>
        </w:rPr>
        <w:t>The preparation of consolidated financial statements in conformity with US GAAP requires management to make estimates and assumptions that affect the amounts reported in the consolidated financial statements and footnotes thereto. Significant estimates include projections we make regarding the recoverability of our assets, valuations of our interest swaps and the recoverability of our deferred tax assets. Actual results may differ from those estimates.</w:t>
      </w:r>
    </w:p>
    <w:p>
      <w:pPr>
        <w:spacing w:after="0" w:line="10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Cash and Cash Equivalents</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We consider all highly liquid investments with original maturities of three months or less when purchased to be cash equivalents for which cost approximates fair value.</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Receivables</w:t>
      </w:r>
    </w:p>
    <w:p>
      <w:pPr>
        <w:spacing w:after="0" w:line="15" w:lineRule="exact"/>
        <w:rPr>
          <w:sz w:val="20"/>
          <w:szCs w:val="20"/>
          <w:color w:val="auto"/>
        </w:rPr>
      </w:pPr>
    </w:p>
    <w:p>
      <w:pPr>
        <w:spacing w:after="0" w:line="254" w:lineRule="auto"/>
        <w:rPr>
          <w:sz w:val="20"/>
          <w:szCs w:val="20"/>
          <w:color w:val="auto"/>
        </w:rPr>
      </w:pPr>
      <w:r>
        <w:rPr>
          <w:rFonts w:ascii="Arial" w:cs="Arial" w:eastAsia="Arial" w:hAnsi="Arial"/>
          <w:sz w:val="12"/>
          <w:szCs w:val="12"/>
          <w:color w:val="auto"/>
        </w:rPr>
        <w:t>Our receivables balance is composed primarily of credit card receivables, representing the purchase price of tickets, concessions, or coupon books sold at our various businesses. Sales charged on customer credit cards are collected when the credit card transactions are processed. The remaining receivables balance is primarily made up of the goods and services tax refund receivable from our Australian taxing authorities and the management fee receivable from the managed cinemas and property damage insurance recovery proceeds. We have no history of significant bad debt losses and we have established an allowance for accounts that we deem uncollectible.</w:t>
      </w:r>
    </w:p>
    <w:p>
      <w:pPr>
        <w:spacing w:after="0" w:line="10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Investment in Marketable Securities</w:t>
      </w:r>
    </w:p>
    <w:p>
      <w:pPr>
        <w:spacing w:after="0" w:line="15" w:lineRule="exact"/>
        <w:rPr>
          <w:sz w:val="20"/>
          <w:szCs w:val="20"/>
          <w:color w:val="auto"/>
        </w:rPr>
      </w:pPr>
    </w:p>
    <w:p>
      <w:pPr>
        <w:ind w:right="160"/>
        <w:spacing w:after="0" w:line="284" w:lineRule="auto"/>
        <w:rPr>
          <w:sz w:val="20"/>
          <w:szCs w:val="20"/>
          <w:color w:val="auto"/>
        </w:rPr>
      </w:pPr>
      <w:r>
        <w:rPr>
          <w:rFonts w:ascii="Arial" w:cs="Arial" w:eastAsia="Arial" w:hAnsi="Arial"/>
          <w:sz w:val="11"/>
          <w:szCs w:val="11"/>
          <w:color w:val="auto"/>
        </w:rPr>
        <w:t>Our investment in Marketable Securities includes equity instruments that are classified as available for sale and are recorded at market using the specific identification method. Available for sale securities are carried at their fair market value and any difference between cost and market value is recorded as unrealized gain or loss, net of income taxes, and is reported as accumulated other comprehensive income in the consolidated statement of stockholders’ equity. Premiums and discounts of any debt instruments are recognized in interest income using the effective interest method. Realized gains and losses and declines in value expected to be other-than-temporary on available for sale securities are included in other expense. We evaluate our available for sale securities for other than</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59690</wp:posOffset>
            </wp:positionV>
            <wp:extent cx="677989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779895" cy="42545"/>
                    </a:xfrm>
                    <a:prstGeom prst="rect">
                      <a:avLst/>
                    </a:prstGeom>
                    <a:noFill/>
                  </pic:spPr>
                </pic:pic>
              </a:graphicData>
            </a:graphic>
          </wp:anchor>
        </w:drawing>
      </w:r>
    </w:p>
    <w:p>
      <w:pPr>
        <w:sectPr>
          <w:pgSz w:w="11900" w:h="16838" w:orient="portrait"/>
          <w:cols w:equalWidth="0" w:num="1">
            <w:col w:w="10620"/>
          </w:cols>
          <w:pgMar w:left="640" w:top="388" w:right="639" w:bottom="1440" w:gutter="0" w:footer="0" w:header="0"/>
        </w:sectPr>
      </w:pPr>
    </w:p>
    <w:bookmarkStart w:id="63" w:name="page64"/>
    <w:bookmarkEnd w:id="63"/>
    <w:p>
      <w:pPr>
        <w:ind w:right="40"/>
        <w:spacing w:after="0" w:line="263" w:lineRule="auto"/>
        <w:rPr>
          <w:sz w:val="20"/>
          <w:szCs w:val="20"/>
          <w:color w:val="auto"/>
        </w:rPr>
      </w:pPr>
      <w:r>
        <w:rPr>
          <w:rFonts w:ascii="Arial" w:cs="Arial" w:eastAsia="Arial" w:hAnsi="Arial"/>
          <w:sz w:val="12"/>
          <w:szCs w:val="12"/>
          <w:color w:val="auto"/>
        </w:rPr>
        <w:t>temporary impairments at the end of each reporting period. These investments have a cumulative unrealized gain of $12,000 included in other comprehensive income at December 31, 2015. For the years ended December 31, 2015, 2014, and 2013, our net unrealized losses were $2,000, $1,000, and $0, respectively. The cost of securities sold is based on the specific identification method. Interest and dividends on securities classified as available for sale are included in interest income.</w:t>
      </w:r>
    </w:p>
    <w:p>
      <w:pPr>
        <w:spacing w:after="0" w:line="9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Inventory</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Inventory is composed of concession goods used in theater operations and is stated at the lower of cost (first-in, first-out method) or net realizable value.</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Restricted Cash</w:t>
      </w:r>
    </w:p>
    <w:p>
      <w:pPr>
        <w:spacing w:after="0" w:line="15" w:lineRule="exact"/>
        <w:rPr>
          <w:sz w:val="20"/>
          <w:szCs w:val="20"/>
          <w:color w:val="auto"/>
        </w:rPr>
      </w:pPr>
    </w:p>
    <w:p>
      <w:pPr>
        <w:ind w:right="460"/>
        <w:spacing w:after="0" w:line="261" w:lineRule="auto"/>
        <w:rPr>
          <w:sz w:val="20"/>
          <w:szCs w:val="20"/>
          <w:color w:val="auto"/>
        </w:rPr>
      </w:pPr>
      <w:r>
        <w:rPr>
          <w:rFonts w:ascii="Arial" w:cs="Arial" w:eastAsia="Arial" w:hAnsi="Arial"/>
          <w:sz w:val="12"/>
          <w:szCs w:val="12"/>
          <w:color w:val="auto"/>
        </w:rPr>
        <w:t>We classify restricted cash as those cash accounts for which the use of funds is restricted by contract or bank covenant. At December 31, 2015 and 2014, our restricted cash balance was $160,000 and $1,433,000, respectively.</w:t>
      </w:r>
    </w:p>
    <w:p>
      <w:pPr>
        <w:spacing w:after="0" w:line="9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Fair Value Measurements</w:t>
      </w:r>
    </w:p>
    <w:p>
      <w:pPr>
        <w:spacing w:after="0" w:line="15" w:lineRule="exact"/>
        <w:rPr>
          <w:sz w:val="20"/>
          <w:szCs w:val="20"/>
          <w:color w:val="auto"/>
        </w:rPr>
      </w:pPr>
    </w:p>
    <w:p>
      <w:pPr>
        <w:ind w:right="80"/>
        <w:spacing w:after="0" w:line="254" w:lineRule="auto"/>
        <w:rPr>
          <w:sz w:val="20"/>
          <w:szCs w:val="20"/>
          <w:color w:val="auto"/>
        </w:rPr>
      </w:pPr>
      <w:r>
        <w:rPr>
          <w:rFonts w:ascii="Arial" w:cs="Arial" w:eastAsia="Arial" w:hAnsi="Arial"/>
          <w:sz w:val="12"/>
          <w:szCs w:val="12"/>
          <w:color w:val="auto"/>
        </w:rPr>
        <w:t>Fair value is defined as the price that would be received to sell an asset or paid to transfer a liability in an orderly transaction between market participants at the measurement date. If quoted prices in an active market are available, fair value is determined by reference to these prices. If quoted prices are not available, fair value is determined by valuation models that primarily use, as inputs, market-based or independently sourced parameters, including but not limited to interest rates, volatilities, and credit curves. Additionally, we may reference prices for similar instruments, quoted prices or recent transactions in less active markets. We use prices and inputs that are current as of the measurement date.</w:t>
      </w:r>
    </w:p>
    <w:p>
      <w:pPr>
        <w:spacing w:after="0" w:line="97" w:lineRule="exact"/>
        <w:rPr>
          <w:sz w:val="20"/>
          <w:szCs w:val="20"/>
          <w:color w:val="auto"/>
        </w:rPr>
      </w:pPr>
    </w:p>
    <w:p>
      <w:pPr>
        <w:ind w:left="320"/>
        <w:spacing w:after="0"/>
        <w:rPr>
          <w:sz w:val="20"/>
          <w:szCs w:val="20"/>
          <w:color w:val="auto"/>
        </w:rPr>
      </w:pPr>
      <w:r>
        <w:rPr>
          <w:rFonts w:ascii="Arial" w:cs="Arial" w:eastAsia="Arial" w:hAnsi="Arial"/>
          <w:sz w:val="12"/>
          <w:szCs w:val="12"/>
          <w:b w:val="1"/>
          <w:bCs w:val="1"/>
          <w:color w:val="auto"/>
        </w:rPr>
        <w:t xml:space="preserve">Level 1: </w:t>
      </w:r>
      <w:r>
        <w:rPr>
          <w:rFonts w:ascii="Arial" w:cs="Arial" w:eastAsia="Arial" w:hAnsi="Arial"/>
          <w:sz w:val="12"/>
          <w:szCs w:val="12"/>
          <w:color w:val="auto"/>
        </w:rPr>
        <w:t>Quoted (unadjusted) prices in active markets that are accessible at the measurement date for identical, unrestricted assets or liabilities.</w:t>
      </w:r>
    </w:p>
    <w:p>
      <w:pPr>
        <w:spacing w:after="0" w:line="19" w:lineRule="exact"/>
        <w:rPr>
          <w:sz w:val="20"/>
          <w:szCs w:val="20"/>
          <w:color w:val="auto"/>
        </w:rPr>
      </w:pPr>
    </w:p>
    <w:p>
      <w:pPr>
        <w:ind w:left="320"/>
        <w:spacing w:after="0"/>
        <w:rPr>
          <w:sz w:val="20"/>
          <w:szCs w:val="20"/>
          <w:color w:val="auto"/>
        </w:rPr>
      </w:pPr>
      <w:r>
        <w:rPr>
          <w:rFonts w:ascii="Arial" w:cs="Arial" w:eastAsia="Arial" w:hAnsi="Arial"/>
          <w:sz w:val="12"/>
          <w:szCs w:val="12"/>
          <w:b w:val="1"/>
          <w:bCs w:val="1"/>
          <w:color w:val="auto"/>
        </w:rPr>
        <w:t xml:space="preserve">Level 2: </w:t>
      </w:r>
      <w:r>
        <w:rPr>
          <w:rFonts w:ascii="Arial" w:cs="Arial" w:eastAsia="Arial" w:hAnsi="Arial"/>
          <w:sz w:val="12"/>
          <w:szCs w:val="12"/>
          <w:color w:val="auto"/>
        </w:rPr>
        <w:t>Quoted prices in active markets for similar assets and liabilities, or inputs that are observable, either directly or indirectly, for substantially the full term of the asset or liability.</w:t>
      </w:r>
    </w:p>
    <w:p>
      <w:pPr>
        <w:spacing w:after="0" w:line="6" w:lineRule="exact"/>
        <w:rPr>
          <w:sz w:val="20"/>
          <w:szCs w:val="20"/>
          <w:color w:val="auto"/>
        </w:rPr>
      </w:pPr>
    </w:p>
    <w:p>
      <w:pPr>
        <w:ind w:left="340"/>
        <w:spacing w:after="0"/>
        <w:rPr>
          <w:sz w:val="20"/>
          <w:szCs w:val="20"/>
          <w:color w:val="auto"/>
        </w:rPr>
      </w:pPr>
      <w:r>
        <w:rPr>
          <w:rFonts w:ascii="Arial" w:cs="Arial" w:eastAsia="Arial" w:hAnsi="Arial"/>
          <w:sz w:val="12"/>
          <w:szCs w:val="12"/>
          <w:b w:val="1"/>
          <w:bCs w:val="1"/>
          <w:color w:val="auto"/>
        </w:rPr>
        <w:t xml:space="preserve">Level 3: </w:t>
      </w:r>
      <w:r>
        <w:rPr>
          <w:rFonts w:ascii="Arial" w:cs="Arial" w:eastAsia="Arial" w:hAnsi="Arial"/>
          <w:sz w:val="12"/>
          <w:szCs w:val="12"/>
          <w:color w:val="auto"/>
        </w:rPr>
        <w:t>Unobservable inputs that are supported by little or no market activity may require significant judgment in order to determine the fair value of the assets and liabilities.</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color w:val="auto"/>
        </w:rPr>
        <w:t>The use of observable and unobservable inputs is reflected in the fair value hierarchy assessment disclosed in the tables within this document.</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i w:val="1"/>
          <w:iCs w:val="1"/>
          <w:u w:val="single" w:color="auto"/>
          <w:color w:val="auto"/>
        </w:rPr>
        <w:t>Recurring Fair Value Measurements</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Cash Equivalents</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Our cash equivalents mainly include money market funds and term deposits.</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Investments in Marketable Securities</w:t>
      </w:r>
    </w:p>
    <w:p>
      <w:pPr>
        <w:spacing w:after="0" w:line="15" w:lineRule="exact"/>
        <w:rPr>
          <w:sz w:val="20"/>
          <w:szCs w:val="20"/>
          <w:color w:val="auto"/>
        </w:rPr>
      </w:pPr>
    </w:p>
    <w:p>
      <w:pPr>
        <w:ind w:right="60"/>
        <w:spacing w:after="0" w:line="261" w:lineRule="auto"/>
        <w:rPr>
          <w:sz w:val="20"/>
          <w:szCs w:val="20"/>
          <w:color w:val="auto"/>
        </w:rPr>
      </w:pPr>
      <w:r>
        <w:rPr>
          <w:rFonts w:ascii="Arial" w:cs="Arial" w:eastAsia="Arial" w:hAnsi="Arial"/>
          <w:sz w:val="12"/>
          <w:szCs w:val="12"/>
          <w:color w:val="auto"/>
        </w:rPr>
        <w:t>Investments in marketable securities primarily consist of investments associated with the ownership of marketable securities in U.S. and New Zealand. These investments are valued based on observable market quotes on the last trading date of the reporting period.</w:t>
      </w:r>
    </w:p>
    <w:p>
      <w:pPr>
        <w:spacing w:after="0" w:line="96"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Derivatives</w:t>
      </w:r>
    </w:p>
    <w:p>
      <w:pPr>
        <w:spacing w:after="0" w:line="15" w:lineRule="exact"/>
        <w:rPr>
          <w:sz w:val="20"/>
          <w:szCs w:val="20"/>
          <w:color w:val="auto"/>
        </w:rPr>
      </w:pPr>
    </w:p>
    <w:p>
      <w:pPr>
        <w:ind w:right="480"/>
        <w:spacing w:after="0" w:line="261" w:lineRule="auto"/>
        <w:rPr>
          <w:sz w:val="20"/>
          <w:szCs w:val="20"/>
          <w:color w:val="auto"/>
        </w:rPr>
      </w:pPr>
      <w:r>
        <w:rPr>
          <w:rFonts w:ascii="Arial" w:cs="Arial" w:eastAsia="Arial" w:hAnsi="Arial"/>
          <w:sz w:val="12"/>
          <w:szCs w:val="12"/>
          <w:color w:val="auto"/>
        </w:rPr>
        <w:t>Derivative financial instruments are valued based on discounted cash flow models that incorporate observable inputs such as interest rates and yield curves from the derivative counterparties. The credit valuation adjustments associated with our non-performance risk and counterparty credit risk are incorporated in the fair value estimates of our derivatives.</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i w:val="1"/>
          <w:iCs w:val="1"/>
          <w:u w:val="single" w:color="auto"/>
          <w:color w:val="auto"/>
        </w:rPr>
        <w:t>Nonrecurring Fair Value Measurements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Goodwill, Other Intangible Assets, and Long-Lived Assets</w:t>
      </w:r>
    </w:p>
    <w:p>
      <w:pPr>
        <w:spacing w:after="0" w:line="15" w:lineRule="exact"/>
        <w:rPr>
          <w:sz w:val="20"/>
          <w:szCs w:val="20"/>
          <w:color w:val="auto"/>
        </w:rPr>
      </w:pPr>
    </w:p>
    <w:p>
      <w:pPr>
        <w:spacing w:after="0"/>
        <w:rPr>
          <w:sz w:val="20"/>
          <w:szCs w:val="20"/>
          <w:color w:val="auto"/>
        </w:rPr>
      </w:pPr>
      <w:r>
        <w:rPr>
          <w:rFonts w:ascii="Arial" w:cs="Arial" w:eastAsia="Arial" w:hAnsi="Arial"/>
          <w:sz w:val="11"/>
          <w:szCs w:val="11"/>
          <w:color w:val="auto"/>
        </w:rPr>
        <w:t>Refer to the “</w:t>
      </w:r>
      <w:r>
        <w:rPr>
          <w:rFonts w:ascii="Arial" w:cs="Arial" w:eastAsia="Arial" w:hAnsi="Arial"/>
          <w:sz w:val="11"/>
          <w:szCs w:val="11"/>
          <w:i w:val="1"/>
          <w:iCs w:val="1"/>
          <w:color w:val="auto"/>
        </w:rPr>
        <w:t>Goodwill, Other Intangible Assets and Long-Lived Assets”</w:t>
      </w:r>
      <w:r>
        <w:rPr>
          <w:rFonts w:ascii="Arial" w:cs="Arial" w:eastAsia="Arial" w:hAnsi="Arial"/>
          <w:sz w:val="11"/>
          <w:szCs w:val="11"/>
          <w:color w:val="auto"/>
        </w:rPr>
        <w:t xml:space="preserve"> below for a description of valuation methodology used for fair value measurements of goodwill, intangible assets and long-lived assets.</w:t>
      </w:r>
    </w:p>
    <w:p>
      <w:pPr>
        <w:spacing w:after="0" w:line="153"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Debt</w:t>
      </w:r>
    </w:p>
    <w:p>
      <w:pPr>
        <w:spacing w:after="0" w:line="15" w:lineRule="exact"/>
        <w:rPr>
          <w:sz w:val="20"/>
          <w:szCs w:val="20"/>
          <w:color w:val="auto"/>
        </w:rPr>
      </w:pPr>
    </w:p>
    <w:p>
      <w:pPr>
        <w:spacing w:after="0" w:line="254" w:lineRule="auto"/>
        <w:rPr>
          <w:sz w:val="20"/>
          <w:szCs w:val="20"/>
          <w:color w:val="auto"/>
        </w:rPr>
      </w:pPr>
      <w:r>
        <w:rPr>
          <w:rFonts w:ascii="Arial" w:cs="Arial" w:eastAsia="Arial" w:hAnsi="Arial"/>
          <w:sz w:val="12"/>
          <w:szCs w:val="12"/>
          <w:color w:val="auto"/>
        </w:rPr>
        <w:t>Debt includes our secured and unsecured notes payable, trust preferred securities and other debt instruments. The borrowings are valued based on discounted cash flow models that incorporate appropriate market discount rates. We calculated the market discount rate by obtaining period-end treasury rates for fixed-rate debt, or LIBOR for variable-rate debt, for maturities that correspond to the maturities of our debt, adding appropriate credit spreads derived from information obtained from third-party financial institutions. These credit spreads take into account factors such as our credit rate, debt maturity, types of borrowings, and the loan-to-value ratios of the debt.</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59690</wp:posOffset>
            </wp:positionV>
            <wp:extent cx="677989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779895" cy="42545"/>
                    </a:xfrm>
                    <a:prstGeom prst="rect">
                      <a:avLst/>
                    </a:prstGeom>
                    <a:noFill/>
                  </pic:spPr>
                </pic:pic>
              </a:graphicData>
            </a:graphic>
          </wp:anchor>
        </w:drawing>
      </w:r>
    </w:p>
    <w:p>
      <w:pPr>
        <w:sectPr>
          <w:pgSz w:w="11900" w:h="16838" w:orient="portrait"/>
          <w:cols w:equalWidth="0" w:num="1">
            <w:col w:w="10620"/>
          </w:cols>
          <w:pgMar w:left="640" w:top="275" w:right="639" w:bottom="1440" w:gutter="0" w:footer="0" w:header="0"/>
        </w:sectPr>
      </w:pPr>
    </w:p>
    <w:bookmarkStart w:id="64" w:name="page65"/>
    <w:bookmarkEnd w:id="64"/>
    <w:p>
      <w:pPr>
        <w:spacing w:after="0"/>
        <w:rPr>
          <w:sz w:val="20"/>
          <w:szCs w:val="20"/>
          <w:color w:val="auto"/>
        </w:rPr>
      </w:pPr>
      <w:r>
        <w:rPr>
          <w:rFonts w:ascii="Arial" w:cs="Arial" w:eastAsia="Arial" w:hAnsi="Arial"/>
          <w:sz w:val="12"/>
          <w:szCs w:val="12"/>
          <w:b w:val="1"/>
          <w:bCs w:val="1"/>
          <w:i w:val="1"/>
          <w:iCs w:val="1"/>
          <w:color w:val="auto"/>
        </w:rPr>
        <w:t>Fair Value of Financial Instruments</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The carrying amounts of our cash equivalents, accounts receivable, accounts payable and film rent payable approximate fair value due to their short-term maturities.</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Derivative Financial Instruments</w:t>
      </w:r>
    </w:p>
    <w:p>
      <w:pPr>
        <w:spacing w:after="0" w:line="15" w:lineRule="exact"/>
        <w:rPr>
          <w:sz w:val="20"/>
          <w:szCs w:val="20"/>
          <w:color w:val="auto"/>
        </w:rPr>
      </w:pPr>
    </w:p>
    <w:p>
      <w:pPr>
        <w:ind w:right="400"/>
        <w:spacing w:after="0" w:line="261" w:lineRule="auto"/>
        <w:rPr>
          <w:sz w:val="20"/>
          <w:szCs w:val="20"/>
          <w:color w:val="auto"/>
        </w:rPr>
      </w:pPr>
      <w:r>
        <w:rPr>
          <w:rFonts w:ascii="Arial" w:cs="Arial" w:eastAsia="Arial" w:hAnsi="Arial"/>
          <w:sz w:val="12"/>
          <w:szCs w:val="12"/>
          <w:color w:val="auto"/>
        </w:rPr>
        <w:t>We carry all derivative financial instruments on our consolidated balance sheets at fair value. Derivatives are generally executed for interest rate management purposes but are not designated as hedges. Therefore, changes in market values are recognized in current earnings.</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Operating property</w:t>
      </w:r>
    </w:p>
    <w:p>
      <w:pPr>
        <w:spacing w:after="0" w:line="15" w:lineRule="exact"/>
        <w:rPr>
          <w:sz w:val="20"/>
          <w:szCs w:val="20"/>
          <w:color w:val="auto"/>
        </w:rPr>
      </w:pPr>
    </w:p>
    <w:p>
      <w:pPr>
        <w:spacing w:after="0" w:line="255" w:lineRule="auto"/>
        <w:rPr>
          <w:sz w:val="20"/>
          <w:szCs w:val="20"/>
          <w:color w:val="auto"/>
        </w:rPr>
      </w:pPr>
      <w:r>
        <w:rPr>
          <w:rFonts w:ascii="Arial" w:cs="Arial" w:eastAsia="Arial" w:hAnsi="Arial"/>
          <w:sz w:val="12"/>
          <w:szCs w:val="12"/>
          <w:color w:val="auto"/>
        </w:rPr>
        <w:t>Operating property consists of land, buildings and improvements, leasehold improvements, fixtures and equipment which we use to derive operating income associated with our two business segments, cinema exhibition and real estate. Buildings and improvements, leasehold improvements, fixtures and equipment are initially recorded at the lower of cost or fair market value and depreciated over the useful lives of the related assets. Land is not depreciated.</w:t>
      </w:r>
    </w:p>
    <w:p>
      <w:pPr>
        <w:spacing w:after="0" w:line="10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Investment and Development Property</w:t>
      </w:r>
    </w:p>
    <w:p>
      <w:pPr>
        <w:spacing w:after="0" w:line="15" w:lineRule="exact"/>
        <w:rPr>
          <w:sz w:val="20"/>
          <w:szCs w:val="20"/>
          <w:color w:val="auto"/>
        </w:rPr>
      </w:pPr>
    </w:p>
    <w:p>
      <w:pPr>
        <w:ind w:right="300"/>
        <w:spacing w:after="0" w:line="315" w:lineRule="auto"/>
        <w:rPr>
          <w:sz w:val="20"/>
          <w:szCs w:val="20"/>
          <w:color w:val="auto"/>
        </w:rPr>
      </w:pPr>
      <w:r>
        <w:rPr>
          <w:rFonts w:ascii="Arial" w:cs="Arial" w:eastAsia="Arial" w:hAnsi="Arial"/>
          <w:sz w:val="10"/>
          <w:szCs w:val="10"/>
          <w:color w:val="auto"/>
        </w:rPr>
        <w:t>Investment and development property consists of land, new buildings and improvements under development, and their associated capitalized interest and other development costs that we are either holding for development, currently developing, or holding for investment appreciation purposes. These properties are initially recorded at the lower of cost or fair market value. Within investment and development property are building and improvement costs directly associated with the development of potential cinemas (whether for sale or lease), the development of entertainment-themed centers (“ETCs”), or other improvements to real property. As incurred, we expense start-up costs (such as pre-opening cinema advertising and training expense) and other costs not directly related to the acquisition and development of long-term assets. We cease capitalization on a development property when the property is complete and ready for its intended use, or if activities necessary to get the property ready for its intended use have been substantially curtailed.</w:t>
      </w:r>
    </w:p>
    <w:p>
      <w:pPr>
        <w:spacing w:after="0" w:line="7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Goodwill, Other Intangible Assets and Long-Lived Assets</w:t>
      </w:r>
    </w:p>
    <w:p>
      <w:pPr>
        <w:spacing w:after="0" w:line="15" w:lineRule="exact"/>
        <w:rPr>
          <w:sz w:val="20"/>
          <w:szCs w:val="20"/>
          <w:color w:val="auto"/>
        </w:rPr>
      </w:pPr>
    </w:p>
    <w:p>
      <w:pPr>
        <w:ind w:right="160"/>
        <w:spacing w:after="0" w:line="261" w:lineRule="auto"/>
        <w:rPr>
          <w:sz w:val="20"/>
          <w:szCs w:val="20"/>
          <w:color w:val="auto"/>
        </w:rPr>
      </w:pPr>
      <w:r>
        <w:rPr>
          <w:rFonts w:ascii="Arial" w:cs="Arial" w:eastAsia="Arial" w:hAnsi="Arial"/>
          <w:sz w:val="12"/>
          <w:szCs w:val="12"/>
          <w:color w:val="auto"/>
        </w:rPr>
        <w:t>We review long-lived assets, including goodwill and intangibles, for impairment as part of our annual budgeting process, at the beginning of the fourth quarter, and whenever events or changes in circumstances indicate that the carrying amount of the asset may not be fully recoverable.</w:t>
      </w:r>
    </w:p>
    <w:p>
      <w:pPr>
        <w:spacing w:after="0" w:line="105" w:lineRule="exact"/>
        <w:rPr>
          <w:sz w:val="20"/>
          <w:szCs w:val="20"/>
          <w:color w:val="auto"/>
        </w:rPr>
      </w:pPr>
    </w:p>
    <w:p>
      <w:pPr>
        <w:ind w:right="60"/>
        <w:spacing w:after="0" w:line="259" w:lineRule="auto"/>
        <w:rPr>
          <w:sz w:val="20"/>
          <w:szCs w:val="20"/>
          <w:color w:val="auto"/>
        </w:rPr>
      </w:pPr>
      <w:r>
        <w:rPr>
          <w:rFonts w:ascii="Arial" w:cs="Arial" w:eastAsia="Arial" w:hAnsi="Arial"/>
          <w:sz w:val="12"/>
          <w:szCs w:val="12"/>
          <w:color w:val="auto"/>
        </w:rPr>
        <w:t>We review internal management reports on a monthly basis as well as monitor current and potential future competition in film markets for indications of potential impairment. We evaluate our long-lived assets and finite lived intangible assets using historical and projected data of cash flow as our primary indicator of potential impairment and we take into consideration the seasonality of our business. If the sum of the estimated, undiscounted future cash flows is less than the carrying amount of the asset, then an impairment is recognized for the amount by which the carrying value of the asset exceeds its estimated fair value based on an appraisal or a discounted cash flow calculation.</w:t>
      </w:r>
    </w:p>
    <w:p>
      <w:pPr>
        <w:spacing w:after="0" w:line="98" w:lineRule="exact"/>
        <w:rPr>
          <w:sz w:val="20"/>
          <w:szCs w:val="20"/>
          <w:color w:val="auto"/>
        </w:rPr>
      </w:pPr>
    </w:p>
    <w:p>
      <w:pPr>
        <w:ind w:right="20"/>
        <w:spacing w:after="0" w:line="276" w:lineRule="auto"/>
        <w:rPr>
          <w:sz w:val="20"/>
          <w:szCs w:val="20"/>
          <w:color w:val="auto"/>
        </w:rPr>
      </w:pPr>
      <w:r>
        <w:rPr>
          <w:rFonts w:ascii="Arial" w:cs="Arial" w:eastAsia="Arial" w:hAnsi="Arial"/>
          <w:sz w:val="12"/>
          <w:szCs w:val="12"/>
          <w:color w:val="auto"/>
        </w:rPr>
        <w:t>For certain non-income producing properties, we obtain appraisals or other evidence to evaluate whether there are impairment indicators for these assets. No impairment losses were recorded for long-lived and finite lived intangible assets for the years ended December 31, 2015, 2014 or 2013.</w:t>
      </w:r>
    </w:p>
    <w:p>
      <w:pPr>
        <w:spacing w:after="0" w:line="88" w:lineRule="exact"/>
        <w:rPr>
          <w:sz w:val="20"/>
          <w:szCs w:val="20"/>
          <w:color w:val="auto"/>
        </w:rPr>
      </w:pPr>
    </w:p>
    <w:p>
      <w:pPr>
        <w:ind w:right="220"/>
        <w:spacing w:after="0" w:line="290" w:lineRule="auto"/>
        <w:rPr>
          <w:sz w:val="20"/>
          <w:szCs w:val="20"/>
          <w:color w:val="auto"/>
        </w:rPr>
      </w:pPr>
      <w:r>
        <w:rPr>
          <w:rFonts w:ascii="Arial" w:cs="Arial" w:eastAsia="Arial" w:hAnsi="Arial"/>
          <w:sz w:val="11"/>
          <w:szCs w:val="11"/>
          <w:color w:val="auto"/>
        </w:rPr>
        <w:t>Goodwill and intangible assets with indefinite useful lives are not amortized, but instead, tested for impairment at least annually on a reporting unit basis. The impairment evaluation is based on the present value of estimated future cash flows of the segment plus the expected terminal value. There are significant assumptions and estimates used in determining the future cash flows and terminal value. The most significant assumptions include our cost of debt and cost of equity assumptions that comprise the weighted average cost of capital for each reporting unit. Accordingly, actual results could vary materially from such estimates. No impairment losses were recorded for goodwill and indefinite lived intangible assets for the years ended December 31, 2015, 2014, and 2013.</w:t>
      </w:r>
    </w:p>
    <w:p>
      <w:pPr>
        <w:spacing w:after="0" w:line="9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Variable Interest Entity</w:t>
      </w:r>
    </w:p>
    <w:p>
      <w:pPr>
        <w:spacing w:after="0" w:line="15" w:lineRule="exact"/>
        <w:rPr>
          <w:sz w:val="20"/>
          <w:szCs w:val="20"/>
          <w:color w:val="auto"/>
        </w:rPr>
      </w:pPr>
    </w:p>
    <w:p>
      <w:pPr>
        <w:ind w:right="160"/>
        <w:spacing w:after="0" w:line="306" w:lineRule="auto"/>
        <w:rPr>
          <w:sz w:val="20"/>
          <w:szCs w:val="20"/>
          <w:color w:val="auto"/>
        </w:rPr>
      </w:pPr>
      <w:r>
        <w:rPr>
          <w:rFonts w:ascii="Arial" w:cs="Arial" w:eastAsia="Arial" w:hAnsi="Arial"/>
          <w:sz w:val="11"/>
          <w:szCs w:val="11"/>
          <w:color w:val="auto"/>
        </w:rPr>
        <w:t>The Company enters into relationships or investments with other entities that may be a variable interest entity (“VIE”). A VIE is consolidated in the financial statements if the Company has the power to direct activities that most significantly impact the economic performance of the VIE and has the obligation to absorb losses or the right to receive benefits from the VIE that could potentially be significant to the VIE.</w:t>
      </w:r>
    </w:p>
    <w:p>
      <w:pPr>
        <w:spacing w:after="0" w:line="74" w:lineRule="exact"/>
        <w:rPr>
          <w:sz w:val="20"/>
          <w:szCs w:val="20"/>
          <w:color w:val="auto"/>
        </w:rPr>
      </w:pPr>
    </w:p>
    <w:p>
      <w:pPr>
        <w:ind w:right="140"/>
        <w:spacing w:after="0" w:line="259" w:lineRule="auto"/>
        <w:rPr>
          <w:sz w:val="20"/>
          <w:szCs w:val="20"/>
          <w:color w:val="auto"/>
        </w:rPr>
      </w:pPr>
      <w:r>
        <w:rPr>
          <w:rFonts w:ascii="Arial" w:cs="Arial" w:eastAsia="Arial" w:hAnsi="Arial"/>
          <w:sz w:val="12"/>
          <w:szCs w:val="12"/>
          <w:color w:val="auto"/>
        </w:rPr>
        <w:t>Reading International Trust I is a VIE. It is not consolidated in our financial statements but instead accounted for under the equity method of accounting because we are not the primary beneficiary. We carry our investment in the Reading International Trust I using the equity method of accounting because we have the ability to exercise significant influence (but not control) over operating and financial policies of the entity. We eliminate transactions with an equity method entity to the extent of our ownership in such an entity. Accordingly, our share of net income/(loss) of this equity method entity is included in consolidated net income/(loss). We have no implicit or explicit obligation to further fund our investment in Reading International Trust I.</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59690</wp:posOffset>
            </wp:positionV>
            <wp:extent cx="677989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779895" cy="42545"/>
                    </a:xfrm>
                    <a:prstGeom prst="rect">
                      <a:avLst/>
                    </a:prstGeom>
                    <a:noFill/>
                  </pic:spPr>
                </pic:pic>
              </a:graphicData>
            </a:graphic>
          </wp:anchor>
        </w:drawing>
      </w:r>
    </w:p>
    <w:p>
      <w:pPr>
        <w:sectPr>
          <w:pgSz w:w="11900" w:h="16838" w:orient="portrait"/>
          <w:cols w:equalWidth="0" w:num="1">
            <w:col w:w="10620"/>
          </w:cols>
          <w:pgMar w:left="640" w:top="275" w:right="639" w:bottom="1440" w:gutter="0" w:footer="0" w:header="0"/>
        </w:sectPr>
      </w:pPr>
    </w:p>
    <w:bookmarkStart w:id="65" w:name="page66"/>
    <w:bookmarkEnd w:id="65"/>
    <w:p>
      <w:pPr>
        <w:spacing w:after="0"/>
        <w:rPr>
          <w:sz w:val="20"/>
          <w:szCs w:val="20"/>
          <w:color w:val="auto"/>
        </w:rPr>
      </w:pPr>
      <w:r>
        <w:rPr>
          <w:rFonts w:ascii="Arial" w:cs="Arial" w:eastAsia="Arial" w:hAnsi="Arial"/>
          <w:sz w:val="12"/>
          <w:szCs w:val="12"/>
          <w:b w:val="1"/>
          <w:bCs w:val="1"/>
          <w:i w:val="1"/>
          <w:iCs w:val="1"/>
          <w:color w:val="auto"/>
        </w:rPr>
        <w:t>Properties Held for Sale</w:t>
      </w:r>
    </w:p>
    <w:p>
      <w:pPr>
        <w:spacing w:after="0" w:line="15" w:lineRule="exact"/>
        <w:rPr>
          <w:sz w:val="20"/>
          <w:szCs w:val="20"/>
          <w:color w:val="auto"/>
        </w:rPr>
      </w:pPr>
    </w:p>
    <w:p>
      <w:pPr>
        <w:spacing w:after="0"/>
        <w:rPr>
          <w:sz w:val="20"/>
          <w:szCs w:val="20"/>
          <w:color w:val="auto"/>
        </w:rPr>
      </w:pPr>
      <w:r>
        <w:rPr>
          <w:rFonts w:ascii="Arial" w:cs="Arial" w:eastAsia="Arial" w:hAnsi="Arial"/>
          <w:sz w:val="10"/>
          <w:szCs w:val="10"/>
          <w:color w:val="auto"/>
        </w:rPr>
        <w:t>When a property is classified as held for sale, we present the respective assets and liabilities related to the property held for sale separately on the balance sheet and cease to record depreciation and amortization expense.</w:t>
      </w:r>
    </w:p>
    <w:p>
      <w:pPr>
        <w:spacing w:after="0" w:line="29" w:lineRule="exact"/>
        <w:rPr>
          <w:sz w:val="20"/>
          <w:szCs w:val="20"/>
          <w:color w:val="auto"/>
        </w:rPr>
      </w:pPr>
    </w:p>
    <w:p>
      <w:pPr>
        <w:spacing w:after="0"/>
        <w:rPr>
          <w:sz w:val="20"/>
          <w:szCs w:val="20"/>
          <w:color w:val="auto"/>
        </w:rPr>
      </w:pPr>
      <w:r>
        <w:rPr>
          <w:rFonts w:ascii="Arial" w:cs="Arial" w:eastAsia="Arial" w:hAnsi="Arial"/>
          <w:sz w:val="12"/>
          <w:szCs w:val="12"/>
          <w:color w:val="auto"/>
        </w:rPr>
        <w:t>Properties held for sale are reported at the lower of their carrying value or their estimated fair value less the estimated costs to sell.</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Revenue Recognition</w:t>
      </w:r>
    </w:p>
    <w:p>
      <w:pPr>
        <w:spacing w:after="0" w:line="15" w:lineRule="exact"/>
        <w:rPr>
          <w:sz w:val="20"/>
          <w:szCs w:val="20"/>
          <w:color w:val="auto"/>
        </w:rPr>
      </w:pPr>
    </w:p>
    <w:p>
      <w:pPr>
        <w:ind w:right="320"/>
        <w:spacing w:after="0" w:line="261" w:lineRule="auto"/>
        <w:rPr>
          <w:sz w:val="20"/>
          <w:szCs w:val="20"/>
          <w:color w:val="auto"/>
        </w:rPr>
      </w:pPr>
      <w:r>
        <w:rPr>
          <w:rFonts w:ascii="Arial" w:cs="Arial" w:eastAsia="Arial" w:hAnsi="Arial"/>
          <w:sz w:val="12"/>
          <w:szCs w:val="12"/>
          <w:color w:val="auto"/>
        </w:rPr>
        <w:t>Revenue from cinema ticket sales and concession sales are recognized when sold. Revenue from gift certificate sales is deferred and recognized when the certificates are redeemed. Rental revenue is recognized on a straight-line basis.</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Deferred Leasing/Financing Costs</w:t>
      </w:r>
    </w:p>
    <w:p>
      <w:pPr>
        <w:spacing w:after="0" w:line="15" w:lineRule="exact"/>
        <w:rPr>
          <w:sz w:val="20"/>
          <w:szCs w:val="20"/>
          <w:color w:val="auto"/>
        </w:rPr>
      </w:pPr>
    </w:p>
    <w:p>
      <w:pPr>
        <w:spacing w:after="0" w:line="290" w:lineRule="auto"/>
        <w:rPr>
          <w:sz w:val="20"/>
          <w:szCs w:val="20"/>
          <w:color w:val="auto"/>
        </w:rPr>
      </w:pPr>
      <w:r>
        <w:rPr>
          <w:rFonts w:ascii="Arial" w:cs="Arial" w:eastAsia="Arial" w:hAnsi="Arial"/>
          <w:sz w:val="11"/>
          <w:szCs w:val="11"/>
          <w:color w:val="auto"/>
        </w:rPr>
        <w:t xml:space="preserve">Direct costs incurred in connection with obtaining tenants and/or financing are amortized over the respective term of the lease or loan on a straight-line basis. Direct costs incurred in connection with financing are amortized over the respective term of the loan utilizing the effective interest method, or straight-line method if the result is not materially different. In addition, interest on loans with increasing interest rates and scheduled principal pre-payments are also recognized on the effective interest method. Net deferred financing costs are included in prepaid and other assets (see Note 8 – </w:t>
      </w:r>
      <w:r>
        <w:rPr>
          <w:rFonts w:ascii="Arial" w:cs="Arial" w:eastAsia="Arial" w:hAnsi="Arial"/>
          <w:sz w:val="11"/>
          <w:szCs w:val="11"/>
          <w:i w:val="1"/>
          <w:iCs w:val="1"/>
          <w:color w:val="auto"/>
        </w:rPr>
        <w:t>Prepaid and Other Assets</w:t>
      </w:r>
      <w:r>
        <w:rPr>
          <w:rFonts w:ascii="Arial" w:cs="Arial" w:eastAsia="Arial" w:hAnsi="Arial"/>
          <w:sz w:val="11"/>
          <w:szCs w:val="11"/>
          <w:color w:val="auto"/>
        </w:rPr>
        <w:t>)</w:t>
      </w:r>
    </w:p>
    <w:p>
      <w:pPr>
        <w:spacing w:after="0" w:line="8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Advertising Expense</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We expense our advertising as incurred. The amount of our advertising expense was $2.3 million, $2.1 million, and $3.4 million for the years ended December 2015, 2014, and 2013, respectively.</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Legal Settlement Income/Expense</w:t>
      </w:r>
    </w:p>
    <w:p>
      <w:pPr>
        <w:spacing w:after="0" w:line="15" w:lineRule="exact"/>
        <w:rPr>
          <w:sz w:val="20"/>
          <w:szCs w:val="20"/>
          <w:color w:val="auto"/>
        </w:rPr>
      </w:pPr>
    </w:p>
    <w:p>
      <w:pPr>
        <w:ind w:right="380"/>
        <w:spacing w:after="0" w:line="306" w:lineRule="auto"/>
        <w:rPr>
          <w:sz w:val="20"/>
          <w:szCs w:val="20"/>
          <w:color w:val="auto"/>
        </w:rPr>
      </w:pPr>
      <w:r>
        <w:rPr>
          <w:rFonts w:ascii="Arial" w:cs="Arial" w:eastAsia="Arial" w:hAnsi="Arial"/>
          <w:sz w:val="11"/>
          <w:szCs w:val="11"/>
          <w:color w:val="auto"/>
        </w:rPr>
        <w:t xml:space="preserve">For the years ended December 31, 2015, 2014, and 2013, we recorded gains/(losses) on the settlement of litigation of ($495,000), ($83,000), and ($285,000), respectively, included in other income/(expense). Also included in other income/(expense) for the year ended December 31, 2013, was a $1.4 million net gain on acquisition and settlement (see Note 4 – </w:t>
      </w:r>
      <w:r>
        <w:rPr>
          <w:rFonts w:ascii="Arial" w:cs="Arial" w:eastAsia="Arial" w:hAnsi="Arial"/>
          <w:sz w:val="11"/>
          <w:szCs w:val="11"/>
          <w:i w:val="1"/>
          <w:iCs w:val="1"/>
          <w:color w:val="auto"/>
        </w:rPr>
        <w:t>Acquisitions, Disposals, and Assets Held for Sale</w:t>
      </w:r>
      <w:r>
        <w:rPr>
          <w:rFonts w:ascii="Arial" w:cs="Arial" w:eastAsia="Arial" w:hAnsi="Arial"/>
          <w:sz w:val="11"/>
          <w:szCs w:val="11"/>
          <w:color w:val="auto"/>
        </w:rPr>
        <w:t>).</w:t>
      </w:r>
    </w:p>
    <w:p>
      <w:pPr>
        <w:spacing w:after="0" w:line="8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Depreciation and Amortization</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Depreciation and amortization are provided using the straight-line method over the estimated useful lives of the assets. The estimated useful lives are generally as follows:</w:t>
      </w:r>
    </w:p>
    <w:p>
      <w:pPr>
        <w:sectPr>
          <w:pgSz w:w="11900" w:h="16838" w:orient="portrait"/>
          <w:cols w:equalWidth="0" w:num="1">
            <w:col w:w="10620"/>
          </w:cols>
          <w:pgMar w:left="640" w:top="275" w:right="639" w:bottom="1440" w:gutter="0" w:footer="0" w:header="0"/>
        </w:sectPr>
      </w:pPr>
    </w:p>
    <w:p>
      <w:pPr>
        <w:spacing w:after="0" w:line="186" w:lineRule="exact"/>
        <w:rPr>
          <w:sz w:val="20"/>
          <w:szCs w:val="20"/>
          <w:color w:val="auto"/>
        </w:rPr>
      </w:pPr>
    </w:p>
    <w:p>
      <w:pPr>
        <w:ind w:left="80"/>
        <w:spacing w:after="0"/>
        <w:rPr>
          <w:sz w:val="20"/>
          <w:szCs w:val="20"/>
          <w:color w:val="auto"/>
        </w:rPr>
      </w:pPr>
      <w:r>
        <w:rPr>
          <w:rFonts w:ascii="Arial" w:cs="Arial" w:eastAsia="Arial" w:hAnsi="Arial"/>
          <w:sz w:val="11"/>
          <w:szCs w:val="11"/>
          <w:color w:val="auto"/>
        </w:rPr>
        <w:t>Building and improvements</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rPr>
          <w:sz w:val="20"/>
          <w:szCs w:val="20"/>
          <w:color w:val="auto"/>
        </w:rPr>
      </w:pPr>
      <w:r>
        <w:rPr>
          <w:rFonts w:ascii="Arial" w:cs="Arial" w:eastAsia="Arial" w:hAnsi="Arial"/>
          <w:sz w:val="10"/>
          <w:szCs w:val="10"/>
          <w:color w:val="auto"/>
        </w:rPr>
        <w:t>15-40 years</w:t>
      </w:r>
    </w:p>
    <w:p>
      <w:pPr>
        <w:spacing w:after="0" w:line="146" w:lineRule="exact"/>
        <w:rPr>
          <w:sz w:val="20"/>
          <w:szCs w:val="20"/>
          <w:color w:val="auto"/>
        </w:rPr>
      </w:pPr>
    </w:p>
    <w:p>
      <w:pPr>
        <w:sectPr>
          <w:pgSz w:w="11900" w:h="16838" w:orient="portrait"/>
          <w:cols w:equalWidth="0" w:num="2">
            <w:col w:w="1600" w:space="720"/>
            <w:col w:w="8300"/>
          </w:cols>
          <w:pgMar w:left="640" w:top="275" w:right="639" w:bottom="1440" w:gutter="0" w:footer="0" w:header="0"/>
          <w:type w:val="continuous"/>
        </w:sectPr>
      </w:pPr>
    </w:p>
    <w:p>
      <w:pPr>
        <w:ind w:left="80"/>
        <w:spacing w:after="0"/>
        <w:rPr>
          <w:sz w:val="20"/>
          <w:szCs w:val="20"/>
          <w:color w:val="auto"/>
        </w:rPr>
      </w:pPr>
      <w:r>
        <w:rPr>
          <w:rFonts w:ascii="Arial" w:cs="Arial" w:eastAsia="Arial" w:hAnsi="Arial"/>
          <w:sz w:val="10"/>
          <w:szCs w:val="10"/>
          <w:color w:val="auto"/>
        </w:rPr>
        <w:t>Leasehold improvements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auto"/>
        </w:rPr>
        <w:t>Shorter of the life of the lease or useful life of the improvement</w:t>
      </w:r>
    </w:p>
    <w:p>
      <w:pPr>
        <w:spacing w:after="0" w:line="135" w:lineRule="exact"/>
        <w:rPr>
          <w:sz w:val="20"/>
          <w:szCs w:val="20"/>
          <w:color w:val="auto"/>
        </w:rPr>
      </w:pPr>
    </w:p>
    <w:p>
      <w:pPr>
        <w:sectPr>
          <w:pgSz w:w="11900" w:h="16838" w:orient="portrait"/>
          <w:cols w:equalWidth="0" w:num="2">
            <w:col w:w="1600" w:space="720"/>
            <w:col w:w="8300"/>
          </w:cols>
          <w:pgMar w:left="640" w:top="275" w:right="639" w:bottom="1440" w:gutter="0" w:footer="0" w:header="0"/>
          <w:type w:val="continuous"/>
        </w:sectPr>
      </w:pPr>
    </w:p>
    <w:p>
      <w:pPr>
        <w:ind w:left="80"/>
        <w:spacing w:after="0"/>
        <w:rPr>
          <w:sz w:val="20"/>
          <w:szCs w:val="20"/>
          <w:color w:val="auto"/>
        </w:rPr>
      </w:pPr>
      <w:r>
        <w:rPr>
          <w:rFonts w:ascii="Arial" w:cs="Arial" w:eastAsia="Arial" w:hAnsi="Arial"/>
          <w:sz w:val="10"/>
          <w:szCs w:val="10"/>
          <w:color w:val="auto"/>
        </w:rPr>
        <w:t>Theater equipment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0"/>
          <w:szCs w:val="10"/>
          <w:color w:val="auto"/>
        </w:rPr>
        <w:t>7 years</w:t>
      </w:r>
    </w:p>
    <w:p>
      <w:pPr>
        <w:spacing w:after="0" w:line="146" w:lineRule="exact"/>
        <w:rPr>
          <w:sz w:val="20"/>
          <w:szCs w:val="20"/>
          <w:color w:val="auto"/>
        </w:rPr>
      </w:pPr>
    </w:p>
    <w:p>
      <w:pPr>
        <w:sectPr>
          <w:pgSz w:w="11900" w:h="16838" w:orient="portrait"/>
          <w:cols w:equalWidth="0" w:num="2">
            <w:col w:w="1600" w:space="720"/>
            <w:col w:w="8300"/>
          </w:cols>
          <w:pgMar w:left="640" w:top="275" w:right="639" w:bottom="1440" w:gutter="0" w:footer="0" w:header="0"/>
          <w:type w:val="continuous"/>
        </w:sectPr>
      </w:pPr>
    </w:p>
    <w:p>
      <w:pPr>
        <w:ind w:left="80"/>
        <w:spacing w:after="0"/>
        <w:rPr>
          <w:sz w:val="20"/>
          <w:szCs w:val="20"/>
          <w:color w:val="auto"/>
        </w:rPr>
      </w:pPr>
      <w:r>
        <w:rPr>
          <w:rFonts w:ascii="Arial" w:cs="Arial" w:eastAsia="Arial" w:hAnsi="Arial"/>
          <w:sz w:val="11"/>
          <w:szCs w:val="11"/>
          <w:color w:val="auto"/>
        </w:rPr>
        <w:t>Furniture and fixtures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0"/>
          <w:szCs w:val="10"/>
          <w:color w:val="auto"/>
        </w:rPr>
        <w:t>5 – 10 years</w:t>
      </w:r>
    </w:p>
    <w:p>
      <w:pPr>
        <w:spacing w:after="0" w:line="211" w:lineRule="exact"/>
        <w:rPr>
          <w:sz w:val="20"/>
          <w:szCs w:val="20"/>
          <w:color w:val="auto"/>
        </w:rPr>
      </w:pPr>
    </w:p>
    <w:p>
      <w:pPr>
        <w:sectPr>
          <w:pgSz w:w="11900" w:h="16838" w:orient="portrait"/>
          <w:cols w:equalWidth="0" w:num="2">
            <w:col w:w="1600" w:space="720"/>
            <w:col w:w="8300"/>
          </w:cols>
          <w:pgMar w:left="640" w:top="275" w:right="639" w:bottom="1440" w:gutter="0" w:footer="0" w:header="0"/>
          <w:type w:val="continuous"/>
        </w:sectPr>
      </w:pPr>
    </w:p>
    <w:p>
      <w:pPr>
        <w:spacing w:after="0" w:line="13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Translation Policy</w:t>
      </w:r>
    </w:p>
    <w:p>
      <w:pPr>
        <w:spacing w:after="0" w:line="15" w:lineRule="exact"/>
        <w:rPr>
          <w:sz w:val="20"/>
          <w:szCs w:val="20"/>
          <w:color w:val="auto"/>
        </w:rPr>
      </w:pPr>
    </w:p>
    <w:p>
      <w:pPr>
        <w:jc w:val="both"/>
        <w:ind w:right="40"/>
        <w:spacing w:after="0" w:line="290" w:lineRule="auto"/>
        <w:rPr>
          <w:sz w:val="20"/>
          <w:szCs w:val="20"/>
          <w:color w:val="auto"/>
        </w:rPr>
      </w:pPr>
      <w:r>
        <w:rPr>
          <w:rFonts w:ascii="Arial" w:cs="Arial" w:eastAsia="Arial" w:hAnsi="Arial"/>
          <w:sz w:val="11"/>
          <w:szCs w:val="11"/>
          <w:color w:val="auto"/>
        </w:rPr>
        <w:t>The financial statements and transactions of our Australian and New Zealand cinema and real estate operations are reported in their functional currencies, namely Australian and New Zealand dollars, respectively, and are then translated into U.S. dollars. Assets and liabilities of these operations are denominated in their functional currencies and are then translated at exchange rates in effect at the balance sheet date. Revenue and expenses are translated at the average exchange rate for the reporting period. Translation adjustments are reported in “Accumulated Other Comprehensive Income,” a component of Stockholders’ Equity.</w:t>
      </w:r>
    </w:p>
    <w:p>
      <w:pPr>
        <w:spacing w:after="0" w:line="91" w:lineRule="exact"/>
        <w:rPr>
          <w:sz w:val="20"/>
          <w:szCs w:val="20"/>
          <w:color w:val="auto"/>
        </w:rPr>
      </w:pPr>
    </w:p>
    <w:p>
      <w:pPr>
        <w:spacing w:after="0" w:line="263" w:lineRule="auto"/>
        <w:rPr>
          <w:sz w:val="20"/>
          <w:szCs w:val="20"/>
          <w:color w:val="auto"/>
        </w:rPr>
      </w:pPr>
      <w:r>
        <w:rPr>
          <w:rFonts w:ascii="Arial" w:cs="Arial" w:eastAsia="Arial" w:hAnsi="Arial"/>
          <w:sz w:val="12"/>
          <w:szCs w:val="12"/>
          <w:color w:val="auto"/>
        </w:rPr>
        <w:t>The carrying value of our Australian and New Zealand assets fluctuates due to changes in the exchange rate between the U.S. dollar and the Australian and New Zealand dollars. The exchange rates of the Australian dollar to the U.S. dollar were $0.7286, $0.8173 and $0.8929 as of December 31, 2015, 2014 and 2013 respectively. The exchange rates of the New Zealand dollar to the U.S. dollar were $0.6842, $0.7796 and $0.8229 as of December 31, 2015, 2014 and 2013 respectively.</w:t>
      </w:r>
    </w:p>
    <w:p>
      <w:pPr>
        <w:spacing w:after="0" w:line="9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Income Taxes</w:t>
      </w:r>
    </w:p>
    <w:p>
      <w:pPr>
        <w:spacing w:after="0" w:line="15" w:lineRule="exact"/>
        <w:rPr>
          <w:sz w:val="20"/>
          <w:szCs w:val="20"/>
          <w:color w:val="auto"/>
        </w:rPr>
      </w:pPr>
    </w:p>
    <w:p>
      <w:pPr>
        <w:ind w:right="40"/>
        <w:spacing w:after="0" w:line="253" w:lineRule="auto"/>
        <w:rPr>
          <w:sz w:val="20"/>
          <w:szCs w:val="20"/>
          <w:color w:val="auto"/>
        </w:rPr>
      </w:pPr>
      <w:r>
        <w:rPr>
          <w:rFonts w:ascii="Arial" w:cs="Arial" w:eastAsia="Arial" w:hAnsi="Arial"/>
          <w:sz w:val="12"/>
          <w:szCs w:val="12"/>
          <w:color w:val="auto"/>
        </w:rPr>
        <w:t xml:space="preserve">We account for income taxes under an asset and liability approach. Under the asset and liability method, deferred tax assets and liabilities are recognized for the expected future tax consequences attributable to differences between the financial statement carrying amounts of existing assets and liabilities and the respective tax bases. Deferred tax assets and liabilities are measured using enacted tax rates expected to apply to taxable income in the years in which those temporary differences are expected to be recovered or settled, and are classified as noncurrent on the balance sheets in accordance with current US GAAP (see </w:t>
      </w:r>
      <w:r>
        <w:rPr>
          <w:rFonts w:ascii="Arial" w:cs="Arial" w:eastAsia="Arial" w:hAnsi="Arial"/>
          <w:sz w:val="12"/>
          <w:szCs w:val="12"/>
          <w:i w:val="1"/>
          <w:iCs w:val="1"/>
          <w:color w:val="auto"/>
        </w:rPr>
        <w:t>Accounting Pronouncements</w:t>
      </w:r>
      <w:r>
        <w:rPr>
          <w:rFonts w:ascii="Arial" w:cs="Arial" w:eastAsia="Arial" w:hAnsi="Arial"/>
          <w:sz w:val="12"/>
          <w:szCs w:val="12"/>
          <w:color w:val="auto"/>
        </w:rPr>
        <w:t xml:space="preserve"> </w:t>
      </w:r>
      <w:r>
        <w:rPr>
          <w:rFonts w:ascii="Arial" w:cs="Arial" w:eastAsia="Arial" w:hAnsi="Arial"/>
          <w:sz w:val="12"/>
          <w:szCs w:val="12"/>
          <w:i w:val="1"/>
          <w:iCs w:val="1"/>
          <w:color w:val="auto"/>
        </w:rPr>
        <w:t xml:space="preserve">Adopted and Issued During 2015 </w:t>
      </w:r>
      <w:r>
        <w:rPr>
          <w:rFonts w:ascii="Arial" w:cs="Arial" w:eastAsia="Arial" w:hAnsi="Arial"/>
          <w:sz w:val="12"/>
          <w:szCs w:val="12"/>
          <w:color w:val="auto"/>
        </w:rPr>
        <w:t>below). Valuation allowances are established, when necessary, to reduce deferred tax assets to the amount expected to be realized. Income tax expense (benefit) is the tax payable</w:t>
      </w:r>
      <w:r>
        <w:rPr>
          <w:rFonts w:ascii="Arial" w:cs="Arial" w:eastAsia="Arial" w:hAnsi="Arial"/>
          <w:sz w:val="12"/>
          <w:szCs w:val="12"/>
          <w:i w:val="1"/>
          <w:iCs w:val="1"/>
          <w:color w:val="auto"/>
        </w:rPr>
        <w:t xml:space="preserve"> </w:t>
      </w:r>
      <w:r>
        <w:rPr>
          <w:rFonts w:ascii="Arial" w:cs="Arial" w:eastAsia="Arial" w:hAnsi="Arial"/>
          <w:sz w:val="12"/>
          <w:szCs w:val="12"/>
          <w:color w:val="auto"/>
        </w:rPr>
        <w:t>(refundable) for the period and the change during the period in deferred tax assets and liabilities.</w:t>
      </w:r>
    </w:p>
    <w:p>
      <w:pPr>
        <w:spacing w:after="0" w:line="101" w:lineRule="exact"/>
        <w:rPr>
          <w:sz w:val="20"/>
          <w:szCs w:val="20"/>
          <w:color w:val="auto"/>
        </w:rPr>
      </w:pPr>
    </w:p>
    <w:p>
      <w:pPr>
        <w:ind w:right="180"/>
        <w:spacing w:after="0" w:line="323" w:lineRule="auto"/>
        <w:rPr>
          <w:sz w:val="20"/>
          <w:szCs w:val="20"/>
          <w:color w:val="auto"/>
        </w:rPr>
      </w:pPr>
      <w:r>
        <w:rPr>
          <w:rFonts w:ascii="Arial" w:cs="Arial" w:eastAsia="Arial" w:hAnsi="Arial"/>
          <w:sz w:val="11"/>
          <w:szCs w:val="11"/>
          <w:color w:val="auto"/>
        </w:rPr>
        <w:t>In evaluating our ability to recover our deferred tax assets within the jurisdiction from which they arise, we consider all available positive and negative evidence, including scheduled reversals of deferred tax liabilities, projected future taxable income, tax planning strategies and recent financial operations. In projecting future taxable income, we begin with historical results adjusted for the results</w:t>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59690</wp:posOffset>
            </wp:positionV>
            <wp:extent cx="677989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779895" cy="42545"/>
                    </a:xfrm>
                    <a:prstGeom prst="rect">
                      <a:avLst/>
                    </a:prstGeom>
                    <a:noFill/>
                  </pic:spPr>
                </pic:pic>
              </a:graphicData>
            </a:graphic>
          </wp:anchor>
        </w:drawing>
      </w:r>
    </w:p>
    <w:p>
      <w:pPr>
        <w:sectPr>
          <w:pgSz w:w="11900" w:h="16838" w:orient="portrait"/>
          <w:cols w:equalWidth="0" w:num="1">
            <w:col w:w="10620"/>
          </w:cols>
          <w:pgMar w:left="640" w:top="275" w:right="639" w:bottom="1440" w:gutter="0" w:footer="0" w:header="0"/>
          <w:type w:val="continuous"/>
        </w:sectPr>
      </w:pPr>
    </w:p>
    <w:bookmarkStart w:id="66" w:name="page67"/>
    <w:bookmarkEnd w:id="66"/>
    <w:p>
      <w:pPr>
        <w:spacing w:after="0" w:line="327" w:lineRule="auto"/>
        <w:rPr>
          <w:sz w:val="20"/>
          <w:szCs w:val="20"/>
          <w:color w:val="auto"/>
        </w:rPr>
      </w:pPr>
      <w:r>
        <w:rPr>
          <w:rFonts w:ascii="Arial" w:cs="Arial" w:eastAsia="Arial" w:hAnsi="Arial"/>
          <w:sz w:val="10"/>
          <w:szCs w:val="10"/>
          <w:color w:val="auto"/>
        </w:rPr>
        <w:t>of discontinued operations and changes in accounting policies. We then include assumptions about the amount of projected future state, federal and foreign pretax operating income, the reversal of temporary differences, and the implementation of feasible and prudent tax planning strategies. These assumptions require significant judgment about the forecasts of future taxable income and are consistent with the plans and estimates we use to manage the underlying businesses. In evaluating the objective evidence that historical results provide, we consider three years of cumulative operating income/(loss). In the event we were to determine that we would be able to realize our deferred income tax assets in the future in excess of their net recorded amount, we would make an adjustment to the valuation allowance, which would reduce the provision for income taxes.</w:t>
      </w:r>
    </w:p>
    <w:p>
      <w:pPr>
        <w:spacing w:after="0" w:line="67" w:lineRule="exact"/>
        <w:rPr>
          <w:sz w:val="20"/>
          <w:szCs w:val="20"/>
          <w:color w:val="auto"/>
        </w:rPr>
      </w:pPr>
    </w:p>
    <w:p>
      <w:pPr>
        <w:ind w:right="280"/>
        <w:spacing w:after="0" w:line="276" w:lineRule="auto"/>
        <w:rPr>
          <w:sz w:val="20"/>
          <w:szCs w:val="20"/>
          <w:color w:val="auto"/>
        </w:rPr>
      </w:pPr>
      <w:r>
        <w:rPr>
          <w:rFonts w:ascii="Arial" w:cs="Arial" w:eastAsia="Arial" w:hAnsi="Arial"/>
          <w:sz w:val="12"/>
          <w:szCs w:val="12"/>
          <w:color w:val="auto"/>
        </w:rPr>
        <w:t>A tax benefit from an uncertain tax position may be recognized when it is more likely than not that the position will be sustained upon examination, including resolutions of any related appeals or litigation processes, based on the technical merits.</w:t>
      </w:r>
    </w:p>
    <w:p>
      <w:pPr>
        <w:spacing w:after="0" w:line="97" w:lineRule="exact"/>
        <w:rPr>
          <w:sz w:val="20"/>
          <w:szCs w:val="20"/>
          <w:color w:val="auto"/>
        </w:rPr>
      </w:pPr>
    </w:p>
    <w:p>
      <w:pPr>
        <w:ind w:right="180"/>
        <w:spacing w:after="0" w:line="263" w:lineRule="auto"/>
        <w:rPr>
          <w:sz w:val="20"/>
          <w:szCs w:val="20"/>
          <w:color w:val="auto"/>
        </w:rPr>
      </w:pPr>
      <w:r>
        <w:rPr>
          <w:rFonts w:ascii="Arial" w:cs="Arial" w:eastAsia="Arial" w:hAnsi="Arial"/>
          <w:sz w:val="12"/>
          <w:szCs w:val="12"/>
          <w:color w:val="auto"/>
        </w:rPr>
        <w:t>We recognize tax liabilities for uncertain tax positions and adjust these liabilities when our judgment changes as a result of the evaluation of new information not previously available. Due to the complexity of some of these uncertainties, the ultimate resolution may result in a payment that is materially different from our current estimate of the tax liabilities. These differences will be reflected as increases or decreases to income tax expense in the period in which they are determined.</w:t>
      </w:r>
    </w:p>
    <w:p>
      <w:pPr>
        <w:spacing w:after="0" w:line="9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Earnings Per Share</w:t>
      </w:r>
    </w:p>
    <w:p>
      <w:pPr>
        <w:spacing w:after="0" w:line="15" w:lineRule="exact"/>
        <w:rPr>
          <w:sz w:val="20"/>
          <w:szCs w:val="20"/>
          <w:color w:val="auto"/>
        </w:rPr>
      </w:pPr>
    </w:p>
    <w:p>
      <w:pPr>
        <w:ind w:right="220"/>
        <w:spacing w:after="0" w:line="254" w:lineRule="auto"/>
        <w:rPr>
          <w:sz w:val="20"/>
          <w:szCs w:val="20"/>
          <w:color w:val="auto"/>
        </w:rPr>
      </w:pPr>
      <w:r>
        <w:rPr>
          <w:rFonts w:ascii="Arial" w:cs="Arial" w:eastAsia="Arial" w:hAnsi="Arial"/>
          <w:sz w:val="12"/>
          <w:szCs w:val="12"/>
          <w:color w:val="auto"/>
        </w:rPr>
        <w:t>The Company presents both basic and diluted earnings per share amounts. Basic EPS is calculated by dividing net income attributable to the Company by the weighted average number of common shares outstanding during the year. Diluted EPS is based upon the weighted average number of common and common equivalent shares outstanding during the year, which is calculated using the treasury-stock method for equity-based awards. Common equivalent shares are excluded from the computation of diluted EPS in periods for which they have an anti-dilutive effect. Stock options for which the exercise price exceeds the average market price over the period are anti-dilutive and, accordingly, are excluded from the calculation</w:t>
      </w:r>
    </w:p>
    <w:p>
      <w:pPr>
        <w:spacing w:after="0" w:line="10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Real Estate Purchase Price Allocation</w:t>
      </w:r>
    </w:p>
    <w:p>
      <w:pPr>
        <w:spacing w:after="0" w:line="15" w:lineRule="exact"/>
        <w:rPr>
          <w:sz w:val="20"/>
          <w:szCs w:val="20"/>
          <w:color w:val="auto"/>
        </w:rPr>
      </w:pPr>
    </w:p>
    <w:p>
      <w:pPr>
        <w:ind w:right="220"/>
        <w:spacing w:after="0" w:line="290" w:lineRule="auto"/>
        <w:rPr>
          <w:sz w:val="20"/>
          <w:szCs w:val="20"/>
          <w:color w:val="auto"/>
        </w:rPr>
      </w:pPr>
      <w:r>
        <w:rPr>
          <w:rFonts w:ascii="Arial" w:cs="Arial" w:eastAsia="Arial" w:hAnsi="Arial"/>
          <w:sz w:val="11"/>
          <w:szCs w:val="11"/>
          <w:color w:val="auto"/>
        </w:rPr>
        <w:t>We allocate the purchase price to tangible assets of an acquired property (which includes land, building and tenant improvements) based on the estimated fair values of those tangible assets assuming the building was vacant. Estimates of fair value for land are based on factors such as comparisons to other properties sold in the same geographic area adjusted for unique characteristics. Estimates of fair values of buildings and tenant improvements are based on present values determined based upon the application of hypothetical leases with market rates and terms.</w:t>
      </w:r>
    </w:p>
    <w:p>
      <w:pPr>
        <w:spacing w:after="0" w:line="91" w:lineRule="exact"/>
        <w:rPr>
          <w:sz w:val="20"/>
          <w:szCs w:val="20"/>
          <w:color w:val="auto"/>
        </w:rPr>
      </w:pPr>
    </w:p>
    <w:p>
      <w:pPr>
        <w:ind w:right="80"/>
        <w:spacing w:after="0" w:line="290" w:lineRule="auto"/>
        <w:rPr>
          <w:sz w:val="20"/>
          <w:szCs w:val="20"/>
          <w:color w:val="auto"/>
        </w:rPr>
      </w:pPr>
      <w:r>
        <w:rPr>
          <w:rFonts w:ascii="Arial" w:cs="Arial" w:eastAsia="Arial" w:hAnsi="Arial"/>
          <w:sz w:val="11"/>
          <w:szCs w:val="11"/>
          <w:color w:val="auto"/>
        </w:rPr>
        <w:t>We record above-market and below-market in-place lease values for acquired properties based on the present value (using an interest rate which reflects the risks associated with the leases acquired) of the difference between (i) the contractual amounts to be paid pursuant to the in-place leases and (ii) management’s estimate of fair market lease rates for the corresponding in-place leases, measured over a period equal to the remaining non-cancelable term of the lease. We amortize any capitalized above-market lease values as a reduction of rental income over the remaining non-cancelable terms of the respective leases. We amortize any capitalized below-market lease values as an increase to rental income over the initial term and any fixed-rate renewal periods in the respective leases.</w:t>
      </w:r>
    </w:p>
    <w:p>
      <w:pPr>
        <w:spacing w:after="0" w:line="82" w:lineRule="exact"/>
        <w:rPr>
          <w:sz w:val="20"/>
          <w:szCs w:val="20"/>
          <w:color w:val="auto"/>
        </w:rPr>
      </w:pPr>
    </w:p>
    <w:p>
      <w:pPr>
        <w:ind w:right="20"/>
        <w:spacing w:after="0" w:line="283" w:lineRule="auto"/>
        <w:rPr>
          <w:sz w:val="20"/>
          <w:szCs w:val="20"/>
          <w:color w:val="auto"/>
        </w:rPr>
      </w:pPr>
      <w:r>
        <w:rPr>
          <w:rFonts w:ascii="Arial" w:cs="Arial" w:eastAsia="Arial" w:hAnsi="Arial"/>
          <w:sz w:val="11"/>
          <w:szCs w:val="11"/>
          <w:color w:val="auto"/>
        </w:rPr>
        <w:t>We measure the aggregate value of other intangible assets acquired based on the difference between (i) the property valued with existing in-place leases adjusted to market rental rates and (ii) the property valued as if vacant. Management’s estimates of value are made using methods similar to those used by independent appraisers (e.g., discounted cash flow analysis). Factors considered by management in its analysis include an estimate of carrying costs during hypothetical expected lease-up periods considering current market conditions, and costs to execute similar leases. We also consider information obtained about each property as a result of our pre-acquisition due diligence, marketing, and leasing activities in estimating the fair value of the tangible and intangible assets acquired. In estimating carrying costs, management includes real estate taxes, insurance and other operating expenses and estimates of lost rentals at market rates during the expected lease-up periods. Management also estimates costs to execute similar leases including leasing commissions, legal, and other related expenses to the extent that such costs are not already incurred in connection with a new lease origination as part of the transaction.</w:t>
      </w:r>
    </w:p>
    <w:p>
      <w:pPr>
        <w:spacing w:after="0" w:line="87" w:lineRule="exact"/>
        <w:rPr>
          <w:sz w:val="20"/>
          <w:szCs w:val="20"/>
          <w:color w:val="auto"/>
        </w:rPr>
      </w:pPr>
    </w:p>
    <w:p>
      <w:pPr>
        <w:ind w:right="20"/>
        <w:spacing w:after="0" w:line="340" w:lineRule="auto"/>
        <w:rPr>
          <w:sz w:val="20"/>
          <w:szCs w:val="20"/>
          <w:color w:val="auto"/>
        </w:rPr>
      </w:pPr>
      <w:r>
        <w:rPr>
          <w:rFonts w:ascii="Arial" w:cs="Arial" w:eastAsia="Arial" w:hAnsi="Arial"/>
          <w:sz w:val="10"/>
          <w:szCs w:val="10"/>
          <w:color w:val="auto"/>
        </w:rPr>
        <w:t>The total amount of other intangible assets acquired is further allocated to in-place lease values and customer relationship intangible values based on management’s evaluation of the specific characteristics of each tenant’s lease and our overall relationship with that respective tenant. Characteristics considered by management in allocating these values include the nature and extent of our existing business relationships with the tenant, growth prospects for developing new business with the tenant, the tenant’s credit quality and expectations of lease renewals (including those existing under the terms of the lease agreement), among other factors.</w:t>
      </w:r>
    </w:p>
    <w:p>
      <w:pPr>
        <w:spacing w:after="0" w:line="70" w:lineRule="exact"/>
        <w:rPr>
          <w:sz w:val="20"/>
          <w:szCs w:val="20"/>
          <w:color w:val="auto"/>
        </w:rPr>
      </w:pPr>
    </w:p>
    <w:p>
      <w:pPr>
        <w:ind w:right="80"/>
        <w:spacing w:after="0" w:line="263" w:lineRule="auto"/>
        <w:rPr>
          <w:sz w:val="20"/>
          <w:szCs w:val="20"/>
          <w:color w:val="auto"/>
        </w:rPr>
      </w:pPr>
      <w:r>
        <w:rPr>
          <w:rFonts w:ascii="Arial" w:cs="Arial" w:eastAsia="Arial" w:hAnsi="Arial"/>
          <w:sz w:val="12"/>
          <w:szCs w:val="12"/>
          <w:color w:val="auto"/>
        </w:rPr>
        <w:t>We amortize the value of in-place leases to expense over the initial term of the respective leases. The value of customer relationship intangibles is amortized to expense over the initial term and any renewal periods in the respective leases, but in no event may the amortization period for intangible assets exceed the remaining depreciable life of the building. Should a tenant terminate its lease, the unamortized portion of the in-place lease value and customer relationship intangibles would be charged to expense.</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59690</wp:posOffset>
            </wp:positionV>
            <wp:extent cx="677989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779895" cy="42545"/>
                    </a:xfrm>
                    <a:prstGeom prst="rect">
                      <a:avLst/>
                    </a:prstGeom>
                    <a:noFill/>
                  </pic:spPr>
                </pic:pic>
              </a:graphicData>
            </a:graphic>
          </wp:anchor>
        </w:drawing>
      </w:r>
    </w:p>
    <w:p>
      <w:pPr>
        <w:sectPr>
          <w:pgSz w:w="11900" w:h="16838" w:orient="portrait"/>
          <w:cols w:equalWidth="0" w:num="1">
            <w:col w:w="10620"/>
          </w:cols>
          <w:pgMar w:left="640" w:top="275" w:right="639" w:bottom="1440" w:gutter="0" w:footer="0" w:header="0"/>
        </w:sectPr>
      </w:pPr>
    </w:p>
    <w:bookmarkStart w:id="67" w:name="page68"/>
    <w:bookmarkEnd w:id="67"/>
    <w:p>
      <w:pPr>
        <w:jc w:val="both"/>
        <w:ind w:right="300"/>
        <w:spacing w:after="0" w:line="340" w:lineRule="auto"/>
        <w:rPr>
          <w:sz w:val="20"/>
          <w:szCs w:val="20"/>
          <w:color w:val="auto"/>
        </w:rPr>
      </w:pPr>
      <w:r>
        <w:rPr>
          <w:rFonts w:ascii="Arial" w:cs="Arial" w:eastAsia="Arial" w:hAnsi="Arial"/>
          <w:sz w:val="10"/>
          <w:szCs w:val="10"/>
          <w:color w:val="auto"/>
        </w:rPr>
        <w:t>These assessments have a direct impact on revenue and net income. If we assign more fair value to the in-place leases versus buildings and tenant improvements, assigned costs would generally be depreciated over a shorter period, resulting in more depreciation expense and a lower net income on an annual basis. Likewise, if we estimate that more of our leases in-place at acquisition are on terms believed to be above the current market rates for similar properties, the calculated present value of the amount above-market would be amortized monthly as a direct reduction to rental revenue and ultimately reduce the amount of net income.</w:t>
      </w:r>
    </w:p>
    <w:p>
      <w:pPr>
        <w:spacing w:after="0" w:line="6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Business Acquisition Valuations</w:t>
      </w:r>
    </w:p>
    <w:p>
      <w:pPr>
        <w:spacing w:after="0" w:line="15" w:lineRule="exact"/>
        <w:rPr>
          <w:sz w:val="20"/>
          <w:szCs w:val="20"/>
          <w:color w:val="auto"/>
        </w:rPr>
      </w:pPr>
    </w:p>
    <w:p>
      <w:pPr>
        <w:spacing w:after="0" w:line="253" w:lineRule="auto"/>
        <w:rPr>
          <w:sz w:val="20"/>
          <w:szCs w:val="20"/>
          <w:color w:val="auto"/>
        </w:rPr>
      </w:pPr>
      <w:r>
        <w:rPr>
          <w:rFonts w:ascii="Arial" w:cs="Arial" w:eastAsia="Arial" w:hAnsi="Arial"/>
          <w:sz w:val="12"/>
          <w:szCs w:val="12"/>
          <w:color w:val="auto"/>
        </w:rPr>
        <w:t>The assets and liabilities of businesses acquired are recorded at their respective preliminary fair values as of the acquisition date. Upon the acquisition of real properties, we allocate the purchase price of such properties to acquired tangible assets, consisting of land and building, and identified intangible assets and liabilities, consisting of the value of above-market and below-market leases and the value of in-place leases, based in each case on their fair values. We use independent appraisals to assist in the determination of the fair values of the tangible assets of an acquired property (which includes land and building). We also perform valuations and physical counts of property, plant and equipment, valuations of investments and the involuntary termination of employees, as necessary. Costs in excess of the net fair values of assets and liabilities acquired are recorded as goodwill.</w:t>
      </w:r>
    </w:p>
    <w:p>
      <w:pPr>
        <w:spacing w:after="0" w:line="110" w:lineRule="exact"/>
        <w:rPr>
          <w:sz w:val="20"/>
          <w:szCs w:val="20"/>
          <w:color w:val="auto"/>
        </w:rPr>
      </w:pPr>
    </w:p>
    <w:p>
      <w:pPr>
        <w:spacing w:after="0"/>
        <w:rPr>
          <w:sz w:val="20"/>
          <w:szCs w:val="20"/>
          <w:color w:val="auto"/>
        </w:rPr>
      </w:pPr>
      <w:r>
        <w:rPr>
          <w:rFonts w:ascii="Arial" w:cs="Arial" w:eastAsia="Arial" w:hAnsi="Arial"/>
          <w:sz w:val="12"/>
          <w:szCs w:val="12"/>
          <w:color w:val="auto"/>
        </w:rPr>
        <w:t>We record and amortize above-market and below-market operating leases assumed in the acquisition of a business in the same way as those under real estate acquisitions.</w:t>
      </w:r>
    </w:p>
    <w:p>
      <w:pPr>
        <w:spacing w:after="0" w:line="123" w:lineRule="exact"/>
        <w:rPr>
          <w:sz w:val="20"/>
          <w:szCs w:val="20"/>
          <w:color w:val="auto"/>
        </w:rPr>
      </w:pPr>
    </w:p>
    <w:p>
      <w:pPr>
        <w:ind w:right="340"/>
        <w:spacing w:after="0" w:line="323" w:lineRule="auto"/>
        <w:rPr>
          <w:sz w:val="20"/>
          <w:szCs w:val="20"/>
          <w:color w:val="auto"/>
        </w:rPr>
      </w:pPr>
      <w:r>
        <w:rPr>
          <w:rFonts w:ascii="Arial" w:cs="Arial" w:eastAsia="Arial" w:hAnsi="Arial"/>
          <w:sz w:val="11"/>
          <w:szCs w:val="11"/>
          <w:color w:val="auto"/>
        </w:rPr>
        <w:t>The fair values of any other intangible assets acquired are based on the expected discounted cash flows of the identified intangible assets. Finite lived intangible assets are amortized using the straight-line method of amortization over the expected period in which those assets are expected to contribute to our future cash flows. We do not amortize indefinite lived intangibles and goodwill.</w:t>
      </w:r>
    </w:p>
    <w:p>
      <w:pPr>
        <w:spacing w:after="0" w:line="6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Out-of-Period Adjustment</w:t>
      </w:r>
    </w:p>
    <w:p>
      <w:pPr>
        <w:spacing w:after="0" w:line="15" w:lineRule="exact"/>
        <w:rPr>
          <w:sz w:val="20"/>
          <w:szCs w:val="20"/>
          <w:color w:val="auto"/>
        </w:rPr>
      </w:pPr>
    </w:p>
    <w:p>
      <w:pPr>
        <w:ind w:right="60"/>
        <w:spacing w:after="0" w:line="281" w:lineRule="auto"/>
        <w:rPr>
          <w:sz w:val="20"/>
          <w:szCs w:val="20"/>
          <w:color w:val="auto"/>
        </w:rPr>
      </w:pPr>
      <w:r>
        <w:rPr>
          <w:rFonts w:ascii="Arial" w:cs="Arial" w:eastAsia="Arial" w:hAnsi="Arial"/>
          <w:sz w:val="11"/>
          <w:szCs w:val="11"/>
          <w:color w:val="auto"/>
        </w:rPr>
        <w:t>In the fourth quarter of fiscal year 2015, we recorded out-of-period adjustments of $514,000 to decrease our income tax expenses in our consolidated statements of operations. The adjustments, which increased deferred tax asset by $2,116,000, increased additional paid in capital by $793,000, increased other comprehensive income by $1,859,000 and decreased other non-current liabilities by $1,050,000, were made to correct our income tax and related equity and liability accounts. Of the $514,000 adjustment to decrease the income tax expense in 2015, $1,286,000 relates to the adjustment that should have been recorded in 2014, thus reducing our income tax benefit by this amount. The remaining $1,800,000 relates to income taxes pertaining to years prior to 2014 cumulatively, that would have increased our deferred tax asset by such amount. We determined that the adjustments did not have a material impact to our current or prior period consolidated financial statements.</w:t>
      </w:r>
    </w:p>
    <w:p>
      <w:pPr>
        <w:spacing w:after="0" w:line="9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Accounting Pronouncements Adopted and Issued During 2015</w:t>
      </w:r>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Adopted:</w:t>
      </w:r>
    </w:p>
    <w:p>
      <w:pPr>
        <w:spacing w:after="0" w:line="15" w:lineRule="exact"/>
        <w:rPr>
          <w:sz w:val="20"/>
          <w:szCs w:val="20"/>
          <w:color w:val="auto"/>
        </w:rPr>
      </w:pPr>
    </w:p>
    <w:p>
      <w:pPr>
        <w:spacing w:after="0" w:line="279" w:lineRule="auto"/>
        <w:rPr>
          <w:sz w:val="20"/>
          <w:szCs w:val="20"/>
          <w:color w:val="auto"/>
        </w:rPr>
      </w:pPr>
      <w:r>
        <w:rPr>
          <w:rFonts w:ascii="Arial" w:cs="Arial" w:eastAsia="Arial" w:hAnsi="Arial"/>
          <w:sz w:val="11"/>
          <w:szCs w:val="11"/>
          <w:color w:val="auto"/>
        </w:rPr>
        <w:t>On January 1, 2015, the Company adopted changes issued by the Financial Accounting Standards Board’s (“FASB”) to reporting discontinued operations and disclosures of disposals of components of an entity. These changes require a disposal of a component to meet a higher threshold in order to be reported as a discontinued operation in an entity’s financial statements. The threshold is defined as a strategic shift that has, or will have, a major effect on an entity’s operations and financial results such as a disposal of a major geographical area or a major line of business. In addition, the following two criteria have been removed from consideration of whether a component meets the requirements for discontinued operations presentation: (i) the operations and cash flows of a disposal component have been or will be eliminated from the ongoing operations of an entity as a result of the disposal transaction, and (ii) an entity will not have any significant continuing involvement in the operations of the disposal component after the disposal transaction. Furthermore, equity method investments now may qualify for discontinued operations presentation. The guidance applies prospectively to new disposals and new classifications of disposal groups as held for sale after the effective date. The adoption of these changes had no material impact on the consolidated financial statements.</w:t>
      </w:r>
    </w:p>
    <w:p>
      <w:pPr>
        <w:spacing w:after="0" w:line="88" w:lineRule="exact"/>
        <w:rPr>
          <w:sz w:val="20"/>
          <w:szCs w:val="20"/>
          <w:color w:val="auto"/>
        </w:rPr>
      </w:pPr>
    </w:p>
    <w:p>
      <w:pPr>
        <w:spacing w:after="0" w:line="286" w:lineRule="auto"/>
        <w:rPr>
          <w:sz w:val="20"/>
          <w:szCs w:val="20"/>
          <w:color w:val="auto"/>
        </w:rPr>
      </w:pPr>
      <w:r>
        <w:rPr>
          <w:rFonts w:ascii="Arial" w:cs="Arial" w:eastAsia="Arial" w:hAnsi="Arial"/>
          <w:sz w:val="11"/>
          <w:szCs w:val="11"/>
          <w:color w:val="auto"/>
        </w:rPr>
        <w:t xml:space="preserve">In November 2015, the FASB issued Accounting Standards Update ("ASU") 2015-17, </w:t>
      </w:r>
      <w:r>
        <w:rPr>
          <w:rFonts w:ascii="Arial" w:cs="Arial" w:eastAsia="Arial" w:hAnsi="Arial"/>
          <w:sz w:val="11"/>
          <w:szCs w:val="11"/>
          <w:i w:val="1"/>
          <w:iCs w:val="1"/>
          <w:color w:val="auto"/>
        </w:rPr>
        <w:t>Income Taxes (Topic 740) -Balance Sheet Classification of Deferred Taxes,</w:t>
      </w:r>
      <w:r>
        <w:rPr>
          <w:rFonts w:ascii="Arial" w:cs="Arial" w:eastAsia="Arial" w:hAnsi="Arial"/>
          <w:sz w:val="11"/>
          <w:szCs w:val="11"/>
          <w:color w:val="auto"/>
        </w:rPr>
        <w:t xml:space="preserve"> which simplifies the presentation of deferred income taxes by requiring deferred tax assets and liabilities be classified as noncurrent on the balance sheets. The amendments in this ASU are effective for financial statements issued for annual periods beginning after December 15, 2016, and interim periods within those annual periods. Early adoption is permitted and the amendments may be applied either prospectively to all deferred tax assets and liabilities or retrospectively to all periods presented. We early adopted this ASU as of December 31, 2015 on a retrospective basis and included the current portion of deferred tax assets within the noncurrent portion of deferred tax assets within our consolidated balance sheets as of December 31, 2015 and 2014. There was no impact on our results of operations as a result of the adoption of this ASU.</w:t>
      </w:r>
    </w:p>
    <w:p>
      <w:pPr>
        <w:spacing w:after="0" w:line="9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Issued:</w:t>
      </w:r>
    </w:p>
    <w:p>
      <w:pPr>
        <w:spacing w:after="0" w:line="15" w:lineRule="exact"/>
        <w:rPr>
          <w:sz w:val="20"/>
          <w:szCs w:val="20"/>
          <w:color w:val="auto"/>
        </w:rPr>
      </w:pPr>
    </w:p>
    <w:p>
      <w:pPr>
        <w:ind w:right="280"/>
        <w:spacing w:after="0" w:line="261" w:lineRule="auto"/>
        <w:rPr>
          <w:sz w:val="20"/>
          <w:szCs w:val="20"/>
          <w:color w:val="auto"/>
        </w:rPr>
      </w:pPr>
      <w:r>
        <w:rPr>
          <w:rFonts w:ascii="Arial" w:cs="Arial" w:eastAsia="Arial" w:hAnsi="Arial"/>
          <w:sz w:val="12"/>
          <w:szCs w:val="12"/>
          <w:color w:val="auto"/>
        </w:rPr>
        <w:t xml:space="preserve">On February 25, the FASB released ASU 2016-02, </w:t>
      </w:r>
      <w:r>
        <w:rPr>
          <w:rFonts w:ascii="Arial" w:cs="Arial" w:eastAsia="Arial" w:hAnsi="Arial"/>
          <w:sz w:val="12"/>
          <w:szCs w:val="12"/>
          <w:i w:val="1"/>
          <w:iCs w:val="1"/>
          <w:color w:val="auto"/>
        </w:rPr>
        <w:t>Leases</w:t>
      </w:r>
      <w:r>
        <w:rPr>
          <w:rFonts w:ascii="Arial" w:cs="Arial" w:eastAsia="Arial" w:hAnsi="Arial"/>
          <w:sz w:val="12"/>
          <w:szCs w:val="12"/>
          <w:color w:val="auto"/>
        </w:rPr>
        <w:t xml:space="preserve">, completing its project to overhaul lease accounting. The ASU codifies ASC 842, </w:t>
      </w:r>
      <w:r>
        <w:rPr>
          <w:rFonts w:ascii="Arial" w:cs="Arial" w:eastAsia="Arial" w:hAnsi="Arial"/>
          <w:sz w:val="12"/>
          <w:szCs w:val="12"/>
          <w:i w:val="1"/>
          <w:iCs w:val="1"/>
          <w:color w:val="auto"/>
        </w:rPr>
        <w:t>Leases</w:t>
      </w:r>
      <w:r>
        <w:rPr>
          <w:rFonts w:ascii="Arial" w:cs="Arial" w:eastAsia="Arial" w:hAnsi="Arial"/>
          <w:sz w:val="12"/>
          <w:szCs w:val="12"/>
          <w:color w:val="auto"/>
        </w:rPr>
        <w:t>, which will replace the guidance in ASC 840. The new guidance is effective for public business entities in fiscal</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59690</wp:posOffset>
            </wp:positionV>
            <wp:extent cx="677989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779895" cy="42545"/>
                    </a:xfrm>
                    <a:prstGeom prst="rect">
                      <a:avLst/>
                    </a:prstGeom>
                    <a:noFill/>
                  </pic:spPr>
                </pic:pic>
              </a:graphicData>
            </a:graphic>
          </wp:anchor>
        </w:drawing>
      </w:r>
    </w:p>
    <w:p>
      <w:pPr>
        <w:sectPr>
          <w:pgSz w:w="11900" w:h="16838" w:orient="portrait"/>
          <w:cols w:equalWidth="0" w:num="1">
            <w:col w:w="10620"/>
          </w:cols>
          <w:pgMar w:left="640" w:top="275" w:right="639" w:bottom="1440" w:gutter="0" w:footer="0" w:header="0"/>
        </w:sectPr>
      </w:pPr>
    </w:p>
    <w:bookmarkStart w:id="68" w:name="page69"/>
    <w:bookmarkEnd w:id="68"/>
    <w:p>
      <w:pPr>
        <w:spacing w:after="0"/>
        <w:rPr>
          <w:sz w:val="20"/>
          <w:szCs w:val="20"/>
          <w:color w:val="auto"/>
        </w:rPr>
      </w:pPr>
      <w:r>
        <w:rPr>
          <w:rFonts w:ascii="Arial" w:cs="Arial" w:eastAsia="Arial" w:hAnsi="Arial"/>
          <w:sz w:val="11"/>
          <w:szCs w:val="11"/>
          <w:color w:val="auto"/>
        </w:rPr>
        <w:t>years beginning after December 15, 2018. Early adoption is permitted for all entities. The Company is evaluating the impact of adopting this new accounting guidance on the consolidated financial statements.</w:t>
      </w:r>
    </w:p>
    <w:p>
      <w:pPr>
        <w:spacing w:after="0" w:line="135" w:lineRule="exact"/>
        <w:rPr>
          <w:sz w:val="20"/>
          <w:szCs w:val="20"/>
          <w:color w:val="auto"/>
        </w:rPr>
      </w:pPr>
    </w:p>
    <w:p>
      <w:pPr>
        <w:ind w:right="20"/>
        <w:spacing w:after="0" w:line="290" w:lineRule="auto"/>
        <w:rPr>
          <w:sz w:val="20"/>
          <w:szCs w:val="20"/>
          <w:color w:val="auto"/>
        </w:rPr>
      </w:pPr>
      <w:r>
        <w:rPr>
          <w:rFonts w:ascii="Arial" w:cs="Arial" w:eastAsia="Arial" w:hAnsi="Arial"/>
          <w:sz w:val="11"/>
          <w:szCs w:val="11"/>
          <w:color w:val="auto"/>
        </w:rPr>
        <w:t xml:space="preserve">In January 2016, the FASB issued ASU 2016-01, </w:t>
      </w:r>
      <w:r>
        <w:rPr>
          <w:rFonts w:ascii="Arial" w:cs="Arial" w:eastAsia="Arial" w:hAnsi="Arial"/>
          <w:sz w:val="11"/>
          <w:szCs w:val="11"/>
          <w:i w:val="1"/>
          <w:iCs w:val="1"/>
          <w:color w:val="auto"/>
        </w:rPr>
        <w:t>Financial Instruments - Overall (Subtopic 825-10) - Recognition and Measurement of Financial Assets and Financial Liabilities</w:t>
      </w:r>
      <w:r>
        <w:rPr>
          <w:rFonts w:ascii="Arial" w:cs="Arial" w:eastAsia="Arial" w:hAnsi="Arial"/>
          <w:sz w:val="11"/>
          <w:szCs w:val="11"/>
          <w:color w:val="auto"/>
        </w:rPr>
        <w:t>, effective for the Company on January 1, 2018. The ASU mainly relates to accounting for equity investments (except those accounted for under the equity method or those that result in consolidation of the investee), financial liabilities under the fair value option, and the presentation and disclosure requirements for certain financial instruments. In addition, the FASB clarified guidance related to the valuation allowance assessment when recognizing deferred tax assets resulting from unrealized losses on available-for-sale debt securities. The Company is evaluating the impact of adopting this new accounting guidance on the consolidated financial statements.</w:t>
      </w:r>
    </w:p>
    <w:p>
      <w:pPr>
        <w:spacing w:after="0" w:line="91" w:lineRule="exact"/>
        <w:rPr>
          <w:sz w:val="20"/>
          <w:szCs w:val="20"/>
          <w:color w:val="auto"/>
        </w:rPr>
      </w:pPr>
    </w:p>
    <w:p>
      <w:pPr>
        <w:ind w:right="80"/>
        <w:spacing w:after="0" w:line="283" w:lineRule="auto"/>
        <w:rPr>
          <w:sz w:val="20"/>
          <w:szCs w:val="20"/>
          <w:color w:val="auto"/>
        </w:rPr>
      </w:pPr>
      <w:r>
        <w:rPr>
          <w:rFonts w:ascii="Arial" w:cs="Arial" w:eastAsia="Arial" w:hAnsi="Arial"/>
          <w:sz w:val="11"/>
          <w:szCs w:val="11"/>
          <w:color w:val="auto"/>
        </w:rPr>
        <w:t xml:space="preserve">In September 2015, the FASB issued ASU 2015-16, </w:t>
      </w:r>
      <w:r>
        <w:rPr>
          <w:rFonts w:ascii="Arial" w:cs="Arial" w:eastAsia="Arial" w:hAnsi="Arial"/>
          <w:sz w:val="11"/>
          <w:szCs w:val="11"/>
          <w:i w:val="1"/>
          <w:iCs w:val="1"/>
          <w:color w:val="auto"/>
        </w:rPr>
        <w:t>Simplifying the Accounting for Measurement-Period Adjustments,</w:t>
      </w:r>
      <w:r>
        <w:rPr>
          <w:rFonts w:ascii="Arial" w:cs="Arial" w:eastAsia="Arial" w:hAnsi="Arial"/>
          <w:sz w:val="11"/>
          <w:szCs w:val="11"/>
          <w:color w:val="auto"/>
        </w:rPr>
        <w:t xml:space="preserve"> effective for the Company on January 1, 2016. Under the ASU, an acquirer in a business combination transaction must recognize adjustments to provisional amounts that are identified during the measurement period in the reporting period in which the adjustment amounts are determined. The effect on earnings of changes in depreciation or amortization, or other income effects, if any, as a result of the change to the provisional amounts, calculated as if the accounting had been completed as of the acquisition date, must be recorded in the reporting period in which the adjustment amounts are determined rather than retrospectively. The ASU also requires that the acquirer present separately on the face of the income statement, or disclose in the notes, the portion of the amount recorded in current-period earnings by line item that would have been recorded in previous reporting periods if the adjustment to the provisional amounts had been recognized as of the acquisition date. The adoption of this standard is not expected to have a material impact on the Company's consolidated financial statements.</w:t>
      </w:r>
    </w:p>
    <w:p>
      <w:pPr>
        <w:spacing w:after="0" w:line="87" w:lineRule="exact"/>
        <w:rPr>
          <w:sz w:val="20"/>
          <w:szCs w:val="20"/>
          <w:color w:val="auto"/>
        </w:rPr>
      </w:pPr>
    </w:p>
    <w:p>
      <w:pPr>
        <w:spacing w:after="0" w:line="286" w:lineRule="auto"/>
        <w:rPr>
          <w:sz w:val="20"/>
          <w:szCs w:val="20"/>
          <w:color w:val="auto"/>
        </w:rPr>
      </w:pPr>
      <w:r>
        <w:rPr>
          <w:rFonts w:ascii="Arial" w:cs="Arial" w:eastAsia="Arial" w:hAnsi="Arial"/>
          <w:sz w:val="11"/>
          <w:szCs w:val="11"/>
          <w:color w:val="auto"/>
        </w:rPr>
        <w:t xml:space="preserve">In April 2015, the FASB issued ASU 2015-03, </w:t>
      </w:r>
      <w:r>
        <w:rPr>
          <w:rFonts w:ascii="Arial" w:cs="Arial" w:eastAsia="Arial" w:hAnsi="Arial"/>
          <w:sz w:val="11"/>
          <w:szCs w:val="11"/>
          <w:i w:val="1"/>
          <w:iCs w:val="1"/>
          <w:color w:val="auto"/>
        </w:rPr>
        <w:t>Interest-Imputation of Interest (Subtopic 835-03) - Simplifying the Presentation of Debt Issuance Costs</w:t>
      </w:r>
      <w:r>
        <w:rPr>
          <w:rFonts w:ascii="Arial" w:cs="Arial" w:eastAsia="Arial" w:hAnsi="Arial"/>
          <w:sz w:val="11"/>
          <w:szCs w:val="11"/>
          <w:color w:val="auto"/>
        </w:rPr>
        <w:t xml:space="preserve"> which requires unamortized debt issuance costs to be presented as a reduction of the corresponding debt liability rather than a separate asset. In August 2015, the FASB issued ASU 2015-15, </w:t>
      </w:r>
      <w:r>
        <w:rPr>
          <w:rFonts w:ascii="Arial" w:cs="Arial" w:eastAsia="Arial" w:hAnsi="Arial"/>
          <w:sz w:val="11"/>
          <w:szCs w:val="11"/>
          <w:i w:val="1"/>
          <w:iCs w:val="1"/>
          <w:color w:val="auto"/>
        </w:rPr>
        <w:t>Presentation and Subsequent Measurement of Debt Issuance Costs Associated with Line-of-Credit</w:t>
      </w:r>
      <w:r>
        <w:rPr>
          <w:rFonts w:ascii="Arial" w:cs="Arial" w:eastAsia="Arial" w:hAnsi="Arial"/>
          <w:sz w:val="11"/>
          <w:szCs w:val="11"/>
          <w:color w:val="auto"/>
        </w:rPr>
        <w:t xml:space="preserve"> </w:t>
      </w:r>
      <w:r>
        <w:rPr>
          <w:rFonts w:ascii="Arial" w:cs="Arial" w:eastAsia="Arial" w:hAnsi="Arial"/>
          <w:sz w:val="11"/>
          <w:szCs w:val="11"/>
          <w:i w:val="1"/>
          <w:iCs w:val="1"/>
          <w:color w:val="auto"/>
        </w:rPr>
        <w:t>Arrangements</w:t>
      </w:r>
      <w:r>
        <w:rPr>
          <w:rFonts w:ascii="Arial" w:cs="Arial" w:eastAsia="Arial" w:hAnsi="Arial"/>
          <w:sz w:val="11"/>
          <w:szCs w:val="11"/>
          <w:color w:val="auto"/>
        </w:rPr>
        <w:t>. This ASU states that the Securities and Exchange Commission (“SEC”) staff would not object to an entity deferring and presenting debt issuance costs as an asset and subsequently amortizing deferred debt</w:t>
      </w:r>
      <w:r>
        <w:rPr>
          <w:rFonts w:ascii="Arial" w:cs="Arial" w:eastAsia="Arial" w:hAnsi="Arial"/>
          <w:sz w:val="11"/>
          <w:szCs w:val="11"/>
          <w:i w:val="1"/>
          <w:iCs w:val="1"/>
          <w:color w:val="auto"/>
        </w:rPr>
        <w:t xml:space="preserve"> </w:t>
      </w:r>
      <w:r>
        <w:rPr>
          <w:rFonts w:ascii="Arial" w:cs="Arial" w:eastAsia="Arial" w:hAnsi="Arial"/>
          <w:sz w:val="11"/>
          <w:szCs w:val="11"/>
          <w:color w:val="auto"/>
        </w:rPr>
        <w:t>issuance costs ratably over the term of the line-of-credit arrangement, regardless of whether there are outstanding borrowings under the line-of-credit arrangement. These changes become effective for the Company on January 1, 2016. The adoption of these standards is not expected to have a material impact on the Company's consolidated financial statements.</w:t>
      </w:r>
    </w:p>
    <w:p>
      <w:pPr>
        <w:spacing w:after="0" w:line="84" w:lineRule="exact"/>
        <w:rPr>
          <w:sz w:val="20"/>
          <w:szCs w:val="20"/>
          <w:color w:val="auto"/>
        </w:rPr>
      </w:pPr>
    </w:p>
    <w:p>
      <w:pPr>
        <w:ind w:right="40"/>
        <w:spacing w:after="0" w:line="281" w:lineRule="auto"/>
        <w:rPr>
          <w:sz w:val="20"/>
          <w:szCs w:val="20"/>
          <w:color w:val="auto"/>
        </w:rPr>
      </w:pPr>
      <w:r>
        <w:rPr>
          <w:rFonts w:ascii="Arial" w:cs="Arial" w:eastAsia="Arial" w:hAnsi="Arial"/>
          <w:sz w:val="11"/>
          <w:szCs w:val="11"/>
          <w:color w:val="auto"/>
        </w:rPr>
        <w:t>In May 2014, the FASB issued a new standard to achieve a consistent application of revenue recognition within the U.S., resulting in a single revenue model to be applied by reporting companies under US GAAP. Under the new model, recognition of revenues occurs when a customer obtains control of promised goods or services in an amount that reflects the consideration to which the entity expects to be entitled in exchange for those goods or services. In addition, the new standard requires that reporting companies disclose the nature, amount, timing and uncertainty of revenue and cash flows arising from contracts with customers. The new standard becomes effective for the Company on January 1, 2018. Early adoption is permitted but cannot be earlier than January 1, 2017. The new standard is required to be applied retrospectively to each prior reporting period presented or retrospectively with the cumulative effect of initially applying it recognized at the date of initial application. We have not yet selected a transition method nor have we determined the impact of the new standard on our consolidated financial statements. While we believe the proposed guidance will not have a material impact on our business because our revenue predominantly comes from movie ticket sales and concession purchases, we plan to complete the analysis to ensure that we are in compliance prior to the effective date.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59690</wp:posOffset>
            </wp:positionV>
            <wp:extent cx="677989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779895" cy="42545"/>
                    </a:xfrm>
                    <a:prstGeom prst="rect">
                      <a:avLst/>
                    </a:prstGeom>
                    <a:noFill/>
                  </pic:spPr>
                </pic:pic>
              </a:graphicData>
            </a:graphic>
          </wp:anchor>
        </w:drawing>
      </w:r>
    </w:p>
    <w:p>
      <w:pPr>
        <w:sectPr>
          <w:pgSz w:w="11900" w:h="16838" w:orient="portrait"/>
          <w:cols w:equalWidth="0" w:num="1">
            <w:col w:w="10600"/>
          </w:cols>
          <w:pgMar w:left="640" w:top="275" w:right="659" w:bottom="1440" w:gutter="0" w:footer="0" w:header="0"/>
        </w:sectPr>
      </w:pPr>
    </w:p>
    <w:bookmarkStart w:id="69" w:name="page70"/>
    <w:bookmarkEnd w:id="69"/>
    <w:p>
      <w:pPr>
        <w:spacing w:after="0"/>
        <w:rPr>
          <w:sz w:val="20"/>
          <w:szCs w:val="20"/>
          <w:color w:val="auto"/>
        </w:rPr>
      </w:pPr>
      <w:r>
        <w:rPr>
          <w:rFonts w:ascii="Arial" w:cs="Arial" w:eastAsia="Arial" w:hAnsi="Arial"/>
          <w:sz w:val="12"/>
          <w:szCs w:val="12"/>
          <w:b w:val="1"/>
          <w:bCs w:val="1"/>
          <w:color w:val="auto"/>
        </w:rPr>
        <w:t>NOTE 3 – Earnings Per Share</w:t>
      </w:r>
    </w:p>
    <w:p>
      <w:pPr>
        <w:spacing w:after="0" w:line="127" w:lineRule="exact"/>
        <w:rPr>
          <w:sz w:val="20"/>
          <w:szCs w:val="20"/>
          <w:color w:val="auto"/>
        </w:rPr>
      </w:pPr>
    </w:p>
    <w:p>
      <w:pPr>
        <w:ind w:right="360"/>
        <w:spacing w:after="0" w:line="276" w:lineRule="auto"/>
        <w:rPr>
          <w:sz w:val="20"/>
          <w:szCs w:val="20"/>
          <w:color w:val="auto"/>
        </w:rPr>
      </w:pPr>
      <w:r>
        <w:rPr>
          <w:rFonts w:ascii="Arial" w:cs="Arial" w:eastAsia="Arial" w:hAnsi="Arial"/>
          <w:sz w:val="11"/>
          <w:szCs w:val="11"/>
          <w:color w:val="auto"/>
        </w:rPr>
        <w:t xml:space="preserve">The following table sets forth the computation of basic and diluted </w:t>
      </w:r>
      <w:r>
        <w:rPr>
          <w:rFonts w:ascii="Arial" w:cs="Arial" w:eastAsia="Arial" w:hAnsi="Arial"/>
          <w:sz w:val="12"/>
          <w:szCs w:val="12"/>
          <w:color w:val="auto"/>
        </w:rPr>
        <w:t>EPS and a reconciliation of the weighted average number of common and common equivalent shares outstanding for the three years ended December</w:t>
      </w:r>
      <w:r>
        <w:rPr>
          <w:rFonts w:ascii="Arial" w:cs="Arial" w:eastAsia="Arial" w:hAnsi="Arial"/>
          <w:sz w:val="11"/>
          <w:szCs w:val="11"/>
          <w:color w:val="auto"/>
        </w:rPr>
        <w:t xml:space="preserve"> </w:t>
      </w:r>
      <w:r>
        <w:rPr>
          <w:rFonts w:ascii="Arial" w:cs="Arial" w:eastAsia="Arial" w:hAnsi="Arial"/>
          <w:sz w:val="12"/>
          <w:szCs w:val="12"/>
          <w:color w:val="auto"/>
        </w:rPr>
        <w:t>31, 2015</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5920" w:type="dxa"/>
            <w:vAlign w:val="bottom"/>
            <w:tcBorders>
              <w:bottom w:val="single" w:sz="8" w:color="auto"/>
            </w:tcBorders>
          </w:tcPr>
          <w:p>
            <w:pPr>
              <w:spacing w:after="0"/>
              <w:rPr>
                <w:sz w:val="20"/>
                <w:szCs w:val="20"/>
                <w:color w:val="auto"/>
              </w:rPr>
            </w:pPr>
            <w:r>
              <w:rPr>
                <w:rFonts w:ascii="Arial" w:cs="Arial" w:eastAsia="Arial" w:hAnsi="Arial"/>
                <w:sz w:val="11"/>
                <w:szCs w:val="11"/>
                <w:color w:val="auto"/>
              </w:rPr>
              <w:t>(Dollars in thousands, except share and per share data)</w:t>
            </w:r>
          </w:p>
        </w:tc>
        <w:tc>
          <w:tcPr>
            <w:tcW w:w="28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466"/>
              <w:spacing w:after="0"/>
              <w:rPr>
                <w:sz w:val="20"/>
                <w:szCs w:val="20"/>
                <w:color w:val="auto"/>
              </w:rPr>
            </w:pPr>
            <w:r>
              <w:rPr>
                <w:rFonts w:ascii="Arial" w:cs="Arial" w:eastAsia="Arial" w:hAnsi="Arial"/>
                <w:sz w:val="11"/>
                <w:szCs w:val="11"/>
                <w:b w:val="1"/>
                <w:bCs w:val="1"/>
                <w:color w:val="auto"/>
              </w:rPr>
              <w:t>2015</w:t>
            </w:r>
          </w:p>
        </w:tc>
        <w:tc>
          <w:tcPr>
            <w:tcW w:w="28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486"/>
              <w:spacing w:after="0"/>
              <w:rPr>
                <w:sz w:val="20"/>
                <w:szCs w:val="20"/>
                <w:color w:val="auto"/>
              </w:rPr>
            </w:pPr>
            <w:r>
              <w:rPr>
                <w:rFonts w:ascii="Arial" w:cs="Arial" w:eastAsia="Arial" w:hAnsi="Arial"/>
                <w:sz w:val="11"/>
                <w:szCs w:val="11"/>
                <w:b w:val="1"/>
                <w:bCs w:val="1"/>
                <w:color w:val="auto"/>
              </w:rPr>
              <w:t>2014</w:t>
            </w:r>
          </w:p>
        </w:tc>
        <w:tc>
          <w:tcPr>
            <w:tcW w:w="28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486"/>
              <w:spacing w:after="0"/>
              <w:rPr>
                <w:sz w:val="20"/>
                <w:szCs w:val="20"/>
                <w:color w:val="auto"/>
              </w:rPr>
            </w:pPr>
            <w:r>
              <w:rPr>
                <w:rFonts w:ascii="Arial" w:cs="Arial" w:eastAsia="Arial" w:hAnsi="Arial"/>
                <w:sz w:val="11"/>
                <w:szCs w:val="11"/>
                <w:b w:val="1"/>
                <w:bCs w:val="1"/>
                <w:color w:val="auto"/>
              </w:rPr>
              <w:t>2013</w:t>
            </w:r>
          </w:p>
        </w:tc>
      </w:tr>
      <w:tr>
        <w:trPr>
          <w:trHeight w:val="180"/>
        </w:trPr>
        <w:tc>
          <w:tcPr>
            <w:tcW w:w="6200" w:type="dxa"/>
            <w:vAlign w:val="bottom"/>
            <w:gridSpan w:val="2"/>
            <w:shd w:val="clear" w:color="auto" w:fill="CCEEFF"/>
          </w:tcPr>
          <w:p>
            <w:pPr>
              <w:spacing w:after="0"/>
              <w:rPr>
                <w:sz w:val="20"/>
                <w:szCs w:val="20"/>
                <w:color w:val="auto"/>
              </w:rPr>
            </w:pPr>
            <w:r>
              <w:rPr>
                <w:rFonts w:ascii="Arial" w:cs="Arial" w:eastAsia="Arial" w:hAnsi="Arial"/>
                <w:sz w:val="11"/>
                <w:szCs w:val="11"/>
                <w:b w:val="1"/>
                <w:bCs w:val="1"/>
                <w:color w:val="auto"/>
              </w:rPr>
              <w:t>Numerator:</w:t>
            </w:r>
          </w:p>
        </w:tc>
        <w:tc>
          <w:tcPr>
            <w:tcW w:w="3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r>
        <w:trPr>
          <w:trHeight w:val="187"/>
        </w:trPr>
        <w:tc>
          <w:tcPr>
            <w:tcW w:w="6200" w:type="dxa"/>
            <w:vAlign w:val="bottom"/>
            <w:gridSpan w:val="2"/>
          </w:tcPr>
          <w:p>
            <w:pPr>
              <w:spacing w:after="0"/>
              <w:rPr>
                <w:sz w:val="20"/>
                <w:szCs w:val="20"/>
                <w:color w:val="auto"/>
              </w:rPr>
            </w:pPr>
            <w:r>
              <w:rPr>
                <w:rFonts w:ascii="Arial" w:cs="Arial" w:eastAsia="Arial" w:hAnsi="Arial"/>
                <w:sz w:val="11"/>
                <w:szCs w:val="11"/>
                <w:color w:val="auto"/>
              </w:rPr>
              <w:t>Net income attributable to RDI common stockholders</w:t>
            </w:r>
          </w:p>
        </w:tc>
        <w:tc>
          <w:tcPr>
            <w:tcW w:w="380" w:type="dxa"/>
            <w:vAlign w:val="bottom"/>
          </w:tcPr>
          <w:p>
            <w:pPr>
              <w:jc w:val="right"/>
              <w:ind w:right="106"/>
              <w:spacing w:after="0"/>
              <w:rPr>
                <w:sz w:val="20"/>
                <w:szCs w:val="20"/>
                <w:color w:val="auto"/>
              </w:rPr>
            </w:pPr>
            <w:r>
              <w:rPr>
                <w:rFonts w:ascii="Arial" w:cs="Arial" w:eastAsia="Arial" w:hAnsi="Arial"/>
                <w:sz w:val="11"/>
                <w:szCs w:val="11"/>
                <w:color w:val="auto"/>
              </w:rPr>
              <w:t>$</w:t>
            </w:r>
          </w:p>
        </w:tc>
        <w:tc>
          <w:tcPr>
            <w:tcW w:w="900" w:type="dxa"/>
            <w:vAlign w:val="bottom"/>
          </w:tcPr>
          <w:p>
            <w:pPr>
              <w:jc w:val="right"/>
              <w:spacing w:after="0"/>
              <w:rPr>
                <w:sz w:val="20"/>
                <w:szCs w:val="20"/>
                <w:color w:val="auto"/>
              </w:rPr>
            </w:pPr>
            <w:r>
              <w:rPr>
                <w:rFonts w:ascii="Arial" w:cs="Arial" w:eastAsia="Arial" w:hAnsi="Arial"/>
                <w:sz w:val="11"/>
                <w:szCs w:val="11"/>
                <w:color w:val="auto"/>
              </w:rPr>
              <w:t>22,773</w:t>
            </w:r>
          </w:p>
        </w:tc>
        <w:tc>
          <w:tcPr>
            <w:tcW w:w="280" w:type="dxa"/>
            <w:vAlign w:val="bottom"/>
          </w:tcPr>
          <w:p>
            <w:pPr>
              <w:spacing w:after="0"/>
              <w:rPr>
                <w:sz w:val="16"/>
                <w:szCs w:val="16"/>
                <w:color w:val="auto"/>
              </w:rPr>
            </w:pPr>
          </w:p>
        </w:tc>
        <w:tc>
          <w:tcPr>
            <w:tcW w:w="380" w:type="dxa"/>
            <w:vAlign w:val="bottom"/>
          </w:tcPr>
          <w:p>
            <w:pPr>
              <w:jc w:val="right"/>
              <w:ind w:right="106"/>
              <w:spacing w:after="0"/>
              <w:rPr>
                <w:sz w:val="20"/>
                <w:szCs w:val="20"/>
                <w:color w:val="auto"/>
              </w:rPr>
            </w:pPr>
            <w:r>
              <w:rPr>
                <w:rFonts w:ascii="Arial" w:cs="Arial" w:eastAsia="Arial" w:hAnsi="Arial"/>
                <w:sz w:val="11"/>
                <w:szCs w:val="11"/>
                <w:color w:val="auto"/>
              </w:rPr>
              <w:t>$</w:t>
            </w:r>
          </w:p>
        </w:tc>
        <w:tc>
          <w:tcPr>
            <w:tcW w:w="920" w:type="dxa"/>
            <w:vAlign w:val="bottom"/>
          </w:tcPr>
          <w:p>
            <w:pPr>
              <w:jc w:val="right"/>
              <w:spacing w:after="0"/>
              <w:rPr>
                <w:sz w:val="20"/>
                <w:szCs w:val="20"/>
                <w:color w:val="auto"/>
              </w:rPr>
            </w:pPr>
            <w:r>
              <w:rPr>
                <w:rFonts w:ascii="Arial" w:cs="Arial" w:eastAsia="Arial" w:hAnsi="Arial"/>
                <w:sz w:val="11"/>
                <w:szCs w:val="11"/>
                <w:color w:val="auto"/>
              </w:rPr>
              <w:t>25,701</w:t>
            </w:r>
          </w:p>
        </w:tc>
        <w:tc>
          <w:tcPr>
            <w:tcW w:w="280" w:type="dxa"/>
            <w:vAlign w:val="bottom"/>
          </w:tcPr>
          <w:p>
            <w:pPr>
              <w:spacing w:after="0"/>
              <w:rPr>
                <w:sz w:val="16"/>
                <w:szCs w:val="16"/>
                <w:color w:val="auto"/>
              </w:rPr>
            </w:pPr>
          </w:p>
        </w:tc>
        <w:tc>
          <w:tcPr>
            <w:tcW w:w="380" w:type="dxa"/>
            <w:vAlign w:val="bottom"/>
          </w:tcPr>
          <w:p>
            <w:pPr>
              <w:jc w:val="right"/>
              <w:ind w:right="106"/>
              <w:spacing w:after="0"/>
              <w:rPr>
                <w:sz w:val="20"/>
                <w:szCs w:val="20"/>
                <w:color w:val="auto"/>
              </w:rPr>
            </w:pPr>
            <w:r>
              <w:rPr>
                <w:rFonts w:ascii="Arial" w:cs="Arial" w:eastAsia="Arial" w:hAnsi="Arial"/>
                <w:sz w:val="11"/>
                <w:szCs w:val="11"/>
                <w:color w:val="auto"/>
              </w:rPr>
              <w:t>$</w:t>
            </w:r>
          </w:p>
        </w:tc>
        <w:tc>
          <w:tcPr>
            <w:tcW w:w="900" w:type="dxa"/>
            <w:vAlign w:val="bottom"/>
          </w:tcPr>
          <w:p>
            <w:pPr>
              <w:jc w:val="right"/>
              <w:spacing w:after="0"/>
              <w:rPr>
                <w:sz w:val="20"/>
                <w:szCs w:val="20"/>
                <w:color w:val="auto"/>
              </w:rPr>
            </w:pPr>
            <w:r>
              <w:rPr>
                <w:rFonts w:ascii="Arial" w:cs="Arial" w:eastAsia="Arial" w:hAnsi="Arial"/>
                <w:sz w:val="11"/>
                <w:szCs w:val="11"/>
                <w:color w:val="auto"/>
              </w:rPr>
              <w:t>9,041</w:t>
            </w:r>
          </w:p>
        </w:tc>
      </w:tr>
      <w:tr>
        <w:trPr>
          <w:trHeight w:val="191"/>
        </w:trPr>
        <w:tc>
          <w:tcPr>
            <w:tcW w:w="6200" w:type="dxa"/>
            <w:vAlign w:val="bottom"/>
            <w:gridSpan w:val="2"/>
            <w:shd w:val="clear" w:color="auto" w:fill="CCEEFF"/>
          </w:tcPr>
          <w:p>
            <w:pPr>
              <w:spacing w:after="0"/>
              <w:rPr>
                <w:sz w:val="20"/>
                <w:szCs w:val="20"/>
                <w:color w:val="auto"/>
              </w:rPr>
            </w:pPr>
            <w:r>
              <w:rPr>
                <w:rFonts w:ascii="Arial" w:cs="Arial" w:eastAsia="Arial" w:hAnsi="Arial"/>
                <w:sz w:val="11"/>
                <w:szCs w:val="11"/>
                <w:b w:val="1"/>
                <w:bCs w:val="1"/>
                <w:color w:val="auto"/>
              </w:rPr>
              <w:t>Denominator:</w:t>
            </w:r>
          </w:p>
        </w:tc>
        <w:tc>
          <w:tcPr>
            <w:tcW w:w="3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r>
      <w:tr>
        <w:trPr>
          <w:trHeight w:val="187"/>
        </w:trPr>
        <w:tc>
          <w:tcPr>
            <w:tcW w:w="6200" w:type="dxa"/>
            <w:vAlign w:val="bottom"/>
            <w:gridSpan w:val="2"/>
          </w:tcPr>
          <w:p>
            <w:pPr>
              <w:spacing w:after="0"/>
              <w:rPr>
                <w:sz w:val="20"/>
                <w:szCs w:val="20"/>
                <w:color w:val="auto"/>
              </w:rPr>
            </w:pPr>
            <w:r>
              <w:rPr>
                <w:rFonts w:ascii="Arial" w:cs="Arial" w:eastAsia="Arial" w:hAnsi="Arial"/>
                <w:sz w:val="11"/>
                <w:szCs w:val="11"/>
                <w:color w:val="auto"/>
              </w:rPr>
              <w:t>Weighted average shares of common stock – basic</w:t>
            </w:r>
          </w:p>
        </w:tc>
        <w:tc>
          <w:tcPr>
            <w:tcW w:w="3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23,293,696</w:t>
            </w:r>
          </w:p>
        </w:tc>
        <w:tc>
          <w:tcPr>
            <w:tcW w:w="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23,431,855</w:t>
            </w:r>
          </w:p>
        </w:tc>
        <w:tc>
          <w:tcPr>
            <w:tcW w:w="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23,348,003</w:t>
            </w:r>
          </w:p>
        </w:tc>
      </w:tr>
      <w:tr>
        <w:trPr>
          <w:trHeight w:val="189"/>
        </w:trPr>
        <w:tc>
          <w:tcPr>
            <w:tcW w:w="620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Weighted average dilutive impact of stock-based awards</w:t>
            </w:r>
          </w:p>
        </w:tc>
        <w:tc>
          <w:tcPr>
            <w:tcW w:w="38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201,922</w:t>
            </w:r>
          </w:p>
        </w:tc>
        <w:tc>
          <w:tcPr>
            <w:tcW w:w="28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317,366</w:t>
            </w:r>
          </w:p>
        </w:tc>
        <w:tc>
          <w:tcPr>
            <w:tcW w:w="28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172,268</w:t>
            </w:r>
          </w:p>
        </w:tc>
      </w:tr>
      <w:tr>
        <w:trPr>
          <w:trHeight w:val="162"/>
        </w:trPr>
        <w:tc>
          <w:tcPr>
            <w:tcW w:w="6200" w:type="dxa"/>
            <w:vAlign w:val="bottom"/>
            <w:tcBorders>
              <w:bottom w:val="single" w:sz="8" w:color="CCEEFF"/>
            </w:tcBorders>
            <w:gridSpan w:val="2"/>
          </w:tcPr>
          <w:p>
            <w:pPr>
              <w:spacing w:after="0"/>
              <w:rPr>
                <w:sz w:val="20"/>
                <w:szCs w:val="20"/>
                <w:color w:val="auto"/>
              </w:rPr>
            </w:pPr>
            <w:r>
              <w:rPr>
                <w:rFonts w:ascii="Arial" w:cs="Arial" w:eastAsia="Arial" w:hAnsi="Arial"/>
                <w:sz w:val="11"/>
                <w:szCs w:val="11"/>
                <w:color w:val="auto"/>
              </w:rPr>
              <w:t>Weighted average shares of common stock – diluted</w:t>
            </w:r>
          </w:p>
        </w:tc>
        <w:tc>
          <w:tcPr>
            <w:tcW w:w="3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23,495,618</w:t>
            </w:r>
          </w:p>
        </w:tc>
        <w:tc>
          <w:tcPr>
            <w:tcW w:w="28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23,749,221</w:t>
            </w:r>
          </w:p>
        </w:tc>
        <w:tc>
          <w:tcPr>
            <w:tcW w:w="28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23,520,271</w:t>
            </w:r>
          </w:p>
        </w:tc>
      </w:tr>
      <w:tr>
        <w:trPr>
          <w:trHeight w:val="367"/>
        </w:trPr>
        <w:tc>
          <w:tcPr>
            <w:tcW w:w="62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1"/>
                <w:szCs w:val="11"/>
                <w:color w:val="auto"/>
              </w:rPr>
              <w:t>Basic EPS attributable to RDI common stockholders</w:t>
            </w:r>
          </w:p>
        </w:tc>
        <w:tc>
          <w:tcPr>
            <w:tcW w:w="380" w:type="dxa"/>
            <w:vAlign w:val="bottom"/>
            <w:tcBorders>
              <w:bottom w:val="single" w:sz="8" w:color="auto"/>
            </w:tcBorders>
            <w:shd w:val="clear" w:color="auto" w:fill="CCEEFF"/>
          </w:tcPr>
          <w:p>
            <w:pPr>
              <w:jc w:val="right"/>
              <w:ind w:right="106"/>
              <w:spacing w:after="0"/>
              <w:rPr>
                <w:sz w:val="20"/>
                <w:szCs w:val="20"/>
                <w:color w:val="auto"/>
              </w:rPr>
            </w:pPr>
            <w:r>
              <w:rPr>
                <w:rFonts w:ascii="Arial" w:cs="Arial" w:eastAsia="Arial" w:hAnsi="Arial"/>
                <w:sz w:val="11"/>
                <w:szCs w:val="11"/>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0.98</w:t>
            </w:r>
          </w:p>
        </w:tc>
        <w:tc>
          <w:tcPr>
            <w:tcW w:w="28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06"/>
              <w:spacing w:after="0"/>
              <w:rPr>
                <w:sz w:val="20"/>
                <w:szCs w:val="20"/>
                <w:color w:val="auto"/>
              </w:rPr>
            </w:pPr>
            <w:r>
              <w:rPr>
                <w:rFonts w:ascii="Arial" w:cs="Arial" w:eastAsia="Arial" w:hAnsi="Arial"/>
                <w:sz w:val="11"/>
                <w:szCs w:val="11"/>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1.10</w:t>
            </w:r>
          </w:p>
        </w:tc>
        <w:tc>
          <w:tcPr>
            <w:tcW w:w="28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06"/>
              <w:spacing w:after="0"/>
              <w:rPr>
                <w:sz w:val="20"/>
                <w:szCs w:val="20"/>
                <w:color w:val="auto"/>
              </w:rPr>
            </w:pPr>
            <w:r>
              <w:rPr>
                <w:rFonts w:ascii="Arial" w:cs="Arial" w:eastAsia="Arial" w:hAnsi="Arial"/>
                <w:sz w:val="11"/>
                <w:szCs w:val="11"/>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0.39</w:t>
            </w:r>
          </w:p>
        </w:tc>
      </w:tr>
      <w:tr>
        <w:trPr>
          <w:trHeight w:val="196"/>
        </w:trPr>
        <w:tc>
          <w:tcPr>
            <w:tcW w:w="6200" w:type="dxa"/>
            <w:vAlign w:val="bottom"/>
            <w:tcBorders>
              <w:bottom w:val="single" w:sz="8" w:color="CCEEFF"/>
            </w:tcBorders>
            <w:gridSpan w:val="2"/>
          </w:tcPr>
          <w:p>
            <w:pPr>
              <w:spacing w:after="0"/>
              <w:rPr>
                <w:sz w:val="20"/>
                <w:szCs w:val="20"/>
                <w:color w:val="auto"/>
              </w:rPr>
            </w:pPr>
            <w:r>
              <w:rPr>
                <w:rFonts w:ascii="Arial" w:cs="Arial" w:eastAsia="Arial" w:hAnsi="Arial"/>
                <w:sz w:val="11"/>
                <w:szCs w:val="11"/>
                <w:color w:val="auto"/>
              </w:rPr>
              <w:t>Diluted EPS attributable to RDI common stockholders</w:t>
            </w:r>
          </w:p>
        </w:tc>
        <w:tc>
          <w:tcPr>
            <w:tcW w:w="38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0.97</w:t>
            </w:r>
          </w:p>
        </w:tc>
        <w:tc>
          <w:tcPr>
            <w:tcW w:w="28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1.08</w:t>
            </w:r>
          </w:p>
        </w:tc>
        <w:tc>
          <w:tcPr>
            <w:tcW w:w="28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0.38</w:t>
            </w:r>
          </w:p>
        </w:tc>
      </w:tr>
      <w:tr>
        <w:trPr>
          <w:trHeight w:val="196"/>
        </w:trPr>
        <w:tc>
          <w:tcPr>
            <w:tcW w:w="620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Awards excluded from diluted EPS</w:t>
            </w:r>
          </w:p>
        </w:tc>
        <w:tc>
          <w:tcPr>
            <w:tcW w:w="3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1"/>
                <w:szCs w:val="11"/>
                <w:color w:val="auto"/>
              </w:rPr>
              <w:t>-</w:t>
            </w:r>
          </w:p>
        </w:tc>
        <w:tc>
          <w:tcPr>
            <w:tcW w:w="3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248,750</w:t>
            </w:r>
          </w:p>
        </w:tc>
        <w:tc>
          <w:tcPr>
            <w:tcW w:w="2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528,850</w:t>
            </w:r>
          </w:p>
        </w:tc>
      </w:tr>
      <w:tr>
        <w:trPr>
          <w:trHeight w:val="20"/>
        </w:trPr>
        <w:tc>
          <w:tcPr>
            <w:tcW w:w="592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r>
    </w:tbl>
    <w:p>
      <w:pPr>
        <w:spacing w:after="0" w:line="27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4 – Acquisitions, Disposals, and Assets Held for Sale</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2015 Transactions</w:t>
      </w:r>
    </w:p>
    <w:p>
      <w:pPr>
        <w:spacing w:after="0" w:line="136"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Doheny Condo, Los Angeles</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color w:val="auto"/>
        </w:rPr>
        <w:t>On February 25, 2015 we sold our Los Angeles Condo for $3.0 million resulting in a $2.8 million gain on sale.</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Taupo, New Zealand</w:t>
      </w:r>
    </w:p>
    <w:p>
      <w:pPr>
        <w:spacing w:after="0" w:line="132" w:lineRule="exact"/>
        <w:rPr>
          <w:sz w:val="20"/>
          <w:szCs w:val="20"/>
          <w:color w:val="auto"/>
        </w:rPr>
      </w:pPr>
    </w:p>
    <w:p>
      <w:pPr>
        <w:ind w:right="20"/>
        <w:spacing w:after="0" w:line="259" w:lineRule="auto"/>
        <w:rPr>
          <w:sz w:val="20"/>
          <w:szCs w:val="20"/>
          <w:color w:val="auto"/>
        </w:rPr>
      </w:pPr>
      <w:r>
        <w:rPr>
          <w:rFonts w:ascii="Arial" w:cs="Arial" w:eastAsia="Arial" w:hAnsi="Arial"/>
          <w:sz w:val="12"/>
          <w:szCs w:val="12"/>
          <w:color w:val="auto"/>
        </w:rPr>
        <w:t>On April 1, 2015, we entered into two definitive purchase and sale agreements to sell our properties in Taupo, New Zealand for a combined sales price of $2.3 million (NZ$3.4 million). The first agreement relates to a property with a sales price of $1.6 million (NZ$2.2 million) and a book value of $1.3 million (NZ$1.8 million), which closed on April 30, 2015 when we received the sales price in full. The other agreement relates to a property with a sales price of $821,000 (NZ$1.2 million) and a book value of $421,000 (NZ$615,000) with a closing date of March 31, 2016. This property is classified as held for sale as of December 31, 2015. Only the first transaction qualifies as a sale under US GAAP and New Zealand tax.</w:t>
      </w:r>
    </w:p>
    <w:p>
      <w:pPr>
        <w:spacing w:after="0" w:line="98"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Newmarket, Australia</w:t>
      </w:r>
    </w:p>
    <w:p>
      <w:pPr>
        <w:spacing w:after="0" w:line="123" w:lineRule="exact"/>
        <w:rPr>
          <w:sz w:val="20"/>
          <w:szCs w:val="20"/>
          <w:color w:val="auto"/>
        </w:rPr>
      </w:pPr>
    </w:p>
    <w:p>
      <w:pPr>
        <w:ind w:right="120"/>
        <w:spacing w:after="0" w:line="259" w:lineRule="auto"/>
        <w:rPr>
          <w:sz w:val="20"/>
          <w:szCs w:val="20"/>
          <w:color w:val="auto"/>
        </w:rPr>
      </w:pPr>
      <w:r>
        <w:rPr>
          <w:rFonts w:ascii="Arial" w:cs="Arial" w:eastAsia="Arial" w:hAnsi="Arial"/>
          <w:sz w:val="12"/>
          <w:szCs w:val="12"/>
          <w:color w:val="auto"/>
        </w:rPr>
        <w:t>On November 30, 2015, we completed the purchase of an approximately 23,000 square foot parcel adjacent to our existing Newmarket shopping center in Brisbane, Australia for a total consideration of $5.5 million (AU$7.6 million). The acquired land has an existing office building which was vacant at the time of purchase completion. We intend, over time, to integrate this property into our Newmarket development thereby increasing our footprint from approximately 204,000 to 227,000 square feet. The terms and circumstances of this acquisition were not considered to meet the definition of a business combination in accordance with US GAAP.</w:t>
      </w:r>
    </w:p>
    <w:p>
      <w:pPr>
        <w:spacing w:after="0" w:line="107"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Cannon Park, Queensland, Australia</w:t>
      </w:r>
    </w:p>
    <w:p>
      <w:pPr>
        <w:spacing w:after="0" w:line="123" w:lineRule="exact"/>
        <w:rPr>
          <w:sz w:val="20"/>
          <w:szCs w:val="20"/>
          <w:color w:val="auto"/>
        </w:rPr>
      </w:pPr>
    </w:p>
    <w:p>
      <w:pPr>
        <w:ind w:right="340"/>
        <w:spacing w:after="0" w:line="286" w:lineRule="auto"/>
        <w:rPr>
          <w:sz w:val="20"/>
          <w:szCs w:val="20"/>
          <w:color w:val="auto"/>
        </w:rPr>
      </w:pPr>
      <w:r>
        <w:rPr>
          <w:rFonts w:ascii="Arial" w:cs="Arial" w:eastAsia="Arial" w:hAnsi="Arial"/>
          <w:sz w:val="11"/>
          <w:szCs w:val="11"/>
          <w:color w:val="auto"/>
        </w:rPr>
        <w:t>On December 23, 2015, we completed a 100% acquisition of two adjoining ETCs in Townsville, Queensland, Australia for a total of $24.3 million (AU$33.6 million) in cash. The total gross leasable area of the two adjoining properties, the Cannon Park City Centre and the Cannon Park Discount Centre, is 133,000 square feet. The Cannon Park City Centre is anchored by a Reading Cinema, which is operated by Reading International’s 75% owned subsidiary, Australia Country Cinemas, in which we have a 75% interest, and has three mini-major tenants and ten specialty family oriented restaurant tenants. The Cannon Park Discount Centre is anchored by Kingpin Bowling and supported by four other retailers. The properties are located approximately 6 miles from downtown Townsville, the second largest city in Queensland, Australia. This acquisition is consistent with our business plan to own, where practical, the land underlying our entertainment assets.</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color w:val="auto"/>
        </w:rPr>
        <w:t>The acquired assets consist primarily of the land and buildings, which is approximately 98% leased to existing tenants. Tenancies range from having 9 months to 8 years left to run on their leases.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59690</wp:posOffset>
            </wp:positionV>
            <wp:extent cx="677989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779895" cy="42545"/>
                    </a:xfrm>
                    <a:prstGeom prst="rect">
                      <a:avLst/>
                    </a:prstGeom>
                    <a:noFill/>
                  </pic:spPr>
                </pic:pic>
              </a:graphicData>
            </a:graphic>
          </wp:anchor>
        </w:drawing>
      </w:r>
    </w:p>
    <w:p>
      <w:pPr>
        <w:sectPr>
          <w:pgSz w:w="11900" w:h="16838" w:orient="portrait"/>
          <w:cols w:equalWidth="0" w:num="1">
            <w:col w:w="10620"/>
          </w:cols>
          <w:pgMar w:left="640" w:top="271" w:right="639" w:bottom="1440" w:gutter="0" w:footer="0" w:header="0"/>
        </w:sectPr>
      </w:pPr>
    </w:p>
    <w:bookmarkStart w:id="70" w:name="page71"/>
    <w:bookmarkEnd w:id="70"/>
    <w:p>
      <w:pPr>
        <w:ind w:right="20"/>
        <w:spacing w:after="0" w:line="259" w:lineRule="auto"/>
        <w:rPr>
          <w:sz w:val="20"/>
          <w:szCs w:val="20"/>
          <w:color w:val="auto"/>
        </w:rPr>
      </w:pPr>
      <w:r>
        <w:rPr>
          <w:rFonts w:ascii="Arial" w:cs="Arial" w:eastAsia="Arial" w:hAnsi="Arial"/>
          <w:sz w:val="12"/>
          <w:szCs w:val="12"/>
          <w:color w:val="auto"/>
        </w:rPr>
        <w:t>The total purchase price was allocated to the identifiable assets acquired and liabilities assumed based on our preliminary estimates of their fair values on the acquisition date. The Company is in the process of finalizing its allocation and this may result in potential adjustments within the 1-year measurement period from acquisition date. These fair value estimates of the land and building assets acquired have been allocated to the acquired tangible assets. We did not identify any intangible assets or liabilities (above and below-market leases) at the date of acquisition. There was no goodwill recorded as the purchase price did not exceed the fair value estimates of the net acquired assets. Our preliminary purchase price allocation is as follows: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5740" w:type="dxa"/>
            <w:vAlign w:val="bottom"/>
            <w:tcBorders>
              <w:bottom w:val="single" w:sz="8" w:color="auto"/>
            </w:tcBorders>
          </w:tcPr>
          <w:p>
            <w:pPr>
              <w:spacing w:after="0"/>
              <w:rPr>
                <w:sz w:val="20"/>
                <w:szCs w:val="20"/>
                <w:color w:val="auto"/>
              </w:rPr>
            </w:pPr>
            <w:r>
              <w:rPr>
                <w:rFonts w:ascii="Arial" w:cs="Arial" w:eastAsia="Arial" w:hAnsi="Arial"/>
                <w:sz w:val="11"/>
                <w:szCs w:val="11"/>
                <w:color w:val="auto"/>
              </w:rPr>
              <w:t>(Dollars in thousands)</w:t>
            </w:r>
          </w:p>
        </w:tc>
        <w:tc>
          <w:tcPr>
            <w:tcW w:w="1000" w:type="dxa"/>
            <w:vAlign w:val="bottom"/>
            <w:tcBorders>
              <w:bottom w:val="single" w:sz="8" w:color="auto"/>
            </w:tcBorders>
          </w:tcPr>
          <w:p>
            <w:pPr>
              <w:spacing w:after="0"/>
              <w:rPr>
                <w:sz w:val="12"/>
                <w:szCs w:val="12"/>
                <w:color w:val="auto"/>
              </w:rPr>
            </w:pPr>
          </w:p>
        </w:tc>
        <w:tc>
          <w:tcPr>
            <w:tcW w:w="2140" w:type="dxa"/>
            <w:vAlign w:val="bottom"/>
            <w:tcBorders>
              <w:bottom w:val="single" w:sz="8" w:color="auto"/>
            </w:tcBorders>
          </w:tcPr>
          <w:p>
            <w:pPr>
              <w:jc w:val="right"/>
              <w:ind w:right="1186"/>
              <w:spacing w:after="0"/>
              <w:rPr>
                <w:sz w:val="20"/>
                <w:szCs w:val="20"/>
                <w:color w:val="auto"/>
              </w:rPr>
            </w:pPr>
            <w:r>
              <w:rPr>
                <w:rFonts w:ascii="Arial" w:cs="Arial" w:eastAsia="Arial" w:hAnsi="Arial"/>
                <w:sz w:val="11"/>
                <w:szCs w:val="11"/>
                <w:b w:val="1"/>
                <w:bCs w:val="1"/>
                <w:color w:val="auto"/>
              </w:rPr>
              <w:t>US Dollars</w:t>
            </w:r>
          </w:p>
        </w:tc>
        <w:tc>
          <w:tcPr>
            <w:tcW w:w="1740" w:type="dxa"/>
            <w:vAlign w:val="bottom"/>
            <w:tcBorders>
              <w:bottom w:val="single" w:sz="8" w:color="auto"/>
            </w:tcBorders>
          </w:tcPr>
          <w:p>
            <w:pPr>
              <w:jc w:val="right"/>
              <w:ind w:right="766"/>
              <w:spacing w:after="0"/>
              <w:rPr>
                <w:sz w:val="20"/>
                <w:szCs w:val="20"/>
                <w:color w:val="auto"/>
              </w:rPr>
            </w:pPr>
            <w:r>
              <w:rPr>
                <w:rFonts w:ascii="Arial" w:cs="Arial" w:eastAsia="Arial" w:hAnsi="Arial"/>
                <w:sz w:val="11"/>
                <w:szCs w:val="11"/>
                <w:b w:val="1"/>
                <w:bCs w:val="1"/>
                <w:color w:val="auto"/>
              </w:rPr>
              <w:t>AU dollars</w:t>
            </w:r>
          </w:p>
        </w:tc>
        <w:tc>
          <w:tcPr>
            <w:tcW w:w="0" w:type="dxa"/>
            <w:vAlign w:val="bottom"/>
          </w:tcPr>
          <w:p>
            <w:pPr>
              <w:spacing w:after="0"/>
              <w:rPr>
                <w:sz w:val="1"/>
                <w:szCs w:val="1"/>
                <w:color w:val="auto"/>
              </w:rPr>
            </w:pPr>
          </w:p>
        </w:tc>
      </w:tr>
      <w:tr>
        <w:trPr>
          <w:trHeight w:val="187"/>
        </w:trPr>
        <w:tc>
          <w:tcPr>
            <w:tcW w:w="5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1"/>
                <w:szCs w:val="11"/>
                <w:color w:val="auto"/>
              </w:rPr>
              <w:t>Prepaid assets</w:t>
            </w:r>
          </w:p>
        </w:tc>
        <w:tc>
          <w:tcPr>
            <w:tcW w:w="1000" w:type="dxa"/>
            <w:vAlign w:val="bottom"/>
            <w:tcBorders>
              <w:bottom w:val="single" w:sz="8" w:color="CCEEFF"/>
            </w:tcBorders>
            <w:shd w:val="clear" w:color="auto" w:fill="CCEEFF"/>
          </w:tcPr>
          <w:p>
            <w:pPr>
              <w:jc w:val="right"/>
              <w:ind w:right="369"/>
              <w:spacing w:after="0"/>
              <w:rPr>
                <w:sz w:val="20"/>
                <w:szCs w:val="20"/>
                <w:color w:val="auto"/>
              </w:rPr>
            </w:pPr>
            <w:r>
              <w:rPr>
                <w:rFonts w:ascii="Arial" w:cs="Arial" w:eastAsia="Arial" w:hAnsi="Arial"/>
                <w:sz w:val="11"/>
                <w:szCs w:val="11"/>
                <w:color w:val="auto"/>
              </w:rPr>
              <w:t>$</w:t>
            </w:r>
          </w:p>
        </w:tc>
        <w:tc>
          <w:tcPr>
            <w:tcW w:w="2140" w:type="dxa"/>
            <w:vAlign w:val="bottom"/>
            <w:tcBorders>
              <w:bottom w:val="single" w:sz="8" w:color="CCEEFF"/>
            </w:tcBorders>
            <w:shd w:val="clear" w:color="auto" w:fill="CCEEFF"/>
          </w:tcPr>
          <w:p>
            <w:pPr>
              <w:jc w:val="right"/>
              <w:ind w:right="386"/>
              <w:spacing w:after="0"/>
              <w:rPr>
                <w:sz w:val="20"/>
                <w:szCs w:val="20"/>
                <w:color w:val="auto"/>
              </w:rPr>
            </w:pPr>
            <w:r>
              <w:rPr>
                <w:rFonts w:ascii="Arial" w:cs="Arial" w:eastAsia="Arial" w:hAnsi="Arial"/>
                <w:sz w:val="11"/>
                <w:szCs w:val="11"/>
                <w:color w:val="auto"/>
              </w:rPr>
              <w:t>28</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38</w:t>
            </w:r>
          </w:p>
        </w:tc>
        <w:tc>
          <w:tcPr>
            <w:tcW w:w="0" w:type="dxa"/>
            <w:vAlign w:val="bottom"/>
          </w:tcPr>
          <w:p>
            <w:pPr>
              <w:spacing w:after="0"/>
              <w:rPr>
                <w:sz w:val="1"/>
                <w:szCs w:val="1"/>
                <w:color w:val="auto"/>
              </w:rPr>
            </w:pPr>
          </w:p>
        </w:tc>
      </w:tr>
      <w:tr>
        <w:trPr>
          <w:trHeight w:val="167"/>
        </w:trPr>
        <w:tc>
          <w:tcPr>
            <w:tcW w:w="5740" w:type="dxa"/>
            <w:vAlign w:val="bottom"/>
          </w:tcPr>
          <w:p>
            <w:pPr>
              <w:spacing w:after="0"/>
              <w:rPr>
                <w:sz w:val="20"/>
                <w:szCs w:val="20"/>
                <w:color w:val="auto"/>
              </w:rPr>
            </w:pPr>
            <w:r>
              <w:rPr>
                <w:rFonts w:ascii="Arial" w:cs="Arial" w:eastAsia="Arial" w:hAnsi="Arial"/>
                <w:sz w:val="11"/>
                <w:szCs w:val="11"/>
                <w:color w:val="auto"/>
              </w:rPr>
              <w:t>Property &amp; Equipment:</w:t>
            </w:r>
          </w:p>
        </w:tc>
        <w:tc>
          <w:tcPr>
            <w:tcW w:w="100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57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140" w:type="dxa"/>
            <w:vAlign w:val="bottom"/>
          </w:tcPr>
          <w:p>
            <w:pPr>
              <w:spacing w:after="0"/>
              <w:rPr>
                <w:sz w:val="4"/>
                <w:szCs w:val="4"/>
                <w:color w:val="auto"/>
              </w:rPr>
            </w:pPr>
          </w:p>
        </w:tc>
        <w:tc>
          <w:tcPr>
            <w:tcW w:w="1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57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1"/>
                <w:szCs w:val="11"/>
                <w:color w:val="auto"/>
              </w:rPr>
              <w:t>Land</w:t>
            </w:r>
          </w:p>
        </w:tc>
        <w:tc>
          <w:tcPr>
            <w:tcW w:w="1000" w:type="dxa"/>
            <w:vAlign w:val="bottom"/>
            <w:tcBorders>
              <w:bottom w:val="single" w:sz="8" w:color="CCEEFF"/>
            </w:tcBorders>
            <w:shd w:val="clear" w:color="auto" w:fill="CCEEFF"/>
          </w:tcPr>
          <w:p>
            <w:pPr>
              <w:spacing w:after="0"/>
              <w:rPr>
                <w:sz w:val="17"/>
                <w:szCs w:val="17"/>
                <w:color w:val="auto"/>
              </w:rPr>
            </w:pPr>
          </w:p>
        </w:tc>
        <w:tc>
          <w:tcPr>
            <w:tcW w:w="2140" w:type="dxa"/>
            <w:vAlign w:val="bottom"/>
            <w:tcBorders>
              <w:bottom w:val="single" w:sz="8" w:color="CCEEFF"/>
            </w:tcBorders>
            <w:shd w:val="clear" w:color="auto" w:fill="CCEEFF"/>
          </w:tcPr>
          <w:p>
            <w:pPr>
              <w:jc w:val="right"/>
              <w:ind w:right="386"/>
              <w:spacing w:after="0"/>
              <w:rPr>
                <w:sz w:val="20"/>
                <w:szCs w:val="20"/>
                <w:color w:val="auto"/>
              </w:rPr>
            </w:pPr>
            <w:r>
              <w:rPr>
                <w:rFonts w:ascii="Arial" w:cs="Arial" w:eastAsia="Arial" w:hAnsi="Arial"/>
                <w:sz w:val="11"/>
                <w:szCs w:val="11"/>
                <w:color w:val="auto"/>
              </w:rPr>
              <w:t>7,609</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10,500</w:t>
            </w:r>
          </w:p>
        </w:tc>
        <w:tc>
          <w:tcPr>
            <w:tcW w:w="0" w:type="dxa"/>
            <w:vAlign w:val="bottom"/>
          </w:tcPr>
          <w:p>
            <w:pPr>
              <w:spacing w:after="0"/>
              <w:rPr>
                <w:sz w:val="1"/>
                <w:szCs w:val="1"/>
                <w:color w:val="auto"/>
              </w:rPr>
            </w:pPr>
          </w:p>
        </w:tc>
      </w:tr>
      <w:tr>
        <w:trPr>
          <w:trHeight w:val="167"/>
        </w:trPr>
        <w:tc>
          <w:tcPr>
            <w:tcW w:w="5740" w:type="dxa"/>
            <w:vAlign w:val="bottom"/>
          </w:tcPr>
          <w:p>
            <w:pPr>
              <w:ind w:left="360"/>
              <w:spacing w:after="0"/>
              <w:rPr>
                <w:sz w:val="20"/>
                <w:szCs w:val="20"/>
                <w:color w:val="auto"/>
              </w:rPr>
            </w:pPr>
            <w:r>
              <w:rPr>
                <w:rFonts w:ascii="Arial" w:cs="Arial" w:eastAsia="Arial" w:hAnsi="Arial"/>
                <w:sz w:val="11"/>
                <w:szCs w:val="11"/>
                <w:color w:val="auto"/>
              </w:rPr>
              <w:t>Building</w:t>
            </w:r>
          </w:p>
        </w:tc>
        <w:tc>
          <w:tcPr>
            <w:tcW w:w="1000" w:type="dxa"/>
            <w:vAlign w:val="bottom"/>
          </w:tcPr>
          <w:p>
            <w:pPr>
              <w:spacing w:after="0"/>
              <w:rPr>
                <w:sz w:val="14"/>
                <w:szCs w:val="14"/>
                <w:color w:val="auto"/>
              </w:rPr>
            </w:pPr>
          </w:p>
        </w:tc>
        <w:tc>
          <w:tcPr>
            <w:tcW w:w="2140" w:type="dxa"/>
            <w:vAlign w:val="bottom"/>
            <w:vMerge w:val="restart"/>
          </w:tcPr>
          <w:p>
            <w:pPr>
              <w:jc w:val="right"/>
              <w:ind w:right="386"/>
              <w:spacing w:after="0"/>
              <w:rPr>
                <w:sz w:val="20"/>
                <w:szCs w:val="20"/>
                <w:color w:val="auto"/>
              </w:rPr>
            </w:pPr>
            <w:r>
              <w:rPr>
                <w:rFonts w:ascii="Arial" w:cs="Arial" w:eastAsia="Arial" w:hAnsi="Arial"/>
                <w:sz w:val="11"/>
                <w:szCs w:val="11"/>
                <w:color w:val="auto"/>
              </w:rPr>
              <w:t>16,712</w:t>
            </w:r>
          </w:p>
        </w:tc>
        <w:tc>
          <w:tcPr>
            <w:tcW w:w="1740" w:type="dxa"/>
            <w:vAlign w:val="bottom"/>
            <w:vMerge w:val="restart"/>
          </w:tcPr>
          <w:p>
            <w:pPr>
              <w:jc w:val="right"/>
              <w:spacing w:after="0"/>
              <w:rPr>
                <w:sz w:val="20"/>
                <w:szCs w:val="20"/>
                <w:color w:val="auto"/>
              </w:rPr>
            </w:pPr>
            <w:r>
              <w:rPr>
                <w:rFonts w:ascii="Arial" w:cs="Arial" w:eastAsia="Arial" w:hAnsi="Arial"/>
                <w:sz w:val="11"/>
                <w:szCs w:val="11"/>
                <w:color w:val="auto"/>
              </w:rPr>
              <w:t>23,060</w:t>
            </w:r>
          </w:p>
        </w:tc>
        <w:tc>
          <w:tcPr>
            <w:tcW w:w="0" w:type="dxa"/>
            <w:vAlign w:val="bottom"/>
          </w:tcPr>
          <w:p>
            <w:pPr>
              <w:spacing w:after="0"/>
              <w:rPr>
                <w:sz w:val="1"/>
                <w:szCs w:val="1"/>
                <w:color w:val="auto"/>
              </w:rPr>
            </w:pPr>
          </w:p>
        </w:tc>
      </w:tr>
      <w:tr>
        <w:trPr>
          <w:trHeight w:val="47"/>
        </w:trPr>
        <w:tc>
          <w:tcPr>
            <w:tcW w:w="5740" w:type="dxa"/>
            <w:vAlign w:val="bottom"/>
            <w:tcBorders>
              <w:bottom w:val="single" w:sz="8" w:color="CCEEFF"/>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2140" w:type="dxa"/>
            <w:vAlign w:val="bottom"/>
            <w:tcBorders>
              <w:bottom w:val="single" w:sz="8" w:color="auto"/>
            </w:tcBorders>
            <w:vMerge w:val="continue"/>
          </w:tcPr>
          <w:p>
            <w:pPr>
              <w:spacing w:after="0"/>
              <w:rPr>
                <w:sz w:val="4"/>
                <w:szCs w:val="4"/>
                <w:color w:val="auto"/>
              </w:rPr>
            </w:pPr>
          </w:p>
        </w:tc>
        <w:tc>
          <w:tcPr>
            <w:tcW w:w="1740" w:type="dxa"/>
            <w:vAlign w:val="bottom"/>
            <w:tcBorders>
              <w:bottom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5740" w:type="dxa"/>
            <w:vAlign w:val="bottom"/>
            <w:shd w:val="clear" w:color="auto" w:fill="CCEEFF"/>
          </w:tcPr>
          <w:p>
            <w:pPr>
              <w:spacing w:after="0"/>
              <w:rPr>
                <w:sz w:val="20"/>
                <w:szCs w:val="20"/>
                <w:color w:val="auto"/>
              </w:rPr>
            </w:pPr>
            <w:r>
              <w:rPr>
                <w:rFonts w:ascii="Arial" w:cs="Arial" w:eastAsia="Arial" w:hAnsi="Arial"/>
                <w:sz w:val="11"/>
                <w:szCs w:val="11"/>
                <w:color w:val="auto"/>
              </w:rPr>
              <w:t>Total purchase price</w:t>
            </w:r>
          </w:p>
        </w:tc>
        <w:tc>
          <w:tcPr>
            <w:tcW w:w="1000" w:type="dxa"/>
            <w:vAlign w:val="bottom"/>
            <w:vMerge w:val="restart"/>
            <w:shd w:val="clear" w:color="auto" w:fill="CCEEFF"/>
          </w:tcPr>
          <w:p>
            <w:pPr>
              <w:jc w:val="right"/>
              <w:ind w:right="369"/>
              <w:spacing w:after="0"/>
              <w:rPr>
                <w:sz w:val="20"/>
                <w:szCs w:val="20"/>
                <w:color w:val="auto"/>
              </w:rPr>
            </w:pPr>
            <w:r>
              <w:rPr>
                <w:rFonts w:ascii="Arial" w:cs="Arial" w:eastAsia="Arial" w:hAnsi="Arial"/>
                <w:sz w:val="10"/>
                <w:szCs w:val="10"/>
                <w:color w:val="auto"/>
              </w:rPr>
              <w:t>$</w:t>
            </w:r>
          </w:p>
        </w:tc>
        <w:tc>
          <w:tcPr>
            <w:tcW w:w="2140" w:type="dxa"/>
            <w:vAlign w:val="bottom"/>
            <w:vMerge w:val="restart"/>
            <w:shd w:val="clear" w:color="auto" w:fill="CCEEFF"/>
          </w:tcPr>
          <w:p>
            <w:pPr>
              <w:jc w:val="right"/>
              <w:ind w:right="386"/>
              <w:spacing w:after="0"/>
              <w:rPr>
                <w:sz w:val="20"/>
                <w:szCs w:val="20"/>
                <w:color w:val="auto"/>
              </w:rPr>
            </w:pPr>
            <w:r>
              <w:rPr>
                <w:rFonts w:ascii="Arial" w:cs="Arial" w:eastAsia="Arial" w:hAnsi="Arial"/>
                <w:sz w:val="11"/>
                <w:szCs w:val="11"/>
                <w:color w:val="auto"/>
              </w:rPr>
              <w:t>24,349</w:t>
            </w:r>
          </w:p>
        </w:tc>
        <w:tc>
          <w:tcPr>
            <w:tcW w:w="17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33,598</w:t>
            </w:r>
          </w:p>
        </w:tc>
        <w:tc>
          <w:tcPr>
            <w:tcW w:w="0" w:type="dxa"/>
            <w:vAlign w:val="bottom"/>
          </w:tcPr>
          <w:p>
            <w:pPr>
              <w:spacing w:after="0"/>
              <w:rPr>
                <w:sz w:val="1"/>
                <w:szCs w:val="1"/>
                <w:color w:val="auto"/>
              </w:rPr>
            </w:pPr>
          </w:p>
        </w:tc>
      </w:tr>
      <w:tr>
        <w:trPr>
          <w:trHeight w:val="40"/>
        </w:trPr>
        <w:tc>
          <w:tcPr>
            <w:tcW w:w="5740" w:type="dxa"/>
            <w:vAlign w:val="bottom"/>
            <w:tcBorders>
              <w:bottom w:val="single" w:sz="8" w:color="CCEEFF"/>
            </w:tcBorders>
            <w:shd w:val="clear" w:color="auto" w:fill="CCEEFF"/>
          </w:tcPr>
          <w:p>
            <w:pPr>
              <w:spacing w:after="0"/>
              <w:rPr>
                <w:sz w:val="3"/>
                <w:szCs w:val="3"/>
                <w:color w:val="auto"/>
              </w:rPr>
            </w:pPr>
          </w:p>
        </w:tc>
        <w:tc>
          <w:tcPr>
            <w:tcW w:w="1000" w:type="dxa"/>
            <w:vAlign w:val="bottom"/>
            <w:tcBorders>
              <w:bottom w:val="single" w:sz="8" w:color="auto"/>
            </w:tcBorders>
            <w:vMerge w:val="continue"/>
            <w:shd w:val="clear" w:color="auto" w:fill="CCEEFF"/>
          </w:tcPr>
          <w:p>
            <w:pPr>
              <w:spacing w:after="0"/>
              <w:rPr>
                <w:sz w:val="3"/>
                <w:szCs w:val="3"/>
                <w:color w:val="auto"/>
              </w:rPr>
            </w:pPr>
          </w:p>
        </w:tc>
        <w:tc>
          <w:tcPr>
            <w:tcW w:w="2140" w:type="dxa"/>
            <w:vAlign w:val="bottom"/>
            <w:tcBorders>
              <w:bottom w:val="single" w:sz="8" w:color="auto"/>
            </w:tcBorders>
            <w:vMerge w:val="continue"/>
            <w:shd w:val="clear" w:color="auto" w:fill="CCEEFF"/>
          </w:tcPr>
          <w:p>
            <w:pPr>
              <w:spacing w:after="0"/>
              <w:rPr>
                <w:sz w:val="3"/>
                <w:szCs w:val="3"/>
                <w:color w:val="auto"/>
              </w:rPr>
            </w:pPr>
          </w:p>
        </w:tc>
        <w:tc>
          <w:tcPr>
            <w:tcW w:w="1740" w:type="dxa"/>
            <w:vAlign w:val="bottom"/>
            <w:tcBorders>
              <w:bottom w:val="single" w:sz="8" w:color="auto"/>
            </w:tcBorders>
            <w:vMerge w:val="continue"/>
            <w:shd w:val="clear" w:color="auto" w:fill="CCEEFF"/>
          </w:tcPr>
          <w:p>
            <w:pPr>
              <w:spacing w:after="0"/>
              <w:rPr>
                <w:sz w:val="3"/>
                <w:szCs w:val="3"/>
                <w:color w:val="auto"/>
              </w:rPr>
            </w:pPr>
          </w:p>
        </w:tc>
        <w:tc>
          <w:tcPr>
            <w:tcW w:w="0" w:type="dxa"/>
            <w:vAlign w:val="bottom"/>
          </w:tcPr>
          <w:p>
            <w:pPr>
              <w:spacing w:after="0"/>
              <w:rPr>
                <w:sz w:val="1"/>
                <w:szCs w:val="1"/>
                <w:color w:val="auto"/>
              </w:rPr>
            </w:pPr>
          </w:p>
        </w:tc>
      </w:tr>
    </w:tbl>
    <w:p>
      <w:pPr>
        <w:spacing w:after="0" w:line="135" w:lineRule="exact"/>
        <w:rPr>
          <w:sz w:val="20"/>
          <w:szCs w:val="20"/>
          <w:color w:val="auto"/>
        </w:rPr>
      </w:pPr>
    </w:p>
    <w:p>
      <w:pPr>
        <w:ind w:right="40"/>
        <w:spacing w:after="0" w:line="263" w:lineRule="auto"/>
        <w:rPr>
          <w:sz w:val="20"/>
          <w:szCs w:val="20"/>
          <w:color w:val="auto"/>
        </w:rPr>
      </w:pPr>
      <w:r>
        <w:rPr>
          <w:rFonts w:ascii="Arial" w:cs="Arial" w:eastAsia="Arial" w:hAnsi="Arial"/>
          <w:sz w:val="12"/>
          <w:szCs w:val="12"/>
          <w:color w:val="auto"/>
        </w:rPr>
        <w:t>The revenue and earnings from this acquisition, since the acquisition date as included in the consolidated statement of operations for the year ended December 31, 2015, were not significant. Based on the available information provided to us and after exhausting significant efforts to satisfy the pro-forma disclosure requirements assuming the business acquisition happened at the beginning of the year, the Company concluded it to be impracticable to determine and disclose the full-year pro forma combined revenue and earnings for 2015 and 2014.</w:t>
      </w:r>
    </w:p>
    <w:p>
      <w:pPr>
        <w:spacing w:after="0" w:line="9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2014 Transactions</w:t>
      </w:r>
    </w:p>
    <w:p>
      <w:pPr>
        <w:spacing w:after="0" w:line="136"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Burwood, Australia</w:t>
      </w:r>
    </w:p>
    <w:p>
      <w:pPr>
        <w:spacing w:after="0" w:line="123" w:lineRule="exact"/>
        <w:rPr>
          <w:sz w:val="20"/>
          <w:szCs w:val="20"/>
          <w:color w:val="auto"/>
        </w:rPr>
      </w:pPr>
    </w:p>
    <w:p>
      <w:pPr>
        <w:ind w:right="360"/>
        <w:spacing w:after="0" w:line="276" w:lineRule="auto"/>
        <w:rPr>
          <w:sz w:val="20"/>
          <w:szCs w:val="20"/>
          <w:color w:val="auto"/>
        </w:rPr>
      </w:pPr>
      <w:r>
        <w:rPr>
          <w:rFonts w:ascii="Arial" w:cs="Arial" w:eastAsia="Arial" w:hAnsi="Arial"/>
          <w:sz w:val="12"/>
          <w:szCs w:val="12"/>
          <w:color w:val="auto"/>
        </w:rPr>
        <w:t>On May 12, 2014, we entered into a contract to sell our undeveloped 50.6 acre parcel in Burwood, Victoria, Australia, to an affiliate of Australand Holdings Limited (now known as Frasers Property Australia) for a purchase price of $47.5 million (AU$65.0 million).</w:t>
      </w:r>
    </w:p>
    <w:p>
      <w:pPr>
        <w:spacing w:after="0" w:line="88" w:lineRule="exact"/>
        <w:rPr>
          <w:sz w:val="20"/>
          <w:szCs w:val="20"/>
          <w:color w:val="auto"/>
        </w:rPr>
      </w:pPr>
    </w:p>
    <w:p>
      <w:pPr>
        <w:ind w:right="40"/>
        <w:spacing w:after="0" w:line="259" w:lineRule="auto"/>
        <w:rPr>
          <w:sz w:val="20"/>
          <w:szCs w:val="20"/>
          <w:color w:val="auto"/>
        </w:rPr>
      </w:pPr>
      <w:r>
        <w:rPr>
          <w:rFonts w:ascii="Arial" w:cs="Arial" w:eastAsia="Arial" w:hAnsi="Arial"/>
          <w:sz w:val="12"/>
          <w:szCs w:val="12"/>
          <w:color w:val="auto"/>
        </w:rPr>
        <w:t>We received $5.9 million (AU$6.5 million) on May 23, 2014. The remaining purchase price of $42.6 million (AU$58.5 million) is due on December 31, 2017. The agreement provides for mandatory pre-payments in the event that any of the land is sold by the buyer, any such prepayment being in an amount equal to the greater of (a) 90% of the net sales price or (b) the balance of the purchase price multiplied by a fraction the numerator of which is the square footage of property being sold by the buyer and the denominator of which is the original square footage of the property being sold to the buyer. The agreement does not provide for the payment of interest on the balance owed.</w:t>
      </w:r>
    </w:p>
    <w:p>
      <w:pPr>
        <w:spacing w:after="0" w:line="107" w:lineRule="exact"/>
        <w:rPr>
          <w:sz w:val="20"/>
          <w:szCs w:val="20"/>
          <w:color w:val="auto"/>
        </w:rPr>
      </w:pPr>
    </w:p>
    <w:p>
      <w:pPr>
        <w:ind w:right="320"/>
        <w:spacing w:after="0" w:line="263" w:lineRule="auto"/>
        <w:rPr>
          <w:sz w:val="20"/>
          <w:szCs w:val="20"/>
          <w:color w:val="auto"/>
        </w:rPr>
      </w:pPr>
      <w:r>
        <w:rPr>
          <w:rFonts w:ascii="Arial" w:cs="Arial" w:eastAsia="Arial" w:hAnsi="Arial"/>
          <w:sz w:val="12"/>
          <w:szCs w:val="12"/>
          <w:color w:val="auto"/>
        </w:rPr>
        <w:t>Our book value in the property is $38.0 million (AU$52.1 million) and while the transaction was treated as a current sale for tax purposes in 2014, it does not qualify as a sale under US GAAP until the receipt of the payment of the balance of the purchase price due on December 31, 2017 (or earlier depending upon whether any prepayment obligation is triggered). The asset is classified as long-term land held for sale on the consolidated balance sheets as of December 31, 2015 and 2014.</w:t>
      </w:r>
    </w:p>
    <w:p>
      <w:pPr>
        <w:spacing w:after="0" w:line="9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2013 Transactions</w:t>
      </w:r>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Plano Cinema</w:t>
      </w:r>
    </w:p>
    <w:p>
      <w:pPr>
        <w:spacing w:after="0" w:line="132" w:lineRule="exact"/>
        <w:rPr>
          <w:sz w:val="20"/>
          <w:szCs w:val="20"/>
          <w:color w:val="auto"/>
        </w:rPr>
      </w:pPr>
    </w:p>
    <w:p>
      <w:pPr>
        <w:ind w:right="100"/>
        <w:spacing w:after="0" w:line="259" w:lineRule="auto"/>
        <w:rPr>
          <w:sz w:val="20"/>
          <w:szCs w:val="20"/>
          <w:color w:val="auto"/>
        </w:rPr>
      </w:pPr>
      <w:r>
        <w:rPr>
          <w:rFonts w:ascii="Arial" w:cs="Arial" w:eastAsia="Arial" w:hAnsi="Arial"/>
          <w:sz w:val="12"/>
          <w:szCs w:val="12"/>
          <w:color w:val="auto"/>
        </w:rPr>
        <w:t>On December 31, 2013, we settled a management fee claim that we had against the owner of the Plano, Texas cinema that we had managed since 2003 for a cash receipt of $1.9 million. As part of the settlement, we acquired that entity, and through the purchase of that entity acquired the underlying cinema’s lease and the associated personal property, equipment, and trade fixtures. Because the fair value of the lease, in light of anticipated rent payments, resulted in a lease liability of $320,000 and the acquired net assets, including cash received in connection with the settlement, were valued at $1.7 million, we recorded a net gain on acquisition and settlement of $1.4 million.</w:t>
      </w:r>
    </w:p>
    <w:p>
      <w:pPr>
        <w:spacing w:after="0" w:line="98"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Moonee Ponds, Australia</w:t>
      </w:r>
    </w:p>
    <w:p>
      <w:pPr>
        <w:spacing w:after="0" w:line="123" w:lineRule="exact"/>
        <w:rPr>
          <w:sz w:val="20"/>
          <w:szCs w:val="20"/>
          <w:color w:val="auto"/>
        </w:rPr>
      </w:pPr>
    </w:p>
    <w:p>
      <w:pPr>
        <w:ind w:right="40"/>
        <w:spacing w:after="0" w:line="323" w:lineRule="auto"/>
        <w:rPr>
          <w:sz w:val="20"/>
          <w:szCs w:val="20"/>
          <w:color w:val="auto"/>
        </w:rPr>
      </w:pPr>
      <w:r>
        <w:rPr>
          <w:rFonts w:ascii="Arial" w:cs="Arial" w:eastAsia="Arial" w:hAnsi="Arial"/>
          <w:sz w:val="11"/>
          <w:szCs w:val="11"/>
          <w:color w:val="auto"/>
        </w:rPr>
        <w:t>On October 15, 2013, we entered into a definitive purchase and sale agreement to sell this property for a sales price of $17.5 million (AU$23.0 million) payable in full upon closing of the transaction on April 16, 2015. In accordance with the requirements under US GAAP, we recognized a gain of $8.0 million (AU$10.3 million) in the second quarter of 2015 upon the receipt of sale proceeds on April 16, 2015.</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59690</wp:posOffset>
            </wp:positionV>
            <wp:extent cx="677989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779895" cy="42545"/>
                    </a:xfrm>
                    <a:prstGeom prst="rect">
                      <a:avLst/>
                    </a:prstGeom>
                    <a:noFill/>
                  </pic:spPr>
                </pic:pic>
              </a:graphicData>
            </a:graphic>
          </wp:anchor>
        </w:drawing>
      </w:r>
    </w:p>
    <w:p>
      <w:pPr>
        <w:sectPr>
          <w:pgSz w:w="11900" w:h="16838" w:orient="portrait"/>
          <w:cols w:equalWidth="0" w:num="1">
            <w:col w:w="10620"/>
          </w:cols>
          <w:pgMar w:left="640" w:top="275" w:right="639" w:bottom="1440" w:gutter="0" w:footer="0" w:header="0"/>
        </w:sectPr>
      </w:pPr>
    </w:p>
    <w:bookmarkStart w:id="71" w:name="page72"/>
    <w:bookmarkEnd w:id="71"/>
    <w:p>
      <w:pPr>
        <w:spacing w:after="0"/>
        <w:rPr>
          <w:sz w:val="20"/>
          <w:szCs w:val="20"/>
          <w:color w:val="auto"/>
        </w:rPr>
      </w:pPr>
      <w:r>
        <w:rPr>
          <w:rFonts w:ascii="Arial" w:cs="Arial" w:eastAsia="Arial" w:hAnsi="Arial"/>
          <w:sz w:val="12"/>
          <w:szCs w:val="12"/>
          <w:b w:val="1"/>
          <w:bCs w:val="1"/>
          <w:color w:val="auto"/>
        </w:rPr>
        <w:t>NOTE 5 – Property and Equipment</w:t>
      </w:r>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Operating Property, Net</w:t>
      </w:r>
    </w:p>
    <w:p>
      <w:pPr>
        <w:spacing w:after="0" w:line="132" w:lineRule="exact"/>
        <w:rPr>
          <w:sz w:val="20"/>
          <w:szCs w:val="20"/>
          <w:color w:val="auto"/>
        </w:rPr>
      </w:pPr>
    </w:p>
    <w:p>
      <w:pPr>
        <w:spacing w:after="0"/>
        <w:rPr>
          <w:sz w:val="20"/>
          <w:szCs w:val="20"/>
          <w:color w:val="auto"/>
        </w:rPr>
      </w:pPr>
      <w:r>
        <w:rPr>
          <w:rFonts w:ascii="Arial" w:cs="Arial" w:eastAsia="Arial" w:hAnsi="Arial"/>
          <w:sz w:val="12"/>
          <w:szCs w:val="12"/>
          <w:color w:val="auto"/>
        </w:rPr>
        <w:t>Property associated with our operating activities is summarized as follows: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5520" w:type="dxa"/>
            <w:vAlign w:val="bottom"/>
            <w:tcBorders>
              <w:bottom w:val="single" w:sz="8" w:color="auto"/>
            </w:tcBorders>
          </w:tcPr>
          <w:p>
            <w:pPr>
              <w:spacing w:after="0"/>
              <w:rPr>
                <w:sz w:val="20"/>
                <w:szCs w:val="20"/>
                <w:color w:val="auto"/>
              </w:rPr>
            </w:pPr>
            <w:r>
              <w:rPr>
                <w:rFonts w:ascii="Arial" w:cs="Arial" w:eastAsia="Arial" w:hAnsi="Arial"/>
                <w:sz w:val="11"/>
                <w:szCs w:val="11"/>
                <w:color w:val="auto"/>
              </w:rPr>
              <w:t>(Dollars in thousands)</w:t>
            </w:r>
          </w:p>
        </w:tc>
        <w:tc>
          <w:tcPr>
            <w:tcW w:w="340" w:type="dxa"/>
            <w:vAlign w:val="bottom"/>
            <w:tcBorders>
              <w:bottom w:val="single" w:sz="8" w:color="CCEEFF"/>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700" w:type="dxa"/>
            <w:vAlign w:val="bottom"/>
            <w:tcBorders>
              <w:bottom w:val="single" w:sz="8" w:color="auto"/>
            </w:tcBorders>
          </w:tcPr>
          <w:p>
            <w:pPr>
              <w:jc w:val="right"/>
              <w:ind w:right="626"/>
              <w:spacing w:after="0"/>
              <w:rPr>
                <w:sz w:val="20"/>
                <w:szCs w:val="20"/>
                <w:color w:val="auto"/>
              </w:rPr>
            </w:pPr>
            <w:r>
              <w:rPr>
                <w:rFonts w:ascii="Arial" w:cs="Arial" w:eastAsia="Arial" w:hAnsi="Arial"/>
                <w:sz w:val="11"/>
                <w:szCs w:val="11"/>
                <w:b w:val="1"/>
                <w:bCs w:val="1"/>
                <w:color w:val="auto"/>
              </w:rPr>
              <w:t>December 31, 2015</w:t>
            </w:r>
          </w:p>
        </w:tc>
        <w:tc>
          <w:tcPr>
            <w:tcW w:w="340" w:type="dxa"/>
            <w:vAlign w:val="bottom"/>
            <w:tcBorders>
              <w:bottom w:val="single" w:sz="8" w:color="CCEEFF"/>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680" w:type="dxa"/>
            <w:vAlign w:val="bottom"/>
            <w:tcBorders>
              <w:bottom w:val="single" w:sz="8" w:color="auto"/>
            </w:tcBorders>
          </w:tcPr>
          <w:p>
            <w:pPr>
              <w:jc w:val="right"/>
              <w:ind w:right="606"/>
              <w:spacing w:after="0"/>
              <w:rPr>
                <w:sz w:val="20"/>
                <w:szCs w:val="20"/>
                <w:color w:val="auto"/>
              </w:rPr>
            </w:pPr>
            <w:r>
              <w:rPr>
                <w:rFonts w:ascii="Arial" w:cs="Arial" w:eastAsia="Arial" w:hAnsi="Arial"/>
                <w:sz w:val="11"/>
                <w:szCs w:val="11"/>
                <w:b w:val="1"/>
                <w:bCs w:val="1"/>
                <w:color w:val="auto"/>
              </w:rPr>
              <w:t>December 31, 2014</w:t>
            </w:r>
          </w:p>
        </w:tc>
      </w:tr>
      <w:tr>
        <w:trPr>
          <w:trHeight w:val="180"/>
        </w:trPr>
        <w:tc>
          <w:tcPr>
            <w:tcW w:w="5860" w:type="dxa"/>
            <w:vAlign w:val="bottom"/>
            <w:gridSpan w:val="2"/>
            <w:shd w:val="clear" w:color="auto" w:fill="CCEEFF"/>
          </w:tcPr>
          <w:p>
            <w:pPr>
              <w:ind w:left="80"/>
              <w:spacing w:after="0"/>
              <w:rPr>
                <w:sz w:val="20"/>
                <w:szCs w:val="20"/>
                <w:color w:val="auto"/>
              </w:rPr>
            </w:pPr>
            <w:r>
              <w:rPr>
                <w:rFonts w:ascii="Arial" w:cs="Arial" w:eastAsia="Arial" w:hAnsi="Arial"/>
                <w:sz w:val="11"/>
                <w:szCs w:val="11"/>
                <w:color w:val="auto"/>
              </w:rPr>
              <w:t>Land</w:t>
            </w:r>
          </w:p>
        </w:tc>
        <w:tc>
          <w:tcPr>
            <w:tcW w:w="52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70,063</w:t>
            </w:r>
          </w:p>
        </w:tc>
        <w:tc>
          <w:tcPr>
            <w:tcW w:w="34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106"/>
              <w:spacing w:after="0"/>
              <w:rPr>
                <w:sz w:val="20"/>
                <w:szCs w:val="20"/>
                <w:color w:val="auto"/>
              </w:rPr>
            </w:pPr>
            <w:r>
              <w:rPr>
                <w:rFonts w:ascii="Arial" w:cs="Arial" w:eastAsia="Arial" w:hAnsi="Arial"/>
                <w:sz w:val="11"/>
                <w:szCs w:val="11"/>
                <w:color w:val="auto"/>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62,024</w:t>
            </w:r>
          </w:p>
        </w:tc>
      </w:tr>
      <w:tr>
        <w:trPr>
          <w:trHeight w:val="187"/>
        </w:trPr>
        <w:tc>
          <w:tcPr>
            <w:tcW w:w="5860" w:type="dxa"/>
            <w:vAlign w:val="bottom"/>
            <w:gridSpan w:val="2"/>
          </w:tcPr>
          <w:p>
            <w:pPr>
              <w:ind w:left="80"/>
              <w:spacing w:after="0"/>
              <w:rPr>
                <w:sz w:val="20"/>
                <w:szCs w:val="20"/>
                <w:color w:val="auto"/>
              </w:rPr>
            </w:pPr>
            <w:r>
              <w:rPr>
                <w:rFonts w:ascii="Arial" w:cs="Arial" w:eastAsia="Arial" w:hAnsi="Arial"/>
                <w:sz w:val="11"/>
                <w:szCs w:val="11"/>
                <w:color w:val="auto"/>
              </w:rPr>
              <w:t>Building and improvements</w:t>
            </w:r>
          </w:p>
        </w:tc>
        <w:tc>
          <w:tcPr>
            <w:tcW w:w="52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Arial" w:cs="Arial" w:eastAsia="Arial" w:hAnsi="Arial"/>
                <w:sz w:val="11"/>
                <w:szCs w:val="11"/>
                <w:color w:val="auto"/>
              </w:rPr>
              <w:t>126,622</w:t>
            </w:r>
          </w:p>
        </w:tc>
        <w:tc>
          <w:tcPr>
            <w:tcW w:w="3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Arial" w:cs="Arial" w:eastAsia="Arial" w:hAnsi="Arial"/>
                <w:sz w:val="11"/>
                <w:szCs w:val="11"/>
                <w:color w:val="auto"/>
              </w:rPr>
              <w:t>120,913</w:t>
            </w:r>
          </w:p>
        </w:tc>
      </w:tr>
      <w:tr>
        <w:trPr>
          <w:trHeight w:val="191"/>
        </w:trPr>
        <w:tc>
          <w:tcPr>
            <w:tcW w:w="5860" w:type="dxa"/>
            <w:vAlign w:val="bottom"/>
            <w:gridSpan w:val="2"/>
            <w:shd w:val="clear" w:color="auto" w:fill="CCEEFF"/>
          </w:tcPr>
          <w:p>
            <w:pPr>
              <w:ind w:left="80"/>
              <w:spacing w:after="0"/>
              <w:rPr>
                <w:sz w:val="20"/>
                <w:szCs w:val="20"/>
                <w:color w:val="auto"/>
              </w:rPr>
            </w:pPr>
            <w:r>
              <w:rPr>
                <w:rFonts w:ascii="Arial" w:cs="Arial" w:eastAsia="Arial" w:hAnsi="Arial"/>
                <w:sz w:val="11"/>
                <w:szCs w:val="11"/>
                <w:color w:val="auto"/>
              </w:rPr>
              <w:t>Leasehold improvements</w:t>
            </w:r>
          </w:p>
        </w:tc>
        <w:tc>
          <w:tcPr>
            <w:tcW w:w="520" w:type="dxa"/>
            <w:vAlign w:val="bottom"/>
            <w:shd w:val="clear" w:color="auto" w:fill="CCEEFF"/>
          </w:tcPr>
          <w:p>
            <w:pPr>
              <w:spacing w:after="0"/>
              <w:rPr>
                <w:sz w:val="16"/>
                <w:szCs w:val="16"/>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46,874</w:t>
            </w:r>
          </w:p>
        </w:tc>
        <w:tc>
          <w:tcPr>
            <w:tcW w:w="3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46,813</w:t>
            </w:r>
          </w:p>
        </w:tc>
      </w:tr>
      <w:tr>
        <w:trPr>
          <w:trHeight w:val="187"/>
        </w:trPr>
        <w:tc>
          <w:tcPr>
            <w:tcW w:w="5860" w:type="dxa"/>
            <w:vAlign w:val="bottom"/>
            <w:gridSpan w:val="2"/>
          </w:tcPr>
          <w:p>
            <w:pPr>
              <w:ind w:left="80"/>
              <w:spacing w:after="0"/>
              <w:rPr>
                <w:sz w:val="20"/>
                <w:szCs w:val="20"/>
                <w:color w:val="auto"/>
              </w:rPr>
            </w:pPr>
            <w:r>
              <w:rPr>
                <w:rFonts w:ascii="Arial" w:cs="Arial" w:eastAsia="Arial" w:hAnsi="Arial"/>
                <w:sz w:val="11"/>
                <w:szCs w:val="11"/>
                <w:color w:val="auto"/>
              </w:rPr>
              <w:t>Fixtures and equipment</w:t>
            </w:r>
          </w:p>
        </w:tc>
        <w:tc>
          <w:tcPr>
            <w:tcW w:w="52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Arial" w:cs="Arial" w:eastAsia="Arial" w:hAnsi="Arial"/>
                <w:sz w:val="11"/>
                <w:szCs w:val="11"/>
                <w:color w:val="auto"/>
              </w:rPr>
              <w:t>112,423</w:t>
            </w:r>
          </w:p>
        </w:tc>
        <w:tc>
          <w:tcPr>
            <w:tcW w:w="3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Arial" w:cs="Arial" w:eastAsia="Arial" w:hAnsi="Arial"/>
                <w:sz w:val="11"/>
                <w:szCs w:val="11"/>
                <w:color w:val="auto"/>
              </w:rPr>
              <w:t>107,286</w:t>
            </w:r>
          </w:p>
        </w:tc>
      </w:tr>
      <w:tr>
        <w:trPr>
          <w:trHeight w:val="189"/>
        </w:trPr>
        <w:tc>
          <w:tcPr>
            <w:tcW w:w="5860" w:type="dxa"/>
            <w:vAlign w:val="bottom"/>
            <w:gridSpan w:val="2"/>
            <w:shd w:val="clear" w:color="auto" w:fill="CCEEFF"/>
          </w:tcPr>
          <w:p>
            <w:pPr>
              <w:ind w:left="80"/>
              <w:spacing w:after="0"/>
              <w:rPr>
                <w:sz w:val="20"/>
                <w:szCs w:val="20"/>
                <w:color w:val="auto"/>
              </w:rPr>
            </w:pPr>
            <w:r>
              <w:rPr>
                <w:rFonts w:ascii="Arial" w:cs="Arial" w:eastAsia="Arial" w:hAnsi="Arial"/>
                <w:sz w:val="11"/>
                <w:szCs w:val="11"/>
                <w:color w:val="auto"/>
              </w:rPr>
              <w:t>Construction-in-progress</w:t>
            </w:r>
          </w:p>
        </w:tc>
        <w:tc>
          <w:tcPr>
            <w:tcW w:w="520" w:type="dxa"/>
            <w:vAlign w:val="bottom"/>
            <w:tcBorders>
              <w:bottom w:val="single" w:sz="8" w:color="auto"/>
            </w:tcBorders>
            <w:shd w:val="clear" w:color="auto" w:fill="CCEEFF"/>
          </w:tcPr>
          <w:p>
            <w:pPr>
              <w:spacing w:after="0"/>
              <w:rPr>
                <w:sz w:val="16"/>
                <w:szCs w:val="16"/>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7,825</w:t>
            </w:r>
          </w:p>
        </w:tc>
        <w:tc>
          <w:tcPr>
            <w:tcW w:w="340" w:type="dxa"/>
            <w:vAlign w:val="bottom"/>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spacing w:after="0"/>
              <w:rPr>
                <w:sz w:val="16"/>
                <w:szCs w:val="16"/>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4,681</w:t>
            </w:r>
          </w:p>
        </w:tc>
      </w:tr>
      <w:tr>
        <w:trPr>
          <w:trHeight w:val="169"/>
        </w:trPr>
        <w:tc>
          <w:tcPr>
            <w:tcW w:w="5860" w:type="dxa"/>
            <w:vAlign w:val="bottom"/>
            <w:gridSpan w:val="2"/>
          </w:tcPr>
          <w:p>
            <w:pPr>
              <w:ind w:left="140"/>
              <w:spacing w:after="0"/>
              <w:rPr>
                <w:sz w:val="20"/>
                <w:szCs w:val="20"/>
                <w:color w:val="auto"/>
              </w:rPr>
            </w:pPr>
            <w:r>
              <w:rPr>
                <w:rFonts w:ascii="Arial" w:cs="Arial" w:eastAsia="Arial" w:hAnsi="Arial"/>
                <w:sz w:val="11"/>
                <w:szCs w:val="11"/>
                <w:color w:val="auto"/>
              </w:rPr>
              <w:t>Total cost</w:t>
            </w:r>
          </w:p>
        </w:tc>
        <w:tc>
          <w:tcPr>
            <w:tcW w:w="52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Arial" w:cs="Arial" w:eastAsia="Arial" w:hAnsi="Arial"/>
                <w:sz w:val="11"/>
                <w:szCs w:val="11"/>
                <w:color w:val="auto"/>
              </w:rPr>
              <w:t>363,807</w:t>
            </w: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80" w:type="dxa"/>
            <w:vAlign w:val="bottom"/>
          </w:tcPr>
          <w:p>
            <w:pPr>
              <w:jc w:val="right"/>
              <w:spacing w:after="0"/>
              <w:rPr>
                <w:sz w:val="20"/>
                <w:szCs w:val="20"/>
                <w:color w:val="auto"/>
              </w:rPr>
            </w:pPr>
            <w:r>
              <w:rPr>
                <w:rFonts w:ascii="Arial" w:cs="Arial" w:eastAsia="Arial" w:hAnsi="Arial"/>
                <w:sz w:val="11"/>
                <w:szCs w:val="11"/>
                <w:color w:val="auto"/>
              </w:rPr>
              <w:t>341,717</w:t>
            </w:r>
          </w:p>
        </w:tc>
      </w:tr>
      <w:tr>
        <w:trPr>
          <w:trHeight w:val="189"/>
        </w:trPr>
        <w:tc>
          <w:tcPr>
            <w:tcW w:w="5860" w:type="dxa"/>
            <w:vAlign w:val="bottom"/>
            <w:gridSpan w:val="2"/>
            <w:shd w:val="clear" w:color="auto" w:fill="CCEEFF"/>
          </w:tcPr>
          <w:p>
            <w:pPr>
              <w:ind w:left="80"/>
              <w:spacing w:after="0"/>
              <w:rPr>
                <w:sz w:val="20"/>
                <w:szCs w:val="20"/>
                <w:color w:val="auto"/>
              </w:rPr>
            </w:pPr>
            <w:r>
              <w:rPr>
                <w:rFonts w:ascii="Arial" w:cs="Arial" w:eastAsia="Arial" w:hAnsi="Arial"/>
                <w:sz w:val="11"/>
                <w:szCs w:val="11"/>
                <w:color w:val="auto"/>
              </w:rPr>
              <w:t>Less: accumulated depreciation</w:t>
            </w:r>
          </w:p>
        </w:tc>
        <w:tc>
          <w:tcPr>
            <w:tcW w:w="520" w:type="dxa"/>
            <w:vAlign w:val="bottom"/>
            <w:shd w:val="clear" w:color="auto" w:fill="CCEEFF"/>
          </w:tcPr>
          <w:p>
            <w:pPr>
              <w:spacing w:after="0"/>
              <w:rPr>
                <w:sz w:val="16"/>
                <w:szCs w:val="16"/>
                <w:color w:val="auto"/>
              </w:rPr>
            </w:pPr>
          </w:p>
        </w:tc>
        <w:tc>
          <w:tcPr>
            <w:tcW w:w="2040" w:type="dxa"/>
            <w:vAlign w:val="bottom"/>
            <w:gridSpan w:val="2"/>
            <w:shd w:val="clear" w:color="auto" w:fill="CCEEFF"/>
          </w:tcPr>
          <w:p>
            <w:pPr>
              <w:jc w:val="right"/>
              <w:ind w:right="340"/>
              <w:spacing w:after="0"/>
              <w:rPr>
                <w:sz w:val="20"/>
                <w:szCs w:val="20"/>
                <w:color w:val="auto"/>
              </w:rPr>
            </w:pPr>
            <w:r>
              <w:rPr>
                <w:rFonts w:ascii="Arial" w:cs="Arial" w:eastAsia="Arial" w:hAnsi="Arial"/>
                <w:sz w:val="11"/>
                <w:szCs w:val="11"/>
                <w:color w:val="auto"/>
              </w:rPr>
              <w:t>(153,509)</w:t>
            </w:r>
          </w:p>
        </w:tc>
        <w:tc>
          <w:tcPr>
            <w:tcW w:w="520" w:type="dxa"/>
            <w:vAlign w:val="bottom"/>
            <w:shd w:val="clear" w:color="auto" w:fill="CCEEFF"/>
          </w:tcPr>
          <w:p>
            <w:pPr>
              <w:spacing w:after="0"/>
              <w:rPr>
                <w:sz w:val="16"/>
                <w:szCs w:val="16"/>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(154,828)</w:t>
            </w:r>
          </w:p>
        </w:tc>
      </w:tr>
      <w:tr>
        <w:trPr>
          <w:trHeight w:val="162"/>
        </w:trPr>
        <w:tc>
          <w:tcPr>
            <w:tcW w:w="5860" w:type="dxa"/>
            <w:vAlign w:val="bottom"/>
            <w:gridSpan w:val="2"/>
          </w:tcPr>
          <w:p>
            <w:pPr>
              <w:spacing w:after="0"/>
              <w:rPr>
                <w:sz w:val="20"/>
                <w:szCs w:val="20"/>
                <w:color w:val="auto"/>
              </w:rPr>
            </w:pPr>
            <w:r>
              <w:rPr>
                <w:rFonts w:ascii="Arial" w:cs="Arial" w:eastAsia="Arial" w:hAnsi="Arial"/>
                <w:sz w:val="11"/>
                <w:szCs w:val="11"/>
                <w:color w:val="auto"/>
              </w:rPr>
              <w:t>Operating property, net</w:t>
            </w:r>
          </w:p>
        </w:tc>
        <w:tc>
          <w:tcPr>
            <w:tcW w:w="520" w:type="dxa"/>
            <w:vAlign w:val="bottom"/>
            <w:tcBorders>
              <w:top w:val="single" w:sz="8" w:color="auto"/>
              <w:bottom w:val="single" w:sz="8" w:color="auto"/>
            </w:tcBorders>
          </w:tcPr>
          <w:p>
            <w:pPr>
              <w:jc w:val="right"/>
              <w:ind w:right="86"/>
              <w:spacing w:after="0"/>
              <w:rPr>
                <w:sz w:val="20"/>
                <w:szCs w:val="20"/>
                <w:color w:val="auto"/>
              </w:rPr>
            </w:pPr>
            <w:r>
              <w:rPr>
                <w:rFonts w:ascii="Arial" w:cs="Arial" w:eastAsia="Arial" w:hAnsi="Arial"/>
                <w:sz w:val="11"/>
                <w:szCs w:val="11"/>
                <w:color w:val="auto"/>
              </w:rPr>
              <w:t>$</w:t>
            </w: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210,298</w:t>
            </w:r>
          </w:p>
        </w:tc>
        <w:tc>
          <w:tcPr>
            <w:tcW w:w="340" w:type="dxa"/>
            <w:vAlign w:val="bottom"/>
          </w:tcPr>
          <w:p>
            <w:pPr>
              <w:spacing w:after="0"/>
              <w:rPr>
                <w:sz w:val="14"/>
                <w:szCs w:val="14"/>
                <w:color w:val="auto"/>
              </w:rPr>
            </w:pPr>
          </w:p>
        </w:tc>
        <w:tc>
          <w:tcPr>
            <w:tcW w:w="520" w:type="dxa"/>
            <w:vAlign w:val="bottom"/>
            <w:tcBorders>
              <w:top w:val="single" w:sz="8" w:color="auto"/>
              <w:bottom w:val="single" w:sz="8" w:color="auto"/>
            </w:tcBorders>
          </w:tcPr>
          <w:p>
            <w:pPr>
              <w:jc w:val="right"/>
              <w:ind w:right="106"/>
              <w:spacing w:after="0"/>
              <w:rPr>
                <w:sz w:val="20"/>
                <w:szCs w:val="20"/>
                <w:color w:val="auto"/>
              </w:rPr>
            </w:pPr>
            <w:r>
              <w:rPr>
                <w:rFonts w:ascii="Arial" w:cs="Arial" w:eastAsia="Arial" w:hAnsi="Arial"/>
                <w:sz w:val="11"/>
                <w:szCs w:val="11"/>
                <w:color w:val="auto"/>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186,889</w:t>
            </w:r>
          </w:p>
        </w:tc>
      </w:tr>
    </w:tbl>
    <w:p>
      <w:pPr>
        <w:spacing w:after="0" w:line="108" w:lineRule="exact"/>
        <w:rPr>
          <w:sz w:val="20"/>
          <w:szCs w:val="20"/>
          <w:color w:val="auto"/>
        </w:rPr>
      </w:pPr>
    </w:p>
    <w:p>
      <w:pPr>
        <w:spacing w:after="0"/>
        <w:rPr>
          <w:sz w:val="20"/>
          <w:szCs w:val="20"/>
          <w:color w:val="auto"/>
        </w:rPr>
      </w:pPr>
      <w:r>
        <w:rPr>
          <w:rFonts w:ascii="Arial" w:cs="Arial" w:eastAsia="Arial" w:hAnsi="Arial"/>
          <w:sz w:val="12"/>
          <w:szCs w:val="12"/>
          <w:color w:val="auto"/>
        </w:rPr>
        <w:t>Depreciation expense for operating property was $13.6 million, $14.4 million, and $14.0 million for 2015, 2014, and 2013, respectively.</w:t>
      </w:r>
    </w:p>
    <w:p>
      <w:pPr>
        <w:spacing w:after="0" w:line="13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Investment and Development Property</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color w:val="auto"/>
        </w:rPr>
        <w:t>Investment and development property is summarized as follows: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5520" w:type="dxa"/>
            <w:vAlign w:val="bottom"/>
            <w:tcBorders>
              <w:bottom w:val="single" w:sz="8" w:color="auto"/>
            </w:tcBorders>
          </w:tcPr>
          <w:p>
            <w:pPr>
              <w:spacing w:after="0"/>
              <w:rPr>
                <w:sz w:val="20"/>
                <w:szCs w:val="20"/>
                <w:color w:val="auto"/>
              </w:rPr>
            </w:pPr>
            <w:r>
              <w:rPr>
                <w:rFonts w:ascii="Arial" w:cs="Arial" w:eastAsia="Arial" w:hAnsi="Arial"/>
                <w:sz w:val="11"/>
                <w:szCs w:val="11"/>
                <w:color w:val="auto"/>
              </w:rPr>
              <w:t>(Dollars in thousands)</w:t>
            </w:r>
          </w:p>
        </w:tc>
        <w:tc>
          <w:tcPr>
            <w:tcW w:w="340" w:type="dxa"/>
            <w:vAlign w:val="bottom"/>
            <w:tcBorders>
              <w:bottom w:val="single" w:sz="8" w:color="CCEEFF"/>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700" w:type="dxa"/>
            <w:vAlign w:val="bottom"/>
            <w:tcBorders>
              <w:bottom w:val="single" w:sz="8" w:color="auto"/>
            </w:tcBorders>
          </w:tcPr>
          <w:p>
            <w:pPr>
              <w:jc w:val="right"/>
              <w:ind w:right="626"/>
              <w:spacing w:after="0"/>
              <w:rPr>
                <w:sz w:val="20"/>
                <w:szCs w:val="20"/>
                <w:color w:val="auto"/>
              </w:rPr>
            </w:pPr>
            <w:r>
              <w:rPr>
                <w:rFonts w:ascii="Arial" w:cs="Arial" w:eastAsia="Arial" w:hAnsi="Arial"/>
                <w:sz w:val="11"/>
                <w:szCs w:val="11"/>
                <w:b w:val="1"/>
                <w:bCs w:val="1"/>
                <w:color w:val="auto"/>
              </w:rPr>
              <w:t>December 31, 2015</w:t>
            </w:r>
          </w:p>
        </w:tc>
        <w:tc>
          <w:tcPr>
            <w:tcW w:w="340" w:type="dxa"/>
            <w:vAlign w:val="bottom"/>
            <w:tcBorders>
              <w:bottom w:val="single" w:sz="8" w:color="CCEEFF"/>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680" w:type="dxa"/>
            <w:vAlign w:val="bottom"/>
            <w:tcBorders>
              <w:bottom w:val="single" w:sz="8" w:color="auto"/>
            </w:tcBorders>
          </w:tcPr>
          <w:p>
            <w:pPr>
              <w:jc w:val="right"/>
              <w:ind w:right="606"/>
              <w:spacing w:after="0"/>
              <w:rPr>
                <w:sz w:val="20"/>
                <w:szCs w:val="20"/>
                <w:color w:val="auto"/>
              </w:rPr>
            </w:pPr>
            <w:r>
              <w:rPr>
                <w:rFonts w:ascii="Arial" w:cs="Arial" w:eastAsia="Arial" w:hAnsi="Arial"/>
                <w:sz w:val="11"/>
                <w:szCs w:val="11"/>
                <w:b w:val="1"/>
                <w:bCs w:val="1"/>
                <w:color w:val="auto"/>
              </w:rPr>
              <w:t>December 31, 2014</w:t>
            </w:r>
          </w:p>
        </w:tc>
      </w:tr>
      <w:tr>
        <w:trPr>
          <w:trHeight w:val="180"/>
        </w:trPr>
        <w:tc>
          <w:tcPr>
            <w:tcW w:w="5860" w:type="dxa"/>
            <w:vAlign w:val="bottom"/>
            <w:gridSpan w:val="2"/>
            <w:shd w:val="clear" w:color="auto" w:fill="CCEEFF"/>
          </w:tcPr>
          <w:p>
            <w:pPr>
              <w:ind w:left="80"/>
              <w:spacing w:after="0"/>
              <w:rPr>
                <w:sz w:val="20"/>
                <w:szCs w:val="20"/>
                <w:color w:val="auto"/>
              </w:rPr>
            </w:pPr>
            <w:r>
              <w:rPr>
                <w:rFonts w:ascii="Arial" w:cs="Arial" w:eastAsia="Arial" w:hAnsi="Arial"/>
                <w:sz w:val="11"/>
                <w:szCs w:val="11"/>
                <w:color w:val="auto"/>
              </w:rPr>
              <w:t>Land</w:t>
            </w:r>
          </w:p>
        </w:tc>
        <w:tc>
          <w:tcPr>
            <w:tcW w:w="52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21,434</w:t>
            </w:r>
          </w:p>
        </w:tc>
        <w:tc>
          <w:tcPr>
            <w:tcW w:w="34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106"/>
              <w:spacing w:after="0"/>
              <w:rPr>
                <w:sz w:val="20"/>
                <w:szCs w:val="20"/>
                <w:color w:val="auto"/>
              </w:rPr>
            </w:pPr>
            <w:r>
              <w:rPr>
                <w:rFonts w:ascii="Arial" w:cs="Arial" w:eastAsia="Arial" w:hAnsi="Arial"/>
                <w:sz w:val="11"/>
                <w:szCs w:val="11"/>
                <w:color w:val="auto"/>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23,833</w:t>
            </w:r>
          </w:p>
        </w:tc>
      </w:tr>
      <w:tr>
        <w:trPr>
          <w:trHeight w:val="187"/>
        </w:trPr>
        <w:tc>
          <w:tcPr>
            <w:tcW w:w="5860" w:type="dxa"/>
            <w:vAlign w:val="bottom"/>
            <w:tcBorders>
              <w:bottom w:val="single" w:sz="8" w:color="CCEEFF"/>
            </w:tcBorders>
            <w:gridSpan w:val="2"/>
          </w:tcPr>
          <w:p>
            <w:pPr>
              <w:ind w:left="80"/>
              <w:spacing w:after="0"/>
              <w:rPr>
                <w:sz w:val="20"/>
                <w:szCs w:val="20"/>
                <w:color w:val="auto"/>
              </w:rPr>
            </w:pPr>
            <w:r>
              <w:rPr>
                <w:rFonts w:ascii="Arial" w:cs="Arial" w:eastAsia="Arial" w:hAnsi="Arial"/>
                <w:sz w:val="11"/>
                <w:szCs w:val="11"/>
                <w:color w:val="auto"/>
              </w:rPr>
              <w:t>Construction-in-progress (including capitalized interest)</w:t>
            </w:r>
          </w:p>
        </w:tc>
        <w:tc>
          <w:tcPr>
            <w:tcW w:w="5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1,568</w:t>
            </w:r>
          </w:p>
        </w:tc>
        <w:tc>
          <w:tcPr>
            <w:tcW w:w="34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2,291</w:t>
            </w:r>
          </w:p>
        </w:tc>
      </w:tr>
      <w:tr>
        <w:trPr>
          <w:trHeight w:val="162"/>
        </w:trPr>
        <w:tc>
          <w:tcPr>
            <w:tcW w:w="58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1"/>
                <w:szCs w:val="11"/>
                <w:color w:val="auto"/>
              </w:rPr>
              <w:t>Investment and development property, net</w:t>
            </w:r>
          </w:p>
        </w:tc>
        <w:tc>
          <w:tcPr>
            <w:tcW w:w="52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color w:val="auto"/>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23,002</w:t>
            </w:r>
          </w:p>
        </w:tc>
        <w:tc>
          <w:tcPr>
            <w:tcW w:w="34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ind w:right="106"/>
              <w:spacing w:after="0"/>
              <w:rPr>
                <w:sz w:val="20"/>
                <w:szCs w:val="20"/>
                <w:color w:val="auto"/>
              </w:rPr>
            </w:pPr>
            <w:r>
              <w:rPr>
                <w:rFonts w:ascii="Arial" w:cs="Arial" w:eastAsia="Arial" w:hAnsi="Arial"/>
                <w:sz w:val="11"/>
                <w:szCs w:val="11"/>
                <w:color w:val="auto"/>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26,124</w:t>
            </w:r>
          </w:p>
        </w:tc>
      </w:tr>
    </w:tbl>
    <w:p>
      <w:pPr>
        <w:spacing w:after="0" w:line="26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6 – Investments in and Advances to Unconsolidated Joint Ventures and Entities</w:t>
      </w:r>
    </w:p>
    <w:p>
      <w:pPr>
        <w:spacing w:after="0" w:line="127" w:lineRule="exact"/>
        <w:rPr>
          <w:sz w:val="20"/>
          <w:szCs w:val="20"/>
          <w:color w:val="auto"/>
        </w:rPr>
      </w:pPr>
    </w:p>
    <w:p>
      <w:pPr>
        <w:ind w:right="280"/>
        <w:spacing w:after="0" w:line="276" w:lineRule="auto"/>
        <w:rPr>
          <w:sz w:val="20"/>
          <w:szCs w:val="20"/>
          <w:color w:val="auto"/>
        </w:rPr>
      </w:pPr>
      <w:r>
        <w:rPr>
          <w:rFonts w:ascii="Arial" w:cs="Arial" w:eastAsia="Arial" w:hAnsi="Arial"/>
          <w:sz w:val="12"/>
          <w:szCs w:val="12"/>
          <w:color w:val="auto"/>
        </w:rPr>
        <w:t>Investments in and advances to unconsolidated joint ventures and entities are accounted for under the equity method of accounting, except for Rialto Distribution as described below. The table below summarizes our investments in unconsolidated joint ventures and entities:</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3920" w:type="dxa"/>
            <w:vAlign w:val="bottom"/>
            <w:tcBorders>
              <w:bottom w:val="single" w:sz="8" w:color="auto"/>
            </w:tcBorders>
          </w:tcPr>
          <w:p>
            <w:pPr>
              <w:spacing w:after="0"/>
              <w:rPr>
                <w:sz w:val="20"/>
                <w:szCs w:val="20"/>
                <w:color w:val="auto"/>
              </w:rPr>
            </w:pPr>
            <w:r>
              <w:rPr>
                <w:rFonts w:ascii="Arial" w:cs="Arial" w:eastAsia="Arial" w:hAnsi="Arial"/>
                <w:sz w:val="11"/>
                <w:szCs w:val="11"/>
                <w:color w:val="auto"/>
              </w:rPr>
              <w:t>(Dollars in thousands)</w:t>
            </w:r>
          </w:p>
        </w:tc>
        <w:tc>
          <w:tcPr>
            <w:tcW w:w="380" w:type="dxa"/>
            <w:vAlign w:val="bottom"/>
            <w:tcBorders>
              <w:bottom w:val="single" w:sz="8" w:color="CCEEFF"/>
            </w:tcBorders>
          </w:tcPr>
          <w:p>
            <w:pPr>
              <w:spacing w:after="0"/>
              <w:rPr>
                <w:sz w:val="12"/>
                <w:szCs w:val="12"/>
                <w:color w:val="auto"/>
              </w:rPr>
            </w:pP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0"/>
              </w:rPr>
              <w:t>Interest</w:t>
            </w:r>
          </w:p>
        </w:tc>
        <w:tc>
          <w:tcPr>
            <w:tcW w:w="38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jc w:val="right"/>
              <w:ind w:right="446"/>
              <w:spacing w:after="0"/>
              <w:rPr>
                <w:sz w:val="20"/>
                <w:szCs w:val="20"/>
                <w:color w:val="auto"/>
              </w:rPr>
            </w:pPr>
            <w:r>
              <w:rPr>
                <w:rFonts w:ascii="Arial" w:cs="Arial" w:eastAsia="Arial" w:hAnsi="Arial"/>
                <w:sz w:val="11"/>
                <w:szCs w:val="11"/>
                <w:b w:val="1"/>
                <w:bCs w:val="1"/>
                <w:color w:val="auto"/>
                <w:w w:val="90"/>
              </w:rPr>
              <w:t>December 31, 2015</w:t>
            </w:r>
          </w:p>
        </w:tc>
        <w:tc>
          <w:tcPr>
            <w:tcW w:w="36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jc w:val="right"/>
              <w:ind w:right="426"/>
              <w:spacing w:after="0"/>
              <w:rPr>
                <w:sz w:val="20"/>
                <w:szCs w:val="20"/>
                <w:color w:val="auto"/>
              </w:rPr>
            </w:pPr>
            <w:r>
              <w:rPr>
                <w:rFonts w:ascii="Arial" w:cs="Arial" w:eastAsia="Arial" w:hAnsi="Arial"/>
                <w:sz w:val="11"/>
                <w:szCs w:val="11"/>
                <w:b w:val="1"/>
                <w:bCs w:val="1"/>
                <w:color w:val="auto"/>
                <w:w w:val="92"/>
              </w:rPr>
              <w:t>December 31, 2014</w:t>
            </w:r>
          </w:p>
        </w:tc>
      </w:tr>
      <w:tr>
        <w:trPr>
          <w:trHeight w:val="180"/>
        </w:trPr>
        <w:tc>
          <w:tcPr>
            <w:tcW w:w="430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Rialto Distribution</w:t>
            </w:r>
          </w:p>
        </w:tc>
        <w:tc>
          <w:tcPr>
            <w:tcW w:w="186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89"/>
              </w:rPr>
              <w:t>33.3%</w:t>
            </w:r>
          </w:p>
        </w:tc>
        <w:tc>
          <w:tcPr>
            <w:tcW w:w="380" w:type="dxa"/>
            <w:vAlign w:val="bottom"/>
            <w:shd w:val="clear" w:color="auto" w:fill="CCEEFF"/>
          </w:tcPr>
          <w:p>
            <w:pPr>
              <w:spacing w:after="0"/>
              <w:rPr>
                <w:sz w:val="15"/>
                <w:szCs w:val="15"/>
                <w:color w:val="auto"/>
              </w:rPr>
            </w:pPr>
          </w:p>
        </w:tc>
        <w:tc>
          <w:tcPr>
            <w:tcW w:w="4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780" w:type="dxa"/>
            <w:vAlign w:val="bottom"/>
            <w:gridSpan w:val="2"/>
            <w:shd w:val="clear" w:color="auto" w:fill="CCEEFF"/>
          </w:tcPr>
          <w:p>
            <w:pPr>
              <w:jc w:val="right"/>
              <w:ind w:right="360"/>
              <w:spacing w:after="0"/>
              <w:rPr>
                <w:sz w:val="20"/>
                <w:szCs w:val="20"/>
                <w:color w:val="auto"/>
              </w:rPr>
            </w:pPr>
            <w:r>
              <w:rPr>
                <w:rFonts w:ascii="Arial" w:cs="Arial" w:eastAsia="Arial" w:hAnsi="Arial"/>
                <w:sz w:val="11"/>
                <w:szCs w:val="11"/>
                <w:color w:val="auto"/>
              </w:rPr>
              <w:t>--</w:t>
            </w:r>
          </w:p>
        </w:tc>
        <w:tc>
          <w:tcPr>
            <w:tcW w:w="4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r>
      <w:tr>
        <w:trPr>
          <w:trHeight w:val="187"/>
        </w:trPr>
        <w:tc>
          <w:tcPr>
            <w:tcW w:w="4300" w:type="dxa"/>
            <w:vAlign w:val="bottom"/>
            <w:gridSpan w:val="2"/>
          </w:tcPr>
          <w:p>
            <w:pPr>
              <w:spacing w:after="0"/>
              <w:rPr>
                <w:sz w:val="20"/>
                <w:szCs w:val="20"/>
                <w:color w:val="auto"/>
              </w:rPr>
            </w:pPr>
            <w:r>
              <w:rPr>
                <w:rFonts w:ascii="Arial" w:cs="Arial" w:eastAsia="Arial" w:hAnsi="Arial"/>
                <w:sz w:val="11"/>
                <w:szCs w:val="11"/>
                <w:color w:val="auto"/>
              </w:rPr>
              <w:t>Rialto Cinemas</w:t>
            </w:r>
          </w:p>
        </w:tc>
        <w:tc>
          <w:tcPr>
            <w:tcW w:w="1860" w:type="dxa"/>
            <w:vAlign w:val="bottom"/>
          </w:tcPr>
          <w:p>
            <w:pPr>
              <w:jc w:val="center"/>
              <w:spacing w:after="0"/>
              <w:rPr>
                <w:sz w:val="20"/>
                <w:szCs w:val="20"/>
                <w:color w:val="auto"/>
              </w:rPr>
            </w:pPr>
            <w:r>
              <w:rPr>
                <w:rFonts w:ascii="Arial" w:cs="Arial" w:eastAsia="Arial" w:hAnsi="Arial"/>
                <w:sz w:val="11"/>
                <w:szCs w:val="11"/>
                <w:color w:val="auto"/>
                <w:w w:val="89"/>
              </w:rPr>
              <w:t>50.0%</w:t>
            </w:r>
          </w:p>
        </w:tc>
        <w:tc>
          <w:tcPr>
            <w:tcW w:w="3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1"/>
                <w:szCs w:val="11"/>
                <w:color w:val="auto"/>
              </w:rPr>
              <w:t>1,276</w:t>
            </w:r>
          </w:p>
        </w:tc>
        <w:tc>
          <w:tcPr>
            <w:tcW w:w="3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1"/>
                <w:szCs w:val="11"/>
                <w:color w:val="auto"/>
              </w:rPr>
              <w:t>1,564</w:t>
            </w:r>
          </w:p>
        </w:tc>
      </w:tr>
      <w:tr>
        <w:trPr>
          <w:trHeight w:val="189"/>
        </w:trPr>
        <w:tc>
          <w:tcPr>
            <w:tcW w:w="430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Mt. Gravatt</w:t>
            </w:r>
          </w:p>
        </w:tc>
        <w:tc>
          <w:tcPr>
            <w:tcW w:w="186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89"/>
              </w:rPr>
              <w:t>33.3%</w:t>
            </w:r>
          </w:p>
        </w:tc>
        <w:tc>
          <w:tcPr>
            <w:tcW w:w="380" w:type="dxa"/>
            <w:vAlign w:val="bottom"/>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spacing w:after="0"/>
              <w:rPr>
                <w:sz w:val="16"/>
                <w:szCs w:val="16"/>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4,094</w:t>
            </w:r>
          </w:p>
        </w:tc>
        <w:tc>
          <w:tcPr>
            <w:tcW w:w="360" w:type="dxa"/>
            <w:vAlign w:val="bottom"/>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spacing w:after="0"/>
              <w:rPr>
                <w:sz w:val="16"/>
                <w:szCs w:val="16"/>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4,605</w:t>
            </w:r>
          </w:p>
        </w:tc>
      </w:tr>
      <w:tr>
        <w:trPr>
          <w:trHeight w:val="162"/>
        </w:trPr>
        <w:tc>
          <w:tcPr>
            <w:tcW w:w="4300" w:type="dxa"/>
            <w:vAlign w:val="bottom"/>
            <w:gridSpan w:val="2"/>
          </w:tcPr>
          <w:p>
            <w:pPr>
              <w:spacing w:after="0"/>
              <w:rPr>
                <w:sz w:val="20"/>
                <w:szCs w:val="20"/>
                <w:color w:val="auto"/>
              </w:rPr>
            </w:pPr>
            <w:r>
              <w:rPr>
                <w:rFonts w:ascii="Arial" w:cs="Arial" w:eastAsia="Arial" w:hAnsi="Arial"/>
                <w:sz w:val="11"/>
                <w:szCs w:val="11"/>
                <w:color w:val="auto"/>
              </w:rPr>
              <w:t>Total investments</w:t>
            </w:r>
          </w:p>
        </w:tc>
        <w:tc>
          <w:tcPr>
            <w:tcW w:w="18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5,370</w:t>
            </w:r>
          </w:p>
        </w:tc>
        <w:tc>
          <w:tcPr>
            <w:tcW w:w="360" w:type="dxa"/>
            <w:vAlign w:val="bottom"/>
          </w:tcPr>
          <w:p>
            <w:pPr>
              <w:spacing w:after="0"/>
              <w:rPr>
                <w:sz w:val="14"/>
                <w:szCs w:val="14"/>
                <w:color w:val="auto"/>
              </w:rPr>
            </w:pPr>
          </w:p>
        </w:tc>
        <w:tc>
          <w:tcPr>
            <w:tcW w:w="4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6,169</w:t>
            </w:r>
          </w:p>
        </w:tc>
      </w:tr>
    </w:tbl>
    <w:p>
      <w:pPr>
        <w:spacing w:after="0" w:line="135" w:lineRule="exact"/>
        <w:rPr>
          <w:sz w:val="20"/>
          <w:szCs w:val="20"/>
          <w:color w:val="auto"/>
        </w:rPr>
      </w:pPr>
    </w:p>
    <w:p>
      <w:pPr>
        <w:spacing w:after="0"/>
        <w:rPr>
          <w:sz w:val="20"/>
          <w:szCs w:val="20"/>
          <w:color w:val="auto"/>
        </w:rPr>
      </w:pPr>
      <w:r>
        <w:rPr>
          <w:rFonts w:ascii="Arial" w:cs="Arial" w:eastAsia="Arial" w:hAnsi="Arial"/>
          <w:sz w:val="12"/>
          <w:szCs w:val="12"/>
          <w:color w:val="auto"/>
        </w:rPr>
        <w:t>We recorded our share of equity earnings from our investments in unconsolidated joint ventures and entities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3920" w:type="dxa"/>
            <w:vAlign w:val="bottom"/>
            <w:tcBorders>
              <w:bottom w:val="single" w:sz="8" w:color="auto"/>
            </w:tcBorders>
          </w:tcPr>
          <w:p>
            <w:pPr>
              <w:spacing w:after="0"/>
              <w:rPr>
                <w:sz w:val="20"/>
                <w:szCs w:val="20"/>
                <w:color w:val="auto"/>
              </w:rPr>
            </w:pPr>
            <w:r>
              <w:rPr>
                <w:rFonts w:ascii="Arial" w:cs="Arial" w:eastAsia="Arial" w:hAnsi="Arial"/>
                <w:sz w:val="11"/>
                <w:szCs w:val="11"/>
                <w:color w:val="auto"/>
              </w:rPr>
              <w:t>(Dollars in thousands)</w:t>
            </w:r>
          </w:p>
        </w:tc>
        <w:tc>
          <w:tcPr>
            <w:tcW w:w="38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ind w:right="766"/>
              <w:spacing w:after="0"/>
              <w:rPr>
                <w:sz w:val="20"/>
                <w:szCs w:val="20"/>
                <w:color w:val="auto"/>
              </w:rPr>
            </w:pPr>
            <w:r>
              <w:rPr>
                <w:rFonts w:ascii="Arial" w:cs="Arial" w:eastAsia="Arial" w:hAnsi="Arial"/>
                <w:sz w:val="11"/>
                <w:szCs w:val="11"/>
                <w:b w:val="1"/>
                <w:bCs w:val="1"/>
                <w:color w:val="auto"/>
              </w:rPr>
              <w:t>2015</w:t>
            </w:r>
          </w:p>
        </w:tc>
        <w:tc>
          <w:tcPr>
            <w:tcW w:w="38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ind w:right="766"/>
              <w:spacing w:after="0"/>
              <w:rPr>
                <w:sz w:val="20"/>
                <w:szCs w:val="20"/>
                <w:color w:val="auto"/>
              </w:rPr>
            </w:pPr>
            <w:r>
              <w:rPr>
                <w:rFonts w:ascii="Arial" w:cs="Arial" w:eastAsia="Arial" w:hAnsi="Arial"/>
                <w:sz w:val="11"/>
                <w:szCs w:val="11"/>
                <w:b w:val="1"/>
                <w:bCs w:val="1"/>
                <w:color w:val="auto"/>
              </w:rPr>
              <w:t>2014</w:t>
            </w:r>
          </w:p>
        </w:tc>
        <w:tc>
          <w:tcPr>
            <w:tcW w:w="36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ind w:right="766"/>
              <w:spacing w:after="0"/>
              <w:rPr>
                <w:sz w:val="20"/>
                <w:szCs w:val="20"/>
                <w:color w:val="auto"/>
              </w:rPr>
            </w:pPr>
            <w:r>
              <w:rPr>
                <w:rFonts w:ascii="Arial" w:cs="Arial" w:eastAsia="Arial" w:hAnsi="Arial"/>
                <w:sz w:val="11"/>
                <w:szCs w:val="11"/>
                <w:b w:val="1"/>
                <w:bCs w:val="1"/>
                <w:color w:val="auto"/>
              </w:rPr>
              <w:t>2013</w:t>
            </w:r>
          </w:p>
        </w:tc>
      </w:tr>
      <w:tr>
        <w:trPr>
          <w:trHeight w:val="180"/>
        </w:trPr>
        <w:tc>
          <w:tcPr>
            <w:tcW w:w="430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Rialto Distribution</w:t>
            </w:r>
          </w:p>
        </w:tc>
        <w:tc>
          <w:tcPr>
            <w:tcW w:w="600" w:type="dxa"/>
            <w:vAlign w:val="bottom"/>
            <w:shd w:val="clear" w:color="auto" w:fill="CCEEFF"/>
          </w:tcPr>
          <w:p>
            <w:pPr>
              <w:jc w:val="right"/>
              <w:ind w:right="166"/>
              <w:spacing w:after="0"/>
              <w:rPr>
                <w:sz w:val="20"/>
                <w:szCs w:val="20"/>
                <w:color w:val="auto"/>
              </w:rPr>
            </w:pPr>
            <w:r>
              <w:rPr>
                <w:rFonts w:ascii="Arial" w:cs="Arial" w:eastAsia="Arial" w:hAnsi="Arial"/>
                <w:sz w:val="11"/>
                <w:szCs w:val="11"/>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22</w:t>
            </w:r>
          </w:p>
        </w:tc>
        <w:tc>
          <w:tcPr>
            <w:tcW w:w="380" w:type="dxa"/>
            <w:vAlign w:val="bottom"/>
            <w:shd w:val="clear" w:color="auto" w:fill="CCEEFF"/>
          </w:tcPr>
          <w:p>
            <w:pPr>
              <w:spacing w:after="0"/>
              <w:rPr>
                <w:sz w:val="15"/>
                <w:szCs w:val="15"/>
                <w:color w:val="auto"/>
              </w:rPr>
            </w:pPr>
          </w:p>
        </w:tc>
        <w:tc>
          <w:tcPr>
            <w:tcW w:w="600" w:type="dxa"/>
            <w:vAlign w:val="bottom"/>
            <w:shd w:val="clear" w:color="auto" w:fill="CCEEFF"/>
          </w:tcPr>
          <w:p>
            <w:pPr>
              <w:jc w:val="right"/>
              <w:ind w:right="166"/>
              <w:spacing w:after="0"/>
              <w:rPr>
                <w:sz w:val="20"/>
                <w:szCs w:val="20"/>
                <w:color w:val="auto"/>
              </w:rPr>
            </w:pPr>
            <w:r>
              <w:rPr>
                <w:rFonts w:ascii="Arial" w:cs="Arial" w:eastAsia="Arial" w:hAnsi="Arial"/>
                <w:sz w:val="11"/>
                <w:szCs w:val="11"/>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120</w:t>
            </w:r>
          </w:p>
        </w:tc>
        <w:tc>
          <w:tcPr>
            <w:tcW w:w="360" w:type="dxa"/>
            <w:vAlign w:val="bottom"/>
            <w:shd w:val="clear" w:color="auto" w:fill="CCEEFF"/>
          </w:tcPr>
          <w:p>
            <w:pPr>
              <w:spacing w:after="0"/>
              <w:rPr>
                <w:sz w:val="15"/>
                <w:szCs w:val="15"/>
                <w:color w:val="auto"/>
              </w:rPr>
            </w:pPr>
          </w:p>
        </w:tc>
        <w:tc>
          <w:tcPr>
            <w:tcW w:w="600" w:type="dxa"/>
            <w:vAlign w:val="bottom"/>
            <w:shd w:val="clear" w:color="auto" w:fill="CCEEFF"/>
          </w:tcPr>
          <w:p>
            <w:pPr>
              <w:jc w:val="right"/>
              <w:ind w:right="166"/>
              <w:spacing w:after="0"/>
              <w:rPr>
                <w:sz w:val="20"/>
                <w:szCs w:val="20"/>
                <w:color w:val="auto"/>
              </w:rPr>
            </w:pPr>
            <w:r>
              <w:rPr>
                <w:rFonts w:ascii="Arial" w:cs="Arial" w:eastAsia="Arial" w:hAnsi="Arial"/>
                <w:sz w:val="11"/>
                <w:szCs w:val="11"/>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159</w:t>
            </w:r>
          </w:p>
        </w:tc>
      </w:tr>
      <w:tr>
        <w:trPr>
          <w:trHeight w:val="187"/>
        </w:trPr>
        <w:tc>
          <w:tcPr>
            <w:tcW w:w="4300" w:type="dxa"/>
            <w:vAlign w:val="bottom"/>
            <w:gridSpan w:val="2"/>
          </w:tcPr>
          <w:p>
            <w:pPr>
              <w:spacing w:after="0"/>
              <w:rPr>
                <w:sz w:val="20"/>
                <w:szCs w:val="20"/>
                <w:color w:val="auto"/>
              </w:rPr>
            </w:pPr>
            <w:r>
              <w:rPr>
                <w:rFonts w:ascii="Arial" w:cs="Arial" w:eastAsia="Arial" w:hAnsi="Arial"/>
                <w:sz w:val="11"/>
                <w:szCs w:val="11"/>
                <w:color w:val="auto"/>
              </w:rPr>
              <w:t>Rialto Cinemas</w:t>
            </w:r>
          </w:p>
        </w:tc>
        <w:tc>
          <w:tcPr>
            <w:tcW w:w="6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1"/>
                <w:szCs w:val="11"/>
                <w:color w:val="auto"/>
              </w:rPr>
              <w:t>136</w:t>
            </w:r>
          </w:p>
        </w:tc>
        <w:tc>
          <w:tcPr>
            <w:tcW w:w="3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1"/>
                <w:szCs w:val="11"/>
                <w:color w:val="auto"/>
              </w:rPr>
              <w:t>297</w:t>
            </w:r>
          </w:p>
        </w:tc>
        <w:tc>
          <w:tcPr>
            <w:tcW w:w="3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1"/>
                <w:szCs w:val="11"/>
                <w:color w:val="auto"/>
              </w:rPr>
              <w:t>221</w:t>
            </w:r>
          </w:p>
        </w:tc>
      </w:tr>
      <w:tr>
        <w:trPr>
          <w:trHeight w:val="191"/>
        </w:trPr>
        <w:tc>
          <w:tcPr>
            <w:tcW w:w="430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205-209 East 57</w:t>
            </w:r>
            <w:r>
              <w:rPr>
                <w:rFonts w:ascii="Arial" w:cs="Arial" w:eastAsia="Arial" w:hAnsi="Arial"/>
                <w:sz w:val="11"/>
                <w:szCs w:val="11"/>
                <w:color w:val="auto"/>
                <w:vertAlign w:val="superscript"/>
              </w:rPr>
              <w:t>th</w:t>
            </w:r>
            <w:r>
              <w:rPr>
                <w:rFonts w:ascii="Arial" w:cs="Arial" w:eastAsia="Arial" w:hAnsi="Arial"/>
                <w:sz w:val="11"/>
                <w:szCs w:val="11"/>
                <w:color w:val="auto"/>
              </w:rPr>
              <w:t xml:space="preserve"> Street Associates, LLC</w:t>
            </w:r>
          </w:p>
        </w:tc>
        <w:tc>
          <w:tcPr>
            <w:tcW w:w="600" w:type="dxa"/>
            <w:vAlign w:val="bottom"/>
            <w:shd w:val="clear" w:color="auto" w:fill="CCEEFF"/>
          </w:tcPr>
          <w:p>
            <w:pPr>
              <w:spacing w:after="0"/>
              <w:rPr>
                <w:sz w:val="16"/>
                <w:szCs w:val="16"/>
                <w:color w:val="auto"/>
              </w:rPr>
            </w:pPr>
          </w:p>
        </w:tc>
        <w:tc>
          <w:tcPr>
            <w:tcW w:w="1640" w:type="dxa"/>
            <w:vAlign w:val="bottom"/>
            <w:gridSpan w:val="2"/>
            <w:shd w:val="clear" w:color="auto" w:fill="CCEEFF"/>
          </w:tcPr>
          <w:p>
            <w:pPr>
              <w:jc w:val="right"/>
              <w:ind w:right="380"/>
              <w:spacing w:after="0"/>
              <w:rPr>
                <w:sz w:val="20"/>
                <w:szCs w:val="20"/>
                <w:color w:val="auto"/>
              </w:rPr>
            </w:pPr>
            <w:r>
              <w:rPr>
                <w:rFonts w:ascii="Arial" w:cs="Arial" w:eastAsia="Arial" w:hAnsi="Arial"/>
                <w:sz w:val="11"/>
                <w:szCs w:val="11"/>
                <w:color w:val="auto"/>
              </w:rPr>
              <w:t>--</w:t>
            </w:r>
          </w:p>
        </w:tc>
        <w:tc>
          <w:tcPr>
            <w:tcW w:w="600" w:type="dxa"/>
            <w:vAlign w:val="bottom"/>
            <w:shd w:val="clear" w:color="auto" w:fill="CCEEFF"/>
          </w:tcPr>
          <w:p>
            <w:pPr>
              <w:spacing w:after="0"/>
              <w:rPr>
                <w:sz w:val="16"/>
                <w:szCs w:val="16"/>
                <w:color w:val="auto"/>
              </w:rPr>
            </w:pPr>
          </w:p>
        </w:tc>
        <w:tc>
          <w:tcPr>
            <w:tcW w:w="1620" w:type="dxa"/>
            <w:vAlign w:val="bottom"/>
            <w:gridSpan w:val="2"/>
            <w:shd w:val="clear" w:color="auto" w:fill="CCEEFF"/>
          </w:tcPr>
          <w:p>
            <w:pPr>
              <w:jc w:val="right"/>
              <w:ind w:right="360"/>
              <w:spacing w:after="0"/>
              <w:rPr>
                <w:sz w:val="20"/>
                <w:szCs w:val="20"/>
                <w:color w:val="auto"/>
              </w:rPr>
            </w:pPr>
            <w:r>
              <w:rPr>
                <w:rFonts w:ascii="Arial" w:cs="Arial" w:eastAsia="Arial" w:hAnsi="Arial"/>
                <w:sz w:val="11"/>
                <w:szCs w:val="11"/>
                <w:color w:val="auto"/>
              </w:rPr>
              <w:t>--</w:t>
            </w:r>
          </w:p>
        </w:tc>
        <w:tc>
          <w:tcPr>
            <w:tcW w:w="60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w:t>
            </w:r>
          </w:p>
        </w:tc>
      </w:tr>
      <w:tr>
        <w:trPr>
          <w:trHeight w:val="187"/>
        </w:trPr>
        <w:tc>
          <w:tcPr>
            <w:tcW w:w="4300" w:type="dxa"/>
            <w:vAlign w:val="bottom"/>
            <w:tcBorders>
              <w:bottom w:val="single" w:sz="8" w:color="CCEEFF"/>
            </w:tcBorders>
            <w:gridSpan w:val="2"/>
          </w:tcPr>
          <w:p>
            <w:pPr>
              <w:spacing w:after="0"/>
              <w:rPr>
                <w:sz w:val="20"/>
                <w:szCs w:val="20"/>
                <w:color w:val="auto"/>
              </w:rPr>
            </w:pPr>
            <w:r>
              <w:rPr>
                <w:rFonts w:ascii="Arial" w:cs="Arial" w:eastAsia="Arial" w:hAnsi="Arial"/>
                <w:sz w:val="11"/>
                <w:szCs w:val="11"/>
                <w:color w:val="auto"/>
              </w:rPr>
              <w:t>Mt. Gravatt</w:t>
            </w:r>
          </w:p>
        </w:tc>
        <w:tc>
          <w:tcPr>
            <w:tcW w:w="6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1,046</w:t>
            </w:r>
          </w:p>
        </w:tc>
        <w:tc>
          <w:tcPr>
            <w:tcW w:w="38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598</w:t>
            </w:r>
          </w:p>
        </w:tc>
        <w:tc>
          <w:tcPr>
            <w:tcW w:w="36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990</w:t>
            </w:r>
          </w:p>
        </w:tc>
      </w:tr>
      <w:tr>
        <w:trPr>
          <w:trHeight w:val="162"/>
        </w:trPr>
        <w:tc>
          <w:tcPr>
            <w:tcW w:w="43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1"/>
                <w:szCs w:val="11"/>
                <w:color w:val="auto"/>
              </w:rPr>
              <w:t>Total equity earnings</w:t>
            </w:r>
          </w:p>
        </w:tc>
        <w:tc>
          <w:tcPr>
            <w:tcW w:w="600" w:type="dxa"/>
            <w:vAlign w:val="bottom"/>
            <w:tcBorders>
              <w:bottom w:val="single" w:sz="8" w:color="auto"/>
            </w:tcBorders>
            <w:shd w:val="clear" w:color="auto" w:fill="CCEEFF"/>
          </w:tcPr>
          <w:p>
            <w:pPr>
              <w:jc w:val="right"/>
              <w:ind w:right="166"/>
              <w:spacing w:after="0"/>
              <w:rPr>
                <w:sz w:val="20"/>
                <w:szCs w:val="20"/>
                <w:color w:val="auto"/>
              </w:rPr>
            </w:pPr>
            <w:r>
              <w:rPr>
                <w:rFonts w:ascii="Arial" w:cs="Arial" w:eastAsia="Arial" w:hAnsi="Arial"/>
                <w:sz w:val="11"/>
                <w:szCs w:val="11"/>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1,204</w:t>
            </w:r>
          </w:p>
        </w:tc>
        <w:tc>
          <w:tcPr>
            <w:tcW w:w="38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ind w:right="166"/>
              <w:spacing w:after="0"/>
              <w:rPr>
                <w:sz w:val="20"/>
                <w:szCs w:val="20"/>
                <w:color w:val="auto"/>
              </w:rPr>
            </w:pPr>
            <w:r>
              <w:rPr>
                <w:rFonts w:ascii="Arial" w:cs="Arial" w:eastAsia="Arial" w:hAnsi="Arial"/>
                <w:sz w:val="11"/>
                <w:szCs w:val="11"/>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1,015</w:t>
            </w:r>
          </w:p>
        </w:tc>
        <w:tc>
          <w:tcPr>
            <w:tcW w:w="36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ind w:right="166"/>
              <w:spacing w:after="0"/>
              <w:rPr>
                <w:sz w:val="20"/>
                <w:szCs w:val="20"/>
                <w:color w:val="auto"/>
              </w:rPr>
            </w:pPr>
            <w:r>
              <w:rPr>
                <w:rFonts w:ascii="Arial" w:cs="Arial" w:eastAsia="Arial" w:hAnsi="Arial"/>
                <w:sz w:val="11"/>
                <w:szCs w:val="11"/>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1,369</w:t>
            </w:r>
          </w:p>
        </w:tc>
      </w:tr>
    </w:tbl>
    <w:p>
      <w:pPr>
        <w:spacing w:after="0" w:line="27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59690</wp:posOffset>
            </wp:positionV>
            <wp:extent cx="677989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779895" cy="42545"/>
                    </a:xfrm>
                    <a:prstGeom prst="rect">
                      <a:avLst/>
                    </a:prstGeom>
                    <a:noFill/>
                  </pic:spPr>
                </pic:pic>
              </a:graphicData>
            </a:graphic>
          </wp:anchor>
        </w:drawing>
      </w:r>
    </w:p>
    <w:p>
      <w:pPr>
        <w:sectPr>
          <w:pgSz w:w="11900" w:h="16838" w:orient="portrait"/>
          <w:cols w:equalWidth="0" w:num="1">
            <w:col w:w="10620"/>
          </w:cols>
          <w:pgMar w:left="640" w:top="271" w:right="639" w:bottom="1440" w:gutter="0" w:footer="0" w:header="0"/>
        </w:sectPr>
      </w:pPr>
    </w:p>
    <w:bookmarkStart w:id="72" w:name="page73"/>
    <w:bookmarkEnd w:id="72"/>
    <w:p>
      <w:pPr>
        <w:spacing w:after="0"/>
        <w:rPr>
          <w:sz w:val="20"/>
          <w:szCs w:val="20"/>
          <w:color w:val="auto"/>
        </w:rPr>
      </w:pPr>
      <w:r>
        <w:rPr>
          <w:rFonts w:ascii="Arial" w:cs="Arial" w:eastAsia="Arial" w:hAnsi="Arial"/>
          <w:sz w:val="12"/>
          <w:szCs w:val="12"/>
          <w:b w:val="1"/>
          <w:bCs w:val="1"/>
          <w:i w:val="1"/>
          <w:iCs w:val="1"/>
          <w:color w:val="auto"/>
        </w:rPr>
        <w:t>Rialto Distribution</w:t>
      </w:r>
    </w:p>
    <w:p>
      <w:pPr>
        <w:spacing w:after="0" w:line="15" w:lineRule="exact"/>
        <w:rPr>
          <w:sz w:val="20"/>
          <w:szCs w:val="20"/>
          <w:color w:val="auto"/>
        </w:rPr>
      </w:pPr>
    </w:p>
    <w:p>
      <w:pPr>
        <w:ind w:right="140"/>
        <w:spacing w:after="0" w:line="255" w:lineRule="auto"/>
        <w:rPr>
          <w:sz w:val="20"/>
          <w:szCs w:val="20"/>
          <w:color w:val="auto"/>
        </w:rPr>
      </w:pPr>
      <w:r>
        <w:rPr>
          <w:rFonts w:ascii="Arial" w:cs="Arial" w:eastAsia="Arial" w:hAnsi="Arial"/>
          <w:sz w:val="12"/>
          <w:szCs w:val="12"/>
          <w:color w:val="auto"/>
        </w:rPr>
        <w:t>Due to significant losses in years past, we determined that the goodwill associated with Rialto Distribution’s investment in the film distribution business was fully impaired. As a result of these losses, as of January 1, 2010, we treat our interest as a cost method interest in an unconsolidated joint venture, and record income based on the distributions we receive. We have also fully provided for any losses that may result from the bank guarantee that has been given to Rialto Distribution.</w:t>
      </w:r>
    </w:p>
    <w:p>
      <w:pPr>
        <w:spacing w:after="0" w:line="10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Rialto Cinemas</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We own an undivided 50.0% interest in the assets and liabilities of the Rialto Entertainment joint venture that owns and operates 2 movie theaters, with 13 screens in New Zealand.</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Mt. Gravatt</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We own an undivided 33.3% interest in Mt. Gravatt, an unincorporated joint venture that owns and operates a sixteen-screen multiplex cinema in Australia.</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Malulani Investments, Limited</w:t>
      </w:r>
    </w:p>
    <w:p>
      <w:pPr>
        <w:spacing w:after="0" w:line="15" w:lineRule="exact"/>
        <w:rPr>
          <w:sz w:val="20"/>
          <w:szCs w:val="20"/>
          <w:color w:val="auto"/>
        </w:rPr>
      </w:pPr>
    </w:p>
    <w:p>
      <w:pPr>
        <w:ind w:right="20"/>
        <w:spacing w:after="0" w:line="279" w:lineRule="auto"/>
        <w:rPr>
          <w:sz w:val="20"/>
          <w:szCs w:val="20"/>
          <w:color w:val="auto"/>
        </w:rPr>
      </w:pPr>
      <w:r>
        <w:rPr>
          <w:rFonts w:ascii="Arial" w:cs="Arial" w:eastAsia="Arial" w:hAnsi="Arial"/>
          <w:sz w:val="11"/>
          <w:szCs w:val="11"/>
          <w:color w:val="auto"/>
        </w:rPr>
        <w:t>On June 26, 2006, we acquired for $1.8 million, an 18.4% interest in a private real estate company. On July 2, 2009, Magoon Acquisition and Development, LLC (“Magoon LLC”) and we entered into a settlement agreement (the “Settlement Terms”) with respect to a lawsuit against certain officers and directors of Malulani Investments, Limited (“MIL”). Under the Settlement Terms, Magoon LLC and we received $2.5 million in cash, a $6.8 million three-year 6.25% secured promissory note issued by The Malulani Group (“TMG”), and a ten-year “tail interest” in MIL and TMG in exchange for the transfer of all ownership interests in MIL and TMG held by both Magoon, LLC and RDI and for the release of all claims against the defendants in this matter. A gain on the transfer of our ownership interest in MIL of $268,000 was recognized during 2009 as a result of this transaction. The tail interest allows us to participate in certain distributions made or received by MIL, TMG, and in certain cases, the shareholders of TMG. The tail interest, however, continues only for a period of ten years and we cannot assure that we will receive any distributions from this tail interest. During 2013, we received $191,000 in interest on the promissory note, and, on June 14, 2011, we received $6.8 million of principal and interest owed on this note. We believe that further amounts are owed under the note and we have begun litigation to collect such amounts. Any further collections will be recognized when received.</w:t>
      </w:r>
    </w:p>
    <w:p>
      <w:pPr>
        <w:spacing w:after="0" w:line="10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7 – Goodwill and Intangible Assets</w:t>
      </w:r>
    </w:p>
    <w:p>
      <w:pPr>
        <w:spacing w:after="0" w:line="136" w:lineRule="exact"/>
        <w:rPr>
          <w:sz w:val="20"/>
          <w:szCs w:val="20"/>
          <w:color w:val="auto"/>
        </w:rPr>
      </w:pPr>
    </w:p>
    <w:p>
      <w:pPr>
        <w:spacing w:after="0"/>
        <w:rPr>
          <w:sz w:val="20"/>
          <w:szCs w:val="20"/>
          <w:color w:val="auto"/>
        </w:rPr>
      </w:pPr>
      <w:r>
        <w:rPr>
          <w:rFonts w:ascii="Arial" w:cs="Arial" w:eastAsia="Arial" w:hAnsi="Arial"/>
          <w:sz w:val="12"/>
          <w:szCs w:val="12"/>
          <w:color w:val="auto"/>
        </w:rPr>
        <w:t>The table below summarizes goodwill by business segment:</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4460" w:type="dxa"/>
            <w:vAlign w:val="bottom"/>
            <w:gridSpan w:val="2"/>
          </w:tcPr>
          <w:p>
            <w:pPr>
              <w:spacing w:after="0"/>
              <w:rPr>
                <w:sz w:val="20"/>
                <w:szCs w:val="20"/>
                <w:color w:val="auto"/>
              </w:rPr>
            </w:pPr>
            <w:r>
              <w:rPr>
                <w:rFonts w:ascii="Arial" w:cs="Arial" w:eastAsia="Arial" w:hAnsi="Arial"/>
                <w:sz w:val="11"/>
                <w:szCs w:val="11"/>
                <w:color w:val="auto"/>
              </w:rPr>
              <w:t>(Dollars in thousands)</w:t>
            </w:r>
          </w:p>
        </w:tc>
        <w:tc>
          <w:tcPr>
            <w:tcW w:w="1300" w:type="dxa"/>
            <w:vAlign w:val="bottom"/>
          </w:tcPr>
          <w:p>
            <w:pPr>
              <w:jc w:val="right"/>
              <w:ind w:right="166"/>
              <w:spacing w:after="0"/>
              <w:rPr>
                <w:sz w:val="20"/>
                <w:szCs w:val="20"/>
                <w:color w:val="auto"/>
              </w:rPr>
            </w:pPr>
            <w:r>
              <w:rPr>
                <w:rFonts w:ascii="Arial" w:cs="Arial" w:eastAsia="Arial" w:hAnsi="Arial"/>
                <w:sz w:val="11"/>
                <w:szCs w:val="11"/>
                <w:b w:val="1"/>
                <w:bCs w:val="1"/>
                <w:color w:val="auto"/>
              </w:rPr>
              <w:t>Cinema</w:t>
            </w:r>
          </w:p>
        </w:tc>
        <w:tc>
          <w:tcPr>
            <w:tcW w:w="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60" w:type="dxa"/>
            <w:vAlign w:val="bottom"/>
          </w:tcPr>
          <w:p>
            <w:pPr>
              <w:jc w:val="right"/>
              <w:ind w:right="126"/>
              <w:spacing w:after="0"/>
              <w:rPr>
                <w:sz w:val="20"/>
                <w:szCs w:val="20"/>
                <w:color w:val="auto"/>
              </w:rPr>
            </w:pPr>
            <w:r>
              <w:rPr>
                <w:rFonts w:ascii="Arial" w:cs="Arial" w:eastAsia="Arial" w:hAnsi="Arial"/>
                <w:sz w:val="11"/>
                <w:szCs w:val="11"/>
                <w:b w:val="1"/>
                <w:bCs w:val="1"/>
                <w:color w:val="auto"/>
              </w:rPr>
              <w:t>Real Estate</w:t>
            </w: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80" w:type="dxa"/>
            <w:vAlign w:val="bottom"/>
          </w:tcPr>
          <w:p>
            <w:pPr>
              <w:jc w:val="right"/>
              <w:ind w:right="726"/>
              <w:spacing w:after="0"/>
              <w:rPr>
                <w:sz w:val="20"/>
                <w:szCs w:val="20"/>
                <w:color w:val="auto"/>
              </w:rPr>
            </w:pPr>
            <w:r>
              <w:rPr>
                <w:rFonts w:ascii="Arial" w:cs="Arial" w:eastAsia="Arial" w:hAnsi="Arial"/>
                <w:sz w:val="11"/>
                <w:szCs w:val="11"/>
                <w:b w:val="1"/>
                <w:bCs w:val="1"/>
                <w:color w:val="auto"/>
              </w:rPr>
              <w:t>Total</w:t>
            </w:r>
          </w:p>
        </w:tc>
      </w:tr>
      <w:tr>
        <w:trPr>
          <w:trHeight w:val="160"/>
        </w:trPr>
        <w:tc>
          <w:tcPr>
            <w:tcW w:w="410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1"/>
                <w:szCs w:val="11"/>
                <w:b w:val="1"/>
                <w:bCs w:val="1"/>
                <w:color w:val="auto"/>
              </w:rPr>
              <w:t>Balance at January 1, 2014</w:t>
            </w:r>
          </w:p>
        </w:tc>
        <w:tc>
          <w:tcPr>
            <w:tcW w:w="360" w:type="dxa"/>
            <w:vAlign w:val="bottom"/>
            <w:tcBorders>
              <w:top w:val="single" w:sz="8" w:color="CCEEFF"/>
              <w:bottom w:val="single" w:sz="8" w:color="CCEEFF"/>
            </w:tcBorders>
            <w:shd w:val="clear" w:color="auto" w:fill="CCEEFF"/>
          </w:tcPr>
          <w:p>
            <w:pPr>
              <w:spacing w:after="0"/>
              <w:rPr>
                <w:sz w:val="13"/>
                <w:szCs w:val="13"/>
                <w:color w:val="auto"/>
              </w:rPr>
            </w:pPr>
          </w:p>
        </w:tc>
        <w:tc>
          <w:tcPr>
            <w:tcW w:w="1300" w:type="dxa"/>
            <w:vAlign w:val="bottom"/>
            <w:tcBorders>
              <w:top w:val="single" w:sz="8" w:color="auto"/>
              <w:bottom w:val="single" w:sz="8" w:color="CCEEFF"/>
            </w:tcBorders>
            <w:shd w:val="clear" w:color="auto" w:fill="CCEEFF"/>
          </w:tcPr>
          <w:p>
            <w:pPr>
              <w:jc w:val="right"/>
              <w:ind w:right="966"/>
              <w:spacing w:after="0"/>
              <w:rPr>
                <w:sz w:val="20"/>
                <w:szCs w:val="20"/>
                <w:color w:val="auto"/>
              </w:rPr>
            </w:pPr>
            <w:r>
              <w:rPr>
                <w:rFonts w:ascii="Arial" w:cs="Arial" w:eastAsia="Arial" w:hAnsi="Arial"/>
                <w:sz w:val="11"/>
                <w:szCs w:val="11"/>
                <w:color w:val="auto"/>
              </w:rPr>
              <w:t>$</w:t>
            </w:r>
          </w:p>
        </w:tc>
        <w:tc>
          <w:tcPr>
            <w:tcW w:w="5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16,935</w:t>
            </w:r>
          </w:p>
        </w:tc>
        <w:tc>
          <w:tcPr>
            <w:tcW w:w="360" w:type="dxa"/>
            <w:vAlign w:val="bottom"/>
            <w:tcBorders>
              <w:top w:val="single" w:sz="8" w:color="CCEEFF"/>
              <w:bottom w:val="single" w:sz="8" w:color="CCEEFF"/>
            </w:tcBorders>
            <w:shd w:val="clear" w:color="auto" w:fill="CCEEFF"/>
          </w:tcPr>
          <w:p>
            <w:pPr>
              <w:spacing w:after="0"/>
              <w:rPr>
                <w:sz w:val="13"/>
                <w:szCs w:val="13"/>
                <w:color w:val="auto"/>
              </w:rPr>
            </w:pPr>
          </w:p>
        </w:tc>
        <w:tc>
          <w:tcPr>
            <w:tcW w:w="1360" w:type="dxa"/>
            <w:vAlign w:val="bottom"/>
            <w:tcBorders>
              <w:top w:val="single" w:sz="8" w:color="auto"/>
              <w:bottom w:val="single" w:sz="8" w:color="CCEEFF"/>
            </w:tcBorders>
            <w:shd w:val="clear" w:color="auto" w:fill="CCEEFF"/>
          </w:tcPr>
          <w:p>
            <w:pPr>
              <w:jc w:val="right"/>
              <w:ind w:right="1006"/>
              <w:spacing w:after="0"/>
              <w:rPr>
                <w:sz w:val="20"/>
                <w:szCs w:val="20"/>
                <w:color w:val="auto"/>
              </w:rPr>
            </w:pPr>
            <w:r>
              <w:rPr>
                <w:rFonts w:ascii="Arial" w:cs="Arial" w:eastAsia="Arial" w:hAnsi="Arial"/>
                <w:sz w:val="11"/>
                <w:szCs w:val="11"/>
                <w:color w:val="auto"/>
              </w:rPr>
              <w:t>$</w:t>
            </w:r>
          </w:p>
        </w:tc>
        <w:tc>
          <w:tcPr>
            <w:tcW w:w="4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5,224</w:t>
            </w:r>
          </w:p>
        </w:tc>
        <w:tc>
          <w:tcPr>
            <w:tcW w:w="360" w:type="dxa"/>
            <w:vAlign w:val="bottom"/>
            <w:tcBorders>
              <w:top w:val="single" w:sz="8" w:color="CCEEFF"/>
              <w:bottom w:val="single" w:sz="8" w:color="CCEEFF"/>
            </w:tcBorders>
            <w:shd w:val="clear" w:color="auto" w:fill="CCEEFF"/>
          </w:tcPr>
          <w:p>
            <w:pPr>
              <w:spacing w:after="0"/>
              <w:rPr>
                <w:sz w:val="13"/>
                <w:szCs w:val="13"/>
                <w:color w:val="auto"/>
              </w:rPr>
            </w:pPr>
          </w:p>
        </w:tc>
        <w:tc>
          <w:tcPr>
            <w:tcW w:w="520" w:type="dxa"/>
            <w:vAlign w:val="bottom"/>
            <w:tcBorders>
              <w:top w:val="single" w:sz="8" w:color="auto"/>
              <w:bottom w:val="single" w:sz="8" w:color="CCEEFF"/>
            </w:tcBorders>
            <w:shd w:val="clear" w:color="auto" w:fill="CCEEFF"/>
          </w:tcPr>
          <w:p>
            <w:pPr>
              <w:jc w:val="right"/>
              <w:ind w:right="186"/>
              <w:spacing w:after="0"/>
              <w:rPr>
                <w:sz w:val="20"/>
                <w:szCs w:val="20"/>
                <w:color w:val="auto"/>
              </w:rPr>
            </w:pPr>
            <w:r>
              <w:rPr>
                <w:rFonts w:ascii="Arial" w:cs="Arial" w:eastAsia="Arial" w:hAnsi="Arial"/>
                <w:sz w:val="11"/>
                <w:szCs w:val="11"/>
                <w:color w:val="auto"/>
              </w:rPr>
              <w:t>$</w:t>
            </w:r>
          </w:p>
        </w:tc>
        <w:tc>
          <w:tcPr>
            <w:tcW w:w="12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22,159</w:t>
            </w:r>
          </w:p>
        </w:tc>
      </w:tr>
      <w:tr>
        <w:trPr>
          <w:trHeight w:val="136"/>
        </w:trPr>
        <w:tc>
          <w:tcPr>
            <w:tcW w:w="4460" w:type="dxa"/>
            <w:vAlign w:val="bottom"/>
            <w:gridSpan w:val="2"/>
          </w:tcPr>
          <w:p>
            <w:pPr>
              <w:spacing w:after="0"/>
              <w:rPr>
                <w:sz w:val="20"/>
                <w:szCs w:val="20"/>
                <w:color w:val="auto"/>
              </w:rPr>
            </w:pPr>
            <w:r>
              <w:rPr>
                <w:rFonts w:ascii="Arial" w:cs="Arial" w:eastAsia="Arial" w:hAnsi="Arial"/>
                <w:sz w:val="11"/>
                <w:szCs w:val="11"/>
                <w:color w:val="auto"/>
              </w:rPr>
              <w:t>Foreign currency translation adjustment</w:t>
            </w:r>
          </w:p>
        </w:tc>
        <w:tc>
          <w:tcPr>
            <w:tcW w:w="1300" w:type="dxa"/>
            <w:vAlign w:val="bottom"/>
          </w:tcPr>
          <w:p>
            <w:pPr>
              <w:spacing w:after="0"/>
              <w:rPr>
                <w:sz w:val="11"/>
                <w:szCs w:val="11"/>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1"/>
                <w:szCs w:val="11"/>
                <w:color w:val="auto"/>
              </w:rPr>
              <w:t>(878)</w:t>
            </w:r>
          </w:p>
        </w:tc>
        <w:tc>
          <w:tcPr>
            <w:tcW w:w="1360" w:type="dxa"/>
            <w:vAlign w:val="bottom"/>
          </w:tcPr>
          <w:p>
            <w:pPr>
              <w:spacing w:after="0"/>
              <w:rPr>
                <w:sz w:val="11"/>
                <w:szCs w:val="11"/>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1"/>
                <w:szCs w:val="11"/>
                <w:color w:val="auto"/>
              </w:rPr>
              <w:t>--</w:t>
            </w:r>
          </w:p>
        </w:tc>
        <w:tc>
          <w:tcPr>
            <w:tcW w:w="520" w:type="dxa"/>
            <w:vAlign w:val="bottom"/>
          </w:tcPr>
          <w:p>
            <w:pPr>
              <w:spacing w:after="0"/>
              <w:rPr>
                <w:sz w:val="11"/>
                <w:szCs w:val="11"/>
                <w:color w:val="auto"/>
              </w:rPr>
            </w:pPr>
          </w:p>
        </w:tc>
        <w:tc>
          <w:tcPr>
            <w:tcW w:w="1280" w:type="dxa"/>
            <w:vAlign w:val="bottom"/>
          </w:tcPr>
          <w:p>
            <w:pPr>
              <w:jc w:val="right"/>
              <w:spacing w:after="0"/>
              <w:rPr>
                <w:sz w:val="20"/>
                <w:szCs w:val="20"/>
                <w:color w:val="auto"/>
              </w:rPr>
            </w:pPr>
            <w:r>
              <w:rPr>
                <w:rFonts w:ascii="Arial" w:cs="Arial" w:eastAsia="Arial" w:hAnsi="Arial"/>
                <w:sz w:val="11"/>
                <w:szCs w:val="11"/>
                <w:color w:val="auto"/>
              </w:rPr>
              <w:t>(878)</w:t>
            </w:r>
          </w:p>
        </w:tc>
      </w:tr>
      <w:tr>
        <w:trPr>
          <w:trHeight w:val="53"/>
        </w:trPr>
        <w:tc>
          <w:tcPr>
            <w:tcW w:w="4100" w:type="dxa"/>
            <w:vAlign w:val="bottom"/>
            <w:tcBorders>
              <w:bottom w:val="single" w:sz="8" w:color="CCEEFF"/>
            </w:tcBorders>
          </w:tcPr>
          <w:p>
            <w:pPr>
              <w:spacing w:after="0"/>
              <w:rPr>
                <w:sz w:val="4"/>
                <w:szCs w:val="4"/>
                <w:color w:val="auto"/>
              </w:rPr>
            </w:pPr>
          </w:p>
        </w:tc>
        <w:tc>
          <w:tcPr>
            <w:tcW w:w="360" w:type="dxa"/>
            <w:vAlign w:val="bottom"/>
            <w:tcBorders>
              <w:bottom w:val="single" w:sz="8" w:color="CCEEFF"/>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360" w:type="dxa"/>
            <w:vAlign w:val="bottom"/>
            <w:tcBorders>
              <w:bottom w:val="single" w:sz="8" w:color="CCEEFF"/>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360" w:type="dxa"/>
            <w:vAlign w:val="bottom"/>
            <w:tcBorders>
              <w:bottom w:val="single" w:sz="8" w:color="CCEEFF"/>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r>
      <w:tr>
        <w:trPr>
          <w:trHeight w:val="149"/>
        </w:trPr>
        <w:tc>
          <w:tcPr>
            <w:tcW w:w="4460" w:type="dxa"/>
            <w:vAlign w:val="bottom"/>
            <w:tcBorders>
              <w:bottom w:val="single" w:sz="8" w:color="CCEEFF"/>
            </w:tcBorders>
            <w:gridSpan w:val="2"/>
            <w:shd w:val="clear" w:color="auto" w:fill="CCEEFF"/>
          </w:tcPr>
          <w:p>
            <w:pPr>
              <w:spacing w:after="0" w:line="121" w:lineRule="exact"/>
              <w:rPr>
                <w:sz w:val="20"/>
                <w:szCs w:val="20"/>
                <w:color w:val="auto"/>
              </w:rPr>
            </w:pPr>
            <w:r>
              <w:rPr>
                <w:rFonts w:ascii="Arial" w:cs="Arial" w:eastAsia="Arial" w:hAnsi="Arial"/>
                <w:sz w:val="11"/>
                <w:szCs w:val="11"/>
                <w:b w:val="1"/>
                <w:bCs w:val="1"/>
                <w:color w:val="auto"/>
              </w:rPr>
              <w:t>Balance at December 31, 2014</w:t>
            </w:r>
          </w:p>
        </w:tc>
        <w:tc>
          <w:tcPr>
            <w:tcW w:w="1300" w:type="dxa"/>
            <w:vAlign w:val="bottom"/>
            <w:tcBorders>
              <w:bottom w:val="single" w:sz="8" w:color="CCEEFF"/>
            </w:tcBorders>
            <w:shd w:val="clear" w:color="auto" w:fill="CCEEFF"/>
          </w:tcPr>
          <w:p>
            <w:pPr>
              <w:jc w:val="right"/>
              <w:ind w:right="966"/>
              <w:spacing w:after="0" w:line="125" w:lineRule="exact"/>
              <w:rPr>
                <w:sz w:val="20"/>
                <w:szCs w:val="20"/>
                <w:color w:val="auto"/>
              </w:rPr>
            </w:pPr>
            <w:r>
              <w:rPr>
                <w:rFonts w:ascii="Arial" w:cs="Arial" w:eastAsia="Arial" w:hAnsi="Arial"/>
                <w:sz w:val="11"/>
                <w:szCs w:val="11"/>
                <w:color w:val="auto"/>
              </w:rPr>
              <w:t>$</w:t>
            </w:r>
          </w:p>
        </w:tc>
        <w:tc>
          <w:tcPr>
            <w:tcW w:w="520" w:type="dxa"/>
            <w:vAlign w:val="bottom"/>
            <w:tcBorders>
              <w:bottom w:val="single" w:sz="8" w:color="CCEEFF"/>
            </w:tcBorders>
            <w:shd w:val="clear" w:color="auto" w:fill="CCEEFF"/>
          </w:tcPr>
          <w:p>
            <w:pPr>
              <w:jc w:val="right"/>
              <w:spacing w:after="0" w:line="125" w:lineRule="exact"/>
              <w:rPr>
                <w:sz w:val="20"/>
                <w:szCs w:val="20"/>
                <w:color w:val="auto"/>
              </w:rPr>
            </w:pPr>
            <w:r>
              <w:rPr>
                <w:rFonts w:ascii="Arial" w:cs="Arial" w:eastAsia="Arial" w:hAnsi="Arial"/>
                <w:sz w:val="11"/>
                <w:szCs w:val="11"/>
                <w:color w:val="auto"/>
              </w:rPr>
              <w:t>16,057</w:t>
            </w:r>
          </w:p>
        </w:tc>
        <w:tc>
          <w:tcPr>
            <w:tcW w:w="360" w:type="dxa"/>
            <w:vAlign w:val="bottom"/>
            <w:tcBorders>
              <w:bottom w:val="single" w:sz="8" w:color="CCEEFF"/>
            </w:tcBorders>
            <w:shd w:val="clear" w:color="auto" w:fill="CCEEFF"/>
          </w:tcPr>
          <w:p>
            <w:pPr>
              <w:spacing w:after="0"/>
              <w:rPr>
                <w:sz w:val="12"/>
                <w:szCs w:val="12"/>
                <w:color w:val="auto"/>
              </w:rPr>
            </w:pPr>
          </w:p>
        </w:tc>
        <w:tc>
          <w:tcPr>
            <w:tcW w:w="1360" w:type="dxa"/>
            <w:vAlign w:val="bottom"/>
            <w:tcBorders>
              <w:bottom w:val="single" w:sz="8" w:color="CCEEFF"/>
            </w:tcBorders>
            <w:shd w:val="clear" w:color="auto" w:fill="CCEEFF"/>
          </w:tcPr>
          <w:p>
            <w:pPr>
              <w:jc w:val="right"/>
              <w:ind w:right="1006"/>
              <w:spacing w:after="0" w:line="125" w:lineRule="exact"/>
              <w:rPr>
                <w:sz w:val="20"/>
                <w:szCs w:val="20"/>
                <w:color w:val="auto"/>
              </w:rPr>
            </w:pPr>
            <w:r>
              <w:rPr>
                <w:rFonts w:ascii="Arial" w:cs="Arial" w:eastAsia="Arial" w:hAnsi="Arial"/>
                <w:sz w:val="11"/>
                <w:szCs w:val="11"/>
                <w:color w:val="auto"/>
              </w:rPr>
              <w:t>$</w:t>
            </w:r>
          </w:p>
        </w:tc>
        <w:tc>
          <w:tcPr>
            <w:tcW w:w="460" w:type="dxa"/>
            <w:vAlign w:val="bottom"/>
            <w:tcBorders>
              <w:bottom w:val="single" w:sz="8" w:color="CCEEFF"/>
            </w:tcBorders>
            <w:shd w:val="clear" w:color="auto" w:fill="CCEEFF"/>
          </w:tcPr>
          <w:p>
            <w:pPr>
              <w:jc w:val="right"/>
              <w:spacing w:after="0" w:line="125" w:lineRule="exact"/>
              <w:rPr>
                <w:sz w:val="20"/>
                <w:szCs w:val="20"/>
                <w:color w:val="auto"/>
              </w:rPr>
            </w:pPr>
            <w:r>
              <w:rPr>
                <w:rFonts w:ascii="Arial" w:cs="Arial" w:eastAsia="Arial" w:hAnsi="Arial"/>
                <w:sz w:val="11"/>
                <w:szCs w:val="11"/>
                <w:color w:val="auto"/>
              </w:rPr>
              <w:t>5,224</w:t>
            </w:r>
          </w:p>
        </w:tc>
        <w:tc>
          <w:tcPr>
            <w:tcW w:w="36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CCEEFF"/>
            </w:tcBorders>
            <w:shd w:val="clear" w:color="auto" w:fill="CCEEFF"/>
          </w:tcPr>
          <w:p>
            <w:pPr>
              <w:jc w:val="right"/>
              <w:ind w:right="186"/>
              <w:spacing w:after="0" w:line="125" w:lineRule="exact"/>
              <w:rPr>
                <w:sz w:val="20"/>
                <w:szCs w:val="20"/>
                <w:color w:val="auto"/>
              </w:rPr>
            </w:pPr>
            <w:r>
              <w:rPr>
                <w:rFonts w:ascii="Arial" w:cs="Arial" w:eastAsia="Arial" w:hAnsi="Arial"/>
                <w:sz w:val="11"/>
                <w:szCs w:val="11"/>
                <w:color w:val="auto"/>
              </w:rPr>
              <w:t>$</w:t>
            </w:r>
          </w:p>
        </w:tc>
        <w:tc>
          <w:tcPr>
            <w:tcW w:w="1280" w:type="dxa"/>
            <w:vAlign w:val="bottom"/>
            <w:tcBorders>
              <w:bottom w:val="single" w:sz="8" w:color="CCEEFF"/>
            </w:tcBorders>
            <w:shd w:val="clear" w:color="auto" w:fill="CCEEFF"/>
          </w:tcPr>
          <w:p>
            <w:pPr>
              <w:jc w:val="right"/>
              <w:spacing w:after="0" w:line="125" w:lineRule="exact"/>
              <w:rPr>
                <w:sz w:val="20"/>
                <w:szCs w:val="20"/>
                <w:color w:val="auto"/>
              </w:rPr>
            </w:pPr>
            <w:r>
              <w:rPr>
                <w:rFonts w:ascii="Arial" w:cs="Arial" w:eastAsia="Arial" w:hAnsi="Arial"/>
                <w:sz w:val="11"/>
                <w:szCs w:val="11"/>
                <w:color w:val="auto"/>
              </w:rPr>
              <w:t>21,281</w:t>
            </w:r>
          </w:p>
        </w:tc>
      </w:tr>
      <w:tr>
        <w:trPr>
          <w:trHeight w:val="136"/>
        </w:trPr>
        <w:tc>
          <w:tcPr>
            <w:tcW w:w="4460" w:type="dxa"/>
            <w:vAlign w:val="bottom"/>
            <w:gridSpan w:val="2"/>
          </w:tcPr>
          <w:p>
            <w:pPr>
              <w:spacing w:after="0"/>
              <w:rPr>
                <w:sz w:val="20"/>
                <w:szCs w:val="20"/>
                <w:color w:val="auto"/>
              </w:rPr>
            </w:pPr>
            <w:r>
              <w:rPr>
                <w:rFonts w:ascii="Arial" w:cs="Arial" w:eastAsia="Arial" w:hAnsi="Arial"/>
                <w:sz w:val="11"/>
                <w:szCs w:val="11"/>
                <w:color w:val="auto"/>
              </w:rPr>
              <w:t>Foreign currency translation adjustment</w:t>
            </w:r>
          </w:p>
        </w:tc>
        <w:tc>
          <w:tcPr>
            <w:tcW w:w="1300" w:type="dxa"/>
            <w:vAlign w:val="bottom"/>
          </w:tcPr>
          <w:p>
            <w:pPr>
              <w:spacing w:after="0"/>
              <w:rPr>
                <w:sz w:val="11"/>
                <w:szCs w:val="11"/>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1"/>
                <w:szCs w:val="11"/>
                <w:color w:val="auto"/>
              </w:rPr>
              <w:t>(1,566)</w:t>
            </w:r>
          </w:p>
        </w:tc>
        <w:tc>
          <w:tcPr>
            <w:tcW w:w="1360" w:type="dxa"/>
            <w:vAlign w:val="bottom"/>
          </w:tcPr>
          <w:p>
            <w:pPr>
              <w:spacing w:after="0"/>
              <w:rPr>
                <w:sz w:val="11"/>
                <w:szCs w:val="11"/>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1"/>
                <w:szCs w:val="11"/>
                <w:color w:val="auto"/>
              </w:rPr>
              <w:t>--</w:t>
            </w:r>
          </w:p>
        </w:tc>
        <w:tc>
          <w:tcPr>
            <w:tcW w:w="520" w:type="dxa"/>
            <w:vAlign w:val="bottom"/>
          </w:tcPr>
          <w:p>
            <w:pPr>
              <w:spacing w:after="0"/>
              <w:rPr>
                <w:sz w:val="11"/>
                <w:szCs w:val="11"/>
                <w:color w:val="auto"/>
              </w:rPr>
            </w:pPr>
          </w:p>
        </w:tc>
        <w:tc>
          <w:tcPr>
            <w:tcW w:w="1280" w:type="dxa"/>
            <w:vAlign w:val="bottom"/>
          </w:tcPr>
          <w:p>
            <w:pPr>
              <w:jc w:val="right"/>
              <w:spacing w:after="0"/>
              <w:rPr>
                <w:sz w:val="20"/>
                <w:szCs w:val="20"/>
                <w:color w:val="auto"/>
              </w:rPr>
            </w:pPr>
            <w:r>
              <w:rPr>
                <w:rFonts w:ascii="Arial" w:cs="Arial" w:eastAsia="Arial" w:hAnsi="Arial"/>
                <w:sz w:val="11"/>
                <w:szCs w:val="11"/>
                <w:color w:val="auto"/>
              </w:rPr>
              <w:t>(1,566)</w:t>
            </w:r>
          </w:p>
        </w:tc>
      </w:tr>
      <w:tr>
        <w:trPr>
          <w:trHeight w:val="53"/>
        </w:trPr>
        <w:tc>
          <w:tcPr>
            <w:tcW w:w="4100" w:type="dxa"/>
            <w:vAlign w:val="bottom"/>
            <w:tcBorders>
              <w:bottom w:val="single" w:sz="8" w:color="CCEEFF"/>
            </w:tcBorders>
          </w:tcPr>
          <w:p>
            <w:pPr>
              <w:spacing w:after="0"/>
              <w:rPr>
                <w:sz w:val="4"/>
                <w:szCs w:val="4"/>
                <w:color w:val="auto"/>
              </w:rPr>
            </w:pPr>
          </w:p>
        </w:tc>
        <w:tc>
          <w:tcPr>
            <w:tcW w:w="360" w:type="dxa"/>
            <w:vAlign w:val="bottom"/>
            <w:tcBorders>
              <w:bottom w:val="single" w:sz="8" w:color="CCEEFF"/>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360" w:type="dxa"/>
            <w:vAlign w:val="bottom"/>
            <w:tcBorders>
              <w:bottom w:val="single" w:sz="8" w:color="CCEEFF"/>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360" w:type="dxa"/>
            <w:vAlign w:val="bottom"/>
            <w:tcBorders>
              <w:bottom w:val="single" w:sz="8" w:color="CCEEFF"/>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r>
      <w:tr>
        <w:trPr>
          <w:trHeight w:val="140"/>
        </w:trPr>
        <w:tc>
          <w:tcPr>
            <w:tcW w:w="4460" w:type="dxa"/>
            <w:vAlign w:val="bottom"/>
            <w:tcBorders>
              <w:bottom w:val="single" w:sz="8" w:color="CCEEFF"/>
            </w:tcBorders>
            <w:gridSpan w:val="2"/>
            <w:shd w:val="clear" w:color="auto" w:fill="CCEEFF"/>
          </w:tcPr>
          <w:p>
            <w:pPr>
              <w:spacing w:after="0" w:line="121" w:lineRule="exact"/>
              <w:rPr>
                <w:sz w:val="20"/>
                <w:szCs w:val="20"/>
                <w:color w:val="auto"/>
              </w:rPr>
            </w:pPr>
            <w:r>
              <w:rPr>
                <w:rFonts w:ascii="Arial" w:cs="Arial" w:eastAsia="Arial" w:hAnsi="Arial"/>
                <w:sz w:val="11"/>
                <w:szCs w:val="11"/>
                <w:b w:val="1"/>
                <w:bCs w:val="1"/>
                <w:color w:val="auto"/>
              </w:rPr>
              <w:t>Balance at December 31, 2015</w:t>
            </w:r>
          </w:p>
        </w:tc>
        <w:tc>
          <w:tcPr>
            <w:tcW w:w="1300" w:type="dxa"/>
            <w:vAlign w:val="bottom"/>
            <w:tcBorders>
              <w:bottom w:val="single" w:sz="8" w:color="CCEEFF"/>
            </w:tcBorders>
            <w:shd w:val="clear" w:color="auto" w:fill="CCEEFF"/>
          </w:tcPr>
          <w:p>
            <w:pPr>
              <w:jc w:val="right"/>
              <w:ind w:right="966"/>
              <w:spacing w:after="0" w:line="125" w:lineRule="exact"/>
              <w:rPr>
                <w:sz w:val="20"/>
                <w:szCs w:val="20"/>
                <w:color w:val="auto"/>
              </w:rPr>
            </w:pPr>
            <w:r>
              <w:rPr>
                <w:rFonts w:ascii="Arial" w:cs="Arial" w:eastAsia="Arial" w:hAnsi="Arial"/>
                <w:sz w:val="11"/>
                <w:szCs w:val="11"/>
                <w:color w:val="auto"/>
              </w:rPr>
              <w:t>$</w:t>
            </w:r>
          </w:p>
        </w:tc>
        <w:tc>
          <w:tcPr>
            <w:tcW w:w="520" w:type="dxa"/>
            <w:vAlign w:val="bottom"/>
            <w:tcBorders>
              <w:bottom w:val="single" w:sz="8" w:color="CCEEFF"/>
            </w:tcBorders>
            <w:shd w:val="clear" w:color="auto" w:fill="CCEEFF"/>
          </w:tcPr>
          <w:p>
            <w:pPr>
              <w:jc w:val="right"/>
              <w:spacing w:after="0" w:line="125" w:lineRule="exact"/>
              <w:rPr>
                <w:sz w:val="20"/>
                <w:szCs w:val="20"/>
                <w:color w:val="auto"/>
              </w:rPr>
            </w:pPr>
            <w:r>
              <w:rPr>
                <w:rFonts w:ascii="Arial" w:cs="Arial" w:eastAsia="Arial" w:hAnsi="Arial"/>
                <w:sz w:val="11"/>
                <w:szCs w:val="11"/>
                <w:color w:val="auto"/>
              </w:rPr>
              <w:t>14,491</w:t>
            </w:r>
          </w:p>
        </w:tc>
        <w:tc>
          <w:tcPr>
            <w:tcW w:w="360" w:type="dxa"/>
            <w:vAlign w:val="bottom"/>
            <w:tcBorders>
              <w:bottom w:val="single" w:sz="8" w:color="CCEEFF"/>
            </w:tcBorders>
            <w:shd w:val="clear" w:color="auto" w:fill="CCEEFF"/>
          </w:tcPr>
          <w:p>
            <w:pPr>
              <w:spacing w:after="0"/>
              <w:rPr>
                <w:sz w:val="12"/>
                <w:szCs w:val="12"/>
                <w:color w:val="auto"/>
              </w:rPr>
            </w:pPr>
          </w:p>
        </w:tc>
        <w:tc>
          <w:tcPr>
            <w:tcW w:w="1360" w:type="dxa"/>
            <w:vAlign w:val="bottom"/>
            <w:tcBorders>
              <w:bottom w:val="single" w:sz="8" w:color="CCEEFF"/>
            </w:tcBorders>
            <w:shd w:val="clear" w:color="auto" w:fill="CCEEFF"/>
          </w:tcPr>
          <w:p>
            <w:pPr>
              <w:jc w:val="right"/>
              <w:ind w:right="1006"/>
              <w:spacing w:after="0" w:line="125" w:lineRule="exact"/>
              <w:rPr>
                <w:sz w:val="20"/>
                <w:szCs w:val="20"/>
                <w:color w:val="auto"/>
              </w:rPr>
            </w:pPr>
            <w:r>
              <w:rPr>
                <w:rFonts w:ascii="Arial" w:cs="Arial" w:eastAsia="Arial" w:hAnsi="Arial"/>
                <w:sz w:val="11"/>
                <w:szCs w:val="11"/>
                <w:color w:val="auto"/>
              </w:rPr>
              <w:t>$</w:t>
            </w:r>
          </w:p>
        </w:tc>
        <w:tc>
          <w:tcPr>
            <w:tcW w:w="460" w:type="dxa"/>
            <w:vAlign w:val="bottom"/>
            <w:tcBorders>
              <w:bottom w:val="single" w:sz="8" w:color="CCEEFF"/>
            </w:tcBorders>
            <w:shd w:val="clear" w:color="auto" w:fill="CCEEFF"/>
          </w:tcPr>
          <w:p>
            <w:pPr>
              <w:jc w:val="right"/>
              <w:spacing w:after="0" w:line="125" w:lineRule="exact"/>
              <w:rPr>
                <w:sz w:val="20"/>
                <w:szCs w:val="20"/>
                <w:color w:val="auto"/>
              </w:rPr>
            </w:pPr>
            <w:r>
              <w:rPr>
                <w:rFonts w:ascii="Arial" w:cs="Arial" w:eastAsia="Arial" w:hAnsi="Arial"/>
                <w:sz w:val="11"/>
                <w:szCs w:val="11"/>
                <w:color w:val="auto"/>
              </w:rPr>
              <w:t>5,224</w:t>
            </w:r>
          </w:p>
        </w:tc>
        <w:tc>
          <w:tcPr>
            <w:tcW w:w="36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CCEEFF"/>
            </w:tcBorders>
            <w:shd w:val="clear" w:color="auto" w:fill="CCEEFF"/>
          </w:tcPr>
          <w:p>
            <w:pPr>
              <w:jc w:val="right"/>
              <w:ind w:right="186"/>
              <w:spacing w:after="0" w:line="125" w:lineRule="exact"/>
              <w:rPr>
                <w:sz w:val="20"/>
                <w:szCs w:val="20"/>
                <w:color w:val="auto"/>
              </w:rPr>
            </w:pPr>
            <w:r>
              <w:rPr>
                <w:rFonts w:ascii="Arial" w:cs="Arial" w:eastAsia="Arial" w:hAnsi="Arial"/>
                <w:sz w:val="11"/>
                <w:szCs w:val="11"/>
                <w:color w:val="auto"/>
              </w:rPr>
              <w:t>$</w:t>
            </w:r>
          </w:p>
        </w:tc>
        <w:tc>
          <w:tcPr>
            <w:tcW w:w="1280" w:type="dxa"/>
            <w:vAlign w:val="bottom"/>
            <w:tcBorders>
              <w:bottom w:val="single" w:sz="8" w:color="CCEEFF"/>
            </w:tcBorders>
            <w:shd w:val="clear" w:color="auto" w:fill="CCEEFF"/>
          </w:tcPr>
          <w:p>
            <w:pPr>
              <w:jc w:val="right"/>
              <w:spacing w:after="0" w:line="125" w:lineRule="exact"/>
              <w:rPr>
                <w:sz w:val="20"/>
                <w:szCs w:val="20"/>
                <w:color w:val="auto"/>
              </w:rPr>
            </w:pPr>
            <w:r>
              <w:rPr>
                <w:rFonts w:ascii="Arial" w:cs="Arial" w:eastAsia="Arial" w:hAnsi="Arial"/>
                <w:sz w:val="11"/>
                <w:szCs w:val="11"/>
                <w:color w:val="auto"/>
              </w:rPr>
              <w:t>19,715</w:t>
            </w:r>
          </w:p>
        </w:tc>
      </w:tr>
      <w:tr>
        <w:trPr>
          <w:trHeight w:val="20"/>
        </w:trPr>
        <w:tc>
          <w:tcPr>
            <w:tcW w:w="410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r>
    </w:tbl>
    <w:p>
      <w:pPr>
        <w:spacing w:after="0" w:line="135" w:lineRule="exact"/>
        <w:rPr>
          <w:sz w:val="20"/>
          <w:szCs w:val="20"/>
          <w:color w:val="auto"/>
        </w:rPr>
      </w:pPr>
    </w:p>
    <w:p>
      <w:pPr>
        <w:ind w:right="180"/>
        <w:spacing w:after="0" w:line="298" w:lineRule="auto"/>
        <w:rPr>
          <w:sz w:val="20"/>
          <w:szCs w:val="20"/>
          <w:color w:val="auto"/>
        </w:rPr>
      </w:pPr>
      <w:r>
        <w:rPr>
          <w:rFonts w:ascii="Arial" w:cs="Arial" w:eastAsia="Arial" w:hAnsi="Arial"/>
          <w:sz w:val="11"/>
          <w:szCs w:val="11"/>
          <w:color w:val="auto"/>
        </w:rPr>
        <w:t>The Company is required to test goodwill and other intangible assets for impairment on an annual basis and, if current events or circumstances require, on an interim basis. To test the impairment of goodwill, the Company compares the fair value of each reporting unit to its carrying amount, including the goodwill, to determine if there is potential goodwill impairment. A reporting unit is generally one level below the operating segment. The most recent annual assessment occurred in the fourth quarter of 2015. The assessment results indicated that there is no impairment to our goodwill as of December 31, 2015.</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color w:val="auto"/>
        </w:rPr>
        <w:t>The tables below summarize intangible assets other than goodwill:</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3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2240" w:type="dxa"/>
            <w:vAlign w:val="bottom"/>
            <w:tcBorders>
              <w:bottom w:val="single" w:sz="8" w:color="auto"/>
            </w:tcBorders>
            <w:gridSpan w:val="3"/>
          </w:tcPr>
          <w:p>
            <w:pPr>
              <w:jc w:val="right"/>
              <w:ind w:right="406"/>
              <w:spacing w:after="0"/>
              <w:rPr>
                <w:sz w:val="20"/>
                <w:szCs w:val="20"/>
                <w:color w:val="auto"/>
              </w:rPr>
            </w:pPr>
            <w:r>
              <w:rPr>
                <w:rFonts w:ascii="Arial" w:cs="Arial" w:eastAsia="Arial" w:hAnsi="Arial"/>
                <w:sz w:val="11"/>
                <w:szCs w:val="11"/>
                <w:b w:val="1"/>
                <w:bCs w:val="1"/>
                <w:color w:val="auto"/>
              </w:rPr>
              <w:t>December 31, 2015</w:t>
            </w:r>
          </w:p>
        </w:tc>
        <w:tc>
          <w:tcPr>
            <w:tcW w:w="70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spacing w:after="0"/>
              <w:rPr>
                <w:sz w:val="12"/>
                <w:szCs w:val="12"/>
                <w:color w:val="auto"/>
              </w:rPr>
            </w:pPr>
          </w:p>
        </w:tc>
      </w:tr>
      <w:tr>
        <w:trPr>
          <w:trHeight w:val="169"/>
        </w:trPr>
        <w:tc>
          <w:tcPr>
            <w:tcW w:w="3400" w:type="dxa"/>
            <w:vAlign w:val="bottom"/>
            <w:tcBorders>
              <w:bottom w:val="single" w:sz="8" w:color="auto"/>
            </w:tcBorders>
          </w:tcPr>
          <w:p>
            <w:pPr>
              <w:spacing w:after="0"/>
              <w:rPr>
                <w:sz w:val="20"/>
                <w:szCs w:val="20"/>
                <w:color w:val="auto"/>
              </w:rPr>
            </w:pPr>
            <w:r>
              <w:rPr>
                <w:rFonts w:ascii="Arial" w:cs="Arial" w:eastAsia="Arial" w:hAnsi="Arial"/>
                <w:sz w:val="11"/>
                <w:szCs w:val="11"/>
                <w:color w:val="auto"/>
              </w:rPr>
              <w:t>(Dollars in thousands)</w:t>
            </w:r>
          </w:p>
        </w:tc>
        <w:tc>
          <w:tcPr>
            <w:tcW w:w="28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286"/>
              <w:spacing w:after="0"/>
              <w:rPr>
                <w:sz w:val="20"/>
                <w:szCs w:val="20"/>
                <w:color w:val="auto"/>
              </w:rPr>
            </w:pPr>
            <w:r>
              <w:rPr>
                <w:rFonts w:ascii="Arial" w:cs="Arial" w:eastAsia="Arial" w:hAnsi="Arial"/>
                <w:sz w:val="11"/>
                <w:szCs w:val="11"/>
                <w:b w:val="1"/>
                <w:bCs w:val="1"/>
                <w:color w:val="auto"/>
                <w:w w:val="90"/>
              </w:rPr>
              <w:t>Beneficial Leases</w:t>
            </w:r>
          </w:p>
        </w:tc>
        <w:tc>
          <w:tcPr>
            <w:tcW w:w="3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ind w:left="120"/>
              <w:spacing w:after="0"/>
              <w:rPr>
                <w:sz w:val="20"/>
                <w:szCs w:val="20"/>
                <w:color w:val="auto"/>
              </w:rPr>
            </w:pPr>
            <w:r>
              <w:rPr>
                <w:rFonts w:ascii="Arial" w:cs="Arial" w:eastAsia="Arial" w:hAnsi="Arial"/>
                <w:sz w:val="11"/>
                <w:szCs w:val="11"/>
                <w:b w:val="1"/>
                <w:bCs w:val="1"/>
                <w:color w:val="auto"/>
              </w:rPr>
              <w:t>Trade Name</w:t>
            </w:r>
          </w:p>
        </w:tc>
        <w:tc>
          <w:tcPr>
            <w:tcW w:w="300" w:type="dxa"/>
            <w:vAlign w:val="bottom"/>
            <w:tcBorders>
              <w:bottom w:val="single" w:sz="8" w:color="CCEEFF"/>
            </w:tcBorders>
          </w:tcPr>
          <w:p>
            <w:pPr>
              <w:spacing w:after="0"/>
              <w:rPr>
                <w:sz w:val="14"/>
                <w:szCs w:val="14"/>
                <w:color w:val="auto"/>
              </w:rPr>
            </w:pPr>
          </w:p>
        </w:tc>
        <w:tc>
          <w:tcPr>
            <w:tcW w:w="1500" w:type="dxa"/>
            <w:vAlign w:val="bottom"/>
            <w:tcBorders>
              <w:bottom w:val="single" w:sz="8" w:color="auto"/>
            </w:tcBorders>
            <w:gridSpan w:val="2"/>
          </w:tcPr>
          <w:p>
            <w:pPr>
              <w:ind w:left="200"/>
              <w:spacing w:after="0"/>
              <w:rPr>
                <w:sz w:val="20"/>
                <w:szCs w:val="20"/>
                <w:color w:val="auto"/>
              </w:rPr>
            </w:pPr>
            <w:r>
              <w:rPr>
                <w:rFonts w:ascii="Arial" w:cs="Arial" w:eastAsia="Arial" w:hAnsi="Arial"/>
                <w:sz w:val="11"/>
                <w:szCs w:val="11"/>
                <w:b w:val="1"/>
                <w:bCs w:val="1"/>
                <w:color w:val="auto"/>
              </w:rPr>
              <w:t>Other Intangible Assets</w:t>
            </w:r>
          </w:p>
        </w:tc>
        <w:tc>
          <w:tcPr>
            <w:tcW w:w="28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606"/>
              <w:spacing w:after="0"/>
              <w:rPr>
                <w:sz w:val="20"/>
                <w:szCs w:val="20"/>
                <w:color w:val="auto"/>
              </w:rPr>
            </w:pPr>
            <w:r>
              <w:rPr>
                <w:rFonts w:ascii="Arial" w:cs="Arial" w:eastAsia="Arial" w:hAnsi="Arial"/>
                <w:sz w:val="11"/>
                <w:szCs w:val="11"/>
                <w:b w:val="1"/>
                <w:bCs w:val="1"/>
                <w:color w:val="auto"/>
              </w:rPr>
              <w:t>Total</w:t>
            </w:r>
          </w:p>
        </w:tc>
      </w:tr>
      <w:tr>
        <w:trPr>
          <w:trHeight w:val="180"/>
        </w:trPr>
        <w:tc>
          <w:tcPr>
            <w:tcW w:w="36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Gross carrying amount</w:t>
            </w:r>
          </w:p>
        </w:tc>
        <w:tc>
          <w:tcPr>
            <w:tcW w:w="30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26,793</w:t>
            </w:r>
          </w:p>
        </w:tc>
        <w:tc>
          <w:tcPr>
            <w:tcW w:w="30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w:t>
            </w:r>
          </w:p>
        </w:tc>
        <w:tc>
          <w:tcPr>
            <w:tcW w:w="1140" w:type="dxa"/>
            <w:vAlign w:val="bottom"/>
            <w:shd w:val="clear" w:color="auto" w:fill="CCEEFF"/>
          </w:tcPr>
          <w:p>
            <w:pPr>
              <w:jc w:val="center"/>
              <w:ind w:left="806"/>
              <w:spacing w:after="0"/>
              <w:rPr>
                <w:sz w:val="20"/>
                <w:szCs w:val="20"/>
                <w:color w:val="auto"/>
              </w:rPr>
            </w:pPr>
            <w:r>
              <w:rPr>
                <w:rFonts w:ascii="Arial" w:cs="Arial" w:eastAsia="Arial" w:hAnsi="Arial"/>
                <w:sz w:val="11"/>
                <w:szCs w:val="11"/>
                <w:color w:val="auto"/>
                <w:w w:val="87"/>
              </w:rPr>
              <w:t>7,254</w:t>
            </w:r>
          </w:p>
        </w:tc>
        <w:tc>
          <w:tcPr>
            <w:tcW w:w="30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526"/>
              <w:spacing w:after="0"/>
              <w:rPr>
                <w:sz w:val="20"/>
                <w:szCs w:val="20"/>
                <w:color w:val="auto"/>
              </w:rPr>
            </w:pPr>
            <w:r>
              <w:rPr>
                <w:rFonts w:ascii="Arial" w:cs="Arial" w:eastAsia="Arial" w:hAnsi="Arial"/>
                <w:sz w:val="11"/>
                <w:szCs w:val="11"/>
                <w:color w:val="auto"/>
              </w:rPr>
              <w:t>$</w:t>
            </w:r>
          </w:p>
        </w:tc>
        <w:tc>
          <w:tcPr>
            <w:tcW w:w="700" w:type="dxa"/>
            <w:vAlign w:val="bottom"/>
            <w:shd w:val="clear" w:color="auto" w:fill="CCEEFF"/>
          </w:tcPr>
          <w:p>
            <w:pPr>
              <w:jc w:val="center"/>
              <w:ind w:left="446"/>
              <w:spacing w:after="0"/>
              <w:rPr>
                <w:sz w:val="20"/>
                <w:szCs w:val="20"/>
                <w:color w:val="auto"/>
              </w:rPr>
            </w:pPr>
            <w:r>
              <w:rPr>
                <w:rFonts w:ascii="Arial" w:cs="Arial" w:eastAsia="Arial" w:hAnsi="Arial"/>
                <w:sz w:val="11"/>
                <w:szCs w:val="11"/>
                <w:color w:val="auto"/>
                <w:w w:val="86"/>
              </w:rPr>
              <w:t>696</w:t>
            </w:r>
          </w:p>
        </w:tc>
        <w:tc>
          <w:tcPr>
            <w:tcW w:w="280" w:type="dxa"/>
            <w:vAlign w:val="bottom"/>
            <w:shd w:val="clear" w:color="auto" w:fill="CCEEFF"/>
          </w:tcPr>
          <w:p>
            <w:pPr>
              <w:spacing w:after="0"/>
              <w:rPr>
                <w:sz w:val="15"/>
                <w:szCs w:val="15"/>
                <w:color w:val="auto"/>
              </w:rPr>
            </w:pPr>
          </w:p>
        </w:tc>
        <w:tc>
          <w:tcPr>
            <w:tcW w:w="480" w:type="dxa"/>
            <w:vAlign w:val="bottom"/>
            <w:shd w:val="clear" w:color="auto" w:fill="CCEEFF"/>
          </w:tcPr>
          <w:p>
            <w:pPr>
              <w:jc w:val="right"/>
              <w:ind w:right="126"/>
              <w:spacing w:after="0"/>
              <w:rPr>
                <w:sz w:val="20"/>
                <w:szCs w:val="20"/>
                <w:color w:val="auto"/>
              </w:rPr>
            </w:pPr>
            <w:r>
              <w:rPr>
                <w:rFonts w:ascii="Arial" w:cs="Arial" w:eastAsia="Arial" w:hAnsi="Arial"/>
                <w:sz w:val="11"/>
                <w:szCs w:val="11"/>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34,743</w:t>
            </w:r>
          </w:p>
        </w:tc>
      </w:tr>
      <w:tr>
        <w:trPr>
          <w:trHeight w:val="187"/>
        </w:trPr>
        <w:tc>
          <w:tcPr>
            <w:tcW w:w="3680" w:type="dxa"/>
            <w:vAlign w:val="bottom"/>
            <w:gridSpan w:val="2"/>
          </w:tcPr>
          <w:p>
            <w:pPr>
              <w:spacing w:after="0"/>
              <w:rPr>
                <w:sz w:val="20"/>
                <w:szCs w:val="20"/>
                <w:color w:val="auto"/>
              </w:rPr>
            </w:pPr>
            <w:r>
              <w:rPr>
                <w:rFonts w:ascii="Arial" w:cs="Arial" w:eastAsia="Arial" w:hAnsi="Arial"/>
                <w:sz w:val="11"/>
                <w:szCs w:val="11"/>
                <w:color w:val="auto"/>
              </w:rPr>
              <w:t>Less: Accumulated amortization</w:t>
            </w:r>
          </w:p>
        </w:tc>
        <w:tc>
          <w:tcPr>
            <w:tcW w:w="300" w:type="dxa"/>
            <w:vAlign w:val="bottom"/>
          </w:tcPr>
          <w:p>
            <w:pPr>
              <w:spacing w:after="0"/>
              <w:rPr>
                <w:sz w:val="16"/>
                <w:szCs w:val="16"/>
                <w:color w:val="auto"/>
              </w:rPr>
            </w:pPr>
          </w:p>
        </w:tc>
        <w:tc>
          <w:tcPr>
            <w:tcW w:w="1500" w:type="dxa"/>
            <w:vAlign w:val="bottom"/>
            <w:gridSpan w:val="2"/>
          </w:tcPr>
          <w:p>
            <w:pPr>
              <w:jc w:val="right"/>
              <w:ind w:right="300"/>
              <w:spacing w:after="0"/>
              <w:rPr>
                <w:sz w:val="20"/>
                <w:szCs w:val="20"/>
                <w:color w:val="auto"/>
              </w:rPr>
            </w:pPr>
            <w:r>
              <w:rPr>
                <w:rFonts w:ascii="Arial" w:cs="Arial" w:eastAsia="Arial" w:hAnsi="Arial"/>
                <w:sz w:val="11"/>
                <w:szCs w:val="11"/>
                <w:color w:val="auto"/>
              </w:rPr>
              <w:t>(20,108)</w:t>
            </w:r>
          </w:p>
        </w:tc>
        <w:tc>
          <w:tcPr>
            <w:tcW w:w="340" w:type="dxa"/>
            <w:vAlign w:val="bottom"/>
          </w:tcPr>
          <w:p>
            <w:pPr>
              <w:spacing w:after="0"/>
              <w:rPr>
                <w:sz w:val="16"/>
                <w:szCs w:val="16"/>
                <w:color w:val="auto"/>
              </w:rPr>
            </w:pPr>
          </w:p>
        </w:tc>
        <w:tc>
          <w:tcPr>
            <w:tcW w:w="1440" w:type="dxa"/>
            <w:vAlign w:val="bottom"/>
            <w:gridSpan w:val="2"/>
          </w:tcPr>
          <w:p>
            <w:pPr>
              <w:jc w:val="center"/>
              <w:ind w:left="486"/>
              <w:spacing w:after="0"/>
              <w:rPr>
                <w:sz w:val="20"/>
                <w:szCs w:val="20"/>
                <w:color w:val="auto"/>
              </w:rPr>
            </w:pPr>
            <w:r>
              <w:rPr>
                <w:rFonts w:ascii="Arial" w:cs="Arial" w:eastAsia="Arial" w:hAnsi="Arial"/>
                <w:sz w:val="11"/>
                <w:szCs w:val="11"/>
                <w:color w:val="auto"/>
                <w:w w:val="85"/>
              </w:rPr>
              <w:t>(4,300)</w:t>
            </w:r>
          </w:p>
        </w:tc>
        <w:tc>
          <w:tcPr>
            <w:tcW w:w="800" w:type="dxa"/>
            <w:vAlign w:val="bottom"/>
          </w:tcPr>
          <w:p>
            <w:pPr>
              <w:spacing w:after="0"/>
              <w:rPr>
                <w:sz w:val="16"/>
                <w:szCs w:val="16"/>
                <w:color w:val="auto"/>
              </w:rPr>
            </w:pPr>
          </w:p>
        </w:tc>
        <w:tc>
          <w:tcPr>
            <w:tcW w:w="980" w:type="dxa"/>
            <w:vAlign w:val="bottom"/>
            <w:gridSpan w:val="2"/>
          </w:tcPr>
          <w:p>
            <w:pPr>
              <w:jc w:val="center"/>
              <w:ind w:left="126"/>
              <w:spacing w:after="0"/>
              <w:rPr>
                <w:sz w:val="20"/>
                <w:szCs w:val="20"/>
                <w:color w:val="auto"/>
              </w:rPr>
            </w:pPr>
            <w:r>
              <w:rPr>
                <w:rFonts w:ascii="Arial" w:cs="Arial" w:eastAsia="Arial" w:hAnsi="Arial"/>
                <w:sz w:val="11"/>
                <w:szCs w:val="11"/>
                <w:color w:val="auto"/>
                <w:w w:val="93"/>
              </w:rPr>
              <w:t>(446)</w:t>
            </w:r>
          </w:p>
        </w:tc>
        <w:tc>
          <w:tcPr>
            <w:tcW w:w="4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(24,854)</w:t>
            </w:r>
          </w:p>
        </w:tc>
      </w:tr>
      <w:tr>
        <w:trPr>
          <w:trHeight w:val="162"/>
        </w:trPr>
        <w:tc>
          <w:tcPr>
            <w:tcW w:w="36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1"/>
                <w:szCs w:val="11"/>
                <w:color w:val="auto"/>
              </w:rPr>
              <w:t>Net intangible assets other than goodwill</w:t>
            </w:r>
          </w:p>
        </w:tc>
        <w:tc>
          <w:tcPr>
            <w:tcW w:w="30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6,685</w:t>
            </w:r>
          </w:p>
        </w:tc>
        <w:tc>
          <w:tcPr>
            <w:tcW w:w="300" w:type="dxa"/>
            <w:vAlign w:val="bottom"/>
            <w:tcBorders>
              <w:top w:val="single" w:sz="8" w:color="CCEEFF"/>
              <w:bottom w:val="single" w:sz="8" w:color="CCEEFF"/>
            </w:tcBorders>
            <w:shd w:val="clear" w:color="auto" w:fill="CCEEFF"/>
          </w:tcPr>
          <w:p>
            <w:pPr>
              <w:spacing w:after="0"/>
              <w:rPr>
                <w:sz w:val="14"/>
                <w:szCs w:val="14"/>
                <w:color w:val="auto"/>
              </w:rPr>
            </w:pPr>
          </w:p>
        </w:tc>
        <w:tc>
          <w:tcPr>
            <w:tcW w:w="340" w:type="dxa"/>
            <w:vAlign w:val="bottom"/>
            <w:tcBorders>
              <w:top w:val="single" w:sz="8" w:color="auto"/>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w:t>
            </w:r>
          </w:p>
        </w:tc>
        <w:tc>
          <w:tcPr>
            <w:tcW w:w="1140" w:type="dxa"/>
            <w:vAlign w:val="bottom"/>
            <w:tcBorders>
              <w:top w:val="single" w:sz="8" w:color="auto"/>
              <w:bottom w:val="single" w:sz="8" w:color="auto"/>
            </w:tcBorders>
            <w:shd w:val="clear" w:color="auto" w:fill="CCEEFF"/>
          </w:tcPr>
          <w:p>
            <w:pPr>
              <w:jc w:val="center"/>
              <w:ind w:left="806"/>
              <w:spacing w:after="0"/>
              <w:rPr>
                <w:sz w:val="20"/>
                <w:szCs w:val="20"/>
                <w:color w:val="auto"/>
              </w:rPr>
            </w:pPr>
            <w:r>
              <w:rPr>
                <w:rFonts w:ascii="Arial" w:cs="Arial" w:eastAsia="Arial" w:hAnsi="Arial"/>
                <w:sz w:val="11"/>
                <w:szCs w:val="11"/>
                <w:color w:val="auto"/>
                <w:w w:val="87"/>
              </w:rPr>
              <w:t>2,954</w:t>
            </w:r>
          </w:p>
        </w:tc>
        <w:tc>
          <w:tcPr>
            <w:tcW w:w="300" w:type="dxa"/>
            <w:vAlign w:val="bottom"/>
            <w:tcBorders>
              <w:top w:val="single" w:sz="8" w:color="CCEEFF"/>
              <w:bottom w:val="single" w:sz="8" w:color="CCEEFF"/>
            </w:tcBorders>
            <w:shd w:val="clear" w:color="auto" w:fill="CCEEFF"/>
          </w:tcPr>
          <w:p>
            <w:pPr>
              <w:spacing w:after="0"/>
              <w:rPr>
                <w:sz w:val="14"/>
                <w:szCs w:val="14"/>
                <w:color w:val="auto"/>
              </w:rPr>
            </w:pPr>
          </w:p>
        </w:tc>
        <w:tc>
          <w:tcPr>
            <w:tcW w:w="800" w:type="dxa"/>
            <w:vAlign w:val="bottom"/>
            <w:tcBorders>
              <w:top w:val="single" w:sz="8" w:color="auto"/>
              <w:bottom w:val="single" w:sz="8" w:color="auto"/>
            </w:tcBorders>
            <w:shd w:val="clear" w:color="auto" w:fill="CCEEFF"/>
          </w:tcPr>
          <w:p>
            <w:pPr>
              <w:jc w:val="right"/>
              <w:ind w:right="526"/>
              <w:spacing w:after="0"/>
              <w:rPr>
                <w:sz w:val="20"/>
                <w:szCs w:val="20"/>
                <w:color w:val="auto"/>
              </w:rPr>
            </w:pPr>
            <w:r>
              <w:rPr>
                <w:rFonts w:ascii="Arial" w:cs="Arial" w:eastAsia="Arial" w:hAnsi="Arial"/>
                <w:sz w:val="11"/>
                <w:szCs w:val="11"/>
                <w:color w:val="auto"/>
              </w:rPr>
              <w:t>$</w:t>
            </w:r>
          </w:p>
        </w:tc>
        <w:tc>
          <w:tcPr>
            <w:tcW w:w="700" w:type="dxa"/>
            <w:vAlign w:val="bottom"/>
            <w:tcBorders>
              <w:top w:val="single" w:sz="8" w:color="auto"/>
              <w:bottom w:val="single" w:sz="8" w:color="auto"/>
            </w:tcBorders>
            <w:shd w:val="clear" w:color="auto" w:fill="CCEEFF"/>
          </w:tcPr>
          <w:p>
            <w:pPr>
              <w:jc w:val="center"/>
              <w:ind w:left="446"/>
              <w:spacing w:after="0"/>
              <w:rPr>
                <w:sz w:val="20"/>
                <w:szCs w:val="20"/>
                <w:color w:val="auto"/>
              </w:rPr>
            </w:pPr>
            <w:r>
              <w:rPr>
                <w:rFonts w:ascii="Arial" w:cs="Arial" w:eastAsia="Arial" w:hAnsi="Arial"/>
                <w:sz w:val="11"/>
                <w:szCs w:val="11"/>
                <w:color w:val="auto"/>
                <w:w w:val="86"/>
              </w:rPr>
              <w:t>250</w:t>
            </w:r>
          </w:p>
        </w:tc>
        <w:tc>
          <w:tcPr>
            <w:tcW w:w="280" w:type="dxa"/>
            <w:vAlign w:val="bottom"/>
            <w:tcBorders>
              <w:top w:val="single" w:sz="8" w:color="CCEEFF"/>
              <w:bottom w:val="single" w:sz="8" w:color="CCEEFF"/>
            </w:tcBorders>
            <w:shd w:val="clear" w:color="auto" w:fill="CCEEFF"/>
          </w:tcPr>
          <w:p>
            <w:pPr>
              <w:spacing w:after="0"/>
              <w:rPr>
                <w:sz w:val="14"/>
                <w:szCs w:val="14"/>
                <w:color w:val="auto"/>
              </w:rPr>
            </w:pPr>
          </w:p>
        </w:tc>
        <w:tc>
          <w:tcPr>
            <w:tcW w:w="480" w:type="dxa"/>
            <w:vAlign w:val="bottom"/>
            <w:tcBorders>
              <w:top w:val="single" w:sz="8" w:color="auto"/>
              <w:bottom w:val="single" w:sz="8" w:color="auto"/>
            </w:tcBorders>
            <w:shd w:val="clear" w:color="auto" w:fill="CCEEFF"/>
          </w:tcPr>
          <w:p>
            <w:pPr>
              <w:jc w:val="right"/>
              <w:ind w:right="126"/>
              <w:spacing w:after="0"/>
              <w:rPr>
                <w:sz w:val="20"/>
                <w:szCs w:val="20"/>
                <w:color w:val="auto"/>
              </w:rPr>
            </w:pPr>
            <w:r>
              <w:rPr>
                <w:rFonts w:ascii="Arial" w:cs="Arial" w:eastAsia="Arial" w:hAnsi="Arial"/>
                <w:sz w:val="11"/>
                <w:szCs w:val="11"/>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9,889</w:t>
            </w:r>
          </w:p>
        </w:tc>
      </w:tr>
    </w:tbl>
    <w:p>
      <w:pPr>
        <w:spacing w:after="0" w:line="27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59690</wp:posOffset>
            </wp:positionV>
            <wp:extent cx="677989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779895" cy="42545"/>
                    </a:xfrm>
                    <a:prstGeom prst="rect">
                      <a:avLst/>
                    </a:prstGeom>
                    <a:noFill/>
                  </pic:spPr>
                </pic:pic>
              </a:graphicData>
            </a:graphic>
          </wp:anchor>
        </w:drawing>
      </w:r>
    </w:p>
    <w:p>
      <w:pPr>
        <w:sectPr>
          <w:pgSz w:w="11900" w:h="16838" w:orient="portrait"/>
          <w:cols w:equalWidth="0" w:num="1">
            <w:col w:w="10620"/>
          </w:cols>
          <w:pgMar w:left="640" w:top="275" w:right="639" w:bottom="1440" w:gutter="0" w:footer="0" w:header="0"/>
        </w:sectPr>
      </w:pPr>
    </w:p>
    <w:bookmarkStart w:id="73" w:name="page74"/>
    <w:bookmarkEnd w:id="73"/>
    <w:tbl>
      <w:tblPr>
        <w:tblLayout w:type="fixed"/>
        <w:tblInd w:w="0" w:type="dxa"/>
        <w:tblCellMar>
          <w:top w:w="0" w:type="dxa"/>
          <w:left w:w="0" w:type="dxa"/>
          <w:bottom w:w="0" w:type="dxa"/>
          <w:right w:w="0" w:type="dxa"/>
        </w:tblCellMar>
      </w:tblPr>
      <w:tr>
        <w:trPr>
          <w:trHeight w:val="142"/>
        </w:trPr>
        <w:tc>
          <w:tcPr>
            <w:tcW w:w="3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2240" w:type="dxa"/>
            <w:vAlign w:val="bottom"/>
            <w:tcBorders>
              <w:bottom w:val="single" w:sz="8" w:color="auto"/>
            </w:tcBorders>
            <w:gridSpan w:val="3"/>
          </w:tcPr>
          <w:p>
            <w:pPr>
              <w:jc w:val="right"/>
              <w:ind w:right="406"/>
              <w:spacing w:after="0"/>
              <w:rPr>
                <w:sz w:val="20"/>
                <w:szCs w:val="20"/>
                <w:color w:val="auto"/>
              </w:rPr>
            </w:pPr>
            <w:r>
              <w:rPr>
                <w:rFonts w:ascii="Arial" w:cs="Arial" w:eastAsia="Arial" w:hAnsi="Arial"/>
                <w:sz w:val="11"/>
                <w:szCs w:val="11"/>
                <w:b w:val="1"/>
                <w:bCs w:val="1"/>
                <w:color w:val="auto"/>
              </w:rPr>
              <w:t>December 31, 2014</w:t>
            </w:r>
          </w:p>
        </w:tc>
        <w:tc>
          <w:tcPr>
            <w:tcW w:w="70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spacing w:after="0"/>
              <w:rPr>
                <w:sz w:val="12"/>
                <w:szCs w:val="12"/>
                <w:color w:val="auto"/>
              </w:rPr>
            </w:pPr>
          </w:p>
        </w:tc>
      </w:tr>
      <w:tr>
        <w:trPr>
          <w:trHeight w:val="169"/>
        </w:trPr>
        <w:tc>
          <w:tcPr>
            <w:tcW w:w="3400" w:type="dxa"/>
            <w:vAlign w:val="bottom"/>
            <w:tcBorders>
              <w:bottom w:val="single" w:sz="8" w:color="auto"/>
            </w:tcBorders>
          </w:tcPr>
          <w:p>
            <w:pPr>
              <w:spacing w:after="0"/>
              <w:rPr>
                <w:sz w:val="20"/>
                <w:szCs w:val="20"/>
                <w:color w:val="auto"/>
              </w:rPr>
            </w:pPr>
            <w:r>
              <w:rPr>
                <w:rFonts w:ascii="Arial" w:cs="Arial" w:eastAsia="Arial" w:hAnsi="Arial"/>
                <w:sz w:val="11"/>
                <w:szCs w:val="11"/>
                <w:color w:val="auto"/>
              </w:rPr>
              <w:t>(Dollars in thousands)</w:t>
            </w:r>
          </w:p>
        </w:tc>
        <w:tc>
          <w:tcPr>
            <w:tcW w:w="28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286"/>
              <w:spacing w:after="0"/>
              <w:rPr>
                <w:sz w:val="20"/>
                <w:szCs w:val="20"/>
                <w:color w:val="auto"/>
              </w:rPr>
            </w:pPr>
            <w:r>
              <w:rPr>
                <w:rFonts w:ascii="Arial" w:cs="Arial" w:eastAsia="Arial" w:hAnsi="Arial"/>
                <w:sz w:val="11"/>
                <w:szCs w:val="11"/>
                <w:b w:val="1"/>
                <w:bCs w:val="1"/>
                <w:color w:val="auto"/>
                <w:w w:val="90"/>
              </w:rPr>
              <w:t>Beneficial Leases</w:t>
            </w:r>
          </w:p>
        </w:tc>
        <w:tc>
          <w:tcPr>
            <w:tcW w:w="3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ind w:left="120"/>
              <w:spacing w:after="0"/>
              <w:rPr>
                <w:sz w:val="20"/>
                <w:szCs w:val="20"/>
                <w:color w:val="auto"/>
              </w:rPr>
            </w:pPr>
            <w:r>
              <w:rPr>
                <w:rFonts w:ascii="Arial" w:cs="Arial" w:eastAsia="Arial" w:hAnsi="Arial"/>
                <w:sz w:val="11"/>
                <w:szCs w:val="11"/>
                <w:b w:val="1"/>
                <w:bCs w:val="1"/>
                <w:color w:val="auto"/>
              </w:rPr>
              <w:t>Trade Name</w:t>
            </w:r>
          </w:p>
        </w:tc>
        <w:tc>
          <w:tcPr>
            <w:tcW w:w="300" w:type="dxa"/>
            <w:vAlign w:val="bottom"/>
            <w:tcBorders>
              <w:bottom w:val="single" w:sz="8" w:color="CCEEFF"/>
            </w:tcBorders>
          </w:tcPr>
          <w:p>
            <w:pPr>
              <w:spacing w:after="0"/>
              <w:rPr>
                <w:sz w:val="14"/>
                <w:szCs w:val="14"/>
                <w:color w:val="auto"/>
              </w:rPr>
            </w:pPr>
          </w:p>
        </w:tc>
        <w:tc>
          <w:tcPr>
            <w:tcW w:w="1500" w:type="dxa"/>
            <w:vAlign w:val="bottom"/>
            <w:tcBorders>
              <w:bottom w:val="single" w:sz="8" w:color="auto"/>
            </w:tcBorders>
            <w:gridSpan w:val="2"/>
          </w:tcPr>
          <w:p>
            <w:pPr>
              <w:jc w:val="right"/>
              <w:ind w:right="146"/>
              <w:spacing w:after="0"/>
              <w:rPr>
                <w:sz w:val="20"/>
                <w:szCs w:val="20"/>
                <w:color w:val="auto"/>
              </w:rPr>
            </w:pPr>
            <w:r>
              <w:rPr>
                <w:rFonts w:ascii="Arial" w:cs="Arial" w:eastAsia="Arial" w:hAnsi="Arial"/>
                <w:sz w:val="11"/>
                <w:szCs w:val="11"/>
                <w:b w:val="1"/>
                <w:bCs w:val="1"/>
                <w:color w:val="auto"/>
              </w:rPr>
              <w:t>Other Intangible Assets</w:t>
            </w:r>
          </w:p>
        </w:tc>
        <w:tc>
          <w:tcPr>
            <w:tcW w:w="28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ind w:left="200"/>
              <w:spacing w:after="0"/>
              <w:rPr>
                <w:sz w:val="20"/>
                <w:szCs w:val="20"/>
                <w:color w:val="auto"/>
              </w:rPr>
            </w:pPr>
            <w:r>
              <w:rPr>
                <w:rFonts w:ascii="Arial" w:cs="Arial" w:eastAsia="Arial" w:hAnsi="Arial"/>
                <w:sz w:val="11"/>
                <w:szCs w:val="11"/>
                <w:b w:val="1"/>
                <w:bCs w:val="1"/>
                <w:color w:val="auto"/>
              </w:rPr>
              <w:t>Total</w:t>
            </w:r>
          </w:p>
        </w:tc>
      </w:tr>
      <w:tr>
        <w:trPr>
          <w:trHeight w:val="180"/>
        </w:trPr>
        <w:tc>
          <w:tcPr>
            <w:tcW w:w="36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Gross carrying amount</w:t>
            </w:r>
          </w:p>
        </w:tc>
        <w:tc>
          <w:tcPr>
            <w:tcW w:w="30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24,150</w:t>
            </w:r>
          </w:p>
        </w:tc>
        <w:tc>
          <w:tcPr>
            <w:tcW w:w="30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w:t>
            </w:r>
          </w:p>
        </w:tc>
        <w:tc>
          <w:tcPr>
            <w:tcW w:w="1140" w:type="dxa"/>
            <w:vAlign w:val="bottom"/>
            <w:shd w:val="clear" w:color="auto" w:fill="CCEEFF"/>
          </w:tcPr>
          <w:p>
            <w:pPr>
              <w:jc w:val="center"/>
              <w:ind w:left="806"/>
              <w:spacing w:after="0"/>
              <w:rPr>
                <w:sz w:val="20"/>
                <w:szCs w:val="20"/>
                <w:color w:val="auto"/>
              </w:rPr>
            </w:pPr>
            <w:r>
              <w:rPr>
                <w:rFonts w:ascii="Arial" w:cs="Arial" w:eastAsia="Arial" w:hAnsi="Arial"/>
                <w:sz w:val="11"/>
                <w:szCs w:val="11"/>
                <w:color w:val="auto"/>
                <w:w w:val="87"/>
              </w:rPr>
              <w:t>7,254</w:t>
            </w:r>
          </w:p>
        </w:tc>
        <w:tc>
          <w:tcPr>
            <w:tcW w:w="30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526"/>
              <w:spacing w:after="0"/>
              <w:rPr>
                <w:sz w:val="20"/>
                <w:szCs w:val="20"/>
                <w:color w:val="auto"/>
              </w:rPr>
            </w:pPr>
            <w:r>
              <w:rPr>
                <w:rFonts w:ascii="Arial" w:cs="Arial" w:eastAsia="Arial" w:hAnsi="Arial"/>
                <w:sz w:val="11"/>
                <w:szCs w:val="11"/>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423</w:t>
            </w:r>
          </w:p>
        </w:tc>
        <w:tc>
          <w:tcPr>
            <w:tcW w:w="280" w:type="dxa"/>
            <w:vAlign w:val="bottom"/>
            <w:shd w:val="clear" w:color="auto" w:fill="CCEEFF"/>
          </w:tcPr>
          <w:p>
            <w:pPr>
              <w:spacing w:after="0"/>
              <w:rPr>
                <w:sz w:val="15"/>
                <w:szCs w:val="15"/>
                <w:color w:val="auto"/>
              </w:rPr>
            </w:pPr>
          </w:p>
        </w:tc>
        <w:tc>
          <w:tcPr>
            <w:tcW w:w="480" w:type="dxa"/>
            <w:vAlign w:val="bottom"/>
            <w:shd w:val="clear" w:color="auto" w:fill="CCEEFF"/>
          </w:tcPr>
          <w:p>
            <w:pPr>
              <w:jc w:val="right"/>
              <w:ind w:right="126"/>
              <w:spacing w:after="0"/>
              <w:rPr>
                <w:sz w:val="20"/>
                <w:szCs w:val="20"/>
                <w:color w:val="auto"/>
              </w:rPr>
            </w:pPr>
            <w:r>
              <w:rPr>
                <w:rFonts w:ascii="Arial" w:cs="Arial" w:eastAsia="Arial" w:hAnsi="Arial"/>
                <w:sz w:val="11"/>
                <w:szCs w:val="11"/>
                <w:color w:val="auto"/>
              </w:rPr>
              <w:t>$</w:t>
            </w:r>
          </w:p>
        </w:tc>
        <w:tc>
          <w:tcPr>
            <w:tcW w:w="1100" w:type="dxa"/>
            <w:vAlign w:val="bottom"/>
            <w:shd w:val="clear" w:color="auto" w:fill="CCEEFF"/>
          </w:tcPr>
          <w:p>
            <w:pPr>
              <w:jc w:val="center"/>
              <w:ind w:left="706"/>
              <w:spacing w:after="0"/>
              <w:rPr>
                <w:sz w:val="20"/>
                <w:szCs w:val="20"/>
                <w:color w:val="auto"/>
              </w:rPr>
            </w:pPr>
            <w:r>
              <w:rPr>
                <w:rFonts w:ascii="Arial" w:cs="Arial" w:eastAsia="Arial" w:hAnsi="Arial"/>
                <w:sz w:val="11"/>
                <w:szCs w:val="11"/>
                <w:color w:val="auto"/>
                <w:w w:val="89"/>
              </w:rPr>
              <w:t>31,827</w:t>
            </w:r>
          </w:p>
        </w:tc>
      </w:tr>
      <w:tr>
        <w:trPr>
          <w:trHeight w:val="187"/>
        </w:trPr>
        <w:tc>
          <w:tcPr>
            <w:tcW w:w="3680" w:type="dxa"/>
            <w:vAlign w:val="bottom"/>
            <w:gridSpan w:val="2"/>
          </w:tcPr>
          <w:p>
            <w:pPr>
              <w:spacing w:after="0"/>
              <w:rPr>
                <w:sz w:val="20"/>
                <w:szCs w:val="20"/>
                <w:color w:val="auto"/>
              </w:rPr>
            </w:pPr>
            <w:r>
              <w:rPr>
                <w:rFonts w:ascii="Arial" w:cs="Arial" w:eastAsia="Arial" w:hAnsi="Arial"/>
                <w:sz w:val="11"/>
                <w:szCs w:val="11"/>
                <w:color w:val="auto"/>
              </w:rPr>
              <w:t>Less: Accumulated amortization</w:t>
            </w:r>
          </w:p>
        </w:tc>
        <w:tc>
          <w:tcPr>
            <w:tcW w:w="300" w:type="dxa"/>
            <w:vAlign w:val="bottom"/>
          </w:tcPr>
          <w:p>
            <w:pPr>
              <w:spacing w:after="0"/>
              <w:rPr>
                <w:sz w:val="16"/>
                <w:szCs w:val="16"/>
                <w:color w:val="auto"/>
              </w:rPr>
            </w:pPr>
          </w:p>
        </w:tc>
        <w:tc>
          <w:tcPr>
            <w:tcW w:w="1500" w:type="dxa"/>
            <w:vAlign w:val="bottom"/>
            <w:gridSpan w:val="2"/>
          </w:tcPr>
          <w:p>
            <w:pPr>
              <w:jc w:val="right"/>
              <w:ind w:right="300"/>
              <w:spacing w:after="0"/>
              <w:rPr>
                <w:sz w:val="20"/>
                <w:szCs w:val="20"/>
                <w:color w:val="auto"/>
              </w:rPr>
            </w:pPr>
            <w:r>
              <w:rPr>
                <w:rFonts w:ascii="Arial" w:cs="Arial" w:eastAsia="Arial" w:hAnsi="Arial"/>
                <w:sz w:val="11"/>
                <w:szCs w:val="11"/>
                <w:color w:val="auto"/>
              </w:rPr>
              <w:t>(15,989)</w:t>
            </w:r>
          </w:p>
        </w:tc>
        <w:tc>
          <w:tcPr>
            <w:tcW w:w="340" w:type="dxa"/>
            <w:vAlign w:val="bottom"/>
          </w:tcPr>
          <w:p>
            <w:pPr>
              <w:spacing w:after="0"/>
              <w:rPr>
                <w:sz w:val="16"/>
                <w:szCs w:val="16"/>
                <w:color w:val="auto"/>
              </w:rPr>
            </w:pPr>
          </w:p>
        </w:tc>
        <w:tc>
          <w:tcPr>
            <w:tcW w:w="1440" w:type="dxa"/>
            <w:vAlign w:val="bottom"/>
            <w:gridSpan w:val="2"/>
          </w:tcPr>
          <w:p>
            <w:pPr>
              <w:jc w:val="center"/>
              <w:ind w:left="486"/>
              <w:spacing w:after="0"/>
              <w:rPr>
                <w:sz w:val="20"/>
                <w:szCs w:val="20"/>
                <w:color w:val="auto"/>
              </w:rPr>
            </w:pPr>
            <w:r>
              <w:rPr>
                <w:rFonts w:ascii="Arial" w:cs="Arial" w:eastAsia="Arial" w:hAnsi="Arial"/>
                <w:sz w:val="11"/>
                <w:szCs w:val="11"/>
                <w:color w:val="auto"/>
                <w:w w:val="85"/>
              </w:rPr>
              <w:t>(3,929)</w:t>
            </w:r>
          </w:p>
        </w:tc>
        <w:tc>
          <w:tcPr>
            <w:tcW w:w="800" w:type="dxa"/>
            <w:vAlign w:val="bottom"/>
          </w:tcPr>
          <w:p>
            <w:pPr>
              <w:spacing w:after="0"/>
              <w:rPr>
                <w:sz w:val="16"/>
                <w:szCs w:val="16"/>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1"/>
                <w:szCs w:val="11"/>
                <w:color w:val="auto"/>
              </w:rPr>
              <w:t>(423)</w:t>
            </w:r>
          </w:p>
        </w:tc>
        <w:tc>
          <w:tcPr>
            <w:tcW w:w="480" w:type="dxa"/>
            <w:vAlign w:val="bottom"/>
          </w:tcPr>
          <w:p>
            <w:pPr>
              <w:spacing w:after="0"/>
              <w:rPr>
                <w:sz w:val="16"/>
                <w:szCs w:val="16"/>
                <w:color w:val="auto"/>
              </w:rPr>
            </w:pPr>
          </w:p>
        </w:tc>
        <w:tc>
          <w:tcPr>
            <w:tcW w:w="1100" w:type="dxa"/>
            <w:vAlign w:val="bottom"/>
          </w:tcPr>
          <w:p>
            <w:pPr>
              <w:jc w:val="center"/>
              <w:ind w:left="686"/>
              <w:spacing w:after="0"/>
              <w:rPr>
                <w:sz w:val="20"/>
                <w:szCs w:val="20"/>
                <w:color w:val="auto"/>
              </w:rPr>
            </w:pPr>
            <w:r>
              <w:rPr>
                <w:rFonts w:ascii="Arial" w:cs="Arial" w:eastAsia="Arial" w:hAnsi="Arial"/>
                <w:sz w:val="11"/>
                <w:szCs w:val="11"/>
                <w:color w:val="auto"/>
                <w:w w:val="87"/>
              </w:rPr>
              <w:t>(20,341)</w:t>
            </w:r>
          </w:p>
        </w:tc>
      </w:tr>
      <w:tr>
        <w:trPr>
          <w:trHeight w:val="162"/>
        </w:trPr>
        <w:tc>
          <w:tcPr>
            <w:tcW w:w="36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1"/>
                <w:szCs w:val="11"/>
                <w:color w:val="auto"/>
              </w:rPr>
              <w:t>Net intangible assets other than goodwill</w:t>
            </w:r>
          </w:p>
        </w:tc>
        <w:tc>
          <w:tcPr>
            <w:tcW w:w="30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8,161</w:t>
            </w:r>
          </w:p>
        </w:tc>
        <w:tc>
          <w:tcPr>
            <w:tcW w:w="300" w:type="dxa"/>
            <w:vAlign w:val="bottom"/>
            <w:tcBorders>
              <w:top w:val="single" w:sz="8" w:color="CCEEFF"/>
              <w:bottom w:val="single" w:sz="8" w:color="CCEEFF"/>
            </w:tcBorders>
            <w:shd w:val="clear" w:color="auto" w:fill="CCEEFF"/>
          </w:tcPr>
          <w:p>
            <w:pPr>
              <w:spacing w:after="0"/>
              <w:rPr>
                <w:sz w:val="14"/>
                <w:szCs w:val="14"/>
                <w:color w:val="auto"/>
              </w:rPr>
            </w:pPr>
          </w:p>
        </w:tc>
        <w:tc>
          <w:tcPr>
            <w:tcW w:w="340" w:type="dxa"/>
            <w:vAlign w:val="bottom"/>
            <w:tcBorders>
              <w:top w:val="single" w:sz="8" w:color="auto"/>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w:t>
            </w:r>
          </w:p>
        </w:tc>
        <w:tc>
          <w:tcPr>
            <w:tcW w:w="1140" w:type="dxa"/>
            <w:vAlign w:val="bottom"/>
            <w:tcBorders>
              <w:top w:val="single" w:sz="8" w:color="auto"/>
              <w:bottom w:val="single" w:sz="8" w:color="auto"/>
            </w:tcBorders>
            <w:shd w:val="clear" w:color="auto" w:fill="CCEEFF"/>
          </w:tcPr>
          <w:p>
            <w:pPr>
              <w:jc w:val="center"/>
              <w:ind w:left="806"/>
              <w:spacing w:after="0"/>
              <w:rPr>
                <w:sz w:val="20"/>
                <w:szCs w:val="20"/>
                <w:color w:val="auto"/>
              </w:rPr>
            </w:pPr>
            <w:r>
              <w:rPr>
                <w:rFonts w:ascii="Arial" w:cs="Arial" w:eastAsia="Arial" w:hAnsi="Arial"/>
                <w:sz w:val="11"/>
                <w:szCs w:val="11"/>
                <w:color w:val="auto"/>
                <w:w w:val="87"/>
              </w:rPr>
              <w:t>3,325</w:t>
            </w:r>
          </w:p>
        </w:tc>
        <w:tc>
          <w:tcPr>
            <w:tcW w:w="300" w:type="dxa"/>
            <w:vAlign w:val="bottom"/>
            <w:tcBorders>
              <w:top w:val="single" w:sz="8" w:color="CCEEFF"/>
              <w:bottom w:val="single" w:sz="8" w:color="CCEEFF"/>
            </w:tcBorders>
            <w:shd w:val="clear" w:color="auto" w:fill="CCEEFF"/>
          </w:tcPr>
          <w:p>
            <w:pPr>
              <w:spacing w:after="0"/>
              <w:rPr>
                <w:sz w:val="14"/>
                <w:szCs w:val="14"/>
                <w:color w:val="auto"/>
              </w:rPr>
            </w:pPr>
          </w:p>
        </w:tc>
        <w:tc>
          <w:tcPr>
            <w:tcW w:w="800" w:type="dxa"/>
            <w:vAlign w:val="bottom"/>
            <w:tcBorders>
              <w:top w:val="single" w:sz="8" w:color="auto"/>
              <w:bottom w:val="single" w:sz="8" w:color="auto"/>
            </w:tcBorders>
            <w:shd w:val="clear" w:color="auto" w:fill="CCEEFF"/>
          </w:tcPr>
          <w:p>
            <w:pPr>
              <w:jc w:val="right"/>
              <w:ind w:right="526"/>
              <w:spacing w:after="0"/>
              <w:rPr>
                <w:sz w:val="20"/>
                <w:szCs w:val="20"/>
                <w:color w:val="auto"/>
              </w:rPr>
            </w:pPr>
            <w:r>
              <w:rPr>
                <w:rFonts w:ascii="Arial" w:cs="Arial" w:eastAsia="Arial" w:hAnsi="Arial"/>
                <w:sz w:val="11"/>
                <w:szCs w:val="11"/>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80" w:type="dxa"/>
            <w:vAlign w:val="bottom"/>
            <w:tcBorders>
              <w:top w:val="single" w:sz="8" w:color="CCEEFF"/>
              <w:bottom w:val="single" w:sz="8" w:color="CCEEFF"/>
            </w:tcBorders>
            <w:shd w:val="clear" w:color="auto" w:fill="CCEEFF"/>
          </w:tcPr>
          <w:p>
            <w:pPr>
              <w:spacing w:after="0"/>
              <w:rPr>
                <w:sz w:val="14"/>
                <w:szCs w:val="14"/>
                <w:color w:val="auto"/>
              </w:rPr>
            </w:pPr>
          </w:p>
        </w:tc>
        <w:tc>
          <w:tcPr>
            <w:tcW w:w="480" w:type="dxa"/>
            <w:vAlign w:val="bottom"/>
            <w:tcBorders>
              <w:top w:val="single" w:sz="8" w:color="auto"/>
              <w:bottom w:val="single" w:sz="8" w:color="auto"/>
            </w:tcBorders>
            <w:shd w:val="clear" w:color="auto" w:fill="CCEEFF"/>
          </w:tcPr>
          <w:p>
            <w:pPr>
              <w:jc w:val="right"/>
              <w:ind w:right="126"/>
              <w:spacing w:after="0"/>
              <w:rPr>
                <w:sz w:val="20"/>
                <w:szCs w:val="20"/>
                <w:color w:val="auto"/>
              </w:rPr>
            </w:pPr>
            <w:r>
              <w:rPr>
                <w:rFonts w:ascii="Arial" w:cs="Arial" w:eastAsia="Arial" w:hAnsi="Arial"/>
                <w:sz w:val="11"/>
                <w:szCs w:val="11"/>
                <w:color w:val="auto"/>
              </w:rPr>
              <w:t>$</w:t>
            </w:r>
          </w:p>
        </w:tc>
        <w:tc>
          <w:tcPr>
            <w:tcW w:w="1100" w:type="dxa"/>
            <w:vAlign w:val="bottom"/>
            <w:tcBorders>
              <w:top w:val="single" w:sz="8" w:color="auto"/>
              <w:bottom w:val="single" w:sz="8" w:color="auto"/>
            </w:tcBorders>
            <w:shd w:val="clear" w:color="auto" w:fill="CCEEFF"/>
          </w:tcPr>
          <w:p>
            <w:pPr>
              <w:jc w:val="center"/>
              <w:ind w:left="706"/>
              <w:spacing w:after="0"/>
              <w:rPr>
                <w:sz w:val="20"/>
                <w:szCs w:val="20"/>
                <w:color w:val="auto"/>
              </w:rPr>
            </w:pPr>
            <w:r>
              <w:rPr>
                <w:rFonts w:ascii="Arial" w:cs="Arial" w:eastAsia="Arial" w:hAnsi="Arial"/>
                <w:sz w:val="11"/>
                <w:szCs w:val="11"/>
                <w:color w:val="auto"/>
                <w:w w:val="89"/>
              </w:rPr>
              <w:t>11,486</w:t>
            </w:r>
          </w:p>
        </w:tc>
      </w:tr>
    </w:tbl>
    <w:p>
      <w:pPr>
        <w:spacing w:after="0" w:line="135" w:lineRule="exact"/>
        <w:rPr>
          <w:sz w:val="20"/>
          <w:szCs w:val="20"/>
          <w:color w:val="auto"/>
        </w:rPr>
      </w:pPr>
    </w:p>
    <w:p>
      <w:pPr>
        <w:jc w:val="both"/>
        <w:ind w:right="100"/>
        <w:spacing w:after="0" w:line="263" w:lineRule="auto"/>
        <w:rPr>
          <w:sz w:val="20"/>
          <w:szCs w:val="20"/>
          <w:color w:val="auto"/>
        </w:rPr>
      </w:pPr>
      <w:r>
        <w:rPr>
          <w:rFonts w:ascii="Arial" w:cs="Arial" w:eastAsia="Arial" w:hAnsi="Arial"/>
          <w:sz w:val="12"/>
          <w:szCs w:val="12"/>
          <w:color w:val="auto"/>
        </w:rPr>
        <w:t>We amortize our beneficial leases over the lease period, the longest of which is approximately 24 years; our trade name using an accelerated amortization method over its estimated useful life of 45 years; and our option fee and other intangible assets over 10 years. For the years ended December 31, 2015, 2014, and 2013, our amortization expense was $1.7 million, $2.0 million, and $2.2 million, respectively. As of December 31, 2015, the estimated amortization expense in the five succeeding years and thereafter is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3880" w:type="dxa"/>
            <w:vAlign w:val="bottom"/>
            <w:tcBorders>
              <w:bottom w:val="single" w:sz="8" w:color="auto"/>
            </w:tcBorders>
          </w:tcPr>
          <w:p>
            <w:pPr>
              <w:spacing w:after="0"/>
              <w:rPr>
                <w:sz w:val="20"/>
                <w:szCs w:val="20"/>
                <w:color w:val="auto"/>
              </w:rPr>
            </w:pPr>
            <w:r>
              <w:rPr>
                <w:rFonts w:ascii="Arial" w:cs="Arial" w:eastAsia="Arial" w:hAnsi="Arial"/>
                <w:sz w:val="11"/>
                <w:szCs w:val="11"/>
                <w:color w:val="auto"/>
              </w:rPr>
              <w:t>(Dollars in thousands)</w:t>
            </w:r>
          </w:p>
        </w:tc>
        <w:tc>
          <w:tcPr>
            <w:tcW w:w="146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60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100" w:type="dxa"/>
            <w:vAlign w:val="bottom"/>
            <w:tcBorders>
              <w:bottom w:val="single" w:sz="8" w:color="auto"/>
            </w:tcBorders>
            <w:gridSpan w:val="2"/>
          </w:tcPr>
          <w:p>
            <w:pPr>
              <w:jc w:val="right"/>
              <w:ind w:right="106"/>
              <w:spacing w:after="0"/>
              <w:rPr>
                <w:sz w:val="20"/>
                <w:szCs w:val="20"/>
                <w:color w:val="auto"/>
              </w:rPr>
            </w:pPr>
            <w:r>
              <w:rPr>
                <w:rFonts w:ascii="Arial" w:cs="Arial" w:eastAsia="Arial" w:hAnsi="Arial"/>
                <w:sz w:val="11"/>
                <w:szCs w:val="11"/>
                <w:b w:val="1"/>
                <w:bCs w:val="1"/>
                <w:color w:val="auto"/>
                <w:w w:val="92"/>
              </w:rPr>
              <w:t>Estimated Future Amortization Expense</w:t>
            </w:r>
          </w:p>
        </w:tc>
        <w:tc>
          <w:tcPr>
            <w:tcW w:w="44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r>
      <w:tr>
        <w:trPr>
          <w:trHeight w:val="180"/>
        </w:trPr>
        <w:tc>
          <w:tcPr>
            <w:tcW w:w="3880" w:type="dxa"/>
            <w:vAlign w:val="bottom"/>
            <w:shd w:val="clear" w:color="auto" w:fill="CCEEFF"/>
          </w:tcPr>
          <w:p>
            <w:pPr>
              <w:spacing w:after="0"/>
              <w:rPr>
                <w:sz w:val="20"/>
                <w:szCs w:val="20"/>
                <w:color w:val="auto"/>
              </w:rPr>
            </w:pPr>
            <w:r>
              <w:rPr>
                <w:rFonts w:ascii="Arial" w:cs="Arial" w:eastAsia="Arial" w:hAnsi="Arial"/>
                <w:sz w:val="11"/>
                <w:szCs w:val="11"/>
                <w:color w:val="auto"/>
              </w:rPr>
              <w:t>2016</w:t>
            </w:r>
          </w:p>
        </w:tc>
        <w:tc>
          <w:tcPr>
            <w:tcW w:w="14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820" w:type="dxa"/>
            <w:vAlign w:val="bottom"/>
            <w:gridSpan w:val="4"/>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1,657</w:t>
            </w:r>
          </w:p>
        </w:tc>
        <w:tc>
          <w:tcPr>
            <w:tcW w:w="20" w:type="dxa"/>
            <w:vAlign w:val="bottom"/>
          </w:tcPr>
          <w:p>
            <w:pPr>
              <w:spacing w:after="0"/>
              <w:rPr>
                <w:sz w:val="15"/>
                <w:szCs w:val="15"/>
                <w:color w:val="auto"/>
              </w:rPr>
            </w:pPr>
          </w:p>
        </w:tc>
      </w:tr>
      <w:tr>
        <w:trPr>
          <w:trHeight w:val="189"/>
        </w:trPr>
        <w:tc>
          <w:tcPr>
            <w:tcW w:w="3880" w:type="dxa"/>
            <w:vAlign w:val="bottom"/>
          </w:tcPr>
          <w:p>
            <w:pPr>
              <w:spacing w:after="0"/>
              <w:rPr>
                <w:sz w:val="20"/>
                <w:szCs w:val="20"/>
                <w:color w:val="auto"/>
              </w:rPr>
            </w:pPr>
            <w:r>
              <w:rPr>
                <w:rFonts w:ascii="Arial" w:cs="Arial" w:eastAsia="Arial" w:hAnsi="Arial"/>
                <w:sz w:val="11"/>
                <w:szCs w:val="11"/>
                <w:color w:val="auto"/>
              </w:rPr>
              <w:t>2017</w:t>
            </w:r>
          </w:p>
        </w:tc>
        <w:tc>
          <w:tcPr>
            <w:tcW w:w="14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1,263</w:t>
            </w:r>
          </w:p>
        </w:tc>
        <w:tc>
          <w:tcPr>
            <w:tcW w:w="20" w:type="dxa"/>
            <w:vAlign w:val="bottom"/>
          </w:tcPr>
          <w:p>
            <w:pPr>
              <w:spacing w:after="0"/>
              <w:rPr>
                <w:sz w:val="16"/>
                <w:szCs w:val="16"/>
                <w:color w:val="auto"/>
              </w:rPr>
            </w:pPr>
          </w:p>
        </w:tc>
      </w:tr>
      <w:tr>
        <w:trPr>
          <w:trHeight w:val="189"/>
        </w:trPr>
        <w:tc>
          <w:tcPr>
            <w:tcW w:w="3880" w:type="dxa"/>
            <w:vAlign w:val="bottom"/>
            <w:shd w:val="clear" w:color="auto" w:fill="CCEEFF"/>
          </w:tcPr>
          <w:p>
            <w:pPr>
              <w:spacing w:after="0"/>
              <w:rPr>
                <w:sz w:val="20"/>
                <w:szCs w:val="20"/>
                <w:color w:val="auto"/>
              </w:rPr>
            </w:pPr>
            <w:r>
              <w:rPr>
                <w:rFonts w:ascii="Arial" w:cs="Arial" w:eastAsia="Arial" w:hAnsi="Arial"/>
                <w:sz w:val="11"/>
                <w:szCs w:val="11"/>
                <w:color w:val="auto"/>
              </w:rPr>
              <w:t>2018</w:t>
            </w:r>
          </w:p>
        </w:tc>
        <w:tc>
          <w:tcPr>
            <w:tcW w:w="14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84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1,148</w:t>
            </w:r>
          </w:p>
        </w:tc>
        <w:tc>
          <w:tcPr>
            <w:tcW w:w="20" w:type="dxa"/>
            <w:vAlign w:val="bottom"/>
          </w:tcPr>
          <w:p>
            <w:pPr>
              <w:spacing w:after="0"/>
              <w:rPr>
                <w:sz w:val="16"/>
                <w:szCs w:val="16"/>
                <w:color w:val="auto"/>
              </w:rPr>
            </w:pPr>
          </w:p>
        </w:tc>
      </w:tr>
      <w:tr>
        <w:trPr>
          <w:trHeight w:val="189"/>
        </w:trPr>
        <w:tc>
          <w:tcPr>
            <w:tcW w:w="3880" w:type="dxa"/>
            <w:vAlign w:val="bottom"/>
          </w:tcPr>
          <w:p>
            <w:pPr>
              <w:spacing w:after="0"/>
              <w:rPr>
                <w:sz w:val="20"/>
                <w:szCs w:val="20"/>
                <w:color w:val="auto"/>
              </w:rPr>
            </w:pPr>
            <w:r>
              <w:rPr>
                <w:rFonts w:ascii="Arial" w:cs="Arial" w:eastAsia="Arial" w:hAnsi="Arial"/>
                <w:sz w:val="11"/>
                <w:szCs w:val="11"/>
                <w:color w:val="auto"/>
              </w:rPr>
              <w:t>2019</w:t>
            </w:r>
          </w:p>
        </w:tc>
        <w:tc>
          <w:tcPr>
            <w:tcW w:w="14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815</w:t>
            </w:r>
          </w:p>
        </w:tc>
        <w:tc>
          <w:tcPr>
            <w:tcW w:w="20" w:type="dxa"/>
            <w:vAlign w:val="bottom"/>
          </w:tcPr>
          <w:p>
            <w:pPr>
              <w:spacing w:after="0"/>
              <w:rPr>
                <w:sz w:val="16"/>
                <w:szCs w:val="16"/>
                <w:color w:val="auto"/>
              </w:rPr>
            </w:pPr>
          </w:p>
        </w:tc>
      </w:tr>
      <w:tr>
        <w:trPr>
          <w:trHeight w:val="189"/>
        </w:trPr>
        <w:tc>
          <w:tcPr>
            <w:tcW w:w="3880" w:type="dxa"/>
            <w:vAlign w:val="bottom"/>
            <w:shd w:val="clear" w:color="auto" w:fill="CCEEFF"/>
          </w:tcPr>
          <w:p>
            <w:pPr>
              <w:spacing w:after="0"/>
              <w:rPr>
                <w:sz w:val="20"/>
                <w:szCs w:val="20"/>
                <w:color w:val="auto"/>
              </w:rPr>
            </w:pPr>
            <w:r>
              <w:rPr>
                <w:rFonts w:ascii="Arial" w:cs="Arial" w:eastAsia="Arial" w:hAnsi="Arial"/>
                <w:sz w:val="11"/>
                <w:szCs w:val="11"/>
                <w:color w:val="auto"/>
              </w:rPr>
              <w:t>2020</w:t>
            </w:r>
          </w:p>
        </w:tc>
        <w:tc>
          <w:tcPr>
            <w:tcW w:w="14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84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813</w:t>
            </w:r>
          </w:p>
        </w:tc>
        <w:tc>
          <w:tcPr>
            <w:tcW w:w="20" w:type="dxa"/>
            <w:vAlign w:val="bottom"/>
          </w:tcPr>
          <w:p>
            <w:pPr>
              <w:spacing w:after="0"/>
              <w:rPr>
                <w:sz w:val="16"/>
                <w:szCs w:val="16"/>
                <w:color w:val="auto"/>
              </w:rPr>
            </w:pPr>
          </w:p>
        </w:tc>
      </w:tr>
      <w:tr>
        <w:trPr>
          <w:trHeight w:val="189"/>
        </w:trPr>
        <w:tc>
          <w:tcPr>
            <w:tcW w:w="3880" w:type="dxa"/>
            <w:vAlign w:val="bottom"/>
            <w:tcBorders>
              <w:bottom w:val="single" w:sz="8" w:color="CCEEFF"/>
            </w:tcBorders>
          </w:tcPr>
          <w:p>
            <w:pPr>
              <w:spacing w:after="0"/>
              <w:rPr>
                <w:sz w:val="20"/>
                <w:szCs w:val="20"/>
                <w:color w:val="auto"/>
              </w:rPr>
            </w:pPr>
            <w:r>
              <w:rPr>
                <w:rFonts w:ascii="Arial" w:cs="Arial" w:eastAsia="Arial" w:hAnsi="Arial"/>
                <w:sz w:val="11"/>
                <w:szCs w:val="11"/>
                <w:color w:val="auto"/>
              </w:rPr>
              <w:t>Thereafter</w:t>
            </w:r>
          </w:p>
        </w:tc>
        <w:tc>
          <w:tcPr>
            <w:tcW w:w="1460" w:type="dxa"/>
            <w:vAlign w:val="bottom"/>
            <w:tcBorders>
              <w:bottom w:val="single" w:sz="8" w:color="CCEEFF"/>
            </w:tcBorders>
          </w:tcPr>
          <w:p>
            <w:pPr>
              <w:spacing w:after="0"/>
              <w:rPr>
                <w:sz w:val="16"/>
                <w:szCs w:val="16"/>
                <w:color w:val="auto"/>
              </w:rPr>
            </w:pPr>
          </w:p>
        </w:tc>
        <w:tc>
          <w:tcPr>
            <w:tcW w:w="360" w:type="dxa"/>
            <w:vAlign w:val="bottom"/>
            <w:tcBorders>
              <w:bottom w:val="single" w:sz="8" w:color="CCEEFF"/>
            </w:tcBorders>
          </w:tcPr>
          <w:p>
            <w:pPr>
              <w:spacing w:after="0"/>
              <w:rPr>
                <w:sz w:val="16"/>
                <w:szCs w:val="16"/>
                <w:color w:val="auto"/>
              </w:rPr>
            </w:pPr>
          </w:p>
        </w:tc>
        <w:tc>
          <w:tcPr>
            <w:tcW w:w="560" w:type="dxa"/>
            <w:vAlign w:val="bottom"/>
            <w:tcBorders>
              <w:bottom w:val="single" w:sz="8" w:color="CCEEFF"/>
            </w:tcBorders>
          </w:tcPr>
          <w:p>
            <w:pPr>
              <w:spacing w:after="0"/>
              <w:rPr>
                <w:sz w:val="16"/>
                <w:szCs w:val="16"/>
                <w:color w:val="auto"/>
              </w:rPr>
            </w:pPr>
          </w:p>
        </w:tc>
        <w:tc>
          <w:tcPr>
            <w:tcW w:w="680" w:type="dxa"/>
            <w:vAlign w:val="bottom"/>
            <w:tcBorders>
              <w:bottom w:val="single" w:sz="8" w:color="CCEEFF"/>
            </w:tcBorders>
          </w:tcPr>
          <w:p>
            <w:pPr>
              <w:spacing w:after="0"/>
              <w:rPr>
                <w:sz w:val="16"/>
                <w:szCs w:val="16"/>
                <w:color w:val="auto"/>
              </w:rPr>
            </w:pPr>
          </w:p>
        </w:tc>
        <w:tc>
          <w:tcPr>
            <w:tcW w:w="6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4,193</w:t>
            </w:r>
          </w:p>
        </w:tc>
        <w:tc>
          <w:tcPr>
            <w:tcW w:w="20" w:type="dxa"/>
            <w:vAlign w:val="bottom"/>
          </w:tcPr>
          <w:p>
            <w:pPr>
              <w:spacing w:after="0"/>
              <w:rPr>
                <w:sz w:val="16"/>
                <w:szCs w:val="16"/>
                <w:color w:val="auto"/>
              </w:rPr>
            </w:pPr>
          </w:p>
        </w:tc>
      </w:tr>
      <w:tr>
        <w:trPr>
          <w:trHeight w:val="180"/>
        </w:trPr>
        <w:tc>
          <w:tcPr>
            <w:tcW w:w="3880" w:type="dxa"/>
            <w:vAlign w:val="bottom"/>
            <w:shd w:val="clear" w:color="auto" w:fill="CCEEFF"/>
          </w:tcPr>
          <w:p>
            <w:pPr>
              <w:spacing w:after="0"/>
              <w:rPr>
                <w:sz w:val="20"/>
                <w:szCs w:val="20"/>
                <w:color w:val="auto"/>
              </w:rPr>
            </w:pPr>
            <w:r>
              <w:rPr>
                <w:rFonts w:ascii="Arial" w:cs="Arial" w:eastAsia="Arial" w:hAnsi="Arial"/>
                <w:sz w:val="11"/>
                <w:szCs w:val="11"/>
                <w:color w:val="auto"/>
              </w:rPr>
              <w:t>Total future amortization expense</w:t>
            </w:r>
          </w:p>
        </w:tc>
        <w:tc>
          <w:tcPr>
            <w:tcW w:w="14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820" w:type="dxa"/>
            <w:vAlign w:val="bottom"/>
            <w:gridSpan w:val="4"/>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9,889</w:t>
            </w:r>
          </w:p>
        </w:tc>
        <w:tc>
          <w:tcPr>
            <w:tcW w:w="20" w:type="dxa"/>
            <w:vAlign w:val="bottom"/>
          </w:tcPr>
          <w:p>
            <w:pPr>
              <w:spacing w:after="0"/>
              <w:rPr>
                <w:sz w:val="15"/>
                <w:szCs w:val="15"/>
                <w:color w:val="auto"/>
              </w:rPr>
            </w:pPr>
          </w:p>
        </w:tc>
      </w:tr>
      <w:tr>
        <w:trPr>
          <w:trHeight w:val="401"/>
        </w:trPr>
        <w:tc>
          <w:tcPr>
            <w:tcW w:w="3880" w:type="dxa"/>
            <w:vAlign w:val="bottom"/>
            <w:tcBorders>
              <w:top w:val="single" w:sz="8" w:color="CCEEFF"/>
            </w:tcBorders>
          </w:tcPr>
          <w:p>
            <w:pPr>
              <w:spacing w:after="0"/>
              <w:rPr>
                <w:sz w:val="20"/>
                <w:szCs w:val="20"/>
                <w:color w:val="auto"/>
              </w:rPr>
            </w:pPr>
            <w:r>
              <w:rPr>
                <w:rFonts w:ascii="Arial" w:cs="Arial" w:eastAsia="Arial" w:hAnsi="Arial"/>
                <w:sz w:val="12"/>
                <w:szCs w:val="12"/>
                <w:b w:val="1"/>
                <w:bCs w:val="1"/>
                <w:color w:val="auto"/>
              </w:rPr>
              <w:t>NOTE 8 – Prepaid and Other Assets</w:t>
            </w:r>
          </w:p>
        </w:tc>
        <w:tc>
          <w:tcPr>
            <w:tcW w:w="1460" w:type="dxa"/>
            <w:vAlign w:val="bottom"/>
            <w:tcBorders>
              <w:top w:val="single" w:sz="8" w:color="CCEEFF"/>
            </w:tcBorders>
          </w:tcPr>
          <w:p>
            <w:pPr>
              <w:spacing w:after="0"/>
              <w:rPr>
                <w:sz w:val="24"/>
                <w:szCs w:val="24"/>
                <w:color w:val="auto"/>
              </w:rPr>
            </w:pPr>
          </w:p>
        </w:tc>
        <w:tc>
          <w:tcPr>
            <w:tcW w:w="360" w:type="dxa"/>
            <w:vAlign w:val="bottom"/>
            <w:tcBorders>
              <w:top w:val="single" w:sz="8" w:color="CCEEFF"/>
            </w:tcBorders>
          </w:tcPr>
          <w:p>
            <w:pPr>
              <w:spacing w:after="0"/>
              <w:rPr>
                <w:sz w:val="24"/>
                <w:szCs w:val="24"/>
                <w:color w:val="auto"/>
              </w:rPr>
            </w:pPr>
          </w:p>
        </w:tc>
        <w:tc>
          <w:tcPr>
            <w:tcW w:w="560" w:type="dxa"/>
            <w:vAlign w:val="bottom"/>
            <w:tcBorders>
              <w:top w:val="single" w:sz="8" w:color="CCEEFF"/>
            </w:tcBorders>
          </w:tcPr>
          <w:p>
            <w:pPr>
              <w:spacing w:after="0"/>
              <w:rPr>
                <w:sz w:val="24"/>
                <w:szCs w:val="24"/>
                <w:color w:val="auto"/>
              </w:rPr>
            </w:pPr>
          </w:p>
        </w:tc>
        <w:tc>
          <w:tcPr>
            <w:tcW w:w="680" w:type="dxa"/>
            <w:vAlign w:val="bottom"/>
            <w:tcBorders>
              <w:top w:val="single" w:sz="8" w:color="CCEEFF"/>
            </w:tcBorders>
          </w:tcPr>
          <w:p>
            <w:pPr>
              <w:spacing w:after="0"/>
              <w:rPr>
                <w:sz w:val="24"/>
                <w:szCs w:val="24"/>
                <w:color w:val="auto"/>
              </w:rPr>
            </w:pPr>
          </w:p>
        </w:tc>
        <w:tc>
          <w:tcPr>
            <w:tcW w:w="600" w:type="dxa"/>
            <w:vAlign w:val="bottom"/>
            <w:tcBorders>
              <w:top w:val="single" w:sz="8" w:color="CCEEFF"/>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84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70"/>
        </w:trPr>
        <w:tc>
          <w:tcPr>
            <w:tcW w:w="3880" w:type="dxa"/>
            <w:vAlign w:val="bottom"/>
          </w:tcPr>
          <w:p>
            <w:pPr>
              <w:spacing w:after="0"/>
              <w:rPr>
                <w:sz w:val="20"/>
                <w:szCs w:val="20"/>
                <w:color w:val="auto"/>
              </w:rPr>
            </w:pPr>
            <w:r>
              <w:rPr>
                <w:rFonts w:ascii="Arial" w:cs="Arial" w:eastAsia="Arial" w:hAnsi="Arial"/>
                <w:sz w:val="12"/>
                <w:szCs w:val="12"/>
                <w:color w:val="auto"/>
              </w:rPr>
              <w:t>Prepaid and other assets are summarized as follows:</w:t>
            </w:r>
          </w:p>
        </w:tc>
        <w:tc>
          <w:tcPr>
            <w:tcW w:w="14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8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342"/>
        </w:trPr>
        <w:tc>
          <w:tcPr>
            <w:tcW w:w="3880" w:type="dxa"/>
            <w:vAlign w:val="bottom"/>
          </w:tcPr>
          <w:p>
            <w:pPr>
              <w:spacing w:after="0"/>
              <w:rPr>
                <w:sz w:val="20"/>
                <w:szCs w:val="20"/>
                <w:color w:val="auto"/>
              </w:rPr>
            </w:pPr>
            <w:r>
              <w:rPr>
                <w:rFonts w:ascii="Arial" w:cs="Arial" w:eastAsia="Arial" w:hAnsi="Arial"/>
                <w:sz w:val="12"/>
                <w:szCs w:val="12"/>
                <w:color w:val="auto"/>
              </w:rPr>
              <w:t>(Dollars in thousands)</w:t>
            </w:r>
          </w:p>
        </w:tc>
        <w:tc>
          <w:tcPr>
            <w:tcW w:w="1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20" w:type="dxa"/>
            <w:vAlign w:val="bottom"/>
            <w:gridSpan w:val="4"/>
          </w:tcPr>
          <w:p>
            <w:pPr>
              <w:jc w:val="right"/>
              <w:ind w:right="800"/>
              <w:spacing w:after="0"/>
              <w:rPr>
                <w:sz w:val="20"/>
                <w:szCs w:val="20"/>
                <w:color w:val="auto"/>
              </w:rPr>
            </w:pPr>
            <w:r>
              <w:rPr>
                <w:rFonts w:ascii="Arial" w:cs="Arial" w:eastAsia="Arial" w:hAnsi="Arial"/>
                <w:sz w:val="11"/>
                <w:szCs w:val="11"/>
                <w:b w:val="1"/>
                <w:bCs w:val="1"/>
                <w:color w:val="auto"/>
              </w:rPr>
              <w:t>December 31, 2015</w:t>
            </w:r>
          </w:p>
        </w:tc>
        <w:tc>
          <w:tcPr>
            <w:tcW w:w="260" w:type="dxa"/>
            <w:vAlign w:val="bottom"/>
          </w:tcPr>
          <w:p>
            <w:pPr>
              <w:spacing w:after="0"/>
              <w:rPr>
                <w:sz w:val="24"/>
                <w:szCs w:val="24"/>
                <w:color w:val="auto"/>
              </w:rPr>
            </w:pPr>
          </w:p>
        </w:tc>
        <w:tc>
          <w:tcPr>
            <w:tcW w:w="1840" w:type="dxa"/>
            <w:vAlign w:val="bottom"/>
          </w:tcPr>
          <w:p>
            <w:pPr>
              <w:jc w:val="right"/>
              <w:ind w:right="206"/>
              <w:spacing w:after="0"/>
              <w:rPr>
                <w:sz w:val="20"/>
                <w:szCs w:val="20"/>
                <w:color w:val="auto"/>
              </w:rPr>
            </w:pPr>
            <w:r>
              <w:rPr>
                <w:rFonts w:ascii="Arial" w:cs="Arial" w:eastAsia="Arial" w:hAnsi="Arial"/>
                <w:sz w:val="11"/>
                <w:szCs w:val="11"/>
                <w:b w:val="1"/>
                <w:bCs w:val="1"/>
                <w:color w:val="auto"/>
              </w:rPr>
              <w:t>December 31, 2014</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78"/>
        </w:trPr>
        <w:tc>
          <w:tcPr>
            <w:tcW w:w="38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1"/>
                <w:szCs w:val="11"/>
                <w:b w:val="1"/>
                <w:bCs w:val="1"/>
                <w:color w:val="auto"/>
              </w:rPr>
              <w:t>Prepaid and other current assets</w:t>
            </w:r>
          </w:p>
        </w:tc>
        <w:tc>
          <w:tcPr>
            <w:tcW w:w="146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184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169"/>
        </w:trPr>
        <w:tc>
          <w:tcPr>
            <w:tcW w:w="3880" w:type="dxa"/>
            <w:vAlign w:val="bottom"/>
          </w:tcPr>
          <w:p>
            <w:pPr>
              <w:ind w:left="80"/>
              <w:spacing w:after="0"/>
              <w:rPr>
                <w:sz w:val="20"/>
                <w:szCs w:val="20"/>
                <w:color w:val="auto"/>
              </w:rPr>
            </w:pPr>
            <w:r>
              <w:rPr>
                <w:rFonts w:ascii="Arial" w:cs="Arial" w:eastAsia="Arial" w:hAnsi="Arial"/>
                <w:sz w:val="11"/>
                <w:szCs w:val="11"/>
                <w:color w:val="auto"/>
              </w:rPr>
              <w:t>Prepaid expenses</w:t>
            </w:r>
          </w:p>
        </w:tc>
        <w:tc>
          <w:tcPr>
            <w:tcW w:w="2380" w:type="dxa"/>
            <w:vAlign w:val="bottom"/>
            <w:gridSpan w:val="3"/>
          </w:tcPr>
          <w:p>
            <w:pPr>
              <w:jc w:val="right"/>
              <w:ind w:right="106"/>
              <w:spacing w:after="0"/>
              <w:rPr>
                <w:sz w:val="20"/>
                <w:szCs w:val="20"/>
                <w:color w:val="auto"/>
              </w:rPr>
            </w:pPr>
            <w:r>
              <w:rPr>
                <w:rFonts w:ascii="Arial" w:cs="Arial" w:eastAsia="Arial" w:hAnsi="Arial"/>
                <w:sz w:val="11"/>
                <w:szCs w:val="11"/>
                <w:color w:val="auto"/>
              </w:rPr>
              <w:t>$</w:t>
            </w:r>
          </w:p>
        </w:tc>
        <w:tc>
          <w:tcPr>
            <w:tcW w:w="1720" w:type="dxa"/>
            <w:vAlign w:val="bottom"/>
            <w:gridSpan w:val="3"/>
          </w:tcPr>
          <w:p>
            <w:pPr>
              <w:jc w:val="right"/>
              <w:ind w:right="20"/>
              <w:spacing w:after="0"/>
              <w:rPr>
                <w:sz w:val="20"/>
                <w:szCs w:val="20"/>
                <w:color w:val="auto"/>
              </w:rPr>
            </w:pPr>
            <w:r>
              <w:rPr>
                <w:rFonts w:ascii="Arial" w:cs="Arial" w:eastAsia="Arial" w:hAnsi="Arial"/>
                <w:sz w:val="11"/>
                <w:szCs w:val="11"/>
                <w:color w:val="auto"/>
              </w:rPr>
              <w:t>879</w:t>
            </w:r>
          </w:p>
        </w:tc>
        <w:tc>
          <w:tcPr>
            <w:tcW w:w="100" w:type="dxa"/>
            <w:vAlign w:val="bottom"/>
          </w:tcPr>
          <w:p>
            <w:pPr>
              <w:spacing w:after="0"/>
              <w:rPr>
                <w:sz w:val="14"/>
                <w:szCs w:val="14"/>
                <w:color w:val="auto"/>
              </w:rPr>
            </w:pPr>
          </w:p>
        </w:tc>
        <w:tc>
          <w:tcPr>
            <w:tcW w:w="2100" w:type="dxa"/>
            <w:vAlign w:val="bottom"/>
            <w:gridSpan w:val="2"/>
          </w:tcPr>
          <w:p>
            <w:pPr>
              <w:jc w:val="right"/>
              <w:ind w:right="1386"/>
              <w:spacing w:after="0"/>
              <w:rPr>
                <w:sz w:val="20"/>
                <w:szCs w:val="20"/>
                <w:color w:val="auto"/>
              </w:rPr>
            </w:pPr>
            <w:r>
              <w:rPr>
                <w:rFonts w:ascii="Arial" w:cs="Arial" w:eastAsia="Arial" w:hAnsi="Arial"/>
                <w:sz w:val="11"/>
                <w:szCs w:val="11"/>
                <w:color w:val="auto"/>
              </w:rPr>
              <w:t>$</w:t>
            </w:r>
          </w:p>
        </w:tc>
        <w:tc>
          <w:tcPr>
            <w:tcW w:w="440" w:type="dxa"/>
            <w:vAlign w:val="bottom"/>
          </w:tcPr>
          <w:p>
            <w:pPr>
              <w:jc w:val="right"/>
              <w:spacing w:after="0"/>
              <w:rPr>
                <w:sz w:val="20"/>
                <w:szCs w:val="20"/>
                <w:color w:val="auto"/>
              </w:rPr>
            </w:pPr>
            <w:r>
              <w:rPr>
                <w:rFonts w:ascii="Arial" w:cs="Arial" w:eastAsia="Arial" w:hAnsi="Arial"/>
                <w:sz w:val="11"/>
                <w:szCs w:val="11"/>
                <w:color w:val="auto"/>
              </w:rPr>
              <w:t>1,166</w:t>
            </w:r>
          </w:p>
        </w:tc>
        <w:tc>
          <w:tcPr>
            <w:tcW w:w="20" w:type="dxa"/>
            <w:vAlign w:val="bottom"/>
          </w:tcPr>
          <w:p>
            <w:pPr>
              <w:spacing w:after="0"/>
              <w:rPr>
                <w:sz w:val="14"/>
                <w:szCs w:val="14"/>
                <w:color w:val="auto"/>
              </w:rPr>
            </w:pPr>
          </w:p>
        </w:tc>
      </w:tr>
      <w:tr>
        <w:trPr>
          <w:trHeight w:val="173"/>
        </w:trPr>
        <w:tc>
          <w:tcPr>
            <w:tcW w:w="3880" w:type="dxa"/>
            <w:vAlign w:val="bottom"/>
            <w:shd w:val="clear" w:color="auto" w:fill="CCEEFF"/>
          </w:tcPr>
          <w:p>
            <w:pPr>
              <w:ind w:left="80"/>
              <w:spacing w:after="0"/>
              <w:rPr>
                <w:sz w:val="20"/>
                <w:szCs w:val="20"/>
                <w:color w:val="auto"/>
              </w:rPr>
            </w:pPr>
            <w:r>
              <w:rPr>
                <w:rFonts w:ascii="Arial" w:cs="Arial" w:eastAsia="Arial" w:hAnsi="Arial"/>
                <w:sz w:val="11"/>
                <w:szCs w:val="11"/>
                <w:color w:val="auto"/>
              </w:rPr>
              <w:t>Prepaid taxes</w:t>
            </w:r>
          </w:p>
        </w:tc>
        <w:tc>
          <w:tcPr>
            <w:tcW w:w="14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720" w:type="dxa"/>
            <w:vAlign w:val="bottom"/>
            <w:gridSpan w:val="3"/>
            <w:shd w:val="clear" w:color="auto" w:fill="CCEEFF"/>
          </w:tcPr>
          <w:p>
            <w:pPr>
              <w:jc w:val="right"/>
              <w:ind w:right="20"/>
              <w:spacing w:after="0"/>
              <w:rPr>
                <w:sz w:val="20"/>
                <w:szCs w:val="20"/>
                <w:color w:val="auto"/>
              </w:rPr>
            </w:pPr>
            <w:r>
              <w:rPr>
                <w:rFonts w:ascii="Arial" w:cs="Arial" w:eastAsia="Arial" w:hAnsi="Arial"/>
                <w:sz w:val="11"/>
                <w:szCs w:val="11"/>
                <w:color w:val="auto"/>
              </w:rPr>
              <w:t>1,023</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855</w:t>
            </w:r>
          </w:p>
        </w:tc>
        <w:tc>
          <w:tcPr>
            <w:tcW w:w="20" w:type="dxa"/>
            <w:vAlign w:val="bottom"/>
          </w:tcPr>
          <w:p>
            <w:pPr>
              <w:spacing w:after="0"/>
              <w:rPr>
                <w:sz w:val="15"/>
                <w:szCs w:val="15"/>
                <w:color w:val="auto"/>
              </w:rPr>
            </w:pPr>
          </w:p>
        </w:tc>
      </w:tr>
      <w:tr>
        <w:trPr>
          <w:trHeight w:val="169"/>
        </w:trPr>
        <w:tc>
          <w:tcPr>
            <w:tcW w:w="3880" w:type="dxa"/>
            <w:vAlign w:val="bottom"/>
          </w:tcPr>
          <w:p>
            <w:pPr>
              <w:ind w:left="80"/>
              <w:spacing w:after="0"/>
              <w:rPr>
                <w:sz w:val="20"/>
                <w:szCs w:val="20"/>
                <w:color w:val="auto"/>
              </w:rPr>
            </w:pPr>
            <w:r>
              <w:rPr>
                <w:rFonts w:ascii="Arial" w:cs="Arial" w:eastAsia="Arial" w:hAnsi="Arial"/>
                <w:sz w:val="11"/>
                <w:szCs w:val="11"/>
                <w:color w:val="auto"/>
              </w:rPr>
              <w:t>Income taxes receivable</w:t>
            </w:r>
          </w:p>
        </w:tc>
        <w:tc>
          <w:tcPr>
            <w:tcW w:w="1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720" w:type="dxa"/>
            <w:vAlign w:val="bottom"/>
            <w:gridSpan w:val="3"/>
          </w:tcPr>
          <w:p>
            <w:pPr>
              <w:jc w:val="right"/>
              <w:ind w:right="20"/>
              <w:spacing w:after="0"/>
              <w:rPr>
                <w:sz w:val="20"/>
                <w:szCs w:val="20"/>
                <w:color w:val="auto"/>
              </w:rPr>
            </w:pPr>
            <w:r>
              <w:rPr>
                <w:rFonts w:ascii="Arial" w:cs="Arial" w:eastAsia="Arial" w:hAnsi="Arial"/>
                <w:sz w:val="11"/>
                <w:szCs w:val="11"/>
                <w:color w:val="auto"/>
              </w:rPr>
              <w:t>2,137</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4"/>
                <w:szCs w:val="14"/>
                <w:color w:val="auto"/>
              </w:rPr>
            </w:pPr>
          </w:p>
        </w:tc>
      </w:tr>
      <w:tr>
        <w:trPr>
          <w:trHeight w:val="173"/>
        </w:trPr>
        <w:tc>
          <w:tcPr>
            <w:tcW w:w="3880" w:type="dxa"/>
            <w:vAlign w:val="bottom"/>
            <w:shd w:val="clear" w:color="auto" w:fill="CCEEFF"/>
          </w:tcPr>
          <w:p>
            <w:pPr>
              <w:ind w:left="80"/>
              <w:spacing w:after="0"/>
              <w:rPr>
                <w:sz w:val="20"/>
                <w:szCs w:val="20"/>
                <w:color w:val="auto"/>
              </w:rPr>
            </w:pPr>
            <w:r>
              <w:rPr>
                <w:rFonts w:ascii="Arial" w:cs="Arial" w:eastAsia="Arial" w:hAnsi="Arial"/>
                <w:sz w:val="11"/>
                <w:szCs w:val="11"/>
                <w:color w:val="auto"/>
              </w:rPr>
              <w:t>Prepaid rent</w:t>
            </w:r>
          </w:p>
        </w:tc>
        <w:tc>
          <w:tcPr>
            <w:tcW w:w="14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720" w:type="dxa"/>
            <w:vAlign w:val="bottom"/>
            <w:gridSpan w:val="3"/>
            <w:shd w:val="clear" w:color="auto" w:fill="CCEEFF"/>
          </w:tcPr>
          <w:p>
            <w:pPr>
              <w:jc w:val="right"/>
              <w:ind w:right="20"/>
              <w:spacing w:after="0"/>
              <w:rPr>
                <w:sz w:val="20"/>
                <w:szCs w:val="20"/>
                <w:color w:val="auto"/>
              </w:rPr>
            </w:pPr>
            <w:r>
              <w:rPr>
                <w:rFonts w:ascii="Arial" w:cs="Arial" w:eastAsia="Arial" w:hAnsi="Arial"/>
                <w:sz w:val="11"/>
                <w:szCs w:val="11"/>
                <w:color w:val="auto"/>
              </w:rPr>
              <w:t>1,021</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1,033</w:t>
            </w:r>
          </w:p>
        </w:tc>
        <w:tc>
          <w:tcPr>
            <w:tcW w:w="20" w:type="dxa"/>
            <w:vAlign w:val="bottom"/>
          </w:tcPr>
          <w:p>
            <w:pPr>
              <w:spacing w:after="0"/>
              <w:rPr>
                <w:sz w:val="15"/>
                <w:szCs w:val="15"/>
                <w:color w:val="auto"/>
              </w:rPr>
            </w:pPr>
          </w:p>
        </w:tc>
      </w:tr>
      <w:tr>
        <w:trPr>
          <w:trHeight w:val="169"/>
        </w:trPr>
        <w:tc>
          <w:tcPr>
            <w:tcW w:w="3880" w:type="dxa"/>
            <w:vAlign w:val="bottom"/>
          </w:tcPr>
          <w:p>
            <w:pPr>
              <w:ind w:left="80"/>
              <w:spacing w:after="0"/>
              <w:rPr>
                <w:sz w:val="20"/>
                <w:szCs w:val="20"/>
                <w:color w:val="auto"/>
              </w:rPr>
            </w:pPr>
            <w:r>
              <w:rPr>
                <w:rFonts w:ascii="Arial" w:cs="Arial" w:eastAsia="Arial" w:hAnsi="Arial"/>
                <w:sz w:val="11"/>
                <w:szCs w:val="11"/>
                <w:color w:val="auto"/>
              </w:rPr>
              <w:t>Deposits</w:t>
            </w:r>
          </w:p>
        </w:tc>
        <w:tc>
          <w:tcPr>
            <w:tcW w:w="1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720" w:type="dxa"/>
            <w:vAlign w:val="bottom"/>
            <w:gridSpan w:val="3"/>
          </w:tcPr>
          <w:p>
            <w:pPr>
              <w:jc w:val="right"/>
              <w:ind w:right="20"/>
              <w:spacing w:after="0"/>
              <w:rPr>
                <w:sz w:val="20"/>
                <w:szCs w:val="20"/>
                <w:color w:val="auto"/>
              </w:rPr>
            </w:pPr>
            <w:r>
              <w:rPr>
                <w:rFonts w:ascii="Arial" w:cs="Arial" w:eastAsia="Arial" w:hAnsi="Arial"/>
                <w:sz w:val="11"/>
                <w:szCs w:val="11"/>
                <w:color w:val="auto"/>
              </w:rPr>
              <w:t>369</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369</w:t>
            </w:r>
          </w:p>
        </w:tc>
        <w:tc>
          <w:tcPr>
            <w:tcW w:w="20" w:type="dxa"/>
            <w:vAlign w:val="bottom"/>
          </w:tcPr>
          <w:p>
            <w:pPr>
              <w:spacing w:after="0"/>
              <w:rPr>
                <w:sz w:val="14"/>
                <w:szCs w:val="14"/>
                <w:color w:val="auto"/>
              </w:rPr>
            </w:pPr>
          </w:p>
        </w:tc>
      </w:tr>
      <w:tr>
        <w:trPr>
          <w:trHeight w:val="180"/>
        </w:trPr>
        <w:tc>
          <w:tcPr>
            <w:tcW w:w="3880" w:type="dxa"/>
            <w:vAlign w:val="bottom"/>
            <w:shd w:val="clear" w:color="auto" w:fill="CCEEFF"/>
          </w:tcPr>
          <w:p>
            <w:pPr>
              <w:ind w:left="80"/>
              <w:spacing w:after="0"/>
              <w:rPr>
                <w:sz w:val="20"/>
                <w:szCs w:val="20"/>
                <w:color w:val="auto"/>
              </w:rPr>
            </w:pPr>
            <w:r>
              <w:rPr>
                <w:rFonts w:ascii="Arial" w:cs="Arial" w:eastAsia="Arial" w:hAnsi="Arial"/>
                <w:sz w:val="11"/>
                <w:szCs w:val="11"/>
                <w:color w:val="auto"/>
              </w:rPr>
              <w:t>Other</w:t>
            </w:r>
          </w:p>
        </w:tc>
        <w:tc>
          <w:tcPr>
            <w:tcW w:w="14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820" w:type="dxa"/>
            <w:vAlign w:val="bottom"/>
            <w:gridSpan w:val="4"/>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26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w:t>
            </w:r>
          </w:p>
        </w:tc>
        <w:tc>
          <w:tcPr>
            <w:tcW w:w="20" w:type="dxa"/>
            <w:vAlign w:val="bottom"/>
          </w:tcPr>
          <w:p>
            <w:pPr>
              <w:spacing w:after="0"/>
              <w:rPr>
                <w:sz w:val="15"/>
                <w:szCs w:val="15"/>
                <w:color w:val="auto"/>
              </w:rPr>
            </w:pPr>
          </w:p>
        </w:tc>
      </w:tr>
      <w:tr>
        <w:trPr>
          <w:trHeight w:val="144"/>
        </w:trPr>
        <w:tc>
          <w:tcPr>
            <w:tcW w:w="3880" w:type="dxa"/>
            <w:vAlign w:val="bottom"/>
            <w:tcBorders>
              <w:bottom w:val="single" w:sz="8" w:color="CCEEFF"/>
            </w:tcBorders>
          </w:tcPr>
          <w:p>
            <w:pPr>
              <w:ind w:left="140"/>
              <w:spacing w:after="0"/>
              <w:rPr>
                <w:sz w:val="20"/>
                <w:szCs w:val="20"/>
                <w:color w:val="auto"/>
              </w:rPr>
            </w:pPr>
            <w:r>
              <w:rPr>
                <w:rFonts w:ascii="Arial" w:cs="Arial" w:eastAsia="Arial" w:hAnsi="Arial"/>
                <w:sz w:val="11"/>
                <w:szCs w:val="11"/>
                <w:color w:val="auto"/>
              </w:rPr>
              <w:t>Total prepaid and other current assets</w:t>
            </w:r>
          </w:p>
        </w:tc>
        <w:tc>
          <w:tcPr>
            <w:tcW w:w="1820" w:type="dxa"/>
            <w:vAlign w:val="bottom"/>
            <w:tcBorders>
              <w:bottom w:val="single" w:sz="8" w:color="CCEEFF"/>
            </w:tcBorders>
            <w:gridSpan w:val="2"/>
          </w:tcPr>
          <w:p>
            <w:pPr>
              <w:spacing w:after="0"/>
              <w:rPr>
                <w:sz w:val="12"/>
                <w:szCs w:val="12"/>
                <w:color w:val="auto"/>
              </w:rPr>
            </w:pPr>
          </w:p>
        </w:tc>
        <w:tc>
          <w:tcPr>
            <w:tcW w:w="560" w:type="dxa"/>
            <w:vAlign w:val="bottom"/>
            <w:tcBorders>
              <w:top w:val="single" w:sz="8" w:color="auto"/>
              <w:bottom w:val="single" w:sz="8" w:color="auto"/>
            </w:tcBorders>
          </w:tcPr>
          <w:p>
            <w:pPr>
              <w:jc w:val="right"/>
              <w:ind w:right="106"/>
              <w:spacing w:after="0"/>
              <w:rPr>
                <w:sz w:val="20"/>
                <w:szCs w:val="20"/>
                <w:color w:val="auto"/>
              </w:rPr>
            </w:pPr>
            <w:r>
              <w:rPr>
                <w:rFonts w:ascii="Arial" w:cs="Arial" w:eastAsia="Arial" w:hAnsi="Arial"/>
                <w:sz w:val="11"/>
                <w:szCs w:val="11"/>
                <w:color w:val="auto"/>
              </w:rPr>
              <w:t>$</w:t>
            </w:r>
          </w:p>
        </w:tc>
        <w:tc>
          <w:tcPr>
            <w:tcW w:w="1720" w:type="dxa"/>
            <w:vAlign w:val="bottom"/>
            <w:tcBorders>
              <w:top w:val="single" w:sz="8" w:color="auto"/>
              <w:bottom w:val="single" w:sz="8" w:color="auto"/>
            </w:tcBorders>
            <w:gridSpan w:val="3"/>
          </w:tcPr>
          <w:p>
            <w:pPr>
              <w:jc w:val="right"/>
              <w:ind w:right="20"/>
              <w:spacing w:after="0"/>
              <w:rPr>
                <w:sz w:val="20"/>
                <w:szCs w:val="20"/>
                <w:color w:val="auto"/>
              </w:rPr>
            </w:pPr>
            <w:r>
              <w:rPr>
                <w:rFonts w:ascii="Arial" w:cs="Arial" w:eastAsia="Arial" w:hAnsi="Arial"/>
                <w:sz w:val="11"/>
                <w:szCs w:val="11"/>
                <w:color w:val="auto"/>
              </w:rPr>
              <w:t>5,429</w:t>
            </w:r>
          </w:p>
        </w:tc>
        <w:tc>
          <w:tcPr>
            <w:tcW w:w="10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1840" w:type="dxa"/>
            <w:vAlign w:val="bottom"/>
            <w:tcBorders>
              <w:top w:val="single" w:sz="8" w:color="auto"/>
              <w:bottom w:val="single" w:sz="8" w:color="auto"/>
            </w:tcBorders>
          </w:tcPr>
          <w:p>
            <w:pPr>
              <w:jc w:val="right"/>
              <w:ind w:right="1386"/>
              <w:spacing w:after="0"/>
              <w:rPr>
                <w:sz w:val="20"/>
                <w:szCs w:val="20"/>
                <w:color w:val="auto"/>
              </w:rPr>
            </w:pPr>
            <w:r>
              <w:rPr>
                <w:rFonts w:ascii="Arial" w:cs="Arial" w:eastAsia="Arial" w:hAnsi="Arial"/>
                <w:sz w:val="11"/>
                <w:szCs w:val="11"/>
                <w:color w:val="auto"/>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3,426</w:t>
            </w:r>
          </w:p>
        </w:tc>
        <w:tc>
          <w:tcPr>
            <w:tcW w:w="20" w:type="dxa"/>
            <w:vAlign w:val="bottom"/>
          </w:tcPr>
          <w:p>
            <w:pPr>
              <w:spacing w:after="0"/>
              <w:rPr>
                <w:sz w:val="12"/>
                <w:szCs w:val="12"/>
                <w:color w:val="auto"/>
              </w:rPr>
            </w:pPr>
          </w:p>
        </w:tc>
      </w:tr>
      <w:tr>
        <w:trPr>
          <w:trHeight w:val="79"/>
        </w:trPr>
        <w:tc>
          <w:tcPr>
            <w:tcW w:w="3880" w:type="dxa"/>
            <w:vAlign w:val="bottom"/>
            <w:shd w:val="clear" w:color="auto" w:fill="CCEEFF"/>
          </w:tcPr>
          <w:p>
            <w:pPr>
              <w:spacing w:after="0"/>
              <w:rPr>
                <w:sz w:val="6"/>
                <w:szCs w:val="6"/>
                <w:color w:val="auto"/>
              </w:rPr>
            </w:pPr>
          </w:p>
        </w:tc>
        <w:tc>
          <w:tcPr>
            <w:tcW w:w="146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680" w:type="dxa"/>
            <w:vAlign w:val="bottom"/>
            <w:shd w:val="clear" w:color="auto" w:fill="CCEEFF"/>
          </w:tcPr>
          <w:p>
            <w:pPr>
              <w:spacing w:after="0"/>
              <w:rPr>
                <w:sz w:val="6"/>
                <w:szCs w:val="6"/>
                <w:color w:val="auto"/>
              </w:rPr>
            </w:pPr>
          </w:p>
        </w:tc>
        <w:tc>
          <w:tcPr>
            <w:tcW w:w="600" w:type="dxa"/>
            <w:vAlign w:val="bottom"/>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840" w:type="dxa"/>
            <w:vAlign w:val="bottom"/>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20" w:type="dxa"/>
            <w:vAlign w:val="bottom"/>
          </w:tcPr>
          <w:p>
            <w:pPr>
              <w:spacing w:after="0"/>
              <w:rPr>
                <w:sz w:val="6"/>
                <w:szCs w:val="6"/>
                <w:color w:val="auto"/>
              </w:rPr>
            </w:pPr>
          </w:p>
        </w:tc>
      </w:tr>
      <w:tr>
        <w:trPr>
          <w:trHeight w:val="178"/>
        </w:trPr>
        <w:tc>
          <w:tcPr>
            <w:tcW w:w="3880" w:type="dxa"/>
            <w:vAlign w:val="bottom"/>
            <w:tcBorders>
              <w:bottom w:val="single" w:sz="8" w:color="CCEEFF"/>
            </w:tcBorders>
          </w:tcPr>
          <w:p>
            <w:pPr>
              <w:spacing w:after="0"/>
              <w:rPr>
                <w:sz w:val="20"/>
                <w:szCs w:val="20"/>
                <w:color w:val="auto"/>
              </w:rPr>
            </w:pPr>
            <w:r>
              <w:rPr>
                <w:rFonts w:ascii="Arial" w:cs="Arial" w:eastAsia="Arial" w:hAnsi="Arial"/>
                <w:sz w:val="11"/>
                <w:szCs w:val="11"/>
                <w:b w:val="1"/>
                <w:bCs w:val="1"/>
                <w:color w:val="auto"/>
              </w:rPr>
              <w:t>Other non-current assets</w:t>
            </w:r>
          </w:p>
        </w:tc>
        <w:tc>
          <w:tcPr>
            <w:tcW w:w="1460" w:type="dxa"/>
            <w:vAlign w:val="bottom"/>
            <w:tcBorders>
              <w:bottom w:val="single" w:sz="8" w:color="CCEEFF"/>
            </w:tcBorders>
          </w:tcPr>
          <w:p>
            <w:pPr>
              <w:spacing w:after="0"/>
              <w:rPr>
                <w:sz w:val="15"/>
                <w:szCs w:val="15"/>
                <w:color w:val="auto"/>
              </w:rPr>
            </w:pPr>
          </w:p>
        </w:tc>
        <w:tc>
          <w:tcPr>
            <w:tcW w:w="36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c>
          <w:tcPr>
            <w:tcW w:w="184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153"/>
        </w:trPr>
        <w:tc>
          <w:tcPr>
            <w:tcW w:w="3880" w:type="dxa"/>
            <w:vAlign w:val="bottom"/>
            <w:shd w:val="clear" w:color="auto" w:fill="CCEEFF"/>
          </w:tcPr>
          <w:p>
            <w:pPr>
              <w:ind w:left="80"/>
              <w:spacing w:after="0"/>
              <w:rPr>
                <w:sz w:val="20"/>
                <w:szCs w:val="20"/>
                <w:color w:val="auto"/>
              </w:rPr>
            </w:pPr>
            <w:r>
              <w:rPr>
                <w:rFonts w:ascii="Arial" w:cs="Arial" w:eastAsia="Arial" w:hAnsi="Arial"/>
                <w:sz w:val="11"/>
                <w:szCs w:val="11"/>
                <w:color w:val="auto"/>
              </w:rPr>
              <w:t>Other non-cinema and non-rental real estate assets</w:t>
            </w:r>
          </w:p>
        </w:tc>
        <w:tc>
          <w:tcPr>
            <w:tcW w:w="2380" w:type="dxa"/>
            <w:vAlign w:val="bottom"/>
            <w:gridSpan w:val="3"/>
            <w:shd w:val="clear" w:color="auto" w:fill="CCEEFF"/>
          </w:tcPr>
          <w:p>
            <w:pPr>
              <w:jc w:val="right"/>
              <w:ind w:right="106"/>
              <w:spacing w:after="0"/>
              <w:rPr>
                <w:sz w:val="20"/>
                <w:szCs w:val="20"/>
                <w:color w:val="auto"/>
              </w:rPr>
            </w:pPr>
            <w:r>
              <w:rPr>
                <w:rFonts w:ascii="Arial" w:cs="Arial" w:eastAsia="Arial" w:hAnsi="Arial"/>
                <w:sz w:val="11"/>
                <w:szCs w:val="11"/>
                <w:color w:val="auto"/>
              </w:rPr>
              <w:t>$</w:t>
            </w:r>
          </w:p>
        </w:tc>
        <w:tc>
          <w:tcPr>
            <w:tcW w:w="1720" w:type="dxa"/>
            <w:vAlign w:val="bottom"/>
            <w:gridSpan w:val="3"/>
            <w:shd w:val="clear" w:color="auto" w:fill="CCEEFF"/>
          </w:tcPr>
          <w:p>
            <w:pPr>
              <w:jc w:val="right"/>
              <w:ind w:right="20"/>
              <w:spacing w:after="0"/>
              <w:rPr>
                <w:sz w:val="20"/>
                <w:szCs w:val="20"/>
                <w:color w:val="auto"/>
              </w:rPr>
            </w:pPr>
            <w:r>
              <w:rPr>
                <w:rFonts w:ascii="Arial" w:cs="Arial" w:eastAsia="Arial" w:hAnsi="Arial"/>
                <w:sz w:val="11"/>
                <w:szCs w:val="11"/>
                <w:color w:val="auto"/>
              </w:rPr>
              <w:t>1,134</w:t>
            </w:r>
          </w:p>
        </w:tc>
        <w:tc>
          <w:tcPr>
            <w:tcW w:w="100" w:type="dxa"/>
            <w:vAlign w:val="bottom"/>
            <w:shd w:val="clear" w:color="auto" w:fill="CCEEFF"/>
          </w:tcPr>
          <w:p>
            <w:pPr>
              <w:spacing w:after="0"/>
              <w:rPr>
                <w:sz w:val="13"/>
                <w:szCs w:val="13"/>
                <w:color w:val="auto"/>
              </w:rPr>
            </w:pPr>
          </w:p>
        </w:tc>
        <w:tc>
          <w:tcPr>
            <w:tcW w:w="2100" w:type="dxa"/>
            <w:vAlign w:val="bottom"/>
            <w:gridSpan w:val="2"/>
            <w:shd w:val="clear" w:color="auto" w:fill="CCEEFF"/>
          </w:tcPr>
          <w:p>
            <w:pPr>
              <w:jc w:val="right"/>
              <w:ind w:right="1386"/>
              <w:spacing w:after="0"/>
              <w:rPr>
                <w:sz w:val="20"/>
                <w:szCs w:val="20"/>
                <w:color w:val="auto"/>
              </w:rPr>
            </w:pPr>
            <w:r>
              <w:rPr>
                <w:rFonts w:ascii="Arial" w:cs="Arial" w:eastAsia="Arial" w:hAnsi="Arial"/>
                <w:sz w:val="11"/>
                <w:szCs w:val="11"/>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1,134</w:t>
            </w:r>
          </w:p>
        </w:tc>
        <w:tc>
          <w:tcPr>
            <w:tcW w:w="20" w:type="dxa"/>
            <w:vAlign w:val="bottom"/>
          </w:tcPr>
          <w:p>
            <w:pPr>
              <w:spacing w:after="0"/>
              <w:rPr>
                <w:sz w:val="13"/>
                <w:szCs w:val="13"/>
                <w:color w:val="auto"/>
              </w:rPr>
            </w:pPr>
          </w:p>
        </w:tc>
      </w:tr>
      <w:tr>
        <w:trPr>
          <w:trHeight w:val="169"/>
        </w:trPr>
        <w:tc>
          <w:tcPr>
            <w:tcW w:w="3880" w:type="dxa"/>
            <w:vAlign w:val="bottom"/>
          </w:tcPr>
          <w:p>
            <w:pPr>
              <w:ind w:left="80"/>
              <w:spacing w:after="0"/>
              <w:rPr>
                <w:sz w:val="20"/>
                <w:szCs w:val="20"/>
                <w:color w:val="auto"/>
              </w:rPr>
            </w:pPr>
            <w:r>
              <w:rPr>
                <w:rFonts w:ascii="Arial" w:cs="Arial" w:eastAsia="Arial" w:hAnsi="Arial"/>
                <w:sz w:val="11"/>
                <w:szCs w:val="11"/>
                <w:color w:val="auto"/>
              </w:rPr>
              <w:t>Deferred financing costs, net</w:t>
            </w:r>
          </w:p>
        </w:tc>
        <w:tc>
          <w:tcPr>
            <w:tcW w:w="1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720" w:type="dxa"/>
            <w:vAlign w:val="bottom"/>
            <w:gridSpan w:val="3"/>
          </w:tcPr>
          <w:p>
            <w:pPr>
              <w:jc w:val="right"/>
              <w:ind w:right="20"/>
              <w:spacing w:after="0"/>
              <w:rPr>
                <w:sz w:val="20"/>
                <w:szCs w:val="20"/>
                <w:color w:val="auto"/>
              </w:rPr>
            </w:pPr>
            <w:r>
              <w:rPr>
                <w:rFonts w:ascii="Arial" w:cs="Arial" w:eastAsia="Arial" w:hAnsi="Arial"/>
                <w:sz w:val="11"/>
                <w:szCs w:val="11"/>
                <w:color w:val="auto"/>
              </w:rPr>
              <w:t>1,828</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2,515</w:t>
            </w:r>
          </w:p>
        </w:tc>
        <w:tc>
          <w:tcPr>
            <w:tcW w:w="20" w:type="dxa"/>
            <w:vAlign w:val="bottom"/>
          </w:tcPr>
          <w:p>
            <w:pPr>
              <w:spacing w:after="0"/>
              <w:rPr>
                <w:sz w:val="14"/>
                <w:szCs w:val="14"/>
                <w:color w:val="auto"/>
              </w:rPr>
            </w:pPr>
          </w:p>
        </w:tc>
      </w:tr>
      <w:tr>
        <w:trPr>
          <w:trHeight w:val="173"/>
        </w:trPr>
        <w:tc>
          <w:tcPr>
            <w:tcW w:w="3880" w:type="dxa"/>
            <w:vAlign w:val="bottom"/>
            <w:shd w:val="clear" w:color="auto" w:fill="CCEEFF"/>
          </w:tcPr>
          <w:p>
            <w:pPr>
              <w:ind w:left="80"/>
              <w:spacing w:after="0"/>
              <w:rPr>
                <w:sz w:val="20"/>
                <w:szCs w:val="20"/>
                <w:color w:val="auto"/>
              </w:rPr>
            </w:pPr>
            <w:r>
              <w:rPr>
                <w:rFonts w:ascii="Arial" w:cs="Arial" w:eastAsia="Arial" w:hAnsi="Arial"/>
                <w:sz w:val="11"/>
                <w:szCs w:val="11"/>
                <w:color w:val="auto"/>
              </w:rPr>
              <w:t>Interest rate cap at fair value</w:t>
            </w:r>
          </w:p>
        </w:tc>
        <w:tc>
          <w:tcPr>
            <w:tcW w:w="14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720" w:type="dxa"/>
            <w:vAlign w:val="bottom"/>
            <w:gridSpan w:val="3"/>
            <w:shd w:val="clear" w:color="auto" w:fill="CCEEFF"/>
          </w:tcPr>
          <w:p>
            <w:pPr>
              <w:jc w:val="right"/>
              <w:ind w:right="20"/>
              <w:spacing w:after="0"/>
              <w:rPr>
                <w:sz w:val="20"/>
                <w:szCs w:val="20"/>
                <w:color w:val="auto"/>
              </w:rPr>
            </w:pPr>
            <w:r>
              <w:rPr>
                <w:rFonts w:ascii="Arial" w:cs="Arial" w:eastAsia="Arial" w:hAnsi="Arial"/>
                <w:sz w:val="11"/>
                <w:szCs w:val="11"/>
                <w:color w:val="auto"/>
              </w:rPr>
              <w:t>1</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5"/>
                <w:szCs w:val="15"/>
                <w:color w:val="auto"/>
              </w:rPr>
            </w:pPr>
          </w:p>
        </w:tc>
      </w:tr>
      <w:tr>
        <w:trPr>
          <w:trHeight w:val="169"/>
        </w:trPr>
        <w:tc>
          <w:tcPr>
            <w:tcW w:w="3880" w:type="dxa"/>
            <w:vAlign w:val="bottom"/>
          </w:tcPr>
          <w:p>
            <w:pPr>
              <w:ind w:left="80"/>
              <w:spacing w:after="0"/>
              <w:rPr>
                <w:sz w:val="20"/>
                <w:szCs w:val="20"/>
                <w:color w:val="auto"/>
              </w:rPr>
            </w:pPr>
            <w:r>
              <w:rPr>
                <w:rFonts w:ascii="Arial" w:cs="Arial" w:eastAsia="Arial" w:hAnsi="Arial"/>
                <w:sz w:val="11"/>
                <w:szCs w:val="11"/>
                <w:color w:val="auto"/>
              </w:rPr>
              <w:t>Straight-line rent asset</w:t>
            </w:r>
          </w:p>
        </w:tc>
        <w:tc>
          <w:tcPr>
            <w:tcW w:w="1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720" w:type="dxa"/>
            <w:vAlign w:val="bottom"/>
            <w:gridSpan w:val="3"/>
          </w:tcPr>
          <w:p>
            <w:pPr>
              <w:jc w:val="right"/>
              <w:ind w:right="20"/>
              <w:spacing w:after="0"/>
              <w:rPr>
                <w:sz w:val="20"/>
                <w:szCs w:val="20"/>
                <w:color w:val="auto"/>
              </w:rPr>
            </w:pPr>
            <w:r>
              <w:rPr>
                <w:rFonts w:ascii="Arial" w:cs="Arial" w:eastAsia="Arial" w:hAnsi="Arial"/>
                <w:sz w:val="11"/>
                <w:szCs w:val="11"/>
                <w:color w:val="auto"/>
              </w:rPr>
              <w:t>2,417</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2,547</w:t>
            </w:r>
          </w:p>
        </w:tc>
        <w:tc>
          <w:tcPr>
            <w:tcW w:w="20" w:type="dxa"/>
            <w:vAlign w:val="bottom"/>
          </w:tcPr>
          <w:p>
            <w:pPr>
              <w:spacing w:after="0"/>
              <w:rPr>
                <w:sz w:val="14"/>
                <w:szCs w:val="14"/>
                <w:color w:val="auto"/>
              </w:rPr>
            </w:pPr>
          </w:p>
        </w:tc>
      </w:tr>
      <w:tr>
        <w:trPr>
          <w:trHeight w:val="173"/>
        </w:trPr>
        <w:tc>
          <w:tcPr>
            <w:tcW w:w="3880" w:type="dxa"/>
            <w:vAlign w:val="bottom"/>
            <w:shd w:val="clear" w:color="auto" w:fill="CCEEFF"/>
          </w:tcPr>
          <w:p>
            <w:pPr>
              <w:ind w:left="80"/>
              <w:spacing w:after="0"/>
              <w:rPr>
                <w:sz w:val="20"/>
                <w:szCs w:val="20"/>
                <w:color w:val="auto"/>
              </w:rPr>
            </w:pPr>
            <w:r>
              <w:rPr>
                <w:rFonts w:ascii="Arial" w:cs="Arial" w:eastAsia="Arial" w:hAnsi="Arial"/>
                <w:sz w:val="11"/>
                <w:szCs w:val="11"/>
                <w:color w:val="auto"/>
              </w:rPr>
              <w:t>Long-term deposits</w:t>
            </w:r>
          </w:p>
        </w:tc>
        <w:tc>
          <w:tcPr>
            <w:tcW w:w="14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720" w:type="dxa"/>
            <w:vAlign w:val="bottom"/>
            <w:gridSpan w:val="3"/>
            <w:shd w:val="clear" w:color="auto" w:fill="CCEEFF"/>
          </w:tcPr>
          <w:p>
            <w:pPr>
              <w:jc w:val="right"/>
              <w:ind w:right="20"/>
              <w:spacing w:after="0"/>
              <w:rPr>
                <w:sz w:val="20"/>
                <w:szCs w:val="20"/>
                <w:color w:val="auto"/>
              </w:rPr>
            </w:pPr>
            <w:r>
              <w:rPr>
                <w:rFonts w:ascii="Arial" w:cs="Arial" w:eastAsia="Arial" w:hAnsi="Arial"/>
                <w:sz w:val="11"/>
                <w:szCs w:val="11"/>
                <w:color w:val="auto"/>
              </w:rPr>
              <w:t>63</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97</w:t>
            </w:r>
          </w:p>
        </w:tc>
        <w:tc>
          <w:tcPr>
            <w:tcW w:w="20" w:type="dxa"/>
            <w:vAlign w:val="bottom"/>
          </w:tcPr>
          <w:p>
            <w:pPr>
              <w:spacing w:after="0"/>
              <w:rPr>
                <w:sz w:val="15"/>
                <w:szCs w:val="15"/>
                <w:color w:val="auto"/>
              </w:rPr>
            </w:pPr>
          </w:p>
        </w:tc>
      </w:tr>
      <w:tr>
        <w:trPr>
          <w:trHeight w:val="169"/>
        </w:trPr>
        <w:tc>
          <w:tcPr>
            <w:tcW w:w="3880" w:type="dxa"/>
            <w:vAlign w:val="bottom"/>
          </w:tcPr>
          <w:p>
            <w:pPr>
              <w:ind w:left="80"/>
              <w:spacing w:after="0"/>
              <w:rPr>
                <w:sz w:val="20"/>
                <w:szCs w:val="20"/>
                <w:color w:val="auto"/>
              </w:rPr>
            </w:pPr>
            <w:r>
              <w:rPr>
                <w:rFonts w:ascii="Arial" w:cs="Arial" w:eastAsia="Arial" w:hAnsi="Arial"/>
                <w:sz w:val="11"/>
                <w:szCs w:val="11"/>
                <w:color w:val="auto"/>
              </w:rPr>
              <w:t>Other</w:t>
            </w:r>
          </w:p>
        </w:tc>
        <w:tc>
          <w:tcPr>
            <w:tcW w:w="1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20" w:type="dxa"/>
            <w:vAlign w:val="bottom"/>
            <w:gridSpan w:val="4"/>
          </w:tcPr>
          <w:p>
            <w:pPr>
              <w:jc w:val="right"/>
              <w:ind w:right="100"/>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20</w:t>
            </w:r>
          </w:p>
        </w:tc>
        <w:tc>
          <w:tcPr>
            <w:tcW w:w="20" w:type="dxa"/>
            <w:vAlign w:val="bottom"/>
          </w:tcPr>
          <w:p>
            <w:pPr>
              <w:spacing w:after="0"/>
              <w:rPr>
                <w:sz w:val="14"/>
                <w:szCs w:val="14"/>
                <w:color w:val="auto"/>
              </w:rPr>
            </w:pPr>
          </w:p>
        </w:tc>
      </w:tr>
      <w:tr>
        <w:trPr>
          <w:trHeight w:val="164"/>
        </w:trPr>
        <w:tc>
          <w:tcPr>
            <w:tcW w:w="388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1"/>
                <w:szCs w:val="11"/>
                <w:color w:val="auto"/>
              </w:rPr>
              <w:t>Total non-current assets</w:t>
            </w:r>
          </w:p>
        </w:tc>
        <w:tc>
          <w:tcPr>
            <w:tcW w:w="1820" w:type="dxa"/>
            <w:vAlign w:val="bottom"/>
            <w:tcBorders>
              <w:top w:val="single" w:sz="8" w:color="CCEEFF"/>
              <w:bottom w:val="single" w:sz="8" w:color="CCEEFF"/>
            </w:tcBorders>
            <w:gridSpan w:val="2"/>
            <w:shd w:val="clear" w:color="auto" w:fill="CCEEFF"/>
          </w:tcPr>
          <w:p>
            <w:pPr>
              <w:spacing w:after="0"/>
              <w:rPr>
                <w:sz w:val="14"/>
                <w:szCs w:val="14"/>
                <w:color w:val="auto"/>
              </w:rPr>
            </w:pPr>
          </w:p>
        </w:tc>
        <w:tc>
          <w:tcPr>
            <w:tcW w:w="560" w:type="dxa"/>
            <w:vAlign w:val="bottom"/>
            <w:tcBorders>
              <w:top w:val="single" w:sz="8" w:color="auto"/>
              <w:bottom w:val="single" w:sz="8" w:color="auto"/>
            </w:tcBorders>
            <w:shd w:val="clear" w:color="auto" w:fill="CCEEFF"/>
          </w:tcPr>
          <w:p>
            <w:pPr>
              <w:jc w:val="right"/>
              <w:ind w:right="106"/>
              <w:spacing w:after="0"/>
              <w:rPr>
                <w:sz w:val="20"/>
                <w:szCs w:val="20"/>
                <w:color w:val="auto"/>
              </w:rPr>
            </w:pPr>
            <w:r>
              <w:rPr>
                <w:rFonts w:ascii="Arial" w:cs="Arial" w:eastAsia="Arial" w:hAnsi="Arial"/>
                <w:sz w:val="11"/>
                <w:szCs w:val="11"/>
                <w:color w:val="auto"/>
              </w:rPr>
              <w:t>$</w:t>
            </w:r>
          </w:p>
        </w:tc>
        <w:tc>
          <w:tcPr>
            <w:tcW w:w="1720" w:type="dxa"/>
            <w:vAlign w:val="bottom"/>
            <w:tcBorders>
              <w:top w:val="single" w:sz="8" w:color="auto"/>
              <w:bottom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1"/>
                <w:szCs w:val="11"/>
                <w:color w:val="auto"/>
              </w:rPr>
              <w:t>5,443</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260" w:type="dxa"/>
            <w:vAlign w:val="bottom"/>
            <w:tcBorders>
              <w:top w:val="single" w:sz="8" w:color="CCEEFF"/>
              <w:bottom w:val="single" w:sz="8" w:color="CCEEFF"/>
            </w:tcBorders>
            <w:shd w:val="clear" w:color="auto" w:fill="CCEEFF"/>
          </w:tcPr>
          <w:p>
            <w:pPr>
              <w:spacing w:after="0"/>
              <w:rPr>
                <w:sz w:val="14"/>
                <w:szCs w:val="14"/>
                <w:color w:val="auto"/>
              </w:rPr>
            </w:pPr>
          </w:p>
        </w:tc>
        <w:tc>
          <w:tcPr>
            <w:tcW w:w="1840" w:type="dxa"/>
            <w:vAlign w:val="bottom"/>
            <w:tcBorders>
              <w:top w:val="single" w:sz="8" w:color="auto"/>
              <w:bottom w:val="single" w:sz="8" w:color="auto"/>
            </w:tcBorders>
            <w:shd w:val="clear" w:color="auto" w:fill="CCEEFF"/>
          </w:tcPr>
          <w:p>
            <w:pPr>
              <w:jc w:val="right"/>
              <w:ind w:right="1386"/>
              <w:spacing w:after="0"/>
              <w:rPr>
                <w:sz w:val="20"/>
                <w:szCs w:val="20"/>
                <w:color w:val="auto"/>
              </w:rPr>
            </w:pPr>
            <w:r>
              <w:rPr>
                <w:rFonts w:ascii="Arial" w:cs="Arial" w:eastAsia="Arial" w:hAnsi="Arial"/>
                <w:sz w:val="11"/>
                <w:szCs w:val="11"/>
                <w:color w:val="auto"/>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6,313</w:t>
            </w:r>
          </w:p>
        </w:tc>
        <w:tc>
          <w:tcPr>
            <w:tcW w:w="20" w:type="dxa"/>
            <w:vAlign w:val="bottom"/>
          </w:tcPr>
          <w:p>
            <w:pPr>
              <w:spacing w:after="0"/>
              <w:rPr>
                <w:sz w:val="14"/>
                <w:szCs w:val="14"/>
                <w:color w:val="auto"/>
              </w:rPr>
            </w:pPr>
          </w:p>
        </w:tc>
      </w:tr>
      <w:tr>
        <w:trPr>
          <w:trHeight w:val="699"/>
        </w:trPr>
        <w:tc>
          <w:tcPr>
            <w:tcW w:w="3880" w:type="dxa"/>
            <w:vAlign w:val="bottom"/>
          </w:tcPr>
          <w:p>
            <w:pPr>
              <w:spacing w:after="0"/>
              <w:rPr>
                <w:sz w:val="24"/>
                <w:szCs w:val="24"/>
                <w:color w:val="auto"/>
              </w:rPr>
            </w:pPr>
          </w:p>
        </w:tc>
        <w:tc>
          <w:tcPr>
            <w:tcW w:w="1820" w:type="dxa"/>
            <w:vAlign w:val="bottom"/>
            <w:gridSpan w:val="2"/>
          </w:tcPr>
          <w:p>
            <w:pPr>
              <w:jc w:val="right"/>
              <w:ind w:right="320"/>
              <w:spacing w:after="0"/>
              <w:rPr>
                <w:sz w:val="20"/>
                <w:szCs w:val="20"/>
                <w:color w:val="auto"/>
              </w:rPr>
            </w:pPr>
            <w:r>
              <w:rPr>
                <w:rFonts w:ascii="Arial" w:cs="Arial" w:eastAsia="Arial" w:hAnsi="Arial"/>
                <w:sz w:val="12"/>
                <w:szCs w:val="12"/>
                <w:color w:val="auto"/>
              </w:rPr>
              <w:t>74</w:t>
            </w:r>
          </w:p>
        </w:tc>
        <w:tc>
          <w:tcPr>
            <w:tcW w:w="5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6"/>
        </w:trPr>
        <w:tc>
          <w:tcPr>
            <w:tcW w:w="3880" w:type="dxa"/>
            <w:vAlign w:val="bottom"/>
            <w:tcBorders>
              <w:bottom w:val="single" w:sz="8" w:color="9A9A9A"/>
            </w:tcBorders>
          </w:tcPr>
          <w:p>
            <w:pPr>
              <w:spacing w:after="0"/>
              <w:rPr>
                <w:sz w:val="9"/>
                <w:szCs w:val="9"/>
                <w:color w:val="auto"/>
              </w:rPr>
            </w:pPr>
          </w:p>
        </w:tc>
        <w:tc>
          <w:tcPr>
            <w:tcW w:w="146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84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6739255</wp:posOffset>
            </wp:positionH>
            <wp:positionV relativeFrom="paragraph">
              <wp:posOffset>-29210</wp:posOffset>
            </wp:positionV>
            <wp:extent cx="3111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111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111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1115" cy="42545"/>
                    </a:xfrm>
                    <a:prstGeom prst="rect">
                      <a:avLst/>
                    </a:prstGeom>
                    <a:noFill/>
                  </pic:spPr>
                </pic:pic>
              </a:graphicData>
            </a:graphic>
          </wp:anchor>
        </w:drawing>
      </w:r>
    </w:p>
    <w:p>
      <w:pPr>
        <w:sectPr>
          <w:pgSz w:w="11900" w:h="16838" w:orient="portrait"/>
          <w:cols w:equalWidth="0" w:num="1">
            <w:col w:w="10640"/>
          </w:cols>
          <w:pgMar w:left="640" w:top="337" w:right="619" w:bottom="1440" w:gutter="0" w:footer="0" w:header="0"/>
        </w:sectPr>
      </w:pPr>
    </w:p>
    <w:bookmarkStart w:id="74" w:name="page75"/>
    <w:bookmarkEnd w:id="74"/>
    <w:p>
      <w:pPr>
        <w:spacing w:after="0"/>
        <w:rPr>
          <w:sz w:val="20"/>
          <w:szCs w:val="20"/>
          <w:color w:val="auto"/>
        </w:rPr>
      </w:pPr>
      <w:r>
        <w:rPr>
          <w:rFonts w:ascii="Arial" w:cs="Arial" w:eastAsia="Arial" w:hAnsi="Arial"/>
          <w:sz w:val="12"/>
          <w:szCs w:val="12"/>
          <w:b w:val="1"/>
          <w:bCs w:val="1"/>
          <w:color w:val="auto"/>
        </w:rPr>
        <w:t>NOTE 9 - Income Taxes</w:t>
      </w:r>
    </w:p>
    <w:p>
      <w:pPr>
        <w:spacing w:after="0" w:line="136" w:lineRule="exact"/>
        <w:rPr>
          <w:sz w:val="20"/>
          <w:szCs w:val="20"/>
          <w:color w:val="auto"/>
        </w:rPr>
      </w:pPr>
    </w:p>
    <w:p>
      <w:pPr>
        <w:spacing w:after="0"/>
        <w:rPr>
          <w:sz w:val="20"/>
          <w:szCs w:val="20"/>
          <w:color w:val="auto"/>
        </w:rPr>
      </w:pPr>
      <w:r>
        <w:rPr>
          <w:rFonts w:ascii="Arial" w:cs="Arial" w:eastAsia="Arial" w:hAnsi="Arial"/>
          <w:sz w:val="12"/>
          <w:szCs w:val="12"/>
          <w:color w:val="auto"/>
        </w:rPr>
        <w:t>Income before income tax expense includes the following:</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6320" w:type="dxa"/>
            <w:vAlign w:val="bottom"/>
            <w:gridSpan w:val="2"/>
          </w:tcPr>
          <w:p>
            <w:pPr>
              <w:spacing w:after="0"/>
              <w:rPr>
                <w:sz w:val="20"/>
                <w:szCs w:val="20"/>
                <w:color w:val="auto"/>
              </w:rPr>
            </w:pPr>
            <w:r>
              <w:rPr>
                <w:rFonts w:ascii="Arial" w:cs="Arial" w:eastAsia="Arial" w:hAnsi="Arial"/>
                <w:sz w:val="11"/>
                <w:szCs w:val="11"/>
                <w:color w:val="auto"/>
              </w:rPr>
              <w:t>(Dollars in thousands)</w:t>
            </w:r>
          </w:p>
        </w:tc>
        <w:tc>
          <w:tcPr>
            <w:tcW w:w="400" w:type="dxa"/>
            <w:vAlign w:val="bottom"/>
          </w:tcPr>
          <w:p>
            <w:pPr>
              <w:spacing w:after="0"/>
              <w:rPr>
                <w:sz w:val="12"/>
                <w:szCs w:val="12"/>
                <w:color w:val="auto"/>
              </w:rPr>
            </w:pPr>
          </w:p>
        </w:tc>
        <w:tc>
          <w:tcPr>
            <w:tcW w:w="840" w:type="dxa"/>
            <w:vAlign w:val="bottom"/>
          </w:tcPr>
          <w:p>
            <w:pPr>
              <w:jc w:val="right"/>
              <w:ind w:right="466"/>
              <w:spacing w:after="0"/>
              <w:rPr>
                <w:sz w:val="20"/>
                <w:szCs w:val="20"/>
                <w:color w:val="auto"/>
              </w:rPr>
            </w:pPr>
            <w:r>
              <w:rPr>
                <w:rFonts w:ascii="Arial" w:cs="Arial" w:eastAsia="Arial" w:hAnsi="Arial"/>
                <w:sz w:val="11"/>
                <w:szCs w:val="11"/>
                <w:b w:val="1"/>
                <w:bCs w:val="1"/>
                <w:color w:val="auto"/>
              </w:rPr>
              <w:t>2015</w:t>
            </w:r>
          </w:p>
        </w:tc>
        <w:tc>
          <w:tcPr>
            <w:tcW w:w="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tcPr>
          <w:p>
            <w:pPr>
              <w:jc w:val="right"/>
              <w:ind w:right="446"/>
              <w:spacing w:after="0"/>
              <w:rPr>
                <w:sz w:val="20"/>
                <w:szCs w:val="20"/>
                <w:color w:val="auto"/>
              </w:rPr>
            </w:pPr>
            <w:r>
              <w:rPr>
                <w:rFonts w:ascii="Arial" w:cs="Arial" w:eastAsia="Arial" w:hAnsi="Arial"/>
                <w:sz w:val="11"/>
                <w:szCs w:val="11"/>
                <w:b w:val="1"/>
                <w:bCs w:val="1"/>
                <w:color w:val="auto"/>
              </w:rPr>
              <w:t>2014</w:t>
            </w:r>
          </w:p>
        </w:tc>
        <w:tc>
          <w:tcPr>
            <w:tcW w:w="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40" w:type="dxa"/>
            <w:vAlign w:val="bottom"/>
          </w:tcPr>
          <w:p>
            <w:pPr>
              <w:jc w:val="right"/>
              <w:ind w:right="466"/>
              <w:spacing w:after="0"/>
              <w:rPr>
                <w:sz w:val="20"/>
                <w:szCs w:val="20"/>
                <w:color w:val="auto"/>
              </w:rPr>
            </w:pPr>
            <w:r>
              <w:rPr>
                <w:rFonts w:ascii="Arial" w:cs="Arial" w:eastAsia="Arial" w:hAnsi="Arial"/>
                <w:sz w:val="11"/>
                <w:szCs w:val="11"/>
                <w:b w:val="1"/>
                <w:bCs w:val="1"/>
                <w:color w:val="auto"/>
              </w:rPr>
              <w:t>2013</w:t>
            </w:r>
          </w:p>
        </w:tc>
      </w:tr>
      <w:tr>
        <w:trPr>
          <w:trHeight w:val="135"/>
        </w:trPr>
        <w:tc>
          <w:tcPr>
            <w:tcW w:w="60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1"/>
                <w:szCs w:val="11"/>
                <w:color w:val="auto"/>
              </w:rPr>
              <w:t>United States</w:t>
            </w:r>
          </w:p>
        </w:tc>
        <w:tc>
          <w:tcPr>
            <w:tcW w:w="280" w:type="dxa"/>
            <w:vAlign w:val="bottom"/>
            <w:tcBorders>
              <w:top w:val="single" w:sz="8" w:color="CCEEFF"/>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jc w:val="right"/>
              <w:ind w:right="46"/>
              <w:spacing w:after="0"/>
              <w:rPr>
                <w:sz w:val="20"/>
                <w:szCs w:val="20"/>
                <w:color w:val="auto"/>
              </w:rPr>
            </w:pPr>
            <w:r>
              <w:rPr>
                <w:rFonts w:ascii="Arial" w:cs="Arial" w:eastAsia="Arial" w:hAnsi="Arial"/>
                <w:sz w:val="11"/>
                <w:szCs w:val="11"/>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3,284</w:t>
            </w:r>
          </w:p>
        </w:tc>
        <w:tc>
          <w:tcPr>
            <w:tcW w:w="280" w:type="dxa"/>
            <w:vAlign w:val="bottom"/>
            <w:tcBorders>
              <w:top w:val="single" w:sz="8" w:color="CCEEFF"/>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2,778</w:t>
            </w:r>
          </w:p>
        </w:tc>
        <w:tc>
          <w:tcPr>
            <w:tcW w:w="300" w:type="dxa"/>
            <w:vAlign w:val="bottom"/>
            <w:tcBorders>
              <w:top w:val="single" w:sz="8" w:color="CCEEFF"/>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jc w:val="right"/>
              <w:ind w:right="46"/>
              <w:spacing w:after="0"/>
              <w:rPr>
                <w:sz w:val="20"/>
                <w:szCs w:val="20"/>
                <w:color w:val="auto"/>
              </w:rPr>
            </w:pPr>
            <w:r>
              <w:rPr>
                <w:rFonts w:ascii="Arial" w:cs="Arial" w:eastAsia="Arial" w:hAnsi="Arial"/>
                <w:sz w:val="11"/>
                <w:szCs w:val="11"/>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8,745</w:t>
            </w:r>
          </w:p>
        </w:tc>
      </w:tr>
      <w:tr>
        <w:trPr>
          <w:trHeight w:val="135"/>
        </w:trPr>
        <w:tc>
          <w:tcPr>
            <w:tcW w:w="6320" w:type="dxa"/>
            <w:vAlign w:val="bottom"/>
            <w:tcBorders>
              <w:bottom w:val="single" w:sz="8" w:color="CCEEFF"/>
            </w:tcBorders>
            <w:gridSpan w:val="2"/>
          </w:tcPr>
          <w:p>
            <w:pPr>
              <w:spacing w:after="0"/>
              <w:rPr>
                <w:sz w:val="20"/>
                <w:szCs w:val="20"/>
                <w:color w:val="auto"/>
              </w:rPr>
            </w:pPr>
            <w:r>
              <w:rPr>
                <w:rFonts w:ascii="Arial" w:cs="Arial" w:eastAsia="Arial" w:hAnsi="Arial"/>
                <w:sz w:val="11"/>
                <w:szCs w:val="11"/>
                <w:color w:val="auto"/>
              </w:rPr>
              <w:t>Foreign</w:t>
            </w:r>
          </w:p>
        </w:tc>
        <w:tc>
          <w:tcPr>
            <w:tcW w:w="4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23,149</w:t>
            </w:r>
          </w:p>
        </w:tc>
        <w:tc>
          <w:tcPr>
            <w:tcW w:w="280" w:type="dxa"/>
            <w:vAlign w:val="bottom"/>
            <w:tcBorders>
              <w:bottom w:val="single" w:sz="8" w:color="CCEEFF"/>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12,066</w:t>
            </w:r>
          </w:p>
        </w:tc>
        <w:tc>
          <w:tcPr>
            <w:tcW w:w="300" w:type="dxa"/>
            <w:vAlign w:val="bottom"/>
            <w:tcBorders>
              <w:bottom w:val="single" w:sz="8" w:color="CCEEFF"/>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3,973</w:t>
            </w:r>
          </w:p>
        </w:tc>
      </w:tr>
      <w:tr>
        <w:trPr>
          <w:trHeight w:val="133"/>
        </w:trPr>
        <w:tc>
          <w:tcPr>
            <w:tcW w:w="6320" w:type="dxa"/>
            <w:vAlign w:val="bottom"/>
            <w:gridSpan w:val="2"/>
            <w:shd w:val="clear" w:color="auto" w:fill="CCEEFF"/>
          </w:tcPr>
          <w:p>
            <w:pPr>
              <w:spacing w:after="0"/>
              <w:rPr>
                <w:sz w:val="20"/>
                <w:szCs w:val="20"/>
                <w:color w:val="auto"/>
              </w:rPr>
            </w:pPr>
            <w:r>
              <w:rPr>
                <w:rFonts w:ascii="Arial" w:cs="Arial" w:eastAsia="Arial" w:hAnsi="Arial"/>
                <w:sz w:val="11"/>
                <w:szCs w:val="11"/>
                <w:b w:val="1"/>
                <w:bCs w:val="1"/>
                <w:color w:val="auto"/>
              </w:rPr>
              <w:t>Income before income tax expense and equity earnings of unconsolidated joint ventures and entities</w:t>
            </w:r>
          </w:p>
        </w:tc>
        <w:tc>
          <w:tcPr>
            <w:tcW w:w="40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26,433</w:t>
            </w:r>
          </w:p>
        </w:tc>
        <w:tc>
          <w:tcPr>
            <w:tcW w:w="280" w:type="dxa"/>
            <w:vAlign w:val="bottom"/>
            <w:shd w:val="clear" w:color="auto" w:fill="CCEEFF"/>
          </w:tcPr>
          <w:p>
            <w:pPr>
              <w:spacing w:after="0"/>
              <w:rPr>
                <w:sz w:val="11"/>
                <w:szCs w:val="11"/>
                <w:color w:val="auto"/>
              </w:rPr>
            </w:pPr>
          </w:p>
        </w:tc>
        <w:tc>
          <w:tcPr>
            <w:tcW w:w="42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14,844</w:t>
            </w:r>
          </w:p>
        </w:tc>
        <w:tc>
          <w:tcPr>
            <w:tcW w:w="300" w:type="dxa"/>
            <w:vAlign w:val="bottom"/>
            <w:shd w:val="clear" w:color="auto" w:fill="CCEEFF"/>
          </w:tcPr>
          <w:p>
            <w:pPr>
              <w:spacing w:after="0"/>
              <w:rPr>
                <w:sz w:val="11"/>
                <w:szCs w:val="11"/>
                <w:color w:val="auto"/>
              </w:rPr>
            </w:pPr>
          </w:p>
        </w:tc>
        <w:tc>
          <w:tcPr>
            <w:tcW w:w="40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12,718</w:t>
            </w:r>
          </w:p>
        </w:tc>
      </w:tr>
      <w:tr>
        <w:trPr>
          <w:trHeight w:val="142"/>
        </w:trPr>
        <w:tc>
          <w:tcPr>
            <w:tcW w:w="6320" w:type="dxa"/>
            <w:vAlign w:val="bottom"/>
            <w:gridSpan w:val="2"/>
          </w:tcPr>
          <w:p>
            <w:pPr>
              <w:spacing w:after="0"/>
              <w:rPr>
                <w:sz w:val="20"/>
                <w:szCs w:val="20"/>
                <w:color w:val="auto"/>
              </w:rPr>
            </w:pPr>
            <w:r>
              <w:rPr>
                <w:rFonts w:ascii="Arial" w:cs="Arial" w:eastAsia="Arial" w:hAnsi="Arial"/>
                <w:sz w:val="11"/>
                <w:szCs w:val="11"/>
                <w:i w:val="1"/>
                <w:iCs w:val="1"/>
                <w:color w:val="auto"/>
              </w:rPr>
              <w:t>Net (income) expense attributable to noncontrolling interests</w:t>
            </w:r>
            <w:r>
              <w:rPr>
                <w:rFonts w:ascii="Arial" w:cs="Arial" w:eastAsia="Arial" w:hAnsi="Arial"/>
                <w:sz w:val="11"/>
                <w:szCs w:val="11"/>
                <w:color w:val="auto"/>
              </w:rPr>
              <w:t>:</w:t>
            </w:r>
          </w:p>
        </w:tc>
        <w:tc>
          <w:tcPr>
            <w:tcW w:w="4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46"/>
        </w:trPr>
        <w:tc>
          <w:tcPr>
            <w:tcW w:w="6320" w:type="dxa"/>
            <w:vAlign w:val="bottom"/>
            <w:gridSpan w:val="2"/>
            <w:shd w:val="clear" w:color="auto" w:fill="CCEEFF"/>
          </w:tcPr>
          <w:p>
            <w:pPr>
              <w:ind w:left="80"/>
              <w:spacing w:after="0"/>
              <w:rPr>
                <w:sz w:val="20"/>
                <w:szCs w:val="20"/>
                <w:color w:val="auto"/>
              </w:rPr>
            </w:pPr>
            <w:r>
              <w:rPr>
                <w:rFonts w:ascii="Arial" w:cs="Arial" w:eastAsia="Arial" w:hAnsi="Arial"/>
                <w:sz w:val="11"/>
                <w:szCs w:val="11"/>
                <w:color w:val="auto"/>
              </w:rPr>
              <w:t>United States</w:t>
            </w:r>
          </w:p>
        </w:tc>
        <w:tc>
          <w:tcPr>
            <w:tcW w:w="4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206</w:t>
            </w:r>
          </w:p>
        </w:tc>
        <w:tc>
          <w:tcPr>
            <w:tcW w:w="2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200</w:t>
            </w:r>
          </w:p>
        </w:tc>
        <w:tc>
          <w:tcPr>
            <w:tcW w:w="3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24</w:t>
            </w:r>
          </w:p>
        </w:tc>
      </w:tr>
      <w:tr>
        <w:trPr>
          <w:trHeight w:val="142"/>
        </w:trPr>
        <w:tc>
          <w:tcPr>
            <w:tcW w:w="6320" w:type="dxa"/>
            <w:vAlign w:val="bottom"/>
            <w:gridSpan w:val="2"/>
          </w:tcPr>
          <w:p>
            <w:pPr>
              <w:ind w:left="80"/>
              <w:spacing w:after="0"/>
              <w:rPr>
                <w:sz w:val="20"/>
                <w:szCs w:val="20"/>
                <w:color w:val="auto"/>
              </w:rPr>
            </w:pPr>
            <w:r>
              <w:rPr>
                <w:rFonts w:ascii="Arial" w:cs="Arial" w:eastAsia="Arial" w:hAnsi="Arial"/>
                <w:sz w:val="11"/>
                <w:szCs w:val="11"/>
                <w:color w:val="auto"/>
              </w:rPr>
              <w:t>Foreign</w:t>
            </w:r>
          </w:p>
        </w:tc>
        <w:tc>
          <w:tcPr>
            <w:tcW w:w="400" w:type="dxa"/>
            <w:vAlign w:val="bottom"/>
          </w:tcPr>
          <w:p>
            <w:pPr>
              <w:spacing w:after="0"/>
              <w:rPr>
                <w:sz w:val="12"/>
                <w:szCs w:val="12"/>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1"/>
                <w:szCs w:val="11"/>
                <w:color w:val="auto"/>
              </w:rPr>
              <w:t>(127)</w:t>
            </w:r>
          </w:p>
        </w:tc>
        <w:tc>
          <w:tcPr>
            <w:tcW w:w="4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(143)</w:t>
            </w:r>
          </w:p>
        </w:tc>
        <w:tc>
          <w:tcPr>
            <w:tcW w:w="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(128)</w:t>
            </w:r>
          </w:p>
        </w:tc>
      </w:tr>
      <w:tr>
        <w:trPr>
          <w:trHeight w:val="146"/>
        </w:trPr>
        <w:tc>
          <w:tcPr>
            <w:tcW w:w="6320" w:type="dxa"/>
            <w:vAlign w:val="bottom"/>
            <w:gridSpan w:val="2"/>
            <w:shd w:val="clear" w:color="auto" w:fill="CCEEFF"/>
          </w:tcPr>
          <w:p>
            <w:pPr>
              <w:spacing w:after="0"/>
              <w:rPr>
                <w:sz w:val="20"/>
                <w:szCs w:val="20"/>
                <w:color w:val="auto"/>
              </w:rPr>
            </w:pPr>
            <w:r>
              <w:rPr>
                <w:rFonts w:ascii="Arial" w:cs="Arial" w:eastAsia="Arial" w:hAnsi="Arial"/>
                <w:sz w:val="11"/>
                <w:szCs w:val="11"/>
                <w:i w:val="1"/>
                <w:iCs w:val="1"/>
                <w:color w:val="auto"/>
              </w:rPr>
              <w:t>Equity earnings and gain on sale of unconsolidated subsidiary</w:t>
            </w:r>
            <w:r>
              <w:rPr>
                <w:rFonts w:ascii="Arial" w:cs="Arial" w:eastAsia="Arial" w:hAnsi="Arial"/>
                <w:sz w:val="11"/>
                <w:szCs w:val="11"/>
                <w:color w:val="auto"/>
              </w:rPr>
              <w:t>:</w:t>
            </w:r>
          </w:p>
        </w:tc>
        <w:tc>
          <w:tcPr>
            <w:tcW w:w="4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r>
      <w:tr>
        <w:trPr>
          <w:trHeight w:val="142"/>
        </w:trPr>
        <w:tc>
          <w:tcPr>
            <w:tcW w:w="6320" w:type="dxa"/>
            <w:vAlign w:val="bottom"/>
            <w:gridSpan w:val="2"/>
          </w:tcPr>
          <w:p>
            <w:pPr>
              <w:ind w:left="80"/>
              <w:spacing w:after="0"/>
              <w:rPr>
                <w:sz w:val="20"/>
                <w:szCs w:val="20"/>
                <w:color w:val="auto"/>
              </w:rPr>
            </w:pPr>
            <w:r>
              <w:rPr>
                <w:rFonts w:ascii="Arial" w:cs="Arial" w:eastAsia="Arial" w:hAnsi="Arial"/>
                <w:sz w:val="11"/>
                <w:szCs w:val="11"/>
                <w:color w:val="auto"/>
              </w:rPr>
              <w:t>United States</w:t>
            </w:r>
          </w:p>
        </w:tc>
        <w:tc>
          <w:tcPr>
            <w:tcW w:w="400" w:type="dxa"/>
            <w:vAlign w:val="bottom"/>
          </w:tcPr>
          <w:p>
            <w:pPr>
              <w:spacing w:after="0"/>
              <w:rPr>
                <w:sz w:val="12"/>
                <w:szCs w:val="12"/>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4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(1)</w:t>
            </w:r>
          </w:p>
        </w:tc>
      </w:tr>
      <w:tr>
        <w:trPr>
          <w:trHeight w:val="146"/>
        </w:trPr>
        <w:tc>
          <w:tcPr>
            <w:tcW w:w="6320" w:type="dxa"/>
            <w:vAlign w:val="bottom"/>
            <w:gridSpan w:val="2"/>
            <w:shd w:val="clear" w:color="auto" w:fill="CCEEFF"/>
          </w:tcPr>
          <w:p>
            <w:pPr>
              <w:ind w:left="80"/>
              <w:spacing w:after="0"/>
              <w:rPr>
                <w:sz w:val="20"/>
                <w:szCs w:val="20"/>
                <w:color w:val="auto"/>
              </w:rPr>
            </w:pPr>
            <w:r>
              <w:rPr>
                <w:rFonts w:ascii="Arial" w:cs="Arial" w:eastAsia="Arial" w:hAnsi="Arial"/>
                <w:sz w:val="11"/>
                <w:szCs w:val="11"/>
                <w:color w:val="auto"/>
              </w:rPr>
              <w:t>Foreign</w:t>
            </w:r>
          </w:p>
        </w:tc>
        <w:tc>
          <w:tcPr>
            <w:tcW w:w="40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1,204</w:t>
            </w:r>
          </w:p>
        </w:tc>
        <w:tc>
          <w:tcPr>
            <w:tcW w:w="280" w:type="dxa"/>
            <w:vAlign w:val="bottom"/>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1,015</w:t>
            </w:r>
          </w:p>
        </w:tc>
        <w:tc>
          <w:tcPr>
            <w:tcW w:w="300" w:type="dxa"/>
            <w:vAlign w:val="bottom"/>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1,370</w:t>
            </w:r>
          </w:p>
        </w:tc>
      </w:tr>
      <w:tr>
        <w:trPr>
          <w:trHeight w:val="124"/>
        </w:trPr>
        <w:tc>
          <w:tcPr>
            <w:tcW w:w="632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Income before income tax expense, net of non-controlling interests</w:t>
            </w:r>
          </w:p>
        </w:tc>
        <w:tc>
          <w:tcPr>
            <w:tcW w:w="400" w:type="dxa"/>
            <w:vAlign w:val="bottom"/>
            <w:tcBorders>
              <w:bottom w:val="single" w:sz="8" w:color="auto"/>
            </w:tcBorders>
          </w:tcPr>
          <w:p>
            <w:pPr>
              <w:jc w:val="right"/>
              <w:ind w:right="46"/>
              <w:spacing w:after="0" w:line="124" w:lineRule="exact"/>
              <w:rPr>
                <w:sz w:val="20"/>
                <w:szCs w:val="20"/>
                <w:color w:val="auto"/>
              </w:rPr>
            </w:pPr>
            <w:r>
              <w:rPr>
                <w:rFonts w:ascii="Arial" w:cs="Arial" w:eastAsia="Arial" w:hAnsi="Arial"/>
                <w:sz w:val="11"/>
                <w:szCs w:val="11"/>
                <w:color w:val="auto"/>
              </w:rPr>
              <w:t>$</w:t>
            </w:r>
          </w:p>
        </w:tc>
        <w:tc>
          <w:tcPr>
            <w:tcW w:w="840" w:type="dxa"/>
            <w:vAlign w:val="bottom"/>
            <w:tcBorders>
              <w:bottom w:val="single" w:sz="8" w:color="auto"/>
            </w:tcBorders>
          </w:tcPr>
          <w:p>
            <w:pPr>
              <w:jc w:val="right"/>
              <w:spacing w:after="0" w:line="124" w:lineRule="exact"/>
              <w:rPr>
                <w:sz w:val="20"/>
                <w:szCs w:val="20"/>
                <w:color w:val="auto"/>
              </w:rPr>
            </w:pPr>
            <w:r>
              <w:rPr>
                <w:rFonts w:ascii="Arial" w:cs="Arial" w:eastAsia="Arial" w:hAnsi="Arial"/>
                <w:sz w:val="11"/>
                <w:szCs w:val="11"/>
                <w:color w:val="auto"/>
              </w:rPr>
              <w:t>27,716</w:t>
            </w:r>
          </w:p>
        </w:tc>
        <w:tc>
          <w:tcPr>
            <w:tcW w:w="280" w:type="dxa"/>
            <w:vAlign w:val="bottom"/>
          </w:tcPr>
          <w:p>
            <w:pPr>
              <w:spacing w:after="0"/>
              <w:rPr>
                <w:sz w:val="10"/>
                <w:szCs w:val="10"/>
                <w:color w:val="auto"/>
              </w:rPr>
            </w:pPr>
          </w:p>
        </w:tc>
        <w:tc>
          <w:tcPr>
            <w:tcW w:w="420" w:type="dxa"/>
            <w:vAlign w:val="bottom"/>
            <w:tcBorders>
              <w:bottom w:val="single" w:sz="8" w:color="auto"/>
            </w:tcBorders>
          </w:tcPr>
          <w:p>
            <w:pPr>
              <w:jc w:val="right"/>
              <w:ind w:right="66"/>
              <w:spacing w:after="0" w:line="124" w:lineRule="exact"/>
              <w:rPr>
                <w:sz w:val="20"/>
                <w:szCs w:val="20"/>
                <w:color w:val="auto"/>
              </w:rPr>
            </w:pPr>
            <w:r>
              <w:rPr>
                <w:rFonts w:ascii="Arial" w:cs="Arial" w:eastAsia="Arial" w:hAnsi="Arial"/>
                <w:sz w:val="11"/>
                <w:szCs w:val="11"/>
                <w:color w:val="auto"/>
              </w:rPr>
              <w:t>$</w:t>
            </w:r>
          </w:p>
        </w:tc>
        <w:tc>
          <w:tcPr>
            <w:tcW w:w="820" w:type="dxa"/>
            <w:vAlign w:val="bottom"/>
            <w:tcBorders>
              <w:bottom w:val="single" w:sz="8" w:color="auto"/>
            </w:tcBorders>
          </w:tcPr>
          <w:p>
            <w:pPr>
              <w:jc w:val="right"/>
              <w:spacing w:after="0" w:line="124" w:lineRule="exact"/>
              <w:rPr>
                <w:sz w:val="20"/>
                <w:szCs w:val="20"/>
                <w:color w:val="auto"/>
              </w:rPr>
            </w:pPr>
            <w:r>
              <w:rPr>
                <w:rFonts w:ascii="Arial" w:cs="Arial" w:eastAsia="Arial" w:hAnsi="Arial"/>
                <w:sz w:val="11"/>
                <w:szCs w:val="11"/>
                <w:color w:val="auto"/>
              </w:rPr>
              <w:t>15,916</w:t>
            </w:r>
          </w:p>
        </w:tc>
        <w:tc>
          <w:tcPr>
            <w:tcW w:w="300" w:type="dxa"/>
            <w:vAlign w:val="bottom"/>
          </w:tcPr>
          <w:p>
            <w:pPr>
              <w:spacing w:after="0"/>
              <w:rPr>
                <w:sz w:val="10"/>
                <w:szCs w:val="10"/>
                <w:color w:val="auto"/>
              </w:rPr>
            </w:pPr>
          </w:p>
        </w:tc>
        <w:tc>
          <w:tcPr>
            <w:tcW w:w="400" w:type="dxa"/>
            <w:vAlign w:val="bottom"/>
            <w:tcBorders>
              <w:bottom w:val="single" w:sz="8" w:color="auto"/>
            </w:tcBorders>
          </w:tcPr>
          <w:p>
            <w:pPr>
              <w:jc w:val="right"/>
              <w:ind w:right="46"/>
              <w:spacing w:after="0" w:line="124" w:lineRule="exact"/>
              <w:rPr>
                <w:sz w:val="20"/>
                <w:szCs w:val="20"/>
                <w:color w:val="auto"/>
              </w:rPr>
            </w:pPr>
            <w:r>
              <w:rPr>
                <w:rFonts w:ascii="Arial" w:cs="Arial" w:eastAsia="Arial" w:hAnsi="Arial"/>
                <w:sz w:val="11"/>
                <w:szCs w:val="11"/>
                <w:color w:val="auto"/>
              </w:rPr>
              <w:t>$</w:t>
            </w:r>
          </w:p>
        </w:tc>
        <w:tc>
          <w:tcPr>
            <w:tcW w:w="840" w:type="dxa"/>
            <w:vAlign w:val="bottom"/>
            <w:tcBorders>
              <w:bottom w:val="single" w:sz="8" w:color="auto"/>
            </w:tcBorders>
          </w:tcPr>
          <w:p>
            <w:pPr>
              <w:jc w:val="right"/>
              <w:spacing w:after="0" w:line="124" w:lineRule="exact"/>
              <w:rPr>
                <w:sz w:val="20"/>
                <w:szCs w:val="20"/>
                <w:color w:val="auto"/>
              </w:rPr>
            </w:pPr>
            <w:r>
              <w:rPr>
                <w:rFonts w:ascii="Arial" w:cs="Arial" w:eastAsia="Arial" w:hAnsi="Arial"/>
                <w:sz w:val="11"/>
                <w:szCs w:val="11"/>
                <w:color w:val="auto"/>
              </w:rPr>
              <w:t>13,983</w:t>
            </w:r>
          </w:p>
        </w:tc>
      </w:tr>
      <w:tr>
        <w:trPr>
          <w:trHeight w:val="286"/>
        </w:trPr>
        <w:tc>
          <w:tcPr>
            <w:tcW w:w="6320" w:type="dxa"/>
            <w:vAlign w:val="bottom"/>
            <w:gridSpan w:val="2"/>
          </w:tcPr>
          <w:p>
            <w:pPr>
              <w:spacing w:after="0"/>
              <w:rPr>
                <w:sz w:val="20"/>
                <w:szCs w:val="20"/>
                <w:color w:val="auto"/>
              </w:rPr>
            </w:pPr>
            <w:r>
              <w:rPr>
                <w:rFonts w:ascii="Arial" w:cs="Arial" w:eastAsia="Arial" w:hAnsi="Arial"/>
                <w:sz w:val="12"/>
                <w:szCs w:val="12"/>
                <w:color w:val="auto"/>
              </w:rPr>
              <w:t>Significant components of the provision for income taxes are as follows:</w:t>
            </w: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r>
    </w:tbl>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6320" w:type="dxa"/>
            <w:vAlign w:val="bottom"/>
            <w:gridSpan w:val="2"/>
          </w:tcPr>
          <w:p>
            <w:pPr>
              <w:spacing w:after="0"/>
              <w:rPr>
                <w:sz w:val="20"/>
                <w:szCs w:val="20"/>
                <w:color w:val="auto"/>
              </w:rPr>
            </w:pPr>
            <w:r>
              <w:rPr>
                <w:rFonts w:ascii="Arial" w:cs="Arial" w:eastAsia="Arial" w:hAnsi="Arial"/>
                <w:sz w:val="11"/>
                <w:szCs w:val="11"/>
                <w:color w:val="auto"/>
              </w:rPr>
              <w:t>(Dollars in thousands)</w:t>
            </w:r>
          </w:p>
        </w:tc>
        <w:tc>
          <w:tcPr>
            <w:tcW w:w="400" w:type="dxa"/>
            <w:vAlign w:val="bottom"/>
          </w:tcPr>
          <w:p>
            <w:pPr>
              <w:spacing w:after="0"/>
              <w:rPr>
                <w:sz w:val="12"/>
                <w:szCs w:val="12"/>
                <w:color w:val="auto"/>
              </w:rPr>
            </w:pPr>
          </w:p>
        </w:tc>
        <w:tc>
          <w:tcPr>
            <w:tcW w:w="840" w:type="dxa"/>
            <w:vAlign w:val="bottom"/>
          </w:tcPr>
          <w:p>
            <w:pPr>
              <w:jc w:val="right"/>
              <w:ind w:right="466"/>
              <w:spacing w:after="0"/>
              <w:rPr>
                <w:sz w:val="20"/>
                <w:szCs w:val="20"/>
                <w:color w:val="auto"/>
              </w:rPr>
            </w:pPr>
            <w:r>
              <w:rPr>
                <w:rFonts w:ascii="Arial" w:cs="Arial" w:eastAsia="Arial" w:hAnsi="Arial"/>
                <w:sz w:val="11"/>
                <w:szCs w:val="11"/>
                <w:b w:val="1"/>
                <w:bCs w:val="1"/>
                <w:color w:val="auto"/>
              </w:rPr>
              <w:t>2015</w:t>
            </w:r>
          </w:p>
        </w:tc>
        <w:tc>
          <w:tcPr>
            <w:tcW w:w="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tcPr>
          <w:p>
            <w:pPr>
              <w:jc w:val="right"/>
              <w:ind w:right="446"/>
              <w:spacing w:after="0"/>
              <w:rPr>
                <w:sz w:val="20"/>
                <w:szCs w:val="20"/>
                <w:color w:val="auto"/>
              </w:rPr>
            </w:pPr>
            <w:r>
              <w:rPr>
                <w:rFonts w:ascii="Arial" w:cs="Arial" w:eastAsia="Arial" w:hAnsi="Arial"/>
                <w:sz w:val="11"/>
                <w:szCs w:val="11"/>
                <w:b w:val="1"/>
                <w:bCs w:val="1"/>
                <w:color w:val="auto"/>
              </w:rPr>
              <w:t>2014</w:t>
            </w:r>
          </w:p>
        </w:tc>
        <w:tc>
          <w:tcPr>
            <w:tcW w:w="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40" w:type="dxa"/>
            <w:vAlign w:val="bottom"/>
          </w:tcPr>
          <w:p>
            <w:pPr>
              <w:jc w:val="right"/>
              <w:ind w:right="466"/>
              <w:spacing w:after="0"/>
              <w:rPr>
                <w:sz w:val="20"/>
                <w:szCs w:val="20"/>
                <w:color w:val="auto"/>
              </w:rPr>
            </w:pPr>
            <w:r>
              <w:rPr>
                <w:rFonts w:ascii="Arial" w:cs="Arial" w:eastAsia="Arial" w:hAnsi="Arial"/>
                <w:sz w:val="11"/>
                <w:szCs w:val="11"/>
                <w:b w:val="1"/>
                <w:bCs w:val="1"/>
                <w:color w:val="auto"/>
              </w:rPr>
              <w:t>2013</w:t>
            </w:r>
          </w:p>
        </w:tc>
      </w:tr>
      <w:tr>
        <w:trPr>
          <w:trHeight w:val="135"/>
        </w:trPr>
        <w:tc>
          <w:tcPr>
            <w:tcW w:w="60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1"/>
                <w:szCs w:val="11"/>
                <w:b w:val="1"/>
                <w:bCs w:val="1"/>
                <w:color w:val="auto"/>
              </w:rPr>
              <w:t>Current income tax expense</w:t>
            </w:r>
          </w:p>
        </w:tc>
        <w:tc>
          <w:tcPr>
            <w:tcW w:w="280" w:type="dxa"/>
            <w:vAlign w:val="bottom"/>
            <w:tcBorders>
              <w:top w:val="single" w:sz="8" w:color="CCEEFF"/>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CCEEFF"/>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r>
      <w:tr>
        <w:trPr>
          <w:trHeight w:val="142"/>
        </w:trPr>
        <w:tc>
          <w:tcPr>
            <w:tcW w:w="6320" w:type="dxa"/>
            <w:vAlign w:val="bottom"/>
            <w:gridSpan w:val="2"/>
          </w:tcPr>
          <w:p>
            <w:pPr>
              <w:ind w:left="80"/>
              <w:spacing w:after="0"/>
              <w:rPr>
                <w:sz w:val="20"/>
                <w:szCs w:val="20"/>
                <w:color w:val="auto"/>
              </w:rPr>
            </w:pPr>
            <w:r>
              <w:rPr>
                <w:rFonts w:ascii="Arial" w:cs="Arial" w:eastAsia="Arial" w:hAnsi="Arial"/>
                <w:sz w:val="11"/>
                <w:szCs w:val="11"/>
                <w:color w:val="auto"/>
              </w:rPr>
              <w:t>Federal</w:t>
            </w:r>
          </w:p>
        </w:tc>
        <w:tc>
          <w:tcPr>
            <w:tcW w:w="40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840" w:type="dxa"/>
            <w:vAlign w:val="bottom"/>
          </w:tcPr>
          <w:p>
            <w:pPr>
              <w:jc w:val="right"/>
              <w:spacing w:after="0"/>
              <w:rPr>
                <w:sz w:val="20"/>
                <w:szCs w:val="20"/>
                <w:color w:val="auto"/>
              </w:rPr>
            </w:pPr>
            <w:r>
              <w:rPr>
                <w:rFonts w:ascii="Arial" w:cs="Arial" w:eastAsia="Arial" w:hAnsi="Arial"/>
                <w:sz w:val="11"/>
                <w:szCs w:val="11"/>
                <w:color w:val="auto"/>
              </w:rPr>
              <w:t>481</w:t>
            </w:r>
          </w:p>
        </w:tc>
        <w:tc>
          <w:tcPr>
            <w:tcW w:w="280" w:type="dxa"/>
            <w:vAlign w:val="bottom"/>
          </w:tcPr>
          <w:p>
            <w:pPr>
              <w:spacing w:after="0"/>
              <w:rPr>
                <w:sz w:val="12"/>
                <w:szCs w:val="12"/>
                <w:color w:val="auto"/>
              </w:rPr>
            </w:pPr>
          </w:p>
        </w:tc>
        <w:tc>
          <w:tcPr>
            <w:tcW w:w="42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820" w:type="dxa"/>
            <w:vAlign w:val="bottom"/>
          </w:tcPr>
          <w:p>
            <w:pPr>
              <w:jc w:val="right"/>
              <w:spacing w:after="0"/>
              <w:rPr>
                <w:sz w:val="20"/>
                <w:szCs w:val="20"/>
                <w:color w:val="auto"/>
              </w:rPr>
            </w:pPr>
            <w:r>
              <w:rPr>
                <w:rFonts w:ascii="Arial" w:cs="Arial" w:eastAsia="Arial" w:hAnsi="Arial"/>
                <w:sz w:val="11"/>
                <w:szCs w:val="11"/>
                <w:color w:val="auto"/>
              </w:rPr>
              <w:t>827</w:t>
            </w:r>
          </w:p>
        </w:tc>
        <w:tc>
          <w:tcPr>
            <w:tcW w:w="300" w:type="dxa"/>
            <w:vAlign w:val="bottom"/>
          </w:tcPr>
          <w:p>
            <w:pPr>
              <w:spacing w:after="0"/>
              <w:rPr>
                <w:sz w:val="12"/>
                <w:szCs w:val="12"/>
                <w:color w:val="auto"/>
              </w:rPr>
            </w:pPr>
          </w:p>
        </w:tc>
        <w:tc>
          <w:tcPr>
            <w:tcW w:w="40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840" w:type="dxa"/>
            <w:vAlign w:val="bottom"/>
          </w:tcPr>
          <w:p>
            <w:pPr>
              <w:jc w:val="right"/>
              <w:spacing w:after="0"/>
              <w:rPr>
                <w:sz w:val="20"/>
                <w:szCs w:val="20"/>
                <w:color w:val="auto"/>
              </w:rPr>
            </w:pPr>
            <w:r>
              <w:rPr>
                <w:rFonts w:ascii="Arial" w:cs="Arial" w:eastAsia="Arial" w:hAnsi="Arial"/>
                <w:sz w:val="11"/>
                <w:szCs w:val="11"/>
                <w:color w:val="auto"/>
              </w:rPr>
              <w:t>1,121</w:t>
            </w:r>
          </w:p>
        </w:tc>
      </w:tr>
      <w:tr>
        <w:trPr>
          <w:trHeight w:val="146"/>
        </w:trPr>
        <w:tc>
          <w:tcPr>
            <w:tcW w:w="6320" w:type="dxa"/>
            <w:vAlign w:val="bottom"/>
            <w:gridSpan w:val="2"/>
            <w:shd w:val="clear" w:color="auto" w:fill="CCEEFF"/>
          </w:tcPr>
          <w:p>
            <w:pPr>
              <w:ind w:left="80"/>
              <w:spacing w:after="0"/>
              <w:rPr>
                <w:sz w:val="20"/>
                <w:szCs w:val="20"/>
                <w:color w:val="auto"/>
              </w:rPr>
            </w:pPr>
            <w:r>
              <w:rPr>
                <w:rFonts w:ascii="Arial" w:cs="Arial" w:eastAsia="Arial" w:hAnsi="Arial"/>
                <w:sz w:val="11"/>
                <w:szCs w:val="11"/>
                <w:color w:val="auto"/>
              </w:rPr>
              <w:t>State</w:t>
            </w:r>
          </w:p>
        </w:tc>
        <w:tc>
          <w:tcPr>
            <w:tcW w:w="4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516</w:t>
            </w:r>
          </w:p>
        </w:tc>
        <w:tc>
          <w:tcPr>
            <w:tcW w:w="2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511</w:t>
            </w:r>
          </w:p>
        </w:tc>
        <w:tc>
          <w:tcPr>
            <w:tcW w:w="3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432</w:t>
            </w:r>
          </w:p>
        </w:tc>
      </w:tr>
      <w:tr>
        <w:trPr>
          <w:trHeight w:val="142"/>
        </w:trPr>
        <w:tc>
          <w:tcPr>
            <w:tcW w:w="6320" w:type="dxa"/>
            <w:vAlign w:val="bottom"/>
            <w:tcBorders>
              <w:bottom w:val="single" w:sz="8" w:color="CCEEFF"/>
            </w:tcBorders>
            <w:gridSpan w:val="2"/>
          </w:tcPr>
          <w:p>
            <w:pPr>
              <w:ind w:left="80"/>
              <w:spacing w:after="0"/>
              <w:rPr>
                <w:sz w:val="20"/>
                <w:szCs w:val="20"/>
                <w:color w:val="auto"/>
              </w:rPr>
            </w:pPr>
            <w:r>
              <w:rPr>
                <w:rFonts w:ascii="Arial" w:cs="Arial" w:eastAsia="Arial" w:hAnsi="Arial"/>
                <w:sz w:val="11"/>
                <w:szCs w:val="11"/>
                <w:color w:val="auto"/>
              </w:rPr>
              <w:t>Foreign</w:t>
            </w:r>
          </w:p>
        </w:tc>
        <w:tc>
          <w:tcPr>
            <w:tcW w:w="4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3,120</w:t>
            </w:r>
          </w:p>
        </w:tc>
        <w:tc>
          <w:tcPr>
            <w:tcW w:w="28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1,251</w:t>
            </w:r>
          </w:p>
        </w:tc>
        <w:tc>
          <w:tcPr>
            <w:tcW w:w="30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1,283</w:t>
            </w:r>
          </w:p>
        </w:tc>
      </w:tr>
      <w:tr>
        <w:trPr>
          <w:trHeight w:val="126"/>
        </w:trPr>
        <w:tc>
          <w:tcPr>
            <w:tcW w:w="6320" w:type="dxa"/>
            <w:vAlign w:val="bottom"/>
            <w:gridSpan w:val="2"/>
            <w:shd w:val="clear" w:color="auto" w:fill="CCEEFF"/>
          </w:tcPr>
          <w:p>
            <w:pPr>
              <w:ind w:left="140"/>
              <w:spacing w:after="0" w:line="119" w:lineRule="exact"/>
              <w:rPr>
                <w:sz w:val="20"/>
                <w:szCs w:val="20"/>
                <w:color w:val="auto"/>
              </w:rPr>
            </w:pPr>
            <w:r>
              <w:rPr>
                <w:rFonts w:ascii="Arial" w:cs="Arial" w:eastAsia="Arial" w:hAnsi="Arial"/>
                <w:sz w:val="11"/>
                <w:szCs w:val="11"/>
                <w:color w:val="auto"/>
              </w:rPr>
              <w:t>Total</w:t>
            </w:r>
          </w:p>
        </w:tc>
        <w:tc>
          <w:tcPr>
            <w:tcW w:w="400" w:type="dxa"/>
            <w:vAlign w:val="bottom"/>
            <w:tcBorders>
              <w:bottom w:val="single" w:sz="8" w:color="auto"/>
            </w:tcBorders>
            <w:shd w:val="clear" w:color="auto" w:fill="CCEEFF"/>
          </w:tcPr>
          <w:p>
            <w:pPr>
              <w:spacing w:after="0"/>
              <w:rPr>
                <w:sz w:val="10"/>
                <w:szCs w:val="1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4,117</w:t>
            </w:r>
          </w:p>
        </w:tc>
        <w:tc>
          <w:tcPr>
            <w:tcW w:w="280" w:type="dxa"/>
            <w:vAlign w:val="bottom"/>
            <w:shd w:val="clear" w:color="auto" w:fill="CCEEFF"/>
          </w:tcPr>
          <w:p>
            <w:pPr>
              <w:spacing w:after="0"/>
              <w:rPr>
                <w:sz w:val="10"/>
                <w:szCs w:val="10"/>
                <w:color w:val="auto"/>
              </w:rPr>
            </w:pPr>
          </w:p>
        </w:tc>
        <w:tc>
          <w:tcPr>
            <w:tcW w:w="420" w:type="dxa"/>
            <w:vAlign w:val="bottom"/>
            <w:tcBorders>
              <w:bottom w:val="single" w:sz="8" w:color="auto"/>
            </w:tcBorders>
            <w:shd w:val="clear" w:color="auto" w:fill="CCEEFF"/>
          </w:tcPr>
          <w:p>
            <w:pPr>
              <w:spacing w:after="0"/>
              <w:rPr>
                <w:sz w:val="10"/>
                <w:szCs w:val="1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2,589</w:t>
            </w:r>
          </w:p>
        </w:tc>
        <w:tc>
          <w:tcPr>
            <w:tcW w:w="300" w:type="dxa"/>
            <w:vAlign w:val="bottom"/>
            <w:shd w:val="clear" w:color="auto" w:fill="CCEEFF"/>
          </w:tcPr>
          <w:p>
            <w:pPr>
              <w:spacing w:after="0"/>
              <w:rPr>
                <w:sz w:val="10"/>
                <w:szCs w:val="10"/>
                <w:color w:val="auto"/>
              </w:rPr>
            </w:pPr>
          </w:p>
        </w:tc>
        <w:tc>
          <w:tcPr>
            <w:tcW w:w="400" w:type="dxa"/>
            <w:vAlign w:val="bottom"/>
            <w:tcBorders>
              <w:bottom w:val="single" w:sz="8" w:color="auto"/>
            </w:tcBorders>
            <w:shd w:val="clear" w:color="auto" w:fill="CCEEFF"/>
          </w:tcPr>
          <w:p>
            <w:pPr>
              <w:spacing w:after="0"/>
              <w:rPr>
                <w:sz w:val="10"/>
                <w:szCs w:val="1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2,836</w:t>
            </w:r>
          </w:p>
        </w:tc>
      </w:tr>
      <w:tr>
        <w:trPr>
          <w:trHeight w:val="122"/>
        </w:trPr>
        <w:tc>
          <w:tcPr>
            <w:tcW w:w="6320" w:type="dxa"/>
            <w:vAlign w:val="bottom"/>
            <w:gridSpan w:val="2"/>
          </w:tcPr>
          <w:p>
            <w:pPr>
              <w:spacing w:after="0" w:line="121" w:lineRule="exact"/>
              <w:rPr>
                <w:sz w:val="20"/>
                <w:szCs w:val="20"/>
                <w:color w:val="auto"/>
              </w:rPr>
            </w:pPr>
            <w:r>
              <w:rPr>
                <w:rFonts w:ascii="Arial" w:cs="Arial" w:eastAsia="Arial" w:hAnsi="Arial"/>
                <w:sz w:val="11"/>
                <w:szCs w:val="11"/>
                <w:b w:val="1"/>
                <w:bCs w:val="1"/>
                <w:color w:val="auto"/>
              </w:rPr>
              <w:t>Deferred income tax expense (benefit)</w:t>
            </w:r>
          </w:p>
        </w:tc>
        <w:tc>
          <w:tcPr>
            <w:tcW w:w="4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40" w:type="dxa"/>
            <w:vAlign w:val="bottom"/>
          </w:tcPr>
          <w:p>
            <w:pPr>
              <w:spacing w:after="0"/>
              <w:rPr>
                <w:sz w:val="10"/>
                <w:szCs w:val="10"/>
                <w:color w:val="auto"/>
              </w:rPr>
            </w:pPr>
          </w:p>
        </w:tc>
      </w:tr>
      <w:tr>
        <w:trPr>
          <w:trHeight w:val="146"/>
        </w:trPr>
        <w:tc>
          <w:tcPr>
            <w:tcW w:w="6320" w:type="dxa"/>
            <w:vAlign w:val="bottom"/>
            <w:gridSpan w:val="2"/>
            <w:shd w:val="clear" w:color="auto" w:fill="CCEEFF"/>
          </w:tcPr>
          <w:p>
            <w:pPr>
              <w:ind w:left="80"/>
              <w:spacing w:after="0"/>
              <w:rPr>
                <w:sz w:val="20"/>
                <w:szCs w:val="20"/>
                <w:color w:val="auto"/>
              </w:rPr>
            </w:pPr>
            <w:r>
              <w:rPr>
                <w:rFonts w:ascii="Arial" w:cs="Arial" w:eastAsia="Arial" w:hAnsi="Arial"/>
                <w:sz w:val="11"/>
                <w:szCs w:val="11"/>
                <w:color w:val="auto"/>
              </w:rPr>
              <w:t>Federal</w:t>
            </w:r>
          </w:p>
        </w:tc>
        <w:tc>
          <w:tcPr>
            <w:tcW w:w="4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438</w:t>
            </w:r>
          </w:p>
        </w:tc>
        <w:tc>
          <w:tcPr>
            <w:tcW w:w="2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(14,341)</w:t>
            </w:r>
          </w:p>
        </w:tc>
        <w:tc>
          <w:tcPr>
            <w:tcW w:w="3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r>
      <w:tr>
        <w:trPr>
          <w:trHeight w:val="142"/>
        </w:trPr>
        <w:tc>
          <w:tcPr>
            <w:tcW w:w="6320" w:type="dxa"/>
            <w:vAlign w:val="bottom"/>
            <w:gridSpan w:val="2"/>
          </w:tcPr>
          <w:p>
            <w:pPr>
              <w:ind w:left="80"/>
              <w:spacing w:after="0"/>
              <w:rPr>
                <w:sz w:val="20"/>
                <w:szCs w:val="20"/>
                <w:color w:val="auto"/>
              </w:rPr>
            </w:pPr>
            <w:r>
              <w:rPr>
                <w:rFonts w:ascii="Arial" w:cs="Arial" w:eastAsia="Arial" w:hAnsi="Arial"/>
                <w:sz w:val="11"/>
                <w:szCs w:val="11"/>
                <w:color w:val="auto"/>
              </w:rPr>
              <w:t>State</w:t>
            </w:r>
          </w:p>
        </w:tc>
        <w:tc>
          <w:tcPr>
            <w:tcW w:w="400" w:type="dxa"/>
            <w:vAlign w:val="bottom"/>
          </w:tcPr>
          <w:p>
            <w:pPr>
              <w:spacing w:after="0"/>
              <w:rPr>
                <w:sz w:val="12"/>
                <w:szCs w:val="12"/>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1"/>
                <w:szCs w:val="11"/>
                <w:color w:val="auto"/>
              </w:rPr>
              <w:t>(971)</w:t>
            </w:r>
          </w:p>
        </w:tc>
        <w:tc>
          <w:tcPr>
            <w:tcW w:w="4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(1,234)</w:t>
            </w:r>
          </w:p>
        </w:tc>
        <w:tc>
          <w:tcPr>
            <w:tcW w:w="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46"/>
        </w:trPr>
        <w:tc>
          <w:tcPr>
            <w:tcW w:w="6320" w:type="dxa"/>
            <w:vAlign w:val="bottom"/>
            <w:gridSpan w:val="2"/>
            <w:shd w:val="clear" w:color="auto" w:fill="CCEEFF"/>
          </w:tcPr>
          <w:p>
            <w:pPr>
              <w:ind w:left="80"/>
              <w:spacing w:after="0"/>
              <w:rPr>
                <w:sz w:val="20"/>
                <w:szCs w:val="20"/>
                <w:color w:val="auto"/>
              </w:rPr>
            </w:pPr>
            <w:r>
              <w:rPr>
                <w:rFonts w:ascii="Arial" w:cs="Arial" w:eastAsia="Arial" w:hAnsi="Arial"/>
                <w:sz w:val="11"/>
                <w:szCs w:val="11"/>
                <w:color w:val="auto"/>
              </w:rPr>
              <w:t>Foreign</w:t>
            </w:r>
          </w:p>
        </w:tc>
        <w:tc>
          <w:tcPr>
            <w:tcW w:w="40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1,359</w:t>
            </w:r>
          </w:p>
        </w:tc>
        <w:tc>
          <w:tcPr>
            <w:tcW w:w="280" w:type="dxa"/>
            <w:vAlign w:val="bottom"/>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3,201</w:t>
            </w:r>
          </w:p>
        </w:tc>
        <w:tc>
          <w:tcPr>
            <w:tcW w:w="300" w:type="dxa"/>
            <w:vAlign w:val="bottom"/>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2,106</w:t>
            </w:r>
          </w:p>
        </w:tc>
      </w:tr>
      <w:tr>
        <w:trPr>
          <w:trHeight w:val="124"/>
        </w:trPr>
        <w:tc>
          <w:tcPr>
            <w:tcW w:w="6320" w:type="dxa"/>
            <w:vAlign w:val="bottom"/>
            <w:tcBorders>
              <w:bottom w:val="single" w:sz="8" w:color="CCEEFF"/>
            </w:tcBorders>
            <w:gridSpan w:val="2"/>
          </w:tcPr>
          <w:p>
            <w:pPr>
              <w:ind w:left="140"/>
              <w:spacing w:after="0" w:line="116" w:lineRule="exact"/>
              <w:rPr>
                <w:sz w:val="20"/>
                <w:szCs w:val="20"/>
                <w:color w:val="auto"/>
              </w:rPr>
            </w:pPr>
            <w:r>
              <w:rPr>
                <w:rFonts w:ascii="Arial" w:cs="Arial" w:eastAsia="Arial" w:hAnsi="Arial"/>
                <w:sz w:val="11"/>
                <w:szCs w:val="11"/>
                <w:color w:val="auto"/>
              </w:rPr>
              <w:t>Total</w:t>
            </w:r>
          </w:p>
        </w:tc>
        <w:tc>
          <w:tcPr>
            <w:tcW w:w="40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jc w:val="right"/>
              <w:spacing w:after="0" w:line="124" w:lineRule="exact"/>
              <w:rPr>
                <w:sz w:val="20"/>
                <w:szCs w:val="20"/>
                <w:color w:val="auto"/>
              </w:rPr>
            </w:pPr>
            <w:r>
              <w:rPr>
                <w:rFonts w:ascii="Arial" w:cs="Arial" w:eastAsia="Arial" w:hAnsi="Arial"/>
                <w:sz w:val="11"/>
                <w:szCs w:val="11"/>
                <w:color w:val="auto"/>
              </w:rPr>
              <w:t>826</w:t>
            </w:r>
          </w:p>
        </w:tc>
        <w:tc>
          <w:tcPr>
            <w:tcW w:w="280" w:type="dxa"/>
            <w:vAlign w:val="bottom"/>
            <w:tcBorders>
              <w:bottom w:val="single" w:sz="8" w:color="CCEEFF"/>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jc w:val="right"/>
              <w:spacing w:after="0" w:line="124" w:lineRule="exact"/>
              <w:rPr>
                <w:sz w:val="20"/>
                <w:szCs w:val="20"/>
                <w:color w:val="auto"/>
              </w:rPr>
            </w:pPr>
            <w:r>
              <w:rPr>
                <w:rFonts w:ascii="Arial" w:cs="Arial" w:eastAsia="Arial" w:hAnsi="Arial"/>
                <w:sz w:val="11"/>
                <w:szCs w:val="11"/>
                <w:color w:val="auto"/>
              </w:rPr>
              <w:t>(12,374)</w:t>
            </w:r>
          </w:p>
        </w:tc>
        <w:tc>
          <w:tcPr>
            <w:tcW w:w="300" w:type="dxa"/>
            <w:vAlign w:val="bottom"/>
            <w:tcBorders>
              <w:bottom w:val="single" w:sz="8" w:color="CCEEFF"/>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jc w:val="right"/>
              <w:spacing w:after="0" w:line="124" w:lineRule="exact"/>
              <w:rPr>
                <w:sz w:val="20"/>
                <w:szCs w:val="20"/>
                <w:color w:val="auto"/>
              </w:rPr>
            </w:pPr>
            <w:r>
              <w:rPr>
                <w:rFonts w:ascii="Arial" w:cs="Arial" w:eastAsia="Arial" w:hAnsi="Arial"/>
                <w:sz w:val="11"/>
                <w:szCs w:val="11"/>
                <w:color w:val="auto"/>
              </w:rPr>
              <w:t>2,106</w:t>
            </w:r>
          </w:p>
        </w:tc>
      </w:tr>
      <w:tr>
        <w:trPr>
          <w:trHeight w:val="124"/>
        </w:trPr>
        <w:tc>
          <w:tcPr>
            <w:tcW w:w="6320" w:type="dxa"/>
            <w:vAlign w:val="bottom"/>
            <w:tcBorders>
              <w:bottom w:val="single" w:sz="8" w:color="CCEEFF"/>
            </w:tcBorders>
            <w:gridSpan w:val="2"/>
            <w:shd w:val="clear" w:color="auto" w:fill="CCEEFF"/>
          </w:tcPr>
          <w:p>
            <w:pPr>
              <w:spacing w:after="0" w:line="121" w:lineRule="exact"/>
              <w:rPr>
                <w:sz w:val="20"/>
                <w:szCs w:val="20"/>
                <w:color w:val="auto"/>
              </w:rPr>
            </w:pPr>
            <w:r>
              <w:rPr>
                <w:rFonts w:ascii="Arial" w:cs="Arial" w:eastAsia="Arial" w:hAnsi="Arial"/>
                <w:sz w:val="11"/>
                <w:szCs w:val="11"/>
                <w:b w:val="1"/>
                <w:bCs w:val="1"/>
                <w:color w:val="auto"/>
              </w:rPr>
              <w:t>Total income tax expense (benefit)</w:t>
            </w:r>
          </w:p>
        </w:tc>
        <w:tc>
          <w:tcPr>
            <w:tcW w:w="400" w:type="dxa"/>
            <w:vAlign w:val="bottom"/>
            <w:tcBorders>
              <w:bottom w:val="single" w:sz="8" w:color="auto"/>
            </w:tcBorders>
            <w:shd w:val="clear" w:color="auto" w:fill="CCEEFF"/>
          </w:tcPr>
          <w:p>
            <w:pPr>
              <w:jc w:val="right"/>
              <w:ind w:right="46"/>
              <w:spacing w:after="0" w:line="124" w:lineRule="exact"/>
              <w:rPr>
                <w:sz w:val="20"/>
                <w:szCs w:val="20"/>
                <w:color w:val="auto"/>
              </w:rPr>
            </w:pPr>
            <w:r>
              <w:rPr>
                <w:rFonts w:ascii="Arial" w:cs="Arial" w:eastAsia="Arial" w:hAnsi="Arial"/>
                <w:sz w:val="11"/>
                <w:szCs w:val="11"/>
                <w:color w:val="auto"/>
              </w:rPr>
              <w:t>$</w:t>
            </w:r>
          </w:p>
        </w:tc>
        <w:tc>
          <w:tcPr>
            <w:tcW w:w="840" w:type="dxa"/>
            <w:vAlign w:val="bottom"/>
            <w:tcBorders>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auto"/>
              </w:rPr>
              <w:t>4,943</w:t>
            </w:r>
          </w:p>
        </w:tc>
        <w:tc>
          <w:tcPr>
            <w:tcW w:w="280" w:type="dxa"/>
            <w:vAlign w:val="bottom"/>
            <w:tcBorders>
              <w:bottom w:val="single" w:sz="8" w:color="CCEEFF"/>
            </w:tcBorders>
            <w:shd w:val="clear" w:color="auto" w:fill="CCEEFF"/>
          </w:tcPr>
          <w:p>
            <w:pPr>
              <w:spacing w:after="0"/>
              <w:rPr>
                <w:sz w:val="10"/>
                <w:szCs w:val="10"/>
                <w:color w:val="auto"/>
              </w:rPr>
            </w:pPr>
          </w:p>
        </w:tc>
        <w:tc>
          <w:tcPr>
            <w:tcW w:w="420" w:type="dxa"/>
            <w:vAlign w:val="bottom"/>
            <w:tcBorders>
              <w:bottom w:val="single" w:sz="8" w:color="auto"/>
            </w:tcBorders>
            <w:shd w:val="clear" w:color="auto" w:fill="CCEEFF"/>
          </w:tcPr>
          <w:p>
            <w:pPr>
              <w:jc w:val="right"/>
              <w:ind w:right="66"/>
              <w:spacing w:after="0" w:line="124" w:lineRule="exact"/>
              <w:rPr>
                <w:sz w:val="20"/>
                <w:szCs w:val="20"/>
                <w:color w:val="auto"/>
              </w:rPr>
            </w:pPr>
            <w:r>
              <w:rPr>
                <w:rFonts w:ascii="Arial" w:cs="Arial" w:eastAsia="Arial" w:hAnsi="Arial"/>
                <w:sz w:val="11"/>
                <w:szCs w:val="11"/>
                <w:color w:val="auto"/>
              </w:rPr>
              <w:t>$</w:t>
            </w:r>
          </w:p>
        </w:tc>
        <w:tc>
          <w:tcPr>
            <w:tcW w:w="820" w:type="dxa"/>
            <w:vAlign w:val="bottom"/>
            <w:tcBorders>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auto"/>
              </w:rPr>
              <w:t>(9,785)</w:t>
            </w:r>
          </w:p>
        </w:tc>
        <w:tc>
          <w:tcPr>
            <w:tcW w:w="300" w:type="dxa"/>
            <w:vAlign w:val="bottom"/>
            <w:tcBorders>
              <w:bottom w:val="single" w:sz="8" w:color="CCEEFF"/>
            </w:tcBorders>
            <w:shd w:val="clear" w:color="auto" w:fill="CCEEFF"/>
          </w:tcPr>
          <w:p>
            <w:pPr>
              <w:spacing w:after="0"/>
              <w:rPr>
                <w:sz w:val="10"/>
                <w:szCs w:val="10"/>
                <w:color w:val="auto"/>
              </w:rPr>
            </w:pPr>
          </w:p>
        </w:tc>
        <w:tc>
          <w:tcPr>
            <w:tcW w:w="400" w:type="dxa"/>
            <w:vAlign w:val="bottom"/>
            <w:tcBorders>
              <w:bottom w:val="single" w:sz="8" w:color="auto"/>
            </w:tcBorders>
            <w:shd w:val="clear" w:color="auto" w:fill="CCEEFF"/>
          </w:tcPr>
          <w:p>
            <w:pPr>
              <w:jc w:val="right"/>
              <w:ind w:right="46"/>
              <w:spacing w:after="0" w:line="124" w:lineRule="exact"/>
              <w:rPr>
                <w:sz w:val="20"/>
                <w:szCs w:val="20"/>
                <w:color w:val="auto"/>
              </w:rPr>
            </w:pPr>
            <w:r>
              <w:rPr>
                <w:rFonts w:ascii="Arial" w:cs="Arial" w:eastAsia="Arial" w:hAnsi="Arial"/>
                <w:sz w:val="11"/>
                <w:szCs w:val="11"/>
                <w:color w:val="auto"/>
              </w:rPr>
              <w:t>$</w:t>
            </w:r>
          </w:p>
        </w:tc>
        <w:tc>
          <w:tcPr>
            <w:tcW w:w="840" w:type="dxa"/>
            <w:vAlign w:val="bottom"/>
            <w:tcBorders>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auto"/>
              </w:rPr>
              <w:t>4,942</w:t>
            </w:r>
          </w:p>
        </w:tc>
      </w:tr>
    </w:tbl>
    <w:p>
      <w:pPr>
        <w:spacing w:after="0" w:line="135" w:lineRule="exact"/>
        <w:rPr>
          <w:sz w:val="20"/>
          <w:szCs w:val="20"/>
          <w:color w:val="auto"/>
        </w:rPr>
      </w:pPr>
    </w:p>
    <w:p>
      <w:pPr>
        <w:ind w:right="40"/>
        <w:spacing w:after="0" w:line="276" w:lineRule="auto"/>
        <w:rPr>
          <w:sz w:val="20"/>
          <w:szCs w:val="20"/>
          <w:color w:val="auto"/>
        </w:rPr>
      </w:pPr>
      <w:r>
        <w:rPr>
          <w:rFonts w:ascii="Arial" w:cs="Arial" w:eastAsia="Arial" w:hAnsi="Arial"/>
          <w:sz w:val="12"/>
          <w:szCs w:val="12"/>
          <w:color w:val="auto"/>
        </w:rPr>
        <w:t>Deferred income taxes reflect the “temporary differences” between the financial statement carrying amounts of assets and liabilities for financial reporting purposes and the amounts used for income tax purposes, adjusted by the relevant tax rate. The components of the deferred tax assets and liabilities are as follows: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7020" w:type="dxa"/>
            <w:vAlign w:val="bottom"/>
            <w:tcBorders>
              <w:bottom w:val="single" w:sz="8" w:color="auto"/>
            </w:tcBorders>
          </w:tcPr>
          <w:p>
            <w:pPr>
              <w:spacing w:after="0"/>
              <w:rPr>
                <w:sz w:val="20"/>
                <w:szCs w:val="20"/>
                <w:color w:val="auto"/>
              </w:rPr>
            </w:pPr>
            <w:r>
              <w:rPr>
                <w:rFonts w:ascii="Arial" w:cs="Arial" w:eastAsia="Arial" w:hAnsi="Arial"/>
                <w:sz w:val="11"/>
                <w:szCs w:val="11"/>
                <w:color w:val="auto"/>
              </w:rPr>
              <w:t>(Dollars in thousands)</w:t>
            </w:r>
          </w:p>
        </w:tc>
        <w:tc>
          <w:tcPr>
            <w:tcW w:w="360" w:type="dxa"/>
            <w:vAlign w:val="bottom"/>
            <w:tcBorders>
              <w:bottom w:val="single" w:sz="8" w:color="CCEEFF"/>
            </w:tcBorders>
          </w:tcPr>
          <w:p>
            <w:pPr>
              <w:spacing w:after="0"/>
              <w:rPr>
                <w:sz w:val="12"/>
                <w:szCs w:val="12"/>
                <w:color w:val="auto"/>
              </w:rPr>
            </w:pPr>
          </w:p>
        </w:tc>
        <w:tc>
          <w:tcPr>
            <w:tcW w:w="1460" w:type="dxa"/>
            <w:vAlign w:val="bottom"/>
            <w:tcBorders>
              <w:bottom w:val="single" w:sz="8" w:color="auto"/>
            </w:tcBorders>
            <w:gridSpan w:val="2"/>
          </w:tcPr>
          <w:p>
            <w:pPr>
              <w:jc w:val="right"/>
              <w:ind w:right="246"/>
              <w:spacing w:after="0"/>
              <w:rPr>
                <w:sz w:val="20"/>
                <w:szCs w:val="20"/>
                <w:color w:val="auto"/>
              </w:rPr>
            </w:pPr>
            <w:r>
              <w:rPr>
                <w:rFonts w:ascii="Arial" w:cs="Arial" w:eastAsia="Arial" w:hAnsi="Arial"/>
                <w:sz w:val="11"/>
                <w:szCs w:val="11"/>
                <w:b w:val="1"/>
                <w:bCs w:val="1"/>
                <w:color w:val="auto"/>
              </w:rPr>
              <w:t>December 31, 2015</w:t>
            </w:r>
          </w:p>
        </w:tc>
        <w:tc>
          <w:tcPr>
            <w:tcW w:w="340" w:type="dxa"/>
            <w:vAlign w:val="bottom"/>
            <w:tcBorders>
              <w:bottom w:val="single" w:sz="8" w:color="CCEEFF"/>
            </w:tcBorders>
          </w:tcPr>
          <w:p>
            <w:pPr>
              <w:spacing w:after="0"/>
              <w:rPr>
                <w:sz w:val="12"/>
                <w:szCs w:val="12"/>
                <w:color w:val="auto"/>
              </w:rPr>
            </w:pPr>
          </w:p>
        </w:tc>
        <w:tc>
          <w:tcPr>
            <w:tcW w:w="1440" w:type="dxa"/>
            <w:vAlign w:val="bottom"/>
            <w:tcBorders>
              <w:bottom w:val="single" w:sz="8" w:color="auto"/>
            </w:tcBorders>
            <w:gridSpan w:val="2"/>
          </w:tcPr>
          <w:p>
            <w:pPr>
              <w:jc w:val="right"/>
              <w:ind w:right="226"/>
              <w:spacing w:after="0"/>
              <w:rPr>
                <w:sz w:val="20"/>
                <w:szCs w:val="20"/>
                <w:color w:val="auto"/>
              </w:rPr>
            </w:pPr>
            <w:r>
              <w:rPr>
                <w:rFonts w:ascii="Arial" w:cs="Arial" w:eastAsia="Arial" w:hAnsi="Arial"/>
                <w:sz w:val="11"/>
                <w:szCs w:val="11"/>
                <w:b w:val="1"/>
                <w:bCs w:val="1"/>
                <w:color w:val="auto"/>
              </w:rPr>
              <w:t>December 31, 2014</w:t>
            </w:r>
          </w:p>
        </w:tc>
      </w:tr>
      <w:tr>
        <w:trPr>
          <w:trHeight w:val="144"/>
        </w:trPr>
        <w:tc>
          <w:tcPr>
            <w:tcW w:w="73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Deferred Tax Assets:</w:t>
            </w:r>
          </w:p>
        </w:tc>
        <w:tc>
          <w:tcPr>
            <w:tcW w:w="7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r>
      <w:tr>
        <w:trPr>
          <w:trHeight w:val="151"/>
        </w:trPr>
        <w:tc>
          <w:tcPr>
            <w:tcW w:w="7380" w:type="dxa"/>
            <w:vAlign w:val="bottom"/>
            <w:gridSpan w:val="2"/>
          </w:tcPr>
          <w:p>
            <w:pPr>
              <w:ind w:left="80"/>
              <w:spacing w:after="0"/>
              <w:rPr>
                <w:sz w:val="20"/>
                <w:szCs w:val="20"/>
                <w:color w:val="auto"/>
              </w:rPr>
            </w:pPr>
            <w:r>
              <w:rPr>
                <w:rFonts w:ascii="Arial" w:cs="Arial" w:eastAsia="Arial" w:hAnsi="Arial"/>
                <w:sz w:val="11"/>
                <w:szCs w:val="11"/>
                <w:color w:val="auto"/>
              </w:rPr>
              <w:t>Net operating loss carry-forwards</w:t>
            </w:r>
          </w:p>
        </w:tc>
        <w:tc>
          <w:tcPr>
            <w:tcW w:w="720" w:type="dxa"/>
            <w:vAlign w:val="bottom"/>
          </w:tcPr>
          <w:p>
            <w:pPr>
              <w:jc w:val="right"/>
              <w:ind w:right="306"/>
              <w:spacing w:after="0"/>
              <w:rPr>
                <w:sz w:val="20"/>
                <w:szCs w:val="20"/>
                <w:color w:val="auto"/>
              </w:rPr>
            </w:pPr>
            <w:r>
              <w:rPr>
                <w:rFonts w:ascii="Arial" w:cs="Arial" w:eastAsia="Arial" w:hAnsi="Arial"/>
                <w:sz w:val="11"/>
                <w:szCs w:val="11"/>
                <w:color w:val="auto"/>
              </w:rPr>
              <w:t>$</w:t>
            </w:r>
          </w:p>
        </w:tc>
        <w:tc>
          <w:tcPr>
            <w:tcW w:w="740" w:type="dxa"/>
            <w:vAlign w:val="bottom"/>
          </w:tcPr>
          <w:p>
            <w:pPr>
              <w:jc w:val="right"/>
              <w:spacing w:after="0"/>
              <w:rPr>
                <w:sz w:val="20"/>
                <w:szCs w:val="20"/>
                <w:color w:val="auto"/>
              </w:rPr>
            </w:pPr>
            <w:r>
              <w:rPr>
                <w:rFonts w:ascii="Arial" w:cs="Arial" w:eastAsia="Arial" w:hAnsi="Arial"/>
                <w:sz w:val="11"/>
                <w:szCs w:val="11"/>
                <w:color w:val="auto"/>
              </w:rPr>
              <w:t>13,286</w:t>
            </w:r>
          </w:p>
        </w:tc>
        <w:tc>
          <w:tcPr>
            <w:tcW w:w="340" w:type="dxa"/>
            <w:vAlign w:val="bottom"/>
          </w:tcPr>
          <w:p>
            <w:pPr>
              <w:spacing w:after="0"/>
              <w:rPr>
                <w:sz w:val="13"/>
                <w:szCs w:val="13"/>
                <w:color w:val="auto"/>
              </w:rPr>
            </w:pPr>
          </w:p>
        </w:tc>
        <w:tc>
          <w:tcPr>
            <w:tcW w:w="720" w:type="dxa"/>
            <w:vAlign w:val="bottom"/>
          </w:tcPr>
          <w:p>
            <w:pPr>
              <w:jc w:val="right"/>
              <w:ind w:right="306"/>
              <w:spacing w:after="0"/>
              <w:rPr>
                <w:sz w:val="20"/>
                <w:szCs w:val="20"/>
                <w:color w:val="auto"/>
              </w:rPr>
            </w:pPr>
            <w:r>
              <w:rPr>
                <w:rFonts w:ascii="Arial" w:cs="Arial" w:eastAsia="Arial" w:hAnsi="Arial"/>
                <w:sz w:val="11"/>
                <w:szCs w:val="11"/>
                <w:color w:val="auto"/>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9,218</w:t>
            </w:r>
          </w:p>
        </w:tc>
      </w:tr>
      <w:tr>
        <w:trPr>
          <w:trHeight w:val="155"/>
        </w:trPr>
        <w:tc>
          <w:tcPr>
            <w:tcW w:w="7380" w:type="dxa"/>
            <w:vAlign w:val="bottom"/>
            <w:gridSpan w:val="2"/>
            <w:shd w:val="clear" w:color="auto" w:fill="CCEEFF"/>
          </w:tcPr>
          <w:p>
            <w:pPr>
              <w:ind w:left="80"/>
              <w:spacing w:after="0"/>
              <w:rPr>
                <w:sz w:val="20"/>
                <w:szCs w:val="20"/>
                <w:color w:val="auto"/>
              </w:rPr>
            </w:pPr>
            <w:r>
              <w:rPr>
                <w:rFonts w:ascii="Arial" w:cs="Arial" w:eastAsia="Arial" w:hAnsi="Arial"/>
                <w:sz w:val="11"/>
                <w:szCs w:val="11"/>
                <w:color w:val="auto"/>
              </w:rPr>
              <w:t>Alternative minimum tax credit carry-forwards</w:t>
            </w:r>
          </w:p>
        </w:tc>
        <w:tc>
          <w:tcPr>
            <w:tcW w:w="72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540</w:t>
            </w:r>
          </w:p>
        </w:tc>
        <w:tc>
          <w:tcPr>
            <w:tcW w:w="3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3,540</w:t>
            </w:r>
          </w:p>
        </w:tc>
      </w:tr>
      <w:tr>
        <w:trPr>
          <w:trHeight w:val="151"/>
        </w:trPr>
        <w:tc>
          <w:tcPr>
            <w:tcW w:w="7380" w:type="dxa"/>
            <w:vAlign w:val="bottom"/>
            <w:gridSpan w:val="2"/>
          </w:tcPr>
          <w:p>
            <w:pPr>
              <w:ind w:left="80"/>
              <w:spacing w:after="0"/>
              <w:rPr>
                <w:sz w:val="20"/>
                <w:szCs w:val="20"/>
                <w:color w:val="auto"/>
              </w:rPr>
            </w:pPr>
            <w:r>
              <w:rPr>
                <w:rFonts w:ascii="Arial" w:cs="Arial" w:eastAsia="Arial" w:hAnsi="Arial"/>
                <w:sz w:val="11"/>
                <w:szCs w:val="11"/>
                <w:color w:val="auto"/>
              </w:rPr>
              <w:t>Compensation and employee benefits</w:t>
            </w:r>
          </w:p>
        </w:tc>
        <w:tc>
          <w:tcPr>
            <w:tcW w:w="72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5,531</w:t>
            </w:r>
          </w:p>
        </w:tc>
        <w:tc>
          <w:tcPr>
            <w:tcW w:w="3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6,625</w:t>
            </w:r>
          </w:p>
        </w:tc>
      </w:tr>
      <w:tr>
        <w:trPr>
          <w:trHeight w:val="155"/>
        </w:trPr>
        <w:tc>
          <w:tcPr>
            <w:tcW w:w="7380" w:type="dxa"/>
            <w:vAlign w:val="bottom"/>
            <w:gridSpan w:val="2"/>
            <w:shd w:val="clear" w:color="auto" w:fill="CCEEFF"/>
          </w:tcPr>
          <w:p>
            <w:pPr>
              <w:ind w:left="80"/>
              <w:spacing w:after="0"/>
              <w:rPr>
                <w:sz w:val="20"/>
                <w:szCs w:val="20"/>
                <w:color w:val="auto"/>
              </w:rPr>
            </w:pPr>
            <w:r>
              <w:rPr>
                <w:rFonts w:ascii="Arial" w:cs="Arial" w:eastAsia="Arial" w:hAnsi="Arial"/>
                <w:sz w:val="11"/>
                <w:szCs w:val="11"/>
                <w:color w:val="auto"/>
              </w:rPr>
              <w:t>Deferred revenue</w:t>
            </w:r>
          </w:p>
        </w:tc>
        <w:tc>
          <w:tcPr>
            <w:tcW w:w="72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7,657</w:t>
            </w:r>
          </w:p>
        </w:tc>
        <w:tc>
          <w:tcPr>
            <w:tcW w:w="3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8,564</w:t>
            </w:r>
          </w:p>
        </w:tc>
      </w:tr>
      <w:tr>
        <w:trPr>
          <w:trHeight w:val="151"/>
        </w:trPr>
        <w:tc>
          <w:tcPr>
            <w:tcW w:w="7380" w:type="dxa"/>
            <w:vAlign w:val="bottom"/>
            <w:gridSpan w:val="2"/>
          </w:tcPr>
          <w:p>
            <w:pPr>
              <w:ind w:left="80"/>
              <w:spacing w:after="0"/>
              <w:rPr>
                <w:sz w:val="20"/>
                <w:szCs w:val="20"/>
                <w:color w:val="auto"/>
              </w:rPr>
            </w:pPr>
            <w:r>
              <w:rPr>
                <w:rFonts w:ascii="Arial" w:cs="Arial" w:eastAsia="Arial" w:hAnsi="Arial"/>
                <w:sz w:val="11"/>
                <w:szCs w:val="11"/>
                <w:color w:val="auto"/>
              </w:rPr>
              <w:t>Accrued expenses</w:t>
            </w:r>
          </w:p>
        </w:tc>
        <w:tc>
          <w:tcPr>
            <w:tcW w:w="72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7,971</w:t>
            </w:r>
          </w:p>
        </w:tc>
        <w:tc>
          <w:tcPr>
            <w:tcW w:w="3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7,409</w:t>
            </w:r>
          </w:p>
        </w:tc>
      </w:tr>
      <w:tr>
        <w:trPr>
          <w:trHeight w:val="155"/>
        </w:trPr>
        <w:tc>
          <w:tcPr>
            <w:tcW w:w="7380" w:type="dxa"/>
            <w:vAlign w:val="bottom"/>
            <w:gridSpan w:val="2"/>
            <w:shd w:val="clear" w:color="auto" w:fill="CCEEFF"/>
          </w:tcPr>
          <w:p>
            <w:pPr>
              <w:ind w:left="80"/>
              <w:spacing w:after="0"/>
              <w:rPr>
                <w:sz w:val="20"/>
                <w:szCs w:val="20"/>
                <w:color w:val="auto"/>
              </w:rPr>
            </w:pPr>
            <w:r>
              <w:rPr>
                <w:rFonts w:ascii="Arial" w:cs="Arial" w:eastAsia="Arial" w:hAnsi="Arial"/>
                <w:sz w:val="11"/>
                <w:szCs w:val="11"/>
                <w:color w:val="auto"/>
              </w:rPr>
              <w:t>Accrued taxes</w:t>
            </w:r>
          </w:p>
        </w:tc>
        <w:tc>
          <w:tcPr>
            <w:tcW w:w="72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3,285</w:t>
            </w:r>
          </w:p>
        </w:tc>
        <w:tc>
          <w:tcPr>
            <w:tcW w:w="3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4,264</w:t>
            </w:r>
          </w:p>
        </w:tc>
      </w:tr>
      <w:tr>
        <w:trPr>
          <w:trHeight w:val="151"/>
        </w:trPr>
        <w:tc>
          <w:tcPr>
            <w:tcW w:w="7380" w:type="dxa"/>
            <w:vAlign w:val="bottom"/>
            <w:gridSpan w:val="2"/>
          </w:tcPr>
          <w:p>
            <w:pPr>
              <w:ind w:left="80"/>
              <w:spacing w:after="0"/>
              <w:rPr>
                <w:sz w:val="20"/>
                <w:szCs w:val="20"/>
                <w:color w:val="auto"/>
              </w:rPr>
            </w:pPr>
            <w:r>
              <w:rPr>
                <w:rFonts w:ascii="Arial" w:cs="Arial" w:eastAsia="Arial" w:hAnsi="Arial"/>
                <w:sz w:val="11"/>
                <w:szCs w:val="11"/>
                <w:color w:val="auto"/>
              </w:rPr>
              <w:t>Land and property</w:t>
            </w:r>
          </w:p>
        </w:tc>
        <w:tc>
          <w:tcPr>
            <w:tcW w:w="72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11,264</w:t>
            </w:r>
          </w:p>
        </w:tc>
        <w:tc>
          <w:tcPr>
            <w:tcW w:w="3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12,797</w:t>
            </w:r>
          </w:p>
        </w:tc>
      </w:tr>
      <w:tr>
        <w:trPr>
          <w:trHeight w:val="155"/>
        </w:trPr>
        <w:tc>
          <w:tcPr>
            <w:tcW w:w="7380" w:type="dxa"/>
            <w:vAlign w:val="bottom"/>
            <w:gridSpan w:val="2"/>
            <w:shd w:val="clear" w:color="auto" w:fill="CCEEFF"/>
          </w:tcPr>
          <w:p>
            <w:pPr>
              <w:ind w:left="80"/>
              <w:spacing w:after="0"/>
              <w:rPr>
                <w:sz w:val="20"/>
                <w:szCs w:val="20"/>
                <w:color w:val="auto"/>
              </w:rPr>
            </w:pPr>
            <w:r>
              <w:rPr>
                <w:rFonts w:ascii="Arial" w:cs="Arial" w:eastAsia="Arial" w:hAnsi="Arial"/>
                <w:sz w:val="11"/>
                <w:szCs w:val="11"/>
                <w:color w:val="auto"/>
              </w:rPr>
              <w:t>Other</w:t>
            </w:r>
          </w:p>
        </w:tc>
        <w:tc>
          <w:tcPr>
            <w:tcW w:w="72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1,058</w:t>
            </w:r>
          </w:p>
        </w:tc>
        <w:tc>
          <w:tcPr>
            <w:tcW w:w="340" w:type="dxa"/>
            <w:vAlign w:val="bottom"/>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924</w:t>
            </w:r>
          </w:p>
        </w:tc>
      </w:tr>
      <w:tr>
        <w:trPr>
          <w:trHeight w:val="131"/>
        </w:trPr>
        <w:tc>
          <w:tcPr>
            <w:tcW w:w="7380" w:type="dxa"/>
            <w:vAlign w:val="bottom"/>
            <w:tcBorders>
              <w:bottom w:val="single" w:sz="8" w:color="CCEEFF"/>
            </w:tcBorders>
            <w:gridSpan w:val="2"/>
          </w:tcPr>
          <w:p>
            <w:pPr>
              <w:spacing w:after="0"/>
              <w:rPr>
                <w:sz w:val="20"/>
                <w:szCs w:val="20"/>
                <w:color w:val="auto"/>
              </w:rPr>
            </w:pPr>
            <w:r>
              <w:rPr>
                <w:rFonts w:ascii="Arial" w:cs="Arial" w:eastAsia="Arial" w:hAnsi="Arial"/>
                <w:sz w:val="11"/>
                <w:szCs w:val="11"/>
                <w:color w:val="auto"/>
              </w:rPr>
              <w:t>Total Deferred Tax Assets</w:t>
            </w:r>
          </w:p>
        </w:tc>
        <w:tc>
          <w:tcPr>
            <w:tcW w:w="72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50,592</w:t>
            </w:r>
          </w:p>
        </w:tc>
        <w:tc>
          <w:tcPr>
            <w:tcW w:w="340" w:type="dxa"/>
            <w:vAlign w:val="bottom"/>
            <w:tcBorders>
              <w:bottom w:val="single" w:sz="8" w:color="CCEEFF"/>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53,341</w:t>
            </w:r>
          </w:p>
        </w:tc>
      </w:tr>
      <w:tr>
        <w:trPr>
          <w:trHeight w:val="135"/>
        </w:trPr>
        <w:tc>
          <w:tcPr>
            <w:tcW w:w="73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Deferred Tax Liabilities:</w:t>
            </w:r>
          </w:p>
        </w:tc>
        <w:tc>
          <w:tcPr>
            <w:tcW w:w="7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r>
      <w:tr>
        <w:trPr>
          <w:trHeight w:val="151"/>
        </w:trPr>
        <w:tc>
          <w:tcPr>
            <w:tcW w:w="7380" w:type="dxa"/>
            <w:vAlign w:val="bottom"/>
            <w:gridSpan w:val="2"/>
          </w:tcPr>
          <w:p>
            <w:pPr>
              <w:ind w:left="80"/>
              <w:spacing w:after="0"/>
              <w:rPr>
                <w:sz w:val="20"/>
                <w:szCs w:val="20"/>
                <w:color w:val="auto"/>
              </w:rPr>
            </w:pPr>
            <w:r>
              <w:rPr>
                <w:rFonts w:ascii="Arial" w:cs="Arial" w:eastAsia="Arial" w:hAnsi="Arial"/>
                <w:sz w:val="11"/>
                <w:szCs w:val="11"/>
                <w:color w:val="auto"/>
              </w:rPr>
              <w:t>Intangibles</w:t>
            </w:r>
          </w:p>
        </w:tc>
        <w:tc>
          <w:tcPr>
            <w:tcW w:w="72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(2,321)</w:t>
            </w:r>
          </w:p>
        </w:tc>
        <w:tc>
          <w:tcPr>
            <w:tcW w:w="3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(3,217)</w:t>
            </w:r>
          </w:p>
        </w:tc>
      </w:tr>
      <w:tr>
        <w:trPr>
          <w:trHeight w:val="155"/>
        </w:trPr>
        <w:tc>
          <w:tcPr>
            <w:tcW w:w="7380" w:type="dxa"/>
            <w:vAlign w:val="bottom"/>
            <w:gridSpan w:val="2"/>
            <w:shd w:val="clear" w:color="auto" w:fill="CCEEFF"/>
          </w:tcPr>
          <w:p>
            <w:pPr>
              <w:ind w:left="80"/>
              <w:spacing w:after="0"/>
              <w:rPr>
                <w:sz w:val="20"/>
                <w:szCs w:val="20"/>
                <w:color w:val="auto"/>
              </w:rPr>
            </w:pPr>
            <w:r>
              <w:rPr>
                <w:rFonts w:ascii="Arial" w:cs="Arial" w:eastAsia="Arial" w:hAnsi="Arial"/>
                <w:sz w:val="11"/>
                <w:szCs w:val="11"/>
                <w:color w:val="auto"/>
              </w:rPr>
              <w:t>Cancellation of indebtedness</w:t>
            </w:r>
          </w:p>
        </w:tc>
        <w:tc>
          <w:tcPr>
            <w:tcW w:w="72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(2,396)</w:t>
            </w:r>
          </w:p>
        </w:tc>
        <w:tc>
          <w:tcPr>
            <w:tcW w:w="3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(3,824)</w:t>
            </w:r>
          </w:p>
        </w:tc>
      </w:tr>
      <w:tr>
        <w:trPr>
          <w:trHeight w:val="151"/>
        </w:trPr>
        <w:tc>
          <w:tcPr>
            <w:tcW w:w="7380" w:type="dxa"/>
            <w:vAlign w:val="bottom"/>
            <w:tcBorders>
              <w:bottom w:val="single" w:sz="8" w:color="CCEEFF"/>
            </w:tcBorders>
            <w:gridSpan w:val="2"/>
          </w:tcPr>
          <w:p>
            <w:pPr>
              <w:ind w:left="80"/>
              <w:spacing w:after="0"/>
              <w:rPr>
                <w:sz w:val="20"/>
                <w:szCs w:val="20"/>
                <w:color w:val="auto"/>
              </w:rPr>
            </w:pPr>
            <w:r>
              <w:rPr>
                <w:rFonts w:ascii="Arial" w:cs="Arial" w:eastAsia="Arial" w:hAnsi="Arial"/>
                <w:sz w:val="11"/>
                <w:szCs w:val="11"/>
                <w:color w:val="auto"/>
              </w:rPr>
              <w:t>Notes receivable</w:t>
            </w:r>
          </w:p>
        </w:tc>
        <w:tc>
          <w:tcPr>
            <w:tcW w:w="7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(8,696)</w:t>
            </w:r>
          </w:p>
        </w:tc>
        <w:tc>
          <w:tcPr>
            <w:tcW w:w="340" w:type="dxa"/>
            <w:vAlign w:val="bottom"/>
            <w:tcBorders>
              <w:bottom w:val="single" w:sz="8" w:color="CCEEFF"/>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(8,097)</w:t>
            </w:r>
          </w:p>
        </w:tc>
      </w:tr>
      <w:tr>
        <w:trPr>
          <w:trHeight w:val="135"/>
        </w:trPr>
        <w:tc>
          <w:tcPr>
            <w:tcW w:w="73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Total Deferred Tax Liabilities</w:t>
            </w:r>
          </w:p>
        </w:tc>
        <w:tc>
          <w:tcPr>
            <w:tcW w:w="720" w:type="dxa"/>
            <w:vAlign w:val="bottom"/>
            <w:tcBorders>
              <w:bottom w:val="single" w:sz="8" w:color="auto"/>
            </w:tcBorders>
            <w:shd w:val="clear" w:color="auto" w:fill="CCEEFF"/>
          </w:tcPr>
          <w:p>
            <w:pPr>
              <w:spacing w:after="0"/>
              <w:rPr>
                <w:sz w:val="11"/>
                <w:szCs w:val="1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(13,413)</w:t>
            </w:r>
          </w:p>
        </w:tc>
        <w:tc>
          <w:tcPr>
            <w:tcW w:w="340" w:type="dxa"/>
            <w:vAlign w:val="bottom"/>
            <w:shd w:val="clear" w:color="auto" w:fill="CCEEFF"/>
          </w:tcPr>
          <w:p>
            <w:pPr>
              <w:spacing w:after="0"/>
              <w:rPr>
                <w:sz w:val="11"/>
                <w:szCs w:val="11"/>
                <w:color w:val="auto"/>
              </w:rPr>
            </w:pPr>
          </w:p>
        </w:tc>
        <w:tc>
          <w:tcPr>
            <w:tcW w:w="720" w:type="dxa"/>
            <w:vAlign w:val="bottom"/>
            <w:tcBorders>
              <w:bottom w:val="single" w:sz="8" w:color="auto"/>
            </w:tcBorders>
            <w:shd w:val="clear" w:color="auto" w:fill="CCEEFF"/>
          </w:tcPr>
          <w:p>
            <w:pPr>
              <w:spacing w:after="0"/>
              <w:rPr>
                <w:sz w:val="11"/>
                <w:szCs w:val="1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(15,138)</w:t>
            </w:r>
          </w:p>
        </w:tc>
      </w:tr>
      <w:tr>
        <w:trPr>
          <w:trHeight w:val="131"/>
        </w:trPr>
        <w:tc>
          <w:tcPr>
            <w:tcW w:w="7380" w:type="dxa"/>
            <w:vAlign w:val="bottom"/>
            <w:gridSpan w:val="2"/>
          </w:tcPr>
          <w:p>
            <w:pPr>
              <w:spacing w:after="0"/>
              <w:rPr>
                <w:sz w:val="20"/>
                <w:szCs w:val="20"/>
                <w:color w:val="auto"/>
              </w:rPr>
            </w:pPr>
            <w:r>
              <w:rPr>
                <w:rFonts w:ascii="Arial" w:cs="Arial" w:eastAsia="Arial" w:hAnsi="Arial"/>
                <w:sz w:val="11"/>
                <w:szCs w:val="11"/>
                <w:color w:val="auto"/>
              </w:rPr>
              <w:t>Net deferred tax assets before valuation allowance</w:t>
            </w:r>
          </w:p>
        </w:tc>
        <w:tc>
          <w:tcPr>
            <w:tcW w:w="72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37,179</w:t>
            </w: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38,203</w:t>
            </w:r>
          </w:p>
        </w:tc>
      </w:tr>
      <w:tr>
        <w:trPr>
          <w:trHeight w:val="155"/>
        </w:trPr>
        <w:tc>
          <w:tcPr>
            <w:tcW w:w="7380" w:type="dxa"/>
            <w:vAlign w:val="bottom"/>
            <w:gridSpan w:val="2"/>
            <w:shd w:val="clear" w:color="auto" w:fill="CCEEFF"/>
          </w:tcPr>
          <w:p>
            <w:pPr>
              <w:ind w:left="80"/>
              <w:spacing w:after="0"/>
              <w:rPr>
                <w:sz w:val="20"/>
                <w:szCs w:val="20"/>
                <w:color w:val="auto"/>
              </w:rPr>
            </w:pPr>
            <w:r>
              <w:rPr>
                <w:rFonts w:ascii="Arial" w:cs="Arial" w:eastAsia="Arial" w:hAnsi="Arial"/>
                <w:sz w:val="11"/>
                <w:szCs w:val="11"/>
                <w:color w:val="auto"/>
              </w:rPr>
              <w:t>Valuation allowance</w:t>
            </w:r>
          </w:p>
        </w:tc>
        <w:tc>
          <w:tcPr>
            <w:tcW w:w="72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(11,530)</w:t>
            </w:r>
          </w:p>
        </w:tc>
        <w:tc>
          <w:tcPr>
            <w:tcW w:w="340" w:type="dxa"/>
            <w:vAlign w:val="bottom"/>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(15,936)</w:t>
            </w:r>
          </w:p>
        </w:tc>
      </w:tr>
      <w:tr>
        <w:trPr>
          <w:trHeight w:val="124"/>
        </w:trPr>
        <w:tc>
          <w:tcPr>
            <w:tcW w:w="738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Net deferred tax asset</w:t>
            </w:r>
          </w:p>
        </w:tc>
        <w:tc>
          <w:tcPr>
            <w:tcW w:w="720" w:type="dxa"/>
            <w:vAlign w:val="bottom"/>
            <w:tcBorders>
              <w:bottom w:val="single" w:sz="8" w:color="auto"/>
            </w:tcBorders>
          </w:tcPr>
          <w:p>
            <w:pPr>
              <w:jc w:val="right"/>
              <w:ind w:right="306"/>
              <w:spacing w:after="0" w:line="124" w:lineRule="exact"/>
              <w:rPr>
                <w:sz w:val="20"/>
                <w:szCs w:val="20"/>
                <w:color w:val="auto"/>
              </w:rPr>
            </w:pPr>
            <w:r>
              <w:rPr>
                <w:rFonts w:ascii="Arial" w:cs="Arial" w:eastAsia="Arial" w:hAnsi="Arial"/>
                <w:sz w:val="11"/>
                <w:szCs w:val="11"/>
                <w:color w:val="auto"/>
              </w:rPr>
              <w:t>$</w:t>
            </w:r>
          </w:p>
        </w:tc>
        <w:tc>
          <w:tcPr>
            <w:tcW w:w="740" w:type="dxa"/>
            <w:vAlign w:val="bottom"/>
            <w:tcBorders>
              <w:bottom w:val="single" w:sz="8" w:color="auto"/>
            </w:tcBorders>
          </w:tcPr>
          <w:p>
            <w:pPr>
              <w:jc w:val="right"/>
              <w:spacing w:after="0" w:line="124" w:lineRule="exact"/>
              <w:rPr>
                <w:sz w:val="20"/>
                <w:szCs w:val="20"/>
                <w:color w:val="auto"/>
              </w:rPr>
            </w:pPr>
            <w:r>
              <w:rPr>
                <w:rFonts w:ascii="Arial" w:cs="Arial" w:eastAsia="Arial" w:hAnsi="Arial"/>
                <w:sz w:val="11"/>
                <w:szCs w:val="11"/>
                <w:color w:val="auto"/>
              </w:rPr>
              <w:t>25,649</w:t>
            </w:r>
          </w:p>
        </w:tc>
        <w:tc>
          <w:tcPr>
            <w:tcW w:w="340" w:type="dxa"/>
            <w:vAlign w:val="bottom"/>
          </w:tcPr>
          <w:p>
            <w:pPr>
              <w:spacing w:after="0"/>
              <w:rPr>
                <w:sz w:val="10"/>
                <w:szCs w:val="10"/>
                <w:color w:val="auto"/>
              </w:rPr>
            </w:pPr>
          </w:p>
        </w:tc>
        <w:tc>
          <w:tcPr>
            <w:tcW w:w="720" w:type="dxa"/>
            <w:vAlign w:val="bottom"/>
            <w:tcBorders>
              <w:bottom w:val="single" w:sz="8" w:color="auto"/>
            </w:tcBorders>
          </w:tcPr>
          <w:p>
            <w:pPr>
              <w:jc w:val="right"/>
              <w:ind w:right="306"/>
              <w:spacing w:after="0" w:line="124" w:lineRule="exact"/>
              <w:rPr>
                <w:sz w:val="20"/>
                <w:szCs w:val="20"/>
                <w:color w:val="auto"/>
              </w:rPr>
            </w:pPr>
            <w:r>
              <w:rPr>
                <w:rFonts w:ascii="Arial" w:cs="Arial" w:eastAsia="Arial" w:hAnsi="Arial"/>
                <w:sz w:val="11"/>
                <w:szCs w:val="11"/>
                <w:color w:val="auto"/>
              </w:rPr>
              <w:t>$</w:t>
            </w:r>
          </w:p>
        </w:tc>
        <w:tc>
          <w:tcPr>
            <w:tcW w:w="720" w:type="dxa"/>
            <w:vAlign w:val="bottom"/>
            <w:tcBorders>
              <w:bottom w:val="single" w:sz="8" w:color="auto"/>
            </w:tcBorders>
          </w:tcPr>
          <w:p>
            <w:pPr>
              <w:jc w:val="right"/>
              <w:spacing w:after="0" w:line="124" w:lineRule="exact"/>
              <w:rPr>
                <w:sz w:val="20"/>
                <w:szCs w:val="20"/>
                <w:color w:val="auto"/>
              </w:rPr>
            </w:pPr>
            <w:r>
              <w:rPr>
                <w:rFonts w:ascii="Arial" w:cs="Arial" w:eastAsia="Arial" w:hAnsi="Arial"/>
                <w:sz w:val="11"/>
                <w:szCs w:val="11"/>
                <w:color w:val="auto"/>
              </w:rPr>
              <w:t>22,267</w:t>
            </w:r>
          </w:p>
        </w:tc>
      </w:tr>
    </w:tbl>
    <w:p>
      <w:pPr>
        <w:spacing w:after="0" w:line="13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59690</wp:posOffset>
            </wp:positionV>
            <wp:extent cx="677989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779895" cy="42545"/>
                    </a:xfrm>
                    <a:prstGeom prst="rect">
                      <a:avLst/>
                    </a:prstGeom>
                    <a:noFill/>
                  </pic:spPr>
                </pic:pic>
              </a:graphicData>
            </a:graphic>
          </wp:anchor>
        </w:drawing>
      </w:r>
    </w:p>
    <w:p>
      <w:pPr>
        <w:sectPr>
          <w:pgSz w:w="11900" w:h="16838" w:orient="portrait"/>
          <w:cols w:equalWidth="0" w:num="1">
            <w:col w:w="10620"/>
          </w:cols>
          <w:pgMar w:left="640" w:top="388" w:right="639" w:bottom="1440" w:gutter="0" w:footer="0" w:header="0"/>
        </w:sectPr>
      </w:pPr>
    </w:p>
    <w:bookmarkStart w:id="75" w:name="page76"/>
    <w:bookmarkEnd w:id="75"/>
    <w:p>
      <w:pPr>
        <w:ind w:right="80"/>
        <w:spacing w:after="0" w:line="290" w:lineRule="auto"/>
        <w:rPr>
          <w:sz w:val="20"/>
          <w:szCs w:val="20"/>
          <w:color w:val="auto"/>
        </w:rPr>
      </w:pPr>
      <w:r>
        <w:rPr>
          <w:rFonts w:ascii="Arial" w:cs="Arial" w:eastAsia="Arial" w:hAnsi="Arial"/>
          <w:sz w:val="11"/>
          <w:szCs w:val="11"/>
          <w:color w:val="auto"/>
        </w:rPr>
        <w:t>We record net deferred tax assets to the extent we believe these assets will more likely than not be realized. In making such determination, we consider all available positive and negative evidence, including scheduled reversals of deferred tax liabilities, projected future taxable income, tax planning strategies and recent financial performance. US GAAP presumes that a valuation allowance is required when there is substantial negative evidence about the realization of deferred tax assets, such as a pattern of comprehensive losses in recent years, coupled with facts that suggest such losses may continue. Because such negative evidence is available for our Puerto Rico, New Zealand and US state operations as of December 31, 2015, we recorded a valuation allowance of $11.5 million.</w:t>
      </w:r>
    </w:p>
    <w:p>
      <w:pPr>
        <w:spacing w:after="0" w:line="82" w:lineRule="exact"/>
        <w:rPr>
          <w:sz w:val="20"/>
          <w:szCs w:val="20"/>
          <w:color w:val="auto"/>
        </w:rPr>
      </w:pPr>
    </w:p>
    <w:p>
      <w:pPr>
        <w:spacing w:after="0"/>
        <w:rPr>
          <w:sz w:val="20"/>
          <w:szCs w:val="20"/>
          <w:color w:val="auto"/>
        </w:rPr>
      </w:pPr>
      <w:r>
        <w:rPr>
          <w:rFonts w:ascii="Arial" w:cs="Arial" w:eastAsia="Arial" w:hAnsi="Arial"/>
          <w:sz w:val="12"/>
          <w:szCs w:val="12"/>
          <w:color w:val="auto"/>
        </w:rPr>
        <w:t>As of December 31, 2015, we had the following carry-forwards:</w:t>
      </w:r>
    </w:p>
    <w:p>
      <w:pPr>
        <w:spacing w:after="0" w:line="132" w:lineRule="exact"/>
        <w:rPr>
          <w:sz w:val="20"/>
          <w:szCs w:val="20"/>
          <w:color w:val="auto"/>
        </w:rPr>
      </w:pPr>
    </w:p>
    <w:p>
      <w:pPr>
        <w:ind w:left="280" w:hanging="59"/>
        <w:spacing w:after="0"/>
        <w:tabs>
          <w:tab w:leader="none" w:pos="280" w:val="left"/>
        </w:tabs>
        <w:numPr>
          <w:ilvl w:val="0"/>
          <w:numId w:val="34"/>
        </w:numPr>
        <w:rPr>
          <w:rFonts w:ascii="Arial" w:cs="Arial" w:eastAsia="Arial" w:hAnsi="Arial"/>
          <w:sz w:val="12"/>
          <w:szCs w:val="12"/>
          <w:color w:val="auto"/>
        </w:rPr>
      </w:pPr>
      <w:r>
        <w:rPr>
          <w:rFonts w:ascii="Arial" w:cs="Arial" w:eastAsia="Arial" w:hAnsi="Arial"/>
          <w:sz w:val="12"/>
          <w:szCs w:val="12"/>
          <w:color w:val="auto"/>
        </w:rPr>
        <w:t>approximately $1.1 million in U.S. alternative minimum tax credit carry-forwards with no expiration date;</w:t>
      </w:r>
    </w:p>
    <w:p>
      <w:pPr>
        <w:spacing w:after="0" w:line="14" w:lineRule="exact"/>
        <w:rPr>
          <w:rFonts w:ascii="Arial" w:cs="Arial" w:eastAsia="Arial" w:hAnsi="Arial"/>
          <w:sz w:val="12"/>
          <w:szCs w:val="12"/>
          <w:color w:val="auto"/>
        </w:rPr>
      </w:pPr>
    </w:p>
    <w:p>
      <w:pPr>
        <w:ind w:left="300" w:hanging="79"/>
        <w:spacing w:after="0"/>
        <w:tabs>
          <w:tab w:leader="none" w:pos="300" w:val="left"/>
        </w:tabs>
        <w:numPr>
          <w:ilvl w:val="0"/>
          <w:numId w:val="34"/>
        </w:numPr>
        <w:rPr>
          <w:rFonts w:ascii="Arial" w:cs="Arial" w:eastAsia="Arial" w:hAnsi="Arial"/>
          <w:sz w:val="12"/>
          <w:szCs w:val="12"/>
          <w:color w:val="auto"/>
        </w:rPr>
      </w:pPr>
      <w:r>
        <w:rPr>
          <w:rFonts w:ascii="Arial" w:cs="Arial" w:eastAsia="Arial" w:hAnsi="Arial"/>
          <w:sz w:val="12"/>
          <w:szCs w:val="12"/>
          <w:color w:val="auto"/>
        </w:rPr>
        <w:t>approximately $17.5 million in available New Zealand loss carry-forwards with no expiration date;</w:t>
      </w:r>
    </w:p>
    <w:p>
      <w:pPr>
        <w:spacing w:after="0" w:line="6" w:lineRule="exact"/>
        <w:rPr>
          <w:rFonts w:ascii="Arial" w:cs="Arial" w:eastAsia="Arial" w:hAnsi="Arial"/>
          <w:sz w:val="12"/>
          <w:szCs w:val="12"/>
          <w:color w:val="auto"/>
        </w:rPr>
      </w:pPr>
    </w:p>
    <w:p>
      <w:pPr>
        <w:ind w:left="320" w:hanging="99"/>
        <w:spacing w:after="0"/>
        <w:tabs>
          <w:tab w:leader="none" w:pos="320" w:val="left"/>
        </w:tabs>
        <w:numPr>
          <w:ilvl w:val="0"/>
          <w:numId w:val="34"/>
        </w:numPr>
        <w:rPr>
          <w:rFonts w:ascii="Arial" w:cs="Arial" w:eastAsia="Arial" w:hAnsi="Arial"/>
          <w:sz w:val="12"/>
          <w:szCs w:val="12"/>
          <w:color w:val="auto"/>
        </w:rPr>
      </w:pPr>
      <w:r>
        <w:rPr>
          <w:rFonts w:ascii="Arial" w:cs="Arial" w:eastAsia="Arial" w:hAnsi="Arial"/>
          <w:sz w:val="12"/>
          <w:szCs w:val="12"/>
          <w:color w:val="auto"/>
        </w:rPr>
        <w:t>approximately $45 million in New York loss carryforwards expiring in 2034; and,</w:t>
      </w:r>
    </w:p>
    <w:p>
      <w:pPr>
        <w:spacing w:after="0" w:line="6" w:lineRule="exact"/>
        <w:rPr>
          <w:rFonts w:ascii="Arial" w:cs="Arial" w:eastAsia="Arial" w:hAnsi="Arial"/>
          <w:sz w:val="12"/>
          <w:szCs w:val="12"/>
          <w:color w:val="auto"/>
        </w:rPr>
      </w:pPr>
    </w:p>
    <w:p>
      <w:pPr>
        <w:ind w:left="320" w:hanging="99"/>
        <w:spacing w:after="0"/>
        <w:tabs>
          <w:tab w:leader="none" w:pos="320" w:val="left"/>
        </w:tabs>
        <w:numPr>
          <w:ilvl w:val="0"/>
          <w:numId w:val="34"/>
        </w:numPr>
        <w:rPr>
          <w:rFonts w:ascii="Arial" w:cs="Arial" w:eastAsia="Arial" w:hAnsi="Arial"/>
          <w:sz w:val="12"/>
          <w:szCs w:val="12"/>
          <w:color w:val="auto"/>
        </w:rPr>
      </w:pPr>
      <w:r>
        <w:rPr>
          <w:rFonts w:ascii="Arial" w:cs="Arial" w:eastAsia="Arial" w:hAnsi="Arial"/>
          <w:sz w:val="12"/>
          <w:szCs w:val="12"/>
          <w:color w:val="auto"/>
        </w:rPr>
        <w:t>approximately $40 million in New York city loss carryforwards expiring in 2034.</w:t>
      </w:r>
    </w:p>
    <w:p>
      <w:pPr>
        <w:spacing w:after="0" w:line="114" w:lineRule="exact"/>
        <w:rPr>
          <w:sz w:val="20"/>
          <w:szCs w:val="20"/>
          <w:color w:val="auto"/>
        </w:rPr>
      </w:pPr>
    </w:p>
    <w:p>
      <w:pPr>
        <w:ind w:right="60"/>
        <w:spacing w:after="0" w:line="323" w:lineRule="auto"/>
        <w:rPr>
          <w:sz w:val="20"/>
          <w:szCs w:val="20"/>
          <w:color w:val="auto"/>
        </w:rPr>
      </w:pPr>
      <w:r>
        <w:rPr>
          <w:rFonts w:ascii="Arial" w:cs="Arial" w:eastAsia="Arial" w:hAnsi="Arial"/>
          <w:sz w:val="11"/>
          <w:szCs w:val="11"/>
          <w:color w:val="auto"/>
        </w:rPr>
        <w:t>We disposed of our Puerto Rico operations during 2005 and plan no further investment in Puerto Rico for the foreseeable future. We have approximately $14.1 million in Puerto Rico loss carry-forwards expiring no later than 2018. No material future tax benefits from Puerto Rico loss carry-forwards can be recognized by the Company unless it re-enters the Puerto Rico market for which the Company has no current plans.</w:t>
      </w:r>
    </w:p>
    <w:p>
      <w:pPr>
        <w:spacing w:after="0" w:line="65" w:lineRule="exact"/>
        <w:rPr>
          <w:sz w:val="20"/>
          <w:szCs w:val="20"/>
          <w:color w:val="auto"/>
        </w:rPr>
      </w:pPr>
    </w:p>
    <w:p>
      <w:pPr>
        <w:spacing w:after="0"/>
        <w:rPr>
          <w:sz w:val="20"/>
          <w:szCs w:val="20"/>
          <w:color w:val="auto"/>
        </w:rPr>
      </w:pPr>
      <w:r>
        <w:rPr>
          <w:rFonts w:ascii="Arial" w:cs="Arial" w:eastAsia="Arial" w:hAnsi="Arial"/>
          <w:sz w:val="12"/>
          <w:szCs w:val="12"/>
          <w:color w:val="auto"/>
        </w:rPr>
        <w:t>We expect no other substantial limitations on the future use of U.S. or foreign loss carry-forwards except as described above.</w:t>
      </w:r>
    </w:p>
    <w:p>
      <w:pPr>
        <w:spacing w:after="0" w:line="132" w:lineRule="exact"/>
        <w:rPr>
          <w:sz w:val="20"/>
          <w:szCs w:val="20"/>
          <w:color w:val="auto"/>
        </w:rPr>
      </w:pPr>
    </w:p>
    <w:p>
      <w:pPr>
        <w:spacing w:after="0"/>
        <w:rPr>
          <w:sz w:val="20"/>
          <w:szCs w:val="20"/>
          <w:color w:val="auto"/>
        </w:rPr>
      </w:pPr>
      <w:r>
        <w:rPr>
          <w:rFonts w:ascii="Arial" w:cs="Arial" w:eastAsia="Arial" w:hAnsi="Arial"/>
          <w:sz w:val="12"/>
          <w:szCs w:val="12"/>
          <w:color w:val="auto"/>
        </w:rPr>
        <w:t>The provision for income taxes is different from amounts computed by applying U.S. statutory rates to consolidated losses before taxes. The significant reason for these differences is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6000" w:type="dxa"/>
            <w:vAlign w:val="bottom"/>
            <w:tcBorders>
              <w:bottom w:val="single" w:sz="8" w:color="auto"/>
            </w:tcBorders>
          </w:tcPr>
          <w:p>
            <w:pPr>
              <w:spacing w:after="0"/>
              <w:rPr>
                <w:sz w:val="20"/>
                <w:szCs w:val="20"/>
                <w:color w:val="auto"/>
              </w:rPr>
            </w:pPr>
            <w:r>
              <w:rPr>
                <w:rFonts w:ascii="Arial" w:cs="Arial" w:eastAsia="Arial" w:hAnsi="Arial"/>
                <w:sz w:val="11"/>
                <w:szCs w:val="11"/>
                <w:color w:val="auto"/>
              </w:rPr>
              <w:t>(Dollars in thousands)</w:t>
            </w:r>
          </w:p>
        </w:tc>
        <w:tc>
          <w:tcPr>
            <w:tcW w:w="30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466"/>
              <w:spacing w:after="0"/>
              <w:rPr>
                <w:sz w:val="20"/>
                <w:szCs w:val="20"/>
                <w:color w:val="auto"/>
              </w:rPr>
            </w:pPr>
            <w:r>
              <w:rPr>
                <w:rFonts w:ascii="Arial" w:cs="Arial" w:eastAsia="Arial" w:hAnsi="Arial"/>
                <w:sz w:val="11"/>
                <w:szCs w:val="11"/>
                <w:b w:val="1"/>
                <w:bCs w:val="1"/>
                <w:color w:val="auto"/>
              </w:rPr>
              <w:t>2015</w:t>
            </w:r>
          </w:p>
        </w:tc>
        <w:tc>
          <w:tcPr>
            <w:tcW w:w="28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466"/>
              <w:spacing w:after="0"/>
              <w:rPr>
                <w:sz w:val="20"/>
                <w:szCs w:val="20"/>
                <w:color w:val="auto"/>
              </w:rPr>
            </w:pPr>
            <w:r>
              <w:rPr>
                <w:rFonts w:ascii="Arial" w:cs="Arial" w:eastAsia="Arial" w:hAnsi="Arial"/>
                <w:sz w:val="11"/>
                <w:szCs w:val="11"/>
                <w:b w:val="1"/>
                <w:bCs w:val="1"/>
                <w:color w:val="auto"/>
              </w:rPr>
              <w:t>2014</w:t>
            </w:r>
          </w:p>
        </w:tc>
        <w:tc>
          <w:tcPr>
            <w:tcW w:w="28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446"/>
              <w:spacing w:after="0"/>
              <w:rPr>
                <w:sz w:val="20"/>
                <w:szCs w:val="20"/>
                <w:color w:val="auto"/>
              </w:rPr>
            </w:pPr>
            <w:r>
              <w:rPr>
                <w:rFonts w:ascii="Arial" w:cs="Arial" w:eastAsia="Arial" w:hAnsi="Arial"/>
                <w:sz w:val="11"/>
                <w:szCs w:val="11"/>
                <w:b w:val="1"/>
                <w:bCs w:val="1"/>
                <w:color w:val="auto"/>
              </w:rPr>
              <w:t>2013</w:t>
            </w:r>
          </w:p>
        </w:tc>
      </w:tr>
      <w:tr>
        <w:trPr>
          <w:trHeight w:val="144"/>
        </w:trPr>
        <w:tc>
          <w:tcPr>
            <w:tcW w:w="630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Expected tax provision</w:t>
            </w:r>
          </w:p>
        </w:tc>
        <w:tc>
          <w:tcPr>
            <w:tcW w:w="42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9,397</w:t>
            </w:r>
          </w:p>
        </w:tc>
        <w:tc>
          <w:tcPr>
            <w:tcW w:w="280" w:type="dxa"/>
            <w:vAlign w:val="bottom"/>
            <w:shd w:val="clear" w:color="auto" w:fill="CCEEFF"/>
          </w:tcPr>
          <w:p>
            <w:pPr>
              <w:spacing w:after="0"/>
              <w:rPr>
                <w:sz w:val="12"/>
                <w:szCs w:val="12"/>
                <w:color w:val="auto"/>
              </w:rPr>
            </w:pPr>
          </w:p>
        </w:tc>
        <w:tc>
          <w:tcPr>
            <w:tcW w:w="42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5,571</w:t>
            </w:r>
          </w:p>
        </w:tc>
        <w:tc>
          <w:tcPr>
            <w:tcW w:w="280" w:type="dxa"/>
            <w:vAlign w:val="bottom"/>
            <w:shd w:val="clear" w:color="auto" w:fill="CCEEFF"/>
          </w:tcPr>
          <w:p>
            <w:pPr>
              <w:spacing w:after="0"/>
              <w:rPr>
                <w:sz w:val="12"/>
                <w:szCs w:val="12"/>
                <w:color w:val="auto"/>
              </w:rPr>
            </w:pPr>
          </w:p>
        </w:tc>
        <w:tc>
          <w:tcPr>
            <w:tcW w:w="42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4,894</w:t>
            </w:r>
          </w:p>
        </w:tc>
      </w:tr>
      <w:tr>
        <w:trPr>
          <w:trHeight w:val="151"/>
        </w:trPr>
        <w:tc>
          <w:tcPr>
            <w:tcW w:w="6300" w:type="dxa"/>
            <w:vAlign w:val="bottom"/>
            <w:gridSpan w:val="2"/>
          </w:tcPr>
          <w:p>
            <w:pPr>
              <w:spacing w:after="0"/>
              <w:rPr>
                <w:sz w:val="20"/>
                <w:szCs w:val="20"/>
                <w:color w:val="auto"/>
              </w:rPr>
            </w:pPr>
            <w:r>
              <w:rPr>
                <w:rFonts w:ascii="Arial" w:cs="Arial" w:eastAsia="Arial" w:hAnsi="Arial"/>
                <w:sz w:val="11"/>
                <w:szCs w:val="11"/>
                <w:i w:val="1"/>
                <w:iCs w:val="1"/>
                <w:color w:val="auto"/>
              </w:rPr>
              <w:t>Increase (decrease) in tax expense resulting from:</w:t>
            </w:r>
          </w:p>
        </w:tc>
        <w:tc>
          <w:tcPr>
            <w:tcW w:w="4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20" w:type="dxa"/>
            <w:vAlign w:val="bottom"/>
          </w:tcPr>
          <w:p>
            <w:pPr>
              <w:spacing w:after="0"/>
              <w:rPr>
                <w:sz w:val="13"/>
                <w:szCs w:val="13"/>
                <w:color w:val="auto"/>
              </w:rPr>
            </w:pPr>
          </w:p>
        </w:tc>
      </w:tr>
      <w:tr>
        <w:trPr>
          <w:trHeight w:val="155"/>
        </w:trPr>
        <w:tc>
          <w:tcPr>
            <w:tcW w:w="6300" w:type="dxa"/>
            <w:vAlign w:val="bottom"/>
            <w:gridSpan w:val="2"/>
            <w:shd w:val="clear" w:color="auto" w:fill="CCEEFF"/>
          </w:tcPr>
          <w:p>
            <w:pPr>
              <w:ind w:left="80"/>
              <w:spacing w:after="0"/>
              <w:rPr>
                <w:sz w:val="20"/>
                <w:szCs w:val="20"/>
                <w:color w:val="auto"/>
              </w:rPr>
            </w:pPr>
            <w:r>
              <w:rPr>
                <w:rFonts w:ascii="Arial" w:cs="Arial" w:eastAsia="Arial" w:hAnsi="Arial"/>
                <w:sz w:val="11"/>
                <w:szCs w:val="11"/>
                <w:color w:val="auto"/>
              </w:rPr>
              <w:t>Foreign tax rate differential</w:t>
            </w:r>
          </w:p>
        </w:tc>
        <w:tc>
          <w:tcPr>
            <w:tcW w:w="42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1"/>
                <w:szCs w:val="11"/>
                <w:color w:val="auto"/>
              </w:rPr>
              <w:t>(654)</w:t>
            </w:r>
          </w:p>
        </w:tc>
        <w:tc>
          <w:tcPr>
            <w:tcW w:w="42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1,252</w:t>
            </w:r>
          </w:p>
        </w:tc>
        <w:tc>
          <w:tcPr>
            <w:tcW w:w="2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3,095</w:t>
            </w:r>
          </w:p>
        </w:tc>
      </w:tr>
      <w:tr>
        <w:trPr>
          <w:trHeight w:val="151"/>
        </w:trPr>
        <w:tc>
          <w:tcPr>
            <w:tcW w:w="6300" w:type="dxa"/>
            <w:vAlign w:val="bottom"/>
            <w:gridSpan w:val="2"/>
          </w:tcPr>
          <w:p>
            <w:pPr>
              <w:ind w:left="80"/>
              <w:spacing w:after="0"/>
              <w:rPr>
                <w:sz w:val="20"/>
                <w:szCs w:val="20"/>
                <w:color w:val="auto"/>
              </w:rPr>
            </w:pPr>
            <w:r>
              <w:rPr>
                <w:rFonts w:ascii="Arial" w:cs="Arial" w:eastAsia="Arial" w:hAnsi="Arial"/>
                <w:sz w:val="11"/>
                <w:szCs w:val="11"/>
                <w:color w:val="auto"/>
              </w:rPr>
              <w:t>Change in valuation allowance</w:t>
            </w:r>
          </w:p>
        </w:tc>
        <w:tc>
          <w:tcPr>
            <w:tcW w:w="42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1,531</w:t>
            </w: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1"/>
                <w:szCs w:val="11"/>
                <w:color w:val="auto"/>
              </w:rPr>
              <w:t>(17,187)</w:t>
            </w:r>
          </w:p>
        </w:tc>
        <w:tc>
          <w:tcPr>
            <w:tcW w:w="4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(3,882)</w:t>
            </w:r>
          </w:p>
        </w:tc>
      </w:tr>
      <w:tr>
        <w:trPr>
          <w:trHeight w:val="155"/>
        </w:trPr>
        <w:tc>
          <w:tcPr>
            <w:tcW w:w="6300" w:type="dxa"/>
            <w:vAlign w:val="bottom"/>
            <w:gridSpan w:val="2"/>
            <w:shd w:val="clear" w:color="auto" w:fill="CCEEFF"/>
          </w:tcPr>
          <w:p>
            <w:pPr>
              <w:ind w:left="80"/>
              <w:spacing w:after="0"/>
              <w:rPr>
                <w:sz w:val="20"/>
                <w:szCs w:val="20"/>
                <w:color w:val="auto"/>
              </w:rPr>
            </w:pPr>
            <w:r>
              <w:rPr>
                <w:rFonts w:ascii="Arial" w:cs="Arial" w:eastAsia="Arial" w:hAnsi="Arial"/>
                <w:sz w:val="11"/>
                <w:szCs w:val="11"/>
                <w:color w:val="auto"/>
              </w:rPr>
              <w:t>Indefinite reinvestment assertion</w:t>
            </w:r>
          </w:p>
        </w:tc>
        <w:tc>
          <w:tcPr>
            <w:tcW w:w="42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1"/>
                <w:szCs w:val="11"/>
                <w:color w:val="auto"/>
              </w:rPr>
              <w:t>(3,089)</w:t>
            </w:r>
          </w:p>
        </w:tc>
        <w:tc>
          <w:tcPr>
            <w:tcW w:w="42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1"/>
                <w:szCs w:val="11"/>
                <w:color w:val="auto"/>
              </w:rPr>
              <w:t>--</w:t>
            </w:r>
          </w:p>
        </w:tc>
        <w:tc>
          <w:tcPr>
            <w:tcW w:w="42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r>
      <w:tr>
        <w:trPr>
          <w:trHeight w:val="151"/>
        </w:trPr>
        <w:tc>
          <w:tcPr>
            <w:tcW w:w="6300" w:type="dxa"/>
            <w:vAlign w:val="bottom"/>
            <w:gridSpan w:val="2"/>
          </w:tcPr>
          <w:p>
            <w:pPr>
              <w:ind w:left="80"/>
              <w:spacing w:after="0"/>
              <w:rPr>
                <w:sz w:val="20"/>
                <w:szCs w:val="20"/>
                <w:color w:val="auto"/>
              </w:rPr>
            </w:pPr>
            <w:r>
              <w:rPr>
                <w:rFonts w:ascii="Arial" w:cs="Arial" w:eastAsia="Arial" w:hAnsi="Arial"/>
                <w:sz w:val="11"/>
                <w:szCs w:val="11"/>
                <w:color w:val="auto"/>
              </w:rPr>
              <w:t>State and local tax provision</w:t>
            </w:r>
          </w:p>
        </w:tc>
        <w:tc>
          <w:tcPr>
            <w:tcW w:w="42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1,113</w:t>
            </w: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375</w:t>
            </w: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296</w:t>
            </w:r>
          </w:p>
        </w:tc>
      </w:tr>
      <w:tr>
        <w:trPr>
          <w:trHeight w:val="155"/>
        </w:trPr>
        <w:tc>
          <w:tcPr>
            <w:tcW w:w="6300" w:type="dxa"/>
            <w:vAlign w:val="bottom"/>
            <w:gridSpan w:val="2"/>
            <w:shd w:val="clear" w:color="auto" w:fill="CCEEFF"/>
          </w:tcPr>
          <w:p>
            <w:pPr>
              <w:ind w:left="80"/>
              <w:spacing w:after="0"/>
              <w:rPr>
                <w:sz w:val="20"/>
                <w:szCs w:val="20"/>
                <w:color w:val="auto"/>
              </w:rPr>
            </w:pPr>
            <w:r>
              <w:rPr>
                <w:rFonts w:ascii="Arial" w:cs="Arial" w:eastAsia="Arial" w:hAnsi="Arial"/>
                <w:sz w:val="11"/>
                <w:szCs w:val="11"/>
                <w:color w:val="auto"/>
              </w:rPr>
              <w:t>State rate and law change</w:t>
            </w:r>
          </w:p>
        </w:tc>
        <w:tc>
          <w:tcPr>
            <w:tcW w:w="42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1"/>
                <w:szCs w:val="11"/>
                <w:color w:val="auto"/>
              </w:rPr>
              <w:t>(3,635)</w:t>
            </w:r>
          </w:p>
        </w:tc>
        <w:tc>
          <w:tcPr>
            <w:tcW w:w="42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1"/>
                <w:szCs w:val="11"/>
                <w:color w:val="auto"/>
              </w:rPr>
              <w:t>--</w:t>
            </w:r>
          </w:p>
        </w:tc>
        <w:tc>
          <w:tcPr>
            <w:tcW w:w="42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r>
      <w:tr>
        <w:trPr>
          <w:trHeight w:val="151"/>
        </w:trPr>
        <w:tc>
          <w:tcPr>
            <w:tcW w:w="6300" w:type="dxa"/>
            <w:vAlign w:val="bottom"/>
            <w:gridSpan w:val="2"/>
          </w:tcPr>
          <w:p>
            <w:pPr>
              <w:ind w:left="80"/>
              <w:spacing w:after="0"/>
              <w:rPr>
                <w:sz w:val="20"/>
                <w:szCs w:val="20"/>
                <w:color w:val="auto"/>
              </w:rPr>
            </w:pPr>
            <w:r>
              <w:rPr>
                <w:rFonts w:ascii="Arial" w:cs="Arial" w:eastAsia="Arial" w:hAnsi="Arial"/>
                <w:sz w:val="11"/>
                <w:szCs w:val="11"/>
                <w:color w:val="auto"/>
              </w:rPr>
              <w:t>Prior year adjustments</w:t>
            </w:r>
          </w:p>
        </w:tc>
        <w:tc>
          <w:tcPr>
            <w:tcW w:w="420" w:type="dxa"/>
            <w:vAlign w:val="bottom"/>
          </w:tcPr>
          <w:p>
            <w:pPr>
              <w:spacing w:after="0"/>
              <w:rPr>
                <w:sz w:val="13"/>
                <w:szCs w:val="13"/>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1"/>
                <w:szCs w:val="11"/>
                <w:color w:val="auto"/>
              </w:rPr>
              <w:t>(514)</w:t>
            </w:r>
          </w:p>
        </w:tc>
        <w:tc>
          <w:tcPr>
            <w:tcW w:w="420" w:type="dxa"/>
            <w:vAlign w:val="bottom"/>
          </w:tcPr>
          <w:p>
            <w:pPr>
              <w:spacing w:after="0"/>
              <w:rPr>
                <w:sz w:val="13"/>
                <w:szCs w:val="13"/>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4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55"/>
        </w:trPr>
        <w:tc>
          <w:tcPr>
            <w:tcW w:w="6300" w:type="dxa"/>
            <w:vAlign w:val="bottom"/>
            <w:gridSpan w:val="2"/>
            <w:shd w:val="clear" w:color="auto" w:fill="CCEEFF"/>
          </w:tcPr>
          <w:p>
            <w:pPr>
              <w:ind w:left="80"/>
              <w:spacing w:after="0"/>
              <w:rPr>
                <w:sz w:val="20"/>
                <w:szCs w:val="20"/>
                <w:color w:val="auto"/>
              </w:rPr>
            </w:pPr>
            <w:r>
              <w:rPr>
                <w:rFonts w:ascii="Arial" w:cs="Arial" w:eastAsia="Arial" w:hAnsi="Arial"/>
                <w:sz w:val="11"/>
                <w:szCs w:val="11"/>
                <w:color w:val="auto"/>
              </w:rPr>
              <w:t>Unrecognized tax benefits</w:t>
            </w:r>
          </w:p>
        </w:tc>
        <w:tc>
          <w:tcPr>
            <w:tcW w:w="42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946</w:t>
            </w:r>
          </w:p>
        </w:tc>
        <w:tc>
          <w:tcPr>
            <w:tcW w:w="2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700</w:t>
            </w:r>
          </w:p>
        </w:tc>
        <w:tc>
          <w:tcPr>
            <w:tcW w:w="2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1,140</w:t>
            </w:r>
          </w:p>
        </w:tc>
      </w:tr>
      <w:tr>
        <w:trPr>
          <w:trHeight w:val="151"/>
        </w:trPr>
        <w:tc>
          <w:tcPr>
            <w:tcW w:w="6300" w:type="dxa"/>
            <w:vAlign w:val="bottom"/>
            <w:gridSpan w:val="2"/>
          </w:tcPr>
          <w:p>
            <w:pPr>
              <w:ind w:left="80"/>
              <w:spacing w:after="0"/>
              <w:rPr>
                <w:sz w:val="20"/>
                <w:szCs w:val="20"/>
                <w:color w:val="auto"/>
              </w:rPr>
            </w:pPr>
            <w:r>
              <w:rPr>
                <w:rFonts w:ascii="Arial" w:cs="Arial" w:eastAsia="Arial" w:hAnsi="Arial"/>
                <w:sz w:val="11"/>
                <w:szCs w:val="11"/>
                <w:color w:val="auto"/>
              </w:rPr>
              <w:t>Other</w:t>
            </w:r>
          </w:p>
        </w:tc>
        <w:tc>
          <w:tcPr>
            <w:tcW w:w="420" w:type="dxa"/>
            <w:vAlign w:val="bottom"/>
          </w:tcPr>
          <w:p>
            <w:pPr>
              <w:spacing w:after="0"/>
              <w:rPr>
                <w:sz w:val="13"/>
                <w:szCs w:val="13"/>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1"/>
                <w:szCs w:val="11"/>
                <w:color w:val="auto"/>
              </w:rPr>
              <w:t>(152)</w:t>
            </w:r>
          </w:p>
        </w:tc>
        <w:tc>
          <w:tcPr>
            <w:tcW w:w="420" w:type="dxa"/>
            <w:vAlign w:val="bottom"/>
          </w:tcPr>
          <w:p>
            <w:pPr>
              <w:spacing w:after="0"/>
              <w:rPr>
                <w:sz w:val="13"/>
                <w:szCs w:val="13"/>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1"/>
                <w:szCs w:val="11"/>
                <w:color w:val="auto"/>
              </w:rPr>
              <w:t>(496)</w:t>
            </w:r>
          </w:p>
        </w:tc>
        <w:tc>
          <w:tcPr>
            <w:tcW w:w="4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(601)</w:t>
            </w:r>
          </w:p>
        </w:tc>
      </w:tr>
      <w:tr>
        <w:trPr>
          <w:trHeight w:val="126"/>
        </w:trPr>
        <w:tc>
          <w:tcPr>
            <w:tcW w:w="63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1"/>
                <w:szCs w:val="11"/>
                <w:color w:val="auto"/>
              </w:rPr>
              <w:t>Actual tax provision (benefit)</w:t>
            </w:r>
          </w:p>
        </w:tc>
        <w:tc>
          <w:tcPr>
            <w:tcW w:w="420" w:type="dxa"/>
            <w:vAlign w:val="bottom"/>
            <w:tcBorders>
              <w:top w:val="single" w:sz="8" w:color="auto"/>
              <w:bottom w:val="single" w:sz="8" w:color="auto"/>
            </w:tcBorders>
            <w:shd w:val="clear" w:color="auto" w:fill="CCEEFF"/>
          </w:tcPr>
          <w:p>
            <w:pPr>
              <w:jc w:val="right"/>
              <w:ind w:right="46"/>
              <w:spacing w:after="0"/>
              <w:rPr>
                <w:sz w:val="20"/>
                <w:szCs w:val="20"/>
                <w:color w:val="auto"/>
              </w:rPr>
            </w:pPr>
            <w:r>
              <w:rPr>
                <w:rFonts w:ascii="Arial" w:cs="Arial" w:eastAsia="Arial" w:hAnsi="Arial"/>
                <w:sz w:val="11"/>
                <w:szCs w:val="11"/>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4,943</w:t>
            </w:r>
          </w:p>
        </w:tc>
        <w:tc>
          <w:tcPr>
            <w:tcW w:w="280" w:type="dxa"/>
            <w:vAlign w:val="bottom"/>
            <w:tcBorders>
              <w:top w:val="single" w:sz="8" w:color="CCEEFF"/>
              <w:bottom w:val="single" w:sz="8" w:color="CCEEFF"/>
            </w:tcBorders>
            <w:shd w:val="clear" w:color="auto" w:fill="CCEEFF"/>
          </w:tcPr>
          <w:p>
            <w:pPr>
              <w:spacing w:after="0"/>
              <w:rPr>
                <w:sz w:val="10"/>
                <w:szCs w:val="10"/>
                <w:color w:val="auto"/>
              </w:rPr>
            </w:pPr>
          </w:p>
        </w:tc>
        <w:tc>
          <w:tcPr>
            <w:tcW w:w="420" w:type="dxa"/>
            <w:vAlign w:val="bottom"/>
            <w:tcBorders>
              <w:top w:val="single" w:sz="8" w:color="auto"/>
              <w:bottom w:val="single" w:sz="8" w:color="auto"/>
            </w:tcBorders>
            <w:shd w:val="clear" w:color="auto" w:fill="CCEEFF"/>
          </w:tcPr>
          <w:p>
            <w:pPr>
              <w:jc w:val="right"/>
              <w:ind w:right="46"/>
              <w:spacing w:after="0"/>
              <w:rPr>
                <w:sz w:val="20"/>
                <w:szCs w:val="20"/>
                <w:color w:val="auto"/>
              </w:rPr>
            </w:pPr>
            <w:r>
              <w:rPr>
                <w:rFonts w:ascii="Arial" w:cs="Arial" w:eastAsia="Arial" w:hAnsi="Arial"/>
                <w:sz w:val="11"/>
                <w:szCs w:val="11"/>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(9,785)</w:t>
            </w:r>
          </w:p>
        </w:tc>
        <w:tc>
          <w:tcPr>
            <w:tcW w:w="280" w:type="dxa"/>
            <w:vAlign w:val="bottom"/>
            <w:tcBorders>
              <w:top w:val="single" w:sz="8" w:color="CCEEFF"/>
              <w:bottom w:val="single" w:sz="8" w:color="CCEEFF"/>
            </w:tcBorders>
            <w:shd w:val="clear" w:color="auto" w:fill="CCEEFF"/>
          </w:tcPr>
          <w:p>
            <w:pPr>
              <w:spacing w:after="0"/>
              <w:rPr>
                <w:sz w:val="10"/>
                <w:szCs w:val="10"/>
                <w:color w:val="auto"/>
              </w:rPr>
            </w:pPr>
          </w:p>
        </w:tc>
        <w:tc>
          <w:tcPr>
            <w:tcW w:w="420" w:type="dxa"/>
            <w:vAlign w:val="bottom"/>
            <w:tcBorders>
              <w:top w:val="single" w:sz="8" w:color="auto"/>
              <w:bottom w:val="single" w:sz="8" w:color="auto"/>
            </w:tcBorders>
            <w:shd w:val="clear" w:color="auto" w:fill="CCEEFF"/>
          </w:tcPr>
          <w:p>
            <w:pPr>
              <w:jc w:val="right"/>
              <w:ind w:right="46"/>
              <w:spacing w:after="0"/>
              <w:rPr>
                <w:sz w:val="20"/>
                <w:szCs w:val="20"/>
                <w:color w:val="auto"/>
              </w:rPr>
            </w:pPr>
            <w:r>
              <w:rPr>
                <w:rFonts w:ascii="Arial" w:cs="Arial" w:eastAsia="Arial" w:hAnsi="Arial"/>
                <w:sz w:val="11"/>
                <w:szCs w:val="11"/>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4,942</w:t>
            </w:r>
          </w:p>
        </w:tc>
      </w:tr>
    </w:tbl>
    <w:p>
      <w:pPr>
        <w:spacing w:after="0" w:line="252" w:lineRule="exact"/>
        <w:rPr>
          <w:sz w:val="20"/>
          <w:szCs w:val="20"/>
          <w:color w:val="auto"/>
        </w:rPr>
      </w:pPr>
    </w:p>
    <w:p>
      <w:pPr>
        <w:jc w:val="both"/>
        <w:ind w:right="140"/>
        <w:spacing w:after="0" w:line="263" w:lineRule="auto"/>
        <w:rPr>
          <w:sz w:val="20"/>
          <w:szCs w:val="20"/>
          <w:color w:val="auto"/>
        </w:rPr>
      </w:pPr>
      <w:r>
        <w:rPr>
          <w:rFonts w:ascii="Arial" w:cs="Arial" w:eastAsia="Arial" w:hAnsi="Arial"/>
          <w:sz w:val="12"/>
          <w:szCs w:val="12"/>
          <w:color w:val="auto"/>
        </w:rPr>
        <w:t>The undistributed earnings of the Company's Australian subsidiaries are considered to be indefinitely reinvested. Accordingly, no provision for U.S. federal and state income taxes or foreign withholding taxes has been provided on such undistributed earnings. Determination of the potential amount of unrecognized deferred U.S. income tax liability and foreign withholding taxes is not practicable because of the complexities associated with a hypothetical calculation.</w:t>
      </w:r>
    </w:p>
    <w:p>
      <w:pPr>
        <w:spacing w:after="0" w:line="105" w:lineRule="exact"/>
        <w:rPr>
          <w:sz w:val="20"/>
          <w:szCs w:val="20"/>
          <w:color w:val="auto"/>
        </w:rPr>
      </w:pPr>
    </w:p>
    <w:p>
      <w:pPr>
        <w:ind w:right="180"/>
        <w:spacing w:after="0" w:line="276" w:lineRule="auto"/>
        <w:rPr>
          <w:sz w:val="20"/>
          <w:szCs w:val="20"/>
          <w:color w:val="auto"/>
        </w:rPr>
      </w:pPr>
      <w:r>
        <w:rPr>
          <w:rFonts w:ascii="Arial" w:cs="Arial" w:eastAsia="Arial" w:hAnsi="Arial"/>
          <w:sz w:val="12"/>
          <w:szCs w:val="12"/>
          <w:color w:val="auto"/>
        </w:rPr>
        <w:t>As part of current taxes payable, we have accrued $2.5 million in connection with federal and state liabilities arising from the “</w:t>
      </w:r>
      <w:r>
        <w:rPr>
          <w:rFonts w:ascii="Arial" w:cs="Arial" w:eastAsia="Arial" w:hAnsi="Arial"/>
          <w:sz w:val="12"/>
          <w:szCs w:val="12"/>
          <w:i w:val="1"/>
          <w:iCs w:val="1"/>
          <w:color w:val="auto"/>
        </w:rPr>
        <w:t>Tax Audit/Litigation</w:t>
      </w:r>
      <w:r>
        <w:rPr>
          <w:rFonts w:ascii="Arial" w:cs="Arial" w:eastAsia="Arial" w:hAnsi="Arial"/>
          <w:sz w:val="12"/>
          <w:szCs w:val="12"/>
          <w:color w:val="auto"/>
        </w:rPr>
        <w:t xml:space="preserve">” matter which has now been settled (see Note 12 – </w:t>
      </w:r>
      <w:r>
        <w:rPr>
          <w:rFonts w:ascii="Arial" w:cs="Arial" w:eastAsia="Arial" w:hAnsi="Arial"/>
          <w:sz w:val="12"/>
          <w:szCs w:val="12"/>
          <w:i w:val="1"/>
          <w:iCs w:val="1"/>
          <w:color w:val="auto"/>
        </w:rPr>
        <w:t>Commitments and</w:t>
      </w:r>
      <w:r>
        <w:rPr>
          <w:rFonts w:ascii="Arial" w:cs="Arial" w:eastAsia="Arial" w:hAnsi="Arial"/>
          <w:sz w:val="12"/>
          <w:szCs w:val="12"/>
          <w:color w:val="auto"/>
        </w:rPr>
        <w:t xml:space="preserve"> </w:t>
      </w:r>
      <w:r>
        <w:rPr>
          <w:rFonts w:ascii="Arial" w:cs="Arial" w:eastAsia="Arial" w:hAnsi="Arial"/>
          <w:sz w:val="12"/>
          <w:szCs w:val="12"/>
          <w:i w:val="1"/>
          <w:iCs w:val="1"/>
          <w:color w:val="auto"/>
        </w:rPr>
        <w:t>Contingencies</w:t>
      </w:r>
      <w:r>
        <w:rPr>
          <w:rFonts w:ascii="Arial" w:cs="Arial" w:eastAsia="Arial" w:hAnsi="Arial"/>
          <w:sz w:val="12"/>
          <w:szCs w:val="12"/>
          <w:color w:val="auto"/>
        </w:rPr>
        <w:t>).</w:t>
      </w:r>
    </w:p>
    <w:p>
      <w:pPr>
        <w:spacing w:after="0" w:line="88" w:lineRule="exact"/>
        <w:rPr>
          <w:sz w:val="20"/>
          <w:szCs w:val="20"/>
          <w:color w:val="auto"/>
        </w:rPr>
      </w:pPr>
    </w:p>
    <w:p>
      <w:pPr>
        <w:spacing w:after="0"/>
        <w:rPr>
          <w:sz w:val="20"/>
          <w:szCs w:val="20"/>
          <w:color w:val="auto"/>
        </w:rPr>
      </w:pPr>
      <w:r>
        <w:rPr>
          <w:rFonts w:ascii="Arial" w:cs="Arial" w:eastAsia="Arial" w:hAnsi="Arial"/>
          <w:sz w:val="12"/>
          <w:szCs w:val="12"/>
          <w:color w:val="auto"/>
        </w:rPr>
        <w:t>The following table is a summary of the activity related to unrecognized tax benefits, excluding interest and penalties, for the years ended December 31, 2015, 2014, and 2013:</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6320" w:type="dxa"/>
            <w:vAlign w:val="bottom"/>
            <w:gridSpan w:val="2"/>
          </w:tcPr>
          <w:p>
            <w:pPr>
              <w:spacing w:after="0"/>
              <w:rPr>
                <w:sz w:val="20"/>
                <w:szCs w:val="20"/>
                <w:color w:val="auto"/>
              </w:rPr>
            </w:pPr>
            <w:r>
              <w:rPr>
                <w:rFonts w:ascii="Arial" w:cs="Arial" w:eastAsia="Arial" w:hAnsi="Arial"/>
                <w:sz w:val="11"/>
                <w:szCs w:val="11"/>
                <w:color w:val="auto"/>
              </w:rPr>
              <w:t>(Dollars in thousands)</w:t>
            </w:r>
          </w:p>
        </w:tc>
        <w:tc>
          <w:tcPr>
            <w:tcW w:w="400" w:type="dxa"/>
            <w:vAlign w:val="bottom"/>
          </w:tcPr>
          <w:p>
            <w:pPr>
              <w:spacing w:after="0"/>
              <w:rPr>
                <w:sz w:val="12"/>
                <w:szCs w:val="12"/>
                <w:color w:val="auto"/>
              </w:rPr>
            </w:pPr>
          </w:p>
        </w:tc>
        <w:tc>
          <w:tcPr>
            <w:tcW w:w="840" w:type="dxa"/>
            <w:vAlign w:val="bottom"/>
          </w:tcPr>
          <w:p>
            <w:pPr>
              <w:jc w:val="right"/>
              <w:ind w:right="466"/>
              <w:spacing w:after="0"/>
              <w:rPr>
                <w:sz w:val="20"/>
                <w:szCs w:val="20"/>
                <w:color w:val="auto"/>
              </w:rPr>
            </w:pPr>
            <w:r>
              <w:rPr>
                <w:rFonts w:ascii="Arial" w:cs="Arial" w:eastAsia="Arial" w:hAnsi="Arial"/>
                <w:sz w:val="11"/>
                <w:szCs w:val="11"/>
                <w:b w:val="1"/>
                <w:bCs w:val="1"/>
                <w:color w:val="auto"/>
              </w:rPr>
              <w:t>2015</w:t>
            </w:r>
          </w:p>
        </w:tc>
        <w:tc>
          <w:tcPr>
            <w:tcW w:w="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tcPr>
          <w:p>
            <w:pPr>
              <w:jc w:val="right"/>
              <w:ind w:right="446"/>
              <w:spacing w:after="0"/>
              <w:rPr>
                <w:sz w:val="20"/>
                <w:szCs w:val="20"/>
                <w:color w:val="auto"/>
              </w:rPr>
            </w:pPr>
            <w:r>
              <w:rPr>
                <w:rFonts w:ascii="Arial" w:cs="Arial" w:eastAsia="Arial" w:hAnsi="Arial"/>
                <w:sz w:val="11"/>
                <w:szCs w:val="11"/>
                <w:b w:val="1"/>
                <w:bCs w:val="1"/>
                <w:color w:val="auto"/>
              </w:rPr>
              <w:t>2014</w:t>
            </w:r>
          </w:p>
        </w:tc>
        <w:tc>
          <w:tcPr>
            <w:tcW w:w="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40" w:type="dxa"/>
            <w:vAlign w:val="bottom"/>
          </w:tcPr>
          <w:p>
            <w:pPr>
              <w:jc w:val="right"/>
              <w:ind w:right="466"/>
              <w:spacing w:after="0"/>
              <w:rPr>
                <w:sz w:val="20"/>
                <w:szCs w:val="20"/>
                <w:color w:val="auto"/>
              </w:rPr>
            </w:pPr>
            <w:r>
              <w:rPr>
                <w:rFonts w:ascii="Arial" w:cs="Arial" w:eastAsia="Arial" w:hAnsi="Arial"/>
                <w:sz w:val="11"/>
                <w:szCs w:val="11"/>
                <w:b w:val="1"/>
                <w:bCs w:val="1"/>
                <w:color w:val="auto"/>
              </w:rPr>
              <w:t>2013</w:t>
            </w:r>
          </w:p>
        </w:tc>
        <w:tc>
          <w:tcPr>
            <w:tcW w:w="0" w:type="dxa"/>
            <w:vAlign w:val="bottom"/>
          </w:tcPr>
          <w:p>
            <w:pPr>
              <w:spacing w:after="0"/>
              <w:rPr>
                <w:sz w:val="1"/>
                <w:szCs w:val="1"/>
                <w:color w:val="auto"/>
              </w:rPr>
            </w:pPr>
          </w:p>
        </w:tc>
      </w:tr>
      <w:tr>
        <w:trPr>
          <w:trHeight w:val="160"/>
        </w:trPr>
        <w:tc>
          <w:tcPr>
            <w:tcW w:w="604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1"/>
                <w:szCs w:val="11"/>
                <w:color w:val="auto"/>
              </w:rPr>
              <w:t>Unrecognized tax benefits – gross beginning balance</w:t>
            </w:r>
          </w:p>
        </w:tc>
        <w:tc>
          <w:tcPr>
            <w:tcW w:w="280" w:type="dxa"/>
            <w:vAlign w:val="bottom"/>
            <w:tcBorders>
              <w:top w:val="single" w:sz="8" w:color="CCEEFF"/>
              <w:bottom w:val="single" w:sz="8" w:color="CCEEFF"/>
            </w:tcBorders>
            <w:shd w:val="clear" w:color="auto" w:fill="CCEEFF"/>
          </w:tcPr>
          <w:p>
            <w:pPr>
              <w:spacing w:after="0"/>
              <w:rPr>
                <w:sz w:val="13"/>
                <w:szCs w:val="13"/>
                <w:color w:val="auto"/>
              </w:rPr>
            </w:pPr>
          </w:p>
        </w:tc>
        <w:tc>
          <w:tcPr>
            <w:tcW w:w="400" w:type="dxa"/>
            <w:vAlign w:val="bottom"/>
            <w:tcBorders>
              <w:top w:val="single" w:sz="8" w:color="auto"/>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3,760</w:t>
            </w:r>
          </w:p>
        </w:tc>
        <w:tc>
          <w:tcPr>
            <w:tcW w:w="280" w:type="dxa"/>
            <w:vAlign w:val="bottom"/>
            <w:tcBorders>
              <w:top w:val="single" w:sz="8" w:color="CCEEFF"/>
              <w:bottom w:val="single" w:sz="8" w:color="CCEEFF"/>
            </w:tcBorders>
            <w:shd w:val="clear" w:color="auto" w:fill="CCEEFF"/>
          </w:tcPr>
          <w:p>
            <w:pPr>
              <w:spacing w:after="0"/>
              <w:rPr>
                <w:sz w:val="13"/>
                <w:szCs w:val="13"/>
                <w:color w:val="auto"/>
              </w:rPr>
            </w:pPr>
          </w:p>
        </w:tc>
        <w:tc>
          <w:tcPr>
            <w:tcW w:w="420" w:type="dxa"/>
            <w:vAlign w:val="bottom"/>
            <w:tcBorders>
              <w:top w:val="single" w:sz="8" w:color="auto"/>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2,160</w:t>
            </w:r>
          </w:p>
        </w:tc>
        <w:tc>
          <w:tcPr>
            <w:tcW w:w="300" w:type="dxa"/>
            <w:vAlign w:val="bottom"/>
            <w:tcBorders>
              <w:top w:val="single" w:sz="8" w:color="CCEEFF"/>
              <w:bottom w:val="single" w:sz="8" w:color="CCEEFF"/>
            </w:tcBorders>
            <w:shd w:val="clear" w:color="auto" w:fill="CCEEFF"/>
          </w:tcPr>
          <w:p>
            <w:pPr>
              <w:spacing w:after="0"/>
              <w:rPr>
                <w:sz w:val="13"/>
                <w:szCs w:val="13"/>
                <w:color w:val="auto"/>
              </w:rPr>
            </w:pPr>
          </w:p>
        </w:tc>
        <w:tc>
          <w:tcPr>
            <w:tcW w:w="400" w:type="dxa"/>
            <w:vAlign w:val="bottom"/>
            <w:tcBorders>
              <w:top w:val="single" w:sz="8" w:color="auto"/>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2,171</w:t>
            </w:r>
          </w:p>
        </w:tc>
        <w:tc>
          <w:tcPr>
            <w:tcW w:w="0" w:type="dxa"/>
            <w:vAlign w:val="bottom"/>
          </w:tcPr>
          <w:p>
            <w:pPr>
              <w:spacing w:after="0"/>
              <w:rPr>
                <w:sz w:val="1"/>
                <w:szCs w:val="1"/>
                <w:color w:val="auto"/>
              </w:rPr>
            </w:pPr>
          </w:p>
        </w:tc>
      </w:tr>
      <w:tr>
        <w:trPr>
          <w:trHeight w:val="136"/>
        </w:trPr>
        <w:tc>
          <w:tcPr>
            <w:tcW w:w="6320" w:type="dxa"/>
            <w:vAlign w:val="bottom"/>
            <w:gridSpan w:val="2"/>
          </w:tcPr>
          <w:p>
            <w:pPr>
              <w:spacing w:after="0"/>
              <w:rPr>
                <w:sz w:val="20"/>
                <w:szCs w:val="20"/>
                <w:color w:val="auto"/>
              </w:rPr>
            </w:pPr>
            <w:r>
              <w:rPr>
                <w:rFonts w:ascii="Arial" w:cs="Arial" w:eastAsia="Arial" w:hAnsi="Arial"/>
                <w:sz w:val="11"/>
                <w:szCs w:val="11"/>
                <w:color w:val="auto"/>
              </w:rPr>
              <w:t>Gross increases – prior period tax provisions</w:t>
            </w:r>
          </w:p>
        </w:tc>
        <w:tc>
          <w:tcPr>
            <w:tcW w:w="40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1"/>
                <w:szCs w:val="11"/>
                <w:color w:val="auto"/>
              </w:rPr>
              <w:t>6,679</w:t>
            </w: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1"/>
                <w:szCs w:val="11"/>
                <w:color w:val="auto"/>
              </w:rPr>
              <w:t>1,600</w:t>
            </w: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1"/>
                <w:szCs w:val="11"/>
                <w:color w:val="auto"/>
              </w:rPr>
              <w:t>(11)</w:t>
            </w:r>
          </w:p>
        </w:tc>
        <w:tc>
          <w:tcPr>
            <w:tcW w:w="0" w:type="dxa"/>
            <w:vAlign w:val="bottom"/>
          </w:tcPr>
          <w:p>
            <w:pPr>
              <w:spacing w:after="0"/>
              <w:rPr>
                <w:sz w:val="1"/>
                <w:szCs w:val="1"/>
                <w:color w:val="auto"/>
              </w:rPr>
            </w:pPr>
          </w:p>
        </w:tc>
      </w:tr>
      <w:tr>
        <w:trPr>
          <w:trHeight w:val="51"/>
        </w:trPr>
        <w:tc>
          <w:tcPr>
            <w:tcW w:w="604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0" w:type="dxa"/>
            <w:vAlign w:val="bottom"/>
          </w:tcPr>
          <w:p>
            <w:pPr>
              <w:spacing w:after="0"/>
              <w:rPr>
                <w:sz w:val="4"/>
                <w:szCs w:val="4"/>
                <w:color w:val="auto"/>
              </w:rPr>
            </w:pPr>
          </w:p>
        </w:tc>
        <w:tc>
          <w:tcPr>
            <w:tcW w:w="840" w:type="dxa"/>
            <w:vAlign w:val="bottom"/>
            <w:vMerge w:val="continue"/>
          </w:tcPr>
          <w:p>
            <w:pPr>
              <w:spacing w:after="0"/>
              <w:rPr>
                <w:sz w:val="4"/>
                <w:szCs w:val="4"/>
                <w:color w:val="auto"/>
              </w:rPr>
            </w:pPr>
          </w:p>
        </w:tc>
        <w:tc>
          <w:tcPr>
            <w:tcW w:w="280" w:type="dxa"/>
            <w:vAlign w:val="bottom"/>
          </w:tcPr>
          <w:p>
            <w:pPr>
              <w:spacing w:after="0"/>
              <w:rPr>
                <w:sz w:val="4"/>
                <w:szCs w:val="4"/>
                <w:color w:val="auto"/>
              </w:rPr>
            </w:pPr>
          </w:p>
        </w:tc>
        <w:tc>
          <w:tcPr>
            <w:tcW w:w="420" w:type="dxa"/>
            <w:vAlign w:val="bottom"/>
          </w:tcPr>
          <w:p>
            <w:pPr>
              <w:spacing w:after="0"/>
              <w:rPr>
                <w:sz w:val="4"/>
                <w:szCs w:val="4"/>
                <w:color w:val="auto"/>
              </w:rPr>
            </w:pPr>
          </w:p>
        </w:tc>
        <w:tc>
          <w:tcPr>
            <w:tcW w:w="820" w:type="dxa"/>
            <w:vAlign w:val="bottom"/>
            <w:vMerge w:val="continue"/>
          </w:tcPr>
          <w:p>
            <w:pPr>
              <w:spacing w:after="0"/>
              <w:rPr>
                <w:sz w:val="4"/>
                <w:szCs w:val="4"/>
                <w:color w:val="auto"/>
              </w:rPr>
            </w:pPr>
          </w:p>
        </w:tc>
        <w:tc>
          <w:tcPr>
            <w:tcW w:w="300" w:type="dxa"/>
            <w:vAlign w:val="bottom"/>
          </w:tcPr>
          <w:p>
            <w:pPr>
              <w:spacing w:after="0"/>
              <w:rPr>
                <w:sz w:val="4"/>
                <w:szCs w:val="4"/>
                <w:color w:val="auto"/>
              </w:rPr>
            </w:pPr>
          </w:p>
        </w:tc>
        <w:tc>
          <w:tcPr>
            <w:tcW w:w="400" w:type="dxa"/>
            <w:vAlign w:val="bottom"/>
          </w:tcPr>
          <w:p>
            <w:pPr>
              <w:spacing w:after="0"/>
              <w:rPr>
                <w:sz w:val="4"/>
                <w:szCs w:val="4"/>
                <w:color w:val="auto"/>
              </w:rPr>
            </w:pPr>
          </w:p>
        </w:tc>
        <w:tc>
          <w:tcPr>
            <w:tcW w:w="8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63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1"/>
                <w:szCs w:val="11"/>
                <w:color w:val="auto"/>
              </w:rPr>
              <w:t>Gross increases – current period tax positions</w:t>
            </w:r>
          </w:p>
        </w:tc>
        <w:tc>
          <w:tcPr>
            <w:tcW w:w="40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583</w:t>
            </w:r>
          </w:p>
        </w:tc>
        <w:tc>
          <w:tcPr>
            <w:tcW w:w="28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3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4"/>
        </w:trPr>
        <w:tc>
          <w:tcPr>
            <w:tcW w:w="6320" w:type="dxa"/>
            <w:vAlign w:val="bottom"/>
            <w:gridSpan w:val="2"/>
          </w:tcPr>
          <w:p>
            <w:pPr>
              <w:spacing w:after="0" w:line="116" w:lineRule="exact"/>
              <w:rPr>
                <w:sz w:val="20"/>
                <w:szCs w:val="20"/>
                <w:color w:val="auto"/>
              </w:rPr>
            </w:pPr>
            <w:r>
              <w:rPr>
                <w:rFonts w:ascii="Arial" w:cs="Arial" w:eastAsia="Arial" w:hAnsi="Arial"/>
                <w:sz w:val="11"/>
                <w:szCs w:val="11"/>
                <w:color w:val="auto"/>
              </w:rPr>
              <w:t>Unrecognized tax benefits – gross ending balance</w:t>
            </w:r>
          </w:p>
        </w:tc>
        <w:tc>
          <w:tcPr>
            <w:tcW w:w="400" w:type="dxa"/>
            <w:vAlign w:val="bottom"/>
            <w:tcBorders>
              <w:top w:val="single" w:sz="8" w:color="auto"/>
            </w:tcBorders>
          </w:tcPr>
          <w:p>
            <w:pPr>
              <w:jc w:val="right"/>
              <w:ind w:right="46"/>
              <w:spacing w:after="0" w:line="124" w:lineRule="exact"/>
              <w:rPr>
                <w:sz w:val="20"/>
                <w:szCs w:val="20"/>
                <w:color w:val="auto"/>
              </w:rPr>
            </w:pPr>
            <w:r>
              <w:rPr>
                <w:rFonts w:ascii="Arial" w:cs="Arial" w:eastAsia="Arial" w:hAnsi="Arial"/>
                <w:sz w:val="11"/>
                <w:szCs w:val="11"/>
                <w:color w:val="auto"/>
              </w:rPr>
              <w:t>$</w:t>
            </w:r>
          </w:p>
        </w:tc>
        <w:tc>
          <w:tcPr>
            <w:tcW w:w="840" w:type="dxa"/>
            <w:vAlign w:val="bottom"/>
            <w:tcBorders>
              <w:top w:val="single" w:sz="8" w:color="auto"/>
            </w:tcBorders>
            <w:vMerge w:val="restart"/>
          </w:tcPr>
          <w:p>
            <w:pPr>
              <w:jc w:val="right"/>
              <w:spacing w:after="0"/>
              <w:rPr>
                <w:sz w:val="20"/>
                <w:szCs w:val="20"/>
                <w:color w:val="auto"/>
              </w:rPr>
            </w:pPr>
            <w:r>
              <w:rPr>
                <w:rFonts w:ascii="Arial" w:cs="Arial" w:eastAsia="Arial" w:hAnsi="Arial"/>
                <w:sz w:val="11"/>
                <w:szCs w:val="11"/>
                <w:color w:val="auto"/>
              </w:rPr>
              <w:t>11,022</w:t>
            </w:r>
          </w:p>
        </w:tc>
        <w:tc>
          <w:tcPr>
            <w:tcW w:w="280" w:type="dxa"/>
            <w:vAlign w:val="bottom"/>
          </w:tcPr>
          <w:p>
            <w:pPr>
              <w:spacing w:after="0"/>
              <w:rPr>
                <w:sz w:val="10"/>
                <w:szCs w:val="10"/>
                <w:color w:val="auto"/>
              </w:rPr>
            </w:pPr>
          </w:p>
        </w:tc>
        <w:tc>
          <w:tcPr>
            <w:tcW w:w="420" w:type="dxa"/>
            <w:vAlign w:val="bottom"/>
            <w:tcBorders>
              <w:top w:val="single" w:sz="8" w:color="auto"/>
            </w:tcBorders>
          </w:tcPr>
          <w:p>
            <w:pPr>
              <w:jc w:val="right"/>
              <w:ind w:right="66"/>
              <w:spacing w:after="0" w:line="124" w:lineRule="exact"/>
              <w:rPr>
                <w:sz w:val="20"/>
                <w:szCs w:val="20"/>
                <w:color w:val="auto"/>
              </w:rPr>
            </w:pPr>
            <w:r>
              <w:rPr>
                <w:rFonts w:ascii="Arial" w:cs="Arial" w:eastAsia="Arial" w:hAnsi="Arial"/>
                <w:sz w:val="11"/>
                <w:szCs w:val="11"/>
                <w:color w:val="auto"/>
              </w:rPr>
              <w:t>$</w:t>
            </w:r>
          </w:p>
        </w:tc>
        <w:tc>
          <w:tcPr>
            <w:tcW w:w="820" w:type="dxa"/>
            <w:vAlign w:val="bottom"/>
            <w:tcBorders>
              <w:top w:val="single" w:sz="8" w:color="auto"/>
            </w:tcBorders>
            <w:vMerge w:val="restart"/>
          </w:tcPr>
          <w:p>
            <w:pPr>
              <w:jc w:val="right"/>
              <w:spacing w:after="0"/>
              <w:rPr>
                <w:sz w:val="20"/>
                <w:szCs w:val="20"/>
                <w:color w:val="auto"/>
              </w:rPr>
            </w:pPr>
            <w:r>
              <w:rPr>
                <w:rFonts w:ascii="Arial" w:cs="Arial" w:eastAsia="Arial" w:hAnsi="Arial"/>
                <w:sz w:val="11"/>
                <w:szCs w:val="11"/>
                <w:color w:val="auto"/>
              </w:rPr>
              <w:t>3,760</w:t>
            </w:r>
          </w:p>
        </w:tc>
        <w:tc>
          <w:tcPr>
            <w:tcW w:w="300" w:type="dxa"/>
            <w:vAlign w:val="bottom"/>
          </w:tcPr>
          <w:p>
            <w:pPr>
              <w:spacing w:after="0"/>
              <w:rPr>
                <w:sz w:val="10"/>
                <w:szCs w:val="10"/>
                <w:color w:val="auto"/>
              </w:rPr>
            </w:pPr>
          </w:p>
        </w:tc>
        <w:tc>
          <w:tcPr>
            <w:tcW w:w="400" w:type="dxa"/>
            <w:vAlign w:val="bottom"/>
            <w:tcBorders>
              <w:top w:val="single" w:sz="8" w:color="auto"/>
            </w:tcBorders>
          </w:tcPr>
          <w:p>
            <w:pPr>
              <w:jc w:val="right"/>
              <w:ind w:right="46"/>
              <w:spacing w:after="0" w:line="124" w:lineRule="exact"/>
              <w:rPr>
                <w:sz w:val="20"/>
                <w:szCs w:val="20"/>
                <w:color w:val="auto"/>
              </w:rPr>
            </w:pPr>
            <w:r>
              <w:rPr>
                <w:rFonts w:ascii="Arial" w:cs="Arial" w:eastAsia="Arial" w:hAnsi="Arial"/>
                <w:sz w:val="11"/>
                <w:szCs w:val="11"/>
                <w:color w:val="auto"/>
              </w:rPr>
              <w:t>$</w:t>
            </w:r>
          </w:p>
        </w:tc>
        <w:tc>
          <w:tcPr>
            <w:tcW w:w="840" w:type="dxa"/>
            <w:vAlign w:val="bottom"/>
            <w:tcBorders>
              <w:top w:val="single" w:sz="8" w:color="auto"/>
            </w:tcBorders>
            <w:vMerge w:val="restart"/>
          </w:tcPr>
          <w:p>
            <w:pPr>
              <w:jc w:val="right"/>
              <w:spacing w:after="0"/>
              <w:rPr>
                <w:sz w:val="20"/>
                <w:szCs w:val="20"/>
                <w:color w:val="auto"/>
              </w:rPr>
            </w:pPr>
            <w:r>
              <w:rPr>
                <w:rFonts w:ascii="Arial" w:cs="Arial" w:eastAsia="Arial" w:hAnsi="Arial"/>
                <w:sz w:val="11"/>
                <w:szCs w:val="11"/>
                <w:color w:val="auto"/>
              </w:rPr>
              <w:t>2,160</w:t>
            </w:r>
          </w:p>
        </w:tc>
        <w:tc>
          <w:tcPr>
            <w:tcW w:w="0" w:type="dxa"/>
            <w:vAlign w:val="bottom"/>
          </w:tcPr>
          <w:p>
            <w:pPr>
              <w:spacing w:after="0"/>
              <w:rPr>
                <w:sz w:val="1"/>
                <w:szCs w:val="1"/>
                <w:color w:val="auto"/>
              </w:rPr>
            </w:pPr>
          </w:p>
        </w:tc>
      </w:tr>
      <w:tr>
        <w:trPr>
          <w:trHeight w:val="34"/>
        </w:trPr>
        <w:tc>
          <w:tcPr>
            <w:tcW w:w="6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vMerge w:val="continue"/>
          </w:tcPr>
          <w:p>
            <w:pPr>
              <w:spacing w:after="0"/>
              <w:rPr>
                <w:sz w:val="2"/>
                <w:szCs w:val="2"/>
                <w:color w:val="auto"/>
              </w:rPr>
            </w:pPr>
          </w:p>
        </w:tc>
        <w:tc>
          <w:tcPr>
            <w:tcW w:w="2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vMerge w:val="continue"/>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vMerge w:val="continue"/>
          </w:tcPr>
          <w:p>
            <w:pPr>
              <w:spacing w:after="0"/>
              <w:rPr>
                <w:sz w:val="2"/>
                <w:szCs w:val="2"/>
                <w:color w:val="auto"/>
              </w:rPr>
            </w:pPr>
          </w:p>
        </w:tc>
        <w:tc>
          <w:tcPr>
            <w:tcW w:w="0" w:type="dxa"/>
            <w:vAlign w:val="bottom"/>
          </w:tcPr>
          <w:p>
            <w:pPr>
              <w:spacing w:after="0"/>
              <w:rPr>
                <w:sz w:val="1"/>
                <w:szCs w:val="1"/>
                <w:color w:val="auto"/>
              </w:rPr>
            </w:pPr>
          </w:p>
        </w:tc>
      </w:tr>
    </w:tbl>
    <w:p>
      <w:pPr>
        <w:spacing w:after="0" w:line="135" w:lineRule="exact"/>
        <w:rPr>
          <w:sz w:val="20"/>
          <w:szCs w:val="20"/>
          <w:color w:val="auto"/>
        </w:rPr>
      </w:pPr>
    </w:p>
    <w:p>
      <w:pPr>
        <w:spacing w:after="0"/>
        <w:rPr>
          <w:sz w:val="20"/>
          <w:szCs w:val="20"/>
          <w:color w:val="auto"/>
        </w:rPr>
      </w:pPr>
      <w:r>
        <w:rPr>
          <w:rFonts w:ascii="Arial" w:cs="Arial" w:eastAsia="Arial" w:hAnsi="Arial"/>
          <w:sz w:val="12"/>
          <w:szCs w:val="12"/>
          <w:color w:val="auto"/>
        </w:rPr>
        <w:t>We record interest and penalties related to income tax matters as part of income tax expense.</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59690</wp:posOffset>
            </wp:positionV>
            <wp:extent cx="677989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779895" cy="42545"/>
                    </a:xfrm>
                    <a:prstGeom prst="rect">
                      <a:avLst/>
                    </a:prstGeom>
                    <a:noFill/>
                  </pic:spPr>
                </pic:pic>
              </a:graphicData>
            </a:graphic>
          </wp:anchor>
        </w:drawing>
      </w:r>
    </w:p>
    <w:p>
      <w:pPr>
        <w:sectPr>
          <w:pgSz w:w="11900" w:h="16838" w:orient="portrait"/>
          <w:cols w:equalWidth="0" w:num="1">
            <w:col w:w="10620"/>
          </w:cols>
          <w:pgMar w:left="640" w:top="275" w:right="639" w:bottom="1440" w:gutter="0" w:footer="0" w:header="0"/>
        </w:sectPr>
      </w:pPr>
    </w:p>
    <w:bookmarkStart w:id="76" w:name="page77"/>
    <w:bookmarkEnd w:id="76"/>
    <w:p>
      <w:pPr>
        <w:ind w:right="220"/>
        <w:spacing w:after="0" w:line="380" w:lineRule="auto"/>
        <w:rPr>
          <w:sz w:val="20"/>
          <w:szCs w:val="20"/>
          <w:color w:val="auto"/>
        </w:rPr>
      </w:pPr>
      <w:r>
        <w:rPr>
          <w:rFonts w:ascii="Arial" w:cs="Arial" w:eastAsia="Arial" w:hAnsi="Arial"/>
          <w:sz w:val="10"/>
          <w:szCs w:val="10"/>
          <w:color w:val="auto"/>
        </w:rPr>
        <w:t>We had approximately $10.8 million and $11.4 million of gross tax benefits as of the adoption date and December 31, 2007, respectively, plus $1.7 million and $2.3 million of tax interest unrecognized on the financial statements as of each date, respectively. The gross tax benefits mostly reflect operating loss carry-forwards and the IRS “</w:t>
      </w:r>
      <w:r>
        <w:rPr>
          <w:rFonts w:ascii="Arial" w:cs="Arial" w:eastAsia="Arial" w:hAnsi="Arial"/>
          <w:sz w:val="10"/>
          <w:szCs w:val="10"/>
          <w:i w:val="1"/>
          <w:iCs w:val="1"/>
          <w:color w:val="auto"/>
        </w:rPr>
        <w:t>Tax Audit/Litigation</w:t>
      </w:r>
      <w:r>
        <w:rPr>
          <w:rFonts w:ascii="Arial" w:cs="Arial" w:eastAsia="Arial" w:hAnsi="Arial"/>
          <w:sz w:val="10"/>
          <w:szCs w:val="10"/>
          <w:color w:val="auto"/>
        </w:rPr>
        <w:t xml:space="preserve">” case described below in Note 12 – </w:t>
      </w:r>
      <w:r>
        <w:rPr>
          <w:rFonts w:ascii="Arial" w:cs="Arial" w:eastAsia="Arial" w:hAnsi="Arial"/>
          <w:sz w:val="10"/>
          <w:szCs w:val="10"/>
          <w:i w:val="1"/>
          <w:iCs w:val="1"/>
          <w:color w:val="auto"/>
        </w:rPr>
        <w:t>Commitments and Contingencies</w:t>
      </w:r>
      <w:r>
        <w:rPr>
          <w:rFonts w:ascii="Arial" w:cs="Arial" w:eastAsia="Arial" w:hAnsi="Arial"/>
          <w:sz w:val="10"/>
          <w:szCs w:val="10"/>
          <w:color w:val="auto"/>
        </w:rPr>
        <w:t>.</w:t>
      </w:r>
    </w:p>
    <w:p>
      <w:pPr>
        <w:spacing w:after="0" w:line="41" w:lineRule="exact"/>
        <w:rPr>
          <w:sz w:val="20"/>
          <w:szCs w:val="20"/>
          <w:color w:val="auto"/>
        </w:rPr>
      </w:pPr>
    </w:p>
    <w:p>
      <w:pPr>
        <w:jc w:val="both"/>
        <w:ind w:right="120"/>
        <w:spacing w:after="0" w:line="263" w:lineRule="auto"/>
        <w:rPr>
          <w:sz w:val="20"/>
          <w:szCs w:val="20"/>
          <w:color w:val="auto"/>
        </w:rPr>
      </w:pPr>
      <w:r>
        <w:rPr>
          <w:rFonts w:ascii="Arial" w:cs="Arial" w:eastAsia="Arial" w:hAnsi="Arial"/>
          <w:sz w:val="12"/>
          <w:szCs w:val="12"/>
          <w:color w:val="auto"/>
        </w:rPr>
        <w:t>During the period January 1, 2013 to December 31, 2013 we recorded a decrease to tax interest of approximately $1.4 million, resulting in a total balance of $1.8 million in interest. During the period January 1, 2014 to December 31, 2014, we recorded an increase to tax interest of $3.6 million, resulting in a total balance of $5.4 million in interest. During the period January 1, 2015 to December 31, 2015, we recorded an increase to tax interest of $0.5 million, resulting in a total $5.9 million in interest.</w:t>
      </w:r>
    </w:p>
    <w:p>
      <w:pPr>
        <w:spacing w:after="0" w:line="105" w:lineRule="exact"/>
        <w:rPr>
          <w:sz w:val="20"/>
          <w:szCs w:val="20"/>
          <w:color w:val="auto"/>
        </w:rPr>
      </w:pPr>
    </w:p>
    <w:p>
      <w:pPr>
        <w:spacing w:after="0" w:line="263" w:lineRule="auto"/>
        <w:rPr>
          <w:sz w:val="20"/>
          <w:szCs w:val="20"/>
          <w:color w:val="auto"/>
        </w:rPr>
      </w:pPr>
      <w:r>
        <w:rPr>
          <w:rFonts w:ascii="Arial" w:cs="Arial" w:eastAsia="Arial" w:hAnsi="Arial"/>
          <w:sz w:val="12"/>
          <w:szCs w:val="12"/>
          <w:color w:val="auto"/>
        </w:rPr>
        <w:t>It is difficult to predict the timing and resolution of uncertain tax positions. Based upon the Company’s assessment of many factors, including past experience and judgments about future events, it is probable that within the next 12 months the reserve for uncertain tax positions will increase within a range of $500,000 to $1.5 million. The reasons for such change include but are not limited to tax positions expected to be taken during 2016, revaluation of current uncertain tax positions, and expiring statutes of limitations.</w:t>
      </w:r>
    </w:p>
    <w:p>
      <w:pPr>
        <w:spacing w:after="0" w:line="96" w:lineRule="exact"/>
        <w:rPr>
          <w:sz w:val="20"/>
          <w:szCs w:val="20"/>
          <w:color w:val="auto"/>
        </w:rPr>
      </w:pPr>
    </w:p>
    <w:p>
      <w:pPr>
        <w:spacing w:after="0" w:line="290" w:lineRule="auto"/>
        <w:rPr>
          <w:sz w:val="20"/>
          <w:szCs w:val="20"/>
          <w:color w:val="auto"/>
        </w:rPr>
      </w:pPr>
      <w:r>
        <w:rPr>
          <w:rFonts w:ascii="Arial" w:cs="Arial" w:eastAsia="Arial" w:hAnsi="Arial"/>
          <w:sz w:val="11"/>
          <w:szCs w:val="11"/>
          <w:color w:val="auto"/>
        </w:rPr>
        <w:t>Generally, changes to our federal and most state income tax returns for the calendar year 2010 and earlier are barred by statutes of limitations. Certain U.S. subsidiaries filed federal and state tax returns for periods before these entities became consolidated with us. These subsidiaries were examined by IRS for the years 1996 to 1999 and significant tax deficiencies were assessed for those years. Those deficiencies have been settled, as discussed in “</w:t>
      </w:r>
      <w:r>
        <w:rPr>
          <w:rFonts w:ascii="Arial" w:cs="Arial" w:eastAsia="Arial" w:hAnsi="Arial"/>
          <w:sz w:val="11"/>
          <w:szCs w:val="11"/>
          <w:i w:val="1"/>
          <w:iCs w:val="1"/>
          <w:color w:val="auto"/>
        </w:rPr>
        <w:t>Tax Audit/Litigation</w:t>
      </w:r>
      <w:r>
        <w:rPr>
          <w:rFonts w:ascii="Arial" w:cs="Arial" w:eastAsia="Arial" w:hAnsi="Arial"/>
          <w:sz w:val="11"/>
          <w:szCs w:val="11"/>
          <w:color w:val="auto"/>
        </w:rPr>
        <w:t xml:space="preserve">,” Note 12 – </w:t>
      </w:r>
      <w:r>
        <w:rPr>
          <w:rFonts w:ascii="Arial" w:cs="Arial" w:eastAsia="Arial" w:hAnsi="Arial"/>
          <w:sz w:val="11"/>
          <w:szCs w:val="11"/>
          <w:i w:val="1"/>
          <w:iCs w:val="1"/>
          <w:color w:val="auto"/>
        </w:rPr>
        <w:t>Commitments and Contingencies</w:t>
      </w:r>
      <w:r>
        <w:rPr>
          <w:rFonts w:ascii="Arial" w:cs="Arial" w:eastAsia="Arial" w:hAnsi="Arial"/>
          <w:sz w:val="11"/>
          <w:szCs w:val="11"/>
          <w:color w:val="auto"/>
        </w:rPr>
        <w:t>. New Zealand tax returns for the Reading New Zealand tax consolidated group for 2009 and later are under examination as of December 31, 2015. The income tax returns filed in Australia and Puerto Rico for calendar year 2011 and afterward generally remain open for examination as of December 31, 2015.</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59690</wp:posOffset>
            </wp:positionV>
            <wp:extent cx="677989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779895" cy="42545"/>
                    </a:xfrm>
                    <a:prstGeom prst="rect">
                      <a:avLst/>
                    </a:prstGeom>
                    <a:noFill/>
                  </pic:spPr>
                </pic:pic>
              </a:graphicData>
            </a:graphic>
          </wp:anchor>
        </w:drawing>
      </w:r>
    </w:p>
    <w:p>
      <w:pPr>
        <w:sectPr>
          <w:pgSz w:w="11900" w:h="16838" w:orient="portrait"/>
          <w:cols w:equalWidth="0" w:num="1">
            <w:col w:w="10620"/>
          </w:cols>
          <w:pgMar w:left="640" w:top="275" w:right="639" w:bottom="1440" w:gutter="0" w:footer="0" w:header="0"/>
        </w:sectPr>
      </w:pPr>
    </w:p>
    <w:bookmarkStart w:id="77" w:name="page78"/>
    <w:bookmarkEnd w:id="77"/>
    <w:p>
      <w:pPr>
        <w:spacing w:after="0"/>
        <w:rPr>
          <w:sz w:val="20"/>
          <w:szCs w:val="20"/>
          <w:color w:val="auto"/>
        </w:rPr>
      </w:pPr>
      <w:r>
        <w:rPr>
          <w:rFonts w:ascii="Arial" w:cs="Arial" w:eastAsia="Arial" w:hAnsi="Arial"/>
          <w:sz w:val="12"/>
          <w:szCs w:val="12"/>
          <w:b w:val="1"/>
          <w:bCs w:val="1"/>
          <w:color w:val="auto"/>
        </w:rPr>
        <w:t>NOTE 10 - Debt</w:t>
      </w:r>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color w:val="auto"/>
        </w:rPr>
        <w:t>The Company’s borrowings, including the impact of interest rate swaps, are summarized below:</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3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6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gridSpan w:val="4"/>
          </w:tcPr>
          <w:p>
            <w:pPr>
              <w:ind w:left="40"/>
              <w:spacing w:after="0"/>
              <w:rPr>
                <w:sz w:val="20"/>
                <w:szCs w:val="20"/>
                <w:color w:val="auto"/>
              </w:rPr>
            </w:pPr>
            <w:r>
              <w:rPr>
                <w:rFonts w:ascii="Arial" w:cs="Arial" w:eastAsia="Arial" w:hAnsi="Arial"/>
                <w:sz w:val="10"/>
                <w:szCs w:val="10"/>
                <w:b w:val="1"/>
                <w:bCs w:val="1"/>
                <w:color w:val="auto"/>
              </w:rPr>
              <w:t>December 31, 2015</w:t>
            </w:r>
          </w:p>
        </w:tc>
        <w:tc>
          <w:tcPr>
            <w:tcW w:w="11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304"/>
        </w:trPr>
        <w:tc>
          <w:tcPr>
            <w:tcW w:w="356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(Dollars in thousands)</w:t>
            </w:r>
          </w:p>
        </w:tc>
        <w:tc>
          <w:tcPr>
            <w:tcW w:w="180" w:type="dxa"/>
            <w:vAlign w:val="bottom"/>
            <w:tcBorders>
              <w:bottom w:val="single" w:sz="8" w:color="CCEEFF"/>
            </w:tcBorders>
          </w:tcPr>
          <w:p>
            <w:pPr>
              <w:spacing w:after="0"/>
              <w:rPr>
                <w:sz w:val="24"/>
                <w:szCs w:val="24"/>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1"/>
              </w:rPr>
              <w:t>Maturity Date</w:t>
            </w:r>
          </w:p>
        </w:tc>
        <w:tc>
          <w:tcPr>
            <w:tcW w:w="180" w:type="dxa"/>
            <w:vAlign w:val="bottom"/>
            <w:tcBorders>
              <w:bottom w:val="single" w:sz="8" w:color="CCEEFF"/>
            </w:tcBorders>
          </w:tcPr>
          <w:p>
            <w:pPr>
              <w:spacing w:after="0"/>
              <w:rPr>
                <w:sz w:val="24"/>
                <w:szCs w:val="24"/>
                <w:color w:val="auto"/>
              </w:rPr>
            </w:pPr>
          </w:p>
        </w:tc>
        <w:tc>
          <w:tcPr>
            <w:tcW w:w="1180" w:type="dxa"/>
            <w:vAlign w:val="bottom"/>
            <w:tcBorders>
              <w:bottom w:val="single" w:sz="8" w:color="auto"/>
            </w:tcBorders>
            <w:gridSpan w:val="2"/>
          </w:tcPr>
          <w:p>
            <w:pPr>
              <w:ind w:left="180"/>
              <w:spacing w:after="0"/>
              <w:rPr>
                <w:sz w:val="20"/>
                <w:szCs w:val="20"/>
                <w:color w:val="auto"/>
              </w:rPr>
            </w:pPr>
            <w:r>
              <w:rPr>
                <w:rFonts w:ascii="Arial" w:cs="Arial" w:eastAsia="Arial" w:hAnsi="Arial"/>
                <w:sz w:val="10"/>
                <w:szCs w:val="10"/>
                <w:b w:val="1"/>
                <w:bCs w:val="1"/>
                <w:color w:val="auto"/>
              </w:rPr>
              <w:t>Contractual Facility</w:t>
            </w:r>
          </w:p>
        </w:tc>
        <w:tc>
          <w:tcPr>
            <w:tcW w:w="2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272"/>
              <w:spacing w:after="0"/>
              <w:rPr>
                <w:sz w:val="20"/>
                <w:szCs w:val="20"/>
                <w:color w:val="auto"/>
              </w:rPr>
            </w:pPr>
            <w:r>
              <w:rPr>
                <w:rFonts w:ascii="Arial" w:cs="Arial" w:eastAsia="Arial" w:hAnsi="Arial"/>
                <w:sz w:val="10"/>
                <w:szCs w:val="10"/>
                <w:b w:val="1"/>
                <w:bCs w:val="1"/>
                <w:color w:val="auto"/>
                <w:w w:val="98"/>
              </w:rPr>
              <w:t>Balance</w:t>
            </w:r>
          </w:p>
        </w:tc>
        <w:tc>
          <w:tcPr>
            <w:tcW w:w="180" w:type="dxa"/>
            <w:vAlign w:val="bottom"/>
            <w:tcBorders>
              <w:bottom w:val="single" w:sz="8" w:color="CCEEFF"/>
            </w:tcBorders>
          </w:tcPr>
          <w:p>
            <w:pPr>
              <w:spacing w:after="0"/>
              <w:rPr>
                <w:sz w:val="24"/>
                <w:szCs w:val="24"/>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7"/>
              </w:rPr>
              <w:t>Stated Interest Rate</w:t>
            </w:r>
          </w:p>
        </w:tc>
        <w:tc>
          <w:tcPr>
            <w:tcW w:w="180" w:type="dxa"/>
            <w:vAlign w:val="bottom"/>
            <w:tcBorders>
              <w:bottom w:val="single" w:sz="8" w:color="CCEEFF"/>
            </w:tcBorders>
          </w:tcPr>
          <w:p>
            <w:pPr>
              <w:spacing w:after="0"/>
              <w:rPr>
                <w:sz w:val="24"/>
                <w:szCs w:val="24"/>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8"/>
              </w:rPr>
              <w:t xml:space="preserve">Effective Interest Rate </w:t>
            </w:r>
            <w:r>
              <w:rPr>
                <w:rFonts w:ascii="Arial" w:cs="Arial" w:eastAsia="Arial" w:hAnsi="Arial"/>
                <w:sz w:val="4"/>
                <w:szCs w:val="4"/>
                <w:b w:val="1"/>
                <w:bCs w:val="1"/>
                <w:color w:val="auto"/>
                <w:w w:val="88"/>
              </w:rPr>
              <w:t>(1)</w:t>
            </w:r>
          </w:p>
        </w:tc>
        <w:tc>
          <w:tcPr>
            <w:tcW w:w="0" w:type="dxa"/>
            <w:vAlign w:val="bottom"/>
          </w:tcPr>
          <w:p>
            <w:pPr>
              <w:spacing w:after="0"/>
              <w:rPr>
                <w:sz w:val="1"/>
                <w:szCs w:val="1"/>
                <w:color w:val="auto"/>
              </w:rPr>
            </w:pPr>
          </w:p>
        </w:tc>
      </w:tr>
      <w:tr>
        <w:trPr>
          <w:trHeight w:val="142"/>
        </w:trPr>
        <w:tc>
          <w:tcPr>
            <w:tcW w:w="374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Denominated in USD</w:t>
            </w:r>
          </w:p>
        </w:tc>
        <w:tc>
          <w:tcPr>
            <w:tcW w:w="1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740" w:type="dxa"/>
            <w:vAlign w:val="bottom"/>
            <w:gridSpan w:val="2"/>
          </w:tcPr>
          <w:p>
            <w:pPr>
              <w:ind w:left="360"/>
              <w:spacing w:after="0"/>
              <w:rPr>
                <w:sz w:val="20"/>
                <w:szCs w:val="20"/>
                <w:color w:val="auto"/>
              </w:rPr>
            </w:pPr>
            <w:r>
              <w:rPr>
                <w:rFonts w:ascii="Arial" w:cs="Arial" w:eastAsia="Arial" w:hAnsi="Arial"/>
                <w:sz w:val="10"/>
                <w:szCs w:val="10"/>
                <w:color w:val="auto"/>
              </w:rPr>
              <w:t>Trust Preferred Securities (USA)</w:t>
            </w:r>
          </w:p>
        </w:tc>
        <w:tc>
          <w:tcPr>
            <w:tcW w:w="1840" w:type="dxa"/>
            <w:vAlign w:val="bottom"/>
            <w:gridSpan w:val="2"/>
          </w:tcPr>
          <w:p>
            <w:pPr>
              <w:jc w:val="center"/>
              <w:ind w:right="200"/>
              <w:spacing w:after="0"/>
              <w:rPr>
                <w:sz w:val="20"/>
                <w:szCs w:val="20"/>
                <w:color w:val="auto"/>
              </w:rPr>
            </w:pPr>
            <w:r>
              <w:rPr>
                <w:rFonts w:ascii="Arial" w:cs="Arial" w:eastAsia="Arial" w:hAnsi="Arial"/>
                <w:sz w:val="10"/>
                <w:szCs w:val="10"/>
                <w:color w:val="auto"/>
                <w:w w:val="90"/>
              </w:rPr>
              <w:t>April 30, 2027</w:t>
            </w:r>
          </w:p>
        </w:tc>
        <w:tc>
          <w:tcPr>
            <w:tcW w:w="540" w:type="dxa"/>
            <w:vAlign w:val="bottom"/>
          </w:tcPr>
          <w:p>
            <w:pPr>
              <w:ind w:left="160"/>
              <w:spacing w:after="0"/>
              <w:rPr>
                <w:sz w:val="20"/>
                <w:szCs w:val="20"/>
                <w:color w:val="auto"/>
              </w:rPr>
            </w:pPr>
            <w:r>
              <w:rPr>
                <w:rFonts w:ascii="Arial" w:cs="Arial" w:eastAsia="Arial" w:hAnsi="Arial"/>
                <w:sz w:val="10"/>
                <w:szCs w:val="10"/>
                <w:color w:val="auto"/>
              </w:rPr>
              <w:t>$</w:t>
            </w:r>
          </w:p>
        </w:tc>
        <w:tc>
          <w:tcPr>
            <w:tcW w:w="640" w:type="dxa"/>
            <w:vAlign w:val="bottom"/>
          </w:tcPr>
          <w:p>
            <w:pPr>
              <w:jc w:val="right"/>
              <w:spacing w:after="0"/>
              <w:rPr>
                <w:sz w:val="20"/>
                <w:szCs w:val="20"/>
                <w:color w:val="auto"/>
              </w:rPr>
            </w:pPr>
            <w:r>
              <w:rPr>
                <w:rFonts w:ascii="Arial" w:cs="Arial" w:eastAsia="Arial" w:hAnsi="Arial"/>
                <w:sz w:val="10"/>
                <w:szCs w:val="10"/>
                <w:color w:val="auto"/>
              </w:rPr>
              <w:t>27,913</w:t>
            </w:r>
          </w:p>
        </w:tc>
        <w:tc>
          <w:tcPr>
            <w:tcW w:w="440" w:type="dxa"/>
            <w:vAlign w:val="bottom"/>
            <w:gridSpan w:val="2"/>
          </w:tcPr>
          <w:p>
            <w:pPr>
              <w:jc w:val="right"/>
              <w:ind w:right="12"/>
              <w:spacing w:after="0"/>
              <w:rPr>
                <w:sz w:val="20"/>
                <w:szCs w:val="20"/>
                <w:color w:val="auto"/>
              </w:rPr>
            </w:pPr>
            <w:r>
              <w:rPr>
                <w:rFonts w:ascii="Arial" w:cs="Arial" w:eastAsia="Arial" w:hAnsi="Arial"/>
                <w:sz w:val="10"/>
                <w:szCs w:val="10"/>
                <w:color w:val="auto"/>
              </w:rPr>
              <w:t>$</w:t>
            </w:r>
          </w:p>
        </w:tc>
        <w:tc>
          <w:tcPr>
            <w:tcW w:w="720" w:type="dxa"/>
            <w:vAlign w:val="bottom"/>
          </w:tcPr>
          <w:p>
            <w:pPr>
              <w:jc w:val="right"/>
              <w:spacing w:after="0"/>
              <w:rPr>
                <w:sz w:val="20"/>
                <w:szCs w:val="20"/>
                <w:color w:val="auto"/>
              </w:rPr>
            </w:pPr>
            <w:r>
              <w:rPr>
                <w:rFonts w:ascii="Arial" w:cs="Arial" w:eastAsia="Arial" w:hAnsi="Arial"/>
                <w:sz w:val="10"/>
                <w:szCs w:val="10"/>
                <w:color w:val="auto"/>
              </w:rPr>
              <w:t>27,913</w:t>
            </w:r>
          </w:p>
        </w:tc>
        <w:tc>
          <w:tcPr>
            <w:tcW w:w="18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0"/>
                <w:szCs w:val="10"/>
                <w:color w:val="auto"/>
                <w:w w:val="91"/>
              </w:rPr>
              <w:t>4.32%</w:t>
            </w:r>
          </w:p>
        </w:tc>
        <w:tc>
          <w:tcPr>
            <w:tcW w:w="18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0"/>
                <w:szCs w:val="10"/>
                <w:color w:val="auto"/>
                <w:w w:val="84"/>
              </w:rPr>
              <w:t>5.20%</w:t>
            </w:r>
          </w:p>
        </w:tc>
        <w:tc>
          <w:tcPr>
            <w:tcW w:w="0" w:type="dxa"/>
            <w:vAlign w:val="bottom"/>
          </w:tcPr>
          <w:p>
            <w:pPr>
              <w:spacing w:after="0"/>
              <w:rPr>
                <w:sz w:val="1"/>
                <w:szCs w:val="1"/>
                <w:color w:val="auto"/>
              </w:rPr>
            </w:pPr>
          </w:p>
        </w:tc>
      </w:tr>
      <w:tr>
        <w:trPr>
          <w:trHeight w:val="153"/>
        </w:trPr>
        <w:tc>
          <w:tcPr>
            <w:tcW w:w="3740" w:type="dxa"/>
            <w:vAlign w:val="bottom"/>
            <w:gridSpan w:val="2"/>
            <w:shd w:val="clear" w:color="auto" w:fill="CCEEFF"/>
          </w:tcPr>
          <w:p>
            <w:pPr>
              <w:ind w:left="360"/>
              <w:spacing w:after="0"/>
              <w:rPr>
                <w:sz w:val="20"/>
                <w:szCs w:val="20"/>
                <w:color w:val="auto"/>
              </w:rPr>
            </w:pPr>
            <w:r>
              <w:rPr>
                <w:rFonts w:ascii="Arial" w:cs="Arial" w:eastAsia="Arial" w:hAnsi="Arial"/>
                <w:sz w:val="10"/>
                <w:szCs w:val="10"/>
                <w:color w:val="auto"/>
              </w:rPr>
              <w:t>Bank of America Credit Facility (USA)</w:t>
            </w:r>
          </w:p>
        </w:tc>
        <w:tc>
          <w:tcPr>
            <w:tcW w:w="1840" w:type="dxa"/>
            <w:vAlign w:val="bottom"/>
            <w:gridSpan w:val="2"/>
            <w:shd w:val="clear" w:color="auto" w:fill="CCEEFF"/>
          </w:tcPr>
          <w:p>
            <w:pPr>
              <w:jc w:val="center"/>
              <w:ind w:right="200"/>
              <w:spacing w:after="0"/>
              <w:rPr>
                <w:sz w:val="20"/>
                <w:szCs w:val="20"/>
                <w:color w:val="auto"/>
              </w:rPr>
            </w:pPr>
            <w:r>
              <w:rPr>
                <w:rFonts w:ascii="Arial" w:cs="Arial" w:eastAsia="Arial" w:hAnsi="Arial"/>
                <w:sz w:val="10"/>
                <w:szCs w:val="10"/>
                <w:color w:val="auto"/>
                <w:w w:val="86"/>
              </w:rPr>
              <w:t>November 28, 2019</w:t>
            </w:r>
          </w:p>
        </w:tc>
        <w:tc>
          <w:tcPr>
            <w:tcW w:w="54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55,000</w:t>
            </w:r>
          </w:p>
        </w:tc>
        <w:tc>
          <w:tcPr>
            <w:tcW w:w="2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29,750</w:t>
            </w:r>
          </w:p>
        </w:tc>
        <w:tc>
          <w:tcPr>
            <w:tcW w:w="180" w:type="dxa"/>
            <w:vAlign w:val="bottom"/>
            <w:shd w:val="clear" w:color="auto" w:fill="CCEEFF"/>
          </w:tcPr>
          <w:p>
            <w:pPr>
              <w:spacing w:after="0"/>
              <w:rPr>
                <w:sz w:val="13"/>
                <w:szCs w:val="13"/>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91"/>
              </w:rPr>
              <w:t>2.92%</w:t>
            </w:r>
          </w:p>
        </w:tc>
        <w:tc>
          <w:tcPr>
            <w:tcW w:w="180" w:type="dxa"/>
            <w:vAlign w:val="bottom"/>
            <w:shd w:val="clear" w:color="auto" w:fill="CCEEFF"/>
          </w:tcPr>
          <w:p>
            <w:pPr>
              <w:spacing w:after="0"/>
              <w:rPr>
                <w:sz w:val="13"/>
                <w:szCs w:val="13"/>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4"/>
              </w:rPr>
              <w:t>3.65%</w:t>
            </w:r>
          </w:p>
        </w:tc>
        <w:tc>
          <w:tcPr>
            <w:tcW w:w="0" w:type="dxa"/>
            <w:vAlign w:val="bottom"/>
          </w:tcPr>
          <w:p>
            <w:pPr>
              <w:spacing w:after="0"/>
              <w:rPr>
                <w:sz w:val="1"/>
                <w:szCs w:val="1"/>
                <w:color w:val="auto"/>
              </w:rPr>
            </w:pPr>
          </w:p>
        </w:tc>
      </w:tr>
      <w:tr>
        <w:trPr>
          <w:trHeight w:val="153"/>
        </w:trPr>
        <w:tc>
          <w:tcPr>
            <w:tcW w:w="3740" w:type="dxa"/>
            <w:vAlign w:val="bottom"/>
            <w:gridSpan w:val="2"/>
          </w:tcPr>
          <w:p>
            <w:pPr>
              <w:ind w:left="360"/>
              <w:spacing w:after="0"/>
              <w:rPr>
                <w:sz w:val="20"/>
                <w:szCs w:val="20"/>
                <w:color w:val="auto"/>
              </w:rPr>
            </w:pPr>
            <w:r>
              <w:rPr>
                <w:rFonts w:ascii="Arial" w:cs="Arial" w:eastAsia="Arial" w:hAnsi="Arial"/>
                <w:sz w:val="10"/>
                <w:szCs w:val="10"/>
                <w:color w:val="auto"/>
              </w:rPr>
              <w:t>Bank of America Line of Credit (USA)</w:t>
            </w:r>
          </w:p>
        </w:tc>
        <w:tc>
          <w:tcPr>
            <w:tcW w:w="1840" w:type="dxa"/>
            <w:vAlign w:val="bottom"/>
            <w:gridSpan w:val="2"/>
          </w:tcPr>
          <w:p>
            <w:pPr>
              <w:jc w:val="center"/>
              <w:ind w:right="180"/>
              <w:spacing w:after="0"/>
              <w:rPr>
                <w:sz w:val="20"/>
                <w:szCs w:val="20"/>
                <w:color w:val="auto"/>
              </w:rPr>
            </w:pPr>
            <w:r>
              <w:rPr>
                <w:rFonts w:ascii="Arial" w:cs="Arial" w:eastAsia="Arial" w:hAnsi="Arial"/>
                <w:sz w:val="10"/>
                <w:szCs w:val="10"/>
                <w:color w:val="auto"/>
                <w:w w:val="85"/>
              </w:rPr>
              <w:t>October 31, 2017</w:t>
            </w:r>
          </w:p>
        </w:tc>
        <w:tc>
          <w:tcPr>
            <w:tcW w:w="54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5,000</w:t>
            </w: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0"/>
                <w:szCs w:val="10"/>
                <w:color w:val="auto"/>
              </w:rPr>
              <w:t>2,500</w:t>
            </w:r>
          </w:p>
        </w:tc>
        <w:tc>
          <w:tcPr>
            <w:tcW w:w="180" w:type="dxa"/>
            <w:vAlign w:val="bottom"/>
          </w:tcPr>
          <w:p>
            <w:pPr>
              <w:spacing w:after="0"/>
              <w:rPr>
                <w:sz w:val="13"/>
                <w:szCs w:val="13"/>
                <w:color w:val="auto"/>
              </w:rPr>
            </w:pPr>
          </w:p>
        </w:tc>
        <w:tc>
          <w:tcPr>
            <w:tcW w:w="1100" w:type="dxa"/>
            <w:vAlign w:val="bottom"/>
          </w:tcPr>
          <w:p>
            <w:pPr>
              <w:jc w:val="center"/>
              <w:spacing w:after="0"/>
              <w:rPr>
                <w:sz w:val="20"/>
                <w:szCs w:val="20"/>
                <w:color w:val="auto"/>
              </w:rPr>
            </w:pPr>
            <w:r>
              <w:rPr>
                <w:rFonts w:ascii="Arial" w:cs="Arial" w:eastAsia="Arial" w:hAnsi="Arial"/>
                <w:sz w:val="10"/>
                <w:szCs w:val="10"/>
                <w:color w:val="auto"/>
                <w:w w:val="91"/>
              </w:rPr>
              <w:t>3.42%</w:t>
            </w:r>
          </w:p>
        </w:tc>
        <w:tc>
          <w:tcPr>
            <w:tcW w:w="180" w:type="dxa"/>
            <w:vAlign w:val="bottom"/>
          </w:tcPr>
          <w:p>
            <w:pPr>
              <w:spacing w:after="0"/>
              <w:rPr>
                <w:sz w:val="13"/>
                <w:szCs w:val="13"/>
                <w:color w:val="auto"/>
              </w:rPr>
            </w:pPr>
          </w:p>
        </w:tc>
        <w:tc>
          <w:tcPr>
            <w:tcW w:w="1240" w:type="dxa"/>
            <w:vAlign w:val="bottom"/>
          </w:tcPr>
          <w:p>
            <w:pPr>
              <w:jc w:val="center"/>
              <w:spacing w:after="0"/>
              <w:rPr>
                <w:sz w:val="20"/>
                <w:szCs w:val="20"/>
                <w:color w:val="auto"/>
              </w:rPr>
            </w:pPr>
            <w:r>
              <w:rPr>
                <w:rFonts w:ascii="Arial" w:cs="Arial" w:eastAsia="Arial" w:hAnsi="Arial"/>
                <w:sz w:val="10"/>
                <w:szCs w:val="10"/>
                <w:color w:val="auto"/>
                <w:w w:val="84"/>
              </w:rPr>
              <w:t>3.42%</w:t>
            </w:r>
          </w:p>
        </w:tc>
        <w:tc>
          <w:tcPr>
            <w:tcW w:w="0" w:type="dxa"/>
            <w:vAlign w:val="bottom"/>
          </w:tcPr>
          <w:p>
            <w:pPr>
              <w:spacing w:after="0"/>
              <w:rPr>
                <w:sz w:val="1"/>
                <w:szCs w:val="1"/>
                <w:color w:val="auto"/>
              </w:rPr>
            </w:pPr>
          </w:p>
        </w:tc>
      </w:tr>
      <w:tr>
        <w:trPr>
          <w:trHeight w:val="162"/>
        </w:trPr>
        <w:tc>
          <w:tcPr>
            <w:tcW w:w="3740" w:type="dxa"/>
            <w:vAlign w:val="bottom"/>
            <w:gridSpan w:val="2"/>
            <w:shd w:val="clear" w:color="auto" w:fill="CCEEFF"/>
          </w:tcPr>
          <w:p>
            <w:pPr>
              <w:ind w:left="360"/>
              <w:spacing w:after="0"/>
              <w:rPr>
                <w:sz w:val="20"/>
                <w:szCs w:val="20"/>
                <w:color w:val="auto"/>
              </w:rPr>
            </w:pPr>
            <w:r>
              <w:rPr>
                <w:rFonts w:ascii="Arial" w:cs="Arial" w:eastAsia="Arial" w:hAnsi="Arial"/>
                <w:sz w:val="10"/>
                <w:szCs w:val="10"/>
                <w:color w:val="auto"/>
              </w:rPr>
              <w:t>Cinema 1, 2, 3 Term Loan (USA)</w:t>
            </w:r>
          </w:p>
        </w:tc>
        <w:tc>
          <w:tcPr>
            <w:tcW w:w="1840" w:type="dxa"/>
            <w:vAlign w:val="bottom"/>
            <w:gridSpan w:val="2"/>
            <w:shd w:val="clear" w:color="auto" w:fill="CCEEFF"/>
          </w:tcPr>
          <w:p>
            <w:pPr>
              <w:jc w:val="center"/>
              <w:ind w:right="180"/>
              <w:spacing w:after="0"/>
              <w:rPr>
                <w:sz w:val="20"/>
                <w:szCs w:val="20"/>
                <w:color w:val="auto"/>
              </w:rPr>
            </w:pPr>
            <w:r>
              <w:rPr>
                <w:rFonts w:ascii="Arial" w:cs="Arial" w:eastAsia="Arial" w:hAnsi="Arial"/>
                <w:sz w:val="10"/>
                <w:szCs w:val="10"/>
                <w:color w:val="auto"/>
                <w:w w:val="85"/>
              </w:rPr>
              <w:t>July 1, 2016</w:t>
            </w:r>
          </w:p>
        </w:tc>
        <w:tc>
          <w:tcPr>
            <w:tcW w:w="5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15,000</w:t>
            </w: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15,000</w:t>
            </w:r>
          </w:p>
        </w:tc>
        <w:tc>
          <w:tcPr>
            <w:tcW w:w="180" w:type="dxa"/>
            <w:vAlign w:val="bottom"/>
            <w:shd w:val="clear" w:color="auto" w:fill="CCEEFF"/>
          </w:tcPr>
          <w:p>
            <w:pPr>
              <w:spacing w:after="0"/>
              <w:rPr>
                <w:sz w:val="14"/>
                <w:szCs w:val="14"/>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91"/>
              </w:rPr>
              <w:t>3.75%</w:t>
            </w:r>
          </w:p>
        </w:tc>
        <w:tc>
          <w:tcPr>
            <w:tcW w:w="180" w:type="dxa"/>
            <w:vAlign w:val="bottom"/>
            <w:shd w:val="clear" w:color="auto" w:fill="CCEEFF"/>
          </w:tcPr>
          <w:p>
            <w:pPr>
              <w:spacing w:after="0"/>
              <w:rPr>
                <w:sz w:val="14"/>
                <w:szCs w:val="14"/>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4"/>
              </w:rPr>
              <w:t>3.75%</w:t>
            </w:r>
          </w:p>
        </w:tc>
        <w:tc>
          <w:tcPr>
            <w:tcW w:w="0" w:type="dxa"/>
            <w:vAlign w:val="bottom"/>
          </w:tcPr>
          <w:p>
            <w:pPr>
              <w:spacing w:after="0"/>
              <w:rPr>
                <w:sz w:val="1"/>
                <w:szCs w:val="1"/>
                <w:color w:val="auto"/>
              </w:rPr>
            </w:pPr>
          </w:p>
        </w:tc>
      </w:tr>
      <w:tr>
        <w:trPr>
          <w:trHeight w:val="162"/>
        </w:trPr>
        <w:tc>
          <w:tcPr>
            <w:tcW w:w="3740" w:type="dxa"/>
            <w:vAlign w:val="bottom"/>
            <w:gridSpan w:val="2"/>
          </w:tcPr>
          <w:p>
            <w:pPr>
              <w:ind w:left="360"/>
              <w:spacing w:after="0"/>
              <w:rPr>
                <w:sz w:val="20"/>
                <w:szCs w:val="20"/>
                <w:color w:val="auto"/>
              </w:rPr>
            </w:pPr>
            <w:r>
              <w:rPr>
                <w:rFonts w:ascii="Arial" w:cs="Arial" w:eastAsia="Arial" w:hAnsi="Arial"/>
                <w:sz w:val="10"/>
                <w:szCs w:val="10"/>
                <w:color w:val="auto"/>
              </w:rPr>
              <w:t>Cinema 1, 2, 3 Line of Credit (USA)</w:t>
            </w:r>
          </w:p>
        </w:tc>
        <w:tc>
          <w:tcPr>
            <w:tcW w:w="1840" w:type="dxa"/>
            <w:vAlign w:val="bottom"/>
            <w:gridSpan w:val="2"/>
          </w:tcPr>
          <w:p>
            <w:pPr>
              <w:jc w:val="center"/>
              <w:ind w:right="180"/>
              <w:spacing w:after="0"/>
              <w:rPr>
                <w:sz w:val="20"/>
                <w:szCs w:val="20"/>
                <w:color w:val="auto"/>
              </w:rPr>
            </w:pPr>
            <w:r>
              <w:rPr>
                <w:rFonts w:ascii="Arial" w:cs="Arial" w:eastAsia="Arial" w:hAnsi="Arial"/>
                <w:sz w:val="10"/>
                <w:szCs w:val="10"/>
                <w:color w:val="auto"/>
                <w:w w:val="85"/>
              </w:rPr>
              <w:t>July 1, 2016</w:t>
            </w:r>
          </w:p>
        </w:tc>
        <w:tc>
          <w:tcPr>
            <w:tcW w:w="5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6,000</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1100" w:type="dxa"/>
            <w:vAlign w:val="bottom"/>
          </w:tcPr>
          <w:p>
            <w:pPr>
              <w:jc w:val="center"/>
              <w:spacing w:after="0"/>
              <w:rPr>
                <w:sz w:val="20"/>
                <w:szCs w:val="20"/>
                <w:color w:val="auto"/>
              </w:rPr>
            </w:pPr>
            <w:r>
              <w:rPr>
                <w:rFonts w:ascii="Arial" w:cs="Arial" w:eastAsia="Arial" w:hAnsi="Arial"/>
                <w:sz w:val="10"/>
                <w:szCs w:val="10"/>
                <w:color w:val="auto"/>
                <w:w w:val="91"/>
              </w:rPr>
              <w:t>3.75%</w:t>
            </w:r>
          </w:p>
        </w:tc>
        <w:tc>
          <w:tcPr>
            <w:tcW w:w="18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0"/>
                <w:szCs w:val="10"/>
                <w:color w:val="auto"/>
                <w:w w:val="84"/>
              </w:rPr>
              <w:t>3.75%</w:t>
            </w:r>
          </w:p>
        </w:tc>
        <w:tc>
          <w:tcPr>
            <w:tcW w:w="0" w:type="dxa"/>
            <w:vAlign w:val="bottom"/>
          </w:tcPr>
          <w:p>
            <w:pPr>
              <w:spacing w:after="0"/>
              <w:rPr>
                <w:sz w:val="1"/>
                <w:szCs w:val="1"/>
                <w:color w:val="auto"/>
              </w:rPr>
            </w:pPr>
          </w:p>
        </w:tc>
      </w:tr>
      <w:tr>
        <w:trPr>
          <w:trHeight w:val="162"/>
        </w:trPr>
        <w:tc>
          <w:tcPr>
            <w:tcW w:w="3740" w:type="dxa"/>
            <w:vAlign w:val="bottom"/>
            <w:gridSpan w:val="2"/>
            <w:shd w:val="clear" w:color="auto" w:fill="CCEEFF"/>
          </w:tcPr>
          <w:p>
            <w:pPr>
              <w:ind w:left="360"/>
              <w:spacing w:after="0"/>
              <w:rPr>
                <w:sz w:val="20"/>
                <w:szCs w:val="20"/>
                <w:color w:val="auto"/>
              </w:rPr>
            </w:pPr>
            <w:r>
              <w:rPr>
                <w:rFonts w:ascii="Arial" w:cs="Arial" w:eastAsia="Arial" w:hAnsi="Arial"/>
                <w:sz w:val="10"/>
                <w:szCs w:val="10"/>
                <w:color w:val="auto"/>
              </w:rPr>
              <w:t>Minetta &amp; Orpheum Theatres Loan (USA)</w:t>
            </w:r>
          </w:p>
        </w:tc>
        <w:tc>
          <w:tcPr>
            <w:tcW w:w="1840" w:type="dxa"/>
            <w:vAlign w:val="bottom"/>
            <w:gridSpan w:val="2"/>
            <w:shd w:val="clear" w:color="auto" w:fill="CCEEFF"/>
          </w:tcPr>
          <w:p>
            <w:pPr>
              <w:jc w:val="center"/>
              <w:ind w:right="180"/>
              <w:spacing w:after="0"/>
              <w:rPr>
                <w:sz w:val="20"/>
                <w:szCs w:val="20"/>
                <w:color w:val="auto"/>
              </w:rPr>
            </w:pPr>
            <w:r>
              <w:rPr>
                <w:rFonts w:ascii="Arial" w:cs="Arial" w:eastAsia="Arial" w:hAnsi="Arial"/>
                <w:sz w:val="10"/>
                <w:szCs w:val="10"/>
                <w:color w:val="auto"/>
                <w:w w:val="86"/>
              </w:rPr>
              <w:t>June 1, 2018</w:t>
            </w:r>
          </w:p>
        </w:tc>
        <w:tc>
          <w:tcPr>
            <w:tcW w:w="5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7,500</w:t>
            </w: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7,500</w:t>
            </w:r>
          </w:p>
        </w:tc>
        <w:tc>
          <w:tcPr>
            <w:tcW w:w="180" w:type="dxa"/>
            <w:vAlign w:val="bottom"/>
            <w:shd w:val="clear" w:color="auto" w:fill="CCEEFF"/>
          </w:tcPr>
          <w:p>
            <w:pPr>
              <w:spacing w:after="0"/>
              <w:rPr>
                <w:sz w:val="14"/>
                <w:szCs w:val="14"/>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91"/>
              </w:rPr>
              <w:t>3.00%</w:t>
            </w:r>
          </w:p>
        </w:tc>
        <w:tc>
          <w:tcPr>
            <w:tcW w:w="180" w:type="dxa"/>
            <w:vAlign w:val="bottom"/>
            <w:shd w:val="clear" w:color="auto" w:fill="CCEEFF"/>
          </w:tcPr>
          <w:p>
            <w:pPr>
              <w:spacing w:after="0"/>
              <w:rPr>
                <w:sz w:val="14"/>
                <w:szCs w:val="14"/>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4"/>
              </w:rPr>
              <w:t>3.00%</w:t>
            </w:r>
          </w:p>
        </w:tc>
        <w:tc>
          <w:tcPr>
            <w:tcW w:w="0" w:type="dxa"/>
            <w:vAlign w:val="bottom"/>
          </w:tcPr>
          <w:p>
            <w:pPr>
              <w:spacing w:after="0"/>
              <w:rPr>
                <w:sz w:val="1"/>
                <w:szCs w:val="1"/>
                <w:color w:val="auto"/>
              </w:rPr>
            </w:pPr>
          </w:p>
        </w:tc>
      </w:tr>
      <w:tr>
        <w:trPr>
          <w:trHeight w:val="162"/>
        </w:trPr>
        <w:tc>
          <w:tcPr>
            <w:tcW w:w="3740" w:type="dxa"/>
            <w:vAlign w:val="bottom"/>
            <w:gridSpan w:val="2"/>
          </w:tcPr>
          <w:p>
            <w:pPr>
              <w:ind w:left="360"/>
              <w:spacing w:after="0"/>
              <w:rPr>
                <w:sz w:val="20"/>
                <w:szCs w:val="20"/>
                <w:color w:val="auto"/>
              </w:rPr>
            </w:pPr>
            <w:r>
              <w:rPr>
                <w:rFonts w:ascii="Arial" w:cs="Arial" w:eastAsia="Arial" w:hAnsi="Arial"/>
                <w:sz w:val="10"/>
                <w:szCs w:val="10"/>
                <w:color w:val="auto"/>
              </w:rPr>
              <w:t>Union Square Line of Credit (USA)</w:t>
            </w:r>
          </w:p>
        </w:tc>
        <w:tc>
          <w:tcPr>
            <w:tcW w:w="1840" w:type="dxa"/>
            <w:vAlign w:val="bottom"/>
            <w:gridSpan w:val="2"/>
          </w:tcPr>
          <w:p>
            <w:pPr>
              <w:jc w:val="center"/>
              <w:ind w:right="180"/>
              <w:spacing w:after="0"/>
              <w:rPr>
                <w:sz w:val="20"/>
                <w:szCs w:val="20"/>
                <w:color w:val="auto"/>
              </w:rPr>
            </w:pPr>
            <w:r>
              <w:rPr>
                <w:rFonts w:ascii="Arial" w:cs="Arial" w:eastAsia="Arial" w:hAnsi="Arial"/>
                <w:sz w:val="10"/>
                <w:szCs w:val="10"/>
                <w:color w:val="auto"/>
                <w:w w:val="86"/>
              </w:rPr>
              <w:t>June 2, 2017</w:t>
            </w:r>
          </w:p>
        </w:tc>
        <w:tc>
          <w:tcPr>
            <w:tcW w:w="5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8,000</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0"/>
                <w:szCs w:val="10"/>
                <w:color w:val="auto"/>
              </w:rPr>
              <w:t>8,000</w:t>
            </w:r>
          </w:p>
        </w:tc>
        <w:tc>
          <w:tcPr>
            <w:tcW w:w="18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0"/>
                <w:szCs w:val="10"/>
                <w:color w:val="auto"/>
                <w:w w:val="91"/>
              </w:rPr>
              <w:t>3.65%</w:t>
            </w:r>
          </w:p>
        </w:tc>
        <w:tc>
          <w:tcPr>
            <w:tcW w:w="18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0"/>
                <w:szCs w:val="10"/>
                <w:color w:val="auto"/>
                <w:w w:val="84"/>
              </w:rPr>
              <w:t>3.65%</w:t>
            </w:r>
          </w:p>
        </w:tc>
        <w:tc>
          <w:tcPr>
            <w:tcW w:w="0" w:type="dxa"/>
            <w:vAlign w:val="bottom"/>
          </w:tcPr>
          <w:p>
            <w:pPr>
              <w:spacing w:after="0"/>
              <w:rPr>
                <w:sz w:val="1"/>
                <w:szCs w:val="1"/>
                <w:color w:val="auto"/>
              </w:rPr>
            </w:pPr>
          </w:p>
        </w:tc>
      </w:tr>
      <w:tr>
        <w:trPr>
          <w:trHeight w:val="162"/>
        </w:trPr>
        <w:tc>
          <w:tcPr>
            <w:tcW w:w="374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 xml:space="preserve">Denominated in FC </w:t>
            </w:r>
            <w:r>
              <w:rPr>
                <w:rFonts w:ascii="Arial" w:cs="Arial" w:eastAsia="Arial" w:hAnsi="Arial"/>
                <w:sz w:val="4"/>
                <w:szCs w:val="4"/>
                <w:color w:val="auto"/>
              </w:rPr>
              <w:t>(2)</w:t>
            </w:r>
          </w:p>
        </w:tc>
        <w:tc>
          <w:tcPr>
            <w:tcW w:w="16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40" w:type="dxa"/>
            <w:vAlign w:val="bottom"/>
            <w:gridSpan w:val="2"/>
          </w:tcPr>
          <w:p>
            <w:pPr>
              <w:ind w:left="360"/>
              <w:spacing w:after="0"/>
              <w:rPr>
                <w:sz w:val="20"/>
                <w:szCs w:val="20"/>
                <w:color w:val="auto"/>
              </w:rPr>
            </w:pPr>
            <w:r>
              <w:rPr>
                <w:rFonts w:ascii="Arial" w:cs="Arial" w:eastAsia="Arial" w:hAnsi="Arial"/>
                <w:sz w:val="10"/>
                <w:szCs w:val="10"/>
                <w:color w:val="auto"/>
              </w:rPr>
              <w:t>NAB Corporate Term Loan (AU)</w:t>
            </w:r>
          </w:p>
        </w:tc>
        <w:tc>
          <w:tcPr>
            <w:tcW w:w="1840" w:type="dxa"/>
            <w:vAlign w:val="bottom"/>
            <w:gridSpan w:val="2"/>
          </w:tcPr>
          <w:p>
            <w:pPr>
              <w:jc w:val="center"/>
              <w:ind w:right="180"/>
              <w:spacing w:after="0"/>
              <w:rPr>
                <w:sz w:val="20"/>
                <w:szCs w:val="20"/>
                <w:color w:val="auto"/>
              </w:rPr>
            </w:pPr>
            <w:r>
              <w:rPr>
                <w:rFonts w:ascii="Arial" w:cs="Arial" w:eastAsia="Arial" w:hAnsi="Arial"/>
                <w:sz w:val="10"/>
                <w:szCs w:val="10"/>
                <w:color w:val="auto"/>
                <w:w w:val="85"/>
              </w:rPr>
              <w:t>June 30, 2019</w:t>
            </w:r>
          </w:p>
        </w:tc>
        <w:tc>
          <w:tcPr>
            <w:tcW w:w="5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48,452</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0"/>
                <w:szCs w:val="10"/>
                <w:color w:val="auto"/>
              </w:rPr>
              <w:t>26,594</w:t>
            </w:r>
          </w:p>
        </w:tc>
        <w:tc>
          <w:tcPr>
            <w:tcW w:w="18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0"/>
                <w:szCs w:val="10"/>
                <w:color w:val="auto"/>
                <w:w w:val="91"/>
              </w:rPr>
              <w:t>3.06%</w:t>
            </w:r>
          </w:p>
        </w:tc>
        <w:tc>
          <w:tcPr>
            <w:tcW w:w="18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0"/>
                <w:szCs w:val="10"/>
                <w:color w:val="auto"/>
                <w:w w:val="84"/>
              </w:rPr>
              <w:t>3.06%</w:t>
            </w:r>
          </w:p>
        </w:tc>
        <w:tc>
          <w:tcPr>
            <w:tcW w:w="0" w:type="dxa"/>
            <w:vAlign w:val="bottom"/>
          </w:tcPr>
          <w:p>
            <w:pPr>
              <w:spacing w:after="0"/>
              <w:rPr>
                <w:sz w:val="1"/>
                <w:szCs w:val="1"/>
                <w:color w:val="auto"/>
              </w:rPr>
            </w:pPr>
          </w:p>
        </w:tc>
      </w:tr>
      <w:tr>
        <w:trPr>
          <w:trHeight w:val="162"/>
        </w:trPr>
        <w:tc>
          <w:tcPr>
            <w:tcW w:w="3740" w:type="dxa"/>
            <w:vAlign w:val="bottom"/>
            <w:gridSpan w:val="2"/>
            <w:shd w:val="clear" w:color="auto" w:fill="CCEEFF"/>
          </w:tcPr>
          <w:p>
            <w:pPr>
              <w:ind w:left="360"/>
              <w:spacing w:after="0"/>
              <w:rPr>
                <w:sz w:val="20"/>
                <w:szCs w:val="20"/>
                <w:color w:val="auto"/>
              </w:rPr>
            </w:pPr>
            <w:r>
              <w:rPr>
                <w:rFonts w:ascii="Arial" w:cs="Arial" w:eastAsia="Arial" w:hAnsi="Arial"/>
                <w:sz w:val="10"/>
                <w:szCs w:val="10"/>
                <w:color w:val="auto"/>
              </w:rPr>
              <w:t>Westpac Corporate Credit Facility (NZ)</w:t>
            </w:r>
          </w:p>
        </w:tc>
        <w:tc>
          <w:tcPr>
            <w:tcW w:w="1840" w:type="dxa"/>
            <w:vAlign w:val="bottom"/>
            <w:gridSpan w:val="2"/>
            <w:shd w:val="clear" w:color="auto" w:fill="CCEEFF"/>
          </w:tcPr>
          <w:p>
            <w:pPr>
              <w:jc w:val="center"/>
              <w:ind w:right="180"/>
              <w:spacing w:after="0"/>
              <w:rPr>
                <w:sz w:val="20"/>
                <w:szCs w:val="20"/>
                <w:color w:val="auto"/>
              </w:rPr>
            </w:pPr>
            <w:r>
              <w:rPr>
                <w:rFonts w:ascii="Arial" w:cs="Arial" w:eastAsia="Arial" w:hAnsi="Arial"/>
                <w:sz w:val="10"/>
                <w:szCs w:val="10"/>
                <w:color w:val="auto"/>
                <w:w w:val="89"/>
              </w:rPr>
              <w:t>March 31, 2018</w:t>
            </w:r>
          </w:p>
        </w:tc>
        <w:tc>
          <w:tcPr>
            <w:tcW w:w="54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34,210</w:t>
            </w:r>
          </w:p>
        </w:tc>
        <w:tc>
          <w:tcPr>
            <w:tcW w:w="2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13,684</w:t>
            </w:r>
          </w:p>
        </w:tc>
        <w:tc>
          <w:tcPr>
            <w:tcW w:w="180" w:type="dxa"/>
            <w:vAlign w:val="bottom"/>
            <w:shd w:val="clear" w:color="auto" w:fill="CCEEFF"/>
          </w:tcPr>
          <w:p>
            <w:pPr>
              <w:spacing w:after="0"/>
              <w:rPr>
                <w:sz w:val="14"/>
                <w:szCs w:val="14"/>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91"/>
              </w:rPr>
              <w:t>4.45%</w:t>
            </w:r>
          </w:p>
        </w:tc>
        <w:tc>
          <w:tcPr>
            <w:tcW w:w="180" w:type="dxa"/>
            <w:vAlign w:val="bottom"/>
            <w:shd w:val="clear" w:color="auto" w:fill="CCEEFF"/>
          </w:tcPr>
          <w:p>
            <w:pPr>
              <w:spacing w:after="0"/>
              <w:rPr>
                <w:sz w:val="14"/>
                <w:szCs w:val="14"/>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4"/>
              </w:rPr>
              <w:t>4.45%</w:t>
            </w:r>
          </w:p>
        </w:tc>
        <w:tc>
          <w:tcPr>
            <w:tcW w:w="0" w:type="dxa"/>
            <w:vAlign w:val="bottom"/>
          </w:tcPr>
          <w:p>
            <w:pPr>
              <w:spacing w:after="0"/>
              <w:rPr>
                <w:sz w:val="1"/>
                <w:szCs w:val="1"/>
                <w:color w:val="auto"/>
              </w:rPr>
            </w:pPr>
          </w:p>
        </w:tc>
      </w:tr>
      <w:tr>
        <w:trPr>
          <w:trHeight w:val="113"/>
        </w:trPr>
        <w:tc>
          <w:tcPr>
            <w:tcW w:w="374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Total</w:t>
            </w:r>
          </w:p>
        </w:tc>
        <w:tc>
          <w:tcPr>
            <w:tcW w:w="1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Pr>
          <w:p>
            <w:pPr>
              <w:ind w:left="160"/>
              <w:spacing w:after="0" w:line="113" w:lineRule="exact"/>
              <w:rPr>
                <w:sz w:val="20"/>
                <w:szCs w:val="20"/>
                <w:color w:val="auto"/>
              </w:rPr>
            </w:pPr>
            <w:r>
              <w:rPr>
                <w:rFonts w:ascii="Arial" w:cs="Arial" w:eastAsia="Arial" w:hAnsi="Arial"/>
                <w:sz w:val="10"/>
                <w:szCs w:val="10"/>
                <w:b w:val="1"/>
                <w:bCs w:val="1"/>
                <w:color w:val="auto"/>
              </w:rPr>
              <w:t>$</w:t>
            </w:r>
          </w:p>
        </w:tc>
        <w:tc>
          <w:tcPr>
            <w:tcW w:w="640" w:type="dxa"/>
            <w:vAlign w:val="bottom"/>
            <w:vMerge w:val="restart"/>
          </w:tcPr>
          <w:p>
            <w:pPr>
              <w:jc w:val="right"/>
              <w:spacing w:after="0"/>
              <w:rPr>
                <w:sz w:val="20"/>
                <w:szCs w:val="20"/>
                <w:color w:val="auto"/>
              </w:rPr>
            </w:pPr>
            <w:r>
              <w:rPr>
                <w:rFonts w:ascii="Arial" w:cs="Arial" w:eastAsia="Arial" w:hAnsi="Arial"/>
                <w:sz w:val="10"/>
                <w:szCs w:val="10"/>
                <w:color w:val="auto"/>
              </w:rPr>
              <w:t>207,075</w:t>
            </w:r>
          </w:p>
        </w:tc>
        <w:tc>
          <w:tcPr>
            <w:tcW w:w="200" w:type="dxa"/>
            <w:vAlign w:val="bottom"/>
          </w:tcPr>
          <w:p>
            <w:pPr>
              <w:spacing w:after="0"/>
              <w:rPr>
                <w:sz w:val="9"/>
                <w:szCs w:val="9"/>
                <w:color w:val="auto"/>
              </w:rPr>
            </w:pPr>
          </w:p>
        </w:tc>
        <w:tc>
          <w:tcPr>
            <w:tcW w:w="240" w:type="dxa"/>
            <w:vAlign w:val="bottom"/>
          </w:tcPr>
          <w:p>
            <w:pPr>
              <w:jc w:val="right"/>
              <w:ind w:right="12"/>
              <w:spacing w:after="0" w:line="113" w:lineRule="exact"/>
              <w:rPr>
                <w:sz w:val="20"/>
                <w:szCs w:val="20"/>
                <w:color w:val="auto"/>
              </w:rPr>
            </w:pPr>
            <w:r>
              <w:rPr>
                <w:rFonts w:ascii="Arial" w:cs="Arial" w:eastAsia="Arial" w:hAnsi="Arial"/>
                <w:sz w:val="10"/>
                <w:szCs w:val="10"/>
                <w:b w:val="1"/>
                <w:bCs w:val="1"/>
                <w:color w:val="auto"/>
              </w:rPr>
              <w:t>$</w:t>
            </w:r>
          </w:p>
        </w:tc>
        <w:tc>
          <w:tcPr>
            <w:tcW w:w="720" w:type="dxa"/>
            <w:vAlign w:val="bottom"/>
            <w:vMerge w:val="restart"/>
          </w:tcPr>
          <w:p>
            <w:pPr>
              <w:jc w:val="right"/>
              <w:spacing w:after="0"/>
              <w:rPr>
                <w:sz w:val="20"/>
                <w:szCs w:val="20"/>
                <w:color w:val="auto"/>
              </w:rPr>
            </w:pPr>
            <w:r>
              <w:rPr>
                <w:rFonts w:ascii="Arial" w:cs="Arial" w:eastAsia="Arial" w:hAnsi="Arial"/>
                <w:sz w:val="10"/>
                <w:szCs w:val="10"/>
                <w:color w:val="auto"/>
              </w:rPr>
              <w:t>130,941</w:t>
            </w:r>
          </w:p>
        </w:tc>
        <w:tc>
          <w:tcPr>
            <w:tcW w:w="1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3740" w:type="dxa"/>
            <w:vAlign w:val="bottom"/>
            <w:gridSpan w:val="2"/>
            <w:vMerge w:val="continue"/>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vMerge w:val="continu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100" w:hanging="84"/>
        <w:spacing w:after="0"/>
        <w:tabs>
          <w:tab w:leader="none" w:pos="100" w:val="left"/>
        </w:tabs>
        <w:numPr>
          <w:ilvl w:val="1"/>
          <w:numId w:val="35"/>
        </w:numPr>
        <w:rPr>
          <w:rFonts w:ascii="Arial" w:cs="Arial" w:eastAsia="Arial" w:hAnsi="Arial"/>
          <w:sz w:val="10"/>
          <w:szCs w:val="10"/>
          <w:color w:val="auto"/>
          <w:vertAlign w:val="superscript"/>
        </w:rPr>
      </w:pPr>
      <w:r>
        <w:rPr>
          <w:rFonts w:ascii="Arial" w:cs="Arial" w:eastAsia="Arial" w:hAnsi="Arial"/>
          <w:sz w:val="8"/>
          <w:szCs w:val="8"/>
          <w:color w:val="auto"/>
        </w:rPr>
        <w:t>Effective interest rate includes the impact of interest rate derivatives hedging the interest rate risk associated with Trust Preferred Securities and Bank of America Credit Facility that were outstanding as of December 31, 2015.</w:t>
      </w:r>
    </w:p>
    <w:p>
      <w:pPr>
        <w:spacing w:after="0" w:line="9" w:lineRule="exact"/>
        <w:rPr>
          <w:rFonts w:ascii="Arial" w:cs="Arial" w:eastAsia="Arial" w:hAnsi="Arial"/>
          <w:sz w:val="10"/>
          <w:szCs w:val="10"/>
          <w:color w:val="auto"/>
          <w:vertAlign w:val="superscript"/>
        </w:rPr>
      </w:pPr>
    </w:p>
    <w:p>
      <w:pPr>
        <w:ind w:left="80" w:hanging="76"/>
        <w:spacing w:after="0"/>
        <w:tabs>
          <w:tab w:leader="none" w:pos="80" w:val="left"/>
        </w:tabs>
        <w:numPr>
          <w:ilvl w:val="0"/>
          <w:numId w:val="36"/>
        </w:numPr>
        <w:rPr>
          <w:rFonts w:ascii="Arial" w:cs="Arial" w:eastAsia="Arial" w:hAnsi="Arial"/>
          <w:sz w:val="9"/>
          <w:szCs w:val="9"/>
          <w:color w:val="auto"/>
          <w:vertAlign w:val="superscript"/>
        </w:rPr>
      </w:pPr>
      <w:r>
        <w:rPr>
          <w:rFonts w:ascii="Arial" w:cs="Arial" w:eastAsia="Arial" w:hAnsi="Arial"/>
          <w:sz w:val="7"/>
          <w:szCs w:val="7"/>
          <w:color w:val="auto"/>
        </w:rPr>
        <w:t>The contractual facilities and outstanding balances of the FC-denominated borrowings were translated into U.S. dollars based on the applicable exchange rates as of December 31, 2015</w:t>
      </w:r>
      <w:r>
        <w:rPr>
          <w:rFonts w:ascii="Arial" w:cs="Arial" w:eastAsia="Arial" w:hAnsi="Arial"/>
          <w:sz w:val="8"/>
          <w:szCs w:val="8"/>
          <w:color w:val="auto"/>
        </w:rPr>
        <w:t>.</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3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6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gridSpan w:val="4"/>
          </w:tcPr>
          <w:p>
            <w:pPr>
              <w:ind w:left="40"/>
              <w:spacing w:after="0"/>
              <w:rPr>
                <w:sz w:val="20"/>
                <w:szCs w:val="20"/>
                <w:color w:val="auto"/>
              </w:rPr>
            </w:pPr>
            <w:r>
              <w:rPr>
                <w:rFonts w:ascii="Arial" w:cs="Arial" w:eastAsia="Arial" w:hAnsi="Arial"/>
                <w:sz w:val="10"/>
                <w:szCs w:val="10"/>
                <w:b w:val="1"/>
                <w:bCs w:val="1"/>
                <w:color w:val="auto"/>
              </w:rPr>
              <w:t>December 31, 2014</w:t>
            </w:r>
          </w:p>
        </w:tc>
        <w:tc>
          <w:tcPr>
            <w:tcW w:w="11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spacing w:after="0"/>
              <w:rPr>
                <w:sz w:val="10"/>
                <w:szCs w:val="10"/>
                <w:color w:val="auto"/>
              </w:rPr>
            </w:pPr>
          </w:p>
        </w:tc>
      </w:tr>
      <w:tr>
        <w:trPr>
          <w:trHeight w:val="331"/>
        </w:trPr>
        <w:tc>
          <w:tcPr>
            <w:tcW w:w="356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(Dollars in thousands)</w:t>
            </w:r>
          </w:p>
        </w:tc>
        <w:tc>
          <w:tcPr>
            <w:tcW w:w="180" w:type="dxa"/>
            <w:vAlign w:val="bottom"/>
            <w:tcBorders>
              <w:bottom w:val="single" w:sz="8" w:color="CCEEFF"/>
            </w:tcBorders>
          </w:tcPr>
          <w:p>
            <w:pPr>
              <w:spacing w:after="0"/>
              <w:rPr>
                <w:sz w:val="24"/>
                <w:szCs w:val="24"/>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1"/>
              </w:rPr>
              <w:t>Maturity Date</w:t>
            </w:r>
          </w:p>
        </w:tc>
        <w:tc>
          <w:tcPr>
            <w:tcW w:w="180" w:type="dxa"/>
            <w:vAlign w:val="bottom"/>
            <w:tcBorders>
              <w:bottom w:val="single" w:sz="8" w:color="CCEEFF"/>
            </w:tcBorders>
          </w:tcPr>
          <w:p>
            <w:pPr>
              <w:spacing w:after="0"/>
              <w:rPr>
                <w:sz w:val="24"/>
                <w:szCs w:val="24"/>
                <w:color w:val="auto"/>
              </w:rPr>
            </w:pPr>
          </w:p>
        </w:tc>
        <w:tc>
          <w:tcPr>
            <w:tcW w:w="1180" w:type="dxa"/>
            <w:vAlign w:val="bottom"/>
            <w:tcBorders>
              <w:bottom w:val="single" w:sz="8" w:color="auto"/>
            </w:tcBorders>
            <w:gridSpan w:val="2"/>
          </w:tcPr>
          <w:p>
            <w:pPr>
              <w:ind w:left="180"/>
              <w:spacing w:after="0"/>
              <w:rPr>
                <w:sz w:val="20"/>
                <w:szCs w:val="20"/>
                <w:color w:val="auto"/>
              </w:rPr>
            </w:pPr>
            <w:r>
              <w:rPr>
                <w:rFonts w:ascii="Arial" w:cs="Arial" w:eastAsia="Arial" w:hAnsi="Arial"/>
                <w:sz w:val="10"/>
                <w:szCs w:val="10"/>
                <w:b w:val="1"/>
                <w:bCs w:val="1"/>
                <w:color w:val="auto"/>
              </w:rPr>
              <w:t>Contractual Facility</w:t>
            </w:r>
          </w:p>
        </w:tc>
        <w:tc>
          <w:tcPr>
            <w:tcW w:w="2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272"/>
              <w:spacing w:after="0"/>
              <w:rPr>
                <w:sz w:val="20"/>
                <w:szCs w:val="20"/>
                <w:color w:val="auto"/>
              </w:rPr>
            </w:pPr>
            <w:r>
              <w:rPr>
                <w:rFonts w:ascii="Arial" w:cs="Arial" w:eastAsia="Arial" w:hAnsi="Arial"/>
                <w:sz w:val="10"/>
                <w:szCs w:val="10"/>
                <w:b w:val="1"/>
                <w:bCs w:val="1"/>
                <w:color w:val="auto"/>
                <w:w w:val="98"/>
              </w:rPr>
              <w:t>Balance</w:t>
            </w:r>
          </w:p>
        </w:tc>
        <w:tc>
          <w:tcPr>
            <w:tcW w:w="180" w:type="dxa"/>
            <w:vAlign w:val="bottom"/>
            <w:tcBorders>
              <w:bottom w:val="single" w:sz="8" w:color="CCEEFF"/>
            </w:tcBorders>
          </w:tcPr>
          <w:p>
            <w:pPr>
              <w:spacing w:after="0"/>
              <w:rPr>
                <w:sz w:val="24"/>
                <w:szCs w:val="24"/>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7"/>
              </w:rPr>
              <w:t>Stated Interest Rate</w:t>
            </w:r>
          </w:p>
        </w:tc>
        <w:tc>
          <w:tcPr>
            <w:tcW w:w="180" w:type="dxa"/>
            <w:vAlign w:val="bottom"/>
            <w:tcBorders>
              <w:bottom w:val="single" w:sz="8" w:color="CCEEFF"/>
            </w:tcBorders>
          </w:tcPr>
          <w:p>
            <w:pPr>
              <w:spacing w:after="0"/>
              <w:rPr>
                <w:sz w:val="24"/>
                <w:szCs w:val="24"/>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8"/>
              </w:rPr>
              <w:t xml:space="preserve">Effective Interest Rate </w:t>
            </w:r>
            <w:r>
              <w:rPr>
                <w:rFonts w:ascii="Arial" w:cs="Arial" w:eastAsia="Arial" w:hAnsi="Arial"/>
                <w:sz w:val="4"/>
                <w:szCs w:val="4"/>
                <w:b w:val="1"/>
                <w:bCs w:val="1"/>
                <w:color w:val="auto"/>
                <w:w w:val="88"/>
              </w:rPr>
              <w:t>(1)</w:t>
            </w:r>
          </w:p>
        </w:tc>
      </w:tr>
      <w:tr>
        <w:trPr>
          <w:trHeight w:val="142"/>
        </w:trPr>
        <w:tc>
          <w:tcPr>
            <w:tcW w:w="374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Denominated in USD</w:t>
            </w:r>
          </w:p>
        </w:tc>
        <w:tc>
          <w:tcPr>
            <w:tcW w:w="1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r>
      <w:tr>
        <w:trPr>
          <w:trHeight w:val="153"/>
        </w:trPr>
        <w:tc>
          <w:tcPr>
            <w:tcW w:w="3740" w:type="dxa"/>
            <w:vAlign w:val="bottom"/>
            <w:gridSpan w:val="2"/>
          </w:tcPr>
          <w:p>
            <w:pPr>
              <w:ind w:left="360"/>
              <w:spacing w:after="0"/>
              <w:rPr>
                <w:sz w:val="20"/>
                <w:szCs w:val="20"/>
                <w:color w:val="auto"/>
              </w:rPr>
            </w:pPr>
            <w:r>
              <w:rPr>
                <w:rFonts w:ascii="Arial" w:cs="Arial" w:eastAsia="Arial" w:hAnsi="Arial"/>
                <w:sz w:val="10"/>
                <w:szCs w:val="10"/>
                <w:color w:val="auto"/>
              </w:rPr>
              <w:t>Trust Preferred Securities (USA)</w:t>
            </w:r>
          </w:p>
        </w:tc>
        <w:tc>
          <w:tcPr>
            <w:tcW w:w="1840" w:type="dxa"/>
            <w:vAlign w:val="bottom"/>
            <w:gridSpan w:val="2"/>
          </w:tcPr>
          <w:p>
            <w:pPr>
              <w:jc w:val="center"/>
              <w:ind w:right="200"/>
              <w:spacing w:after="0"/>
              <w:rPr>
                <w:sz w:val="20"/>
                <w:szCs w:val="20"/>
                <w:color w:val="auto"/>
              </w:rPr>
            </w:pPr>
            <w:r>
              <w:rPr>
                <w:rFonts w:ascii="Arial" w:cs="Arial" w:eastAsia="Arial" w:hAnsi="Arial"/>
                <w:sz w:val="10"/>
                <w:szCs w:val="10"/>
                <w:color w:val="auto"/>
                <w:w w:val="90"/>
              </w:rPr>
              <w:t>April 30, 2027</w:t>
            </w:r>
          </w:p>
        </w:tc>
        <w:tc>
          <w:tcPr>
            <w:tcW w:w="540" w:type="dxa"/>
            <w:vAlign w:val="bottom"/>
          </w:tcPr>
          <w:p>
            <w:pPr>
              <w:ind w:left="160"/>
              <w:spacing w:after="0"/>
              <w:rPr>
                <w:sz w:val="20"/>
                <w:szCs w:val="20"/>
                <w:color w:val="auto"/>
              </w:rPr>
            </w:pPr>
            <w:r>
              <w:rPr>
                <w:rFonts w:ascii="Arial" w:cs="Arial" w:eastAsia="Arial" w:hAnsi="Arial"/>
                <w:sz w:val="10"/>
                <w:szCs w:val="10"/>
                <w:color w:val="auto"/>
              </w:rPr>
              <w:t>$</w:t>
            </w:r>
          </w:p>
        </w:tc>
        <w:tc>
          <w:tcPr>
            <w:tcW w:w="640" w:type="dxa"/>
            <w:vAlign w:val="bottom"/>
          </w:tcPr>
          <w:p>
            <w:pPr>
              <w:jc w:val="right"/>
              <w:spacing w:after="0"/>
              <w:rPr>
                <w:sz w:val="20"/>
                <w:szCs w:val="20"/>
                <w:color w:val="auto"/>
              </w:rPr>
            </w:pPr>
            <w:r>
              <w:rPr>
                <w:rFonts w:ascii="Arial" w:cs="Arial" w:eastAsia="Arial" w:hAnsi="Arial"/>
                <w:sz w:val="10"/>
                <w:szCs w:val="10"/>
                <w:color w:val="auto"/>
              </w:rPr>
              <w:t>27,913</w:t>
            </w:r>
          </w:p>
        </w:tc>
        <w:tc>
          <w:tcPr>
            <w:tcW w:w="440" w:type="dxa"/>
            <w:vAlign w:val="bottom"/>
            <w:gridSpan w:val="2"/>
          </w:tcPr>
          <w:p>
            <w:pPr>
              <w:jc w:val="right"/>
              <w:ind w:right="12"/>
              <w:spacing w:after="0"/>
              <w:rPr>
                <w:sz w:val="20"/>
                <w:szCs w:val="20"/>
                <w:color w:val="auto"/>
              </w:rPr>
            </w:pPr>
            <w:r>
              <w:rPr>
                <w:rFonts w:ascii="Arial" w:cs="Arial" w:eastAsia="Arial" w:hAnsi="Arial"/>
                <w:sz w:val="10"/>
                <w:szCs w:val="10"/>
                <w:color w:val="auto"/>
              </w:rPr>
              <w:t>$</w:t>
            </w:r>
          </w:p>
        </w:tc>
        <w:tc>
          <w:tcPr>
            <w:tcW w:w="720" w:type="dxa"/>
            <w:vAlign w:val="bottom"/>
          </w:tcPr>
          <w:p>
            <w:pPr>
              <w:jc w:val="right"/>
              <w:spacing w:after="0"/>
              <w:rPr>
                <w:sz w:val="20"/>
                <w:szCs w:val="20"/>
                <w:color w:val="auto"/>
              </w:rPr>
            </w:pPr>
            <w:r>
              <w:rPr>
                <w:rFonts w:ascii="Arial" w:cs="Arial" w:eastAsia="Arial" w:hAnsi="Arial"/>
                <w:sz w:val="10"/>
                <w:szCs w:val="10"/>
                <w:color w:val="auto"/>
              </w:rPr>
              <w:t>27,913</w:t>
            </w:r>
          </w:p>
        </w:tc>
        <w:tc>
          <w:tcPr>
            <w:tcW w:w="180" w:type="dxa"/>
            <w:vAlign w:val="bottom"/>
          </w:tcPr>
          <w:p>
            <w:pPr>
              <w:spacing w:after="0"/>
              <w:rPr>
                <w:sz w:val="13"/>
                <w:szCs w:val="13"/>
                <w:color w:val="auto"/>
              </w:rPr>
            </w:pPr>
          </w:p>
        </w:tc>
        <w:tc>
          <w:tcPr>
            <w:tcW w:w="1100" w:type="dxa"/>
            <w:vAlign w:val="bottom"/>
          </w:tcPr>
          <w:p>
            <w:pPr>
              <w:jc w:val="center"/>
              <w:spacing w:after="0"/>
              <w:rPr>
                <w:sz w:val="20"/>
                <w:szCs w:val="20"/>
                <w:color w:val="auto"/>
              </w:rPr>
            </w:pPr>
            <w:r>
              <w:rPr>
                <w:rFonts w:ascii="Arial" w:cs="Arial" w:eastAsia="Arial" w:hAnsi="Arial"/>
                <w:sz w:val="10"/>
                <w:szCs w:val="10"/>
                <w:color w:val="auto"/>
                <w:w w:val="91"/>
              </w:rPr>
              <w:t>4.23%</w:t>
            </w:r>
          </w:p>
        </w:tc>
        <w:tc>
          <w:tcPr>
            <w:tcW w:w="180" w:type="dxa"/>
            <w:vAlign w:val="bottom"/>
          </w:tcPr>
          <w:p>
            <w:pPr>
              <w:spacing w:after="0"/>
              <w:rPr>
                <w:sz w:val="13"/>
                <w:szCs w:val="13"/>
                <w:color w:val="auto"/>
              </w:rPr>
            </w:pPr>
          </w:p>
        </w:tc>
        <w:tc>
          <w:tcPr>
            <w:tcW w:w="1240" w:type="dxa"/>
            <w:vAlign w:val="bottom"/>
          </w:tcPr>
          <w:p>
            <w:pPr>
              <w:jc w:val="center"/>
              <w:spacing w:after="0"/>
              <w:rPr>
                <w:sz w:val="20"/>
                <w:szCs w:val="20"/>
                <w:color w:val="auto"/>
              </w:rPr>
            </w:pPr>
            <w:r>
              <w:rPr>
                <w:rFonts w:ascii="Arial" w:cs="Arial" w:eastAsia="Arial" w:hAnsi="Arial"/>
                <w:sz w:val="10"/>
                <w:szCs w:val="10"/>
                <w:color w:val="auto"/>
                <w:w w:val="84"/>
              </w:rPr>
              <w:t>5.20%</w:t>
            </w:r>
          </w:p>
        </w:tc>
      </w:tr>
      <w:tr>
        <w:trPr>
          <w:trHeight w:val="153"/>
        </w:trPr>
        <w:tc>
          <w:tcPr>
            <w:tcW w:w="3740" w:type="dxa"/>
            <w:vAlign w:val="bottom"/>
            <w:gridSpan w:val="2"/>
            <w:shd w:val="clear" w:color="auto" w:fill="CCEEFF"/>
          </w:tcPr>
          <w:p>
            <w:pPr>
              <w:ind w:left="360"/>
              <w:spacing w:after="0"/>
              <w:rPr>
                <w:sz w:val="20"/>
                <w:szCs w:val="20"/>
                <w:color w:val="auto"/>
              </w:rPr>
            </w:pPr>
            <w:r>
              <w:rPr>
                <w:rFonts w:ascii="Arial" w:cs="Arial" w:eastAsia="Arial" w:hAnsi="Arial"/>
                <w:sz w:val="10"/>
                <w:szCs w:val="10"/>
                <w:color w:val="auto"/>
              </w:rPr>
              <w:t>Bank of America Credit Facility (USA)</w:t>
            </w:r>
          </w:p>
        </w:tc>
        <w:tc>
          <w:tcPr>
            <w:tcW w:w="1840" w:type="dxa"/>
            <w:vAlign w:val="bottom"/>
            <w:gridSpan w:val="2"/>
            <w:shd w:val="clear" w:color="auto" w:fill="CCEEFF"/>
          </w:tcPr>
          <w:p>
            <w:pPr>
              <w:jc w:val="center"/>
              <w:ind w:right="200"/>
              <w:spacing w:after="0"/>
              <w:rPr>
                <w:sz w:val="20"/>
                <w:szCs w:val="20"/>
                <w:color w:val="auto"/>
              </w:rPr>
            </w:pPr>
            <w:r>
              <w:rPr>
                <w:rFonts w:ascii="Arial" w:cs="Arial" w:eastAsia="Arial" w:hAnsi="Arial"/>
                <w:sz w:val="10"/>
                <w:szCs w:val="10"/>
                <w:color w:val="auto"/>
                <w:w w:val="86"/>
              </w:rPr>
              <w:t>November 28, 2019</w:t>
            </w:r>
          </w:p>
        </w:tc>
        <w:tc>
          <w:tcPr>
            <w:tcW w:w="54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55,000</w:t>
            </w:r>
          </w:p>
        </w:tc>
        <w:tc>
          <w:tcPr>
            <w:tcW w:w="2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29,750</w:t>
            </w:r>
          </w:p>
        </w:tc>
        <w:tc>
          <w:tcPr>
            <w:tcW w:w="180" w:type="dxa"/>
            <w:vAlign w:val="bottom"/>
            <w:shd w:val="clear" w:color="auto" w:fill="CCEEFF"/>
          </w:tcPr>
          <w:p>
            <w:pPr>
              <w:spacing w:after="0"/>
              <w:rPr>
                <w:sz w:val="13"/>
                <w:szCs w:val="13"/>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91"/>
              </w:rPr>
              <w:t>2.67%</w:t>
            </w:r>
          </w:p>
        </w:tc>
        <w:tc>
          <w:tcPr>
            <w:tcW w:w="180" w:type="dxa"/>
            <w:vAlign w:val="bottom"/>
            <w:shd w:val="clear" w:color="auto" w:fill="CCEEFF"/>
          </w:tcPr>
          <w:p>
            <w:pPr>
              <w:spacing w:after="0"/>
              <w:rPr>
                <w:sz w:val="13"/>
                <w:szCs w:val="13"/>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4"/>
              </w:rPr>
              <w:t>3.65%</w:t>
            </w:r>
          </w:p>
        </w:tc>
      </w:tr>
      <w:tr>
        <w:trPr>
          <w:trHeight w:val="153"/>
        </w:trPr>
        <w:tc>
          <w:tcPr>
            <w:tcW w:w="3740" w:type="dxa"/>
            <w:vAlign w:val="bottom"/>
            <w:gridSpan w:val="2"/>
          </w:tcPr>
          <w:p>
            <w:pPr>
              <w:ind w:left="360"/>
              <w:spacing w:after="0"/>
              <w:rPr>
                <w:sz w:val="20"/>
                <w:szCs w:val="20"/>
                <w:color w:val="auto"/>
              </w:rPr>
            </w:pPr>
            <w:r>
              <w:rPr>
                <w:rFonts w:ascii="Arial" w:cs="Arial" w:eastAsia="Arial" w:hAnsi="Arial"/>
                <w:sz w:val="10"/>
                <w:szCs w:val="10"/>
                <w:color w:val="auto"/>
              </w:rPr>
              <w:t>Bank of America Line of Credit (USA)</w:t>
            </w:r>
          </w:p>
        </w:tc>
        <w:tc>
          <w:tcPr>
            <w:tcW w:w="1840" w:type="dxa"/>
            <w:vAlign w:val="bottom"/>
            <w:gridSpan w:val="2"/>
          </w:tcPr>
          <w:p>
            <w:pPr>
              <w:jc w:val="center"/>
              <w:ind w:right="180"/>
              <w:spacing w:after="0"/>
              <w:rPr>
                <w:sz w:val="20"/>
                <w:szCs w:val="20"/>
                <w:color w:val="auto"/>
              </w:rPr>
            </w:pPr>
            <w:r>
              <w:rPr>
                <w:rFonts w:ascii="Arial" w:cs="Arial" w:eastAsia="Arial" w:hAnsi="Arial"/>
                <w:sz w:val="10"/>
                <w:szCs w:val="10"/>
                <w:color w:val="auto"/>
                <w:w w:val="85"/>
              </w:rPr>
              <w:t>October 31, 2017</w:t>
            </w:r>
          </w:p>
        </w:tc>
        <w:tc>
          <w:tcPr>
            <w:tcW w:w="54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5,000</w:t>
            </w: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1100" w:type="dxa"/>
            <w:vAlign w:val="bottom"/>
          </w:tcPr>
          <w:p>
            <w:pPr>
              <w:jc w:val="center"/>
              <w:spacing w:after="0"/>
              <w:rPr>
                <w:sz w:val="20"/>
                <w:szCs w:val="20"/>
                <w:color w:val="auto"/>
              </w:rPr>
            </w:pPr>
            <w:r>
              <w:rPr>
                <w:rFonts w:ascii="Arial" w:cs="Arial" w:eastAsia="Arial" w:hAnsi="Arial"/>
                <w:sz w:val="10"/>
                <w:szCs w:val="10"/>
                <w:color w:val="auto"/>
                <w:w w:val="91"/>
              </w:rPr>
              <w:t>3.17%</w:t>
            </w:r>
          </w:p>
        </w:tc>
        <w:tc>
          <w:tcPr>
            <w:tcW w:w="180" w:type="dxa"/>
            <w:vAlign w:val="bottom"/>
          </w:tcPr>
          <w:p>
            <w:pPr>
              <w:spacing w:after="0"/>
              <w:rPr>
                <w:sz w:val="13"/>
                <w:szCs w:val="13"/>
                <w:color w:val="auto"/>
              </w:rPr>
            </w:pPr>
          </w:p>
        </w:tc>
        <w:tc>
          <w:tcPr>
            <w:tcW w:w="1240" w:type="dxa"/>
            <w:vAlign w:val="bottom"/>
          </w:tcPr>
          <w:p>
            <w:pPr>
              <w:jc w:val="center"/>
              <w:spacing w:after="0"/>
              <w:rPr>
                <w:sz w:val="20"/>
                <w:szCs w:val="20"/>
                <w:color w:val="auto"/>
              </w:rPr>
            </w:pPr>
            <w:r>
              <w:rPr>
                <w:rFonts w:ascii="Arial" w:cs="Arial" w:eastAsia="Arial" w:hAnsi="Arial"/>
                <w:sz w:val="10"/>
                <w:szCs w:val="10"/>
                <w:color w:val="auto"/>
                <w:w w:val="84"/>
              </w:rPr>
              <w:t>3.17%</w:t>
            </w:r>
          </w:p>
        </w:tc>
      </w:tr>
      <w:tr>
        <w:trPr>
          <w:trHeight w:val="153"/>
        </w:trPr>
        <w:tc>
          <w:tcPr>
            <w:tcW w:w="3740" w:type="dxa"/>
            <w:vAlign w:val="bottom"/>
            <w:gridSpan w:val="2"/>
            <w:shd w:val="clear" w:color="auto" w:fill="CCEEFF"/>
          </w:tcPr>
          <w:p>
            <w:pPr>
              <w:ind w:left="360"/>
              <w:spacing w:after="0"/>
              <w:rPr>
                <w:sz w:val="20"/>
                <w:szCs w:val="20"/>
                <w:color w:val="auto"/>
              </w:rPr>
            </w:pPr>
            <w:r>
              <w:rPr>
                <w:rFonts w:ascii="Arial" w:cs="Arial" w:eastAsia="Arial" w:hAnsi="Arial"/>
                <w:sz w:val="10"/>
                <w:szCs w:val="10"/>
                <w:color w:val="auto"/>
              </w:rPr>
              <w:t>Cinema 1, 2, 3 Term Loan (USA)</w:t>
            </w:r>
          </w:p>
        </w:tc>
        <w:tc>
          <w:tcPr>
            <w:tcW w:w="1840" w:type="dxa"/>
            <w:vAlign w:val="bottom"/>
            <w:gridSpan w:val="2"/>
            <w:shd w:val="clear" w:color="auto" w:fill="CCEEFF"/>
          </w:tcPr>
          <w:p>
            <w:pPr>
              <w:jc w:val="center"/>
              <w:ind w:right="180"/>
              <w:spacing w:after="0"/>
              <w:rPr>
                <w:sz w:val="20"/>
                <w:szCs w:val="20"/>
                <w:color w:val="auto"/>
              </w:rPr>
            </w:pPr>
            <w:r>
              <w:rPr>
                <w:rFonts w:ascii="Arial" w:cs="Arial" w:eastAsia="Arial" w:hAnsi="Arial"/>
                <w:sz w:val="10"/>
                <w:szCs w:val="10"/>
                <w:color w:val="auto"/>
                <w:w w:val="85"/>
              </w:rPr>
              <w:t>July 1, 2016</w:t>
            </w:r>
          </w:p>
        </w:tc>
        <w:tc>
          <w:tcPr>
            <w:tcW w:w="54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15,000</w:t>
            </w:r>
          </w:p>
        </w:tc>
        <w:tc>
          <w:tcPr>
            <w:tcW w:w="2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15,000</w:t>
            </w:r>
          </w:p>
        </w:tc>
        <w:tc>
          <w:tcPr>
            <w:tcW w:w="180" w:type="dxa"/>
            <w:vAlign w:val="bottom"/>
            <w:shd w:val="clear" w:color="auto" w:fill="CCEEFF"/>
          </w:tcPr>
          <w:p>
            <w:pPr>
              <w:spacing w:after="0"/>
              <w:rPr>
                <w:sz w:val="13"/>
                <w:szCs w:val="13"/>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91"/>
              </w:rPr>
              <w:t>3.69%</w:t>
            </w:r>
          </w:p>
        </w:tc>
        <w:tc>
          <w:tcPr>
            <w:tcW w:w="180" w:type="dxa"/>
            <w:vAlign w:val="bottom"/>
            <w:shd w:val="clear" w:color="auto" w:fill="CCEEFF"/>
          </w:tcPr>
          <w:p>
            <w:pPr>
              <w:spacing w:after="0"/>
              <w:rPr>
                <w:sz w:val="13"/>
                <w:szCs w:val="13"/>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4"/>
              </w:rPr>
              <w:t>3.69%</w:t>
            </w:r>
          </w:p>
        </w:tc>
      </w:tr>
      <w:tr>
        <w:trPr>
          <w:trHeight w:val="153"/>
        </w:trPr>
        <w:tc>
          <w:tcPr>
            <w:tcW w:w="3740" w:type="dxa"/>
            <w:vAlign w:val="bottom"/>
            <w:gridSpan w:val="2"/>
          </w:tcPr>
          <w:p>
            <w:pPr>
              <w:ind w:left="360"/>
              <w:spacing w:after="0"/>
              <w:rPr>
                <w:sz w:val="20"/>
                <w:szCs w:val="20"/>
                <w:color w:val="auto"/>
              </w:rPr>
            </w:pPr>
            <w:r>
              <w:rPr>
                <w:rFonts w:ascii="Arial" w:cs="Arial" w:eastAsia="Arial" w:hAnsi="Arial"/>
                <w:sz w:val="10"/>
                <w:szCs w:val="10"/>
                <w:color w:val="auto"/>
              </w:rPr>
              <w:t>Cinema 1, 2, 3 Line of Credit (USA)</w:t>
            </w:r>
          </w:p>
        </w:tc>
        <w:tc>
          <w:tcPr>
            <w:tcW w:w="1840" w:type="dxa"/>
            <w:vAlign w:val="bottom"/>
            <w:gridSpan w:val="2"/>
          </w:tcPr>
          <w:p>
            <w:pPr>
              <w:jc w:val="center"/>
              <w:ind w:right="180"/>
              <w:spacing w:after="0"/>
              <w:rPr>
                <w:sz w:val="20"/>
                <w:szCs w:val="20"/>
                <w:color w:val="auto"/>
              </w:rPr>
            </w:pPr>
            <w:r>
              <w:rPr>
                <w:rFonts w:ascii="Arial" w:cs="Arial" w:eastAsia="Arial" w:hAnsi="Arial"/>
                <w:sz w:val="10"/>
                <w:szCs w:val="10"/>
                <w:color w:val="auto"/>
                <w:w w:val="85"/>
              </w:rPr>
              <w:t>July 1, 2016</w:t>
            </w:r>
          </w:p>
        </w:tc>
        <w:tc>
          <w:tcPr>
            <w:tcW w:w="54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6,000</w:t>
            </w: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1100" w:type="dxa"/>
            <w:vAlign w:val="bottom"/>
          </w:tcPr>
          <w:p>
            <w:pPr>
              <w:jc w:val="center"/>
              <w:spacing w:after="0"/>
              <w:rPr>
                <w:sz w:val="20"/>
                <w:szCs w:val="20"/>
                <w:color w:val="auto"/>
              </w:rPr>
            </w:pPr>
            <w:r>
              <w:rPr>
                <w:rFonts w:ascii="Arial" w:cs="Arial" w:eastAsia="Arial" w:hAnsi="Arial"/>
                <w:sz w:val="10"/>
                <w:szCs w:val="10"/>
                <w:color w:val="auto"/>
                <w:w w:val="91"/>
              </w:rPr>
              <w:t>3.69%</w:t>
            </w:r>
          </w:p>
        </w:tc>
        <w:tc>
          <w:tcPr>
            <w:tcW w:w="180" w:type="dxa"/>
            <w:vAlign w:val="bottom"/>
          </w:tcPr>
          <w:p>
            <w:pPr>
              <w:spacing w:after="0"/>
              <w:rPr>
                <w:sz w:val="13"/>
                <w:szCs w:val="13"/>
                <w:color w:val="auto"/>
              </w:rPr>
            </w:pPr>
          </w:p>
        </w:tc>
        <w:tc>
          <w:tcPr>
            <w:tcW w:w="1240" w:type="dxa"/>
            <w:vAlign w:val="bottom"/>
          </w:tcPr>
          <w:p>
            <w:pPr>
              <w:jc w:val="center"/>
              <w:spacing w:after="0"/>
              <w:rPr>
                <w:sz w:val="20"/>
                <w:szCs w:val="20"/>
                <w:color w:val="auto"/>
              </w:rPr>
            </w:pPr>
            <w:r>
              <w:rPr>
                <w:rFonts w:ascii="Arial" w:cs="Arial" w:eastAsia="Arial" w:hAnsi="Arial"/>
                <w:sz w:val="10"/>
                <w:szCs w:val="10"/>
                <w:color w:val="auto"/>
                <w:w w:val="84"/>
              </w:rPr>
              <w:t>3.69%</w:t>
            </w:r>
          </w:p>
        </w:tc>
      </w:tr>
      <w:tr>
        <w:trPr>
          <w:trHeight w:val="153"/>
        </w:trPr>
        <w:tc>
          <w:tcPr>
            <w:tcW w:w="3740" w:type="dxa"/>
            <w:vAlign w:val="bottom"/>
            <w:gridSpan w:val="2"/>
            <w:shd w:val="clear" w:color="auto" w:fill="CCEEFF"/>
          </w:tcPr>
          <w:p>
            <w:pPr>
              <w:ind w:left="360"/>
              <w:spacing w:after="0"/>
              <w:rPr>
                <w:sz w:val="20"/>
                <w:szCs w:val="20"/>
                <w:color w:val="auto"/>
              </w:rPr>
            </w:pPr>
            <w:r>
              <w:rPr>
                <w:rFonts w:ascii="Arial" w:cs="Arial" w:eastAsia="Arial" w:hAnsi="Arial"/>
                <w:sz w:val="10"/>
                <w:szCs w:val="10"/>
                <w:color w:val="auto"/>
              </w:rPr>
              <w:t>Minetta &amp; Orpheum Theatres Loan (USA)</w:t>
            </w:r>
          </w:p>
        </w:tc>
        <w:tc>
          <w:tcPr>
            <w:tcW w:w="1840" w:type="dxa"/>
            <w:vAlign w:val="bottom"/>
            <w:gridSpan w:val="2"/>
            <w:shd w:val="clear" w:color="auto" w:fill="CCEEFF"/>
          </w:tcPr>
          <w:p>
            <w:pPr>
              <w:jc w:val="center"/>
              <w:ind w:right="180"/>
              <w:spacing w:after="0"/>
              <w:rPr>
                <w:sz w:val="20"/>
                <w:szCs w:val="20"/>
                <w:color w:val="auto"/>
              </w:rPr>
            </w:pPr>
            <w:r>
              <w:rPr>
                <w:rFonts w:ascii="Arial" w:cs="Arial" w:eastAsia="Arial" w:hAnsi="Arial"/>
                <w:sz w:val="10"/>
                <w:szCs w:val="10"/>
                <w:color w:val="auto"/>
                <w:w w:val="86"/>
              </w:rPr>
              <w:t>June 1, 2018</w:t>
            </w:r>
          </w:p>
        </w:tc>
        <w:tc>
          <w:tcPr>
            <w:tcW w:w="54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7,500</w:t>
            </w:r>
          </w:p>
        </w:tc>
        <w:tc>
          <w:tcPr>
            <w:tcW w:w="2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7,500</w:t>
            </w:r>
          </w:p>
        </w:tc>
        <w:tc>
          <w:tcPr>
            <w:tcW w:w="180" w:type="dxa"/>
            <w:vAlign w:val="bottom"/>
            <w:shd w:val="clear" w:color="auto" w:fill="CCEEFF"/>
          </w:tcPr>
          <w:p>
            <w:pPr>
              <w:spacing w:after="0"/>
              <w:rPr>
                <w:sz w:val="13"/>
                <w:szCs w:val="13"/>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91"/>
              </w:rPr>
              <w:t>2.94%</w:t>
            </w:r>
          </w:p>
        </w:tc>
        <w:tc>
          <w:tcPr>
            <w:tcW w:w="180" w:type="dxa"/>
            <w:vAlign w:val="bottom"/>
            <w:shd w:val="clear" w:color="auto" w:fill="CCEEFF"/>
          </w:tcPr>
          <w:p>
            <w:pPr>
              <w:spacing w:after="0"/>
              <w:rPr>
                <w:sz w:val="13"/>
                <w:szCs w:val="13"/>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4"/>
              </w:rPr>
              <w:t>2.94%</w:t>
            </w:r>
          </w:p>
        </w:tc>
      </w:tr>
      <w:tr>
        <w:trPr>
          <w:trHeight w:val="153"/>
        </w:trPr>
        <w:tc>
          <w:tcPr>
            <w:tcW w:w="3740" w:type="dxa"/>
            <w:vAlign w:val="bottom"/>
            <w:gridSpan w:val="2"/>
          </w:tcPr>
          <w:p>
            <w:pPr>
              <w:ind w:left="360"/>
              <w:spacing w:after="0"/>
              <w:rPr>
                <w:sz w:val="20"/>
                <w:szCs w:val="20"/>
                <w:color w:val="auto"/>
              </w:rPr>
            </w:pPr>
            <w:r>
              <w:rPr>
                <w:rFonts w:ascii="Arial" w:cs="Arial" w:eastAsia="Arial" w:hAnsi="Arial"/>
                <w:sz w:val="10"/>
                <w:szCs w:val="10"/>
                <w:color w:val="auto"/>
              </w:rPr>
              <w:t>Union Square Theatre Term Loan (USA)</w:t>
            </w:r>
          </w:p>
        </w:tc>
        <w:tc>
          <w:tcPr>
            <w:tcW w:w="1840" w:type="dxa"/>
            <w:vAlign w:val="bottom"/>
            <w:gridSpan w:val="2"/>
          </w:tcPr>
          <w:p>
            <w:pPr>
              <w:jc w:val="center"/>
              <w:ind w:right="180"/>
              <w:spacing w:after="0"/>
              <w:rPr>
                <w:sz w:val="20"/>
                <w:szCs w:val="20"/>
                <w:color w:val="auto"/>
              </w:rPr>
            </w:pPr>
            <w:r>
              <w:rPr>
                <w:rFonts w:ascii="Arial" w:cs="Arial" w:eastAsia="Arial" w:hAnsi="Arial"/>
                <w:sz w:val="10"/>
                <w:szCs w:val="10"/>
                <w:color w:val="auto"/>
                <w:w w:val="90"/>
              </w:rPr>
              <w:t>May 1, 2015</w:t>
            </w:r>
          </w:p>
        </w:tc>
        <w:tc>
          <w:tcPr>
            <w:tcW w:w="54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7,500</w:t>
            </w: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0"/>
                <w:szCs w:val="10"/>
                <w:color w:val="auto"/>
              </w:rPr>
              <w:t>6,468</w:t>
            </w:r>
          </w:p>
        </w:tc>
        <w:tc>
          <w:tcPr>
            <w:tcW w:w="180" w:type="dxa"/>
            <w:vAlign w:val="bottom"/>
          </w:tcPr>
          <w:p>
            <w:pPr>
              <w:spacing w:after="0"/>
              <w:rPr>
                <w:sz w:val="13"/>
                <w:szCs w:val="13"/>
                <w:color w:val="auto"/>
              </w:rPr>
            </w:pPr>
          </w:p>
        </w:tc>
        <w:tc>
          <w:tcPr>
            <w:tcW w:w="1100" w:type="dxa"/>
            <w:vAlign w:val="bottom"/>
          </w:tcPr>
          <w:p>
            <w:pPr>
              <w:jc w:val="center"/>
              <w:spacing w:after="0"/>
              <w:rPr>
                <w:sz w:val="20"/>
                <w:szCs w:val="20"/>
                <w:color w:val="auto"/>
              </w:rPr>
            </w:pPr>
            <w:r>
              <w:rPr>
                <w:rFonts w:ascii="Arial" w:cs="Arial" w:eastAsia="Arial" w:hAnsi="Arial"/>
                <w:sz w:val="10"/>
                <w:szCs w:val="10"/>
                <w:color w:val="auto"/>
                <w:w w:val="91"/>
              </w:rPr>
              <w:t>5.92%</w:t>
            </w:r>
          </w:p>
        </w:tc>
        <w:tc>
          <w:tcPr>
            <w:tcW w:w="180" w:type="dxa"/>
            <w:vAlign w:val="bottom"/>
          </w:tcPr>
          <w:p>
            <w:pPr>
              <w:spacing w:after="0"/>
              <w:rPr>
                <w:sz w:val="13"/>
                <w:szCs w:val="13"/>
                <w:color w:val="auto"/>
              </w:rPr>
            </w:pPr>
          </w:p>
        </w:tc>
        <w:tc>
          <w:tcPr>
            <w:tcW w:w="1240" w:type="dxa"/>
            <w:vAlign w:val="bottom"/>
          </w:tcPr>
          <w:p>
            <w:pPr>
              <w:jc w:val="center"/>
              <w:spacing w:after="0"/>
              <w:rPr>
                <w:sz w:val="20"/>
                <w:szCs w:val="20"/>
                <w:color w:val="auto"/>
              </w:rPr>
            </w:pPr>
            <w:r>
              <w:rPr>
                <w:rFonts w:ascii="Arial" w:cs="Arial" w:eastAsia="Arial" w:hAnsi="Arial"/>
                <w:sz w:val="10"/>
                <w:szCs w:val="10"/>
                <w:color w:val="auto"/>
                <w:w w:val="84"/>
              </w:rPr>
              <w:t>5.92%</w:t>
            </w:r>
          </w:p>
        </w:tc>
      </w:tr>
      <w:tr>
        <w:trPr>
          <w:trHeight w:val="189"/>
        </w:trPr>
        <w:tc>
          <w:tcPr>
            <w:tcW w:w="374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 xml:space="preserve">Denominated in FC </w:t>
            </w:r>
            <w:r>
              <w:rPr>
                <w:rFonts w:ascii="Arial" w:cs="Arial" w:eastAsia="Arial" w:hAnsi="Arial"/>
                <w:sz w:val="4"/>
                <w:szCs w:val="4"/>
                <w:color w:val="auto"/>
              </w:rPr>
              <w:t>(2)</w:t>
            </w:r>
          </w:p>
        </w:tc>
        <w:tc>
          <w:tcPr>
            <w:tcW w:w="16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r>
      <w:tr>
        <w:trPr>
          <w:trHeight w:val="153"/>
        </w:trPr>
        <w:tc>
          <w:tcPr>
            <w:tcW w:w="3740" w:type="dxa"/>
            <w:vAlign w:val="bottom"/>
            <w:gridSpan w:val="2"/>
          </w:tcPr>
          <w:p>
            <w:pPr>
              <w:ind w:left="360"/>
              <w:spacing w:after="0"/>
              <w:rPr>
                <w:sz w:val="20"/>
                <w:szCs w:val="20"/>
                <w:color w:val="auto"/>
              </w:rPr>
            </w:pPr>
            <w:r>
              <w:rPr>
                <w:rFonts w:ascii="Arial" w:cs="Arial" w:eastAsia="Arial" w:hAnsi="Arial"/>
                <w:sz w:val="10"/>
                <w:szCs w:val="10"/>
                <w:color w:val="auto"/>
              </w:rPr>
              <w:t>NAB Corporate Term Loan (AU)</w:t>
            </w:r>
          </w:p>
        </w:tc>
        <w:tc>
          <w:tcPr>
            <w:tcW w:w="1840" w:type="dxa"/>
            <w:vAlign w:val="bottom"/>
            <w:gridSpan w:val="2"/>
          </w:tcPr>
          <w:p>
            <w:pPr>
              <w:jc w:val="center"/>
              <w:ind w:right="180"/>
              <w:spacing w:after="0"/>
              <w:rPr>
                <w:sz w:val="20"/>
                <w:szCs w:val="20"/>
                <w:color w:val="auto"/>
              </w:rPr>
            </w:pPr>
            <w:r>
              <w:rPr>
                <w:rFonts w:ascii="Arial" w:cs="Arial" w:eastAsia="Arial" w:hAnsi="Arial"/>
                <w:sz w:val="10"/>
                <w:szCs w:val="10"/>
                <w:color w:val="auto"/>
                <w:w w:val="85"/>
              </w:rPr>
              <w:t>June 30, 2019</w:t>
            </w:r>
          </w:p>
        </w:tc>
        <w:tc>
          <w:tcPr>
            <w:tcW w:w="54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47,403</w:t>
            </w: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0"/>
                <w:szCs w:val="10"/>
                <w:color w:val="auto"/>
              </w:rPr>
              <w:t>47,403</w:t>
            </w:r>
          </w:p>
        </w:tc>
        <w:tc>
          <w:tcPr>
            <w:tcW w:w="180" w:type="dxa"/>
            <w:vAlign w:val="bottom"/>
          </w:tcPr>
          <w:p>
            <w:pPr>
              <w:spacing w:after="0"/>
              <w:rPr>
                <w:sz w:val="13"/>
                <w:szCs w:val="13"/>
                <w:color w:val="auto"/>
              </w:rPr>
            </w:pPr>
          </w:p>
        </w:tc>
        <w:tc>
          <w:tcPr>
            <w:tcW w:w="1100" w:type="dxa"/>
            <w:vAlign w:val="bottom"/>
          </w:tcPr>
          <w:p>
            <w:pPr>
              <w:jc w:val="center"/>
              <w:spacing w:after="0"/>
              <w:rPr>
                <w:sz w:val="20"/>
                <w:szCs w:val="20"/>
                <w:color w:val="auto"/>
              </w:rPr>
            </w:pPr>
            <w:r>
              <w:rPr>
                <w:rFonts w:ascii="Arial" w:cs="Arial" w:eastAsia="Arial" w:hAnsi="Arial"/>
                <w:sz w:val="10"/>
                <w:szCs w:val="10"/>
                <w:color w:val="auto"/>
                <w:w w:val="91"/>
              </w:rPr>
              <w:t>5.04%</w:t>
            </w:r>
          </w:p>
        </w:tc>
        <w:tc>
          <w:tcPr>
            <w:tcW w:w="180" w:type="dxa"/>
            <w:vAlign w:val="bottom"/>
          </w:tcPr>
          <w:p>
            <w:pPr>
              <w:spacing w:after="0"/>
              <w:rPr>
                <w:sz w:val="13"/>
                <w:szCs w:val="13"/>
                <w:color w:val="auto"/>
              </w:rPr>
            </w:pPr>
          </w:p>
        </w:tc>
        <w:tc>
          <w:tcPr>
            <w:tcW w:w="1240" w:type="dxa"/>
            <w:vAlign w:val="bottom"/>
          </w:tcPr>
          <w:p>
            <w:pPr>
              <w:jc w:val="center"/>
              <w:spacing w:after="0"/>
              <w:rPr>
                <w:sz w:val="20"/>
                <w:szCs w:val="20"/>
                <w:color w:val="auto"/>
              </w:rPr>
            </w:pPr>
            <w:r>
              <w:rPr>
                <w:rFonts w:ascii="Arial" w:cs="Arial" w:eastAsia="Arial" w:hAnsi="Arial"/>
                <w:sz w:val="10"/>
                <w:szCs w:val="10"/>
                <w:color w:val="auto"/>
                <w:w w:val="84"/>
              </w:rPr>
              <w:t>7.85%</w:t>
            </w:r>
          </w:p>
        </w:tc>
      </w:tr>
      <w:tr>
        <w:trPr>
          <w:trHeight w:val="153"/>
        </w:trPr>
        <w:tc>
          <w:tcPr>
            <w:tcW w:w="3740" w:type="dxa"/>
            <w:vAlign w:val="bottom"/>
            <w:gridSpan w:val="2"/>
            <w:shd w:val="clear" w:color="auto" w:fill="CCEEFF"/>
          </w:tcPr>
          <w:p>
            <w:pPr>
              <w:ind w:left="360"/>
              <w:spacing w:after="0"/>
              <w:rPr>
                <w:sz w:val="20"/>
                <w:szCs w:val="20"/>
                <w:color w:val="auto"/>
              </w:rPr>
            </w:pPr>
            <w:r>
              <w:rPr>
                <w:rFonts w:ascii="Arial" w:cs="Arial" w:eastAsia="Arial" w:hAnsi="Arial"/>
                <w:sz w:val="10"/>
                <w:szCs w:val="10"/>
                <w:color w:val="auto"/>
              </w:rPr>
              <w:t>NAB Corporate Credit Facility (AU)</w:t>
            </w:r>
          </w:p>
        </w:tc>
        <w:tc>
          <w:tcPr>
            <w:tcW w:w="1840" w:type="dxa"/>
            <w:vAlign w:val="bottom"/>
            <w:gridSpan w:val="2"/>
            <w:shd w:val="clear" w:color="auto" w:fill="CCEEFF"/>
          </w:tcPr>
          <w:p>
            <w:pPr>
              <w:jc w:val="center"/>
              <w:ind w:right="180"/>
              <w:spacing w:after="0"/>
              <w:rPr>
                <w:sz w:val="20"/>
                <w:szCs w:val="20"/>
                <w:color w:val="auto"/>
              </w:rPr>
            </w:pPr>
            <w:r>
              <w:rPr>
                <w:rFonts w:ascii="Arial" w:cs="Arial" w:eastAsia="Arial" w:hAnsi="Arial"/>
                <w:sz w:val="10"/>
                <w:szCs w:val="10"/>
                <w:color w:val="auto"/>
                <w:w w:val="85"/>
              </w:rPr>
              <w:t>June 30, 2019</w:t>
            </w:r>
          </w:p>
        </w:tc>
        <w:tc>
          <w:tcPr>
            <w:tcW w:w="54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8,173</w:t>
            </w:r>
          </w:p>
        </w:tc>
        <w:tc>
          <w:tcPr>
            <w:tcW w:w="2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8,173</w:t>
            </w:r>
          </w:p>
        </w:tc>
        <w:tc>
          <w:tcPr>
            <w:tcW w:w="180" w:type="dxa"/>
            <w:vAlign w:val="bottom"/>
            <w:shd w:val="clear" w:color="auto" w:fill="CCEEFF"/>
          </w:tcPr>
          <w:p>
            <w:pPr>
              <w:spacing w:after="0"/>
              <w:rPr>
                <w:sz w:val="13"/>
                <w:szCs w:val="13"/>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91"/>
              </w:rPr>
              <w:t>5.04%</w:t>
            </w:r>
          </w:p>
        </w:tc>
        <w:tc>
          <w:tcPr>
            <w:tcW w:w="180" w:type="dxa"/>
            <w:vAlign w:val="bottom"/>
            <w:shd w:val="clear" w:color="auto" w:fill="CCEEFF"/>
          </w:tcPr>
          <w:p>
            <w:pPr>
              <w:spacing w:after="0"/>
              <w:rPr>
                <w:sz w:val="13"/>
                <w:szCs w:val="13"/>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4"/>
              </w:rPr>
              <w:t>5.04%</w:t>
            </w:r>
          </w:p>
        </w:tc>
      </w:tr>
      <w:tr>
        <w:trPr>
          <w:trHeight w:val="153"/>
        </w:trPr>
        <w:tc>
          <w:tcPr>
            <w:tcW w:w="3740" w:type="dxa"/>
            <w:vAlign w:val="bottom"/>
            <w:tcBorders>
              <w:bottom w:val="single" w:sz="8" w:color="CCEEFF"/>
            </w:tcBorders>
            <w:gridSpan w:val="2"/>
          </w:tcPr>
          <w:p>
            <w:pPr>
              <w:ind w:left="360"/>
              <w:spacing w:after="0"/>
              <w:rPr>
                <w:sz w:val="20"/>
                <w:szCs w:val="20"/>
                <w:color w:val="auto"/>
              </w:rPr>
            </w:pPr>
            <w:r>
              <w:rPr>
                <w:rFonts w:ascii="Arial" w:cs="Arial" w:eastAsia="Arial" w:hAnsi="Arial"/>
                <w:sz w:val="10"/>
                <w:szCs w:val="10"/>
                <w:color w:val="auto"/>
              </w:rPr>
              <w:t>Westpac Corporate Credit Facility (NZ)</w:t>
            </w:r>
          </w:p>
        </w:tc>
        <w:tc>
          <w:tcPr>
            <w:tcW w:w="1840" w:type="dxa"/>
            <w:vAlign w:val="bottom"/>
            <w:tcBorders>
              <w:bottom w:val="single" w:sz="8" w:color="CCEEFF"/>
            </w:tcBorders>
            <w:gridSpan w:val="2"/>
          </w:tcPr>
          <w:p>
            <w:pPr>
              <w:jc w:val="center"/>
              <w:ind w:right="180"/>
              <w:spacing w:after="0"/>
              <w:rPr>
                <w:sz w:val="20"/>
                <w:szCs w:val="20"/>
                <w:color w:val="auto"/>
              </w:rPr>
            </w:pPr>
            <w:r>
              <w:rPr>
                <w:rFonts w:ascii="Arial" w:cs="Arial" w:eastAsia="Arial" w:hAnsi="Arial"/>
                <w:sz w:val="10"/>
                <w:szCs w:val="10"/>
                <w:color w:val="auto"/>
                <w:w w:val="89"/>
              </w:rPr>
              <w:t>March 31, 2015</w:t>
            </w:r>
          </w:p>
        </w:tc>
        <w:tc>
          <w:tcPr>
            <w:tcW w:w="54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21,829</w:t>
            </w:r>
          </w:p>
        </w:tc>
        <w:tc>
          <w:tcPr>
            <w:tcW w:w="20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21,829</w:t>
            </w:r>
          </w:p>
        </w:tc>
        <w:tc>
          <w:tcPr>
            <w:tcW w:w="180" w:type="dxa"/>
            <w:vAlign w:val="bottom"/>
            <w:tcBorders>
              <w:bottom w:val="single" w:sz="8" w:color="CCEEFF"/>
            </w:tcBorders>
          </w:tcPr>
          <w:p>
            <w:pPr>
              <w:spacing w:after="0"/>
              <w:rPr>
                <w:sz w:val="13"/>
                <w:szCs w:val="13"/>
                <w:color w:val="auto"/>
              </w:rPr>
            </w:pPr>
          </w:p>
        </w:tc>
        <w:tc>
          <w:tcPr>
            <w:tcW w:w="1100" w:type="dxa"/>
            <w:vAlign w:val="bottom"/>
            <w:tcBorders>
              <w:bottom w:val="single" w:sz="8" w:color="CCEEFF"/>
            </w:tcBorders>
          </w:tcPr>
          <w:p>
            <w:pPr>
              <w:jc w:val="center"/>
              <w:spacing w:after="0"/>
              <w:rPr>
                <w:sz w:val="20"/>
                <w:szCs w:val="20"/>
                <w:color w:val="auto"/>
              </w:rPr>
            </w:pPr>
            <w:r>
              <w:rPr>
                <w:rFonts w:ascii="Arial" w:cs="Arial" w:eastAsia="Arial" w:hAnsi="Arial"/>
                <w:sz w:val="10"/>
                <w:szCs w:val="10"/>
                <w:color w:val="auto"/>
                <w:w w:val="91"/>
              </w:rPr>
              <w:t>5.80%</w:t>
            </w:r>
          </w:p>
        </w:tc>
        <w:tc>
          <w:tcPr>
            <w:tcW w:w="180" w:type="dxa"/>
            <w:vAlign w:val="bottom"/>
            <w:tcBorders>
              <w:bottom w:val="single" w:sz="8" w:color="CCEEFF"/>
            </w:tcBorders>
          </w:tcPr>
          <w:p>
            <w:pPr>
              <w:spacing w:after="0"/>
              <w:rPr>
                <w:sz w:val="13"/>
                <w:szCs w:val="13"/>
                <w:color w:val="auto"/>
              </w:rPr>
            </w:pPr>
          </w:p>
        </w:tc>
        <w:tc>
          <w:tcPr>
            <w:tcW w:w="1240" w:type="dxa"/>
            <w:vAlign w:val="bottom"/>
            <w:tcBorders>
              <w:bottom w:val="single" w:sz="8" w:color="CCEEFF"/>
            </w:tcBorders>
          </w:tcPr>
          <w:p>
            <w:pPr>
              <w:jc w:val="center"/>
              <w:spacing w:after="0"/>
              <w:rPr>
                <w:sz w:val="20"/>
                <w:szCs w:val="20"/>
                <w:color w:val="auto"/>
              </w:rPr>
            </w:pPr>
            <w:r>
              <w:rPr>
                <w:rFonts w:ascii="Arial" w:cs="Arial" w:eastAsia="Arial" w:hAnsi="Arial"/>
                <w:sz w:val="10"/>
                <w:szCs w:val="10"/>
                <w:color w:val="auto"/>
                <w:w w:val="84"/>
              </w:rPr>
              <w:t>5.80%</w:t>
            </w:r>
          </w:p>
        </w:tc>
      </w:tr>
      <w:tr>
        <w:trPr>
          <w:trHeight w:val="124"/>
        </w:trPr>
        <w:tc>
          <w:tcPr>
            <w:tcW w:w="37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0"/>
                <w:szCs w:val="10"/>
                <w:b w:val="1"/>
                <w:bCs w:val="1"/>
                <w:color w:val="auto"/>
              </w:rPr>
              <w:t>Total</w:t>
            </w:r>
          </w:p>
        </w:tc>
        <w:tc>
          <w:tcPr>
            <w:tcW w:w="1660" w:type="dxa"/>
            <w:vAlign w:val="bottom"/>
            <w:tcBorders>
              <w:bottom w:val="single" w:sz="8" w:color="CCEEFF"/>
            </w:tcBorders>
            <w:shd w:val="clear" w:color="auto" w:fill="CCEEFF"/>
          </w:tcPr>
          <w:p>
            <w:pPr>
              <w:spacing w:after="0"/>
              <w:rPr>
                <w:sz w:val="10"/>
                <w:szCs w:val="10"/>
                <w:color w:val="auto"/>
              </w:rPr>
            </w:pPr>
          </w:p>
        </w:tc>
        <w:tc>
          <w:tcPr>
            <w:tcW w:w="180" w:type="dxa"/>
            <w:vAlign w:val="bottom"/>
            <w:tcBorders>
              <w:bottom w:val="single" w:sz="8" w:color="CCEEFF"/>
            </w:tcBorders>
            <w:shd w:val="clear" w:color="auto" w:fill="CCEEFF"/>
          </w:tcPr>
          <w:p>
            <w:pPr>
              <w:spacing w:after="0"/>
              <w:rPr>
                <w:sz w:val="10"/>
                <w:szCs w:val="10"/>
                <w:color w:val="auto"/>
              </w:rPr>
            </w:pPr>
          </w:p>
        </w:tc>
        <w:tc>
          <w:tcPr>
            <w:tcW w:w="54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0"/>
                <w:szCs w:val="10"/>
                <w:b w:val="1"/>
                <w:bCs w:val="1"/>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201,318</w:t>
            </w:r>
          </w:p>
        </w:tc>
        <w:tc>
          <w:tcPr>
            <w:tcW w:w="200" w:type="dxa"/>
            <w:vAlign w:val="bottom"/>
            <w:tcBorders>
              <w:bottom w:val="single" w:sz="8" w:color="CCEEFF"/>
            </w:tcBorders>
            <w:shd w:val="clear" w:color="auto" w:fill="CCEEFF"/>
          </w:tcPr>
          <w:p>
            <w:pPr>
              <w:spacing w:after="0"/>
              <w:rPr>
                <w:sz w:val="10"/>
                <w:szCs w:val="10"/>
                <w:color w:val="auto"/>
              </w:rPr>
            </w:pPr>
          </w:p>
        </w:tc>
        <w:tc>
          <w:tcPr>
            <w:tcW w:w="2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b w:val="1"/>
                <w:bCs w:val="1"/>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164,036</w:t>
            </w:r>
          </w:p>
        </w:tc>
        <w:tc>
          <w:tcPr>
            <w:tcW w:w="180" w:type="dxa"/>
            <w:vAlign w:val="bottom"/>
            <w:tcBorders>
              <w:bottom w:val="single" w:sz="8" w:color="CCEEFF"/>
            </w:tcBorders>
            <w:shd w:val="clear" w:color="auto" w:fill="CCEEFF"/>
          </w:tcPr>
          <w:p>
            <w:pPr>
              <w:spacing w:after="0"/>
              <w:rPr>
                <w:sz w:val="10"/>
                <w:szCs w:val="10"/>
                <w:color w:val="auto"/>
              </w:rPr>
            </w:pPr>
          </w:p>
        </w:tc>
        <w:tc>
          <w:tcPr>
            <w:tcW w:w="1100" w:type="dxa"/>
            <w:vAlign w:val="bottom"/>
            <w:tcBorders>
              <w:bottom w:val="single" w:sz="8" w:color="CCEEFF"/>
            </w:tcBorders>
            <w:shd w:val="clear" w:color="auto" w:fill="CCEEFF"/>
          </w:tcPr>
          <w:p>
            <w:pPr>
              <w:spacing w:after="0"/>
              <w:rPr>
                <w:sz w:val="10"/>
                <w:szCs w:val="10"/>
                <w:color w:val="auto"/>
              </w:rPr>
            </w:pPr>
          </w:p>
        </w:tc>
        <w:tc>
          <w:tcPr>
            <w:tcW w:w="180" w:type="dxa"/>
            <w:vAlign w:val="bottom"/>
            <w:tcBorders>
              <w:bottom w:val="single" w:sz="8" w:color="CCEEFF"/>
            </w:tcBorders>
            <w:shd w:val="clear" w:color="auto" w:fill="CCEEFF"/>
          </w:tcPr>
          <w:p>
            <w:pPr>
              <w:spacing w:after="0"/>
              <w:rPr>
                <w:sz w:val="10"/>
                <w:szCs w:val="10"/>
                <w:color w:val="auto"/>
              </w:rPr>
            </w:pPr>
          </w:p>
        </w:tc>
        <w:tc>
          <w:tcPr>
            <w:tcW w:w="1240" w:type="dxa"/>
            <w:vAlign w:val="bottom"/>
            <w:tcBorders>
              <w:bottom w:val="single" w:sz="8" w:color="CCEEFF"/>
            </w:tcBorders>
            <w:shd w:val="clear" w:color="auto" w:fill="CCEEFF"/>
          </w:tcPr>
          <w:p>
            <w:pPr>
              <w:spacing w:after="0"/>
              <w:rPr>
                <w:sz w:val="10"/>
                <w:szCs w:val="10"/>
                <w:color w:val="auto"/>
              </w:rPr>
            </w:pPr>
          </w:p>
        </w:tc>
      </w:tr>
    </w:tbl>
    <w:p>
      <w:pPr>
        <w:spacing w:after="0" w:line="143" w:lineRule="exact"/>
        <w:rPr>
          <w:sz w:val="20"/>
          <w:szCs w:val="20"/>
          <w:color w:val="auto"/>
        </w:rPr>
      </w:pPr>
    </w:p>
    <w:p>
      <w:pPr>
        <w:ind w:left="100" w:hanging="84"/>
        <w:spacing w:after="0"/>
        <w:tabs>
          <w:tab w:leader="none" w:pos="100" w:val="left"/>
        </w:tabs>
        <w:numPr>
          <w:ilvl w:val="1"/>
          <w:numId w:val="37"/>
        </w:numPr>
        <w:rPr>
          <w:rFonts w:ascii="Arial" w:cs="Arial" w:eastAsia="Arial" w:hAnsi="Arial"/>
          <w:sz w:val="10"/>
          <w:szCs w:val="10"/>
          <w:color w:val="auto"/>
          <w:vertAlign w:val="superscript"/>
        </w:rPr>
      </w:pPr>
      <w:r>
        <w:rPr>
          <w:rFonts w:ascii="Arial" w:cs="Arial" w:eastAsia="Arial" w:hAnsi="Arial"/>
          <w:sz w:val="8"/>
          <w:szCs w:val="8"/>
          <w:color w:val="auto"/>
        </w:rPr>
        <w:t>Effective interest rate includes the impact of interest rate derivatives hedging interest rate risk associated with Trust Preferred Securities, Bank of America Credit Facility and NAB Corporate Term Loan.</w:t>
      </w:r>
    </w:p>
    <w:p>
      <w:pPr>
        <w:spacing w:after="0" w:line="30" w:lineRule="exact"/>
        <w:rPr>
          <w:rFonts w:ascii="Arial" w:cs="Arial" w:eastAsia="Arial" w:hAnsi="Arial"/>
          <w:sz w:val="10"/>
          <w:szCs w:val="10"/>
          <w:color w:val="auto"/>
          <w:vertAlign w:val="superscript"/>
        </w:rPr>
      </w:pPr>
    </w:p>
    <w:p>
      <w:pPr>
        <w:ind w:left="80" w:hanging="76"/>
        <w:spacing w:after="0"/>
        <w:tabs>
          <w:tab w:leader="none" w:pos="80" w:val="left"/>
        </w:tabs>
        <w:numPr>
          <w:ilvl w:val="0"/>
          <w:numId w:val="38"/>
        </w:numPr>
        <w:rPr>
          <w:rFonts w:ascii="Arial" w:cs="Arial" w:eastAsia="Arial" w:hAnsi="Arial"/>
          <w:sz w:val="8"/>
          <w:szCs w:val="8"/>
          <w:color w:val="auto"/>
          <w:vertAlign w:val="superscript"/>
        </w:rPr>
      </w:pPr>
      <w:r>
        <w:rPr>
          <w:rFonts w:ascii="Arial" w:cs="Arial" w:eastAsia="Arial" w:hAnsi="Arial"/>
          <w:sz w:val="7"/>
          <w:szCs w:val="7"/>
          <w:color w:val="auto"/>
        </w:rPr>
        <w:t>The contractual facilities and outstanding balances of the FC-denominated borrowings were translated into U.S. dollar based on the applicable exchange rates as of December 31, 2014.</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59690</wp:posOffset>
            </wp:positionV>
            <wp:extent cx="677989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779895" cy="42545"/>
                    </a:xfrm>
                    <a:prstGeom prst="rect">
                      <a:avLst/>
                    </a:prstGeom>
                    <a:noFill/>
                  </pic:spPr>
                </pic:pic>
              </a:graphicData>
            </a:graphic>
          </wp:anchor>
        </w:drawing>
      </w:r>
    </w:p>
    <w:p>
      <w:pPr>
        <w:sectPr>
          <w:pgSz w:w="11900" w:h="16838" w:orient="portrait"/>
          <w:cols w:equalWidth="0" w:num="1">
            <w:col w:w="10620"/>
          </w:cols>
          <w:pgMar w:left="640" w:top="271" w:right="639" w:bottom="1440" w:gutter="0" w:footer="0" w:header="0"/>
        </w:sectPr>
      </w:pPr>
    </w:p>
    <w:bookmarkStart w:id="78" w:name="page79"/>
    <w:bookmarkEnd w:id="78"/>
    <w:p>
      <w:pPr>
        <w:spacing w:after="0"/>
        <w:rPr>
          <w:sz w:val="20"/>
          <w:szCs w:val="20"/>
          <w:color w:val="auto"/>
        </w:rPr>
      </w:pPr>
      <w:r>
        <w:rPr>
          <w:rFonts w:ascii="Arial" w:cs="Arial" w:eastAsia="Arial" w:hAnsi="Arial"/>
          <w:sz w:val="12"/>
          <w:szCs w:val="12"/>
          <w:b w:val="1"/>
          <w:bCs w:val="1"/>
          <w:color w:val="auto"/>
        </w:rPr>
        <w:t>Debt denominated in USD</w:t>
      </w:r>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Trust Preferred Securities (“TPS”)</w:t>
      </w:r>
    </w:p>
    <w:p>
      <w:pPr>
        <w:spacing w:after="0" w:line="15" w:lineRule="exact"/>
        <w:rPr>
          <w:sz w:val="20"/>
          <w:szCs w:val="20"/>
          <w:color w:val="auto"/>
        </w:rPr>
      </w:pPr>
    </w:p>
    <w:p>
      <w:pPr>
        <w:ind w:right="20"/>
        <w:spacing w:after="0" w:line="277" w:lineRule="auto"/>
        <w:rPr>
          <w:sz w:val="20"/>
          <w:szCs w:val="20"/>
          <w:color w:val="auto"/>
        </w:rPr>
      </w:pPr>
      <w:r>
        <w:rPr>
          <w:rFonts w:ascii="Arial" w:cs="Arial" w:eastAsia="Arial" w:hAnsi="Arial"/>
          <w:sz w:val="11"/>
          <w:szCs w:val="11"/>
          <w:color w:val="auto"/>
        </w:rPr>
        <w:t xml:space="preserve">On February 5, 2007, we issued $51.5 million in 20-year fully subordinated notes to a trust that we control, which in turn issued $51.5 million in securities. Of the $51.5 million, $50.0 million in TPS were issued to unrelated investors in a private placement and $1.5 million of common trust securities were issued by the trust to Reading called “Investment in Reading International Trust I” on our balance sheets. Effective May 1, 2012, the interest rate on our Trust Preferred Securities changed from a fixed rate of 9.22%, which was in effect for five years, to a variable rate of three month LIBOR plus 4.00%, which will reset each quarter through the end of the loan unless we exercise our right to re-fix the rate at the current market rate at that time. Effective October 28, 2013, we entered into a fixed interest rate swap of $27.9 million at 1.20% plus the 4.00% margin, expiring on October 31, 2017, see Note 15 – </w:t>
      </w:r>
      <w:r>
        <w:rPr>
          <w:rFonts w:ascii="Arial" w:cs="Arial" w:eastAsia="Arial" w:hAnsi="Arial"/>
          <w:sz w:val="11"/>
          <w:szCs w:val="11"/>
          <w:i w:val="1"/>
          <w:iCs w:val="1"/>
          <w:color w:val="auto"/>
        </w:rPr>
        <w:t>Derivative Instruments</w:t>
      </w:r>
      <w:r>
        <w:rPr>
          <w:rFonts w:ascii="Arial" w:cs="Arial" w:eastAsia="Arial" w:hAnsi="Arial"/>
          <w:sz w:val="11"/>
          <w:szCs w:val="11"/>
          <w:color w:val="auto"/>
        </w:rPr>
        <w:t>. There are no principal payments due until maturity in 2027 when the notes and the trust securities are scheduled to be paid in full. We may pay off the debt after the first five years at 100% of the principal amount without any penalty. The trust is essentially a pass through, and the transaction is accounted for on our books as the issuance of fully subordinated notes. The credit facility includes a number of affirmative and negative covenants designed to monitor our ability to service the debt. The most restrictive covenant of the facility requires that we must maintain a fixed charge coverage ratio at a certain level. However, on December 31, 2008, we secured a waiver of all financial covenants with respect to our TPS for a period of nine years (through December 31, 2017), in consideration of the payment of $1.6 million, consisting of an initial payment of $1.1 million, a payment of $270,000 made in December 2011, and a payment of $270,000 in December 2014.</w:t>
      </w:r>
    </w:p>
    <w:p>
      <w:pPr>
        <w:spacing w:after="0" w:line="100" w:lineRule="exact"/>
        <w:rPr>
          <w:sz w:val="20"/>
          <w:szCs w:val="20"/>
          <w:color w:val="auto"/>
        </w:rPr>
      </w:pPr>
    </w:p>
    <w:p>
      <w:pPr>
        <w:spacing w:after="0"/>
        <w:rPr>
          <w:sz w:val="20"/>
          <w:szCs w:val="20"/>
          <w:color w:val="auto"/>
        </w:rPr>
      </w:pPr>
      <w:r>
        <w:rPr>
          <w:rFonts w:ascii="Arial" w:cs="Arial" w:eastAsia="Arial" w:hAnsi="Arial"/>
          <w:sz w:val="11"/>
          <w:szCs w:val="11"/>
          <w:color w:val="auto"/>
        </w:rPr>
        <w:t>During the first quarter of 2009, we took advantage of the then current market illiquidity for securities such as our TPS to repurchase $22.9 million in face value of those securities through an exchange of $11.5 million</w:t>
      </w:r>
    </w:p>
    <w:p>
      <w:pPr>
        <w:spacing w:after="0" w:line="26" w:lineRule="exact"/>
        <w:rPr>
          <w:sz w:val="20"/>
          <w:szCs w:val="20"/>
          <w:color w:val="auto"/>
        </w:rPr>
      </w:pPr>
    </w:p>
    <w:p>
      <w:pPr>
        <w:spacing w:after="0"/>
        <w:rPr>
          <w:sz w:val="20"/>
          <w:szCs w:val="20"/>
          <w:color w:val="auto"/>
        </w:rPr>
      </w:pPr>
      <w:r>
        <w:rPr>
          <w:rFonts w:ascii="Arial" w:cs="Arial" w:eastAsia="Arial" w:hAnsi="Arial"/>
          <w:sz w:val="11"/>
          <w:szCs w:val="11"/>
          <w:color w:val="auto"/>
        </w:rPr>
        <w:t>worth of marketable securities purchased during the period for the express purpose of executing this exchange transaction with the third party holder of these TPS. During the twelve months ended 2009, we amortized</w:t>
      </w:r>
    </w:p>
    <w:p>
      <w:pPr>
        <w:spacing w:after="0" w:line="18" w:lineRule="exact"/>
        <w:rPr>
          <w:sz w:val="20"/>
          <w:szCs w:val="20"/>
          <w:color w:val="auto"/>
        </w:rPr>
      </w:pPr>
    </w:p>
    <w:p>
      <w:pPr>
        <w:spacing w:after="0"/>
        <w:rPr>
          <w:sz w:val="20"/>
          <w:szCs w:val="20"/>
          <w:color w:val="auto"/>
        </w:rPr>
      </w:pPr>
      <w:r>
        <w:rPr>
          <w:rFonts w:ascii="Arial" w:cs="Arial" w:eastAsia="Arial" w:hAnsi="Arial"/>
          <w:sz w:val="11"/>
          <w:szCs w:val="11"/>
          <w:color w:val="auto"/>
        </w:rPr>
        <w:t>$106,000 of discount to interest income associated with the holding of these securities prior to their extinguishment. On April 30, 2009, we extinguished $22.9 million of these TPS, which resulted in a gain on retirement</w:t>
      </w:r>
    </w:p>
    <w:p>
      <w:pPr>
        <w:spacing w:after="0" w:line="18" w:lineRule="exact"/>
        <w:rPr>
          <w:sz w:val="20"/>
          <w:szCs w:val="20"/>
          <w:color w:val="auto"/>
        </w:rPr>
      </w:pPr>
    </w:p>
    <w:p>
      <w:pPr>
        <w:spacing w:after="0"/>
        <w:rPr>
          <w:sz w:val="20"/>
          <w:szCs w:val="20"/>
          <w:color w:val="auto"/>
        </w:rPr>
      </w:pPr>
      <w:r>
        <w:rPr>
          <w:rFonts w:ascii="Arial" w:cs="Arial" w:eastAsia="Arial" w:hAnsi="Arial"/>
          <w:sz w:val="11"/>
          <w:szCs w:val="11"/>
          <w:color w:val="auto"/>
        </w:rPr>
        <w:t>of subordinated debt (TPS) of $10.7 million net of loss on the associated write-off of deferred loan costs of $749,000 and a reduction in our Investment in Reading International Trust I from $1.5 million to $838,000.</w:t>
      </w:r>
    </w:p>
    <w:p>
      <w:pPr>
        <w:spacing w:after="0" w:line="126" w:lineRule="exact"/>
        <w:rPr>
          <w:sz w:val="20"/>
          <w:szCs w:val="20"/>
          <w:color w:val="auto"/>
        </w:rPr>
      </w:pPr>
    </w:p>
    <w:p>
      <w:pPr>
        <w:ind w:right="80"/>
        <w:spacing w:after="0" w:line="276" w:lineRule="auto"/>
        <w:rPr>
          <w:sz w:val="20"/>
          <w:szCs w:val="20"/>
          <w:color w:val="auto"/>
        </w:rPr>
      </w:pPr>
      <w:r>
        <w:rPr>
          <w:rFonts w:ascii="Arial" w:cs="Arial" w:eastAsia="Arial" w:hAnsi="Arial"/>
          <w:sz w:val="12"/>
          <w:szCs w:val="12"/>
          <w:color w:val="auto"/>
        </w:rPr>
        <w:t>During 2015, 2014, and 2013, we paid $1.4 million, $1.4 million, and $1.2 million, respectively, in preferred dividends to the unrelated investors that are included in interest expense. At December 31, 2015 and 2014, we had preferred dividends payable of $198,000 and $194,000, respectively. Interest payments for this loan are required every three months.</w:t>
      </w:r>
    </w:p>
    <w:p>
      <w:pPr>
        <w:spacing w:after="0" w:line="8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Bank of America Credit Facility</w:t>
      </w:r>
    </w:p>
    <w:p>
      <w:pPr>
        <w:spacing w:after="0" w:line="15" w:lineRule="exact"/>
        <w:rPr>
          <w:sz w:val="20"/>
          <w:szCs w:val="20"/>
          <w:color w:val="auto"/>
        </w:rPr>
      </w:pPr>
    </w:p>
    <w:p>
      <w:pPr>
        <w:ind w:right="400"/>
        <w:spacing w:after="0" w:line="261" w:lineRule="auto"/>
        <w:rPr>
          <w:sz w:val="20"/>
          <w:szCs w:val="20"/>
          <w:color w:val="auto"/>
        </w:rPr>
      </w:pPr>
      <w:r>
        <w:rPr>
          <w:rFonts w:ascii="Arial" w:cs="Arial" w:eastAsia="Arial" w:hAnsi="Arial"/>
          <w:sz w:val="12"/>
          <w:szCs w:val="12"/>
          <w:color w:val="auto"/>
        </w:rPr>
        <w:t>In November 2014, our Bank of America Credit Facility was refinanced from $35.0 million to $55.0 million, bearing an interest rate of LIBOR plus an applicable margin rate (ranging from 3.0% to 2.5%) adjusted quarterly and maturing on November 28, 2019.</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Bank of America Line of Credit</w:t>
      </w:r>
    </w:p>
    <w:p>
      <w:pPr>
        <w:spacing w:after="0" w:line="15" w:lineRule="exact"/>
        <w:rPr>
          <w:sz w:val="20"/>
          <w:szCs w:val="20"/>
          <w:color w:val="auto"/>
        </w:rPr>
      </w:pPr>
    </w:p>
    <w:p>
      <w:pPr>
        <w:ind w:right="280"/>
        <w:spacing w:after="0" w:line="261" w:lineRule="auto"/>
        <w:rPr>
          <w:sz w:val="20"/>
          <w:szCs w:val="20"/>
          <w:color w:val="auto"/>
        </w:rPr>
      </w:pPr>
      <w:r>
        <w:rPr>
          <w:rFonts w:ascii="Arial" w:cs="Arial" w:eastAsia="Arial" w:hAnsi="Arial"/>
          <w:sz w:val="12"/>
          <w:szCs w:val="12"/>
          <w:color w:val="auto"/>
        </w:rPr>
        <w:t>In October 2012, Bank of America renewed and increased our existing $3.0 million line of credit (“LOC”) to $5.0 million. The LOC bears an interest rate of 3.0% above LIBOR plus a 0.03% unused line fee and will mature on October 31, 2017.</w:t>
      </w:r>
    </w:p>
    <w:p>
      <w:pPr>
        <w:spacing w:after="0" w:line="9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Cinemas 1,2,3 Term Loan and Line of Credit</w:t>
      </w:r>
    </w:p>
    <w:p>
      <w:pPr>
        <w:spacing w:after="0" w:line="15" w:lineRule="exact"/>
        <w:rPr>
          <w:sz w:val="20"/>
          <w:szCs w:val="20"/>
          <w:color w:val="auto"/>
        </w:rPr>
      </w:pPr>
    </w:p>
    <w:p>
      <w:pPr>
        <w:spacing w:after="0" w:line="255" w:lineRule="auto"/>
        <w:rPr>
          <w:sz w:val="20"/>
          <w:szCs w:val="20"/>
          <w:color w:val="auto"/>
        </w:rPr>
      </w:pPr>
      <w:r>
        <w:rPr>
          <w:rFonts w:ascii="Arial" w:cs="Arial" w:eastAsia="Arial" w:hAnsi="Arial"/>
          <w:sz w:val="12"/>
          <w:szCs w:val="12"/>
          <w:color w:val="auto"/>
        </w:rPr>
        <w:t>In June 2014, our controlled subsidiary Sutton Hill Properties, LLC, refinanced its existing $15.0 million term loan with Sovereign Bank and obtained an additional $6.0 million LOC for the potential acquisition of air rights to add additional density to any redevelopment of the property (collectively, “New Loan”). The New Loan is collateralized by our Cinema 1,2,3 property and any air rights that we may acquire. The New Loan bears an interest rate of 3.5% above LIBOR and matures on July 1, 2016.</w:t>
      </w:r>
    </w:p>
    <w:p>
      <w:pPr>
        <w:spacing w:after="0" w:line="10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Minetta and Orpheum Theatres Loan</w:t>
      </w:r>
    </w:p>
    <w:p>
      <w:pPr>
        <w:spacing w:after="0" w:line="15" w:lineRule="exact"/>
        <w:rPr>
          <w:sz w:val="20"/>
          <w:szCs w:val="20"/>
          <w:color w:val="auto"/>
        </w:rPr>
      </w:pPr>
    </w:p>
    <w:p>
      <w:pPr>
        <w:ind w:right="200"/>
        <w:spacing w:after="0" w:line="306" w:lineRule="auto"/>
        <w:rPr>
          <w:sz w:val="20"/>
          <w:szCs w:val="20"/>
          <w:color w:val="auto"/>
        </w:rPr>
      </w:pPr>
      <w:r>
        <w:rPr>
          <w:rFonts w:ascii="Arial" w:cs="Arial" w:eastAsia="Arial" w:hAnsi="Arial"/>
          <w:sz w:val="11"/>
          <w:szCs w:val="11"/>
          <w:color w:val="auto"/>
        </w:rPr>
        <w:t xml:space="preserve">In May 2013, we refinanced our Liberty Theaters loan with a $7.5 million loan, secured by our Minetta and Orpheum theatres, thus releasing the Royal George from the security and leaving it unencumbered. This new loan has a maturity date of June 1, 2018, and an interest rate of 2.75% above LIBOR. We have an interest rate cap in place to limit the interest rate on the debt at 6.75%. See Note 15 – </w:t>
      </w:r>
      <w:r>
        <w:rPr>
          <w:rFonts w:ascii="Arial" w:cs="Arial" w:eastAsia="Arial" w:hAnsi="Arial"/>
          <w:sz w:val="11"/>
          <w:szCs w:val="11"/>
          <w:i w:val="1"/>
          <w:iCs w:val="1"/>
          <w:color w:val="auto"/>
        </w:rPr>
        <w:t>Derivative Instruments</w:t>
      </w:r>
      <w:r>
        <w:rPr>
          <w:rFonts w:ascii="Arial" w:cs="Arial" w:eastAsia="Arial" w:hAnsi="Arial"/>
          <w:sz w:val="11"/>
          <w:szCs w:val="11"/>
          <w:color w:val="auto"/>
        </w:rPr>
        <w:t>.</w:t>
      </w:r>
    </w:p>
    <w:p>
      <w:pPr>
        <w:spacing w:after="0" w:line="8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Union Square Theatre Line of Credit</w:t>
      </w:r>
    </w:p>
    <w:p>
      <w:pPr>
        <w:spacing w:after="0" w:line="15" w:lineRule="exact"/>
        <w:rPr>
          <w:sz w:val="20"/>
          <w:szCs w:val="20"/>
          <w:color w:val="auto"/>
        </w:rPr>
      </w:pPr>
    </w:p>
    <w:p>
      <w:pPr>
        <w:ind w:right="120"/>
        <w:spacing w:after="0" w:line="261" w:lineRule="auto"/>
        <w:rPr>
          <w:sz w:val="20"/>
          <w:szCs w:val="20"/>
          <w:color w:val="auto"/>
        </w:rPr>
      </w:pPr>
      <w:r>
        <w:rPr>
          <w:rFonts w:ascii="Arial" w:cs="Arial" w:eastAsia="Arial" w:hAnsi="Arial"/>
          <w:sz w:val="12"/>
          <w:szCs w:val="12"/>
          <w:color w:val="auto"/>
        </w:rPr>
        <w:t>On June 2, 2015, we replaced our Union Square Term Loan with an $8.0 million "non-revolving" LOC with East West Bank, collateralized by our Union Square property. The LOC bears an interest rate of 2.95% above the 90-day LIBOR and matures on June 2, 2017, with an option to extend for one additional year.</w:t>
      </w:r>
    </w:p>
    <w:p>
      <w:pPr>
        <w:spacing w:after="0" w:line="9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Debt denominated in foreign currencies</w:t>
      </w:r>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Australian NAB Corporate Term Loan and Revolver</w:t>
      </w:r>
    </w:p>
    <w:p>
      <w:pPr>
        <w:spacing w:after="0" w:line="15" w:lineRule="exact"/>
        <w:rPr>
          <w:sz w:val="20"/>
          <w:szCs w:val="20"/>
          <w:color w:val="auto"/>
        </w:rPr>
      </w:pPr>
    </w:p>
    <w:p>
      <w:pPr>
        <w:ind w:right="120"/>
        <w:spacing w:after="0" w:line="261" w:lineRule="auto"/>
        <w:rPr>
          <w:sz w:val="20"/>
          <w:szCs w:val="20"/>
          <w:color w:val="auto"/>
        </w:rPr>
      </w:pPr>
      <w:r>
        <w:rPr>
          <w:rFonts w:ascii="Arial" w:cs="Arial" w:eastAsia="Arial" w:hAnsi="Arial"/>
          <w:sz w:val="12"/>
          <w:szCs w:val="12"/>
          <w:color w:val="auto"/>
        </w:rPr>
        <w:t>On December 23, 2015, we amended our Reading Entertainment Australia Term Loan and Corporate Credit Facility with NAB, from a three-tiered facility comprised of (1) the Bank Bill Discount Facility with a facility limit of AU$61.3 million, an interest rate of</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59690</wp:posOffset>
            </wp:positionV>
            <wp:extent cx="677989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779895" cy="42545"/>
                    </a:xfrm>
                    <a:prstGeom prst="rect">
                      <a:avLst/>
                    </a:prstGeom>
                    <a:noFill/>
                  </pic:spPr>
                </pic:pic>
              </a:graphicData>
            </a:graphic>
          </wp:anchor>
        </w:drawing>
      </w:r>
    </w:p>
    <w:p>
      <w:pPr>
        <w:sectPr>
          <w:pgSz w:w="11900" w:h="16838" w:orient="portrait"/>
          <w:cols w:equalWidth="0" w:num="1">
            <w:col w:w="10620"/>
          </w:cols>
          <w:pgMar w:left="640" w:top="271" w:right="639" w:bottom="1440" w:gutter="0" w:footer="0" w:header="0"/>
        </w:sectPr>
      </w:pPr>
    </w:p>
    <w:bookmarkStart w:id="79" w:name="page80"/>
    <w:bookmarkEnd w:id="79"/>
    <w:p>
      <w:pPr>
        <w:ind w:right="80"/>
        <w:spacing w:after="0" w:line="290" w:lineRule="auto"/>
        <w:rPr>
          <w:sz w:val="20"/>
          <w:szCs w:val="20"/>
          <w:color w:val="auto"/>
        </w:rPr>
      </w:pPr>
      <w:r>
        <w:rPr>
          <w:rFonts w:ascii="Arial" w:cs="Arial" w:eastAsia="Arial" w:hAnsi="Arial"/>
          <w:sz w:val="11"/>
          <w:szCs w:val="11"/>
          <w:color w:val="auto"/>
        </w:rPr>
        <w:t>2.35% above the BBSY, and amortization at AU$2.0 million per year; (2) the Bill Discount Facility – Revolving with a facility limit of AU$10.0 million and an interest rate of 1.50% above the BBSY on any undrawn portion; and (3) the Bank Guarantee Facility with a facility limit of AU$5.0 million, into a corresponding $48.5 million (AU$66.5 million) Revolving Corporate Markets Loan facility. The new facility has an interest rate of 0.95% above BBSY on any outstanding borrowings and an unchanged maturity date of June 30, 2019. In addition, we will incur a facility fee of 0.95% per annum. We also have a $3.6 million (AU$5.0 million) Bank Guarantee facility at a rate of 1.90% per annum. The modifications of this particular term loan were not considered to be substantial in accordance with US GAAP.</w:t>
      </w:r>
    </w:p>
    <w:p>
      <w:pPr>
        <w:spacing w:after="0" w:line="82" w:lineRule="exact"/>
        <w:rPr>
          <w:sz w:val="20"/>
          <w:szCs w:val="20"/>
          <w:color w:val="auto"/>
        </w:rPr>
      </w:pPr>
    </w:p>
    <w:p>
      <w:pPr>
        <w:ind w:right="100"/>
        <w:spacing w:after="0" w:line="263" w:lineRule="auto"/>
        <w:rPr>
          <w:sz w:val="20"/>
          <w:szCs w:val="20"/>
          <w:color w:val="auto"/>
        </w:rPr>
      </w:pPr>
      <w:r>
        <w:rPr>
          <w:rFonts w:ascii="Arial" w:cs="Arial" w:eastAsia="Arial" w:hAnsi="Arial"/>
          <w:sz w:val="12"/>
          <w:szCs w:val="12"/>
          <w:color w:val="auto"/>
        </w:rPr>
        <w:t>On June 27, 2014, we refinanced our then existing three-tiered credit facility with NAB. It comprised of (1) the Bank Bill Discount Facility with a facility limit of AU$61.3 million, an interest rate of 2.35% above the BBSY, and amortization at AU$2.0 million per year; (2) the Bill Discount Facility – Revolving with a facility limit of AU$10.0 million and an interest rate of 1.50% above the BBSY on any undrawn portion; and (3) the Bank Guarantee Facility with a facility limit of AU$5.0 million. All three had an expiry date of June 30, 2019.</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New Zealand Corporate Credit Facility</w:t>
      </w:r>
    </w:p>
    <w:p>
      <w:pPr>
        <w:spacing w:after="0" w:line="15" w:lineRule="exact"/>
        <w:rPr>
          <w:sz w:val="20"/>
          <w:szCs w:val="20"/>
          <w:color w:val="auto"/>
        </w:rPr>
      </w:pPr>
    </w:p>
    <w:p>
      <w:pPr>
        <w:jc w:val="both"/>
        <w:ind w:right="20"/>
        <w:spacing w:after="0" w:line="255" w:lineRule="auto"/>
        <w:rPr>
          <w:sz w:val="20"/>
          <w:szCs w:val="20"/>
          <w:color w:val="auto"/>
        </w:rPr>
      </w:pPr>
      <w:r>
        <w:rPr>
          <w:rFonts w:ascii="Arial" w:cs="Arial" w:eastAsia="Arial" w:hAnsi="Arial"/>
          <w:sz w:val="12"/>
          <w:szCs w:val="12"/>
          <w:color w:val="auto"/>
        </w:rPr>
        <w:t>On May 21, 2015, we refinanced our existing New Zealand Corporate Credit Facility with a $34.2 million (NZ$50.0 million) facility with the same bank (Westpac Bank), bearing an interest rate of 1.75% above Bank Bill Bid Rate and maturing on March 31, 2018. The facility is broken into two tranches, one a $23.9 million (NZ$35.0 million) credit facility and the second tranche for a $10.3 million (NZ$15.0 million) facility to be used for construction funding. No amounts have been drawn under the second tranche to be used for construction funding.</w:t>
      </w:r>
    </w:p>
    <w:p>
      <w:pPr>
        <w:spacing w:after="0" w:line="128" w:lineRule="exact"/>
        <w:rPr>
          <w:sz w:val="20"/>
          <w:szCs w:val="20"/>
          <w:color w:val="auto"/>
        </w:rPr>
      </w:pPr>
    </w:p>
    <w:p>
      <w:pPr>
        <w:spacing w:after="0"/>
        <w:rPr>
          <w:sz w:val="20"/>
          <w:szCs w:val="20"/>
          <w:color w:val="auto"/>
        </w:rPr>
      </w:pPr>
      <w:r>
        <w:rPr>
          <w:rFonts w:ascii="Arial" w:cs="Arial" w:eastAsia="Arial" w:hAnsi="Arial"/>
          <w:sz w:val="12"/>
          <w:szCs w:val="12"/>
          <w:color w:val="auto"/>
        </w:rPr>
        <w:t>As of December 31, 2015, our aggregate amount of future principal debt payments is estimated as follows:</w:t>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7220" w:type="dxa"/>
            <w:vAlign w:val="bottom"/>
            <w:gridSpan w:val="2"/>
          </w:tcPr>
          <w:p>
            <w:pPr>
              <w:spacing w:after="0"/>
              <w:rPr>
                <w:sz w:val="20"/>
                <w:szCs w:val="20"/>
                <w:color w:val="auto"/>
              </w:rPr>
            </w:pPr>
            <w:r>
              <w:rPr>
                <w:rFonts w:ascii="Arial" w:cs="Arial" w:eastAsia="Arial" w:hAnsi="Arial"/>
                <w:sz w:val="11"/>
                <w:szCs w:val="11"/>
                <w:color w:val="auto"/>
              </w:rPr>
              <w:t>(Dollars in thousands)</w:t>
            </w:r>
          </w:p>
        </w:tc>
        <w:tc>
          <w:tcPr>
            <w:tcW w:w="660" w:type="dxa"/>
            <w:vAlign w:val="bottom"/>
          </w:tcPr>
          <w:p>
            <w:pPr>
              <w:spacing w:after="0"/>
              <w:rPr>
                <w:sz w:val="12"/>
                <w:szCs w:val="12"/>
                <w:color w:val="auto"/>
              </w:rPr>
            </w:pPr>
          </w:p>
        </w:tc>
        <w:tc>
          <w:tcPr>
            <w:tcW w:w="2740" w:type="dxa"/>
            <w:vAlign w:val="bottom"/>
          </w:tcPr>
          <w:p>
            <w:pPr>
              <w:jc w:val="right"/>
              <w:ind w:right="906"/>
              <w:spacing w:after="0"/>
              <w:rPr>
                <w:sz w:val="20"/>
                <w:szCs w:val="20"/>
                <w:color w:val="auto"/>
              </w:rPr>
            </w:pPr>
            <w:r>
              <w:rPr>
                <w:rFonts w:ascii="Arial" w:cs="Arial" w:eastAsia="Arial" w:hAnsi="Arial"/>
                <w:sz w:val="11"/>
                <w:szCs w:val="11"/>
                <w:b w:val="1"/>
                <w:bCs w:val="1"/>
                <w:color w:val="auto"/>
              </w:rPr>
              <w:t>Future Principal Debt Payments</w:t>
            </w:r>
          </w:p>
        </w:tc>
      </w:tr>
      <w:tr>
        <w:trPr>
          <w:trHeight w:val="135"/>
        </w:trPr>
        <w:tc>
          <w:tcPr>
            <w:tcW w:w="68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1"/>
                <w:szCs w:val="11"/>
                <w:color w:val="auto"/>
              </w:rPr>
              <w:t>2016</w:t>
            </w:r>
          </w:p>
        </w:tc>
        <w:tc>
          <w:tcPr>
            <w:tcW w:w="38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jc w:val="right"/>
              <w:ind w:right="246"/>
              <w:spacing w:after="0"/>
              <w:rPr>
                <w:sz w:val="20"/>
                <w:szCs w:val="20"/>
                <w:color w:val="auto"/>
              </w:rPr>
            </w:pPr>
            <w:r>
              <w:rPr>
                <w:rFonts w:ascii="Arial" w:cs="Arial" w:eastAsia="Arial" w:hAnsi="Arial"/>
                <w:sz w:val="11"/>
                <w:szCs w:val="11"/>
                <w:color w:val="auto"/>
              </w:rPr>
              <w:t>$</w:t>
            </w:r>
          </w:p>
        </w:tc>
        <w:tc>
          <w:tcPr>
            <w:tcW w:w="2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15,000</w:t>
            </w:r>
          </w:p>
        </w:tc>
      </w:tr>
      <w:tr>
        <w:trPr>
          <w:trHeight w:val="142"/>
        </w:trPr>
        <w:tc>
          <w:tcPr>
            <w:tcW w:w="6840" w:type="dxa"/>
            <w:vAlign w:val="bottom"/>
          </w:tcPr>
          <w:p>
            <w:pPr>
              <w:spacing w:after="0"/>
              <w:rPr>
                <w:sz w:val="20"/>
                <w:szCs w:val="20"/>
                <w:color w:val="auto"/>
              </w:rPr>
            </w:pPr>
            <w:r>
              <w:rPr>
                <w:rFonts w:ascii="Arial" w:cs="Arial" w:eastAsia="Arial" w:hAnsi="Arial"/>
                <w:sz w:val="11"/>
                <w:szCs w:val="11"/>
                <w:color w:val="auto"/>
              </w:rPr>
              <w:t>2017</w:t>
            </w:r>
          </w:p>
        </w:tc>
        <w:tc>
          <w:tcPr>
            <w:tcW w:w="3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740" w:type="dxa"/>
            <w:vAlign w:val="bottom"/>
          </w:tcPr>
          <w:p>
            <w:pPr>
              <w:jc w:val="right"/>
              <w:spacing w:after="0"/>
              <w:rPr>
                <w:sz w:val="20"/>
                <w:szCs w:val="20"/>
                <w:color w:val="auto"/>
              </w:rPr>
            </w:pPr>
            <w:r>
              <w:rPr>
                <w:rFonts w:ascii="Arial" w:cs="Arial" w:eastAsia="Arial" w:hAnsi="Arial"/>
                <w:sz w:val="11"/>
                <w:szCs w:val="11"/>
                <w:color w:val="auto"/>
              </w:rPr>
              <w:t>10,500</w:t>
            </w:r>
          </w:p>
        </w:tc>
      </w:tr>
      <w:tr>
        <w:trPr>
          <w:trHeight w:val="146"/>
        </w:trPr>
        <w:tc>
          <w:tcPr>
            <w:tcW w:w="6840" w:type="dxa"/>
            <w:vAlign w:val="bottom"/>
            <w:shd w:val="clear" w:color="auto" w:fill="CCEEFF"/>
          </w:tcPr>
          <w:p>
            <w:pPr>
              <w:spacing w:after="0"/>
              <w:rPr>
                <w:sz w:val="20"/>
                <w:szCs w:val="20"/>
                <w:color w:val="auto"/>
              </w:rPr>
            </w:pPr>
            <w:r>
              <w:rPr>
                <w:rFonts w:ascii="Arial" w:cs="Arial" w:eastAsia="Arial" w:hAnsi="Arial"/>
                <w:sz w:val="11"/>
                <w:szCs w:val="11"/>
                <w:color w:val="auto"/>
              </w:rPr>
              <w:t>2018</w:t>
            </w:r>
          </w:p>
        </w:tc>
        <w:tc>
          <w:tcPr>
            <w:tcW w:w="3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21,184</w:t>
            </w:r>
          </w:p>
        </w:tc>
      </w:tr>
      <w:tr>
        <w:trPr>
          <w:trHeight w:val="142"/>
        </w:trPr>
        <w:tc>
          <w:tcPr>
            <w:tcW w:w="6840" w:type="dxa"/>
            <w:vAlign w:val="bottom"/>
          </w:tcPr>
          <w:p>
            <w:pPr>
              <w:spacing w:after="0"/>
              <w:rPr>
                <w:sz w:val="20"/>
                <w:szCs w:val="20"/>
                <w:color w:val="auto"/>
              </w:rPr>
            </w:pPr>
            <w:r>
              <w:rPr>
                <w:rFonts w:ascii="Arial" w:cs="Arial" w:eastAsia="Arial" w:hAnsi="Arial"/>
                <w:sz w:val="11"/>
                <w:szCs w:val="11"/>
                <w:color w:val="auto"/>
              </w:rPr>
              <w:t>2019</w:t>
            </w:r>
          </w:p>
        </w:tc>
        <w:tc>
          <w:tcPr>
            <w:tcW w:w="3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740" w:type="dxa"/>
            <w:vAlign w:val="bottom"/>
          </w:tcPr>
          <w:p>
            <w:pPr>
              <w:jc w:val="right"/>
              <w:spacing w:after="0"/>
              <w:rPr>
                <w:sz w:val="20"/>
                <w:szCs w:val="20"/>
                <w:color w:val="auto"/>
              </w:rPr>
            </w:pPr>
            <w:r>
              <w:rPr>
                <w:rFonts w:ascii="Arial" w:cs="Arial" w:eastAsia="Arial" w:hAnsi="Arial"/>
                <w:sz w:val="11"/>
                <w:szCs w:val="11"/>
                <w:color w:val="auto"/>
              </w:rPr>
              <w:t>56,344</w:t>
            </w:r>
          </w:p>
        </w:tc>
      </w:tr>
      <w:tr>
        <w:trPr>
          <w:trHeight w:val="146"/>
        </w:trPr>
        <w:tc>
          <w:tcPr>
            <w:tcW w:w="6840" w:type="dxa"/>
            <w:vAlign w:val="bottom"/>
            <w:shd w:val="clear" w:color="auto" w:fill="CCEEFF"/>
          </w:tcPr>
          <w:p>
            <w:pPr>
              <w:spacing w:after="0"/>
              <w:rPr>
                <w:sz w:val="20"/>
                <w:szCs w:val="20"/>
                <w:color w:val="auto"/>
              </w:rPr>
            </w:pPr>
            <w:r>
              <w:rPr>
                <w:rFonts w:ascii="Arial" w:cs="Arial" w:eastAsia="Arial" w:hAnsi="Arial"/>
                <w:sz w:val="11"/>
                <w:szCs w:val="11"/>
                <w:color w:val="auto"/>
              </w:rPr>
              <w:t>2020</w:t>
            </w:r>
          </w:p>
        </w:tc>
        <w:tc>
          <w:tcPr>
            <w:tcW w:w="3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r>
      <w:tr>
        <w:trPr>
          <w:trHeight w:val="142"/>
        </w:trPr>
        <w:tc>
          <w:tcPr>
            <w:tcW w:w="7220" w:type="dxa"/>
            <w:vAlign w:val="bottom"/>
            <w:tcBorders>
              <w:bottom w:val="single" w:sz="8" w:color="CCEEFF"/>
            </w:tcBorders>
            <w:gridSpan w:val="2"/>
          </w:tcPr>
          <w:p>
            <w:pPr>
              <w:spacing w:after="0"/>
              <w:rPr>
                <w:sz w:val="20"/>
                <w:szCs w:val="20"/>
                <w:color w:val="auto"/>
              </w:rPr>
            </w:pPr>
            <w:r>
              <w:rPr>
                <w:rFonts w:ascii="Arial" w:cs="Arial" w:eastAsia="Arial" w:hAnsi="Arial"/>
                <w:sz w:val="11"/>
                <w:szCs w:val="11"/>
                <w:color w:val="auto"/>
              </w:rPr>
              <w:t>Thereafter</w:t>
            </w:r>
          </w:p>
        </w:tc>
        <w:tc>
          <w:tcPr>
            <w:tcW w:w="660" w:type="dxa"/>
            <w:vAlign w:val="bottom"/>
            <w:tcBorders>
              <w:bottom w:val="single" w:sz="8" w:color="auto"/>
            </w:tcBorders>
          </w:tcPr>
          <w:p>
            <w:pPr>
              <w:spacing w:after="0"/>
              <w:rPr>
                <w:sz w:val="12"/>
                <w:szCs w:val="12"/>
                <w:color w:val="auto"/>
              </w:rPr>
            </w:pPr>
          </w:p>
        </w:tc>
        <w:tc>
          <w:tcPr>
            <w:tcW w:w="27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27,913</w:t>
            </w:r>
          </w:p>
        </w:tc>
      </w:tr>
      <w:tr>
        <w:trPr>
          <w:trHeight w:val="126"/>
        </w:trPr>
        <w:tc>
          <w:tcPr>
            <w:tcW w:w="722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1"/>
                <w:szCs w:val="11"/>
                <w:color w:val="auto"/>
              </w:rPr>
              <w:t>Total future principal loan payments</w:t>
            </w:r>
          </w:p>
        </w:tc>
        <w:tc>
          <w:tcPr>
            <w:tcW w:w="660" w:type="dxa"/>
            <w:vAlign w:val="bottom"/>
            <w:tcBorders>
              <w:bottom w:val="single" w:sz="8" w:color="auto"/>
            </w:tcBorders>
            <w:shd w:val="clear" w:color="auto" w:fill="CCEEFF"/>
          </w:tcPr>
          <w:p>
            <w:pPr>
              <w:jc w:val="right"/>
              <w:ind w:right="246"/>
              <w:spacing w:after="0"/>
              <w:rPr>
                <w:sz w:val="20"/>
                <w:szCs w:val="20"/>
                <w:color w:val="auto"/>
              </w:rPr>
            </w:pPr>
            <w:r>
              <w:rPr>
                <w:rFonts w:ascii="Arial" w:cs="Arial" w:eastAsia="Arial" w:hAnsi="Arial"/>
                <w:sz w:val="11"/>
                <w:szCs w:val="11"/>
                <w:color w:val="auto"/>
              </w:rPr>
              <w:t>$</w:t>
            </w:r>
          </w:p>
        </w:tc>
        <w:tc>
          <w:tcPr>
            <w:tcW w:w="2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130,941</w:t>
            </w:r>
          </w:p>
        </w:tc>
      </w:tr>
    </w:tbl>
    <w:p>
      <w:pPr>
        <w:spacing w:after="0" w:line="135" w:lineRule="exact"/>
        <w:rPr>
          <w:sz w:val="20"/>
          <w:szCs w:val="20"/>
          <w:color w:val="auto"/>
        </w:rPr>
      </w:pPr>
    </w:p>
    <w:p>
      <w:pPr>
        <w:ind w:right="240"/>
        <w:spacing w:after="0" w:line="276" w:lineRule="auto"/>
        <w:rPr>
          <w:sz w:val="20"/>
          <w:szCs w:val="20"/>
          <w:color w:val="auto"/>
        </w:rPr>
      </w:pPr>
      <w:r>
        <w:rPr>
          <w:rFonts w:ascii="Arial" w:cs="Arial" w:eastAsia="Arial" w:hAnsi="Arial"/>
          <w:sz w:val="12"/>
          <w:szCs w:val="12"/>
          <w:color w:val="auto"/>
        </w:rPr>
        <w:t>The estimated amount of future principal payments in U.S. dollars is subject to change because the payments in U.S. dollars on the debt denominated in foreign currencies, which represents a significant portion of our total outstanding debt balance, will fluctuate based on the applicable foreign currency exchange rates.</w:t>
      </w:r>
    </w:p>
    <w:p>
      <w:pPr>
        <w:spacing w:after="0" w:line="8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11 – Pension and Other Liabilities</w:t>
      </w:r>
    </w:p>
    <w:p>
      <w:pPr>
        <w:spacing w:after="0" w:line="136" w:lineRule="exact"/>
        <w:rPr>
          <w:sz w:val="20"/>
          <w:szCs w:val="20"/>
          <w:color w:val="auto"/>
        </w:rPr>
      </w:pPr>
    </w:p>
    <w:p>
      <w:pPr>
        <w:spacing w:after="0"/>
        <w:rPr>
          <w:sz w:val="20"/>
          <w:szCs w:val="20"/>
          <w:color w:val="auto"/>
        </w:rPr>
      </w:pPr>
      <w:r>
        <w:rPr>
          <w:rFonts w:ascii="Arial" w:cs="Arial" w:eastAsia="Arial" w:hAnsi="Arial"/>
          <w:sz w:val="12"/>
          <w:szCs w:val="12"/>
          <w:color w:val="auto"/>
        </w:rPr>
        <w:t>Other liabilities including pension are summarized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5580" w:type="dxa"/>
            <w:vAlign w:val="bottom"/>
            <w:gridSpan w:val="2"/>
          </w:tcPr>
          <w:p>
            <w:pPr>
              <w:spacing w:after="0"/>
              <w:rPr>
                <w:sz w:val="20"/>
                <w:szCs w:val="20"/>
                <w:color w:val="auto"/>
              </w:rPr>
            </w:pPr>
            <w:r>
              <w:rPr>
                <w:rFonts w:ascii="Arial" w:cs="Arial" w:eastAsia="Arial" w:hAnsi="Arial"/>
                <w:sz w:val="11"/>
                <w:szCs w:val="11"/>
                <w:color w:val="auto"/>
              </w:rPr>
              <w:t>(Dollars in thousands)</w:t>
            </w:r>
          </w:p>
        </w:tc>
        <w:tc>
          <w:tcPr>
            <w:tcW w:w="600" w:type="dxa"/>
            <w:vAlign w:val="bottom"/>
          </w:tcPr>
          <w:p>
            <w:pPr>
              <w:spacing w:after="0"/>
              <w:rPr>
                <w:sz w:val="12"/>
                <w:szCs w:val="12"/>
                <w:color w:val="auto"/>
              </w:rPr>
            </w:pPr>
          </w:p>
        </w:tc>
        <w:tc>
          <w:tcPr>
            <w:tcW w:w="2140" w:type="dxa"/>
            <w:vAlign w:val="bottom"/>
            <w:gridSpan w:val="2"/>
          </w:tcPr>
          <w:p>
            <w:pPr>
              <w:ind w:left="120"/>
              <w:spacing w:after="0"/>
              <w:rPr>
                <w:sz w:val="20"/>
                <w:szCs w:val="20"/>
                <w:color w:val="auto"/>
              </w:rPr>
            </w:pPr>
            <w:r>
              <w:rPr>
                <w:rFonts w:ascii="Arial" w:cs="Arial" w:eastAsia="Arial" w:hAnsi="Arial"/>
                <w:sz w:val="11"/>
                <w:szCs w:val="11"/>
                <w:b w:val="1"/>
                <w:bCs w:val="1"/>
                <w:color w:val="auto"/>
              </w:rPr>
              <w:t>December 31, 2015</w:t>
            </w:r>
          </w:p>
        </w:tc>
        <w:tc>
          <w:tcPr>
            <w:tcW w:w="600" w:type="dxa"/>
            <w:vAlign w:val="bottom"/>
          </w:tcPr>
          <w:p>
            <w:pPr>
              <w:spacing w:after="0"/>
              <w:rPr>
                <w:sz w:val="12"/>
                <w:szCs w:val="12"/>
                <w:color w:val="auto"/>
              </w:rPr>
            </w:pPr>
          </w:p>
        </w:tc>
        <w:tc>
          <w:tcPr>
            <w:tcW w:w="1700" w:type="dxa"/>
            <w:vAlign w:val="bottom"/>
          </w:tcPr>
          <w:p>
            <w:pPr>
              <w:jc w:val="right"/>
              <w:ind w:right="666"/>
              <w:spacing w:after="0"/>
              <w:rPr>
                <w:sz w:val="20"/>
                <w:szCs w:val="20"/>
                <w:color w:val="auto"/>
              </w:rPr>
            </w:pPr>
            <w:r>
              <w:rPr>
                <w:rFonts w:ascii="Arial" w:cs="Arial" w:eastAsia="Arial" w:hAnsi="Arial"/>
                <w:sz w:val="11"/>
                <w:szCs w:val="11"/>
                <w:b w:val="1"/>
                <w:bCs w:val="1"/>
                <w:color w:val="auto"/>
                <w:w w:val="96"/>
              </w:rPr>
              <w:t>December 31, 2014</w:t>
            </w:r>
          </w:p>
        </w:tc>
      </w:tr>
      <w:tr>
        <w:trPr>
          <w:trHeight w:val="144"/>
        </w:trPr>
        <w:tc>
          <w:tcPr>
            <w:tcW w:w="5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1"/>
                <w:szCs w:val="11"/>
                <w:b w:val="1"/>
                <w:bCs w:val="1"/>
                <w:color w:val="auto"/>
              </w:rPr>
              <w:t>Current liabilities</w:t>
            </w:r>
          </w:p>
        </w:tc>
        <w:tc>
          <w:tcPr>
            <w:tcW w:w="44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1700" w:type="dxa"/>
            <w:vAlign w:val="bottom"/>
            <w:tcBorders>
              <w:top w:val="single" w:sz="8" w:color="auto"/>
            </w:tcBorders>
            <w:shd w:val="clear" w:color="auto" w:fill="CCEEFF"/>
          </w:tcPr>
          <w:p>
            <w:pPr>
              <w:spacing w:after="0"/>
              <w:rPr>
                <w:sz w:val="12"/>
                <w:szCs w:val="12"/>
                <w:color w:val="auto"/>
              </w:rPr>
            </w:pPr>
          </w:p>
        </w:tc>
        <w:tc>
          <w:tcPr>
            <w:tcW w:w="44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1700" w:type="dxa"/>
            <w:vAlign w:val="bottom"/>
            <w:tcBorders>
              <w:top w:val="single" w:sz="8" w:color="auto"/>
            </w:tcBorders>
            <w:shd w:val="clear" w:color="auto" w:fill="CCEEFF"/>
          </w:tcPr>
          <w:p>
            <w:pPr>
              <w:spacing w:after="0"/>
              <w:rPr>
                <w:sz w:val="12"/>
                <w:szCs w:val="12"/>
                <w:color w:val="auto"/>
              </w:rPr>
            </w:pPr>
          </w:p>
        </w:tc>
      </w:tr>
      <w:tr>
        <w:trPr>
          <w:trHeight w:val="144"/>
        </w:trPr>
        <w:tc>
          <w:tcPr>
            <w:tcW w:w="5580" w:type="dxa"/>
            <w:vAlign w:val="bottom"/>
            <w:gridSpan w:val="2"/>
          </w:tcPr>
          <w:p>
            <w:pPr>
              <w:ind w:left="60"/>
              <w:spacing w:after="0"/>
              <w:rPr>
                <w:sz w:val="20"/>
                <w:szCs w:val="20"/>
                <w:color w:val="auto"/>
              </w:rPr>
            </w:pPr>
            <w:r>
              <w:rPr>
                <w:rFonts w:ascii="Arial" w:cs="Arial" w:eastAsia="Arial" w:hAnsi="Arial"/>
                <w:sz w:val="11"/>
                <w:szCs w:val="11"/>
                <w:color w:val="auto"/>
              </w:rPr>
              <w:t>Lease liability</w:t>
            </w:r>
            <w:r>
              <w:rPr>
                <w:rFonts w:ascii="Arial" w:cs="Arial" w:eastAsia="Arial" w:hAnsi="Arial"/>
                <w:sz w:val="11"/>
                <w:szCs w:val="11"/>
                <w:color w:val="auto"/>
                <w:vertAlign w:val="superscript"/>
              </w:rPr>
              <w:t>(1)</w:t>
            </w:r>
          </w:p>
        </w:tc>
        <w:tc>
          <w:tcPr>
            <w:tcW w:w="60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1700" w:type="dxa"/>
            <w:vAlign w:val="bottom"/>
          </w:tcPr>
          <w:p>
            <w:pPr>
              <w:jc w:val="right"/>
              <w:spacing w:after="0"/>
              <w:rPr>
                <w:sz w:val="20"/>
                <w:szCs w:val="20"/>
                <w:color w:val="auto"/>
              </w:rPr>
            </w:pPr>
            <w:r>
              <w:rPr>
                <w:rFonts w:ascii="Arial" w:cs="Arial" w:eastAsia="Arial" w:hAnsi="Arial"/>
                <w:sz w:val="11"/>
                <w:szCs w:val="11"/>
                <w:color w:val="auto"/>
              </w:rPr>
              <w:t>5,900</w:t>
            </w:r>
          </w:p>
        </w:tc>
        <w:tc>
          <w:tcPr>
            <w:tcW w:w="440" w:type="dxa"/>
            <w:vAlign w:val="bottom"/>
          </w:tcPr>
          <w:p>
            <w:pPr>
              <w:spacing w:after="0"/>
              <w:rPr>
                <w:sz w:val="12"/>
                <w:szCs w:val="12"/>
                <w:color w:val="auto"/>
              </w:rPr>
            </w:pPr>
          </w:p>
        </w:tc>
        <w:tc>
          <w:tcPr>
            <w:tcW w:w="60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1700" w:type="dxa"/>
            <w:vAlign w:val="bottom"/>
          </w:tcPr>
          <w:p>
            <w:pPr>
              <w:jc w:val="right"/>
              <w:spacing w:after="0"/>
              <w:rPr>
                <w:sz w:val="20"/>
                <w:szCs w:val="20"/>
                <w:color w:val="auto"/>
              </w:rPr>
            </w:pPr>
            <w:r>
              <w:rPr>
                <w:rFonts w:ascii="Arial" w:cs="Arial" w:eastAsia="Arial" w:hAnsi="Arial"/>
                <w:sz w:val="11"/>
                <w:szCs w:val="11"/>
                <w:color w:val="auto"/>
              </w:rPr>
              <w:t>5,900</w:t>
            </w:r>
          </w:p>
        </w:tc>
      </w:tr>
      <w:tr>
        <w:trPr>
          <w:trHeight w:val="144"/>
        </w:trPr>
        <w:tc>
          <w:tcPr>
            <w:tcW w:w="5580" w:type="dxa"/>
            <w:vAlign w:val="bottom"/>
            <w:gridSpan w:val="2"/>
            <w:shd w:val="clear" w:color="auto" w:fill="CCEEFF"/>
          </w:tcPr>
          <w:p>
            <w:pPr>
              <w:ind w:left="60"/>
              <w:spacing w:after="0"/>
              <w:rPr>
                <w:sz w:val="20"/>
                <w:szCs w:val="20"/>
                <w:color w:val="auto"/>
              </w:rPr>
            </w:pPr>
            <w:r>
              <w:rPr>
                <w:rFonts w:ascii="Arial" w:cs="Arial" w:eastAsia="Arial" w:hAnsi="Arial"/>
                <w:sz w:val="11"/>
                <w:szCs w:val="11"/>
                <w:color w:val="auto"/>
              </w:rPr>
              <w:t>Accrued pension</w:t>
            </w:r>
            <w:r>
              <w:rPr>
                <w:rFonts w:ascii="Arial" w:cs="Arial" w:eastAsia="Arial" w:hAnsi="Arial"/>
                <w:sz w:val="11"/>
                <w:szCs w:val="11"/>
                <w:color w:val="auto"/>
                <w:vertAlign w:val="superscript"/>
              </w:rPr>
              <w:t>(2)</w:t>
            </w:r>
          </w:p>
        </w:tc>
        <w:tc>
          <w:tcPr>
            <w:tcW w:w="600" w:type="dxa"/>
            <w:vAlign w:val="bottom"/>
            <w:shd w:val="clear" w:color="auto" w:fill="CCEEFF"/>
          </w:tcPr>
          <w:p>
            <w:pPr>
              <w:spacing w:after="0"/>
              <w:rPr>
                <w:sz w:val="12"/>
                <w:szCs w:val="12"/>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1,539</w:t>
            </w:r>
          </w:p>
        </w:tc>
        <w:tc>
          <w:tcPr>
            <w:tcW w:w="4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855</w:t>
            </w:r>
          </w:p>
        </w:tc>
      </w:tr>
      <w:tr>
        <w:trPr>
          <w:trHeight w:val="142"/>
        </w:trPr>
        <w:tc>
          <w:tcPr>
            <w:tcW w:w="5580" w:type="dxa"/>
            <w:vAlign w:val="bottom"/>
            <w:gridSpan w:val="2"/>
          </w:tcPr>
          <w:p>
            <w:pPr>
              <w:ind w:left="60"/>
              <w:spacing w:after="0"/>
              <w:rPr>
                <w:sz w:val="20"/>
                <w:szCs w:val="20"/>
                <w:color w:val="auto"/>
              </w:rPr>
            </w:pPr>
            <w:r>
              <w:rPr>
                <w:rFonts w:ascii="Arial" w:cs="Arial" w:eastAsia="Arial" w:hAnsi="Arial"/>
                <w:sz w:val="11"/>
                <w:szCs w:val="11"/>
                <w:color w:val="auto"/>
              </w:rPr>
              <w:t>Security deposit payable</w:t>
            </w:r>
          </w:p>
        </w:tc>
        <w:tc>
          <w:tcPr>
            <w:tcW w:w="600" w:type="dxa"/>
            <w:vAlign w:val="bottom"/>
          </w:tcPr>
          <w:p>
            <w:pPr>
              <w:spacing w:after="0"/>
              <w:rPr>
                <w:sz w:val="12"/>
                <w:szCs w:val="12"/>
                <w:color w:val="auto"/>
              </w:rPr>
            </w:pPr>
          </w:p>
        </w:tc>
        <w:tc>
          <w:tcPr>
            <w:tcW w:w="1700" w:type="dxa"/>
            <w:vAlign w:val="bottom"/>
          </w:tcPr>
          <w:p>
            <w:pPr>
              <w:jc w:val="right"/>
              <w:spacing w:after="0"/>
              <w:rPr>
                <w:sz w:val="20"/>
                <w:szCs w:val="20"/>
                <w:color w:val="auto"/>
              </w:rPr>
            </w:pPr>
            <w:r>
              <w:rPr>
                <w:rFonts w:ascii="Arial" w:cs="Arial" w:eastAsia="Arial" w:hAnsi="Arial"/>
                <w:sz w:val="11"/>
                <w:szCs w:val="11"/>
                <w:color w:val="auto"/>
              </w:rPr>
              <w:t>180</w:t>
            </w:r>
          </w:p>
        </w:tc>
        <w:tc>
          <w:tcPr>
            <w:tcW w:w="4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700" w:type="dxa"/>
            <w:vAlign w:val="bottom"/>
          </w:tcPr>
          <w:p>
            <w:pPr>
              <w:jc w:val="right"/>
              <w:spacing w:after="0"/>
              <w:rPr>
                <w:sz w:val="20"/>
                <w:szCs w:val="20"/>
                <w:color w:val="auto"/>
              </w:rPr>
            </w:pPr>
            <w:r>
              <w:rPr>
                <w:rFonts w:ascii="Arial" w:cs="Arial" w:eastAsia="Arial" w:hAnsi="Arial"/>
                <w:sz w:val="11"/>
                <w:szCs w:val="11"/>
                <w:color w:val="auto"/>
              </w:rPr>
              <w:t>202</w:t>
            </w:r>
          </w:p>
        </w:tc>
      </w:tr>
      <w:tr>
        <w:trPr>
          <w:trHeight w:val="146"/>
        </w:trPr>
        <w:tc>
          <w:tcPr>
            <w:tcW w:w="5580" w:type="dxa"/>
            <w:vAlign w:val="bottom"/>
            <w:gridSpan w:val="2"/>
            <w:shd w:val="clear" w:color="auto" w:fill="CCEEFF"/>
          </w:tcPr>
          <w:p>
            <w:pPr>
              <w:ind w:left="60"/>
              <w:spacing w:after="0"/>
              <w:rPr>
                <w:sz w:val="20"/>
                <w:szCs w:val="20"/>
                <w:color w:val="auto"/>
              </w:rPr>
            </w:pPr>
            <w:r>
              <w:rPr>
                <w:rFonts w:ascii="Arial" w:cs="Arial" w:eastAsia="Arial" w:hAnsi="Arial"/>
                <w:sz w:val="11"/>
                <w:szCs w:val="11"/>
                <w:color w:val="auto"/>
              </w:rPr>
              <w:t>Other</w:t>
            </w:r>
          </w:p>
        </w:tc>
        <w:tc>
          <w:tcPr>
            <w:tcW w:w="600" w:type="dxa"/>
            <w:vAlign w:val="bottom"/>
            <w:tcBorders>
              <w:bottom w:val="single" w:sz="8" w:color="auto"/>
            </w:tcBorders>
            <w:shd w:val="clear" w:color="auto" w:fill="CCEEFF"/>
          </w:tcPr>
          <w:p>
            <w:pPr>
              <w:spacing w:after="0"/>
              <w:rPr>
                <w:sz w:val="12"/>
                <w:szCs w:val="12"/>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21</w:t>
            </w:r>
          </w:p>
        </w:tc>
        <w:tc>
          <w:tcPr>
            <w:tcW w:w="440" w:type="dxa"/>
            <w:vAlign w:val="bottom"/>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spacing w:after="0"/>
              <w:rPr>
                <w:sz w:val="12"/>
                <w:szCs w:val="12"/>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12</w:t>
            </w:r>
          </w:p>
        </w:tc>
      </w:tr>
      <w:tr>
        <w:trPr>
          <w:trHeight w:val="124"/>
        </w:trPr>
        <w:tc>
          <w:tcPr>
            <w:tcW w:w="5580" w:type="dxa"/>
            <w:vAlign w:val="bottom"/>
            <w:tcBorders>
              <w:bottom w:val="single" w:sz="8" w:color="CCEEFF"/>
            </w:tcBorders>
            <w:gridSpan w:val="2"/>
          </w:tcPr>
          <w:p>
            <w:pPr>
              <w:ind w:left="60"/>
              <w:spacing w:after="0" w:line="124" w:lineRule="exact"/>
              <w:rPr>
                <w:sz w:val="20"/>
                <w:szCs w:val="20"/>
                <w:color w:val="auto"/>
              </w:rPr>
            </w:pPr>
            <w:r>
              <w:rPr>
                <w:rFonts w:ascii="Arial" w:cs="Arial" w:eastAsia="Arial" w:hAnsi="Arial"/>
                <w:sz w:val="11"/>
                <w:szCs w:val="11"/>
                <w:color w:val="auto"/>
              </w:rPr>
              <w:t>Other current liabilities</w:t>
            </w:r>
          </w:p>
        </w:tc>
        <w:tc>
          <w:tcPr>
            <w:tcW w:w="600" w:type="dxa"/>
            <w:vAlign w:val="bottom"/>
            <w:tcBorders>
              <w:bottom w:val="single" w:sz="8" w:color="auto"/>
            </w:tcBorders>
          </w:tcPr>
          <w:p>
            <w:pPr>
              <w:jc w:val="right"/>
              <w:ind w:right="66"/>
              <w:spacing w:after="0" w:line="124" w:lineRule="exact"/>
              <w:rPr>
                <w:sz w:val="20"/>
                <w:szCs w:val="20"/>
                <w:color w:val="auto"/>
              </w:rPr>
            </w:pPr>
            <w:r>
              <w:rPr>
                <w:rFonts w:ascii="Arial" w:cs="Arial" w:eastAsia="Arial" w:hAnsi="Arial"/>
                <w:sz w:val="11"/>
                <w:szCs w:val="11"/>
                <w:color w:val="auto"/>
              </w:rPr>
              <w:t>$</w:t>
            </w:r>
          </w:p>
        </w:tc>
        <w:tc>
          <w:tcPr>
            <w:tcW w:w="1700" w:type="dxa"/>
            <w:vAlign w:val="bottom"/>
            <w:tcBorders>
              <w:bottom w:val="single" w:sz="8" w:color="auto"/>
            </w:tcBorders>
          </w:tcPr>
          <w:p>
            <w:pPr>
              <w:jc w:val="right"/>
              <w:spacing w:after="0" w:line="124" w:lineRule="exact"/>
              <w:rPr>
                <w:sz w:val="20"/>
                <w:szCs w:val="20"/>
                <w:color w:val="auto"/>
              </w:rPr>
            </w:pPr>
            <w:r>
              <w:rPr>
                <w:rFonts w:ascii="Arial" w:cs="Arial" w:eastAsia="Arial" w:hAnsi="Arial"/>
                <w:sz w:val="11"/>
                <w:szCs w:val="11"/>
                <w:color w:val="auto"/>
              </w:rPr>
              <w:t>7,640</w:t>
            </w:r>
          </w:p>
        </w:tc>
        <w:tc>
          <w:tcPr>
            <w:tcW w:w="440" w:type="dxa"/>
            <w:vAlign w:val="bottom"/>
            <w:tcBorders>
              <w:bottom w:val="single" w:sz="8" w:color="CCEEFF"/>
            </w:tcBorders>
          </w:tcPr>
          <w:p>
            <w:pPr>
              <w:spacing w:after="0"/>
              <w:rPr>
                <w:sz w:val="10"/>
                <w:szCs w:val="10"/>
                <w:color w:val="auto"/>
              </w:rPr>
            </w:pPr>
          </w:p>
        </w:tc>
        <w:tc>
          <w:tcPr>
            <w:tcW w:w="600" w:type="dxa"/>
            <w:vAlign w:val="bottom"/>
            <w:tcBorders>
              <w:bottom w:val="single" w:sz="8" w:color="auto"/>
            </w:tcBorders>
          </w:tcPr>
          <w:p>
            <w:pPr>
              <w:jc w:val="right"/>
              <w:ind w:right="66"/>
              <w:spacing w:after="0" w:line="124" w:lineRule="exact"/>
              <w:rPr>
                <w:sz w:val="20"/>
                <w:szCs w:val="20"/>
                <w:color w:val="auto"/>
              </w:rPr>
            </w:pPr>
            <w:r>
              <w:rPr>
                <w:rFonts w:ascii="Arial" w:cs="Arial" w:eastAsia="Arial" w:hAnsi="Arial"/>
                <w:sz w:val="11"/>
                <w:szCs w:val="11"/>
                <w:color w:val="auto"/>
              </w:rPr>
              <w:t>$</w:t>
            </w:r>
          </w:p>
        </w:tc>
        <w:tc>
          <w:tcPr>
            <w:tcW w:w="1700" w:type="dxa"/>
            <w:vAlign w:val="bottom"/>
            <w:tcBorders>
              <w:bottom w:val="single" w:sz="8" w:color="auto"/>
            </w:tcBorders>
          </w:tcPr>
          <w:p>
            <w:pPr>
              <w:jc w:val="right"/>
              <w:spacing w:after="0" w:line="124" w:lineRule="exact"/>
              <w:rPr>
                <w:sz w:val="20"/>
                <w:szCs w:val="20"/>
                <w:color w:val="auto"/>
              </w:rPr>
            </w:pPr>
            <w:r>
              <w:rPr>
                <w:rFonts w:ascii="Arial" w:cs="Arial" w:eastAsia="Arial" w:hAnsi="Arial"/>
                <w:sz w:val="11"/>
                <w:szCs w:val="11"/>
                <w:color w:val="auto"/>
              </w:rPr>
              <w:t>6,969</w:t>
            </w:r>
          </w:p>
        </w:tc>
      </w:tr>
      <w:tr>
        <w:trPr>
          <w:trHeight w:val="142"/>
        </w:trPr>
        <w:tc>
          <w:tcPr>
            <w:tcW w:w="5580" w:type="dxa"/>
            <w:vAlign w:val="bottom"/>
            <w:gridSpan w:val="2"/>
            <w:shd w:val="clear" w:color="auto" w:fill="CCEEFF"/>
          </w:tcPr>
          <w:p>
            <w:pPr>
              <w:spacing w:after="0"/>
              <w:rPr>
                <w:sz w:val="20"/>
                <w:szCs w:val="20"/>
                <w:color w:val="auto"/>
              </w:rPr>
            </w:pPr>
            <w:r>
              <w:rPr>
                <w:rFonts w:ascii="Arial" w:cs="Arial" w:eastAsia="Arial" w:hAnsi="Arial"/>
                <w:sz w:val="11"/>
                <w:szCs w:val="11"/>
                <w:b w:val="1"/>
                <w:bCs w:val="1"/>
                <w:color w:val="auto"/>
              </w:rPr>
              <w:t>Other liabilities</w:t>
            </w:r>
          </w:p>
        </w:tc>
        <w:tc>
          <w:tcPr>
            <w:tcW w:w="60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r>
      <w:tr>
        <w:trPr>
          <w:trHeight w:val="142"/>
        </w:trPr>
        <w:tc>
          <w:tcPr>
            <w:tcW w:w="5580" w:type="dxa"/>
            <w:vAlign w:val="bottom"/>
            <w:gridSpan w:val="2"/>
          </w:tcPr>
          <w:p>
            <w:pPr>
              <w:ind w:left="60"/>
              <w:spacing w:after="0"/>
              <w:rPr>
                <w:sz w:val="20"/>
                <w:szCs w:val="20"/>
                <w:color w:val="auto"/>
              </w:rPr>
            </w:pPr>
            <w:r>
              <w:rPr>
                <w:rFonts w:ascii="Arial" w:cs="Arial" w:eastAsia="Arial" w:hAnsi="Arial"/>
                <w:sz w:val="11"/>
                <w:szCs w:val="11"/>
                <w:color w:val="auto"/>
              </w:rPr>
              <w:t>Straight-line rent liability</w:t>
            </w:r>
          </w:p>
        </w:tc>
        <w:tc>
          <w:tcPr>
            <w:tcW w:w="60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1700" w:type="dxa"/>
            <w:vAlign w:val="bottom"/>
          </w:tcPr>
          <w:p>
            <w:pPr>
              <w:jc w:val="right"/>
              <w:spacing w:after="0"/>
              <w:rPr>
                <w:sz w:val="20"/>
                <w:szCs w:val="20"/>
                <w:color w:val="auto"/>
              </w:rPr>
            </w:pPr>
            <w:r>
              <w:rPr>
                <w:rFonts w:ascii="Arial" w:cs="Arial" w:eastAsia="Arial" w:hAnsi="Arial"/>
                <w:sz w:val="11"/>
                <w:szCs w:val="11"/>
                <w:color w:val="auto"/>
              </w:rPr>
              <w:t>10,823</w:t>
            </w:r>
          </w:p>
        </w:tc>
        <w:tc>
          <w:tcPr>
            <w:tcW w:w="440" w:type="dxa"/>
            <w:vAlign w:val="bottom"/>
          </w:tcPr>
          <w:p>
            <w:pPr>
              <w:spacing w:after="0"/>
              <w:rPr>
                <w:sz w:val="12"/>
                <w:szCs w:val="12"/>
                <w:color w:val="auto"/>
              </w:rPr>
            </w:pPr>
          </w:p>
        </w:tc>
        <w:tc>
          <w:tcPr>
            <w:tcW w:w="60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1700" w:type="dxa"/>
            <w:vAlign w:val="bottom"/>
          </w:tcPr>
          <w:p>
            <w:pPr>
              <w:jc w:val="right"/>
              <w:spacing w:after="0"/>
              <w:rPr>
                <w:sz w:val="20"/>
                <w:szCs w:val="20"/>
                <w:color w:val="auto"/>
              </w:rPr>
            </w:pPr>
            <w:r>
              <w:rPr>
                <w:rFonts w:ascii="Arial" w:cs="Arial" w:eastAsia="Arial" w:hAnsi="Arial"/>
                <w:sz w:val="11"/>
                <w:szCs w:val="11"/>
                <w:color w:val="auto"/>
              </w:rPr>
              <w:t>9,246</w:t>
            </w:r>
          </w:p>
        </w:tc>
      </w:tr>
      <w:tr>
        <w:trPr>
          <w:trHeight w:val="146"/>
        </w:trPr>
        <w:tc>
          <w:tcPr>
            <w:tcW w:w="5580" w:type="dxa"/>
            <w:vAlign w:val="bottom"/>
            <w:gridSpan w:val="2"/>
            <w:shd w:val="clear" w:color="auto" w:fill="CCEEFF"/>
          </w:tcPr>
          <w:p>
            <w:pPr>
              <w:ind w:left="60"/>
              <w:spacing w:after="0"/>
              <w:rPr>
                <w:sz w:val="20"/>
                <w:szCs w:val="20"/>
                <w:color w:val="auto"/>
              </w:rPr>
            </w:pPr>
            <w:r>
              <w:rPr>
                <w:rFonts w:ascii="Arial" w:cs="Arial" w:eastAsia="Arial" w:hAnsi="Arial"/>
                <w:sz w:val="11"/>
                <w:szCs w:val="11"/>
                <w:color w:val="auto"/>
              </w:rPr>
              <w:t>Accrued pension</w:t>
            </w:r>
            <w:r>
              <w:rPr>
                <w:rFonts w:ascii="Arial" w:cs="Arial" w:eastAsia="Arial" w:hAnsi="Arial"/>
                <w:sz w:val="11"/>
                <w:szCs w:val="11"/>
                <w:color w:val="auto"/>
                <w:vertAlign w:val="superscript"/>
              </w:rPr>
              <w:t>(2)</w:t>
            </w:r>
          </w:p>
        </w:tc>
        <w:tc>
          <w:tcPr>
            <w:tcW w:w="600" w:type="dxa"/>
            <w:vAlign w:val="bottom"/>
            <w:shd w:val="clear" w:color="auto" w:fill="CCEEFF"/>
          </w:tcPr>
          <w:p>
            <w:pPr>
              <w:spacing w:after="0"/>
              <w:rPr>
                <w:sz w:val="12"/>
                <w:szCs w:val="12"/>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6,236</w:t>
            </w:r>
          </w:p>
        </w:tc>
        <w:tc>
          <w:tcPr>
            <w:tcW w:w="4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6,740</w:t>
            </w:r>
          </w:p>
        </w:tc>
      </w:tr>
      <w:tr>
        <w:trPr>
          <w:trHeight w:val="142"/>
        </w:trPr>
        <w:tc>
          <w:tcPr>
            <w:tcW w:w="5580" w:type="dxa"/>
            <w:vAlign w:val="bottom"/>
            <w:gridSpan w:val="2"/>
          </w:tcPr>
          <w:p>
            <w:pPr>
              <w:ind w:left="60"/>
              <w:spacing w:after="0"/>
              <w:rPr>
                <w:sz w:val="20"/>
                <w:szCs w:val="20"/>
                <w:color w:val="auto"/>
              </w:rPr>
            </w:pPr>
            <w:r>
              <w:rPr>
                <w:rFonts w:ascii="Arial" w:cs="Arial" w:eastAsia="Arial" w:hAnsi="Arial"/>
                <w:sz w:val="11"/>
                <w:szCs w:val="11"/>
                <w:color w:val="auto"/>
              </w:rPr>
              <w:t>Lease make-good provision</w:t>
            </w:r>
          </w:p>
        </w:tc>
        <w:tc>
          <w:tcPr>
            <w:tcW w:w="600" w:type="dxa"/>
            <w:vAlign w:val="bottom"/>
          </w:tcPr>
          <w:p>
            <w:pPr>
              <w:spacing w:after="0"/>
              <w:rPr>
                <w:sz w:val="12"/>
                <w:szCs w:val="12"/>
                <w:color w:val="auto"/>
              </w:rPr>
            </w:pPr>
          </w:p>
        </w:tc>
        <w:tc>
          <w:tcPr>
            <w:tcW w:w="1700" w:type="dxa"/>
            <w:vAlign w:val="bottom"/>
          </w:tcPr>
          <w:p>
            <w:pPr>
              <w:jc w:val="right"/>
              <w:spacing w:after="0"/>
              <w:rPr>
                <w:sz w:val="20"/>
                <w:szCs w:val="20"/>
                <w:color w:val="auto"/>
              </w:rPr>
            </w:pPr>
            <w:r>
              <w:rPr>
                <w:rFonts w:ascii="Arial" w:cs="Arial" w:eastAsia="Arial" w:hAnsi="Arial"/>
                <w:sz w:val="11"/>
                <w:szCs w:val="11"/>
                <w:color w:val="auto"/>
              </w:rPr>
              <w:t>5,228</w:t>
            </w:r>
          </w:p>
        </w:tc>
        <w:tc>
          <w:tcPr>
            <w:tcW w:w="4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700" w:type="dxa"/>
            <w:vAlign w:val="bottom"/>
          </w:tcPr>
          <w:p>
            <w:pPr>
              <w:jc w:val="right"/>
              <w:spacing w:after="0"/>
              <w:rPr>
                <w:sz w:val="20"/>
                <w:szCs w:val="20"/>
                <w:color w:val="auto"/>
              </w:rPr>
            </w:pPr>
            <w:r>
              <w:rPr>
                <w:rFonts w:ascii="Arial" w:cs="Arial" w:eastAsia="Arial" w:hAnsi="Arial"/>
                <w:sz w:val="11"/>
                <w:szCs w:val="11"/>
                <w:color w:val="auto"/>
              </w:rPr>
              <w:t>4,385</w:t>
            </w:r>
          </w:p>
        </w:tc>
      </w:tr>
      <w:tr>
        <w:trPr>
          <w:trHeight w:val="146"/>
        </w:trPr>
        <w:tc>
          <w:tcPr>
            <w:tcW w:w="5580" w:type="dxa"/>
            <w:vAlign w:val="bottom"/>
            <w:gridSpan w:val="2"/>
            <w:shd w:val="clear" w:color="auto" w:fill="CCEEFF"/>
          </w:tcPr>
          <w:p>
            <w:pPr>
              <w:ind w:left="60"/>
              <w:spacing w:after="0"/>
              <w:rPr>
                <w:sz w:val="20"/>
                <w:szCs w:val="20"/>
                <w:color w:val="auto"/>
              </w:rPr>
            </w:pPr>
            <w:r>
              <w:rPr>
                <w:rFonts w:ascii="Arial" w:cs="Arial" w:eastAsia="Arial" w:hAnsi="Arial"/>
                <w:sz w:val="11"/>
                <w:szCs w:val="11"/>
                <w:color w:val="auto"/>
              </w:rPr>
              <w:t>Environmental reserve</w:t>
            </w:r>
          </w:p>
        </w:tc>
        <w:tc>
          <w:tcPr>
            <w:tcW w:w="600" w:type="dxa"/>
            <w:vAlign w:val="bottom"/>
            <w:shd w:val="clear" w:color="auto" w:fill="CCEEFF"/>
          </w:tcPr>
          <w:p>
            <w:pPr>
              <w:spacing w:after="0"/>
              <w:rPr>
                <w:sz w:val="12"/>
                <w:szCs w:val="12"/>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1,656</w:t>
            </w:r>
          </w:p>
        </w:tc>
        <w:tc>
          <w:tcPr>
            <w:tcW w:w="4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1,656</w:t>
            </w:r>
          </w:p>
        </w:tc>
      </w:tr>
      <w:tr>
        <w:trPr>
          <w:trHeight w:val="142"/>
        </w:trPr>
        <w:tc>
          <w:tcPr>
            <w:tcW w:w="5580" w:type="dxa"/>
            <w:vAlign w:val="bottom"/>
            <w:gridSpan w:val="2"/>
          </w:tcPr>
          <w:p>
            <w:pPr>
              <w:ind w:left="60"/>
              <w:spacing w:after="0"/>
              <w:rPr>
                <w:sz w:val="20"/>
                <w:szCs w:val="20"/>
                <w:color w:val="auto"/>
              </w:rPr>
            </w:pPr>
            <w:r>
              <w:rPr>
                <w:rFonts w:ascii="Arial" w:cs="Arial" w:eastAsia="Arial" w:hAnsi="Arial"/>
                <w:sz w:val="11"/>
                <w:szCs w:val="11"/>
                <w:color w:val="auto"/>
              </w:rPr>
              <w:t>Interest rate swap</w:t>
            </w:r>
          </w:p>
        </w:tc>
        <w:tc>
          <w:tcPr>
            <w:tcW w:w="600" w:type="dxa"/>
            <w:vAlign w:val="bottom"/>
          </w:tcPr>
          <w:p>
            <w:pPr>
              <w:spacing w:after="0"/>
              <w:rPr>
                <w:sz w:val="12"/>
                <w:szCs w:val="12"/>
                <w:color w:val="auto"/>
              </w:rPr>
            </w:pPr>
          </w:p>
        </w:tc>
        <w:tc>
          <w:tcPr>
            <w:tcW w:w="1700" w:type="dxa"/>
            <w:vAlign w:val="bottom"/>
          </w:tcPr>
          <w:p>
            <w:pPr>
              <w:jc w:val="right"/>
              <w:spacing w:after="0"/>
              <w:rPr>
                <w:sz w:val="20"/>
                <w:szCs w:val="20"/>
                <w:color w:val="auto"/>
              </w:rPr>
            </w:pPr>
            <w:r>
              <w:rPr>
                <w:rFonts w:ascii="Arial" w:cs="Arial" w:eastAsia="Arial" w:hAnsi="Arial"/>
                <w:sz w:val="11"/>
                <w:szCs w:val="11"/>
                <w:color w:val="auto"/>
              </w:rPr>
              <w:t>156</w:t>
            </w:r>
          </w:p>
        </w:tc>
        <w:tc>
          <w:tcPr>
            <w:tcW w:w="4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700" w:type="dxa"/>
            <w:vAlign w:val="bottom"/>
          </w:tcPr>
          <w:p>
            <w:pPr>
              <w:jc w:val="right"/>
              <w:spacing w:after="0"/>
              <w:rPr>
                <w:sz w:val="20"/>
                <w:szCs w:val="20"/>
                <w:color w:val="auto"/>
              </w:rPr>
            </w:pPr>
            <w:r>
              <w:rPr>
                <w:rFonts w:ascii="Arial" w:cs="Arial" w:eastAsia="Arial" w:hAnsi="Arial"/>
                <w:sz w:val="11"/>
                <w:szCs w:val="11"/>
                <w:color w:val="auto"/>
              </w:rPr>
              <w:t>2,177</w:t>
            </w:r>
          </w:p>
        </w:tc>
      </w:tr>
      <w:tr>
        <w:trPr>
          <w:trHeight w:val="146"/>
        </w:trPr>
        <w:tc>
          <w:tcPr>
            <w:tcW w:w="5580" w:type="dxa"/>
            <w:vAlign w:val="bottom"/>
            <w:gridSpan w:val="2"/>
            <w:shd w:val="clear" w:color="auto" w:fill="CCEEFF"/>
          </w:tcPr>
          <w:p>
            <w:pPr>
              <w:ind w:left="60"/>
              <w:spacing w:after="0"/>
              <w:rPr>
                <w:sz w:val="20"/>
                <w:szCs w:val="20"/>
                <w:color w:val="auto"/>
              </w:rPr>
            </w:pPr>
            <w:r>
              <w:rPr>
                <w:rFonts w:ascii="Arial" w:cs="Arial" w:eastAsia="Arial" w:hAnsi="Arial"/>
                <w:sz w:val="11"/>
                <w:szCs w:val="11"/>
                <w:color w:val="auto"/>
              </w:rPr>
              <w:t>Deferred Revenue - Real Estate</w:t>
            </w:r>
          </w:p>
        </w:tc>
        <w:tc>
          <w:tcPr>
            <w:tcW w:w="600" w:type="dxa"/>
            <w:vAlign w:val="bottom"/>
            <w:shd w:val="clear" w:color="auto" w:fill="CCEEFF"/>
          </w:tcPr>
          <w:p>
            <w:pPr>
              <w:spacing w:after="0"/>
              <w:rPr>
                <w:sz w:val="12"/>
                <w:szCs w:val="12"/>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4,596</w:t>
            </w:r>
          </w:p>
        </w:tc>
        <w:tc>
          <w:tcPr>
            <w:tcW w:w="4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5,083</w:t>
            </w:r>
          </w:p>
        </w:tc>
      </w:tr>
      <w:tr>
        <w:trPr>
          <w:trHeight w:val="142"/>
        </w:trPr>
        <w:tc>
          <w:tcPr>
            <w:tcW w:w="5580" w:type="dxa"/>
            <w:vAlign w:val="bottom"/>
            <w:gridSpan w:val="2"/>
          </w:tcPr>
          <w:p>
            <w:pPr>
              <w:ind w:left="60"/>
              <w:spacing w:after="0"/>
              <w:rPr>
                <w:sz w:val="20"/>
                <w:szCs w:val="20"/>
                <w:color w:val="auto"/>
              </w:rPr>
            </w:pPr>
            <w:r>
              <w:rPr>
                <w:rFonts w:ascii="Arial" w:cs="Arial" w:eastAsia="Arial" w:hAnsi="Arial"/>
                <w:sz w:val="11"/>
                <w:szCs w:val="11"/>
                <w:color w:val="auto"/>
              </w:rPr>
              <w:t>Acquired leases</w:t>
            </w:r>
          </w:p>
        </w:tc>
        <w:tc>
          <w:tcPr>
            <w:tcW w:w="600" w:type="dxa"/>
            <w:vAlign w:val="bottom"/>
          </w:tcPr>
          <w:p>
            <w:pPr>
              <w:spacing w:after="0"/>
              <w:rPr>
                <w:sz w:val="12"/>
                <w:szCs w:val="12"/>
                <w:color w:val="auto"/>
              </w:rPr>
            </w:pPr>
          </w:p>
        </w:tc>
        <w:tc>
          <w:tcPr>
            <w:tcW w:w="1700" w:type="dxa"/>
            <w:vAlign w:val="bottom"/>
          </w:tcPr>
          <w:p>
            <w:pPr>
              <w:jc w:val="right"/>
              <w:spacing w:after="0"/>
              <w:rPr>
                <w:sz w:val="20"/>
                <w:szCs w:val="20"/>
                <w:color w:val="auto"/>
              </w:rPr>
            </w:pPr>
            <w:r>
              <w:rPr>
                <w:rFonts w:ascii="Arial" w:cs="Arial" w:eastAsia="Arial" w:hAnsi="Arial"/>
                <w:sz w:val="11"/>
                <w:szCs w:val="11"/>
                <w:color w:val="auto"/>
              </w:rPr>
              <w:t>866</w:t>
            </w:r>
          </w:p>
        </w:tc>
        <w:tc>
          <w:tcPr>
            <w:tcW w:w="4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700" w:type="dxa"/>
            <w:vAlign w:val="bottom"/>
          </w:tcPr>
          <w:p>
            <w:pPr>
              <w:jc w:val="right"/>
              <w:spacing w:after="0"/>
              <w:rPr>
                <w:sz w:val="20"/>
                <w:szCs w:val="20"/>
                <w:color w:val="auto"/>
              </w:rPr>
            </w:pPr>
            <w:r>
              <w:rPr>
                <w:rFonts w:ascii="Arial" w:cs="Arial" w:eastAsia="Arial" w:hAnsi="Arial"/>
                <w:sz w:val="11"/>
                <w:szCs w:val="11"/>
                <w:color w:val="auto"/>
              </w:rPr>
              <w:t>1,265</w:t>
            </w:r>
          </w:p>
        </w:tc>
      </w:tr>
      <w:tr>
        <w:trPr>
          <w:trHeight w:val="146"/>
        </w:trPr>
        <w:tc>
          <w:tcPr>
            <w:tcW w:w="5580" w:type="dxa"/>
            <w:vAlign w:val="bottom"/>
            <w:gridSpan w:val="2"/>
            <w:shd w:val="clear" w:color="auto" w:fill="CCEEFF"/>
          </w:tcPr>
          <w:p>
            <w:pPr>
              <w:ind w:left="60"/>
              <w:spacing w:after="0"/>
              <w:rPr>
                <w:sz w:val="20"/>
                <w:szCs w:val="20"/>
                <w:color w:val="auto"/>
              </w:rPr>
            </w:pPr>
            <w:r>
              <w:rPr>
                <w:rFonts w:ascii="Arial" w:cs="Arial" w:eastAsia="Arial" w:hAnsi="Arial"/>
                <w:sz w:val="11"/>
                <w:szCs w:val="11"/>
                <w:color w:val="auto"/>
              </w:rPr>
              <w:t>Other</w:t>
            </w:r>
          </w:p>
        </w:tc>
        <w:tc>
          <w:tcPr>
            <w:tcW w:w="600" w:type="dxa"/>
            <w:vAlign w:val="bottom"/>
            <w:tcBorders>
              <w:bottom w:val="single" w:sz="8" w:color="auto"/>
            </w:tcBorders>
            <w:shd w:val="clear" w:color="auto" w:fill="CCEEFF"/>
          </w:tcPr>
          <w:p>
            <w:pPr>
              <w:spacing w:after="0"/>
              <w:rPr>
                <w:sz w:val="12"/>
                <w:szCs w:val="12"/>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501</w:t>
            </w:r>
          </w:p>
        </w:tc>
        <w:tc>
          <w:tcPr>
            <w:tcW w:w="440" w:type="dxa"/>
            <w:vAlign w:val="bottom"/>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spacing w:after="0"/>
              <w:rPr>
                <w:sz w:val="12"/>
                <w:szCs w:val="12"/>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3,009</w:t>
            </w:r>
          </w:p>
        </w:tc>
      </w:tr>
      <w:tr>
        <w:trPr>
          <w:trHeight w:val="124"/>
        </w:trPr>
        <w:tc>
          <w:tcPr>
            <w:tcW w:w="5580" w:type="dxa"/>
            <w:vAlign w:val="bottom"/>
            <w:gridSpan w:val="2"/>
          </w:tcPr>
          <w:p>
            <w:pPr>
              <w:ind w:left="60"/>
              <w:spacing w:after="0" w:line="124" w:lineRule="exact"/>
              <w:rPr>
                <w:sz w:val="20"/>
                <w:szCs w:val="20"/>
                <w:color w:val="auto"/>
              </w:rPr>
            </w:pPr>
            <w:r>
              <w:rPr>
                <w:rFonts w:ascii="Arial" w:cs="Arial" w:eastAsia="Arial" w:hAnsi="Arial"/>
                <w:sz w:val="11"/>
                <w:szCs w:val="11"/>
                <w:color w:val="auto"/>
              </w:rPr>
              <w:t>Other liabilities</w:t>
            </w:r>
          </w:p>
        </w:tc>
        <w:tc>
          <w:tcPr>
            <w:tcW w:w="600" w:type="dxa"/>
            <w:vAlign w:val="bottom"/>
            <w:tcBorders>
              <w:bottom w:val="single" w:sz="8" w:color="auto"/>
            </w:tcBorders>
          </w:tcPr>
          <w:p>
            <w:pPr>
              <w:jc w:val="right"/>
              <w:ind w:right="66"/>
              <w:spacing w:after="0" w:line="124" w:lineRule="exact"/>
              <w:rPr>
                <w:sz w:val="20"/>
                <w:szCs w:val="20"/>
                <w:color w:val="auto"/>
              </w:rPr>
            </w:pPr>
            <w:r>
              <w:rPr>
                <w:rFonts w:ascii="Arial" w:cs="Arial" w:eastAsia="Arial" w:hAnsi="Arial"/>
                <w:sz w:val="11"/>
                <w:szCs w:val="11"/>
                <w:color w:val="auto"/>
              </w:rPr>
              <w:t>$</w:t>
            </w:r>
          </w:p>
        </w:tc>
        <w:tc>
          <w:tcPr>
            <w:tcW w:w="1700" w:type="dxa"/>
            <w:vAlign w:val="bottom"/>
            <w:tcBorders>
              <w:bottom w:val="single" w:sz="8" w:color="auto"/>
            </w:tcBorders>
          </w:tcPr>
          <w:p>
            <w:pPr>
              <w:jc w:val="right"/>
              <w:spacing w:after="0" w:line="124" w:lineRule="exact"/>
              <w:rPr>
                <w:sz w:val="20"/>
                <w:szCs w:val="20"/>
                <w:color w:val="auto"/>
              </w:rPr>
            </w:pPr>
            <w:r>
              <w:rPr>
                <w:rFonts w:ascii="Arial" w:cs="Arial" w:eastAsia="Arial" w:hAnsi="Arial"/>
                <w:sz w:val="11"/>
                <w:szCs w:val="11"/>
                <w:color w:val="auto"/>
              </w:rPr>
              <w:t>30,062</w:t>
            </w:r>
          </w:p>
        </w:tc>
        <w:tc>
          <w:tcPr>
            <w:tcW w:w="440" w:type="dxa"/>
            <w:vAlign w:val="bottom"/>
          </w:tcPr>
          <w:p>
            <w:pPr>
              <w:spacing w:after="0"/>
              <w:rPr>
                <w:sz w:val="10"/>
                <w:szCs w:val="10"/>
                <w:color w:val="auto"/>
              </w:rPr>
            </w:pPr>
          </w:p>
        </w:tc>
        <w:tc>
          <w:tcPr>
            <w:tcW w:w="600" w:type="dxa"/>
            <w:vAlign w:val="bottom"/>
            <w:tcBorders>
              <w:bottom w:val="single" w:sz="8" w:color="auto"/>
            </w:tcBorders>
          </w:tcPr>
          <w:p>
            <w:pPr>
              <w:jc w:val="right"/>
              <w:ind w:right="66"/>
              <w:spacing w:after="0" w:line="124" w:lineRule="exact"/>
              <w:rPr>
                <w:sz w:val="20"/>
                <w:szCs w:val="20"/>
                <w:color w:val="auto"/>
              </w:rPr>
            </w:pPr>
            <w:r>
              <w:rPr>
                <w:rFonts w:ascii="Arial" w:cs="Arial" w:eastAsia="Arial" w:hAnsi="Arial"/>
                <w:sz w:val="11"/>
                <w:szCs w:val="11"/>
                <w:color w:val="auto"/>
              </w:rPr>
              <w:t>$</w:t>
            </w:r>
          </w:p>
        </w:tc>
        <w:tc>
          <w:tcPr>
            <w:tcW w:w="1700" w:type="dxa"/>
            <w:vAlign w:val="bottom"/>
            <w:tcBorders>
              <w:bottom w:val="single" w:sz="8" w:color="auto"/>
            </w:tcBorders>
          </w:tcPr>
          <w:p>
            <w:pPr>
              <w:jc w:val="right"/>
              <w:spacing w:after="0" w:line="124" w:lineRule="exact"/>
              <w:rPr>
                <w:sz w:val="20"/>
                <w:szCs w:val="20"/>
                <w:color w:val="auto"/>
              </w:rPr>
            </w:pPr>
            <w:r>
              <w:rPr>
                <w:rFonts w:ascii="Arial" w:cs="Arial" w:eastAsia="Arial" w:hAnsi="Arial"/>
                <w:sz w:val="11"/>
                <w:szCs w:val="11"/>
                <w:color w:val="auto"/>
              </w:rPr>
              <w:t>33,561</w:t>
            </w:r>
          </w:p>
        </w:tc>
      </w:tr>
    </w:tbl>
    <w:p>
      <w:pPr>
        <w:spacing w:after="0" w:line="132" w:lineRule="exact"/>
        <w:rPr>
          <w:sz w:val="20"/>
          <w:szCs w:val="20"/>
          <w:color w:val="auto"/>
        </w:rPr>
      </w:pPr>
    </w:p>
    <w:p>
      <w:pPr>
        <w:ind w:left="80" w:hanging="76"/>
        <w:spacing w:after="0"/>
        <w:tabs>
          <w:tab w:leader="none" w:pos="80" w:val="left"/>
        </w:tabs>
        <w:numPr>
          <w:ilvl w:val="0"/>
          <w:numId w:val="39"/>
        </w:numPr>
        <w:rPr>
          <w:rFonts w:ascii="Arial" w:cs="Arial" w:eastAsia="Arial" w:hAnsi="Arial"/>
          <w:sz w:val="8"/>
          <w:szCs w:val="8"/>
          <w:color w:val="auto"/>
          <w:vertAlign w:val="superscript"/>
        </w:rPr>
      </w:pPr>
      <w:r>
        <w:rPr>
          <w:rFonts w:ascii="Arial" w:cs="Arial" w:eastAsia="Arial" w:hAnsi="Arial"/>
          <w:sz w:val="8"/>
          <w:szCs w:val="8"/>
          <w:color w:val="auto"/>
        </w:rPr>
        <w:t>Represents the lease liability of the option associated with the ground lease purchase of the Village East Cinema. See below for more information.</w:t>
      </w:r>
    </w:p>
    <w:p>
      <w:pPr>
        <w:spacing w:after="0" w:line="15" w:lineRule="exact"/>
        <w:rPr>
          <w:rFonts w:ascii="Arial" w:cs="Arial" w:eastAsia="Arial" w:hAnsi="Arial"/>
          <w:sz w:val="8"/>
          <w:szCs w:val="8"/>
          <w:color w:val="auto"/>
          <w:vertAlign w:val="superscript"/>
        </w:rPr>
      </w:pPr>
    </w:p>
    <w:p>
      <w:pPr>
        <w:ind w:left="80" w:hanging="76"/>
        <w:spacing w:after="0"/>
        <w:tabs>
          <w:tab w:leader="none" w:pos="80" w:val="left"/>
        </w:tabs>
        <w:numPr>
          <w:ilvl w:val="0"/>
          <w:numId w:val="39"/>
        </w:numPr>
        <w:rPr>
          <w:rFonts w:ascii="Arial" w:cs="Arial" w:eastAsia="Arial" w:hAnsi="Arial"/>
          <w:sz w:val="8"/>
          <w:szCs w:val="8"/>
          <w:color w:val="auto"/>
          <w:vertAlign w:val="superscript"/>
        </w:rPr>
      </w:pPr>
      <w:r>
        <w:rPr>
          <w:rFonts w:ascii="Arial" w:cs="Arial" w:eastAsia="Arial" w:hAnsi="Arial"/>
          <w:sz w:val="8"/>
          <w:szCs w:val="8"/>
          <w:color w:val="auto"/>
        </w:rPr>
        <w:t>Represents the pension liability associated with the Supplemental Executive Retirement Plan explained below.</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59690</wp:posOffset>
            </wp:positionV>
            <wp:extent cx="677989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779895" cy="42545"/>
                    </a:xfrm>
                    <a:prstGeom prst="rect">
                      <a:avLst/>
                    </a:prstGeom>
                    <a:noFill/>
                  </pic:spPr>
                </pic:pic>
              </a:graphicData>
            </a:graphic>
          </wp:anchor>
        </w:drawing>
      </w:r>
    </w:p>
    <w:p>
      <w:pPr>
        <w:sectPr>
          <w:pgSz w:w="11900" w:h="16838" w:orient="portrait"/>
          <w:cols w:equalWidth="0" w:num="1">
            <w:col w:w="10620"/>
          </w:cols>
          <w:pgMar w:left="640" w:top="275" w:right="639" w:bottom="1440" w:gutter="0" w:footer="0" w:header="0"/>
        </w:sectPr>
      </w:pPr>
    </w:p>
    <w:bookmarkStart w:id="80" w:name="page81"/>
    <w:bookmarkEnd w:id="80"/>
    <w:p>
      <w:pPr>
        <w:spacing w:after="0"/>
        <w:rPr>
          <w:sz w:val="20"/>
          <w:szCs w:val="20"/>
          <w:color w:val="auto"/>
        </w:rPr>
      </w:pPr>
      <w:r>
        <w:rPr>
          <w:rFonts w:ascii="Arial" w:cs="Arial" w:eastAsia="Arial" w:hAnsi="Arial"/>
          <w:sz w:val="12"/>
          <w:szCs w:val="12"/>
          <w:b w:val="1"/>
          <w:bCs w:val="1"/>
          <w:color w:val="auto"/>
        </w:rPr>
        <w:t>Lease Liability - Village East Purchase Option</w:t>
      </w:r>
    </w:p>
    <w:p>
      <w:pPr>
        <w:spacing w:after="0" w:line="136" w:lineRule="exact"/>
        <w:rPr>
          <w:sz w:val="20"/>
          <w:szCs w:val="20"/>
          <w:color w:val="auto"/>
        </w:rPr>
      </w:pPr>
    </w:p>
    <w:p>
      <w:pPr>
        <w:ind w:right="20"/>
        <w:spacing w:after="0" w:line="280" w:lineRule="auto"/>
        <w:rPr>
          <w:sz w:val="20"/>
          <w:szCs w:val="20"/>
          <w:color w:val="auto"/>
        </w:rPr>
      </w:pPr>
      <w:r>
        <w:rPr>
          <w:rFonts w:ascii="Arial" w:cs="Arial" w:eastAsia="Arial" w:hAnsi="Arial"/>
          <w:sz w:val="11"/>
          <w:szCs w:val="11"/>
          <w:color w:val="auto"/>
        </w:rPr>
        <w:t xml:space="preserve">On June 29, 2010, we agreed to extend our existing lease from SHC of the Village East Cinema in New York City by 10 years, with a new termination date of June 30, 2020. The Village East lease includes a sub-lease of the ground underlying the cinema that is subject to a longer-term ground lease between SHC and an unrelated third party that expires June 1, 2031 (the “cinema ground lease”). The extended lease provides for a call option pursuant to which Reading may purchase the cinema ground lease for $5.9 million at the end of the lease term. Additionally, the lease has a put option pursuant to which SHC may require Reading to purchase all or a portion of SHC’s interest in the existing cinema lease and the cinema ground lease at any time between July 1, 2013 and December 4, 2019. SHC’s put option may be exercised on one or more occasions in increments of not less than $100,000 each. Because our late Chairman, Chief Executive Officer, and controlling shareholder, Mr. James J. Cotter, Sr. was also the managing member of SHC, RDI and SHC are considered entities under common control. As a result, we have recorded the Village East Cinema building as a property asset of $4.7 million on our balance sheet based on the cost carry-over basis from an entity under common control with a corresponding lease liability of $5.9 million presented under other liabilities which accreted up to the $5.9 million liability till July 1, 2013 (see Note 18 – </w:t>
      </w:r>
      <w:r>
        <w:rPr>
          <w:rFonts w:ascii="Arial" w:cs="Arial" w:eastAsia="Arial" w:hAnsi="Arial"/>
          <w:sz w:val="11"/>
          <w:szCs w:val="11"/>
          <w:i w:val="1"/>
          <w:iCs w:val="1"/>
          <w:color w:val="auto"/>
        </w:rPr>
        <w:t>Related Parties and Transactions</w:t>
      </w:r>
      <w:r>
        <w:rPr>
          <w:rFonts w:ascii="Arial" w:cs="Arial" w:eastAsia="Arial" w:hAnsi="Arial"/>
          <w:sz w:val="11"/>
          <w:szCs w:val="11"/>
          <w:color w:val="auto"/>
        </w:rPr>
        <w:t>). As the option is able to be exercised by SHC starting on July 1, 2013, the lease liability has been classified as part of other current liabilities.</w:t>
      </w:r>
    </w:p>
    <w:p>
      <w:pPr>
        <w:spacing w:after="0" w:line="8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Pension Liability - Supplemental Executive Retirement Plan</w:t>
      </w:r>
    </w:p>
    <w:p>
      <w:pPr>
        <w:spacing w:after="0" w:line="127" w:lineRule="exact"/>
        <w:rPr>
          <w:sz w:val="20"/>
          <w:szCs w:val="20"/>
          <w:color w:val="auto"/>
        </w:rPr>
      </w:pPr>
    </w:p>
    <w:p>
      <w:pPr>
        <w:ind w:right="20"/>
        <w:spacing w:after="0" w:line="286" w:lineRule="auto"/>
        <w:rPr>
          <w:sz w:val="20"/>
          <w:szCs w:val="20"/>
          <w:color w:val="auto"/>
        </w:rPr>
      </w:pPr>
      <w:r>
        <w:rPr>
          <w:rFonts w:ascii="Arial" w:cs="Arial" w:eastAsia="Arial" w:hAnsi="Arial"/>
          <w:sz w:val="11"/>
          <w:szCs w:val="11"/>
          <w:color w:val="auto"/>
        </w:rPr>
        <w:t>On August 29, 2014, the Supplemental Executive Retirement Plan (“SERP”) that was effective since March 1, 2007, was ended and replaced with a new pension annuity. As a result of the termination of the SERP program, the accrued pension liability of $7.6 million was reversed and replaced with a new pension annuity liability of $7.5 million. The valuation of the liability is based on the present value of $10.3 million discounted at 4.25% over a 15-year term, resulting in a monthly payment of $56,944 payable to the estate of Mr. Jim Cotter Sr. The discount rate of 4.25% has been applied since 2014 to determine the net periodic benefit cost and plan benefit obligation and is expected to be used in future years. The discounted value of $2.5 million (which is the difference between the estimated payout of $10.3 million and the present value of $7.8 million) will be amortized and expensed based on the 15-year term. In addition, the accumulated actuarial loss of $3.1 million recorded, as part of other comprehensive income, will also be amortized based on the 15-year term.</w:t>
      </w:r>
    </w:p>
    <w:p>
      <w:pPr>
        <w:spacing w:after="0" w:line="93" w:lineRule="exact"/>
        <w:rPr>
          <w:sz w:val="20"/>
          <w:szCs w:val="20"/>
          <w:color w:val="auto"/>
        </w:rPr>
      </w:pPr>
    </w:p>
    <w:p>
      <w:pPr>
        <w:ind w:right="200"/>
        <w:spacing w:after="0" w:line="276" w:lineRule="auto"/>
        <w:rPr>
          <w:sz w:val="20"/>
          <w:szCs w:val="20"/>
          <w:color w:val="auto"/>
        </w:rPr>
      </w:pPr>
      <w:r>
        <w:rPr>
          <w:rFonts w:ascii="Arial" w:cs="Arial" w:eastAsia="Arial" w:hAnsi="Arial"/>
          <w:sz w:val="12"/>
          <w:szCs w:val="12"/>
          <w:color w:val="auto"/>
        </w:rPr>
        <w:t>As a result of the above, included in our other current and non-current liabilities are accrued pension costs of $7.8 million and $7.6 million as of December 31, 2015 and 2014, respectively. The benefits of our pension plans are fully vested and therefore no service costs were recognized 2015 and 2014. Our pension plans are unfunded.</w:t>
      </w:r>
    </w:p>
    <w:p>
      <w:pPr>
        <w:spacing w:after="0" w:line="88" w:lineRule="exact"/>
        <w:rPr>
          <w:sz w:val="20"/>
          <w:szCs w:val="20"/>
          <w:color w:val="auto"/>
        </w:rPr>
      </w:pPr>
    </w:p>
    <w:p>
      <w:pPr>
        <w:spacing w:after="0"/>
        <w:rPr>
          <w:sz w:val="20"/>
          <w:szCs w:val="20"/>
          <w:color w:val="auto"/>
        </w:rPr>
      </w:pPr>
      <w:r>
        <w:rPr>
          <w:rFonts w:ascii="Arial" w:cs="Arial" w:eastAsia="Arial" w:hAnsi="Arial"/>
          <w:sz w:val="12"/>
          <w:szCs w:val="12"/>
          <w:color w:val="auto"/>
        </w:rPr>
        <w:t>The change in the SERP pension benefit obligation and the funded status are as follows: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5140" w:type="dxa"/>
            <w:vAlign w:val="bottom"/>
            <w:tcBorders>
              <w:bottom w:val="single" w:sz="8" w:color="auto"/>
            </w:tcBorders>
          </w:tcPr>
          <w:p>
            <w:pPr>
              <w:spacing w:after="0"/>
              <w:rPr>
                <w:sz w:val="20"/>
                <w:szCs w:val="20"/>
                <w:color w:val="auto"/>
              </w:rPr>
            </w:pPr>
            <w:r>
              <w:rPr>
                <w:rFonts w:ascii="Arial" w:cs="Arial" w:eastAsia="Arial" w:hAnsi="Arial"/>
                <w:sz w:val="11"/>
                <w:szCs w:val="11"/>
                <w:color w:val="auto"/>
              </w:rPr>
              <w:t>(Dollars in thousands)</w:t>
            </w:r>
          </w:p>
        </w:tc>
        <w:tc>
          <w:tcPr>
            <w:tcW w:w="44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700" w:type="dxa"/>
            <w:vAlign w:val="bottom"/>
            <w:tcBorders>
              <w:bottom w:val="single" w:sz="8" w:color="auto"/>
            </w:tcBorders>
          </w:tcPr>
          <w:p>
            <w:pPr>
              <w:jc w:val="right"/>
              <w:ind w:right="666"/>
              <w:spacing w:after="0"/>
              <w:rPr>
                <w:sz w:val="20"/>
                <w:szCs w:val="20"/>
                <w:color w:val="auto"/>
              </w:rPr>
            </w:pPr>
            <w:r>
              <w:rPr>
                <w:rFonts w:ascii="Arial" w:cs="Arial" w:eastAsia="Arial" w:hAnsi="Arial"/>
                <w:sz w:val="11"/>
                <w:szCs w:val="11"/>
                <w:b w:val="1"/>
                <w:bCs w:val="1"/>
                <w:color w:val="auto"/>
                <w:w w:val="96"/>
              </w:rPr>
              <w:t>December 31, 2015</w:t>
            </w:r>
          </w:p>
        </w:tc>
        <w:tc>
          <w:tcPr>
            <w:tcW w:w="44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700" w:type="dxa"/>
            <w:vAlign w:val="bottom"/>
            <w:tcBorders>
              <w:bottom w:val="single" w:sz="8" w:color="auto"/>
            </w:tcBorders>
          </w:tcPr>
          <w:p>
            <w:pPr>
              <w:jc w:val="right"/>
              <w:ind w:right="666"/>
              <w:spacing w:after="0"/>
              <w:rPr>
                <w:sz w:val="20"/>
                <w:szCs w:val="20"/>
                <w:color w:val="auto"/>
              </w:rPr>
            </w:pPr>
            <w:r>
              <w:rPr>
                <w:rFonts w:ascii="Arial" w:cs="Arial" w:eastAsia="Arial" w:hAnsi="Arial"/>
                <w:sz w:val="11"/>
                <w:szCs w:val="11"/>
                <w:b w:val="1"/>
                <w:bCs w:val="1"/>
                <w:color w:val="auto"/>
                <w:w w:val="96"/>
              </w:rPr>
              <w:t>December 31, 2014</w:t>
            </w:r>
          </w:p>
        </w:tc>
      </w:tr>
      <w:tr>
        <w:trPr>
          <w:trHeight w:val="180"/>
        </w:trPr>
        <w:tc>
          <w:tcPr>
            <w:tcW w:w="55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Benefit obligation at January 1</w:t>
            </w:r>
          </w:p>
        </w:tc>
        <w:tc>
          <w:tcPr>
            <w:tcW w:w="6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7,595</w:t>
            </w:r>
          </w:p>
        </w:tc>
        <w:tc>
          <w:tcPr>
            <w:tcW w:w="440" w:type="dxa"/>
            <w:vAlign w:val="bottom"/>
            <w:shd w:val="clear" w:color="auto" w:fill="CCEEFF"/>
          </w:tcPr>
          <w:p>
            <w:pPr>
              <w:spacing w:after="0"/>
              <w:rPr>
                <w:sz w:val="15"/>
                <w:szCs w:val="15"/>
                <w:color w:val="auto"/>
              </w:rPr>
            </w:pPr>
          </w:p>
        </w:tc>
        <w:tc>
          <w:tcPr>
            <w:tcW w:w="6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7,398</w:t>
            </w:r>
          </w:p>
        </w:tc>
      </w:tr>
      <w:tr>
        <w:trPr>
          <w:trHeight w:val="187"/>
        </w:trPr>
        <w:tc>
          <w:tcPr>
            <w:tcW w:w="5580" w:type="dxa"/>
            <w:vAlign w:val="bottom"/>
            <w:gridSpan w:val="2"/>
          </w:tcPr>
          <w:p>
            <w:pPr>
              <w:ind w:left="60"/>
              <w:spacing w:after="0"/>
              <w:rPr>
                <w:sz w:val="20"/>
                <w:szCs w:val="20"/>
                <w:color w:val="auto"/>
              </w:rPr>
            </w:pPr>
            <w:r>
              <w:rPr>
                <w:rFonts w:ascii="Arial" w:cs="Arial" w:eastAsia="Arial" w:hAnsi="Arial"/>
                <w:sz w:val="11"/>
                <w:szCs w:val="11"/>
                <w:color w:val="auto"/>
              </w:rPr>
              <w:t>Interest cost</w:t>
            </w:r>
          </w:p>
        </w:tc>
        <w:tc>
          <w:tcPr>
            <w:tcW w:w="60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Arial" w:cs="Arial" w:eastAsia="Arial" w:hAnsi="Arial"/>
                <w:sz w:val="11"/>
                <w:szCs w:val="11"/>
                <w:color w:val="auto"/>
              </w:rPr>
              <w:t>180</w:t>
            </w:r>
          </w:p>
        </w:tc>
        <w:tc>
          <w:tcPr>
            <w:tcW w:w="4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Arial" w:cs="Arial" w:eastAsia="Arial" w:hAnsi="Arial"/>
                <w:sz w:val="11"/>
                <w:szCs w:val="11"/>
                <w:color w:val="auto"/>
              </w:rPr>
              <w:t>255</w:t>
            </w:r>
          </w:p>
        </w:tc>
      </w:tr>
      <w:tr>
        <w:trPr>
          <w:trHeight w:val="189"/>
        </w:trPr>
        <w:tc>
          <w:tcPr>
            <w:tcW w:w="5580" w:type="dxa"/>
            <w:vAlign w:val="bottom"/>
            <w:gridSpan w:val="2"/>
            <w:shd w:val="clear" w:color="auto" w:fill="CCEEFF"/>
          </w:tcPr>
          <w:p>
            <w:pPr>
              <w:ind w:left="60"/>
              <w:spacing w:after="0"/>
              <w:rPr>
                <w:sz w:val="20"/>
                <w:szCs w:val="20"/>
                <w:color w:val="auto"/>
              </w:rPr>
            </w:pPr>
            <w:r>
              <w:rPr>
                <w:rFonts w:ascii="Arial" w:cs="Arial" w:eastAsia="Arial" w:hAnsi="Arial"/>
                <w:sz w:val="11"/>
                <w:szCs w:val="11"/>
                <w:color w:val="auto"/>
              </w:rPr>
              <w:t>Actuarial gain</w:t>
            </w:r>
          </w:p>
        </w:tc>
        <w:tc>
          <w:tcPr>
            <w:tcW w:w="600" w:type="dxa"/>
            <w:vAlign w:val="bottom"/>
            <w:shd w:val="clear" w:color="auto" w:fill="CCEEFF"/>
          </w:tcPr>
          <w:p>
            <w:pPr>
              <w:spacing w:after="0"/>
              <w:rPr>
                <w:sz w:val="16"/>
                <w:szCs w:val="16"/>
                <w:color w:val="auto"/>
              </w:rPr>
            </w:pPr>
          </w:p>
        </w:tc>
        <w:tc>
          <w:tcPr>
            <w:tcW w:w="2140" w:type="dxa"/>
            <w:vAlign w:val="bottom"/>
            <w:gridSpan w:val="2"/>
            <w:shd w:val="clear" w:color="auto" w:fill="CCEEFF"/>
          </w:tcPr>
          <w:p>
            <w:pPr>
              <w:jc w:val="right"/>
              <w:ind w:right="440"/>
              <w:spacing w:after="0"/>
              <w:rPr>
                <w:sz w:val="20"/>
                <w:szCs w:val="20"/>
                <w:color w:val="auto"/>
              </w:rPr>
            </w:pPr>
            <w:r>
              <w:rPr>
                <w:rFonts w:ascii="Arial" w:cs="Arial" w:eastAsia="Arial" w:hAnsi="Arial"/>
                <w:sz w:val="11"/>
                <w:szCs w:val="11"/>
                <w:color w:val="auto"/>
              </w:rPr>
              <w:t>--</w:t>
            </w:r>
          </w:p>
        </w:tc>
        <w:tc>
          <w:tcPr>
            <w:tcW w:w="600" w:type="dxa"/>
            <w:vAlign w:val="bottom"/>
            <w:shd w:val="clear" w:color="auto" w:fill="CCEEFF"/>
          </w:tcPr>
          <w:p>
            <w:pPr>
              <w:spacing w:after="0"/>
              <w:rPr>
                <w:sz w:val="16"/>
                <w:szCs w:val="16"/>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(58)</w:t>
            </w:r>
          </w:p>
        </w:tc>
      </w:tr>
      <w:tr>
        <w:trPr>
          <w:trHeight w:val="162"/>
        </w:trPr>
        <w:tc>
          <w:tcPr>
            <w:tcW w:w="5580" w:type="dxa"/>
            <w:vAlign w:val="bottom"/>
            <w:tcBorders>
              <w:bottom w:val="single" w:sz="8" w:color="CCEEFF"/>
            </w:tcBorders>
            <w:gridSpan w:val="2"/>
          </w:tcPr>
          <w:p>
            <w:pPr>
              <w:spacing w:after="0"/>
              <w:rPr>
                <w:sz w:val="20"/>
                <w:szCs w:val="20"/>
                <w:color w:val="auto"/>
              </w:rPr>
            </w:pPr>
            <w:r>
              <w:rPr>
                <w:rFonts w:ascii="Arial" w:cs="Arial" w:eastAsia="Arial" w:hAnsi="Arial"/>
                <w:sz w:val="11"/>
                <w:szCs w:val="11"/>
                <w:color w:val="auto"/>
              </w:rPr>
              <w:t>Benefit obligation at December 31</w:t>
            </w:r>
          </w:p>
        </w:tc>
        <w:tc>
          <w:tcPr>
            <w:tcW w:w="60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1"/>
                <w:szCs w:val="11"/>
                <w:color w:val="auto"/>
              </w:rPr>
              <w:t>$</w:t>
            </w: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7,775</w:t>
            </w:r>
          </w:p>
        </w:tc>
        <w:tc>
          <w:tcPr>
            <w:tcW w:w="440" w:type="dxa"/>
            <w:vAlign w:val="bottom"/>
            <w:tcBorders>
              <w:bottom w:val="single" w:sz="8" w:color="CCEEFF"/>
            </w:tcBorders>
          </w:tcPr>
          <w:p>
            <w:pPr>
              <w:spacing w:after="0"/>
              <w:rPr>
                <w:sz w:val="14"/>
                <w:szCs w:val="14"/>
                <w:color w:val="auto"/>
              </w:rPr>
            </w:pPr>
          </w:p>
        </w:tc>
        <w:tc>
          <w:tcPr>
            <w:tcW w:w="60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1"/>
                <w:szCs w:val="11"/>
                <w:color w:val="auto"/>
              </w:rPr>
              <w:t>$</w:t>
            </w: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7,595</w:t>
            </w:r>
          </w:p>
        </w:tc>
      </w:tr>
      <w:tr>
        <w:trPr>
          <w:trHeight w:val="169"/>
        </w:trPr>
        <w:tc>
          <w:tcPr>
            <w:tcW w:w="55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1"/>
                <w:szCs w:val="11"/>
                <w:color w:val="auto"/>
              </w:rPr>
              <w:t>Funded status at December 31</w:t>
            </w:r>
          </w:p>
        </w:tc>
        <w:tc>
          <w:tcPr>
            <w:tcW w:w="60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(7,775)</w:t>
            </w:r>
          </w:p>
        </w:tc>
        <w:tc>
          <w:tcPr>
            <w:tcW w:w="44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(7,595)</w:t>
            </w:r>
          </w:p>
        </w:tc>
      </w:tr>
    </w:tbl>
    <w:p>
      <w:pPr>
        <w:spacing w:after="0" w:line="216" w:lineRule="exact"/>
        <w:rPr>
          <w:sz w:val="20"/>
          <w:szCs w:val="20"/>
          <w:color w:val="auto"/>
        </w:rPr>
      </w:pPr>
    </w:p>
    <w:p>
      <w:pPr>
        <w:spacing w:after="0"/>
        <w:rPr>
          <w:sz w:val="20"/>
          <w:szCs w:val="20"/>
          <w:color w:val="auto"/>
        </w:rPr>
      </w:pPr>
      <w:r>
        <w:rPr>
          <w:rFonts w:ascii="Arial" w:cs="Arial" w:eastAsia="Arial" w:hAnsi="Arial"/>
          <w:sz w:val="12"/>
          <w:szCs w:val="12"/>
          <w:color w:val="auto"/>
        </w:rPr>
        <w:t>Amounts recognized in the balance sheet consists of:</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5140" w:type="dxa"/>
            <w:vAlign w:val="bottom"/>
            <w:tcBorders>
              <w:bottom w:val="single" w:sz="8" w:color="auto"/>
            </w:tcBorders>
          </w:tcPr>
          <w:p>
            <w:pPr>
              <w:spacing w:after="0"/>
              <w:rPr>
                <w:sz w:val="20"/>
                <w:szCs w:val="20"/>
                <w:color w:val="auto"/>
              </w:rPr>
            </w:pPr>
            <w:r>
              <w:rPr>
                <w:rFonts w:ascii="Arial" w:cs="Arial" w:eastAsia="Arial" w:hAnsi="Arial"/>
                <w:sz w:val="11"/>
                <w:szCs w:val="11"/>
                <w:color w:val="auto"/>
              </w:rPr>
              <w:t>(Dollars in thousands)</w:t>
            </w:r>
          </w:p>
        </w:tc>
        <w:tc>
          <w:tcPr>
            <w:tcW w:w="44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700" w:type="dxa"/>
            <w:vAlign w:val="bottom"/>
            <w:tcBorders>
              <w:bottom w:val="single" w:sz="8" w:color="auto"/>
            </w:tcBorders>
          </w:tcPr>
          <w:p>
            <w:pPr>
              <w:jc w:val="right"/>
              <w:ind w:right="666"/>
              <w:spacing w:after="0"/>
              <w:rPr>
                <w:sz w:val="20"/>
                <w:szCs w:val="20"/>
                <w:color w:val="auto"/>
              </w:rPr>
            </w:pPr>
            <w:r>
              <w:rPr>
                <w:rFonts w:ascii="Arial" w:cs="Arial" w:eastAsia="Arial" w:hAnsi="Arial"/>
                <w:sz w:val="11"/>
                <w:szCs w:val="11"/>
                <w:b w:val="1"/>
                <w:bCs w:val="1"/>
                <w:color w:val="auto"/>
                <w:w w:val="96"/>
              </w:rPr>
              <w:t>December 31, 2015</w:t>
            </w:r>
          </w:p>
        </w:tc>
        <w:tc>
          <w:tcPr>
            <w:tcW w:w="44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700" w:type="dxa"/>
            <w:vAlign w:val="bottom"/>
            <w:tcBorders>
              <w:bottom w:val="single" w:sz="8" w:color="auto"/>
            </w:tcBorders>
          </w:tcPr>
          <w:p>
            <w:pPr>
              <w:jc w:val="right"/>
              <w:ind w:right="666"/>
              <w:spacing w:after="0"/>
              <w:rPr>
                <w:sz w:val="20"/>
                <w:szCs w:val="20"/>
                <w:color w:val="auto"/>
              </w:rPr>
            </w:pPr>
            <w:r>
              <w:rPr>
                <w:rFonts w:ascii="Arial" w:cs="Arial" w:eastAsia="Arial" w:hAnsi="Arial"/>
                <w:sz w:val="11"/>
                <w:szCs w:val="11"/>
                <w:b w:val="1"/>
                <w:bCs w:val="1"/>
                <w:color w:val="auto"/>
                <w:w w:val="96"/>
              </w:rPr>
              <w:t>December 31, 2014</w:t>
            </w:r>
          </w:p>
        </w:tc>
      </w:tr>
      <w:tr>
        <w:trPr>
          <w:trHeight w:val="180"/>
        </w:trPr>
        <w:tc>
          <w:tcPr>
            <w:tcW w:w="55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Current liabilities</w:t>
            </w:r>
          </w:p>
        </w:tc>
        <w:tc>
          <w:tcPr>
            <w:tcW w:w="6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1,539</w:t>
            </w:r>
          </w:p>
        </w:tc>
        <w:tc>
          <w:tcPr>
            <w:tcW w:w="440" w:type="dxa"/>
            <w:vAlign w:val="bottom"/>
            <w:shd w:val="clear" w:color="auto" w:fill="CCEEFF"/>
          </w:tcPr>
          <w:p>
            <w:pPr>
              <w:spacing w:after="0"/>
              <w:rPr>
                <w:sz w:val="15"/>
                <w:szCs w:val="15"/>
                <w:color w:val="auto"/>
              </w:rPr>
            </w:pPr>
          </w:p>
        </w:tc>
        <w:tc>
          <w:tcPr>
            <w:tcW w:w="6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855</w:t>
            </w:r>
          </w:p>
        </w:tc>
      </w:tr>
      <w:tr>
        <w:trPr>
          <w:trHeight w:val="187"/>
        </w:trPr>
        <w:tc>
          <w:tcPr>
            <w:tcW w:w="5580" w:type="dxa"/>
            <w:vAlign w:val="bottom"/>
            <w:tcBorders>
              <w:bottom w:val="single" w:sz="8" w:color="CCEEFF"/>
            </w:tcBorders>
            <w:gridSpan w:val="2"/>
          </w:tcPr>
          <w:p>
            <w:pPr>
              <w:spacing w:after="0"/>
              <w:rPr>
                <w:sz w:val="20"/>
                <w:szCs w:val="20"/>
                <w:color w:val="auto"/>
              </w:rPr>
            </w:pPr>
            <w:r>
              <w:rPr>
                <w:rFonts w:ascii="Arial" w:cs="Arial" w:eastAsia="Arial" w:hAnsi="Arial"/>
                <w:sz w:val="11"/>
                <w:szCs w:val="11"/>
                <w:color w:val="auto"/>
              </w:rPr>
              <w:t>Other liabilities - Non current</w:t>
            </w:r>
          </w:p>
        </w:tc>
        <w:tc>
          <w:tcPr>
            <w:tcW w:w="6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6,236</w:t>
            </w:r>
          </w:p>
        </w:tc>
        <w:tc>
          <w:tcPr>
            <w:tcW w:w="44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6,740</w:t>
            </w:r>
          </w:p>
        </w:tc>
      </w:tr>
      <w:tr>
        <w:trPr>
          <w:trHeight w:val="160"/>
        </w:trPr>
        <w:tc>
          <w:tcPr>
            <w:tcW w:w="514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7,775</w:t>
            </w:r>
          </w:p>
        </w:tc>
        <w:tc>
          <w:tcPr>
            <w:tcW w:w="44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7,595</w:t>
            </w:r>
          </w:p>
        </w:tc>
      </w:tr>
    </w:tbl>
    <w:p>
      <w:pPr>
        <w:spacing w:after="0" w:line="36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59690</wp:posOffset>
            </wp:positionV>
            <wp:extent cx="677989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779895" cy="42545"/>
                    </a:xfrm>
                    <a:prstGeom prst="rect">
                      <a:avLst/>
                    </a:prstGeom>
                    <a:noFill/>
                  </pic:spPr>
                </pic:pic>
              </a:graphicData>
            </a:graphic>
          </wp:anchor>
        </w:drawing>
      </w:r>
    </w:p>
    <w:p>
      <w:pPr>
        <w:sectPr>
          <w:pgSz w:w="11900" w:h="16838" w:orient="portrait"/>
          <w:cols w:equalWidth="0" w:num="1">
            <w:col w:w="10620"/>
          </w:cols>
          <w:pgMar w:left="640" w:top="388" w:right="639" w:bottom="1440" w:gutter="0" w:footer="0" w:header="0"/>
        </w:sectPr>
      </w:pPr>
    </w:p>
    <w:bookmarkStart w:id="81" w:name="page82"/>
    <w:bookmarkEnd w:id="81"/>
    <w:p>
      <w:pPr>
        <w:spacing w:after="0"/>
        <w:rPr>
          <w:sz w:val="20"/>
          <w:szCs w:val="20"/>
          <w:color w:val="auto"/>
        </w:rPr>
      </w:pPr>
      <w:r>
        <w:rPr>
          <w:rFonts w:ascii="Arial" w:cs="Arial" w:eastAsia="Arial" w:hAnsi="Arial"/>
          <w:sz w:val="12"/>
          <w:szCs w:val="12"/>
          <w:color w:val="auto"/>
        </w:rPr>
        <w:t>The components of the net periodic benefit cost and other amounts recognized in other comprehensive income are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5140" w:type="dxa"/>
            <w:vAlign w:val="bottom"/>
            <w:tcBorders>
              <w:bottom w:val="single" w:sz="8" w:color="auto"/>
            </w:tcBorders>
          </w:tcPr>
          <w:p>
            <w:pPr>
              <w:spacing w:after="0"/>
              <w:rPr>
                <w:sz w:val="20"/>
                <w:szCs w:val="20"/>
                <w:color w:val="auto"/>
              </w:rPr>
            </w:pPr>
            <w:r>
              <w:rPr>
                <w:rFonts w:ascii="Arial" w:cs="Arial" w:eastAsia="Arial" w:hAnsi="Arial"/>
                <w:sz w:val="11"/>
                <w:szCs w:val="11"/>
                <w:color w:val="auto"/>
              </w:rPr>
              <w:t>(Dollars in thousands)</w:t>
            </w:r>
          </w:p>
        </w:tc>
        <w:tc>
          <w:tcPr>
            <w:tcW w:w="44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700" w:type="dxa"/>
            <w:vAlign w:val="bottom"/>
            <w:tcBorders>
              <w:bottom w:val="single" w:sz="8" w:color="auto"/>
            </w:tcBorders>
          </w:tcPr>
          <w:p>
            <w:pPr>
              <w:jc w:val="right"/>
              <w:ind w:right="666"/>
              <w:spacing w:after="0"/>
              <w:rPr>
                <w:sz w:val="20"/>
                <w:szCs w:val="20"/>
                <w:color w:val="auto"/>
              </w:rPr>
            </w:pPr>
            <w:r>
              <w:rPr>
                <w:rFonts w:ascii="Arial" w:cs="Arial" w:eastAsia="Arial" w:hAnsi="Arial"/>
                <w:sz w:val="11"/>
                <w:szCs w:val="11"/>
                <w:b w:val="1"/>
                <w:bCs w:val="1"/>
                <w:color w:val="auto"/>
                <w:w w:val="96"/>
              </w:rPr>
              <w:t>December 31, 2015</w:t>
            </w:r>
          </w:p>
        </w:tc>
        <w:tc>
          <w:tcPr>
            <w:tcW w:w="44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700" w:type="dxa"/>
            <w:vAlign w:val="bottom"/>
            <w:tcBorders>
              <w:bottom w:val="single" w:sz="8" w:color="auto"/>
            </w:tcBorders>
          </w:tcPr>
          <w:p>
            <w:pPr>
              <w:jc w:val="right"/>
              <w:ind w:right="666"/>
              <w:spacing w:after="0"/>
              <w:rPr>
                <w:sz w:val="20"/>
                <w:szCs w:val="20"/>
                <w:color w:val="auto"/>
              </w:rPr>
            </w:pPr>
            <w:r>
              <w:rPr>
                <w:rFonts w:ascii="Arial" w:cs="Arial" w:eastAsia="Arial" w:hAnsi="Arial"/>
                <w:sz w:val="11"/>
                <w:szCs w:val="11"/>
                <w:b w:val="1"/>
                <w:bCs w:val="1"/>
                <w:color w:val="auto"/>
                <w:w w:val="96"/>
              </w:rPr>
              <w:t>December 31, 2014</w:t>
            </w:r>
          </w:p>
        </w:tc>
      </w:tr>
      <w:tr>
        <w:trPr>
          <w:trHeight w:val="180"/>
        </w:trPr>
        <w:tc>
          <w:tcPr>
            <w:tcW w:w="5580" w:type="dxa"/>
            <w:vAlign w:val="bottom"/>
            <w:gridSpan w:val="2"/>
            <w:shd w:val="clear" w:color="auto" w:fill="CCEEFF"/>
          </w:tcPr>
          <w:p>
            <w:pPr>
              <w:spacing w:after="0"/>
              <w:rPr>
                <w:sz w:val="20"/>
                <w:szCs w:val="20"/>
                <w:color w:val="auto"/>
              </w:rPr>
            </w:pPr>
            <w:r>
              <w:rPr>
                <w:rFonts w:ascii="Arial" w:cs="Arial" w:eastAsia="Arial" w:hAnsi="Arial"/>
                <w:sz w:val="11"/>
                <w:szCs w:val="11"/>
                <w:b w:val="1"/>
                <w:bCs w:val="1"/>
                <w:color w:val="auto"/>
              </w:rPr>
              <w:t>Net periodic benefit cost</w:t>
            </w:r>
          </w:p>
        </w:tc>
        <w:tc>
          <w:tcPr>
            <w:tcW w:w="60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r>
      <w:tr>
        <w:trPr>
          <w:trHeight w:val="187"/>
        </w:trPr>
        <w:tc>
          <w:tcPr>
            <w:tcW w:w="5580" w:type="dxa"/>
            <w:vAlign w:val="bottom"/>
            <w:gridSpan w:val="2"/>
          </w:tcPr>
          <w:p>
            <w:pPr>
              <w:spacing w:after="0"/>
              <w:rPr>
                <w:sz w:val="20"/>
                <w:szCs w:val="20"/>
                <w:color w:val="auto"/>
              </w:rPr>
            </w:pPr>
            <w:r>
              <w:rPr>
                <w:rFonts w:ascii="Arial" w:cs="Arial" w:eastAsia="Arial" w:hAnsi="Arial"/>
                <w:sz w:val="11"/>
                <w:szCs w:val="11"/>
                <w:color w:val="auto"/>
              </w:rPr>
              <w:t>Interest cost</w:t>
            </w:r>
          </w:p>
        </w:tc>
        <w:tc>
          <w:tcPr>
            <w:tcW w:w="60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1700" w:type="dxa"/>
            <w:vAlign w:val="bottom"/>
          </w:tcPr>
          <w:p>
            <w:pPr>
              <w:jc w:val="right"/>
              <w:spacing w:after="0"/>
              <w:rPr>
                <w:sz w:val="20"/>
                <w:szCs w:val="20"/>
                <w:color w:val="auto"/>
              </w:rPr>
            </w:pPr>
            <w:r>
              <w:rPr>
                <w:rFonts w:ascii="Arial" w:cs="Arial" w:eastAsia="Arial" w:hAnsi="Arial"/>
                <w:sz w:val="11"/>
                <w:szCs w:val="11"/>
                <w:color w:val="auto"/>
              </w:rPr>
              <w:t>180</w:t>
            </w:r>
          </w:p>
        </w:tc>
        <w:tc>
          <w:tcPr>
            <w:tcW w:w="440" w:type="dxa"/>
            <w:vAlign w:val="bottom"/>
          </w:tcPr>
          <w:p>
            <w:pPr>
              <w:spacing w:after="0"/>
              <w:rPr>
                <w:sz w:val="16"/>
                <w:szCs w:val="16"/>
                <w:color w:val="auto"/>
              </w:rPr>
            </w:pPr>
          </w:p>
        </w:tc>
        <w:tc>
          <w:tcPr>
            <w:tcW w:w="60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1700" w:type="dxa"/>
            <w:vAlign w:val="bottom"/>
          </w:tcPr>
          <w:p>
            <w:pPr>
              <w:jc w:val="right"/>
              <w:spacing w:after="0"/>
              <w:rPr>
                <w:sz w:val="20"/>
                <w:szCs w:val="20"/>
                <w:color w:val="auto"/>
              </w:rPr>
            </w:pPr>
            <w:r>
              <w:rPr>
                <w:rFonts w:ascii="Arial" w:cs="Arial" w:eastAsia="Arial" w:hAnsi="Arial"/>
                <w:sz w:val="11"/>
                <w:szCs w:val="11"/>
                <w:color w:val="auto"/>
              </w:rPr>
              <w:t>209</w:t>
            </w:r>
          </w:p>
        </w:tc>
      </w:tr>
      <w:tr>
        <w:trPr>
          <w:trHeight w:val="191"/>
        </w:trPr>
        <w:tc>
          <w:tcPr>
            <w:tcW w:w="55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Amortization of prior service costs</w:t>
            </w:r>
          </w:p>
        </w:tc>
        <w:tc>
          <w:tcPr>
            <w:tcW w:w="600" w:type="dxa"/>
            <w:vAlign w:val="bottom"/>
            <w:shd w:val="clear" w:color="auto" w:fill="CCEEFF"/>
          </w:tcPr>
          <w:p>
            <w:pPr>
              <w:spacing w:after="0"/>
              <w:rPr>
                <w:sz w:val="16"/>
                <w:szCs w:val="16"/>
                <w:color w:val="auto"/>
              </w:rPr>
            </w:pPr>
          </w:p>
        </w:tc>
        <w:tc>
          <w:tcPr>
            <w:tcW w:w="2140" w:type="dxa"/>
            <w:vAlign w:val="bottom"/>
            <w:gridSpan w:val="2"/>
            <w:shd w:val="clear" w:color="auto" w:fill="CCEEFF"/>
          </w:tcPr>
          <w:p>
            <w:pPr>
              <w:jc w:val="right"/>
              <w:ind w:right="440"/>
              <w:spacing w:after="0"/>
              <w:rPr>
                <w:sz w:val="20"/>
                <w:szCs w:val="20"/>
                <w:color w:val="auto"/>
              </w:rPr>
            </w:pPr>
            <w:r>
              <w:rPr>
                <w:rFonts w:ascii="Arial" w:cs="Arial" w:eastAsia="Arial" w:hAnsi="Arial"/>
                <w:sz w:val="11"/>
                <w:szCs w:val="11"/>
                <w:color w:val="auto"/>
              </w:rPr>
              <w:t>--</w:t>
            </w:r>
          </w:p>
        </w:tc>
        <w:tc>
          <w:tcPr>
            <w:tcW w:w="600" w:type="dxa"/>
            <w:vAlign w:val="bottom"/>
            <w:shd w:val="clear" w:color="auto" w:fill="CCEEFF"/>
          </w:tcPr>
          <w:p>
            <w:pPr>
              <w:spacing w:after="0"/>
              <w:rPr>
                <w:sz w:val="16"/>
                <w:szCs w:val="16"/>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254</w:t>
            </w:r>
          </w:p>
        </w:tc>
      </w:tr>
      <w:tr>
        <w:trPr>
          <w:trHeight w:val="187"/>
        </w:trPr>
        <w:tc>
          <w:tcPr>
            <w:tcW w:w="5580" w:type="dxa"/>
            <w:vAlign w:val="bottom"/>
            <w:tcBorders>
              <w:bottom w:val="single" w:sz="8" w:color="CCEEFF"/>
            </w:tcBorders>
            <w:gridSpan w:val="2"/>
          </w:tcPr>
          <w:p>
            <w:pPr>
              <w:spacing w:after="0"/>
              <w:rPr>
                <w:sz w:val="20"/>
                <w:szCs w:val="20"/>
                <w:color w:val="auto"/>
              </w:rPr>
            </w:pPr>
            <w:r>
              <w:rPr>
                <w:rFonts w:ascii="Arial" w:cs="Arial" w:eastAsia="Arial" w:hAnsi="Arial"/>
                <w:sz w:val="11"/>
                <w:szCs w:val="11"/>
                <w:color w:val="auto"/>
              </w:rPr>
              <w:t>Amortization of net actuarial gain</w:t>
            </w:r>
          </w:p>
        </w:tc>
        <w:tc>
          <w:tcPr>
            <w:tcW w:w="6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207</w:t>
            </w:r>
          </w:p>
        </w:tc>
        <w:tc>
          <w:tcPr>
            <w:tcW w:w="44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426</w:t>
            </w:r>
          </w:p>
        </w:tc>
      </w:tr>
      <w:tr>
        <w:trPr>
          <w:trHeight w:val="182"/>
        </w:trPr>
        <w:tc>
          <w:tcPr>
            <w:tcW w:w="55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1"/>
                <w:szCs w:val="11"/>
                <w:color w:val="auto"/>
              </w:rPr>
              <w:t>Net periodic benefit cost</w:t>
            </w:r>
          </w:p>
        </w:tc>
        <w:tc>
          <w:tcPr>
            <w:tcW w:w="60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387</w:t>
            </w:r>
          </w:p>
        </w:tc>
        <w:tc>
          <w:tcPr>
            <w:tcW w:w="44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889</w:t>
            </w:r>
          </w:p>
        </w:tc>
      </w:tr>
      <w:tr>
        <w:trPr>
          <w:trHeight w:val="156"/>
        </w:trPr>
        <w:tc>
          <w:tcPr>
            <w:tcW w:w="5580" w:type="dxa"/>
            <w:vAlign w:val="bottom"/>
            <w:gridSpan w:val="2"/>
          </w:tcPr>
          <w:p>
            <w:pPr>
              <w:spacing w:after="0"/>
              <w:rPr>
                <w:sz w:val="20"/>
                <w:szCs w:val="20"/>
                <w:color w:val="auto"/>
              </w:rPr>
            </w:pPr>
            <w:r>
              <w:rPr>
                <w:rFonts w:ascii="Arial" w:cs="Arial" w:eastAsia="Arial" w:hAnsi="Arial"/>
                <w:sz w:val="11"/>
                <w:szCs w:val="11"/>
                <w:b w:val="1"/>
                <w:bCs w:val="1"/>
                <w:color w:val="auto"/>
              </w:rPr>
              <w:t>Items recognized in other comprehensive income</w:t>
            </w:r>
          </w:p>
        </w:tc>
        <w:tc>
          <w:tcPr>
            <w:tcW w:w="6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700" w:type="dxa"/>
            <w:vAlign w:val="bottom"/>
          </w:tcPr>
          <w:p>
            <w:pPr>
              <w:spacing w:after="0"/>
              <w:rPr>
                <w:sz w:val="13"/>
                <w:szCs w:val="13"/>
                <w:color w:val="auto"/>
              </w:rPr>
            </w:pPr>
          </w:p>
        </w:tc>
      </w:tr>
      <w:tr>
        <w:trPr>
          <w:trHeight w:val="191"/>
        </w:trPr>
        <w:tc>
          <w:tcPr>
            <w:tcW w:w="55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Net loss</w:t>
            </w:r>
          </w:p>
        </w:tc>
        <w:tc>
          <w:tcPr>
            <w:tcW w:w="6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w:t>
            </w:r>
          </w:p>
        </w:tc>
        <w:tc>
          <w:tcPr>
            <w:tcW w:w="2140" w:type="dxa"/>
            <w:vAlign w:val="bottom"/>
            <w:gridSpan w:val="2"/>
            <w:shd w:val="clear" w:color="auto" w:fill="CCEEFF"/>
          </w:tcPr>
          <w:p>
            <w:pPr>
              <w:jc w:val="right"/>
              <w:ind w:right="440"/>
              <w:spacing w:after="0"/>
              <w:rPr>
                <w:sz w:val="20"/>
                <w:szCs w:val="20"/>
                <w:color w:val="auto"/>
              </w:rPr>
            </w:pPr>
            <w:r>
              <w:rPr>
                <w:rFonts w:ascii="Arial" w:cs="Arial" w:eastAsia="Arial" w:hAnsi="Arial"/>
                <w:sz w:val="11"/>
                <w:szCs w:val="11"/>
                <w:color w:val="auto"/>
              </w:rPr>
              <w:t>--</w:t>
            </w:r>
          </w:p>
        </w:tc>
        <w:tc>
          <w:tcPr>
            <w:tcW w:w="6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(58)</w:t>
            </w:r>
          </w:p>
        </w:tc>
      </w:tr>
      <w:tr>
        <w:trPr>
          <w:trHeight w:val="187"/>
        </w:trPr>
        <w:tc>
          <w:tcPr>
            <w:tcW w:w="5580" w:type="dxa"/>
            <w:vAlign w:val="bottom"/>
            <w:gridSpan w:val="2"/>
          </w:tcPr>
          <w:p>
            <w:pPr>
              <w:spacing w:after="0"/>
              <w:rPr>
                <w:sz w:val="20"/>
                <w:szCs w:val="20"/>
                <w:color w:val="auto"/>
              </w:rPr>
            </w:pPr>
            <w:r>
              <w:rPr>
                <w:rFonts w:ascii="Arial" w:cs="Arial" w:eastAsia="Arial" w:hAnsi="Arial"/>
                <w:sz w:val="11"/>
                <w:szCs w:val="11"/>
                <w:color w:val="auto"/>
              </w:rPr>
              <w:t>Amortization of prior service cost</w:t>
            </w:r>
          </w:p>
        </w:tc>
        <w:tc>
          <w:tcPr>
            <w:tcW w:w="600" w:type="dxa"/>
            <w:vAlign w:val="bottom"/>
          </w:tcPr>
          <w:p>
            <w:pPr>
              <w:spacing w:after="0"/>
              <w:rPr>
                <w:sz w:val="16"/>
                <w:szCs w:val="16"/>
                <w:color w:val="auto"/>
              </w:rPr>
            </w:pPr>
          </w:p>
        </w:tc>
        <w:tc>
          <w:tcPr>
            <w:tcW w:w="2140" w:type="dxa"/>
            <w:vAlign w:val="bottom"/>
            <w:gridSpan w:val="2"/>
          </w:tcPr>
          <w:p>
            <w:pPr>
              <w:jc w:val="right"/>
              <w:ind w:right="440"/>
              <w:spacing w:after="0"/>
              <w:rPr>
                <w:sz w:val="20"/>
                <w:szCs w:val="20"/>
                <w:color w:val="auto"/>
              </w:rPr>
            </w:pPr>
            <w:r>
              <w:rPr>
                <w:rFonts w:ascii="Arial" w:cs="Arial" w:eastAsia="Arial" w:hAnsi="Arial"/>
                <w:sz w:val="11"/>
                <w:szCs w:val="11"/>
                <w:color w:val="auto"/>
              </w:rPr>
              <w:t>--</w:t>
            </w:r>
          </w:p>
        </w:tc>
        <w:tc>
          <w:tcPr>
            <w:tcW w:w="60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Arial" w:cs="Arial" w:eastAsia="Arial" w:hAnsi="Arial"/>
                <w:sz w:val="11"/>
                <w:szCs w:val="11"/>
                <w:color w:val="auto"/>
              </w:rPr>
              <w:t>(254)</w:t>
            </w:r>
          </w:p>
        </w:tc>
      </w:tr>
      <w:tr>
        <w:trPr>
          <w:trHeight w:val="189"/>
        </w:trPr>
        <w:tc>
          <w:tcPr>
            <w:tcW w:w="55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Amortization of net loss</w:t>
            </w:r>
          </w:p>
        </w:tc>
        <w:tc>
          <w:tcPr>
            <w:tcW w:w="600" w:type="dxa"/>
            <w:vAlign w:val="bottom"/>
            <w:tcBorders>
              <w:bottom w:val="single" w:sz="8" w:color="auto"/>
            </w:tcBorders>
            <w:shd w:val="clear" w:color="auto" w:fill="CCEEFF"/>
          </w:tcPr>
          <w:p>
            <w:pPr>
              <w:spacing w:after="0"/>
              <w:rPr>
                <w:sz w:val="16"/>
                <w:szCs w:val="16"/>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(207)</w:t>
            </w:r>
          </w:p>
        </w:tc>
        <w:tc>
          <w:tcPr>
            <w:tcW w:w="440" w:type="dxa"/>
            <w:vAlign w:val="bottom"/>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spacing w:after="0"/>
              <w:rPr>
                <w:sz w:val="16"/>
                <w:szCs w:val="16"/>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(426)</w:t>
            </w:r>
          </w:p>
        </w:tc>
      </w:tr>
      <w:tr>
        <w:trPr>
          <w:trHeight w:val="162"/>
        </w:trPr>
        <w:tc>
          <w:tcPr>
            <w:tcW w:w="5580" w:type="dxa"/>
            <w:vAlign w:val="bottom"/>
            <w:gridSpan w:val="2"/>
          </w:tcPr>
          <w:p>
            <w:pPr>
              <w:spacing w:after="0"/>
              <w:rPr>
                <w:sz w:val="20"/>
                <w:szCs w:val="20"/>
                <w:color w:val="auto"/>
              </w:rPr>
            </w:pPr>
            <w:r>
              <w:rPr>
                <w:rFonts w:ascii="Arial" w:cs="Arial" w:eastAsia="Arial" w:hAnsi="Arial"/>
                <w:sz w:val="11"/>
                <w:szCs w:val="11"/>
                <w:color w:val="auto"/>
              </w:rPr>
              <w:t>Total recognized in other comprehensive income</w:t>
            </w:r>
          </w:p>
        </w:tc>
        <w:tc>
          <w:tcPr>
            <w:tcW w:w="60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2140" w:type="dxa"/>
            <w:vAlign w:val="bottom"/>
            <w:gridSpan w:val="2"/>
          </w:tcPr>
          <w:p>
            <w:pPr>
              <w:jc w:val="right"/>
              <w:ind w:right="440"/>
              <w:spacing w:after="0"/>
              <w:rPr>
                <w:sz w:val="20"/>
                <w:szCs w:val="20"/>
                <w:color w:val="auto"/>
              </w:rPr>
            </w:pPr>
            <w:r>
              <w:rPr>
                <w:rFonts w:ascii="Arial" w:cs="Arial" w:eastAsia="Arial" w:hAnsi="Arial"/>
                <w:sz w:val="11"/>
                <w:szCs w:val="11"/>
                <w:color w:val="auto"/>
              </w:rPr>
              <w:t>(207)</w:t>
            </w:r>
          </w:p>
        </w:tc>
        <w:tc>
          <w:tcPr>
            <w:tcW w:w="60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1700" w:type="dxa"/>
            <w:vAlign w:val="bottom"/>
          </w:tcPr>
          <w:p>
            <w:pPr>
              <w:jc w:val="right"/>
              <w:spacing w:after="0"/>
              <w:rPr>
                <w:sz w:val="20"/>
                <w:szCs w:val="20"/>
                <w:color w:val="auto"/>
              </w:rPr>
            </w:pPr>
            <w:r>
              <w:rPr>
                <w:rFonts w:ascii="Arial" w:cs="Arial" w:eastAsia="Arial" w:hAnsi="Arial"/>
                <w:sz w:val="11"/>
                <w:szCs w:val="11"/>
                <w:color w:val="auto"/>
              </w:rPr>
              <w:t>(738)</w:t>
            </w:r>
          </w:p>
        </w:tc>
      </w:tr>
      <w:tr>
        <w:trPr>
          <w:trHeight w:val="133"/>
        </w:trPr>
        <w:tc>
          <w:tcPr>
            <w:tcW w:w="5140" w:type="dxa"/>
            <w:vAlign w:val="bottom"/>
            <w:tcBorders>
              <w:top w:val="single" w:sz="8" w:color="CCEEFF"/>
            </w:tcBorders>
            <w:shd w:val="clear" w:color="auto" w:fill="CCEEFF"/>
          </w:tcPr>
          <w:p>
            <w:pPr>
              <w:spacing w:after="0"/>
              <w:rPr>
                <w:sz w:val="11"/>
                <w:szCs w:val="11"/>
                <w:color w:val="auto"/>
              </w:rPr>
            </w:pPr>
          </w:p>
        </w:tc>
        <w:tc>
          <w:tcPr>
            <w:tcW w:w="44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170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1700" w:type="dxa"/>
            <w:vAlign w:val="bottom"/>
            <w:tcBorders>
              <w:top w:val="single" w:sz="8" w:color="auto"/>
            </w:tcBorders>
            <w:shd w:val="clear" w:color="auto" w:fill="CCEEFF"/>
          </w:tcPr>
          <w:p>
            <w:pPr>
              <w:spacing w:after="0"/>
              <w:rPr>
                <w:sz w:val="11"/>
                <w:szCs w:val="11"/>
                <w:color w:val="auto"/>
              </w:rPr>
            </w:pPr>
          </w:p>
        </w:tc>
      </w:tr>
      <w:tr>
        <w:trPr>
          <w:trHeight w:val="333"/>
        </w:trPr>
        <w:tc>
          <w:tcPr>
            <w:tcW w:w="5580" w:type="dxa"/>
            <w:vAlign w:val="bottom"/>
            <w:gridSpan w:val="2"/>
          </w:tcPr>
          <w:p>
            <w:pPr>
              <w:spacing w:after="0"/>
              <w:rPr>
                <w:sz w:val="20"/>
                <w:szCs w:val="20"/>
                <w:color w:val="auto"/>
              </w:rPr>
            </w:pPr>
            <w:r>
              <w:rPr>
                <w:rFonts w:ascii="Arial" w:cs="Arial" w:eastAsia="Arial" w:hAnsi="Arial"/>
                <w:sz w:val="11"/>
                <w:szCs w:val="11"/>
                <w:b w:val="1"/>
                <w:bCs w:val="1"/>
                <w:color w:val="auto"/>
              </w:rPr>
              <w:t>Total recognized in net periodic benefit cost and other comprehensive income</w:t>
            </w:r>
          </w:p>
        </w:tc>
        <w:tc>
          <w:tcPr>
            <w:tcW w:w="60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180</w:t>
            </w:r>
          </w:p>
        </w:tc>
        <w:tc>
          <w:tcPr>
            <w:tcW w:w="440" w:type="dxa"/>
            <w:vAlign w:val="bottom"/>
          </w:tcPr>
          <w:p>
            <w:pPr>
              <w:spacing w:after="0"/>
              <w:rPr>
                <w:sz w:val="24"/>
                <w:szCs w:val="24"/>
                <w:color w:val="auto"/>
              </w:rPr>
            </w:pPr>
          </w:p>
        </w:tc>
        <w:tc>
          <w:tcPr>
            <w:tcW w:w="60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151</w:t>
            </w:r>
          </w:p>
        </w:tc>
      </w:tr>
      <w:tr>
        <w:trPr>
          <w:trHeight w:val="268"/>
        </w:trPr>
        <w:tc>
          <w:tcPr>
            <w:tcW w:w="5580" w:type="dxa"/>
            <w:vAlign w:val="bottom"/>
            <w:gridSpan w:val="2"/>
          </w:tcPr>
          <w:p>
            <w:pPr>
              <w:spacing w:after="0"/>
              <w:rPr>
                <w:sz w:val="20"/>
                <w:szCs w:val="20"/>
                <w:color w:val="auto"/>
              </w:rPr>
            </w:pPr>
            <w:r>
              <w:rPr>
                <w:rFonts w:ascii="Arial" w:cs="Arial" w:eastAsia="Arial" w:hAnsi="Arial"/>
                <w:sz w:val="12"/>
                <w:szCs w:val="12"/>
                <w:color w:val="auto"/>
              </w:rPr>
              <w:t>Items not yet recognized as a component of net periodic pension cost consist of the following:</w:t>
            </w:r>
          </w:p>
        </w:tc>
        <w:tc>
          <w:tcPr>
            <w:tcW w:w="60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700" w:type="dxa"/>
            <w:vAlign w:val="bottom"/>
          </w:tcPr>
          <w:p>
            <w:pPr>
              <w:spacing w:after="0"/>
              <w:rPr>
                <w:sz w:val="23"/>
                <w:szCs w:val="23"/>
                <w:color w:val="auto"/>
              </w:rPr>
            </w:pPr>
          </w:p>
        </w:tc>
      </w:tr>
      <w:tr>
        <w:trPr>
          <w:trHeight w:val="313"/>
        </w:trPr>
        <w:tc>
          <w:tcPr>
            <w:tcW w:w="5140" w:type="dxa"/>
            <w:vAlign w:val="bottom"/>
            <w:tcBorders>
              <w:bottom w:val="single" w:sz="8" w:color="auto"/>
            </w:tcBorders>
          </w:tcPr>
          <w:p>
            <w:pPr>
              <w:spacing w:after="0"/>
              <w:rPr>
                <w:sz w:val="20"/>
                <w:szCs w:val="20"/>
                <w:color w:val="auto"/>
              </w:rPr>
            </w:pPr>
            <w:r>
              <w:rPr>
                <w:rFonts w:ascii="Arial" w:cs="Arial" w:eastAsia="Arial" w:hAnsi="Arial"/>
                <w:sz w:val="11"/>
                <w:szCs w:val="11"/>
                <w:color w:val="auto"/>
              </w:rPr>
              <w:t>(Dollars in thousands)</w:t>
            </w:r>
          </w:p>
        </w:tc>
        <w:tc>
          <w:tcPr>
            <w:tcW w:w="440" w:type="dxa"/>
            <w:vAlign w:val="bottom"/>
            <w:tcBorders>
              <w:bottom w:val="single" w:sz="8" w:color="CCEEFF"/>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jc w:val="right"/>
              <w:ind w:right="666"/>
              <w:spacing w:after="0"/>
              <w:rPr>
                <w:sz w:val="20"/>
                <w:szCs w:val="20"/>
                <w:color w:val="auto"/>
              </w:rPr>
            </w:pPr>
            <w:r>
              <w:rPr>
                <w:rFonts w:ascii="Arial" w:cs="Arial" w:eastAsia="Arial" w:hAnsi="Arial"/>
                <w:sz w:val="11"/>
                <w:szCs w:val="11"/>
                <w:b w:val="1"/>
                <w:bCs w:val="1"/>
                <w:color w:val="auto"/>
                <w:w w:val="96"/>
              </w:rPr>
              <w:t>December 31, 2015</w:t>
            </w:r>
          </w:p>
        </w:tc>
        <w:tc>
          <w:tcPr>
            <w:tcW w:w="440" w:type="dxa"/>
            <w:vAlign w:val="bottom"/>
            <w:tcBorders>
              <w:bottom w:val="single" w:sz="8" w:color="CCEEFF"/>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jc w:val="right"/>
              <w:ind w:right="666"/>
              <w:spacing w:after="0"/>
              <w:rPr>
                <w:sz w:val="20"/>
                <w:szCs w:val="20"/>
                <w:color w:val="auto"/>
              </w:rPr>
            </w:pPr>
            <w:r>
              <w:rPr>
                <w:rFonts w:ascii="Arial" w:cs="Arial" w:eastAsia="Arial" w:hAnsi="Arial"/>
                <w:sz w:val="11"/>
                <w:szCs w:val="11"/>
                <w:b w:val="1"/>
                <w:bCs w:val="1"/>
                <w:color w:val="auto"/>
                <w:w w:val="96"/>
              </w:rPr>
              <w:t>December 31, 2014</w:t>
            </w:r>
          </w:p>
        </w:tc>
      </w:tr>
      <w:tr>
        <w:trPr>
          <w:trHeight w:val="178"/>
        </w:trPr>
        <w:tc>
          <w:tcPr>
            <w:tcW w:w="55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Unamortized actuarial loss</w:t>
            </w:r>
          </w:p>
        </w:tc>
        <w:tc>
          <w:tcPr>
            <w:tcW w:w="60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2,848</w:t>
            </w:r>
          </w:p>
        </w:tc>
        <w:tc>
          <w:tcPr>
            <w:tcW w:w="440" w:type="dxa"/>
            <w:vAlign w:val="bottom"/>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3,055</w:t>
            </w:r>
          </w:p>
        </w:tc>
      </w:tr>
      <w:tr>
        <w:trPr>
          <w:trHeight w:val="162"/>
        </w:trPr>
        <w:tc>
          <w:tcPr>
            <w:tcW w:w="5580" w:type="dxa"/>
            <w:vAlign w:val="bottom"/>
            <w:gridSpan w:val="2"/>
          </w:tcPr>
          <w:p>
            <w:pPr>
              <w:spacing w:after="0"/>
              <w:rPr>
                <w:sz w:val="20"/>
                <w:szCs w:val="20"/>
                <w:color w:val="auto"/>
              </w:rPr>
            </w:pPr>
            <w:r>
              <w:rPr>
                <w:rFonts w:ascii="Arial" w:cs="Arial" w:eastAsia="Arial" w:hAnsi="Arial"/>
                <w:sz w:val="11"/>
                <w:szCs w:val="11"/>
                <w:color w:val="auto"/>
              </w:rPr>
              <w:t>Accumulated other comprehensive loss</w:t>
            </w:r>
          </w:p>
        </w:tc>
        <w:tc>
          <w:tcPr>
            <w:tcW w:w="60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2,848</w:t>
            </w:r>
          </w:p>
        </w:tc>
        <w:tc>
          <w:tcPr>
            <w:tcW w:w="440" w:type="dxa"/>
            <w:vAlign w:val="bottom"/>
          </w:tcPr>
          <w:p>
            <w:pPr>
              <w:spacing w:after="0"/>
              <w:rPr>
                <w:sz w:val="14"/>
                <w:szCs w:val="14"/>
                <w:color w:val="auto"/>
              </w:rPr>
            </w:pPr>
          </w:p>
        </w:tc>
        <w:tc>
          <w:tcPr>
            <w:tcW w:w="60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3,055</w:t>
            </w:r>
          </w:p>
        </w:tc>
      </w:tr>
    </w:tbl>
    <w:p>
      <w:pPr>
        <w:spacing w:after="0" w:line="135" w:lineRule="exact"/>
        <w:rPr>
          <w:sz w:val="20"/>
          <w:szCs w:val="20"/>
          <w:color w:val="auto"/>
        </w:rPr>
      </w:pPr>
    </w:p>
    <w:p>
      <w:pPr>
        <w:spacing w:after="0"/>
        <w:rPr>
          <w:sz w:val="20"/>
          <w:szCs w:val="20"/>
          <w:color w:val="auto"/>
        </w:rPr>
      </w:pPr>
      <w:r>
        <w:rPr>
          <w:rFonts w:ascii="Arial" w:cs="Arial" w:eastAsia="Arial" w:hAnsi="Arial"/>
          <w:sz w:val="11"/>
          <w:szCs w:val="11"/>
          <w:color w:val="auto"/>
        </w:rPr>
        <w:t>The estimated unamortized actuarial loss for the defined benefit pension plan that will be amortized from accumulated other comprehensive income into net periodic benefit cost over the next fiscal year will be $207,000.</w:t>
      </w:r>
    </w:p>
    <w:p>
      <w:pPr>
        <w:spacing w:after="0" w:line="135" w:lineRule="exact"/>
        <w:rPr>
          <w:sz w:val="20"/>
          <w:szCs w:val="20"/>
          <w:color w:val="auto"/>
        </w:rPr>
      </w:pPr>
    </w:p>
    <w:p>
      <w:pPr>
        <w:spacing w:after="0"/>
        <w:rPr>
          <w:sz w:val="20"/>
          <w:szCs w:val="20"/>
          <w:color w:val="auto"/>
        </w:rPr>
      </w:pPr>
      <w:r>
        <w:rPr>
          <w:rFonts w:ascii="Arial" w:cs="Arial" w:eastAsia="Arial" w:hAnsi="Arial"/>
          <w:sz w:val="12"/>
          <w:szCs w:val="12"/>
          <w:color w:val="auto"/>
        </w:rPr>
        <w:t>The following table presents estimated future benefit payments for the next five years and thereafter as of December 31, 2015:</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7540" w:type="dxa"/>
            <w:vAlign w:val="bottom"/>
            <w:gridSpan w:val="2"/>
          </w:tcPr>
          <w:p>
            <w:pPr>
              <w:spacing w:after="0"/>
              <w:rPr>
                <w:sz w:val="20"/>
                <w:szCs w:val="20"/>
                <w:color w:val="auto"/>
              </w:rPr>
            </w:pPr>
            <w:r>
              <w:rPr>
                <w:rFonts w:ascii="Arial" w:cs="Arial" w:eastAsia="Arial" w:hAnsi="Arial"/>
                <w:sz w:val="11"/>
                <w:szCs w:val="11"/>
                <w:color w:val="auto"/>
              </w:rPr>
              <w:t>(Dollars in thousands)</w:t>
            </w:r>
          </w:p>
        </w:tc>
        <w:tc>
          <w:tcPr>
            <w:tcW w:w="680" w:type="dxa"/>
            <w:vAlign w:val="bottom"/>
          </w:tcPr>
          <w:p>
            <w:pPr>
              <w:spacing w:after="0"/>
              <w:rPr>
                <w:sz w:val="12"/>
                <w:szCs w:val="12"/>
                <w:color w:val="auto"/>
              </w:rPr>
            </w:pPr>
          </w:p>
        </w:tc>
        <w:tc>
          <w:tcPr>
            <w:tcW w:w="2400" w:type="dxa"/>
            <w:vAlign w:val="bottom"/>
          </w:tcPr>
          <w:p>
            <w:pPr>
              <w:jc w:val="right"/>
              <w:ind w:right="646"/>
              <w:spacing w:after="0"/>
              <w:rPr>
                <w:sz w:val="20"/>
                <w:szCs w:val="20"/>
                <w:color w:val="auto"/>
              </w:rPr>
            </w:pPr>
            <w:r>
              <w:rPr>
                <w:rFonts w:ascii="Arial" w:cs="Arial" w:eastAsia="Arial" w:hAnsi="Arial"/>
                <w:sz w:val="11"/>
                <w:szCs w:val="11"/>
                <w:b w:val="1"/>
                <w:bCs w:val="1"/>
                <w:color w:val="auto"/>
                <w:w w:val="88"/>
              </w:rPr>
              <w:t>Estimated Future Pension Payments</w:t>
            </w:r>
          </w:p>
        </w:tc>
      </w:tr>
      <w:tr>
        <w:trPr>
          <w:trHeight w:val="180"/>
        </w:trPr>
        <w:tc>
          <w:tcPr>
            <w:tcW w:w="6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1"/>
                <w:szCs w:val="11"/>
                <w:color w:val="auto"/>
              </w:rPr>
              <w:t>2016</w:t>
            </w:r>
          </w:p>
        </w:tc>
        <w:tc>
          <w:tcPr>
            <w:tcW w:w="60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1,539</w:t>
            </w:r>
          </w:p>
        </w:tc>
      </w:tr>
      <w:tr>
        <w:trPr>
          <w:trHeight w:val="187"/>
        </w:trPr>
        <w:tc>
          <w:tcPr>
            <w:tcW w:w="6940" w:type="dxa"/>
            <w:vAlign w:val="bottom"/>
          </w:tcPr>
          <w:p>
            <w:pPr>
              <w:spacing w:after="0"/>
              <w:rPr>
                <w:sz w:val="20"/>
                <w:szCs w:val="20"/>
                <w:color w:val="auto"/>
              </w:rPr>
            </w:pPr>
            <w:r>
              <w:rPr>
                <w:rFonts w:ascii="Arial" w:cs="Arial" w:eastAsia="Arial" w:hAnsi="Arial"/>
                <w:sz w:val="11"/>
                <w:szCs w:val="11"/>
                <w:color w:val="auto"/>
              </w:rPr>
              <w:t>2017</w:t>
            </w:r>
          </w:p>
        </w:tc>
        <w:tc>
          <w:tcPr>
            <w:tcW w:w="6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0" w:type="dxa"/>
            <w:vAlign w:val="bottom"/>
          </w:tcPr>
          <w:p>
            <w:pPr>
              <w:jc w:val="right"/>
              <w:spacing w:after="0"/>
              <w:rPr>
                <w:sz w:val="20"/>
                <w:szCs w:val="20"/>
                <w:color w:val="auto"/>
              </w:rPr>
            </w:pPr>
            <w:r>
              <w:rPr>
                <w:rFonts w:ascii="Arial" w:cs="Arial" w:eastAsia="Arial" w:hAnsi="Arial"/>
                <w:sz w:val="11"/>
                <w:szCs w:val="11"/>
                <w:color w:val="auto"/>
              </w:rPr>
              <w:t>684</w:t>
            </w:r>
          </w:p>
        </w:tc>
      </w:tr>
      <w:tr>
        <w:trPr>
          <w:trHeight w:val="191"/>
        </w:trPr>
        <w:tc>
          <w:tcPr>
            <w:tcW w:w="6940" w:type="dxa"/>
            <w:vAlign w:val="bottom"/>
            <w:shd w:val="clear" w:color="auto" w:fill="CCEEFF"/>
          </w:tcPr>
          <w:p>
            <w:pPr>
              <w:spacing w:after="0"/>
              <w:rPr>
                <w:sz w:val="20"/>
                <w:szCs w:val="20"/>
                <w:color w:val="auto"/>
              </w:rPr>
            </w:pPr>
            <w:r>
              <w:rPr>
                <w:rFonts w:ascii="Arial" w:cs="Arial" w:eastAsia="Arial" w:hAnsi="Arial"/>
                <w:sz w:val="11"/>
                <w:szCs w:val="11"/>
                <w:color w:val="auto"/>
              </w:rPr>
              <w:t>2018</w:t>
            </w:r>
          </w:p>
        </w:tc>
        <w:tc>
          <w:tcPr>
            <w:tcW w:w="6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684</w:t>
            </w:r>
          </w:p>
        </w:tc>
      </w:tr>
      <w:tr>
        <w:trPr>
          <w:trHeight w:val="187"/>
        </w:trPr>
        <w:tc>
          <w:tcPr>
            <w:tcW w:w="6940" w:type="dxa"/>
            <w:vAlign w:val="bottom"/>
          </w:tcPr>
          <w:p>
            <w:pPr>
              <w:spacing w:after="0"/>
              <w:rPr>
                <w:sz w:val="20"/>
                <w:szCs w:val="20"/>
                <w:color w:val="auto"/>
              </w:rPr>
            </w:pPr>
            <w:r>
              <w:rPr>
                <w:rFonts w:ascii="Arial" w:cs="Arial" w:eastAsia="Arial" w:hAnsi="Arial"/>
                <w:sz w:val="11"/>
                <w:szCs w:val="11"/>
                <w:color w:val="auto"/>
              </w:rPr>
              <w:t>2019</w:t>
            </w:r>
          </w:p>
        </w:tc>
        <w:tc>
          <w:tcPr>
            <w:tcW w:w="6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0" w:type="dxa"/>
            <w:vAlign w:val="bottom"/>
          </w:tcPr>
          <w:p>
            <w:pPr>
              <w:jc w:val="right"/>
              <w:spacing w:after="0"/>
              <w:rPr>
                <w:sz w:val="20"/>
                <w:szCs w:val="20"/>
                <w:color w:val="auto"/>
              </w:rPr>
            </w:pPr>
            <w:r>
              <w:rPr>
                <w:rFonts w:ascii="Arial" w:cs="Arial" w:eastAsia="Arial" w:hAnsi="Arial"/>
                <w:sz w:val="11"/>
                <w:szCs w:val="11"/>
                <w:color w:val="auto"/>
              </w:rPr>
              <w:t>684</w:t>
            </w:r>
          </w:p>
        </w:tc>
      </w:tr>
      <w:tr>
        <w:trPr>
          <w:trHeight w:val="191"/>
        </w:trPr>
        <w:tc>
          <w:tcPr>
            <w:tcW w:w="6940" w:type="dxa"/>
            <w:vAlign w:val="bottom"/>
            <w:shd w:val="clear" w:color="auto" w:fill="CCEEFF"/>
          </w:tcPr>
          <w:p>
            <w:pPr>
              <w:spacing w:after="0"/>
              <w:rPr>
                <w:sz w:val="20"/>
                <w:szCs w:val="20"/>
                <w:color w:val="auto"/>
              </w:rPr>
            </w:pPr>
            <w:r>
              <w:rPr>
                <w:rFonts w:ascii="Arial" w:cs="Arial" w:eastAsia="Arial" w:hAnsi="Arial"/>
                <w:sz w:val="11"/>
                <w:szCs w:val="11"/>
                <w:color w:val="auto"/>
              </w:rPr>
              <w:t>2020</w:t>
            </w:r>
          </w:p>
        </w:tc>
        <w:tc>
          <w:tcPr>
            <w:tcW w:w="6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684</w:t>
            </w:r>
          </w:p>
        </w:tc>
      </w:tr>
      <w:tr>
        <w:trPr>
          <w:trHeight w:val="187"/>
        </w:trPr>
        <w:tc>
          <w:tcPr>
            <w:tcW w:w="7540" w:type="dxa"/>
            <w:vAlign w:val="bottom"/>
            <w:tcBorders>
              <w:bottom w:val="single" w:sz="8" w:color="CCEEFF"/>
            </w:tcBorders>
            <w:gridSpan w:val="2"/>
          </w:tcPr>
          <w:p>
            <w:pPr>
              <w:spacing w:after="0"/>
              <w:rPr>
                <w:sz w:val="20"/>
                <w:szCs w:val="20"/>
                <w:color w:val="auto"/>
              </w:rPr>
            </w:pPr>
            <w:r>
              <w:rPr>
                <w:rFonts w:ascii="Arial" w:cs="Arial" w:eastAsia="Arial" w:hAnsi="Arial"/>
                <w:sz w:val="11"/>
                <w:szCs w:val="11"/>
                <w:color w:val="auto"/>
              </w:rPr>
              <w:t>Thereafter</w:t>
            </w:r>
          </w:p>
        </w:tc>
        <w:tc>
          <w:tcPr>
            <w:tcW w:w="68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3,500</w:t>
            </w:r>
          </w:p>
        </w:tc>
      </w:tr>
      <w:tr>
        <w:trPr>
          <w:trHeight w:val="162"/>
        </w:trPr>
        <w:tc>
          <w:tcPr>
            <w:tcW w:w="75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1"/>
                <w:szCs w:val="11"/>
                <w:color w:val="auto"/>
              </w:rPr>
              <w:t>Total pension payments</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7,775</w:t>
            </w:r>
          </w:p>
        </w:tc>
      </w:tr>
    </w:tbl>
    <w:p>
      <w:pPr>
        <w:spacing w:after="0" w:line="28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Lease Make-Good Provision</w:t>
      </w:r>
    </w:p>
    <w:p>
      <w:pPr>
        <w:spacing w:after="0" w:line="154" w:lineRule="exact"/>
        <w:rPr>
          <w:sz w:val="20"/>
          <w:szCs w:val="20"/>
          <w:color w:val="auto"/>
        </w:rPr>
      </w:pPr>
    </w:p>
    <w:p>
      <w:pPr>
        <w:ind w:right="360"/>
        <w:spacing w:after="0" w:line="276" w:lineRule="auto"/>
        <w:rPr>
          <w:sz w:val="20"/>
          <w:szCs w:val="20"/>
          <w:color w:val="auto"/>
        </w:rPr>
      </w:pPr>
      <w:r>
        <w:rPr>
          <w:rFonts w:ascii="Arial" w:cs="Arial" w:eastAsia="Arial" w:hAnsi="Arial"/>
          <w:sz w:val="12"/>
          <w:szCs w:val="12"/>
          <w:color w:val="auto"/>
        </w:rPr>
        <w:t>The Company recognizes obligations for future make-good costs relating to its leased premises. Each lease is unique to the negotiated conditions with the lessor, but in general most leases require for the removal of cinema-related assets and improvements. There are no assets specifically restricted to settle this obligation.</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59690</wp:posOffset>
            </wp:positionV>
            <wp:extent cx="677989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779895" cy="42545"/>
                    </a:xfrm>
                    <a:prstGeom prst="rect">
                      <a:avLst/>
                    </a:prstGeom>
                    <a:noFill/>
                  </pic:spPr>
                </pic:pic>
              </a:graphicData>
            </a:graphic>
          </wp:anchor>
        </w:drawing>
      </w:r>
    </w:p>
    <w:p>
      <w:pPr>
        <w:sectPr>
          <w:pgSz w:w="11900" w:h="16838" w:orient="portrait"/>
          <w:cols w:equalWidth="0" w:num="1">
            <w:col w:w="10620"/>
          </w:cols>
          <w:pgMar w:left="640" w:top="275" w:right="639" w:bottom="1440" w:gutter="0" w:footer="0" w:header="0"/>
        </w:sectPr>
      </w:pPr>
    </w:p>
    <w:bookmarkStart w:id="82" w:name="page83"/>
    <w:bookmarkEnd w:id="82"/>
    <w:p>
      <w:pPr>
        <w:spacing w:after="0"/>
        <w:rPr>
          <w:sz w:val="20"/>
          <w:szCs w:val="20"/>
          <w:color w:val="auto"/>
        </w:rPr>
      </w:pPr>
      <w:r>
        <w:rPr>
          <w:rFonts w:ascii="Arial" w:cs="Arial" w:eastAsia="Arial" w:hAnsi="Arial"/>
          <w:sz w:val="12"/>
          <w:szCs w:val="12"/>
          <w:color w:val="auto"/>
        </w:rPr>
        <w:t>A reconciliation of the beginning and ending carrying amounts of the lease make-good provision is presented in the table:</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5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740" w:type="dxa"/>
            <w:vAlign w:val="bottom"/>
            <w:gridSpan w:val="3"/>
          </w:tcPr>
          <w:p>
            <w:pPr>
              <w:ind w:left="40"/>
              <w:spacing w:after="0"/>
              <w:rPr>
                <w:sz w:val="20"/>
                <w:szCs w:val="20"/>
                <w:color w:val="auto"/>
              </w:rPr>
            </w:pPr>
            <w:r>
              <w:rPr>
                <w:rFonts w:ascii="Arial" w:cs="Arial" w:eastAsia="Arial" w:hAnsi="Arial"/>
                <w:sz w:val="11"/>
                <w:szCs w:val="11"/>
                <w:b w:val="1"/>
                <w:bCs w:val="1"/>
                <w:color w:val="auto"/>
              </w:rPr>
              <w:t>As of and for the year ended December 31, 2015</w:t>
            </w:r>
          </w:p>
        </w:tc>
        <w:tc>
          <w:tcPr>
            <w:tcW w:w="2300" w:type="dxa"/>
            <w:vAlign w:val="bottom"/>
            <w:gridSpan w:val="2"/>
          </w:tcPr>
          <w:p>
            <w:pPr>
              <w:jc w:val="right"/>
              <w:spacing w:after="0"/>
              <w:rPr>
                <w:sz w:val="20"/>
                <w:szCs w:val="20"/>
                <w:color w:val="auto"/>
              </w:rPr>
            </w:pPr>
            <w:r>
              <w:rPr>
                <w:rFonts w:ascii="Arial" w:cs="Arial" w:eastAsia="Arial" w:hAnsi="Arial"/>
                <w:sz w:val="11"/>
                <w:szCs w:val="11"/>
                <w:b w:val="1"/>
                <w:bCs w:val="1"/>
                <w:color w:val="auto"/>
                <w:w w:val="89"/>
              </w:rPr>
              <w:t>As of and for the year ended December 31, 2014</w:t>
            </w:r>
          </w:p>
        </w:tc>
      </w:tr>
      <w:tr>
        <w:trPr>
          <w:trHeight w:val="317"/>
        </w:trPr>
        <w:tc>
          <w:tcPr>
            <w:tcW w:w="5140" w:type="dxa"/>
            <w:vAlign w:val="bottom"/>
            <w:tcBorders>
              <w:bottom w:val="single" w:sz="8" w:color="auto"/>
            </w:tcBorders>
          </w:tcPr>
          <w:p>
            <w:pPr>
              <w:spacing w:after="0"/>
              <w:rPr>
                <w:sz w:val="20"/>
                <w:szCs w:val="20"/>
                <w:color w:val="auto"/>
              </w:rPr>
            </w:pPr>
            <w:r>
              <w:rPr>
                <w:rFonts w:ascii="Arial" w:cs="Arial" w:eastAsia="Arial" w:hAnsi="Arial"/>
                <w:sz w:val="11"/>
                <w:szCs w:val="11"/>
                <w:color w:val="auto"/>
              </w:rPr>
              <w:t>(Dollars in thousands)</w:t>
            </w:r>
          </w:p>
        </w:tc>
        <w:tc>
          <w:tcPr>
            <w:tcW w:w="440" w:type="dxa"/>
            <w:vAlign w:val="bottom"/>
            <w:tcBorders>
              <w:bottom w:val="single" w:sz="8" w:color="CCEEFF"/>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440" w:type="dxa"/>
            <w:vAlign w:val="bottom"/>
            <w:tcBorders>
              <w:bottom w:val="single" w:sz="8" w:color="CCEEFF"/>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r>
      <w:tr>
        <w:trPr>
          <w:trHeight w:val="171"/>
        </w:trPr>
        <w:tc>
          <w:tcPr>
            <w:tcW w:w="55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Opening balance</w:t>
            </w:r>
          </w:p>
        </w:tc>
        <w:tc>
          <w:tcPr>
            <w:tcW w:w="1260" w:type="dxa"/>
            <w:vAlign w:val="bottom"/>
            <w:shd w:val="clear" w:color="auto" w:fill="CCEEFF"/>
          </w:tcPr>
          <w:p>
            <w:pPr>
              <w:jc w:val="right"/>
              <w:ind w:right="722"/>
              <w:spacing w:after="0"/>
              <w:rPr>
                <w:sz w:val="20"/>
                <w:szCs w:val="20"/>
                <w:color w:val="auto"/>
              </w:rPr>
            </w:pPr>
            <w:r>
              <w:rPr>
                <w:rFonts w:ascii="Arial" w:cs="Arial" w:eastAsia="Arial" w:hAnsi="Arial"/>
                <w:sz w:val="13"/>
                <w:szCs w:val="13"/>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4,385</w:t>
            </w:r>
          </w:p>
        </w:tc>
        <w:tc>
          <w:tcPr>
            <w:tcW w:w="440" w:type="dxa"/>
            <w:vAlign w:val="bottom"/>
            <w:shd w:val="clear" w:color="auto" w:fill="CCEEFF"/>
          </w:tcPr>
          <w:p>
            <w:pPr>
              <w:spacing w:after="0"/>
              <w:rPr>
                <w:sz w:val="14"/>
                <w:szCs w:val="14"/>
                <w:color w:val="auto"/>
              </w:rPr>
            </w:pPr>
          </w:p>
        </w:tc>
        <w:tc>
          <w:tcPr>
            <w:tcW w:w="1260" w:type="dxa"/>
            <w:vAlign w:val="bottom"/>
            <w:shd w:val="clear" w:color="auto" w:fill="CCEEFF"/>
          </w:tcPr>
          <w:p>
            <w:pPr>
              <w:jc w:val="right"/>
              <w:ind w:right="722"/>
              <w:spacing w:after="0"/>
              <w:rPr>
                <w:sz w:val="20"/>
                <w:szCs w:val="20"/>
                <w:color w:val="auto"/>
              </w:rPr>
            </w:pPr>
            <w:r>
              <w:rPr>
                <w:rFonts w:ascii="Arial" w:cs="Arial" w:eastAsia="Arial" w:hAnsi="Arial"/>
                <w:sz w:val="13"/>
                <w:szCs w:val="13"/>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r>
      <w:tr>
        <w:trPr>
          <w:trHeight w:val="189"/>
        </w:trPr>
        <w:tc>
          <w:tcPr>
            <w:tcW w:w="5580" w:type="dxa"/>
            <w:vAlign w:val="bottom"/>
            <w:gridSpan w:val="2"/>
          </w:tcPr>
          <w:p>
            <w:pPr>
              <w:spacing w:after="0"/>
              <w:rPr>
                <w:sz w:val="20"/>
                <w:szCs w:val="20"/>
                <w:color w:val="auto"/>
              </w:rPr>
            </w:pPr>
            <w:r>
              <w:rPr>
                <w:rFonts w:ascii="Arial" w:cs="Arial" w:eastAsia="Arial" w:hAnsi="Arial"/>
                <w:sz w:val="12"/>
                <w:szCs w:val="12"/>
                <w:color w:val="auto"/>
              </w:rPr>
              <w:t>Liabilities incurred during the year</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1,314</w:t>
            </w:r>
          </w:p>
        </w:tc>
        <w:tc>
          <w:tcPr>
            <w:tcW w:w="4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4,385</w:t>
            </w:r>
          </w:p>
        </w:tc>
      </w:tr>
      <w:tr>
        <w:trPr>
          <w:trHeight w:val="189"/>
        </w:trPr>
        <w:tc>
          <w:tcPr>
            <w:tcW w:w="55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Liabilities settled during the year</w:t>
            </w:r>
          </w:p>
        </w:tc>
        <w:tc>
          <w:tcPr>
            <w:tcW w:w="1260" w:type="dxa"/>
            <w:vAlign w:val="bottom"/>
            <w:shd w:val="clear" w:color="auto" w:fill="CCEEFF"/>
          </w:tcPr>
          <w:p>
            <w:pPr>
              <w:spacing w:after="0"/>
              <w:rPr>
                <w:sz w:val="16"/>
                <w:szCs w:val="16"/>
                <w:color w:val="auto"/>
              </w:rPr>
            </w:pPr>
          </w:p>
        </w:tc>
        <w:tc>
          <w:tcPr>
            <w:tcW w:w="1480" w:type="dxa"/>
            <w:vAlign w:val="bottom"/>
            <w:gridSpan w:val="2"/>
            <w:shd w:val="clear" w:color="auto" w:fill="CCEEFF"/>
          </w:tcPr>
          <w:p>
            <w:pPr>
              <w:jc w:val="right"/>
              <w:ind w:right="440"/>
              <w:spacing w:after="0"/>
              <w:rPr>
                <w:sz w:val="20"/>
                <w:szCs w:val="20"/>
                <w:color w:val="auto"/>
              </w:rPr>
            </w:pPr>
            <w:r>
              <w:rPr>
                <w:rFonts w:ascii="Arial" w:cs="Arial" w:eastAsia="Arial" w:hAnsi="Arial"/>
                <w:sz w:val="11"/>
                <w:szCs w:val="11"/>
                <w:color w:val="auto"/>
              </w:rPr>
              <w:t>(381)</w:t>
            </w:r>
          </w:p>
        </w:tc>
        <w:tc>
          <w:tcPr>
            <w:tcW w:w="126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r>
      <w:tr>
        <w:trPr>
          <w:trHeight w:val="189"/>
        </w:trPr>
        <w:tc>
          <w:tcPr>
            <w:tcW w:w="5580" w:type="dxa"/>
            <w:vAlign w:val="bottom"/>
            <w:gridSpan w:val="2"/>
          </w:tcPr>
          <w:p>
            <w:pPr>
              <w:spacing w:after="0"/>
              <w:rPr>
                <w:sz w:val="20"/>
                <w:szCs w:val="20"/>
                <w:color w:val="auto"/>
              </w:rPr>
            </w:pPr>
            <w:r>
              <w:rPr>
                <w:rFonts w:ascii="Arial" w:cs="Arial" w:eastAsia="Arial" w:hAnsi="Arial"/>
                <w:sz w:val="12"/>
                <w:szCs w:val="12"/>
                <w:color w:val="auto"/>
              </w:rPr>
              <w:t>Accretion expense</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212</w:t>
            </w:r>
          </w:p>
        </w:tc>
        <w:tc>
          <w:tcPr>
            <w:tcW w:w="4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89"/>
        </w:trPr>
        <w:tc>
          <w:tcPr>
            <w:tcW w:w="55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Effect of changes in foreign currency</w:t>
            </w:r>
          </w:p>
        </w:tc>
        <w:tc>
          <w:tcPr>
            <w:tcW w:w="1260" w:type="dxa"/>
            <w:vAlign w:val="bottom"/>
            <w:shd w:val="clear" w:color="auto" w:fill="CCEEFF"/>
          </w:tcPr>
          <w:p>
            <w:pPr>
              <w:spacing w:after="0"/>
              <w:rPr>
                <w:sz w:val="16"/>
                <w:szCs w:val="16"/>
                <w:color w:val="auto"/>
              </w:rPr>
            </w:pPr>
          </w:p>
        </w:tc>
        <w:tc>
          <w:tcPr>
            <w:tcW w:w="1480" w:type="dxa"/>
            <w:vAlign w:val="bottom"/>
            <w:gridSpan w:val="2"/>
            <w:shd w:val="clear" w:color="auto" w:fill="CCEEFF"/>
          </w:tcPr>
          <w:p>
            <w:pPr>
              <w:jc w:val="right"/>
              <w:ind w:right="440"/>
              <w:spacing w:after="0"/>
              <w:rPr>
                <w:sz w:val="20"/>
                <w:szCs w:val="20"/>
                <w:color w:val="auto"/>
              </w:rPr>
            </w:pPr>
            <w:r>
              <w:rPr>
                <w:rFonts w:ascii="Arial" w:cs="Arial" w:eastAsia="Arial" w:hAnsi="Arial"/>
                <w:sz w:val="11"/>
                <w:szCs w:val="11"/>
                <w:color w:val="auto"/>
              </w:rPr>
              <w:t>(302)</w:t>
            </w:r>
          </w:p>
        </w:tc>
        <w:tc>
          <w:tcPr>
            <w:tcW w:w="126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r>
      <w:tr>
        <w:trPr>
          <w:trHeight w:val="160"/>
        </w:trPr>
        <w:tc>
          <w:tcPr>
            <w:tcW w:w="5580" w:type="dxa"/>
            <w:vAlign w:val="bottom"/>
            <w:gridSpan w:val="2"/>
          </w:tcPr>
          <w:p>
            <w:pPr>
              <w:spacing w:after="0"/>
              <w:rPr>
                <w:sz w:val="20"/>
                <w:szCs w:val="20"/>
                <w:color w:val="auto"/>
              </w:rPr>
            </w:pPr>
            <w:r>
              <w:rPr>
                <w:rFonts w:ascii="Arial" w:cs="Arial" w:eastAsia="Arial" w:hAnsi="Arial"/>
                <w:sz w:val="12"/>
                <w:szCs w:val="12"/>
                <w:color w:val="auto"/>
              </w:rPr>
              <w:t>Ending balance</w:t>
            </w:r>
          </w:p>
        </w:tc>
        <w:tc>
          <w:tcPr>
            <w:tcW w:w="1260" w:type="dxa"/>
            <w:vAlign w:val="bottom"/>
            <w:tcBorders>
              <w:top w:val="single" w:sz="8" w:color="auto"/>
              <w:bottom w:val="single" w:sz="8" w:color="auto"/>
            </w:tcBorders>
          </w:tcPr>
          <w:p>
            <w:pPr>
              <w:jc w:val="right"/>
              <w:ind w:right="722"/>
              <w:spacing w:after="0"/>
              <w:rPr>
                <w:sz w:val="20"/>
                <w:szCs w:val="20"/>
                <w:color w:val="auto"/>
              </w:rPr>
            </w:pPr>
            <w:r>
              <w:rPr>
                <w:rFonts w:ascii="Arial" w:cs="Arial" w:eastAsia="Arial" w:hAnsi="Arial"/>
                <w:sz w:val="11"/>
                <w:szCs w:val="11"/>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5,228</w:t>
            </w:r>
          </w:p>
        </w:tc>
        <w:tc>
          <w:tcPr>
            <w:tcW w:w="440" w:type="dxa"/>
            <w:vAlign w:val="bottom"/>
          </w:tcPr>
          <w:p>
            <w:pPr>
              <w:spacing w:after="0"/>
              <w:rPr>
                <w:sz w:val="13"/>
                <w:szCs w:val="13"/>
                <w:color w:val="auto"/>
              </w:rPr>
            </w:pPr>
          </w:p>
        </w:tc>
        <w:tc>
          <w:tcPr>
            <w:tcW w:w="1260" w:type="dxa"/>
            <w:vAlign w:val="bottom"/>
            <w:tcBorders>
              <w:top w:val="single" w:sz="8" w:color="auto"/>
              <w:bottom w:val="single" w:sz="8" w:color="auto"/>
            </w:tcBorders>
          </w:tcPr>
          <w:p>
            <w:pPr>
              <w:jc w:val="right"/>
              <w:ind w:right="722"/>
              <w:spacing w:after="0"/>
              <w:rPr>
                <w:sz w:val="20"/>
                <w:szCs w:val="20"/>
                <w:color w:val="auto"/>
              </w:rPr>
            </w:pPr>
            <w:r>
              <w:rPr>
                <w:rFonts w:ascii="Arial" w:cs="Arial" w:eastAsia="Arial" w:hAnsi="Arial"/>
                <w:sz w:val="11"/>
                <w:szCs w:val="11"/>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4,385</w:t>
            </w:r>
          </w:p>
        </w:tc>
      </w:tr>
    </w:tbl>
    <w:p>
      <w:pPr>
        <w:spacing w:after="0" w:line="25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12 - Commitments and Contingencies</w:t>
      </w:r>
    </w:p>
    <w:p>
      <w:pPr>
        <w:spacing w:after="0" w:line="13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LEASE COMMITMENTS</w:t>
      </w:r>
    </w:p>
    <w:p>
      <w:pPr>
        <w:spacing w:after="0" w:line="127" w:lineRule="exact"/>
        <w:rPr>
          <w:sz w:val="20"/>
          <w:szCs w:val="20"/>
          <w:color w:val="auto"/>
        </w:rPr>
      </w:pPr>
    </w:p>
    <w:p>
      <w:pPr>
        <w:ind w:right="260"/>
        <w:spacing w:after="0" w:line="263" w:lineRule="auto"/>
        <w:rPr>
          <w:sz w:val="20"/>
          <w:szCs w:val="20"/>
          <w:color w:val="auto"/>
        </w:rPr>
      </w:pPr>
      <w:r>
        <w:rPr>
          <w:rFonts w:ascii="Arial" w:cs="Arial" w:eastAsia="Arial" w:hAnsi="Arial"/>
          <w:sz w:val="12"/>
          <w:szCs w:val="12"/>
          <w:color w:val="auto"/>
        </w:rPr>
        <w:t>The Company has entered into various leases for our cinema exhibition segment because most of our cinemas operate in leased facilities. We also lease office space and equipment under non-cancelable operating leases. As of December 31, 2015, the remaining terms of these leases, inclusive of options, range from 1 to 35 years. All of our leases are accounted for as operating leases and we do not have any capital leases as of December 31, 2015.</w:t>
      </w:r>
    </w:p>
    <w:p>
      <w:pPr>
        <w:spacing w:after="0" w:line="96" w:lineRule="exact"/>
        <w:rPr>
          <w:sz w:val="20"/>
          <w:szCs w:val="20"/>
          <w:color w:val="auto"/>
        </w:rPr>
      </w:pPr>
    </w:p>
    <w:p>
      <w:pPr>
        <w:jc w:val="both"/>
        <w:ind w:right="160"/>
        <w:spacing w:after="0" w:line="263" w:lineRule="auto"/>
        <w:rPr>
          <w:sz w:val="20"/>
          <w:szCs w:val="20"/>
          <w:color w:val="auto"/>
        </w:rPr>
      </w:pPr>
      <w:r>
        <w:rPr>
          <w:rFonts w:ascii="Arial" w:cs="Arial" w:eastAsia="Arial" w:hAnsi="Arial"/>
          <w:sz w:val="12"/>
          <w:szCs w:val="12"/>
          <w:color w:val="auto"/>
        </w:rPr>
        <w:t>We determine the annual base rent expense of our cinemas by amortizing total minimum lease obligations on a straight-line basis over the lease terms. Certain of our cinema leases provide for contingent rentals based upon a specified percentage of cinema revenue with a guaranteed minimum. Substantially all of our leases require the payment of property taxes, insurance, and other costs applicable to the property. The base rent and contingent rental expenses are summarized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700" w:type="dxa"/>
            <w:vAlign w:val="bottom"/>
            <w:tcBorders>
              <w:bottom w:val="single" w:sz="8" w:color="auto"/>
            </w:tcBorders>
          </w:tcPr>
          <w:p>
            <w:pPr>
              <w:spacing w:after="0"/>
              <w:rPr>
                <w:sz w:val="20"/>
                <w:szCs w:val="20"/>
                <w:color w:val="auto"/>
              </w:rPr>
            </w:pPr>
            <w:r>
              <w:rPr>
                <w:rFonts w:ascii="Arial" w:cs="Arial" w:eastAsia="Arial" w:hAnsi="Arial"/>
                <w:sz w:val="11"/>
                <w:szCs w:val="11"/>
                <w:color w:val="auto"/>
              </w:rPr>
              <w:t>(Dollars in thousands)</w:t>
            </w:r>
          </w:p>
        </w:tc>
        <w:tc>
          <w:tcPr>
            <w:tcW w:w="360" w:type="dxa"/>
            <w:vAlign w:val="bottom"/>
            <w:tcBorders>
              <w:bottom w:val="single" w:sz="8" w:color="CCEEFF"/>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560" w:type="dxa"/>
            <w:vAlign w:val="bottom"/>
            <w:tcBorders>
              <w:bottom w:val="single" w:sz="8" w:color="auto"/>
            </w:tcBorders>
          </w:tcPr>
          <w:p>
            <w:pPr>
              <w:jc w:val="right"/>
              <w:ind w:right="966"/>
              <w:spacing w:after="0"/>
              <w:rPr>
                <w:sz w:val="20"/>
                <w:szCs w:val="20"/>
                <w:color w:val="auto"/>
              </w:rPr>
            </w:pPr>
            <w:r>
              <w:rPr>
                <w:rFonts w:ascii="Arial" w:cs="Arial" w:eastAsia="Arial" w:hAnsi="Arial"/>
                <w:sz w:val="11"/>
                <w:szCs w:val="11"/>
                <w:b w:val="1"/>
                <w:bCs w:val="1"/>
                <w:color w:val="auto"/>
              </w:rPr>
              <w:t>2015</w:t>
            </w:r>
          </w:p>
        </w:tc>
        <w:tc>
          <w:tcPr>
            <w:tcW w:w="360" w:type="dxa"/>
            <w:vAlign w:val="bottom"/>
            <w:tcBorders>
              <w:bottom w:val="single" w:sz="8" w:color="CCEEFF"/>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680" w:type="dxa"/>
            <w:vAlign w:val="bottom"/>
            <w:tcBorders>
              <w:bottom w:val="single" w:sz="8" w:color="auto"/>
            </w:tcBorders>
          </w:tcPr>
          <w:p>
            <w:pPr>
              <w:jc w:val="right"/>
              <w:ind w:right="1026"/>
              <w:spacing w:after="0"/>
              <w:rPr>
                <w:sz w:val="20"/>
                <w:szCs w:val="20"/>
                <w:color w:val="auto"/>
              </w:rPr>
            </w:pPr>
            <w:r>
              <w:rPr>
                <w:rFonts w:ascii="Arial" w:cs="Arial" w:eastAsia="Arial" w:hAnsi="Arial"/>
                <w:sz w:val="11"/>
                <w:szCs w:val="11"/>
                <w:b w:val="1"/>
                <w:bCs w:val="1"/>
                <w:color w:val="auto"/>
              </w:rPr>
              <w:t>2014</w:t>
            </w:r>
          </w:p>
        </w:tc>
        <w:tc>
          <w:tcPr>
            <w:tcW w:w="360" w:type="dxa"/>
            <w:vAlign w:val="bottom"/>
            <w:tcBorders>
              <w:bottom w:val="single" w:sz="8" w:color="CCEEFF"/>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tcPr>
          <w:p>
            <w:pPr>
              <w:jc w:val="right"/>
              <w:ind w:right="926"/>
              <w:spacing w:after="0"/>
              <w:rPr>
                <w:sz w:val="20"/>
                <w:szCs w:val="20"/>
                <w:color w:val="auto"/>
              </w:rPr>
            </w:pPr>
            <w:r>
              <w:rPr>
                <w:rFonts w:ascii="Arial" w:cs="Arial" w:eastAsia="Arial" w:hAnsi="Arial"/>
                <w:sz w:val="11"/>
                <w:szCs w:val="11"/>
                <w:b w:val="1"/>
                <w:bCs w:val="1"/>
                <w:color w:val="auto"/>
              </w:rPr>
              <w:t>2013</w:t>
            </w:r>
          </w:p>
        </w:tc>
      </w:tr>
      <w:tr>
        <w:trPr>
          <w:trHeight w:val="180"/>
        </w:trPr>
        <w:tc>
          <w:tcPr>
            <w:tcW w:w="30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Base rent expense</w:t>
            </w:r>
          </w:p>
        </w:tc>
        <w:tc>
          <w:tcPr>
            <w:tcW w:w="680" w:type="dxa"/>
            <w:vAlign w:val="bottom"/>
            <w:shd w:val="clear" w:color="auto" w:fill="CCEEFF"/>
          </w:tcPr>
          <w:p>
            <w:pPr>
              <w:jc w:val="right"/>
              <w:ind w:right="266"/>
              <w:spacing w:after="0"/>
              <w:rPr>
                <w:sz w:val="20"/>
                <w:szCs w:val="20"/>
                <w:color w:val="auto"/>
              </w:rPr>
            </w:pPr>
            <w:r>
              <w:rPr>
                <w:rFonts w:ascii="Arial" w:cs="Arial" w:eastAsia="Arial" w:hAnsi="Arial"/>
                <w:sz w:val="11"/>
                <w:szCs w:val="11"/>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30,565</w:t>
            </w:r>
          </w:p>
        </w:tc>
        <w:tc>
          <w:tcPr>
            <w:tcW w:w="36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306"/>
              <w:spacing w:after="0"/>
              <w:rPr>
                <w:sz w:val="20"/>
                <w:szCs w:val="20"/>
                <w:color w:val="auto"/>
              </w:rPr>
            </w:pPr>
            <w:r>
              <w:rPr>
                <w:rFonts w:ascii="Arial" w:cs="Arial" w:eastAsia="Arial" w:hAnsi="Arial"/>
                <w:sz w:val="11"/>
                <w:szCs w:val="11"/>
                <w:color w:val="auto"/>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30,914</w:t>
            </w:r>
          </w:p>
        </w:tc>
        <w:tc>
          <w:tcPr>
            <w:tcW w:w="36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286"/>
              <w:spacing w:after="0"/>
              <w:rPr>
                <w:sz w:val="20"/>
                <w:szCs w:val="20"/>
                <w:color w:val="auto"/>
              </w:rPr>
            </w:pPr>
            <w:r>
              <w:rPr>
                <w:rFonts w:ascii="Arial" w:cs="Arial" w:eastAsia="Arial" w:hAnsi="Arial"/>
                <w:sz w:val="11"/>
                <w:szCs w:val="11"/>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32,054</w:t>
            </w:r>
          </w:p>
        </w:tc>
      </w:tr>
      <w:tr>
        <w:trPr>
          <w:trHeight w:val="187"/>
        </w:trPr>
        <w:tc>
          <w:tcPr>
            <w:tcW w:w="3060" w:type="dxa"/>
            <w:vAlign w:val="bottom"/>
            <w:tcBorders>
              <w:bottom w:val="single" w:sz="8" w:color="CCEEFF"/>
            </w:tcBorders>
            <w:gridSpan w:val="2"/>
          </w:tcPr>
          <w:p>
            <w:pPr>
              <w:spacing w:after="0"/>
              <w:rPr>
                <w:sz w:val="20"/>
                <w:szCs w:val="20"/>
                <w:color w:val="auto"/>
              </w:rPr>
            </w:pPr>
            <w:r>
              <w:rPr>
                <w:rFonts w:ascii="Arial" w:cs="Arial" w:eastAsia="Arial" w:hAnsi="Arial"/>
                <w:sz w:val="11"/>
                <w:szCs w:val="11"/>
                <w:color w:val="auto"/>
              </w:rPr>
              <w:t>Contingent rental expense</w:t>
            </w:r>
          </w:p>
        </w:tc>
        <w:tc>
          <w:tcPr>
            <w:tcW w:w="6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1,848</w:t>
            </w:r>
          </w:p>
        </w:tc>
        <w:tc>
          <w:tcPr>
            <w:tcW w:w="360" w:type="dxa"/>
            <w:vAlign w:val="bottom"/>
            <w:tcBorders>
              <w:bottom w:val="single" w:sz="8" w:color="CCEEFF"/>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1,223</w:t>
            </w:r>
          </w:p>
        </w:tc>
        <w:tc>
          <w:tcPr>
            <w:tcW w:w="36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1,302</w:t>
            </w:r>
          </w:p>
        </w:tc>
      </w:tr>
      <w:tr>
        <w:trPr>
          <w:trHeight w:val="162"/>
        </w:trPr>
        <w:tc>
          <w:tcPr>
            <w:tcW w:w="30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1"/>
                <w:szCs w:val="11"/>
                <w:color w:val="auto"/>
              </w:rPr>
              <w:t>Total cinema rent expense</w:t>
            </w:r>
          </w:p>
        </w:tc>
        <w:tc>
          <w:tcPr>
            <w:tcW w:w="680" w:type="dxa"/>
            <w:vAlign w:val="bottom"/>
            <w:tcBorders>
              <w:bottom w:val="single" w:sz="8" w:color="auto"/>
            </w:tcBorders>
            <w:shd w:val="clear" w:color="auto" w:fill="CCEEFF"/>
          </w:tcPr>
          <w:p>
            <w:pPr>
              <w:jc w:val="right"/>
              <w:ind w:right="266"/>
              <w:spacing w:after="0"/>
              <w:rPr>
                <w:sz w:val="20"/>
                <w:szCs w:val="20"/>
                <w:color w:val="auto"/>
              </w:rPr>
            </w:pPr>
            <w:r>
              <w:rPr>
                <w:rFonts w:ascii="Arial" w:cs="Arial" w:eastAsia="Arial" w:hAnsi="Arial"/>
                <w:sz w:val="11"/>
                <w:szCs w:val="11"/>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32,413</w:t>
            </w:r>
          </w:p>
        </w:tc>
        <w:tc>
          <w:tcPr>
            <w:tcW w:w="36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ind w:right="306"/>
              <w:spacing w:after="0"/>
              <w:rPr>
                <w:sz w:val="20"/>
                <w:szCs w:val="20"/>
                <w:color w:val="auto"/>
              </w:rPr>
            </w:pPr>
            <w:r>
              <w:rPr>
                <w:rFonts w:ascii="Arial" w:cs="Arial" w:eastAsia="Arial" w:hAnsi="Arial"/>
                <w:sz w:val="11"/>
                <w:szCs w:val="11"/>
                <w:color w:val="auto"/>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32,137</w:t>
            </w:r>
          </w:p>
        </w:tc>
        <w:tc>
          <w:tcPr>
            <w:tcW w:w="36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ind w:right="286"/>
              <w:spacing w:after="0"/>
              <w:rPr>
                <w:sz w:val="20"/>
                <w:szCs w:val="20"/>
                <w:color w:val="auto"/>
              </w:rPr>
            </w:pPr>
            <w:r>
              <w:rPr>
                <w:rFonts w:ascii="Arial" w:cs="Arial" w:eastAsia="Arial" w:hAnsi="Arial"/>
                <w:sz w:val="11"/>
                <w:szCs w:val="11"/>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33,356</w:t>
            </w:r>
          </w:p>
        </w:tc>
      </w:tr>
    </w:tbl>
    <w:p>
      <w:pPr>
        <w:spacing w:after="0" w:line="135" w:lineRule="exact"/>
        <w:rPr>
          <w:sz w:val="20"/>
          <w:szCs w:val="20"/>
          <w:color w:val="auto"/>
        </w:rPr>
      </w:pPr>
    </w:p>
    <w:p>
      <w:pPr>
        <w:spacing w:after="0"/>
        <w:rPr>
          <w:sz w:val="20"/>
          <w:szCs w:val="20"/>
          <w:color w:val="auto"/>
        </w:rPr>
      </w:pPr>
      <w:r>
        <w:rPr>
          <w:rFonts w:ascii="Arial" w:cs="Arial" w:eastAsia="Arial" w:hAnsi="Arial"/>
          <w:sz w:val="12"/>
          <w:szCs w:val="12"/>
          <w:color w:val="auto"/>
        </w:rPr>
        <w:t>Future minimum lease payments by year and, in the aggregate, under non-cancelable operating leases consisted of the following:</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3160" w:type="dxa"/>
            <w:vAlign w:val="bottom"/>
            <w:tcBorders>
              <w:bottom w:val="single" w:sz="8" w:color="auto"/>
            </w:tcBorders>
            <w:gridSpan w:val="3"/>
          </w:tcPr>
          <w:p>
            <w:pPr>
              <w:jc w:val="right"/>
              <w:ind w:right="446"/>
              <w:spacing w:after="0"/>
              <w:rPr>
                <w:sz w:val="20"/>
                <w:szCs w:val="20"/>
                <w:color w:val="auto"/>
              </w:rPr>
            </w:pPr>
            <w:r>
              <w:rPr>
                <w:rFonts w:ascii="Arial" w:cs="Arial" w:eastAsia="Arial" w:hAnsi="Arial"/>
                <w:sz w:val="11"/>
                <w:szCs w:val="11"/>
                <w:b w:val="1"/>
                <w:bCs w:val="1"/>
                <w:color w:val="auto"/>
              </w:rPr>
              <w:t>Minimum Lease Payments at December 31, 2015</w:t>
            </w:r>
          </w:p>
        </w:tc>
        <w:tc>
          <w:tcPr>
            <w:tcW w:w="38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spacing w:after="0"/>
              <w:rPr>
                <w:sz w:val="12"/>
                <w:szCs w:val="12"/>
                <w:color w:val="auto"/>
              </w:rPr>
            </w:pPr>
          </w:p>
        </w:tc>
      </w:tr>
      <w:tr>
        <w:trPr>
          <w:trHeight w:val="169"/>
        </w:trPr>
        <w:tc>
          <w:tcPr>
            <w:tcW w:w="2480" w:type="dxa"/>
            <w:vAlign w:val="bottom"/>
            <w:gridSpan w:val="2"/>
          </w:tcPr>
          <w:p>
            <w:pPr>
              <w:spacing w:after="0"/>
              <w:rPr>
                <w:sz w:val="20"/>
                <w:szCs w:val="20"/>
                <w:color w:val="auto"/>
              </w:rPr>
            </w:pPr>
            <w:r>
              <w:rPr>
                <w:rFonts w:ascii="Arial" w:cs="Arial" w:eastAsia="Arial" w:hAnsi="Arial"/>
                <w:sz w:val="11"/>
                <w:szCs w:val="11"/>
                <w:color w:val="auto"/>
              </w:rPr>
              <w:t>(Dollars in thousands)</w:t>
            </w:r>
          </w:p>
        </w:tc>
        <w:tc>
          <w:tcPr>
            <w:tcW w:w="420" w:type="dxa"/>
            <w:vAlign w:val="bottom"/>
          </w:tcPr>
          <w:p>
            <w:pPr>
              <w:spacing w:after="0"/>
              <w:rPr>
                <w:sz w:val="14"/>
                <w:szCs w:val="14"/>
                <w:color w:val="auto"/>
              </w:rPr>
            </w:pPr>
          </w:p>
        </w:tc>
        <w:tc>
          <w:tcPr>
            <w:tcW w:w="1660" w:type="dxa"/>
            <w:vAlign w:val="bottom"/>
            <w:gridSpan w:val="2"/>
          </w:tcPr>
          <w:p>
            <w:pPr>
              <w:ind w:left="140"/>
              <w:spacing w:after="0"/>
              <w:rPr>
                <w:sz w:val="20"/>
                <w:szCs w:val="20"/>
                <w:color w:val="auto"/>
              </w:rPr>
            </w:pPr>
            <w:r>
              <w:rPr>
                <w:rFonts w:ascii="Arial" w:cs="Arial" w:eastAsia="Arial" w:hAnsi="Arial"/>
                <w:sz w:val="11"/>
                <w:szCs w:val="11"/>
                <w:b w:val="1"/>
                <w:bCs w:val="1"/>
                <w:color w:val="auto"/>
              </w:rPr>
              <w:t>Ground Lease</w:t>
            </w:r>
          </w:p>
        </w:tc>
        <w:tc>
          <w:tcPr>
            <w:tcW w:w="460" w:type="dxa"/>
            <w:vAlign w:val="bottom"/>
          </w:tcPr>
          <w:p>
            <w:pPr>
              <w:spacing w:after="0"/>
              <w:rPr>
                <w:sz w:val="14"/>
                <w:szCs w:val="14"/>
                <w:color w:val="auto"/>
              </w:rPr>
            </w:pPr>
          </w:p>
        </w:tc>
        <w:tc>
          <w:tcPr>
            <w:tcW w:w="1760" w:type="dxa"/>
            <w:vAlign w:val="bottom"/>
            <w:gridSpan w:val="2"/>
          </w:tcPr>
          <w:p>
            <w:pPr>
              <w:ind w:left="160"/>
              <w:spacing w:after="0"/>
              <w:rPr>
                <w:sz w:val="20"/>
                <w:szCs w:val="20"/>
                <w:color w:val="auto"/>
              </w:rPr>
            </w:pPr>
            <w:r>
              <w:rPr>
                <w:rFonts w:ascii="Arial" w:cs="Arial" w:eastAsia="Arial" w:hAnsi="Arial"/>
                <w:sz w:val="11"/>
                <w:szCs w:val="11"/>
                <w:b w:val="1"/>
                <w:bCs w:val="1"/>
                <w:color w:val="auto"/>
              </w:rPr>
              <w:t>Premises Lease</w:t>
            </w:r>
          </w:p>
        </w:tc>
        <w:tc>
          <w:tcPr>
            <w:tcW w:w="1400" w:type="dxa"/>
            <w:vAlign w:val="bottom"/>
          </w:tcPr>
          <w:p>
            <w:pPr>
              <w:jc w:val="right"/>
              <w:ind w:right="46"/>
              <w:spacing w:after="0"/>
              <w:rPr>
                <w:sz w:val="20"/>
                <w:szCs w:val="20"/>
                <w:color w:val="auto"/>
              </w:rPr>
            </w:pPr>
            <w:r>
              <w:rPr>
                <w:rFonts w:ascii="Arial" w:cs="Arial" w:eastAsia="Arial" w:hAnsi="Arial"/>
                <w:sz w:val="11"/>
                <w:szCs w:val="11"/>
                <w:b w:val="1"/>
                <w:bCs w:val="1"/>
                <w:color w:val="auto"/>
              </w:rPr>
              <w:t>Equipment Lease</w:t>
            </w: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40" w:type="dxa"/>
            <w:vAlign w:val="bottom"/>
          </w:tcPr>
          <w:p>
            <w:pPr>
              <w:jc w:val="right"/>
              <w:ind w:right="706"/>
              <w:spacing w:after="0"/>
              <w:rPr>
                <w:sz w:val="20"/>
                <w:szCs w:val="20"/>
                <w:color w:val="auto"/>
              </w:rPr>
            </w:pPr>
            <w:r>
              <w:rPr>
                <w:rFonts w:ascii="Arial" w:cs="Arial" w:eastAsia="Arial" w:hAnsi="Arial"/>
                <w:sz w:val="11"/>
                <w:szCs w:val="11"/>
                <w:b w:val="1"/>
                <w:bCs w:val="1"/>
                <w:color w:val="auto"/>
              </w:rPr>
              <w:t>Total</w:t>
            </w:r>
          </w:p>
        </w:tc>
      </w:tr>
      <w:tr>
        <w:trPr>
          <w:trHeight w:val="180"/>
        </w:trPr>
        <w:tc>
          <w:tcPr>
            <w:tcW w:w="2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1"/>
                <w:szCs w:val="11"/>
                <w:color w:val="auto"/>
              </w:rPr>
              <w:t>2016</w:t>
            </w:r>
          </w:p>
        </w:tc>
        <w:tc>
          <w:tcPr>
            <w:tcW w:w="30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3,529</w:t>
            </w:r>
          </w:p>
        </w:tc>
        <w:tc>
          <w:tcPr>
            <w:tcW w:w="30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jc w:val="right"/>
              <w:ind w:right="106"/>
              <w:spacing w:after="0"/>
              <w:rPr>
                <w:sz w:val="20"/>
                <w:szCs w:val="20"/>
                <w:color w:val="auto"/>
              </w:rPr>
            </w:pPr>
            <w:r>
              <w:rPr>
                <w:rFonts w:ascii="Arial" w:cs="Arial" w:eastAsia="Arial" w:hAnsi="Arial"/>
                <w:sz w:val="11"/>
                <w:szCs w:val="11"/>
                <w:color w:val="auto"/>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23,894</w:t>
            </w:r>
          </w:p>
        </w:tc>
        <w:tc>
          <w:tcPr>
            <w:tcW w:w="280" w:type="dxa"/>
            <w:vAlign w:val="bottom"/>
            <w:tcBorders>
              <w:top w:val="single" w:sz="8" w:color="CCEEFF"/>
            </w:tcBorders>
            <w:shd w:val="clear" w:color="auto" w:fill="CCEEFF"/>
          </w:tcPr>
          <w:p>
            <w:pPr>
              <w:spacing w:after="0"/>
              <w:rPr>
                <w:sz w:val="15"/>
                <w:szCs w:val="15"/>
                <w:color w:val="auto"/>
              </w:rPr>
            </w:pPr>
          </w:p>
        </w:tc>
        <w:tc>
          <w:tcPr>
            <w:tcW w:w="1400" w:type="dxa"/>
            <w:vAlign w:val="bottom"/>
            <w:tcBorders>
              <w:top w:val="single" w:sz="8" w:color="auto"/>
            </w:tcBorders>
            <w:shd w:val="clear" w:color="auto" w:fill="CCEEFF"/>
          </w:tcPr>
          <w:p>
            <w:pPr>
              <w:jc w:val="right"/>
              <w:ind w:right="1066"/>
              <w:spacing w:after="0"/>
              <w:rPr>
                <w:sz w:val="20"/>
                <w:szCs w:val="20"/>
                <w:color w:val="auto"/>
              </w:rPr>
            </w:pPr>
            <w:r>
              <w:rPr>
                <w:rFonts w:ascii="Arial" w:cs="Arial" w:eastAsia="Arial" w:hAnsi="Arial"/>
                <w:sz w:val="11"/>
                <w:szCs w:val="11"/>
                <w:color w:val="auto"/>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2,694</w:t>
            </w:r>
          </w:p>
        </w:tc>
        <w:tc>
          <w:tcPr>
            <w:tcW w:w="280" w:type="dxa"/>
            <w:vAlign w:val="bottom"/>
            <w:tcBorders>
              <w:top w:val="single" w:sz="8" w:color="CCEEFF"/>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jc w:val="right"/>
              <w:ind w:right="206"/>
              <w:spacing w:after="0"/>
              <w:rPr>
                <w:sz w:val="20"/>
                <w:szCs w:val="20"/>
                <w:color w:val="auto"/>
              </w:rPr>
            </w:pPr>
            <w:r>
              <w:rPr>
                <w:rFonts w:ascii="Arial" w:cs="Arial" w:eastAsia="Arial" w:hAnsi="Arial"/>
                <w:sz w:val="11"/>
                <w:szCs w:val="11"/>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30,117</w:t>
            </w:r>
          </w:p>
        </w:tc>
      </w:tr>
      <w:tr>
        <w:trPr>
          <w:trHeight w:val="187"/>
        </w:trPr>
        <w:tc>
          <w:tcPr>
            <w:tcW w:w="2180" w:type="dxa"/>
            <w:vAlign w:val="bottom"/>
          </w:tcPr>
          <w:p>
            <w:pPr>
              <w:spacing w:after="0"/>
              <w:rPr>
                <w:sz w:val="20"/>
                <w:szCs w:val="20"/>
                <w:color w:val="auto"/>
              </w:rPr>
            </w:pPr>
            <w:r>
              <w:rPr>
                <w:rFonts w:ascii="Arial" w:cs="Arial" w:eastAsia="Arial" w:hAnsi="Arial"/>
                <w:sz w:val="11"/>
                <w:szCs w:val="11"/>
                <w:color w:val="auto"/>
              </w:rPr>
              <w:t>2017</w:t>
            </w: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1"/>
                <w:szCs w:val="11"/>
                <w:color w:val="auto"/>
              </w:rPr>
              <w:t>3,621</w:t>
            </w:r>
          </w:p>
        </w:tc>
        <w:tc>
          <w:tcPr>
            <w:tcW w:w="3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1"/>
                <w:szCs w:val="11"/>
                <w:color w:val="auto"/>
              </w:rPr>
              <w:t>23,712</w:t>
            </w:r>
          </w:p>
        </w:tc>
        <w:tc>
          <w:tcPr>
            <w:tcW w:w="2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2,665</w:t>
            </w:r>
          </w:p>
        </w:tc>
        <w:tc>
          <w:tcPr>
            <w:tcW w:w="2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1"/>
                <w:szCs w:val="11"/>
                <w:color w:val="auto"/>
              </w:rPr>
              <w:t>29,998</w:t>
            </w:r>
          </w:p>
        </w:tc>
      </w:tr>
      <w:tr>
        <w:trPr>
          <w:trHeight w:val="191"/>
        </w:trPr>
        <w:tc>
          <w:tcPr>
            <w:tcW w:w="2180" w:type="dxa"/>
            <w:vAlign w:val="bottom"/>
            <w:shd w:val="clear" w:color="auto" w:fill="CCEEFF"/>
          </w:tcPr>
          <w:p>
            <w:pPr>
              <w:spacing w:after="0"/>
              <w:rPr>
                <w:sz w:val="20"/>
                <w:szCs w:val="20"/>
                <w:color w:val="auto"/>
              </w:rPr>
            </w:pPr>
            <w:r>
              <w:rPr>
                <w:rFonts w:ascii="Arial" w:cs="Arial" w:eastAsia="Arial" w:hAnsi="Arial"/>
                <w:sz w:val="11"/>
                <w:szCs w:val="11"/>
                <w:color w:val="auto"/>
              </w:rPr>
              <w:t>2018</w:t>
            </w:r>
          </w:p>
        </w:tc>
        <w:tc>
          <w:tcPr>
            <w:tcW w:w="3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3,629</w:t>
            </w:r>
          </w:p>
        </w:tc>
        <w:tc>
          <w:tcPr>
            <w:tcW w:w="3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22,458</w:t>
            </w:r>
          </w:p>
        </w:tc>
        <w:tc>
          <w:tcPr>
            <w:tcW w:w="28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26,087</w:t>
            </w:r>
          </w:p>
        </w:tc>
      </w:tr>
      <w:tr>
        <w:trPr>
          <w:trHeight w:val="187"/>
        </w:trPr>
        <w:tc>
          <w:tcPr>
            <w:tcW w:w="2180" w:type="dxa"/>
            <w:vAlign w:val="bottom"/>
          </w:tcPr>
          <w:p>
            <w:pPr>
              <w:spacing w:after="0"/>
              <w:rPr>
                <w:sz w:val="20"/>
                <w:szCs w:val="20"/>
                <w:color w:val="auto"/>
              </w:rPr>
            </w:pPr>
            <w:r>
              <w:rPr>
                <w:rFonts w:ascii="Arial" w:cs="Arial" w:eastAsia="Arial" w:hAnsi="Arial"/>
                <w:sz w:val="11"/>
                <w:szCs w:val="11"/>
                <w:color w:val="auto"/>
              </w:rPr>
              <w:t>2019</w:t>
            </w: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1"/>
                <w:szCs w:val="11"/>
                <w:color w:val="auto"/>
              </w:rPr>
              <w:t>3,691</w:t>
            </w:r>
          </w:p>
        </w:tc>
        <w:tc>
          <w:tcPr>
            <w:tcW w:w="3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1"/>
                <w:szCs w:val="11"/>
                <w:color w:val="auto"/>
              </w:rPr>
              <w:t>19,683</w:t>
            </w:r>
          </w:p>
        </w:tc>
        <w:tc>
          <w:tcPr>
            <w:tcW w:w="2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1"/>
                <w:szCs w:val="11"/>
                <w:color w:val="auto"/>
              </w:rPr>
              <w:t>23,374</w:t>
            </w:r>
          </w:p>
        </w:tc>
      </w:tr>
      <w:tr>
        <w:trPr>
          <w:trHeight w:val="191"/>
        </w:trPr>
        <w:tc>
          <w:tcPr>
            <w:tcW w:w="2180" w:type="dxa"/>
            <w:vAlign w:val="bottom"/>
            <w:shd w:val="clear" w:color="auto" w:fill="CCEEFF"/>
          </w:tcPr>
          <w:p>
            <w:pPr>
              <w:spacing w:after="0"/>
              <w:rPr>
                <w:sz w:val="20"/>
                <w:szCs w:val="20"/>
                <w:color w:val="auto"/>
              </w:rPr>
            </w:pPr>
            <w:r>
              <w:rPr>
                <w:rFonts w:ascii="Arial" w:cs="Arial" w:eastAsia="Arial" w:hAnsi="Arial"/>
                <w:sz w:val="11"/>
                <w:szCs w:val="11"/>
                <w:color w:val="auto"/>
              </w:rPr>
              <w:t>2020</w:t>
            </w:r>
          </w:p>
        </w:tc>
        <w:tc>
          <w:tcPr>
            <w:tcW w:w="3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1,388</w:t>
            </w:r>
          </w:p>
        </w:tc>
        <w:tc>
          <w:tcPr>
            <w:tcW w:w="3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15,324</w:t>
            </w:r>
          </w:p>
        </w:tc>
        <w:tc>
          <w:tcPr>
            <w:tcW w:w="28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16,712</w:t>
            </w:r>
          </w:p>
        </w:tc>
      </w:tr>
      <w:tr>
        <w:trPr>
          <w:trHeight w:val="187"/>
        </w:trPr>
        <w:tc>
          <w:tcPr>
            <w:tcW w:w="2480" w:type="dxa"/>
            <w:vAlign w:val="bottom"/>
            <w:tcBorders>
              <w:bottom w:val="single" w:sz="8" w:color="CCEEFF"/>
            </w:tcBorders>
            <w:gridSpan w:val="2"/>
          </w:tcPr>
          <w:p>
            <w:pPr>
              <w:spacing w:after="0"/>
              <w:rPr>
                <w:sz w:val="20"/>
                <w:szCs w:val="20"/>
                <w:color w:val="auto"/>
              </w:rPr>
            </w:pPr>
            <w:r>
              <w:rPr>
                <w:rFonts w:ascii="Arial" w:cs="Arial" w:eastAsia="Arial" w:hAnsi="Arial"/>
                <w:sz w:val="11"/>
                <w:szCs w:val="11"/>
                <w:color w:val="auto"/>
              </w:rPr>
              <w:t>Thereafter</w:t>
            </w:r>
          </w:p>
        </w:tc>
        <w:tc>
          <w:tcPr>
            <w:tcW w:w="4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11,339</w:t>
            </w:r>
          </w:p>
        </w:tc>
        <w:tc>
          <w:tcPr>
            <w:tcW w:w="3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110,790</w:t>
            </w:r>
          </w:p>
        </w:tc>
        <w:tc>
          <w:tcPr>
            <w:tcW w:w="280" w:type="dxa"/>
            <w:vAlign w:val="bottom"/>
            <w:tcBorders>
              <w:bottom w:val="single" w:sz="8" w:color="CCEEFF"/>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28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122,129</w:t>
            </w:r>
          </w:p>
        </w:tc>
      </w:tr>
      <w:tr>
        <w:trPr>
          <w:trHeight w:val="162"/>
        </w:trPr>
        <w:tc>
          <w:tcPr>
            <w:tcW w:w="24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1"/>
                <w:szCs w:val="11"/>
                <w:color w:val="auto"/>
              </w:rPr>
              <w:t>Total</w:t>
            </w:r>
          </w:p>
        </w:tc>
        <w:tc>
          <w:tcPr>
            <w:tcW w:w="42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27,197</w:t>
            </w:r>
          </w:p>
        </w:tc>
        <w:tc>
          <w:tcPr>
            <w:tcW w:w="30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ind w:right="106"/>
              <w:spacing w:after="0"/>
              <w:rPr>
                <w:sz w:val="20"/>
                <w:szCs w:val="20"/>
                <w:color w:val="auto"/>
              </w:rPr>
            </w:pPr>
            <w:r>
              <w:rPr>
                <w:rFonts w:ascii="Arial" w:cs="Arial" w:eastAsia="Arial" w:hAnsi="Arial"/>
                <w:sz w:val="11"/>
                <w:szCs w:val="11"/>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215,861</w:t>
            </w:r>
          </w:p>
        </w:tc>
        <w:tc>
          <w:tcPr>
            <w:tcW w:w="280" w:type="dxa"/>
            <w:vAlign w:val="bottom"/>
            <w:tcBorders>
              <w:bottom w:val="single" w:sz="8" w:color="CCEEFF"/>
            </w:tcBorders>
            <w:shd w:val="clear" w:color="auto" w:fill="CCEEFF"/>
          </w:tcPr>
          <w:p>
            <w:pPr>
              <w:spacing w:after="0"/>
              <w:rPr>
                <w:sz w:val="14"/>
                <w:szCs w:val="14"/>
                <w:color w:val="auto"/>
              </w:rPr>
            </w:pPr>
          </w:p>
        </w:tc>
        <w:tc>
          <w:tcPr>
            <w:tcW w:w="1400" w:type="dxa"/>
            <w:vAlign w:val="bottom"/>
            <w:tcBorders>
              <w:bottom w:val="single" w:sz="8" w:color="auto"/>
            </w:tcBorders>
            <w:shd w:val="clear" w:color="auto" w:fill="CCEEFF"/>
          </w:tcPr>
          <w:p>
            <w:pPr>
              <w:jc w:val="right"/>
              <w:ind w:right="1066"/>
              <w:spacing w:after="0"/>
              <w:rPr>
                <w:sz w:val="20"/>
                <w:szCs w:val="20"/>
                <w:color w:val="auto"/>
              </w:rPr>
            </w:pPr>
            <w:r>
              <w:rPr>
                <w:rFonts w:ascii="Arial" w:cs="Arial" w:eastAsia="Arial" w:hAnsi="Arial"/>
                <w:sz w:val="11"/>
                <w:szCs w:val="11"/>
                <w:color w:val="auto"/>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5,359</w:t>
            </w:r>
          </w:p>
        </w:tc>
        <w:tc>
          <w:tcPr>
            <w:tcW w:w="28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ind w:right="206"/>
              <w:spacing w:after="0"/>
              <w:rPr>
                <w:sz w:val="20"/>
                <w:szCs w:val="20"/>
                <w:color w:val="auto"/>
              </w:rPr>
            </w:pPr>
            <w:r>
              <w:rPr>
                <w:rFonts w:ascii="Arial" w:cs="Arial" w:eastAsia="Arial" w:hAnsi="Arial"/>
                <w:sz w:val="11"/>
                <w:szCs w:val="11"/>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248,417</w:t>
            </w:r>
          </w:p>
        </w:tc>
      </w:tr>
    </w:tbl>
    <w:p>
      <w:pPr>
        <w:spacing w:after="0" w:line="135" w:lineRule="exact"/>
        <w:rPr>
          <w:sz w:val="20"/>
          <w:szCs w:val="20"/>
          <w:color w:val="auto"/>
        </w:rPr>
      </w:pPr>
    </w:p>
    <w:p>
      <w:pPr>
        <w:ind w:right="60"/>
        <w:spacing w:after="0" w:line="380" w:lineRule="auto"/>
        <w:rPr>
          <w:sz w:val="20"/>
          <w:szCs w:val="20"/>
          <w:color w:val="auto"/>
        </w:rPr>
      </w:pPr>
      <w:r>
        <w:rPr>
          <w:rFonts w:ascii="Arial" w:cs="Arial" w:eastAsia="Arial" w:hAnsi="Arial"/>
          <w:sz w:val="10"/>
          <w:szCs w:val="10"/>
          <w:color w:val="auto"/>
        </w:rPr>
        <w:t xml:space="preserve">We expect the amount of minimum lease payments will fluctuate depending on the foreign currency exchange rates of the Australian dollar to the U.S. dollar and the New Zealand dollar to the U.S. dollar, mainly because a significant portion of our cinema exhibition business is conducted in Australia and New Zealand. See Note 18 – </w:t>
      </w:r>
      <w:r>
        <w:rPr>
          <w:rFonts w:ascii="Arial" w:cs="Arial" w:eastAsia="Arial" w:hAnsi="Arial"/>
          <w:sz w:val="10"/>
          <w:szCs w:val="10"/>
          <w:i w:val="1"/>
          <w:iCs w:val="1"/>
          <w:color w:val="auto"/>
        </w:rPr>
        <w:t>Related Parties and Transactions</w:t>
      </w:r>
      <w:r>
        <w:rPr>
          <w:rFonts w:ascii="Arial" w:cs="Arial" w:eastAsia="Arial" w:hAnsi="Arial"/>
          <w:sz w:val="10"/>
          <w:szCs w:val="10"/>
          <w:color w:val="auto"/>
        </w:rPr>
        <w:t xml:space="preserve"> for the amount of leases associated with any related party leases.</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59690</wp:posOffset>
            </wp:positionV>
            <wp:extent cx="677989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779895" cy="42545"/>
                    </a:xfrm>
                    <a:prstGeom prst="rect">
                      <a:avLst/>
                    </a:prstGeom>
                    <a:noFill/>
                  </pic:spPr>
                </pic:pic>
              </a:graphicData>
            </a:graphic>
          </wp:anchor>
        </w:drawing>
      </w:r>
    </w:p>
    <w:p>
      <w:pPr>
        <w:sectPr>
          <w:pgSz w:w="11900" w:h="16838" w:orient="portrait"/>
          <w:cols w:equalWidth="0" w:num="1">
            <w:col w:w="10620"/>
          </w:cols>
          <w:pgMar w:left="640" w:top="275" w:right="639" w:bottom="1440" w:gutter="0" w:footer="0" w:header="0"/>
        </w:sectPr>
      </w:pPr>
    </w:p>
    <w:bookmarkStart w:id="83" w:name="page84"/>
    <w:bookmarkEnd w:id="83"/>
    <w:p>
      <w:pPr>
        <w:spacing w:after="0"/>
        <w:rPr>
          <w:sz w:val="20"/>
          <w:szCs w:val="20"/>
          <w:color w:val="auto"/>
        </w:rPr>
      </w:pPr>
      <w:r>
        <w:rPr>
          <w:rFonts w:ascii="Arial" w:cs="Arial" w:eastAsia="Arial" w:hAnsi="Arial"/>
          <w:sz w:val="12"/>
          <w:szCs w:val="12"/>
          <w:b w:val="1"/>
          <w:bCs w:val="1"/>
          <w:color w:val="auto"/>
        </w:rPr>
        <w:t>LITIGATION</w:t>
      </w:r>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color w:val="auto"/>
        </w:rPr>
        <w:t>We are currently involved in certain legal proceedings and, as required, have accrued estimates of probable and estimable losses for the resolution of these claims.</w:t>
      </w:r>
    </w:p>
    <w:p>
      <w:pPr>
        <w:spacing w:after="0" w:line="132" w:lineRule="exact"/>
        <w:rPr>
          <w:sz w:val="20"/>
          <w:szCs w:val="20"/>
          <w:color w:val="auto"/>
        </w:rPr>
      </w:pPr>
    </w:p>
    <w:p>
      <w:pPr>
        <w:ind w:right="80"/>
        <w:spacing w:after="0" w:line="263" w:lineRule="auto"/>
        <w:rPr>
          <w:sz w:val="20"/>
          <w:szCs w:val="20"/>
          <w:color w:val="auto"/>
        </w:rPr>
      </w:pPr>
      <w:r>
        <w:rPr>
          <w:rFonts w:ascii="Arial" w:cs="Arial" w:eastAsia="Arial" w:hAnsi="Arial"/>
          <w:sz w:val="12"/>
          <w:szCs w:val="12"/>
          <w:color w:val="auto"/>
        </w:rPr>
        <w:t>Where we are the plaintiffs, we expense all legal fees on an on-going basis and make no provision for any potential settlement amounts until received. In Australia, the prevailing party is usually entitled to recover its attorneys’ fees, which recoveries typically work out to be approximately 60% of the amounts actually spent where first-class legal counsel is engaged at customary rates. Where we are a plaintiff, we have likewise made no provision for the liability for the defendant’s attorneys' fees in the event we are determined not to be the prevailing party.</w:t>
      </w:r>
    </w:p>
    <w:p>
      <w:pPr>
        <w:spacing w:after="0" w:line="96" w:lineRule="exact"/>
        <w:rPr>
          <w:sz w:val="20"/>
          <w:szCs w:val="20"/>
          <w:color w:val="auto"/>
        </w:rPr>
      </w:pPr>
    </w:p>
    <w:p>
      <w:pPr>
        <w:ind w:right="180"/>
        <w:spacing w:after="0" w:line="263" w:lineRule="auto"/>
        <w:rPr>
          <w:sz w:val="20"/>
          <w:szCs w:val="20"/>
          <w:color w:val="auto"/>
        </w:rPr>
      </w:pPr>
      <w:r>
        <w:rPr>
          <w:rFonts w:ascii="Arial" w:cs="Arial" w:eastAsia="Arial" w:hAnsi="Arial"/>
          <w:sz w:val="12"/>
          <w:szCs w:val="12"/>
          <w:color w:val="auto"/>
        </w:rPr>
        <w:t>Where we are the defendants, we accrue for probable damages that insurance may not cover as they become known and can be reasonably estimated. In our opinion, any claims and litigation in which we are currently involved are not reasonably likely to have a material adverse effect on our business, results of operations, financial position, or liquidity. It is possible, however, that future results of the operations for any particular quarterly or annual period could be materially affected by the ultimate outcome of the legal proceedings.</w:t>
      </w:r>
    </w:p>
    <w:p>
      <w:pPr>
        <w:spacing w:after="0" w:line="96" w:lineRule="exact"/>
        <w:rPr>
          <w:sz w:val="20"/>
          <w:szCs w:val="20"/>
          <w:color w:val="auto"/>
        </w:rPr>
      </w:pPr>
    </w:p>
    <w:p>
      <w:pPr>
        <w:ind w:right="20"/>
        <w:spacing w:after="0" w:line="276" w:lineRule="auto"/>
        <w:rPr>
          <w:sz w:val="20"/>
          <w:szCs w:val="20"/>
          <w:color w:val="auto"/>
        </w:rPr>
      </w:pPr>
      <w:r>
        <w:rPr>
          <w:rFonts w:ascii="Arial" w:cs="Arial" w:eastAsia="Arial" w:hAnsi="Arial"/>
          <w:sz w:val="12"/>
          <w:szCs w:val="12"/>
          <w:color w:val="auto"/>
        </w:rPr>
        <w:t>From time-to-time, we are involved with claims and lawsuits arising in the ordinary course of our business that may include contractual obligations, insurance claims, tax claims, employment matters, and anti-trust issues, among other matters.</w:t>
      </w:r>
    </w:p>
    <w:p>
      <w:pPr>
        <w:spacing w:after="0" w:line="97" w:lineRule="exact"/>
        <w:rPr>
          <w:sz w:val="20"/>
          <w:szCs w:val="20"/>
          <w:color w:val="auto"/>
        </w:rPr>
      </w:pPr>
    </w:p>
    <w:p>
      <w:pPr>
        <w:ind w:right="100"/>
        <w:spacing w:after="0" w:line="323" w:lineRule="auto"/>
        <w:rPr>
          <w:sz w:val="20"/>
          <w:szCs w:val="20"/>
          <w:color w:val="auto"/>
        </w:rPr>
      </w:pPr>
      <w:r>
        <w:rPr>
          <w:rFonts w:ascii="Arial" w:cs="Arial" w:eastAsia="Arial" w:hAnsi="Arial"/>
          <w:sz w:val="11"/>
          <w:szCs w:val="11"/>
          <w:color w:val="auto"/>
        </w:rPr>
        <w:t>All of these matters require that we make judgments based on the facts known to us. These judgments are inherently uncertain and can change significantly when additional facts become known. We provide accruals for matters that are either probably or reasonably possible and can be properly estimated as to their expected negative outcome. We do not record expected gains until the proceeds are received by us</w:t>
      </w:r>
    </w:p>
    <w:p>
      <w:pPr>
        <w:spacing w:after="0" w:line="6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TAX AUDIT/LITIGATION</w:t>
      </w:r>
    </w:p>
    <w:p>
      <w:pPr>
        <w:spacing w:after="0" w:line="127" w:lineRule="exact"/>
        <w:rPr>
          <w:sz w:val="20"/>
          <w:szCs w:val="20"/>
          <w:color w:val="auto"/>
        </w:rPr>
      </w:pPr>
    </w:p>
    <w:p>
      <w:pPr>
        <w:ind w:right="80"/>
        <w:spacing w:after="0" w:line="298" w:lineRule="auto"/>
        <w:rPr>
          <w:sz w:val="20"/>
          <w:szCs w:val="20"/>
          <w:color w:val="auto"/>
        </w:rPr>
      </w:pPr>
      <w:r>
        <w:rPr>
          <w:rFonts w:ascii="Arial" w:cs="Arial" w:eastAsia="Arial" w:hAnsi="Arial"/>
          <w:sz w:val="11"/>
          <w:szCs w:val="11"/>
          <w:color w:val="auto"/>
        </w:rPr>
        <w:t xml:space="preserve">The Internal Revenue Service (the “IRS”) examined the tax return of Craig Corporation (“CRG”) for its tax year ended June 30, 1997. CRG was a stand-alone entity in the year of audit but is now a wholly-owned subsidiary of the Company. In Tax Court, CRG and the IRS agreed to compromise the claims made by the IRS against CRG, and the court order was entered on January 6, 2011. As of December 31, 2015, the remaining federal tax obligation was $2.5 million, reflecting additional interest accrued during the term of the four year installment plan. For additional information, see Note 9 – </w:t>
      </w:r>
      <w:r>
        <w:rPr>
          <w:rFonts w:ascii="Arial" w:cs="Arial" w:eastAsia="Arial" w:hAnsi="Arial"/>
          <w:sz w:val="11"/>
          <w:szCs w:val="11"/>
          <w:i w:val="1"/>
          <w:iCs w:val="1"/>
          <w:color w:val="auto"/>
        </w:rPr>
        <w:t>Income Taxes</w:t>
      </w:r>
      <w:r>
        <w:rPr>
          <w:rFonts w:ascii="Arial" w:cs="Arial" w:eastAsia="Arial" w:hAnsi="Arial"/>
          <w:sz w:val="11"/>
          <w:szCs w:val="11"/>
          <w:color w:val="auto"/>
        </w:rPr>
        <w:t>.</w:t>
      </w:r>
    </w:p>
    <w:p>
      <w:pPr>
        <w:spacing w:after="0" w:line="8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ENVIRONMENTAL AND ASBETOS CLAIMS</w:t>
      </w:r>
    </w:p>
    <w:p>
      <w:pPr>
        <w:spacing w:after="0" w:line="127" w:lineRule="exact"/>
        <w:rPr>
          <w:sz w:val="20"/>
          <w:szCs w:val="20"/>
          <w:color w:val="auto"/>
        </w:rPr>
      </w:pPr>
    </w:p>
    <w:p>
      <w:pPr>
        <w:spacing w:after="0"/>
        <w:rPr>
          <w:sz w:val="20"/>
          <w:szCs w:val="20"/>
          <w:color w:val="auto"/>
        </w:rPr>
      </w:pPr>
      <w:r>
        <w:rPr>
          <w:rFonts w:ascii="Arial" w:cs="Arial" w:eastAsia="Arial" w:hAnsi="Arial"/>
          <w:sz w:val="11"/>
          <w:szCs w:val="11"/>
          <w:color w:val="auto"/>
        </w:rPr>
        <w:t>Certain of our subsidiaries were historically involved in railroad operations, coal mining, and manufacturing. Also, certain of these subsidiaries appear in the chain-of-title of properties that may suffer from</w:t>
      </w:r>
    </w:p>
    <w:p>
      <w:pPr>
        <w:spacing w:after="0" w:line="26" w:lineRule="exact"/>
        <w:rPr>
          <w:sz w:val="20"/>
          <w:szCs w:val="20"/>
          <w:color w:val="auto"/>
        </w:rPr>
      </w:pPr>
    </w:p>
    <w:p>
      <w:pPr>
        <w:ind w:right="40"/>
        <w:spacing w:after="0" w:line="290" w:lineRule="auto"/>
        <w:rPr>
          <w:sz w:val="20"/>
          <w:szCs w:val="20"/>
          <w:color w:val="auto"/>
        </w:rPr>
      </w:pPr>
      <w:r>
        <w:rPr>
          <w:rFonts w:ascii="Arial" w:cs="Arial" w:eastAsia="Arial" w:hAnsi="Arial"/>
          <w:sz w:val="11"/>
          <w:szCs w:val="11"/>
          <w:color w:val="auto"/>
        </w:rPr>
        <w:t>pollution. Accordingly, certain of these subsidiaries have, from time-to-time, been named in and may in the future be named in various actions brought under applicable environmental laws. Also, we are in the real estate development business and may encounter from time-to-time unanticipated environmental conditions at properties that we have acquired for development. These environmental conditions can increase the cost of such projects and adversely affect the value and potential for profit of such projects. We do not currently believe that our exposure under applicable environmental laws is material in amount.</w:t>
      </w:r>
    </w:p>
    <w:p>
      <w:pPr>
        <w:spacing w:after="0" w:line="82" w:lineRule="exact"/>
        <w:rPr>
          <w:sz w:val="20"/>
          <w:szCs w:val="20"/>
          <w:color w:val="auto"/>
        </w:rPr>
      </w:pPr>
    </w:p>
    <w:p>
      <w:pPr>
        <w:ind w:right="100"/>
        <w:spacing w:after="0" w:line="298" w:lineRule="auto"/>
        <w:rPr>
          <w:sz w:val="20"/>
          <w:szCs w:val="20"/>
          <w:color w:val="auto"/>
        </w:rPr>
      </w:pPr>
      <w:r>
        <w:rPr>
          <w:rFonts w:ascii="Arial" w:cs="Arial" w:eastAsia="Arial" w:hAnsi="Arial"/>
          <w:sz w:val="11"/>
          <w:szCs w:val="11"/>
          <w:color w:val="auto"/>
        </w:rPr>
        <w:t>From time-to-time, we have claims brought against us relating to the exposure of former employees of our railroad operations to asbestos and coal dust. These are generally covered by an insurance settlement reached in September 1990 with our insurance carriers. However, this insurance settlement does not cover litigation by people who were not our employees and who may claim second-hand exposure to asbestos, coal dust and/or other chemicals or elements now recognized as potentially causing cancer in humans. Our known exposure to these types of claims, asserted or probable of being asserted, is not material.</w:t>
      </w:r>
    </w:p>
    <w:p>
      <w:pPr>
        <w:spacing w:after="0" w:line="8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DERIVATIVE LITIGATION AND JAMES J. COTTER, JR. ARBITRATION</w:t>
      </w:r>
    </w:p>
    <w:p>
      <w:pPr>
        <w:spacing w:after="0" w:line="127" w:lineRule="exact"/>
        <w:rPr>
          <w:sz w:val="20"/>
          <w:szCs w:val="20"/>
          <w:color w:val="auto"/>
        </w:rPr>
      </w:pPr>
    </w:p>
    <w:p>
      <w:pPr>
        <w:spacing w:after="0" w:line="283" w:lineRule="auto"/>
        <w:rPr>
          <w:sz w:val="20"/>
          <w:szCs w:val="20"/>
          <w:color w:val="auto"/>
        </w:rPr>
      </w:pPr>
      <w:r>
        <w:rPr>
          <w:rFonts w:ascii="Arial" w:cs="Arial" w:eastAsia="Arial" w:hAnsi="Arial"/>
          <w:sz w:val="11"/>
          <w:szCs w:val="11"/>
          <w:color w:val="auto"/>
        </w:rPr>
        <w:t>On June 12, 2015, the Board of Directors terminated James J. Cotter, Jr. as the President and Chief Executive Officer of our Company. That same day, Mr. Cotter, Jr. filed a lawsuit, styled as both an individual and a derivative action, and titled “James J. Cotter, Jr., individually and derivatively on behalf of Reading International, Inc. vs. Margaret Cotter, et al.” Case No,: A-15-719860-V, Dept XI (the “Cotter Jr. Derivative Action” and the “Cotter, Jr. Complaint,” respectively) against the Company and each of our other then sitting Directors (Ellen Cotter, Margaret Cotter, Guy Adams, William Gould, Edward Kane, Douglas McEachern, and Tim Storey, the “Defendant Directors”) in the Eighth Judicial District Court of the State of Nevada for Clark County (the “Nevada District Court”). On October 22, 2015, Mr. Cotter, Jr., amended his complaint to drop his individual claims (the “Amended Cotter Jr. Derivative Complaint”). Accordingly, the Amended Cotter, Jr. Complaint presently purports to assert only purportedly derivative claims and to seek remedies only on behalf of the Company. The lawsuit currently alleges, among other things, that the Defendant Directors breached their fiduciary duties to the Company by terminating Mr. Cotter, Jr. as President and Chief Executive Officer,</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59690</wp:posOffset>
            </wp:positionV>
            <wp:extent cx="677989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779895" cy="42545"/>
                    </a:xfrm>
                    <a:prstGeom prst="rect">
                      <a:avLst/>
                    </a:prstGeom>
                    <a:noFill/>
                  </pic:spPr>
                </pic:pic>
              </a:graphicData>
            </a:graphic>
          </wp:anchor>
        </w:drawing>
      </w:r>
    </w:p>
    <w:p>
      <w:pPr>
        <w:sectPr>
          <w:pgSz w:w="11900" w:h="16838" w:orient="portrait"/>
          <w:cols w:equalWidth="0" w:num="1">
            <w:col w:w="10600"/>
          </w:cols>
          <w:pgMar w:left="640" w:top="271" w:right="659" w:bottom="1440" w:gutter="0" w:footer="0" w:header="0"/>
        </w:sectPr>
      </w:pPr>
    </w:p>
    <w:bookmarkStart w:id="84" w:name="page85"/>
    <w:bookmarkEnd w:id="84"/>
    <w:p>
      <w:pPr>
        <w:ind w:right="140"/>
        <w:spacing w:after="0" w:line="259" w:lineRule="auto"/>
        <w:rPr>
          <w:sz w:val="20"/>
          <w:szCs w:val="20"/>
          <w:color w:val="auto"/>
        </w:rPr>
      </w:pPr>
      <w:r>
        <w:rPr>
          <w:rFonts w:ascii="Arial" w:cs="Arial" w:eastAsia="Arial" w:hAnsi="Arial"/>
          <w:sz w:val="12"/>
          <w:szCs w:val="12"/>
          <w:color w:val="auto"/>
        </w:rPr>
        <w:t>continuing to make use of the Executive Committee that has been in place for more than the past ten years, making allegedly potentially misleading statements in its press releases and filings with the Securities and Exchange Commission (“SEC”), paying certain compensation to Ms. Ellen Cotter, and allowing the Cotter Estate to make use of Class A Common Stock to pay for the exercise of certain long outstanding stock options held of record by the Cotter Estate. He seeks reinstatement as President and CEO and alleges as damages fluctuations in the price for our Company’s shares after the announcement of his termination as President and CEO and certain unspecified damages to our Company’s reputation.</w:t>
      </w:r>
    </w:p>
    <w:p>
      <w:pPr>
        <w:spacing w:after="0" w:line="98" w:lineRule="exact"/>
        <w:rPr>
          <w:sz w:val="20"/>
          <w:szCs w:val="20"/>
          <w:color w:val="auto"/>
        </w:rPr>
      </w:pPr>
    </w:p>
    <w:p>
      <w:pPr>
        <w:spacing w:after="0" w:line="255" w:lineRule="auto"/>
        <w:rPr>
          <w:sz w:val="20"/>
          <w:szCs w:val="20"/>
          <w:color w:val="auto"/>
        </w:rPr>
      </w:pPr>
      <w:r>
        <w:rPr>
          <w:rFonts w:ascii="Arial" w:cs="Arial" w:eastAsia="Arial" w:hAnsi="Arial"/>
          <w:sz w:val="12"/>
          <w:szCs w:val="12"/>
          <w:color w:val="auto"/>
        </w:rPr>
        <w:t>In a derivative action, the stockholder plaintiff seeks damages or other relief for the benefit of the Company, and not for the stockholder plaintiff’s individual benefit. Accordingly, the Company is, at least in theory, only a nominal defendant in such a derivative action. However, as a practical matter, because Mr. Cotter, Jr. is also seeking, among other things, an order that our Board’s determination to terminate Mr. Cotter Jr. was ineffective and that he be reinstated as the President and CEO of the Company and also disbanding our Board’s Executive Committee (an injunctive remedy that, if granted, would be binding on the Company), and as he asserts potentially misleading statements in certain press releases and filings with the SEC, the Company is incurring significant cost and expense defending the decision to terminate Mr. Cotter, Jr. as President and Chief Executive Officer, its board committee structure, and the adequacy of those press releases and filings. Also, the Company continues to incur costs promulgating and responding to discovery demands and satisfying indemnity obligations to the Defendant Directors.</w:t>
      </w:r>
    </w:p>
    <w:p>
      <w:pPr>
        <w:spacing w:after="0" w:line="111" w:lineRule="exact"/>
        <w:rPr>
          <w:sz w:val="20"/>
          <w:szCs w:val="20"/>
          <w:color w:val="auto"/>
        </w:rPr>
      </w:pPr>
    </w:p>
    <w:p>
      <w:pPr>
        <w:ind w:right="60"/>
        <w:spacing w:after="0" w:line="263" w:lineRule="auto"/>
        <w:rPr>
          <w:sz w:val="20"/>
          <w:szCs w:val="20"/>
          <w:color w:val="auto"/>
        </w:rPr>
      </w:pPr>
      <w:r>
        <w:rPr>
          <w:rFonts w:ascii="Arial" w:cs="Arial" w:eastAsia="Arial" w:hAnsi="Arial"/>
          <w:sz w:val="12"/>
          <w:szCs w:val="12"/>
          <w:color w:val="auto"/>
        </w:rPr>
        <w:t>Our directors and officers liability insurer is providing insurance coverage, subject to a $500,000 deductible (which has now been exhausted) and its standard reservation of rights, with respect to the defense of the Director Defendants. Our new Directors, Dr. Judy Codding and Mr. Michael Wrotniak, are not named in the Cotter Jr. Derivative Action as they were not Directors at the time of the breaches of fiduciary duty alleged by Mr. Cotter, Jr.</w:t>
      </w:r>
    </w:p>
    <w:p>
      <w:pPr>
        <w:spacing w:after="0" w:line="96" w:lineRule="exact"/>
        <w:rPr>
          <w:sz w:val="20"/>
          <w:szCs w:val="20"/>
          <w:color w:val="auto"/>
        </w:rPr>
      </w:pPr>
    </w:p>
    <w:p>
      <w:pPr>
        <w:jc w:val="both"/>
        <w:ind w:right="100"/>
        <w:spacing w:after="0" w:line="298" w:lineRule="auto"/>
        <w:rPr>
          <w:sz w:val="20"/>
          <w:szCs w:val="20"/>
          <w:color w:val="auto"/>
        </w:rPr>
      </w:pPr>
      <w:r>
        <w:rPr>
          <w:rFonts w:ascii="Arial" w:cs="Arial" w:eastAsia="Arial" w:hAnsi="Arial"/>
          <w:sz w:val="11"/>
          <w:szCs w:val="11"/>
          <w:color w:val="auto"/>
        </w:rPr>
        <w:t>Pursuant to the terms of Mr. Cotter Jr.’s employment agreement with the Company, disputes relating to his employment are to be arbitrated. Accordingly, on July 14, 2015, the Company filed an arbitration demand with the American Arbitration Association against Mr. Cotter, Jr. The demand seeks declaratory relief, among other things, that Mr. Cotter, Jr.'s employment and employment agreement with the Company have been validly terminated and that the Board of Directors validly removed him from his positions as Chief Executive Officer and President of the Company and positions with the Company’s subsidiaries.</w:t>
      </w:r>
    </w:p>
    <w:p>
      <w:pPr>
        <w:spacing w:after="0" w:line="78" w:lineRule="exact"/>
        <w:rPr>
          <w:sz w:val="20"/>
          <w:szCs w:val="20"/>
          <w:color w:val="auto"/>
        </w:rPr>
      </w:pPr>
    </w:p>
    <w:p>
      <w:pPr>
        <w:ind w:right="280"/>
        <w:spacing w:after="0" w:line="263" w:lineRule="auto"/>
        <w:rPr>
          <w:sz w:val="20"/>
          <w:szCs w:val="20"/>
          <w:color w:val="auto"/>
        </w:rPr>
      </w:pPr>
      <w:r>
        <w:rPr>
          <w:rFonts w:ascii="Arial" w:cs="Arial" w:eastAsia="Arial" w:hAnsi="Arial"/>
          <w:sz w:val="12"/>
          <w:szCs w:val="12"/>
          <w:color w:val="auto"/>
        </w:rPr>
        <w:t>Mr. Cotter, Jr. has filed a counter-complaint in the arbitration, asserting claims for breach of his employment contract, declaratory relief, and contractual indemnification. Mr. Cotter, Jr.’s counsel has advised that Mr. Cotter is seeking a variety of damages, including consequential damages, and that such claimed damages total not less than $1,000,000. On April 19, 2016, Mr. Cotter, Jr. filed an action in the District Court, Clark County, Nevada seeking to recover his costs of defending the Arbitration, plus compensatory damages and interest at the maximum legal rate.</w:t>
      </w:r>
    </w:p>
    <w:p>
      <w:pPr>
        <w:spacing w:after="0" w:line="105" w:lineRule="exact"/>
        <w:rPr>
          <w:sz w:val="20"/>
          <w:szCs w:val="20"/>
          <w:color w:val="auto"/>
        </w:rPr>
      </w:pPr>
    </w:p>
    <w:p>
      <w:pPr>
        <w:spacing w:after="0" w:line="281" w:lineRule="auto"/>
        <w:rPr>
          <w:sz w:val="20"/>
          <w:szCs w:val="20"/>
          <w:color w:val="auto"/>
        </w:rPr>
      </w:pPr>
      <w:r>
        <w:rPr>
          <w:rFonts w:ascii="Arial" w:cs="Arial" w:eastAsia="Arial" w:hAnsi="Arial"/>
          <w:sz w:val="11"/>
          <w:szCs w:val="11"/>
          <w:color w:val="auto"/>
        </w:rPr>
        <w:t>On August 6, 2015, the Company received notice that a Motion to Intervene in the Cotter Jr Derivative Action and that a proposed derivative complaint had been filed in the Nevada District Court captioned T2 Partners Management, LP, a Delaware limited partnership, doing business as Kase Capital Management; T2 Accredited Fund, LP, a Delaware limited partnership, doing business as Kase Fund; T2 Qualified Fund, LP, a Delaware limited partnership, doing business as Kase Qualified Fund; Tilson Offshore Fund, Ltd, a Cayman Islands exempted company; T2 Partners Management I, LLC, a Delaware limited liability company, doing business as Kase Management: T2 Partners Management Group, LLC, a Delaware limited liability company, doing business as Kase Group; JMG Capital Management, LLC, a Delaware limited liability company, Pacific Capital Management, LLC, a Delaware limited liability company, derivatively on behalf of Reading International, Inc. vs. Margaret Cotter, Ellen Cotter, Guy Adams, Edward Kane, Douglas McEachern, Timothy Storey, William Gould and Does 1 through 100, inclusive, as defendants, and, Reading International, Inc., a Nevada corporation, as Nominal Defendant (the “T2 Derivative Action” ). On August 11, 2015, the Court granted the motion of T2 Partners Management, LP et. al. (the “T2 Plaintiffs”), allowing these plaintiffs to file their complaint (the “T2 Derivative Complaint”).</w:t>
      </w:r>
    </w:p>
    <w:p>
      <w:pPr>
        <w:spacing w:after="0" w:line="89" w:lineRule="exact"/>
        <w:rPr>
          <w:sz w:val="20"/>
          <w:szCs w:val="20"/>
          <w:color w:val="auto"/>
        </w:rPr>
      </w:pPr>
    </w:p>
    <w:p>
      <w:pPr>
        <w:ind w:right="80"/>
        <w:spacing w:after="0" w:line="263" w:lineRule="auto"/>
        <w:rPr>
          <w:sz w:val="20"/>
          <w:szCs w:val="20"/>
          <w:color w:val="auto"/>
        </w:rPr>
      </w:pPr>
      <w:r>
        <w:rPr>
          <w:rFonts w:ascii="Arial" w:cs="Arial" w:eastAsia="Arial" w:hAnsi="Arial"/>
          <w:sz w:val="12"/>
          <w:szCs w:val="12"/>
          <w:color w:val="auto"/>
        </w:rPr>
        <w:t>On September 9, 2015, certain of the Defendant Directors filed a Motion to Dismiss the T2 Derivative Complaint. The Company joined this Motion to Dismiss on September 14, 2015. The hearing on this Motion to Dismiss was vacated as the T2 Plaintiffs voluntarily withdrew the T2 Derivative Complaint, with the parties agreeing that T2 Plaintiffs would have leave to amend the Complaint. On February 12, 2016, The T2 plaintiff filed an amended T2 Derivative Complaint (the “Amended T2 Derivative Complaint”).</w:t>
      </w:r>
    </w:p>
    <w:p>
      <w:pPr>
        <w:spacing w:after="0" w:line="123"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59690</wp:posOffset>
            </wp:positionV>
            <wp:extent cx="677989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779895" cy="42545"/>
                    </a:xfrm>
                    <a:prstGeom prst="rect">
                      <a:avLst/>
                    </a:prstGeom>
                    <a:noFill/>
                  </pic:spPr>
                </pic:pic>
              </a:graphicData>
            </a:graphic>
          </wp:anchor>
        </w:drawing>
      </w:r>
    </w:p>
    <w:p>
      <w:pPr>
        <w:sectPr>
          <w:pgSz w:w="11900" w:h="16838" w:orient="portrait"/>
          <w:cols w:equalWidth="0" w:num="1">
            <w:col w:w="10600"/>
          </w:cols>
          <w:pgMar w:left="640" w:top="275" w:right="659" w:bottom="1440" w:gutter="0" w:footer="0" w:header="0"/>
        </w:sectPr>
      </w:pPr>
    </w:p>
    <w:bookmarkStart w:id="85" w:name="page86"/>
    <w:bookmarkEnd w:id="85"/>
    <w:p>
      <w:pPr>
        <w:ind w:right="40"/>
        <w:spacing w:after="0" w:line="281" w:lineRule="auto"/>
        <w:rPr>
          <w:sz w:val="20"/>
          <w:szCs w:val="20"/>
          <w:color w:val="auto"/>
        </w:rPr>
      </w:pPr>
      <w:r>
        <w:rPr>
          <w:rFonts w:ascii="Arial" w:cs="Arial" w:eastAsia="Arial" w:hAnsi="Arial"/>
          <w:sz w:val="11"/>
          <w:szCs w:val="11"/>
          <w:color w:val="auto"/>
        </w:rPr>
        <w:t>The T2 Plaintiffs allege in their Amended T2 Derivative Complaint various violations of fiduciary duty, abuse of control, gross mismanagement and corporate waste by the Defendant Directors. More specifically the T2 Derivative Complaint seeks the reinstatement of James J. Cotter, Jr. as President and Chief Executive Officer and certain monetary damages, as well as equitable injunctive relief, attorney fees and costs of suit. Once again, the Company has been named as a nominal defendant. However, because the T2 Derivative Complaint also seeks the reinstatement of Mr. Cotter, Jr., as our President and CEO, it is being defended by the Company. In addition, the Company continues to incur costs promulgating and responding to discovery demands and satisfying indemnity obligations to the Defendant Directors. The Defendant Directors are the same as named in the Cotter Jr. Derivative Action as well as our two new Directors Dr. Judy Codding and Michael Wrotniak and Company legal counsel, Craig Tompkins. The cost of the defense of Directors Codding and Wrotniak is likewise being covered by our Directors and officer’s liability insurance carrier with the same reservations of right as in the Cotter Jr. Derivative Action, but without any separate deductible. The cost of the defense of Mr. Tompkins is being covered by the Company under its indemnity agreement with him.</w:t>
      </w:r>
    </w:p>
    <w:p>
      <w:pPr>
        <w:spacing w:after="0" w:line="89" w:lineRule="exact"/>
        <w:rPr>
          <w:sz w:val="20"/>
          <w:szCs w:val="20"/>
          <w:color w:val="auto"/>
        </w:rPr>
      </w:pPr>
    </w:p>
    <w:p>
      <w:pPr>
        <w:ind w:right="40"/>
        <w:spacing w:after="0" w:line="279" w:lineRule="auto"/>
        <w:rPr>
          <w:sz w:val="20"/>
          <w:szCs w:val="20"/>
          <w:color w:val="auto"/>
        </w:rPr>
      </w:pPr>
      <w:r>
        <w:rPr>
          <w:rFonts w:ascii="Arial" w:cs="Arial" w:eastAsia="Arial" w:hAnsi="Arial"/>
          <w:sz w:val="11"/>
          <w:szCs w:val="11"/>
          <w:color w:val="auto"/>
        </w:rPr>
        <w:t>The Amended T2 Derivative Complaint has deleted its request for an order disbanding our Executive Committee and for an order “collapsing the Class A and B stock structure into a single class of voting stock.” The Amended T2 Complaint has added a request for an order setting aside the election results from the 2015 Annual Meeting of Stockholders, based on an allegation that Ellen Cotter and Margaret Cotter were not entitled to vote the shares of Class B Common Stock held by the Cotter Estate and the Cotter Trust. The Company and the other defendants contest the allegations of the T2 Plaintiffs. The Company followed applicable Nevada law in recognizing that Ellen Cotter and Margaret Cotter had the legal right and power to vote the shares of Class B Common Stock held of record by the Cotter Estate and the Cotter Trust, and the independent Inspector of Elections has certified the results of that election.. Furthermore, even if the election results were to be overturned or voided, this would have no impact on the current composition of our Board or any action taken by our Board since our 2015 Annual Meeting of Stockholders, as all of the nominees were standing for re-election and accordingly retain their directorships until their replacements are elected. The Company will vigorously contest any assertions by the T2 Plaintiffs challenging the voting at the 2015 Annual Meeting of Stockholders and believes that the court will rule for the Company should this issue ever reach the court. The case is current set for trial in November, 2016. The T2 Plaintiffs have not sought any expedited ruling from the Court with respect to their assertions that Ellen Cotter and Margaret Cotter did not have the right and power to vote the shares of Class B Common Stock held of record by the Cotter Estate and the Cotter Trust.</w:t>
      </w:r>
    </w:p>
    <w:p>
      <w:pPr>
        <w:spacing w:after="0" w:line="100" w:lineRule="exact"/>
        <w:rPr>
          <w:sz w:val="20"/>
          <w:szCs w:val="20"/>
          <w:color w:val="auto"/>
        </w:rPr>
      </w:pPr>
    </w:p>
    <w:p>
      <w:pPr>
        <w:spacing w:after="0" w:line="263" w:lineRule="auto"/>
        <w:rPr>
          <w:sz w:val="20"/>
          <w:szCs w:val="20"/>
          <w:color w:val="auto"/>
        </w:rPr>
      </w:pPr>
      <w:r>
        <w:rPr>
          <w:rFonts w:ascii="Arial" w:cs="Arial" w:eastAsia="Arial" w:hAnsi="Arial"/>
          <w:sz w:val="12"/>
          <w:szCs w:val="12"/>
          <w:color w:val="auto"/>
        </w:rPr>
        <w:t>The Company believes that the claims set forth in the Amended Cotter Jr. Derivative Complaint and the Amended T2 Derivative Complaint are entirely without merit and seek equitable remedies for which no relief can be given. The Company intends to defend vigorously against any claims against our officers and directors and against any attempt to reinstate Mr. Cotter, Jr. as President and Chief Executive Officer or to effect any changes in the rights of our Company’s stockholders.</w:t>
      </w:r>
    </w:p>
    <w:p>
      <w:pPr>
        <w:spacing w:after="0" w:line="236"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THE STOMP ARBITRATION</w:t>
      </w:r>
    </w:p>
    <w:p>
      <w:pPr>
        <w:spacing w:after="0" w:line="127" w:lineRule="exact"/>
        <w:rPr>
          <w:sz w:val="20"/>
          <w:szCs w:val="20"/>
          <w:color w:val="auto"/>
        </w:rPr>
      </w:pPr>
    </w:p>
    <w:p>
      <w:pPr>
        <w:ind w:right="40"/>
        <w:spacing w:after="0" w:line="290" w:lineRule="auto"/>
        <w:rPr>
          <w:sz w:val="20"/>
          <w:szCs w:val="20"/>
          <w:color w:val="auto"/>
        </w:rPr>
      </w:pPr>
      <w:r>
        <w:rPr>
          <w:rFonts w:ascii="Arial" w:cs="Arial" w:eastAsia="Arial" w:hAnsi="Arial"/>
          <w:sz w:val="11"/>
          <w:szCs w:val="11"/>
          <w:color w:val="auto"/>
        </w:rPr>
        <w:t>In April 2015, Liberty Theatres, LLC (“Liberty”), a wholly owned subsidiary of the Company, commenced an American Arbitration Association arbitration proceeding (Case No.:01-15-0003-3728) against The Stomp Company Limited Partnership (the “Producer”) in response to the Producer’s purported termination of their license agreement with Liberty relating to the long playing show STOMP. Liberty sought specific performance, injunctive and declaratory relief and damages. The Producer counterclaimed for unspecified damages, alleging that Liberty has interfered with the Producer’s endeavors to move the show to another Off-Broadway theater. The Producer based its purported termination of the license agreement upon the alleged deficient condition of the Orpheum Theater, in which STOMP has been playing for more than the past 20 years.</w:t>
      </w:r>
    </w:p>
    <w:p>
      <w:pPr>
        <w:spacing w:after="0" w:line="109" w:lineRule="exact"/>
        <w:rPr>
          <w:sz w:val="20"/>
          <w:szCs w:val="20"/>
          <w:color w:val="auto"/>
        </w:rPr>
      </w:pPr>
    </w:p>
    <w:p>
      <w:pPr>
        <w:spacing w:after="0" w:line="259" w:lineRule="auto"/>
        <w:rPr>
          <w:sz w:val="20"/>
          <w:szCs w:val="20"/>
          <w:color w:val="auto"/>
        </w:rPr>
      </w:pPr>
      <w:r>
        <w:rPr>
          <w:rFonts w:ascii="Arial" w:cs="Arial" w:eastAsia="Arial" w:hAnsi="Arial"/>
          <w:sz w:val="12"/>
          <w:szCs w:val="12"/>
          <w:color w:val="auto"/>
        </w:rPr>
        <w:t>On December 18, 2015, the Arbitrator issued his Partial Final Award of Arbitration, providing for, among other things (i) the issuance of a permanent injunction prohibiting the Producer from “transferring or taking actions to market, promote, or otherwise facilitate any transfer of, STOMP to another theatre in New York City having fewer than 500 seats without Liberty’s prior written consent”, (ii) the Producer’s Notice of Termination purportedly terminating the parties’ license agreement was invalid, null and void and the License Agreement remains in full force and effect, and (iii) the award to Liberty of its reasonable attorneys’ fees in an amount to be determined by the Arbitrator. The Company expects the final award of attorneys’ fees to be decided during the second quarter of 2016.</w:t>
      </w:r>
    </w:p>
    <w:p>
      <w:pPr>
        <w:spacing w:after="0" w:line="125" w:lineRule="exact"/>
        <w:rPr>
          <w:sz w:val="20"/>
          <w:szCs w:val="20"/>
          <w:color w:val="auto"/>
        </w:rPr>
      </w:pPr>
    </w:p>
    <w:p>
      <w:pPr>
        <w:ind w:right="60"/>
        <w:spacing w:after="0" w:line="263" w:lineRule="auto"/>
        <w:rPr>
          <w:sz w:val="20"/>
          <w:szCs w:val="20"/>
          <w:color w:val="auto"/>
        </w:rPr>
      </w:pPr>
      <w:r>
        <w:rPr>
          <w:rFonts w:ascii="Arial" w:cs="Arial" w:eastAsia="Arial" w:hAnsi="Arial"/>
          <w:sz w:val="12"/>
          <w:szCs w:val="12"/>
          <w:color w:val="auto"/>
        </w:rPr>
        <w:t>In explaining his decision to award Liberty its reasonable attorneys’ fees, the Arbitrator stated as follows: “Liberty is entitled to such an award [of attorneys’ fees] not only because it is the prevailing party in this proceeding, but because [the Producer] unfairly disparaged the Orpheum and caused Liberty to incur attorneys’ fees in order to address and resolve [the Producer’s] groundless and frivolous allegations with respect to the Orpheum’s condition, Liberty’s performance under the License Agreement, and Stomp’s reasons for seeking to transfer STOMP to a larger theatre.”</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59690</wp:posOffset>
            </wp:positionV>
            <wp:extent cx="677989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779895" cy="42545"/>
                    </a:xfrm>
                    <a:prstGeom prst="rect">
                      <a:avLst/>
                    </a:prstGeom>
                    <a:noFill/>
                  </pic:spPr>
                </pic:pic>
              </a:graphicData>
            </a:graphic>
          </wp:anchor>
        </w:drawing>
      </w:r>
    </w:p>
    <w:p>
      <w:pPr>
        <w:sectPr>
          <w:pgSz w:w="11900" w:h="16838" w:orient="portrait"/>
          <w:cols w:equalWidth="0" w:num="1">
            <w:col w:w="10620"/>
          </w:cols>
          <w:pgMar w:left="640" w:top="275" w:right="639" w:bottom="1440" w:gutter="0" w:footer="0" w:header="0"/>
        </w:sectPr>
      </w:pPr>
    </w:p>
    <w:bookmarkStart w:id="86" w:name="page87"/>
    <w:bookmarkEnd w:id="86"/>
    <w:p>
      <w:pPr>
        <w:spacing w:after="0"/>
        <w:rPr>
          <w:sz w:val="20"/>
          <w:szCs w:val="20"/>
          <w:color w:val="auto"/>
        </w:rPr>
      </w:pPr>
      <w:r>
        <w:rPr>
          <w:rFonts w:ascii="Arial" w:cs="Arial" w:eastAsia="Arial" w:hAnsi="Arial"/>
          <w:sz w:val="12"/>
          <w:szCs w:val="12"/>
          <w:b w:val="1"/>
          <w:bCs w:val="1"/>
          <w:color w:val="auto"/>
        </w:rPr>
        <w:t>NOTE 13 – Noncontrolling interests</w:t>
      </w:r>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color w:val="auto"/>
        </w:rPr>
        <w:t>As of December 31, 2015, the noncontrolling interests in our consolidated subsidiaries are comprised of the following:</w:t>
      </w:r>
    </w:p>
    <w:p>
      <w:pPr>
        <w:spacing w:after="0" w:line="132" w:lineRule="exact"/>
        <w:rPr>
          <w:sz w:val="20"/>
          <w:szCs w:val="20"/>
          <w:color w:val="auto"/>
        </w:rPr>
      </w:pPr>
    </w:p>
    <w:p>
      <w:pPr>
        <w:ind w:left="280" w:hanging="59"/>
        <w:spacing w:after="0"/>
        <w:tabs>
          <w:tab w:leader="none" w:pos="280" w:val="left"/>
        </w:tabs>
        <w:numPr>
          <w:ilvl w:val="0"/>
          <w:numId w:val="40"/>
        </w:numPr>
        <w:rPr>
          <w:rFonts w:ascii="Arial" w:cs="Arial" w:eastAsia="Arial" w:hAnsi="Arial"/>
          <w:sz w:val="12"/>
          <w:szCs w:val="12"/>
          <w:color w:val="auto"/>
        </w:rPr>
      </w:pPr>
      <w:r>
        <w:rPr>
          <w:rFonts w:ascii="Arial" w:cs="Arial" w:eastAsia="Arial" w:hAnsi="Arial"/>
          <w:sz w:val="12"/>
          <w:szCs w:val="12"/>
          <w:color w:val="auto"/>
        </w:rPr>
        <w:t>Australia Country Cinemas Pty Ltd. -- 25% noncontrolling interest owned by Panorama Cinemas for the 21st Century Pty Ltd.;</w:t>
      </w:r>
    </w:p>
    <w:p>
      <w:pPr>
        <w:spacing w:after="0" w:line="14" w:lineRule="exact"/>
        <w:rPr>
          <w:rFonts w:ascii="Arial" w:cs="Arial" w:eastAsia="Arial" w:hAnsi="Arial"/>
          <w:sz w:val="12"/>
          <w:szCs w:val="12"/>
          <w:color w:val="auto"/>
        </w:rPr>
      </w:pPr>
    </w:p>
    <w:p>
      <w:pPr>
        <w:ind w:left="280" w:hanging="59"/>
        <w:spacing w:after="0"/>
        <w:tabs>
          <w:tab w:leader="none" w:pos="280" w:val="left"/>
        </w:tabs>
        <w:numPr>
          <w:ilvl w:val="0"/>
          <w:numId w:val="40"/>
        </w:numPr>
        <w:rPr>
          <w:rFonts w:ascii="Arial" w:cs="Arial" w:eastAsia="Arial" w:hAnsi="Arial"/>
          <w:sz w:val="12"/>
          <w:szCs w:val="12"/>
          <w:color w:val="auto"/>
        </w:rPr>
      </w:pPr>
      <w:r>
        <w:rPr>
          <w:rFonts w:ascii="Arial" w:cs="Arial" w:eastAsia="Arial" w:hAnsi="Arial"/>
          <w:sz w:val="12"/>
          <w:szCs w:val="12"/>
          <w:color w:val="auto"/>
        </w:rPr>
        <w:t>Shadow View Land and Farming, LLC -- 50% noncontrolling membership interest owned by the estate of Mr. James J. Cotter, Sr.; and</w:t>
      </w:r>
    </w:p>
    <w:p>
      <w:pPr>
        <w:spacing w:after="0" w:line="6" w:lineRule="exact"/>
        <w:rPr>
          <w:rFonts w:ascii="Arial" w:cs="Arial" w:eastAsia="Arial" w:hAnsi="Arial"/>
          <w:sz w:val="12"/>
          <w:szCs w:val="12"/>
          <w:color w:val="auto"/>
        </w:rPr>
      </w:pPr>
    </w:p>
    <w:p>
      <w:pPr>
        <w:ind w:left="300" w:hanging="79"/>
        <w:spacing w:after="0"/>
        <w:tabs>
          <w:tab w:leader="none" w:pos="300" w:val="left"/>
        </w:tabs>
        <w:numPr>
          <w:ilvl w:val="0"/>
          <w:numId w:val="40"/>
        </w:numPr>
        <w:rPr>
          <w:rFonts w:ascii="Arial" w:cs="Arial" w:eastAsia="Arial" w:hAnsi="Arial"/>
          <w:sz w:val="12"/>
          <w:szCs w:val="12"/>
          <w:color w:val="auto"/>
        </w:rPr>
      </w:pPr>
      <w:r>
        <w:rPr>
          <w:rFonts w:ascii="Arial" w:cs="Arial" w:eastAsia="Arial" w:hAnsi="Arial"/>
          <w:sz w:val="12"/>
          <w:szCs w:val="12"/>
          <w:color w:val="auto"/>
        </w:rPr>
        <w:t>Sutton Hill Properties, LLC -- 25% noncontrolling interest owned by Sutton Hill Capital, LLC.</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color w:val="auto"/>
        </w:rPr>
        <w:t>The components of noncontrolling interest are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6080" w:type="dxa"/>
            <w:vAlign w:val="bottom"/>
            <w:tcBorders>
              <w:bottom w:val="single" w:sz="8" w:color="auto"/>
            </w:tcBorders>
          </w:tcPr>
          <w:p>
            <w:pPr>
              <w:spacing w:after="0"/>
              <w:rPr>
                <w:sz w:val="20"/>
                <w:szCs w:val="20"/>
                <w:color w:val="auto"/>
              </w:rPr>
            </w:pPr>
            <w:r>
              <w:rPr>
                <w:rFonts w:ascii="Arial" w:cs="Arial" w:eastAsia="Arial" w:hAnsi="Arial"/>
                <w:sz w:val="11"/>
                <w:szCs w:val="11"/>
                <w:color w:val="auto"/>
              </w:rPr>
              <w:t>(Dollars in thousands)</w:t>
            </w:r>
          </w:p>
        </w:tc>
        <w:tc>
          <w:tcPr>
            <w:tcW w:w="44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jc w:val="right"/>
              <w:ind w:right="426"/>
              <w:spacing w:after="0"/>
              <w:rPr>
                <w:sz w:val="20"/>
                <w:szCs w:val="20"/>
                <w:color w:val="auto"/>
              </w:rPr>
            </w:pPr>
            <w:r>
              <w:rPr>
                <w:rFonts w:ascii="Arial" w:cs="Arial" w:eastAsia="Arial" w:hAnsi="Arial"/>
                <w:sz w:val="11"/>
                <w:szCs w:val="11"/>
                <w:b w:val="1"/>
                <w:bCs w:val="1"/>
                <w:color w:val="auto"/>
                <w:w w:val="88"/>
              </w:rPr>
              <w:t>December 31, 2015</w:t>
            </w:r>
          </w:p>
        </w:tc>
        <w:tc>
          <w:tcPr>
            <w:tcW w:w="42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jc w:val="right"/>
              <w:ind w:right="426"/>
              <w:spacing w:after="0"/>
              <w:rPr>
                <w:sz w:val="20"/>
                <w:szCs w:val="20"/>
                <w:color w:val="auto"/>
              </w:rPr>
            </w:pPr>
            <w:r>
              <w:rPr>
                <w:rFonts w:ascii="Arial" w:cs="Arial" w:eastAsia="Arial" w:hAnsi="Arial"/>
                <w:sz w:val="11"/>
                <w:szCs w:val="11"/>
                <w:b w:val="1"/>
                <w:bCs w:val="1"/>
                <w:color w:val="auto"/>
                <w:w w:val="88"/>
              </w:rPr>
              <w:t>December 31, 2014</w:t>
            </w:r>
          </w:p>
        </w:tc>
      </w:tr>
      <w:tr>
        <w:trPr>
          <w:trHeight w:val="180"/>
        </w:trPr>
        <w:tc>
          <w:tcPr>
            <w:tcW w:w="652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AFC LLC</w:t>
            </w: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800" w:type="dxa"/>
            <w:vAlign w:val="bottom"/>
            <w:gridSpan w:val="2"/>
            <w:shd w:val="clear" w:color="auto" w:fill="CCEEFF"/>
          </w:tcPr>
          <w:p>
            <w:pPr>
              <w:jc w:val="right"/>
              <w:ind w:right="420"/>
              <w:spacing w:after="0"/>
              <w:rPr>
                <w:sz w:val="20"/>
                <w:szCs w:val="20"/>
                <w:color w:val="auto"/>
              </w:rPr>
            </w:pPr>
            <w:r>
              <w:rPr>
                <w:rFonts w:ascii="Arial" w:cs="Arial" w:eastAsia="Arial" w:hAnsi="Arial"/>
                <w:sz w:val="11"/>
                <w:szCs w:val="11"/>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r>
      <w:tr>
        <w:trPr>
          <w:trHeight w:val="187"/>
        </w:trPr>
        <w:tc>
          <w:tcPr>
            <w:tcW w:w="6520" w:type="dxa"/>
            <w:vAlign w:val="bottom"/>
            <w:gridSpan w:val="2"/>
          </w:tcPr>
          <w:p>
            <w:pPr>
              <w:spacing w:after="0"/>
              <w:rPr>
                <w:sz w:val="20"/>
                <w:szCs w:val="20"/>
                <w:color w:val="auto"/>
              </w:rPr>
            </w:pPr>
            <w:r>
              <w:rPr>
                <w:rFonts w:ascii="Arial" w:cs="Arial" w:eastAsia="Arial" w:hAnsi="Arial"/>
                <w:sz w:val="11"/>
                <w:szCs w:val="11"/>
                <w:color w:val="auto"/>
              </w:rPr>
              <w:t>Australian Country Cinemas, Pty Ltd</w:t>
            </w:r>
          </w:p>
        </w:tc>
        <w:tc>
          <w:tcPr>
            <w:tcW w:w="46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1"/>
                <w:szCs w:val="11"/>
                <w:color w:val="auto"/>
              </w:rPr>
              <w:t>318</w:t>
            </w:r>
          </w:p>
        </w:tc>
        <w:tc>
          <w:tcPr>
            <w:tcW w:w="4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1"/>
                <w:szCs w:val="11"/>
                <w:color w:val="auto"/>
              </w:rPr>
              <w:t>410</w:t>
            </w:r>
          </w:p>
        </w:tc>
      </w:tr>
      <w:tr>
        <w:trPr>
          <w:trHeight w:val="191"/>
        </w:trPr>
        <w:tc>
          <w:tcPr>
            <w:tcW w:w="652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Shadow View Land and Farming, LLC</w:t>
            </w:r>
          </w:p>
        </w:tc>
        <w:tc>
          <w:tcPr>
            <w:tcW w:w="46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1,940</w:t>
            </w:r>
          </w:p>
        </w:tc>
        <w:tc>
          <w:tcPr>
            <w:tcW w:w="4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2,000</w:t>
            </w:r>
          </w:p>
        </w:tc>
      </w:tr>
      <w:tr>
        <w:trPr>
          <w:trHeight w:val="187"/>
        </w:trPr>
        <w:tc>
          <w:tcPr>
            <w:tcW w:w="6520" w:type="dxa"/>
            <w:vAlign w:val="bottom"/>
            <w:tcBorders>
              <w:bottom w:val="single" w:sz="8" w:color="CCEEFF"/>
            </w:tcBorders>
            <w:gridSpan w:val="2"/>
          </w:tcPr>
          <w:p>
            <w:pPr>
              <w:spacing w:after="0"/>
              <w:rPr>
                <w:sz w:val="20"/>
                <w:szCs w:val="20"/>
                <w:color w:val="auto"/>
              </w:rPr>
            </w:pPr>
            <w:r>
              <w:rPr>
                <w:rFonts w:ascii="Arial" w:cs="Arial" w:eastAsia="Arial" w:hAnsi="Arial"/>
                <w:sz w:val="11"/>
                <w:szCs w:val="11"/>
                <w:color w:val="auto"/>
              </w:rPr>
              <w:t>Sutton Hill Properties, LLC</w:t>
            </w:r>
          </w:p>
        </w:tc>
        <w:tc>
          <w:tcPr>
            <w:tcW w:w="4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2,073</w:t>
            </w:r>
          </w:p>
        </w:tc>
        <w:tc>
          <w:tcPr>
            <w:tcW w:w="42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2,202</w:t>
            </w:r>
          </w:p>
        </w:tc>
      </w:tr>
      <w:tr>
        <w:trPr>
          <w:trHeight w:val="182"/>
        </w:trPr>
        <w:tc>
          <w:tcPr>
            <w:tcW w:w="65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1"/>
                <w:szCs w:val="11"/>
                <w:color w:val="auto"/>
              </w:rPr>
              <w:t>Noncontrolling interests in consolidated subsidiaries</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4,331</w:t>
            </w:r>
          </w:p>
        </w:tc>
        <w:tc>
          <w:tcPr>
            <w:tcW w:w="42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4,612</w:t>
            </w:r>
          </w:p>
        </w:tc>
      </w:tr>
      <w:tr>
        <w:trPr>
          <w:trHeight w:val="266"/>
        </w:trPr>
        <w:tc>
          <w:tcPr>
            <w:tcW w:w="6520" w:type="dxa"/>
            <w:vAlign w:val="bottom"/>
            <w:gridSpan w:val="2"/>
          </w:tcPr>
          <w:p>
            <w:pPr>
              <w:spacing w:after="0"/>
              <w:rPr>
                <w:sz w:val="20"/>
                <w:szCs w:val="20"/>
                <w:color w:val="auto"/>
              </w:rPr>
            </w:pPr>
            <w:r>
              <w:rPr>
                <w:rFonts w:ascii="Arial" w:cs="Arial" w:eastAsia="Arial" w:hAnsi="Arial"/>
                <w:sz w:val="12"/>
                <w:szCs w:val="12"/>
                <w:color w:val="auto"/>
              </w:rPr>
              <w:t>The components of income/(loss) attributable to noncontrolling interests are as follows:</w:t>
            </w:r>
          </w:p>
        </w:tc>
        <w:tc>
          <w:tcPr>
            <w:tcW w:w="46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380" w:type="dxa"/>
            <w:vAlign w:val="bottom"/>
          </w:tcPr>
          <w:p>
            <w:pPr>
              <w:spacing w:after="0"/>
              <w:rPr>
                <w:sz w:val="23"/>
                <w:szCs w:val="23"/>
                <w:color w:val="auto"/>
              </w:rPr>
            </w:pPr>
          </w:p>
        </w:tc>
      </w:tr>
    </w:tbl>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5000" w:type="dxa"/>
            <w:vAlign w:val="bottom"/>
            <w:tcBorders>
              <w:bottom w:val="single" w:sz="8" w:color="auto"/>
            </w:tcBorders>
          </w:tcPr>
          <w:p>
            <w:pPr>
              <w:spacing w:after="0"/>
              <w:rPr>
                <w:sz w:val="20"/>
                <w:szCs w:val="20"/>
                <w:color w:val="auto"/>
              </w:rPr>
            </w:pPr>
            <w:r>
              <w:rPr>
                <w:rFonts w:ascii="Arial" w:cs="Arial" w:eastAsia="Arial" w:hAnsi="Arial"/>
                <w:sz w:val="11"/>
                <w:szCs w:val="11"/>
                <w:color w:val="auto"/>
              </w:rPr>
              <w:t>(Dollars in thousands)</w:t>
            </w:r>
          </w:p>
        </w:tc>
        <w:tc>
          <w:tcPr>
            <w:tcW w:w="360" w:type="dxa"/>
            <w:vAlign w:val="bottom"/>
            <w:tcBorders>
              <w:bottom w:val="single" w:sz="8" w:color="CCEEFF"/>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586"/>
              <w:spacing w:after="0"/>
              <w:rPr>
                <w:sz w:val="20"/>
                <w:szCs w:val="20"/>
                <w:color w:val="auto"/>
              </w:rPr>
            </w:pPr>
            <w:r>
              <w:rPr>
                <w:rFonts w:ascii="Arial" w:cs="Arial" w:eastAsia="Arial" w:hAnsi="Arial"/>
                <w:sz w:val="11"/>
                <w:szCs w:val="11"/>
                <w:b w:val="1"/>
                <w:bCs w:val="1"/>
                <w:color w:val="auto"/>
              </w:rPr>
              <w:t>2015</w:t>
            </w:r>
          </w:p>
        </w:tc>
        <w:tc>
          <w:tcPr>
            <w:tcW w:w="360" w:type="dxa"/>
            <w:vAlign w:val="bottom"/>
            <w:tcBorders>
              <w:bottom w:val="single" w:sz="8" w:color="CCEEFF"/>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586"/>
              <w:spacing w:after="0"/>
              <w:rPr>
                <w:sz w:val="20"/>
                <w:szCs w:val="20"/>
                <w:color w:val="auto"/>
              </w:rPr>
            </w:pPr>
            <w:r>
              <w:rPr>
                <w:rFonts w:ascii="Arial" w:cs="Arial" w:eastAsia="Arial" w:hAnsi="Arial"/>
                <w:sz w:val="11"/>
                <w:szCs w:val="11"/>
                <w:b w:val="1"/>
                <w:bCs w:val="1"/>
                <w:color w:val="auto"/>
              </w:rPr>
              <w:t>2014</w:t>
            </w:r>
          </w:p>
        </w:tc>
        <w:tc>
          <w:tcPr>
            <w:tcW w:w="36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586"/>
              <w:spacing w:after="0"/>
              <w:rPr>
                <w:sz w:val="20"/>
                <w:szCs w:val="20"/>
                <w:color w:val="auto"/>
              </w:rPr>
            </w:pPr>
            <w:r>
              <w:rPr>
                <w:rFonts w:ascii="Arial" w:cs="Arial" w:eastAsia="Arial" w:hAnsi="Arial"/>
                <w:sz w:val="11"/>
                <w:szCs w:val="11"/>
                <w:b w:val="1"/>
                <w:bCs w:val="1"/>
                <w:color w:val="auto"/>
              </w:rPr>
              <w:t>2013</w:t>
            </w:r>
          </w:p>
        </w:tc>
      </w:tr>
      <w:tr>
        <w:trPr>
          <w:trHeight w:val="180"/>
        </w:trPr>
        <w:tc>
          <w:tcPr>
            <w:tcW w:w="53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AFC LLC</w:t>
            </w:r>
          </w:p>
        </w:tc>
        <w:tc>
          <w:tcPr>
            <w:tcW w:w="520" w:type="dxa"/>
            <w:vAlign w:val="bottom"/>
            <w:shd w:val="clear" w:color="auto" w:fill="CCEEFF"/>
          </w:tcPr>
          <w:p>
            <w:pPr>
              <w:jc w:val="right"/>
              <w:ind w:right="106"/>
              <w:spacing w:after="0"/>
              <w:rPr>
                <w:sz w:val="20"/>
                <w:szCs w:val="20"/>
                <w:color w:val="auto"/>
              </w:rPr>
            </w:pPr>
            <w:r>
              <w:rPr>
                <w:rFonts w:ascii="Arial" w:cs="Arial" w:eastAsia="Arial" w:hAnsi="Arial"/>
                <w:sz w:val="11"/>
                <w:szCs w:val="11"/>
                <w:color w:val="auto"/>
              </w:rPr>
              <w:t>$</w:t>
            </w:r>
          </w:p>
        </w:tc>
        <w:tc>
          <w:tcPr>
            <w:tcW w:w="1360" w:type="dxa"/>
            <w:vAlign w:val="bottom"/>
            <w:gridSpan w:val="2"/>
            <w:shd w:val="clear" w:color="auto" w:fill="CCEEFF"/>
          </w:tcPr>
          <w:p>
            <w:pPr>
              <w:jc w:val="right"/>
              <w:ind w:right="360"/>
              <w:spacing w:after="0"/>
              <w:rPr>
                <w:sz w:val="20"/>
                <w:szCs w:val="20"/>
                <w:color w:val="auto"/>
              </w:rPr>
            </w:pPr>
            <w:r>
              <w:rPr>
                <w:rFonts w:ascii="Arial" w:cs="Arial" w:eastAsia="Arial" w:hAnsi="Arial"/>
                <w:sz w:val="11"/>
                <w:szCs w:val="11"/>
                <w:color w:val="auto"/>
              </w:rPr>
              <w:t>--</w:t>
            </w:r>
          </w:p>
        </w:tc>
        <w:tc>
          <w:tcPr>
            <w:tcW w:w="520" w:type="dxa"/>
            <w:vAlign w:val="bottom"/>
            <w:shd w:val="clear" w:color="auto" w:fill="CCEEFF"/>
          </w:tcPr>
          <w:p>
            <w:pPr>
              <w:jc w:val="right"/>
              <w:ind w:right="106"/>
              <w:spacing w:after="0"/>
              <w:rPr>
                <w:sz w:val="20"/>
                <w:szCs w:val="20"/>
                <w:color w:val="auto"/>
              </w:rPr>
            </w:pPr>
            <w:r>
              <w:rPr>
                <w:rFonts w:ascii="Arial" w:cs="Arial" w:eastAsia="Arial" w:hAnsi="Arial"/>
                <w:sz w:val="11"/>
                <w:szCs w:val="11"/>
                <w:color w:val="auto"/>
              </w:rPr>
              <w:t>$</w:t>
            </w:r>
          </w:p>
        </w:tc>
        <w:tc>
          <w:tcPr>
            <w:tcW w:w="1360" w:type="dxa"/>
            <w:vAlign w:val="bottom"/>
            <w:gridSpan w:val="2"/>
            <w:shd w:val="clear" w:color="auto" w:fill="CCEEFF"/>
          </w:tcPr>
          <w:p>
            <w:pPr>
              <w:jc w:val="right"/>
              <w:ind w:right="360"/>
              <w:spacing w:after="0"/>
              <w:rPr>
                <w:sz w:val="20"/>
                <w:szCs w:val="20"/>
                <w:color w:val="auto"/>
              </w:rPr>
            </w:pPr>
            <w:r>
              <w:rPr>
                <w:rFonts w:ascii="Arial" w:cs="Arial" w:eastAsia="Arial" w:hAnsi="Arial"/>
                <w:sz w:val="11"/>
                <w:szCs w:val="11"/>
                <w:color w:val="auto"/>
              </w:rPr>
              <w:t>--</w:t>
            </w:r>
          </w:p>
        </w:tc>
        <w:tc>
          <w:tcPr>
            <w:tcW w:w="50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173</w:t>
            </w:r>
          </w:p>
        </w:tc>
      </w:tr>
      <w:tr>
        <w:trPr>
          <w:trHeight w:val="187"/>
        </w:trPr>
        <w:tc>
          <w:tcPr>
            <w:tcW w:w="5360" w:type="dxa"/>
            <w:vAlign w:val="bottom"/>
            <w:gridSpan w:val="2"/>
          </w:tcPr>
          <w:p>
            <w:pPr>
              <w:spacing w:after="0"/>
              <w:rPr>
                <w:sz w:val="20"/>
                <w:szCs w:val="20"/>
                <w:color w:val="auto"/>
              </w:rPr>
            </w:pPr>
            <w:r>
              <w:rPr>
                <w:rFonts w:ascii="Arial" w:cs="Arial" w:eastAsia="Arial" w:hAnsi="Arial"/>
                <w:sz w:val="11"/>
                <w:szCs w:val="11"/>
                <w:color w:val="auto"/>
              </w:rPr>
              <w:t>Australian Country Cinemas, Pty Ltd</w:t>
            </w:r>
          </w:p>
        </w:tc>
        <w:tc>
          <w:tcPr>
            <w:tcW w:w="5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126</w:t>
            </w:r>
          </w:p>
        </w:tc>
        <w:tc>
          <w:tcPr>
            <w:tcW w:w="3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143</w:t>
            </w:r>
          </w:p>
        </w:tc>
        <w:tc>
          <w:tcPr>
            <w:tcW w:w="3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129</w:t>
            </w:r>
          </w:p>
        </w:tc>
      </w:tr>
      <w:tr>
        <w:trPr>
          <w:trHeight w:val="191"/>
        </w:trPr>
        <w:tc>
          <w:tcPr>
            <w:tcW w:w="53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Shadow View Land and Farming, LLC</w:t>
            </w:r>
          </w:p>
        </w:tc>
        <w:tc>
          <w:tcPr>
            <w:tcW w:w="52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360"/>
              <w:spacing w:after="0"/>
              <w:rPr>
                <w:sz w:val="20"/>
                <w:szCs w:val="20"/>
                <w:color w:val="auto"/>
              </w:rPr>
            </w:pPr>
            <w:r>
              <w:rPr>
                <w:rFonts w:ascii="Arial" w:cs="Arial" w:eastAsia="Arial" w:hAnsi="Arial"/>
                <w:sz w:val="11"/>
                <w:szCs w:val="11"/>
                <w:color w:val="auto"/>
              </w:rPr>
              <w:t>(77)</w:t>
            </w:r>
          </w:p>
        </w:tc>
        <w:tc>
          <w:tcPr>
            <w:tcW w:w="52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360"/>
              <w:spacing w:after="0"/>
              <w:rPr>
                <w:sz w:val="20"/>
                <w:szCs w:val="20"/>
                <w:color w:val="auto"/>
              </w:rPr>
            </w:pPr>
            <w:r>
              <w:rPr>
                <w:rFonts w:ascii="Arial" w:cs="Arial" w:eastAsia="Arial" w:hAnsi="Arial"/>
                <w:sz w:val="11"/>
                <w:szCs w:val="11"/>
                <w:color w:val="auto"/>
              </w:rPr>
              <w:t>(64)</w:t>
            </w:r>
          </w:p>
        </w:tc>
        <w:tc>
          <w:tcPr>
            <w:tcW w:w="5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(50)</w:t>
            </w:r>
          </w:p>
        </w:tc>
      </w:tr>
      <w:tr>
        <w:trPr>
          <w:trHeight w:val="187"/>
        </w:trPr>
        <w:tc>
          <w:tcPr>
            <w:tcW w:w="5360" w:type="dxa"/>
            <w:vAlign w:val="bottom"/>
            <w:gridSpan w:val="2"/>
          </w:tcPr>
          <w:p>
            <w:pPr>
              <w:spacing w:after="0"/>
              <w:rPr>
                <w:sz w:val="20"/>
                <w:szCs w:val="20"/>
                <w:color w:val="auto"/>
              </w:rPr>
            </w:pPr>
            <w:r>
              <w:rPr>
                <w:rFonts w:ascii="Arial" w:cs="Arial" w:eastAsia="Arial" w:hAnsi="Arial"/>
                <w:sz w:val="11"/>
                <w:szCs w:val="11"/>
                <w:color w:val="auto"/>
              </w:rPr>
              <w:t>Sutton Hill Properties, LLC</w:t>
            </w:r>
          </w:p>
        </w:tc>
        <w:tc>
          <w:tcPr>
            <w:tcW w:w="520" w:type="dxa"/>
            <w:vAlign w:val="bottom"/>
          </w:tcPr>
          <w:p>
            <w:pPr>
              <w:spacing w:after="0"/>
              <w:rPr>
                <w:sz w:val="16"/>
                <w:szCs w:val="16"/>
                <w:color w:val="auto"/>
              </w:rPr>
            </w:pPr>
          </w:p>
        </w:tc>
        <w:tc>
          <w:tcPr>
            <w:tcW w:w="1360" w:type="dxa"/>
            <w:vAlign w:val="bottom"/>
            <w:gridSpan w:val="2"/>
          </w:tcPr>
          <w:p>
            <w:pPr>
              <w:jc w:val="right"/>
              <w:ind w:right="360"/>
              <w:spacing w:after="0"/>
              <w:rPr>
                <w:sz w:val="20"/>
                <w:szCs w:val="20"/>
                <w:color w:val="auto"/>
              </w:rPr>
            </w:pPr>
            <w:r>
              <w:rPr>
                <w:rFonts w:ascii="Arial" w:cs="Arial" w:eastAsia="Arial" w:hAnsi="Arial"/>
                <w:sz w:val="11"/>
                <w:szCs w:val="11"/>
                <w:color w:val="auto"/>
              </w:rPr>
              <w:t>(128)</w:t>
            </w:r>
          </w:p>
        </w:tc>
        <w:tc>
          <w:tcPr>
            <w:tcW w:w="520" w:type="dxa"/>
            <w:vAlign w:val="bottom"/>
          </w:tcPr>
          <w:p>
            <w:pPr>
              <w:spacing w:after="0"/>
              <w:rPr>
                <w:sz w:val="16"/>
                <w:szCs w:val="16"/>
                <w:color w:val="auto"/>
              </w:rPr>
            </w:pPr>
          </w:p>
        </w:tc>
        <w:tc>
          <w:tcPr>
            <w:tcW w:w="1360" w:type="dxa"/>
            <w:vAlign w:val="bottom"/>
            <w:gridSpan w:val="2"/>
          </w:tcPr>
          <w:p>
            <w:pPr>
              <w:jc w:val="right"/>
              <w:ind w:right="360"/>
              <w:spacing w:after="0"/>
              <w:rPr>
                <w:sz w:val="20"/>
                <w:szCs w:val="20"/>
                <w:color w:val="auto"/>
              </w:rPr>
            </w:pPr>
            <w:r>
              <w:rPr>
                <w:rFonts w:ascii="Arial" w:cs="Arial" w:eastAsia="Arial" w:hAnsi="Arial"/>
                <w:sz w:val="11"/>
                <w:szCs w:val="11"/>
                <w:color w:val="auto"/>
              </w:rPr>
              <w:t>(136)</w:t>
            </w:r>
          </w:p>
        </w:tc>
        <w:tc>
          <w:tcPr>
            <w:tcW w:w="5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(148)</w:t>
            </w:r>
          </w:p>
        </w:tc>
      </w:tr>
      <w:tr>
        <w:trPr>
          <w:trHeight w:val="20"/>
        </w:trPr>
        <w:tc>
          <w:tcPr>
            <w:tcW w:w="500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r>
      <w:tr>
        <w:trPr>
          <w:trHeight w:val="162"/>
        </w:trPr>
        <w:tc>
          <w:tcPr>
            <w:tcW w:w="53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Noncontrolling interests in consolidated subsidiaries</w:t>
            </w:r>
          </w:p>
        </w:tc>
        <w:tc>
          <w:tcPr>
            <w:tcW w:w="520" w:type="dxa"/>
            <w:vAlign w:val="bottom"/>
            <w:shd w:val="clear" w:color="auto" w:fill="CCEEFF"/>
          </w:tcPr>
          <w:p>
            <w:pPr>
              <w:jc w:val="right"/>
              <w:ind w:right="106"/>
              <w:spacing w:after="0"/>
              <w:rPr>
                <w:sz w:val="20"/>
                <w:szCs w:val="20"/>
                <w:color w:val="auto"/>
              </w:rPr>
            </w:pPr>
            <w:r>
              <w:rPr>
                <w:rFonts w:ascii="Arial" w:cs="Arial" w:eastAsia="Arial" w:hAnsi="Arial"/>
                <w:sz w:val="11"/>
                <w:szCs w:val="11"/>
                <w:color w:val="auto"/>
              </w:rPr>
              <w:t>$</w:t>
            </w:r>
          </w:p>
        </w:tc>
        <w:tc>
          <w:tcPr>
            <w:tcW w:w="1360" w:type="dxa"/>
            <w:vAlign w:val="bottom"/>
            <w:gridSpan w:val="2"/>
            <w:shd w:val="clear" w:color="auto" w:fill="CCEEFF"/>
          </w:tcPr>
          <w:p>
            <w:pPr>
              <w:jc w:val="right"/>
              <w:ind w:right="360"/>
              <w:spacing w:after="0"/>
              <w:rPr>
                <w:sz w:val="20"/>
                <w:szCs w:val="20"/>
                <w:color w:val="auto"/>
              </w:rPr>
            </w:pPr>
            <w:r>
              <w:rPr>
                <w:rFonts w:ascii="Arial" w:cs="Arial" w:eastAsia="Arial" w:hAnsi="Arial"/>
                <w:sz w:val="11"/>
                <w:szCs w:val="11"/>
                <w:color w:val="auto"/>
              </w:rPr>
              <w:t>(79)</w:t>
            </w:r>
          </w:p>
        </w:tc>
        <w:tc>
          <w:tcPr>
            <w:tcW w:w="520" w:type="dxa"/>
            <w:vAlign w:val="bottom"/>
            <w:shd w:val="clear" w:color="auto" w:fill="CCEEFF"/>
          </w:tcPr>
          <w:p>
            <w:pPr>
              <w:jc w:val="right"/>
              <w:ind w:right="106"/>
              <w:spacing w:after="0"/>
              <w:rPr>
                <w:sz w:val="20"/>
                <w:szCs w:val="20"/>
                <w:color w:val="auto"/>
              </w:rPr>
            </w:pPr>
            <w:r>
              <w:rPr>
                <w:rFonts w:ascii="Arial" w:cs="Arial" w:eastAsia="Arial" w:hAnsi="Arial"/>
                <w:sz w:val="11"/>
                <w:szCs w:val="11"/>
                <w:color w:val="auto"/>
              </w:rPr>
              <w:t>$</w:t>
            </w:r>
          </w:p>
        </w:tc>
        <w:tc>
          <w:tcPr>
            <w:tcW w:w="1360" w:type="dxa"/>
            <w:vAlign w:val="bottom"/>
            <w:gridSpan w:val="2"/>
            <w:shd w:val="clear" w:color="auto" w:fill="CCEEFF"/>
          </w:tcPr>
          <w:p>
            <w:pPr>
              <w:jc w:val="right"/>
              <w:ind w:right="360"/>
              <w:spacing w:after="0"/>
              <w:rPr>
                <w:sz w:val="20"/>
                <w:szCs w:val="20"/>
                <w:color w:val="auto"/>
              </w:rPr>
            </w:pPr>
            <w:r>
              <w:rPr>
                <w:rFonts w:ascii="Arial" w:cs="Arial" w:eastAsia="Arial" w:hAnsi="Arial"/>
                <w:sz w:val="11"/>
                <w:szCs w:val="11"/>
                <w:color w:val="auto"/>
              </w:rPr>
              <w:t>(57)</w:t>
            </w:r>
          </w:p>
        </w:tc>
        <w:tc>
          <w:tcPr>
            <w:tcW w:w="50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104</w:t>
            </w:r>
          </w:p>
        </w:tc>
      </w:tr>
      <w:tr>
        <w:trPr>
          <w:trHeight w:val="20"/>
        </w:trPr>
        <w:tc>
          <w:tcPr>
            <w:tcW w:w="500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r>
    </w:tbl>
    <w:p>
      <w:pPr>
        <w:spacing w:after="0" w:line="13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AFC LLC Acquisition of Noncontrolling Interest</w:t>
      </w:r>
    </w:p>
    <w:p>
      <w:pPr>
        <w:spacing w:after="0" w:line="127" w:lineRule="exact"/>
        <w:rPr>
          <w:sz w:val="20"/>
          <w:szCs w:val="20"/>
          <w:color w:val="auto"/>
        </w:rPr>
      </w:pPr>
    </w:p>
    <w:p>
      <w:pPr>
        <w:ind w:right="60"/>
        <w:spacing w:after="0" w:line="276" w:lineRule="auto"/>
        <w:rPr>
          <w:sz w:val="20"/>
          <w:szCs w:val="20"/>
          <w:color w:val="auto"/>
        </w:rPr>
      </w:pPr>
      <w:r>
        <w:rPr>
          <w:rFonts w:ascii="Arial" w:cs="Arial" w:eastAsia="Arial" w:hAnsi="Arial"/>
          <w:sz w:val="12"/>
          <w:szCs w:val="12"/>
          <w:color w:val="auto"/>
        </w:rPr>
        <w:t>On June 28, 2013, we acquired the interest in AFC LLC that we did not already own in consideration of the release of certain claims we held against the owner of that interest under a guaranty agreement. The removal of the AFC LLC noncontrolling interest balance at December 31, 2013 was reflected as a change in our additional paid in capital.</w:t>
      </w:r>
    </w:p>
    <w:p>
      <w:pPr>
        <w:spacing w:after="0" w:line="8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Shadow View Land and Farming, LLC</w:t>
      </w:r>
    </w:p>
    <w:p>
      <w:pPr>
        <w:spacing w:after="0" w:line="136" w:lineRule="exact"/>
        <w:rPr>
          <w:sz w:val="20"/>
          <w:szCs w:val="20"/>
          <w:color w:val="auto"/>
        </w:rPr>
      </w:pPr>
    </w:p>
    <w:p>
      <w:pPr>
        <w:ind w:right="220"/>
        <w:spacing w:after="0" w:line="263" w:lineRule="auto"/>
        <w:rPr>
          <w:sz w:val="20"/>
          <w:szCs w:val="20"/>
          <w:color w:val="auto"/>
        </w:rPr>
      </w:pPr>
      <w:r>
        <w:rPr>
          <w:rFonts w:ascii="Arial" w:cs="Arial" w:eastAsia="Arial" w:hAnsi="Arial"/>
          <w:sz w:val="12"/>
          <w:szCs w:val="12"/>
          <w:color w:val="auto"/>
        </w:rPr>
        <w:t xml:space="preserve">This land is held in Shadow View Land and Farming, LLC, in which the Cotter Estate or the Cotter Trust now owns a 50% interest. We are the managing member of Shadow View Land and Farming, LLC. We consolidate the Cotter Estate’s and/or the Cotter Trust’s interest in the property and its expenses with that of our interest and show their interest as a noncontrolling interest. Note 4 – </w:t>
      </w:r>
      <w:r>
        <w:rPr>
          <w:rFonts w:ascii="Arial" w:cs="Arial" w:eastAsia="Arial" w:hAnsi="Arial"/>
          <w:sz w:val="12"/>
          <w:szCs w:val="12"/>
          <w:i w:val="1"/>
          <w:iCs w:val="1"/>
          <w:color w:val="auto"/>
        </w:rPr>
        <w:t>Acquisitions, Disposals, and Assets</w:t>
      </w:r>
      <w:r>
        <w:rPr>
          <w:rFonts w:ascii="Arial" w:cs="Arial" w:eastAsia="Arial" w:hAnsi="Arial"/>
          <w:sz w:val="12"/>
          <w:szCs w:val="12"/>
          <w:color w:val="auto"/>
        </w:rPr>
        <w:t xml:space="preserve"> </w:t>
      </w:r>
      <w:r>
        <w:rPr>
          <w:rFonts w:ascii="Arial" w:cs="Arial" w:eastAsia="Arial" w:hAnsi="Arial"/>
          <w:sz w:val="12"/>
          <w:szCs w:val="12"/>
          <w:i w:val="1"/>
          <w:iCs w:val="1"/>
          <w:color w:val="auto"/>
        </w:rPr>
        <w:t>Held for Sale</w:t>
      </w:r>
      <w:r>
        <w:rPr>
          <w:rFonts w:ascii="Arial" w:cs="Arial" w:eastAsia="Arial" w:hAnsi="Arial"/>
          <w:sz w:val="12"/>
          <w:szCs w:val="12"/>
          <w:color w:val="auto"/>
        </w:rPr>
        <w:t>.</w:t>
      </w:r>
    </w:p>
    <w:p>
      <w:pPr>
        <w:spacing w:after="0" w:line="9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Sutton Hill Properties</w:t>
      </w:r>
    </w:p>
    <w:p>
      <w:pPr>
        <w:spacing w:after="0" w:line="127" w:lineRule="exact"/>
        <w:rPr>
          <w:sz w:val="20"/>
          <w:szCs w:val="20"/>
          <w:color w:val="auto"/>
        </w:rPr>
      </w:pPr>
    </w:p>
    <w:p>
      <w:pPr>
        <w:ind w:right="100"/>
        <w:spacing w:after="0" w:line="276" w:lineRule="auto"/>
        <w:rPr>
          <w:sz w:val="20"/>
          <w:szCs w:val="20"/>
          <w:color w:val="auto"/>
        </w:rPr>
      </w:pPr>
      <w:r>
        <w:rPr>
          <w:rFonts w:ascii="Arial" w:cs="Arial" w:eastAsia="Arial" w:hAnsi="Arial"/>
          <w:sz w:val="12"/>
          <w:szCs w:val="12"/>
          <w:color w:val="auto"/>
        </w:rPr>
        <w:t xml:space="preserve">On June 18, 2013, our co-investor, having a 25% interest in our Sutton Hill Properties subsidiary, contributed $2.25 million toward the payoff of our SHC Note 2 for $9.0 million, resulting in a $2.25 million contribution of capital to Sutton Hill Properties (See Note 10 – </w:t>
      </w:r>
      <w:r>
        <w:rPr>
          <w:rFonts w:ascii="Arial" w:cs="Arial" w:eastAsia="Arial" w:hAnsi="Arial"/>
          <w:sz w:val="12"/>
          <w:szCs w:val="12"/>
          <w:i w:val="1"/>
          <w:iCs w:val="1"/>
          <w:color w:val="auto"/>
        </w:rPr>
        <w:t>Debt</w:t>
      </w:r>
      <w:r>
        <w:rPr>
          <w:rFonts w:ascii="Arial" w:cs="Arial" w:eastAsia="Arial" w:hAnsi="Arial"/>
          <w:sz w:val="12"/>
          <w:szCs w:val="12"/>
          <w:color w:val="auto"/>
        </w:rPr>
        <w:t>).</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59690</wp:posOffset>
            </wp:positionV>
            <wp:extent cx="677989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779895" cy="42545"/>
                    </a:xfrm>
                    <a:prstGeom prst="rect">
                      <a:avLst/>
                    </a:prstGeom>
                    <a:noFill/>
                  </pic:spPr>
                </pic:pic>
              </a:graphicData>
            </a:graphic>
          </wp:anchor>
        </w:drawing>
      </w:r>
    </w:p>
    <w:p>
      <w:pPr>
        <w:sectPr>
          <w:pgSz w:w="11900" w:h="16838" w:orient="portrait"/>
          <w:cols w:equalWidth="0" w:num="1">
            <w:col w:w="10620"/>
          </w:cols>
          <w:pgMar w:left="640" w:top="271" w:right="639" w:bottom="1440" w:gutter="0" w:footer="0" w:header="0"/>
        </w:sectPr>
      </w:pPr>
    </w:p>
    <w:bookmarkStart w:id="87" w:name="page88"/>
    <w:bookmarkEnd w:id="87"/>
    <w:p>
      <w:pPr>
        <w:spacing w:after="0"/>
        <w:rPr>
          <w:sz w:val="20"/>
          <w:szCs w:val="20"/>
          <w:color w:val="auto"/>
        </w:rPr>
      </w:pPr>
      <w:r>
        <w:rPr>
          <w:rFonts w:ascii="Arial" w:cs="Arial" w:eastAsia="Arial" w:hAnsi="Arial"/>
          <w:sz w:val="12"/>
          <w:szCs w:val="12"/>
          <w:b w:val="1"/>
          <w:bCs w:val="1"/>
          <w:color w:val="auto"/>
        </w:rPr>
        <w:t>NOTE 14 – Equity and Stock-Based Compensation</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Former Executive Stock Based Compensation</w:t>
      </w:r>
    </w:p>
    <w:p>
      <w:pPr>
        <w:spacing w:after="0" w:line="136" w:lineRule="exact"/>
        <w:rPr>
          <w:sz w:val="20"/>
          <w:szCs w:val="20"/>
          <w:color w:val="auto"/>
        </w:rPr>
      </w:pPr>
    </w:p>
    <w:p>
      <w:pPr>
        <w:ind w:right="100"/>
        <w:spacing w:after="0" w:line="259" w:lineRule="auto"/>
        <w:rPr>
          <w:sz w:val="20"/>
          <w:szCs w:val="20"/>
          <w:color w:val="auto"/>
        </w:rPr>
      </w:pPr>
      <w:r>
        <w:rPr>
          <w:rFonts w:ascii="Arial" w:cs="Arial" w:eastAsia="Arial" w:hAnsi="Arial"/>
          <w:sz w:val="12"/>
          <w:szCs w:val="12"/>
          <w:color w:val="auto"/>
        </w:rPr>
        <w:t>As part of his compensation package, Mr. James J. Cotter, Sr., our now deceased former Chairman of the Board and Chief Executive Officer, was granted restricted Class A Non-voting Common Stock (“Class A Stock”) for 2014 and 2013. Mr. Cotter, Sr.’s stock compensation was granted fully vested with a five-year restriction on sale and the applicable compensation expense was recorded in the year of grant. The 2014 stock grants were issued in the first quarter of 2015. The table below summarizes the fair value on grant date recognized as compensation, the number of shares granted, and the fair value of stock per share for the years ended December 31, 2014 and 2013:</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3900" w:type="dxa"/>
            <w:vAlign w:val="bottom"/>
            <w:tcBorders>
              <w:bottom w:val="single" w:sz="8" w:color="CCEEFF"/>
            </w:tcBorders>
          </w:tcPr>
          <w:p>
            <w:pPr>
              <w:spacing w:after="0"/>
              <w:rPr>
                <w:sz w:val="12"/>
                <w:szCs w:val="12"/>
                <w:color w:val="auto"/>
              </w:rPr>
            </w:pPr>
          </w:p>
        </w:tc>
        <w:tc>
          <w:tcPr>
            <w:tcW w:w="1460" w:type="dxa"/>
            <w:vAlign w:val="bottom"/>
            <w:tcBorders>
              <w:bottom w:val="single" w:sz="8" w:color="auto"/>
            </w:tcBorders>
          </w:tcPr>
          <w:p>
            <w:pPr>
              <w:jc w:val="right"/>
              <w:ind w:right="126"/>
              <w:spacing w:after="0"/>
              <w:rPr>
                <w:sz w:val="20"/>
                <w:szCs w:val="20"/>
                <w:color w:val="auto"/>
              </w:rPr>
            </w:pPr>
            <w:r>
              <w:rPr>
                <w:rFonts w:ascii="Arial" w:cs="Arial" w:eastAsia="Arial" w:hAnsi="Arial"/>
                <w:sz w:val="11"/>
                <w:szCs w:val="11"/>
                <w:b w:val="1"/>
                <w:bCs w:val="1"/>
                <w:color w:val="auto"/>
              </w:rPr>
              <w:t>Fair Value</w:t>
            </w:r>
          </w:p>
        </w:tc>
        <w:tc>
          <w:tcPr>
            <w:tcW w:w="640" w:type="dxa"/>
            <w:vAlign w:val="bottom"/>
            <w:tcBorders>
              <w:bottom w:val="single" w:sz="8" w:color="auto"/>
            </w:tcBorders>
          </w:tcPr>
          <w:p>
            <w:pPr>
              <w:spacing w:after="0"/>
              <w:rPr>
                <w:sz w:val="12"/>
                <w:szCs w:val="12"/>
                <w:color w:val="auto"/>
              </w:rPr>
            </w:pPr>
          </w:p>
        </w:tc>
        <w:tc>
          <w:tcPr>
            <w:tcW w:w="420" w:type="dxa"/>
            <w:vAlign w:val="bottom"/>
            <w:tcBorders>
              <w:bottom w:val="single" w:sz="8" w:color="CCEEFF"/>
            </w:tcBorders>
          </w:tcPr>
          <w:p>
            <w:pPr>
              <w:spacing w:after="0"/>
              <w:rPr>
                <w:sz w:val="12"/>
                <w:szCs w:val="12"/>
                <w:color w:val="auto"/>
              </w:rPr>
            </w:pPr>
          </w:p>
        </w:tc>
        <w:tc>
          <w:tcPr>
            <w:tcW w:w="1580" w:type="dxa"/>
            <w:vAlign w:val="bottom"/>
            <w:tcBorders>
              <w:bottom w:val="single" w:sz="8" w:color="auto"/>
            </w:tcBorders>
          </w:tcPr>
          <w:p>
            <w:pPr>
              <w:ind w:left="620"/>
              <w:spacing w:after="0"/>
              <w:rPr>
                <w:sz w:val="20"/>
                <w:szCs w:val="20"/>
                <w:color w:val="auto"/>
              </w:rPr>
            </w:pPr>
            <w:r>
              <w:rPr>
                <w:rFonts w:ascii="Arial" w:cs="Arial" w:eastAsia="Arial" w:hAnsi="Arial"/>
                <w:sz w:val="11"/>
                <w:szCs w:val="11"/>
                <w:b w:val="1"/>
                <w:bCs w:val="1"/>
                <w:color w:val="auto"/>
                <w:w w:val="99"/>
              </w:rPr>
              <w:t>Number of Shares</w:t>
            </w:r>
          </w:p>
        </w:tc>
        <w:tc>
          <w:tcPr>
            <w:tcW w:w="500" w:type="dxa"/>
            <w:vAlign w:val="bottom"/>
            <w:tcBorders>
              <w:bottom w:val="single" w:sz="8" w:color="auto"/>
            </w:tcBorders>
          </w:tcPr>
          <w:p>
            <w:pPr>
              <w:spacing w:after="0"/>
              <w:rPr>
                <w:sz w:val="12"/>
                <w:szCs w:val="12"/>
                <w:color w:val="auto"/>
              </w:rPr>
            </w:pPr>
          </w:p>
        </w:tc>
        <w:tc>
          <w:tcPr>
            <w:tcW w:w="42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tcPr>
          <w:p>
            <w:pPr>
              <w:jc w:val="right"/>
              <w:ind w:right="306"/>
              <w:spacing w:after="0"/>
              <w:rPr>
                <w:sz w:val="20"/>
                <w:szCs w:val="20"/>
                <w:color w:val="auto"/>
              </w:rPr>
            </w:pPr>
            <w:r>
              <w:rPr>
                <w:rFonts w:ascii="Arial" w:cs="Arial" w:eastAsia="Arial" w:hAnsi="Arial"/>
                <w:sz w:val="11"/>
                <w:szCs w:val="11"/>
                <w:b w:val="1"/>
                <w:bCs w:val="1"/>
                <w:color w:val="auto"/>
                <w:w w:val="95"/>
              </w:rPr>
              <w:t>Fair Value Per Share</w:t>
            </w:r>
          </w:p>
        </w:tc>
      </w:tr>
      <w:tr>
        <w:trPr>
          <w:trHeight w:val="144"/>
        </w:trPr>
        <w:tc>
          <w:tcPr>
            <w:tcW w:w="3900" w:type="dxa"/>
            <w:vAlign w:val="bottom"/>
            <w:shd w:val="clear" w:color="auto" w:fill="CCEEFF"/>
          </w:tcPr>
          <w:p>
            <w:pPr>
              <w:jc w:val="right"/>
              <w:ind w:right="3626"/>
              <w:spacing w:after="0"/>
              <w:rPr>
                <w:sz w:val="20"/>
                <w:szCs w:val="20"/>
                <w:color w:val="auto"/>
              </w:rPr>
            </w:pPr>
            <w:r>
              <w:rPr>
                <w:rFonts w:ascii="Arial" w:cs="Arial" w:eastAsia="Arial" w:hAnsi="Arial"/>
                <w:sz w:val="11"/>
                <w:szCs w:val="11"/>
                <w:color w:val="auto"/>
                <w:w w:val="81"/>
              </w:rPr>
              <w:t>2014</w:t>
            </w:r>
          </w:p>
        </w:tc>
        <w:tc>
          <w:tcPr>
            <w:tcW w:w="1460" w:type="dxa"/>
            <w:vAlign w:val="bottom"/>
            <w:shd w:val="clear" w:color="auto" w:fill="CCEEFF"/>
          </w:tcPr>
          <w:p>
            <w:pPr>
              <w:jc w:val="right"/>
              <w:ind w:right="1166"/>
              <w:spacing w:after="0"/>
              <w:rPr>
                <w:sz w:val="20"/>
                <w:szCs w:val="20"/>
                <w:color w:val="auto"/>
              </w:rPr>
            </w:pPr>
            <w:r>
              <w:rPr>
                <w:rFonts w:ascii="Arial" w:cs="Arial" w:eastAsia="Arial" w:hAnsi="Arial"/>
                <w:sz w:val="11"/>
                <w:szCs w:val="11"/>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1,200,000</w:t>
            </w:r>
          </w:p>
        </w:tc>
        <w:tc>
          <w:tcPr>
            <w:tcW w:w="42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160,643</w:t>
            </w:r>
          </w:p>
        </w:tc>
        <w:tc>
          <w:tcPr>
            <w:tcW w:w="420" w:type="dxa"/>
            <w:vAlign w:val="bottom"/>
            <w:shd w:val="clear" w:color="auto" w:fill="CCEEFF"/>
          </w:tcPr>
          <w:p>
            <w:pPr>
              <w:spacing w:after="0"/>
              <w:rPr>
                <w:sz w:val="12"/>
                <w:szCs w:val="12"/>
                <w:color w:val="auto"/>
              </w:rPr>
            </w:pPr>
          </w:p>
        </w:tc>
        <w:tc>
          <w:tcPr>
            <w:tcW w:w="30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7.47</w:t>
            </w:r>
          </w:p>
        </w:tc>
      </w:tr>
      <w:tr>
        <w:trPr>
          <w:trHeight w:val="140"/>
        </w:trPr>
        <w:tc>
          <w:tcPr>
            <w:tcW w:w="3900" w:type="dxa"/>
            <w:vAlign w:val="bottom"/>
          </w:tcPr>
          <w:p>
            <w:pPr>
              <w:jc w:val="right"/>
              <w:ind w:right="3626"/>
              <w:spacing w:after="0"/>
              <w:rPr>
                <w:sz w:val="20"/>
                <w:szCs w:val="20"/>
                <w:color w:val="auto"/>
              </w:rPr>
            </w:pPr>
            <w:r>
              <w:rPr>
                <w:rFonts w:ascii="Arial" w:cs="Arial" w:eastAsia="Arial" w:hAnsi="Arial"/>
                <w:sz w:val="11"/>
                <w:szCs w:val="11"/>
                <w:color w:val="auto"/>
                <w:w w:val="81"/>
              </w:rPr>
              <w:t>2013</w:t>
            </w:r>
          </w:p>
        </w:tc>
        <w:tc>
          <w:tcPr>
            <w:tcW w:w="146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750,000</w:t>
            </w:r>
          </w:p>
        </w:tc>
        <w:tc>
          <w:tcPr>
            <w:tcW w:w="4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125,209</w:t>
            </w:r>
          </w:p>
        </w:tc>
        <w:tc>
          <w:tcPr>
            <w:tcW w:w="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0" w:type="dxa"/>
            <w:vAlign w:val="bottom"/>
          </w:tcPr>
          <w:p>
            <w:pPr>
              <w:jc w:val="right"/>
              <w:spacing w:after="0"/>
              <w:rPr>
                <w:sz w:val="20"/>
                <w:szCs w:val="20"/>
                <w:color w:val="auto"/>
              </w:rPr>
            </w:pPr>
            <w:r>
              <w:rPr>
                <w:rFonts w:ascii="Arial" w:cs="Arial" w:eastAsia="Arial" w:hAnsi="Arial"/>
                <w:sz w:val="11"/>
                <w:szCs w:val="11"/>
                <w:color w:val="auto"/>
              </w:rPr>
              <w:t>5.99</w:t>
            </w:r>
          </w:p>
        </w:tc>
      </w:tr>
    </w:tbl>
    <w:p>
      <w:pPr>
        <w:spacing w:after="0" w:line="13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Employee and Director Stock Option Plan</w:t>
      </w:r>
    </w:p>
    <w:p>
      <w:pPr>
        <w:spacing w:after="0" w:line="127" w:lineRule="exact"/>
        <w:rPr>
          <w:sz w:val="20"/>
          <w:szCs w:val="20"/>
          <w:color w:val="auto"/>
        </w:rPr>
      </w:pPr>
    </w:p>
    <w:p>
      <w:pPr>
        <w:ind w:right="180"/>
        <w:spacing w:after="0" w:line="380" w:lineRule="auto"/>
        <w:rPr>
          <w:sz w:val="20"/>
          <w:szCs w:val="20"/>
          <w:color w:val="auto"/>
        </w:rPr>
      </w:pPr>
      <w:r>
        <w:rPr>
          <w:rFonts w:ascii="Arial" w:cs="Arial" w:eastAsia="Arial" w:hAnsi="Arial"/>
          <w:sz w:val="10"/>
          <w:szCs w:val="10"/>
          <w:color w:val="auto"/>
        </w:rPr>
        <w:t>The Company may grant stock options and other share-based payment awards of our Class A Stock to eligible employees, Directors, and consultants under the 2010 Stock Incentive Plan. The aggregate total number of shares of the Class A Nonvoting Common Stock authorized for issuance under our 2010 Stock Incentive Plan is 1,250,000. As of December 31, 2015, we had 551,800 shares remaining for future issuances.</w:t>
      </w:r>
    </w:p>
    <w:p>
      <w:pPr>
        <w:spacing w:after="0" w:line="50" w:lineRule="exact"/>
        <w:rPr>
          <w:sz w:val="20"/>
          <w:szCs w:val="20"/>
          <w:color w:val="auto"/>
        </w:rPr>
      </w:pPr>
    </w:p>
    <w:p>
      <w:pPr>
        <w:ind w:right="80"/>
        <w:spacing w:after="0" w:line="263" w:lineRule="auto"/>
        <w:rPr>
          <w:sz w:val="20"/>
          <w:szCs w:val="20"/>
          <w:color w:val="auto"/>
        </w:rPr>
      </w:pPr>
      <w:r>
        <w:rPr>
          <w:rFonts w:ascii="Arial" w:cs="Arial" w:eastAsia="Arial" w:hAnsi="Arial"/>
          <w:sz w:val="12"/>
          <w:szCs w:val="12"/>
          <w:color w:val="auto"/>
        </w:rPr>
        <w:t>Stock options are generally granted at exercise prices equal to the grant-date market prices and expire no later than ten years from the grant date. In recent periods, we have typically limited the exercise period of granted options to five years. At the discretion of our Compensation and Stock Options Committee, the vesting period of stock options ranges from zero to four years. At the time that options are exercised, at the discretion of management, we will either issue treasury shares or make a new issuance of shares to the option holder.</w:t>
      </w:r>
    </w:p>
    <w:p>
      <w:pPr>
        <w:spacing w:after="0" w:line="96" w:lineRule="exact"/>
        <w:rPr>
          <w:sz w:val="20"/>
          <w:szCs w:val="20"/>
          <w:color w:val="auto"/>
        </w:rPr>
      </w:pPr>
    </w:p>
    <w:p>
      <w:pPr>
        <w:ind w:right="60"/>
        <w:spacing w:after="0" w:line="263" w:lineRule="auto"/>
        <w:rPr>
          <w:sz w:val="20"/>
          <w:szCs w:val="20"/>
          <w:color w:val="auto"/>
        </w:rPr>
      </w:pPr>
      <w:r>
        <w:rPr>
          <w:rFonts w:ascii="Arial" w:cs="Arial" w:eastAsia="Arial" w:hAnsi="Arial"/>
          <w:sz w:val="12"/>
          <w:szCs w:val="12"/>
          <w:color w:val="auto"/>
        </w:rPr>
        <w:t>We estimate the grant-date fair value of our options using the Black-Scholes option-valuation model, which takes into account assumptions such as the dividend yield, the risk-free interest rate, the expected stock price volatility, and the expected life of the options. We expense the estimated grant-date fair values of options over the vesting period on a straight-line basis. Based on our historical experience and the relative market price to strike price of the options, we have not hereto estimated any forfeitures of vested or unvested options.</w:t>
      </w:r>
    </w:p>
    <w:p>
      <w:pPr>
        <w:spacing w:after="0" w:line="96" w:lineRule="exact"/>
        <w:rPr>
          <w:sz w:val="20"/>
          <w:szCs w:val="20"/>
          <w:color w:val="auto"/>
        </w:rPr>
      </w:pPr>
    </w:p>
    <w:p>
      <w:pPr>
        <w:spacing w:after="0"/>
        <w:rPr>
          <w:sz w:val="20"/>
          <w:szCs w:val="20"/>
          <w:color w:val="auto"/>
        </w:rPr>
      </w:pPr>
      <w:r>
        <w:rPr>
          <w:rFonts w:ascii="Arial" w:cs="Arial" w:eastAsia="Arial" w:hAnsi="Arial"/>
          <w:sz w:val="12"/>
          <w:szCs w:val="12"/>
          <w:color w:val="auto"/>
        </w:rPr>
        <w:t>The weighted average assumptions used in the option-valuation model were as follows:</w:t>
      </w:r>
    </w:p>
    <w:p>
      <w:pPr>
        <w:sectPr>
          <w:pgSz w:w="11900" w:h="16838" w:orient="portrait"/>
          <w:cols w:equalWidth="0" w:num="1">
            <w:col w:w="10620"/>
          </w:cols>
          <w:pgMar w:left="640" w:top="271" w:right="639" w:bottom="1440" w:gutter="0" w:footer="0" w:header="0"/>
        </w:sectPr>
      </w:pPr>
    </w:p>
    <w:p>
      <w:pPr>
        <w:spacing w:after="0" w:line="298" w:lineRule="exact"/>
        <w:rPr>
          <w:sz w:val="20"/>
          <w:szCs w:val="20"/>
          <w:color w:val="auto"/>
        </w:rPr>
      </w:pPr>
    </w:p>
    <w:p>
      <w:pPr>
        <w:spacing w:after="0"/>
        <w:rPr>
          <w:sz w:val="20"/>
          <w:szCs w:val="20"/>
          <w:color w:val="auto"/>
        </w:rPr>
      </w:pPr>
      <w:r>
        <w:rPr>
          <w:rFonts w:ascii="Arial" w:cs="Arial" w:eastAsia="Arial" w:hAnsi="Arial"/>
          <w:sz w:val="10"/>
          <w:szCs w:val="10"/>
          <w:color w:val="auto"/>
        </w:rPr>
        <w:t>Stock option exercise price</w:t>
      </w:r>
    </w:p>
    <w:p>
      <w:pPr>
        <w:spacing w:after="0" w:line="29" w:lineRule="exact"/>
        <w:rPr>
          <w:sz w:val="20"/>
          <w:szCs w:val="20"/>
          <w:color w:val="auto"/>
        </w:rPr>
      </w:pPr>
    </w:p>
    <w:p>
      <w:pPr>
        <w:spacing w:after="0"/>
        <w:rPr>
          <w:sz w:val="20"/>
          <w:szCs w:val="20"/>
          <w:color w:val="auto"/>
        </w:rPr>
      </w:pPr>
      <w:r>
        <w:rPr>
          <w:rFonts w:ascii="Arial" w:cs="Arial" w:eastAsia="Arial" w:hAnsi="Arial"/>
          <w:sz w:val="11"/>
          <w:szCs w:val="11"/>
          <w:color w:val="auto"/>
        </w:rPr>
        <w:t>Risk-free interest rate</w:t>
      </w:r>
    </w:p>
    <w:p>
      <w:pPr>
        <w:spacing w:after="0" w:line="18" w:lineRule="exact"/>
        <w:rPr>
          <w:sz w:val="20"/>
          <w:szCs w:val="20"/>
          <w:color w:val="auto"/>
        </w:rPr>
      </w:pPr>
    </w:p>
    <w:p>
      <w:pPr>
        <w:spacing w:after="0"/>
        <w:rPr>
          <w:sz w:val="20"/>
          <w:szCs w:val="20"/>
          <w:color w:val="auto"/>
        </w:rPr>
      </w:pPr>
      <w:r>
        <w:rPr>
          <w:rFonts w:ascii="Arial" w:cs="Arial" w:eastAsia="Arial" w:hAnsi="Arial"/>
          <w:sz w:val="11"/>
          <w:szCs w:val="11"/>
          <w:color w:val="auto"/>
        </w:rPr>
        <w:t>Expected dividend yield</w:t>
      </w:r>
    </w:p>
    <w:p>
      <w:pPr>
        <w:spacing w:after="0" w:line="18" w:lineRule="exact"/>
        <w:rPr>
          <w:sz w:val="20"/>
          <w:szCs w:val="20"/>
          <w:color w:val="auto"/>
        </w:rPr>
      </w:pPr>
    </w:p>
    <w:p>
      <w:pPr>
        <w:spacing w:after="0"/>
        <w:rPr>
          <w:sz w:val="20"/>
          <w:szCs w:val="20"/>
          <w:color w:val="auto"/>
        </w:rPr>
      </w:pPr>
      <w:r>
        <w:rPr>
          <w:rFonts w:ascii="Arial" w:cs="Arial" w:eastAsia="Arial" w:hAnsi="Arial"/>
          <w:sz w:val="9"/>
          <w:szCs w:val="9"/>
          <w:color w:val="auto"/>
        </w:rPr>
        <w:t>Expected option life in years</w:t>
      </w:r>
    </w:p>
    <w:p>
      <w:pPr>
        <w:spacing w:after="0" w:line="41" w:lineRule="exact"/>
        <w:rPr>
          <w:sz w:val="20"/>
          <w:szCs w:val="20"/>
          <w:color w:val="auto"/>
        </w:rPr>
      </w:pPr>
    </w:p>
    <w:p>
      <w:pPr>
        <w:spacing w:after="0"/>
        <w:rPr>
          <w:sz w:val="20"/>
          <w:szCs w:val="20"/>
          <w:color w:val="auto"/>
        </w:rPr>
      </w:pPr>
      <w:r>
        <w:rPr>
          <w:rFonts w:ascii="Arial" w:cs="Arial" w:eastAsia="Arial" w:hAnsi="Arial"/>
          <w:sz w:val="11"/>
          <w:szCs w:val="11"/>
          <w:color w:val="auto"/>
        </w:rPr>
        <w:t>Expected volatility</w:t>
      </w:r>
    </w:p>
    <w:p>
      <w:pPr>
        <w:spacing w:after="0" w:line="18" w:lineRule="exact"/>
        <w:rPr>
          <w:sz w:val="20"/>
          <w:szCs w:val="20"/>
          <w:color w:val="auto"/>
        </w:rPr>
      </w:pPr>
    </w:p>
    <w:p>
      <w:pPr>
        <w:spacing w:after="0"/>
        <w:rPr>
          <w:sz w:val="20"/>
          <w:szCs w:val="20"/>
          <w:color w:val="auto"/>
        </w:rPr>
      </w:pPr>
      <w:r>
        <w:rPr>
          <w:rFonts w:ascii="Arial" w:cs="Arial" w:eastAsia="Arial" w:hAnsi="Arial"/>
          <w:sz w:val="9"/>
          <w:szCs w:val="9"/>
          <w:color w:val="auto"/>
        </w:rPr>
        <w:t>Weighted average fair value</w:t>
      </w:r>
    </w:p>
    <w:p>
      <w:pPr>
        <w:spacing w:after="0" w:line="20" w:lineRule="exact"/>
        <w:rPr>
          <w:sz w:val="20"/>
          <w:szCs w:val="20"/>
          <w:color w:val="auto"/>
        </w:rPr>
      </w:pPr>
      <w:r>
        <w:rPr>
          <w:sz w:val="20"/>
          <w:szCs w:val="20"/>
          <w:color w:val="auto"/>
        </w:rPr>
        <w:br w:type="column"/>
      </w:r>
    </w:p>
    <w:p>
      <w:pPr>
        <w:spacing w:after="0" w:line="12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2"/>
        </w:trPr>
        <w:tc>
          <w:tcPr>
            <w:tcW w:w="64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jc w:val="right"/>
              <w:ind w:right="846"/>
              <w:spacing w:after="0"/>
              <w:rPr>
                <w:sz w:val="20"/>
                <w:szCs w:val="20"/>
                <w:color w:val="auto"/>
              </w:rPr>
            </w:pPr>
            <w:r>
              <w:rPr>
                <w:rFonts w:ascii="Arial" w:cs="Arial" w:eastAsia="Arial" w:hAnsi="Arial"/>
                <w:sz w:val="11"/>
                <w:szCs w:val="11"/>
                <w:b w:val="1"/>
                <w:bCs w:val="1"/>
                <w:color w:val="auto"/>
              </w:rPr>
              <w:t>2015</w:t>
            </w:r>
          </w:p>
        </w:tc>
        <w:tc>
          <w:tcPr>
            <w:tcW w:w="400" w:type="dxa"/>
            <w:vAlign w:val="bottom"/>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jc w:val="right"/>
              <w:ind w:right="846"/>
              <w:spacing w:after="0"/>
              <w:rPr>
                <w:sz w:val="20"/>
                <w:szCs w:val="20"/>
                <w:color w:val="auto"/>
              </w:rPr>
            </w:pPr>
            <w:r>
              <w:rPr>
                <w:rFonts w:ascii="Arial" w:cs="Arial" w:eastAsia="Arial" w:hAnsi="Arial"/>
                <w:sz w:val="11"/>
                <w:szCs w:val="11"/>
                <w:b w:val="1"/>
                <w:bCs w:val="1"/>
                <w:color w:val="auto"/>
              </w:rPr>
              <w:t>2014</w:t>
            </w:r>
          </w:p>
        </w:tc>
        <w:tc>
          <w:tcPr>
            <w:tcW w:w="400" w:type="dxa"/>
            <w:vAlign w:val="bottom"/>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jc w:val="right"/>
              <w:ind w:right="846"/>
              <w:spacing w:after="0"/>
              <w:rPr>
                <w:sz w:val="20"/>
                <w:szCs w:val="20"/>
                <w:color w:val="auto"/>
              </w:rPr>
            </w:pPr>
            <w:r>
              <w:rPr>
                <w:rFonts w:ascii="Arial" w:cs="Arial" w:eastAsia="Arial" w:hAnsi="Arial"/>
                <w:sz w:val="11"/>
                <w:szCs w:val="11"/>
                <w:b w:val="1"/>
                <w:bCs w:val="1"/>
                <w:color w:val="auto"/>
              </w:rPr>
              <w:t>2013</w:t>
            </w:r>
          </w:p>
        </w:tc>
      </w:tr>
      <w:tr>
        <w:trPr>
          <w:trHeight w:val="139"/>
        </w:trPr>
        <w:tc>
          <w:tcPr>
            <w:tcW w:w="640" w:type="dxa"/>
            <w:vAlign w:val="bottom"/>
          </w:tcPr>
          <w:p>
            <w:pPr>
              <w:jc w:val="right"/>
              <w:ind w:right="192"/>
              <w:spacing w:after="0"/>
              <w:rPr>
                <w:sz w:val="20"/>
                <w:szCs w:val="20"/>
                <w:color w:val="auto"/>
              </w:rPr>
            </w:pPr>
            <w:r>
              <w:rPr>
                <w:rFonts w:ascii="Arial" w:cs="Arial" w:eastAsia="Arial" w:hAnsi="Arial"/>
                <w:sz w:val="10"/>
                <w:szCs w:val="10"/>
                <w:color w:val="auto"/>
              </w:rPr>
              <w:t>$</w:t>
            </w:r>
          </w:p>
        </w:tc>
        <w:tc>
          <w:tcPr>
            <w:tcW w:w="1360" w:type="dxa"/>
            <w:vAlign w:val="bottom"/>
          </w:tcPr>
          <w:p>
            <w:pPr>
              <w:jc w:val="right"/>
              <w:spacing w:after="0"/>
              <w:rPr>
                <w:sz w:val="20"/>
                <w:szCs w:val="20"/>
                <w:color w:val="auto"/>
              </w:rPr>
            </w:pPr>
            <w:r>
              <w:rPr>
                <w:rFonts w:ascii="Arial" w:cs="Arial" w:eastAsia="Arial" w:hAnsi="Arial"/>
                <w:sz w:val="11"/>
                <w:szCs w:val="11"/>
                <w:color w:val="auto"/>
              </w:rPr>
              <w:t>13.30</w:t>
            </w:r>
          </w:p>
        </w:tc>
        <w:tc>
          <w:tcPr>
            <w:tcW w:w="400" w:type="dxa"/>
            <w:vAlign w:val="bottom"/>
          </w:tcPr>
          <w:p>
            <w:pPr>
              <w:spacing w:after="0"/>
              <w:rPr>
                <w:sz w:val="12"/>
                <w:szCs w:val="12"/>
                <w:color w:val="auto"/>
              </w:rPr>
            </w:pPr>
          </w:p>
        </w:tc>
        <w:tc>
          <w:tcPr>
            <w:tcW w:w="660" w:type="dxa"/>
            <w:vAlign w:val="bottom"/>
          </w:tcPr>
          <w:p>
            <w:pPr>
              <w:jc w:val="right"/>
              <w:ind w:right="192"/>
              <w:spacing w:after="0"/>
              <w:rPr>
                <w:sz w:val="20"/>
                <w:szCs w:val="20"/>
                <w:color w:val="auto"/>
              </w:rPr>
            </w:pPr>
            <w:r>
              <w:rPr>
                <w:rFonts w:ascii="Arial" w:cs="Arial" w:eastAsia="Arial" w:hAnsi="Arial"/>
                <w:sz w:val="10"/>
                <w:szCs w:val="10"/>
                <w:color w:val="auto"/>
              </w:rPr>
              <w:t>$</w:t>
            </w:r>
          </w:p>
        </w:tc>
        <w:tc>
          <w:tcPr>
            <w:tcW w:w="1360" w:type="dxa"/>
            <w:vAlign w:val="bottom"/>
          </w:tcPr>
          <w:p>
            <w:pPr>
              <w:jc w:val="right"/>
              <w:spacing w:after="0"/>
              <w:rPr>
                <w:sz w:val="20"/>
                <w:szCs w:val="20"/>
                <w:color w:val="auto"/>
              </w:rPr>
            </w:pPr>
            <w:r>
              <w:rPr>
                <w:rFonts w:ascii="Arial" w:cs="Arial" w:eastAsia="Arial" w:hAnsi="Arial"/>
                <w:sz w:val="11"/>
                <w:szCs w:val="11"/>
                <w:color w:val="auto"/>
              </w:rPr>
              <w:t>8.56</w:t>
            </w:r>
          </w:p>
        </w:tc>
        <w:tc>
          <w:tcPr>
            <w:tcW w:w="400" w:type="dxa"/>
            <w:vAlign w:val="bottom"/>
          </w:tcPr>
          <w:p>
            <w:pPr>
              <w:spacing w:after="0"/>
              <w:rPr>
                <w:sz w:val="12"/>
                <w:szCs w:val="12"/>
                <w:color w:val="auto"/>
              </w:rPr>
            </w:pPr>
          </w:p>
        </w:tc>
        <w:tc>
          <w:tcPr>
            <w:tcW w:w="660" w:type="dxa"/>
            <w:vAlign w:val="bottom"/>
          </w:tcPr>
          <w:p>
            <w:pPr>
              <w:jc w:val="right"/>
              <w:ind w:right="192"/>
              <w:spacing w:after="0"/>
              <w:rPr>
                <w:sz w:val="20"/>
                <w:szCs w:val="20"/>
                <w:color w:val="auto"/>
              </w:rPr>
            </w:pPr>
            <w:r>
              <w:rPr>
                <w:rFonts w:ascii="Arial" w:cs="Arial" w:eastAsia="Arial" w:hAnsi="Arial"/>
                <w:sz w:val="10"/>
                <w:szCs w:val="10"/>
                <w:color w:val="auto"/>
              </w:rPr>
              <w:t>$</w:t>
            </w:r>
          </w:p>
        </w:tc>
        <w:tc>
          <w:tcPr>
            <w:tcW w:w="1380" w:type="dxa"/>
            <w:vAlign w:val="bottom"/>
          </w:tcPr>
          <w:p>
            <w:pPr>
              <w:jc w:val="right"/>
              <w:spacing w:after="0"/>
              <w:rPr>
                <w:sz w:val="20"/>
                <w:szCs w:val="20"/>
                <w:color w:val="auto"/>
              </w:rPr>
            </w:pPr>
            <w:r>
              <w:rPr>
                <w:rFonts w:ascii="Arial" w:cs="Arial" w:eastAsia="Arial" w:hAnsi="Arial"/>
                <w:sz w:val="11"/>
                <w:szCs w:val="11"/>
                <w:color w:val="auto"/>
              </w:rPr>
              <w:t>6.19</w:t>
            </w:r>
          </w:p>
        </w:tc>
      </w:tr>
      <w:tr>
        <w:trPr>
          <w:trHeight w:val="136"/>
        </w:trPr>
        <w:tc>
          <w:tcPr>
            <w:tcW w:w="640" w:type="dxa"/>
            <w:vAlign w:val="bottom"/>
          </w:tcPr>
          <w:p>
            <w:pPr>
              <w:spacing w:after="0"/>
              <w:rPr>
                <w:sz w:val="11"/>
                <w:szCs w:val="11"/>
                <w:color w:val="auto"/>
              </w:rPr>
            </w:pPr>
          </w:p>
        </w:tc>
        <w:tc>
          <w:tcPr>
            <w:tcW w:w="1360" w:type="dxa"/>
            <w:vAlign w:val="bottom"/>
          </w:tcPr>
          <w:p>
            <w:pPr>
              <w:jc w:val="right"/>
              <w:spacing w:after="0"/>
              <w:rPr>
                <w:sz w:val="20"/>
                <w:szCs w:val="20"/>
                <w:color w:val="auto"/>
              </w:rPr>
            </w:pPr>
            <w:r>
              <w:rPr>
                <w:rFonts w:ascii="Arial" w:cs="Arial" w:eastAsia="Arial" w:hAnsi="Arial"/>
                <w:sz w:val="11"/>
                <w:szCs w:val="11"/>
                <w:color w:val="auto"/>
              </w:rPr>
              <w:t>2.23%</w:t>
            </w:r>
          </w:p>
        </w:tc>
        <w:tc>
          <w:tcPr>
            <w:tcW w:w="4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360" w:type="dxa"/>
            <w:vAlign w:val="bottom"/>
          </w:tcPr>
          <w:p>
            <w:pPr>
              <w:jc w:val="right"/>
              <w:spacing w:after="0"/>
              <w:rPr>
                <w:sz w:val="20"/>
                <w:szCs w:val="20"/>
                <w:color w:val="auto"/>
              </w:rPr>
            </w:pPr>
            <w:r>
              <w:rPr>
                <w:rFonts w:ascii="Arial" w:cs="Arial" w:eastAsia="Arial" w:hAnsi="Arial"/>
                <w:sz w:val="11"/>
                <w:szCs w:val="11"/>
                <w:color w:val="auto"/>
              </w:rPr>
              <w:t>2.51%</w:t>
            </w:r>
          </w:p>
        </w:tc>
        <w:tc>
          <w:tcPr>
            <w:tcW w:w="4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380" w:type="dxa"/>
            <w:vAlign w:val="bottom"/>
          </w:tcPr>
          <w:p>
            <w:pPr>
              <w:jc w:val="right"/>
              <w:spacing w:after="0"/>
              <w:rPr>
                <w:sz w:val="20"/>
                <w:szCs w:val="20"/>
                <w:color w:val="auto"/>
              </w:rPr>
            </w:pPr>
            <w:r>
              <w:rPr>
                <w:rFonts w:ascii="Arial" w:cs="Arial" w:eastAsia="Arial" w:hAnsi="Arial"/>
                <w:sz w:val="11"/>
                <w:szCs w:val="11"/>
                <w:color w:val="auto"/>
              </w:rPr>
              <w:t>2.25%</w:t>
            </w:r>
          </w:p>
        </w:tc>
      </w:tr>
      <w:tr>
        <w:trPr>
          <w:trHeight w:val="144"/>
        </w:trPr>
        <w:tc>
          <w:tcPr>
            <w:tcW w:w="640" w:type="dxa"/>
            <w:vAlign w:val="bottom"/>
          </w:tcPr>
          <w:p>
            <w:pPr>
              <w:spacing w:after="0"/>
              <w:rPr>
                <w:sz w:val="12"/>
                <w:szCs w:val="12"/>
                <w:color w:val="auto"/>
              </w:rPr>
            </w:pPr>
          </w:p>
        </w:tc>
        <w:tc>
          <w:tcPr>
            <w:tcW w:w="1760" w:type="dxa"/>
            <w:vAlign w:val="bottom"/>
            <w:gridSpan w:val="2"/>
          </w:tcPr>
          <w:p>
            <w:pPr>
              <w:jc w:val="right"/>
              <w:ind w:right="400"/>
              <w:spacing w:after="0"/>
              <w:rPr>
                <w:sz w:val="20"/>
                <w:szCs w:val="20"/>
                <w:color w:val="auto"/>
              </w:rPr>
            </w:pPr>
            <w:r>
              <w:rPr>
                <w:rFonts w:ascii="Arial" w:cs="Arial" w:eastAsia="Arial" w:hAnsi="Arial"/>
                <w:sz w:val="11"/>
                <w:szCs w:val="11"/>
                <w:color w:val="auto"/>
              </w:rPr>
              <w:t>--</w:t>
            </w:r>
          </w:p>
        </w:tc>
        <w:tc>
          <w:tcPr>
            <w:tcW w:w="660" w:type="dxa"/>
            <w:vAlign w:val="bottom"/>
          </w:tcPr>
          <w:p>
            <w:pPr>
              <w:spacing w:after="0"/>
              <w:rPr>
                <w:sz w:val="12"/>
                <w:szCs w:val="12"/>
                <w:color w:val="auto"/>
              </w:rPr>
            </w:pPr>
          </w:p>
        </w:tc>
        <w:tc>
          <w:tcPr>
            <w:tcW w:w="1760" w:type="dxa"/>
            <w:vAlign w:val="bottom"/>
            <w:gridSpan w:val="2"/>
          </w:tcPr>
          <w:p>
            <w:pPr>
              <w:jc w:val="right"/>
              <w:ind w:right="400"/>
              <w:spacing w:after="0"/>
              <w:rPr>
                <w:sz w:val="20"/>
                <w:szCs w:val="20"/>
                <w:color w:val="auto"/>
              </w:rPr>
            </w:pPr>
            <w:r>
              <w:rPr>
                <w:rFonts w:ascii="Arial" w:cs="Arial" w:eastAsia="Arial" w:hAnsi="Arial"/>
                <w:sz w:val="11"/>
                <w:szCs w:val="11"/>
                <w:color w:val="auto"/>
              </w:rPr>
              <w:t>--</w:t>
            </w:r>
          </w:p>
        </w:tc>
        <w:tc>
          <w:tcPr>
            <w:tcW w:w="660" w:type="dxa"/>
            <w:vAlign w:val="bottom"/>
          </w:tcPr>
          <w:p>
            <w:pPr>
              <w:spacing w:after="0"/>
              <w:rPr>
                <w:sz w:val="12"/>
                <w:szCs w:val="12"/>
                <w:color w:val="auto"/>
              </w:rPr>
            </w:pPr>
          </w:p>
        </w:tc>
        <w:tc>
          <w:tcPr>
            <w:tcW w:w="138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44"/>
        </w:trPr>
        <w:tc>
          <w:tcPr>
            <w:tcW w:w="64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Arial" w:cs="Arial" w:eastAsia="Arial" w:hAnsi="Arial"/>
                <w:sz w:val="11"/>
                <w:szCs w:val="11"/>
                <w:color w:val="auto"/>
              </w:rPr>
              <w:t>4</w:t>
            </w:r>
          </w:p>
        </w:tc>
        <w:tc>
          <w:tcPr>
            <w:tcW w:w="4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Arial" w:cs="Arial" w:eastAsia="Arial" w:hAnsi="Arial"/>
                <w:sz w:val="11"/>
                <w:szCs w:val="11"/>
                <w:color w:val="auto"/>
              </w:rPr>
              <w:t>5</w:t>
            </w:r>
          </w:p>
        </w:tc>
        <w:tc>
          <w:tcPr>
            <w:tcW w:w="4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380" w:type="dxa"/>
            <w:vAlign w:val="bottom"/>
          </w:tcPr>
          <w:p>
            <w:pPr>
              <w:jc w:val="right"/>
              <w:spacing w:after="0"/>
              <w:rPr>
                <w:sz w:val="20"/>
                <w:szCs w:val="20"/>
                <w:color w:val="auto"/>
              </w:rPr>
            </w:pPr>
            <w:r>
              <w:rPr>
                <w:rFonts w:ascii="Arial" w:cs="Arial" w:eastAsia="Arial" w:hAnsi="Arial"/>
                <w:sz w:val="11"/>
                <w:szCs w:val="11"/>
                <w:color w:val="auto"/>
              </w:rPr>
              <w:t>5</w:t>
            </w:r>
          </w:p>
        </w:tc>
      </w:tr>
      <w:tr>
        <w:trPr>
          <w:trHeight w:val="144"/>
        </w:trPr>
        <w:tc>
          <w:tcPr>
            <w:tcW w:w="64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Arial" w:cs="Arial" w:eastAsia="Arial" w:hAnsi="Arial"/>
                <w:sz w:val="11"/>
                <w:szCs w:val="11"/>
                <w:color w:val="auto"/>
              </w:rPr>
              <w:t>31.86%</w:t>
            </w:r>
          </w:p>
        </w:tc>
        <w:tc>
          <w:tcPr>
            <w:tcW w:w="4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Arial" w:cs="Arial" w:eastAsia="Arial" w:hAnsi="Arial"/>
                <w:sz w:val="11"/>
                <w:szCs w:val="11"/>
                <w:color w:val="auto"/>
              </w:rPr>
              <w:t>31.33%</w:t>
            </w:r>
          </w:p>
        </w:tc>
        <w:tc>
          <w:tcPr>
            <w:tcW w:w="4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380" w:type="dxa"/>
            <w:vAlign w:val="bottom"/>
          </w:tcPr>
          <w:p>
            <w:pPr>
              <w:jc w:val="right"/>
              <w:spacing w:after="0"/>
              <w:rPr>
                <w:sz w:val="20"/>
                <w:szCs w:val="20"/>
                <w:color w:val="auto"/>
              </w:rPr>
            </w:pPr>
            <w:r>
              <w:rPr>
                <w:rFonts w:ascii="Arial" w:cs="Arial" w:eastAsia="Arial" w:hAnsi="Arial"/>
                <w:sz w:val="11"/>
                <w:szCs w:val="11"/>
                <w:color w:val="auto"/>
              </w:rPr>
              <w:t>31.80%</w:t>
            </w:r>
          </w:p>
        </w:tc>
      </w:tr>
      <w:tr>
        <w:trPr>
          <w:trHeight w:val="158"/>
        </w:trPr>
        <w:tc>
          <w:tcPr>
            <w:tcW w:w="640" w:type="dxa"/>
            <w:vAlign w:val="bottom"/>
          </w:tcPr>
          <w:p>
            <w:pPr>
              <w:jc w:val="right"/>
              <w:ind w:right="192"/>
              <w:spacing w:after="0"/>
              <w:rPr>
                <w:sz w:val="20"/>
                <w:szCs w:val="20"/>
                <w:color w:val="auto"/>
              </w:rPr>
            </w:pPr>
            <w:r>
              <w:rPr>
                <w:rFonts w:ascii="Arial" w:cs="Arial" w:eastAsia="Arial" w:hAnsi="Arial"/>
                <w:sz w:val="10"/>
                <w:szCs w:val="10"/>
                <w:color w:val="auto"/>
              </w:rPr>
              <w:t>$</w:t>
            </w:r>
          </w:p>
        </w:tc>
        <w:tc>
          <w:tcPr>
            <w:tcW w:w="1360" w:type="dxa"/>
            <w:vAlign w:val="bottom"/>
          </w:tcPr>
          <w:p>
            <w:pPr>
              <w:jc w:val="right"/>
              <w:spacing w:after="0"/>
              <w:rPr>
                <w:sz w:val="20"/>
                <w:szCs w:val="20"/>
                <w:color w:val="auto"/>
              </w:rPr>
            </w:pPr>
            <w:r>
              <w:rPr>
                <w:rFonts w:ascii="Arial" w:cs="Arial" w:eastAsia="Arial" w:hAnsi="Arial"/>
                <w:sz w:val="11"/>
                <w:szCs w:val="11"/>
                <w:color w:val="auto"/>
              </w:rPr>
              <w:t>3.82</w:t>
            </w:r>
          </w:p>
        </w:tc>
        <w:tc>
          <w:tcPr>
            <w:tcW w:w="400" w:type="dxa"/>
            <w:vAlign w:val="bottom"/>
          </w:tcPr>
          <w:p>
            <w:pPr>
              <w:spacing w:after="0"/>
              <w:rPr>
                <w:sz w:val="13"/>
                <w:szCs w:val="13"/>
                <w:color w:val="auto"/>
              </w:rPr>
            </w:pPr>
          </w:p>
        </w:tc>
        <w:tc>
          <w:tcPr>
            <w:tcW w:w="660" w:type="dxa"/>
            <w:vAlign w:val="bottom"/>
          </w:tcPr>
          <w:p>
            <w:pPr>
              <w:jc w:val="right"/>
              <w:ind w:right="192"/>
              <w:spacing w:after="0"/>
              <w:rPr>
                <w:sz w:val="20"/>
                <w:szCs w:val="20"/>
                <w:color w:val="auto"/>
              </w:rPr>
            </w:pPr>
            <w:r>
              <w:rPr>
                <w:rFonts w:ascii="Arial" w:cs="Arial" w:eastAsia="Arial" w:hAnsi="Arial"/>
                <w:sz w:val="10"/>
                <w:szCs w:val="10"/>
                <w:color w:val="auto"/>
              </w:rPr>
              <w:t>$</w:t>
            </w:r>
          </w:p>
        </w:tc>
        <w:tc>
          <w:tcPr>
            <w:tcW w:w="1360" w:type="dxa"/>
            <w:vAlign w:val="bottom"/>
          </w:tcPr>
          <w:p>
            <w:pPr>
              <w:jc w:val="right"/>
              <w:spacing w:after="0"/>
              <w:rPr>
                <w:sz w:val="20"/>
                <w:szCs w:val="20"/>
                <w:color w:val="auto"/>
              </w:rPr>
            </w:pPr>
            <w:r>
              <w:rPr>
                <w:rFonts w:ascii="Arial" w:cs="Arial" w:eastAsia="Arial" w:hAnsi="Arial"/>
                <w:sz w:val="11"/>
                <w:szCs w:val="11"/>
                <w:color w:val="auto"/>
              </w:rPr>
              <w:t>2.76</w:t>
            </w:r>
          </w:p>
        </w:tc>
        <w:tc>
          <w:tcPr>
            <w:tcW w:w="400" w:type="dxa"/>
            <w:vAlign w:val="bottom"/>
          </w:tcPr>
          <w:p>
            <w:pPr>
              <w:spacing w:after="0"/>
              <w:rPr>
                <w:sz w:val="13"/>
                <w:szCs w:val="13"/>
                <w:color w:val="auto"/>
              </w:rPr>
            </w:pPr>
          </w:p>
        </w:tc>
        <w:tc>
          <w:tcPr>
            <w:tcW w:w="660" w:type="dxa"/>
            <w:vAlign w:val="bottom"/>
          </w:tcPr>
          <w:p>
            <w:pPr>
              <w:jc w:val="right"/>
              <w:ind w:right="192"/>
              <w:spacing w:after="0"/>
              <w:rPr>
                <w:sz w:val="20"/>
                <w:szCs w:val="20"/>
                <w:color w:val="auto"/>
              </w:rPr>
            </w:pPr>
            <w:r>
              <w:rPr>
                <w:rFonts w:ascii="Arial" w:cs="Arial" w:eastAsia="Arial" w:hAnsi="Arial"/>
                <w:sz w:val="10"/>
                <w:szCs w:val="10"/>
                <w:color w:val="auto"/>
              </w:rPr>
              <w:t>$</w:t>
            </w:r>
          </w:p>
        </w:tc>
        <w:tc>
          <w:tcPr>
            <w:tcW w:w="1380" w:type="dxa"/>
            <w:vAlign w:val="bottom"/>
          </w:tcPr>
          <w:p>
            <w:pPr>
              <w:jc w:val="right"/>
              <w:spacing w:after="0"/>
              <w:rPr>
                <w:sz w:val="20"/>
                <w:szCs w:val="20"/>
                <w:color w:val="auto"/>
              </w:rPr>
            </w:pPr>
            <w:r>
              <w:rPr>
                <w:rFonts w:ascii="Arial" w:cs="Arial" w:eastAsia="Arial" w:hAnsi="Arial"/>
                <w:sz w:val="11"/>
                <w:szCs w:val="11"/>
                <w:color w:val="auto"/>
              </w:rPr>
              <w:t>1.98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-2384425</wp:posOffset>
            </wp:positionH>
            <wp:positionV relativeFrom="paragraph">
              <wp:posOffset>-554990</wp:posOffset>
            </wp:positionV>
            <wp:extent cx="6743065" cy="914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743065" cy="91440"/>
                    </a:xfrm>
                    <a:prstGeom prst="rect">
                      <a:avLst/>
                    </a:prstGeom>
                    <a:noFill/>
                  </pic:spPr>
                </pic:pic>
              </a:graphicData>
            </a:graphic>
          </wp:anchor>
        </w:drawing>
        <w:drawing>
          <wp:anchor simplePos="0" relativeHeight="251657728" behindDoc="1" locked="0" layoutInCell="0" allowOverlap="1">
            <wp:simplePos x="0" y="0"/>
            <wp:positionH relativeFrom="column">
              <wp:posOffset>-2384425</wp:posOffset>
            </wp:positionH>
            <wp:positionV relativeFrom="paragraph">
              <wp:posOffset>-371475</wp:posOffset>
            </wp:positionV>
            <wp:extent cx="6743065" cy="914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743065" cy="91440"/>
                    </a:xfrm>
                    <a:prstGeom prst="rect">
                      <a:avLst/>
                    </a:prstGeom>
                    <a:noFill/>
                  </pic:spPr>
                </pic:pic>
              </a:graphicData>
            </a:graphic>
          </wp:anchor>
        </w:drawing>
        <w:drawing>
          <wp:anchor simplePos="0" relativeHeight="251657728" behindDoc="1" locked="0" layoutInCell="0" allowOverlap="1">
            <wp:simplePos x="0" y="0"/>
            <wp:positionH relativeFrom="column">
              <wp:posOffset>-2384425</wp:posOffset>
            </wp:positionH>
            <wp:positionV relativeFrom="paragraph">
              <wp:posOffset>-188595</wp:posOffset>
            </wp:positionV>
            <wp:extent cx="6743065" cy="914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743065" cy="91440"/>
                    </a:xfrm>
                    <a:prstGeom prst="rect">
                      <a:avLst/>
                    </a:prstGeom>
                    <a:noFill/>
                  </pic:spPr>
                </pic:pic>
              </a:graphicData>
            </a:graphic>
          </wp:anchor>
        </w:drawing>
      </w:r>
    </w:p>
    <w:p>
      <w:pPr>
        <w:spacing w:after="0" w:line="125" w:lineRule="exact"/>
        <w:rPr>
          <w:sz w:val="20"/>
          <w:szCs w:val="20"/>
          <w:color w:val="auto"/>
        </w:rPr>
      </w:pPr>
    </w:p>
    <w:p>
      <w:pPr>
        <w:sectPr>
          <w:pgSz w:w="11900" w:h="16838" w:orient="portrait"/>
          <w:cols w:equalWidth="0" w:num="2">
            <w:col w:w="3040" w:space="720"/>
            <w:col w:w="6860"/>
          </w:cols>
          <w:pgMar w:left="640" w:top="271" w:right="639" w:bottom="1440" w:gutter="0" w:footer="0" w:header="0"/>
          <w:type w:val="continuous"/>
        </w:sectPr>
      </w:pPr>
    </w:p>
    <w:p>
      <w:pPr>
        <w:ind w:right="120"/>
        <w:spacing w:after="0" w:line="263" w:lineRule="auto"/>
        <w:rPr>
          <w:sz w:val="20"/>
          <w:szCs w:val="20"/>
          <w:color w:val="auto"/>
        </w:rPr>
      </w:pPr>
      <w:r>
        <w:rPr>
          <w:rFonts w:ascii="Arial" w:cs="Arial" w:eastAsia="Arial" w:hAnsi="Arial"/>
          <w:sz w:val="12"/>
          <w:szCs w:val="12"/>
          <w:color w:val="auto"/>
        </w:rPr>
        <w:t>We recorded compensation expense of $282,308, $146,000, and $199,000 for 2015, 2014, and 2013, respectively. At December 31, 2015, the total unrecognized estimated compensation cost related to non-vested stock options was $576,248 which is expected to be recognized over a weighted average vesting period of 1.83 years. Cash and other consideration received from option exercises during 2015, 2014, and 2013 totaled $3.0 million, $978,000, and $248,000, respectively.</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59690</wp:posOffset>
            </wp:positionV>
            <wp:extent cx="677989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779895" cy="42545"/>
                    </a:xfrm>
                    <a:prstGeom prst="rect">
                      <a:avLst/>
                    </a:prstGeom>
                    <a:noFill/>
                  </pic:spPr>
                </pic:pic>
              </a:graphicData>
            </a:graphic>
          </wp:anchor>
        </w:drawing>
      </w:r>
    </w:p>
    <w:p>
      <w:pPr>
        <w:sectPr>
          <w:pgSz w:w="11900" w:h="16838" w:orient="portrait"/>
          <w:cols w:equalWidth="0" w:num="1">
            <w:col w:w="10620"/>
          </w:cols>
          <w:pgMar w:left="640" w:top="271" w:right="639" w:bottom="1440" w:gutter="0" w:footer="0" w:header="0"/>
          <w:type w:val="continuous"/>
        </w:sectPr>
      </w:pPr>
    </w:p>
    <w:bookmarkStart w:id="88" w:name="page89"/>
    <w:bookmarkEnd w:id="88"/>
    <w:p>
      <w:pPr>
        <w:spacing w:after="0"/>
        <w:rPr>
          <w:sz w:val="20"/>
          <w:szCs w:val="20"/>
          <w:color w:val="auto"/>
        </w:rPr>
      </w:pPr>
      <w:r>
        <w:rPr>
          <w:rFonts w:ascii="Arial" w:cs="Arial" w:eastAsia="Arial" w:hAnsi="Arial"/>
          <w:sz w:val="12"/>
          <w:szCs w:val="12"/>
          <w:color w:val="auto"/>
        </w:rPr>
        <w:t>The following is a summary of the status of RDI’s outstanding stock options: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760" w:type="dxa"/>
            <w:vAlign w:val="bottom"/>
          </w:tcPr>
          <w:p>
            <w:pPr>
              <w:spacing w:after="0"/>
              <w:rPr>
                <w:sz w:val="12"/>
                <w:szCs w:val="12"/>
                <w:color w:val="auto"/>
              </w:rPr>
            </w:pPr>
          </w:p>
        </w:tc>
        <w:tc>
          <w:tcPr>
            <w:tcW w:w="11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68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Outstanding Stock Options</w:t>
            </w:r>
          </w:p>
        </w:tc>
        <w:tc>
          <w:tcPr>
            <w:tcW w:w="2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r>
      <w:tr>
        <w:trPr>
          <w:trHeight w:val="270"/>
        </w:trPr>
        <w:tc>
          <w:tcPr>
            <w:tcW w:w="27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4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88"/>
              </w:rPr>
              <w:t>Weighted Average Remaining</w:t>
            </w: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r>
      <w:tr>
        <w:trPr>
          <w:trHeight w:val="142"/>
        </w:trPr>
        <w:tc>
          <w:tcPr>
            <w:tcW w:w="2760" w:type="dxa"/>
            <w:vAlign w:val="bottom"/>
          </w:tcPr>
          <w:p>
            <w:pPr>
              <w:spacing w:after="0"/>
              <w:rPr>
                <w:sz w:val="12"/>
                <w:szCs w:val="12"/>
                <w:color w:val="auto"/>
              </w:rPr>
            </w:pPr>
          </w:p>
        </w:tc>
        <w:tc>
          <w:tcPr>
            <w:tcW w:w="1720" w:type="dxa"/>
            <w:vAlign w:val="bottom"/>
            <w:tcBorders>
              <w:bottom w:val="single" w:sz="8" w:color="auto"/>
            </w:tcBorders>
            <w:gridSpan w:val="3"/>
          </w:tcPr>
          <w:p>
            <w:pPr>
              <w:ind w:left="800"/>
              <w:spacing w:after="0"/>
              <w:rPr>
                <w:sz w:val="20"/>
                <w:szCs w:val="20"/>
                <w:color w:val="auto"/>
              </w:rPr>
            </w:pPr>
            <w:r>
              <w:rPr>
                <w:rFonts w:ascii="Arial" w:cs="Arial" w:eastAsia="Arial" w:hAnsi="Arial"/>
                <w:sz w:val="11"/>
                <w:szCs w:val="11"/>
                <w:b w:val="1"/>
                <w:bCs w:val="1"/>
                <w:color w:val="auto"/>
                <w:w w:val="90"/>
              </w:rPr>
              <w:t>Number of Options</w:t>
            </w:r>
          </w:p>
        </w:tc>
        <w:tc>
          <w:tcPr>
            <w:tcW w:w="78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680" w:type="dxa"/>
            <w:vAlign w:val="bottom"/>
            <w:tcBorders>
              <w:bottom w:val="single" w:sz="8" w:color="auto"/>
            </w:tcBorders>
            <w:gridSpan w:val="3"/>
          </w:tcPr>
          <w:p>
            <w:pPr>
              <w:jc w:val="right"/>
              <w:ind w:right="26"/>
              <w:spacing w:after="0"/>
              <w:rPr>
                <w:sz w:val="20"/>
                <w:szCs w:val="20"/>
                <w:color w:val="auto"/>
              </w:rPr>
            </w:pPr>
            <w:r>
              <w:rPr>
                <w:rFonts w:ascii="Arial" w:cs="Arial" w:eastAsia="Arial" w:hAnsi="Arial"/>
                <w:sz w:val="11"/>
                <w:szCs w:val="11"/>
                <w:b w:val="1"/>
                <w:bCs w:val="1"/>
                <w:color w:val="auto"/>
                <w:w w:val="90"/>
              </w:rPr>
              <w:t>Weighted Average Exercise Price</w:t>
            </w:r>
          </w:p>
        </w:tc>
        <w:tc>
          <w:tcPr>
            <w:tcW w:w="26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0"/>
              </w:rPr>
              <w:t>Years of Contractual Life</w:t>
            </w:r>
          </w:p>
        </w:tc>
        <w:tc>
          <w:tcPr>
            <w:tcW w:w="180" w:type="dxa"/>
            <w:vAlign w:val="bottom"/>
          </w:tcPr>
          <w:p>
            <w:pPr>
              <w:spacing w:after="0"/>
              <w:rPr>
                <w:sz w:val="12"/>
                <w:szCs w:val="12"/>
                <w:color w:val="auto"/>
              </w:rPr>
            </w:pP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b w:val="1"/>
                <w:bCs w:val="1"/>
                <w:color w:val="auto"/>
                <w:w w:val="88"/>
              </w:rPr>
              <w:t>Aggregate Intrinsic Value</w:t>
            </w:r>
          </w:p>
        </w:tc>
      </w:tr>
      <w:tr>
        <w:trPr>
          <w:trHeight w:val="214"/>
        </w:trPr>
        <w:tc>
          <w:tcPr>
            <w:tcW w:w="2760" w:type="dxa"/>
            <w:vAlign w:val="bottom"/>
          </w:tcPr>
          <w:p>
            <w:pPr>
              <w:spacing w:after="0"/>
              <w:rPr>
                <w:sz w:val="18"/>
                <w:szCs w:val="18"/>
                <w:color w:val="auto"/>
              </w:rPr>
            </w:pPr>
          </w:p>
        </w:tc>
        <w:tc>
          <w:tcPr>
            <w:tcW w:w="1720" w:type="dxa"/>
            <w:vAlign w:val="bottom"/>
            <w:gridSpan w:val="3"/>
          </w:tcPr>
          <w:p>
            <w:pPr>
              <w:ind w:left="420"/>
              <w:spacing w:after="0"/>
              <w:rPr>
                <w:sz w:val="20"/>
                <w:szCs w:val="20"/>
                <w:color w:val="auto"/>
              </w:rPr>
            </w:pPr>
            <w:r>
              <w:rPr>
                <w:rFonts w:ascii="Arial" w:cs="Arial" w:eastAsia="Arial" w:hAnsi="Arial"/>
                <w:sz w:val="11"/>
                <w:szCs w:val="11"/>
                <w:b w:val="1"/>
                <w:bCs w:val="1"/>
                <w:color w:val="auto"/>
              </w:rPr>
              <w:t>Class A</w:t>
            </w:r>
          </w:p>
        </w:tc>
        <w:tc>
          <w:tcPr>
            <w:tcW w:w="960" w:type="dxa"/>
            <w:vAlign w:val="bottom"/>
            <w:gridSpan w:val="2"/>
          </w:tcPr>
          <w:p>
            <w:pPr>
              <w:ind w:left="20"/>
              <w:spacing w:after="0"/>
              <w:rPr>
                <w:sz w:val="20"/>
                <w:szCs w:val="20"/>
                <w:color w:val="auto"/>
              </w:rPr>
            </w:pPr>
            <w:r>
              <w:rPr>
                <w:rFonts w:ascii="Arial" w:cs="Arial" w:eastAsia="Arial" w:hAnsi="Arial"/>
                <w:sz w:val="11"/>
                <w:szCs w:val="11"/>
                <w:b w:val="1"/>
                <w:bCs w:val="1"/>
                <w:color w:val="auto"/>
              </w:rPr>
              <w:t>Class B</w:t>
            </w:r>
          </w:p>
        </w:tc>
        <w:tc>
          <w:tcPr>
            <w:tcW w:w="240" w:type="dxa"/>
            <w:vAlign w:val="bottom"/>
          </w:tcPr>
          <w:p>
            <w:pPr>
              <w:spacing w:after="0"/>
              <w:rPr>
                <w:sz w:val="18"/>
                <w:szCs w:val="18"/>
                <w:color w:val="auto"/>
              </w:rPr>
            </w:pPr>
          </w:p>
        </w:tc>
        <w:tc>
          <w:tcPr>
            <w:tcW w:w="940" w:type="dxa"/>
            <w:vAlign w:val="bottom"/>
            <w:gridSpan w:val="2"/>
          </w:tcPr>
          <w:p>
            <w:pPr>
              <w:ind w:left="80"/>
              <w:spacing w:after="0"/>
              <w:rPr>
                <w:sz w:val="20"/>
                <w:szCs w:val="20"/>
                <w:color w:val="auto"/>
              </w:rPr>
            </w:pPr>
            <w:r>
              <w:rPr>
                <w:rFonts w:ascii="Arial" w:cs="Arial" w:eastAsia="Arial" w:hAnsi="Arial"/>
                <w:sz w:val="11"/>
                <w:szCs w:val="11"/>
                <w:b w:val="1"/>
                <w:bCs w:val="1"/>
                <w:color w:val="auto"/>
              </w:rPr>
              <w:t>Class A</w:t>
            </w:r>
          </w:p>
        </w:tc>
        <w:tc>
          <w:tcPr>
            <w:tcW w:w="740" w:type="dxa"/>
            <w:vAlign w:val="bottom"/>
          </w:tcPr>
          <w:p>
            <w:pPr>
              <w:jc w:val="right"/>
              <w:ind w:right="6"/>
              <w:spacing w:after="0"/>
              <w:rPr>
                <w:sz w:val="20"/>
                <w:szCs w:val="20"/>
                <w:color w:val="auto"/>
              </w:rPr>
            </w:pPr>
            <w:r>
              <w:rPr>
                <w:rFonts w:ascii="Arial" w:cs="Arial" w:eastAsia="Arial" w:hAnsi="Arial"/>
                <w:sz w:val="11"/>
                <w:szCs w:val="11"/>
                <w:b w:val="1"/>
                <w:bCs w:val="1"/>
                <w:color w:val="auto"/>
              </w:rPr>
              <w:t>Class B</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92"/>
              </w:rPr>
              <w:t>Class A&amp;B</w:t>
            </w:r>
          </w:p>
        </w:tc>
        <w:tc>
          <w:tcPr>
            <w:tcW w:w="260" w:type="dxa"/>
            <w:vAlign w:val="bottom"/>
          </w:tcPr>
          <w:p>
            <w:pPr>
              <w:spacing w:after="0"/>
              <w:rPr>
                <w:sz w:val="18"/>
                <w:szCs w:val="18"/>
                <w:color w:val="auto"/>
              </w:rPr>
            </w:pPr>
          </w:p>
        </w:tc>
        <w:tc>
          <w:tcPr>
            <w:tcW w:w="940" w:type="dxa"/>
            <w:vAlign w:val="bottom"/>
          </w:tcPr>
          <w:p>
            <w:pPr>
              <w:jc w:val="right"/>
              <w:ind w:right="286"/>
              <w:spacing w:after="0"/>
              <w:rPr>
                <w:sz w:val="20"/>
                <w:szCs w:val="20"/>
                <w:color w:val="auto"/>
              </w:rPr>
            </w:pPr>
            <w:r>
              <w:rPr>
                <w:rFonts w:ascii="Arial" w:cs="Arial" w:eastAsia="Arial" w:hAnsi="Arial"/>
                <w:sz w:val="11"/>
                <w:szCs w:val="11"/>
                <w:b w:val="1"/>
                <w:bCs w:val="1"/>
                <w:color w:val="auto"/>
              </w:rPr>
              <w:t>Class A&amp;B</w:t>
            </w:r>
          </w:p>
        </w:tc>
      </w:tr>
      <w:tr>
        <w:trPr>
          <w:trHeight w:val="171"/>
        </w:trPr>
        <w:tc>
          <w:tcPr>
            <w:tcW w:w="2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1"/>
                <w:szCs w:val="11"/>
                <w:b w:val="1"/>
                <w:bCs w:val="1"/>
                <w:color w:val="auto"/>
              </w:rPr>
              <w:t>Outstanding - January 1, 2013</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672,350</w:t>
            </w:r>
          </w:p>
        </w:tc>
        <w:tc>
          <w:tcPr>
            <w:tcW w:w="18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185,100</w:t>
            </w:r>
          </w:p>
        </w:tc>
        <w:tc>
          <w:tcPr>
            <w:tcW w:w="18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6.24</w:t>
            </w:r>
          </w:p>
        </w:tc>
        <w:tc>
          <w:tcPr>
            <w:tcW w:w="180" w:type="dxa"/>
            <w:vAlign w:val="bottom"/>
            <w:tcBorders>
              <w:top w:val="single" w:sz="8" w:color="CCEEFF"/>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jc w:val="right"/>
              <w:ind w:right="506"/>
              <w:spacing w:after="0"/>
              <w:rPr>
                <w:sz w:val="20"/>
                <w:szCs w:val="20"/>
                <w:color w:val="auto"/>
              </w:rPr>
            </w:pPr>
            <w:r>
              <w:rPr>
                <w:rFonts w:ascii="Arial" w:cs="Arial" w:eastAsia="Arial" w:hAnsi="Arial"/>
                <w:sz w:val="11"/>
                <w:szCs w:val="11"/>
                <w:color w:val="auto"/>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3"/>
              </w:rPr>
              <w:t>9.90</w:t>
            </w:r>
          </w:p>
        </w:tc>
        <w:tc>
          <w:tcPr>
            <w:tcW w:w="160" w:type="dxa"/>
            <w:vAlign w:val="bottom"/>
            <w:tcBorders>
              <w:top w:val="single" w:sz="8" w:color="CCEEFF"/>
            </w:tcBorders>
            <w:shd w:val="clear" w:color="auto" w:fill="CCEEFF"/>
          </w:tcPr>
          <w:p>
            <w:pPr>
              <w:spacing w:after="0"/>
              <w:rPr>
                <w:sz w:val="14"/>
                <w:szCs w:val="14"/>
                <w:color w:val="auto"/>
              </w:rPr>
            </w:pPr>
          </w:p>
        </w:tc>
        <w:tc>
          <w:tcPr>
            <w:tcW w:w="146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r>
      <w:tr>
        <w:trPr>
          <w:trHeight w:val="187"/>
        </w:trPr>
        <w:tc>
          <w:tcPr>
            <w:tcW w:w="2760" w:type="dxa"/>
            <w:vAlign w:val="bottom"/>
          </w:tcPr>
          <w:p>
            <w:pPr>
              <w:ind w:left="80"/>
              <w:spacing w:after="0"/>
              <w:rPr>
                <w:sz w:val="20"/>
                <w:szCs w:val="20"/>
                <w:color w:val="auto"/>
              </w:rPr>
            </w:pPr>
            <w:r>
              <w:rPr>
                <w:rFonts w:ascii="Arial" w:cs="Arial" w:eastAsia="Arial" w:hAnsi="Arial"/>
                <w:sz w:val="11"/>
                <w:szCs w:val="11"/>
                <w:color w:val="auto"/>
              </w:rPr>
              <w:t>Granted</w:t>
            </w:r>
          </w:p>
        </w:tc>
        <w:tc>
          <w:tcPr>
            <w:tcW w:w="1160" w:type="dxa"/>
            <w:vAlign w:val="bottom"/>
          </w:tcPr>
          <w:p>
            <w:pPr>
              <w:jc w:val="right"/>
              <w:spacing w:after="0"/>
              <w:rPr>
                <w:sz w:val="20"/>
                <w:szCs w:val="20"/>
                <w:color w:val="auto"/>
              </w:rPr>
            </w:pPr>
            <w:r>
              <w:rPr>
                <w:rFonts w:ascii="Arial" w:cs="Arial" w:eastAsia="Arial" w:hAnsi="Arial"/>
                <w:sz w:val="11"/>
                <w:szCs w:val="11"/>
                <w:color w:val="auto"/>
              </w:rPr>
              <w:t>175,000</w:t>
            </w:r>
          </w:p>
        </w:tc>
        <w:tc>
          <w:tcPr>
            <w:tcW w:w="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6.19</w:t>
            </w: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91"/>
        </w:trPr>
        <w:tc>
          <w:tcPr>
            <w:tcW w:w="2760" w:type="dxa"/>
            <w:vAlign w:val="bottom"/>
            <w:shd w:val="clear" w:color="auto" w:fill="CCEEFF"/>
          </w:tcPr>
          <w:p>
            <w:pPr>
              <w:ind w:left="80"/>
              <w:spacing w:after="0"/>
              <w:rPr>
                <w:sz w:val="20"/>
                <w:szCs w:val="20"/>
                <w:color w:val="auto"/>
              </w:rPr>
            </w:pPr>
            <w:r>
              <w:rPr>
                <w:rFonts w:ascii="Arial" w:cs="Arial" w:eastAsia="Arial" w:hAnsi="Arial"/>
                <w:sz w:val="11"/>
                <w:szCs w:val="11"/>
                <w:color w:val="auto"/>
              </w:rPr>
              <w:t>Exercised</w:t>
            </w:r>
          </w:p>
        </w:tc>
        <w:tc>
          <w:tcPr>
            <w:tcW w:w="11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(137,500)</w:t>
            </w:r>
          </w:p>
        </w:tc>
        <w:tc>
          <w:tcPr>
            <w:tcW w:w="1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4.00</w:t>
            </w: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133,000</w:t>
            </w:r>
          </w:p>
        </w:tc>
      </w:tr>
      <w:tr>
        <w:trPr>
          <w:trHeight w:val="167"/>
        </w:trPr>
        <w:tc>
          <w:tcPr>
            <w:tcW w:w="2760" w:type="dxa"/>
            <w:vAlign w:val="bottom"/>
          </w:tcPr>
          <w:p>
            <w:pPr>
              <w:spacing w:after="0"/>
              <w:rPr>
                <w:sz w:val="20"/>
                <w:szCs w:val="20"/>
                <w:color w:val="auto"/>
              </w:rPr>
            </w:pPr>
            <w:r>
              <w:rPr>
                <w:rFonts w:ascii="Arial" w:cs="Arial" w:eastAsia="Arial" w:hAnsi="Arial"/>
                <w:sz w:val="11"/>
                <w:szCs w:val="11"/>
                <w:b w:val="1"/>
                <w:bCs w:val="1"/>
                <w:color w:val="auto"/>
              </w:rPr>
              <w:t>Outstanding - December 31, 2013</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709,850</w:t>
            </w:r>
          </w:p>
        </w:tc>
        <w:tc>
          <w:tcPr>
            <w:tcW w:w="180" w:type="dxa"/>
            <w:vAlign w:val="bottom"/>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185,100</w:t>
            </w:r>
          </w:p>
        </w:tc>
        <w:tc>
          <w:tcPr>
            <w:tcW w:w="180" w:type="dxa"/>
            <w:vAlign w:val="bottom"/>
          </w:tcPr>
          <w:p>
            <w:pPr>
              <w:spacing w:after="0"/>
              <w:rPr>
                <w:sz w:val="14"/>
                <w:szCs w:val="14"/>
                <w:color w:val="auto"/>
              </w:rPr>
            </w:pPr>
          </w:p>
        </w:tc>
        <w:tc>
          <w:tcPr>
            <w:tcW w:w="24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6.66</w:t>
            </w:r>
          </w:p>
        </w:tc>
        <w:tc>
          <w:tcPr>
            <w:tcW w:w="180" w:type="dxa"/>
            <w:vAlign w:val="bottom"/>
          </w:tcPr>
          <w:p>
            <w:pPr>
              <w:spacing w:after="0"/>
              <w:rPr>
                <w:sz w:val="14"/>
                <w:szCs w:val="14"/>
                <w:color w:val="auto"/>
              </w:rPr>
            </w:pPr>
          </w:p>
        </w:tc>
        <w:tc>
          <w:tcPr>
            <w:tcW w:w="740" w:type="dxa"/>
            <w:vAlign w:val="bottom"/>
            <w:tcBorders>
              <w:top w:val="single" w:sz="8" w:color="auto"/>
            </w:tcBorders>
          </w:tcPr>
          <w:p>
            <w:pPr>
              <w:jc w:val="right"/>
              <w:ind w:right="506"/>
              <w:spacing w:after="0"/>
              <w:rPr>
                <w:sz w:val="20"/>
                <w:szCs w:val="20"/>
                <w:color w:val="auto"/>
              </w:rPr>
            </w:pPr>
            <w:r>
              <w:rPr>
                <w:rFonts w:ascii="Arial" w:cs="Arial" w:eastAsia="Arial" w:hAnsi="Arial"/>
                <w:sz w:val="11"/>
                <w:szCs w:val="11"/>
                <w:color w:val="auto"/>
              </w:rPr>
              <w:t>$</w:t>
            </w: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3"/>
              </w:rPr>
              <w:t>9.90</w:t>
            </w:r>
          </w:p>
        </w:tc>
        <w:tc>
          <w:tcPr>
            <w:tcW w:w="1620" w:type="dxa"/>
            <w:vAlign w:val="bottom"/>
            <w:gridSpan w:val="2"/>
          </w:tcPr>
          <w:p>
            <w:pPr>
              <w:jc w:val="right"/>
              <w:spacing w:after="0"/>
              <w:rPr>
                <w:sz w:val="20"/>
                <w:szCs w:val="20"/>
                <w:color w:val="auto"/>
              </w:rPr>
            </w:pPr>
            <w:r>
              <w:rPr>
                <w:rFonts w:ascii="Arial" w:cs="Arial" w:eastAsia="Arial" w:hAnsi="Arial"/>
                <w:sz w:val="11"/>
                <w:szCs w:val="11"/>
                <w:color w:val="auto"/>
              </w:rPr>
              <w:t>4.70</w:t>
            </w:r>
          </w:p>
        </w:tc>
        <w:tc>
          <w:tcPr>
            <w:tcW w:w="180" w:type="dxa"/>
            <w:vAlign w:val="bottom"/>
          </w:tcPr>
          <w:p>
            <w:pPr>
              <w:spacing w:after="0"/>
              <w:rPr>
                <w:sz w:val="14"/>
                <w:szCs w:val="14"/>
                <w:color w:val="auto"/>
              </w:rPr>
            </w:pPr>
          </w:p>
        </w:tc>
        <w:tc>
          <w:tcPr>
            <w:tcW w:w="26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940" w:type="dxa"/>
            <w:vAlign w:val="bottom"/>
          </w:tcPr>
          <w:p>
            <w:pPr>
              <w:jc w:val="right"/>
              <w:spacing w:after="0"/>
              <w:rPr>
                <w:sz w:val="20"/>
                <w:szCs w:val="20"/>
                <w:color w:val="auto"/>
              </w:rPr>
            </w:pPr>
            <w:r>
              <w:rPr>
                <w:rFonts w:ascii="Arial" w:cs="Arial" w:eastAsia="Arial" w:hAnsi="Arial"/>
                <w:sz w:val="11"/>
                <w:szCs w:val="11"/>
                <w:color w:val="auto"/>
              </w:rPr>
              <w:t>938,503</w:t>
            </w:r>
          </w:p>
        </w:tc>
      </w:tr>
      <w:tr>
        <w:trPr>
          <w:trHeight w:val="191"/>
        </w:trPr>
        <w:tc>
          <w:tcPr>
            <w:tcW w:w="2760" w:type="dxa"/>
            <w:vAlign w:val="bottom"/>
            <w:shd w:val="clear" w:color="auto" w:fill="CCEEFF"/>
          </w:tcPr>
          <w:p>
            <w:pPr>
              <w:ind w:left="80"/>
              <w:spacing w:after="0"/>
              <w:rPr>
                <w:sz w:val="20"/>
                <w:szCs w:val="20"/>
                <w:color w:val="auto"/>
              </w:rPr>
            </w:pPr>
            <w:r>
              <w:rPr>
                <w:rFonts w:ascii="Arial" w:cs="Arial" w:eastAsia="Arial" w:hAnsi="Arial"/>
                <w:sz w:val="11"/>
                <w:szCs w:val="11"/>
                <w:color w:val="auto"/>
              </w:rPr>
              <w:t>Granted</w:t>
            </w:r>
          </w:p>
        </w:tc>
        <w:tc>
          <w:tcPr>
            <w:tcW w:w="11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80,000</w:t>
            </w:r>
          </w:p>
        </w:tc>
        <w:tc>
          <w:tcPr>
            <w:tcW w:w="1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8.56</w:t>
            </w: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r>
      <w:tr>
        <w:trPr>
          <w:trHeight w:val="187"/>
        </w:trPr>
        <w:tc>
          <w:tcPr>
            <w:tcW w:w="2760" w:type="dxa"/>
            <w:vAlign w:val="bottom"/>
          </w:tcPr>
          <w:p>
            <w:pPr>
              <w:ind w:left="80"/>
              <w:spacing w:after="0"/>
              <w:rPr>
                <w:sz w:val="20"/>
                <w:szCs w:val="20"/>
                <w:color w:val="auto"/>
              </w:rPr>
            </w:pPr>
            <w:r>
              <w:rPr>
                <w:rFonts w:ascii="Arial" w:cs="Arial" w:eastAsia="Arial" w:hAnsi="Arial"/>
                <w:sz w:val="11"/>
                <w:szCs w:val="11"/>
                <w:color w:val="auto"/>
              </w:rPr>
              <w:t>Exercised</w:t>
            </w:r>
          </w:p>
        </w:tc>
        <w:tc>
          <w:tcPr>
            <w:tcW w:w="1160" w:type="dxa"/>
            <w:vAlign w:val="bottom"/>
          </w:tcPr>
          <w:p>
            <w:pPr>
              <w:jc w:val="right"/>
              <w:spacing w:after="0"/>
              <w:rPr>
                <w:sz w:val="20"/>
                <w:szCs w:val="20"/>
                <w:color w:val="auto"/>
              </w:rPr>
            </w:pPr>
            <w:r>
              <w:rPr>
                <w:rFonts w:ascii="Arial" w:cs="Arial" w:eastAsia="Arial" w:hAnsi="Arial"/>
                <w:sz w:val="11"/>
                <w:szCs w:val="11"/>
                <w:color w:val="auto"/>
              </w:rPr>
              <w:t>(157,600)</w:t>
            </w:r>
          </w:p>
        </w:tc>
        <w:tc>
          <w:tcPr>
            <w:tcW w:w="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6.21</w:t>
            </w: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940" w:type="dxa"/>
            <w:vAlign w:val="bottom"/>
          </w:tcPr>
          <w:p>
            <w:pPr>
              <w:jc w:val="right"/>
              <w:spacing w:after="0"/>
              <w:rPr>
                <w:sz w:val="20"/>
                <w:szCs w:val="20"/>
                <w:color w:val="auto"/>
              </w:rPr>
            </w:pPr>
            <w:r>
              <w:rPr>
                <w:rFonts w:ascii="Arial" w:cs="Arial" w:eastAsia="Arial" w:hAnsi="Arial"/>
                <w:sz w:val="11"/>
                <w:szCs w:val="11"/>
                <w:color w:val="auto"/>
              </w:rPr>
              <w:t>374,022</w:t>
            </w:r>
          </w:p>
        </w:tc>
      </w:tr>
      <w:tr>
        <w:trPr>
          <w:trHeight w:val="191"/>
        </w:trPr>
        <w:tc>
          <w:tcPr>
            <w:tcW w:w="2760" w:type="dxa"/>
            <w:vAlign w:val="bottom"/>
            <w:shd w:val="clear" w:color="auto" w:fill="CCEEFF"/>
          </w:tcPr>
          <w:p>
            <w:pPr>
              <w:ind w:left="80"/>
              <w:spacing w:after="0"/>
              <w:rPr>
                <w:sz w:val="20"/>
                <w:szCs w:val="20"/>
                <w:color w:val="auto"/>
              </w:rPr>
            </w:pPr>
            <w:r>
              <w:rPr>
                <w:rFonts w:ascii="Arial" w:cs="Arial" w:eastAsia="Arial" w:hAnsi="Arial"/>
                <w:sz w:val="11"/>
                <w:szCs w:val="11"/>
                <w:color w:val="auto"/>
              </w:rPr>
              <w:t>Expired</w:t>
            </w:r>
          </w:p>
        </w:tc>
        <w:tc>
          <w:tcPr>
            <w:tcW w:w="11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(64,000)</w:t>
            </w:r>
          </w:p>
        </w:tc>
        <w:tc>
          <w:tcPr>
            <w:tcW w:w="1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6.83</w:t>
            </w: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r>
      <w:tr>
        <w:trPr>
          <w:trHeight w:val="167"/>
        </w:trPr>
        <w:tc>
          <w:tcPr>
            <w:tcW w:w="2760" w:type="dxa"/>
            <w:vAlign w:val="bottom"/>
          </w:tcPr>
          <w:p>
            <w:pPr>
              <w:spacing w:after="0"/>
              <w:rPr>
                <w:sz w:val="20"/>
                <w:szCs w:val="20"/>
                <w:color w:val="auto"/>
              </w:rPr>
            </w:pPr>
            <w:r>
              <w:rPr>
                <w:rFonts w:ascii="Arial" w:cs="Arial" w:eastAsia="Arial" w:hAnsi="Arial"/>
                <w:sz w:val="11"/>
                <w:szCs w:val="11"/>
                <w:b w:val="1"/>
                <w:bCs w:val="1"/>
                <w:color w:val="auto"/>
              </w:rPr>
              <w:t>Outstanding - December 31, 2014</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568,250</w:t>
            </w:r>
          </w:p>
        </w:tc>
        <w:tc>
          <w:tcPr>
            <w:tcW w:w="180" w:type="dxa"/>
            <w:vAlign w:val="bottom"/>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185,100</w:t>
            </w:r>
          </w:p>
        </w:tc>
        <w:tc>
          <w:tcPr>
            <w:tcW w:w="180" w:type="dxa"/>
            <w:vAlign w:val="bottom"/>
          </w:tcPr>
          <w:p>
            <w:pPr>
              <w:spacing w:after="0"/>
              <w:rPr>
                <w:sz w:val="14"/>
                <w:szCs w:val="14"/>
                <w:color w:val="auto"/>
              </w:rPr>
            </w:pPr>
          </w:p>
        </w:tc>
        <w:tc>
          <w:tcPr>
            <w:tcW w:w="24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6.88</w:t>
            </w:r>
          </w:p>
        </w:tc>
        <w:tc>
          <w:tcPr>
            <w:tcW w:w="180" w:type="dxa"/>
            <w:vAlign w:val="bottom"/>
          </w:tcPr>
          <w:p>
            <w:pPr>
              <w:spacing w:after="0"/>
              <w:rPr>
                <w:sz w:val="14"/>
                <w:szCs w:val="14"/>
                <w:color w:val="auto"/>
              </w:rPr>
            </w:pPr>
          </w:p>
        </w:tc>
        <w:tc>
          <w:tcPr>
            <w:tcW w:w="740" w:type="dxa"/>
            <w:vAlign w:val="bottom"/>
            <w:tcBorders>
              <w:top w:val="single" w:sz="8" w:color="auto"/>
            </w:tcBorders>
          </w:tcPr>
          <w:p>
            <w:pPr>
              <w:jc w:val="right"/>
              <w:ind w:right="506"/>
              <w:spacing w:after="0"/>
              <w:rPr>
                <w:sz w:val="20"/>
                <w:szCs w:val="20"/>
                <w:color w:val="auto"/>
              </w:rPr>
            </w:pPr>
            <w:r>
              <w:rPr>
                <w:rFonts w:ascii="Arial" w:cs="Arial" w:eastAsia="Arial" w:hAnsi="Arial"/>
                <w:sz w:val="11"/>
                <w:szCs w:val="11"/>
                <w:color w:val="auto"/>
              </w:rPr>
              <w:t>$</w:t>
            </w: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3"/>
              </w:rPr>
              <w:t>9.90</w:t>
            </w:r>
          </w:p>
        </w:tc>
        <w:tc>
          <w:tcPr>
            <w:tcW w:w="1620" w:type="dxa"/>
            <w:vAlign w:val="bottom"/>
            <w:gridSpan w:val="2"/>
          </w:tcPr>
          <w:p>
            <w:pPr>
              <w:jc w:val="right"/>
              <w:spacing w:after="0"/>
              <w:rPr>
                <w:sz w:val="20"/>
                <w:szCs w:val="20"/>
                <w:color w:val="auto"/>
              </w:rPr>
            </w:pPr>
            <w:r>
              <w:rPr>
                <w:rFonts w:ascii="Arial" w:cs="Arial" w:eastAsia="Arial" w:hAnsi="Arial"/>
                <w:sz w:val="11"/>
                <w:szCs w:val="11"/>
                <w:color w:val="auto"/>
              </w:rPr>
              <w:t>2.40</w:t>
            </w:r>
          </w:p>
        </w:tc>
        <w:tc>
          <w:tcPr>
            <w:tcW w:w="180" w:type="dxa"/>
            <w:vAlign w:val="bottom"/>
          </w:tcPr>
          <w:p>
            <w:pPr>
              <w:spacing w:after="0"/>
              <w:rPr>
                <w:sz w:val="14"/>
                <w:szCs w:val="14"/>
                <w:color w:val="auto"/>
              </w:rPr>
            </w:pPr>
          </w:p>
        </w:tc>
        <w:tc>
          <w:tcPr>
            <w:tcW w:w="26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940" w:type="dxa"/>
            <w:vAlign w:val="bottom"/>
          </w:tcPr>
          <w:p>
            <w:pPr>
              <w:jc w:val="right"/>
              <w:spacing w:after="0"/>
              <w:rPr>
                <w:sz w:val="20"/>
                <w:szCs w:val="20"/>
                <w:color w:val="auto"/>
              </w:rPr>
            </w:pPr>
            <w:r>
              <w:rPr>
                <w:rFonts w:ascii="Arial" w:cs="Arial" w:eastAsia="Arial" w:hAnsi="Arial"/>
                <w:sz w:val="11"/>
                <w:szCs w:val="11"/>
                <w:color w:val="auto"/>
              </w:rPr>
              <w:t>4,197,000</w:t>
            </w:r>
          </w:p>
        </w:tc>
      </w:tr>
      <w:tr>
        <w:trPr>
          <w:trHeight w:val="191"/>
        </w:trPr>
        <w:tc>
          <w:tcPr>
            <w:tcW w:w="2760" w:type="dxa"/>
            <w:vAlign w:val="bottom"/>
            <w:shd w:val="clear" w:color="auto" w:fill="CCEEFF"/>
          </w:tcPr>
          <w:p>
            <w:pPr>
              <w:ind w:left="80"/>
              <w:spacing w:after="0"/>
              <w:rPr>
                <w:sz w:val="20"/>
                <w:szCs w:val="20"/>
                <w:color w:val="auto"/>
              </w:rPr>
            </w:pPr>
            <w:r>
              <w:rPr>
                <w:rFonts w:ascii="Arial" w:cs="Arial" w:eastAsia="Arial" w:hAnsi="Arial"/>
                <w:sz w:val="11"/>
                <w:szCs w:val="11"/>
                <w:color w:val="auto"/>
              </w:rPr>
              <w:t>Granted</w:t>
            </w:r>
          </w:p>
        </w:tc>
        <w:tc>
          <w:tcPr>
            <w:tcW w:w="11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112,000</w:t>
            </w:r>
          </w:p>
        </w:tc>
        <w:tc>
          <w:tcPr>
            <w:tcW w:w="1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13.30</w:t>
            </w: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r>
      <w:tr>
        <w:trPr>
          <w:trHeight w:val="187"/>
        </w:trPr>
        <w:tc>
          <w:tcPr>
            <w:tcW w:w="2760" w:type="dxa"/>
            <w:vAlign w:val="bottom"/>
          </w:tcPr>
          <w:p>
            <w:pPr>
              <w:ind w:left="80"/>
              <w:spacing w:after="0"/>
              <w:rPr>
                <w:sz w:val="20"/>
                <w:szCs w:val="20"/>
                <w:color w:val="auto"/>
              </w:rPr>
            </w:pPr>
            <w:r>
              <w:rPr>
                <w:rFonts w:ascii="Arial" w:cs="Arial" w:eastAsia="Arial" w:hAnsi="Arial"/>
                <w:sz w:val="11"/>
                <w:szCs w:val="11"/>
                <w:color w:val="auto"/>
              </w:rPr>
              <w:t>Exercised</w:t>
            </w:r>
          </w:p>
        </w:tc>
        <w:tc>
          <w:tcPr>
            <w:tcW w:w="1160" w:type="dxa"/>
            <w:vAlign w:val="bottom"/>
          </w:tcPr>
          <w:p>
            <w:pPr>
              <w:jc w:val="right"/>
              <w:spacing w:after="0"/>
              <w:rPr>
                <w:sz w:val="20"/>
                <w:szCs w:val="20"/>
                <w:color w:val="auto"/>
              </w:rPr>
            </w:pPr>
            <w:r>
              <w:rPr>
                <w:rFonts w:ascii="Arial" w:cs="Arial" w:eastAsia="Arial" w:hAnsi="Arial"/>
                <w:sz w:val="11"/>
                <w:szCs w:val="11"/>
                <w:color w:val="auto"/>
              </w:rPr>
              <w:t>(185,685)</w:t>
            </w:r>
          </w:p>
        </w:tc>
        <w:tc>
          <w:tcPr>
            <w:tcW w:w="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1"/>
                <w:szCs w:val="11"/>
                <w:color w:val="auto"/>
              </w:rPr>
              <w:t>(185,100)</w:t>
            </w:r>
          </w:p>
        </w:tc>
        <w:tc>
          <w:tcPr>
            <w:tcW w:w="2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6.09</w:t>
            </w: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0" w:type="dxa"/>
            <w:vAlign w:val="bottom"/>
          </w:tcPr>
          <w:p>
            <w:pPr>
              <w:jc w:val="right"/>
              <w:spacing w:after="0"/>
              <w:rPr>
                <w:sz w:val="20"/>
                <w:szCs w:val="20"/>
                <w:color w:val="auto"/>
              </w:rPr>
            </w:pPr>
            <w:r>
              <w:rPr>
                <w:rFonts w:ascii="Arial" w:cs="Arial" w:eastAsia="Arial" w:hAnsi="Arial"/>
                <w:sz w:val="11"/>
                <w:szCs w:val="11"/>
                <w:color w:val="auto"/>
                <w:w w:val="93"/>
              </w:rPr>
              <w:t>9.90</w:t>
            </w:r>
          </w:p>
        </w:tc>
        <w:tc>
          <w:tcPr>
            <w:tcW w:w="1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940" w:type="dxa"/>
            <w:vAlign w:val="bottom"/>
          </w:tcPr>
          <w:p>
            <w:pPr>
              <w:jc w:val="right"/>
              <w:spacing w:after="0"/>
              <w:rPr>
                <w:sz w:val="20"/>
                <w:szCs w:val="20"/>
                <w:color w:val="auto"/>
              </w:rPr>
            </w:pPr>
            <w:r>
              <w:rPr>
                <w:rFonts w:ascii="Arial" w:cs="Arial" w:eastAsia="Arial" w:hAnsi="Arial"/>
                <w:sz w:val="11"/>
                <w:szCs w:val="11"/>
                <w:color w:val="auto"/>
              </w:rPr>
              <w:t>327,170</w:t>
            </w:r>
          </w:p>
        </w:tc>
      </w:tr>
      <w:tr>
        <w:trPr>
          <w:trHeight w:val="189"/>
        </w:trPr>
        <w:tc>
          <w:tcPr>
            <w:tcW w:w="2760" w:type="dxa"/>
            <w:vAlign w:val="bottom"/>
            <w:shd w:val="clear" w:color="auto" w:fill="CCEEFF"/>
          </w:tcPr>
          <w:p>
            <w:pPr>
              <w:ind w:left="80"/>
              <w:spacing w:after="0"/>
              <w:rPr>
                <w:sz w:val="20"/>
                <w:szCs w:val="20"/>
                <w:color w:val="auto"/>
              </w:rPr>
            </w:pPr>
            <w:r>
              <w:rPr>
                <w:rFonts w:ascii="Arial" w:cs="Arial" w:eastAsia="Arial" w:hAnsi="Arial"/>
                <w:sz w:val="11"/>
                <w:szCs w:val="11"/>
                <w:color w:val="auto"/>
              </w:rPr>
              <w:t>Expired</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(8,000)</w:t>
            </w:r>
          </w:p>
        </w:tc>
        <w:tc>
          <w:tcPr>
            <w:tcW w:w="18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6.23</w:t>
            </w:r>
          </w:p>
        </w:tc>
        <w:tc>
          <w:tcPr>
            <w:tcW w:w="180" w:type="dxa"/>
            <w:vAlign w:val="bottom"/>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r>
      <w:tr>
        <w:trPr>
          <w:trHeight w:val="162"/>
        </w:trPr>
        <w:tc>
          <w:tcPr>
            <w:tcW w:w="2760" w:type="dxa"/>
            <w:vAlign w:val="bottom"/>
          </w:tcPr>
          <w:p>
            <w:pPr>
              <w:spacing w:after="0"/>
              <w:rPr>
                <w:sz w:val="20"/>
                <w:szCs w:val="20"/>
                <w:color w:val="auto"/>
              </w:rPr>
            </w:pPr>
            <w:r>
              <w:rPr>
                <w:rFonts w:ascii="Arial" w:cs="Arial" w:eastAsia="Arial" w:hAnsi="Arial"/>
                <w:sz w:val="11"/>
                <w:szCs w:val="11"/>
                <w:b w:val="1"/>
                <w:bCs w:val="1"/>
                <w:color w:val="auto"/>
              </w:rPr>
              <w:t>Outstanding - December 31, 2015</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486,565</w:t>
            </w:r>
          </w:p>
        </w:tc>
        <w:tc>
          <w:tcPr>
            <w:tcW w:w="18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4"/>
                <w:szCs w:val="14"/>
                <w:color w:val="auto"/>
              </w:rPr>
            </w:pPr>
          </w:p>
        </w:tc>
        <w:tc>
          <w:tcPr>
            <w:tcW w:w="2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8.68</w:t>
            </w:r>
          </w:p>
        </w:tc>
        <w:tc>
          <w:tcPr>
            <w:tcW w:w="180" w:type="dxa"/>
            <w:vAlign w:val="bottom"/>
          </w:tcPr>
          <w:p>
            <w:pPr>
              <w:spacing w:after="0"/>
              <w:rPr>
                <w:sz w:val="14"/>
                <w:szCs w:val="14"/>
                <w:color w:val="auto"/>
              </w:rPr>
            </w:pPr>
          </w:p>
        </w:tc>
        <w:tc>
          <w:tcPr>
            <w:tcW w:w="740" w:type="dxa"/>
            <w:vAlign w:val="bottom"/>
            <w:tcBorders>
              <w:bottom w:val="single" w:sz="8" w:color="auto"/>
            </w:tcBorders>
          </w:tcPr>
          <w:p>
            <w:pPr>
              <w:jc w:val="right"/>
              <w:ind w:right="506"/>
              <w:spacing w:after="0"/>
              <w:rPr>
                <w:sz w:val="20"/>
                <w:szCs w:val="20"/>
                <w:color w:val="auto"/>
              </w:rPr>
            </w:pPr>
            <w:r>
              <w:rPr>
                <w:rFonts w:ascii="Arial" w:cs="Arial" w:eastAsia="Arial" w:hAnsi="Arial"/>
                <w:sz w:val="11"/>
                <w:szCs w:val="11"/>
                <w:color w:val="auto"/>
              </w:rPr>
              <w:t>$</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620" w:type="dxa"/>
            <w:vAlign w:val="bottom"/>
            <w:gridSpan w:val="2"/>
          </w:tcPr>
          <w:p>
            <w:pPr>
              <w:jc w:val="right"/>
              <w:spacing w:after="0"/>
              <w:rPr>
                <w:sz w:val="20"/>
                <w:szCs w:val="20"/>
                <w:color w:val="auto"/>
              </w:rPr>
            </w:pPr>
            <w:r>
              <w:rPr>
                <w:rFonts w:ascii="Arial" w:cs="Arial" w:eastAsia="Arial" w:hAnsi="Arial"/>
                <w:sz w:val="11"/>
                <w:szCs w:val="11"/>
                <w:color w:val="auto"/>
              </w:rPr>
              <w:t>2.89</w:t>
            </w:r>
          </w:p>
        </w:tc>
        <w:tc>
          <w:tcPr>
            <w:tcW w:w="180" w:type="dxa"/>
            <w:vAlign w:val="bottom"/>
          </w:tcPr>
          <w:p>
            <w:pPr>
              <w:spacing w:after="0"/>
              <w:rPr>
                <w:sz w:val="14"/>
                <w:szCs w:val="14"/>
                <w:color w:val="auto"/>
              </w:rPr>
            </w:pPr>
          </w:p>
        </w:tc>
        <w:tc>
          <w:tcPr>
            <w:tcW w:w="26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940" w:type="dxa"/>
            <w:vAlign w:val="bottom"/>
          </w:tcPr>
          <w:p>
            <w:pPr>
              <w:jc w:val="right"/>
              <w:spacing w:after="0"/>
              <w:rPr>
                <w:sz w:val="20"/>
                <w:szCs w:val="20"/>
                <w:color w:val="auto"/>
              </w:rPr>
            </w:pPr>
            <w:r>
              <w:rPr>
                <w:rFonts w:ascii="Arial" w:cs="Arial" w:eastAsia="Arial" w:hAnsi="Arial"/>
                <w:sz w:val="11"/>
                <w:szCs w:val="11"/>
                <w:color w:val="auto"/>
              </w:rPr>
              <w:t>2,188,011</w:t>
            </w:r>
          </w:p>
        </w:tc>
      </w:tr>
    </w:tbl>
    <w:p>
      <w:pPr>
        <w:spacing w:after="0" w:line="135" w:lineRule="exact"/>
        <w:rPr>
          <w:sz w:val="20"/>
          <w:szCs w:val="20"/>
          <w:color w:val="auto"/>
        </w:rPr>
      </w:pPr>
    </w:p>
    <w:p>
      <w:pPr>
        <w:spacing w:after="0"/>
        <w:rPr>
          <w:sz w:val="20"/>
          <w:szCs w:val="20"/>
          <w:color w:val="auto"/>
        </w:rPr>
      </w:pPr>
      <w:r>
        <w:rPr>
          <w:rFonts w:ascii="Arial" w:cs="Arial" w:eastAsia="Arial" w:hAnsi="Arial"/>
          <w:sz w:val="12"/>
          <w:szCs w:val="12"/>
          <w:color w:val="auto"/>
        </w:rPr>
        <w:t>The following is a summary of the status of RDI’s vested stock options: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240" w:type="dxa"/>
            <w:vAlign w:val="bottom"/>
          </w:tcPr>
          <w:p>
            <w:pPr>
              <w:spacing w:after="0"/>
              <w:rPr>
                <w:sz w:val="12"/>
                <w:szCs w:val="12"/>
                <w:color w:val="auto"/>
              </w:rPr>
            </w:pPr>
          </w:p>
        </w:tc>
        <w:tc>
          <w:tcPr>
            <w:tcW w:w="11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2400" w:type="dxa"/>
            <w:vAlign w:val="bottom"/>
            <w:tcBorders>
              <w:bottom w:val="single" w:sz="8" w:color="auto"/>
            </w:tcBorders>
            <w:gridSpan w:val="5"/>
          </w:tcPr>
          <w:p>
            <w:pPr>
              <w:jc w:val="right"/>
              <w:ind w:right="680"/>
              <w:spacing w:after="0"/>
              <w:rPr>
                <w:sz w:val="20"/>
                <w:szCs w:val="20"/>
                <w:color w:val="auto"/>
              </w:rPr>
            </w:pPr>
            <w:r>
              <w:rPr>
                <w:rFonts w:ascii="Arial" w:cs="Arial" w:eastAsia="Arial" w:hAnsi="Arial"/>
                <w:sz w:val="11"/>
                <w:szCs w:val="11"/>
                <w:b w:val="1"/>
                <w:bCs w:val="1"/>
                <w:color w:val="auto"/>
              </w:rPr>
              <w:t>Vested Stock Options</w:t>
            </w:r>
          </w:p>
        </w:tc>
        <w:tc>
          <w:tcPr>
            <w:tcW w:w="14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r>
      <w:tr>
        <w:trPr>
          <w:trHeight w:val="126"/>
        </w:trPr>
        <w:tc>
          <w:tcPr>
            <w:tcW w:w="22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6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87"/>
              </w:rPr>
              <w:t>Weighted Average Remaining</w:t>
            </w:r>
          </w:p>
        </w:tc>
        <w:tc>
          <w:tcPr>
            <w:tcW w:w="300" w:type="dxa"/>
            <w:vAlign w:val="bottom"/>
          </w:tcPr>
          <w:p>
            <w:pPr>
              <w:spacing w:after="0"/>
              <w:rPr>
                <w:sz w:val="10"/>
                <w:szCs w:val="10"/>
                <w:color w:val="auto"/>
              </w:rPr>
            </w:pPr>
          </w:p>
        </w:tc>
        <w:tc>
          <w:tcPr>
            <w:tcW w:w="1060" w:type="dxa"/>
            <w:vAlign w:val="bottom"/>
          </w:tcPr>
          <w:p>
            <w:pPr>
              <w:spacing w:after="0"/>
              <w:rPr>
                <w:sz w:val="10"/>
                <w:szCs w:val="10"/>
                <w:color w:val="auto"/>
              </w:rPr>
            </w:pPr>
          </w:p>
        </w:tc>
      </w:tr>
      <w:tr>
        <w:trPr>
          <w:trHeight w:val="142"/>
        </w:trPr>
        <w:tc>
          <w:tcPr>
            <w:tcW w:w="2240" w:type="dxa"/>
            <w:vAlign w:val="bottom"/>
          </w:tcPr>
          <w:p>
            <w:pPr>
              <w:spacing w:after="0"/>
              <w:rPr>
                <w:sz w:val="12"/>
                <w:szCs w:val="12"/>
                <w:color w:val="auto"/>
              </w:rPr>
            </w:pPr>
          </w:p>
        </w:tc>
        <w:tc>
          <w:tcPr>
            <w:tcW w:w="1720" w:type="dxa"/>
            <w:vAlign w:val="bottom"/>
            <w:tcBorders>
              <w:bottom w:val="single" w:sz="8" w:color="auto"/>
            </w:tcBorders>
            <w:gridSpan w:val="3"/>
          </w:tcPr>
          <w:p>
            <w:pPr>
              <w:ind w:left="800"/>
              <w:spacing w:after="0"/>
              <w:rPr>
                <w:sz w:val="20"/>
                <w:szCs w:val="20"/>
                <w:color w:val="auto"/>
              </w:rPr>
            </w:pPr>
            <w:r>
              <w:rPr>
                <w:rFonts w:ascii="Arial" w:cs="Arial" w:eastAsia="Arial" w:hAnsi="Arial"/>
                <w:sz w:val="11"/>
                <w:szCs w:val="11"/>
                <w:b w:val="1"/>
                <w:bCs w:val="1"/>
                <w:color w:val="auto"/>
                <w:w w:val="90"/>
              </w:rPr>
              <w:t>Number of Options</w:t>
            </w:r>
          </w:p>
        </w:tc>
        <w:tc>
          <w:tcPr>
            <w:tcW w:w="78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2220" w:type="dxa"/>
            <w:vAlign w:val="bottom"/>
            <w:tcBorders>
              <w:bottom w:val="single" w:sz="8" w:color="auto"/>
            </w:tcBorders>
            <w:gridSpan w:val="4"/>
          </w:tcPr>
          <w:p>
            <w:pPr>
              <w:jc w:val="right"/>
              <w:ind w:right="446"/>
              <w:spacing w:after="0"/>
              <w:rPr>
                <w:sz w:val="20"/>
                <w:szCs w:val="20"/>
                <w:color w:val="auto"/>
              </w:rPr>
            </w:pPr>
            <w:r>
              <w:rPr>
                <w:rFonts w:ascii="Arial" w:cs="Arial" w:eastAsia="Arial" w:hAnsi="Arial"/>
                <w:sz w:val="11"/>
                <w:szCs w:val="11"/>
                <w:b w:val="1"/>
                <w:bCs w:val="1"/>
                <w:color w:val="auto"/>
                <w:w w:val="97"/>
              </w:rPr>
              <w:t>Weighted Average Exercise Price</w:t>
            </w:r>
          </w:p>
        </w:tc>
        <w:tc>
          <w:tcPr>
            <w:tcW w:w="180" w:type="dxa"/>
            <w:vAlign w:val="bottom"/>
          </w:tcPr>
          <w:p>
            <w:pPr>
              <w:spacing w:after="0"/>
              <w:rPr>
                <w:sz w:val="12"/>
                <w:szCs w:val="12"/>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9"/>
              </w:rPr>
              <w:t>Years of Contractual Life</w:t>
            </w:r>
          </w:p>
        </w:tc>
        <w:tc>
          <w:tcPr>
            <w:tcW w:w="180" w:type="dxa"/>
            <w:vAlign w:val="bottom"/>
          </w:tcPr>
          <w:p>
            <w:pPr>
              <w:spacing w:after="0"/>
              <w:rPr>
                <w:sz w:val="12"/>
                <w:szCs w:val="12"/>
                <w:color w:val="auto"/>
              </w:rPr>
            </w:pPr>
          </w:p>
        </w:tc>
        <w:tc>
          <w:tcPr>
            <w:tcW w:w="1360" w:type="dxa"/>
            <w:vAlign w:val="bottom"/>
            <w:tcBorders>
              <w:bottom w:val="single" w:sz="8" w:color="auto"/>
            </w:tcBorders>
            <w:gridSpan w:val="2"/>
          </w:tcPr>
          <w:p>
            <w:pPr>
              <w:jc w:val="right"/>
              <w:ind w:right="26"/>
              <w:spacing w:after="0"/>
              <w:rPr>
                <w:sz w:val="20"/>
                <w:szCs w:val="20"/>
                <w:color w:val="auto"/>
              </w:rPr>
            </w:pPr>
            <w:r>
              <w:rPr>
                <w:rFonts w:ascii="Arial" w:cs="Arial" w:eastAsia="Arial" w:hAnsi="Arial"/>
                <w:sz w:val="11"/>
                <w:szCs w:val="11"/>
                <w:b w:val="1"/>
                <w:bCs w:val="1"/>
                <w:color w:val="auto"/>
                <w:w w:val="94"/>
              </w:rPr>
              <w:t>Aggregate Intrinsic Value</w:t>
            </w:r>
          </w:p>
        </w:tc>
      </w:tr>
      <w:tr>
        <w:trPr>
          <w:trHeight w:val="160"/>
        </w:trPr>
        <w:tc>
          <w:tcPr>
            <w:tcW w:w="2240" w:type="dxa"/>
            <w:vAlign w:val="bottom"/>
            <w:tcBorders>
              <w:bottom w:val="single" w:sz="8" w:color="CCEEFF"/>
            </w:tcBorders>
          </w:tcPr>
          <w:p>
            <w:pPr>
              <w:spacing w:after="0"/>
              <w:rPr>
                <w:sz w:val="13"/>
                <w:szCs w:val="13"/>
                <w:color w:val="auto"/>
              </w:rPr>
            </w:pPr>
          </w:p>
        </w:tc>
        <w:tc>
          <w:tcPr>
            <w:tcW w:w="1160" w:type="dxa"/>
            <w:vAlign w:val="bottom"/>
            <w:tcBorders>
              <w:bottom w:val="single" w:sz="8" w:color="auto"/>
            </w:tcBorders>
          </w:tcPr>
          <w:p>
            <w:pPr>
              <w:jc w:val="right"/>
              <w:ind w:right="346"/>
              <w:spacing w:after="0"/>
              <w:rPr>
                <w:sz w:val="20"/>
                <w:szCs w:val="20"/>
                <w:color w:val="auto"/>
              </w:rPr>
            </w:pPr>
            <w:r>
              <w:rPr>
                <w:rFonts w:ascii="Arial" w:cs="Arial" w:eastAsia="Arial" w:hAnsi="Arial"/>
                <w:sz w:val="11"/>
                <w:szCs w:val="11"/>
                <w:b w:val="1"/>
                <w:bCs w:val="1"/>
                <w:color w:val="auto"/>
              </w:rPr>
              <w:t>Class A</w:t>
            </w:r>
          </w:p>
        </w:tc>
        <w:tc>
          <w:tcPr>
            <w:tcW w:w="18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66"/>
              <w:spacing w:after="0"/>
              <w:rPr>
                <w:sz w:val="20"/>
                <w:szCs w:val="20"/>
                <w:color w:val="auto"/>
              </w:rPr>
            </w:pPr>
            <w:r>
              <w:rPr>
                <w:rFonts w:ascii="Arial" w:cs="Arial" w:eastAsia="Arial" w:hAnsi="Arial"/>
                <w:sz w:val="11"/>
                <w:szCs w:val="11"/>
                <w:b w:val="1"/>
                <w:bCs w:val="1"/>
                <w:color w:val="auto"/>
                <w:w w:val="84"/>
              </w:rPr>
              <w:t>Class B</w:t>
            </w:r>
          </w:p>
        </w:tc>
        <w:tc>
          <w:tcPr>
            <w:tcW w:w="1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66"/>
              <w:spacing w:after="0"/>
              <w:rPr>
                <w:sz w:val="20"/>
                <w:szCs w:val="20"/>
                <w:color w:val="auto"/>
              </w:rPr>
            </w:pPr>
            <w:r>
              <w:rPr>
                <w:rFonts w:ascii="Arial" w:cs="Arial" w:eastAsia="Arial" w:hAnsi="Arial"/>
                <w:sz w:val="11"/>
                <w:szCs w:val="11"/>
                <w:b w:val="1"/>
                <w:bCs w:val="1"/>
                <w:color w:val="auto"/>
              </w:rPr>
              <w:t>Class A</w:t>
            </w:r>
          </w:p>
        </w:tc>
        <w:tc>
          <w:tcPr>
            <w:tcW w:w="36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66"/>
              <w:spacing w:after="0"/>
              <w:rPr>
                <w:sz w:val="20"/>
                <w:szCs w:val="20"/>
                <w:color w:val="auto"/>
              </w:rPr>
            </w:pPr>
            <w:r>
              <w:rPr>
                <w:rFonts w:ascii="Arial" w:cs="Arial" w:eastAsia="Arial" w:hAnsi="Arial"/>
                <w:sz w:val="11"/>
                <w:szCs w:val="11"/>
                <w:b w:val="1"/>
                <w:bCs w:val="1"/>
                <w:color w:val="auto"/>
              </w:rPr>
              <w:t>Class B</w:t>
            </w:r>
          </w:p>
        </w:tc>
        <w:tc>
          <w:tcPr>
            <w:tcW w:w="180" w:type="dxa"/>
            <w:vAlign w:val="bottom"/>
            <w:tcBorders>
              <w:bottom w:val="single" w:sz="8" w:color="CCEEFF"/>
            </w:tcBorders>
          </w:tcPr>
          <w:p>
            <w:pPr>
              <w:spacing w:after="0"/>
              <w:rPr>
                <w:sz w:val="13"/>
                <w:szCs w:val="13"/>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2"/>
              </w:rPr>
              <w:t>Class A&amp;B</w:t>
            </w:r>
          </w:p>
        </w:tc>
        <w:tc>
          <w:tcPr>
            <w:tcW w:w="18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366"/>
              <w:spacing w:after="0"/>
              <w:rPr>
                <w:sz w:val="20"/>
                <w:szCs w:val="20"/>
                <w:color w:val="auto"/>
              </w:rPr>
            </w:pPr>
            <w:r>
              <w:rPr>
                <w:rFonts w:ascii="Arial" w:cs="Arial" w:eastAsia="Arial" w:hAnsi="Arial"/>
                <w:sz w:val="11"/>
                <w:szCs w:val="11"/>
                <w:b w:val="1"/>
                <w:bCs w:val="1"/>
                <w:color w:val="auto"/>
              </w:rPr>
              <w:t>Class A&amp;B</w:t>
            </w:r>
          </w:p>
        </w:tc>
      </w:tr>
      <w:tr>
        <w:trPr>
          <w:trHeight w:val="153"/>
        </w:trPr>
        <w:tc>
          <w:tcPr>
            <w:tcW w:w="2240" w:type="dxa"/>
            <w:vAlign w:val="bottom"/>
            <w:shd w:val="clear" w:color="auto" w:fill="CCEEFF"/>
          </w:tcPr>
          <w:p>
            <w:pPr>
              <w:spacing w:after="0"/>
              <w:rPr>
                <w:sz w:val="20"/>
                <w:szCs w:val="20"/>
                <w:color w:val="auto"/>
              </w:rPr>
            </w:pPr>
            <w:r>
              <w:rPr>
                <w:rFonts w:ascii="Arial" w:cs="Arial" w:eastAsia="Arial" w:hAnsi="Arial"/>
                <w:sz w:val="11"/>
                <w:szCs w:val="11"/>
                <w:color w:val="auto"/>
              </w:rPr>
              <w:t>December 31, 2015</w:t>
            </w:r>
          </w:p>
        </w:tc>
        <w:tc>
          <w:tcPr>
            <w:tcW w:w="11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256,065</w:t>
            </w:r>
          </w:p>
        </w:tc>
        <w:tc>
          <w:tcPr>
            <w:tcW w:w="1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28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7.64</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2.14</w:t>
            </w:r>
          </w:p>
        </w:tc>
        <w:tc>
          <w:tcPr>
            <w:tcW w:w="180" w:type="dxa"/>
            <w:vAlign w:val="bottom"/>
            <w:shd w:val="clear" w:color="auto" w:fill="CCEEFF"/>
          </w:tcPr>
          <w:p>
            <w:pPr>
              <w:spacing w:after="0"/>
              <w:rPr>
                <w:sz w:val="13"/>
                <w:szCs w:val="13"/>
                <w:color w:val="auto"/>
              </w:rPr>
            </w:pPr>
          </w:p>
        </w:tc>
        <w:tc>
          <w:tcPr>
            <w:tcW w:w="3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1,401,321</w:t>
            </w:r>
          </w:p>
        </w:tc>
      </w:tr>
      <w:tr>
        <w:trPr>
          <w:trHeight w:val="169"/>
        </w:trPr>
        <w:tc>
          <w:tcPr>
            <w:tcW w:w="2240" w:type="dxa"/>
            <w:vAlign w:val="bottom"/>
          </w:tcPr>
          <w:p>
            <w:pPr>
              <w:spacing w:after="0"/>
              <w:rPr>
                <w:sz w:val="20"/>
                <w:szCs w:val="20"/>
                <w:color w:val="auto"/>
              </w:rPr>
            </w:pPr>
            <w:r>
              <w:rPr>
                <w:rFonts w:ascii="Arial" w:cs="Arial" w:eastAsia="Arial" w:hAnsi="Arial"/>
                <w:sz w:val="11"/>
                <w:szCs w:val="11"/>
                <w:color w:val="auto"/>
              </w:rPr>
              <w:t>December 31, 2014</w:t>
            </w:r>
          </w:p>
        </w:tc>
        <w:tc>
          <w:tcPr>
            <w:tcW w:w="1160" w:type="dxa"/>
            <w:vAlign w:val="bottom"/>
          </w:tcPr>
          <w:p>
            <w:pPr>
              <w:jc w:val="right"/>
              <w:spacing w:after="0"/>
              <w:rPr>
                <w:sz w:val="20"/>
                <w:szCs w:val="20"/>
                <w:color w:val="auto"/>
              </w:rPr>
            </w:pPr>
            <w:r>
              <w:rPr>
                <w:rFonts w:ascii="Arial" w:cs="Arial" w:eastAsia="Arial" w:hAnsi="Arial"/>
                <w:sz w:val="11"/>
                <w:szCs w:val="11"/>
                <w:color w:val="auto"/>
              </w:rPr>
              <w:t>348,000</w:t>
            </w: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185,100</w:t>
            </w: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6.82</w:t>
            </w: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9.90</w:t>
            </w:r>
          </w:p>
        </w:tc>
        <w:tc>
          <w:tcPr>
            <w:tcW w:w="18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1"/>
                <w:szCs w:val="11"/>
                <w:color w:val="auto"/>
              </w:rPr>
              <w:t>3.63</w:t>
            </w: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2,476,230</w:t>
            </w:r>
          </w:p>
        </w:tc>
      </w:tr>
      <w:tr>
        <w:trPr>
          <w:trHeight w:val="173"/>
        </w:trPr>
        <w:tc>
          <w:tcPr>
            <w:tcW w:w="2240" w:type="dxa"/>
            <w:vAlign w:val="bottom"/>
            <w:shd w:val="clear" w:color="auto" w:fill="CCEEFF"/>
          </w:tcPr>
          <w:p>
            <w:pPr>
              <w:spacing w:after="0"/>
              <w:rPr>
                <w:sz w:val="20"/>
                <w:szCs w:val="20"/>
                <w:color w:val="auto"/>
              </w:rPr>
            </w:pPr>
            <w:r>
              <w:rPr>
                <w:rFonts w:ascii="Arial" w:cs="Arial" w:eastAsia="Arial" w:hAnsi="Arial"/>
                <w:sz w:val="11"/>
                <w:szCs w:val="11"/>
                <w:color w:val="auto"/>
              </w:rPr>
              <w:t>December 31, 2013</w:t>
            </w:r>
          </w:p>
        </w:tc>
        <w:tc>
          <w:tcPr>
            <w:tcW w:w="11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490,350</w:t>
            </w:r>
          </w:p>
        </w:tc>
        <w:tc>
          <w:tcPr>
            <w:tcW w:w="1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185,100</w:t>
            </w:r>
          </w:p>
        </w:tc>
        <w:tc>
          <w:tcPr>
            <w:tcW w:w="1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6.85</w:t>
            </w:r>
          </w:p>
        </w:tc>
        <w:tc>
          <w:tcPr>
            <w:tcW w:w="3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9.90</w:t>
            </w:r>
          </w:p>
        </w:tc>
        <w:tc>
          <w:tcPr>
            <w:tcW w:w="18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3.11</w:t>
            </w:r>
          </w:p>
        </w:tc>
        <w:tc>
          <w:tcPr>
            <w:tcW w:w="1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646,032</w:t>
            </w:r>
          </w:p>
        </w:tc>
      </w:tr>
    </w:tbl>
    <w:p>
      <w:pPr>
        <w:spacing w:after="0" w:line="13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Common Stock Repurchase</w:t>
      </w:r>
    </w:p>
    <w:p>
      <w:pPr>
        <w:spacing w:after="0" w:line="127" w:lineRule="exact"/>
        <w:rPr>
          <w:sz w:val="20"/>
          <w:szCs w:val="20"/>
          <w:color w:val="auto"/>
        </w:rPr>
      </w:pPr>
    </w:p>
    <w:p>
      <w:pPr>
        <w:ind w:right="160"/>
        <w:spacing w:after="0" w:line="380" w:lineRule="auto"/>
        <w:rPr>
          <w:sz w:val="20"/>
          <w:szCs w:val="20"/>
          <w:color w:val="auto"/>
        </w:rPr>
      </w:pPr>
      <w:r>
        <w:rPr>
          <w:rFonts w:ascii="Arial" w:cs="Arial" w:eastAsia="Arial" w:hAnsi="Arial"/>
          <w:sz w:val="10"/>
          <w:szCs w:val="10"/>
          <w:color w:val="auto"/>
        </w:rPr>
        <w:t>On May 16, 2014, the Company's Board of Directors authorized management, at its discretion, to spend up to an aggregate of $10.0 million to acquire shares of the Company’s common stock. This approved stock repurchase plan supersedes and effectively cancels the program that was approved by the Board of Directors on May 14, 2004, which allowed management to purchase up to 350,000 shares of Reading’s common stock.</w:t>
      </w:r>
    </w:p>
    <w:p>
      <w:pPr>
        <w:spacing w:after="0" w:line="41" w:lineRule="exact"/>
        <w:rPr>
          <w:sz w:val="20"/>
          <w:szCs w:val="20"/>
          <w:color w:val="auto"/>
        </w:rPr>
      </w:pPr>
    </w:p>
    <w:p>
      <w:pPr>
        <w:ind w:right="380"/>
        <w:spacing w:after="0" w:line="263" w:lineRule="auto"/>
        <w:rPr>
          <w:sz w:val="20"/>
          <w:szCs w:val="20"/>
          <w:color w:val="auto"/>
        </w:rPr>
      </w:pPr>
      <w:r>
        <w:rPr>
          <w:rFonts w:ascii="Arial" w:cs="Arial" w:eastAsia="Arial" w:hAnsi="Arial"/>
          <w:sz w:val="12"/>
          <w:szCs w:val="12"/>
          <w:color w:val="auto"/>
        </w:rPr>
        <w:t>The repurchase program allows Reading to repurchase its shares in accordance with the requirements of the SEC on the open market, in block trades and in privately negotiated transactions, depending on market conditions and other factors. All purchases are subject to the availability of shares at prices that are acceptable to Reading, and accordingly, no assurances can be given as to the timing or number of shares that may ultimately be acquired pursuant to this authorization.</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color w:val="auto"/>
        </w:rPr>
        <w:t>The Company repurchased its common stock as follows: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3020" w:type="dxa"/>
            <w:vAlign w:val="bottom"/>
            <w:tcBorders>
              <w:bottom w:val="single" w:sz="8" w:color="CCEEFF"/>
            </w:tcBorders>
          </w:tcPr>
          <w:p>
            <w:pPr>
              <w:spacing w:after="0"/>
              <w:rPr>
                <w:sz w:val="12"/>
                <w:szCs w:val="12"/>
                <w:color w:val="auto"/>
              </w:rPr>
            </w:pPr>
          </w:p>
        </w:tc>
        <w:tc>
          <w:tcPr>
            <w:tcW w:w="2000" w:type="dxa"/>
            <w:vAlign w:val="bottom"/>
            <w:tcBorders>
              <w:bottom w:val="single" w:sz="8" w:color="auto"/>
            </w:tcBorders>
          </w:tcPr>
          <w:p>
            <w:pPr>
              <w:ind w:left="980"/>
              <w:spacing w:after="0"/>
              <w:rPr>
                <w:sz w:val="20"/>
                <w:szCs w:val="20"/>
                <w:color w:val="auto"/>
              </w:rPr>
            </w:pPr>
            <w:r>
              <w:rPr>
                <w:rFonts w:ascii="Arial" w:cs="Arial" w:eastAsia="Arial" w:hAnsi="Arial"/>
                <w:sz w:val="11"/>
                <w:szCs w:val="11"/>
                <w:b w:val="1"/>
                <w:bCs w:val="1"/>
                <w:color w:val="auto"/>
              </w:rPr>
              <w:t>Shares Acquired</w:t>
            </w:r>
          </w:p>
        </w:tc>
        <w:tc>
          <w:tcPr>
            <w:tcW w:w="740" w:type="dxa"/>
            <w:vAlign w:val="bottom"/>
            <w:tcBorders>
              <w:bottom w:val="single" w:sz="8" w:color="auto"/>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1600" w:type="dxa"/>
            <w:vAlign w:val="bottom"/>
            <w:tcBorders>
              <w:bottom w:val="single" w:sz="8" w:color="auto"/>
            </w:tcBorders>
          </w:tcPr>
          <w:p>
            <w:pPr>
              <w:jc w:val="right"/>
              <w:ind w:right="206"/>
              <w:spacing w:after="0"/>
              <w:rPr>
                <w:sz w:val="20"/>
                <w:szCs w:val="20"/>
                <w:color w:val="auto"/>
              </w:rPr>
            </w:pPr>
            <w:r>
              <w:rPr>
                <w:rFonts w:ascii="Arial" w:cs="Arial" w:eastAsia="Arial" w:hAnsi="Arial"/>
                <w:sz w:val="11"/>
                <w:szCs w:val="11"/>
                <w:b w:val="1"/>
                <w:bCs w:val="1"/>
                <w:color w:val="auto"/>
              </w:rPr>
              <w:t>Share Price</w:t>
            </w:r>
          </w:p>
        </w:tc>
        <w:tc>
          <w:tcPr>
            <w:tcW w:w="540" w:type="dxa"/>
            <w:vAlign w:val="bottom"/>
            <w:tcBorders>
              <w:bottom w:val="single" w:sz="8" w:color="auto"/>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740" w:type="dxa"/>
            <w:vAlign w:val="bottom"/>
            <w:tcBorders>
              <w:bottom w:val="single" w:sz="8" w:color="auto"/>
            </w:tcBorders>
          </w:tcPr>
          <w:p>
            <w:pPr>
              <w:jc w:val="right"/>
              <w:ind w:right="466"/>
              <w:spacing w:after="0"/>
              <w:rPr>
                <w:sz w:val="20"/>
                <w:szCs w:val="20"/>
                <w:color w:val="auto"/>
              </w:rPr>
            </w:pPr>
            <w:r>
              <w:rPr>
                <w:rFonts w:ascii="Arial" w:cs="Arial" w:eastAsia="Arial" w:hAnsi="Arial"/>
                <w:sz w:val="11"/>
                <w:szCs w:val="11"/>
                <w:b w:val="1"/>
                <w:bCs w:val="1"/>
                <w:color w:val="auto"/>
                <w:w w:val="95"/>
              </w:rPr>
              <w:t xml:space="preserve">Total Paid </w:t>
            </w:r>
            <w:r>
              <w:rPr>
                <w:rFonts w:ascii="Arial" w:cs="Arial" w:eastAsia="Arial" w:hAnsi="Arial"/>
                <w:sz w:val="11"/>
                <w:szCs w:val="11"/>
                <w:color w:val="auto"/>
                <w:w w:val="95"/>
              </w:rPr>
              <w:t>(in thousands)</w:t>
            </w:r>
          </w:p>
        </w:tc>
        <w:tc>
          <w:tcPr>
            <w:tcW w:w="20" w:type="dxa"/>
            <w:vAlign w:val="bottom"/>
          </w:tcPr>
          <w:p>
            <w:pPr>
              <w:spacing w:after="0"/>
              <w:rPr>
                <w:sz w:val="12"/>
                <w:szCs w:val="12"/>
                <w:color w:val="auto"/>
              </w:rPr>
            </w:pPr>
          </w:p>
        </w:tc>
      </w:tr>
      <w:tr>
        <w:trPr>
          <w:trHeight w:val="135"/>
        </w:trPr>
        <w:tc>
          <w:tcPr>
            <w:tcW w:w="3020" w:type="dxa"/>
            <w:vAlign w:val="bottom"/>
            <w:shd w:val="clear" w:color="auto" w:fill="CCEEFF"/>
          </w:tcPr>
          <w:p>
            <w:pPr>
              <w:spacing w:after="0"/>
              <w:rPr>
                <w:sz w:val="20"/>
                <w:szCs w:val="20"/>
                <w:color w:val="auto"/>
              </w:rPr>
            </w:pPr>
            <w:r>
              <w:rPr>
                <w:rFonts w:ascii="Arial" w:cs="Arial" w:eastAsia="Arial" w:hAnsi="Arial"/>
                <w:sz w:val="11"/>
                <w:szCs w:val="11"/>
                <w:color w:val="auto"/>
              </w:rPr>
              <w:t>2015</w:t>
            </w:r>
          </w:p>
        </w:tc>
        <w:tc>
          <w:tcPr>
            <w:tcW w:w="200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240,102</w:t>
            </w:r>
          </w:p>
        </w:tc>
        <w:tc>
          <w:tcPr>
            <w:tcW w:w="280" w:type="dxa"/>
            <w:vAlign w:val="bottom"/>
            <w:shd w:val="clear" w:color="auto" w:fill="CCEEFF"/>
          </w:tcPr>
          <w:p>
            <w:pPr>
              <w:spacing w:after="0"/>
              <w:rPr>
                <w:sz w:val="11"/>
                <w:szCs w:val="11"/>
                <w:color w:val="auto"/>
              </w:rPr>
            </w:pPr>
          </w:p>
        </w:tc>
        <w:tc>
          <w:tcPr>
            <w:tcW w:w="1600" w:type="dxa"/>
            <w:vAlign w:val="bottom"/>
            <w:shd w:val="clear" w:color="auto" w:fill="CCEEFF"/>
          </w:tcPr>
          <w:p>
            <w:pPr>
              <w:jc w:val="right"/>
              <w:ind w:right="1266"/>
              <w:spacing w:after="0"/>
              <w:rPr>
                <w:sz w:val="20"/>
                <w:szCs w:val="20"/>
                <w:color w:val="auto"/>
              </w:rPr>
            </w:pPr>
            <w:r>
              <w:rPr>
                <w:rFonts w:ascii="Arial" w:cs="Arial" w:eastAsia="Arial" w:hAnsi="Arial"/>
                <w:sz w:val="11"/>
                <w:szCs w:val="11"/>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12.95</w:t>
            </w:r>
          </w:p>
        </w:tc>
        <w:tc>
          <w:tcPr>
            <w:tcW w:w="300" w:type="dxa"/>
            <w:vAlign w:val="bottom"/>
            <w:shd w:val="clear" w:color="auto" w:fill="CCEEFF"/>
          </w:tcPr>
          <w:p>
            <w:pPr>
              <w:spacing w:after="0"/>
              <w:rPr>
                <w:sz w:val="11"/>
                <w:szCs w:val="11"/>
                <w:color w:val="auto"/>
              </w:rPr>
            </w:pPr>
          </w:p>
        </w:tc>
        <w:tc>
          <w:tcPr>
            <w:tcW w:w="4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3,109</w:t>
            </w:r>
          </w:p>
        </w:tc>
        <w:tc>
          <w:tcPr>
            <w:tcW w:w="20" w:type="dxa"/>
            <w:vAlign w:val="bottom"/>
          </w:tcPr>
          <w:p>
            <w:pPr>
              <w:spacing w:after="0"/>
              <w:rPr>
                <w:sz w:val="11"/>
                <w:szCs w:val="11"/>
                <w:color w:val="auto"/>
              </w:rPr>
            </w:pPr>
          </w:p>
        </w:tc>
      </w:tr>
      <w:tr>
        <w:trPr>
          <w:trHeight w:val="135"/>
        </w:trPr>
        <w:tc>
          <w:tcPr>
            <w:tcW w:w="3020" w:type="dxa"/>
            <w:vAlign w:val="bottom"/>
            <w:tcBorders>
              <w:bottom w:val="single" w:sz="8" w:color="CCEEFF"/>
            </w:tcBorders>
          </w:tcPr>
          <w:p>
            <w:pPr>
              <w:spacing w:after="0"/>
              <w:rPr>
                <w:sz w:val="20"/>
                <w:szCs w:val="20"/>
                <w:color w:val="auto"/>
              </w:rPr>
            </w:pPr>
            <w:r>
              <w:rPr>
                <w:rFonts w:ascii="Arial" w:cs="Arial" w:eastAsia="Arial" w:hAnsi="Arial"/>
                <w:sz w:val="11"/>
                <w:szCs w:val="11"/>
                <w:color w:val="auto"/>
              </w:rPr>
              <w:t>2014</w:t>
            </w:r>
          </w:p>
        </w:tc>
        <w:tc>
          <w:tcPr>
            <w:tcW w:w="20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432,252</w:t>
            </w:r>
          </w:p>
        </w:tc>
        <w:tc>
          <w:tcPr>
            <w:tcW w:w="280" w:type="dxa"/>
            <w:vAlign w:val="bottom"/>
            <w:tcBorders>
              <w:bottom w:val="single" w:sz="8" w:color="CCEEFF"/>
            </w:tcBorders>
          </w:tcPr>
          <w:p>
            <w:pPr>
              <w:spacing w:after="0"/>
              <w:rPr>
                <w:sz w:val="11"/>
                <w:szCs w:val="11"/>
                <w:color w:val="auto"/>
              </w:rPr>
            </w:pPr>
          </w:p>
        </w:tc>
        <w:tc>
          <w:tcPr>
            <w:tcW w:w="16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9.42</w:t>
            </w:r>
          </w:p>
        </w:tc>
        <w:tc>
          <w:tcPr>
            <w:tcW w:w="300" w:type="dxa"/>
            <w:vAlign w:val="bottom"/>
            <w:tcBorders>
              <w:bottom w:val="single" w:sz="8" w:color="CCEEFF"/>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4,070</w:t>
            </w:r>
          </w:p>
        </w:tc>
        <w:tc>
          <w:tcPr>
            <w:tcW w:w="20" w:type="dxa"/>
            <w:vAlign w:val="bottom"/>
          </w:tcPr>
          <w:p>
            <w:pPr>
              <w:spacing w:after="0"/>
              <w:rPr>
                <w:sz w:val="11"/>
                <w:szCs w:val="11"/>
                <w:color w:val="auto"/>
              </w:rPr>
            </w:pPr>
          </w:p>
        </w:tc>
      </w:tr>
      <w:tr>
        <w:trPr>
          <w:trHeight w:val="124"/>
        </w:trPr>
        <w:tc>
          <w:tcPr>
            <w:tcW w:w="5020" w:type="dxa"/>
            <w:vAlign w:val="bottom"/>
            <w:gridSpan w:val="2"/>
            <w:shd w:val="clear" w:color="auto" w:fill="CCEEFF"/>
          </w:tcPr>
          <w:p>
            <w:pPr>
              <w:spacing w:after="0" w:line="124" w:lineRule="exact"/>
              <w:rPr>
                <w:sz w:val="20"/>
                <w:szCs w:val="20"/>
                <w:color w:val="auto"/>
              </w:rPr>
            </w:pPr>
            <w:r>
              <w:rPr>
                <w:rFonts w:ascii="Arial" w:cs="Arial" w:eastAsia="Arial" w:hAnsi="Arial"/>
                <w:sz w:val="11"/>
                <w:szCs w:val="11"/>
                <w:color w:val="auto"/>
              </w:rPr>
              <w:t>Total</w:t>
            </w:r>
          </w:p>
        </w:tc>
        <w:tc>
          <w:tcPr>
            <w:tcW w:w="74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672,354</w:t>
            </w:r>
          </w:p>
        </w:tc>
        <w:tc>
          <w:tcPr>
            <w:tcW w:w="280" w:type="dxa"/>
            <w:vAlign w:val="bottom"/>
            <w:shd w:val="clear" w:color="auto" w:fill="CCEEFF"/>
          </w:tcPr>
          <w:p>
            <w:pPr>
              <w:spacing w:after="0"/>
              <w:rPr>
                <w:sz w:val="10"/>
                <w:szCs w:val="10"/>
                <w:color w:val="auto"/>
              </w:rPr>
            </w:pPr>
          </w:p>
        </w:tc>
        <w:tc>
          <w:tcPr>
            <w:tcW w:w="1600" w:type="dxa"/>
            <w:vAlign w:val="bottom"/>
            <w:shd w:val="clear" w:color="auto" w:fill="CCEEFF"/>
          </w:tcPr>
          <w:p>
            <w:pPr>
              <w:jc w:val="right"/>
              <w:ind w:right="1266"/>
              <w:spacing w:after="0" w:line="124" w:lineRule="exact"/>
              <w:rPr>
                <w:sz w:val="20"/>
                <w:szCs w:val="20"/>
                <w:color w:val="auto"/>
              </w:rPr>
            </w:pPr>
            <w:r>
              <w:rPr>
                <w:rFonts w:ascii="Arial" w:cs="Arial" w:eastAsia="Arial" w:hAnsi="Arial"/>
                <w:sz w:val="11"/>
                <w:szCs w:val="11"/>
                <w:color w:val="auto"/>
              </w:rPr>
              <w:t>$</w:t>
            </w:r>
          </w:p>
        </w:tc>
        <w:tc>
          <w:tcPr>
            <w:tcW w:w="54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10.68</w:t>
            </w:r>
          </w:p>
        </w:tc>
        <w:tc>
          <w:tcPr>
            <w:tcW w:w="300" w:type="dxa"/>
            <w:vAlign w:val="bottom"/>
            <w:shd w:val="clear" w:color="auto" w:fill="CCEEFF"/>
          </w:tcPr>
          <w:p>
            <w:pPr>
              <w:spacing w:after="0"/>
              <w:rPr>
                <w:sz w:val="10"/>
                <w:szCs w:val="10"/>
                <w:color w:val="auto"/>
              </w:rPr>
            </w:pPr>
          </w:p>
        </w:tc>
        <w:tc>
          <w:tcPr>
            <w:tcW w:w="400" w:type="dxa"/>
            <w:vAlign w:val="bottom"/>
            <w:shd w:val="clear" w:color="auto" w:fill="CCEEFF"/>
          </w:tcPr>
          <w:p>
            <w:pPr>
              <w:jc w:val="right"/>
              <w:ind w:right="66"/>
              <w:spacing w:after="0" w:line="124" w:lineRule="exact"/>
              <w:rPr>
                <w:sz w:val="20"/>
                <w:szCs w:val="20"/>
                <w:color w:val="auto"/>
              </w:rPr>
            </w:pPr>
            <w:r>
              <w:rPr>
                <w:rFonts w:ascii="Arial" w:cs="Arial" w:eastAsia="Arial" w:hAnsi="Arial"/>
                <w:sz w:val="11"/>
                <w:szCs w:val="11"/>
                <w:color w:val="auto"/>
              </w:rPr>
              <w:t>$</w:t>
            </w:r>
          </w:p>
        </w:tc>
        <w:tc>
          <w:tcPr>
            <w:tcW w:w="174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7,178</w:t>
            </w:r>
          </w:p>
        </w:tc>
        <w:tc>
          <w:tcPr>
            <w:tcW w:w="20" w:type="dxa"/>
            <w:vAlign w:val="bottom"/>
          </w:tcPr>
          <w:p>
            <w:pPr>
              <w:spacing w:after="0"/>
              <w:rPr>
                <w:sz w:val="10"/>
                <w:szCs w:val="10"/>
                <w:color w:val="auto"/>
              </w:rPr>
            </w:pPr>
          </w:p>
        </w:tc>
      </w:tr>
      <w:tr>
        <w:trPr>
          <w:trHeight w:val="286"/>
        </w:trPr>
        <w:tc>
          <w:tcPr>
            <w:tcW w:w="3020" w:type="dxa"/>
            <w:vAlign w:val="bottom"/>
            <w:tcBorders>
              <w:top w:val="single" w:sz="8" w:color="CCEEFF"/>
            </w:tcBorders>
          </w:tcPr>
          <w:p>
            <w:pPr>
              <w:spacing w:after="0"/>
              <w:rPr>
                <w:sz w:val="24"/>
                <w:szCs w:val="24"/>
                <w:color w:val="auto"/>
              </w:rPr>
            </w:pPr>
          </w:p>
        </w:tc>
        <w:tc>
          <w:tcPr>
            <w:tcW w:w="20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jc w:val="right"/>
              <w:ind w:right="324"/>
              <w:spacing w:after="0"/>
              <w:rPr>
                <w:sz w:val="20"/>
                <w:szCs w:val="20"/>
                <w:color w:val="auto"/>
              </w:rPr>
            </w:pPr>
            <w:r>
              <w:rPr>
                <w:rFonts w:ascii="Arial" w:cs="Arial" w:eastAsia="Arial" w:hAnsi="Arial"/>
                <w:sz w:val="12"/>
                <w:szCs w:val="12"/>
                <w:color w:val="auto"/>
              </w:rPr>
              <w:t>89</w:t>
            </w:r>
          </w:p>
        </w:tc>
        <w:tc>
          <w:tcPr>
            <w:tcW w:w="280" w:type="dxa"/>
            <w:vAlign w:val="bottom"/>
            <w:tcBorders>
              <w:top w:val="single" w:sz="8" w:color="CCEEFF"/>
            </w:tcBorders>
          </w:tcPr>
          <w:p>
            <w:pPr>
              <w:spacing w:after="0"/>
              <w:rPr>
                <w:sz w:val="24"/>
                <w:szCs w:val="24"/>
                <w:color w:val="auto"/>
              </w:rPr>
            </w:pPr>
          </w:p>
        </w:tc>
        <w:tc>
          <w:tcPr>
            <w:tcW w:w="160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7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06"/>
        </w:trPr>
        <w:tc>
          <w:tcPr>
            <w:tcW w:w="3020" w:type="dxa"/>
            <w:vAlign w:val="bottom"/>
            <w:tcBorders>
              <w:bottom w:val="single" w:sz="8" w:color="9A9A9A"/>
            </w:tcBorders>
          </w:tcPr>
          <w:p>
            <w:pPr>
              <w:spacing w:after="0"/>
              <w:rPr>
                <w:sz w:val="9"/>
                <w:szCs w:val="9"/>
                <w:color w:val="auto"/>
              </w:rPr>
            </w:pPr>
          </w:p>
        </w:tc>
        <w:tc>
          <w:tcPr>
            <w:tcW w:w="200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60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17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6739255</wp:posOffset>
            </wp:positionH>
            <wp:positionV relativeFrom="paragraph">
              <wp:posOffset>-29210</wp:posOffset>
            </wp:positionV>
            <wp:extent cx="3111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111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111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1115" cy="42545"/>
                    </a:xfrm>
                    <a:prstGeom prst="rect">
                      <a:avLst/>
                    </a:prstGeom>
                    <a:noFill/>
                  </pic:spPr>
                </pic:pic>
              </a:graphicData>
            </a:graphic>
          </wp:anchor>
        </w:drawing>
      </w:r>
    </w:p>
    <w:p>
      <w:pPr>
        <w:sectPr>
          <w:pgSz w:w="11900" w:h="16838" w:orient="portrait"/>
          <w:cols w:equalWidth="0" w:num="1">
            <w:col w:w="10640"/>
          </w:cols>
          <w:pgMar w:left="640" w:top="275" w:right="619" w:bottom="1440" w:gutter="0" w:footer="0" w:header="0"/>
        </w:sectPr>
      </w:pPr>
    </w:p>
    <w:bookmarkStart w:id="89" w:name="page90"/>
    <w:bookmarkEnd w:id="89"/>
    <w:p>
      <w:pPr>
        <w:spacing w:after="0"/>
        <w:rPr>
          <w:sz w:val="20"/>
          <w:szCs w:val="20"/>
          <w:color w:val="auto"/>
        </w:rPr>
      </w:pPr>
      <w:r>
        <w:rPr>
          <w:rFonts w:ascii="Arial" w:cs="Arial" w:eastAsia="Arial" w:hAnsi="Arial"/>
          <w:sz w:val="12"/>
          <w:szCs w:val="12"/>
          <w:b w:val="1"/>
          <w:bCs w:val="1"/>
          <w:color w:val="auto"/>
        </w:rPr>
        <w:t>Accumulated Other Comprehensive Income</w:t>
      </w:r>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color w:val="auto"/>
        </w:rPr>
        <w:t>The following table summarizes the changes in each component of accumulated other comprehensive income attributable to RDI:</w:t>
      </w: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28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560" w:type="dxa"/>
            <w:vAlign w:val="bottom"/>
          </w:tcPr>
          <w:p>
            <w:pPr>
              <w:jc w:val="right"/>
              <w:ind w:right="6"/>
              <w:spacing w:after="0"/>
              <w:rPr>
                <w:sz w:val="20"/>
                <w:szCs w:val="20"/>
                <w:color w:val="auto"/>
              </w:rPr>
            </w:pPr>
            <w:r>
              <w:rPr>
                <w:rFonts w:ascii="Arial" w:cs="Arial" w:eastAsia="Arial" w:hAnsi="Arial"/>
                <w:sz w:val="11"/>
                <w:szCs w:val="11"/>
                <w:b w:val="1"/>
                <w:bCs w:val="1"/>
                <w:color w:val="auto"/>
              </w:rPr>
              <w:t>Unrealized Gain (Losses) on</w:t>
            </w: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720" w:type="dxa"/>
            <w:vAlign w:val="bottom"/>
            <w:gridSpan w:val="3"/>
          </w:tcPr>
          <w:p>
            <w:pPr>
              <w:jc w:val="center"/>
              <w:ind w:right="340"/>
              <w:spacing w:after="0"/>
              <w:rPr>
                <w:sz w:val="20"/>
                <w:szCs w:val="20"/>
                <w:color w:val="auto"/>
              </w:rPr>
            </w:pPr>
            <w:r>
              <w:rPr>
                <w:rFonts w:ascii="Arial" w:cs="Arial" w:eastAsia="Arial" w:hAnsi="Arial"/>
                <w:sz w:val="11"/>
                <w:szCs w:val="11"/>
                <w:b w:val="1"/>
                <w:bCs w:val="1"/>
                <w:color w:val="auto"/>
                <w:w w:val="86"/>
              </w:rPr>
              <w:t>Accrued Pension Service</w:t>
            </w:r>
          </w:p>
        </w:tc>
        <w:tc>
          <w:tcPr>
            <w:tcW w:w="520" w:type="dxa"/>
            <w:vAlign w:val="bottom"/>
          </w:tcPr>
          <w:p>
            <w:pPr>
              <w:spacing w:after="0"/>
              <w:rPr>
                <w:sz w:val="11"/>
                <w:szCs w:val="11"/>
                <w:color w:val="auto"/>
              </w:rPr>
            </w:pPr>
          </w:p>
        </w:tc>
        <w:tc>
          <w:tcPr>
            <w:tcW w:w="1160" w:type="dxa"/>
            <w:vAlign w:val="bottom"/>
          </w:tcPr>
          <w:p>
            <w:pPr>
              <w:spacing w:after="0"/>
              <w:rPr>
                <w:sz w:val="11"/>
                <w:szCs w:val="11"/>
                <w:color w:val="auto"/>
              </w:rPr>
            </w:pPr>
          </w:p>
        </w:tc>
      </w:tr>
      <w:tr>
        <w:trPr>
          <w:trHeight w:val="142"/>
        </w:trPr>
        <w:tc>
          <w:tcPr>
            <w:tcW w:w="2820" w:type="dxa"/>
            <w:vAlign w:val="bottom"/>
            <w:tcBorders>
              <w:bottom w:val="single" w:sz="8" w:color="auto"/>
            </w:tcBorders>
          </w:tcPr>
          <w:p>
            <w:pPr>
              <w:spacing w:after="0"/>
              <w:rPr>
                <w:sz w:val="20"/>
                <w:szCs w:val="20"/>
                <w:color w:val="auto"/>
              </w:rPr>
            </w:pPr>
            <w:r>
              <w:rPr>
                <w:rFonts w:ascii="Arial" w:cs="Arial" w:eastAsia="Arial" w:hAnsi="Arial"/>
                <w:sz w:val="11"/>
                <w:szCs w:val="11"/>
                <w:color w:val="auto"/>
              </w:rPr>
              <w:t>(Dollars in thousands)</w:t>
            </w:r>
          </w:p>
        </w:tc>
        <w:tc>
          <w:tcPr>
            <w:tcW w:w="340" w:type="dxa"/>
            <w:vAlign w:val="bottom"/>
            <w:tcBorders>
              <w:bottom w:val="single" w:sz="8" w:color="CCEEFF"/>
            </w:tcBorders>
          </w:tcPr>
          <w:p>
            <w:pPr>
              <w:spacing w:after="0"/>
              <w:rPr>
                <w:sz w:val="12"/>
                <w:szCs w:val="12"/>
                <w:color w:val="auto"/>
              </w:rPr>
            </w:pPr>
          </w:p>
        </w:tc>
        <w:tc>
          <w:tcPr>
            <w:tcW w:w="1700" w:type="dxa"/>
            <w:vAlign w:val="bottom"/>
            <w:tcBorders>
              <w:bottom w:val="single" w:sz="8" w:color="auto"/>
            </w:tcBorders>
            <w:gridSpan w:val="2"/>
          </w:tcPr>
          <w:p>
            <w:pPr>
              <w:ind w:left="300"/>
              <w:spacing w:after="0"/>
              <w:rPr>
                <w:sz w:val="20"/>
                <w:szCs w:val="20"/>
                <w:color w:val="auto"/>
              </w:rPr>
            </w:pPr>
            <w:r>
              <w:rPr>
                <w:rFonts w:ascii="Arial" w:cs="Arial" w:eastAsia="Arial" w:hAnsi="Arial"/>
                <w:sz w:val="11"/>
                <w:szCs w:val="11"/>
                <w:b w:val="1"/>
                <w:bCs w:val="1"/>
                <w:color w:val="auto"/>
              </w:rPr>
              <w:t>Foreign Currency Items</w:t>
            </w:r>
          </w:p>
        </w:tc>
        <w:tc>
          <w:tcPr>
            <w:tcW w:w="340" w:type="dxa"/>
            <w:vAlign w:val="bottom"/>
            <w:tcBorders>
              <w:bottom w:val="single" w:sz="8" w:color="CCEEFF"/>
            </w:tcBorders>
          </w:tcPr>
          <w:p>
            <w:pPr>
              <w:spacing w:after="0"/>
              <w:rPr>
                <w:sz w:val="12"/>
                <w:szCs w:val="12"/>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6"/>
              </w:rPr>
              <w:t>Available-for-Sale Investments</w:t>
            </w:r>
          </w:p>
        </w:tc>
        <w:tc>
          <w:tcPr>
            <w:tcW w:w="120" w:type="dxa"/>
            <w:vAlign w:val="bottom"/>
            <w:tcBorders>
              <w:bottom w:val="single" w:sz="8" w:color="auto"/>
            </w:tcBorders>
          </w:tcPr>
          <w:p>
            <w:pPr>
              <w:spacing w:after="0"/>
              <w:rPr>
                <w:sz w:val="12"/>
                <w:szCs w:val="12"/>
                <w:color w:val="auto"/>
              </w:rPr>
            </w:pPr>
          </w:p>
        </w:tc>
        <w:tc>
          <w:tcPr>
            <w:tcW w:w="34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center"/>
              <w:ind w:right="386"/>
              <w:spacing w:after="0"/>
              <w:rPr>
                <w:sz w:val="20"/>
                <w:szCs w:val="20"/>
                <w:color w:val="auto"/>
              </w:rPr>
            </w:pPr>
            <w:r>
              <w:rPr>
                <w:rFonts w:ascii="Arial" w:cs="Arial" w:eastAsia="Arial" w:hAnsi="Arial"/>
                <w:sz w:val="11"/>
                <w:szCs w:val="11"/>
                <w:b w:val="1"/>
                <w:bCs w:val="1"/>
                <w:color w:val="auto"/>
                <w:w w:val="84"/>
              </w:rPr>
              <w:t>Costs</w:t>
            </w:r>
          </w:p>
        </w:tc>
        <w:tc>
          <w:tcPr>
            <w:tcW w:w="340" w:type="dxa"/>
            <w:vAlign w:val="bottom"/>
            <w:tcBorders>
              <w:bottom w:val="single" w:sz="8" w:color="CCEEFF"/>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ind w:left="200"/>
              <w:spacing w:after="0"/>
              <w:rPr>
                <w:sz w:val="20"/>
                <w:szCs w:val="20"/>
                <w:color w:val="auto"/>
              </w:rPr>
            </w:pPr>
            <w:r>
              <w:rPr>
                <w:rFonts w:ascii="Arial" w:cs="Arial" w:eastAsia="Arial" w:hAnsi="Arial"/>
                <w:sz w:val="11"/>
                <w:szCs w:val="11"/>
                <w:b w:val="1"/>
                <w:bCs w:val="1"/>
                <w:color w:val="auto"/>
              </w:rPr>
              <w:t>Total</w:t>
            </w:r>
          </w:p>
        </w:tc>
      </w:tr>
      <w:tr>
        <w:trPr>
          <w:trHeight w:val="171"/>
        </w:trPr>
        <w:tc>
          <w:tcPr>
            <w:tcW w:w="31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Balance at January 1, 2015</w:t>
            </w:r>
          </w:p>
        </w:tc>
        <w:tc>
          <w:tcPr>
            <w:tcW w:w="840" w:type="dxa"/>
            <w:vAlign w:val="bottom"/>
            <w:shd w:val="clear" w:color="auto" w:fill="CCEEFF"/>
          </w:tcPr>
          <w:p>
            <w:pPr>
              <w:ind w:left="280"/>
              <w:spacing w:after="0"/>
              <w:rPr>
                <w:sz w:val="20"/>
                <w:szCs w:val="20"/>
                <w:color w:val="auto"/>
              </w:rPr>
            </w:pPr>
            <w:r>
              <w:rPr>
                <w:rFonts w:ascii="Arial" w:cs="Arial" w:eastAsia="Arial" w:hAnsi="Arial"/>
                <w:sz w:val="11"/>
                <w:szCs w:val="11"/>
                <w:color w:val="auto"/>
              </w:rPr>
              <w:t>$</w:t>
            </w:r>
          </w:p>
        </w:tc>
        <w:tc>
          <w:tcPr>
            <w:tcW w:w="860" w:type="dxa"/>
            <w:vAlign w:val="bottom"/>
            <w:shd w:val="clear" w:color="auto" w:fill="CCEEFF"/>
          </w:tcPr>
          <w:p>
            <w:pPr>
              <w:jc w:val="center"/>
              <w:ind w:left="466"/>
              <w:spacing w:after="0"/>
              <w:rPr>
                <w:sz w:val="20"/>
                <w:szCs w:val="20"/>
                <w:color w:val="auto"/>
              </w:rPr>
            </w:pPr>
            <w:r>
              <w:rPr>
                <w:rFonts w:ascii="Arial" w:cs="Arial" w:eastAsia="Arial" w:hAnsi="Arial"/>
                <w:sz w:val="11"/>
                <w:szCs w:val="11"/>
                <w:color w:val="auto"/>
                <w:w w:val="89"/>
              </w:rPr>
              <w:t>31,084</w:t>
            </w:r>
          </w:p>
        </w:tc>
        <w:tc>
          <w:tcPr>
            <w:tcW w:w="340" w:type="dxa"/>
            <w:vAlign w:val="bottom"/>
            <w:shd w:val="clear" w:color="auto" w:fill="CCEEFF"/>
          </w:tcPr>
          <w:p>
            <w:pPr>
              <w:spacing w:after="0"/>
              <w:rPr>
                <w:sz w:val="14"/>
                <w:szCs w:val="14"/>
                <w:color w:val="auto"/>
              </w:rPr>
            </w:pPr>
          </w:p>
        </w:tc>
        <w:tc>
          <w:tcPr>
            <w:tcW w:w="1560" w:type="dxa"/>
            <w:vAlign w:val="bottom"/>
            <w:shd w:val="clear" w:color="auto" w:fill="CCEEFF"/>
          </w:tcPr>
          <w:p>
            <w:pPr>
              <w:jc w:val="right"/>
              <w:ind w:right="1166"/>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10</w:t>
            </w:r>
          </w:p>
        </w:tc>
        <w:tc>
          <w:tcPr>
            <w:tcW w:w="34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w:t>
            </w: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1"/>
                <w:szCs w:val="11"/>
                <w:color w:val="auto"/>
              </w:rPr>
              <w:t>(3,055)</w:t>
            </w:r>
          </w:p>
        </w:tc>
        <w:tc>
          <w:tcPr>
            <w:tcW w:w="520" w:type="dxa"/>
            <w:vAlign w:val="bottom"/>
            <w:shd w:val="clear" w:color="auto" w:fill="CCEEFF"/>
          </w:tcPr>
          <w:p>
            <w:pPr>
              <w:jc w:val="right"/>
              <w:ind w:right="126"/>
              <w:spacing w:after="0"/>
              <w:rPr>
                <w:sz w:val="20"/>
                <w:szCs w:val="20"/>
                <w:color w:val="auto"/>
              </w:rPr>
            </w:pPr>
            <w:r>
              <w:rPr>
                <w:rFonts w:ascii="Arial" w:cs="Arial" w:eastAsia="Arial" w:hAnsi="Arial"/>
                <w:sz w:val="11"/>
                <w:szCs w:val="11"/>
                <w:color w:val="auto"/>
              </w:rPr>
              <w:t>$</w:t>
            </w:r>
          </w:p>
        </w:tc>
        <w:tc>
          <w:tcPr>
            <w:tcW w:w="1160" w:type="dxa"/>
            <w:vAlign w:val="bottom"/>
            <w:shd w:val="clear" w:color="auto" w:fill="CCEEFF"/>
          </w:tcPr>
          <w:p>
            <w:pPr>
              <w:jc w:val="center"/>
              <w:ind w:left="766"/>
              <w:spacing w:after="0"/>
              <w:rPr>
                <w:sz w:val="20"/>
                <w:szCs w:val="20"/>
                <w:color w:val="auto"/>
              </w:rPr>
            </w:pPr>
            <w:r>
              <w:rPr>
                <w:rFonts w:ascii="Arial" w:cs="Arial" w:eastAsia="Arial" w:hAnsi="Arial"/>
                <w:sz w:val="11"/>
                <w:szCs w:val="11"/>
                <w:color w:val="auto"/>
                <w:w w:val="89"/>
              </w:rPr>
              <w:t>28,039</w:t>
            </w:r>
          </w:p>
        </w:tc>
      </w:tr>
      <w:tr>
        <w:trPr>
          <w:trHeight w:val="358"/>
        </w:trPr>
        <w:tc>
          <w:tcPr>
            <w:tcW w:w="3160" w:type="dxa"/>
            <w:vAlign w:val="bottom"/>
            <w:tcBorders>
              <w:bottom w:val="single" w:sz="8" w:color="CCEEFF"/>
            </w:tcBorders>
            <w:gridSpan w:val="2"/>
          </w:tcPr>
          <w:p>
            <w:pPr>
              <w:spacing w:after="0"/>
              <w:rPr>
                <w:sz w:val="20"/>
                <w:szCs w:val="20"/>
                <w:color w:val="auto"/>
              </w:rPr>
            </w:pPr>
            <w:r>
              <w:rPr>
                <w:rFonts w:ascii="Arial" w:cs="Arial" w:eastAsia="Arial" w:hAnsi="Arial"/>
                <w:sz w:val="11"/>
                <w:szCs w:val="11"/>
                <w:color w:val="auto"/>
              </w:rPr>
              <w:t>Net current-period other comprehensive income</w:t>
            </w:r>
          </w:p>
        </w:tc>
        <w:tc>
          <w:tcPr>
            <w:tcW w:w="8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center"/>
              <w:ind w:left="446"/>
              <w:spacing w:after="0"/>
              <w:rPr>
                <w:sz w:val="20"/>
                <w:szCs w:val="20"/>
                <w:color w:val="auto"/>
              </w:rPr>
            </w:pPr>
            <w:r>
              <w:rPr>
                <w:rFonts w:ascii="Arial" w:cs="Arial" w:eastAsia="Arial" w:hAnsi="Arial"/>
                <w:sz w:val="11"/>
                <w:szCs w:val="11"/>
                <w:color w:val="auto"/>
                <w:w w:val="87"/>
              </w:rPr>
              <w:t>(16,442)</w:t>
            </w:r>
          </w:p>
        </w:tc>
        <w:tc>
          <w:tcPr>
            <w:tcW w:w="340" w:type="dxa"/>
            <w:vAlign w:val="bottom"/>
            <w:tcBorders>
              <w:bottom w:val="single" w:sz="8" w:color="CCEEFF"/>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w:t>
            </w:r>
          </w:p>
        </w:tc>
        <w:tc>
          <w:tcPr>
            <w:tcW w:w="34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207</w:t>
            </w:r>
          </w:p>
        </w:tc>
        <w:tc>
          <w:tcPr>
            <w:tcW w:w="340" w:type="dxa"/>
            <w:vAlign w:val="bottom"/>
            <w:tcBorders>
              <w:bottom w:val="single" w:sz="8" w:color="CCEEFF"/>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center"/>
              <w:ind w:left="746"/>
              <w:spacing w:after="0"/>
              <w:rPr>
                <w:sz w:val="20"/>
                <w:szCs w:val="20"/>
                <w:color w:val="auto"/>
              </w:rPr>
            </w:pPr>
            <w:r>
              <w:rPr>
                <w:rFonts w:ascii="Arial" w:cs="Arial" w:eastAsia="Arial" w:hAnsi="Arial"/>
                <w:sz w:val="11"/>
                <w:szCs w:val="11"/>
                <w:color w:val="auto"/>
                <w:w w:val="87"/>
              </w:rPr>
              <w:t>(16,233)</w:t>
            </w:r>
          </w:p>
        </w:tc>
      </w:tr>
      <w:tr>
        <w:trPr>
          <w:trHeight w:val="153"/>
        </w:trPr>
        <w:tc>
          <w:tcPr>
            <w:tcW w:w="31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Balance at December 31, 2015</w:t>
            </w:r>
          </w:p>
        </w:tc>
        <w:tc>
          <w:tcPr>
            <w:tcW w:w="840" w:type="dxa"/>
            <w:vAlign w:val="bottom"/>
            <w:shd w:val="clear" w:color="auto" w:fill="CCEEFF"/>
          </w:tcPr>
          <w:p>
            <w:pPr>
              <w:ind w:left="280"/>
              <w:spacing w:after="0"/>
              <w:rPr>
                <w:sz w:val="20"/>
                <w:szCs w:val="20"/>
                <w:color w:val="auto"/>
              </w:rPr>
            </w:pPr>
            <w:r>
              <w:rPr>
                <w:rFonts w:ascii="Arial" w:cs="Arial" w:eastAsia="Arial" w:hAnsi="Arial"/>
                <w:sz w:val="11"/>
                <w:szCs w:val="11"/>
                <w:color w:val="auto"/>
              </w:rPr>
              <w:t>$</w:t>
            </w:r>
          </w:p>
        </w:tc>
        <w:tc>
          <w:tcPr>
            <w:tcW w:w="860" w:type="dxa"/>
            <w:vAlign w:val="bottom"/>
            <w:shd w:val="clear" w:color="auto" w:fill="CCEEFF"/>
          </w:tcPr>
          <w:p>
            <w:pPr>
              <w:jc w:val="center"/>
              <w:ind w:left="466"/>
              <w:spacing w:after="0"/>
              <w:rPr>
                <w:sz w:val="20"/>
                <w:szCs w:val="20"/>
                <w:color w:val="auto"/>
              </w:rPr>
            </w:pPr>
            <w:r>
              <w:rPr>
                <w:rFonts w:ascii="Arial" w:cs="Arial" w:eastAsia="Arial" w:hAnsi="Arial"/>
                <w:sz w:val="11"/>
                <w:szCs w:val="11"/>
                <w:color w:val="auto"/>
                <w:w w:val="89"/>
              </w:rPr>
              <w:t>14,642</w:t>
            </w:r>
          </w:p>
        </w:tc>
        <w:tc>
          <w:tcPr>
            <w:tcW w:w="340" w:type="dxa"/>
            <w:vAlign w:val="bottom"/>
            <w:shd w:val="clear" w:color="auto" w:fill="CCEEFF"/>
          </w:tcPr>
          <w:p>
            <w:pPr>
              <w:spacing w:after="0"/>
              <w:rPr>
                <w:sz w:val="13"/>
                <w:szCs w:val="13"/>
                <w:color w:val="auto"/>
              </w:rPr>
            </w:pPr>
          </w:p>
        </w:tc>
        <w:tc>
          <w:tcPr>
            <w:tcW w:w="1560" w:type="dxa"/>
            <w:vAlign w:val="bottom"/>
            <w:shd w:val="clear" w:color="auto" w:fill="CCEEFF"/>
          </w:tcPr>
          <w:p>
            <w:pPr>
              <w:jc w:val="right"/>
              <w:ind w:right="1166"/>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12</w:t>
            </w:r>
          </w:p>
        </w:tc>
        <w:tc>
          <w:tcPr>
            <w:tcW w:w="340" w:type="dxa"/>
            <w:vAlign w:val="bottom"/>
            <w:shd w:val="clear" w:color="auto" w:fill="CCEEFF"/>
          </w:tcPr>
          <w:p>
            <w:pPr>
              <w:spacing w:after="0"/>
              <w:rPr>
                <w:sz w:val="13"/>
                <w:szCs w:val="13"/>
                <w:color w:val="auto"/>
              </w:rPr>
            </w:pPr>
          </w:p>
        </w:tc>
        <w:tc>
          <w:tcPr>
            <w:tcW w:w="44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w:t>
            </w: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1"/>
                <w:szCs w:val="11"/>
                <w:color w:val="auto"/>
              </w:rPr>
              <w:t>(2,848)</w:t>
            </w:r>
          </w:p>
        </w:tc>
        <w:tc>
          <w:tcPr>
            <w:tcW w:w="520" w:type="dxa"/>
            <w:vAlign w:val="bottom"/>
            <w:shd w:val="clear" w:color="auto" w:fill="CCEEFF"/>
          </w:tcPr>
          <w:p>
            <w:pPr>
              <w:jc w:val="right"/>
              <w:ind w:right="126"/>
              <w:spacing w:after="0"/>
              <w:rPr>
                <w:sz w:val="20"/>
                <w:szCs w:val="20"/>
                <w:color w:val="auto"/>
              </w:rPr>
            </w:pPr>
            <w:r>
              <w:rPr>
                <w:rFonts w:ascii="Arial" w:cs="Arial" w:eastAsia="Arial" w:hAnsi="Arial"/>
                <w:sz w:val="11"/>
                <w:szCs w:val="11"/>
                <w:color w:val="auto"/>
              </w:rPr>
              <w:t>$</w:t>
            </w:r>
          </w:p>
        </w:tc>
        <w:tc>
          <w:tcPr>
            <w:tcW w:w="1160" w:type="dxa"/>
            <w:vAlign w:val="bottom"/>
            <w:shd w:val="clear" w:color="auto" w:fill="CCEEFF"/>
          </w:tcPr>
          <w:p>
            <w:pPr>
              <w:jc w:val="center"/>
              <w:ind w:left="766"/>
              <w:spacing w:after="0"/>
              <w:rPr>
                <w:sz w:val="20"/>
                <w:szCs w:val="20"/>
                <w:color w:val="auto"/>
              </w:rPr>
            </w:pPr>
            <w:r>
              <w:rPr>
                <w:rFonts w:ascii="Arial" w:cs="Arial" w:eastAsia="Arial" w:hAnsi="Arial"/>
                <w:sz w:val="11"/>
                <w:szCs w:val="11"/>
                <w:color w:val="auto"/>
                <w:w w:val="89"/>
              </w:rPr>
              <w:t>11,806</w:t>
            </w:r>
          </w:p>
        </w:tc>
      </w:tr>
      <w:tr>
        <w:trPr>
          <w:trHeight w:val="20"/>
        </w:trPr>
        <w:tc>
          <w:tcPr>
            <w:tcW w:w="282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15 – Derivative Instruments</w:t>
      </w:r>
    </w:p>
    <w:p>
      <w:pPr>
        <w:spacing w:after="0" w:line="127" w:lineRule="exact"/>
        <w:rPr>
          <w:sz w:val="20"/>
          <w:szCs w:val="20"/>
          <w:color w:val="auto"/>
        </w:rPr>
      </w:pPr>
    </w:p>
    <w:p>
      <w:pPr>
        <w:ind w:right="100"/>
        <w:spacing w:after="0" w:line="263" w:lineRule="auto"/>
        <w:rPr>
          <w:sz w:val="20"/>
          <w:szCs w:val="20"/>
          <w:color w:val="auto"/>
        </w:rPr>
      </w:pPr>
      <w:r>
        <w:rPr>
          <w:rFonts w:ascii="Arial" w:cs="Arial" w:eastAsia="Arial" w:hAnsi="Arial"/>
          <w:sz w:val="12"/>
          <w:szCs w:val="12"/>
          <w:color w:val="auto"/>
        </w:rPr>
        <w:t>We enter into interest rate derivative instruments to hedge the interest rate risk that results from the characteristics of our floating-rate borrowings. Our use of derivative transactions is intended to reduce long-term fluctuations in cash flows caused by market movements. All derivative instruments are recorded on the balance sheets at fair value with changes in fair value recorded to interest expense in the consolidated statements of operations. As of December 31, 2015, we have not designated any of our derivatives as accounting hedges.</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color w:val="auto"/>
        </w:rPr>
        <w:t>The Company’s derivative positions measured at fair value are summarized in the following tables: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19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b w:val="1"/>
                <w:bCs w:val="1"/>
                <w:color w:val="auto"/>
              </w:rPr>
              <w:t>December 31, 2015</w:t>
            </w:r>
          </w:p>
        </w:tc>
        <w:tc>
          <w:tcPr>
            <w:tcW w:w="18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r>
      <w:tr>
        <w:trPr>
          <w:trHeight w:val="349"/>
        </w:trPr>
        <w:tc>
          <w:tcPr>
            <w:tcW w:w="1980" w:type="dxa"/>
            <w:vAlign w:val="bottom"/>
            <w:tcBorders>
              <w:bottom w:val="single" w:sz="8" w:color="auto"/>
            </w:tcBorders>
          </w:tcPr>
          <w:p>
            <w:pPr>
              <w:spacing w:after="0"/>
              <w:rPr>
                <w:sz w:val="20"/>
                <w:szCs w:val="20"/>
                <w:color w:val="auto"/>
              </w:rPr>
            </w:pPr>
            <w:r>
              <w:rPr>
                <w:rFonts w:ascii="Arial" w:cs="Arial" w:eastAsia="Arial" w:hAnsi="Arial"/>
                <w:sz w:val="11"/>
                <w:szCs w:val="11"/>
                <w:color w:val="auto"/>
              </w:rPr>
              <w:t>(Dollars in thousands)</w:t>
            </w:r>
          </w:p>
        </w:tc>
        <w:tc>
          <w:tcPr>
            <w:tcW w:w="32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66"/>
              <w:spacing w:after="0"/>
              <w:rPr>
                <w:sz w:val="20"/>
                <w:szCs w:val="20"/>
                <w:color w:val="auto"/>
              </w:rPr>
            </w:pPr>
            <w:r>
              <w:rPr>
                <w:rFonts w:ascii="Arial" w:cs="Arial" w:eastAsia="Arial" w:hAnsi="Arial"/>
                <w:sz w:val="11"/>
                <w:szCs w:val="11"/>
                <w:b w:val="1"/>
                <w:bCs w:val="1"/>
                <w:color w:val="auto"/>
              </w:rPr>
              <w:t>Notional</w:t>
            </w:r>
          </w:p>
        </w:tc>
        <w:tc>
          <w:tcPr>
            <w:tcW w:w="280" w:type="dxa"/>
            <w:vAlign w:val="bottom"/>
            <w:tcBorders>
              <w:bottom w:val="single" w:sz="8" w:color="CCEEFF"/>
            </w:tcBorders>
          </w:tcPr>
          <w:p>
            <w:pPr>
              <w:spacing w:after="0"/>
              <w:rPr>
                <w:sz w:val="24"/>
                <w:szCs w:val="24"/>
                <w:color w:val="auto"/>
              </w:rPr>
            </w:pPr>
          </w:p>
        </w:tc>
        <w:tc>
          <w:tcPr>
            <w:tcW w:w="122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Current Assets</w:t>
            </w:r>
          </w:p>
        </w:tc>
        <w:tc>
          <w:tcPr>
            <w:tcW w:w="220" w:type="dxa"/>
            <w:vAlign w:val="bottom"/>
            <w:tcBorders>
              <w:bottom w:val="single" w:sz="8" w:color="auto"/>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1260" w:type="dxa"/>
            <w:vAlign w:val="bottom"/>
            <w:tcBorders>
              <w:bottom w:val="single" w:sz="8" w:color="auto"/>
            </w:tcBorders>
          </w:tcPr>
          <w:p>
            <w:pPr>
              <w:jc w:val="right"/>
              <w:ind w:right="186"/>
              <w:spacing w:after="0"/>
              <w:rPr>
                <w:sz w:val="20"/>
                <w:szCs w:val="20"/>
                <w:color w:val="auto"/>
              </w:rPr>
            </w:pPr>
            <w:r>
              <w:rPr>
                <w:rFonts w:ascii="Arial" w:cs="Arial" w:eastAsia="Arial" w:hAnsi="Arial"/>
                <w:sz w:val="11"/>
                <w:szCs w:val="11"/>
                <w:b w:val="1"/>
                <w:bCs w:val="1"/>
                <w:color w:val="auto"/>
              </w:rPr>
              <w:t>Other Assets</w:t>
            </w:r>
          </w:p>
        </w:tc>
        <w:tc>
          <w:tcPr>
            <w:tcW w:w="180" w:type="dxa"/>
            <w:vAlign w:val="bottom"/>
            <w:tcBorders>
              <w:bottom w:val="single" w:sz="8" w:color="auto"/>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1440" w:type="dxa"/>
            <w:vAlign w:val="bottom"/>
            <w:tcBorders>
              <w:bottom w:val="single" w:sz="8" w:color="auto"/>
            </w:tcBorders>
            <w:gridSpan w:val="2"/>
          </w:tcPr>
          <w:p>
            <w:pPr>
              <w:jc w:val="right"/>
              <w:ind w:right="86"/>
              <w:spacing w:after="0"/>
              <w:rPr>
                <w:sz w:val="20"/>
                <w:szCs w:val="20"/>
                <w:color w:val="auto"/>
              </w:rPr>
            </w:pPr>
            <w:r>
              <w:rPr>
                <w:rFonts w:ascii="Arial" w:cs="Arial" w:eastAsia="Arial" w:hAnsi="Arial"/>
                <w:sz w:val="11"/>
                <w:szCs w:val="11"/>
                <w:b w:val="1"/>
                <w:bCs w:val="1"/>
                <w:color w:val="auto"/>
              </w:rPr>
              <w:t>Other Current Liabilities</w:t>
            </w:r>
          </w:p>
        </w:tc>
        <w:tc>
          <w:tcPr>
            <w:tcW w:w="280" w:type="dxa"/>
            <w:vAlign w:val="bottom"/>
            <w:tcBorders>
              <w:bottom w:val="single" w:sz="8" w:color="CCEEFF"/>
            </w:tcBorders>
          </w:tcPr>
          <w:p>
            <w:pPr>
              <w:spacing w:after="0"/>
              <w:rPr>
                <w:sz w:val="24"/>
                <w:szCs w:val="2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4"/>
              </w:rPr>
              <w:t>Other Long-Term Liabilities</w:t>
            </w:r>
          </w:p>
        </w:tc>
        <w:tc>
          <w:tcPr>
            <w:tcW w:w="80" w:type="dxa"/>
            <w:vAlign w:val="bottom"/>
            <w:tcBorders>
              <w:bottom w:val="single" w:sz="8" w:color="auto"/>
            </w:tcBorders>
          </w:tcPr>
          <w:p>
            <w:pPr>
              <w:spacing w:after="0"/>
              <w:rPr>
                <w:sz w:val="24"/>
                <w:szCs w:val="24"/>
                <w:color w:val="auto"/>
              </w:rPr>
            </w:pPr>
          </w:p>
        </w:tc>
      </w:tr>
      <w:tr>
        <w:trPr>
          <w:trHeight w:val="180"/>
        </w:trPr>
        <w:tc>
          <w:tcPr>
            <w:tcW w:w="230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Interest rate swap</w:t>
            </w:r>
          </w:p>
        </w:tc>
        <w:tc>
          <w:tcPr>
            <w:tcW w:w="4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52,413</w:t>
            </w:r>
          </w:p>
        </w:tc>
        <w:tc>
          <w:tcPr>
            <w:tcW w:w="280" w:type="dxa"/>
            <w:vAlign w:val="bottom"/>
            <w:shd w:val="clear" w:color="auto" w:fill="CCEEFF"/>
          </w:tcPr>
          <w:p>
            <w:pPr>
              <w:spacing w:after="0"/>
              <w:rPr>
                <w:sz w:val="15"/>
                <w:szCs w:val="15"/>
                <w:color w:val="auto"/>
              </w:rPr>
            </w:pPr>
          </w:p>
        </w:tc>
        <w:tc>
          <w:tcPr>
            <w:tcW w:w="1220" w:type="dxa"/>
            <w:vAlign w:val="bottom"/>
            <w:shd w:val="clear" w:color="auto" w:fill="CCEEFF"/>
          </w:tcPr>
          <w:p>
            <w:pPr>
              <w:jc w:val="right"/>
              <w:ind w:right="886"/>
              <w:spacing w:after="0"/>
              <w:rPr>
                <w:sz w:val="20"/>
                <w:szCs w:val="20"/>
                <w:color w:val="auto"/>
              </w:rPr>
            </w:pPr>
            <w:r>
              <w:rPr>
                <w:rFonts w:ascii="Arial" w:cs="Arial" w:eastAsia="Arial" w:hAnsi="Arial"/>
                <w:sz w:val="11"/>
                <w:szCs w:val="11"/>
                <w:color w:val="auto"/>
              </w:rPr>
              <w:t>$</w:t>
            </w: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1"/>
                <w:szCs w:val="11"/>
                <w:color w:val="auto"/>
              </w:rPr>
              <w:t>--</w:t>
            </w:r>
          </w:p>
        </w:tc>
        <w:tc>
          <w:tcPr>
            <w:tcW w:w="1260" w:type="dxa"/>
            <w:vAlign w:val="bottom"/>
            <w:shd w:val="clear" w:color="auto" w:fill="CCEEFF"/>
          </w:tcPr>
          <w:p>
            <w:pPr>
              <w:jc w:val="right"/>
              <w:ind w:right="926"/>
              <w:spacing w:after="0"/>
              <w:rPr>
                <w:sz w:val="20"/>
                <w:szCs w:val="20"/>
                <w:color w:val="auto"/>
              </w:rPr>
            </w:pPr>
            <w:r>
              <w:rPr>
                <w:rFonts w:ascii="Arial" w:cs="Arial" w:eastAsia="Arial" w:hAnsi="Arial"/>
                <w:sz w:val="11"/>
                <w:szCs w:val="11"/>
                <w:color w:val="auto"/>
              </w:rPr>
              <w:t>$</w:t>
            </w:r>
          </w:p>
        </w:tc>
        <w:tc>
          <w:tcPr>
            <w:tcW w:w="460" w:type="dxa"/>
            <w:vAlign w:val="bottom"/>
            <w:gridSpan w:val="2"/>
            <w:shd w:val="clear" w:color="auto" w:fill="CCEEFF"/>
          </w:tcPr>
          <w:p>
            <w:pPr>
              <w:ind w:left="100"/>
              <w:spacing w:after="0"/>
              <w:rPr>
                <w:sz w:val="20"/>
                <w:szCs w:val="20"/>
                <w:color w:val="auto"/>
              </w:rPr>
            </w:pPr>
            <w:r>
              <w:rPr>
                <w:rFonts w:ascii="Arial" w:cs="Arial" w:eastAsia="Arial" w:hAnsi="Arial"/>
                <w:sz w:val="11"/>
                <w:szCs w:val="11"/>
                <w:color w:val="auto"/>
              </w:rPr>
              <w:t>--</w:t>
            </w:r>
          </w:p>
        </w:tc>
        <w:tc>
          <w:tcPr>
            <w:tcW w:w="720" w:type="dxa"/>
            <w:vAlign w:val="bottom"/>
            <w:shd w:val="clear" w:color="auto" w:fill="CCEEFF"/>
          </w:tcPr>
          <w:p>
            <w:pPr>
              <w:jc w:val="right"/>
              <w:ind w:right="386"/>
              <w:spacing w:after="0"/>
              <w:rPr>
                <w:sz w:val="20"/>
                <w:szCs w:val="20"/>
                <w:color w:val="auto"/>
              </w:rPr>
            </w:pPr>
            <w:r>
              <w:rPr>
                <w:rFonts w:ascii="Arial" w:cs="Arial" w:eastAsia="Arial" w:hAnsi="Arial"/>
                <w:sz w:val="11"/>
                <w:szCs w:val="1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156</w:t>
            </w:r>
          </w:p>
        </w:tc>
        <w:tc>
          <w:tcPr>
            <w:tcW w:w="280" w:type="dxa"/>
            <w:vAlign w:val="bottom"/>
            <w:shd w:val="clear" w:color="auto" w:fill="CCEEFF"/>
          </w:tcPr>
          <w:p>
            <w:pPr>
              <w:spacing w:after="0"/>
              <w:rPr>
                <w:sz w:val="15"/>
                <w:szCs w:val="15"/>
                <w:color w:val="auto"/>
              </w:rPr>
            </w:pPr>
          </w:p>
        </w:tc>
        <w:tc>
          <w:tcPr>
            <w:tcW w:w="1380" w:type="dxa"/>
            <w:vAlign w:val="bottom"/>
            <w:shd w:val="clear" w:color="auto" w:fill="CCEEFF"/>
          </w:tcPr>
          <w:p>
            <w:pPr>
              <w:jc w:val="right"/>
              <w:ind w:right="1046"/>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81"/>
              </w:rPr>
              <w:t>--</w:t>
            </w:r>
          </w:p>
        </w:tc>
      </w:tr>
      <w:tr>
        <w:trPr>
          <w:trHeight w:val="185"/>
        </w:trPr>
        <w:tc>
          <w:tcPr>
            <w:tcW w:w="2300" w:type="dxa"/>
            <w:vAlign w:val="bottom"/>
            <w:gridSpan w:val="2"/>
          </w:tcPr>
          <w:p>
            <w:pPr>
              <w:spacing w:after="0"/>
              <w:rPr>
                <w:sz w:val="20"/>
                <w:szCs w:val="20"/>
                <w:color w:val="auto"/>
              </w:rPr>
            </w:pPr>
            <w:r>
              <w:rPr>
                <w:rFonts w:ascii="Arial" w:cs="Arial" w:eastAsia="Arial" w:hAnsi="Arial"/>
                <w:sz w:val="11"/>
                <w:szCs w:val="11"/>
                <w:color w:val="auto"/>
              </w:rPr>
              <w:t>Interest rate cap</w:t>
            </w:r>
          </w:p>
        </w:tc>
        <w:tc>
          <w:tcPr>
            <w:tcW w:w="4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7,500</w:t>
            </w:r>
          </w:p>
        </w:tc>
        <w:tc>
          <w:tcPr>
            <w:tcW w:w="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50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1260" w:type="dxa"/>
            <w:vAlign w:val="bottom"/>
          </w:tcPr>
          <w:p>
            <w:pPr>
              <w:spacing w:after="0"/>
              <w:rPr>
                <w:sz w:val="16"/>
                <w:szCs w:val="16"/>
                <w:color w:val="auto"/>
              </w:rPr>
            </w:pPr>
          </w:p>
        </w:tc>
        <w:tc>
          <w:tcPr>
            <w:tcW w:w="180" w:type="dxa"/>
            <w:vAlign w:val="bottom"/>
          </w:tcPr>
          <w:p>
            <w:pPr>
              <w:ind w:left="100"/>
              <w:spacing w:after="0"/>
              <w:rPr>
                <w:sz w:val="20"/>
                <w:szCs w:val="20"/>
                <w:color w:val="auto"/>
              </w:rPr>
            </w:pPr>
            <w:r>
              <w:rPr>
                <w:rFonts w:ascii="Arial" w:cs="Arial" w:eastAsia="Arial" w:hAnsi="Arial"/>
                <w:sz w:val="11"/>
                <w:szCs w:val="11"/>
                <w:color w:val="auto"/>
                <w:w w:val="97"/>
              </w:rPr>
              <w:t>1</w:t>
            </w:r>
          </w:p>
        </w:tc>
        <w:tc>
          <w:tcPr>
            <w:tcW w:w="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138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81"/>
              </w:rPr>
              <w:t>--</w:t>
            </w:r>
          </w:p>
        </w:tc>
      </w:tr>
      <w:tr>
        <w:trPr>
          <w:trHeight w:val="344"/>
        </w:trPr>
        <w:tc>
          <w:tcPr>
            <w:tcW w:w="1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b w:val="1"/>
                <w:bCs w:val="1"/>
                <w:color w:val="auto"/>
              </w:rPr>
              <w:t>December 31, 2014</w:t>
            </w:r>
          </w:p>
        </w:tc>
        <w:tc>
          <w:tcPr>
            <w:tcW w:w="1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r>
      <w:tr>
        <w:trPr>
          <w:trHeight w:val="349"/>
        </w:trPr>
        <w:tc>
          <w:tcPr>
            <w:tcW w:w="1980" w:type="dxa"/>
            <w:vAlign w:val="bottom"/>
            <w:tcBorders>
              <w:bottom w:val="single" w:sz="8" w:color="auto"/>
            </w:tcBorders>
          </w:tcPr>
          <w:p>
            <w:pPr>
              <w:spacing w:after="0"/>
              <w:rPr>
                <w:sz w:val="20"/>
                <w:szCs w:val="20"/>
                <w:color w:val="auto"/>
              </w:rPr>
            </w:pPr>
            <w:r>
              <w:rPr>
                <w:rFonts w:ascii="Arial" w:cs="Arial" w:eastAsia="Arial" w:hAnsi="Arial"/>
                <w:sz w:val="11"/>
                <w:szCs w:val="11"/>
                <w:color w:val="auto"/>
              </w:rPr>
              <w:t>(Dollars in thousands)</w:t>
            </w:r>
          </w:p>
        </w:tc>
        <w:tc>
          <w:tcPr>
            <w:tcW w:w="32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66"/>
              <w:spacing w:after="0"/>
              <w:rPr>
                <w:sz w:val="20"/>
                <w:szCs w:val="20"/>
                <w:color w:val="auto"/>
              </w:rPr>
            </w:pPr>
            <w:r>
              <w:rPr>
                <w:rFonts w:ascii="Arial" w:cs="Arial" w:eastAsia="Arial" w:hAnsi="Arial"/>
                <w:sz w:val="11"/>
                <w:szCs w:val="11"/>
                <w:b w:val="1"/>
                <w:bCs w:val="1"/>
                <w:color w:val="auto"/>
              </w:rPr>
              <w:t>Notional</w:t>
            </w:r>
          </w:p>
        </w:tc>
        <w:tc>
          <w:tcPr>
            <w:tcW w:w="280" w:type="dxa"/>
            <w:vAlign w:val="bottom"/>
            <w:tcBorders>
              <w:bottom w:val="single" w:sz="8" w:color="CCEEFF"/>
            </w:tcBorders>
          </w:tcPr>
          <w:p>
            <w:pPr>
              <w:spacing w:after="0"/>
              <w:rPr>
                <w:sz w:val="24"/>
                <w:szCs w:val="24"/>
                <w:color w:val="auto"/>
              </w:rPr>
            </w:pPr>
          </w:p>
        </w:tc>
        <w:tc>
          <w:tcPr>
            <w:tcW w:w="122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Current Assets</w:t>
            </w:r>
          </w:p>
        </w:tc>
        <w:tc>
          <w:tcPr>
            <w:tcW w:w="220" w:type="dxa"/>
            <w:vAlign w:val="bottom"/>
            <w:tcBorders>
              <w:bottom w:val="single" w:sz="8" w:color="auto"/>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1260" w:type="dxa"/>
            <w:vAlign w:val="bottom"/>
            <w:tcBorders>
              <w:bottom w:val="single" w:sz="8" w:color="auto"/>
            </w:tcBorders>
          </w:tcPr>
          <w:p>
            <w:pPr>
              <w:jc w:val="right"/>
              <w:ind w:right="186"/>
              <w:spacing w:after="0"/>
              <w:rPr>
                <w:sz w:val="20"/>
                <w:szCs w:val="20"/>
                <w:color w:val="auto"/>
              </w:rPr>
            </w:pPr>
            <w:r>
              <w:rPr>
                <w:rFonts w:ascii="Arial" w:cs="Arial" w:eastAsia="Arial" w:hAnsi="Arial"/>
                <w:sz w:val="11"/>
                <w:szCs w:val="11"/>
                <w:b w:val="1"/>
                <w:bCs w:val="1"/>
                <w:color w:val="auto"/>
              </w:rPr>
              <w:t>Other Assets</w:t>
            </w:r>
          </w:p>
        </w:tc>
        <w:tc>
          <w:tcPr>
            <w:tcW w:w="180" w:type="dxa"/>
            <w:vAlign w:val="bottom"/>
            <w:tcBorders>
              <w:bottom w:val="single" w:sz="8" w:color="auto"/>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1440" w:type="dxa"/>
            <w:vAlign w:val="bottom"/>
            <w:tcBorders>
              <w:bottom w:val="single" w:sz="8" w:color="auto"/>
            </w:tcBorders>
            <w:gridSpan w:val="2"/>
          </w:tcPr>
          <w:p>
            <w:pPr>
              <w:jc w:val="right"/>
              <w:ind w:right="86"/>
              <w:spacing w:after="0"/>
              <w:rPr>
                <w:sz w:val="20"/>
                <w:szCs w:val="20"/>
                <w:color w:val="auto"/>
              </w:rPr>
            </w:pPr>
            <w:r>
              <w:rPr>
                <w:rFonts w:ascii="Arial" w:cs="Arial" w:eastAsia="Arial" w:hAnsi="Arial"/>
                <w:sz w:val="11"/>
                <w:szCs w:val="11"/>
                <w:b w:val="1"/>
                <w:bCs w:val="1"/>
                <w:color w:val="auto"/>
              </w:rPr>
              <w:t>Other Current Liabilities</w:t>
            </w:r>
          </w:p>
        </w:tc>
        <w:tc>
          <w:tcPr>
            <w:tcW w:w="280" w:type="dxa"/>
            <w:vAlign w:val="bottom"/>
            <w:tcBorders>
              <w:bottom w:val="single" w:sz="8" w:color="CCEEFF"/>
            </w:tcBorders>
          </w:tcPr>
          <w:p>
            <w:pPr>
              <w:spacing w:after="0"/>
              <w:rPr>
                <w:sz w:val="24"/>
                <w:szCs w:val="2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4"/>
              </w:rPr>
              <w:t>Other Long-Term Liabilities</w:t>
            </w:r>
          </w:p>
        </w:tc>
        <w:tc>
          <w:tcPr>
            <w:tcW w:w="80" w:type="dxa"/>
            <w:vAlign w:val="bottom"/>
            <w:tcBorders>
              <w:bottom w:val="single" w:sz="8" w:color="auto"/>
            </w:tcBorders>
          </w:tcPr>
          <w:p>
            <w:pPr>
              <w:spacing w:after="0"/>
              <w:rPr>
                <w:sz w:val="24"/>
                <w:szCs w:val="24"/>
                <w:color w:val="auto"/>
              </w:rPr>
            </w:pPr>
          </w:p>
        </w:tc>
      </w:tr>
      <w:tr>
        <w:trPr>
          <w:trHeight w:val="180"/>
        </w:trPr>
        <w:tc>
          <w:tcPr>
            <w:tcW w:w="230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Interest rate swap</w:t>
            </w:r>
          </w:p>
        </w:tc>
        <w:tc>
          <w:tcPr>
            <w:tcW w:w="4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105,360</w:t>
            </w:r>
          </w:p>
        </w:tc>
        <w:tc>
          <w:tcPr>
            <w:tcW w:w="280" w:type="dxa"/>
            <w:vAlign w:val="bottom"/>
            <w:shd w:val="clear" w:color="auto" w:fill="CCEEFF"/>
          </w:tcPr>
          <w:p>
            <w:pPr>
              <w:spacing w:after="0"/>
              <w:rPr>
                <w:sz w:val="15"/>
                <w:szCs w:val="15"/>
                <w:color w:val="auto"/>
              </w:rPr>
            </w:pPr>
          </w:p>
        </w:tc>
        <w:tc>
          <w:tcPr>
            <w:tcW w:w="1220" w:type="dxa"/>
            <w:vAlign w:val="bottom"/>
            <w:shd w:val="clear" w:color="auto" w:fill="CCEEFF"/>
          </w:tcPr>
          <w:p>
            <w:pPr>
              <w:jc w:val="right"/>
              <w:ind w:right="886"/>
              <w:spacing w:after="0"/>
              <w:rPr>
                <w:sz w:val="20"/>
                <w:szCs w:val="20"/>
                <w:color w:val="auto"/>
              </w:rPr>
            </w:pPr>
            <w:r>
              <w:rPr>
                <w:rFonts w:ascii="Arial" w:cs="Arial" w:eastAsia="Arial" w:hAnsi="Arial"/>
                <w:sz w:val="11"/>
                <w:szCs w:val="11"/>
                <w:color w:val="auto"/>
              </w:rPr>
              <w:t>$</w:t>
            </w: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1"/>
                <w:szCs w:val="11"/>
                <w:color w:val="auto"/>
              </w:rPr>
              <w:t>--</w:t>
            </w:r>
          </w:p>
        </w:tc>
        <w:tc>
          <w:tcPr>
            <w:tcW w:w="1260" w:type="dxa"/>
            <w:vAlign w:val="bottom"/>
            <w:shd w:val="clear" w:color="auto" w:fill="CCEEFF"/>
          </w:tcPr>
          <w:p>
            <w:pPr>
              <w:jc w:val="right"/>
              <w:ind w:right="926"/>
              <w:spacing w:after="0"/>
              <w:rPr>
                <w:sz w:val="20"/>
                <w:szCs w:val="20"/>
                <w:color w:val="auto"/>
              </w:rPr>
            </w:pPr>
            <w:r>
              <w:rPr>
                <w:rFonts w:ascii="Arial" w:cs="Arial" w:eastAsia="Arial" w:hAnsi="Arial"/>
                <w:sz w:val="11"/>
                <w:szCs w:val="11"/>
                <w:color w:val="auto"/>
              </w:rPr>
              <w:t>$</w:t>
            </w:r>
          </w:p>
        </w:tc>
        <w:tc>
          <w:tcPr>
            <w:tcW w:w="460" w:type="dxa"/>
            <w:vAlign w:val="bottom"/>
            <w:gridSpan w:val="2"/>
            <w:shd w:val="clear" w:color="auto" w:fill="CCEEFF"/>
          </w:tcPr>
          <w:p>
            <w:pPr>
              <w:ind w:left="100"/>
              <w:spacing w:after="0"/>
              <w:rPr>
                <w:sz w:val="20"/>
                <w:szCs w:val="20"/>
                <w:color w:val="auto"/>
              </w:rPr>
            </w:pPr>
            <w:r>
              <w:rPr>
                <w:rFonts w:ascii="Arial" w:cs="Arial" w:eastAsia="Arial" w:hAnsi="Arial"/>
                <w:sz w:val="11"/>
                <w:szCs w:val="11"/>
                <w:color w:val="auto"/>
              </w:rPr>
              <w:t>--</w:t>
            </w:r>
          </w:p>
        </w:tc>
        <w:tc>
          <w:tcPr>
            <w:tcW w:w="720" w:type="dxa"/>
            <w:vAlign w:val="bottom"/>
            <w:shd w:val="clear" w:color="auto" w:fill="CCEEFF"/>
          </w:tcPr>
          <w:p>
            <w:pPr>
              <w:jc w:val="right"/>
              <w:ind w:right="386"/>
              <w:spacing w:after="0"/>
              <w:rPr>
                <w:sz w:val="20"/>
                <w:szCs w:val="20"/>
                <w:color w:val="auto"/>
              </w:rPr>
            </w:pPr>
            <w:r>
              <w:rPr>
                <w:rFonts w:ascii="Arial" w:cs="Arial" w:eastAsia="Arial" w:hAnsi="Arial"/>
                <w:sz w:val="11"/>
                <w:szCs w:val="1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2,153</w:t>
            </w:r>
          </w:p>
        </w:tc>
        <w:tc>
          <w:tcPr>
            <w:tcW w:w="280" w:type="dxa"/>
            <w:vAlign w:val="bottom"/>
            <w:shd w:val="clear" w:color="auto" w:fill="CCEEFF"/>
          </w:tcPr>
          <w:p>
            <w:pPr>
              <w:spacing w:after="0"/>
              <w:rPr>
                <w:sz w:val="15"/>
                <w:szCs w:val="15"/>
                <w:color w:val="auto"/>
              </w:rPr>
            </w:pPr>
          </w:p>
        </w:tc>
        <w:tc>
          <w:tcPr>
            <w:tcW w:w="1380" w:type="dxa"/>
            <w:vAlign w:val="bottom"/>
            <w:shd w:val="clear" w:color="auto" w:fill="CCEEFF"/>
          </w:tcPr>
          <w:p>
            <w:pPr>
              <w:jc w:val="right"/>
              <w:ind w:right="1046"/>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81"/>
              </w:rPr>
              <w:t>--</w:t>
            </w:r>
          </w:p>
        </w:tc>
      </w:tr>
      <w:tr>
        <w:trPr>
          <w:trHeight w:val="185"/>
        </w:trPr>
        <w:tc>
          <w:tcPr>
            <w:tcW w:w="2300" w:type="dxa"/>
            <w:vAlign w:val="bottom"/>
            <w:gridSpan w:val="2"/>
          </w:tcPr>
          <w:p>
            <w:pPr>
              <w:spacing w:after="0"/>
              <w:rPr>
                <w:sz w:val="20"/>
                <w:szCs w:val="20"/>
                <w:color w:val="auto"/>
              </w:rPr>
            </w:pPr>
            <w:r>
              <w:rPr>
                <w:rFonts w:ascii="Arial" w:cs="Arial" w:eastAsia="Arial" w:hAnsi="Arial"/>
                <w:sz w:val="11"/>
                <w:szCs w:val="11"/>
                <w:color w:val="auto"/>
              </w:rPr>
              <w:t>Interest rate cap</w:t>
            </w:r>
          </w:p>
        </w:tc>
        <w:tc>
          <w:tcPr>
            <w:tcW w:w="4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7,500</w:t>
            </w:r>
          </w:p>
        </w:tc>
        <w:tc>
          <w:tcPr>
            <w:tcW w:w="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50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1260" w:type="dxa"/>
            <w:vAlign w:val="bottom"/>
          </w:tcPr>
          <w:p>
            <w:pPr>
              <w:spacing w:after="0"/>
              <w:rPr>
                <w:sz w:val="16"/>
                <w:szCs w:val="16"/>
                <w:color w:val="auto"/>
              </w:rPr>
            </w:pPr>
          </w:p>
        </w:tc>
        <w:tc>
          <w:tcPr>
            <w:tcW w:w="460" w:type="dxa"/>
            <w:vAlign w:val="bottom"/>
            <w:gridSpan w:val="2"/>
          </w:tcPr>
          <w:p>
            <w:pPr>
              <w:ind w:left="100"/>
              <w:spacing w:after="0"/>
              <w:rPr>
                <w:sz w:val="20"/>
                <w:szCs w:val="20"/>
                <w:color w:val="auto"/>
              </w:rPr>
            </w:pPr>
            <w:r>
              <w:rPr>
                <w:rFonts w:ascii="Arial" w:cs="Arial" w:eastAsia="Arial" w:hAnsi="Arial"/>
                <w:sz w:val="11"/>
                <w:szCs w:val="11"/>
                <w:color w:val="auto"/>
              </w:rPr>
              <w:t>--</w:t>
            </w:r>
          </w:p>
        </w:tc>
        <w:tc>
          <w:tcPr>
            <w:tcW w:w="7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24</w:t>
            </w:r>
          </w:p>
        </w:tc>
        <w:tc>
          <w:tcPr>
            <w:tcW w:w="2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81"/>
              </w:rPr>
              <w:t>--</w:t>
            </w:r>
          </w:p>
        </w:tc>
      </w:tr>
    </w:tbl>
    <w:p>
      <w:pPr>
        <w:spacing w:after="0" w:line="139" w:lineRule="exact"/>
        <w:rPr>
          <w:sz w:val="20"/>
          <w:szCs w:val="20"/>
          <w:color w:val="auto"/>
        </w:rPr>
      </w:pPr>
    </w:p>
    <w:p>
      <w:pPr>
        <w:spacing w:after="0"/>
        <w:rPr>
          <w:sz w:val="20"/>
          <w:szCs w:val="20"/>
          <w:color w:val="auto"/>
        </w:rPr>
      </w:pPr>
      <w:r>
        <w:rPr>
          <w:rFonts w:ascii="Arial" w:cs="Arial" w:eastAsia="Arial" w:hAnsi="Arial"/>
          <w:sz w:val="10"/>
          <w:szCs w:val="10"/>
          <w:color w:val="auto"/>
        </w:rPr>
        <w:t>The following table summarizes the unrealized gains or losses due to changes in fair values of the derivatives that are recorded in interest expense in the consolidated statements of operations, for 2015, 2014, and 2013:</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4100" w:type="dxa"/>
            <w:vAlign w:val="bottom"/>
            <w:tcBorders>
              <w:bottom w:val="single" w:sz="8" w:color="auto"/>
            </w:tcBorders>
          </w:tcPr>
          <w:p>
            <w:pPr>
              <w:spacing w:after="0"/>
              <w:rPr>
                <w:sz w:val="20"/>
                <w:szCs w:val="20"/>
                <w:color w:val="auto"/>
              </w:rPr>
            </w:pPr>
            <w:r>
              <w:rPr>
                <w:rFonts w:ascii="Arial" w:cs="Arial" w:eastAsia="Arial" w:hAnsi="Arial"/>
                <w:sz w:val="11"/>
                <w:szCs w:val="11"/>
                <w:color w:val="auto"/>
              </w:rPr>
              <w:t>(Dollars in thousands)</w:t>
            </w:r>
          </w:p>
        </w:tc>
        <w:tc>
          <w:tcPr>
            <w:tcW w:w="220" w:type="dxa"/>
            <w:vAlign w:val="bottom"/>
            <w:tcBorders>
              <w:bottom w:val="single" w:sz="8" w:color="CCEEFF"/>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tcPr>
          <w:p>
            <w:pPr>
              <w:jc w:val="right"/>
              <w:ind w:right="806"/>
              <w:spacing w:after="0"/>
              <w:rPr>
                <w:sz w:val="20"/>
                <w:szCs w:val="20"/>
                <w:color w:val="auto"/>
              </w:rPr>
            </w:pPr>
            <w:r>
              <w:rPr>
                <w:rFonts w:ascii="Arial" w:cs="Arial" w:eastAsia="Arial" w:hAnsi="Arial"/>
                <w:sz w:val="11"/>
                <w:szCs w:val="11"/>
                <w:b w:val="1"/>
                <w:bCs w:val="1"/>
                <w:color w:val="auto"/>
              </w:rPr>
              <w:t>2015</w:t>
            </w:r>
          </w:p>
        </w:tc>
        <w:tc>
          <w:tcPr>
            <w:tcW w:w="220" w:type="dxa"/>
            <w:vAlign w:val="bottom"/>
            <w:tcBorders>
              <w:bottom w:val="single" w:sz="8" w:color="CCEEFF"/>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tcPr>
          <w:p>
            <w:pPr>
              <w:jc w:val="right"/>
              <w:ind w:right="806"/>
              <w:spacing w:after="0"/>
              <w:rPr>
                <w:sz w:val="20"/>
                <w:szCs w:val="20"/>
                <w:color w:val="auto"/>
              </w:rPr>
            </w:pPr>
            <w:r>
              <w:rPr>
                <w:rFonts w:ascii="Arial" w:cs="Arial" w:eastAsia="Arial" w:hAnsi="Arial"/>
                <w:sz w:val="11"/>
                <w:szCs w:val="11"/>
                <w:b w:val="1"/>
                <w:bCs w:val="1"/>
                <w:color w:val="auto"/>
              </w:rPr>
              <w:t>2014</w:t>
            </w:r>
          </w:p>
        </w:tc>
        <w:tc>
          <w:tcPr>
            <w:tcW w:w="22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tcPr>
          <w:p>
            <w:pPr>
              <w:jc w:val="right"/>
              <w:ind w:right="806"/>
              <w:spacing w:after="0"/>
              <w:rPr>
                <w:sz w:val="20"/>
                <w:szCs w:val="20"/>
                <w:color w:val="auto"/>
              </w:rPr>
            </w:pPr>
            <w:r>
              <w:rPr>
                <w:rFonts w:ascii="Arial" w:cs="Arial" w:eastAsia="Arial" w:hAnsi="Arial"/>
                <w:sz w:val="11"/>
                <w:szCs w:val="11"/>
                <w:b w:val="1"/>
                <w:bCs w:val="1"/>
                <w:color w:val="auto"/>
              </w:rPr>
              <w:t>2013</w:t>
            </w:r>
          </w:p>
        </w:tc>
      </w:tr>
      <w:tr>
        <w:trPr>
          <w:trHeight w:val="180"/>
        </w:trPr>
        <w:tc>
          <w:tcPr>
            <w:tcW w:w="432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Net unrealized gains on interest rate derivatives</w:t>
            </w:r>
          </w:p>
        </w:tc>
        <w:tc>
          <w:tcPr>
            <w:tcW w:w="560" w:type="dxa"/>
            <w:vAlign w:val="bottom"/>
            <w:shd w:val="clear" w:color="auto" w:fill="CCEEFF"/>
          </w:tcPr>
          <w:p>
            <w:pPr>
              <w:jc w:val="right"/>
              <w:ind w:right="266"/>
              <w:spacing w:after="0"/>
              <w:rPr>
                <w:sz w:val="20"/>
                <w:szCs w:val="20"/>
                <w:color w:val="auto"/>
              </w:rPr>
            </w:pPr>
            <w:r>
              <w:rPr>
                <w:rFonts w:ascii="Arial" w:cs="Arial" w:eastAsia="Arial" w:hAnsi="Arial"/>
                <w:sz w:val="11"/>
                <w:szCs w:val="11"/>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2,021</w:t>
            </w:r>
          </w:p>
        </w:tc>
        <w:tc>
          <w:tcPr>
            <w:tcW w:w="22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266"/>
              <w:spacing w:after="0"/>
              <w:rPr>
                <w:sz w:val="20"/>
                <w:szCs w:val="20"/>
                <w:color w:val="auto"/>
              </w:rPr>
            </w:pPr>
            <w:r>
              <w:rPr>
                <w:rFonts w:ascii="Arial" w:cs="Arial" w:eastAsia="Arial" w:hAnsi="Arial"/>
                <w:sz w:val="11"/>
                <w:szCs w:val="11"/>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1,036</w:t>
            </w:r>
          </w:p>
        </w:tc>
        <w:tc>
          <w:tcPr>
            <w:tcW w:w="22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266"/>
              <w:spacing w:after="0"/>
              <w:rPr>
                <w:sz w:val="20"/>
                <w:szCs w:val="20"/>
                <w:color w:val="auto"/>
              </w:rPr>
            </w:pPr>
            <w:r>
              <w:rPr>
                <w:rFonts w:ascii="Arial" w:cs="Arial" w:eastAsia="Arial" w:hAnsi="Arial"/>
                <w:sz w:val="11"/>
                <w:szCs w:val="11"/>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2,642</w:t>
            </w:r>
          </w:p>
        </w:tc>
      </w:tr>
    </w:tbl>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59690</wp:posOffset>
            </wp:positionV>
            <wp:extent cx="677989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779895" cy="42545"/>
                    </a:xfrm>
                    <a:prstGeom prst="rect">
                      <a:avLst/>
                    </a:prstGeom>
                    <a:noFill/>
                  </pic:spPr>
                </pic:pic>
              </a:graphicData>
            </a:graphic>
          </wp:anchor>
        </w:drawing>
      </w:r>
    </w:p>
    <w:p>
      <w:pPr>
        <w:sectPr>
          <w:pgSz w:w="11900" w:h="16838" w:orient="portrait"/>
          <w:cols w:equalWidth="0" w:num="1">
            <w:col w:w="10620"/>
          </w:cols>
          <w:pgMar w:left="640" w:top="271" w:right="639" w:bottom="1440" w:gutter="0" w:footer="0" w:header="0"/>
        </w:sectPr>
      </w:pPr>
    </w:p>
    <w:bookmarkStart w:id="90" w:name="page91"/>
    <w:bookmarkEnd w:id="90"/>
    <w:p>
      <w:pPr>
        <w:spacing w:after="0"/>
        <w:rPr>
          <w:sz w:val="20"/>
          <w:szCs w:val="20"/>
          <w:color w:val="auto"/>
        </w:rPr>
      </w:pPr>
      <w:r>
        <w:rPr>
          <w:rFonts w:ascii="Arial" w:cs="Arial" w:eastAsia="Arial" w:hAnsi="Arial"/>
          <w:sz w:val="12"/>
          <w:szCs w:val="12"/>
          <w:b w:val="1"/>
          <w:bCs w:val="1"/>
          <w:color w:val="auto"/>
        </w:rPr>
        <w:t>NOTE 16 – Fair Value Measurement</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Recurring Fair Value Measurement</w:t>
      </w:r>
    </w:p>
    <w:p>
      <w:pPr>
        <w:spacing w:after="0" w:line="136" w:lineRule="exact"/>
        <w:rPr>
          <w:sz w:val="20"/>
          <w:szCs w:val="20"/>
          <w:color w:val="auto"/>
        </w:rPr>
      </w:pPr>
    </w:p>
    <w:p>
      <w:pPr>
        <w:ind w:right="40"/>
        <w:spacing w:after="0" w:line="276" w:lineRule="auto"/>
        <w:rPr>
          <w:sz w:val="20"/>
          <w:szCs w:val="20"/>
          <w:color w:val="auto"/>
        </w:rPr>
      </w:pPr>
      <w:r>
        <w:rPr>
          <w:rFonts w:ascii="Arial" w:cs="Arial" w:eastAsia="Arial" w:hAnsi="Arial"/>
          <w:sz w:val="12"/>
          <w:szCs w:val="12"/>
          <w:color w:val="auto"/>
        </w:rPr>
        <w:t>The following tables summarize our financial assets and financial liabilities measured at fair value on a recurring basis by level within the fair value hierarchy. Financial assets and financial liabilities are classified in their entirety based on the lowest level of input that is significant to the fair value measurement.</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3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2840" w:type="dxa"/>
            <w:vAlign w:val="bottom"/>
            <w:tcBorders>
              <w:bottom w:val="single" w:sz="8" w:color="auto"/>
            </w:tcBorders>
            <w:gridSpan w:val="3"/>
          </w:tcPr>
          <w:p>
            <w:pPr>
              <w:jc w:val="right"/>
              <w:ind w:right="66"/>
              <w:spacing w:after="0"/>
              <w:rPr>
                <w:sz w:val="20"/>
                <w:szCs w:val="20"/>
                <w:color w:val="auto"/>
              </w:rPr>
            </w:pPr>
            <w:r>
              <w:rPr>
                <w:rFonts w:ascii="Arial" w:cs="Arial" w:eastAsia="Arial" w:hAnsi="Arial"/>
                <w:sz w:val="11"/>
                <w:szCs w:val="11"/>
                <w:b w:val="1"/>
                <w:bCs w:val="1"/>
                <w:color w:val="auto"/>
                <w:w w:val="91"/>
              </w:rPr>
              <w:t>Recurring Fair Value Measurement at December 31, 2015</w:t>
            </w:r>
          </w:p>
        </w:tc>
        <w:tc>
          <w:tcPr>
            <w:tcW w:w="18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r>
      <w:tr>
        <w:trPr>
          <w:trHeight w:val="178"/>
        </w:trPr>
        <w:tc>
          <w:tcPr>
            <w:tcW w:w="3220" w:type="dxa"/>
            <w:vAlign w:val="bottom"/>
            <w:tcBorders>
              <w:bottom w:val="single" w:sz="8" w:color="auto"/>
            </w:tcBorders>
          </w:tcPr>
          <w:p>
            <w:pPr>
              <w:spacing w:after="0"/>
              <w:rPr>
                <w:sz w:val="20"/>
                <w:szCs w:val="20"/>
                <w:color w:val="auto"/>
              </w:rPr>
            </w:pPr>
            <w:r>
              <w:rPr>
                <w:rFonts w:ascii="Arial" w:cs="Arial" w:eastAsia="Arial" w:hAnsi="Arial"/>
                <w:sz w:val="11"/>
                <w:szCs w:val="11"/>
                <w:color w:val="auto"/>
              </w:rPr>
              <w:t>(Dollars in thousands)</w:t>
            </w:r>
          </w:p>
        </w:tc>
        <w:tc>
          <w:tcPr>
            <w:tcW w:w="32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526"/>
              <w:spacing w:after="0"/>
              <w:rPr>
                <w:sz w:val="20"/>
                <w:szCs w:val="20"/>
                <w:color w:val="auto"/>
              </w:rPr>
            </w:pPr>
            <w:r>
              <w:rPr>
                <w:rFonts w:ascii="Arial" w:cs="Arial" w:eastAsia="Arial" w:hAnsi="Arial"/>
                <w:sz w:val="11"/>
                <w:szCs w:val="11"/>
                <w:b w:val="1"/>
                <w:bCs w:val="1"/>
                <w:color w:val="auto"/>
              </w:rPr>
              <w:t>Level 1</w:t>
            </w:r>
          </w:p>
        </w:tc>
        <w:tc>
          <w:tcPr>
            <w:tcW w:w="32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06"/>
              <w:spacing w:after="0"/>
              <w:rPr>
                <w:sz w:val="20"/>
                <w:szCs w:val="20"/>
                <w:color w:val="auto"/>
              </w:rPr>
            </w:pPr>
            <w:r>
              <w:rPr>
                <w:rFonts w:ascii="Arial" w:cs="Arial" w:eastAsia="Arial" w:hAnsi="Arial"/>
                <w:sz w:val="11"/>
                <w:szCs w:val="11"/>
                <w:b w:val="1"/>
                <w:bCs w:val="1"/>
                <w:color w:val="auto"/>
              </w:rPr>
              <w:t>Level 2</w:t>
            </w:r>
          </w:p>
        </w:tc>
        <w:tc>
          <w:tcPr>
            <w:tcW w:w="320" w:type="dxa"/>
            <w:vAlign w:val="bottom"/>
            <w:tcBorders>
              <w:bottom w:val="single" w:sz="8" w:color="CCEEFF"/>
            </w:tcBorders>
          </w:tcPr>
          <w:p>
            <w:pPr>
              <w:spacing w:after="0"/>
              <w:rPr>
                <w:sz w:val="15"/>
                <w:szCs w:val="15"/>
                <w:color w:val="auto"/>
              </w:rPr>
            </w:pPr>
          </w:p>
        </w:tc>
        <w:tc>
          <w:tcPr>
            <w:tcW w:w="1400" w:type="dxa"/>
            <w:vAlign w:val="bottom"/>
            <w:tcBorders>
              <w:bottom w:val="single" w:sz="8" w:color="auto"/>
            </w:tcBorders>
          </w:tcPr>
          <w:p>
            <w:pPr>
              <w:jc w:val="right"/>
              <w:ind w:right="386"/>
              <w:spacing w:after="0"/>
              <w:rPr>
                <w:sz w:val="20"/>
                <w:szCs w:val="20"/>
                <w:color w:val="auto"/>
              </w:rPr>
            </w:pPr>
            <w:r>
              <w:rPr>
                <w:rFonts w:ascii="Arial" w:cs="Arial" w:eastAsia="Arial" w:hAnsi="Arial"/>
                <w:sz w:val="11"/>
                <w:szCs w:val="11"/>
                <w:b w:val="1"/>
                <w:bCs w:val="1"/>
                <w:color w:val="auto"/>
              </w:rPr>
              <w:t>Level 3</w:t>
            </w:r>
          </w:p>
        </w:tc>
        <w:tc>
          <w:tcPr>
            <w:tcW w:w="180" w:type="dxa"/>
            <w:vAlign w:val="bottom"/>
            <w:tcBorders>
              <w:bottom w:val="single" w:sz="8" w:color="auto"/>
            </w:tcBorders>
          </w:tcPr>
          <w:p>
            <w:pPr>
              <w:spacing w:after="0"/>
              <w:rPr>
                <w:sz w:val="15"/>
                <w:szCs w:val="15"/>
                <w:color w:val="auto"/>
              </w:rPr>
            </w:pPr>
          </w:p>
        </w:tc>
        <w:tc>
          <w:tcPr>
            <w:tcW w:w="32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626"/>
              <w:spacing w:after="0"/>
              <w:rPr>
                <w:sz w:val="20"/>
                <w:szCs w:val="20"/>
                <w:color w:val="auto"/>
              </w:rPr>
            </w:pPr>
            <w:r>
              <w:rPr>
                <w:rFonts w:ascii="Arial" w:cs="Arial" w:eastAsia="Arial" w:hAnsi="Arial"/>
                <w:sz w:val="11"/>
                <w:szCs w:val="11"/>
                <w:b w:val="1"/>
                <w:bCs w:val="1"/>
                <w:color w:val="auto"/>
              </w:rPr>
              <w:t>Total</w:t>
            </w:r>
          </w:p>
        </w:tc>
      </w:tr>
      <w:tr>
        <w:trPr>
          <w:trHeight w:val="207"/>
        </w:trPr>
        <w:tc>
          <w:tcPr>
            <w:tcW w:w="354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Assets</w:t>
            </w:r>
          </w:p>
        </w:tc>
        <w:tc>
          <w:tcPr>
            <w:tcW w:w="4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196"/>
        </w:trPr>
        <w:tc>
          <w:tcPr>
            <w:tcW w:w="3540" w:type="dxa"/>
            <w:vAlign w:val="bottom"/>
            <w:gridSpan w:val="2"/>
          </w:tcPr>
          <w:p>
            <w:pPr>
              <w:ind w:left="60"/>
              <w:spacing w:after="0"/>
              <w:rPr>
                <w:sz w:val="20"/>
                <w:szCs w:val="20"/>
                <w:color w:val="auto"/>
              </w:rPr>
            </w:pPr>
            <w:r>
              <w:rPr>
                <w:rFonts w:ascii="Arial" w:cs="Arial" w:eastAsia="Arial" w:hAnsi="Arial"/>
                <w:sz w:val="11"/>
                <w:szCs w:val="11"/>
                <w:color w:val="auto"/>
              </w:rPr>
              <w:t>Investments</w:t>
            </w:r>
          </w:p>
        </w:tc>
        <w:tc>
          <w:tcPr>
            <w:tcW w:w="44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1040" w:type="dxa"/>
            <w:vAlign w:val="bottom"/>
          </w:tcPr>
          <w:p>
            <w:pPr>
              <w:jc w:val="right"/>
              <w:spacing w:after="0"/>
              <w:rPr>
                <w:sz w:val="20"/>
                <w:szCs w:val="20"/>
                <w:color w:val="auto"/>
              </w:rPr>
            </w:pPr>
            <w:r>
              <w:rPr>
                <w:rFonts w:ascii="Arial" w:cs="Arial" w:eastAsia="Arial" w:hAnsi="Arial"/>
                <w:sz w:val="11"/>
                <w:szCs w:val="11"/>
                <w:color w:val="auto"/>
              </w:rPr>
              <w:t>51</w:t>
            </w:r>
          </w:p>
        </w:tc>
        <w:tc>
          <w:tcPr>
            <w:tcW w:w="32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Arial" w:cs="Arial" w:eastAsia="Arial" w:hAnsi="Arial"/>
                <w:sz w:val="11"/>
                <w:szCs w:val="11"/>
                <w:color w:val="auto"/>
              </w:rPr>
              <w:t>$</w:t>
            </w:r>
          </w:p>
        </w:tc>
        <w:tc>
          <w:tcPr>
            <w:tcW w:w="1440" w:type="dxa"/>
            <w:vAlign w:val="bottom"/>
            <w:gridSpan w:val="2"/>
          </w:tcPr>
          <w:p>
            <w:pPr>
              <w:jc w:val="right"/>
              <w:ind w:right="320"/>
              <w:spacing w:after="0"/>
              <w:rPr>
                <w:sz w:val="20"/>
                <w:szCs w:val="20"/>
                <w:color w:val="auto"/>
              </w:rPr>
            </w:pPr>
            <w:r>
              <w:rPr>
                <w:rFonts w:ascii="Arial" w:cs="Arial" w:eastAsia="Arial" w:hAnsi="Arial"/>
                <w:sz w:val="11"/>
                <w:szCs w:val="11"/>
                <w:color w:val="auto"/>
              </w:rPr>
              <w:t>--</w:t>
            </w:r>
          </w:p>
        </w:tc>
        <w:tc>
          <w:tcPr>
            <w:tcW w:w="1400" w:type="dxa"/>
            <w:vAlign w:val="bottom"/>
          </w:tcPr>
          <w:p>
            <w:pPr>
              <w:jc w:val="right"/>
              <w:ind w:right="1026"/>
              <w:spacing w:after="0"/>
              <w:rPr>
                <w:sz w:val="20"/>
                <w:szCs w:val="20"/>
                <w:color w:val="auto"/>
              </w:rPr>
            </w:pPr>
            <w:r>
              <w:rPr>
                <w:rFonts w:ascii="Arial" w:cs="Arial" w:eastAsia="Arial" w:hAnsi="Arial"/>
                <w:sz w:val="11"/>
                <w:szCs w:val="11"/>
                <w:color w:val="auto"/>
              </w:rPr>
              <w:t>$</w:t>
            </w:r>
          </w:p>
        </w:tc>
        <w:tc>
          <w:tcPr>
            <w:tcW w:w="500" w:type="dxa"/>
            <w:vAlign w:val="bottom"/>
            <w:gridSpan w:val="2"/>
          </w:tcPr>
          <w:p>
            <w:pPr>
              <w:jc w:val="right"/>
              <w:ind w:right="320"/>
              <w:spacing w:after="0"/>
              <w:rPr>
                <w:sz w:val="20"/>
                <w:szCs w:val="20"/>
                <w:color w:val="auto"/>
              </w:rPr>
            </w:pPr>
            <w:r>
              <w:rPr>
                <w:rFonts w:ascii="Arial" w:cs="Arial" w:eastAsia="Arial" w:hAnsi="Arial"/>
                <w:sz w:val="11"/>
                <w:szCs w:val="11"/>
                <w:color w:val="auto"/>
              </w:rPr>
              <w:t>--</w:t>
            </w:r>
          </w:p>
        </w:tc>
        <w:tc>
          <w:tcPr>
            <w:tcW w:w="500" w:type="dxa"/>
            <w:vAlign w:val="bottom"/>
          </w:tcPr>
          <w:p>
            <w:pPr>
              <w:jc w:val="right"/>
              <w:ind w:right="126"/>
              <w:spacing w:after="0"/>
              <w:rPr>
                <w:sz w:val="20"/>
                <w:szCs w:val="20"/>
                <w:color w:val="auto"/>
              </w:rPr>
            </w:pPr>
            <w:r>
              <w:rPr>
                <w:rFonts w:ascii="Arial" w:cs="Arial" w:eastAsia="Arial" w:hAnsi="Arial"/>
                <w:sz w:val="11"/>
                <w:szCs w:val="11"/>
                <w:color w:val="auto"/>
              </w:rPr>
              <w:t>$</w:t>
            </w:r>
          </w:p>
        </w:tc>
        <w:tc>
          <w:tcPr>
            <w:tcW w:w="1080" w:type="dxa"/>
            <w:vAlign w:val="bottom"/>
          </w:tcPr>
          <w:p>
            <w:pPr>
              <w:jc w:val="right"/>
              <w:spacing w:after="0"/>
              <w:rPr>
                <w:sz w:val="20"/>
                <w:szCs w:val="20"/>
                <w:color w:val="auto"/>
              </w:rPr>
            </w:pPr>
            <w:r>
              <w:rPr>
                <w:rFonts w:ascii="Arial" w:cs="Arial" w:eastAsia="Arial" w:hAnsi="Arial"/>
                <w:sz w:val="11"/>
                <w:szCs w:val="11"/>
                <w:color w:val="auto"/>
              </w:rPr>
              <w:t>51</w:t>
            </w:r>
          </w:p>
        </w:tc>
      </w:tr>
      <w:tr>
        <w:trPr>
          <w:trHeight w:val="200"/>
        </w:trPr>
        <w:tc>
          <w:tcPr>
            <w:tcW w:w="3540" w:type="dxa"/>
            <w:vAlign w:val="bottom"/>
            <w:gridSpan w:val="2"/>
            <w:shd w:val="clear" w:color="auto" w:fill="CCEEFF"/>
          </w:tcPr>
          <w:p>
            <w:pPr>
              <w:ind w:left="60"/>
              <w:spacing w:after="0"/>
              <w:rPr>
                <w:sz w:val="20"/>
                <w:szCs w:val="20"/>
                <w:color w:val="auto"/>
              </w:rPr>
            </w:pPr>
            <w:r>
              <w:rPr>
                <w:rFonts w:ascii="Arial" w:cs="Arial" w:eastAsia="Arial" w:hAnsi="Arial"/>
                <w:sz w:val="11"/>
                <w:szCs w:val="11"/>
                <w:color w:val="auto"/>
              </w:rPr>
              <w:t>Derivatives</w:t>
            </w:r>
          </w:p>
        </w:tc>
        <w:tc>
          <w:tcPr>
            <w:tcW w:w="44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320"/>
              <w:spacing w:after="0"/>
              <w:rPr>
                <w:sz w:val="20"/>
                <w:szCs w:val="20"/>
                <w:color w:val="auto"/>
              </w:rPr>
            </w:pPr>
            <w:r>
              <w:rPr>
                <w:rFonts w:ascii="Arial" w:cs="Arial" w:eastAsia="Arial" w:hAnsi="Arial"/>
                <w:sz w:val="11"/>
                <w:szCs w:val="11"/>
                <w:color w:val="auto"/>
              </w:rPr>
              <w:t>--</w:t>
            </w: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3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320"/>
              <w:spacing w:after="0"/>
              <w:rPr>
                <w:sz w:val="20"/>
                <w:szCs w:val="20"/>
                <w:color w:val="auto"/>
              </w:rPr>
            </w:pPr>
            <w:r>
              <w:rPr>
                <w:rFonts w:ascii="Arial" w:cs="Arial" w:eastAsia="Arial" w:hAnsi="Arial"/>
                <w:sz w:val="11"/>
                <w:szCs w:val="11"/>
                <w:color w:val="auto"/>
              </w:rPr>
              <w:t>--</w:t>
            </w:r>
          </w:p>
        </w:tc>
        <w:tc>
          <w:tcPr>
            <w:tcW w:w="5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w:t>
            </w:r>
          </w:p>
        </w:tc>
      </w:tr>
      <w:tr>
        <w:trPr>
          <w:trHeight w:val="196"/>
        </w:trPr>
        <w:tc>
          <w:tcPr>
            <w:tcW w:w="3540" w:type="dxa"/>
            <w:vAlign w:val="bottom"/>
            <w:gridSpan w:val="2"/>
          </w:tcPr>
          <w:p>
            <w:pPr>
              <w:spacing w:after="0"/>
              <w:rPr>
                <w:sz w:val="20"/>
                <w:szCs w:val="20"/>
                <w:color w:val="auto"/>
              </w:rPr>
            </w:pPr>
            <w:r>
              <w:rPr>
                <w:rFonts w:ascii="Arial" w:cs="Arial" w:eastAsia="Arial" w:hAnsi="Arial"/>
                <w:sz w:val="11"/>
                <w:szCs w:val="11"/>
                <w:color w:val="auto"/>
              </w:rPr>
              <w:t>Liabilities</w:t>
            </w:r>
          </w:p>
        </w:tc>
        <w:tc>
          <w:tcPr>
            <w:tcW w:w="4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191"/>
        </w:trPr>
        <w:tc>
          <w:tcPr>
            <w:tcW w:w="3540" w:type="dxa"/>
            <w:vAlign w:val="bottom"/>
            <w:gridSpan w:val="2"/>
            <w:shd w:val="clear" w:color="auto" w:fill="CCEEFF"/>
          </w:tcPr>
          <w:p>
            <w:pPr>
              <w:ind w:left="60"/>
              <w:spacing w:after="0"/>
              <w:rPr>
                <w:sz w:val="20"/>
                <w:szCs w:val="20"/>
                <w:color w:val="auto"/>
              </w:rPr>
            </w:pPr>
            <w:r>
              <w:rPr>
                <w:rFonts w:ascii="Arial" w:cs="Arial" w:eastAsia="Arial" w:hAnsi="Arial"/>
                <w:sz w:val="11"/>
                <w:szCs w:val="11"/>
                <w:color w:val="auto"/>
              </w:rPr>
              <w:t>Derivatives</w:t>
            </w:r>
          </w:p>
        </w:tc>
        <w:tc>
          <w:tcPr>
            <w:tcW w:w="44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320"/>
              <w:spacing w:after="0"/>
              <w:rPr>
                <w:sz w:val="20"/>
                <w:szCs w:val="20"/>
                <w:color w:val="auto"/>
              </w:rPr>
            </w:pPr>
            <w:r>
              <w:rPr>
                <w:rFonts w:ascii="Arial" w:cs="Arial" w:eastAsia="Arial" w:hAnsi="Arial"/>
                <w:sz w:val="11"/>
                <w:szCs w:val="11"/>
                <w:color w:val="auto"/>
              </w:rPr>
              <w:t>--</w:t>
            </w:r>
          </w:p>
        </w:tc>
        <w:tc>
          <w:tcPr>
            <w:tcW w:w="360" w:type="dxa"/>
            <w:vAlign w:val="bottom"/>
            <w:shd w:val="clear" w:color="auto" w:fill="CCEEFF"/>
          </w:tcPr>
          <w:p>
            <w:pPr>
              <w:spacing w:after="0"/>
              <w:rPr>
                <w:sz w:val="16"/>
                <w:szCs w:val="16"/>
                <w:color w:val="auto"/>
              </w:rPr>
            </w:pPr>
          </w:p>
        </w:tc>
        <w:tc>
          <w:tcPr>
            <w:tcW w:w="1440" w:type="dxa"/>
            <w:vAlign w:val="bottom"/>
            <w:gridSpan w:val="2"/>
            <w:shd w:val="clear" w:color="auto" w:fill="CCEEFF"/>
          </w:tcPr>
          <w:p>
            <w:pPr>
              <w:jc w:val="right"/>
              <w:ind w:right="320"/>
              <w:spacing w:after="0"/>
              <w:rPr>
                <w:sz w:val="20"/>
                <w:szCs w:val="20"/>
                <w:color w:val="auto"/>
              </w:rPr>
            </w:pPr>
            <w:r>
              <w:rPr>
                <w:rFonts w:ascii="Arial" w:cs="Arial" w:eastAsia="Arial" w:hAnsi="Arial"/>
                <w:sz w:val="11"/>
                <w:szCs w:val="11"/>
                <w:color w:val="auto"/>
              </w:rPr>
              <w:t>(156)</w:t>
            </w:r>
          </w:p>
        </w:tc>
        <w:tc>
          <w:tcPr>
            <w:tcW w:w="1400" w:type="dxa"/>
            <w:vAlign w:val="bottom"/>
            <w:shd w:val="clear" w:color="auto" w:fill="CCEEFF"/>
          </w:tcPr>
          <w:p>
            <w:pPr>
              <w:spacing w:after="0"/>
              <w:rPr>
                <w:sz w:val="16"/>
                <w:szCs w:val="16"/>
                <w:color w:val="auto"/>
              </w:rPr>
            </w:pPr>
          </w:p>
        </w:tc>
        <w:tc>
          <w:tcPr>
            <w:tcW w:w="500" w:type="dxa"/>
            <w:vAlign w:val="bottom"/>
            <w:gridSpan w:val="2"/>
            <w:shd w:val="clear" w:color="auto" w:fill="CCEEFF"/>
          </w:tcPr>
          <w:p>
            <w:pPr>
              <w:jc w:val="right"/>
              <w:ind w:right="320"/>
              <w:spacing w:after="0"/>
              <w:rPr>
                <w:sz w:val="20"/>
                <w:szCs w:val="20"/>
                <w:color w:val="auto"/>
              </w:rPr>
            </w:pPr>
            <w:r>
              <w:rPr>
                <w:rFonts w:ascii="Arial" w:cs="Arial" w:eastAsia="Arial" w:hAnsi="Arial"/>
                <w:sz w:val="11"/>
                <w:szCs w:val="11"/>
                <w:color w:val="auto"/>
              </w:rPr>
              <w:t>--</w:t>
            </w:r>
          </w:p>
        </w:tc>
        <w:tc>
          <w:tcPr>
            <w:tcW w:w="50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(156)</w:t>
            </w:r>
          </w:p>
        </w:tc>
      </w:tr>
      <w:tr>
        <w:trPr>
          <w:trHeight w:val="20"/>
        </w:trPr>
        <w:tc>
          <w:tcPr>
            <w:tcW w:w="322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r>
      <w:tr>
        <w:trPr>
          <w:trHeight w:val="178"/>
        </w:trPr>
        <w:tc>
          <w:tcPr>
            <w:tcW w:w="3540" w:type="dxa"/>
            <w:vAlign w:val="bottom"/>
            <w:gridSpan w:val="2"/>
          </w:tcPr>
          <w:p>
            <w:pPr>
              <w:spacing w:after="0"/>
              <w:rPr>
                <w:sz w:val="20"/>
                <w:szCs w:val="20"/>
                <w:color w:val="auto"/>
              </w:rPr>
            </w:pPr>
            <w:r>
              <w:rPr>
                <w:rFonts w:ascii="Arial" w:cs="Arial" w:eastAsia="Arial" w:hAnsi="Arial"/>
                <w:sz w:val="11"/>
                <w:szCs w:val="11"/>
                <w:color w:val="auto"/>
              </w:rPr>
              <w:t>Total recorded at fair value</w:t>
            </w:r>
          </w:p>
        </w:tc>
        <w:tc>
          <w:tcPr>
            <w:tcW w:w="44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1040" w:type="dxa"/>
            <w:vAlign w:val="bottom"/>
          </w:tcPr>
          <w:p>
            <w:pPr>
              <w:jc w:val="right"/>
              <w:spacing w:after="0"/>
              <w:rPr>
                <w:sz w:val="20"/>
                <w:szCs w:val="20"/>
                <w:color w:val="auto"/>
              </w:rPr>
            </w:pPr>
            <w:r>
              <w:rPr>
                <w:rFonts w:ascii="Arial" w:cs="Arial" w:eastAsia="Arial" w:hAnsi="Arial"/>
                <w:sz w:val="11"/>
                <w:szCs w:val="11"/>
                <w:color w:val="auto"/>
              </w:rPr>
              <w:t>51</w:t>
            </w:r>
          </w:p>
        </w:tc>
        <w:tc>
          <w:tcPr>
            <w:tcW w:w="32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1"/>
                <w:szCs w:val="11"/>
                <w:color w:val="auto"/>
              </w:rPr>
              <w:t>$</w:t>
            </w:r>
          </w:p>
        </w:tc>
        <w:tc>
          <w:tcPr>
            <w:tcW w:w="1440" w:type="dxa"/>
            <w:vAlign w:val="bottom"/>
            <w:gridSpan w:val="2"/>
          </w:tcPr>
          <w:p>
            <w:pPr>
              <w:jc w:val="right"/>
              <w:ind w:right="320"/>
              <w:spacing w:after="0"/>
              <w:rPr>
                <w:sz w:val="20"/>
                <w:szCs w:val="20"/>
                <w:color w:val="auto"/>
              </w:rPr>
            </w:pPr>
            <w:r>
              <w:rPr>
                <w:rFonts w:ascii="Arial" w:cs="Arial" w:eastAsia="Arial" w:hAnsi="Arial"/>
                <w:sz w:val="11"/>
                <w:szCs w:val="11"/>
                <w:color w:val="auto"/>
              </w:rPr>
              <w:t>(155)</w:t>
            </w:r>
          </w:p>
        </w:tc>
        <w:tc>
          <w:tcPr>
            <w:tcW w:w="1400" w:type="dxa"/>
            <w:vAlign w:val="bottom"/>
          </w:tcPr>
          <w:p>
            <w:pPr>
              <w:jc w:val="right"/>
              <w:ind w:right="1026"/>
              <w:spacing w:after="0"/>
              <w:rPr>
                <w:sz w:val="20"/>
                <w:szCs w:val="20"/>
                <w:color w:val="auto"/>
              </w:rPr>
            </w:pPr>
            <w:r>
              <w:rPr>
                <w:rFonts w:ascii="Arial" w:cs="Arial" w:eastAsia="Arial" w:hAnsi="Arial"/>
                <w:sz w:val="11"/>
                <w:szCs w:val="11"/>
                <w:color w:val="auto"/>
              </w:rPr>
              <w:t>$</w:t>
            </w:r>
          </w:p>
        </w:tc>
        <w:tc>
          <w:tcPr>
            <w:tcW w:w="500" w:type="dxa"/>
            <w:vAlign w:val="bottom"/>
            <w:gridSpan w:val="2"/>
          </w:tcPr>
          <w:p>
            <w:pPr>
              <w:jc w:val="right"/>
              <w:ind w:right="320"/>
              <w:spacing w:after="0"/>
              <w:rPr>
                <w:sz w:val="20"/>
                <w:szCs w:val="20"/>
                <w:color w:val="auto"/>
              </w:rPr>
            </w:pPr>
            <w:r>
              <w:rPr>
                <w:rFonts w:ascii="Arial" w:cs="Arial" w:eastAsia="Arial" w:hAnsi="Arial"/>
                <w:sz w:val="11"/>
                <w:szCs w:val="11"/>
                <w:color w:val="auto"/>
              </w:rPr>
              <w:t>--</w:t>
            </w:r>
          </w:p>
        </w:tc>
        <w:tc>
          <w:tcPr>
            <w:tcW w:w="500" w:type="dxa"/>
            <w:vAlign w:val="bottom"/>
          </w:tcPr>
          <w:p>
            <w:pPr>
              <w:jc w:val="right"/>
              <w:ind w:right="126"/>
              <w:spacing w:after="0"/>
              <w:rPr>
                <w:sz w:val="20"/>
                <w:szCs w:val="20"/>
                <w:color w:val="auto"/>
              </w:rPr>
            </w:pPr>
            <w:r>
              <w:rPr>
                <w:rFonts w:ascii="Arial" w:cs="Arial" w:eastAsia="Arial" w:hAnsi="Arial"/>
                <w:sz w:val="11"/>
                <w:szCs w:val="11"/>
                <w:color w:val="auto"/>
              </w:rPr>
              <w:t>$</w:t>
            </w:r>
          </w:p>
        </w:tc>
        <w:tc>
          <w:tcPr>
            <w:tcW w:w="1080" w:type="dxa"/>
            <w:vAlign w:val="bottom"/>
          </w:tcPr>
          <w:p>
            <w:pPr>
              <w:jc w:val="right"/>
              <w:spacing w:after="0"/>
              <w:rPr>
                <w:sz w:val="20"/>
                <w:szCs w:val="20"/>
                <w:color w:val="auto"/>
              </w:rPr>
            </w:pPr>
            <w:r>
              <w:rPr>
                <w:rFonts w:ascii="Arial" w:cs="Arial" w:eastAsia="Arial" w:hAnsi="Arial"/>
                <w:sz w:val="11"/>
                <w:szCs w:val="11"/>
                <w:color w:val="auto"/>
              </w:rPr>
              <w:t>(104)</w:t>
            </w:r>
          </w:p>
        </w:tc>
      </w:tr>
      <w:tr>
        <w:trPr>
          <w:trHeight w:val="20"/>
        </w:trPr>
        <w:tc>
          <w:tcPr>
            <w:tcW w:w="3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r>
    </w:tbl>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3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2840" w:type="dxa"/>
            <w:vAlign w:val="bottom"/>
            <w:tcBorders>
              <w:bottom w:val="single" w:sz="8" w:color="auto"/>
            </w:tcBorders>
            <w:gridSpan w:val="3"/>
          </w:tcPr>
          <w:p>
            <w:pPr>
              <w:jc w:val="right"/>
              <w:ind w:right="66"/>
              <w:spacing w:after="0"/>
              <w:rPr>
                <w:sz w:val="20"/>
                <w:szCs w:val="20"/>
                <w:color w:val="auto"/>
              </w:rPr>
            </w:pPr>
            <w:r>
              <w:rPr>
                <w:rFonts w:ascii="Arial" w:cs="Arial" w:eastAsia="Arial" w:hAnsi="Arial"/>
                <w:sz w:val="11"/>
                <w:szCs w:val="11"/>
                <w:b w:val="1"/>
                <w:bCs w:val="1"/>
                <w:color w:val="auto"/>
                <w:w w:val="91"/>
              </w:rPr>
              <w:t>Recurring Fair Value Measurement at December 31, 2014</w:t>
            </w:r>
          </w:p>
        </w:tc>
        <w:tc>
          <w:tcPr>
            <w:tcW w:w="18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r>
      <w:tr>
        <w:trPr>
          <w:trHeight w:val="151"/>
        </w:trPr>
        <w:tc>
          <w:tcPr>
            <w:tcW w:w="3220" w:type="dxa"/>
            <w:vAlign w:val="bottom"/>
            <w:tcBorders>
              <w:bottom w:val="single" w:sz="8" w:color="auto"/>
            </w:tcBorders>
          </w:tcPr>
          <w:p>
            <w:pPr>
              <w:spacing w:after="0"/>
              <w:rPr>
                <w:sz w:val="20"/>
                <w:szCs w:val="20"/>
                <w:color w:val="auto"/>
              </w:rPr>
            </w:pPr>
            <w:r>
              <w:rPr>
                <w:rFonts w:ascii="Arial" w:cs="Arial" w:eastAsia="Arial" w:hAnsi="Arial"/>
                <w:sz w:val="11"/>
                <w:szCs w:val="11"/>
                <w:color w:val="auto"/>
              </w:rPr>
              <w:t>(Dollars in thousands)</w:t>
            </w:r>
          </w:p>
        </w:tc>
        <w:tc>
          <w:tcPr>
            <w:tcW w:w="32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526"/>
              <w:spacing w:after="0"/>
              <w:rPr>
                <w:sz w:val="20"/>
                <w:szCs w:val="20"/>
                <w:color w:val="auto"/>
              </w:rPr>
            </w:pPr>
            <w:r>
              <w:rPr>
                <w:rFonts w:ascii="Arial" w:cs="Arial" w:eastAsia="Arial" w:hAnsi="Arial"/>
                <w:sz w:val="11"/>
                <w:szCs w:val="11"/>
                <w:b w:val="1"/>
                <w:bCs w:val="1"/>
                <w:color w:val="auto"/>
              </w:rPr>
              <w:t>Level 1</w:t>
            </w:r>
          </w:p>
        </w:tc>
        <w:tc>
          <w:tcPr>
            <w:tcW w:w="32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ind w:left="220"/>
              <w:spacing w:after="0"/>
              <w:rPr>
                <w:sz w:val="20"/>
                <w:szCs w:val="20"/>
                <w:color w:val="auto"/>
              </w:rPr>
            </w:pPr>
            <w:r>
              <w:rPr>
                <w:rFonts w:ascii="Arial" w:cs="Arial" w:eastAsia="Arial" w:hAnsi="Arial"/>
                <w:sz w:val="11"/>
                <w:szCs w:val="11"/>
                <w:b w:val="1"/>
                <w:bCs w:val="1"/>
                <w:color w:val="auto"/>
              </w:rPr>
              <w:t>Level 2</w:t>
            </w:r>
          </w:p>
        </w:tc>
        <w:tc>
          <w:tcPr>
            <w:tcW w:w="320" w:type="dxa"/>
            <w:vAlign w:val="bottom"/>
            <w:tcBorders>
              <w:bottom w:val="single" w:sz="8" w:color="CCEEFF"/>
            </w:tcBorders>
          </w:tcPr>
          <w:p>
            <w:pPr>
              <w:spacing w:after="0"/>
              <w:rPr>
                <w:sz w:val="13"/>
                <w:szCs w:val="13"/>
                <w:color w:val="auto"/>
              </w:rPr>
            </w:pPr>
          </w:p>
        </w:tc>
        <w:tc>
          <w:tcPr>
            <w:tcW w:w="1400" w:type="dxa"/>
            <w:vAlign w:val="bottom"/>
            <w:tcBorders>
              <w:bottom w:val="single" w:sz="8" w:color="auto"/>
            </w:tcBorders>
          </w:tcPr>
          <w:p>
            <w:pPr>
              <w:jc w:val="right"/>
              <w:ind w:right="386"/>
              <w:spacing w:after="0"/>
              <w:rPr>
                <w:sz w:val="20"/>
                <w:szCs w:val="20"/>
                <w:color w:val="auto"/>
              </w:rPr>
            </w:pPr>
            <w:r>
              <w:rPr>
                <w:rFonts w:ascii="Arial" w:cs="Arial" w:eastAsia="Arial" w:hAnsi="Arial"/>
                <w:sz w:val="11"/>
                <w:szCs w:val="11"/>
                <w:b w:val="1"/>
                <w:bCs w:val="1"/>
                <w:color w:val="auto"/>
              </w:rPr>
              <w:t>Level 3</w:t>
            </w:r>
          </w:p>
        </w:tc>
        <w:tc>
          <w:tcPr>
            <w:tcW w:w="180" w:type="dxa"/>
            <w:vAlign w:val="bottom"/>
            <w:tcBorders>
              <w:bottom w:val="single" w:sz="8" w:color="auto"/>
            </w:tcBorders>
          </w:tcPr>
          <w:p>
            <w:pPr>
              <w:spacing w:after="0"/>
              <w:rPr>
                <w:sz w:val="13"/>
                <w:szCs w:val="13"/>
                <w:color w:val="auto"/>
              </w:rPr>
            </w:pPr>
          </w:p>
        </w:tc>
        <w:tc>
          <w:tcPr>
            <w:tcW w:w="320" w:type="dxa"/>
            <w:vAlign w:val="bottom"/>
            <w:tcBorders>
              <w:bottom w:val="single" w:sz="8" w:color="CCEEFF"/>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626"/>
              <w:spacing w:after="0"/>
              <w:rPr>
                <w:sz w:val="20"/>
                <w:szCs w:val="20"/>
                <w:color w:val="auto"/>
              </w:rPr>
            </w:pPr>
            <w:r>
              <w:rPr>
                <w:rFonts w:ascii="Arial" w:cs="Arial" w:eastAsia="Arial" w:hAnsi="Arial"/>
                <w:sz w:val="11"/>
                <w:szCs w:val="11"/>
                <w:b w:val="1"/>
                <w:bCs w:val="1"/>
                <w:color w:val="auto"/>
              </w:rPr>
              <w:t>Total</w:t>
            </w:r>
          </w:p>
        </w:tc>
      </w:tr>
      <w:tr>
        <w:trPr>
          <w:trHeight w:val="162"/>
        </w:trPr>
        <w:tc>
          <w:tcPr>
            <w:tcW w:w="354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Assets</w:t>
            </w:r>
          </w:p>
        </w:tc>
        <w:tc>
          <w:tcPr>
            <w:tcW w:w="4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r>
      <w:tr>
        <w:trPr>
          <w:trHeight w:val="169"/>
        </w:trPr>
        <w:tc>
          <w:tcPr>
            <w:tcW w:w="3540" w:type="dxa"/>
            <w:vAlign w:val="bottom"/>
            <w:gridSpan w:val="2"/>
          </w:tcPr>
          <w:p>
            <w:pPr>
              <w:ind w:left="60"/>
              <w:spacing w:after="0"/>
              <w:rPr>
                <w:sz w:val="20"/>
                <w:szCs w:val="20"/>
                <w:color w:val="auto"/>
              </w:rPr>
            </w:pPr>
            <w:r>
              <w:rPr>
                <w:rFonts w:ascii="Arial" w:cs="Arial" w:eastAsia="Arial" w:hAnsi="Arial"/>
                <w:sz w:val="11"/>
                <w:szCs w:val="11"/>
                <w:color w:val="auto"/>
              </w:rPr>
              <w:t>Investments</w:t>
            </w:r>
          </w:p>
        </w:tc>
        <w:tc>
          <w:tcPr>
            <w:tcW w:w="44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1040" w:type="dxa"/>
            <w:vAlign w:val="bottom"/>
          </w:tcPr>
          <w:p>
            <w:pPr>
              <w:jc w:val="right"/>
              <w:spacing w:after="0"/>
              <w:rPr>
                <w:sz w:val="20"/>
                <w:szCs w:val="20"/>
                <w:color w:val="auto"/>
              </w:rPr>
            </w:pPr>
            <w:r>
              <w:rPr>
                <w:rFonts w:ascii="Arial" w:cs="Arial" w:eastAsia="Arial" w:hAnsi="Arial"/>
                <w:sz w:val="11"/>
                <w:szCs w:val="11"/>
                <w:color w:val="auto"/>
              </w:rPr>
              <w:t>54</w:t>
            </w:r>
          </w:p>
        </w:tc>
        <w:tc>
          <w:tcPr>
            <w:tcW w:w="32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1"/>
                <w:szCs w:val="11"/>
                <w:color w:val="auto"/>
              </w:rPr>
              <w:t>$</w:t>
            </w:r>
          </w:p>
        </w:tc>
        <w:tc>
          <w:tcPr>
            <w:tcW w:w="1440" w:type="dxa"/>
            <w:vAlign w:val="bottom"/>
            <w:gridSpan w:val="2"/>
          </w:tcPr>
          <w:p>
            <w:pPr>
              <w:jc w:val="right"/>
              <w:ind w:right="320"/>
              <w:spacing w:after="0"/>
              <w:rPr>
                <w:sz w:val="20"/>
                <w:szCs w:val="20"/>
                <w:color w:val="auto"/>
              </w:rPr>
            </w:pPr>
            <w:r>
              <w:rPr>
                <w:rFonts w:ascii="Arial" w:cs="Arial" w:eastAsia="Arial" w:hAnsi="Arial"/>
                <w:sz w:val="11"/>
                <w:szCs w:val="11"/>
                <w:color w:val="auto"/>
              </w:rPr>
              <w:t>--</w:t>
            </w:r>
          </w:p>
        </w:tc>
        <w:tc>
          <w:tcPr>
            <w:tcW w:w="1400" w:type="dxa"/>
            <w:vAlign w:val="bottom"/>
          </w:tcPr>
          <w:p>
            <w:pPr>
              <w:jc w:val="right"/>
              <w:ind w:right="1026"/>
              <w:spacing w:after="0"/>
              <w:rPr>
                <w:sz w:val="20"/>
                <w:szCs w:val="20"/>
                <w:color w:val="auto"/>
              </w:rPr>
            </w:pPr>
            <w:r>
              <w:rPr>
                <w:rFonts w:ascii="Arial" w:cs="Arial" w:eastAsia="Arial" w:hAnsi="Arial"/>
                <w:sz w:val="11"/>
                <w:szCs w:val="11"/>
                <w:color w:val="auto"/>
              </w:rPr>
              <w:t>$</w:t>
            </w:r>
          </w:p>
        </w:tc>
        <w:tc>
          <w:tcPr>
            <w:tcW w:w="500" w:type="dxa"/>
            <w:vAlign w:val="bottom"/>
            <w:gridSpan w:val="2"/>
          </w:tcPr>
          <w:p>
            <w:pPr>
              <w:jc w:val="right"/>
              <w:ind w:right="320"/>
              <w:spacing w:after="0"/>
              <w:rPr>
                <w:sz w:val="20"/>
                <w:szCs w:val="20"/>
                <w:color w:val="auto"/>
              </w:rPr>
            </w:pPr>
            <w:r>
              <w:rPr>
                <w:rFonts w:ascii="Arial" w:cs="Arial" w:eastAsia="Arial" w:hAnsi="Arial"/>
                <w:sz w:val="11"/>
                <w:szCs w:val="11"/>
                <w:color w:val="auto"/>
              </w:rPr>
              <w:t>--</w:t>
            </w:r>
          </w:p>
        </w:tc>
        <w:tc>
          <w:tcPr>
            <w:tcW w:w="500" w:type="dxa"/>
            <w:vAlign w:val="bottom"/>
          </w:tcPr>
          <w:p>
            <w:pPr>
              <w:jc w:val="right"/>
              <w:ind w:right="126"/>
              <w:spacing w:after="0"/>
              <w:rPr>
                <w:sz w:val="20"/>
                <w:szCs w:val="20"/>
                <w:color w:val="auto"/>
              </w:rPr>
            </w:pPr>
            <w:r>
              <w:rPr>
                <w:rFonts w:ascii="Arial" w:cs="Arial" w:eastAsia="Arial" w:hAnsi="Arial"/>
                <w:sz w:val="11"/>
                <w:szCs w:val="11"/>
                <w:color w:val="auto"/>
              </w:rPr>
              <w:t>$</w:t>
            </w:r>
          </w:p>
        </w:tc>
        <w:tc>
          <w:tcPr>
            <w:tcW w:w="1080" w:type="dxa"/>
            <w:vAlign w:val="bottom"/>
          </w:tcPr>
          <w:p>
            <w:pPr>
              <w:jc w:val="right"/>
              <w:spacing w:after="0"/>
              <w:rPr>
                <w:sz w:val="20"/>
                <w:szCs w:val="20"/>
                <w:color w:val="auto"/>
              </w:rPr>
            </w:pPr>
            <w:r>
              <w:rPr>
                <w:rFonts w:ascii="Arial" w:cs="Arial" w:eastAsia="Arial" w:hAnsi="Arial"/>
                <w:sz w:val="11"/>
                <w:szCs w:val="11"/>
                <w:color w:val="auto"/>
              </w:rPr>
              <w:t>54</w:t>
            </w:r>
          </w:p>
        </w:tc>
      </w:tr>
      <w:tr>
        <w:trPr>
          <w:trHeight w:val="173"/>
        </w:trPr>
        <w:tc>
          <w:tcPr>
            <w:tcW w:w="3540" w:type="dxa"/>
            <w:vAlign w:val="bottom"/>
            <w:gridSpan w:val="2"/>
            <w:shd w:val="clear" w:color="auto" w:fill="CCEEFF"/>
          </w:tcPr>
          <w:p>
            <w:pPr>
              <w:ind w:left="60"/>
              <w:spacing w:after="0"/>
              <w:rPr>
                <w:sz w:val="20"/>
                <w:szCs w:val="20"/>
                <w:color w:val="auto"/>
              </w:rPr>
            </w:pPr>
            <w:r>
              <w:rPr>
                <w:rFonts w:ascii="Arial" w:cs="Arial" w:eastAsia="Arial" w:hAnsi="Arial"/>
                <w:sz w:val="11"/>
                <w:szCs w:val="11"/>
                <w:color w:val="auto"/>
              </w:rPr>
              <w:t>Derivatives</w:t>
            </w:r>
          </w:p>
        </w:tc>
        <w:tc>
          <w:tcPr>
            <w:tcW w:w="44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320"/>
              <w:spacing w:after="0"/>
              <w:rPr>
                <w:sz w:val="20"/>
                <w:szCs w:val="20"/>
                <w:color w:val="auto"/>
              </w:rPr>
            </w:pPr>
            <w:r>
              <w:rPr>
                <w:rFonts w:ascii="Arial" w:cs="Arial" w:eastAsia="Arial" w:hAnsi="Arial"/>
                <w:sz w:val="11"/>
                <w:szCs w:val="11"/>
                <w:color w:val="auto"/>
              </w:rPr>
              <w:t>--</w:t>
            </w:r>
          </w:p>
        </w:tc>
        <w:tc>
          <w:tcPr>
            <w:tcW w:w="360" w:type="dxa"/>
            <w:vAlign w:val="bottom"/>
            <w:shd w:val="clear" w:color="auto" w:fill="CCEEFF"/>
          </w:tcPr>
          <w:p>
            <w:pPr>
              <w:spacing w:after="0"/>
              <w:rPr>
                <w:sz w:val="15"/>
                <w:szCs w:val="15"/>
                <w:color w:val="auto"/>
              </w:rPr>
            </w:pPr>
          </w:p>
        </w:tc>
        <w:tc>
          <w:tcPr>
            <w:tcW w:w="1440" w:type="dxa"/>
            <w:vAlign w:val="bottom"/>
            <w:gridSpan w:val="2"/>
            <w:shd w:val="clear" w:color="auto" w:fill="CCEEFF"/>
          </w:tcPr>
          <w:p>
            <w:pPr>
              <w:jc w:val="right"/>
              <w:ind w:right="320"/>
              <w:spacing w:after="0"/>
              <w:rPr>
                <w:sz w:val="20"/>
                <w:szCs w:val="20"/>
                <w:color w:val="auto"/>
              </w:rPr>
            </w:pPr>
            <w:r>
              <w:rPr>
                <w:rFonts w:ascii="Arial" w:cs="Arial" w:eastAsia="Arial" w:hAnsi="Arial"/>
                <w:sz w:val="11"/>
                <w:szCs w:val="11"/>
                <w:color w:val="auto"/>
              </w:rPr>
              <w:t>--</w:t>
            </w:r>
          </w:p>
        </w:tc>
        <w:tc>
          <w:tcPr>
            <w:tcW w:w="1400" w:type="dxa"/>
            <w:vAlign w:val="bottom"/>
            <w:shd w:val="clear" w:color="auto" w:fill="CCEEFF"/>
          </w:tcPr>
          <w:p>
            <w:pPr>
              <w:spacing w:after="0"/>
              <w:rPr>
                <w:sz w:val="15"/>
                <w:szCs w:val="15"/>
                <w:color w:val="auto"/>
              </w:rPr>
            </w:pPr>
          </w:p>
        </w:tc>
        <w:tc>
          <w:tcPr>
            <w:tcW w:w="500" w:type="dxa"/>
            <w:vAlign w:val="bottom"/>
            <w:gridSpan w:val="2"/>
            <w:shd w:val="clear" w:color="auto" w:fill="CCEEFF"/>
          </w:tcPr>
          <w:p>
            <w:pPr>
              <w:jc w:val="right"/>
              <w:ind w:right="320"/>
              <w:spacing w:after="0"/>
              <w:rPr>
                <w:sz w:val="20"/>
                <w:szCs w:val="20"/>
                <w:color w:val="auto"/>
              </w:rPr>
            </w:pPr>
            <w:r>
              <w:rPr>
                <w:rFonts w:ascii="Arial" w:cs="Arial" w:eastAsia="Arial" w:hAnsi="Arial"/>
                <w:sz w:val="11"/>
                <w:szCs w:val="11"/>
                <w:color w:val="auto"/>
              </w:rPr>
              <w:t>--</w:t>
            </w:r>
          </w:p>
        </w:tc>
        <w:tc>
          <w:tcPr>
            <w:tcW w:w="50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r>
      <w:tr>
        <w:trPr>
          <w:trHeight w:val="169"/>
        </w:trPr>
        <w:tc>
          <w:tcPr>
            <w:tcW w:w="3540" w:type="dxa"/>
            <w:vAlign w:val="bottom"/>
            <w:gridSpan w:val="2"/>
          </w:tcPr>
          <w:p>
            <w:pPr>
              <w:spacing w:after="0"/>
              <w:rPr>
                <w:sz w:val="20"/>
                <w:szCs w:val="20"/>
                <w:color w:val="auto"/>
              </w:rPr>
            </w:pPr>
            <w:r>
              <w:rPr>
                <w:rFonts w:ascii="Arial" w:cs="Arial" w:eastAsia="Arial" w:hAnsi="Arial"/>
                <w:sz w:val="11"/>
                <w:szCs w:val="11"/>
                <w:color w:val="auto"/>
              </w:rPr>
              <w:t>Liabilities</w:t>
            </w:r>
          </w:p>
        </w:tc>
        <w:tc>
          <w:tcPr>
            <w:tcW w:w="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4"/>
        </w:trPr>
        <w:tc>
          <w:tcPr>
            <w:tcW w:w="3540" w:type="dxa"/>
            <w:vAlign w:val="bottom"/>
            <w:gridSpan w:val="2"/>
            <w:shd w:val="clear" w:color="auto" w:fill="CCEEFF"/>
          </w:tcPr>
          <w:p>
            <w:pPr>
              <w:ind w:left="60"/>
              <w:spacing w:after="0"/>
              <w:rPr>
                <w:sz w:val="20"/>
                <w:szCs w:val="20"/>
                <w:color w:val="auto"/>
              </w:rPr>
            </w:pPr>
            <w:r>
              <w:rPr>
                <w:rFonts w:ascii="Arial" w:cs="Arial" w:eastAsia="Arial" w:hAnsi="Arial"/>
                <w:sz w:val="11"/>
                <w:szCs w:val="11"/>
                <w:color w:val="auto"/>
              </w:rPr>
              <w:t>Derivatives</w:t>
            </w:r>
          </w:p>
        </w:tc>
        <w:tc>
          <w:tcPr>
            <w:tcW w:w="44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320"/>
              <w:spacing w:after="0"/>
              <w:rPr>
                <w:sz w:val="20"/>
                <w:szCs w:val="20"/>
                <w:color w:val="auto"/>
              </w:rPr>
            </w:pPr>
            <w:r>
              <w:rPr>
                <w:rFonts w:ascii="Arial" w:cs="Arial" w:eastAsia="Arial" w:hAnsi="Arial"/>
                <w:sz w:val="11"/>
                <w:szCs w:val="11"/>
                <w:color w:val="auto"/>
              </w:rPr>
              <w:t>--</w:t>
            </w:r>
          </w:p>
        </w:tc>
        <w:tc>
          <w:tcPr>
            <w:tcW w:w="360" w:type="dxa"/>
            <w:vAlign w:val="bottom"/>
            <w:shd w:val="clear" w:color="auto" w:fill="CCEEFF"/>
          </w:tcPr>
          <w:p>
            <w:pPr>
              <w:spacing w:after="0"/>
              <w:rPr>
                <w:sz w:val="14"/>
                <w:szCs w:val="14"/>
                <w:color w:val="auto"/>
              </w:rPr>
            </w:pPr>
          </w:p>
        </w:tc>
        <w:tc>
          <w:tcPr>
            <w:tcW w:w="1440" w:type="dxa"/>
            <w:vAlign w:val="bottom"/>
            <w:gridSpan w:val="2"/>
            <w:shd w:val="clear" w:color="auto" w:fill="CCEEFF"/>
          </w:tcPr>
          <w:p>
            <w:pPr>
              <w:jc w:val="right"/>
              <w:ind w:right="320"/>
              <w:spacing w:after="0"/>
              <w:rPr>
                <w:sz w:val="20"/>
                <w:szCs w:val="20"/>
                <w:color w:val="auto"/>
              </w:rPr>
            </w:pPr>
            <w:r>
              <w:rPr>
                <w:rFonts w:ascii="Arial" w:cs="Arial" w:eastAsia="Arial" w:hAnsi="Arial"/>
                <w:sz w:val="11"/>
                <w:szCs w:val="11"/>
                <w:color w:val="auto"/>
              </w:rPr>
              <w:t>(2,177)</w:t>
            </w:r>
          </w:p>
        </w:tc>
        <w:tc>
          <w:tcPr>
            <w:tcW w:w="140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320"/>
              <w:spacing w:after="0"/>
              <w:rPr>
                <w:sz w:val="20"/>
                <w:szCs w:val="20"/>
                <w:color w:val="auto"/>
              </w:rPr>
            </w:pPr>
            <w:r>
              <w:rPr>
                <w:rFonts w:ascii="Arial" w:cs="Arial" w:eastAsia="Arial" w:hAnsi="Arial"/>
                <w:sz w:val="11"/>
                <w:szCs w:val="11"/>
                <w:color w:val="auto"/>
              </w:rPr>
              <w:t>--</w:t>
            </w:r>
          </w:p>
        </w:tc>
        <w:tc>
          <w:tcPr>
            <w:tcW w:w="50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(2,177)</w:t>
            </w:r>
          </w:p>
        </w:tc>
      </w:tr>
      <w:tr>
        <w:trPr>
          <w:trHeight w:val="20"/>
        </w:trPr>
        <w:tc>
          <w:tcPr>
            <w:tcW w:w="322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r>
      <w:tr>
        <w:trPr>
          <w:trHeight w:val="151"/>
        </w:trPr>
        <w:tc>
          <w:tcPr>
            <w:tcW w:w="3540" w:type="dxa"/>
            <w:vAlign w:val="bottom"/>
            <w:gridSpan w:val="2"/>
          </w:tcPr>
          <w:p>
            <w:pPr>
              <w:spacing w:after="0"/>
              <w:rPr>
                <w:sz w:val="20"/>
                <w:szCs w:val="20"/>
                <w:color w:val="auto"/>
              </w:rPr>
            </w:pPr>
            <w:r>
              <w:rPr>
                <w:rFonts w:ascii="Arial" w:cs="Arial" w:eastAsia="Arial" w:hAnsi="Arial"/>
                <w:sz w:val="11"/>
                <w:szCs w:val="11"/>
                <w:color w:val="auto"/>
              </w:rPr>
              <w:t>Total recorded at fair value</w:t>
            </w:r>
          </w:p>
        </w:tc>
        <w:tc>
          <w:tcPr>
            <w:tcW w:w="44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1040" w:type="dxa"/>
            <w:vAlign w:val="bottom"/>
          </w:tcPr>
          <w:p>
            <w:pPr>
              <w:jc w:val="right"/>
              <w:spacing w:after="0"/>
              <w:rPr>
                <w:sz w:val="20"/>
                <w:szCs w:val="20"/>
                <w:color w:val="auto"/>
              </w:rPr>
            </w:pPr>
            <w:r>
              <w:rPr>
                <w:rFonts w:ascii="Arial" w:cs="Arial" w:eastAsia="Arial" w:hAnsi="Arial"/>
                <w:sz w:val="11"/>
                <w:szCs w:val="11"/>
                <w:color w:val="auto"/>
              </w:rPr>
              <w:t>54</w:t>
            </w:r>
          </w:p>
        </w:tc>
        <w:tc>
          <w:tcPr>
            <w:tcW w:w="32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1"/>
                <w:szCs w:val="11"/>
                <w:color w:val="auto"/>
              </w:rPr>
              <w:t>$</w:t>
            </w:r>
          </w:p>
        </w:tc>
        <w:tc>
          <w:tcPr>
            <w:tcW w:w="1440" w:type="dxa"/>
            <w:vAlign w:val="bottom"/>
            <w:gridSpan w:val="2"/>
          </w:tcPr>
          <w:p>
            <w:pPr>
              <w:jc w:val="right"/>
              <w:ind w:right="320"/>
              <w:spacing w:after="0"/>
              <w:rPr>
                <w:sz w:val="20"/>
                <w:szCs w:val="20"/>
                <w:color w:val="auto"/>
              </w:rPr>
            </w:pPr>
            <w:r>
              <w:rPr>
                <w:rFonts w:ascii="Arial" w:cs="Arial" w:eastAsia="Arial" w:hAnsi="Arial"/>
                <w:sz w:val="11"/>
                <w:szCs w:val="11"/>
                <w:color w:val="auto"/>
              </w:rPr>
              <w:t>(2,177)</w:t>
            </w:r>
          </w:p>
        </w:tc>
        <w:tc>
          <w:tcPr>
            <w:tcW w:w="1400" w:type="dxa"/>
            <w:vAlign w:val="bottom"/>
          </w:tcPr>
          <w:p>
            <w:pPr>
              <w:jc w:val="right"/>
              <w:ind w:right="1026"/>
              <w:spacing w:after="0"/>
              <w:rPr>
                <w:sz w:val="20"/>
                <w:szCs w:val="20"/>
                <w:color w:val="auto"/>
              </w:rPr>
            </w:pPr>
            <w:r>
              <w:rPr>
                <w:rFonts w:ascii="Arial" w:cs="Arial" w:eastAsia="Arial" w:hAnsi="Arial"/>
                <w:sz w:val="11"/>
                <w:szCs w:val="11"/>
                <w:color w:val="auto"/>
              </w:rPr>
              <w:t>$</w:t>
            </w:r>
          </w:p>
        </w:tc>
        <w:tc>
          <w:tcPr>
            <w:tcW w:w="500" w:type="dxa"/>
            <w:vAlign w:val="bottom"/>
            <w:gridSpan w:val="2"/>
          </w:tcPr>
          <w:p>
            <w:pPr>
              <w:jc w:val="right"/>
              <w:ind w:right="320"/>
              <w:spacing w:after="0"/>
              <w:rPr>
                <w:sz w:val="20"/>
                <w:szCs w:val="20"/>
                <w:color w:val="auto"/>
              </w:rPr>
            </w:pPr>
            <w:r>
              <w:rPr>
                <w:rFonts w:ascii="Arial" w:cs="Arial" w:eastAsia="Arial" w:hAnsi="Arial"/>
                <w:sz w:val="11"/>
                <w:szCs w:val="11"/>
                <w:color w:val="auto"/>
              </w:rPr>
              <w:t>--</w:t>
            </w:r>
          </w:p>
        </w:tc>
        <w:tc>
          <w:tcPr>
            <w:tcW w:w="500" w:type="dxa"/>
            <w:vAlign w:val="bottom"/>
          </w:tcPr>
          <w:p>
            <w:pPr>
              <w:jc w:val="right"/>
              <w:ind w:right="126"/>
              <w:spacing w:after="0"/>
              <w:rPr>
                <w:sz w:val="20"/>
                <w:szCs w:val="20"/>
                <w:color w:val="auto"/>
              </w:rPr>
            </w:pPr>
            <w:r>
              <w:rPr>
                <w:rFonts w:ascii="Arial" w:cs="Arial" w:eastAsia="Arial" w:hAnsi="Arial"/>
                <w:sz w:val="11"/>
                <w:szCs w:val="11"/>
                <w:color w:val="auto"/>
              </w:rPr>
              <w:t>$</w:t>
            </w:r>
          </w:p>
        </w:tc>
        <w:tc>
          <w:tcPr>
            <w:tcW w:w="1080" w:type="dxa"/>
            <w:vAlign w:val="bottom"/>
          </w:tcPr>
          <w:p>
            <w:pPr>
              <w:jc w:val="right"/>
              <w:spacing w:after="0"/>
              <w:rPr>
                <w:sz w:val="20"/>
                <w:szCs w:val="20"/>
                <w:color w:val="auto"/>
              </w:rPr>
            </w:pPr>
            <w:r>
              <w:rPr>
                <w:rFonts w:ascii="Arial" w:cs="Arial" w:eastAsia="Arial" w:hAnsi="Arial"/>
                <w:sz w:val="11"/>
                <w:szCs w:val="11"/>
                <w:color w:val="auto"/>
              </w:rPr>
              <w:t>(2,123)</w:t>
            </w:r>
          </w:p>
        </w:tc>
      </w:tr>
      <w:tr>
        <w:trPr>
          <w:trHeight w:val="20"/>
        </w:trPr>
        <w:tc>
          <w:tcPr>
            <w:tcW w:w="3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r>
    </w:tbl>
    <w:p>
      <w:pPr>
        <w:spacing w:after="0" w:line="13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Nonrecurring Fair Value Measurement</w:t>
      </w:r>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color w:val="auto"/>
        </w:rPr>
        <w:t>The following tables provide information about financial assets and liabilities not carried at fair value on a nonrecurring basis in our consolidated balance sheets: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228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w w:val="92"/>
              </w:rPr>
              <w:t>Fair Value Measurement at December 31, 2015</w:t>
            </w:r>
          </w:p>
        </w:tc>
        <w:tc>
          <w:tcPr>
            <w:tcW w:w="34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r>
      <w:tr>
        <w:trPr>
          <w:trHeight w:val="169"/>
        </w:trPr>
        <w:tc>
          <w:tcPr>
            <w:tcW w:w="2720" w:type="dxa"/>
            <w:vAlign w:val="bottom"/>
            <w:tcBorders>
              <w:bottom w:val="single" w:sz="8" w:color="auto"/>
            </w:tcBorders>
          </w:tcPr>
          <w:p>
            <w:pPr>
              <w:spacing w:after="0"/>
              <w:rPr>
                <w:sz w:val="20"/>
                <w:szCs w:val="20"/>
                <w:color w:val="auto"/>
              </w:rPr>
            </w:pPr>
            <w:r>
              <w:rPr>
                <w:rFonts w:ascii="Arial" w:cs="Arial" w:eastAsia="Arial" w:hAnsi="Arial"/>
                <w:sz w:val="11"/>
                <w:szCs w:val="11"/>
                <w:color w:val="auto"/>
              </w:rPr>
              <w:t>(Dollars in thousands)</w:t>
            </w:r>
          </w:p>
        </w:tc>
        <w:tc>
          <w:tcPr>
            <w:tcW w:w="26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206"/>
              <w:spacing w:after="0"/>
              <w:rPr>
                <w:sz w:val="20"/>
                <w:szCs w:val="20"/>
                <w:color w:val="auto"/>
              </w:rPr>
            </w:pPr>
            <w:r>
              <w:rPr>
                <w:rFonts w:ascii="Arial" w:cs="Arial" w:eastAsia="Arial" w:hAnsi="Arial"/>
                <w:sz w:val="11"/>
                <w:szCs w:val="11"/>
                <w:b w:val="1"/>
                <w:bCs w:val="1"/>
                <w:color w:val="auto"/>
                <w:w w:val="90"/>
              </w:rPr>
              <w:t>Carrying Value</w:t>
            </w:r>
          </w:p>
        </w:tc>
        <w:tc>
          <w:tcPr>
            <w:tcW w:w="2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406"/>
              <w:spacing w:after="0"/>
              <w:rPr>
                <w:sz w:val="20"/>
                <w:szCs w:val="20"/>
                <w:color w:val="auto"/>
              </w:rPr>
            </w:pPr>
            <w:r>
              <w:rPr>
                <w:rFonts w:ascii="Arial" w:cs="Arial" w:eastAsia="Arial" w:hAnsi="Arial"/>
                <w:sz w:val="11"/>
                <w:szCs w:val="11"/>
                <w:b w:val="1"/>
                <w:bCs w:val="1"/>
                <w:color w:val="auto"/>
              </w:rPr>
              <w:t>Level 1</w:t>
            </w:r>
          </w:p>
        </w:tc>
        <w:tc>
          <w:tcPr>
            <w:tcW w:w="2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66"/>
              <w:spacing w:after="0"/>
              <w:rPr>
                <w:sz w:val="20"/>
                <w:szCs w:val="20"/>
                <w:color w:val="auto"/>
              </w:rPr>
            </w:pPr>
            <w:r>
              <w:rPr>
                <w:rFonts w:ascii="Arial" w:cs="Arial" w:eastAsia="Arial" w:hAnsi="Arial"/>
                <w:sz w:val="11"/>
                <w:szCs w:val="11"/>
                <w:b w:val="1"/>
                <w:bCs w:val="1"/>
                <w:color w:val="auto"/>
              </w:rPr>
              <w:t>Level 2</w:t>
            </w:r>
          </w:p>
        </w:tc>
        <w:tc>
          <w:tcPr>
            <w:tcW w:w="260" w:type="dxa"/>
            <w:vAlign w:val="bottom"/>
            <w:tcBorders>
              <w:bottom w:val="single" w:sz="8" w:color="CCEEFF"/>
            </w:tcBorders>
          </w:tcPr>
          <w:p>
            <w:pPr>
              <w:spacing w:after="0"/>
              <w:rPr>
                <w:sz w:val="14"/>
                <w:szCs w:val="14"/>
                <w:color w:val="auto"/>
              </w:rPr>
            </w:pPr>
          </w:p>
        </w:tc>
        <w:tc>
          <w:tcPr>
            <w:tcW w:w="102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Level 3</w:t>
            </w:r>
          </w:p>
        </w:tc>
        <w:tc>
          <w:tcPr>
            <w:tcW w:w="340" w:type="dxa"/>
            <w:vAlign w:val="bottom"/>
            <w:tcBorders>
              <w:bottom w:val="single" w:sz="8" w:color="auto"/>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486"/>
              <w:spacing w:after="0"/>
              <w:rPr>
                <w:sz w:val="20"/>
                <w:szCs w:val="20"/>
                <w:color w:val="auto"/>
              </w:rPr>
            </w:pPr>
            <w:r>
              <w:rPr>
                <w:rFonts w:ascii="Arial" w:cs="Arial" w:eastAsia="Arial" w:hAnsi="Arial"/>
                <w:sz w:val="11"/>
                <w:szCs w:val="11"/>
                <w:b w:val="1"/>
                <w:bCs w:val="1"/>
                <w:color w:val="auto"/>
              </w:rPr>
              <w:t>Total</w:t>
            </w:r>
          </w:p>
        </w:tc>
      </w:tr>
      <w:tr>
        <w:trPr>
          <w:trHeight w:val="180"/>
        </w:trPr>
        <w:tc>
          <w:tcPr>
            <w:tcW w:w="2980" w:type="dxa"/>
            <w:vAlign w:val="bottom"/>
            <w:gridSpan w:val="2"/>
            <w:shd w:val="clear" w:color="auto" w:fill="CCEEFF"/>
          </w:tcPr>
          <w:p>
            <w:pPr>
              <w:spacing w:after="0"/>
              <w:rPr>
                <w:sz w:val="20"/>
                <w:szCs w:val="20"/>
                <w:color w:val="auto"/>
              </w:rPr>
            </w:pPr>
            <w:r>
              <w:rPr>
                <w:rFonts w:ascii="Arial" w:cs="Arial" w:eastAsia="Arial" w:hAnsi="Arial"/>
                <w:sz w:val="11"/>
                <w:szCs w:val="11"/>
                <w:b w:val="1"/>
                <w:bCs w:val="1"/>
                <w:color w:val="auto"/>
              </w:rPr>
              <w:t>Financial assets</w:t>
            </w: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187"/>
        </w:trPr>
        <w:tc>
          <w:tcPr>
            <w:tcW w:w="2980" w:type="dxa"/>
            <w:vAlign w:val="bottom"/>
            <w:gridSpan w:val="2"/>
          </w:tcPr>
          <w:p>
            <w:pPr>
              <w:ind w:left="60"/>
              <w:spacing w:after="0"/>
              <w:rPr>
                <w:sz w:val="20"/>
                <w:szCs w:val="20"/>
                <w:color w:val="auto"/>
              </w:rPr>
            </w:pPr>
            <w:r>
              <w:rPr>
                <w:rFonts w:ascii="Arial" w:cs="Arial" w:eastAsia="Arial" w:hAnsi="Arial"/>
                <w:sz w:val="11"/>
                <w:szCs w:val="11"/>
                <w:color w:val="auto"/>
              </w:rPr>
              <w:t>Cash and Cash equivalents</w:t>
            </w:r>
          </w:p>
        </w:tc>
        <w:tc>
          <w:tcPr>
            <w:tcW w:w="280" w:type="dxa"/>
            <w:vAlign w:val="bottom"/>
          </w:tcPr>
          <w:p>
            <w:pPr>
              <w:jc w:val="right"/>
              <w:spacing w:after="0"/>
              <w:rPr>
                <w:sz w:val="20"/>
                <w:szCs w:val="20"/>
                <w:color w:val="auto"/>
              </w:rPr>
            </w:pPr>
            <w:r>
              <w:rPr>
                <w:rFonts w:ascii="Arial" w:cs="Arial" w:eastAsia="Arial" w:hAnsi="Arial"/>
                <w:sz w:val="11"/>
                <w:szCs w:val="11"/>
                <w:color w:val="auto"/>
              </w:rPr>
              <w:t>$</w:t>
            </w:r>
          </w:p>
        </w:tc>
        <w:tc>
          <w:tcPr>
            <w:tcW w:w="980" w:type="dxa"/>
            <w:vAlign w:val="bottom"/>
          </w:tcPr>
          <w:p>
            <w:pPr>
              <w:jc w:val="right"/>
              <w:spacing w:after="0"/>
              <w:rPr>
                <w:sz w:val="20"/>
                <w:szCs w:val="20"/>
                <w:color w:val="auto"/>
              </w:rPr>
            </w:pPr>
            <w:r>
              <w:rPr>
                <w:rFonts w:ascii="Arial" w:cs="Arial" w:eastAsia="Arial" w:hAnsi="Arial"/>
                <w:sz w:val="11"/>
                <w:szCs w:val="11"/>
                <w:color w:val="auto"/>
              </w:rPr>
              <w:t>19,702</w:t>
            </w:r>
          </w:p>
        </w:tc>
        <w:tc>
          <w:tcPr>
            <w:tcW w:w="280" w:type="dxa"/>
            <w:vAlign w:val="bottom"/>
          </w:tcPr>
          <w:p>
            <w:pPr>
              <w:spacing w:after="0"/>
              <w:rPr>
                <w:sz w:val="16"/>
                <w:szCs w:val="16"/>
                <w:color w:val="auto"/>
              </w:rPr>
            </w:pPr>
          </w:p>
        </w:tc>
        <w:tc>
          <w:tcPr>
            <w:tcW w:w="36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880" w:type="dxa"/>
            <w:vAlign w:val="bottom"/>
          </w:tcPr>
          <w:p>
            <w:pPr>
              <w:jc w:val="right"/>
              <w:spacing w:after="0"/>
              <w:rPr>
                <w:sz w:val="20"/>
                <w:szCs w:val="20"/>
                <w:color w:val="auto"/>
              </w:rPr>
            </w:pPr>
            <w:r>
              <w:rPr>
                <w:rFonts w:ascii="Arial" w:cs="Arial" w:eastAsia="Arial" w:hAnsi="Arial"/>
                <w:sz w:val="11"/>
                <w:szCs w:val="11"/>
                <w:color w:val="auto"/>
              </w:rPr>
              <w:t>19,702</w:t>
            </w:r>
          </w:p>
        </w:tc>
        <w:tc>
          <w:tcPr>
            <w:tcW w:w="280" w:type="dxa"/>
            <w:vAlign w:val="bottom"/>
          </w:tcPr>
          <w:p>
            <w:pPr>
              <w:spacing w:after="0"/>
              <w:rPr>
                <w:sz w:val="16"/>
                <w:szCs w:val="16"/>
                <w:color w:val="auto"/>
              </w:rPr>
            </w:pPr>
          </w:p>
        </w:tc>
        <w:tc>
          <w:tcPr>
            <w:tcW w:w="36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126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020" w:type="dxa"/>
            <w:vAlign w:val="bottom"/>
          </w:tcPr>
          <w:p>
            <w:pPr>
              <w:jc w:val="right"/>
              <w:ind w:right="686"/>
              <w:spacing w:after="0"/>
              <w:rPr>
                <w:sz w:val="20"/>
                <w:szCs w:val="20"/>
                <w:color w:val="auto"/>
              </w:rPr>
            </w:pPr>
            <w:r>
              <w:rPr>
                <w:rFonts w:ascii="Arial" w:cs="Arial" w:eastAsia="Arial" w:hAnsi="Arial"/>
                <w:sz w:val="11"/>
                <w:szCs w:val="11"/>
                <w:color w:val="auto"/>
              </w:rPr>
              <w:t>$</w:t>
            </w:r>
          </w:p>
        </w:tc>
        <w:tc>
          <w:tcPr>
            <w:tcW w:w="60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40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940" w:type="dxa"/>
            <w:vAlign w:val="bottom"/>
          </w:tcPr>
          <w:p>
            <w:pPr>
              <w:jc w:val="right"/>
              <w:spacing w:after="0"/>
              <w:rPr>
                <w:sz w:val="20"/>
                <w:szCs w:val="20"/>
                <w:color w:val="auto"/>
              </w:rPr>
            </w:pPr>
            <w:r>
              <w:rPr>
                <w:rFonts w:ascii="Arial" w:cs="Arial" w:eastAsia="Arial" w:hAnsi="Arial"/>
                <w:sz w:val="11"/>
                <w:szCs w:val="11"/>
                <w:color w:val="auto"/>
              </w:rPr>
              <w:t>19,702</w:t>
            </w:r>
          </w:p>
        </w:tc>
      </w:tr>
      <w:tr>
        <w:trPr>
          <w:trHeight w:val="191"/>
        </w:trPr>
        <w:tc>
          <w:tcPr>
            <w:tcW w:w="2980" w:type="dxa"/>
            <w:vAlign w:val="bottom"/>
            <w:gridSpan w:val="2"/>
            <w:shd w:val="clear" w:color="auto" w:fill="CCEEFF"/>
          </w:tcPr>
          <w:p>
            <w:pPr>
              <w:ind w:left="60"/>
              <w:spacing w:after="0"/>
              <w:rPr>
                <w:sz w:val="20"/>
                <w:szCs w:val="20"/>
                <w:color w:val="auto"/>
              </w:rPr>
            </w:pPr>
            <w:r>
              <w:rPr>
                <w:rFonts w:ascii="Arial" w:cs="Arial" w:eastAsia="Arial" w:hAnsi="Arial"/>
                <w:sz w:val="11"/>
                <w:szCs w:val="11"/>
                <w:color w:val="auto"/>
              </w:rPr>
              <w:t>Accounts receivables</w:t>
            </w: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10,036</w:t>
            </w:r>
          </w:p>
        </w:tc>
        <w:tc>
          <w:tcPr>
            <w:tcW w:w="2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10,036</w:t>
            </w:r>
          </w:p>
        </w:tc>
        <w:tc>
          <w:tcPr>
            <w:tcW w:w="2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102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4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10,036</w:t>
            </w:r>
          </w:p>
        </w:tc>
      </w:tr>
      <w:tr>
        <w:trPr>
          <w:trHeight w:val="187"/>
        </w:trPr>
        <w:tc>
          <w:tcPr>
            <w:tcW w:w="2980" w:type="dxa"/>
            <w:vAlign w:val="bottom"/>
            <w:gridSpan w:val="2"/>
          </w:tcPr>
          <w:p>
            <w:pPr>
              <w:ind w:left="60"/>
              <w:spacing w:after="0"/>
              <w:rPr>
                <w:sz w:val="20"/>
                <w:szCs w:val="20"/>
                <w:color w:val="auto"/>
              </w:rPr>
            </w:pPr>
            <w:r>
              <w:rPr>
                <w:rFonts w:ascii="Arial" w:cs="Arial" w:eastAsia="Arial" w:hAnsi="Arial"/>
                <w:sz w:val="11"/>
                <w:szCs w:val="11"/>
                <w:color w:val="auto"/>
              </w:rPr>
              <w:t>Restricted Cash</w:t>
            </w: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160</w:t>
            </w: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160</w:t>
            </w: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020" w:type="dxa"/>
            <w:vAlign w:val="bottom"/>
          </w:tcPr>
          <w:p>
            <w:pPr>
              <w:spacing w:after="0"/>
              <w:rPr>
                <w:sz w:val="16"/>
                <w:szCs w:val="16"/>
                <w:color w:val="auto"/>
              </w:rPr>
            </w:pPr>
          </w:p>
        </w:tc>
        <w:tc>
          <w:tcPr>
            <w:tcW w:w="60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4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160</w:t>
            </w:r>
          </w:p>
        </w:tc>
      </w:tr>
      <w:tr>
        <w:trPr>
          <w:trHeight w:val="191"/>
        </w:trPr>
        <w:tc>
          <w:tcPr>
            <w:tcW w:w="2980" w:type="dxa"/>
            <w:vAlign w:val="bottom"/>
            <w:gridSpan w:val="2"/>
            <w:shd w:val="clear" w:color="auto" w:fill="CCEEFF"/>
          </w:tcPr>
          <w:p>
            <w:pPr>
              <w:spacing w:after="0"/>
              <w:rPr>
                <w:sz w:val="20"/>
                <w:szCs w:val="20"/>
                <w:color w:val="auto"/>
              </w:rPr>
            </w:pPr>
            <w:r>
              <w:rPr>
                <w:rFonts w:ascii="Arial" w:cs="Arial" w:eastAsia="Arial" w:hAnsi="Arial"/>
                <w:sz w:val="11"/>
                <w:szCs w:val="11"/>
                <w:b w:val="1"/>
                <w:bCs w:val="1"/>
                <w:color w:val="auto"/>
              </w:rPr>
              <w:t>Financial liabilities</w:t>
            </w: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r>
      <w:tr>
        <w:trPr>
          <w:trHeight w:val="187"/>
        </w:trPr>
        <w:tc>
          <w:tcPr>
            <w:tcW w:w="2980" w:type="dxa"/>
            <w:vAlign w:val="bottom"/>
            <w:gridSpan w:val="2"/>
          </w:tcPr>
          <w:p>
            <w:pPr>
              <w:ind w:left="60"/>
              <w:spacing w:after="0"/>
              <w:rPr>
                <w:sz w:val="20"/>
                <w:szCs w:val="20"/>
                <w:color w:val="auto"/>
              </w:rPr>
            </w:pPr>
            <w:r>
              <w:rPr>
                <w:rFonts w:ascii="Arial" w:cs="Arial" w:eastAsia="Arial" w:hAnsi="Arial"/>
                <w:sz w:val="11"/>
                <w:szCs w:val="11"/>
                <w:color w:val="auto"/>
              </w:rPr>
              <w:t>Accounts and film rent payable</w:t>
            </w:r>
          </w:p>
        </w:tc>
        <w:tc>
          <w:tcPr>
            <w:tcW w:w="280" w:type="dxa"/>
            <w:vAlign w:val="bottom"/>
          </w:tcPr>
          <w:p>
            <w:pPr>
              <w:jc w:val="right"/>
              <w:spacing w:after="0"/>
              <w:rPr>
                <w:sz w:val="20"/>
                <w:szCs w:val="20"/>
                <w:color w:val="auto"/>
              </w:rPr>
            </w:pPr>
            <w:r>
              <w:rPr>
                <w:rFonts w:ascii="Arial" w:cs="Arial" w:eastAsia="Arial" w:hAnsi="Arial"/>
                <w:sz w:val="11"/>
                <w:szCs w:val="11"/>
                <w:color w:val="auto"/>
              </w:rPr>
              <w:t>$</w:t>
            </w:r>
          </w:p>
        </w:tc>
        <w:tc>
          <w:tcPr>
            <w:tcW w:w="980" w:type="dxa"/>
            <w:vAlign w:val="bottom"/>
          </w:tcPr>
          <w:p>
            <w:pPr>
              <w:jc w:val="right"/>
              <w:spacing w:after="0"/>
              <w:rPr>
                <w:sz w:val="20"/>
                <w:szCs w:val="20"/>
                <w:color w:val="auto"/>
              </w:rPr>
            </w:pPr>
            <w:r>
              <w:rPr>
                <w:rFonts w:ascii="Arial" w:cs="Arial" w:eastAsia="Arial" w:hAnsi="Arial"/>
                <w:sz w:val="11"/>
                <w:szCs w:val="11"/>
                <w:color w:val="auto"/>
              </w:rPr>
              <w:t>32,929</w:t>
            </w:r>
          </w:p>
        </w:tc>
        <w:tc>
          <w:tcPr>
            <w:tcW w:w="280" w:type="dxa"/>
            <w:vAlign w:val="bottom"/>
          </w:tcPr>
          <w:p>
            <w:pPr>
              <w:spacing w:after="0"/>
              <w:rPr>
                <w:sz w:val="16"/>
                <w:szCs w:val="16"/>
                <w:color w:val="auto"/>
              </w:rPr>
            </w:pPr>
          </w:p>
        </w:tc>
        <w:tc>
          <w:tcPr>
            <w:tcW w:w="36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880" w:type="dxa"/>
            <w:vAlign w:val="bottom"/>
          </w:tcPr>
          <w:p>
            <w:pPr>
              <w:jc w:val="right"/>
              <w:spacing w:after="0"/>
              <w:rPr>
                <w:sz w:val="20"/>
                <w:szCs w:val="20"/>
                <w:color w:val="auto"/>
              </w:rPr>
            </w:pPr>
            <w:r>
              <w:rPr>
                <w:rFonts w:ascii="Arial" w:cs="Arial" w:eastAsia="Arial" w:hAnsi="Arial"/>
                <w:sz w:val="11"/>
                <w:szCs w:val="11"/>
                <w:color w:val="auto"/>
              </w:rPr>
              <w:t>32,929</w:t>
            </w:r>
          </w:p>
        </w:tc>
        <w:tc>
          <w:tcPr>
            <w:tcW w:w="280" w:type="dxa"/>
            <w:vAlign w:val="bottom"/>
          </w:tcPr>
          <w:p>
            <w:pPr>
              <w:spacing w:after="0"/>
              <w:rPr>
                <w:sz w:val="16"/>
                <w:szCs w:val="16"/>
                <w:color w:val="auto"/>
              </w:rPr>
            </w:pPr>
          </w:p>
        </w:tc>
        <w:tc>
          <w:tcPr>
            <w:tcW w:w="36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126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020" w:type="dxa"/>
            <w:vAlign w:val="bottom"/>
          </w:tcPr>
          <w:p>
            <w:pPr>
              <w:jc w:val="right"/>
              <w:ind w:right="686"/>
              <w:spacing w:after="0"/>
              <w:rPr>
                <w:sz w:val="20"/>
                <w:szCs w:val="20"/>
                <w:color w:val="auto"/>
              </w:rPr>
            </w:pPr>
            <w:r>
              <w:rPr>
                <w:rFonts w:ascii="Arial" w:cs="Arial" w:eastAsia="Arial" w:hAnsi="Arial"/>
                <w:sz w:val="11"/>
                <w:szCs w:val="11"/>
                <w:color w:val="auto"/>
              </w:rPr>
              <w:t>$</w:t>
            </w:r>
          </w:p>
        </w:tc>
        <w:tc>
          <w:tcPr>
            <w:tcW w:w="60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40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940" w:type="dxa"/>
            <w:vAlign w:val="bottom"/>
          </w:tcPr>
          <w:p>
            <w:pPr>
              <w:jc w:val="right"/>
              <w:spacing w:after="0"/>
              <w:rPr>
                <w:sz w:val="20"/>
                <w:szCs w:val="20"/>
                <w:color w:val="auto"/>
              </w:rPr>
            </w:pPr>
            <w:r>
              <w:rPr>
                <w:rFonts w:ascii="Arial" w:cs="Arial" w:eastAsia="Arial" w:hAnsi="Arial"/>
                <w:sz w:val="11"/>
                <w:szCs w:val="11"/>
                <w:color w:val="auto"/>
              </w:rPr>
              <w:t>32,929</w:t>
            </w:r>
          </w:p>
        </w:tc>
      </w:tr>
      <w:tr>
        <w:trPr>
          <w:trHeight w:val="191"/>
        </w:trPr>
        <w:tc>
          <w:tcPr>
            <w:tcW w:w="2980" w:type="dxa"/>
            <w:vAlign w:val="bottom"/>
            <w:gridSpan w:val="2"/>
            <w:shd w:val="clear" w:color="auto" w:fill="CCEEFF"/>
          </w:tcPr>
          <w:p>
            <w:pPr>
              <w:ind w:left="60"/>
              <w:spacing w:after="0"/>
              <w:rPr>
                <w:sz w:val="20"/>
                <w:szCs w:val="20"/>
                <w:color w:val="auto"/>
              </w:rPr>
            </w:pPr>
            <w:r>
              <w:rPr>
                <w:rFonts w:ascii="Arial" w:cs="Arial" w:eastAsia="Arial" w:hAnsi="Arial"/>
                <w:sz w:val="11"/>
                <w:szCs w:val="11"/>
                <w:color w:val="auto"/>
              </w:rPr>
              <w:t>Notes payable</w:t>
            </w: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103,028</w:t>
            </w:r>
          </w:p>
        </w:tc>
        <w:tc>
          <w:tcPr>
            <w:tcW w:w="2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1"/>
                <w:szCs w:val="11"/>
                <w:color w:val="auto"/>
              </w:rPr>
              <w:t>--</w:t>
            </w:r>
          </w:p>
        </w:tc>
        <w:tc>
          <w:tcPr>
            <w:tcW w:w="36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1020" w:type="dxa"/>
            <w:vAlign w:val="bottom"/>
            <w:shd w:val="clear" w:color="auto" w:fill="CCEEFF"/>
          </w:tcPr>
          <w:p>
            <w:pPr>
              <w:spacing w:after="0"/>
              <w:rPr>
                <w:sz w:val="16"/>
                <w:szCs w:val="16"/>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1"/>
                <w:szCs w:val="11"/>
                <w:color w:val="auto"/>
                <w:w w:val="89"/>
              </w:rPr>
              <w:t>99,554</w:t>
            </w:r>
          </w:p>
        </w:tc>
        <w:tc>
          <w:tcPr>
            <w:tcW w:w="2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99,554</w:t>
            </w:r>
          </w:p>
        </w:tc>
      </w:tr>
      <w:tr>
        <w:trPr>
          <w:trHeight w:val="194"/>
        </w:trPr>
        <w:tc>
          <w:tcPr>
            <w:tcW w:w="2980" w:type="dxa"/>
            <w:vAlign w:val="bottom"/>
            <w:gridSpan w:val="2"/>
          </w:tcPr>
          <w:p>
            <w:pPr>
              <w:ind w:left="60"/>
              <w:spacing w:after="0"/>
              <w:rPr>
                <w:sz w:val="20"/>
                <w:szCs w:val="20"/>
                <w:color w:val="auto"/>
              </w:rPr>
            </w:pPr>
            <w:r>
              <w:rPr>
                <w:rFonts w:ascii="Arial" w:cs="Arial" w:eastAsia="Arial" w:hAnsi="Arial"/>
                <w:sz w:val="11"/>
                <w:szCs w:val="11"/>
                <w:color w:val="auto"/>
              </w:rPr>
              <w:t>Subordinated debt</w:t>
            </w: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27,913</w:t>
            </w: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360" w:type="dxa"/>
            <w:vAlign w:val="bottom"/>
          </w:tcPr>
          <w:p>
            <w:pPr>
              <w:spacing w:after="0"/>
              <w:rPr>
                <w:sz w:val="16"/>
                <w:szCs w:val="16"/>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02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Arial" w:cs="Arial" w:eastAsia="Arial" w:hAnsi="Arial"/>
                <w:sz w:val="11"/>
                <w:szCs w:val="11"/>
                <w:color w:val="auto"/>
                <w:w w:val="89"/>
              </w:rPr>
              <w:t>13,338</w:t>
            </w:r>
          </w:p>
        </w:tc>
        <w:tc>
          <w:tcPr>
            <w:tcW w:w="2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13,338</w:t>
            </w:r>
          </w:p>
        </w:tc>
      </w:tr>
    </w:tbl>
    <w:p>
      <w:pPr>
        <w:spacing w:after="0" w:line="29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59690</wp:posOffset>
            </wp:positionV>
            <wp:extent cx="677989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779895" cy="42545"/>
                    </a:xfrm>
                    <a:prstGeom prst="rect">
                      <a:avLst/>
                    </a:prstGeom>
                    <a:noFill/>
                  </pic:spPr>
                </pic:pic>
              </a:graphicData>
            </a:graphic>
          </wp:anchor>
        </w:drawing>
      </w:r>
    </w:p>
    <w:p>
      <w:pPr>
        <w:sectPr>
          <w:pgSz w:w="11900" w:h="16838" w:orient="portrait"/>
          <w:cols w:equalWidth="0" w:num="1">
            <w:col w:w="10620"/>
          </w:cols>
          <w:pgMar w:left="640" w:top="271" w:right="639" w:bottom="1440" w:gutter="0" w:footer="0" w:header="0"/>
        </w:sectPr>
      </w:pPr>
    </w:p>
    <w:bookmarkStart w:id="91" w:name="page92"/>
    <w:bookmarkEnd w:id="91"/>
    <w:tbl>
      <w:tblPr>
        <w:tblLayout w:type="fixed"/>
        <w:tblInd w:w="0" w:type="dxa"/>
        <w:tblCellMar>
          <w:top w:w="0" w:type="dxa"/>
          <w:left w:w="0" w:type="dxa"/>
          <w:bottom w:w="0" w:type="dxa"/>
          <w:right w:w="0" w:type="dxa"/>
        </w:tblCellMar>
      </w:tblPr>
      <w:tr>
        <w:trPr>
          <w:trHeight w:val="142"/>
        </w:trPr>
        <w:tc>
          <w:tcPr>
            <w:tcW w:w="2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2880" w:type="dxa"/>
            <w:vAlign w:val="bottom"/>
            <w:tcBorders>
              <w:bottom w:val="single" w:sz="8" w:color="auto"/>
            </w:tcBorders>
            <w:gridSpan w:val="5"/>
          </w:tcPr>
          <w:p>
            <w:pPr>
              <w:jc w:val="right"/>
              <w:ind w:right="620"/>
              <w:spacing w:after="0"/>
              <w:rPr>
                <w:sz w:val="20"/>
                <w:szCs w:val="20"/>
                <w:color w:val="auto"/>
              </w:rPr>
            </w:pPr>
            <w:r>
              <w:rPr>
                <w:rFonts w:ascii="Arial" w:cs="Arial" w:eastAsia="Arial" w:hAnsi="Arial"/>
                <w:sz w:val="11"/>
                <w:szCs w:val="11"/>
                <w:b w:val="1"/>
                <w:bCs w:val="1"/>
                <w:color w:val="auto"/>
                <w:w w:val="92"/>
              </w:rPr>
              <w:t>Fair Value Measurement at December 31, 2014</w:t>
            </w:r>
          </w:p>
        </w:tc>
        <w:tc>
          <w:tcPr>
            <w:tcW w:w="4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r>
      <w:tr>
        <w:trPr>
          <w:trHeight w:val="169"/>
        </w:trPr>
        <w:tc>
          <w:tcPr>
            <w:tcW w:w="2720" w:type="dxa"/>
            <w:vAlign w:val="bottom"/>
            <w:tcBorders>
              <w:bottom w:val="single" w:sz="8" w:color="auto"/>
            </w:tcBorders>
          </w:tcPr>
          <w:p>
            <w:pPr>
              <w:spacing w:after="0"/>
              <w:rPr>
                <w:sz w:val="20"/>
                <w:szCs w:val="20"/>
                <w:color w:val="auto"/>
              </w:rPr>
            </w:pPr>
            <w:r>
              <w:rPr>
                <w:rFonts w:ascii="Arial" w:cs="Arial" w:eastAsia="Arial" w:hAnsi="Arial"/>
                <w:sz w:val="11"/>
                <w:szCs w:val="11"/>
                <w:color w:val="auto"/>
              </w:rPr>
              <w:t>(Dollars in thousands)</w:t>
            </w:r>
          </w:p>
        </w:tc>
        <w:tc>
          <w:tcPr>
            <w:tcW w:w="26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206"/>
              <w:spacing w:after="0"/>
              <w:rPr>
                <w:sz w:val="20"/>
                <w:szCs w:val="20"/>
                <w:color w:val="auto"/>
              </w:rPr>
            </w:pPr>
            <w:r>
              <w:rPr>
                <w:rFonts w:ascii="Arial" w:cs="Arial" w:eastAsia="Arial" w:hAnsi="Arial"/>
                <w:sz w:val="11"/>
                <w:szCs w:val="11"/>
                <w:b w:val="1"/>
                <w:bCs w:val="1"/>
                <w:color w:val="auto"/>
                <w:w w:val="90"/>
              </w:rPr>
              <w:t>Carrying Value</w:t>
            </w:r>
          </w:p>
        </w:tc>
        <w:tc>
          <w:tcPr>
            <w:tcW w:w="2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406"/>
              <w:spacing w:after="0"/>
              <w:rPr>
                <w:sz w:val="20"/>
                <w:szCs w:val="20"/>
                <w:color w:val="auto"/>
              </w:rPr>
            </w:pPr>
            <w:r>
              <w:rPr>
                <w:rFonts w:ascii="Arial" w:cs="Arial" w:eastAsia="Arial" w:hAnsi="Arial"/>
                <w:sz w:val="11"/>
                <w:szCs w:val="11"/>
                <w:b w:val="1"/>
                <w:bCs w:val="1"/>
                <w:color w:val="auto"/>
              </w:rPr>
              <w:t>Level 1</w:t>
            </w:r>
          </w:p>
        </w:tc>
        <w:tc>
          <w:tcPr>
            <w:tcW w:w="2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66"/>
              <w:spacing w:after="0"/>
              <w:rPr>
                <w:sz w:val="20"/>
                <w:szCs w:val="20"/>
                <w:color w:val="auto"/>
              </w:rPr>
            </w:pPr>
            <w:r>
              <w:rPr>
                <w:rFonts w:ascii="Arial" w:cs="Arial" w:eastAsia="Arial" w:hAnsi="Arial"/>
                <w:sz w:val="11"/>
                <w:szCs w:val="11"/>
                <w:b w:val="1"/>
                <w:bCs w:val="1"/>
                <w:color w:val="auto"/>
              </w:rPr>
              <w:t>Level 2</w:t>
            </w:r>
          </w:p>
        </w:tc>
        <w:tc>
          <w:tcPr>
            <w:tcW w:w="26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46"/>
              <w:spacing w:after="0"/>
              <w:rPr>
                <w:sz w:val="20"/>
                <w:szCs w:val="20"/>
                <w:color w:val="auto"/>
              </w:rPr>
            </w:pPr>
            <w:r>
              <w:rPr>
                <w:rFonts w:ascii="Arial" w:cs="Arial" w:eastAsia="Arial" w:hAnsi="Arial"/>
                <w:sz w:val="11"/>
                <w:szCs w:val="11"/>
                <w:b w:val="1"/>
                <w:bCs w:val="1"/>
                <w:color w:val="auto"/>
              </w:rPr>
              <w:t>Level 3</w:t>
            </w:r>
          </w:p>
        </w:tc>
        <w:tc>
          <w:tcPr>
            <w:tcW w:w="26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486"/>
              <w:spacing w:after="0"/>
              <w:rPr>
                <w:sz w:val="20"/>
                <w:szCs w:val="20"/>
                <w:color w:val="auto"/>
              </w:rPr>
            </w:pPr>
            <w:r>
              <w:rPr>
                <w:rFonts w:ascii="Arial" w:cs="Arial" w:eastAsia="Arial" w:hAnsi="Arial"/>
                <w:sz w:val="11"/>
                <w:szCs w:val="11"/>
                <w:b w:val="1"/>
                <w:bCs w:val="1"/>
                <w:color w:val="auto"/>
              </w:rPr>
              <w:t>Total</w:t>
            </w:r>
          </w:p>
        </w:tc>
      </w:tr>
      <w:tr>
        <w:trPr>
          <w:trHeight w:val="180"/>
        </w:trPr>
        <w:tc>
          <w:tcPr>
            <w:tcW w:w="2980" w:type="dxa"/>
            <w:vAlign w:val="bottom"/>
            <w:gridSpan w:val="2"/>
            <w:shd w:val="clear" w:color="auto" w:fill="CCEEFF"/>
          </w:tcPr>
          <w:p>
            <w:pPr>
              <w:spacing w:after="0"/>
              <w:rPr>
                <w:sz w:val="20"/>
                <w:szCs w:val="20"/>
                <w:color w:val="auto"/>
              </w:rPr>
            </w:pPr>
            <w:r>
              <w:rPr>
                <w:rFonts w:ascii="Arial" w:cs="Arial" w:eastAsia="Arial" w:hAnsi="Arial"/>
                <w:sz w:val="11"/>
                <w:szCs w:val="11"/>
                <w:b w:val="1"/>
                <w:bCs w:val="1"/>
                <w:color w:val="auto"/>
              </w:rPr>
              <w:t>Financial assets</w:t>
            </w: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187"/>
        </w:trPr>
        <w:tc>
          <w:tcPr>
            <w:tcW w:w="2980" w:type="dxa"/>
            <w:vAlign w:val="bottom"/>
            <w:gridSpan w:val="2"/>
          </w:tcPr>
          <w:p>
            <w:pPr>
              <w:ind w:left="60"/>
              <w:spacing w:after="0"/>
              <w:rPr>
                <w:sz w:val="20"/>
                <w:szCs w:val="20"/>
                <w:color w:val="auto"/>
              </w:rPr>
            </w:pPr>
            <w:r>
              <w:rPr>
                <w:rFonts w:ascii="Arial" w:cs="Arial" w:eastAsia="Arial" w:hAnsi="Arial"/>
                <w:sz w:val="11"/>
                <w:szCs w:val="11"/>
                <w:color w:val="auto"/>
              </w:rPr>
              <w:t>Cash and Cash equivalents</w:t>
            </w:r>
          </w:p>
        </w:tc>
        <w:tc>
          <w:tcPr>
            <w:tcW w:w="280" w:type="dxa"/>
            <w:vAlign w:val="bottom"/>
          </w:tcPr>
          <w:p>
            <w:pPr>
              <w:jc w:val="right"/>
              <w:spacing w:after="0"/>
              <w:rPr>
                <w:sz w:val="20"/>
                <w:szCs w:val="20"/>
                <w:color w:val="auto"/>
              </w:rPr>
            </w:pPr>
            <w:r>
              <w:rPr>
                <w:rFonts w:ascii="Arial" w:cs="Arial" w:eastAsia="Arial" w:hAnsi="Arial"/>
                <w:sz w:val="11"/>
                <w:szCs w:val="11"/>
                <w:color w:val="auto"/>
              </w:rPr>
              <w:t>$</w:t>
            </w:r>
          </w:p>
        </w:tc>
        <w:tc>
          <w:tcPr>
            <w:tcW w:w="980" w:type="dxa"/>
            <w:vAlign w:val="bottom"/>
          </w:tcPr>
          <w:p>
            <w:pPr>
              <w:jc w:val="right"/>
              <w:spacing w:after="0"/>
              <w:rPr>
                <w:sz w:val="20"/>
                <w:szCs w:val="20"/>
                <w:color w:val="auto"/>
              </w:rPr>
            </w:pPr>
            <w:r>
              <w:rPr>
                <w:rFonts w:ascii="Arial" w:cs="Arial" w:eastAsia="Arial" w:hAnsi="Arial"/>
                <w:sz w:val="11"/>
                <w:szCs w:val="11"/>
                <w:color w:val="auto"/>
              </w:rPr>
              <w:t>50,248</w:t>
            </w:r>
          </w:p>
        </w:tc>
        <w:tc>
          <w:tcPr>
            <w:tcW w:w="280" w:type="dxa"/>
            <w:vAlign w:val="bottom"/>
          </w:tcPr>
          <w:p>
            <w:pPr>
              <w:spacing w:after="0"/>
              <w:rPr>
                <w:sz w:val="16"/>
                <w:szCs w:val="16"/>
                <w:color w:val="auto"/>
              </w:rPr>
            </w:pPr>
          </w:p>
        </w:tc>
        <w:tc>
          <w:tcPr>
            <w:tcW w:w="36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880" w:type="dxa"/>
            <w:vAlign w:val="bottom"/>
          </w:tcPr>
          <w:p>
            <w:pPr>
              <w:jc w:val="right"/>
              <w:spacing w:after="0"/>
              <w:rPr>
                <w:sz w:val="20"/>
                <w:szCs w:val="20"/>
                <w:color w:val="auto"/>
              </w:rPr>
            </w:pPr>
            <w:r>
              <w:rPr>
                <w:rFonts w:ascii="Arial" w:cs="Arial" w:eastAsia="Arial" w:hAnsi="Arial"/>
                <w:sz w:val="11"/>
                <w:szCs w:val="11"/>
                <w:color w:val="auto"/>
              </w:rPr>
              <w:t>50,248</w:t>
            </w:r>
          </w:p>
        </w:tc>
        <w:tc>
          <w:tcPr>
            <w:tcW w:w="280" w:type="dxa"/>
            <w:vAlign w:val="bottom"/>
          </w:tcPr>
          <w:p>
            <w:pPr>
              <w:spacing w:after="0"/>
              <w:rPr>
                <w:sz w:val="16"/>
                <w:szCs w:val="16"/>
                <w:color w:val="auto"/>
              </w:rPr>
            </w:pPr>
          </w:p>
        </w:tc>
        <w:tc>
          <w:tcPr>
            <w:tcW w:w="36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126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40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12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40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940" w:type="dxa"/>
            <w:vAlign w:val="bottom"/>
          </w:tcPr>
          <w:p>
            <w:pPr>
              <w:jc w:val="right"/>
              <w:spacing w:after="0"/>
              <w:rPr>
                <w:sz w:val="20"/>
                <w:szCs w:val="20"/>
                <w:color w:val="auto"/>
              </w:rPr>
            </w:pPr>
            <w:r>
              <w:rPr>
                <w:rFonts w:ascii="Arial" w:cs="Arial" w:eastAsia="Arial" w:hAnsi="Arial"/>
                <w:sz w:val="11"/>
                <w:szCs w:val="11"/>
                <w:color w:val="auto"/>
              </w:rPr>
              <w:t>50,248</w:t>
            </w:r>
          </w:p>
        </w:tc>
      </w:tr>
      <w:tr>
        <w:trPr>
          <w:trHeight w:val="191"/>
        </w:trPr>
        <w:tc>
          <w:tcPr>
            <w:tcW w:w="2980" w:type="dxa"/>
            <w:vAlign w:val="bottom"/>
            <w:gridSpan w:val="2"/>
            <w:shd w:val="clear" w:color="auto" w:fill="CCEEFF"/>
          </w:tcPr>
          <w:p>
            <w:pPr>
              <w:ind w:left="60"/>
              <w:spacing w:after="0"/>
              <w:rPr>
                <w:sz w:val="20"/>
                <w:szCs w:val="20"/>
                <w:color w:val="auto"/>
              </w:rPr>
            </w:pPr>
            <w:r>
              <w:rPr>
                <w:rFonts w:ascii="Arial" w:cs="Arial" w:eastAsia="Arial" w:hAnsi="Arial"/>
                <w:sz w:val="11"/>
                <w:szCs w:val="11"/>
                <w:color w:val="auto"/>
              </w:rPr>
              <w:t>Accounts receivables</w:t>
            </w: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11,348</w:t>
            </w:r>
          </w:p>
        </w:tc>
        <w:tc>
          <w:tcPr>
            <w:tcW w:w="2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11,348</w:t>
            </w:r>
          </w:p>
        </w:tc>
        <w:tc>
          <w:tcPr>
            <w:tcW w:w="2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40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4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11,348</w:t>
            </w:r>
          </w:p>
        </w:tc>
      </w:tr>
      <w:tr>
        <w:trPr>
          <w:trHeight w:val="187"/>
        </w:trPr>
        <w:tc>
          <w:tcPr>
            <w:tcW w:w="2980" w:type="dxa"/>
            <w:vAlign w:val="bottom"/>
            <w:gridSpan w:val="2"/>
          </w:tcPr>
          <w:p>
            <w:pPr>
              <w:ind w:left="60"/>
              <w:spacing w:after="0"/>
              <w:rPr>
                <w:sz w:val="20"/>
                <w:szCs w:val="20"/>
                <w:color w:val="auto"/>
              </w:rPr>
            </w:pPr>
            <w:r>
              <w:rPr>
                <w:rFonts w:ascii="Arial" w:cs="Arial" w:eastAsia="Arial" w:hAnsi="Arial"/>
                <w:sz w:val="11"/>
                <w:szCs w:val="11"/>
                <w:color w:val="auto"/>
              </w:rPr>
              <w:t>Restricted Cash</w:t>
            </w: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1,433</w:t>
            </w: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1,433</w:t>
            </w: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400" w:type="dxa"/>
            <w:vAlign w:val="bottom"/>
          </w:tcPr>
          <w:p>
            <w:pPr>
              <w:spacing w:after="0"/>
              <w:rPr>
                <w:sz w:val="16"/>
                <w:szCs w:val="16"/>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4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1,433</w:t>
            </w:r>
          </w:p>
        </w:tc>
      </w:tr>
      <w:tr>
        <w:trPr>
          <w:trHeight w:val="191"/>
        </w:trPr>
        <w:tc>
          <w:tcPr>
            <w:tcW w:w="2980" w:type="dxa"/>
            <w:vAlign w:val="bottom"/>
            <w:gridSpan w:val="2"/>
            <w:shd w:val="clear" w:color="auto" w:fill="CCEEFF"/>
          </w:tcPr>
          <w:p>
            <w:pPr>
              <w:spacing w:after="0"/>
              <w:rPr>
                <w:sz w:val="20"/>
                <w:szCs w:val="20"/>
                <w:color w:val="auto"/>
              </w:rPr>
            </w:pPr>
            <w:r>
              <w:rPr>
                <w:rFonts w:ascii="Arial" w:cs="Arial" w:eastAsia="Arial" w:hAnsi="Arial"/>
                <w:sz w:val="11"/>
                <w:szCs w:val="11"/>
                <w:b w:val="1"/>
                <w:bCs w:val="1"/>
                <w:color w:val="auto"/>
              </w:rPr>
              <w:t>Financial liabilities</w:t>
            </w: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r>
      <w:tr>
        <w:trPr>
          <w:trHeight w:val="187"/>
        </w:trPr>
        <w:tc>
          <w:tcPr>
            <w:tcW w:w="2980" w:type="dxa"/>
            <w:vAlign w:val="bottom"/>
            <w:gridSpan w:val="2"/>
          </w:tcPr>
          <w:p>
            <w:pPr>
              <w:ind w:left="60"/>
              <w:spacing w:after="0"/>
              <w:rPr>
                <w:sz w:val="20"/>
                <w:szCs w:val="20"/>
                <w:color w:val="auto"/>
              </w:rPr>
            </w:pPr>
            <w:r>
              <w:rPr>
                <w:rFonts w:ascii="Arial" w:cs="Arial" w:eastAsia="Arial" w:hAnsi="Arial"/>
                <w:sz w:val="11"/>
                <w:szCs w:val="11"/>
                <w:color w:val="auto"/>
              </w:rPr>
              <w:t>Accounts and film rent payable</w:t>
            </w:r>
          </w:p>
        </w:tc>
        <w:tc>
          <w:tcPr>
            <w:tcW w:w="280" w:type="dxa"/>
            <w:vAlign w:val="bottom"/>
          </w:tcPr>
          <w:p>
            <w:pPr>
              <w:jc w:val="right"/>
              <w:spacing w:after="0"/>
              <w:rPr>
                <w:sz w:val="20"/>
                <w:szCs w:val="20"/>
                <w:color w:val="auto"/>
              </w:rPr>
            </w:pPr>
            <w:r>
              <w:rPr>
                <w:rFonts w:ascii="Arial" w:cs="Arial" w:eastAsia="Arial" w:hAnsi="Arial"/>
                <w:sz w:val="11"/>
                <w:szCs w:val="11"/>
                <w:color w:val="auto"/>
              </w:rPr>
              <w:t>$</w:t>
            </w:r>
          </w:p>
        </w:tc>
        <w:tc>
          <w:tcPr>
            <w:tcW w:w="980" w:type="dxa"/>
            <w:vAlign w:val="bottom"/>
          </w:tcPr>
          <w:p>
            <w:pPr>
              <w:jc w:val="right"/>
              <w:spacing w:after="0"/>
              <w:rPr>
                <w:sz w:val="20"/>
                <w:szCs w:val="20"/>
                <w:color w:val="auto"/>
              </w:rPr>
            </w:pPr>
            <w:r>
              <w:rPr>
                <w:rFonts w:ascii="Arial" w:cs="Arial" w:eastAsia="Arial" w:hAnsi="Arial"/>
                <w:sz w:val="11"/>
                <w:szCs w:val="11"/>
                <w:color w:val="auto"/>
              </w:rPr>
              <w:t>28,845</w:t>
            </w:r>
          </w:p>
        </w:tc>
        <w:tc>
          <w:tcPr>
            <w:tcW w:w="280" w:type="dxa"/>
            <w:vAlign w:val="bottom"/>
          </w:tcPr>
          <w:p>
            <w:pPr>
              <w:spacing w:after="0"/>
              <w:rPr>
                <w:sz w:val="16"/>
                <w:szCs w:val="16"/>
                <w:color w:val="auto"/>
              </w:rPr>
            </w:pPr>
          </w:p>
        </w:tc>
        <w:tc>
          <w:tcPr>
            <w:tcW w:w="36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880" w:type="dxa"/>
            <w:vAlign w:val="bottom"/>
          </w:tcPr>
          <w:p>
            <w:pPr>
              <w:jc w:val="right"/>
              <w:spacing w:after="0"/>
              <w:rPr>
                <w:sz w:val="20"/>
                <w:szCs w:val="20"/>
                <w:color w:val="auto"/>
              </w:rPr>
            </w:pPr>
            <w:r>
              <w:rPr>
                <w:rFonts w:ascii="Arial" w:cs="Arial" w:eastAsia="Arial" w:hAnsi="Arial"/>
                <w:sz w:val="11"/>
                <w:szCs w:val="11"/>
                <w:color w:val="auto"/>
              </w:rPr>
              <w:t>28,845</w:t>
            </w:r>
          </w:p>
        </w:tc>
        <w:tc>
          <w:tcPr>
            <w:tcW w:w="280" w:type="dxa"/>
            <w:vAlign w:val="bottom"/>
          </w:tcPr>
          <w:p>
            <w:pPr>
              <w:spacing w:after="0"/>
              <w:rPr>
                <w:sz w:val="16"/>
                <w:szCs w:val="16"/>
                <w:color w:val="auto"/>
              </w:rPr>
            </w:pPr>
          </w:p>
        </w:tc>
        <w:tc>
          <w:tcPr>
            <w:tcW w:w="36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126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40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12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40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940" w:type="dxa"/>
            <w:vAlign w:val="bottom"/>
          </w:tcPr>
          <w:p>
            <w:pPr>
              <w:jc w:val="right"/>
              <w:spacing w:after="0"/>
              <w:rPr>
                <w:sz w:val="20"/>
                <w:szCs w:val="20"/>
                <w:color w:val="auto"/>
              </w:rPr>
            </w:pPr>
            <w:r>
              <w:rPr>
                <w:rFonts w:ascii="Arial" w:cs="Arial" w:eastAsia="Arial" w:hAnsi="Arial"/>
                <w:sz w:val="11"/>
                <w:szCs w:val="11"/>
                <w:color w:val="auto"/>
              </w:rPr>
              <w:t>28,845</w:t>
            </w:r>
          </w:p>
        </w:tc>
      </w:tr>
      <w:tr>
        <w:trPr>
          <w:trHeight w:val="191"/>
        </w:trPr>
        <w:tc>
          <w:tcPr>
            <w:tcW w:w="2980" w:type="dxa"/>
            <w:vAlign w:val="bottom"/>
            <w:gridSpan w:val="2"/>
            <w:shd w:val="clear" w:color="auto" w:fill="CCEEFF"/>
          </w:tcPr>
          <w:p>
            <w:pPr>
              <w:ind w:left="60"/>
              <w:spacing w:after="0"/>
              <w:rPr>
                <w:sz w:val="20"/>
                <w:szCs w:val="20"/>
                <w:color w:val="auto"/>
              </w:rPr>
            </w:pPr>
            <w:r>
              <w:rPr>
                <w:rFonts w:ascii="Arial" w:cs="Arial" w:eastAsia="Arial" w:hAnsi="Arial"/>
                <w:sz w:val="11"/>
                <w:szCs w:val="11"/>
                <w:color w:val="auto"/>
              </w:rPr>
              <w:t>Notes payable</w:t>
            </w: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136,123</w:t>
            </w:r>
          </w:p>
        </w:tc>
        <w:tc>
          <w:tcPr>
            <w:tcW w:w="2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1"/>
                <w:szCs w:val="11"/>
                <w:color w:val="auto"/>
              </w:rPr>
              <w:t>--</w:t>
            </w:r>
          </w:p>
        </w:tc>
        <w:tc>
          <w:tcPr>
            <w:tcW w:w="36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4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116,115</w:t>
            </w:r>
          </w:p>
        </w:tc>
        <w:tc>
          <w:tcPr>
            <w:tcW w:w="2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116,115</w:t>
            </w:r>
          </w:p>
        </w:tc>
      </w:tr>
      <w:tr>
        <w:trPr>
          <w:trHeight w:val="194"/>
        </w:trPr>
        <w:tc>
          <w:tcPr>
            <w:tcW w:w="2980" w:type="dxa"/>
            <w:vAlign w:val="bottom"/>
            <w:gridSpan w:val="2"/>
          </w:tcPr>
          <w:p>
            <w:pPr>
              <w:ind w:left="60"/>
              <w:spacing w:after="0"/>
              <w:rPr>
                <w:sz w:val="20"/>
                <w:szCs w:val="20"/>
                <w:color w:val="auto"/>
              </w:rPr>
            </w:pPr>
            <w:r>
              <w:rPr>
                <w:rFonts w:ascii="Arial" w:cs="Arial" w:eastAsia="Arial" w:hAnsi="Arial"/>
                <w:sz w:val="11"/>
                <w:szCs w:val="11"/>
                <w:color w:val="auto"/>
              </w:rPr>
              <w:t>Subordinated debt</w:t>
            </w: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27,913</w:t>
            </w: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360" w:type="dxa"/>
            <w:vAlign w:val="bottom"/>
          </w:tcPr>
          <w:p>
            <w:pPr>
              <w:spacing w:after="0"/>
              <w:rPr>
                <w:sz w:val="16"/>
                <w:szCs w:val="16"/>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4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10,096</w:t>
            </w:r>
          </w:p>
        </w:tc>
        <w:tc>
          <w:tcPr>
            <w:tcW w:w="2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10,096</w:t>
            </w:r>
          </w:p>
        </w:tc>
      </w:tr>
    </w:tbl>
    <w:p>
      <w:pPr>
        <w:spacing w:after="0" w:line="26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17 - Future Minimum Rental Income</w:t>
      </w:r>
    </w:p>
    <w:p>
      <w:pPr>
        <w:spacing w:after="0" w:line="136" w:lineRule="exact"/>
        <w:rPr>
          <w:sz w:val="20"/>
          <w:szCs w:val="20"/>
          <w:color w:val="auto"/>
        </w:rPr>
      </w:pPr>
    </w:p>
    <w:p>
      <w:pPr>
        <w:ind w:right="60"/>
        <w:spacing w:after="0" w:line="276" w:lineRule="auto"/>
        <w:rPr>
          <w:sz w:val="20"/>
          <w:szCs w:val="20"/>
          <w:color w:val="auto"/>
        </w:rPr>
      </w:pPr>
      <w:r>
        <w:rPr>
          <w:rFonts w:ascii="Arial" w:cs="Arial" w:eastAsia="Arial" w:hAnsi="Arial"/>
          <w:sz w:val="12"/>
          <w:szCs w:val="12"/>
          <w:color w:val="auto"/>
        </w:rPr>
        <w:t>Real estate revenue amounted to $15.0 million, $16.9 million, and $18.8 million, for the years ended December 31, 2015, 2014, and 2013, respectively. As of December 31, 2015, future minimum rental income under all contractual operating leases is summarized as follows: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7320" w:type="dxa"/>
            <w:vAlign w:val="bottom"/>
            <w:gridSpan w:val="2"/>
          </w:tcPr>
          <w:p>
            <w:pPr>
              <w:spacing w:after="0"/>
              <w:rPr>
                <w:sz w:val="20"/>
                <w:szCs w:val="20"/>
                <w:color w:val="auto"/>
              </w:rPr>
            </w:pPr>
            <w:r>
              <w:rPr>
                <w:rFonts w:ascii="Arial" w:cs="Arial" w:eastAsia="Arial" w:hAnsi="Arial"/>
                <w:sz w:val="11"/>
                <w:szCs w:val="11"/>
                <w:color w:val="auto"/>
              </w:rPr>
              <w:t>(Dollars in thousands)</w:t>
            </w:r>
          </w:p>
        </w:tc>
        <w:tc>
          <w:tcPr>
            <w:tcW w:w="660" w:type="dxa"/>
            <w:vAlign w:val="bottom"/>
          </w:tcPr>
          <w:p>
            <w:pPr>
              <w:spacing w:after="0"/>
              <w:rPr>
                <w:sz w:val="12"/>
                <w:szCs w:val="12"/>
                <w:color w:val="auto"/>
              </w:rPr>
            </w:pPr>
          </w:p>
        </w:tc>
        <w:tc>
          <w:tcPr>
            <w:tcW w:w="2640" w:type="dxa"/>
            <w:vAlign w:val="bottom"/>
          </w:tcPr>
          <w:p>
            <w:pPr>
              <w:jc w:val="right"/>
              <w:ind w:right="846"/>
              <w:spacing w:after="0"/>
              <w:rPr>
                <w:sz w:val="20"/>
                <w:szCs w:val="20"/>
                <w:color w:val="auto"/>
              </w:rPr>
            </w:pPr>
            <w:r>
              <w:rPr>
                <w:rFonts w:ascii="Arial" w:cs="Arial" w:eastAsia="Arial" w:hAnsi="Arial"/>
                <w:sz w:val="11"/>
                <w:szCs w:val="11"/>
                <w:b w:val="1"/>
                <w:bCs w:val="1"/>
                <w:color w:val="auto"/>
              </w:rPr>
              <w:t>Future Minimum Rental Income</w:t>
            </w:r>
          </w:p>
        </w:tc>
      </w:tr>
      <w:tr>
        <w:trPr>
          <w:trHeight w:val="180"/>
        </w:trPr>
        <w:tc>
          <w:tcPr>
            <w:tcW w:w="68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1"/>
                <w:szCs w:val="11"/>
                <w:color w:val="auto"/>
              </w:rPr>
              <w:t>2016</w:t>
            </w:r>
          </w:p>
        </w:tc>
        <w:tc>
          <w:tcPr>
            <w:tcW w:w="44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jc w:val="right"/>
              <w:ind w:right="166"/>
              <w:spacing w:after="0"/>
              <w:rPr>
                <w:sz w:val="20"/>
                <w:szCs w:val="20"/>
                <w:color w:val="auto"/>
              </w:rPr>
            </w:pPr>
            <w:r>
              <w:rPr>
                <w:rFonts w:ascii="Arial" w:cs="Arial" w:eastAsia="Arial" w:hAnsi="Arial"/>
                <w:sz w:val="11"/>
                <w:szCs w:val="11"/>
                <w:color w:val="auto"/>
              </w:rPr>
              <w:t>$</w:t>
            </w:r>
          </w:p>
        </w:tc>
        <w:tc>
          <w:tcPr>
            <w:tcW w:w="2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7,919</w:t>
            </w:r>
          </w:p>
        </w:tc>
      </w:tr>
      <w:tr>
        <w:trPr>
          <w:trHeight w:val="187"/>
        </w:trPr>
        <w:tc>
          <w:tcPr>
            <w:tcW w:w="6880" w:type="dxa"/>
            <w:vAlign w:val="bottom"/>
          </w:tcPr>
          <w:p>
            <w:pPr>
              <w:spacing w:after="0"/>
              <w:rPr>
                <w:sz w:val="20"/>
                <w:szCs w:val="20"/>
                <w:color w:val="auto"/>
              </w:rPr>
            </w:pPr>
            <w:r>
              <w:rPr>
                <w:rFonts w:ascii="Arial" w:cs="Arial" w:eastAsia="Arial" w:hAnsi="Arial"/>
                <w:sz w:val="11"/>
                <w:szCs w:val="11"/>
                <w:color w:val="auto"/>
              </w:rPr>
              <w:t>2017</w:t>
            </w:r>
          </w:p>
        </w:tc>
        <w:tc>
          <w:tcPr>
            <w:tcW w:w="4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40" w:type="dxa"/>
            <w:vAlign w:val="bottom"/>
          </w:tcPr>
          <w:p>
            <w:pPr>
              <w:jc w:val="right"/>
              <w:spacing w:after="0"/>
              <w:rPr>
                <w:sz w:val="20"/>
                <w:szCs w:val="20"/>
                <w:color w:val="auto"/>
              </w:rPr>
            </w:pPr>
            <w:r>
              <w:rPr>
                <w:rFonts w:ascii="Arial" w:cs="Arial" w:eastAsia="Arial" w:hAnsi="Arial"/>
                <w:sz w:val="11"/>
                <w:szCs w:val="11"/>
                <w:color w:val="auto"/>
              </w:rPr>
              <w:t>6,781</w:t>
            </w:r>
          </w:p>
        </w:tc>
      </w:tr>
      <w:tr>
        <w:trPr>
          <w:trHeight w:val="191"/>
        </w:trPr>
        <w:tc>
          <w:tcPr>
            <w:tcW w:w="6880" w:type="dxa"/>
            <w:vAlign w:val="bottom"/>
            <w:shd w:val="clear" w:color="auto" w:fill="CCEEFF"/>
          </w:tcPr>
          <w:p>
            <w:pPr>
              <w:spacing w:after="0"/>
              <w:rPr>
                <w:sz w:val="20"/>
                <w:szCs w:val="20"/>
                <w:color w:val="auto"/>
              </w:rPr>
            </w:pPr>
            <w:r>
              <w:rPr>
                <w:rFonts w:ascii="Arial" w:cs="Arial" w:eastAsia="Arial" w:hAnsi="Arial"/>
                <w:sz w:val="11"/>
                <w:szCs w:val="11"/>
                <w:color w:val="auto"/>
              </w:rPr>
              <w:t>2018</w:t>
            </w:r>
          </w:p>
        </w:tc>
        <w:tc>
          <w:tcPr>
            <w:tcW w:w="4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6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5,889</w:t>
            </w:r>
          </w:p>
        </w:tc>
      </w:tr>
      <w:tr>
        <w:trPr>
          <w:trHeight w:val="187"/>
        </w:trPr>
        <w:tc>
          <w:tcPr>
            <w:tcW w:w="6880" w:type="dxa"/>
            <w:vAlign w:val="bottom"/>
          </w:tcPr>
          <w:p>
            <w:pPr>
              <w:spacing w:after="0"/>
              <w:rPr>
                <w:sz w:val="20"/>
                <w:szCs w:val="20"/>
                <w:color w:val="auto"/>
              </w:rPr>
            </w:pPr>
            <w:r>
              <w:rPr>
                <w:rFonts w:ascii="Arial" w:cs="Arial" w:eastAsia="Arial" w:hAnsi="Arial"/>
                <w:sz w:val="11"/>
                <w:szCs w:val="11"/>
                <w:color w:val="auto"/>
              </w:rPr>
              <w:t>2019</w:t>
            </w:r>
          </w:p>
        </w:tc>
        <w:tc>
          <w:tcPr>
            <w:tcW w:w="4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40" w:type="dxa"/>
            <w:vAlign w:val="bottom"/>
          </w:tcPr>
          <w:p>
            <w:pPr>
              <w:jc w:val="right"/>
              <w:spacing w:after="0"/>
              <w:rPr>
                <w:sz w:val="20"/>
                <w:szCs w:val="20"/>
                <w:color w:val="auto"/>
              </w:rPr>
            </w:pPr>
            <w:r>
              <w:rPr>
                <w:rFonts w:ascii="Arial" w:cs="Arial" w:eastAsia="Arial" w:hAnsi="Arial"/>
                <w:sz w:val="11"/>
                <w:szCs w:val="11"/>
                <w:color w:val="auto"/>
              </w:rPr>
              <w:t>4,938</w:t>
            </w:r>
          </w:p>
        </w:tc>
      </w:tr>
      <w:tr>
        <w:trPr>
          <w:trHeight w:val="191"/>
        </w:trPr>
        <w:tc>
          <w:tcPr>
            <w:tcW w:w="6880" w:type="dxa"/>
            <w:vAlign w:val="bottom"/>
            <w:shd w:val="clear" w:color="auto" w:fill="CCEEFF"/>
          </w:tcPr>
          <w:p>
            <w:pPr>
              <w:spacing w:after="0"/>
              <w:rPr>
                <w:sz w:val="20"/>
                <w:szCs w:val="20"/>
                <w:color w:val="auto"/>
              </w:rPr>
            </w:pPr>
            <w:r>
              <w:rPr>
                <w:rFonts w:ascii="Arial" w:cs="Arial" w:eastAsia="Arial" w:hAnsi="Arial"/>
                <w:sz w:val="11"/>
                <w:szCs w:val="11"/>
                <w:color w:val="auto"/>
              </w:rPr>
              <w:t>2020</w:t>
            </w:r>
          </w:p>
        </w:tc>
        <w:tc>
          <w:tcPr>
            <w:tcW w:w="4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6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3,913</w:t>
            </w:r>
          </w:p>
        </w:tc>
      </w:tr>
      <w:tr>
        <w:trPr>
          <w:trHeight w:val="187"/>
        </w:trPr>
        <w:tc>
          <w:tcPr>
            <w:tcW w:w="7320" w:type="dxa"/>
            <w:vAlign w:val="bottom"/>
            <w:tcBorders>
              <w:bottom w:val="single" w:sz="8" w:color="CCEEFF"/>
            </w:tcBorders>
            <w:gridSpan w:val="2"/>
          </w:tcPr>
          <w:p>
            <w:pPr>
              <w:spacing w:after="0"/>
              <w:rPr>
                <w:sz w:val="20"/>
                <w:szCs w:val="20"/>
                <w:color w:val="auto"/>
              </w:rPr>
            </w:pPr>
            <w:r>
              <w:rPr>
                <w:rFonts w:ascii="Arial" w:cs="Arial" w:eastAsia="Arial" w:hAnsi="Arial"/>
                <w:sz w:val="11"/>
                <w:szCs w:val="11"/>
                <w:color w:val="auto"/>
              </w:rPr>
              <w:t>Thereafter</w:t>
            </w:r>
          </w:p>
        </w:tc>
        <w:tc>
          <w:tcPr>
            <w:tcW w:w="66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16,380</w:t>
            </w:r>
          </w:p>
        </w:tc>
      </w:tr>
      <w:tr>
        <w:trPr>
          <w:trHeight w:val="162"/>
        </w:trPr>
        <w:tc>
          <w:tcPr>
            <w:tcW w:w="73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1"/>
                <w:szCs w:val="11"/>
                <w:color w:val="auto"/>
              </w:rPr>
              <w:t>Total</w:t>
            </w:r>
          </w:p>
        </w:tc>
        <w:tc>
          <w:tcPr>
            <w:tcW w:w="660" w:type="dxa"/>
            <w:vAlign w:val="bottom"/>
            <w:tcBorders>
              <w:bottom w:val="single" w:sz="8" w:color="auto"/>
            </w:tcBorders>
            <w:shd w:val="clear" w:color="auto" w:fill="CCEEFF"/>
          </w:tcPr>
          <w:p>
            <w:pPr>
              <w:jc w:val="right"/>
              <w:ind w:right="166"/>
              <w:spacing w:after="0"/>
              <w:rPr>
                <w:sz w:val="20"/>
                <w:szCs w:val="20"/>
                <w:color w:val="auto"/>
              </w:rPr>
            </w:pPr>
            <w:r>
              <w:rPr>
                <w:rFonts w:ascii="Arial" w:cs="Arial" w:eastAsia="Arial" w:hAnsi="Arial"/>
                <w:sz w:val="11"/>
                <w:szCs w:val="11"/>
                <w:color w:val="auto"/>
              </w:rPr>
              <w:t>$</w:t>
            </w:r>
          </w:p>
        </w:tc>
        <w:tc>
          <w:tcPr>
            <w:tcW w:w="2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45,820</w:t>
            </w:r>
          </w:p>
        </w:tc>
      </w:tr>
    </w:tbl>
    <w:p>
      <w:pPr>
        <w:spacing w:after="0" w:line="26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18 – Related Parties and Transactions</w:t>
      </w:r>
    </w:p>
    <w:p>
      <w:pPr>
        <w:spacing w:after="0" w:line="13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Sutton Hill Capital</w:t>
      </w:r>
    </w:p>
    <w:p>
      <w:pPr>
        <w:spacing w:after="0" w:line="127" w:lineRule="exact"/>
        <w:rPr>
          <w:sz w:val="20"/>
          <w:szCs w:val="20"/>
          <w:color w:val="auto"/>
        </w:rPr>
      </w:pPr>
    </w:p>
    <w:p>
      <w:pPr>
        <w:ind w:right="20"/>
        <w:spacing w:after="0" w:line="298" w:lineRule="auto"/>
        <w:rPr>
          <w:sz w:val="20"/>
          <w:szCs w:val="20"/>
          <w:color w:val="auto"/>
        </w:rPr>
      </w:pPr>
      <w:r>
        <w:rPr>
          <w:rFonts w:ascii="Arial" w:cs="Arial" w:eastAsia="Arial" w:hAnsi="Arial"/>
          <w:sz w:val="11"/>
          <w:szCs w:val="11"/>
          <w:color w:val="auto"/>
        </w:rPr>
        <w:t>In 2001, we entered into a transaction with Sutton Hill Capital, LLC (“SHC”) regarding the master leasing, with an option to purchase, of certain cinemas located in Manhattan including our Village East and Cinemas 1,2,3 theaters. In connection with that transaction, we also agreed (i) to lend certain amounts to SHC, to provide liquidity in its investment, pending our determination whether or not to exercise our option to purchase and (ii) to manage the 86th Street Cinema on a fee basis. SHC is a limited liability company owned in equal shares by the Cotter Estate or the Cotter Trust and a third party.</w:t>
      </w:r>
    </w:p>
    <w:p>
      <w:pPr>
        <w:spacing w:after="0" w:line="105" w:lineRule="exact"/>
        <w:rPr>
          <w:sz w:val="20"/>
          <w:szCs w:val="20"/>
          <w:color w:val="auto"/>
        </w:rPr>
      </w:pPr>
    </w:p>
    <w:p>
      <w:pPr>
        <w:jc w:val="both"/>
        <w:ind w:right="80"/>
        <w:spacing w:after="0" w:line="263" w:lineRule="auto"/>
        <w:rPr>
          <w:sz w:val="20"/>
          <w:szCs w:val="20"/>
          <w:color w:val="auto"/>
        </w:rPr>
      </w:pPr>
      <w:r>
        <w:rPr>
          <w:rFonts w:ascii="Arial" w:cs="Arial" w:eastAsia="Arial" w:hAnsi="Arial"/>
          <w:sz w:val="12"/>
          <w:szCs w:val="12"/>
          <w:color w:val="auto"/>
        </w:rPr>
        <w:t>As previously reported, over the years, two of the cinemas subject to the master leasing agreement have been redeveloped and one (the Cinemas 1, 2 &amp; 3 discussed below) has been acquired. The Village East is the only cinema that remains subject to this master lease. We paid an annual rent of $590,000 for this cinema to SHC in each of 2015, 2014, and 2013. During this same period, we received management fees from the 86</w:t>
      </w:r>
      <w:r>
        <w:rPr>
          <w:rFonts w:ascii="Arial" w:cs="Arial" w:eastAsia="Arial" w:hAnsi="Arial"/>
          <w:sz w:val="5"/>
          <w:szCs w:val="5"/>
          <w:color w:val="auto"/>
        </w:rPr>
        <w:t>th</w:t>
      </w:r>
      <w:r>
        <w:rPr>
          <w:rFonts w:ascii="Arial" w:cs="Arial" w:eastAsia="Arial" w:hAnsi="Arial"/>
          <w:sz w:val="12"/>
          <w:szCs w:val="12"/>
          <w:color w:val="auto"/>
        </w:rPr>
        <w:t xml:space="preserve"> Street Cinema of $151,000, $123,000 and $183,000.</w:t>
      </w:r>
    </w:p>
    <w:p>
      <w:pPr>
        <w:spacing w:after="0" w:line="123" w:lineRule="exact"/>
        <w:rPr>
          <w:sz w:val="20"/>
          <w:szCs w:val="20"/>
          <w:color w:val="auto"/>
        </w:rPr>
      </w:pPr>
    </w:p>
    <w:p>
      <w:pPr>
        <w:ind w:right="40"/>
        <w:spacing w:after="0" w:line="283" w:lineRule="auto"/>
        <w:rPr>
          <w:sz w:val="20"/>
          <w:szCs w:val="20"/>
          <w:color w:val="auto"/>
        </w:rPr>
      </w:pPr>
      <w:r>
        <w:rPr>
          <w:rFonts w:ascii="Arial" w:cs="Arial" w:eastAsia="Arial" w:hAnsi="Arial"/>
          <w:sz w:val="11"/>
          <w:szCs w:val="11"/>
          <w:color w:val="auto"/>
        </w:rPr>
        <w:t>In 2005, we acquired (i) from a third party the fee interest underlying the Cinemas 1,2,3 and (ii) from SHC its interest in the ground lease estate underlying and the improvements constituting the Cinemas 1,2,3. The ground lease estate and the improvements acquired from SHC were originally a part of the master lease transaction, discussed above. In connection with that transaction, we granted to SHC an option to acquire at cost a 25% interest in the special purpose entity (Sutton Hill Properties, LLC) formed to acquire these fee, leasehold and improvements interests. On June 28, 2007, SHC exercised this option, paying $3.0 million and assuming a proportionate share of SHP’s liabilities. At the time of the option exercise and the closing of the acquisition of the 25% interest, SHP had debt of $26.9 million, including a $2.9 million, non-interest bearing intercompany loan from the Company. As of December 31, 2015, SHP had debt of $19.4 million (again, including the intercompany loan). Since the acquisition by SHC of its 25% interest, SHP has covered its operating costs and debt service through cash flow from the Cinema 1,2,3, (ii) borrowings from third parties, and (iii) pro-</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59690</wp:posOffset>
            </wp:positionV>
            <wp:extent cx="677989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779895" cy="42545"/>
                    </a:xfrm>
                    <a:prstGeom prst="rect">
                      <a:avLst/>
                    </a:prstGeom>
                    <a:noFill/>
                  </pic:spPr>
                </pic:pic>
              </a:graphicData>
            </a:graphic>
          </wp:anchor>
        </w:drawing>
      </w:r>
    </w:p>
    <w:p>
      <w:pPr>
        <w:sectPr>
          <w:pgSz w:w="11900" w:h="16838" w:orient="portrait"/>
          <w:cols w:equalWidth="0" w:num="1">
            <w:col w:w="10620"/>
          </w:cols>
          <w:pgMar w:left="640" w:top="337" w:right="639" w:bottom="1440" w:gutter="0" w:footer="0" w:header="0"/>
        </w:sectPr>
      </w:pPr>
    </w:p>
    <w:bookmarkStart w:id="92" w:name="page93"/>
    <w:bookmarkEnd w:id="92"/>
    <w:p>
      <w:pPr>
        <w:ind w:right="60"/>
        <w:spacing w:after="0" w:line="276" w:lineRule="auto"/>
        <w:rPr>
          <w:sz w:val="20"/>
          <w:szCs w:val="20"/>
          <w:color w:val="auto"/>
        </w:rPr>
      </w:pPr>
      <w:r>
        <w:rPr>
          <w:rFonts w:ascii="Arial" w:cs="Arial" w:eastAsia="Arial" w:hAnsi="Arial"/>
          <w:sz w:val="12"/>
          <w:szCs w:val="12"/>
          <w:color w:val="auto"/>
        </w:rPr>
        <w:t>rata contributions from the members. We receive an annual management fee equal to 5% of SHP’s gross income for managing the cinema and the property, amounting to $153,000, $123,000 and $183,000 in 2015, 2014 and 2013 respectively. This management fee was modified in 2015, as discussed below, retroactive to December 1, 2014.</w:t>
      </w:r>
    </w:p>
    <w:p>
      <w:pPr>
        <w:spacing w:after="0" w:line="115" w:lineRule="exact"/>
        <w:rPr>
          <w:sz w:val="20"/>
          <w:szCs w:val="20"/>
          <w:color w:val="auto"/>
        </w:rPr>
      </w:pPr>
    </w:p>
    <w:p>
      <w:pPr>
        <w:ind w:right="60"/>
        <w:spacing w:after="0" w:line="283" w:lineRule="auto"/>
        <w:rPr>
          <w:sz w:val="20"/>
          <w:szCs w:val="20"/>
          <w:color w:val="auto"/>
        </w:rPr>
      </w:pPr>
      <w:r>
        <w:rPr>
          <w:rFonts w:ascii="Arial" w:cs="Arial" w:eastAsia="Arial" w:hAnsi="Arial"/>
          <w:sz w:val="11"/>
          <w:szCs w:val="11"/>
          <w:color w:val="auto"/>
        </w:rPr>
        <w:t xml:space="preserve">On June 29, 2010, we agreed to extend our existing lease from SHC of the Village East Cinema by 10 years, with a new termination date of June 30, 2020. This amendment was reviewed and approved by our Audit and Conflicts Committee. The Village East lease includes a sub-lease of the ground underlying the cinema that is subject to a longer-term ground lease between SHC and an unrelated third party that expires in June 2031 (the “cinema ground lease”). The extended lease provides for a call option pursuant to which Reading may purchase the cinema ground lease for $5.9 million at the end of the lease term. Additionally, the lease has a put option pursuant to which SHC may require Reading to purchase all or a portion of SHC’s interest in the existing cinema lease and the cinema ground lease at any time between July 1, 2013 and December 4, 2019. SHC’s put option may be exercised on one or more occasions in increments of not less than $100,000 each. We recorded the Village East Cinema building as a property asset of $4.7 million on our balance sheet based on the cost carry-over basis from an entity under common control with a corresponding capital lease liability of $5.9 million presented under other liabilities (see Note 11 – </w:t>
      </w:r>
      <w:r>
        <w:rPr>
          <w:rFonts w:ascii="Arial" w:cs="Arial" w:eastAsia="Arial" w:hAnsi="Arial"/>
          <w:sz w:val="11"/>
          <w:szCs w:val="11"/>
          <w:i w:val="1"/>
          <w:iCs w:val="1"/>
          <w:color w:val="auto"/>
        </w:rPr>
        <w:t>Pension and Other Liabilities</w:t>
      </w:r>
      <w:r>
        <w:rPr>
          <w:rFonts w:ascii="Arial" w:cs="Arial" w:eastAsia="Arial" w:hAnsi="Arial"/>
          <w:sz w:val="11"/>
          <w:szCs w:val="11"/>
          <w:color w:val="auto"/>
        </w:rPr>
        <w:t>).</w:t>
      </w:r>
    </w:p>
    <w:p>
      <w:pPr>
        <w:spacing w:after="0" w:line="114" w:lineRule="exact"/>
        <w:rPr>
          <w:sz w:val="20"/>
          <w:szCs w:val="20"/>
          <w:color w:val="auto"/>
        </w:rPr>
      </w:pPr>
    </w:p>
    <w:p>
      <w:pPr>
        <w:spacing w:after="0" w:line="253" w:lineRule="auto"/>
        <w:rPr>
          <w:sz w:val="20"/>
          <w:szCs w:val="20"/>
          <w:color w:val="auto"/>
        </w:rPr>
      </w:pPr>
      <w:r>
        <w:rPr>
          <w:rFonts w:ascii="Arial" w:cs="Arial" w:eastAsia="Arial" w:hAnsi="Arial"/>
          <w:sz w:val="12"/>
          <w:szCs w:val="12"/>
          <w:color w:val="auto"/>
        </w:rPr>
        <w:t>In February 2015, we and SHP entered into an amendment to the management agreement dated as of June 27, 2007 between us and SHP. The amendment, which was retroactive to December 1, 2014, memorialized our undertaking to SHP with respect to $750,000 (the “Renovation Funding Amount”) of renovations to Cinemas 1, 2 &amp; 3 funded or to be funded by us. In consideration of our funding of the renovations, our annual management fee under the management agreement was increased commencing January 1, 2015 by an amount equivalent to 100% of any incremental positive cash flow of Cinemas 1, 2, 3 over the average annual positive cash flow of the Cinemas 1,2,3 over the three-year period ended December 31, 2014 (not to exceed a cumulative aggregate amount equal to the Renovation Funding Amount), plus a 15% annual cash-on-cash return on the balance outstanding from time to time of the Renovation Funding Amount, payable at the time of the payment of the annual management fee. Under the amended management agreement, we are entitled to retain ownership of (and any right to depreciate) any furniture, fixtures and equipment purchased by us in connection with such renovation and have the right (but not the obligation) to remove all such furniture, fixtures and equipment (at our own cost and expense) from the Cinemas upon the termination of the management agreement. The amendment also provides that, during the term of the management agreement, SHP will be responsible for the cost of repair and maintenance of the renovations. In 2015, we received a management fee of $153,000. This amendment was approved by SHC and by the Audit and Conflicts Committee of our Board of Directors.</w:t>
      </w:r>
    </w:p>
    <w:p>
      <w:pPr>
        <w:spacing w:after="0" w:line="12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OBI Management Agreement</w:t>
      </w:r>
    </w:p>
    <w:p>
      <w:pPr>
        <w:spacing w:after="0" w:line="127" w:lineRule="exact"/>
        <w:rPr>
          <w:sz w:val="20"/>
          <w:szCs w:val="20"/>
          <w:color w:val="auto"/>
        </w:rPr>
      </w:pPr>
    </w:p>
    <w:p>
      <w:pPr>
        <w:ind w:right="340"/>
        <w:spacing w:after="0" w:line="263" w:lineRule="auto"/>
        <w:rPr>
          <w:sz w:val="20"/>
          <w:szCs w:val="20"/>
          <w:color w:val="auto"/>
        </w:rPr>
      </w:pPr>
      <w:r>
        <w:rPr>
          <w:rFonts w:ascii="Arial" w:cs="Arial" w:eastAsia="Arial" w:hAnsi="Arial"/>
          <w:sz w:val="12"/>
          <w:szCs w:val="12"/>
          <w:color w:val="auto"/>
        </w:rPr>
        <w:t>Pursuant to a Theater Management Agreement (the “Management Agreement”), our live theater operations were, until recently, managed by Off-Broadway Investments, LLC (“OBI Management”), which is wholly owned by Ms. Margaret Cotter who is the daughter of the late Mr. James J. Cotter, Sr., the sister of Ellen Cotter and James Cotter, Jr., and a member of our Board of Directors. That Management Agreement was terminated effective March 10, 2016 in connection with the retention by our Company of Margaret Cotter as a full time employee.</w:t>
      </w:r>
    </w:p>
    <w:p>
      <w:pPr>
        <w:spacing w:after="0" w:line="105" w:lineRule="exact"/>
        <w:rPr>
          <w:sz w:val="20"/>
          <w:szCs w:val="20"/>
          <w:color w:val="auto"/>
        </w:rPr>
      </w:pPr>
    </w:p>
    <w:p>
      <w:pPr>
        <w:ind w:right="20"/>
        <w:spacing w:after="0" w:line="290" w:lineRule="auto"/>
        <w:rPr>
          <w:sz w:val="20"/>
          <w:szCs w:val="20"/>
          <w:color w:val="auto"/>
        </w:rPr>
      </w:pPr>
      <w:r>
        <w:rPr>
          <w:rFonts w:ascii="Arial" w:cs="Arial" w:eastAsia="Arial" w:hAnsi="Arial"/>
          <w:sz w:val="11"/>
          <w:szCs w:val="11"/>
          <w:color w:val="auto"/>
        </w:rPr>
        <w:t>The Theater Management Agreement generally provided for the payment of a combination of fixed and incentive fees for the management of our four live theaters. Historically, these fees have equated to approximately 21% of the net cash flow generated by these properties. We currently estimate that fees to be paid to OBI for 2015 will be approximately $589,000. We paid $397,000 and $401,000 in fees with respect to 2014, and 2013, respectively. We also reimbursed OBI for certain travel expenses, shared the cost of an administrative assistant and provided office space at our New York offices. The increase in the payment to OBI for 2015 was attributable to work done by Margaret Cotter, working through OBI with respect to the development of our Union Square and Cinemas 1,2&amp;3 properties.</w:t>
      </w:r>
    </w:p>
    <w:p>
      <w:pPr>
        <w:spacing w:after="0" w:line="82" w:lineRule="exact"/>
        <w:rPr>
          <w:sz w:val="20"/>
          <w:szCs w:val="20"/>
          <w:color w:val="auto"/>
        </w:rPr>
      </w:pPr>
    </w:p>
    <w:p>
      <w:pPr>
        <w:spacing w:after="0" w:line="290" w:lineRule="auto"/>
        <w:rPr>
          <w:sz w:val="20"/>
          <w:szCs w:val="20"/>
          <w:color w:val="auto"/>
        </w:rPr>
      </w:pPr>
      <w:r>
        <w:rPr>
          <w:rFonts w:ascii="Arial" w:cs="Arial" w:eastAsia="Arial" w:hAnsi="Arial"/>
          <w:sz w:val="11"/>
          <w:szCs w:val="11"/>
          <w:color w:val="auto"/>
        </w:rPr>
        <w:t>OBI Management historically conducted its operations from our office facilities on a rent-free basis, and we shared the cost of one administrative employee of OBI Management. We reimbursed travel related expenses for OBI Management personnel with respect to travel between New York City and Chicago in connection with the management of the Royal George complex. Other than these expenses, OBI Management was responsible for all of its costs and expenses related to the performance of its management functions. The Management Agreement renewed automatically each year unless either party gives at least six months’ prior notice of its determination to allow the Management Agreement to expire. In addition, we could terminate the Management Agreement at any time for cause.</w:t>
      </w:r>
    </w:p>
    <w:p>
      <w:pPr>
        <w:spacing w:after="0" w:line="82" w:lineRule="exact"/>
        <w:rPr>
          <w:sz w:val="20"/>
          <w:szCs w:val="20"/>
          <w:color w:val="auto"/>
        </w:rPr>
      </w:pPr>
    </w:p>
    <w:p>
      <w:pPr>
        <w:ind w:right="20"/>
        <w:spacing w:after="0" w:line="259" w:lineRule="auto"/>
        <w:rPr>
          <w:sz w:val="20"/>
          <w:szCs w:val="20"/>
          <w:color w:val="auto"/>
        </w:rPr>
      </w:pPr>
      <w:r>
        <w:rPr>
          <w:rFonts w:ascii="Arial" w:cs="Arial" w:eastAsia="Arial" w:hAnsi="Arial"/>
          <w:sz w:val="12"/>
          <w:szCs w:val="12"/>
          <w:color w:val="auto"/>
        </w:rPr>
        <w:t>Effective March 10, 2016, Margaret Cotter became a full time employee of the Company and the Management Agreement was terminated. As Executive Vice-President Real Estate Management and Development - NYC, Ms. Cotter will continue to be responsible for the management of our live theater assets, will continue her role heading up the pre-redevelopment of our New York Properties and will become our senior executive responsible for the actual redevelopment of our New York properties. Pursuant to the termination agreement (which is currently being finalized as of the date of the audit report), Ms. Cotter will be giving up any right she might otherwise have, through OBI, to income from STOMP.</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59690</wp:posOffset>
            </wp:positionV>
            <wp:extent cx="677989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779895" cy="42545"/>
                    </a:xfrm>
                    <a:prstGeom prst="rect">
                      <a:avLst/>
                    </a:prstGeom>
                    <a:noFill/>
                  </pic:spPr>
                </pic:pic>
              </a:graphicData>
            </a:graphic>
          </wp:anchor>
        </w:drawing>
      </w:r>
    </w:p>
    <w:p>
      <w:pPr>
        <w:sectPr>
          <w:pgSz w:w="11900" w:h="16838" w:orient="portrait"/>
          <w:cols w:equalWidth="0" w:num="1">
            <w:col w:w="10620"/>
          </w:cols>
          <w:pgMar w:left="640" w:top="275" w:right="639" w:bottom="1440" w:gutter="0" w:footer="0" w:header="0"/>
        </w:sectPr>
      </w:pPr>
    </w:p>
    <w:bookmarkStart w:id="93" w:name="page94"/>
    <w:bookmarkEnd w:id="93"/>
    <w:p>
      <w:pPr>
        <w:ind w:right="20"/>
        <w:spacing w:after="0" w:line="263" w:lineRule="auto"/>
        <w:rPr>
          <w:sz w:val="20"/>
          <w:szCs w:val="20"/>
          <w:color w:val="auto"/>
        </w:rPr>
      </w:pPr>
      <w:r>
        <w:rPr>
          <w:rFonts w:ascii="Arial" w:cs="Arial" w:eastAsia="Arial" w:hAnsi="Arial"/>
          <w:sz w:val="12"/>
          <w:szCs w:val="12"/>
          <w:color w:val="auto"/>
        </w:rPr>
        <w:t>Ms. Cotter's compensation as Executive Vice-President was set as part of an extensive executive compensation process. For 2016, Ms. Cotter's base salary will be $350,000, she will have a short term incentive target bonus opportunity of $105,000 (30% of her base salary), and she was granted a long term incentive of a stock option for 19,921 shares of Class A common stock and 4,184 restricted stock units under the Company's 2010 Stock Incentive Plan, as amended, which long term incentives vest over a four year period.</w:t>
      </w:r>
    </w:p>
    <w:p>
      <w:pPr>
        <w:spacing w:after="0" w:line="9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Live Theater Play Investment</w:t>
      </w:r>
    </w:p>
    <w:p>
      <w:pPr>
        <w:spacing w:after="0" w:line="136" w:lineRule="exact"/>
        <w:rPr>
          <w:sz w:val="20"/>
          <w:szCs w:val="20"/>
          <w:color w:val="auto"/>
        </w:rPr>
      </w:pPr>
    </w:p>
    <w:p>
      <w:pPr>
        <w:jc w:val="both"/>
        <w:ind w:right="60"/>
        <w:spacing w:after="0" w:line="263" w:lineRule="auto"/>
        <w:rPr>
          <w:sz w:val="20"/>
          <w:szCs w:val="20"/>
          <w:color w:val="auto"/>
        </w:rPr>
      </w:pPr>
      <w:r>
        <w:rPr>
          <w:rFonts w:ascii="Arial" w:cs="Arial" w:eastAsia="Arial" w:hAnsi="Arial"/>
          <w:sz w:val="12"/>
          <w:szCs w:val="12"/>
          <w:color w:val="auto"/>
        </w:rPr>
        <w:t xml:space="preserve">From time to time, our officers and Directors may invest in plays that lease our live theaters. The play STOMP has been playing in our Orpheum Theatre since prior to the time we acquired the theater in 2001. The Cotter Estate or the Cotter Trust and Mr. Michael Forman own an approximately 5% interest in that play, an interest that they have held since prior to our acquisition of the theater. Refer to Item 3 – </w:t>
      </w:r>
      <w:r>
        <w:rPr>
          <w:rFonts w:ascii="Arial" w:cs="Arial" w:eastAsia="Arial" w:hAnsi="Arial"/>
          <w:sz w:val="12"/>
          <w:szCs w:val="12"/>
          <w:i w:val="1"/>
          <w:iCs w:val="1"/>
          <w:color w:val="auto"/>
        </w:rPr>
        <w:t>Legal Proceedings</w:t>
      </w:r>
      <w:r>
        <w:rPr>
          <w:rFonts w:ascii="Arial" w:cs="Arial" w:eastAsia="Arial" w:hAnsi="Arial"/>
          <w:sz w:val="12"/>
          <w:szCs w:val="12"/>
          <w:color w:val="auto"/>
        </w:rPr>
        <w:t xml:space="preserve"> for more information about the show STOMP.</w:t>
      </w:r>
    </w:p>
    <w:p>
      <w:pPr>
        <w:spacing w:after="0" w:line="9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Shadow View Land and Farming LLC</w:t>
      </w:r>
    </w:p>
    <w:p>
      <w:pPr>
        <w:spacing w:after="0" w:line="127" w:lineRule="exact"/>
        <w:rPr>
          <w:sz w:val="20"/>
          <w:szCs w:val="20"/>
          <w:color w:val="auto"/>
        </w:rPr>
      </w:pPr>
    </w:p>
    <w:p>
      <w:pPr>
        <w:ind w:right="160"/>
        <w:spacing w:after="0" w:line="290" w:lineRule="auto"/>
        <w:rPr>
          <w:sz w:val="20"/>
          <w:szCs w:val="20"/>
          <w:color w:val="auto"/>
        </w:rPr>
      </w:pPr>
      <w:r>
        <w:rPr>
          <w:rFonts w:ascii="Arial" w:cs="Arial" w:eastAsia="Arial" w:hAnsi="Arial"/>
          <w:sz w:val="11"/>
          <w:szCs w:val="11"/>
          <w:color w:val="auto"/>
        </w:rPr>
        <w:t xml:space="preserve">During 2012, Mr. James J. Cotter, Sr., our then Chairman, Chief Executive Officer and controlling shareholder, contributed $2.5 million cash and $255,000 of his 2011 bonus as his 50% share of the purchase price of a land parcel in Coachella, California and to cover his 50% share of certain costs associated with that acquisition. This land is held in Shadow View Land and Farming, LLC, in which the Cotter Estate or the Cotter Trust owns a 50% interest. We are the managing member of Shadow View Land and Farming, LLC (see Note 13 – </w:t>
      </w:r>
      <w:r>
        <w:rPr>
          <w:rFonts w:ascii="Arial" w:cs="Arial" w:eastAsia="Arial" w:hAnsi="Arial"/>
          <w:sz w:val="11"/>
          <w:szCs w:val="11"/>
          <w:i w:val="1"/>
          <w:iCs w:val="1"/>
          <w:color w:val="auto"/>
        </w:rPr>
        <w:t>Noncontrolling Interests</w:t>
      </w:r>
      <w:r>
        <w:rPr>
          <w:rFonts w:ascii="Arial" w:cs="Arial" w:eastAsia="Arial" w:hAnsi="Arial"/>
          <w:sz w:val="11"/>
          <w:szCs w:val="11"/>
          <w:color w:val="auto"/>
        </w:rPr>
        <w:t>). The property is held debt free, and operating and holding costs are covered by member contributions. The Audit and Conflicts Committee of the Board of Directors is charged with responsibility for oversight of our management of the management of Shadow View.</w:t>
      </w:r>
    </w:p>
    <w:p>
      <w:pPr>
        <w:spacing w:after="0" w:line="8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Document Storage Agreement</w:t>
      </w:r>
    </w:p>
    <w:p>
      <w:pPr>
        <w:spacing w:after="0" w:line="127" w:lineRule="exact"/>
        <w:rPr>
          <w:sz w:val="20"/>
          <w:szCs w:val="20"/>
          <w:color w:val="auto"/>
        </w:rPr>
      </w:pPr>
    </w:p>
    <w:p>
      <w:pPr>
        <w:ind w:right="20"/>
        <w:spacing w:after="0" w:line="276" w:lineRule="auto"/>
        <w:rPr>
          <w:sz w:val="20"/>
          <w:szCs w:val="20"/>
          <w:color w:val="auto"/>
        </w:rPr>
      </w:pPr>
      <w:r>
        <w:rPr>
          <w:rFonts w:ascii="Arial" w:cs="Arial" w:eastAsia="Arial" w:hAnsi="Arial"/>
          <w:sz w:val="12"/>
          <w:szCs w:val="12"/>
          <w:color w:val="auto"/>
        </w:rPr>
        <w:t>In consideration of the payment of $100 per month, our Company has agreed to allow Ellen Cotter and Margaret Cotter to keep certain files related to the Cotter Estate and/or the Cotter Trust at our Los Angeles Corporate Headquarters.</w:t>
      </w:r>
    </w:p>
    <w:p>
      <w:pPr>
        <w:spacing w:after="0" w:line="35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19 – Casualty Loss</w:t>
      </w:r>
    </w:p>
    <w:p>
      <w:pPr>
        <w:spacing w:after="0" w:line="127" w:lineRule="exact"/>
        <w:rPr>
          <w:sz w:val="20"/>
          <w:szCs w:val="20"/>
          <w:color w:val="auto"/>
        </w:rPr>
      </w:pPr>
    </w:p>
    <w:p>
      <w:pPr>
        <w:ind w:right="460"/>
        <w:spacing w:after="0" w:line="276" w:lineRule="auto"/>
        <w:rPr>
          <w:sz w:val="20"/>
          <w:szCs w:val="20"/>
          <w:color w:val="auto"/>
        </w:rPr>
      </w:pPr>
      <w:r>
        <w:rPr>
          <w:rFonts w:ascii="Arial" w:cs="Arial" w:eastAsia="Arial" w:hAnsi="Arial"/>
          <w:sz w:val="12"/>
          <w:szCs w:val="12"/>
          <w:color w:val="auto"/>
        </w:rPr>
        <w:t>On July 21, 2013, Wellington, New Zealand experienced a strong earthquake that damaged our parking structure adjacent to our Courtenay Central ETC. The parking structure reopened in November 2014. As of December 31, 2015, the car park has been repaired and strengthened to its pre-earthquake strength of 35% of code and work continues to bring this up to 70% of code.</w:t>
      </w:r>
    </w:p>
    <w:p>
      <w:pPr>
        <w:spacing w:after="0" w:line="8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20 – Unaudited Quarterly Financial Information</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5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gridSpan w:val="2"/>
          </w:tcPr>
          <w:p>
            <w:pPr>
              <w:jc w:val="center"/>
              <w:ind w:right="560"/>
              <w:spacing w:after="0"/>
              <w:rPr>
                <w:sz w:val="20"/>
                <w:szCs w:val="20"/>
                <w:color w:val="auto"/>
              </w:rPr>
            </w:pPr>
            <w:r>
              <w:rPr>
                <w:rFonts w:ascii="Arial" w:cs="Arial" w:eastAsia="Arial" w:hAnsi="Arial"/>
                <w:sz w:val="11"/>
                <w:szCs w:val="11"/>
                <w:b w:val="1"/>
                <w:bCs w:val="1"/>
                <w:color w:val="auto"/>
                <w:w w:val="92"/>
              </w:rPr>
              <w:t>First</w:t>
            </w:r>
          </w:p>
        </w:tc>
        <w:tc>
          <w:tcPr>
            <w:tcW w:w="4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r>
      <w:tr>
        <w:trPr>
          <w:trHeight w:val="142"/>
        </w:trPr>
        <w:tc>
          <w:tcPr>
            <w:tcW w:w="5540" w:type="dxa"/>
            <w:vAlign w:val="bottom"/>
            <w:gridSpan w:val="2"/>
          </w:tcPr>
          <w:p>
            <w:pPr>
              <w:spacing w:after="0"/>
              <w:rPr>
                <w:sz w:val="20"/>
                <w:szCs w:val="20"/>
                <w:color w:val="auto"/>
              </w:rPr>
            </w:pPr>
            <w:r>
              <w:rPr>
                <w:rFonts w:ascii="Arial" w:cs="Arial" w:eastAsia="Arial" w:hAnsi="Arial"/>
                <w:sz w:val="11"/>
                <w:szCs w:val="11"/>
                <w:color w:val="auto"/>
              </w:rPr>
              <w:t>(Dollars in thousands, except per share data)</w:t>
            </w:r>
          </w:p>
        </w:tc>
        <w:tc>
          <w:tcPr>
            <w:tcW w:w="280" w:type="dxa"/>
            <w:vAlign w:val="bottom"/>
          </w:tcPr>
          <w:p>
            <w:pPr>
              <w:spacing w:after="0"/>
              <w:rPr>
                <w:sz w:val="12"/>
                <w:szCs w:val="12"/>
                <w:color w:val="auto"/>
              </w:rPr>
            </w:pPr>
          </w:p>
        </w:tc>
        <w:tc>
          <w:tcPr>
            <w:tcW w:w="1060" w:type="dxa"/>
            <w:vAlign w:val="bottom"/>
            <w:gridSpan w:val="2"/>
          </w:tcPr>
          <w:p>
            <w:pPr>
              <w:jc w:val="center"/>
              <w:ind w:right="560"/>
              <w:spacing w:after="0"/>
              <w:rPr>
                <w:sz w:val="20"/>
                <w:szCs w:val="20"/>
                <w:color w:val="auto"/>
              </w:rPr>
            </w:pPr>
            <w:r>
              <w:rPr>
                <w:rFonts w:ascii="Arial" w:cs="Arial" w:eastAsia="Arial" w:hAnsi="Arial"/>
                <w:sz w:val="11"/>
                <w:szCs w:val="11"/>
                <w:b w:val="1"/>
                <w:bCs w:val="1"/>
                <w:color w:val="auto"/>
                <w:w w:val="95"/>
              </w:rPr>
              <w:t>Quarter</w:t>
            </w:r>
          </w:p>
        </w:tc>
        <w:tc>
          <w:tcPr>
            <w:tcW w:w="1360" w:type="dxa"/>
            <w:vAlign w:val="bottom"/>
            <w:gridSpan w:val="3"/>
          </w:tcPr>
          <w:p>
            <w:pPr>
              <w:ind w:left="160"/>
              <w:spacing w:after="0"/>
              <w:rPr>
                <w:sz w:val="20"/>
                <w:szCs w:val="20"/>
                <w:color w:val="auto"/>
              </w:rPr>
            </w:pPr>
            <w:r>
              <w:rPr>
                <w:rFonts w:ascii="Arial" w:cs="Arial" w:eastAsia="Arial" w:hAnsi="Arial"/>
                <w:sz w:val="11"/>
                <w:szCs w:val="11"/>
                <w:b w:val="1"/>
                <w:bCs w:val="1"/>
                <w:color w:val="auto"/>
              </w:rPr>
              <w:t>Second Quarter</w:t>
            </w:r>
          </w:p>
        </w:tc>
        <w:tc>
          <w:tcPr>
            <w:tcW w:w="1340" w:type="dxa"/>
            <w:vAlign w:val="bottom"/>
            <w:gridSpan w:val="3"/>
          </w:tcPr>
          <w:p>
            <w:pPr>
              <w:ind w:left="200"/>
              <w:spacing w:after="0"/>
              <w:rPr>
                <w:sz w:val="20"/>
                <w:szCs w:val="20"/>
                <w:color w:val="auto"/>
              </w:rPr>
            </w:pPr>
            <w:r>
              <w:rPr>
                <w:rFonts w:ascii="Arial" w:cs="Arial" w:eastAsia="Arial" w:hAnsi="Arial"/>
                <w:sz w:val="11"/>
                <w:szCs w:val="11"/>
                <w:b w:val="1"/>
                <w:bCs w:val="1"/>
                <w:color w:val="auto"/>
              </w:rPr>
              <w:t>Third Quarter</w:t>
            </w:r>
          </w:p>
        </w:tc>
        <w:tc>
          <w:tcPr>
            <w:tcW w:w="1040" w:type="dxa"/>
            <w:vAlign w:val="bottom"/>
            <w:gridSpan w:val="2"/>
          </w:tcPr>
          <w:p>
            <w:pPr>
              <w:ind w:left="160"/>
              <w:spacing w:after="0"/>
              <w:rPr>
                <w:sz w:val="20"/>
                <w:szCs w:val="20"/>
                <w:color w:val="auto"/>
              </w:rPr>
            </w:pPr>
            <w:r>
              <w:rPr>
                <w:rFonts w:ascii="Arial" w:cs="Arial" w:eastAsia="Arial" w:hAnsi="Arial"/>
                <w:sz w:val="11"/>
                <w:szCs w:val="11"/>
                <w:b w:val="1"/>
                <w:bCs w:val="1"/>
                <w:color w:val="auto"/>
              </w:rPr>
              <w:t>Fourth Quarter</w:t>
            </w:r>
          </w:p>
        </w:tc>
      </w:tr>
      <w:tr>
        <w:trPr>
          <w:trHeight w:val="180"/>
        </w:trPr>
        <w:tc>
          <w:tcPr>
            <w:tcW w:w="5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1"/>
                <w:szCs w:val="11"/>
                <w:b w:val="1"/>
                <w:bCs w:val="1"/>
                <w:color w:val="auto"/>
              </w:rPr>
              <w:t>2015</w:t>
            </w:r>
          </w:p>
        </w:tc>
        <w:tc>
          <w:tcPr>
            <w:tcW w:w="3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r>
      <w:tr>
        <w:trPr>
          <w:trHeight w:val="187"/>
        </w:trPr>
        <w:tc>
          <w:tcPr>
            <w:tcW w:w="5540" w:type="dxa"/>
            <w:vAlign w:val="bottom"/>
            <w:gridSpan w:val="2"/>
          </w:tcPr>
          <w:p>
            <w:pPr>
              <w:ind w:left="60"/>
              <w:spacing w:after="0"/>
              <w:rPr>
                <w:sz w:val="20"/>
                <w:szCs w:val="20"/>
                <w:color w:val="auto"/>
              </w:rPr>
            </w:pPr>
            <w:r>
              <w:rPr>
                <w:rFonts w:ascii="Arial" w:cs="Arial" w:eastAsia="Arial" w:hAnsi="Arial"/>
                <w:sz w:val="11"/>
                <w:szCs w:val="11"/>
                <w:color w:val="auto"/>
              </w:rPr>
              <w:t>Revenue</w:t>
            </w:r>
          </w:p>
        </w:tc>
        <w:tc>
          <w:tcPr>
            <w:tcW w:w="2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780" w:type="dxa"/>
            <w:vAlign w:val="bottom"/>
          </w:tcPr>
          <w:p>
            <w:pPr>
              <w:jc w:val="right"/>
              <w:spacing w:after="0"/>
              <w:rPr>
                <w:sz w:val="20"/>
                <w:szCs w:val="20"/>
                <w:color w:val="auto"/>
              </w:rPr>
            </w:pPr>
            <w:r>
              <w:rPr>
                <w:rFonts w:ascii="Arial" w:cs="Arial" w:eastAsia="Arial" w:hAnsi="Arial"/>
                <w:sz w:val="11"/>
                <w:szCs w:val="11"/>
                <w:color w:val="auto"/>
              </w:rPr>
              <w:t>60,584</w:t>
            </w:r>
          </w:p>
        </w:tc>
        <w:tc>
          <w:tcPr>
            <w:tcW w:w="280" w:type="dxa"/>
            <w:vAlign w:val="bottom"/>
          </w:tcPr>
          <w:p>
            <w:pPr>
              <w:spacing w:after="0"/>
              <w:rPr>
                <w:sz w:val="16"/>
                <w:szCs w:val="16"/>
                <w:color w:val="auto"/>
              </w:rPr>
            </w:pPr>
          </w:p>
        </w:tc>
        <w:tc>
          <w:tcPr>
            <w:tcW w:w="480" w:type="dxa"/>
            <w:vAlign w:val="bottom"/>
          </w:tcPr>
          <w:p>
            <w:pPr>
              <w:ind w:left="180"/>
              <w:spacing w:after="0"/>
              <w:rPr>
                <w:sz w:val="20"/>
                <w:szCs w:val="20"/>
                <w:color w:val="auto"/>
              </w:rPr>
            </w:pPr>
            <w:r>
              <w:rPr>
                <w:rFonts w:ascii="Arial" w:cs="Arial" w:eastAsia="Arial" w:hAnsi="Arial"/>
                <w:sz w:val="11"/>
                <w:szCs w:val="11"/>
                <w:color w:val="auto"/>
              </w:rPr>
              <w:t>$</w:t>
            </w:r>
          </w:p>
        </w:tc>
        <w:tc>
          <w:tcPr>
            <w:tcW w:w="580" w:type="dxa"/>
            <w:vAlign w:val="bottom"/>
          </w:tcPr>
          <w:p>
            <w:pPr>
              <w:jc w:val="right"/>
              <w:spacing w:after="0"/>
              <w:rPr>
                <w:sz w:val="20"/>
                <w:szCs w:val="20"/>
                <w:color w:val="auto"/>
              </w:rPr>
            </w:pPr>
            <w:r>
              <w:rPr>
                <w:rFonts w:ascii="Arial" w:cs="Arial" w:eastAsia="Arial" w:hAnsi="Arial"/>
                <w:sz w:val="11"/>
                <w:szCs w:val="11"/>
                <w:color w:val="auto"/>
              </w:rPr>
              <w:t>72,802</w:t>
            </w:r>
          </w:p>
        </w:tc>
        <w:tc>
          <w:tcPr>
            <w:tcW w:w="300" w:type="dxa"/>
            <w:vAlign w:val="bottom"/>
          </w:tcPr>
          <w:p>
            <w:pPr>
              <w:spacing w:after="0"/>
              <w:rPr>
                <w:sz w:val="16"/>
                <w:szCs w:val="16"/>
                <w:color w:val="auto"/>
              </w:rPr>
            </w:pPr>
          </w:p>
        </w:tc>
        <w:tc>
          <w:tcPr>
            <w:tcW w:w="480" w:type="dxa"/>
            <w:vAlign w:val="bottom"/>
          </w:tcPr>
          <w:p>
            <w:pPr>
              <w:jc w:val="right"/>
              <w:ind w:right="206"/>
              <w:spacing w:after="0"/>
              <w:rPr>
                <w:sz w:val="20"/>
                <w:szCs w:val="20"/>
                <w:color w:val="auto"/>
              </w:rPr>
            </w:pPr>
            <w:r>
              <w:rPr>
                <w:rFonts w:ascii="Arial" w:cs="Arial" w:eastAsia="Arial" w:hAnsi="Arial"/>
                <w:sz w:val="11"/>
                <w:szCs w:val="11"/>
                <w:color w:val="auto"/>
              </w:rPr>
              <w:t>$</w:t>
            </w:r>
          </w:p>
        </w:tc>
        <w:tc>
          <w:tcPr>
            <w:tcW w:w="580" w:type="dxa"/>
            <w:vAlign w:val="bottom"/>
          </w:tcPr>
          <w:p>
            <w:pPr>
              <w:jc w:val="right"/>
              <w:spacing w:after="0"/>
              <w:rPr>
                <w:sz w:val="20"/>
                <w:szCs w:val="20"/>
                <w:color w:val="auto"/>
              </w:rPr>
            </w:pPr>
            <w:r>
              <w:rPr>
                <w:rFonts w:ascii="Arial" w:cs="Arial" w:eastAsia="Arial" w:hAnsi="Arial"/>
                <w:sz w:val="11"/>
                <w:szCs w:val="11"/>
                <w:color w:val="auto"/>
              </w:rPr>
              <w:t>57,788</w:t>
            </w:r>
          </w:p>
        </w:tc>
        <w:tc>
          <w:tcPr>
            <w:tcW w:w="280" w:type="dxa"/>
            <w:vAlign w:val="bottom"/>
          </w:tcPr>
          <w:p>
            <w:pPr>
              <w:spacing w:after="0"/>
              <w:rPr>
                <w:sz w:val="16"/>
                <w:szCs w:val="16"/>
                <w:color w:val="auto"/>
              </w:rPr>
            </w:pPr>
          </w:p>
        </w:tc>
        <w:tc>
          <w:tcPr>
            <w:tcW w:w="460" w:type="dxa"/>
            <w:vAlign w:val="bottom"/>
          </w:tcPr>
          <w:p>
            <w:pPr>
              <w:ind w:left="160"/>
              <w:spacing w:after="0"/>
              <w:rPr>
                <w:sz w:val="20"/>
                <w:szCs w:val="20"/>
                <w:color w:val="auto"/>
              </w:rPr>
            </w:pPr>
            <w:r>
              <w:rPr>
                <w:rFonts w:ascii="Arial" w:cs="Arial" w:eastAsia="Arial" w:hAnsi="Arial"/>
                <w:sz w:val="11"/>
                <w:szCs w:val="11"/>
                <w:color w:val="auto"/>
              </w:rPr>
              <w:t>$</w:t>
            </w:r>
          </w:p>
        </w:tc>
        <w:tc>
          <w:tcPr>
            <w:tcW w:w="580" w:type="dxa"/>
            <w:vAlign w:val="bottom"/>
          </w:tcPr>
          <w:p>
            <w:pPr>
              <w:jc w:val="right"/>
              <w:spacing w:after="0"/>
              <w:rPr>
                <w:sz w:val="20"/>
                <w:szCs w:val="20"/>
                <w:color w:val="auto"/>
              </w:rPr>
            </w:pPr>
            <w:r>
              <w:rPr>
                <w:rFonts w:ascii="Arial" w:cs="Arial" w:eastAsia="Arial" w:hAnsi="Arial"/>
                <w:sz w:val="11"/>
                <w:szCs w:val="11"/>
                <w:color w:val="auto"/>
              </w:rPr>
              <w:t>66,149</w:t>
            </w:r>
          </w:p>
        </w:tc>
      </w:tr>
      <w:tr>
        <w:trPr>
          <w:trHeight w:val="191"/>
        </w:trPr>
        <w:tc>
          <w:tcPr>
            <w:tcW w:w="5540" w:type="dxa"/>
            <w:vAlign w:val="bottom"/>
            <w:gridSpan w:val="2"/>
            <w:shd w:val="clear" w:color="auto" w:fill="CCEEFF"/>
          </w:tcPr>
          <w:p>
            <w:pPr>
              <w:ind w:left="60"/>
              <w:spacing w:after="0"/>
              <w:rPr>
                <w:sz w:val="20"/>
                <w:szCs w:val="20"/>
                <w:color w:val="auto"/>
              </w:rPr>
            </w:pPr>
            <w:r>
              <w:rPr>
                <w:rFonts w:ascii="Arial" w:cs="Arial" w:eastAsia="Arial" w:hAnsi="Arial"/>
                <w:sz w:val="11"/>
                <w:szCs w:val="11"/>
                <w:color w:val="auto"/>
              </w:rPr>
              <w:t>Net income</w:t>
            </w:r>
          </w:p>
        </w:tc>
        <w:tc>
          <w:tcPr>
            <w:tcW w:w="2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3,102</w:t>
            </w:r>
          </w:p>
        </w:tc>
        <w:tc>
          <w:tcPr>
            <w:tcW w:w="2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16,006</w:t>
            </w:r>
          </w:p>
        </w:tc>
        <w:tc>
          <w:tcPr>
            <w:tcW w:w="3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328</w:t>
            </w:r>
          </w:p>
        </w:tc>
        <w:tc>
          <w:tcPr>
            <w:tcW w:w="2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3,258</w:t>
            </w:r>
          </w:p>
        </w:tc>
      </w:tr>
      <w:tr>
        <w:trPr>
          <w:trHeight w:val="187"/>
        </w:trPr>
        <w:tc>
          <w:tcPr>
            <w:tcW w:w="5540" w:type="dxa"/>
            <w:vAlign w:val="bottom"/>
            <w:gridSpan w:val="2"/>
          </w:tcPr>
          <w:p>
            <w:pPr>
              <w:ind w:left="60"/>
              <w:spacing w:after="0"/>
              <w:rPr>
                <w:sz w:val="20"/>
                <w:szCs w:val="20"/>
                <w:color w:val="auto"/>
              </w:rPr>
            </w:pPr>
            <w:r>
              <w:rPr>
                <w:rFonts w:ascii="Arial" w:cs="Arial" w:eastAsia="Arial" w:hAnsi="Arial"/>
                <w:sz w:val="11"/>
                <w:szCs w:val="11"/>
                <w:color w:val="auto"/>
              </w:rPr>
              <w:t>Net income attributable to RDI shareholders</w:t>
            </w:r>
          </w:p>
        </w:tc>
        <w:tc>
          <w:tcPr>
            <w:tcW w:w="2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3,118</w:t>
            </w:r>
          </w:p>
        </w:tc>
        <w:tc>
          <w:tcPr>
            <w:tcW w:w="2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15,997</w:t>
            </w:r>
          </w:p>
        </w:tc>
        <w:tc>
          <w:tcPr>
            <w:tcW w:w="3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381</w:t>
            </w: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3,277</w:t>
            </w:r>
          </w:p>
        </w:tc>
      </w:tr>
      <w:tr>
        <w:trPr>
          <w:trHeight w:val="191"/>
        </w:trPr>
        <w:tc>
          <w:tcPr>
            <w:tcW w:w="5540" w:type="dxa"/>
            <w:vAlign w:val="bottom"/>
            <w:gridSpan w:val="2"/>
            <w:shd w:val="clear" w:color="auto" w:fill="CCEEFF"/>
          </w:tcPr>
          <w:p>
            <w:pPr>
              <w:ind w:left="60"/>
              <w:spacing w:after="0"/>
              <w:rPr>
                <w:sz w:val="20"/>
                <w:szCs w:val="20"/>
                <w:color w:val="auto"/>
              </w:rPr>
            </w:pPr>
            <w:r>
              <w:rPr>
                <w:rFonts w:ascii="Arial" w:cs="Arial" w:eastAsia="Arial" w:hAnsi="Arial"/>
                <w:sz w:val="11"/>
                <w:szCs w:val="11"/>
                <w:color w:val="auto"/>
              </w:rPr>
              <w:t>Basic earnings per share</w:t>
            </w:r>
          </w:p>
        </w:tc>
        <w:tc>
          <w:tcPr>
            <w:tcW w:w="2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0.13</w:t>
            </w:r>
          </w:p>
        </w:tc>
        <w:tc>
          <w:tcPr>
            <w:tcW w:w="2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0.69</w:t>
            </w:r>
          </w:p>
        </w:tc>
        <w:tc>
          <w:tcPr>
            <w:tcW w:w="3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0.02</w:t>
            </w:r>
          </w:p>
        </w:tc>
        <w:tc>
          <w:tcPr>
            <w:tcW w:w="2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0.14</w:t>
            </w:r>
          </w:p>
        </w:tc>
      </w:tr>
      <w:tr>
        <w:trPr>
          <w:trHeight w:val="187"/>
        </w:trPr>
        <w:tc>
          <w:tcPr>
            <w:tcW w:w="5540" w:type="dxa"/>
            <w:vAlign w:val="bottom"/>
            <w:gridSpan w:val="2"/>
          </w:tcPr>
          <w:p>
            <w:pPr>
              <w:ind w:left="60"/>
              <w:spacing w:after="0"/>
              <w:rPr>
                <w:sz w:val="20"/>
                <w:szCs w:val="20"/>
                <w:color w:val="auto"/>
              </w:rPr>
            </w:pPr>
            <w:r>
              <w:rPr>
                <w:rFonts w:ascii="Arial" w:cs="Arial" w:eastAsia="Arial" w:hAnsi="Arial"/>
                <w:sz w:val="11"/>
                <w:szCs w:val="11"/>
                <w:color w:val="auto"/>
              </w:rPr>
              <w:t>Diluted earnings per share</w:t>
            </w:r>
          </w:p>
        </w:tc>
        <w:tc>
          <w:tcPr>
            <w:tcW w:w="2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0.13</w:t>
            </w:r>
          </w:p>
        </w:tc>
        <w:tc>
          <w:tcPr>
            <w:tcW w:w="2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0.68</w:t>
            </w:r>
          </w:p>
        </w:tc>
        <w:tc>
          <w:tcPr>
            <w:tcW w:w="3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0.02</w:t>
            </w: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0.14</w:t>
            </w:r>
          </w:p>
        </w:tc>
      </w:tr>
      <w:tr>
        <w:trPr>
          <w:trHeight w:val="191"/>
        </w:trPr>
        <w:tc>
          <w:tcPr>
            <w:tcW w:w="524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2014</w:t>
            </w:r>
          </w:p>
        </w:tc>
        <w:tc>
          <w:tcPr>
            <w:tcW w:w="3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r>
      <w:tr>
        <w:trPr>
          <w:trHeight w:val="187"/>
        </w:trPr>
        <w:tc>
          <w:tcPr>
            <w:tcW w:w="5540" w:type="dxa"/>
            <w:vAlign w:val="bottom"/>
            <w:gridSpan w:val="2"/>
          </w:tcPr>
          <w:p>
            <w:pPr>
              <w:ind w:left="60"/>
              <w:spacing w:after="0"/>
              <w:rPr>
                <w:sz w:val="20"/>
                <w:szCs w:val="20"/>
                <w:color w:val="auto"/>
              </w:rPr>
            </w:pPr>
            <w:r>
              <w:rPr>
                <w:rFonts w:ascii="Arial" w:cs="Arial" w:eastAsia="Arial" w:hAnsi="Arial"/>
                <w:sz w:val="11"/>
                <w:szCs w:val="11"/>
                <w:color w:val="auto"/>
              </w:rPr>
              <w:t>Revenue</w:t>
            </w:r>
          </w:p>
        </w:tc>
        <w:tc>
          <w:tcPr>
            <w:tcW w:w="2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780" w:type="dxa"/>
            <w:vAlign w:val="bottom"/>
          </w:tcPr>
          <w:p>
            <w:pPr>
              <w:jc w:val="right"/>
              <w:spacing w:after="0"/>
              <w:rPr>
                <w:sz w:val="20"/>
                <w:szCs w:val="20"/>
                <w:color w:val="auto"/>
              </w:rPr>
            </w:pPr>
            <w:r>
              <w:rPr>
                <w:rFonts w:ascii="Arial" w:cs="Arial" w:eastAsia="Arial" w:hAnsi="Arial"/>
                <w:sz w:val="11"/>
                <w:szCs w:val="11"/>
                <w:color w:val="auto"/>
              </w:rPr>
              <w:t>58,053</w:t>
            </w:r>
          </w:p>
        </w:tc>
        <w:tc>
          <w:tcPr>
            <w:tcW w:w="280" w:type="dxa"/>
            <w:vAlign w:val="bottom"/>
          </w:tcPr>
          <w:p>
            <w:pPr>
              <w:spacing w:after="0"/>
              <w:rPr>
                <w:sz w:val="16"/>
                <w:szCs w:val="16"/>
                <w:color w:val="auto"/>
              </w:rPr>
            </w:pPr>
          </w:p>
        </w:tc>
        <w:tc>
          <w:tcPr>
            <w:tcW w:w="480" w:type="dxa"/>
            <w:vAlign w:val="bottom"/>
          </w:tcPr>
          <w:p>
            <w:pPr>
              <w:ind w:left="180"/>
              <w:spacing w:after="0"/>
              <w:rPr>
                <w:sz w:val="20"/>
                <w:szCs w:val="20"/>
                <w:color w:val="auto"/>
              </w:rPr>
            </w:pPr>
            <w:r>
              <w:rPr>
                <w:rFonts w:ascii="Arial" w:cs="Arial" w:eastAsia="Arial" w:hAnsi="Arial"/>
                <w:sz w:val="11"/>
                <w:szCs w:val="11"/>
                <w:color w:val="auto"/>
              </w:rPr>
              <w:t>$</w:t>
            </w:r>
          </w:p>
        </w:tc>
        <w:tc>
          <w:tcPr>
            <w:tcW w:w="580" w:type="dxa"/>
            <w:vAlign w:val="bottom"/>
          </w:tcPr>
          <w:p>
            <w:pPr>
              <w:jc w:val="right"/>
              <w:spacing w:after="0"/>
              <w:rPr>
                <w:sz w:val="20"/>
                <w:szCs w:val="20"/>
                <w:color w:val="auto"/>
              </w:rPr>
            </w:pPr>
            <w:r>
              <w:rPr>
                <w:rFonts w:ascii="Arial" w:cs="Arial" w:eastAsia="Arial" w:hAnsi="Arial"/>
                <w:sz w:val="11"/>
                <w:szCs w:val="11"/>
                <w:color w:val="auto"/>
              </w:rPr>
              <w:t>69,922</w:t>
            </w:r>
          </w:p>
        </w:tc>
        <w:tc>
          <w:tcPr>
            <w:tcW w:w="300" w:type="dxa"/>
            <w:vAlign w:val="bottom"/>
          </w:tcPr>
          <w:p>
            <w:pPr>
              <w:spacing w:after="0"/>
              <w:rPr>
                <w:sz w:val="16"/>
                <w:szCs w:val="16"/>
                <w:color w:val="auto"/>
              </w:rPr>
            </w:pPr>
          </w:p>
        </w:tc>
        <w:tc>
          <w:tcPr>
            <w:tcW w:w="480" w:type="dxa"/>
            <w:vAlign w:val="bottom"/>
          </w:tcPr>
          <w:p>
            <w:pPr>
              <w:jc w:val="right"/>
              <w:ind w:right="206"/>
              <w:spacing w:after="0"/>
              <w:rPr>
                <w:sz w:val="20"/>
                <w:szCs w:val="20"/>
                <w:color w:val="auto"/>
              </w:rPr>
            </w:pPr>
            <w:r>
              <w:rPr>
                <w:rFonts w:ascii="Arial" w:cs="Arial" w:eastAsia="Arial" w:hAnsi="Arial"/>
                <w:sz w:val="11"/>
                <w:szCs w:val="11"/>
                <w:color w:val="auto"/>
              </w:rPr>
              <w:t>$</w:t>
            </w:r>
          </w:p>
        </w:tc>
        <w:tc>
          <w:tcPr>
            <w:tcW w:w="580" w:type="dxa"/>
            <w:vAlign w:val="bottom"/>
          </w:tcPr>
          <w:p>
            <w:pPr>
              <w:jc w:val="right"/>
              <w:spacing w:after="0"/>
              <w:rPr>
                <w:sz w:val="20"/>
                <w:szCs w:val="20"/>
                <w:color w:val="auto"/>
              </w:rPr>
            </w:pPr>
            <w:r>
              <w:rPr>
                <w:rFonts w:ascii="Arial" w:cs="Arial" w:eastAsia="Arial" w:hAnsi="Arial"/>
                <w:sz w:val="11"/>
                <w:szCs w:val="11"/>
                <w:color w:val="auto"/>
              </w:rPr>
              <w:t>65,031</w:t>
            </w:r>
          </w:p>
        </w:tc>
        <w:tc>
          <w:tcPr>
            <w:tcW w:w="280" w:type="dxa"/>
            <w:vAlign w:val="bottom"/>
          </w:tcPr>
          <w:p>
            <w:pPr>
              <w:spacing w:after="0"/>
              <w:rPr>
                <w:sz w:val="16"/>
                <w:szCs w:val="16"/>
                <w:color w:val="auto"/>
              </w:rPr>
            </w:pPr>
          </w:p>
        </w:tc>
        <w:tc>
          <w:tcPr>
            <w:tcW w:w="460" w:type="dxa"/>
            <w:vAlign w:val="bottom"/>
          </w:tcPr>
          <w:p>
            <w:pPr>
              <w:ind w:left="160"/>
              <w:spacing w:after="0"/>
              <w:rPr>
                <w:sz w:val="20"/>
                <w:szCs w:val="20"/>
                <w:color w:val="auto"/>
              </w:rPr>
            </w:pPr>
            <w:r>
              <w:rPr>
                <w:rFonts w:ascii="Arial" w:cs="Arial" w:eastAsia="Arial" w:hAnsi="Arial"/>
                <w:sz w:val="11"/>
                <w:szCs w:val="11"/>
                <w:color w:val="auto"/>
              </w:rPr>
              <w:t>$</w:t>
            </w:r>
          </w:p>
        </w:tc>
        <w:tc>
          <w:tcPr>
            <w:tcW w:w="580" w:type="dxa"/>
            <w:vAlign w:val="bottom"/>
          </w:tcPr>
          <w:p>
            <w:pPr>
              <w:jc w:val="right"/>
              <w:spacing w:after="0"/>
              <w:rPr>
                <w:sz w:val="20"/>
                <w:szCs w:val="20"/>
                <w:color w:val="auto"/>
              </w:rPr>
            </w:pPr>
            <w:r>
              <w:rPr>
                <w:rFonts w:ascii="Arial" w:cs="Arial" w:eastAsia="Arial" w:hAnsi="Arial"/>
                <w:sz w:val="11"/>
                <w:szCs w:val="11"/>
                <w:color w:val="auto"/>
              </w:rPr>
              <w:t>61,742</w:t>
            </w:r>
          </w:p>
        </w:tc>
      </w:tr>
      <w:tr>
        <w:trPr>
          <w:trHeight w:val="191"/>
        </w:trPr>
        <w:tc>
          <w:tcPr>
            <w:tcW w:w="5540" w:type="dxa"/>
            <w:vAlign w:val="bottom"/>
            <w:gridSpan w:val="2"/>
            <w:shd w:val="clear" w:color="auto" w:fill="CCEEFF"/>
          </w:tcPr>
          <w:p>
            <w:pPr>
              <w:ind w:left="60"/>
              <w:spacing w:after="0"/>
              <w:rPr>
                <w:sz w:val="20"/>
                <w:szCs w:val="20"/>
                <w:color w:val="auto"/>
              </w:rPr>
            </w:pPr>
            <w:r>
              <w:rPr>
                <w:rFonts w:ascii="Arial" w:cs="Arial" w:eastAsia="Arial" w:hAnsi="Arial"/>
                <w:sz w:val="11"/>
                <w:szCs w:val="11"/>
                <w:color w:val="auto"/>
              </w:rPr>
              <w:t>Net income (loss)</w:t>
            </w:r>
          </w:p>
        </w:tc>
        <w:tc>
          <w:tcPr>
            <w:tcW w:w="28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1"/>
                <w:szCs w:val="11"/>
                <w:color w:val="auto"/>
              </w:rPr>
              <w:t>(254)</w:t>
            </w:r>
          </w:p>
        </w:tc>
        <w:tc>
          <w:tcPr>
            <w:tcW w:w="4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4,773</w:t>
            </w:r>
          </w:p>
        </w:tc>
        <w:tc>
          <w:tcPr>
            <w:tcW w:w="3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3,939</w:t>
            </w:r>
          </w:p>
        </w:tc>
        <w:tc>
          <w:tcPr>
            <w:tcW w:w="2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17,186</w:t>
            </w:r>
          </w:p>
        </w:tc>
      </w:tr>
      <w:tr>
        <w:trPr>
          <w:trHeight w:val="187"/>
        </w:trPr>
        <w:tc>
          <w:tcPr>
            <w:tcW w:w="5540" w:type="dxa"/>
            <w:vAlign w:val="bottom"/>
            <w:gridSpan w:val="2"/>
          </w:tcPr>
          <w:p>
            <w:pPr>
              <w:ind w:left="60"/>
              <w:spacing w:after="0"/>
              <w:rPr>
                <w:sz w:val="20"/>
                <w:szCs w:val="20"/>
                <w:color w:val="auto"/>
              </w:rPr>
            </w:pPr>
            <w:r>
              <w:rPr>
                <w:rFonts w:ascii="Arial" w:cs="Arial" w:eastAsia="Arial" w:hAnsi="Arial"/>
                <w:sz w:val="11"/>
                <w:szCs w:val="11"/>
                <w:color w:val="auto"/>
              </w:rPr>
              <w:t>Net income (loss) attributable to RDI shareholders</w:t>
            </w:r>
          </w:p>
        </w:tc>
        <w:tc>
          <w:tcPr>
            <w:tcW w:w="280" w:type="dxa"/>
            <w:vAlign w:val="bottom"/>
          </w:tcPr>
          <w:p>
            <w:pPr>
              <w:spacing w:after="0"/>
              <w:rPr>
                <w:sz w:val="16"/>
                <w:szCs w:val="16"/>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1"/>
                <w:szCs w:val="11"/>
                <w:color w:val="auto"/>
              </w:rPr>
              <w:t>(215)</w:t>
            </w:r>
          </w:p>
        </w:tc>
        <w:tc>
          <w:tcPr>
            <w:tcW w:w="4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4,757</w:t>
            </w:r>
          </w:p>
        </w:tc>
        <w:tc>
          <w:tcPr>
            <w:tcW w:w="3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3,939</w:t>
            </w: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17,220</w:t>
            </w:r>
          </w:p>
        </w:tc>
      </w:tr>
      <w:tr>
        <w:trPr>
          <w:trHeight w:val="191"/>
        </w:trPr>
        <w:tc>
          <w:tcPr>
            <w:tcW w:w="5540" w:type="dxa"/>
            <w:vAlign w:val="bottom"/>
            <w:gridSpan w:val="2"/>
            <w:shd w:val="clear" w:color="auto" w:fill="CCEEFF"/>
          </w:tcPr>
          <w:p>
            <w:pPr>
              <w:ind w:left="60"/>
              <w:spacing w:after="0"/>
              <w:rPr>
                <w:sz w:val="20"/>
                <w:szCs w:val="20"/>
                <w:color w:val="auto"/>
              </w:rPr>
            </w:pPr>
            <w:r>
              <w:rPr>
                <w:rFonts w:ascii="Arial" w:cs="Arial" w:eastAsia="Arial" w:hAnsi="Arial"/>
                <w:sz w:val="11"/>
                <w:szCs w:val="11"/>
                <w:color w:val="auto"/>
              </w:rPr>
              <w:t>Basic earnings (loss) per share</w:t>
            </w:r>
          </w:p>
        </w:tc>
        <w:tc>
          <w:tcPr>
            <w:tcW w:w="28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1"/>
                <w:szCs w:val="11"/>
                <w:color w:val="auto"/>
              </w:rPr>
              <w:t>(0.01)</w:t>
            </w:r>
          </w:p>
        </w:tc>
        <w:tc>
          <w:tcPr>
            <w:tcW w:w="4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0.20</w:t>
            </w:r>
          </w:p>
        </w:tc>
        <w:tc>
          <w:tcPr>
            <w:tcW w:w="3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0.17</w:t>
            </w:r>
          </w:p>
        </w:tc>
        <w:tc>
          <w:tcPr>
            <w:tcW w:w="2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0.74</w:t>
            </w:r>
          </w:p>
        </w:tc>
      </w:tr>
      <w:tr>
        <w:trPr>
          <w:trHeight w:val="185"/>
        </w:trPr>
        <w:tc>
          <w:tcPr>
            <w:tcW w:w="5540" w:type="dxa"/>
            <w:vAlign w:val="bottom"/>
            <w:gridSpan w:val="2"/>
          </w:tcPr>
          <w:p>
            <w:pPr>
              <w:ind w:left="60"/>
              <w:spacing w:after="0"/>
              <w:rPr>
                <w:sz w:val="20"/>
                <w:szCs w:val="20"/>
                <w:color w:val="auto"/>
              </w:rPr>
            </w:pPr>
            <w:r>
              <w:rPr>
                <w:rFonts w:ascii="Arial" w:cs="Arial" w:eastAsia="Arial" w:hAnsi="Arial"/>
                <w:sz w:val="11"/>
                <w:szCs w:val="11"/>
                <w:color w:val="auto"/>
              </w:rPr>
              <w:t>Diluted earnings (loss) per share</w:t>
            </w:r>
          </w:p>
        </w:tc>
        <w:tc>
          <w:tcPr>
            <w:tcW w:w="280" w:type="dxa"/>
            <w:vAlign w:val="bottom"/>
          </w:tcPr>
          <w:p>
            <w:pPr>
              <w:spacing w:after="0"/>
              <w:rPr>
                <w:sz w:val="16"/>
                <w:szCs w:val="16"/>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1"/>
                <w:szCs w:val="11"/>
                <w:color w:val="auto"/>
              </w:rPr>
              <w:t>(0.01)</w:t>
            </w:r>
          </w:p>
        </w:tc>
        <w:tc>
          <w:tcPr>
            <w:tcW w:w="4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0.20</w:t>
            </w:r>
          </w:p>
        </w:tc>
        <w:tc>
          <w:tcPr>
            <w:tcW w:w="3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0.17</w:t>
            </w: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0.72</w:t>
            </w:r>
          </w:p>
        </w:tc>
      </w:tr>
    </w:tbl>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59690</wp:posOffset>
            </wp:positionV>
            <wp:extent cx="677989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779895" cy="42545"/>
                    </a:xfrm>
                    <a:prstGeom prst="rect">
                      <a:avLst/>
                    </a:prstGeom>
                    <a:noFill/>
                  </pic:spPr>
                </pic:pic>
              </a:graphicData>
            </a:graphic>
          </wp:anchor>
        </w:drawing>
      </w:r>
    </w:p>
    <w:p>
      <w:pPr>
        <w:sectPr>
          <w:pgSz w:w="11900" w:h="16838" w:orient="portrait"/>
          <w:cols w:equalWidth="0" w:num="1">
            <w:col w:w="10620"/>
          </w:cols>
          <w:pgMar w:left="640" w:top="275" w:right="639" w:bottom="1440" w:gutter="0" w:footer="0" w:header="0"/>
        </w:sectPr>
      </w:pPr>
    </w:p>
    <w:bookmarkStart w:id="94" w:name="page95"/>
    <w:bookmarkEnd w:id="94"/>
    <w:p>
      <w:pPr>
        <w:spacing w:after="0"/>
        <w:rPr>
          <w:sz w:val="20"/>
          <w:szCs w:val="20"/>
          <w:color w:val="auto"/>
        </w:rPr>
      </w:pPr>
      <w:r>
        <w:rPr>
          <w:rFonts w:ascii="Arial" w:cs="Arial" w:eastAsia="Arial" w:hAnsi="Arial"/>
          <w:sz w:val="12"/>
          <w:szCs w:val="12"/>
          <w:b w:val="1"/>
          <w:bCs w:val="1"/>
          <w:color w:val="auto"/>
        </w:rPr>
        <w:t>NOTE 21 – Subsequent Events</w:t>
      </w:r>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Bank of America Credit Facility</w:t>
      </w:r>
    </w:p>
    <w:p>
      <w:pPr>
        <w:spacing w:after="0" w:line="150" w:lineRule="exact"/>
        <w:rPr>
          <w:sz w:val="20"/>
          <w:szCs w:val="20"/>
          <w:color w:val="auto"/>
        </w:rPr>
      </w:pPr>
    </w:p>
    <w:p>
      <w:pPr>
        <w:ind w:right="80"/>
        <w:spacing w:after="0" w:line="263" w:lineRule="auto"/>
        <w:rPr>
          <w:sz w:val="20"/>
          <w:szCs w:val="20"/>
          <w:color w:val="auto"/>
        </w:rPr>
      </w:pPr>
      <w:r>
        <w:rPr>
          <w:rFonts w:ascii="Arial" w:cs="Arial" w:eastAsia="Arial" w:hAnsi="Arial"/>
          <w:sz w:val="12"/>
          <w:szCs w:val="12"/>
          <w:color w:val="auto"/>
        </w:rPr>
        <w:t>On March 3, 2016, we amended our $55,000,000 Bank of America credit facility to permit real property acquisition loans subject to the proviso that the consolidated leverage ratio would be reduced by 0.25 from the established levels in the credit facility during the period of such borrowing subject further to a repayment of such borrowings on the earlier of the eighteen months from the date of such borrowing or the maturity date of the credit agreement. Such modification is not considered to be substantial in accordance with US GAAP.</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Acquisition of New Corporate Headquarters in Los Angeles</w:t>
      </w:r>
    </w:p>
    <w:p>
      <w:pPr>
        <w:spacing w:after="0" w:line="123" w:lineRule="exact"/>
        <w:rPr>
          <w:sz w:val="20"/>
          <w:szCs w:val="20"/>
          <w:color w:val="auto"/>
        </w:rPr>
      </w:pPr>
    </w:p>
    <w:p>
      <w:pPr>
        <w:ind w:right="120"/>
        <w:spacing w:after="0" w:line="263" w:lineRule="auto"/>
        <w:rPr>
          <w:sz w:val="20"/>
          <w:szCs w:val="20"/>
          <w:color w:val="auto"/>
        </w:rPr>
      </w:pPr>
      <w:r>
        <w:rPr>
          <w:rFonts w:ascii="Arial" w:cs="Arial" w:eastAsia="Arial" w:hAnsi="Arial"/>
          <w:sz w:val="12"/>
          <w:szCs w:val="12"/>
          <w:color w:val="auto"/>
        </w:rPr>
        <w:t>On April 11, 2016, we purchased for $11.2 million a 24,000 square foot Class B office building with 72 parking spaces located at 5995 Sepulveda Boulevard in Culver City, California. We intend to use approximately 50% of the leasable area for our headquarters offices and to lease the remainder to unaffiliated third parties. We anticipate, when the move is complete and the excess space is leased, we will be able to reduce our headquarters occupancy cost by approximately $350,000 per annum. The Company is in the process of obtaining a mortgage on this office building.</w:t>
      </w:r>
    </w:p>
    <w:p>
      <w:pPr>
        <w:spacing w:after="0" w:line="9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Updates to the Redevelopment Project of Union Square New York</w:t>
      </w:r>
    </w:p>
    <w:p>
      <w:pPr>
        <w:spacing w:after="0" w:line="132" w:lineRule="exact"/>
        <w:rPr>
          <w:sz w:val="20"/>
          <w:szCs w:val="20"/>
          <w:color w:val="auto"/>
        </w:rPr>
      </w:pPr>
    </w:p>
    <w:p>
      <w:pPr>
        <w:spacing w:after="0" w:line="263" w:lineRule="auto"/>
        <w:rPr>
          <w:sz w:val="20"/>
          <w:szCs w:val="20"/>
          <w:color w:val="auto"/>
        </w:rPr>
      </w:pPr>
      <w:r>
        <w:rPr>
          <w:rFonts w:ascii="Arial" w:cs="Arial" w:eastAsia="Arial" w:hAnsi="Arial"/>
          <w:sz w:val="12"/>
          <w:szCs w:val="12"/>
          <w:color w:val="auto"/>
        </w:rPr>
        <w:t>On March 22, 2016, we received the unanimous approval of the Board of Standards and Appeals of our application for the variances needed to redevelop our Union Square property for retail and office uses. This is the last major regulatory hurdle to commencement of construction. While our plans still must be approved by the New York City Department of Buildings, we do not currently anticipate encountering any material issues. On March 28, 2016, we entered into a construction management agreement for preconstruction services with an affiliate of CNY.</w:t>
      </w:r>
    </w:p>
    <w:p>
      <w:pPr>
        <w:spacing w:after="0" w:line="123" w:lineRule="exact"/>
        <w:rPr>
          <w:sz w:val="20"/>
          <w:szCs w:val="20"/>
          <w:color w:val="auto"/>
        </w:rPr>
      </w:pPr>
    </w:p>
    <w:p>
      <w:pPr>
        <w:jc w:val="center"/>
        <w:ind w:right="-59"/>
        <w:spacing w:after="0"/>
        <w:rPr>
          <w:sz w:val="20"/>
          <w:szCs w:val="20"/>
          <w:color w:val="auto"/>
        </w:rPr>
      </w:pPr>
      <w:r>
        <w:rPr>
          <w:rFonts w:ascii="Arial" w:cs="Arial" w:eastAsia="Arial" w:hAnsi="Arial"/>
          <w:sz w:val="12"/>
          <w:szCs w:val="12"/>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59690</wp:posOffset>
            </wp:positionV>
            <wp:extent cx="677989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779895" cy="42545"/>
                    </a:xfrm>
                    <a:prstGeom prst="rect">
                      <a:avLst/>
                    </a:prstGeom>
                    <a:noFill/>
                  </pic:spPr>
                </pic:pic>
              </a:graphicData>
            </a:graphic>
          </wp:anchor>
        </w:drawing>
      </w:r>
    </w:p>
    <w:p>
      <w:pPr>
        <w:sectPr>
          <w:pgSz w:w="11900" w:h="16838" w:orient="portrait"/>
          <w:cols w:equalWidth="0" w:num="1">
            <w:col w:w="10560"/>
          </w:cols>
          <w:pgMar w:left="640" w:top="271" w:right="699" w:bottom="1440" w:gutter="0" w:footer="0" w:header="0"/>
        </w:sectPr>
      </w:pPr>
    </w:p>
    <w:bookmarkStart w:id="95" w:name="page96"/>
    <w:bookmarkEnd w:id="95"/>
    <w:p>
      <w:pPr>
        <w:spacing w:after="0"/>
        <w:rPr>
          <w:sz w:val="20"/>
          <w:szCs w:val="20"/>
          <w:color w:val="auto"/>
        </w:rPr>
      </w:pPr>
      <w:r>
        <w:rPr>
          <w:rFonts w:ascii="Arial" w:cs="Arial" w:eastAsia="Arial" w:hAnsi="Arial"/>
          <w:sz w:val="12"/>
          <w:szCs w:val="12"/>
          <w:b w:val="1"/>
          <w:bCs w:val="1"/>
          <w:u w:val="single" w:color="auto"/>
          <w:color w:val="auto"/>
        </w:rPr>
        <w:t>Schedule II – Valuation and Qualifying Accounts</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3680" w:type="dxa"/>
            <w:vAlign w:val="bottom"/>
          </w:tcPr>
          <w:p>
            <w:pPr>
              <w:spacing w:after="0"/>
              <w:rPr>
                <w:sz w:val="11"/>
                <w:szCs w:val="11"/>
                <w:color w:val="auto"/>
              </w:rPr>
            </w:pPr>
          </w:p>
        </w:tc>
        <w:tc>
          <w:tcPr>
            <w:tcW w:w="1080" w:type="dxa"/>
            <w:vAlign w:val="bottom"/>
          </w:tcPr>
          <w:p>
            <w:pPr>
              <w:jc w:val="right"/>
              <w:ind w:right="26"/>
              <w:spacing w:after="0"/>
              <w:rPr>
                <w:sz w:val="20"/>
                <w:szCs w:val="20"/>
                <w:color w:val="auto"/>
              </w:rPr>
            </w:pPr>
            <w:r>
              <w:rPr>
                <w:rFonts w:ascii="Arial" w:cs="Arial" w:eastAsia="Arial" w:hAnsi="Arial"/>
                <w:sz w:val="11"/>
                <w:szCs w:val="11"/>
                <w:b w:val="1"/>
                <w:bCs w:val="1"/>
                <w:color w:val="auto"/>
              </w:rPr>
              <w:t>Balance at</w:t>
            </w: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tcPr>
          <w:p>
            <w:pPr>
              <w:jc w:val="right"/>
              <w:ind w:right="426"/>
              <w:spacing w:after="0"/>
              <w:rPr>
                <w:sz w:val="20"/>
                <w:szCs w:val="20"/>
                <w:color w:val="auto"/>
              </w:rPr>
            </w:pPr>
            <w:r>
              <w:rPr>
                <w:rFonts w:ascii="Arial" w:cs="Arial" w:eastAsia="Arial" w:hAnsi="Arial"/>
                <w:sz w:val="11"/>
                <w:szCs w:val="11"/>
                <w:b w:val="1"/>
                <w:bCs w:val="1"/>
                <w:color w:val="auto"/>
              </w:rPr>
              <w:t>Balance at</w:t>
            </w:r>
          </w:p>
        </w:tc>
      </w:tr>
      <w:tr>
        <w:trPr>
          <w:trHeight w:val="142"/>
        </w:trPr>
        <w:tc>
          <w:tcPr>
            <w:tcW w:w="3680" w:type="dxa"/>
            <w:vAlign w:val="bottom"/>
          </w:tcPr>
          <w:p>
            <w:pPr>
              <w:spacing w:after="0"/>
              <w:rPr>
                <w:sz w:val="12"/>
                <w:szCs w:val="12"/>
                <w:color w:val="auto"/>
              </w:rPr>
            </w:pPr>
          </w:p>
        </w:tc>
        <w:tc>
          <w:tcPr>
            <w:tcW w:w="1080" w:type="dxa"/>
            <w:vAlign w:val="bottom"/>
            <w:tcBorders>
              <w:bottom w:val="single" w:sz="8" w:color="auto"/>
            </w:tcBorders>
          </w:tcPr>
          <w:p>
            <w:pPr>
              <w:jc w:val="right"/>
              <w:ind w:right="46"/>
              <w:spacing w:after="0"/>
              <w:rPr>
                <w:sz w:val="20"/>
                <w:szCs w:val="20"/>
                <w:color w:val="auto"/>
              </w:rPr>
            </w:pPr>
            <w:r>
              <w:rPr>
                <w:rFonts w:ascii="Arial" w:cs="Arial" w:eastAsia="Arial" w:hAnsi="Arial"/>
                <w:sz w:val="11"/>
                <w:szCs w:val="11"/>
                <w:b w:val="1"/>
                <w:bCs w:val="1"/>
                <w:color w:val="auto"/>
              </w:rPr>
              <w:t>January 1</w:t>
            </w:r>
          </w:p>
        </w:tc>
        <w:tc>
          <w:tcPr>
            <w:tcW w:w="420" w:type="dxa"/>
            <w:vAlign w:val="bottom"/>
            <w:tcBorders>
              <w:bottom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Borders>
              <w:bottom w:val="single" w:sz="8" w:color="auto"/>
            </w:tcBorders>
          </w:tcPr>
          <w:p>
            <w:pPr>
              <w:jc w:val="right"/>
              <w:ind w:right="126"/>
              <w:spacing w:after="0"/>
              <w:rPr>
                <w:sz w:val="20"/>
                <w:szCs w:val="20"/>
                <w:color w:val="auto"/>
              </w:rPr>
            </w:pPr>
            <w:r>
              <w:rPr>
                <w:rFonts w:ascii="Arial" w:cs="Arial" w:eastAsia="Arial" w:hAnsi="Arial"/>
                <w:sz w:val="11"/>
                <w:szCs w:val="11"/>
                <w:b w:val="1"/>
                <w:bCs w:val="1"/>
                <w:color w:val="auto"/>
              </w:rPr>
              <w:t>Additions</w:t>
            </w:r>
          </w:p>
        </w:tc>
        <w:tc>
          <w:tcPr>
            <w:tcW w:w="340" w:type="dxa"/>
            <w:vAlign w:val="bottom"/>
            <w:tcBorders>
              <w:bottom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b w:val="1"/>
                <w:bCs w:val="1"/>
                <w:color w:val="auto"/>
              </w:rPr>
              <w:t>Deductions</w:t>
            </w:r>
          </w:p>
        </w:tc>
        <w:tc>
          <w:tcPr>
            <w:tcW w:w="400" w:type="dxa"/>
            <w:vAlign w:val="bottom"/>
            <w:tcBorders>
              <w:bottom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366"/>
              <w:spacing w:after="0"/>
              <w:rPr>
                <w:sz w:val="20"/>
                <w:szCs w:val="20"/>
                <w:color w:val="auto"/>
              </w:rPr>
            </w:pPr>
            <w:r>
              <w:rPr>
                <w:rFonts w:ascii="Arial" w:cs="Arial" w:eastAsia="Arial" w:hAnsi="Arial"/>
                <w:sz w:val="11"/>
                <w:szCs w:val="11"/>
                <w:b w:val="1"/>
                <w:bCs w:val="1"/>
                <w:color w:val="auto"/>
              </w:rPr>
              <w:t>December 31</w:t>
            </w:r>
          </w:p>
        </w:tc>
      </w:tr>
      <w:tr>
        <w:trPr>
          <w:trHeight w:val="178"/>
        </w:trPr>
        <w:tc>
          <w:tcPr>
            <w:tcW w:w="3680" w:type="dxa"/>
            <w:vAlign w:val="bottom"/>
          </w:tcPr>
          <w:p>
            <w:pPr>
              <w:spacing w:after="0"/>
              <w:rPr>
                <w:sz w:val="20"/>
                <w:szCs w:val="20"/>
                <w:color w:val="auto"/>
              </w:rPr>
            </w:pPr>
            <w:r>
              <w:rPr>
                <w:rFonts w:ascii="Arial" w:cs="Arial" w:eastAsia="Arial" w:hAnsi="Arial"/>
                <w:sz w:val="11"/>
                <w:szCs w:val="11"/>
                <w:b w:val="1"/>
                <w:bCs w:val="1"/>
                <w:color w:val="auto"/>
              </w:rPr>
              <w:t>Allowance for doubtful accounts</w:t>
            </w:r>
          </w:p>
        </w:tc>
        <w:tc>
          <w:tcPr>
            <w:tcW w:w="10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91"/>
        </w:trPr>
        <w:tc>
          <w:tcPr>
            <w:tcW w:w="3680" w:type="dxa"/>
            <w:vAlign w:val="bottom"/>
            <w:shd w:val="clear" w:color="auto" w:fill="CCEEFF"/>
          </w:tcPr>
          <w:p>
            <w:pPr>
              <w:jc w:val="right"/>
              <w:ind w:right="3326"/>
              <w:spacing w:after="0"/>
              <w:rPr>
                <w:sz w:val="20"/>
                <w:szCs w:val="20"/>
                <w:color w:val="auto"/>
              </w:rPr>
            </w:pPr>
            <w:r>
              <w:rPr>
                <w:rFonts w:ascii="Arial" w:cs="Arial" w:eastAsia="Arial" w:hAnsi="Arial"/>
                <w:sz w:val="11"/>
                <w:szCs w:val="11"/>
                <w:color w:val="auto"/>
              </w:rPr>
              <w:t>2015</w:t>
            </w:r>
          </w:p>
        </w:tc>
        <w:tc>
          <w:tcPr>
            <w:tcW w:w="1080" w:type="dxa"/>
            <w:vAlign w:val="bottom"/>
            <w:shd w:val="clear" w:color="auto" w:fill="CCEEFF"/>
          </w:tcPr>
          <w:p>
            <w:pPr>
              <w:jc w:val="right"/>
              <w:ind w:right="786"/>
              <w:spacing w:after="0"/>
              <w:rPr>
                <w:sz w:val="20"/>
                <w:szCs w:val="20"/>
                <w:color w:val="auto"/>
              </w:rPr>
            </w:pPr>
            <w:r>
              <w:rPr>
                <w:rFonts w:ascii="Arial" w:cs="Arial" w:eastAsia="Arial" w:hAnsi="Arial"/>
                <w:sz w:val="11"/>
                <w:szCs w:val="11"/>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586</w:t>
            </w: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846"/>
              <w:spacing w:after="0"/>
              <w:rPr>
                <w:sz w:val="20"/>
                <w:szCs w:val="20"/>
                <w:color w:val="auto"/>
              </w:rPr>
            </w:pPr>
            <w:r>
              <w:rPr>
                <w:rFonts w:ascii="Arial" w:cs="Arial" w:eastAsia="Arial" w:hAnsi="Arial"/>
                <w:sz w:val="11"/>
                <w:szCs w:val="11"/>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786</w:t>
            </w:r>
          </w:p>
        </w:tc>
        <w:tc>
          <w:tcPr>
            <w:tcW w:w="34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806"/>
              <w:spacing w:after="0"/>
              <w:rPr>
                <w:sz w:val="20"/>
                <w:szCs w:val="20"/>
                <w:color w:val="auto"/>
              </w:rPr>
            </w:pPr>
            <w:r>
              <w:rPr>
                <w:rFonts w:ascii="Arial" w:cs="Arial" w:eastAsia="Arial" w:hAnsi="Arial"/>
                <w:sz w:val="11"/>
                <w:szCs w:val="11"/>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946</w:t>
            </w:r>
          </w:p>
        </w:tc>
        <w:tc>
          <w:tcPr>
            <w:tcW w:w="34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426</w:t>
            </w:r>
          </w:p>
        </w:tc>
      </w:tr>
      <w:tr>
        <w:trPr>
          <w:trHeight w:val="187"/>
        </w:trPr>
        <w:tc>
          <w:tcPr>
            <w:tcW w:w="3680" w:type="dxa"/>
            <w:vAlign w:val="bottom"/>
          </w:tcPr>
          <w:p>
            <w:pPr>
              <w:jc w:val="right"/>
              <w:ind w:right="3326"/>
              <w:spacing w:after="0"/>
              <w:rPr>
                <w:sz w:val="20"/>
                <w:szCs w:val="20"/>
                <w:color w:val="auto"/>
              </w:rPr>
            </w:pPr>
            <w:r>
              <w:rPr>
                <w:rFonts w:ascii="Arial" w:cs="Arial" w:eastAsia="Arial" w:hAnsi="Arial"/>
                <w:sz w:val="11"/>
                <w:szCs w:val="11"/>
                <w:color w:val="auto"/>
              </w:rPr>
              <w:t>2014</w:t>
            </w:r>
          </w:p>
        </w:tc>
        <w:tc>
          <w:tcPr>
            <w:tcW w:w="1080" w:type="dxa"/>
            <w:vAlign w:val="bottom"/>
          </w:tcPr>
          <w:p>
            <w:pPr>
              <w:jc w:val="right"/>
              <w:ind w:right="786"/>
              <w:spacing w:after="0"/>
              <w:rPr>
                <w:sz w:val="20"/>
                <w:szCs w:val="20"/>
                <w:color w:val="auto"/>
              </w:rPr>
            </w:pPr>
            <w:r>
              <w:rPr>
                <w:rFonts w:ascii="Arial" w:cs="Arial" w:eastAsia="Arial" w:hAnsi="Arial"/>
                <w:sz w:val="11"/>
                <w:szCs w:val="11"/>
                <w:color w:val="auto"/>
              </w:rPr>
              <w:t>$</w:t>
            </w:r>
          </w:p>
        </w:tc>
        <w:tc>
          <w:tcPr>
            <w:tcW w:w="420" w:type="dxa"/>
            <w:vAlign w:val="bottom"/>
          </w:tcPr>
          <w:p>
            <w:pPr>
              <w:jc w:val="right"/>
              <w:spacing w:after="0"/>
              <w:rPr>
                <w:sz w:val="20"/>
                <w:szCs w:val="20"/>
                <w:color w:val="auto"/>
              </w:rPr>
            </w:pPr>
            <w:r>
              <w:rPr>
                <w:rFonts w:ascii="Arial" w:cs="Arial" w:eastAsia="Arial" w:hAnsi="Arial"/>
                <w:sz w:val="11"/>
                <w:szCs w:val="11"/>
                <w:color w:val="auto"/>
              </w:rPr>
              <w:t>375</w:t>
            </w:r>
          </w:p>
        </w:tc>
        <w:tc>
          <w:tcPr>
            <w:tcW w:w="340" w:type="dxa"/>
            <w:vAlign w:val="bottom"/>
          </w:tcPr>
          <w:p>
            <w:pPr>
              <w:spacing w:after="0"/>
              <w:rPr>
                <w:sz w:val="16"/>
                <w:szCs w:val="16"/>
                <w:color w:val="auto"/>
              </w:rPr>
            </w:pPr>
          </w:p>
        </w:tc>
        <w:tc>
          <w:tcPr>
            <w:tcW w:w="1140" w:type="dxa"/>
            <w:vAlign w:val="bottom"/>
          </w:tcPr>
          <w:p>
            <w:pPr>
              <w:jc w:val="right"/>
              <w:ind w:right="846"/>
              <w:spacing w:after="0"/>
              <w:rPr>
                <w:sz w:val="20"/>
                <w:szCs w:val="20"/>
                <w:color w:val="auto"/>
              </w:rPr>
            </w:pPr>
            <w:r>
              <w:rPr>
                <w:rFonts w:ascii="Arial" w:cs="Arial" w:eastAsia="Arial" w:hAnsi="Arial"/>
                <w:sz w:val="11"/>
                <w:szCs w:val="11"/>
                <w:color w:val="auto"/>
              </w:rPr>
              <w:t>$</w:t>
            </w:r>
          </w:p>
        </w:tc>
        <w:tc>
          <w:tcPr>
            <w:tcW w:w="340" w:type="dxa"/>
            <w:vAlign w:val="bottom"/>
          </w:tcPr>
          <w:p>
            <w:pPr>
              <w:jc w:val="right"/>
              <w:spacing w:after="0"/>
              <w:rPr>
                <w:sz w:val="20"/>
                <w:szCs w:val="20"/>
                <w:color w:val="auto"/>
              </w:rPr>
            </w:pPr>
            <w:r>
              <w:rPr>
                <w:rFonts w:ascii="Arial" w:cs="Arial" w:eastAsia="Arial" w:hAnsi="Arial"/>
                <w:sz w:val="11"/>
                <w:szCs w:val="11"/>
                <w:color w:val="auto"/>
              </w:rPr>
              <w:t>297</w:t>
            </w:r>
          </w:p>
        </w:tc>
        <w:tc>
          <w:tcPr>
            <w:tcW w:w="340" w:type="dxa"/>
            <w:vAlign w:val="bottom"/>
          </w:tcPr>
          <w:p>
            <w:pPr>
              <w:spacing w:after="0"/>
              <w:rPr>
                <w:sz w:val="16"/>
                <w:szCs w:val="16"/>
                <w:color w:val="auto"/>
              </w:rPr>
            </w:pPr>
          </w:p>
        </w:tc>
        <w:tc>
          <w:tcPr>
            <w:tcW w:w="1080" w:type="dxa"/>
            <w:vAlign w:val="bottom"/>
          </w:tcPr>
          <w:p>
            <w:pPr>
              <w:jc w:val="right"/>
              <w:ind w:right="806"/>
              <w:spacing w:after="0"/>
              <w:rPr>
                <w:sz w:val="20"/>
                <w:szCs w:val="20"/>
                <w:color w:val="auto"/>
              </w:rPr>
            </w:pPr>
            <w:r>
              <w:rPr>
                <w:rFonts w:ascii="Arial" w:cs="Arial" w:eastAsia="Arial" w:hAnsi="Arial"/>
                <w:sz w:val="11"/>
                <w:szCs w:val="11"/>
                <w:color w:val="auto"/>
              </w:rPr>
              <w:t>$</w:t>
            </w:r>
          </w:p>
        </w:tc>
        <w:tc>
          <w:tcPr>
            <w:tcW w:w="400" w:type="dxa"/>
            <w:vAlign w:val="bottom"/>
          </w:tcPr>
          <w:p>
            <w:pPr>
              <w:jc w:val="right"/>
              <w:spacing w:after="0"/>
              <w:rPr>
                <w:sz w:val="20"/>
                <w:szCs w:val="20"/>
                <w:color w:val="auto"/>
              </w:rPr>
            </w:pPr>
            <w:r>
              <w:rPr>
                <w:rFonts w:ascii="Arial" w:cs="Arial" w:eastAsia="Arial" w:hAnsi="Arial"/>
                <w:sz w:val="11"/>
                <w:szCs w:val="11"/>
                <w:color w:val="auto"/>
              </w:rPr>
              <w:t>86</w:t>
            </w:r>
          </w:p>
        </w:tc>
        <w:tc>
          <w:tcPr>
            <w:tcW w:w="340" w:type="dxa"/>
            <w:vAlign w:val="bottom"/>
          </w:tcPr>
          <w:p>
            <w:pPr>
              <w:spacing w:after="0"/>
              <w:rPr>
                <w:sz w:val="16"/>
                <w:szCs w:val="16"/>
                <w:color w:val="auto"/>
              </w:rPr>
            </w:pPr>
          </w:p>
        </w:tc>
        <w:tc>
          <w:tcPr>
            <w:tcW w:w="32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1140" w:type="dxa"/>
            <w:vAlign w:val="bottom"/>
          </w:tcPr>
          <w:p>
            <w:pPr>
              <w:jc w:val="right"/>
              <w:spacing w:after="0"/>
              <w:rPr>
                <w:sz w:val="20"/>
                <w:szCs w:val="20"/>
                <w:color w:val="auto"/>
              </w:rPr>
            </w:pPr>
            <w:r>
              <w:rPr>
                <w:rFonts w:ascii="Arial" w:cs="Arial" w:eastAsia="Arial" w:hAnsi="Arial"/>
                <w:sz w:val="11"/>
                <w:szCs w:val="11"/>
                <w:color w:val="auto"/>
              </w:rPr>
              <w:t>586</w:t>
            </w:r>
          </w:p>
        </w:tc>
      </w:tr>
      <w:tr>
        <w:trPr>
          <w:trHeight w:val="191"/>
        </w:trPr>
        <w:tc>
          <w:tcPr>
            <w:tcW w:w="3680" w:type="dxa"/>
            <w:vAlign w:val="bottom"/>
            <w:shd w:val="clear" w:color="auto" w:fill="CCEEFF"/>
          </w:tcPr>
          <w:p>
            <w:pPr>
              <w:jc w:val="right"/>
              <w:ind w:right="3326"/>
              <w:spacing w:after="0"/>
              <w:rPr>
                <w:sz w:val="20"/>
                <w:szCs w:val="20"/>
                <w:color w:val="auto"/>
              </w:rPr>
            </w:pPr>
            <w:r>
              <w:rPr>
                <w:rFonts w:ascii="Arial" w:cs="Arial" w:eastAsia="Arial" w:hAnsi="Arial"/>
                <w:sz w:val="11"/>
                <w:szCs w:val="11"/>
                <w:color w:val="auto"/>
              </w:rPr>
              <w:t>2013</w:t>
            </w:r>
          </w:p>
        </w:tc>
        <w:tc>
          <w:tcPr>
            <w:tcW w:w="1080" w:type="dxa"/>
            <w:vAlign w:val="bottom"/>
            <w:shd w:val="clear" w:color="auto" w:fill="CCEEFF"/>
          </w:tcPr>
          <w:p>
            <w:pPr>
              <w:jc w:val="right"/>
              <w:ind w:right="786"/>
              <w:spacing w:after="0"/>
              <w:rPr>
                <w:sz w:val="20"/>
                <w:szCs w:val="20"/>
                <w:color w:val="auto"/>
              </w:rPr>
            </w:pPr>
            <w:r>
              <w:rPr>
                <w:rFonts w:ascii="Arial" w:cs="Arial" w:eastAsia="Arial" w:hAnsi="Arial"/>
                <w:sz w:val="11"/>
                <w:szCs w:val="11"/>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209</w:t>
            </w: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846"/>
              <w:spacing w:after="0"/>
              <w:rPr>
                <w:sz w:val="20"/>
                <w:szCs w:val="20"/>
                <w:color w:val="auto"/>
              </w:rPr>
            </w:pPr>
            <w:r>
              <w:rPr>
                <w:rFonts w:ascii="Arial" w:cs="Arial" w:eastAsia="Arial" w:hAnsi="Arial"/>
                <w:sz w:val="11"/>
                <w:szCs w:val="11"/>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505</w:t>
            </w:r>
          </w:p>
        </w:tc>
        <w:tc>
          <w:tcPr>
            <w:tcW w:w="34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806"/>
              <w:spacing w:after="0"/>
              <w:rPr>
                <w:sz w:val="20"/>
                <w:szCs w:val="20"/>
                <w:color w:val="auto"/>
              </w:rPr>
            </w:pPr>
            <w:r>
              <w:rPr>
                <w:rFonts w:ascii="Arial" w:cs="Arial" w:eastAsia="Arial" w:hAnsi="Arial"/>
                <w:sz w:val="11"/>
                <w:szCs w:val="11"/>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339</w:t>
            </w:r>
          </w:p>
        </w:tc>
        <w:tc>
          <w:tcPr>
            <w:tcW w:w="34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375</w:t>
            </w:r>
          </w:p>
        </w:tc>
      </w:tr>
      <w:tr>
        <w:trPr>
          <w:trHeight w:val="187"/>
        </w:trPr>
        <w:tc>
          <w:tcPr>
            <w:tcW w:w="3680" w:type="dxa"/>
            <w:vAlign w:val="bottom"/>
          </w:tcPr>
          <w:p>
            <w:pPr>
              <w:spacing w:after="0"/>
              <w:rPr>
                <w:sz w:val="20"/>
                <w:szCs w:val="20"/>
                <w:color w:val="auto"/>
              </w:rPr>
            </w:pPr>
            <w:r>
              <w:rPr>
                <w:rFonts w:ascii="Arial" w:cs="Arial" w:eastAsia="Arial" w:hAnsi="Arial"/>
                <w:sz w:val="11"/>
                <w:szCs w:val="11"/>
                <w:b w:val="1"/>
                <w:bCs w:val="1"/>
                <w:color w:val="auto"/>
              </w:rPr>
              <w:t>Tax valuation allowance</w:t>
            </w:r>
          </w:p>
        </w:tc>
        <w:tc>
          <w:tcPr>
            <w:tcW w:w="10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3680" w:type="dxa"/>
            <w:vAlign w:val="bottom"/>
            <w:shd w:val="clear" w:color="auto" w:fill="CCEEFF"/>
          </w:tcPr>
          <w:p>
            <w:pPr>
              <w:jc w:val="right"/>
              <w:ind w:right="3326"/>
              <w:spacing w:after="0"/>
              <w:rPr>
                <w:sz w:val="20"/>
                <w:szCs w:val="20"/>
                <w:color w:val="auto"/>
              </w:rPr>
            </w:pPr>
            <w:r>
              <w:rPr>
                <w:rFonts w:ascii="Arial" w:cs="Arial" w:eastAsia="Arial" w:hAnsi="Arial"/>
                <w:sz w:val="11"/>
                <w:szCs w:val="11"/>
                <w:color w:val="auto"/>
              </w:rPr>
              <w:t>2015</w:t>
            </w:r>
          </w:p>
        </w:tc>
        <w:tc>
          <w:tcPr>
            <w:tcW w:w="1080" w:type="dxa"/>
            <w:vAlign w:val="bottom"/>
            <w:shd w:val="clear" w:color="auto" w:fill="CCEEFF"/>
          </w:tcPr>
          <w:p>
            <w:pPr>
              <w:jc w:val="right"/>
              <w:ind w:right="786"/>
              <w:spacing w:after="0"/>
              <w:rPr>
                <w:sz w:val="20"/>
                <w:szCs w:val="20"/>
                <w:color w:val="auto"/>
              </w:rPr>
            </w:pPr>
            <w:r>
              <w:rPr>
                <w:rFonts w:ascii="Arial" w:cs="Arial" w:eastAsia="Arial" w:hAnsi="Arial"/>
                <w:sz w:val="11"/>
                <w:szCs w:val="11"/>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15,936</w:t>
            </w: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846"/>
              <w:spacing w:after="0"/>
              <w:rPr>
                <w:sz w:val="20"/>
                <w:szCs w:val="20"/>
                <w:color w:val="auto"/>
              </w:rPr>
            </w:pPr>
            <w:r>
              <w:rPr>
                <w:rFonts w:ascii="Arial" w:cs="Arial" w:eastAsia="Arial" w:hAnsi="Arial"/>
                <w:sz w:val="11"/>
                <w:szCs w:val="11"/>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34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806"/>
              <w:spacing w:after="0"/>
              <w:rPr>
                <w:sz w:val="20"/>
                <w:szCs w:val="20"/>
                <w:color w:val="auto"/>
              </w:rPr>
            </w:pPr>
            <w:r>
              <w:rPr>
                <w:rFonts w:ascii="Arial" w:cs="Arial" w:eastAsia="Arial" w:hAnsi="Arial"/>
                <w:sz w:val="11"/>
                <w:szCs w:val="11"/>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4,406</w:t>
            </w:r>
          </w:p>
        </w:tc>
        <w:tc>
          <w:tcPr>
            <w:tcW w:w="34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11,530</w:t>
            </w:r>
          </w:p>
        </w:tc>
      </w:tr>
      <w:tr>
        <w:trPr>
          <w:trHeight w:val="187"/>
        </w:trPr>
        <w:tc>
          <w:tcPr>
            <w:tcW w:w="3680" w:type="dxa"/>
            <w:vAlign w:val="bottom"/>
          </w:tcPr>
          <w:p>
            <w:pPr>
              <w:jc w:val="right"/>
              <w:ind w:right="3326"/>
              <w:spacing w:after="0"/>
              <w:rPr>
                <w:sz w:val="20"/>
                <w:szCs w:val="20"/>
                <w:color w:val="auto"/>
              </w:rPr>
            </w:pPr>
            <w:r>
              <w:rPr>
                <w:rFonts w:ascii="Arial" w:cs="Arial" w:eastAsia="Arial" w:hAnsi="Arial"/>
                <w:sz w:val="11"/>
                <w:szCs w:val="11"/>
                <w:color w:val="auto"/>
              </w:rPr>
              <w:t>2014</w:t>
            </w:r>
          </w:p>
        </w:tc>
        <w:tc>
          <w:tcPr>
            <w:tcW w:w="1080" w:type="dxa"/>
            <w:vAlign w:val="bottom"/>
          </w:tcPr>
          <w:p>
            <w:pPr>
              <w:jc w:val="right"/>
              <w:ind w:right="786"/>
              <w:spacing w:after="0"/>
              <w:rPr>
                <w:sz w:val="20"/>
                <w:szCs w:val="20"/>
                <w:color w:val="auto"/>
              </w:rPr>
            </w:pPr>
            <w:r>
              <w:rPr>
                <w:rFonts w:ascii="Arial" w:cs="Arial" w:eastAsia="Arial" w:hAnsi="Arial"/>
                <w:sz w:val="11"/>
                <w:szCs w:val="11"/>
                <w:color w:val="auto"/>
              </w:rPr>
              <w:t>$</w:t>
            </w:r>
          </w:p>
        </w:tc>
        <w:tc>
          <w:tcPr>
            <w:tcW w:w="420" w:type="dxa"/>
            <w:vAlign w:val="bottom"/>
          </w:tcPr>
          <w:p>
            <w:pPr>
              <w:jc w:val="right"/>
              <w:spacing w:after="0"/>
              <w:rPr>
                <w:sz w:val="20"/>
                <w:szCs w:val="20"/>
                <w:color w:val="auto"/>
              </w:rPr>
            </w:pPr>
            <w:r>
              <w:rPr>
                <w:rFonts w:ascii="Arial" w:cs="Arial" w:eastAsia="Arial" w:hAnsi="Arial"/>
                <w:sz w:val="11"/>
                <w:szCs w:val="11"/>
                <w:color w:val="auto"/>
              </w:rPr>
              <w:t>34,022</w:t>
            </w:r>
          </w:p>
        </w:tc>
        <w:tc>
          <w:tcPr>
            <w:tcW w:w="340" w:type="dxa"/>
            <w:vAlign w:val="bottom"/>
          </w:tcPr>
          <w:p>
            <w:pPr>
              <w:spacing w:after="0"/>
              <w:rPr>
                <w:sz w:val="16"/>
                <w:szCs w:val="16"/>
                <w:color w:val="auto"/>
              </w:rPr>
            </w:pPr>
          </w:p>
        </w:tc>
        <w:tc>
          <w:tcPr>
            <w:tcW w:w="1140" w:type="dxa"/>
            <w:vAlign w:val="bottom"/>
          </w:tcPr>
          <w:p>
            <w:pPr>
              <w:jc w:val="right"/>
              <w:ind w:right="846"/>
              <w:spacing w:after="0"/>
              <w:rPr>
                <w:sz w:val="20"/>
                <w:szCs w:val="20"/>
                <w:color w:val="auto"/>
              </w:rPr>
            </w:pPr>
            <w:r>
              <w:rPr>
                <w:rFonts w:ascii="Arial" w:cs="Arial" w:eastAsia="Arial" w:hAnsi="Arial"/>
                <w:sz w:val="11"/>
                <w:szCs w:val="11"/>
                <w:color w:val="auto"/>
              </w:rPr>
              <w:t>$</w:t>
            </w:r>
          </w:p>
        </w:tc>
        <w:tc>
          <w:tcPr>
            <w:tcW w:w="340" w:type="dxa"/>
            <w:vAlign w:val="bottom"/>
          </w:tcPr>
          <w:p>
            <w:pPr>
              <w:jc w:val="right"/>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16"/>
                <w:szCs w:val="16"/>
                <w:color w:val="auto"/>
              </w:rPr>
            </w:pPr>
          </w:p>
        </w:tc>
        <w:tc>
          <w:tcPr>
            <w:tcW w:w="1080" w:type="dxa"/>
            <w:vAlign w:val="bottom"/>
          </w:tcPr>
          <w:p>
            <w:pPr>
              <w:jc w:val="right"/>
              <w:ind w:right="806"/>
              <w:spacing w:after="0"/>
              <w:rPr>
                <w:sz w:val="20"/>
                <w:szCs w:val="20"/>
                <w:color w:val="auto"/>
              </w:rPr>
            </w:pPr>
            <w:r>
              <w:rPr>
                <w:rFonts w:ascii="Arial" w:cs="Arial" w:eastAsia="Arial" w:hAnsi="Arial"/>
                <w:sz w:val="11"/>
                <w:szCs w:val="11"/>
                <w:color w:val="auto"/>
              </w:rPr>
              <w:t>$</w:t>
            </w:r>
          </w:p>
        </w:tc>
        <w:tc>
          <w:tcPr>
            <w:tcW w:w="400" w:type="dxa"/>
            <w:vAlign w:val="bottom"/>
          </w:tcPr>
          <w:p>
            <w:pPr>
              <w:jc w:val="right"/>
              <w:spacing w:after="0"/>
              <w:rPr>
                <w:sz w:val="20"/>
                <w:szCs w:val="20"/>
                <w:color w:val="auto"/>
              </w:rPr>
            </w:pPr>
            <w:r>
              <w:rPr>
                <w:rFonts w:ascii="Arial" w:cs="Arial" w:eastAsia="Arial" w:hAnsi="Arial"/>
                <w:sz w:val="11"/>
                <w:szCs w:val="11"/>
                <w:color w:val="auto"/>
              </w:rPr>
              <w:t>18,086</w:t>
            </w:r>
          </w:p>
        </w:tc>
        <w:tc>
          <w:tcPr>
            <w:tcW w:w="340" w:type="dxa"/>
            <w:vAlign w:val="bottom"/>
          </w:tcPr>
          <w:p>
            <w:pPr>
              <w:spacing w:after="0"/>
              <w:rPr>
                <w:sz w:val="16"/>
                <w:szCs w:val="16"/>
                <w:color w:val="auto"/>
              </w:rPr>
            </w:pPr>
          </w:p>
        </w:tc>
        <w:tc>
          <w:tcPr>
            <w:tcW w:w="320" w:type="dxa"/>
            <w:vAlign w:val="bottom"/>
          </w:tcPr>
          <w:p>
            <w:pPr>
              <w:jc w:val="right"/>
              <w:ind w:right="46"/>
              <w:spacing w:after="0"/>
              <w:rPr>
                <w:sz w:val="20"/>
                <w:szCs w:val="20"/>
                <w:color w:val="auto"/>
              </w:rPr>
            </w:pPr>
            <w:r>
              <w:rPr>
                <w:rFonts w:ascii="Arial" w:cs="Arial" w:eastAsia="Arial" w:hAnsi="Arial"/>
                <w:sz w:val="11"/>
                <w:szCs w:val="11"/>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1"/>
                <w:szCs w:val="11"/>
                <w:color w:val="auto"/>
              </w:rPr>
              <w:t>15,936</w:t>
            </w:r>
          </w:p>
        </w:tc>
      </w:tr>
      <w:tr>
        <w:trPr>
          <w:trHeight w:val="191"/>
        </w:trPr>
        <w:tc>
          <w:tcPr>
            <w:tcW w:w="3680" w:type="dxa"/>
            <w:vAlign w:val="bottom"/>
            <w:shd w:val="clear" w:color="auto" w:fill="CCEEFF"/>
          </w:tcPr>
          <w:p>
            <w:pPr>
              <w:jc w:val="right"/>
              <w:ind w:right="3326"/>
              <w:spacing w:after="0"/>
              <w:rPr>
                <w:sz w:val="20"/>
                <w:szCs w:val="20"/>
                <w:color w:val="auto"/>
              </w:rPr>
            </w:pPr>
            <w:r>
              <w:rPr>
                <w:rFonts w:ascii="Arial" w:cs="Arial" w:eastAsia="Arial" w:hAnsi="Arial"/>
                <w:sz w:val="11"/>
                <w:szCs w:val="11"/>
                <w:color w:val="auto"/>
              </w:rPr>
              <w:t>2013</w:t>
            </w:r>
          </w:p>
        </w:tc>
        <w:tc>
          <w:tcPr>
            <w:tcW w:w="1080" w:type="dxa"/>
            <w:vAlign w:val="bottom"/>
            <w:shd w:val="clear" w:color="auto" w:fill="CCEEFF"/>
          </w:tcPr>
          <w:p>
            <w:pPr>
              <w:jc w:val="right"/>
              <w:ind w:right="786"/>
              <w:spacing w:after="0"/>
              <w:rPr>
                <w:sz w:val="20"/>
                <w:szCs w:val="20"/>
                <w:color w:val="auto"/>
              </w:rPr>
            </w:pPr>
            <w:r>
              <w:rPr>
                <w:rFonts w:ascii="Arial" w:cs="Arial" w:eastAsia="Arial" w:hAnsi="Arial"/>
                <w:sz w:val="11"/>
                <w:szCs w:val="11"/>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37,903</w:t>
            </w: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846"/>
              <w:spacing w:after="0"/>
              <w:rPr>
                <w:sz w:val="20"/>
                <w:szCs w:val="20"/>
                <w:color w:val="auto"/>
              </w:rPr>
            </w:pPr>
            <w:r>
              <w:rPr>
                <w:rFonts w:ascii="Arial" w:cs="Arial" w:eastAsia="Arial" w:hAnsi="Arial"/>
                <w:sz w:val="11"/>
                <w:szCs w:val="11"/>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34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806"/>
              <w:spacing w:after="0"/>
              <w:rPr>
                <w:sz w:val="20"/>
                <w:szCs w:val="20"/>
                <w:color w:val="auto"/>
              </w:rPr>
            </w:pPr>
            <w:r>
              <w:rPr>
                <w:rFonts w:ascii="Arial" w:cs="Arial" w:eastAsia="Arial" w:hAnsi="Arial"/>
                <w:sz w:val="11"/>
                <w:szCs w:val="11"/>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3,881</w:t>
            </w:r>
          </w:p>
        </w:tc>
        <w:tc>
          <w:tcPr>
            <w:tcW w:w="34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34,022</w:t>
            </w:r>
          </w:p>
        </w:tc>
      </w:tr>
    </w:tbl>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59690</wp:posOffset>
            </wp:positionV>
            <wp:extent cx="677989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779895" cy="42545"/>
                    </a:xfrm>
                    <a:prstGeom prst="rect">
                      <a:avLst/>
                    </a:prstGeom>
                    <a:noFill/>
                  </pic:spPr>
                </pic:pic>
              </a:graphicData>
            </a:graphic>
          </wp:anchor>
        </w:drawing>
      </w:r>
    </w:p>
    <w:p>
      <w:pPr>
        <w:sectPr>
          <w:pgSz w:w="11900" w:h="16838" w:orient="portrait"/>
          <w:cols w:equalWidth="0" w:num="1">
            <w:col w:w="10620"/>
          </w:cols>
          <w:pgMar w:left="640" w:top="370" w:right="639" w:bottom="1440" w:gutter="0" w:footer="0" w:header="0"/>
        </w:sectPr>
      </w:pPr>
    </w:p>
    <w:bookmarkStart w:id="96" w:name="page97"/>
    <w:bookmarkEnd w:id="96"/>
    <w:p>
      <w:pPr>
        <w:ind w:right="4839"/>
        <w:spacing w:after="0" w:line="393" w:lineRule="auto"/>
        <w:rPr>
          <w:sz w:val="20"/>
          <w:szCs w:val="20"/>
          <w:color w:val="auto"/>
        </w:rPr>
      </w:pPr>
      <w:r>
        <w:rPr>
          <w:rFonts w:ascii="Arial" w:cs="Arial" w:eastAsia="Arial" w:hAnsi="Arial"/>
          <w:sz w:val="12"/>
          <w:szCs w:val="12"/>
          <w:b w:val="1"/>
          <w:bCs w:val="1"/>
          <w:u w:val="single" w:color="auto"/>
          <w:color w:val="auto"/>
        </w:rPr>
        <w:t xml:space="preserve">Item 9 – Change in and Disagreements with Accountants on Accounting and Financial Disclosure </w:t>
      </w:r>
      <w:r>
        <w:rPr>
          <w:rFonts w:ascii="Arial" w:cs="Arial" w:eastAsia="Arial" w:hAnsi="Arial"/>
          <w:sz w:val="12"/>
          <w:szCs w:val="12"/>
          <w:color w:val="auto"/>
        </w:rPr>
        <w:t>None.</w:t>
      </w:r>
    </w:p>
    <w:p>
      <w:pPr>
        <w:spacing w:after="0" w:line="264" w:lineRule="exact"/>
        <w:rPr>
          <w:sz w:val="20"/>
          <w:szCs w:val="20"/>
          <w:color w:val="auto"/>
        </w:rPr>
      </w:pPr>
    </w:p>
    <w:p>
      <w:pPr>
        <w:jc w:val="right"/>
        <w:ind w:right="4439"/>
        <w:spacing w:after="0"/>
        <w:rPr>
          <w:sz w:val="20"/>
          <w:szCs w:val="20"/>
          <w:color w:val="auto"/>
        </w:rPr>
      </w:pPr>
      <w:r>
        <w:rPr>
          <w:rFonts w:ascii="Arial" w:cs="Arial" w:eastAsia="Arial" w:hAnsi="Arial"/>
          <w:sz w:val="12"/>
          <w:szCs w:val="12"/>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59690</wp:posOffset>
            </wp:positionV>
            <wp:extent cx="677989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779895" cy="42545"/>
                    </a:xfrm>
                    <a:prstGeom prst="rect">
                      <a:avLst/>
                    </a:prstGeom>
                    <a:noFill/>
                  </pic:spPr>
                </pic:pic>
              </a:graphicData>
            </a:graphic>
          </wp:anchor>
        </w:drawing>
      </w:r>
    </w:p>
    <w:p>
      <w:pPr>
        <w:sectPr>
          <w:pgSz w:w="11900" w:h="16838" w:orient="portrait"/>
          <w:cols w:equalWidth="0" w:num="1">
            <w:col w:w="9819"/>
          </w:cols>
          <w:pgMar w:left="640" w:top="388" w:right="1440" w:bottom="1440" w:gutter="0" w:footer="0" w:header="0"/>
        </w:sectPr>
      </w:pPr>
    </w:p>
    <w:bookmarkStart w:id="97" w:name="page98"/>
    <w:bookmarkEnd w:id="97"/>
    <w:p>
      <w:pPr>
        <w:spacing w:after="0"/>
        <w:rPr>
          <w:sz w:val="20"/>
          <w:szCs w:val="20"/>
          <w:color w:val="auto"/>
        </w:rPr>
      </w:pPr>
      <w:r>
        <w:rPr>
          <w:rFonts w:ascii="Arial" w:cs="Arial" w:eastAsia="Arial" w:hAnsi="Arial"/>
          <w:sz w:val="12"/>
          <w:szCs w:val="12"/>
          <w:b w:val="1"/>
          <w:bCs w:val="1"/>
          <w:u w:val="single" w:color="auto"/>
          <w:color w:val="auto"/>
        </w:rPr>
        <w:t>Item 9A — Controls and Procedures</w:t>
      </w:r>
    </w:p>
    <w:p>
      <w:pPr>
        <w:spacing w:after="0" w:line="60"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auto"/>
        </w:rPr>
        <w:t>Management’s Report on Internal Control Over Financial Reporting</w:t>
      </w:r>
    </w:p>
    <w:p>
      <w:pPr>
        <w:spacing w:after="0" w:line="73" w:lineRule="exact"/>
        <w:rPr>
          <w:sz w:val="20"/>
          <w:szCs w:val="20"/>
          <w:color w:val="auto"/>
        </w:rPr>
      </w:pPr>
    </w:p>
    <w:p>
      <w:pPr>
        <w:spacing w:after="0" w:line="257" w:lineRule="auto"/>
        <w:rPr>
          <w:sz w:val="20"/>
          <w:szCs w:val="20"/>
          <w:color w:val="auto"/>
        </w:rPr>
      </w:pPr>
      <w:r>
        <w:rPr>
          <w:rFonts w:ascii="Arial" w:cs="Arial" w:eastAsia="Arial" w:hAnsi="Arial"/>
          <w:sz w:val="12"/>
          <w:szCs w:val="12"/>
          <w:color w:val="auto"/>
        </w:rPr>
        <w:t>Our management is responsible for establishing and maintaining adequate internal control over financial reporting, as such term is defined in Securities Exchange Act Rules 13a-15(f) and 15d-15(f), including maintenance of (i) records that in reasonable detail accurately and fairly reflect the transactions and dispositions of our assets, and (ii) policies and procedures that provide reasonable assurance that (a) transactions are recorded as necessary to permit preparation of financial statements in accordance with accounting principles generally accepted in the United States of America, (b) our receipts and expenditures are being made only in accordance with authorizations of management and our Board of Directors and (c) we will prevent or timely detect unauthorized acquisition, use, or disposition of our assets that could have a material effect on the financial statements.</w:t>
      </w:r>
    </w:p>
    <w:p>
      <w:pPr>
        <w:spacing w:after="0" w:line="45" w:lineRule="exact"/>
        <w:rPr>
          <w:sz w:val="20"/>
          <w:szCs w:val="20"/>
          <w:color w:val="auto"/>
        </w:rPr>
      </w:pPr>
    </w:p>
    <w:p>
      <w:pPr>
        <w:ind w:right="100"/>
        <w:spacing w:after="0" w:line="290" w:lineRule="auto"/>
        <w:rPr>
          <w:sz w:val="20"/>
          <w:szCs w:val="20"/>
          <w:color w:val="auto"/>
        </w:rPr>
      </w:pPr>
      <w:r>
        <w:rPr>
          <w:rFonts w:ascii="Arial" w:cs="Arial" w:eastAsia="Arial" w:hAnsi="Arial"/>
          <w:sz w:val="11"/>
          <w:szCs w:val="11"/>
          <w:color w:val="auto"/>
        </w:rPr>
        <w:t>Internal control over financial reporting cannot provide absolute assurance of achieving financial reporting objectives because of the inherent limitations of any system of internal control. Internal control over financial reporting is a process that involves human diligence and compliance and is subject to lapses of judgment and breakdowns resulting from human failures. Internal control over financial reporting also can be circumvented by collusion or improper overriding of controls. As a result of such limitations, there is risk that material misstatements may not be prevented or detected on a timely basis by internal control over financial reporting. However, these inherent limitations are known features of the financial reporting process. Therefore, it is possible to design into the process safeguards to reduce, though not eliminate, this risk.</w:t>
      </w:r>
    </w:p>
    <w:p>
      <w:pPr>
        <w:spacing w:after="0" w:line="19" w:lineRule="exact"/>
        <w:rPr>
          <w:sz w:val="20"/>
          <w:szCs w:val="20"/>
          <w:color w:val="auto"/>
        </w:rPr>
      </w:pPr>
    </w:p>
    <w:p>
      <w:pPr>
        <w:spacing w:after="0" w:line="281" w:lineRule="auto"/>
        <w:rPr>
          <w:sz w:val="20"/>
          <w:szCs w:val="20"/>
          <w:color w:val="auto"/>
        </w:rPr>
      </w:pPr>
      <w:r>
        <w:rPr>
          <w:rFonts w:ascii="Arial" w:cs="Arial" w:eastAsia="Arial" w:hAnsi="Arial"/>
          <w:sz w:val="11"/>
          <w:szCs w:val="11"/>
          <w:color w:val="auto"/>
        </w:rPr>
        <w:t>Under the supervision and with the participation of our management, including our Chief Executive Officer and Chief Financial Officer, we conducted an evaluation of the effectiveness of our internal control over financial reporting based on the criteria established in 2013 Internal Control—Integrated Framework issued by the Committee of Sponsoring Organizations (COSO) of the Treadway Commission. As reported in our September 30, 2014 10-Q filing and further noted in our December 31, 2014 10-K filing, our management identified a material weakness in our internal control over financial reporting in the area of income taxes based on our discovery that our audited consolidated financial statements for the fiscal year ended December 31, 2013 erroneously omitted a $1.4 million tax effect of a 2013 year-end transaction by one of our Reading Australia subsidiaries. As a means of remediating the material weakness in 2014 and improving our controls and procedures, we engaged tax advisors from a Big 4 international public accounting firm in 2015 to provide technical guidance and to provide tax accounting advisory services as of December 31, 2015, which we considered as part of our an annual controls related to income taxes. We, together with our tax advisors, have an extensive background in tax accounting &amp; international tax and are assisted by senior team members in the U.S., Australia &amp; New Zealand. Our management believes that we have not yet fully remediated the material weakness in our internal control over financial reporting for income taxes (relating to certain book-tax basis differences mostly originating in prior years). As a result of our review, we noted adjustments to our 2014 results as follows: Decrease in Tax Expenses of $514,000, Increase in Deferred Tax Assets of $ 2,116,000, Increase in Adjusted Paid-in Capital of $793,000, Increase in Other Comprehensive Income of $1,859,000 and a Decrease in Other Non-Current Liabilities of $1,050,000. Of the $514,000 adjustment to decrease the income tax expense in 2015, $1,286,000 relates to the adjustment that should have been recorded in 2014, thus reducing our income tax benefit by this amount. The remaining $1,800,000 relates to income taxes pertaining to years prior to 2014 cumulatively, that would have increased our deferred tax assets by such amount. These adjustments have been incorporated into our 2015 financial statements as they did not have a material effect on our financial position or results of operations as reflected in our 2014 financial statements.</w:t>
      </w:r>
    </w:p>
    <w:p>
      <w:pPr>
        <w:spacing w:after="0" w:line="33" w:lineRule="exact"/>
        <w:rPr>
          <w:sz w:val="20"/>
          <w:szCs w:val="20"/>
          <w:color w:val="auto"/>
        </w:rPr>
      </w:pPr>
    </w:p>
    <w:p>
      <w:pPr>
        <w:ind w:right="40"/>
        <w:spacing w:after="0" w:line="259" w:lineRule="auto"/>
        <w:rPr>
          <w:sz w:val="20"/>
          <w:szCs w:val="20"/>
          <w:color w:val="auto"/>
        </w:rPr>
      </w:pPr>
      <w:r>
        <w:rPr>
          <w:rFonts w:ascii="Arial" w:cs="Arial" w:eastAsia="Arial" w:hAnsi="Arial"/>
          <w:sz w:val="12"/>
          <w:szCs w:val="12"/>
          <w:color w:val="auto"/>
        </w:rPr>
        <w:t>In light of the foregoing, our management concluded that our internal controls over financial reporting were not effective as of December 31, 2015. As a means of fully remediating the material weaknesses identified in 2014 and 2015 and improve our controls and procedures around the income taxes area, we will add personnel, technology, and technical resources to our tax department specifically in the tax provisioning process and we will continue to engage qualified tax advisors to provide timely technical guidance and oversight in the income tax area. As the remediation efforts are ongoing, the material weakness disclosure remains in place until we have sufficient efficacy of such remediation.</w:t>
      </w:r>
    </w:p>
    <w:p>
      <w:pPr>
        <w:spacing w:after="0" w:line="44" w:lineRule="exact"/>
        <w:rPr>
          <w:sz w:val="20"/>
          <w:szCs w:val="20"/>
          <w:color w:val="auto"/>
        </w:rPr>
      </w:pPr>
    </w:p>
    <w:p>
      <w:pPr>
        <w:ind w:right="260"/>
        <w:spacing w:after="0" w:line="276" w:lineRule="auto"/>
        <w:rPr>
          <w:sz w:val="20"/>
          <w:szCs w:val="20"/>
          <w:color w:val="auto"/>
        </w:rPr>
      </w:pPr>
      <w:r>
        <w:rPr>
          <w:rFonts w:ascii="Arial" w:cs="Arial" w:eastAsia="Arial" w:hAnsi="Arial"/>
          <w:sz w:val="12"/>
          <w:szCs w:val="12"/>
          <w:color w:val="auto"/>
        </w:rPr>
        <w:t>The effectiveness of our internal control over financial reporting as of December 31, 2015 has been audited by Grant Thornton LLP, an independent registered public accounting firm, as stated in their report, which is included herein.</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auto"/>
        </w:rPr>
        <w:t>Disclosure Controls and Procedures</w:t>
      </w:r>
    </w:p>
    <w:p>
      <w:pPr>
        <w:spacing w:after="0" w:line="73" w:lineRule="exact"/>
        <w:rPr>
          <w:sz w:val="20"/>
          <w:szCs w:val="20"/>
          <w:color w:val="auto"/>
        </w:rPr>
      </w:pPr>
    </w:p>
    <w:p>
      <w:pPr>
        <w:ind w:right="100"/>
        <w:spacing w:after="0" w:line="340" w:lineRule="auto"/>
        <w:rPr>
          <w:sz w:val="20"/>
          <w:szCs w:val="20"/>
          <w:color w:val="auto"/>
        </w:rPr>
      </w:pPr>
      <w:r>
        <w:rPr>
          <w:rFonts w:ascii="Arial" w:cs="Arial" w:eastAsia="Arial" w:hAnsi="Arial"/>
          <w:sz w:val="10"/>
          <w:szCs w:val="10"/>
          <w:color w:val="auto"/>
        </w:rPr>
        <w:t>We have formally adopted a policy for disclosure controls and procedures that provides guidance on the evaluation of disclosure controls and procedures and is designed to ensure that all corporate disclosure is complete and accurate in all material respects and that all information required to be disclosed in the periodic reports submitted by us under the Securities Exchange Act of 1934 is recorded, processed, summarized and reported within the time periods and in the manner specified in the Securities and Exchange Commission’s rules and forms. Disclosure controls and procedures include, without limitation, controls and procedures designed to</w:t>
      </w:r>
    </w:p>
    <w:p>
      <w:pPr>
        <w:spacing w:after="0" w:line="88"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59690</wp:posOffset>
            </wp:positionV>
            <wp:extent cx="677989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779895" cy="42545"/>
                    </a:xfrm>
                    <a:prstGeom prst="rect">
                      <a:avLst/>
                    </a:prstGeom>
                    <a:noFill/>
                  </pic:spPr>
                </pic:pic>
              </a:graphicData>
            </a:graphic>
          </wp:anchor>
        </w:drawing>
      </w:r>
    </w:p>
    <w:p>
      <w:pPr>
        <w:sectPr>
          <w:pgSz w:w="11900" w:h="16838" w:orient="portrait"/>
          <w:cols w:equalWidth="0" w:num="1">
            <w:col w:w="10620"/>
          </w:cols>
          <w:pgMar w:left="640" w:top="334" w:right="639" w:bottom="1440" w:gutter="0" w:footer="0" w:header="0"/>
        </w:sectPr>
      </w:pPr>
    </w:p>
    <w:bookmarkStart w:id="98" w:name="page99"/>
    <w:bookmarkEnd w:id="98"/>
    <w:p>
      <w:pPr>
        <w:spacing w:after="0" w:line="283" w:lineRule="auto"/>
        <w:rPr>
          <w:sz w:val="20"/>
          <w:szCs w:val="20"/>
          <w:color w:val="auto"/>
        </w:rPr>
      </w:pPr>
      <w:r>
        <w:rPr>
          <w:rFonts w:ascii="Arial" w:cs="Arial" w:eastAsia="Arial" w:hAnsi="Arial"/>
          <w:sz w:val="11"/>
          <w:szCs w:val="11"/>
          <w:color w:val="auto"/>
        </w:rPr>
        <w:t>ensure that information required to be disclosed by an issuer in the reports that it files or submits under the Act is accumulated and communicated to the issuer's management, including its principal executive and principal financial officers, or persons performing similar functions, as appropriate to allow timely decisions regarding required disclosure. As of the end of the period covered by this report, we carried out an evaluation, under the supervision and with the participation of our Chief Executive Officer and Chief Financial Officer, of the effectiveness of our disclosure controls and procedures. A disclosure committee consisting of the principal accounting officer, and senior officers of each significant business line and other select employees assisted the Chief Executive Officer and the Chief Financial Officer in this evaluation. Based upon our evaluation that the controls over income taxes need to be further enhanced during 2016, our Chief Executive Officer and Chief Financial Officer concluded that our disclosure controls and procedures were not effective as required by the Securities Exchange Act Rule 13a-15(e) and 15d – 15(e) as of the end of the period covered by this report.</w:t>
      </w:r>
    </w:p>
    <w:p>
      <w:pPr>
        <w:spacing w:after="0" w:line="20"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auto"/>
        </w:rPr>
        <w:t>Changes in Internal Controls Over Financial Reporting</w:t>
      </w:r>
    </w:p>
    <w:p>
      <w:pPr>
        <w:spacing w:after="0" w:line="73" w:lineRule="exact"/>
        <w:rPr>
          <w:sz w:val="20"/>
          <w:szCs w:val="20"/>
          <w:color w:val="auto"/>
        </w:rPr>
      </w:pPr>
    </w:p>
    <w:p>
      <w:pPr>
        <w:ind w:right="280"/>
        <w:spacing w:after="0" w:line="323" w:lineRule="auto"/>
        <w:rPr>
          <w:sz w:val="20"/>
          <w:szCs w:val="20"/>
          <w:color w:val="auto"/>
        </w:rPr>
      </w:pPr>
      <w:r>
        <w:rPr>
          <w:rFonts w:ascii="Arial" w:cs="Arial" w:eastAsia="Arial" w:hAnsi="Arial"/>
          <w:sz w:val="11"/>
          <w:szCs w:val="11"/>
          <w:color w:val="auto"/>
        </w:rPr>
        <w:t>The continuing enhancements, described above, to controls relating to tax provisioning as part of the remediation of the material weakness existing at December 31, 2015, are the only changes in internal control over financial reporting that have occurred during the quarter ended December 31, 2015 that have materially affected, or are likely to materially affect, our internal control over financial reporting.</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59690</wp:posOffset>
            </wp:positionV>
            <wp:extent cx="677989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779895" cy="42545"/>
                    </a:xfrm>
                    <a:prstGeom prst="rect">
                      <a:avLst/>
                    </a:prstGeom>
                    <a:noFill/>
                  </pic:spPr>
                </pic:pic>
              </a:graphicData>
            </a:graphic>
          </wp:anchor>
        </w:drawing>
      </w:r>
    </w:p>
    <w:p>
      <w:pPr>
        <w:sectPr>
          <w:pgSz w:w="11900" w:h="16838" w:orient="portrait"/>
          <w:cols w:equalWidth="0" w:num="1">
            <w:col w:w="10620"/>
          </w:cols>
          <w:pgMar w:left="640" w:top="338" w:right="639" w:bottom="1440" w:gutter="0" w:footer="0" w:header="0"/>
        </w:sectPr>
      </w:pPr>
    </w:p>
    <w:bookmarkStart w:id="99" w:name="page100"/>
    <w:bookmarkEnd w:id="99"/>
    <w:p>
      <w:pPr>
        <w:spacing w:after="0"/>
        <w:rPr>
          <w:sz w:val="20"/>
          <w:szCs w:val="20"/>
          <w:color w:val="auto"/>
        </w:rPr>
      </w:pPr>
      <w:r>
        <w:rPr>
          <w:rFonts w:ascii="Arial" w:cs="Arial" w:eastAsia="Arial" w:hAnsi="Arial"/>
          <w:sz w:val="14"/>
          <w:szCs w:val="14"/>
          <w:b w:val="1"/>
          <w:bCs w:val="1"/>
          <w:color w:val="auto"/>
        </w:rPr>
        <w:t>REPORT OF INDEPENDENT REGISTERED PUBLIC ACCOUNTING FIRM</w:t>
      </w:r>
    </w:p>
    <w:p>
      <w:pPr>
        <w:spacing w:after="0" w:line="65" w:lineRule="exact"/>
        <w:rPr>
          <w:sz w:val="20"/>
          <w:szCs w:val="20"/>
          <w:color w:val="auto"/>
        </w:rPr>
      </w:pPr>
    </w:p>
    <w:p>
      <w:pPr>
        <w:spacing w:after="0"/>
        <w:rPr>
          <w:sz w:val="20"/>
          <w:szCs w:val="20"/>
          <w:color w:val="auto"/>
        </w:rPr>
      </w:pPr>
      <w:r>
        <w:rPr>
          <w:rFonts w:ascii="Arial" w:cs="Arial" w:eastAsia="Arial" w:hAnsi="Arial"/>
          <w:sz w:val="12"/>
          <w:szCs w:val="12"/>
          <w:color w:val="auto"/>
        </w:rPr>
        <w:t>Board of Directors and Stockholders</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Reading International, Inc.</w:t>
      </w:r>
    </w:p>
    <w:p>
      <w:pPr>
        <w:spacing w:after="0" w:line="204" w:lineRule="exact"/>
        <w:rPr>
          <w:sz w:val="20"/>
          <w:szCs w:val="20"/>
          <w:color w:val="auto"/>
        </w:rPr>
      </w:pPr>
    </w:p>
    <w:p>
      <w:pPr>
        <w:ind w:right="100"/>
        <w:spacing w:after="0" w:line="259" w:lineRule="auto"/>
        <w:rPr>
          <w:sz w:val="20"/>
          <w:szCs w:val="20"/>
          <w:color w:val="auto"/>
        </w:rPr>
      </w:pPr>
      <w:r>
        <w:rPr>
          <w:rFonts w:ascii="Arial" w:cs="Arial" w:eastAsia="Arial" w:hAnsi="Arial"/>
          <w:sz w:val="12"/>
          <w:szCs w:val="12"/>
          <w:color w:val="auto"/>
        </w:rPr>
        <w:t xml:space="preserve">We have audited the internal control over financial reporting of Reading International, Inc. and subsidiaries (the “Company”) as of December 31, 2015, based on criteria established in the 2013 </w:t>
      </w:r>
      <w:r>
        <w:rPr>
          <w:rFonts w:ascii="Arial" w:cs="Arial" w:eastAsia="Arial" w:hAnsi="Arial"/>
          <w:sz w:val="12"/>
          <w:szCs w:val="12"/>
          <w:i w:val="1"/>
          <w:iCs w:val="1"/>
          <w:color w:val="auto"/>
        </w:rPr>
        <w:t>Internal Control—</w:t>
      </w:r>
      <w:r>
        <w:rPr>
          <w:rFonts w:ascii="Arial" w:cs="Arial" w:eastAsia="Arial" w:hAnsi="Arial"/>
          <w:sz w:val="12"/>
          <w:szCs w:val="12"/>
          <w:color w:val="auto"/>
        </w:rPr>
        <w:t xml:space="preserve"> </w:t>
      </w:r>
      <w:r>
        <w:rPr>
          <w:rFonts w:ascii="Arial" w:cs="Arial" w:eastAsia="Arial" w:hAnsi="Arial"/>
          <w:sz w:val="12"/>
          <w:szCs w:val="12"/>
          <w:i w:val="1"/>
          <w:iCs w:val="1"/>
          <w:color w:val="auto"/>
        </w:rPr>
        <w:t xml:space="preserve">Integrated Framework </w:t>
      </w:r>
      <w:r>
        <w:rPr>
          <w:rFonts w:ascii="Arial" w:cs="Arial" w:eastAsia="Arial" w:hAnsi="Arial"/>
          <w:sz w:val="12"/>
          <w:szCs w:val="12"/>
          <w:color w:val="auto"/>
        </w:rPr>
        <w:t>issued by the Committee of Sponsoring Organizations of the Treadway Commission (COSO). The Company’s management is responsible for maintaining effective internal control over financial</w:t>
      </w:r>
      <w:r>
        <w:rPr>
          <w:rFonts w:ascii="Arial" w:cs="Arial" w:eastAsia="Arial" w:hAnsi="Arial"/>
          <w:sz w:val="12"/>
          <w:szCs w:val="12"/>
          <w:i w:val="1"/>
          <w:iCs w:val="1"/>
          <w:color w:val="auto"/>
        </w:rPr>
        <w:t xml:space="preserve"> </w:t>
      </w:r>
      <w:r>
        <w:rPr>
          <w:rFonts w:ascii="Arial" w:cs="Arial" w:eastAsia="Arial" w:hAnsi="Arial"/>
          <w:sz w:val="12"/>
          <w:szCs w:val="12"/>
          <w:color w:val="auto"/>
        </w:rPr>
        <w:t>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44" w:lineRule="exact"/>
        <w:rPr>
          <w:sz w:val="20"/>
          <w:szCs w:val="20"/>
          <w:color w:val="auto"/>
        </w:rPr>
      </w:pPr>
    </w:p>
    <w:p>
      <w:pPr>
        <w:spacing w:after="0" w:line="259" w:lineRule="auto"/>
        <w:rPr>
          <w:sz w:val="20"/>
          <w:szCs w:val="20"/>
          <w:color w:val="auto"/>
        </w:rPr>
      </w:pPr>
      <w:r>
        <w:rPr>
          <w:rFonts w:ascii="Arial" w:cs="Arial" w:eastAsia="Arial" w:hAnsi="Arial"/>
          <w:sz w:val="12"/>
          <w:szCs w:val="12"/>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35" w:lineRule="exact"/>
        <w:rPr>
          <w:sz w:val="20"/>
          <w:szCs w:val="20"/>
          <w:color w:val="auto"/>
        </w:rPr>
      </w:pPr>
    </w:p>
    <w:p>
      <w:pPr>
        <w:jc w:val="both"/>
        <w:ind w:right="120"/>
        <w:spacing w:after="0" w:line="320" w:lineRule="auto"/>
        <w:rPr>
          <w:sz w:val="20"/>
          <w:szCs w:val="20"/>
          <w:color w:val="auto"/>
        </w:rPr>
      </w:pPr>
      <w:r>
        <w:rPr>
          <w:rFonts w:ascii="Arial" w:cs="Arial" w:eastAsia="Arial" w:hAnsi="Arial"/>
          <w:sz w:val="10"/>
          <w:szCs w:val="10"/>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7" w:lineRule="exact"/>
        <w:rPr>
          <w:sz w:val="20"/>
          <w:szCs w:val="20"/>
          <w:color w:val="auto"/>
        </w:rPr>
      </w:pPr>
    </w:p>
    <w:p>
      <w:pPr>
        <w:ind w:right="20"/>
        <w:spacing w:after="0" w:line="276" w:lineRule="auto"/>
        <w:rPr>
          <w:sz w:val="20"/>
          <w:szCs w:val="20"/>
          <w:color w:val="auto"/>
        </w:rPr>
      </w:pPr>
      <w:r>
        <w:rPr>
          <w:rFonts w:ascii="Arial" w:cs="Arial" w:eastAsia="Arial" w:hAnsi="Arial"/>
          <w:sz w:val="12"/>
          <w:szCs w:val="12"/>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4" w:lineRule="exact"/>
        <w:rPr>
          <w:sz w:val="20"/>
          <w:szCs w:val="20"/>
          <w:color w:val="auto"/>
        </w:rPr>
      </w:pPr>
    </w:p>
    <w:p>
      <w:pPr>
        <w:ind w:right="180"/>
        <w:spacing w:after="0" w:line="323" w:lineRule="auto"/>
        <w:rPr>
          <w:sz w:val="20"/>
          <w:szCs w:val="20"/>
          <w:color w:val="auto"/>
        </w:rPr>
      </w:pPr>
      <w:r>
        <w:rPr>
          <w:rFonts w:ascii="Arial" w:cs="Arial" w:eastAsia="Arial" w:hAnsi="Arial"/>
          <w:sz w:val="11"/>
          <w:szCs w:val="11"/>
          <w:color w:val="auto"/>
        </w:rPr>
        <w:t>A material weakness is a deficiency, or combination of control deficiencies, in internal control over financial reporting, such that there is a reasonable possibility that a material misstatement of the company’s annual or interim financial statements will not be prevented or detected on a timely basis. The following material weakness has been identified and included in management’s assessment.</w:t>
      </w:r>
    </w:p>
    <w:p>
      <w:pPr>
        <w:spacing w:after="0" w:line="2" w:lineRule="exact"/>
        <w:rPr>
          <w:sz w:val="20"/>
          <w:szCs w:val="20"/>
          <w:color w:val="auto"/>
        </w:rPr>
      </w:pPr>
    </w:p>
    <w:p>
      <w:pPr>
        <w:ind w:right="100"/>
        <w:spacing w:after="0" w:line="263" w:lineRule="auto"/>
        <w:rPr>
          <w:sz w:val="20"/>
          <w:szCs w:val="20"/>
          <w:color w:val="auto"/>
        </w:rPr>
      </w:pPr>
      <w:r>
        <w:rPr>
          <w:rFonts w:ascii="Arial" w:cs="Arial" w:eastAsia="Arial" w:hAnsi="Arial"/>
          <w:sz w:val="12"/>
          <w:szCs w:val="12"/>
          <w:color w:val="auto"/>
        </w:rPr>
        <w:t>The Company identified a material weakness related to the internal controls over the accounting and reporting for income taxes. In our opinion, because of the effect of the material weakness described on the achievement of the objectives of the control criteria, the Company has not maintained effective internal control over financial reporting as of December 31, 2015, based on criteria established in the 2013 Internal Control —Integrated Framework issued by COSO.</w:t>
      </w:r>
    </w:p>
    <w:p>
      <w:pPr>
        <w:spacing w:after="0" w:line="42" w:lineRule="exact"/>
        <w:rPr>
          <w:sz w:val="20"/>
          <w:szCs w:val="20"/>
          <w:color w:val="auto"/>
        </w:rPr>
      </w:pPr>
    </w:p>
    <w:p>
      <w:pPr>
        <w:ind w:right="140"/>
        <w:spacing w:after="0" w:line="255" w:lineRule="auto"/>
        <w:rPr>
          <w:sz w:val="20"/>
          <w:szCs w:val="20"/>
          <w:color w:val="auto"/>
        </w:rPr>
      </w:pPr>
      <w:r>
        <w:rPr>
          <w:rFonts w:ascii="Arial" w:cs="Arial" w:eastAsia="Arial" w:hAnsi="Arial"/>
          <w:sz w:val="12"/>
          <w:szCs w:val="12"/>
          <w:color w:val="auto"/>
        </w:rPr>
        <w:t>We also have audited, in accordance with the standards of the Public Company Accounting Oversight Board (United States), the consolidated financial statements of the Company as of and for the year ended December 31, 2015. The material weakness identified above was considered in determining the nature, timing, and extent of audit tests applied in our audit of the 2015 consolidated financial statements, and this report does not affect our report dated April 29, 2016 which expressed an unqualified opinion on those financial statements.</w:t>
      </w:r>
    </w:p>
    <w:p>
      <w:pPr>
        <w:spacing w:after="0" w:line="1" w:lineRule="exact"/>
        <w:rPr>
          <w:sz w:val="20"/>
          <w:szCs w:val="20"/>
          <w:color w:val="auto"/>
        </w:rPr>
      </w:pPr>
    </w:p>
    <w:p>
      <w:pPr>
        <w:spacing w:after="0"/>
        <w:rPr>
          <w:sz w:val="20"/>
          <w:szCs w:val="20"/>
          <w:color w:val="auto"/>
        </w:rPr>
      </w:pPr>
      <w:r>
        <w:rPr>
          <w:rFonts w:ascii="Arial" w:cs="Arial" w:eastAsia="Arial" w:hAnsi="Arial"/>
          <w:sz w:val="12"/>
          <w:szCs w:val="12"/>
          <w:color w:val="auto"/>
        </w:rPr>
        <w:t>We do not express an opinion or any other form of assurance on management’s plan for remediation of the above mentioned material weakness.</w:t>
      </w:r>
    </w:p>
    <w:p>
      <w:pPr>
        <w:spacing w:after="0" w:line="204" w:lineRule="exact"/>
        <w:rPr>
          <w:sz w:val="20"/>
          <w:szCs w:val="20"/>
          <w:color w:val="auto"/>
        </w:rPr>
      </w:pPr>
    </w:p>
    <w:p>
      <w:pPr>
        <w:spacing w:after="0"/>
        <w:rPr>
          <w:sz w:val="20"/>
          <w:szCs w:val="20"/>
          <w:color w:val="auto"/>
        </w:rPr>
      </w:pPr>
      <w:r>
        <w:rPr>
          <w:rFonts w:ascii="Arial" w:cs="Arial" w:eastAsia="Arial" w:hAnsi="Arial"/>
          <w:sz w:val="12"/>
          <w:szCs w:val="12"/>
          <w:color w:val="auto"/>
        </w:rPr>
        <w:t>/s/ GRANT THORNTON LLP</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Los Angeles, California</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April 29, 2016</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59690</wp:posOffset>
            </wp:positionV>
            <wp:extent cx="677989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779895" cy="42545"/>
                    </a:xfrm>
                    <a:prstGeom prst="rect">
                      <a:avLst/>
                    </a:prstGeom>
                    <a:noFill/>
                  </pic:spPr>
                </pic:pic>
              </a:graphicData>
            </a:graphic>
          </wp:anchor>
        </w:drawing>
      </w:r>
    </w:p>
    <w:p>
      <w:pPr>
        <w:sectPr>
          <w:pgSz w:w="11900" w:h="16838" w:orient="portrait"/>
          <w:cols w:equalWidth="0" w:num="1">
            <w:col w:w="10620"/>
          </w:cols>
          <w:pgMar w:left="640" w:top="328" w:right="639" w:bottom="1440" w:gutter="0" w:footer="0" w:header="0"/>
        </w:sectPr>
      </w:pPr>
    </w:p>
    <w:bookmarkStart w:id="100" w:name="page101"/>
    <w:bookmarkEnd w:id="100"/>
    <w:p>
      <w:pPr>
        <w:jc w:val="center"/>
        <w:ind w:right="-19"/>
        <w:spacing w:after="0"/>
        <w:rPr>
          <w:sz w:val="20"/>
          <w:szCs w:val="20"/>
          <w:color w:val="auto"/>
        </w:rPr>
      </w:pPr>
      <w:r>
        <w:rPr>
          <w:rFonts w:ascii="Arial" w:cs="Arial" w:eastAsia="Arial" w:hAnsi="Arial"/>
          <w:sz w:val="12"/>
          <w:szCs w:val="12"/>
          <w:b w:val="1"/>
          <w:bCs w:val="1"/>
          <w:u w:val="single" w:color="auto"/>
          <w:color w:val="auto"/>
        </w:rPr>
        <w:t>PART III</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10 – Directors, Executive Officers and Corporate Governance</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Directors</w:t>
      </w:r>
    </w:p>
    <w:p>
      <w:pPr>
        <w:spacing w:after="0" w:line="136" w:lineRule="exact"/>
        <w:rPr>
          <w:sz w:val="20"/>
          <w:szCs w:val="20"/>
          <w:color w:val="auto"/>
        </w:rPr>
      </w:pPr>
    </w:p>
    <w:p>
      <w:pPr>
        <w:ind w:left="440"/>
        <w:spacing w:after="0"/>
        <w:rPr>
          <w:sz w:val="20"/>
          <w:szCs w:val="20"/>
          <w:color w:val="auto"/>
        </w:rPr>
      </w:pPr>
      <w:r>
        <w:rPr>
          <w:rFonts w:ascii="Arial" w:cs="Arial" w:eastAsia="Arial" w:hAnsi="Arial"/>
          <w:sz w:val="12"/>
          <w:szCs w:val="12"/>
          <w:color w:val="auto"/>
        </w:rPr>
        <w:t>We have nine Directors. The names of our Directors, together with certain information regarding them, are as follows: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80" w:type="dxa"/>
            <w:vAlign w:val="bottom"/>
          </w:tcPr>
          <w:p>
            <w:pPr>
              <w:spacing w:after="0"/>
              <w:rPr>
                <w:sz w:val="13"/>
                <w:szCs w:val="13"/>
                <w:color w:val="auto"/>
              </w:rPr>
            </w:pPr>
          </w:p>
        </w:tc>
        <w:tc>
          <w:tcPr>
            <w:tcW w:w="2180" w:type="dxa"/>
            <w:vAlign w:val="bottom"/>
          </w:tcPr>
          <w:p>
            <w:pPr>
              <w:spacing w:after="0"/>
              <w:rPr>
                <w:sz w:val="20"/>
                <w:szCs w:val="20"/>
                <w:color w:val="auto"/>
              </w:rPr>
            </w:pPr>
            <w:r>
              <w:rPr>
                <w:rFonts w:ascii="Arial" w:cs="Arial" w:eastAsia="Arial" w:hAnsi="Arial"/>
                <w:sz w:val="12"/>
                <w:szCs w:val="12"/>
                <w:b w:val="1"/>
                <w:bCs w:val="1"/>
                <w:color w:val="auto"/>
              </w:rPr>
              <w:t>Name</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jc w:val="center"/>
              <w:spacing w:after="0"/>
              <w:rPr>
                <w:sz w:val="20"/>
                <w:szCs w:val="20"/>
                <w:color w:val="auto"/>
              </w:rPr>
            </w:pPr>
            <w:r>
              <w:rPr>
                <w:rFonts w:ascii="Arial" w:cs="Arial" w:eastAsia="Arial" w:hAnsi="Arial"/>
                <w:sz w:val="12"/>
                <w:szCs w:val="12"/>
                <w:b w:val="1"/>
                <w:bCs w:val="1"/>
                <w:color w:val="auto"/>
                <w:w w:val="88"/>
              </w:rPr>
              <w:t>Age</w:t>
            </w:r>
          </w:p>
        </w:tc>
        <w:tc>
          <w:tcPr>
            <w:tcW w:w="3320" w:type="dxa"/>
            <w:vAlign w:val="bottom"/>
            <w:gridSpan w:val="2"/>
          </w:tcPr>
          <w:p>
            <w:pPr>
              <w:ind w:left="160"/>
              <w:spacing w:after="0"/>
              <w:rPr>
                <w:sz w:val="20"/>
                <w:szCs w:val="20"/>
                <w:color w:val="auto"/>
              </w:rPr>
            </w:pPr>
            <w:r>
              <w:rPr>
                <w:rFonts w:ascii="Arial" w:cs="Arial" w:eastAsia="Arial" w:hAnsi="Arial"/>
                <w:sz w:val="12"/>
                <w:szCs w:val="12"/>
                <w:b w:val="1"/>
                <w:bCs w:val="1"/>
                <w:color w:val="auto"/>
              </w:rPr>
              <w:t>Position</w:t>
            </w:r>
          </w:p>
        </w:tc>
        <w:tc>
          <w:tcPr>
            <w:tcW w:w="80" w:type="dxa"/>
            <w:vAlign w:val="bottom"/>
          </w:tcPr>
          <w:p>
            <w:pPr>
              <w:spacing w:after="0"/>
              <w:rPr>
                <w:sz w:val="13"/>
                <w:szCs w:val="13"/>
                <w:color w:val="auto"/>
              </w:rPr>
            </w:pPr>
          </w:p>
        </w:tc>
      </w:tr>
      <w:tr>
        <w:trPr>
          <w:trHeight w:val="124"/>
        </w:trPr>
        <w:tc>
          <w:tcPr>
            <w:tcW w:w="80" w:type="dxa"/>
            <w:vAlign w:val="bottom"/>
            <w:shd w:val="clear" w:color="auto" w:fill="CCEEFF"/>
          </w:tcPr>
          <w:p>
            <w:pPr>
              <w:spacing w:after="0"/>
              <w:rPr>
                <w:sz w:val="10"/>
                <w:szCs w:val="10"/>
                <w:color w:val="auto"/>
              </w:rPr>
            </w:pPr>
          </w:p>
        </w:tc>
        <w:tc>
          <w:tcPr>
            <w:tcW w:w="2180" w:type="dxa"/>
            <w:vAlign w:val="bottom"/>
            <w:tcBorders>
              <w:top w:val="single" w:sz="8" w:color="auto"/>
            </w:tcBorders>
            <w:shd w:val="clear" w:color="auto" w:fill="CCEEFF"/>
          </w:tcPr>
          <w:p>
            <w:pPr>
              <w:spacing w:after="0" w:line="125" w:lineRule="exact"/>
              <w:rPr>
                <w:sz w:val="20"/>
                <w:szCs w:val="20"/>
                <w:color w:val="auto"/>
              </w:rPr>
            </w:pPr>
            <w:r>
              <w:rPr>
                <w:rFonts w:ascii="Arial" w:cs="Arial" w:eastAsia="Arial" w:hAnsi="Arial"/>
                <w:sz w:val="12"/>
                <w:szCs w:val="12"/>
                <w:color w:val="auto"/>
                <w:w w:val="99"/>
              </w:rPr>
              <w:t>Ellen M. Cotter.........................................</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tcBorders>
              <w:top w:val="single" w:sz="8" w:color="auto"/>
            </w:tcBorders>
            <w:shd w:val="clear" w:color="auto" w:fill="CCEEFF"/>
          </w:tcPr>
          <w:p>
            <w:pPr>
              <w:jc w:val="center"/>
              <w:spacing w:after="0" w:line="125" w:lineRule="exact"/>
              <w:rPr>
                <w:sz w:val="20"/>
                <w:szCs w:val="20"/>
                <w:color w:val="auto"/>
              </w:rPr>
            </w:pPr>
            <w:r>
              <w:rPr>
                <w:rFonts w:ascii="Arial" w:cs="Arial" w:eastAsia="Arial" w:hAnsi="Arial"/>
                <w:sz w:val="12"/>
                <w:szCs w:val="12"/>
                <w:color w:val="auto"/>
                <w:w w:val="89"/>
              </w:rPr>
              <w:t>50</w:t>
            </w:r>
          </w:p>
        </w:tc>
        <w:tc>
          <w:tcPr>
            <w:tcW w:w="160" w:type="dxa"/>
            <w:vAlign w:val="bottom"/>
            <w:shd w:val="clear" w:color="auto" w:fill="CCEEFF"/>
          </w:tcPr>
          <w:p>
            <w:pPr>
              <w:spacing w:after="0"/>
              <w:rPr>
                <w:sz w:val="10"/>
                <w:szCs w:val="10"/>
                <w:color w:val="auto"/>
              </w:rPr>
            </w:pPr>
          </w:p>
        </w:tc>
        <w:tc>
          <w:tcPr>
            <w:tcW w:w="3160" w:type="dxa"/>
            <w:vAlign w:val="bottom"/>
            <w:tcBorders>
              <w:top w:val="single" w:sz="8" w:color="auto"/>
            </w:tcBorders>
            <w:shd w:val="clear" w:color="auto" w:fill="CCEEFF"/>
          </w:tcPr>
          <w:p>
            <w:pPr>
              <w:spacing w:after="0" w:line="125" w:lineRule="exact"/>
              <w:rPr>
                <w:sz w:val="20"/>
                <w:szCs w:val="20"/>
                <w:color w:val="auto"/>
              </w:rPr>
            </w:pPr>
            <w:r>
              <w:rPr>
                <w:rFonts w:ascii="Arial" w:cs="Arial" w:eastAsia="Arial" w:hAnsi="Arial"/>
                <w:sz w:val="12"/>
                <w:szCs w:val="12"/>
                <w:color w:val="auto"/>
              </w:rPr>
              <w:t>Chairperson of the Board and Chief Executive Officer and</w:t>
            </w:r>
          </w:p>
        </w:tc>
        <w:tc>
          <w:tcPr>
            <w:tcW w:w="80" w:type="dxa"/>
            <w:vAlign w:val="bottom"/>
            <w:shd w:val="clear" w:color="auto" w:fill="CCEEFF"/>
          </w:tcPr>
          <w:p>
            <w:pPr>
              <w:spacing w:after="0"/>
              <w:rPr>
                <w:sz w:val="10"/>
                <w:szCs w:val="10"/>
                <w:color w:val="auto"/>
              </w:rPr>
            </w:pPr>
          </w:p>
        </w:tc>
      </w:tr>
      <w:tr>
        <w:trPr>
          <w:trHeight w:val="153"/>
        </w:trPr>
        <w:tc>
          <w:tcPr>
            <w:tcW w:w="80" w:type="dxa"/>
            <w:vAlign w:val="bottom"/>
            <w:shd w:val="clear" w:color="auto" w:fill="CCEEFF"/>
          </w:tcPr>
          <w:p>
            <w:pPr>
              <w:spacing w:after="0"/>
              <w:rPr>
                <w:sz w:val="13"/>
                <w:szCs w:val="13"/>
                <w:color w:val="auto"/>
              </w:rPr>
            </w:pPr>
          </w:p>
        </w:tc>
        <w:tc>
          <w:tcPr>
            <w:tcW w:w="2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3320" w:type="dxa"/>
            <w:vAlign w:val="bottom"/>
            <w:gridSpan w:val="2"/>
            <w:shd w:val="clear" w:color="auto" w:fill="CCEEFF"/>
          </w:tcPr>
          <w:p>
            <w:pPr>
              <w:ind w:left="160"/>
              <w:spacing w:after="0"/>
              <w:rPr>
                <w:sz w:val="20"/>
                <w:szCs w:val="20"/>
                <w:color w:val="auto"/>
              </w:rPr>
            </w:pPr>
            <w:r>
              <w:rPr>
                <w:rFonts w:ascii="Arial" w:cs="Arial" w:eastAsia="Arial" w:hAnsi="Arial"/>
                <w:sz w:val="12"/>
                <w:szCs w:val="12"/>
                <w:color w:val="auto"/>
              </w:rPr>
              <w:t>President (1)</w:t>
            </w:r>
          </w:p>
        </w:tc>
        <w:tc>
          <w:tcPr>
            <w:tcW w:w="80" w:type="dxa"/>
            <w:vAlign w:val="bottom"/>
            <w:shd w:val="clear" w:color="auto" w:fill="CCEEFF"/>
          </w:tcPr>
          <w:p>
            <w:pPr>
              <w:spacing w:after="0"/>
              <w:rPr>
                <w:sz w:val="13"/>
                <w:szCs w:val="13"/>
                <w:color w:val="auto"/>
              </w:rPr>
            </w:pPr>
          </w:p>
        </w:tc>
      </w:tr>
      <w:tr>
        <w:trPr>
          <w:trHeight w:val="144"/>
        </w:trPr>
        <w:tc>
          <w:tcPr>
            <w:tcW w:w="80" w:type="dxa"/>
            <w:vAlign w:val="bottom"/>
          </w:tcPr>
          <w:p>
            <w:pPr>
              <w:spacing w:after="0"/>
              <w:rPr>
                <w:sz w:val="12"/>
                <w:szCs w:val="12"/>
                <w:color w:val="auto"/>
              </w:rPr>
            </w:pPr>
          </w:p>
        </w:tc>
        <w:tc>
          <w:tcPr>
            <w:tcW w:w="2180" w:type="dxa"/>
            <w:vAlign w:val="bottom"/>
          </w:tcPr>
          <w:p>
            <w:pPr>
              <w:spacing w:after="0"/>
              <w:rPr>
                <w:sz w:val="20"/>
                <w:szCs w:val="20"/>
                <w:color w:val="auto"/>
              </w:rPr>
            </w:pPr>
            <w:r>
              <w:rPr>
                <w:rFonts w:ascii="Arial" w:cs="Arial" w:eastAsia="Arial" w:hAnsi="Arial"/>
                <w:sz w:val="12"/>
                <w:szCs w:val="12"/>
                <w:color w:val="auto"/>
                <w:w w:val="99"/>
              </w:rPr>
              <w:t>Guy W. Adams.........................................</w:t>
            </w:r>
          </w:p>
        </w:tc>
        <w:tc>
          <w:tcPr>
            <w:tcW w:w="580" w:type="dxa"/>
            <w:vAlign w:val="bottom"/>
            <w:gridSpan w:val="3"/>
          </w:tcPr>
          <w:p>
            <w:pPr>
              <w:jc w:val="center"/>
              <w:ind w:left="80"/>
              <w:spacing w:after="0"/>
              <w:rPr>
                <w:sz w:val="20"/>
                <w:szCs w:val="20"/>
                <w:color w:val="auto"/>
              </w:rPr>
            </w:pPr>
            <w:r>
              <w:rPr>
                <w:rFonts w:ascii="Arial" w:cs="Arial" w:eastAsia="Arial" w:hAnsi="Arial"/>
                <w:sz w:val="12"/>
                <w:szCs w:val="12"/>
                <w:color w:val="auto"/>
                <w:w w:val="89"/>
              </w:rPr>
              <w:t>65</w:t>
            </w:r>
          </w:p>
        </w:tc>
        <w:tc>
          <w:tcPr>
            <w:tcW w:w="3320" w:type="dxa"/>
            <w:vAlign w:val="bottom"/>
            <w:gridSpan w:val="2"/>
          </w:tcPr>
          <w:p>
            <w:pPr>
              <w:ind w:left="160"/>
              <w:spacing w:after="0"/>
              <w:rPr>
                <w:sz w:val="20"/>
                <w:szCs w:val="20"/>
                <w:color w:val="auto"/>
              </w:rPr>
            </w:pPr>
            <w:r>
              <w:rPr>
                <w:rFonts w:ascii="Arial" w:cs="Arial" w:eastAsia="Arial" w:hAnsi="Arial"/>
                <w:sz w:val="12"/>
                <w:szCs w:val="12"/>
                <w:color w:val="auto"/>
              </w:rPr>
              <w:t>Director (1) (2)</w:t>
            </w:r>
          </w:p>
        </w:tc>
        <w:tc>
          <w:tcPr>
            <w:tcW w:w="80" w:type="dxa"/>
            <w:vAlign w:val="bottom"/>
          </w:tcPr>
          <w:p>
            <w:pPr>
              <w:spacing w:after="0"/>
              <w:rPr>
                <w:sz w:val="12"/>
                <w:szCs w:val="12"/>
                <w:color w:val="auto"/>
              </w:rPr>
            </w:pPr>
          </w:p>
        </w:tc>
      </w:tr>
      <w:tr>
        <w:trPr>
          <w:trHeight w:val="144"/>
        </w:trPr>
        <w:tc>
          <w:tcPr>
            <w:tcW w:w="80" w:type="dxa"/>
            <w:vAlign w:val="bottom"/>
            <w:shd w:val="clear" w:color="auto" w:fill="CCEEFF"/>
          </w:tcPr>
          <w:p>
            <w:pPr>
              <w:spacing w:after="0"/>
              <w:rPr>
                <w:sz w:val="12"/>
                <w:szCs w:val="12"/>
                <w:color w:val="auto"/>
              </w:rPr>
            </w:pPr>
          </w:p>
        </w:tc>
        <w:tc>
          <w:tcPr>
            <w:tcW w:w="2180" w:type="dxa"/>
            <w:vAlign w:val="bottom"/>
            <w:shd w:val="clear" w:color="auto" w:fill="CCEEFF"/>
          </w:tcPr>
          <w:p>
            <w:pPr>
              <w:spacing w:after="0"/>
              <w:rPr>
                <w:sz w:val="20"/>
                <w:szCs w:val="20"/>
                <w:color w:val="auto"/>
              </w:rPr>
            </w:pPr>
            <w:r>
              <w:rPr>
                <w:rFonts w:ascii="Arial" w:cs="Arial" w:eastAsia="Arial" w:hAnsi="Arial"/>
                <w:sz w:val="12"/>
                <w:szCs w:val="12"/>
                <w:color w:val="auto"/>
                <w:w w:val="99"/>
              </w:rPr>
              <w:t>Judy Codding...........................................</w:t>
            </w:r>
          </w:p>
        </w:tc>
        <w:tc>
          <w:tcPr>
            <w:tcW w:w="580" w:type="dxa"/>
            <w:vAlign w:val="bottom"/>
            <w:gridSpan w:val="3"/>
            <w:shd w:val="clear" w:color="auto" w:fill="CCEEFF"/>
          </w:tcPr>
          <w:p>
            <w:pPr>
              <w:jc w:val="center"/>
              <w:ind w:left="80"/>
              <w:spacing w:after="0"/>
              <w:rPr>
                <w:sz w:val="20"/>
                <w:szCs w:val="20"/>
                <w:color w:val="auto"/>
              </w:rPr>
            </w:pPr>
            <w:r>
              <w:rPr>
                <w:rFonts w:ascii="Arial" w:cs="Arial" w:eastAsia="Arial" w:hAnsi="Arial"/>
                <w:sz w:val="12"/>
                <w:szCs w:val="12"/>
                <w:color w:val="auto"/>
                <w:w w:val="89"/>
              </w:rPr>
              <w:t>71</w:t>
            </w:r>
          </w:p>
        </w:tc>
        <w:tc>
          <w:tcPr>
            <w:tcW w:w="3320" w:type="dxa"/>
            <w:vAlign w:val="bottom"/>
            <w:gridSpan w:val="2"/>
            <w:shd w:val="clear" w:color="auto" w:fill="CCEEFF"/>
          </w:tcPr>
          <w:p>
            <w:pPr>
              <w:ind w:left="160"/>
              <w:spacing w:after="0"/>
              <w:rPr>
                <w:sz w:val="20"/>
                <w:szCs w:val="20"/>
                <w:color w:val="auto"/>
              </w:rPr>
            </w:pPr>
            <w:r>
              <w:rPr>
                <w:rFonts w:ascii="Arial" w:cs="Arial" w:eastAsia="Arial" w:hAnsi="Arial"/>
                <w:sz w:val="12"/>
                <w:szCs w:val="12"/>
                <w:color w:val="auto"/>
              </w:rPr>
              <w:t>Director (2)</w:t>
            </w:r>
          </w:p>
        </w:tc>
        <w:tc>
          <w:tcPr>
            <w:tcW w:w="80" w:type="dxa"/>
            <w:vAlign w:val="bottom"/>
            <w:shd w:val="clear" w:color="auto" w:fill="CCEEFF"/>
          </w:tcPr>
          <w:p>
            <w:pPr>
              <w:spacing w:after="0"/>
              <w:rPr>
                <w:sz w:val="12"/>
                <w:szCs w:val="12"/>
                <w:color w:val="auto"/>
              </w:rPr>
            </w:pPr>
          </w:p>
        </w:tc>
      </w:tr>
      <w:tr>
        <w:trPr>
          <w:trHeight w:val="144"/>
        </w:trPr>
        <w:tc>
          <w:tcPr>
            <w:tcW w:w="80" w:type="dxa"/>
            <w:vAlign w:val="bottom"/>
          </w:tcPr>
          <w:p>
            <w:pPr>
              <w:spacing w:after="0"/>
              <w:rPr>
                <w:sz w:val="12"/>
                <w:szCs w:val="12"/>
                <w:color w:val="auto"/>
              </w:rPr>
            </w:pPr>
          </w:p>
        </w:tc>
        <w:tc>
          <w:tcPr>
            <w:tcW w:w="2180" w:type="dxa"/>
            <w:vAlign w:val="bottom"/>
          </w:tcPr>
          <w:p>
            <w:pPr>
              <w:spacing w:after="0"/>
              <w:rPr>
                <w:sz w:val="20"/>
                <w:szCs w:val="20"/>
                <w:color w:val="auto"/>
              </w:rPr>
            </w:pPr>
            <w:r>
              <w:rPr>
                <w:rFonts w:ascii="Arial" w:cs="Arial" w:eastAsia="Arial" w:hAnsi="Arial"/>
                <w:sz w:val="12"/>
                <w:szCs w:val="12"/>
                <w:color w:val="auto"/>
                <w:w w:val="96"/>
              </w:rPr>
              <w:t>James J. Cotter, Jr. ...................................</w:t>
            </w:r>
          </w:p>
        </w:tc>
        <w:tc>
          <w:tcPr>
            <w:tcW w:w="580" w:type="dxa"/>
            <w:vAlign w:val="bottom"/>
            <w:gridSpan w:val="3"/>
          </w:tcPr>
          <w:p>
            <w:pPr>
              <w:jc w:val="center"/>
              <w:ind w:left="80"/>
              <w:spacing w:after="0"/>
              <w:rPr>
                <w:sz w:val="20"/>
                <w:szCs w:val="20"/>
                <w:color w:val="auto"/>
              </w:rPr>
            </w:pPr>
            <w:r>
              <w:rPr>
                <w:rFonts w:ascii="Arial" w:cs="Arial" w:eastAsia="Arial" w:hAnsi="Arial"/>
                <w:sz w:val="12"/>
                <w:szCs w:val="12"/>
                <w:color w:val="auto"/>
                <w:w w:val="89"/>
              </w:rPr>
              <w:t>46</w:t>
            </w:r>
          </w:p>
        </w:tc>
        <w:tc>
          <w:tcPr>
            <w:tcW w:w="3320" w:type="dxa"/>
            <w:vAlign w:val="bottom"/>
            <w:gridSpan w:val="2"/>
          </w:tcPr>
          <w:p>
            <w:pPr>
              <w:ind w:left="160"/>
              <w:spacing w:after="0"/>
              <w:rPr>
                <w:sz w:val="20"/>
                <w:szCs w:val="20"/>
                <w:color w:val="auto"/>
              </w:rPr>
            </w:pPr>
            <w:r>
              <w:rPr>
                <w:rFonts w:ascii="Arial" w:cs="Arial" w:eastAsia="Arial" w:hAnsi="Arial"/>
                <w:sz w:val="12"/>
                <w:szCs w:val="12"/>
                <w:color w:val="auto"/>
              </w:rPr>
              <w:t>Director (3)</w:t>
            </w:r>
          </w:p>
        </w:tc>
        <w:tc>
          <w:tcPr>
            <w:tcW w:w="80" w:type="dxa"/>
            <w:vAlign w:val="bottom"/>
          </w:tcPr>
          <w:p>
            <w:pPr>
              <w:spacing w:after="0"/>
              <w:rPr>
                <w:sz w:val="12"/>
                <w:szCs w:val="12"/>
                <w:color w:val="auto"/>
              </w:rPr>
            </w:pPr>
          </w:p>
        </w:tc>
      </w:tr>
      <w:tr>
        <w:trPr>
          <w:trHeight w:val="135"/>
        </w:trPr>
        <w:tc>
          <w:tcPr>
            <w:tcW w:w="80" w:type="dxa"/>
            <w:vAlign w:val="bottom"/>
            <w:shd w:val="clear" w:color="auto" w:fill="CCEEFF"/>
          </w:tcPr>
          <w:p>
            <w:pPr>
              <w:spacing w:after="0"/>
              <w:rPr>
                <w:sz w:val="11"/>
                <w:szCs w:val="11"/>
                <w:color w:val="auto"/>
              </w:rPr>
            </w:pPr>
          </w:p>
        </w:tc>
        <w:tc>
          <w:tcPr>
            <w:tcW w:w="218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w w:val="97"/>
              </w:rPr>
              <w:t>Margaret Cotter.........................................</w:t>
            </w:r>
          </w:p>
        </w:tc>
        <w:tc>
          <w:tcPr>
            <w:tcW w:w="580" w:type="dxa"/>
            <w:vAlign w:val="bottom"/>
            <w:gridSpan w:val="3"/>
            <w:shd w:val="clear" w:color="auto" w:fill="CCEEFF"/>
          </w:tcPr>
          <w:p>
            <w:pPr>
              <w:jc w:val="center"/>
              <w:ind w:left="80"/>
              <w:spacing w:after="0" w:line="136" w:lineRule="exact"/>
              <w:rPr>
                <w:sz w:val="20"/>
                <w:szCs w:val="20"/>
                <w:color w:val="auto"/>
              </w:rPr>
            </w:pPr>
            <w:r>
              <w:rPr>
                <w:rFonts w:ascii="Arial" w:cs="Arial" w:eastAsia="Arial" w:hAnsi="Arial"/>
                <w:sz w:val="12"/>
                <w:szCs w:val="12"/>
                <w:color w:val="auto"/>
                <w:w w:val="89"/>
              </w:rPr>
              <w:t>48</w:t>
            </w:r>
          </w:p>
        </w:tc>
        <w:tc>
          <w:tcPr>
            <w:tcW w:w="3320" w:type="dxa"/>
            <w:vAlign w:val="bottom"/>
            <w:gridSpan w:val="2"/>
            <w:shd w:val="clear" w:color="auto" w:fill="CCEEFF"/>
          </w:tcPr>
          <w:p>
            <w:pPr>
              <w:ind w:left="160"/>
              <w:spacing w:after="0" w:line="136" w:lineRule="exact"/>
              <w:rPr>
                <w:sz w:val="20"/>
                <w:szCs w:val="20"/>
                <w:color w:val="auto"/>
              </w:rPr>
            </w:pPr>
            <w:r>
              <w:rPr>
                <w:rFonts w:ascii="Arial" w:cs="Arial" w:eastAsia="Arial" w:hAnsi="Arial"/>
                <w:sz w:val="12"/>
                <w:szCs w:val="12"/>
                <w:color w:val="auto"/>
                <w:w w:val="96"/>
              </w:rPr>
              <w:t>Vice Chairperson of the Board and Executive Vice President-</w:t>
            </w:r>
          </w:p>
        </w:tc>
        <w:tc>
          <w:tcPr>
            <w:tcW w:w="80" w:type="dxa"/>
            <w:vAlign w:val="bottom"/>
            <w:shd w:val="clear" w:color="auto" w:fill="CCEEFF"/>
          </w:tcPr>
          <w:p>
            <w:pPr>
              <w:spacing w:after="0"/>
              <w:rPr>
                <w:sz w:val="11"/>
                <w:szCs w:val="11"/>
                <w:color w:val="auto"/>
              </w:rPr>
            </w:pPr>
          </w:p>
        </w:tc>
      </w:tr>
      <w:tr>
        <w:trPr>
          <w:trHeight w:val="153"/>
        </w:trPr>
        <w:tc>
          <w:tcPr>
            <w:tcW w:w="80" w:type="dxa"/>
            <w:vAlign w:val="bottom"/>
            <w:shd w:val="clear" w:color="auto" w:fill="CCEEFF"/>
          </w:tcPr>
          <w:p>
            <w:pPr>
              <w:spacing w:after="0"/>
              <w:rPr>
                <w:sz w:val="13"/>
                <w:szCs w:val="13"/>
                <w:color w:val="auto"/>
              </w:rPr>
            </w:pPr>
          </w:p>
        </w:tc>
        <w:tc>
          <w:tcPr>
            <w:tcW w:w="2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3320" w:type="dxa"/>
            <w:vAlign w:val="bottom"/>
            <w:gridSpan w:val="2"/>
            <w:shd w:val="clear" w:color="auto" w:fill="CCEEFF"/>
          </w:tcPr>
          <w:p>
            <w:pPr>
              <w:ind w:left="160"/>
              <w:spacing w:after="0"/>
              <w:rPr>
                <w:sz w:val="20"/>
                <w:szCs w:val="20"/>
                <w:color w:val="auto"/>
              </w:rPr>
            </w:pPr>
            <w:r>
              <w:rPr>
                <w:rFonts w:ascii="Arial" w:cs="Arial" w:eastAsia="Arial" w:hAnsi="Arial"/>
                <w:sz w:val="12"/>
                <w:szCs w:val="12"/>
                <w:color w:val="auto"/>
              </w:rPr>
              <w:t>Real Estate Management and Development-NYC (1)</w:t>
            </w:r>
          </w:p>
        </w:tc>
        <w:tc>
          <w:tcPr>
            <w:tcW w:w="80" w:type="dxa"/>
            <w:vAlign w:val="bottom"/>
            <w:shd w:val="clear" w:color="auto" w:fill="CCEEFF"/>
          </w:tcPr>
          <w:p>
            <w:pPr>
              <w:spacing w:after="0"/>
              <w:rPr>
                <w:sz w:val="13"/>
                <w:szCs w:val="13"/>
                <w:color w:val="auto"/>
              </w:rPr>
            </w:pPr>
          </w:p>
        </w:tc>
      </w:tr>
      <w:tr>
        <w:trPr>
          <w:trHeight w:val="144"/>
        </w:trPr>
        <w:tc>
          <w:tcPr>
            <w:tcW w:w="80" w:type="dxa"/>
            <w:vAlign w:val="bottom"/>
          </w:tcPr>
          <w:p>
            <w:pPr>
              <w:spacing w:after="0"/>
              <w:rPr>
                <w:sz w:val="12"/>
                <w:szCs w:val="12"/>
                <w:color w:val="auto"/>
              </w:rPr>
            </w:pPr>
          </w:p>
        </w:tc>
        <w:tc>
          <w:tcPr>
            <w:tcW w:w="2180" w:type="dxa"/>
            <w:vAlign w:val="bottom"/>
          </w:tcPr>
          <w:p>
            <w:pPr>
              <w:spacing w:after="0"/>
              <w:rPr>
                <w:sz w:val="20"/>
                <w:szCs w:val="20"/>
                <w:color w:val="auto"/>
              </w:rPr>
            </w:pPr>
            <w:r>
              <w:rPr>
                <w:rFonts w:ascii="Arial" w:cs="Arial" w:eastAsia="Arial" w:hAnsi="Arial"/>
                <w:sz w:val="12"/>
                <w:szCs w:val="12"/>
                <w:color w:val="auto"/>
                <w:w w:val="98"/>
              </w:rPr>
              <w:t>William D. Gould.......................................</w:t>
            </w:r>
          </w:p>
        </w:tc>
        <w:tc>
          <w:tcPr>
            <w:tcW w:w="580" w:type="dxa"/>
            <w:vAlign w:val="bottom"/>
            <w:gridSpan w:val="3"/>
          </w:tcPr>
          <w:p>
            <w:pPr>
              <w:jc w:val="center"/>
              <w:ind w:left="80"/>
              <w:spacing w:after="0"/>
              <w:rPr>
                <w:sz w:val="20"/>
                <w:szCs w:val="20"/>
                <w:color w:val="auto"/>
              </w:rPr>
            </w:pPr>
            <w:r>
              <w:rPr>
                <w:rFonts w:ascii="Arial" w:cs="Arial" w:eastAsia="Arial" w:hAnsi="Arial"/>
                <w:sz w:val="12"/>
                <w:szCs w:val="12"/>
                <w:color w:val="auto"/>
                <w:w w:val="89"/>
              </w:rPr>
              <w:t>77</w:t>
            </w:r>
          </w:p>
        </w:tc>
        <w:tc>
          <w:tcPr>
            <w:tcW w:w="3320" w:type="dxa"/>
            <w:vAlign w:val="bottom"/>
            <w:gridSpan w:val="2"/>
          </w:tcPr>
          <w:p>
            <w:pPr>
              <w:ind w:left="160"/>
              <w:spacing w:after="0"/>
              <w:rPr>
                <w:sz w:val="20"/>
                <w:szCs w:val="20"/>
                <w:color w:val="auto"/>
              </w:rPr>
            </w:pPr>
            <w:r>
              <w:rPr>
                <w:rFonts w:ascii="Arial" w:cs="Arial" w:eastAsia="Arial" w:hAnsi="Arial"/>
                <w:sz w:val="12"/>
                <w:szCs w:val="12"/>
                <w:color w:val="auto"/>
              </w:rPr>
              <w:t>Director (4)</w:t>
            </w:r>
          </w:p>
        </w:tc>
        <w:tc>
          <w:tcPr>
            <w:tcW w:w="80" w:type="dxa"/>
            <w:vAlign w:val="bottom"/>
          </w:tcPr>
          <w:p>
            <w:pPr>
              <w:spacing w:after="0"/>
              <w:rPr>
                <w:sz w:val="12"/>
                <w:szCs w:val="12"/>
                <w:color w:val="auto"/>
              </w:rPr>
            </w:pPr>
          </w:p>
        </w:tc>
      </w:tr>
      <w:tr>
        <w:trPr>
          <w:trHeight w:val="144"/>
        </w:trPr>
        <w:tc>
          <w:tcPr>
            <w:tcW w:w="80" w:type="dxa"/>
            <w:vAlign w:val="bottom"/>
            <w:shd w:val="clear" w:color="auto" w:fill="CCEEFF"/>
          </w:tcPr>
          <w:p>
            <w:pPr>
              <w:spacing w:after="0"/>
              <w:rPr>
                <w:sz w:val="12"/>
                <w:szCs w:val="12"/>
                <w:color w:val="auto"/>
              </w:rPr>
            </w:pPr>
          </w:p>
        </w:tc>
        <w:tc>
          <w:tcPr>
            <w:tcW w:w="2180" w:type="dxa"/>
            <w:vAlign w:val="bottom"/>
            <w:shd w:val="clear" w:color="auto" w:fill="CCEEFF"/>
          </w:tcPr>
          <w:p>
            <w:pPr>
              <w:spacing w:after="0"/>
              <w:rPr>
                <w:sz w:val="20"/>
                <w:szCs w:val="20"/>
                <w:color w:val="auto"/>
              </w:rPr>
            </w:pPr>
            <w:r>
              <w:rPr>
                <w:rFonts w:ascii="Arial" w:cs="Arial" w:eastAsia="Arial" w:hAnsi="Arial"/>
                <w:sz w:val="12"/>
                <w:szCs w:val="12"/>
                <w:color w:val="auto"/>
              </w:rPr>
              <w:t>Edward L. Kane.......................................</w:t>
            </w:r>
          </w:p>
        </w:tc>
        <w:tc>
          <w:tcPr>
            <w:tcW w:w="580" w:type="dxa"/>
            <w:vAlign w:val="bottom"/>
            <w:gridSpan w:val="3"/>
            <w:shd w:val="clear" w:color="auto" w:fill="CCEEFF"/>
          </w:tcPr>
          <w:p>
            <w:pPr>
              <w:jc w:val="center"/>
              <w:ind w:left="80"/>
              <w:spacing w:after="0"/>
              <w:rPr>
                <w:sz w:val="20"/>
                <w:szCs w:val="20"/>
                <w:color w:val="auto"/>
              </w:rPr>
            </w:pPr>
            <w:r>
              <w:rPr>
                <w:rFonts w:ascii="Arial" w:cs="Arial" w:eastAsia="Arial" w:hAnsi="Arial"/>
                <w:sz w:val="12"/>
                <w:szCs w:val="12"/>
                <w:color w:val="auto"/>
                <w:w w:val="89"/>
              </w:rPr>
              <w:t>78</w:t>
            </w:r>
          </w:p>
        </w:tc>
        <w:tc>
          <w:tcPr>
            <w:tcW w:w="3320" w:type="dxa"/>
            <w:vAlign w:val="bottom"/>
            <w:gridSpan w:val="2"/>
            <w:shd w:val="clear" w:color="auto" w:fill="CCEEFF"/>
          </w:tcPr>
          <w:p>
            <w:pPr>
              <w:ind w:left="160"/>
              <w:spacing w:after="0"/>
              <w:rPr>
                <w:sz w:val="20"/>
                <w:szCs w:val="20"/>
                <w:color w:val="auto"/>
              </w:rPr>
            </w:pPr>
            <w:r>
              <w:rPr>
                <w:rFonts w:ascii="Arial" w:cs="Arial" w:eastAsia="Arial" w:hAnsi="Arial"/>
                <w:sz w:val="12"/>
                <w:szCs w:val="12"/>
                <w:color w:val="auto"/>
              </w:rPr>
              <w:t>Director (1) (2) (3) (5)</w:t>
            </w:r>
          </w:p>
        </w:tc>
        <w:tc>
          <w:tcPr>
            <w:tcW w:w="80" w:type="dxa"/>
            <w:vAlign w:val="bottom"/>
            <w:shd w:val="clear" w:color="auto" w:fill="CCEEFF"/>
          </w:tcPr>
          <w:p>
            <w:pPr>
              <w:spacing w:after="0"/>
              <w:rPr>
                <w:sz w:val="12"/>
                <w:szCs w:val="12"/>
                <w:color w:val="auto"/>
              </w:rPr>
            </w:pPr>
          </w:p>
        </w:tc>
      </w:tr>
      <w:tr>
        <w:trPr>
          <w:trHeight w:val="144"/>
        </w:trPr>
        <w:tc>
          <w:tcPr>
            <w:tcW w:w="80" w:type="dxa"/>
            <w:vAlign w:val="bottom"/>
          </w:tcPr>
          <w:p>
            <w:pPr>
              <w:spacing w:after="0"/>
              <w:rPr>
                <w:sz w:val="12"/>
                <w:szCs w:val="12"/>
                <w:color w:val="auto"/>
              </w:rPr>
            </w:pPr>
          </w:p>
        </w:tc>
        <w:tc>
          <w:tcPr>
            <w:tcW w:w="2180" w:type="dxa"/>
            <w:vAlign w:val="bottom"/>
          </w:tcPr>
          <w:p>
            <w:pPr>
              <w:spacing w:after="0"/>
              <w:rPr>
                <w:sz w:val="20"/>
                <w:szCs w:val="20"/>
                <w:color w:val="auto"/>
              </w:rPr>
            </w:pPr>
            <w:r>
              <w:rPr>
                <w:rFonts w:ascii="Arial" w:cs="Arial" w:eastAsia="Arial" w:hAnsi="Arial"/>
                <w:sz w:val="12"/>
                <w:szCs w:val="12"/>
                <w:color w:val="auto"/>
                <w:w w:val="96"/>
              </w:rPr>
              <w:t>Douglas J. McEachern...............................</w:t>
            </w:r>
          </w:p>
        </w:tc>
        <w:tc>
          <w:tcPr>
            <w:tcW w:w="580" w:type="dxa"/>
            <w:vAlign w:val="bottom"/>
            <w:gridSpan w:val="3"/>
          </w:tcPr>
          <w:p>
            <w:pPr>
              <w:jc w:val="center"/>
              <w:ind w:left="80"/>
              <w:spacing w:after="0"/>
              <w:rPr>
                <w:sz w:val="20"/>
                <w:szCs w:val="20"/>
                <w:color w:val="auto"/>
              </w:rPr>
            </w:pPr>
            <w:r>
              <w:rPr>
                <w:rFonts w:ascii="Arial" w:cs="Arial" w:eastAsia="Arial" w:hAnsi="Arial"/>
                <w:sz w:val="12"/>
                <w:szCs w:val="12"/>
                <w:color w:val="auto"/>
                <w:w w:val="89"/>
              </w:rPr>
              <w:t>64</w:t>
            </w:r>
          </w:p>
        </w:tc>
        <w:tc>
          <w:tcPr>
            <w:tcW w:w="3320" w:type="dxa"/>
            <w:vAlign w:val="bottom"/>
            <w:gridSpan w:val="2"/>
          </w:tcPr>
          <w:p>
            <w:pPr>
              <w:ind w:left="160"/>
              <w:spacing w:after="0"/>
              <w:rPr>
                <w:sz w:val="20"/>
                <w:szCs w:val="20"/>
                <w:color w:val="auto"/>
              </w:rPr>
            </w:pPr>
            <w:r>
              <w:rPr>
                <w:rFonts w:ascii="Arial" w:cs="Arial" w:eastAsia="Arial" w:hAnsi="Arial"/>
                <w:sz w:val="12"/>
                <w:szCs w:val="12"/>
                <w:color w:val="auto"/>
              </w:rPr>
              <w:t>Director (5)</w:t>
            </w:r>
          </w:p>
        </w:tc>
        <w:tc>
          <w:tcPr>
            <w:tcW w:w="80" w:type="dxa"/>
            <w:vAlign w:val="bottom"/>
          </w:tcPr>
          <w:p>
            <w:pPr>
              <w:spacing w:after="0"/>
              <w:rPr>
                <w:sz w:val="12"/>
                <w:szCs w:val="12"/>
                <w:color w:val="auto"/>
              </w:rPr>
            </w:pPr>
          </w:p>
        </w:tc>
      </w:tr>
      <w:tr>
        <w:trPr>
          <w:trHeight w:val="144"/>
        </w:trPr>
        <w:tc>
          <w:tcPr>
            <w:tcW w:w="80" w:type="dxa"/>
            <w:vAlign w:val="bottom"/>
            <w:tcBorders>
              <w:bottom w:val="single" w:sz="8" w:color="auto"/>
            </w:tcBorders>
            <w:shd w:val="clear" w:color="auto" w:fill="CCEEFF"/>
          </w:tcPr>
          <w:p>
            <w:pPr>
              <w:spacing w:after="0"/>
              <w:rPr>
                <w:sz w:val="12"/>
                <w:szCs w:val="12"/>
                <w:color w:val="auto"/>
              </w:rPr>
            </w:pPr>
          </w:p>
        </w:tc>
        <w:tc>
          <w:tcPr>
            <w:tcW w:w="2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2"/>
                <w:szCs w:val="12"/>
                <w:color w:val="auto"/>
                <w:w w:val="97"/>
              </w:rPr>
              <w:t>Michael Wrotniak.......................................</w:t>
            </w:r>
          </w:p>
        </w:tc>
        <w:tc>
          <w:tcPr>
            <w:tcW w:w="8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2"/>
                <w:szCs w:val="12"/>
                <w:color w:val="auto"/>
                <w:w w:val="89"/>
              </w:rPr>
              <w:t>49</w:t>
            </w:r>
          </w:p>
        </w:tc>
        <w:tc>
          <w:tcPr>
            <w:tcW w:w="33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2"/>
                <w:szCs w:val="12"/>
                <w:color w:val="auto"/>
              </w:rPr>
              <w:t>Director (5)</w:t>
            </w:r>
          </w:p>
        </w:tc>
        <w:tc>
          <w:tcPr>
            <w:tcW w:w="80" w:type="dxa"/>
            <w:vAlign w:val="bottom"/>
            <w:tcBorders>
              <w:bottom w:val="single" w:sz="8" w:color="CCEEFF"/>
            </w:tcBorders>
            <w:shd w:val="clear" w:color="auto" w:fill="CCEEFF"/>
          </w:tcPr>
          <w:p>
            <w:pPr>
              <w:spacing w:after="0"/>
              <w:rPr>
                <w:sz w:val="12"/>
                <w:szCs w:val="12"/>
                <w:color w:val="auto"/>
              </w:rPr>
            </w:pPr>
          </w:p>
        </w:tc>
      </w:tr>
    </w:tbl>
    <w:p>
      <w:pPr>
        <w:spacing w:after="0" w:line="252" w:lineRule="exact"/>
        <w:rPr>
          <w:sz w:val="20"/>
          <w:szCs w:val="20"/>
          <w:color w:val="auto"/>
        </w:rPr>
      </w:pPr>
    </w:p>
    <w:p>
      <w:pPr>
        <w:ind w:left="260" w:hanging="256"/>
        <w:spacing w:after="0"/>
        <w:tabs>
          <w:tab w:leader="none" w:pos="260" w:val="left"/>
        </w:tabs>
        <w:numPr>
          <w:ilvl w:val="0"/>
          <w:numId w:val="41"/>
        </w:numPr>
        <w:rPr>
          <w:rFonts w:ascii="Arial" w:cs="Arial" w:eastAsia="Arial" w:hAnsi="Arial"/>
          <w:sz w:val="12"/>
          <w:szCs w:val="12"/>
          <w:color w:val="auto"/>
        </w:rPr>
      </w:pPr>
      <w:r>
        <w:rPr>
          <w:rFonts w:ascii="Arial" w:cs="Arial" w:eastAsia="Arial" w:hAnsi="Arial"/>
          <w:sz w:val="12"/>
          <w:szCs w:val="12"/>
          <w:color w:val="auto"/>
        </w:rPr>
        <w:t>Member of the Executive Committee.</w:t>
      </w:r>
    </w:p>
    <w:p>
      <w:pPr>
        <w:spacing w:after="0" w:line="14" w:lineRule="exact"/>
        <w:rPr>
          <w:rFonts w:ascii="Arial" w:cs="Arial" w:eastAsia="Arial" w:hAnsi="Arial"/>
          <w:sz w:val="12"/>
          <w:szCs w:val="12"/>
          <w:color w:val="auto"/>
        </w:rPr>
      </w:pPr>
    </w:p>
    <w:p>
      <w:pPr>
        <w:ind w:left="260" w:hanging="256"/>
        <w:spacing w:after="0"/>
        <w:tabs>
          <w:tab w:leader="none" w:pos="260" w:val="left"/>
        </w:tabs>
        <w:numPr>
          <w:ilvl w:val="0"/>
          <w:numId w:val="41"/>
        </w:numPr>
        <w:rPr>
          <w:rFonts w:ascii="Arial" w:cs="Arial" w:eastAsia="Arial" w:hAnsi="Arial"/>
          <w:sz w:val="12"/>
          <w:szCs w:val="12"/>
          <w:color w:val="auto"/>
        </w:rPr>
      </w:pPr>
      <w:r>
        <w:rPr>
          <w:rFonts w:ascii="Arial" w:cs="Arial" w:eastAsia="Arial" w:hAnsi="Arial"/>
          <w:sz w:val="12"/>
          <w:szCs w:val="12"/>
          <w:color w:val="auto"/>
        </w:rPr>
        <w:t>Member of the Compensation and Stock Options Committee.</w:t>
      </w:r>
    </w:p>
    <w:p>
      <w:pPr>
        <w:spacing w:after="0" w:line="6" w:lineRule="exact"/>
        <w:rPr>
          <w:rFonts w:ascii="Arial" w:cs="Arial" w:eastAsia="Arial" w:hAnsi="Arial"/>
          <w:sz w:val="12"/>
          <w:szCs w:val="12"/>
          <w:color w:val="auto"/>
        </w:rPr>
      </w:pPr>
    </w:p>
    <w:p>
      <w:pPr>
        <w:ind w:left="260" w:hanging="256"/>
        <w:spacing w:after="0"/>
        <w:tabs>
          <w:tab w:leader="none" w:pos="260" w:val="left"/>
        </w:tabs>
        <w:numPr>
          <w:ilvl w:val="0"/>
          <w:numId w:val="41"/>
        </w:numPr>
        <w:rPr>
          <w:rFonts w:ascii="Arial" w:cs="Arial" w:eastAsia="Arial" w:hAnsi="Arial"/>
          <w:sz w:val="12"/>
          <w:szCs w:val="12"/>
          <w:color w:val="auto"/>
        </w:rPr>
      </w:pPr>
      <w:r>
        <w:rPr>
          <w:rFonts w:ascii="Arial" w:cs="Arial" w:eastAsia="Arial" w:hAnsi="Arial"/>
          <w:sz w:val="12"/>
          <w:szCs w:val="12"/>
          <w:color w:val="auto"/>
        </w:rPr>
        <w:t>Member of the Tax Oversight Committee.</w:t>
      </w:r>
    </w:p>
    <w:p>
      <w:pPr>
        <w:spacing w:after="0" w:line="6" w:lineRule="exact"/>
        <w:rPr>
          <w:rFonts w:ascii="Arial" w:cs="Arial" w:eastAsia="Arial" w:hAnsi="Arial"/>
          <w:sz w:val="12"/>
          <w:szCs w:val="12"/>
          <w:color w:val="auto"/>
        </w:rPr>
      </w:pPr>
    </w:p>
    <w:p>
      <w:pPr>
        <w:ind w:left="260" w:hanging="256"/>
        <w:spacing w:after="0"/>
        <w:tabs>
          <w:tab w:leader="none" w:pos="260" w:val="left"/>
        </w:tabs>
        <w:numPr>
          <w:ilvl w:val="0"/>
          <w:numId w:val="41"/>
        </w:numPr>
        <w:rPr>
          <w:rFonts w:ascii="Arial" w:cs="Arial" w:eastAsia="Arial" w:hAnsi="Arial"/>
          <w:sz w:val="12"/>
          <w:szCs w:val="12"/>
          <w:color w:val="auto"/>
        </w:rPr>
      </w:pPr>
      <w:r>
        <w:rPr>
          <w:rFonts w:ascii="Arial" w:cs="Arial" w:eastAsia="Arial" w:hAnsi="Arial"/>
          <w:sz w:val="12"/>
          <w:szCs w:val="12"/>
          <w:color w:val="auto"/>
        </w:rPr>
        <w:t>Lead independent Director.</w:t>
      </w:r>
    </w:p>
    <w:p>
      <w:pPr>
        <w:spacing w:after="0" w:line="6" w:lineRule="exact"/>
        <w:rPr>
          <w:rFonts w:ascii="Arial" w:cs="Arial" w:eastAsia="Arial" w:hAnsi="Arial"/>
          <w:sz w:val="12"/>
          <w:szCs w:val="12"/>
          <w:color w:val="auto"/>
        </w:rPr>
      </w:pPr>
    </w:p>
    <w:p>
      <w:pPr>
        <w:ind w:left="260" w:hanging="256"/>
        <w:spacing w:after="0"/>
        <w:tabs>
          <w:tab w:leader="none" w:pos="260" w:val="left"/>
        </w:tabs>
        <w:numPr>
          <w:ilvl w:val="0"/>
          <w:numId w:val="41"/>
        </w:numPr>
        <w:rPr>
          <w:rFonts w:ascii="Arial" w:cs="Arial" w:eastAsia="Arial" w:hAnsi="Arial"/>
          <w:sz w:val="12"/>
          <w:szCs w:val="12"/>
          <w:color w:val="auto"/>
        </w:rPr>
      </w:pPr>
      <w:r>
        <w:rPr>
          <w:rFonts w:ascii="Arial" w:cs="Arial" w:eastAsia="Arial" w:hAnsi="Arial"/>
          <w:sz w:val="12"/>
          <w:szCs w:val="12"/>
          <w:color w:val="auto"/>
        </w:rPr>
        <w:t>Member of the Audit and Conflicts Committee.</w:t>
      </w:r>
    </w:p>
    <w:p>
      <w:pPr>
        <w:spacing w:after="0" w:line="123" w:lineRule="exact"/>
        <w:rPr>
          <w:sz w:val="20"/>
          <w:szCs w:val="20"/>
          <w:color w:val="auto"/>
        </w:rPr>
      </w:pPr>
    </w:p>
    <w:p>
      <w:pPr>
        <w:ind w:firstLine="432"/>
        <w:spacing w:after="0" w:line="280" w:lineRule="auto"/>
        <w:rPr>
          <w:sz w:val="20"/>
          <w:szCs w:val="20"/>
          <w:color w:val="auto"/>
        </w:rPr>
      </w:pPr>
      <w:r>
        <w:rPr>
          <w:rFonts w:ascii="Arial" w:cs="Arial" w:eastAsia="Arial" w:hAnsi="Arial"/>
          <w:sz w:val="11"/>
          <w:szCs w:val="11"/>
          <w:u w:val="single" w:color="auto"/>
          <w:color w:val="auto"/>
        </w:rPr>
        <w:t>Ellen M. Cotter</w:t>
      </w:r>
      <w:r>
        <w:rPr>
          <w:rFonts w:ascii="Arial" w:cs="Arial" w:eastAsia="Arial" w:hAnsi="Arial"/>
          <w:sz w:val="11"/>
          <w:szCs w:val="11"/>
          <w:i w:val="1"/>
          <w:iCs w:val="1"/>
          <w:color w:val="auto"/>
        </w:rPr>
        <w:t>.</w:t>
      </w:r>
      <w:r>
        <w:rPr>
          <w:rFonts w:ascii="Arial" w:cs="Arial" w:eastAsia="Arial" w:hAnsi="Arial"/>
          <w:sz w:val="11"/>
          <w:szCs w:val="11"/>
          <w:color w:val="auto"/>
        </w:rPr>
        <w:t xml:space="preserve"> Ellen M. Cotter has been a member of our Board of Directors since March 13, 2013, and currently serves as a member of our Executive Committee. Ms. Cotter was appointed Chairperson of our Board on August 7, 2014 and served as our interim President and Chief Executive Officer from June 12, 2015 until January 8, 2016, when she was appointed our permanent President and Chief Executive Officer and President. She joined the Company in March 1998. Ms. Cotter is a graduate of Smith College and holds a Juris Doctor from Georgetown Law School. Prior to joining the Company, Ms. Cotter spent four years in private practice as a corporate attorney with the law firm of White &amp; Case in New York City. Ms. Cotter is the sister of Margaret Cotter and James J. Cotter, Jr. For more than the past ten years, Ms. Cotter served as the Chief Operating Officer (“COO”) of our domestic cinema operations, in which capacity she had, among other things, responsibility for the acquisition and development, marketing and operation of our cinemas in the United States. Prior to her appointment as COO of Domestic Cinemas, she spent a year in Australia and New Zealand, working to develop our cinema and real estate assets in those countries. Ms. Cotter is the Co-Executor of her father’s estate, which is the record owner of 427,808 shares of our Class B Stock (representing 25.5% of such Class B Stock). Ms. Cotter is also a Co-Trustee of the James J. Cotter, Sr. Trust, which is the record owner of 696,080 shares of Class B Stock (representing an additional 44.0% of such Class B Stock).</w:t>
      </w:r>
    </w:p>
    <w:p>
      <w:pPr>
        <w:spacing w:after="0" w:line="89" w:lineRule="exact"/>
        <w:rPr>
          <w:sz w:val="20"/>
          <w:szCs w:val="20"/>
          <w:color w:val="auto"/>
        </w:rPr>
      </w:pPr>
    </w:p>
    <w:p>
      <w:pPr>
        <w:ind w:right="100" w:firstLine="432"/>
        <w:spacing w:after="0" w:line="257" w:lineRule="auto"/>
        <w:rPr>
          <w:sz w:val="20"/>
          <w:szCs w:val="20"/>
          <w:color w:val="auto"/>
        </w:rPr>
      </w:pPr>
      <w:r>
        <w:rPr>
          <w:rFonts w:ascii="Arial" w:cs="Arial" w:eastAsia="Arial" w:hAnsi="Arial"/>
          <w:sz w:val="12"/>
          <w:szCs w:val="12"/>
          <w:color w:val="auto"/>
        </w:rPr>
        <w:t>Ms. Cotter brings to our Board her 18 years of experience working in our Company’s cinema operations, both in the United States and Australia. She has also served as the Chief Executive Officer of Reading’s subsidiary, Consolidated Entertainment, LLC, which operates substantially all of our cinemas in Hawaii and California. In addition, with her direct ownership of 799,765 shares of Class A Stock and 50,000 shares of Class B Stock and her positions as Co-Executor of her father’s (James J. Cotter, Sr.) estate and Co-Trustee of the James J. Cotter, Sr. Trust, Ms. Cotter is a significant stakeholder in our Company. Ms. Cotter is well recognized in and a valuable liaison to the film industry. In recognition of her contributions to the independent film industry, Ms. Cotter was awarded the first Gotham Appreciation Award at the 2015 Gotham Independent Film Awards. She was also inducted that same year into the ShowEast Hall of Fame.</w:t>
      </w:r>
    </w:p>
    <w:p>
      <w:pPr>
        <w:spacing w:after="0" w:line="99" w:lineRule="exact"/>
        <w:rPr>
          <w:sz w:val="20"/>
          <w:szCs w:val="20"/>
          <w:color w:val="auto"/>
        </w:rPr>
      </w:pPr>
    </w:p>
    <w:p>
      <w:pPr>
        <w:ind w:firstLine="432"/>
        <w:spacing w:after="0" w:line="255" w:lineRule="auto"/>
        <w:rPr>
          <w:sz w:val="20"/>
          <w:szCs w:val="20"/>
          <w:color w:val="auto"/>
        </w:rPr>
      </w:pPr>
      <w:r>
        <w:rPr>
          <w:rFonts w:ascii="Arial" w:cs="Arial" w:eastAsia="Arial" w:hAnsi="Arial"/>
          <w:sz w:val="12"/>
          <w:szCs w:val="12"/>
          <w:u w:val="single" w:color="auto"/>
          <w:color w:val="auto"/>
        </w:rPr>
        <w:t>Guy W. Adams</w:t>
      </w:r>
      <w:r>
        <w:rPr>
          <w:rFonts w:ascii="Arial" w:cs="Arial" w:eastAsia="Arial" w:hAnsi="Arial"/>
          <w:sz w:val="12"/>
          <w:szCs w:val="12"/>
          <w:i w:val="1"/>
          <w:iCs w:val="1"/>
          <w:color w:val="auto"/>
        </w:rPr>
        <w:t>.</w:t>
      </w:r>
      <w:r>
        <w:rPr>
          <w:rFonts w:ascii="Arial" w:cs="Arial" w:eastAsia="Arial" w:hAnsi="Arial"/>
          <w:sz w:val="12"/>
          <w:szCs w:val="12"/>
          <w:color w:val="auto"/>
        </w:rPr>
        <w:t xml:space="preserve"> Guy W. Adams has been a Director of the Company since January 14, 2014, and currently serves as the chair of our Executive Committee and is a member of our Compensation and Stock Options Committee (the “Compensation Committee”)</w:t>
      </w:r>
      <w:r>
        <w:rPr>
          <w:rFonts w:ascii="Arial" w:cs="Arial" w:eastAsia="Arial" w:hAnsi="Arial"/>
          <w:sz w:val="12"/>
          <w:szCs w:val="12"/>
          <w:i w:val="1"/>
          <w:iCs w:val="1"/>
          <w:color w:val="auto"/>
        </w:rPr>
        <w:t>.</w:t>
      </w:r>
      <w:r>
        <w:rPr>
          <w:rFonts w:ascii="Arial" w:cs="Arial" w:eastAsia="Arial" w:hAnsi="Arial"/>
          <w:sz w:val="12"/>
          <w:szCs w:val="12"/>
          <w:color w:val="auto"/>
        </w:rPr>
        <w:t xml:space="preserve"> For more than the past ten years, he has been a Managing Member of GWA Capital Partners, LLC, a registered investment adviser managing GWA Investments, LLC, a fund investing in various publicly traded securities</w:t>
      </w:r>
      <w:r>
        <w:rPr>
          <w:rFonts w:ascii="Arial" w:cs="Arial" w:eastAsia="Arial" w:hAnsi="Arial"/>
          <w:sz w:val="12"/>
          <w:szCs w:val="12"/>
          <w:i w:val="1"/>
          <w:iCs w:val="1"/>
          <w:color w:val="auto"/>
        </w:rPr>
        <w:t>.</w:t>
      </w:r>
      <w:r>
        <w:rPr>
          <w:rFonts w:ascii="Arial" w:cs="Arial" w:eastAsia="Arial" w:hAnsi="Arial"/>
          <w:sz w:val="12"/>
          <w:szCs w:val="12"/>
          <w:color w:val="auto"/>
        </w:rPr>
        <w:t xml:space="preserve"> Over the past fifteen years, Mr. Adams has served as an independent director on the boards of directors of Lone Star Steakhouse &amp; Saloon, Mercer International, Exar Corporation and Vitesse Semiconductor</w:t>
      </w:r>
      <w:r>
        <w:rPr>
          <w:rFonts w:ascii="Arial" w:cs="Arial" w:eastAsia="Arial" w:hAnsi="Arial"/>
          <w:sz w:val="12"/>
          <w:szCs w:val="12"/>
          <w:i w:val="1"/>
          <w:iCs w:val="1"/>
          <w:color w:val="auto"/>
        </w:rPr>
        <w:t>.</w:t>
      </w:r>
      <w:r>
        <w:rPr>
          <w:rFonts w:ascii="Arial" w:cs="Arial" w:eastAsia="Arial" w:hAnsi="Arial"/>
          <w:sz w:val="12"/>
          <w:szCs w:val="12"/>
          <w:color w:val="auto"/>
        </w:rPr>
        <w:t xml:space="preserve"> At these companies, he has held a variety of board positions, including lead director, audit committee chair and compensation committee chair</w:t>
      </w:r>
      <w:r>
        <w:rPr>
          <w:rFonts w:ascii="Arial" w:cs="Arial" w:eastAsia="Arial" w:hAnsi="Arial"/>
          <w:sz w:val="12"/>
          <w:szCs w:val="12"/>
          <w:i w:val="1"/>
          <w:iCs w:val="1"/>
          <w:color w:val="auto"/>
        </w:rPr>
        <w:t>. .</w:t>
      </w:r>
      <w:r>
        <w:rPr>
          <w:rFonts w:ascii="Arial" w:cs="Arial" w:eastAsia="Arial" w:hAnsi="Arial"/>
          <w:sz w:val="12"/>
          <w:szCs w:val="12"/>
          <w:color w:val="auto"/>
        </w:rPr>
        <w:t xml:space="preserve"> He has spoken on corporate governance topics before such groups as the Council of Institutional Investors, the USC Corporate Governance Summit and the University of Delaware Distinguished Speakers Program. Mr. Adams provides investment advice to private clients and currently invests his own capital in</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59690</wp:posOffset>
            </wp:positionV>
            <wp:extent cx="677989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779895" cy="42545"/>
                    </a:xfrm>
                    <a:prstGeom prst="rect">
                      <a:avLst/>
                    </a:prstGeom>
                    <a:noFill/>
                  </pic:spPr>
                </pic:pic>
              </a:graphicData>
            </a:graphic>
          </wp:anchor>
        </w:drawing>
      </w:r>
    </w:p>
    <w:p>
      <w:pPr>
        <w:sectPr>
          <w:pgSz w:w="11900" w:h="16838" w:orient="portrait"/>
          <w:cols w:equalWidth="0" w:num="1">
            <w:col w:w="10620"/>
          </w:cols>
          <w:pgMar w:left="640" w:top="271" w:right="639" w:bottom="1440" w:gutter="0" w:footer="0" w:header="0"/>
        </w:sectPr>
      </w:pPr>
    </w:p>
    <w:bookmarkStart w:id="101" w:name="page102"/>
    <w:bookmarkEnd w:id="101"/>
    <w:p>
      <w:pPr>
        <w:jc w:val="both"/>
        <w:ind w:right="60"/>
        <w:spacing w:after="0" w:line="263" w:lineRule="auto"/>
        <w:rPr>
          <w:sz w:val="20"/>
          <w:szCs w:val="20"/>
          <w:color w:val="auto"/>
        </w:rPr>
      </w:pPr>
      <w:r>
        <w:rPr>
          <w:rFonts w:ascii="Arial" w:cs="Arial" w:eastAsia="Arial" w:hAnsi="Arial"/>
          <w:sz w:val="12"/>
          <w:szCs w:val="12"/>
          <w:color w:val="auto"/>
        </w:rPr>
        <w:t>public and private equity transactions</w:t>
      </w:r>
      <w:r>
        <w:rPr>
          <w:rFonts w:ascii="Arial" w:cs="Arial" w:eastAsia="Arial" w:hAnsi="Arial"/>
          <w:sz w:val="12"/>
          <w:szCs w:val="12"/>
          <w:i w:val="1"/>
          <w:iCs w:val="1"/>
          <w:color w:val="auto"/>
        </w:rPr>
        <w:t>.</w:t>
      </w:r>
      <w:r>
        <w:rPr>
          <w:rFonts w:ascii="Arial" w:cs="Arial" w:eastAsia="Arial" w:hAnsi="Arial"/>
          <w:sz w:val="12"/>
          <w:szCs w:val="12"/>
          <w:color w:val="auto"/>
        </w:rPr>
        <w:t xml:space="preserve"> He has served as an advisor to James J. Cotter, Sr. and continues to provide professional advisory services to various enterprises now owned by either the James J. Cotter, Sr. Estate or the James J. Cotter, Sr. Trust. Mr. Adams received his Bachelor of Science degree in Petroleum Engineering from Louisiana State University and his Masters of Business Administration from Harvard Graduate School of Business Administration.</w:t>
      </w:r>
    </w:p>
    <w:p>
      <w:pPr>
        <w:spacing w:after="0" w:line="96" w:lineRule="exact"/>
        <w:rPr>
          <w:sz w:val="20"/>
          <w:szCs w:val="20"/>
          <w:color w:val="auto"/>
        </w:rPr>
      </w:pPr>
    </w:p>
    <w:p>
      <w:pPr>
        <w:ind w:left="440"/>
        <w:spacing w:after="0"/>
        <w:rPr>
          <w:sz w:val="20"/>
          <w:szCs w:val="20"/>
          <w:color w:val="auto"/>
        </w:rPr>
      </w:pPr>
      <w:r>
        <w:rPr>
          <w:rFonts w:ascii="Arial" w:cs="Arial" w:eastAsia="Arial" w:hAnsi="Arial"/>
          <w:sz w:val="11"/>
          <w:szCs w:val="11"/>
          <w:color w:val="auto"/>
        </w:rPr>
        <w:t>Mr. Adams brings many years of experience serving as an independent director on public company boards, and in investing and providing financial advice with respect to investments in public companies.</w:t>
      </w:r>
    </w:p>
    <w:p>
      <w:pPr>
        <w:spacing w:after="0" w:line="144" w:lineRule="exact"/>
        <w:rPr>
          <w:sz w:val="20"/>
          <w:szCs w:val="20"/>
          <w:color w:val="auto"/>
        </w:rPr>
      </w:pPr>
    </w:p>
    <w:p>
      <w:pPr>
        <w:ind w:right="80" w:firstLine="432"/>
        <w:spacing w:after="0" w:line="280" w:lineRule="auto"/>
        <w:rPr>
          <w:sz w:val="20"/>
          <w:szCs w:val="20"/>
          <w:color w:val="auto"/>
        </w:rPr>
      </w:pPr>
      <w:r>
        <w:rPr>
          <w:rFonts w:ascii="Arial" w:cs="Arial" w:eastAsia="Arial" w:hAnsi="Arial"/>
          <w:sz w:val="11"/>
          <w:szCs w:val="11"/>
          <w:u w:val="single" w:color="auto"/>
          <w:color w:val="auto"/>
        </w:rPr>
        <w:t>Dr. Judy Codding</w:t>
      </w:r>
      <w:r>
        <w:rPr>
          <w:rFonts w:ascii="Arial" w:cs="Arial" w:eastAsia="Arial" w:hAnsi="Arial"/>
          <w:sz w:val="11"/>
          <w:szCs w:val="11"/>
          <w:i w:val="1"/>
          <w:iCs w:val="1"/>
          <w:color w:val="auto"/>
        </w:rPr>
        <w:t>.</w:t>
      </w:r>
      <w:r>
        <w:rPr>
          <w:rFonts w:ascii="Arial" w:cs="Arial" w:eastAsia="Arial" w:hAnsi="Arial"/>
          <w:sz w:val="11"/>
          <w:szCs w:val="11"/>
          <w:color w:val="auto"/>
        </w:rPr>
        <w:t xml:space="preserve"> Dr. Judy Codding has been a Director of our Company since October 5, 2015, and currently serves as a member of our Compensation Committee. Dr. Codding has been a Director of our Company since October 5, 2015. Dr. Codding is a globally respected education leader. From October 2010 until October 2015 she served as the Managing Director of “The System of Courses,” a division of Pearson, PLC (NYSE: PSO), the largest education company in the world that provides education products and services to institutions, governments and direct to individual learners. Prior to that time, Dr. Codding served as the Chief Executive Officer and President of America’s Choice, Inc., which she founded in 1998, and which was acquired by Pearson in 2010. America’s Choice, Inc. was a leading education company offering comprehensive, proven solutions to the complex problems educators face in the era of accountability. Dr. Codding has a Doctorate in Education from University of Massachusetts at Amherst, and completed postdoctoral work and served as a teaching associate in Education at Harvard University where she taught graduate level courses focused on moral leadership. Dr. Codding has served on various boards, including the Board of Trustees of Curtis School, Los Angeles, CA (2011 to present) and the Board of Trustees of Educational Development Center, Inc. (EDC) since 2012. Through family entities, Dr. Codding has been and continues to be involved in the real estate business, through the ownership of hotels, shopping centers and buildings in Florida and the exploration of mineral, oil and gas rights in Maryland and Kentucky.</w:t>
      </w:r>
    </w:p>
    <w:p>
      <w:pPr>
        <w:spacing w:after="0" w:line="89" w:lineRule="exact"/>
        <w:rPr>
          <w:sz w:val="20"/>
          <w:szCs w:val="20"/>
          <w:color w:val="auto"/>
        </w:rPr>
      </w:pPr>
    </w:p>
    <w:p>
      <w:pPr>
        <w:ind w:left="440"/>
        <w:spacing w:after="0"/>
        <w:rPr>
          <w:sz w:val="20"/>
          <w:szCs w:val="20"/>
          <w:color w:val="auto"/>
        </w:rPr>
      </w:pPr>
      <w:r>
        <w:rPr>
          <w:rFonts w:ascii="Arial" w:cs="Arial" w:eastAsia="Arial" w:hAnsi="Arial"/>
          <w:sz w:val="10"/>
          <w:szCs w:val="10"/>
          <w:color w:val="auto"/>
        </w:rPr>
        <w:t>Dr. Codding brings to our Board her experience as an entrepreneur, as an author, advisor and researcher in the areas of leadership training and decision-making as well as her experience in the real estate business.</w:t>
      </w:r>
    </w:p>
    <w:p>
      <w:pPr>
        <w:spacing w:after="0" w:line="146" w:lineRule="exact"/>
        <w:rPr>
          <w:sz w:val="20"/>
          <w:szCs w:val="20"/>
          <w:color w:val="auto"/>
        </w:rPr>
      </w:pPr>
    </w:p>
    <w:p>
      <w:pPr>
        <w:ind w:right="60" w:firstLine="432"/>
        <w:spacing w:after="0" w:line="145" w:lineRule="exact"/>
        <w:rPr>
          <w:sz w:val="20"/>
          <w:szCs w:val="20"/>
          <w:color w:val="auto"/>
        </w:rPr>
      </w:pPr>
      <w:r>
        <w:rPr>
          <w:rFonts w:ascii="Arial" w:cs="Arial" w:eastAsia="Arial" w:hAnsi="Arial"/>
          <w:sz w:val="11"/>
          <w:szCs w:val="11"/>
          <w:u w:val="single" w:color="auto"/>
          <w:color w:val="auto"/>
        </w:rPr>
        <w:t>James J. Cotter, Jr.</w:t>
      </w:r>
      <w:r>
        <w:rPr>
          <w:rFonts w:ascii="Arial" w:cs="Arial" w:eastAsia="Arial" w:hAnsi="Arial"/>
          <w:sz w:val="11"/>
          <w:szCs w:val="11"/>
          <w:color w:val="auto"/>
        </w:rPr>
        <w:t xml:space="preserve"> James J. Cotter, Jr. has been a Director of our Company since March 21, 2002, and currently serves as a member of our Tax Oversight Committee. The Tax Oversight Committee has been inactive since November 2, 2015, in anticipation that its functions will move to the Audit and Conflicts Committee (the “Audit Committee”) under its new charter. Mr. Cotter, Jr. served as our Vice Chairperson from June 2007 until August 7, 2014. Mr. Cotter, Jr. served as our President from June 1, 2013 through June 12, 2015 and as our Chief Executive Officer from August 7, 2014 through June 12, 2015. He is currently the lead director of Cecelia Packing Corporation (a Cotter family</w:t>
      </w:r>
      <w:r>
        <w:rPr>
          <w:rFonts w:ascii="MS PGothic" w:cs="MS PGothic" w:eastAsia="MS PGothic" w:hAnsi="MS PGothic"/>
          <w:sz w:val="11"/>
          <w:szCs w:val="11"/>
          <w:color w:val="auto"/>
        </w:rPr>
        <w:t>‑</w:t>
      </w:r>
      <w:r>
        <w:rPr>
          <w:rFonts w:ascii="Arial" w:cs="Arial" w:eastAsia="Arial" w:hAnsi="Arial"/>
          <w:sz w:val="11"/>
          <w:szCs w:val="11"/>
          <w:color w:val="auto"/>
        </w:rPr>
        <w:t>owned citrus grower, packer and marketer) and served as the Chief Executive Officer of that company from July 2004 until 2013. Mr. Cotter, Jr. served as a Director of Cecelia Packing Corporation from February 1996 to September 1997 and as a Director of Gish Biomedical from September 1999 to March 2002. He was an attorney in the law firm of Winston &amp; Strawn (and its predecessor), specializing in corporate law, from September 1997 to May 2004. Mr. Cotter, Jr. is the brother of Margaret Cotter and Ellen M. Cotter. Mr. Cotter, Jr. has advised the Company that he is a Co-Trustee of the James J. Cotter, Sr. Trust, which is the record owner of 696,080 shares of Class B Stock (representing 44.0% of such Class B Stock). The Company understands that Mr. Cotter’s status as a trustee of the James J. Cotter, Sr. Trust is disputed by his sisters, Ellen M. Cotter and Margaret Cotter. See Item3 – Legal Proceedings for additional information.</w:t>
      </w:r>
    </w:p>
    <w:p>
      <w:pPr>
        <w:spacing w:after="0" w:line="120" w:lineRule="exact"/>
        <w:rPr>
          <w:sz w:val="20"/>
          <w:szCs w:val="20"/>
          <w:color w:val="auto"/>
        </w:rPr>
      </w:pPr>
    </w:p>
    <w:p>
      <w:pPr>
        <w:ind w:right="280" w:firstLine="432"/>
        <w:spacing w:after="0" w:line="263" w:lineRule="auto"/>
        <w:rPr>
          <w:sz w:val="20"/>
          <w:szCs w:val="20"/>
          <w:color w:val="auto"/>
        </w:rPr>
      </w:pPr>
      <w:r>
        <w:rPr>
          <w:rFonts w:ascii="Arial" w:cs="Arial" w:eastAsia="Arial" w:hAnsi="Arial"/>
          <w:sz w:val="12"/>
          <w:szCs w:val="12"/>
          <w:color w:val="auto"/>
        </w:rPr>
        <w:t>James J. Cotter, Jr. brings to our Board his experience as a business professional and corporate attorney, as well as his many years of experience in, and knowledge of, the Company’s business and affairs. In addition, with his direct ownership of 859,286 shares of our Company’s Class A Common Stock and his position as Co-Trustee of the James J. Cotter, Sr. Trust, Mr. Cotter, Jr. is a significant stakeholder in our Company. Further, depending on the outcome of ongoing Trust Litigation, in the future Mr. Cotter, Jr. may be a controlling stockholder in the Company.</w:t>
      </w:r>
    </w:p>
    <w:p>
      <w:pPr>
        <w:spacing w:after="0" w:line="96" w:lineRule="exact"/>
        <w:rPr>
          <w:sz w:val="20"/>
          <w:szCs w:val="20"/>
          <w:color w:val="auto"/>
        </w:rPr>
      </w:pPr>
    </w:p>
    <w:p>
      <w:pPr>
        <w:ind w:firstLine="432"/>
        <w:spacing w:after="0" w:line="310" w:lineRule="auto"/>
        <w:rPr>
          <w:sz w:val="20"/>
          <w:szCs w:val="20"/>
          <w:color w:val="auto"/>
        </w:rPr>
      </w:pPr>
      <w:r>
        <w:rPr>
          <w:rFonts w:ascii="Arial" w:cs="Arial" w:eastAsia="Arial" w:hAnsi="Arial"/>
          <w:sz w:val="10"/>
          <w:szCs w:val="10"/>
          <w:u w:val="single" w:color="auto"/>
          <w:color w:val="auto"/>
        </w:rPr>
        <w:t>Margaret Cotter</w:t>
      </w:r>
      <w:r>
        <w:rPr>
          <w:rFonts w:ascii="Arial" w:cs="Arial" w:eastAsia="Arial" w:hAnsi="Arial"/>
          <w:sz w:val="10"/>
          <w:szCs w:val="10"/>
          <w:i w:val="1"/>
          <w:iCs w:val="1"/>
          <w:color w:val="auto"/>
        </w:rPr>
        <w:t>.</w:t>
      </w:r>
      <w:r>
        <w:rPr>
          <w:rFonts w:ascii="Arial" w:cs="Arial" w:eastAsia="Arial" w:hAnsi="Arial"/>
          <w:sz w:val="10"/>
          <w:szCs w:val="10"/>
          <w:color w:val="auto"/>
        </w:rPr>
        <w:t xml:space="preserve"> Margaret Cotter has been a Director of our Company since September 27, 2002, and on August 7, 2014 was appointed Vice Chairperson of our Board and currently serves as a member of our Executive Committee. On March 10, 2016, our Board appointed Ms. Cotter as Executive Vice President-Real Estate Management and Development-NYC. In this position, Ms. Cotter is responsible for the management of our live theater properties and operations, including oversight of the development of our Union Square and Cinemas 1, 2, 3 properties. Ms. Cotter is the owner and President of OBI, LLC (“OBI”), which, from 2002 until her appointment as Executive Vice President – Real Estate Management and Development, NYC, managed our live-theater operations under a management agreement. Pursuant to the OBI management agreement, Ms. Cotter also served as the President of Liberty Theaters, LLC, the subsidiary through which we own our live theaters. The OBI management agreement was terminated with Ms. Cotter’s appointment as Executive Vice President-Real Estate Management and Development-NYC. Ms. Cotter is also a theatrical producer who has produced shows in Chicago and New York and is a board member of the League of Off-Broadway Theaters and Producers. Ms. Cotter, a former Assistant District Attorney for King’s County in Brooklyn, New York, graduated from Georgetown University and Georgetown University Law Center. She is the sister of Ellen M. Cotter and James J. Cotter, Jr. Ms. Margaret Cotter is a Co-Executor of her father’s estate, which is the record owner of 427,808 shares of our Class B Stock (representing 25.5% of such Class B Stock). Ms. Margaret Cotter is also a Co-Trustee of the James J. Cotter, Sr. Trust, which is the record owner of 696,080 shares of Class B Voting Common Stock (representing an additional 41.4% of such Class B Stock).</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59690</wp:posOffset>
            </wp:positionV>
            <wp:extent cx="677989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779895" cy="42545"/>
                    </a:xfrm>
                    <a:prstGeom prst="rect">
                      <a:avLst/>
                    </a:prstGeom>
                    <a:noFill/>
                  </pic:spPr>
                </pic:pic>
              </a:graphicData>
            </a:graphic>
          </wp:anchor>
        </w:drawing>
      </w:r>
    </w:p>
    <w:p>
      <w:pPr>
        <w:sectPr>
          <w:pgSz w:w="11900" w:h="16838" w:orient="portrait"/>
          <w:cols w:equalWidth="0" w:num="1">
            <w:col w:w="10620"/>
          </w:cols>
          <w:pgMar w:left="640" w:top="275" w:right="639" w:bottom="1440" w:gutter="0" w:footer="0" w:header="0"/>
        </w:sectPr>
      </w:pPr>
    </w:p>
    <w:bookmarkStart w:id="102" w:name="page103"/>
    <w:bookmarkEnd w:id="102"/>
    <w:p>
      <w:pPr>
        <w:ind w:right="80" w:firstLine="432"/>
        <w:spacing w:after="0" w:line="340" w:lineRule="auto"/>
        <w:rPr>
          <w:sz w:val="20"/>
          <w:szCs w:val="20"/>
          <w:color w:val="auto"/>
        </w:rPr>
      </w:pPr>
      <w:r>
        <w:rPr>
          <w:rFonts w:ascii="Arial" w:cs="Arial" w:eastAsia="Arial" w:hAnsi="Arial"/>
          <w:sz w:val="10"/>
          <w:szCs w:val="10"/>
          <w:color w:val="auto"/>
        </w:rPr>
        <w:t>Ms. Cotter brings to the Board her experience as a live theater producer, theater operator and an active member of the New York theatre community, which gives her insight into live theater business trends that affect our business in this sector. Operating and overseeing these properties for over 17 years, Ms. Cotter contributes to the strategic direction for our developments. In addition, with her direct ownership of 804,173 shares of Class A Stock and 35,100 shares of Class B Stock and her positions as Co-Executor of her father’s estate and Co-Trustee of the James J. Cotter, Sr. Trust, Ms. Cotter is a significant stakeholder in our Company.</w:t>
      </w:r>
    </w:p>
    <w:p>
      <w:pPr>
        <w:spacing w:after="0" w:line="61" w:lineRule="exact"/>
        <w:rPr>
          <w:sz w:val="20"/>
          <w:szCs w:val="20"/>
          <w:color w:val="auto"/>
        </w:rPr>
      </w:pPr>
    </w:p>
    <w:p>
      <w:pPr>
        <w:ind w:right="140" w:firstLine="432"/>
        <w:spacing w:after="0" w:line="259" w:lineRule="auto"/>
        <w:rPr>
          <w:sz w:val="20"/>
          <w:szCs w:val="20"/>
          <w:color w:val="auto"/>
        </w:rPr>
      </w:pPr>
      <w:r>
        <w:rPr>
          <w:rFonts w:ascii="Arial" w:cs="Arial" w:eastAsia="Arial" w:hAnsi="Arial"/>
          <w:sz w:val="12"/>
          <w:szCs w:val="12"/>
          <w:u w:val="single" w:color="auto"/>
          <w:color w:val="auto"/>
        </w:rPr>
        <w:t>William D. Gould</w:t>
      </w:r>
      <w:r>
        <w:rPr>
          <w:rFonts w:ascii="Arial" w:cs="Arial" w:eastAsia="Arial" w:hAnsi="Arial"/>
          <w:sz w:val="12"/>
          <w:szCs w:val="12"/>
          <w:i w:val="1"/>
          <w:iCs w:val="1"/>
          <w:color w:val="auto"/>
        </w:rPr>
        <w:t>.</w:t>
      </w:r>
      <w:r>
        <w:rPr>
          <w:rFonts w:ascii="Arial" w:cs="Arial" w:eastAsia="Arial" w:hAnsi="Arial"/>
          <w:sz w:val="12"/>
          <w:szCs w:val="12"/>
          <w:color w:val="auto"/>
        </w:rPr>
        <w:t xml:space="preserve"> William D. Gould has been a Director of our Company since October 15, 2004, and currently serves as our Lead Independent Director. Mr. Gould has been a member of the law firm of TroyGould PC since 1986. Previously, he was a partner of the law firm of O’Melveny &amp; Myers. We have from time to time retained TroyGould PC for legal advice. Total fees payable to Mr. Gould’s law firm for [calendar year] 2015 were $61,000.84. Mr. Gould is an author and lecturer on the subjects of corporate governance and mergers and acquisitions. Mr. Gould brings to our Board more than fifty years of experience as a corporate lawyer and advisor focusing on corporate governance, mergers and acquisitions.</w:t>
      </w:r>
    </w:p>
    <w:p>
      <w:pPr>
        <w:spacing w:after="0" w:line="107" w:lineRule="exact"/>
        <w:rPr>
          <w:sz w:val="20"/>
          <w:szCs w:val="20"/>
          <w:color w:val="auto"/>
        </w:rPr>
      </w:pPr>
    </w:p>
    <w:p>
      <w:pPr>
        <w:ind w:right="60" w:firstLine="432"/>
        <w:spacing w:after="0" w:line="254" w:lineRule="auto"/>
        <w:rPr>
          <w:sz w:val="20"/>
          <w:szCs w:val="20"/>
          <w:color w:val="auto"/>
        </w:rPr>
      </w:pPr>
      <w:r>
        <w:rPr>
          <w:rFonts w:ascii="Arial" w:cs="Arial" w:eastAsia="Arial" w:hAnsi="Arial"/>
          <w:sz w:val="12"/>
          <w:szCs w:val="12"/>
          <w:u w:val="single" w:color="auto"/>
          <w:color w:val="auto"/>
        </w:rPr>
        <w:t>Edward L. Kane</w:t>
      </w:r>
      <w:r>
        <w:rPr>
          <w:rFonts w:ascii="Arial" w:cs="Arial" w:eastAsia="Arial" w:hAnsi="Arial"/>
          <w:sz w:val="12"/>
          <w:szCs w:val="12"/>
          <w:i w:val="1"/>
          <w:iCs w:val="1"/>
          <w:color w:val="auto"/>
        </w:rPr>
        <w:t>.</w:t>
      </w:r>
      <w:r>
        <w:rPr>
          <w:rFonts w:ascii="Arial" w:cs="Arial" w:eastAsia="Arial" w:hAnsi="Arial"/>
          <w:sz w:val="12"/>
          <w:szCs w:val="12"/>
          <w:color w:val="auto"/>
        </w:rPr>
        <w:t xml:space="preserve"> Edward L. Kane has been a Director of our Company since October 15, 2004. Mr. Kane was also a Director of our Company from 1985 to 1998, and served as President from 1987 to 1988. Mr. Kane currently serves as the chair of our Compensation Committee, and until its disbandment in January 2016, as chair of our Tax Oversight Committee. He also serves as a member of our Executive Committee and our Audit Committee. The Tax Oversight Committee has been inactive since November 2, 2015, in anticipation that its functions will move to the Audit Committee under its new charter. Mr. Kane practiced as a tax attorney for many years in San Diego, California. Since 1996, Mr. Kane has acted as a consultant and advisor to the health care industry, serving as the President and sole shareholder of High Avenue Consulting, a healthcare consulting firm, and as the head of its successor proprietorship. During the 1990s, Mr. Kane also served as the Chairman and CEO of ASMG Outpatient Surgical Centers in southern California, and he served as a director of BDI Investment Corp., which was a regulated investment company, based in San Diego. For over a decade, he was the Chairman of Kane Miller Books, an award-winning publisher of children’s books. At various times during the past three decades, Mr. Kane has been Adjunct Professor of Law at two of San Diego’s law schools, most recently in 2008 and 2009 at Thomas Jefferson School of Law, and prior thereto at California Western School of Law.</w:t>
      </w:r>
    </w:p>
    <w:p>
      <w:pPr>
        <w:spacing w:after="0" w:line="102" w:lineRule="exact"/>
        <w:rPr>
          <w:sz w:val="20"/>
          <w:szCs w:val="20"/>
          <w:color w:val="auto"/>
        </w:rPr>
      </w:pPr>
    </w:p>
    <w:p>
      <w:pPr>
        <w:ind w:firstLine="432"/>
        <w:spacing w:after="0" w:line="276" w:lineRule="auto"/>
        <w:rPr>
          <w:sz w:val="20"/>
          <w:szCs w:val="20"/>
          <w:color w:val="auto"/>
        </w:rPr>
      </w:pPr>
      <w:r>
        <w:rPr>
          <w:rFonts w:ascii="Arial" w:cs="Arial" w:eastAsia="Arial" w:hAnsi="Arial"/>
          <w:sz w:val="12"/>
          <w:szCs w:val="12"/>
          <w:color w:val="auto"/>
        </w:rPr>
        <w:t>In addition to his varied business experience, Mr. Kane brings to our Board his many years as a tax attorney and law professor. Mr. Kane also brings his experience as a past President of Craig Corporation and of Reading Company, two of our corporate predecessors, as well as his experience as a former member of the boards of directors of several publicly held corporations.</w:t>
      </w:r>
    </w:p>
    <w:p>
      <w:pPr>
        <w:spacing w:after="0" w:line="88" w:lineRule="exact"/>
        <w:rPr>
          <w:sz w:val="20"/>
          <w:szCs w:val="20"/>
          <w:color w:val="auto"/>
        </w:rPr>
      </w:pPr>
    </w:p>
    <w:p>
      <w:pPr>
        <w:ind w:right="60" w:firstLine="432"/>
        <w:spacing w:after="0" w:line="254" w:lineRule="auto"/>
        <w:rPr>
          <w:sz w:val="20"/>
          <w:szCs w:val="20"/>
          <w:color w:val="auto"/>
        </w:rPr>
      </w:pPr>
      <w:r>
        <w:rPr>
          <w:rFonts w:ascii="Arial" w:cs="Arial" w:eastAsia="Arial" w:hAnsi="Arial"/>
          <w:sz w:val="12"/>
          <w:szCs w:val="12"/>
          <w:u w:val="single" w:color="auto"/>
          <w:color w:val="auto"/>
        </w:rPr>
        <w:t>Douglas J. McEachern</w:t>
      </w:r>
      <w:r>
        <w:rPr>
          <w:rFonts w:ascii="Arial" w:cs="Arial" w:eastAsia="Arial" w:hAnsi="Arial"/>
          <w:sz w:val="12"/>
          <w:szCs w:val="12"/>
          <w:i w:val="1"/>
          <w:iCs w:val="1"/>
          <w:color w:val="auto"/>
        </w:rPr>
        <w:t>.</w:t>
      </w:r>
      <w:r>
        <w:rPr>
          <w:rFonts w:ascii="Arial" w:cs="Arial" w:eastAsia="Arial" w:hAnsi="Arial"/>
          <w:sz w:val="12"/>
          <w:szCs w:val="12"/>
          <w:color w:val="auto"/>
        </w:rPr>
        <w:t xml:space="preserve"> Douglas J. McEachern has been a Director of our Company since May 17, 2012 and Chair of our Audit Committee since August 1, 2012</w:t>
      </w:r>
      <w:r>
        <w:rPr>
          <w:rFonts w:ascii="Arial" w:cs="Arial" w:eastAsia="Arial" w:hAnsi="Arial"/>
          <w:sz w:val="12"/>
          <w:szCs w:val="12"/>
          <w:i w:val="1"/>
          <w:iCs w:val="1"/>
          <w:color w:val="auto"/>
        </w:rPr>
        <w:t>.</w:t>
      </w:r>
      <w:r>
        <w:rPr>
          <w:rFonts w:ascii="Arial" w:cs="Arial" w:eastAsia="Arial" w:hAnsi="Arial"/>
          <w:sz w:val="12"/>
          <w:szCs w:val="12"/>
          <w:color w:val="auto"/>
        </w:rPr>
        <w:t xml:space="preserve"> He has served as a member of the board and of the audit and compensation committee for Willdan Group, a NASDAQ listed engineering company, since 2009. From June 2011 until October 2015, Mr. McEachern was a director of Community Bank in Pasadena, California and a member of its audit committee. Mr. McEachern served as the chair of the board of Community Bank from October 2013 until October 2015</w:t>
      </w:r>
      <w:r>
        <w:rPr>
          <w:rFonts w:ascii="Arial" w:cs="Arial" w:eastAsia="Arial" w:hAnsi="Arial"/>
          <w:sz w:val="12"/>
          <w:szCs w:val="12"/>
          <w:i w:val="1"/>
          <w:iCs w:val="1"/>
          <w:color w:val="auto"/>
        </w:rPr>
        <w:t>.</w:t>
      </w:r>
      <w:r>
        <w:rPr>
          <w:rFonts w:ascii="Arial" w:cs="Arial" w:eastAsia="Arial" w:hAnsi="Arial"/>
          <w:sz w:val="12"/>
          <w:szCs w:val="12"/>
          <w:color w:val="auto"/>
        </w:rPr>
        <w:t xml:space="preserve"> He also is a member of the finance committee of the Methodist Hospital of Arcadia</w:t>
      </w:r>
      <w:r>
        <w:rPr>
          <w:rFonts w:ascii="Arial" w:cs="Arial" w:eastAsia="Arial" w:hAnsi="Arial"/>
          <w:sz w:val="12"/>
          <w:szCs w:val="12"/>
          <w:i w:val="1"/>
          <w:iCs w:val="1"/>
          <w:color w:val="auto"/>
        </w:rPr>
        <w:t>.</w:t>
      </w:r>
      <w:r>
        <w:rPr>
          <w:rFonts w:ascii="Arial" w:cs="Arial" w:eastAsia="Arial" w:hAnsi="Arial"/>
          <w:sz w:val="12"/>
          <w:szCs w:val="12"/>
          <w:color w:val="auto"/>
        </w:rPr>
        <w:t xml:space="preserve"> From September 2009 to December 2015, Mr. McEachern served as an instructor of auditing and accountancy at Claremont McKenna College</w:t>
      </w:r>
      <w:r>
        <w:rPr>
          <w:rFonts w:ascii="Arial" w:cs="Arial" w:eastAsia="Arial" w:hAnsi="Arial"/>
          <w:sz w:val="12"/>
          <w:szCs w:val="12"/>
          <w:i w:val="1"/>
          <w:iCs w:val="1"/>
          <w:color w:val="auto"/>
        </w:rPr>
        <w:t>.</w:t>
      </w:r>
      <w:r>
        <w:rPr>
          <w:rFonts w:ascii="Arial" w:cs="Arial" w:eastAsia="Arial" w:hAnsi="Arial"/>
          <w:sz w:val="12"/>
          <w:szCs w:val="12"/>
          <w:color w:val="auto"/>
        </w:rPr>
        <w:t xml:space="preserve"> Mr. McEachern was an audit partner from July 1985 to May 2009 with the audit firm of Deloitte and Touche, LLP, with client concentrations in financial institutions and real estate</w:t>
      </w:r>
      <w:r>
        <w:rPr>
          <w:rFonts w:ascii="Arial" w:cs="Arial" w:eastAsia="Arial" w:hAnsi="Arial"/>
          <w:sz w:val="12"/>
          <w:szCs w:val="12"/>
          <w:i w:val="1"/>
          <w:iCs w:val="1"/>
          <w:color w:val="auto"/>
        </w:rPr>
        <w:t>.</w:t>
      </w:r>
      <w:r>
        <w:rPr>
          <w:rFonts w:ascii="Arial" w:cs="Arial" w:eastAsia="Arial" w:hAnsi="Arial"/>
          <w:sz w:val="12"/>
          <w:szCs w:val="12"/>
          <w:color w:val="auto"/>
        </w:rPr>
        <w:t xml:space="preserve"> Mr. McEachern was also a Professional Accounting Fellow with the Federal Home Loan Bank board in Washington DC, from June 1983 to July 1985</w:t>
      </w:r>
      <w:r>
        <w:rPr>
          <w:rFonts w:ascii="Arial" w:cs="Arial" w:eastAsia="Arial" w:hAnsi="Arial"/>
          <w:sz w:val="12"/>
          <w:szCs w:val="12"/>
          <w:i w:val="1"/>
          <w:iCs w:val="1"/>
          <w:color w:val="auto"/>
        </w:rPr>
        <w:t>.</w:t>
      </w:r>
      <w:r>
        <w:rPr>
          <w:rFonts w:ascii="Arial" w:cs="Arial" w:eastAsia="Arial" w:hAnsi="Arial"/>
          <w:sz w:val="12"/>
          <w:szCs w:val="12"/>
          <w:color w:val="auto"/>
        </w:rPr>
        <w:t xml:space="preserve"> From June 1976 to June 1983, Mr. McEachern was a staff member and subsequently a manager with the audit firm of Touche Ross &amp; Co. (predecessor to Deloitte &amp; Touche, LLP)</w:t>
      </w:r>
      <w:r>
        <w:rPr>
          <w:rFonts w:ascii="Arial" w:cs="Arial" w:eastAsia="Arial" w:hAnsi="Arial"/>
          <w:sz w:val="12"/>
          <w:szCs w:val="12"/>
          <w:i w:val="1"/>
          <w:iCs w:val="1"/>
          <w:color w:val="auto"/>
        </w:rPr>
        <w:t>.</w:t>
      </w:r>
      <w:r>
        <w:rPr>
          <w:rFonts w:ascii="Arial" w:cs="Arial" w:eastAsia="Arial" w:hAnsi="Arial"/>
          <w:sz w:val="12"/>
          <w:szCs w:val="12"/>
          <w:color w:val="auto"/>
        </w:rPr>
        <w:t xml:space="preserve"> Mr. McEachern received a B.S. in Business Administration in 1974 from the University of California, Berkeley, and an M.B.A. in 1976 from the University of Southern California.</w:t>
      </w:r>
    </w:p>
    <w:p>
      <w:pPr>
        <w:spacing w:after="0" w:line="111" w:lineRule="exact"/>
        <w:rPr>
          <w:sz w:val="20"/>
          <w:szCs w:val="20"/>
          <w:color w:val="auto"/>
        </w:rPr>
      </w:pPr>
    </w:p>
    <w:p>
      <w:pPr>
        <w:ind w:right="180" w:firstLine="432"/>
        <w:spacing w:after="0" w:line="380" w:lineRule="auto"/>
        <w:rPr>
          <w:sz w:val="20"/>
          <w:szCs w:val="20"/>
          <w:color w:val="auto"/>
        </w:rPr>
      </w:pPr>
      <w:r>
        <w:rPr>
          <w:rFonts w:ascii="Arial" w:cs="Arial" w:eastAsia="Arial" w:hAnsi="Arial"/>
          <w:sz w:val="10"/>
          <w:szCs w:val="10"/>
          <w:color w:val="auto"/>
        </w:rPr>
        <w:t>Mr. McEachern brings to our Board his more than 38 years’ experience meeting the accounting and auditing needs of financial institutions and real estate clients, including our Company</w:t>
      </w:r>
      <w:r>
        <w:rPr>
          <w:rFonts w:ascii="Arial" w:cs="Arial" w:eastAsia="Arial" w:hAnsi="Arial"/>
          <w:sz w:val="10"/>
          <w:szCs w:val="10"/>
          <w:i w:val="1"/>
          <w:iCs w:val="1"/>
          <w:color w:val="auto"/>
        </w:rPr>
        <w:t>.</w:t>
      </w:r>
      <w:r>
        <w:rPr>
          <w:rFonts w:ascii="Arial" w:cs="Arial" w:eastAsia="Arial" w:hAnsi="Arial"/>
          <w:sz w:val="10"/>
          <w:szCs w:val="10"/>
          <w:color w:val="auto"/>
        </w:rPr>
        <w:t xml:space="preserve"> Mr. McEachern also brings his experience reporting as an independent auditor to the boards of directors of a variety of public reporting companies and as a board member himself for various companies and not-for-profit organizations.</w:t>
      </w:r>
    </w:p>
    <w:p>
      <w:pPr>
        <w:spacing w:after="0" w:line="41" w:lineRule="exact"/>
        <w:rPr>
          <w:sz w:val="20"/>
          <w:szCs w:val="20"/>
          <w:color w:val="auto"/>
        </w:rPr>
      </w:pPr>
    </w:p>
    <w:p>
      <w:pPr>
        <w:ind w:right="20" w:firstLine="432"/>
        <w:spacing w:after="0" w:line="279" w:lineRule="auto"/>
        <w:rPr>
          <w:sz w:val="20"/>
          <w:szCs w:val="20"/>
          <w:color w:val="auto"/>
        </w:rPr>
      </w:pPr>
      <w:r>
        <w:rPr>
          <w:rFonts w:ascii="Arial" w:cs="Arial" w:eastAsia="Arial" w:hAnsi="Arial"/>
          <w:sz w:val="11"/>
          <w:szCs w:val="11"/>
          <w:u w:val="single" w:color="auto"/>
          <w:color w:val="auto"/>
        </w:rPr>
        <w:t>Michael Wrotniak</w:t>
      </w:r>
      <w:r>
        <w:rPr>
          <w:rFonts w:ascii="Arial" w:cs="Arial" w:eastAsia="Arial" w:hAnsi="Arial"/>
          <w:sz w:val="11"/>
          <w:szCs w:val="11"/>
          <w:i w:val="1"/>
          <w:iCs w:val="1"/>
          <w:color w:val="auto"/>
        </w:rPr>
        <w:t>.</w:t>
      </w:r>
      <w:r>
        <w:rPr>
          <w:rFonts w:ascii="Arial" w:cs="Arial" w:eastAsia="Arial" w:hAnsi="Arial"/>
          <w:sz w:val="11"/>
          <w:szCs w:val="11"/>
          <w:color w:val="auto"/>
        </w:rPr>
        <w:t xml:space="preserve"> Michael Wrotniak has been a Director of our Company since October 12, 2015, and has served as a member of our Audit Committee since October 25, 2015. Since 2009, Mr. Wrotniak has been the Chief Executive Officer of Aminco Resources, LLC (“Aminco”), a privately held international commodities trading firm. Mr. Wrotniak joined Aminco in 1991 and is credited with expanding Aminco’s activities in Europe and Asia. By establishing a joint venture with a Swiss engineering company, as well as creating partnerships with Asia-based businesses, Mr. Wrotniak successfully diversified Aminco’s product</w:t>
      </w:r>
    </w:p>
    <w:p>
      <w:pPr>
        <w:ind w:right="20"/>
        <w:spacing w:after="0" w:line="306" w:lineRule="auto"/>
        <w:rPr>
          <w:sz w:val="20"/>
          <w:szCs w:val="20"/>
          <w:color w:val="auto"/>
        </w:rPr>
      </w:pPr>
      <w:r>
        <w:rPr>
          <w:rFonts w:ascii="Arial" w:cs="Arial" w:eastAsia="Arial" w:hAnsi="Arial"/>
          <w:sz w:val="11"/>
          <w:szCs w:val="11"/>
          <w:color w:val="auto"/>
        </w:rPr>
        <w:t>portfolio. Mr. Wrotniak became a partner of Aminco in 2002. Mr. Wrotniak has been for more than the past six years, a trustee of St. Joseph’s Church in Bronxville, New York, and is a member of the Board of Advisors of the Little Sisters of the Poor at their nursing home in the Bronx, New York since approximately 2004. Mr. Wrotniak graduated from Georgetown University in 1989 with a B.S. in Business Administration (cum laude).</w:t>
      </w:r>
    </w:p>
    <w:p>
      <w:pPr>
        <w:spacing w:after="0" w:line="74" w:lineRule="exact"/>
        <w:rPr>
          <w:sz w:val="20"/>
          <w:szCs w:val="20"/>
          <w:color w:val="auto"/>
        </w:rPr>
      </w:pPr>
    </w:p>
    <w:p>
      <w:pPr>
        <w:ind w:left="440"/>
        <w:spacing w:after="0"/>
        <w:rPr>
          <w:sz w:val="20"/>
          <w:szCs w:val="20"/>
          <w:color w:val="auto"/>
        </w:rPr>
      </w:pPr>
      <w:r>
        <w:rPr>
          <w:rFonts w:ascii="Arial" w:cs="Arial" w:eastAsia="Arial" w:hAnsi="Arial"/>
          <w:sz w:val="12"/>
          <w:szCs w:val="12"/>
          <w:color w:val="auto"/>
        </w:rPr>
        <w:t>Mr. Wrotniak is a specialist in foreign trade, and brings to our Board his considerable experience in international business, including foreign exchange risk mitigation.</w:t>
      </w:r>
    </w:p>
    <w:p>
      <w:pPr>
        <w:spacing w:after="0" w:line="150"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59690</wp:posOffset>
            </wp:positionV>
            <wp:extent cx="677989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779895" cy="42545"/>
                    </a:xfrm>
                    <a:prstGeom prst="rect">
                      <a:avLst/>
                    </a:prstGeom>
                    <a:noFill/>
                  </pic:spPr>
                </pic:pic>
              </a:graphicData>
            </a:graphic>
          </wp:anchor>
        </w:drawing>
      </w:r>
    </w:p>
    <w:p>
      <w:pPr>
        <w:sectPr>
          <w:pgSz w:w="11900" w:h="16838" w:orient="portrait"/>
          <w:cols w:equalWidth="0" w:num="1">
            <w:col w:w="10600"/>
          </w:cols>
          <w:pgMar w:left="640" w:top="275" w:right="659" w:bottom="1440" w:gutter="0" w:footer="0" w:header="0"/>
        </w:sectPr>
      </w:pPr>
    </w:p>
    <w:bookmarkStart w:id="103" w:name="page104"/>
    <w:bookmarkEnd w:id="103"/>
    <w:p>
      <w:pPr>
        <w:ind w:right="200" w:firstLine="432"/>
        <w:spacing w:after="0" w:line="462" w:lineRule="auto"/>
        <w:rPr>
          <w:sz w:val="20"/>
          <w:szCs w:val="20"/>
          <w:color w:val="auto"/>
        </w:rPr>
      </w:pPr>
      <w:r>
        <w:rPr>
          <w:rFonts w:ascii="Arial" w:cs="Arial" w:eastAsia="Arial" w:hAnsi="Arial"/>
          <w:sz w:val="12"/>
          <w:szCs w:val="12"/>
          <w:u w:val="single" w:color="auto"/>
          <w:color w:val="auto"/>
        </w:rPr>
        <w:t>James J. Cotter, Sr. Trust</w:t>
      </w:r>
      <w:r>
        <w:rPr>
          <w:rFonts w:ascii="Arial" w:cs="Arial" w:eastAsia="Arial" w:hAnsi="Arial"/>
          <w:sz w:val="12"/>
          <w:szCs w:val="12"/>
          <w:color w:val="auto"/>
        </w:rPr>
        <w:t xml:space="preserve">. Please see footnote 12 of the Beneficial Ownership of Securities table for information regarding the election of Ellen M. Cotter, Margaret Cotter and James J. Cotter, Jr. to the Board. </w:t>
      </w:r>
      <w:r>
        <w:rPr>
          <w:rFonts w:ascii="Arial" w:cs="Arial" w:eastAsia="Arial" w:hAnsi="Arial"/>
          <w:sz w:val="12"/>
          <w:szCs w:val="12"/>
          <w:b w:val="1"/>
          <w:bCs w:val="1"/>
          <w:color w:val="auto"/>
        </w:rPr>
        <w:t>Executive Officers</w:t>
      </w:r>
    </w:p>
    <w:p>
      <w:pPr>
        <w:ind w:left="440"/>
        <w:spacing w:after="0"/>
        <w:rPr>
          <w:sz w:val="20"/>
          <w:szCs w:val="20"/>
          <w:color w:val="auto"/>
        </w:rPr>
      </w:pPr>
      <w:r>
        <w:rPr>
          <w:rFonts w:ascii="Arial" w:cs="Arial" w:eastAsia="Arial" w:hAnsi="Arial"/>
          <w:sz w:val="12"/>
          <w:szCs w:val="12"/>
          <w:color w:val="auto"/>
        </w:rPr>
        <w:t>The following table sets forth information regarding our executive officers, other than Ellen M. Cotter and Margaret Cotter, whose information is set forth above under “Directors.”</w:t>
      </w:r>
    </w:p>
    <w:p>
      <w:pPr>
        <w:spacing w:after="0" w:line="123" w:lineRule="exact"/>
        <w:rPr>
          <w:sz w:val="20"/>
          <w:szCs w:val="20"/>
          <w:color w:val="auto"/>
        </w:rPr>
      </w:pPr>
    </w:p>
    <w:tbl>
      <w:tblPr>
        <w:tblLayout w:type="fixed"/>
        <w:tblInd w:w="500" w:type="dxa"/>
        <w:tblCellMar>
          <w:top w:w="0" w:type="dxa"/>
          <w:left w:w="0" w:type="dxa"/>
          <w:bottom w:w="0" w:type="dxa"/>
          <w:right w:w="0" w:type="dxa"/>
        </w:tblCellMar>
      </w:tblPr>
      <w:tr>
        <w:trPr>
          <w:trHeight w:val="126"/>
        </w:trPr>
        <w:tc>
          <w:tcPr>
            <w:tcW w:w="1820" w:type="dxa"/>
            <w:vAlign w:val="bottom"/>
            <w:gridSpan w:val="3"/>
          </w:tcPr>
          <w:p>
            <w:pPr>
              <w:ind w:left="80"/>
              <w:spacing w:after="0"/>
              <w:rPr>
                <w:sz w:val="20"/>
                <w:szCs w:val="20"/>
                <w:color w:val="auto"/>
              </w:rPr>
            </w:pPr>
            <w:r>
              <w:rPr>
                <w:rFonts w:ascii="Arial" w:cs="Arial" w:eastAsia="Arial" w:hAnsi="Arial"/>
                <w:sz w:val="11"/>
                <w:szCs w:val="11"/>
                <w:b w:val="1"/>
                <w:bCs w:val="1"/>
                <w:color w:val="auto"/>
              </w:rPr>
              <w:t>Name</w:t>
            </w:r>
          </w:p>
        </w:tc>
        <w:tc>
          <w:tcPr>
            <w:tcW w:w="500" w:type="dxa"/>
            <w:vAlign w:val="bottom"/>
            <w:gridSpan w:val="2"/>
          </w:tcPr>
          <w:p>
            <w:pPr>
              <w:jc w:val="center"/>
              <w:ind w:right="320"/>
              <w:spacing w:after="0"/>
              <w:rPr>
                <w:sz w:val="20"/>
                <w:szCs w:val="20"/>
                <w:color w:val="auto"/>
              </w:rPr>
            </w:pPr>
            <w:r>
              <w:rPr>
                <w:rFonts w:ascii="Arial" w:cs="Arial" w:eastAsia="Arial" w:hAnsi="Arial"/>
                <w:sz w:val="11"/>
                <w:szCs w:val="11"/>
                <w:b w:val="1"/>
                <w:bCs w:val="1"/>
                <w:color w:val="auto"/>
                <w:w w:val="86"/>
              </w:rPr>
              <w:t>Age</w:t>
            </w:r>
          </w:p>
        </w:tc>
        <w:tc>
          <w:tcPr>
            <w:tcW w:w="3400" w:type="dxa"/>
            <w:vAlign w:val="bottom"/>
            <w:gridSpan w:val="2"/>
          </w:tcPr>
          <w:p>
            <w:pPr>
              <w:spacing w:after="0"/>
              <w:rPr>
                <w:sz w:val="20"/>
                <w:szCs w:val="20"/>
                <w:color w:val="auto"/>
              </w:rPr>
            </w:pPr>
            <w:r>
              <w:rPr>
                <w:rFonts w:ascii="Arial" w:cs="Arial" w:eastAsia="Arial" w:hAnsi="Arial"/>
                <w:sz w:val="11"/>
                <w:szCs w:val="11"/>
                <w:b w:val="1"/>
                <w:bCs w:val="1"/>
                <w:color w:val="auto"/>
              </w:rPr>
              <w:t>Title</w:t>
            </w:r>
          </w:p>
        </w:tc>
      </w:tr>
      <w:tr>
        <w:trPr>
          <w:trHeight w:val="27"/>
        </w:trPr>
        <w:tc>
          <w:tcPr>
            <w:tcW w:w="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4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3180" w:type="dxa"/>
            <w:vAlign w:val="bottom"/>
          </w:tcPr>
          <w:p>
            <w:pPr>
              <w:spacing w:after="0"/>
              <w:rPr>
                <w:sz w:val="2"/>
                <w:szCs w:val="2"/>
                <w:color w:val="auto"/>
              </w:rPr>
            </w:pPr>
          </w:p>
        </w:tc>
      </w:tr>
      <w:tr>
        <w:trPr>
          <w:trHeight w:val="130"/>
        </w:trPr>
        <w:tc>
          <w:tcPr>
            <w:tcW w:w="1820" w:type="dxa"/>
            <w:vAlign w:val="bottom"/>
            <w:gridSpan w:val="3"/>
            <w:shd w:val="clear" w:color="auto" w:fill="CCEEFF"/>
          </w:tcPr>
          <w:p>
            <w:pPr>
              <w:ind w:left="80"/>
              <w:spacing w:after="0"/>
              <w:rPr>
                <w:sz w:val="20"/>
                <w:szCs w:val="20"/>
                <w:color w:val="auto"/>
              </w:rPr>
            </w:pPr>
            <w:r>
              <w:rPr>
                <w:rFonts w:ascii="Arial" w:cs="Arial" w:eastAsia="Arial" w:hAnsi="Arial"/>
                <w:sz w:val="11"/>
                <w:szCs w:val="11"/>
                <w:color w:val="auto"/>
              </w:rPr>
              <w:t>Dev Ghose</w:t>
            </w:r>
          </w:p>
        </w:tc>
        <w:tc>
          <w:tcPr>
            <w:tcW w:w="18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81"/>
              </w:rPr>
              <w:t>62</w:t>
            </w:r>
          </w:p>
        </w:tc>
        <w:tc>
          <w:tcPr>
            <w:tcW w:w="320" w:type="dxa"/>
            <w:vAlign w:val="bottom"/>
            <w:shd w:val="clear" w:color="auto" w:fill="CCEEFF"/>
          </w:tcPr>
          <w:p>
            <w:pPr>
              <w:spacing w:after="0"/>
              <w:rPr>
                <w:sz w:val="11"/>
                <w:szCs w:val="11"/>
                <w:color w:val="auto"/>
              </w:rPr>
            </w:pPr>
          </w:p>
        </w:tc>
        <w:tc>
          <w:tcPr>
            <w:tcW w:w="3400" w:type="dxa"/>
            <w:vAlign w:val="bottom"/>
            <w:gridSpan w:val="2"/>
            <w:shd w:val="clear" w:color="auto" w:fill="CCEEFF"/>
          </w:tcPr>
          <w:p>
            <w:pPr>
              <w:spacing w:after="0"/>
              <w:rPr>
                <w:sz w:val="20"/>
                <w:szCs w:val="20"/>
                <w:color w:val="auto"/>
              </w:rPr>
            </w:pPr>
            <w:r>
              <w:rPr>
                <w:rFonts w:ascii="Arial" w:cs="Arial" w:eastAsia="Arial" w:hAnsi="Arial"/>
                <w:sz w:val="11"/>
                <w:szCs w:val="11"/>
                <w:color w:val="auto"/>
                <w:w w:val="93"/>
              </w:rPr>
              <w:t>Executive Vice President, Chief Financial Officer, Treasurer and Corporate</w:t>
            </w:r>
          </w:p>
        </w:tc>
      </w:tr>
      <w:tr>
        <w:trPr>
          <w:trHeight w:val="140"/>
        </w:trPr>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40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Secretary</w:t>
            </w:r>
          </w:p>
        </w:tc>
      </w:tr>
      <w:tr>
        <w:trPr>
          <w:trHeight w:val="135"/>
        </w:trPr>
        <w:tc>
          <w:tcPr>
            <w:tcW w:w="1820" w:type="dxa"/>
            <w:vAlign w:val="bottom"/>
            <w:gridSpan w:val="3"/>
          </w:tcPr>
          <w:p>
            <w:pPr>
              <w:ind w:left="80"/>
              <w:spacing w:after="0"/>
              <w:rPr>
                <w:sz w:val="20"/>
                <w:szCs w:val="20"/>
                <w:color w:val="auto"/>
              </w:rPr>
            </w:pPr>
            <w:r>
              <w:rPr>
                <w:rFonts w:ascii="Arial" w:cs="Arial" w:eastAsia="Arial" w:hAnsi="Arial"/>
                <w:sz w:val="11"/>
                <w:szCs w:val="11"/>
                <w:color w:val="auto"/>
              </w:rPr>
              <w:t>Robert F. Smerling</w:t>
            </w:r>
          </w:p>
        </w:tc>
        <w:tc>
          <w:tcPr>
            <w:tcW w:w="180" w:type="dxa"/>
            <w:vAlign w:val="bottom"/>
          </w:tcPr>
          <w:p>
            <w:pPr>
              <w:jc w:val="center"/>
              <w:spacing w:after="0"/>
              <w:rPr>
                <w:sz w:val="20"/>
                <w:szCs w:val="20"/>
                <w:color w:val="auto"/>
              </w:rPr>
            </w:pPr>
            <w:r>
              <w:rPr>
                <w:rFonts w:ascii="Arial" w:cs="Arial" w:eastAsia="Arial" w:hAnsi="Arial"/>
                <w:sz w:val="11"/>
                <w:szCs w:val="11"/>
                <w:color w:val="auto"/>
                <w:w w:val="81"/>
              </w:rPr>
              <w:t>81</w:t>
            </w:r>
          </w:p>
        </w:tc>
        <w:tc>
          <w:tcPr>
            <w:tcW w:w="320" w:type="dxa"/>
            <w:vAlign w:val="bottom"/>
          </w:tcPr>
          <w:p>
            <w:pPr>
              <w:spacing w:after="0"/>
              <w:rPr>
                <w:sz w:val="11"/>
                <w:szCs w:val="11"/>
                <w:color w:val="auto"/>
              </w:rPr>
            </w:pPr>
          </w:p>
        </w:tc>
        <w:tc>
          <w:tcPr>
            <w:tcW w:w="3400" w:type="dxa"/>
            <w:vAlign w:val="bottom"/>
            <w:gridSpan w:val="2"/>
          </w:tcPr>
          <w:p>
            <w:pPr>
              <w:spacing w:after="0"/>
              <w:rPr>
                <w:sz w:val="20"/>
                <w:szCs w:val="20"/>
                <w:color w:val="auto"/>
              </w:rPr>
            </w:pPr>
            <w:r>
              <w:rPr>
                <w:rFonts w:ascii="Arial" w:cs="Arial" w:eastAsia="Arial" w:hAnsi="Arial"/>
                <w:sz w:val="11"/>
                <w:szCs w:val="11"/>
                <w:color w:val="auto"/>
              </w:rPr>
              <w:t>President - Domestic Cinemas</w:t>
            </w:r>
          </w:p>
        </w:tc>
      </w:tr>
      <w:tr>
        <w:trPr>
          <w:trHeight w:val="135"/>
        </w:trPr>
        <w:tc>
          <w:tcPr>
            <w:tcW w:w="1820" w:type="dxa"/>
            <w:vAlign w:val="bottom"/>
            <w:gridSpan w:val="3"/>
            <w:shd w:val="clear" w:color="auto" w:fill="CCEEFF"/>
          </w:tcPr>
          <w:p>
            <w:pPr>
              <w:ind w:left="80"/>
              <w:spacing w:after="0"/>
              <w:rPr>
                <w:sz w:val="20"/>
                <w:szCs w:val="20"/>
                <w:color w:val="auto"/>
              </w:rPr>
            </w:pPr>
            <w:r>
              <w:rPr>
                <w:rFonts w:ascii="Arial" w:cs="Arial" w:eastAsia="Arial" w:hAnsi="Arial"/>
                <w:sz w:val="11"/>
                <w:szCs w:val="11"/>
                <w:color w:val="auto"/>
              </w:rPr>
              <w:t>Wayne D. Smith</w:t>
            </w:r>
          </w:p>
        </w:tc>
        <w:tc>
          <w:tcPr>
            <w:tcW w:w="18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81"/>
              </w:rPr>
              <w:t>58</w:t>
            </w:r>
          </w:p>
        </w:tc>
        <w:tc>
          <w:tcPr>
            <w:tcW w:w="320" w:type="dxa"/>
            <w:vAlign w:val="bottom"/>
            <w:shd w:val="clear" w:color="auto" w:fill="CCEEFF"/>
          </w:tcPr>
          <w:p>
            <w:pPr>
              <w:spacing w:after="0"/>
              <w:rPr>
                <w:sz w:val="11"/>
                <w:szCs w:val="11"/>
                <w:color w:val="auto"/>
              </w:rPr>
            </w:pPr>
          </w:p>
        </w:tc>
        <w:tc>
          <w:tcPr>
            <w:tcW w:w="340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Managing Director – Australia and New Zealand</w:t>
            </w:r>
          </w:p>
        </w:tc>
      </w:tr>
      <w:tr>
        <w:trPr>
          <w:trHeight w:val="136"/>
        </w:trPr>
        <w:tc>
          <w:tcPr>
            <w:tcW w:w="1820" w:type="dxa"/>
            <w:vAlign w:val="bottom"/>
            <w:gridSpan w:val="3"/>
          </w:tcPr>
          <w:p>
            <w:pPr>
              <w:ind w:left="80"/>
              <w:spacing w:after="0"/>
              <w:rPr>
                <w:sz w:val="20"/>
                <w:szCs w:val="20"/>
                <w:color w:val="auto"/>
              </w:rPr>
            </w:pPr>
            <w:r>
              <w:rPr>
                <w:rFonts w:ascii="Arial" w:cs="Arial" w:eastAsia="Arial" w:hAnsi="Arial"/>
                <w:sz w:val="11"/>
                <w:szCs w:val="11"/>
                <w:color w:val="auto"/>
              </w:rPr>
              <w:t>Andrzej J. Matyczynski</w:t>
            </w:r>
          </w:p>
        </w:tc>
        <w:tc>
          <w:tcPr>
            <w:tcW w:w="180" w:type="dxa"/>
            <w:vAlign w:val="bottom"/>
          </w:tcPr>
          <w:p>
            <w:pPr>
              <w:jc w:val="center"/>
              <w:spacing w:after="0"/>
              <w:rPr>
                <w:sz w:val="20"/>
                <w:szCs w:val="20"/>
                <w:color w:val="auto"/>
              </w:rPr>
            </w:pPr>
            <w:r>
              <w:rPr>
                <w:rFonts w:ascii="Arial" w:cs="Arial" w:eastAsia="Arial" w:hAnsi="Arial"/>
                <w:sz w:val="11"/>
                <w:szCs w:val="11"/>
                <w:color w:val="auto"/>
                <w:w w:val="81"/>
              </w:rPr>
              <w:t>63</w:t>
            </w:r>
          </w:p>
        </w:tc>
        <w:tc>
          <w:tcPr>
            <w:tcW w:w="320" w:type="dxa"/>
            <w:vAlign w:val="bottom"/>
          </w:tcPr>
          <w:p>
            <w:pPr>
              <w:spacing w:after="0"/>
              <w:rPr>
                <w:sz w:val="11"/>
                <w:szCs w:val="11"/>
                <w:color w:val="auto"/>
              </w:rPr>
            </w:pPr>
          </w:p>
        </w:tc>
        <w:tc>
          <w:tcPr>
            <w:tcW w:w="3400" w:type="dxa"/>
            <w:vAlign w:val="bottom"/>
            <w:gridSpan w:val="2"/>
          </w:tcPr>
          <w:p>
            <w:pPr>
              <w:spacing w:after="0"/>
              <w:rPr>
                <w:sz w:val="20"/>
                <w:szCs w:val="20"/>
                <w:color w:val="auto"/>
              </w:rPr>
            </w:pPr>
            <w:r>
              <w:rPr>
                <w:rFonts w:ascii="Arial" w:cs="Arial" w:eastAsia="Arial" w:hAnsi="Arial"/>
                <w:sz w:val="11"/>
                <w:szCs w:val="11"/>
                <w:color w:val="auto"/>
              </w:rPr>
              <w:t>Executive Vice President – Global Operations</w:t>
            </w:r>
          </w:p>
        </w:tc>
      </w:tr>
    </w:tbl>
    <w:p>
      <w:pPr>
        <w:spacing w:after="0" w:line="251" w:lineRule="exact"/>
        <w:rPr>
          <w:sz w:val="20"/>
          <w:szCs w:val="20"/>
          <w:color w:val="auto"/>
        </w:rPr>
      </w:pPr>
    </w:p>
    <w:p>
      <w:pPr>
        <w:ind w:right="20" w:firstLine="432"/>
        <w:spacing w:after="0" w:line="281" w:lineRule="auto"/>
        <w:rPr>
          <w:sz w:val="20"/>
          <w:szCs w:val="20"/>
          <w:color w:val="auto"/>
        </w:rPr>
      </w:pPr>
      <w:r>
        <w:rPr>
          <w:rFonts w:ascii="Arial" w:cs="Arial" w:eastAsia="Arial" w:hAnsi="Arial"/>
          <w:sz w:val="11"/>
          <w:szCs w:val="11"/>
          <w:u w:val="single" w:color="auto"/>
          <w:color w:val="auto"/>
        </w:rPr>
        <w:t>Devasis (“Dev”) Ghose</w:t>
      </w:r>
      <w:r>
        <w:rPr>
          <w:rFonts w:ascii="Arial" w:cs="Arial" w:eastAsia="Arial" w:hAnsi="Arial"/>
          <w:sz w:val="11"/>
          <w:szCs w:val="11"/>
          <w:color w:val="auto"/>
        </w:rPr>
        <w:t>. Dev Ghose was appointed Chief Financial Officer and Treasurer on May 11, 2015, Executive Vice President on March 10, 2016 and Corporate Secretary on April 28, 2016. Over the past 25 years, Mr. Ghose served as Executive Vice President and Chief Financial Officer in a number of senior finance roles with three NYSE-listed companies: Skilled Healthcare Group (a health services company, now part of Genesis HealthCare) from 2008 to 2013, Shurgard Storage Centers, Inc. (an international company focused on the acquisition, development and operation of self-storage centers in the US and Europe; now part of Public Storage) from 2004 to 2006, and HCP, Inc., (which invests primarily in real estate serving the healthcare industry) from 1986 to 2003, and as Managing Director-International for Green Street Advisors (an independent research and trading firm concentrating on publicly traded real estate corporate securities in the US &amp; Europe) from 2006 to 2007. Prior thereto, Mr. Ghose worked for 10 years for PricewaterhouseCoopers in the U.S. from 1975 to 1985, and KPMG in the UK. He qualified as a Certified Public Accountant in the U.S. and a Chartered Accountant in the U.K., and holds an Honors Degree in Physics from the University of Delhi, India and an Executive M.B.A. from the University of California, Los Angeles.</w:t>
      </w:r>
    </w:p>
    <w:p>
      <w:pPr>
        <w:spacing w:after="0" w:line="98" w:lineRule="exact"/>
        <w:rPr>
          <w:sz w:val="20"/>
          <w:szCs w:val="20"/>
          <w:color w:val="auto"/>
        </w:rPr>
      </w:pPr>
    </w:p>
    <w:p>
      <w:pPr>
        <w:ind w:right="260" w:firstLine="432"/>
        <w:spacing w:after="0" w:line="276" w:lineRule="auto"/>
        <w:rPr>
          <w:sz w:val="20"/>
          <w:szCs w:val="20"/>
          <w:color w:val="auto"/>
        </w:rPr>
      </w:pPr>
      <w:r>
        <w:rPr>
          <w:rFonts w:ascii="Arial" w:cs="Arial" w:eastAsia="Arial" w:hAnsi="Arial"/>
          <w:sz w:val="12"/>
          <w:szCs w:val="12"/>
          <w:u w:val="single" w:color="auto"/>
          <w:color w:val="auto"/>
        </w:rPr>
        <w:t>Robert F. Smerling</w:t>
      </w:r>
      <w:r>
        <w:rPr>
          <w:rFonts w:ascii="Arial" w:cs="Arial" w:eastAsia="Arial" w:hAnsi="Arial"/>
          <w:sz w:val="12"/>
          <w:szCs w:val="12"/>
          <w:color w:val="auto"/>
        </w:rPr>
        <w:t>. Robert F. Smerling has served as President of our domestic cinema operations since 1994. Mr. Smerling has been in the cinema industry for 58 years and, immediately before joining our Company, served as the President of Loews Theatres Management Corporation.</w:t>
      </w:r>
    </w:p>
    <w:p>
      <w:pPr>
        <w:spacing w:after="0" w:line="88" w:lineRule="exact"/>
        <w:rPr>
          <w:sz w:val="20"/>
          <w:szCs w:val="20"/>
          <w:color w:val="auto"/>
        </w:rPr>
      </w:pPr>
    </w:p>
    <w:p>
      <w:pPr>
        <w:ind w:right="160" w:firstLine="432"/>
        <w:spacing w:after="0" w:line="298" w:lineRule="auto"/>
        <w:rPr>
          <w:sz w:val="20"/>
          <w:szCs w:val="20"/>
          <w:color w:val="auto"/>
        </w:rPr>
      </w:pPr>
      <w:r>
        <w:rPr>
          <w:rFonts w:ascii="Arial" w:cs="Arial" w:eastAsia="Arial" w:hAnsi="Arial"/>
          <w:sz w:val="11"/>
          <w:szCs w:val="11"/>
          <w:u w:val="single" w:color="auto"/>
          <w:color w:val="auto"/>
        </w:rPr>
        <w:t>Wayne D. Smith</w:t>
      </w:r>
      <w:r>
        <w:rPr>
          <w:rFonts w:ascii="Arial" w:cs="Arial" w:eastAsia="Arial" w:hAnsi="Arial"/>
          <w:sz w:val="11"/>
          <w:szCs w:val="11"/>
          <w:color w:val="auto"/>
        </w:rPr>
        <w:t>. Wayne D. Smith joined our Company in April 2004 as our Managing Director - Australia and New Zealand, after 23 years with Hoyts Cinemas. During his time with Hoyts, he was a key driver, as Head of Property, in growing that company’s Australian and New Zealand operations via an AUD$250 million expansion to more than 50 sites and 400 screens. While at Hoyts, his career included heading up the group’s car parking company, cinema operations, representing Hoyts as a director on various joint venture interests, and coordinating many asset acquisitions and disposals the company made.</w:t>
      </w:r>
    </w:p>
    <w:p>
      <w:pPr>
        <w:spacing w:after="0" w:line="78" w:lineRule="exact"/>
        <w:rPr>
          <w:sz w:val="20"/>
          <w:szCs w:val="20"/>
          <w:color w:val="auto"/>
        </w:rPr>
      </w:pPr>
    </w:p>
    <w:p>
      <w:pPr>
        <w:ind w:right="60" w:firstLine="432"/>
        <w:spacing w:after="0" w:line="259" w:lineRule="auto"/>
        <w:rPr>
          <w:sz w:val="20"/>
          <w:szCs w:val="20"/>
          <w:color w:val="auto"/>
        </w:rPr>
      </w:pPr>
      <w:r>
        <w:rPr>
          <w:rFonts w:ascii="Arial" w:cs="Arial" w:eastAsia="Arial" w:hAnsi="Arial"/>
          <w:sz w:val="12"/>
          <w:szCs w:val="12"/>
          <w:u w:val="single" w:color="auto"/>
          <w:color w:val="auto"/>
        </w:rPr>
        <w:t>Andrzej J. Matyczynski</w:t>
      </w:r>
      <w:r>
        <w:rPr>
          <w:rFonts w:ascii="Arial" w:cs="Arial" w:eastAsia="Arial" w:hAnsi="Arial"/>
          <w:sz w:val="12"/>
          <w:szCs w:val="12"/>
          <w:color w:val="auto"/>
        </w:rPr>
        <w:t>. On March 10, 2016, Mr. Matyczynski was appointed as our Executive Vice President—Global Operations. From May 11, 2015 until March 10, 2016, Andrzej J. Matyczynski acted as the Strategic Corporate Advisor to the Company. Mr. Matyczynski served as our Chief Financial Officer and Treasurer from November 1999 until May 11, 2015 and as Corporate Secretary from May 10, 2011 to October 20, 2014. Prior to joining our Company, he spent 20 years in various senior roles throughout the world at Beckman Coulter Inc., a U.S. based multi-national. Mr. Matyczynski earned a Master’s Degree in Business Administration from the University of Southern California.</w:t>
      </w:r>
    </w:p>
    <w:p>
      <w:pPr>
        <w:spacing w:after="0" w:line="10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Section 16(a) Beneficial Ownership Reporting Compliance</w:t>
      </w:r>
    </w:p>
    <w:p>
      <w:pPr>
        <w:spacing w:after="0" w:line="127" w:lineRule="exact"/>
        <w:rPr>
          <w:sz w:val="20"/>
          <w:szCs w:val="20"/>
          <w:color w:val="auto"/>
        </w:rPr>
      </w:pPr>
    </w:p>
    <w:p>
      <w:pPr>
        <w:ind w:right="200" w:firstLine="432"/>
        <w:spacing w:after="0" w:line="298" w:lineRule="auto"/>
        <w:rPr>
          <w:sz w:val="20"/>
          <w:szCs w:val="20"/>
          <w:color w:val="auto"/>
        </w:rPr>
      </w:pPr>
      <w:r>
        <w:rPr>
          <w:rFonts w:ascii="Arial" w:cs="Arial" w:eastAsia="Arial" w:hAnsi="Arial"/>
          <w:sz w:val="11"/>
          <w:szCs w:val="11"/>
          <w:color w:val="auto"/>
        </w:rPr>
        <w:t>Section 16(a) of the Exchange Act requires our executive officers and Directors, and persons who own more than 10% of our common stock, to file reports regarding ownership of, and transactions in, our securities with the Securities and Exchange Commission (the “SEC”) and to provide us with copies of those filings. Based solely on our review of the copies received by us and on the written representations of certain reporting persons, we believe that the following Forms 3 and 4 for transactions that occurred in 2015 were not filed or filed later than is required under Section 16(a) of the Securities Exchange Act of 1934:</w:t>
      </w:r>
    </w:p>
    <w:p>
      <w:pPr>
        <w:spacing w:after="0" w:line="76" w:lineRule="exact"/>
        <w:rPr>
          <w:sz w:val="20"/>
          <w:szCs w:val="20"/>
          <w:color w:val="auto"/>
        </w:rPr>
      </w:pPr>
    </w:p>
    <w:tbl>
      <w:tblPr>
        <w:tblLayout w:type="fixed"/>
        <w:tblInd w:w="10" w:type="dxa"/>
        <w:tblCellMar>
          <w:top w:w="0" w:type="dxa"/>
          <w:left w:w="0" w:type="dxa"/>
          <w:bottom w:w="0" w:type="dxa"/>
          <w:right w:w="0" w:type="dxa"/>
        </w:tblCellMar>
      </w:tblPr>
      <w:tr>
        <w:trPr>
          <w:trHeight w:val="99"/>
        </w:trPr>
        <w:tc>
          <w:tcPr>
            <w:tcW w:w="1600" w:type="dxa"/>
            <w:vAlign w:val="bottom"/>
            <w:tcBorders>
              <w:top w:val="single" w:sz="8" w:color="auto"/>
              <w:left w:val="single" w:sz="8" w:color="auto"/>
              <w:bottom w:val="single" w:sz="8" w:color="auto"/>
              <w:right w:val="single" w:sz="8" w:color="auto"/>
            </w:tcBorders>
          </w:tcPr>
          <w:p>
            <w:pPr>
              <w:ind w:left="100"/>
              <w:spacing w:after="0" w:line="99" w:lineRule="exact"/>
              <w:rPr>
                <w:sz w:val="20"/>
                <w:szCs w:val="20"/>
                <w:color w:val="auto"/>
              </w:rPr>
            </w:pPr>
            <w:r>
              <w:rPr>
                <w:rFonts w:ascii="Arial" w:cs="Arial" w:eastAsia="Arial" w:hAnsi="Arial"/>
                <w:sz w:val="10"/>
                <w:szCs w:val="10"/>
                <w:b w:val="1"/>
                <w:bCs w:val="1"/>
                <w:color w:val="auto"/>
              </w:rPr>
              <w:t>Filer</w:t>
            </w:r>
          </w:p>
        </w:tc>
        <w:tc>
          <w:tcPr>
            <w:tcW w:w="1520" w:type="dxa"/>
            <w:vAlign w:val="bottom"/>
            <w:tcBorders>
              <w:top w:val="single" w:sz="8" w:color="auto"/>
              <w:bottom w:val="single" w:sz="8" w:color="auto"/>
              <w:right w:val="single" w:sz="8" w:color="auto"/>
            </w:tcBorders>
          </w:tcPr>
          <w:p>
            <w:pPr>
              <w:ind w:left="80"/>
              <w:spacing w:after="0" w:line="99" w:lineRule="exact"/>
              <w:rPr>
                <w:sz w:val="20"/>
                <w:szCs w:val="20"/>
                <w:color w:val="auto"/>
              </w:rPr>
            </w:pPr>
            <w:r>
              <w:rPr>
                <w:rFonts w:ascii="Arial" w:cs="Arial" w:eastAsia="Arial" w:hAnsi="Arial"/>
                <w:sz w:val="10"/>
                <w:szCs w:val="10"/>
                <w:b w:val="1"/>
                <w:bCs w:val="1"/>
                <w:color w:val="auto"/>
              </w:rPr>
              <w:t>Form</w:t>
            </w:r>
          </w:p>
        </w:tc>
        <w:tc>
          <w:tcPr>
            <w:tcW w:w="1680" w:type="dxa"/>
            <w:vAlign w:val="bottom"/>
            <w:tcBorders>
              <w:top w:val="single" w:sz="8" w:color="auto"/>
              <w:bottom w:val="single" w:sz="8" w:color="auto"/>
              <w:right w:val="single" w:sz="8" w:color="auto"/>
            </w:tcBorders>
          </w:tcPr>
          <w:p>
            <w:pPr>
              <w:ind w:left="60"/>
              <w:spacing w:after="0" w:line="99" w:lineRule="exact"/>
              <w:rPr>
                <w:sz w:val="20"/>
                <w:szCs w:val="20"/>
                <w:color w:val="auto"/>
              </w:rPr>
            </w:pPr>
            <w:r>
              <w:rPr>
                <w:rFonts w:ascii="Arial" w:cs="Arial" w:eastAsia="Arial" w:hAnsi="Arial"/>
                <w:sz w:val="10"/>
                <w:szCs w:val="10"/>
                <w:b w:val="1"/>
                <w:bCs w:val="1"/>
                <w:color w:val="auto"/>
              </w:rPr>
              <w:t>Transaction Date</w:t>
            </w:r>
          </w:p>
        </w:tc>
        <w:tc>
          <w:tcPr>
            <w:tcW w:w="1640" w:type="dxa"/>
            <w:vAlign w:val="bottom"/>
            <w:tcBorders>
              <w:top w:val="single" w:sz="8" w:color="auto"/>
              <w:bottom w:val="single" w:sz="8" w:color="auto"/>
              <w:right w:val="single" w:sz="8" w:color="auto"/>
            </w:tcBorders>
          </w:tcPr>
          <w:p>
            <w:pPr>
              <w:ind w:left="60"/>
              <w:spacing w:after="0" w:line="99" w:lineRule="exact"/>
              <w:rPr>
                <w:sz w:val="20"/>
                <w:szCs w:val="20"/>
                <w:color w:val="auto"/>
              </w:rPr>
            </w:pPr>
            <w:r>
              <w:rPr>
                <w:rFonts w:ascii="Arial" w:cs="Arial" w:eastAsia="Arial" w:hAnsi="Arial"/>
                <w:sz w:val="10"/>
                <w:szCs w:val="10"/>
                <w:b w:val="1"/>
                <w:bCs w:val="1"/>
                <w:color w:val="auto"/>
              </w:rPr>
              <w:t>Date of Filing</w:t>
            </w:r>
          </w:p>
        </w:tc>
        <w:tc>
          <w:tcPr>
            <w:tcW w:w="4200" w:type="dxa"/>
            <w:vAlign w:val="bottom"/>
          </w:tcPr>
          <w:p>
            <w:pPr>
              <w:spacing w:after="0"/>
              <w:rPr>
                <w:sz w:val="8"/>
                <w:szCs w:val="8"/>
                <w:color w:val="auto"/>
              </w:rPr>
            </w:pPr>
          </w:p>
        </w:tc>
      </w:tr>
      <w:tr>
        <w:trPr>
          <w:trHeight w:val="97"/>
        </w:trPr>
        <w:tc>
          <w:tcPr>
            <w:tcW w:w="1600" w:type="dxa"/>
            <w:vAlign w:val="bottom"/>
            <w:tcBorders>
              <w:left w:val="single" w:sz="8" w:color="auto"/>
              <w:bottom w:val="single" w:sz="8" w:color="auto"/>
              <w:right w:val="single" w:sz="8" w:color="auto"/>
            </w:tcBorders>
            <w:shd w:val="clear" w:color="auto" w:fill="CCEEFF"/>
          </w:tcPr>
          <w:p>
            <w:pPr>
              <w:ind w:left="100"/>
              <w:spacing w:after="0" w:line="97" w:lineRule="exact"/>
              <w:rPr>
                <w:sz w:val="20"/>
                <w:szCs w:val="20"/>
                <w:color w:val="auto"/>
              </w:rPr>
            </w:pPr>
            <w:r>
              <w:rPr>
                <w:rFonts w:ascii="Arial" w:cs="Arial" w:eastAsia="Arial" w:hAnsi="Arial"/>
                <w:sz w:val="10"/>
                <w:szCs w:val="10"/>
                <w:color w:val="auto"/>
              </w:rPr>
              <w:t>Andrzej J. Matyczynski</w:t>
            </w:r>
          </w:p>
        </w:tc>
        <w:tc>
          <w:tcPr>
            <w:tcW w:w="1520" w:type="dxa"/>
            <w:vAlign w:val="bottom"/>
            <w:tcBorders>
              <w:bottom w:val="single" w:sz="8" w:color="auto"/>
              <w:right w:val="single" w:sz="8" w:color="auto"/>
            </w:tcBorders>
            <w:shd w:val="clear" w:color="auto" w:fill="CCEEFF"/>
          </w:tcPr>
          <w:p>
            <w:pPr>
              <w:ind w:left="80"/>
              <w:spacing w:after="0" w:line="97" w:lineRule="exact"/>
              <w:rPr>
                <w:sz w:val="20"/>
                <w:szCs w:val="20"/>
                <w:color w:val="auto"/>
              </w:rPr>
            </w:pPr>
            <w:r>
              <w:rPr>
                <w:rFonts w:ascii="Arial" w:cs="Arial" w:eastAsia="Arial" w:hAnsi="Arial"/>
                <w:sz w:val="10"/>
                <w:szCs w:val="10"/>
                <w:color w:val="auto"/>
              </w:rPr>
              <w:t>4</w:t>
            </w:r>
          </w:p>
        </w:tc>
        <w:tc>
          <w:tcPr>
            <w:tcW w:w="1680" w:type="dxa"/>
            <w:vAlign w:val="bottom"/>
            <w:tcBorders>
              <w:bottom w:val="single" w:sz="8" w:color="auto"/>
              <w:right w:val="single" w:sz="8" w:color="auto"/>
            </w:tcBorders>
            <w:shd w:val="clear" w:color="auto" w:fill="CCEEFF"/>
          </w:tcPr>
          <w:p>
            <w:pPr>
              <w:ind w:left="60"/>
              <w:spacing w:after="0" w:line="97" w:lineRule="exact"/>
              <w:rPr>
                <w:sz w:val="20"/>
                <w:szCs w:val="20"/>
                <w:color w:val="auto"/>
              </w:rPr>
            </w:pPr>
            <w:r>
              <w:rPr>
                <w:rFonts w:ascii="Arial" w:cs="Arial" w:eastAsia="Arial" w:hAnsi="Arial"/>
                <w:sz w:val="10"/>
                <w:szCs w:val="10"/>
                <w:color w:val="auto"/>
              </w:rPr>
              <w:t>December 31, 2015</w:t>
            </w:r>
          </w:p>
        </w:tc>
        <w:tc>
          <w:tcPr>
            <w:tcW w:w="1640" w:type="dxa"/>
            <w:vAlign w:val="bottom"/>
            <w:tcBorders>
              <w:bottom w:val="single" w:sz="8" w:color="auto"/>
              <w:right w:val="single" w:sz="8" w:color="auto"/>
            </w:tcBorders>
            <w:shd w:val="clear" w:color="auto" w:fill="CCEEFF"/>
          </w:tcPr>
          <w:p>
            <w:pPr>
              <w:ind w:left="60"/>
              <w:spacing w:after="0" w:line="97" w:lineRule="exact"/>
              <w:rPr>
                <w:sz w:val="20"/>
                <w:szCs w:val="20"/>
                <w:color w:val="auto"/>
              </w:rPr>
            </w:pPr>
            <w:r>
              <w:rPr>
                <w:rFonts w:ascii="Arial" w:cs="Arial" w:eastAsia="Arial" w:hAnsi="Arial"/>
                <w:sz w:val="10"/>
                <w:szCs w:val="10"/>
                <w:color w:val="auto"/>
              </w:rPr>
              <w:t xml:space="preserve">Not filed </w:t>
            </w:r>
            <w:r>
              <w:rPr>
                <w:rFonts w:ascii="Arial" w:cs="Arial" w:eastAsia="Arial" w:hAnsi="Arial"/>
                <w:sz w:val="4"/>
                <w:szCs w:val="4"/>
                <w:color w:val="auto"/>
              </w:rPr>
              <w:t>(1)</w:t>
            </w:r>
          </w:p>
        </w:tc>
        <w:tc>
          <w:tcPr>
            <w:tcW w:w="4200" w:type="dxa"/>
            <w:vAlign w:val="bottom"/>
          </w:tcPr>
          <w:p>
            <w:pPr>
              <w:spacing w:after="0"/>
              <w:rPr>
                <w:sz w:val="8"/>
                <w:szCs w:val="8"/>
                <w:color w:val="auto"/>
              </w:rPr>
            </w:pPr>
          </w:p>
        </w:tc>
      </w:tr>
      <w:tr>
        <w:trPr>
          <w:trHeight w:val="88"/>
        </w:trPr>
        <w:tc>
          <w:tcPr>
            <w:tcW w:w="1600" w:type="dxa"/>
            <w:vAlign w:val="bottom"/>
            <w:tcBorders>
              <w:left w:val="single" w:sz="8" w:color="auto"/>
              <w:bottom w:val="single" w:sz="8" w:color="auto"/>
              <w:right w:val="single" w:sz="8" w:color="auto"/>
            </w:tcBorders>
          </w:tcPr>
          <w:p>
            <w:pPr>
              <w:ind w:left="100"/>
              <w:spacing w:after="0" w:line="88" w:lineRule="exact"/>
              <w:rPr>
                <w:sz w:val="20"/>
                <w:szCs w:val="20"/>
                <w:color w:val="auto"/>
              </w:rPr>
            </w:pPr>
            <w:r>
              <w:rPr>
                <w:rFonts w:ascii="Arial" w:cs="Arial" w:eastAsia="Arial" w:hAnsi="Arial"/>
                <w:sz w:val="10"/>
                <w:szCs w:val="10"/>
                <w:color w:val="auto"/>
              </w:rPr>
              <w:t>Andrzej J. Matyczynski</w:t>
            </w:r>
          </w:p>
        </w:tc>
        <w:tc>
          <w:tcPr>
            <w:tcW w:w="1520" w:type="dxa"/>
            <w:vAlign w:val="bottom"/>
            <w:tcBorders>
              <w:bottom w:val="single" w:sz="8" w:color="auto"/>
              <w:right w:val="single" w:sz="8" w:color="auto"/>
            </w:tcBorders>
          </w:tcPr>
          <w:p>
            <w:pPr>
              <w:ind w:left="80"/>
              <w:spacing w:after="0" w:line="88" w:lineRule="exact"/>
              <w:rPr>
                <w:sz w:val="20"/>
                <w:szCs w:val="20"/>
                <w:color w:val="auto"/>
              </w:rPr>
            </w:pPr>
            <w:r>
              <w:rPr>
                <w:rFonts w:ascii="Arial" w:cs="Arial" w:eastAsia="Arial" w:hAnsi="Arial"/>
                <w:sz w:val="10"/>
                <w:szCs w:val="10"/>
                <w:color w:val="auto"/>
              </w:rPr>
              <w:t>4</w:t>
            </w:r>
          </w:p>
        </w:tc>
        <w:tc>
          <w:tcPr>
            <w:tcW w:w="1680" w:type="dxa"/>
            <w:vAlign w:val="bottom"/>
            <w:tcBorders>
              <w:bottom w:val="single" w:sz="8" w:color="auto"/>
              <w:right w:val="single" w:sz="8" w:color="auto"/>
            </w:tcBorders>
          </w:tcPr>
          <w:p>
            <w:pPr>
              <w:ind w:left="60"/>
              <w:spacing w:after="0" w:line="88" w:lineRule="exact"/>
              <w:rPr>
                <w:sz w:val="20"/>
                <w:szCs w:val="20"/>
                <w:color w:val="auto"/>
              </w:rPr>
            </w:pPr>
            <w:r>
              <w:rPr>
                <w:rFonts w:ascii="Arial" w:cs="Arial" w:eastAsia="Arial" w:hAnsi="Arial"/>
                <w:sz w:val="10"/>
                <w:szCs w:val="10"/>
                <w:color w:val="auto"/>
              </w:rPr>
              <w:t>December 31, 2014</w:t>
            </w:r>
          </w:p>
        </w:tc>
        <w:tc>
          <w:tcPr>
            <w:tcW w:w="1640" w:type="dxa"/>
            <w:vAlign w:val="bottom"/>
            <w:tcBorders>
              <w:bottom w:val="single" w:sz="8" w:color="auto"/>
              <w:right w:val="single" w:sz="8" w:color="auto"/>
            </w:tcBorders>
          </w:tcPr>
          <w:p>
            <w:pPr>
              <w:ind w:left="60"/>
              <w:spacing w:after="0" w:line="88" w:lineRule="exact"/>
              <w:rPr>
                <w:sz w:val="20"/>
                <w:szCs w:val="20"/>
                <w:color w:val="auto"/>
              </w:rPr>
            </w:pPr>
            <w:r>
              <w:rPr>
                <w:rFonts w:ascii="Arial" w:cs="Arial" w:eastAsia="Arial" w:hAnsi="Arial"/>
                <w:sz w:val="10"/>
                <w:szCs w:val="10"/>
                <w:color w:val="auto"/>
              </w:rPr>
              <w:t xml:space="preserve">Not filed </w:t>
            </w:r>
            <w:r>
              <w:rPr>
                <w:rFonts w:ascii="Arial" w:cs="Arial" w:eastAsia="Arial" w:hAnsi="Arial"/>
                <w:sz w:val="4"/>
                <w:szCs w:val="4"/>
                <w:color w:val="auto"/>
              </w:rPr>
              <w:t>(2)</w:t>
            </w:r>
          </w:p>
        </w:tc>
        <w:tc>
          <w:tcPr>
            <w:tcW w:w="4200" w:type="dxa"/>
            <w:vAlign w:val="bottom"/>
          </w:tcPr>
          <w:p>
            <w:pPr>
              <w:spacing w:after="0"/>
              <w:rPr>
                <w:sz w:val="7"/>
                <w:szCs w:val="7"/>
                <w:color w:val="auto"/>
              </w:rPr>
            </w:pPr>
          </w:p>
        </w:tc>
      </w:tr>
      <w:tr>
        <w:trPr>
          <w:trHeight w:val="88"/>
        </w:trPr>
        <w:tc>
          <w:tcPr>
            <w:tcW w:w="1600" w:type="dxa"/>
            <w:vAlign w:val="bottom"/>
            <w:tcBorders>
              <w:left w:val="single" w:sz="8" w:color="auto"/>
              <w:bottom w:val="single" w:sz="8" w:color="auto"/>
              <w:right w:val="single" w:sz="8" w:color="auto"/>
            </w:tcBorders>
            <w:shd w:val="clear" w:color="auto" w:fill="CCEEFF"/>
          </w:tcPr>
          <w:p>
            <w:pPr>
              <w:ind w:left="100"/>
              <w:spacing w:after="0" w:line="88" w:lineRule="exact"/>
              <w:rPr>
                <w:sz w:val="20"/>
                <w:szCs w:val="20"/>
                <w:color w:val="auto"/>
              </w:rPr>
            </w:pPr>
            <w:r>
              <w:rPr>
                <w:rFonts w:ascii="Arial" w:cs="Arial" w:eastAsia="Arial" w:hAnsi="Arial"/>
                <w:sz w:val="10"/>
                <w:szCs w:val="10"/>
                <w:color w:val="auto"/>
              </w:rPr>
              <w:t>Andrzej J. Matyczynski</w:t>
            </w:r>
          </w:p>
        </w:tc>
        <w:tc>
          <w:tcPr>
            <w:tcW w:w="1520" w:type="dxa"/>
            <w:vAlign w:val="bottom"/>
            <w:tcBorders>
              <w:bottom w:val="single" w:sz="8" w:color="auto"/>
              <w:right w:val="single" w:sz="8" w:color="auto"/>
            </w:tcBorders>
            <w:shd w:val="clear" w:color="auto" w:fill="CCEEFF"/>
          </w:tcPr>
          <w:p>
            <w:pPr>
              <w:ind w:left="80"/>
              <w:spacing w:after="0" w:line="88" w:lineRule="exact"/>
              <w:rPr>
                <w:sz w:val="20"/>
                <w:szCs w:val="20"/>
                <w:color w:val="auto"/>
              </w:rPr>
            </w:pPr>
            <w:r>
              <w:rPr>
                <w:rFonts w:ascii="Arial" w:cs="Arial" w:eastAsia="Arial" w:hAnsi="Arial"/>
                <w:sz w:val="10"/>
                <w:szCs w:val="10"/>
                <w:color w:val="auto"/>
              </w:rPr>
              <w:t>4</w:t>
            </w:r>
          </w:p>
        </w:tc>
        <w:tc>
          <w:tcPr>
            <w:tcW w:w="1680" w:type="dxa"/>
            <w:vAlign w:val="bottom"/>
            <w:tcBorders>
              <w:bottom w:val="single" w:sz="8" w:color="auto"/>
              <w:right w:val="single" w:sz="8" w:color="auto"/>
            </w:tcBorders>
            <w:shd w:val="clear" w:color="auto" w:fill="CCEEFF"/>
          </w:tcPr>
          <w:p>
            <w:pPr>
              <w:ind w:left="60"/>
              <w:spacing w:after="0" w:line="88" w:lineRule="exact"/>
              <w:rPr>
                <w:sz w:val="20"/>
                <w:szCs w:val="20"/>
                <w:color w:val="auto"/>
              </w:rPr>
            </w:pPr>
            <w:r>
              <w:rPr>
                <w:rFonts w:ascii="Arial" w:cs="Arial" w:eastAsia="Arial" w:hAnsi="Arial"/>
                <w:sz w:val="10"/>
                <w:szCs w:val="10"/>
                <w:color w:val="auto"/>
              </w:rPr>
              <w:t>December 31, 2013</w:t>
            </w:r>
          </w:p>
        </w:tc>
        <w:tc>
          <w:tcPr>
            <w:tcW w:w="1640" w:type="dxa"/>
            <w:vAlign w:val="bottom"/>
            <w:tcBorders>
              <w:bottom w:val="single" w:sz="8" w:color="auto"/>
              <w:right w:val="single" w:sz="8" w:color="auto"/>
            </w:tcBorders>
            <w:shd w:val="clear" w:color="auto" w:fill="CCEEFF"/>
          </w:tcPr>
          <w:p>
            <w:pPr>
              <w:ind w:left="60"/>
              <w:spacing w:after="0" w:line="88" w:lineRule="exact"/>
              <w:rPr>
                <w:sz w:val="20"/>
                <w:szCs w:val="20"/>
                <w:color w:val="auto"/>
              </w:rPr>
            </w:pPr>
            <w:r>
              <w:rPr>
                <w:rFonts w:ascii="Arial" w:cs="Arial" w:eastAsia="Arial" w:hAnsi="Arial"/>
                <w:sz w:val="10"/>
                <w:szCs w:val="10"/>
                <w:color w:val="auto"/>
              </w:rPr>
              <w:t xml:space="preserve">Not filed </w:t>
            </w:r>
            <w:r>
              <w:rPr>
                <w:rFonts w:ascii="Arial" w:cs="Arial" w:eastAsia="Arial" w:hAnsi="Arial"/>
                <w:sz w:val="4"/>
                <w:szCs w:val="4"/>
                <w:color w:val="auto"/>
              </w:rPr>
              <w:t>(3)</w:t>
            </w:r>
          </w:p>
        </w:tc>
        <w:tc>
          <w:tcPr>
            <w:tcW w:w="4200" w:type="dxa"/>
            <w:vAlign w:val="bottom"/>
          </w:tcPr>
          <w:p>
            <w:pPr>
              <w:spacing w:after="0"/>
              <w:rPr>
                <w:sz w:val="7"/>
                <w:szCs w:val="7"/>
                <w:color w:val="auto"/>
              </w:rPr>
            </w:pPr>
          </w:p>
        </w:tc>
      </w:tr>
      <w:tr>
        <w:trPr>
          <w:trHeight w:val="88"/>
        </w:trPr>
        <w:tc>
          <w:tcPr>
            <w:tcW w:w="1600" w:type="dxa"/>
            <w:vAlign w:val="bottom"/>
            <w:tcBorders>
              <w:left w:val="single" w:sz="8" w:color="auto"/>
              <w:bottom w:val="single" w:sz="8" w:color="auto"/>
              <w:right w:val="single" w:sz="8" w:color="auto"/>
            </w:tcBorders>
          </w:tcPr>
          <w:p>
            <w:pPr>
              <w:ind w:left="100"/>
              <w:spacing w:after="0" w:line="88" w:lineRule="exact"/>
              <w:rPr>
                <w:sz w:val="20"/>
                <w:szCs w:val="20"/>
                <w:color w:val="auto"/>
              </w:rPr>
            </w:pPr>
            <w:r>
              <w:rPr>
                <w:rFonts w:ascii="Arial" w:cs="Arial" w:eastAsia="Arial" w:hAnsi="Arial"/>
                <w:sz w:val="10"/>
                <w:szCs w:val="10"/>
                <w:color w:val="auto"/>
              </w:rPr>
              <w:t>Mark Cuban</w:t>
            </w:r>
          </w:p>
        </w:tc>
        <w:tc>
          <w:tcPr>
            <w:tcW w:w="1520" w:type="dxa"/>
            <w:vAlign w:val="bottom"/>
            <w:tcBorders>
              <w:bottom w:val="single" w:sz="8" w:color="auto"/>
              <w:right w:val="single" w:sz="8" w:color="auto"/>
            </w:tcBorders>
          </w:tcPr>
          <w:p>
            <w:pPr>
              <w:ind w:left="80"/>
              <w:spacing w:after="0" w:line="88" w:lineRule="exact"/>
              <w:rPr>
                <w:sz w:val="20"/>
                <w:szCs w:val="20"/>
                <w:color w:val="auto"/>
              </w:rPr>
            </w:pPr>
            <w:r>
              <w:rPr>
                <w:rFonts w:ascii="Arial" w:cs="Arial" w:eastAsia="Arial" w:hAnsi="Arial"/>
                <w:sz w:val="10"/>
                <w:szCs w:val="10"/>
                <w:color w:val="auto"/>
              </w:rPr>
              <w:t>4</w:t>
            </w:r>
          </w:p>
        </w:tc>
        <w:tc>
          <w:tcPr>
            <w:tcW w:w="1680" w:type="dxa"/>
            <w:vAlign w:val="bottom"/>
            <w:tcBorders>
              <w:bottom w:val="single" w:sz="8" w:color="auto"/>
              <w:right w:val="single" w:sz="8" w:color="auto"/>
            </w:tcBorders>
          </w:tcPr>
          <w:p>
            <w:pPr>
              <w:ind w:left="60"/>
              <w:spacing w:after="0" w:line="88" w:lineRule="exact"/>
              <w:rPr>
                <w:sz w:val="20"/>
                <w:szCs w:val="20"/>
                <w:color w:val="auto"/>
              </w:rPr>
            </w:pPr>
            <w:r>
              <w:rPr>
                <w:rFonts w:ascii="Arial" w:cs="Arial" w:eastAsia="Arial" w:hAnsi="Arial"/>
                <w:sz w:val="10"/>
                <w:szCs w:val="10"/>
                <w:color w:val="auto"/>
              </w:rPr>
              <w:t>November 11, 2015</w:t>
            </w:r>
          </w:p>
        </w:tc>
        <w:tc>
          <w:tcPr>
            <w:tcW w:w="1640" w:type="dxa"/>
            <w:vAlign w:val="bottom"/>
            <w:tcBorders>
              <w:bottom w:val="single" w:sz="8" w:color="auto"/>
              <w:right w:val="single" w:sz="8" w:color="auto"/>
            </w:tcBorders>
          </w:tcPr>
          <w:p>
            <w:pPr>
              <w:ind w:left="60"/>
              <w:spacing w:after="0" w:line="88" w:lineRule="exact"/>
              <w:rPr>
                <w:sz w:val="20"/>
                <w:szCs w:val="20"/>
                <w:color w:val="auto"/>
              </w:rPr>
            </w:pPr>
            <w:r>
              <w:rPr>
                <w:rFonts w:ascii="Arial" w:cs="Arial" w:eastAsia="Arial" w:hAnsi="Arial"/>
                <w:sz w:val="10"/>
                <w:szCs w:val="10"/>
                <w:color w:val="auto"/>
              </w:rPr>
              <w:t xml:space="preserve">Not filed </w:t>
            </w:r>
            <w:r>
              <w:rPr>
                <w:rFonts w:ascii="Arial" w:cs="Arial" w:eastAsia="Arial" w:hAnsi="Arial"/>
                <w:sz w:val="4"/>
                <w:szCs w:val="4"/>
                <w:color w:val="auto"/>
              </w:rPr>
              <w:t>(4)</w:t>
            </w:r>
          </w:p>
        </w:tc>
        <w:tc>
          <w:tcPr>
            <w:tcW w:w="4200" w:type="dxa"/>
            <w:vAlign w:val="bottom"/>
          </w:tcPr>
          <w:p>
            <w:pPr>
              <w:spacing w:after="0"/>
              <w:rPr>
                <w:sz w:val="7"/>
                <w:szCs w:val="7"/>
                <w:color w:val="auto"/>
              </w:rPr>
            </w:pPr>
          </w:p>
        </w:tc>
      </w:tr>
      <w:tr>
        <w:trPr>
          <w:trHeight w:val="88"/>
        </w:trPr>
        <w:tc>
          <w:tcPr>
            <w:tcW w:w="1600" w:type="dxa"/>
            <w:vAlign w:val="bottom"/>
            <w:tcBorders>
              <w:left w:val="single" w:sz="8" w:color="auto"/>
              <w:bottom w:val="single" w:sz="8" w:color="auto"/>
              <w:right w:val="single" w:sz="8" w:color="auto"/>
            </w:tcBorders>
            <w:shd w:val="clear" w:color="auto" w:fill="CCEEFF"/>
          </w:tcPr>
          <w:p>
            <w:pPr>
              <w:ind w:left="100"/>
              <w:spacing w:after="0" w:line="88" w:lineRule="exact"/>
              <w:rPr>
                <w:sz w:val="20"/>
                <w:szCs w:val="20"/>
                <w:color w:val="auto"/>
              </w:rPr>
            </w:pPr>
            <w:r>
              <w:rPr>
                <w:rFonts w:ascii="Arial" w:cs="Arial" w:eastAsia="Arial" w:hAnsi="Arial"/>
                <w:sz w:val="10"/>
                <w:szCs w:val="10"/>
                <w:color w:val="auto"/>
              </w:rPr>
              <w:t>Estate of James J. Cotter</w:t>
            </w:r>
          </w:p>
        </w:tc>
        <w:tc>
          <w:tcPr>
            <w:tcW w:w="1520" w:type="dxa"/>
            <w:vAlign w:val="bottom"/>
            <w:tcBorders>
              <w:bottom w:val="single" w:sz="8" w:color="auto"/>
              <w:right w:val="single" w:sz="8" w:color="auto"/>
            </w:tcBorders>
            <w:shd w:val="clear" w:color="auto" w:fill="CCEEFF"/>
          </w:tcPr>
          <w:p>
            <w:pPr>
              <w:ind w:left="80"/>
              <w:spacing w:after="0" w:line="88" w:lineRule="exact"/>
              <w:rPr>
                <w:sz w:val="20"/>
                <w:szCs w:val="20"/>
                <w:color w:val="auto"/>
              </w:rPr>
            </w:pPr>
            <w:r>
              <w:rPr>
                <w:rFonts w:ascii="Arial" w:cs="Arial" w:eastAsia="Arial" w:hAnsi="Arial"/>
                <w:sz w:val="10"/>
                <w:szCs w:val="10"/>
                <w:color w:val="auto"/>
              </w:rPr>
              <w:t>4</w:t>
            </w:r>
          </w:p>
        </w:tc>
        <w:tc>
          <w:tcPr>
            <w:tcW w:w="1680" w:type="dxa"/>
            <w:vAlign w:val="bottom"/>
            <w:tcBorders>
              <w:bottom w:val="single" w:sz="8" w:color="auto"/>
              <w:right w:val="single" w:sz="8" w:color="auto"/>
            </w:tcBorders>
            <w:shd w:val="clear" w:color="auto" w:fill="CCEEFF"/>
          </w:tcPr>
          <w:p>
            <w:pPr>
              <w:ind w:left="60"/>
              <w:spacing w:after="0" w:line="88" w:lineRule="exact"/>
              <w:rPr>
                <w:sz w:val="20"/>
                <w:szCs w:val="20"/>
                <w:color w:val="auto"/>
              </w:rPr>
            </w:pPr>
            <w:r>
              <w:rPr>
                <w:rFonts w:ascii="Arial" w:cs="Arial" w:eastAsia="Arial" w:hAnsi="Arial"/>
                <w:sz w:val="10"/>
                <w:szCs w:val="10"/>
                <w:color w:val="auto"/>
              </w:rPr>
              <w:t>December 31, 2014</w:t>
            </w:r>
          </w:p>
        </w:tc>
        <w:tc>
          <w:tcPr>
            <w:tcW w:w="1640" w:type="dxa"/>
            <w:vAlign w:val="bottom"/>
            <w:tcBorders>
              <w:bottom w:val="single" w:sz="8" w:color="auto"/>
              <w:right w:val="single" w:sz="8" w:color="auto"/>
            </w:tcBorders>
            <w:shd w:val="clear" w:color="auto" w:fill="CCEEFF"/>
          </w:tcPr>
          <w:p>
            <w:pPr>
              <w:ind w:left="60"/>
              <w:spacing w:after="0" w:line="88" w:lineRule="exact"/>
              <w:rPr>
                <w:sz w:val="20"/>
                <w:szCs w:val="20"/>
                <w:color w:val="auto"/>
              </w:rPr>
            </w:pPr>
            <w:r>
              <w:rPr>
                <w:rFonts w:ascii="Arial" w:cs="Arial" w:eastAsia="Arial" w:hAnsi="Arial"/>
                <w:sz w:val="10"/>
                <w:szCs w:val="10"/>
                <w:color w:val="auto"/>
              </w:rPr>
              <w:t>October 9, 2015</w:t>
            </w:r>
          </w:p>
        </w:tc>
        <w:tc>
          <w:tcPr>
            <w:tcW w:w="4200" w:type="dxa"/>
            <w:vAlign w:val="bottom"/>
          </w:tcPr>
          <w:p>
            <w:pPr>
              <w:spacing w:after="0"/>
              <w:rPr>
                <w:sz w:val="7"/>
                <w:szCs w:val="7"/>
                <w:color w:val="auto"/>
              </w:rPr>
            </w:pPr>
          </w:p>
        </w:tc>
      </w:tr>
      <w:tr>
        <w:trPr>
          <w:trHeight w:val="88"/>
        </w:trPr>
        <w:tc>
          <w:tcPr>
            <w:tcW w:w="1600" w:type="dxa"/>
            <w:vAlign w:val="bottom"/>
            <w:tcBorders>
              <w:left w:val="single" w:sz="8" w:color="auto"/>
              <w:bottom w:val="single" w:sz="8" w:color="auto"/>
              <w:right w:val="single" w:sz="8" w:color="auto"/>
            </w:tcBorders>
          </w:tcPr>
          <w:p>
            <w:pPr>
              <w:ind w:left="100"/>
              <w:spacing w:after="0" w:line="88" w:lineRule="exact"/>
              <w:rPr>
                <w:sz w:val="20"/>
                <w:szCs w:val="20"/>
                <w:color w:val="auto"/>
              </w:rPr>
            </w:pPr>
            <w:r>
              <w:rPr>
                <w:rFonts w:ascii="Arial" w:cs="Arial" w:eastAsia="Arial" w:hAnsi="Arial"/>
                <w:sz w:val="10"/>
                <w:szCs w:val="10"/>
                <w:color w:val="auto"/>
              </w:rPr>
              <w:t>James J. Cotter Living Trust</w:t>
            </w:r>
          </w:p>
        </w:tc>
        <w:tc>
          <w:tcPr>
            <w:tcW w:w="1520" w:type="dxa"/>
            <w:vAlign w:val="bottom"/>
            <w:tcBorders>
              <w:bottom w:val="single" w:sz="8" w:color="auto"/>
              <w:right w:val="single" w:sz="8" w:color="auto"/>
            </w:tcBorders>
          </w:tcPr>
          <w:p>
            <w:pPr>
              <w:ind w:left="80"/>
              <w:spacing w:after="0" w:line="88" w:lineRule="exact"/>
              <w:rPr>
                <w:sz w:val="20"/>
                <w:szCs w:val="20"/>
                <w:color w:val="auto"/>
              </w:rPr>
            </w:pPr>
            <w:r>
              <w:rPr>
                <w:rFonts w:ascii="Arial" w:cs="Arial" w:eastAsia="Arial" w:hAnsi="Arial"/>
                <w:sz w:val="10"/>
                <w:szCs w:val="10"/>
                <w:color w:val="auto"/>
              </w:rPr>
              <w:t>3</w:t>
            </w:r>
          </w:p>
        </w:tc>
        <w:tc>
          <w:tcPr>
            <w:tcW w:w="1680" w:type="dxa"/>
            <w:vAlign w:val="bottom"/>
            <w:tcBorders>
              <w:bottom w:val="single" w:sz="8" w:color="auto"/>
              <w:right w:val="single" w:sz="8" w:color="auto"/>
            </w:tcBorders>
          </w:tcPr>
          <w:p>
            <w:pPr>
              <w:ind w:left="60"/>
              <w:spacing w:after="0" w:line="88" w:lineRule="exact"/>
              <w:rPr>
                <w:sz w:val="20"/>
                <w:szCs w:val="20"/>
                <w:color w:val="auto"/>
              </w:rPr>
            </w:pPr>
            <w:r>
              <w:rPr>
                <w:rFonts w:ascii="Arial" w:cs="Arial" w:eastAsia="Arial" w:hAnsi="Arial"/>
                <w:sz w:val="10"/>
                <w:szCs w:val="10"/>
                <w:color w:val="auto"/>
              </w:rPr>
              <w:t>September 13, 2014</w:t>
            </w:r>
          </w:p>
        </w:tc>
        <w:tc>
          <w:tcPr>
            <w:tcW w:w="1640" w:type="dxa"/>
            <w:vAlign w:val="bottom"/>
            <w:tcBorders>
              <w:bottom w:val="single" w:sz="8" w:color="auto"/>
              <w:right w:val="single" w:sz="8" w:color="auto"/>
            </w:tcBorders>
          </w:tcPr>
          <w:p>
            <w:pPr>
              <w:ind w:left="60"/>
              <w:spacing w:after="0" w:line="88" w:lineRule="exact"/>
              <w:rPr>
                <w:sz w:val="20"/>
                <w:szCs w:val="20"/>
                <w:color w:val="auto"/>
              </w:rPr>
            </w:pPr>
            <w:r>
              <w:rPr>
                <w:rFonts w:ascii="Arial" w:cs="Arial" w:eastAsia="Arial" w:hAnsi="Arial"/>
                <w:sz w:val="10"/>
                <w:szCs w:val="10"/>
                <w:color w:val="auto"/>
              </w:rPr>
              <w:t>October 9, 2015</w:t>
            </w:r>
          </w:p>
        </w:tc>
        <w:tc>
          <w:tcPr>
            <w:tcW w:w="4200" w:type="dxa"/>
            <w:vAlign w:val="bottom"/>
          </w:tcPr>
          <w:p>
            <w:pPr>
              <w:spacing w:after="0"/>
              <w:rPr>
                <w:sz w:val="7"/>
                <w:szCs w:val="7"/>
                <w:color w:val="auto"/>
              </w:rPr>
            </w:pPr>
          </w:p>
        </w:tc>
      </w:tr>
      <w:tr>
        <w:trPr>
          <w:trHeight w:val="277"/>
        </w:trPr>
        <w:tc>
          <w:tcPr>
            <w:tcW w:w="16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640" w:type="dxa"/>
            <w:vAlign w:val="bottom"/>
          </w:tcPr>
          <w:p>
            <w:pPr>
              <w:ind w:left="420"/>
              <w:spacing w:after="0"/>
              <w:rPr>
                <w:sz w:val="20"/>
                <w:szCs w:val="20"/>
                <w:color w:val="auto"/>
              </w:rPr>
            </w:pPr>
            <w:r>
              <w:rPr>
                <w:rFonts w:ascii="Arial" w:cs="Arial" w:eastAsia="Arial" w:hAnsi="Arial"/>
                <w:sz w:val="12"/>
                <w:szCs w:val="12"/>
                <w:color w:val="auto"/>
              </w:rPr>
              <w:t>104</w:t>
            </w:r>
          </w:p>
        </w:tc>
        <w:tc>
          <w:tcPr>
            <w:tcW w:w="4200" w:type="dxa"/>
            <w:vAlign w:val="bottom"/>
          </w:tcPr>
          <w:p>
            <w:pPr>
              <w:spacing w:after="0"/>
              <w:rPr>
                <w:sz w:val="24"/>
                <w:szCs w:val="24"/>
                <w:color w:val="auto"/>
              </w:rPr>
            </w:pPr>
          </w:p>
        </w:tc>
      </w:tr>
      <w:tr>
        <w:trPr>
          <w:trHeight w:val="106"/>
        </w:trPr>
        <w:tc>
          <w:tcPr>
            <w:tcW w:w="1600" w:type="dxa"/>
            <w:vAlign w:val="bottom"/>
            <w:tcBorders>
              <w:bottom w:val="single" w:sz="8" w:color="9A9A9A"/>
            </w:tcBorders>
          </w:tcPr>
          <w:p>
            <w:pPr>
              <w:spacing w:after="0"/>
              <w:rPr>
                <w:sz w:val="9"/>
                <w:szCs w:val="9"/>
                <w:color w:val="auto"/>
              </w:rPr>
            </w:pPr>
          </w:p>
        </w:tc>
        <w:tc>
          <w:tcPr>
            <w:tcW w:w="1520" w:type="dxa"/>
            <w:vAlign w:val="bottom"/>
            <w:tcBorders>
              <w:bottom w:val="single" w:sz="8" w:color="9A9A9A"/>
            </w:tcBorders>
          </w:tcPr>
          <w:p>
            <w:pPr>
              <w:spacing w:after="0"/>
              <w:rPr>
                <w:sz w:val="9"/>
                <w:szCs w:val="9"/>
                <w:color w:val="auto"/>
              </w:rPr>
            </w:pPr>
          </w:p>
        </w:tc>
        <w:tc>
          <w:tcPr>
            <w:tcW w:w="1680" w:type="dxa"/>
            <w:vAlign w:val="bottom"/>
            <w:tcBorders>
              <w:bottom w:val="single" w:sz="8" w:color="9A9A9A"/>
            </w:tcBorders>
          </w:tcPr>
          <w:p>
            <w:pPr>
              <w:spacing w:after="0"/>
              <w:rPr>
                <w:sz w:val="9"/>
                <w:szCs w:val="9"/>
                <w:color w:val="auto"/>
              </w:rPr>
            </w:pPr>
          </w:p>
        </w:tc>
        <w:tc>
          <w:tcPr>
            <w:tcW w:w="1640" w:type="dxa"/>
            <w:vAlign w:val="bottom"/>
            <w:tcBorders>
              <w:bottom w:val="single" w:sz="8" w:color="9A9A9A"/>
            </w:tcBorders>
          </w:tcPr>
          <w:p>
            <w:pPr>
              <w:spacing w:after="0"/>
              <w:rPr>
                <w:sz w:val="9"/>
                <w:szCs w:val="9"/>
                <w:color w:val="auto"/>
              </w:rPr>
            </w:pPr>
          </w:p>
        </w:tc>
        <w:tc>
          <w:tcPr>
            <w:tcW w:w="42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6739255</wp:posOffset>
            </wp:positionH>
            <wp:positionV relativeFrom="paragraph">
              <wp:posOffset>-29210</wp:posOffset>
            </wp:positionV>
            <wp:extent cx="3111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111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111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1115" cy="42545"/>
                    </a:xfrm>
                    <a:prstGeom prst="rect">
                      <a:avLst/>
                    </a:prstGeom>
                    <a:noFill/>
                  </pic:spPr>
                </pic:pic>
              </a:graphicData>
            </a:graphic>
          </wp:anchor>
        </w:drawing>
      </w:r>
    </w:p>
    <w:p>
      <w:pPr>
        <w:sectPr>
          <w:pgSz w:w="11900" w:h="16838" w:orient="portrait"/>
          <w:cols w:equalWidth="0" w:num="1">
            <w:col w:w="10640"/>
          </w:cols>
          <w:pgMar w:left="640" w:top="419" w:right="619" w:bottom="1440" w:gutter="0" w:footer="0" w:header="0"/>
        </w:sectPr>
      </w:pPr>
    </w:p>
    <w:bookmarkStart w:id="104" w:name="page105"/>
    <w:bookmarkEnd w:id="104"/>
    <w:tbl>
      <w:tblPr>
        <w:tblLayout w:type="fixed"/>
        <w:tblInd w:w="10" w:type="dxa"/>
        <w:tblCellMar>
          <w:top w:w="0" w:type="dxa"/>
          <w:left w:w="0" w:type="dxa"/>
          <w:bottom w:w="0" w:type="dxa"/>
          <w:right w:w="0" w:type="dxa"/>
        </w:tblCellMar>
      </w:tblPr>
      <w:tr>
        <w:trPr>
          <w:trHeight w:val="108"/>
        </w:trPr>
        <w:tc>
          <w:tcPr>
            <w:tcW w:w="1600" w:type="dxa"/>
            <w:vAlign w:val="bottom"/>
            <w:tcBorders>
              <w:top w:val="single" w:sz="8" w:color="auto"/>
              <w:left w:val="single" w:sz="8" w:color="auto"/>
              <w:bottom w:val="single" w:sz="8" w:color="auto"/>
              <w:right w:val="single" w:sz="8" w:color="auto"/>
            </w:tcBorders>
            <w:shd w:val="clear" w:color="auto" w:fill="CCEEFF"/>
          </w:tcPr>
          <w:p>
            <w:pPr>
              <w:ind w:left="100"/>
              <w:spacing w:after="0" w:line="108" w:lineRule="exact"/>
              <w:rPr>
                <w:sz w:val="20"/>
                <w:szCs w:val="20"/>
                <w:color w:val="auto"/>
              </w:rPr>
            </w:pPr>
            <w:r>
              <w:rPr>
                <w:rFonts w:ascii="Arial" w:cs="Arial" w:eastAsia="Arial" w:hAnsi="Arial"/>
                <w:sz w:val="10"/>
                <w:szCs w:val="10"/>
                <w:color w:val="auto"/>
              </w:rPr>
              <w:t>Ellen M. Cotter</w:t>
            </w:r>
          </w:p>
        </w:tc>
        <w:tc>
          <w:tcPr>
            <w:tcW w:w="1520" w:type="dxa"/>
            <w:vAlign w:val="bottom"/>
            <w:tcBorders>
              <w:top w:val="single" w:sz="8" w:color="auto"/>
              <w:bottom w:val="single" w:sz="8" w:color="auto"/>
              <w:right w:val="single" w:sz="8" w:color="auto"/>
            </w:tcBorders>
            <w:shd w:val="clear" w:color="auto" w:fill="CCEEFF"/>
          </w:tcPr>
          <w:p>
            <w:pPr>
              <w:jc w:val="right"/>
              <w:ind w:right="1352"/>
              <w:spacing w:after="0" w:line="108" w:lineRule="exact"/>
              <w:rPr>
                <w:sz w:val="20"/>
                <w:szCs w:val="20"/>
                <w:color w:val="auto"/>
              </w:rPr>
            </w:pPr>
            <w:r>
              <w:rPr>
                <w:rFonts w:ascii="Arial" w:cs="Arial" w:eastAsia="Arial" w:hAnsi="Arial"/>
                <w:sz w:val="10"/>
                <w:szCs w:val="10"/>
                <w:color w:val="auto"/>
              </w:rPr>
              <w:t>4</w:t>
            </w:r>
          </w:p>
        </w:tc>
        <w:tc>
          <w:tcPr>
            <w:tcW w:w="1680" w:type="dxa"/>
            <w:vAlign w:val="bottom"/>
            <w:tcBorders>
              <w:top w:val="single" w:sz="8" w:color="auto"/>
              <w:bottom w:val="single" w:sz="8" w:color="auto"/>
              <w:right w:val="single" w:sz="8" w:color="auto"/>
            </w:tcBorders>
            <w:shd w:val="clear" w:color="auto" w:fill="CCEEFF"/>
          </w:tcPr>
          <w:p>
            <w:pPr>
              <w:ind w:left="60"/>
              <w:spacing w:after="0" w:line="108" w:lineRule="exact"/>
              <w:rPr>
                <w:sz w:val="20"/>
                <w:szCs w:val="20"/>
                <w:color w:val="auto"/>
              </w:rPr>
            </w:pPr>
            <w:r>
              <w:rPr>
                <w:rFonts w:ascii="Arial" w:cs="Arial" w:eastAsia="Arial" w:hAnsi="Arial"/>
                <w:sz w:val="10"/>
                <w:szCs w:val="10"/>
                <w:color w:val="auto"/>
              </w:rPr>
              <w:t>April 16, 2015</w:t>
            </w:r>
          </w:p>
        </w:tc>
        <w:tc>
          <w:tcPr>
            <w:tcW w:w="1640" w:type="dxa"/>
            <w:vAlign w:val="bottom"/>
            <w:tcBorders>
              <w:top w:val="single" w:sz="8" w:color="auto"/>
              <w:bottom w:val="single" w:sz="8" w:color="auto"/>
              <w:right w:val="single" w:sz="8" w:color="auto"/>
            </w:tcBorders>
            <w:shd w:val="clear" w:color="auto" w:fill="CCEEFF"/>
          </w:tcPr>
          <w:p>
            <w:pPr>
              <w:ind w:left="60"/>
              <w:spacing w:after="0" w:line="108" w:lineRule="exact"/>
              <w:rPr>
                <w:sz w:val="20"/>
                <w:szCs w:val="20"/>
                <w:color w:val="auto"/>
              </w:rPr>
            </w:pPr>
            <w:r>
              <w:rPr>
                <w:rFonts w:ascii="Arial" w:cs="Arial" w:eastAsia="Arial" w:hAnsi="Arial"/>
                <w:sz w:val="10"/>
                <w:szCs w:val="10"/>
                <w:color w:val="auto"/>
              </w:rPr>
              <w:t>October 9, 2015</w:t>
            </w:r>
          </w:p>
        </w:tc>
      </w:tr>
      <w:tr>
        <w:trPr>
          <w:trHeight w:val="88"/>
        </w:trPr>
        <w:tc>
          <w:tcPr>
            <w:tcW w:w="1600" w:type="dxa"/>
            <w:vAlign w:val="bottom"/>
            <w:tcBorders>
              <w:left w:val="single" w:sz="8" w:color="auto"/>
              <w:bottom w:val="single" w:sz="8" w:color="auto"/>
              <w:right w:val="single" w:sz="8" w:color="auto"/>
            </w:tcBorders>
          </w:tcPr>
          <w:p>
            <w:pPr>
              <w:ind w:left="100"/>
              <w:spacing w:after="0" w:line="88" w:lineRule="exact"/>
              <w:rPr>
                <w:sz w:val="20"/>
                <w:szCs w:val="20"/>
                <w:color w:val="auto"/>
              </w:rPr>
            </w:pPr>
            <w:r>
              <w:rPr>
                <w:rFonts w:ascii="Arial" w:cs="Arial" w:eastAsia="Arial" w:hAnsi="Arial"/>
                <w:sz w:val="10"/>
                <w:szCs w:val="10"/>
                <w:color w:val="auto"/>
              </w:rPr>
              <w:t>Margaret Cotter</w:t>
            </w:r>
          </w:p>
        </w:tc>
        <w:tc>
          <w:tcPr>
            <w:tcW w:w="1520" w:type="dxa"/>
            <w:vAlign w:val="bottom"/>
            <w:tcBorders>
              <w:bottom w:val="single" w:sz="8" w:color="auto"/>
              <w:right w:val="single" w:sz="8" w:color="auto"/>
            </w:tcBorders>
          </w:tcPr>
          <w:p>
            <w:pPr>
              <w:jc w:val="right"/>
              <w:ind w:right="1352"/>
              <w:spacing w:after="0" w:line="88" w:lineRule="exact"/>
              <w:rPr>
                <w:sz w:val="20"/>
                <w:szCs w:val="20"/>
                <w:color w:val="auto"/>
              </w:rPr>
            </w:pPr>
            <w:r>
              <w:rPr>
                <w:rFonts w:ascii="Arial" w:cs="Arial" w:eastAsia="Arial" w:hAnsi="Arial"/>
                <w:sz w:val="10"/>
                <w:szCs w:val="10"/>
                <w:color w:val="auto"/>
              </w:rPr>
              <w:t>4</w:t>
            </w:r>
          </w:p>
        </w:tc>
        <w:tc>
          <w:tcPr>
            <w:tcW w:w="1680" w:type="dxa"/>
            <w:vAlign w:val="bottom"/>
            <w:tcBorders>
              <w:bottom w:val="single" w:sz="8" w:color="auto"/>
              <w:right w:val="single" w:sz="8" w:color="auto"/>
            </w:tcBorders>
          </w:tcPr>
          <w:p>
            <w:pPr>
              <w:ind w:left="60"/>
              <w:spacing w:after="0" w:line="88" w:lineRule="exact"/>
              <w:rPr>
                <w:sz w:val="20"/>
                <w:szCs w:val="20"/>
                <w:color w:val="auto"/>
              </w:rPr>
            </w:pPr>
            <w:r>
              <w:rPr>
                <w:rFonts w:ascii="Arial" w:cs="Arial" w:eastAsia="Arial" w:hAnsi="Arial"/>
                <w:sz w:val="10"/>
                <w:szCs w:val="10"/>
                <w:color w:val="auto"/>
              </w:rPr>
              <w:t>April 8, 2015</w:t>
            </w:r>
          </w:p>
        </w:tc>
        <w:tc>
          <w:tcPr>
            <w:tcW w:w="1640" w:type="dxa"/>
            <w:vAlign w:val="bottom"/>
            <w:tcBorders>
              <w:bottom w:val="single" w:sz="8" w:color="auto"/>
              <w:right w:val="single" w:sz="8" w:color="auto"/>
            </w:tcBorders>
          </w:tcPr>
          <w:p>
            <w:pPr>
              <w:ind w:left="60"/>
              <w:spacing w:after="0" w:line="88" w:lineRule="exact"/>
              <w:rPr>
                <w:sz w:val="20"/>
                <w:szCs w:val="20"/>
                <w:color w:val="auto"/>
              </w:rPr>
            </w:pPr>
            <w:r>
              <w:rPr>
                <w:rFonts w:ascii="Arial" w:cs="Arial" w:eastAsia="Arial" w:hAnsi="Arial"/>
                <w:sz w:val="10"/>
                <w:szCs w:val="10"/>
                <w:color w:val="auto"/>
              </w:rPr>
              <w:t>October 9, 2015</w:t>
            </w:r>
          </w:p>
        </w:tc>
      </w:tr>
      <w:tr>
        <w:trPr>
          <w:trHeight w:val="88"/>
        </w:trPr>
        <w:tc>
          <w:tcPr>
            <w:tcW w:w="1600" w:type="dxa"/>
            <w:vAlign w:val="bottom"/>
            <w:tcBorders>
              <w:left w:val="single" w:sz="8" w:color="auto"/>
              <w:bottom w:val="single" w:sz="8" w:color="auto"/>
              <w:right w:val="single" w:sz="8" w:color="auto"/>
            </w:tcBorders>
            <w:shd w:val="clear" w:color="auto" w:fill="CCEEFF"/>
          </w:tcPr>
          <w:p>
            <w:pPr>
              <w:ind w:left="100"/>
              <w:spacing w:after="0" w:line="88" w:lineRule="exact"/>
              <w:rPr>
                <w:sz w:val="20"/>
                <w:szCs w:val="20"/>
                <w:color w:val="auto"/>
              </w:rPr>
            </w:pPr>
            <w:r>
              <w:rPr>
                <w:rFonts w:ascii="Arial" w:cs="Arial" w:eastAsia="Arial" w:hAnsi="Arial"/>
                <w:sz w:val="10"/>
                <w:szCs w:val="10"/>
                <w:color w:val="auto"/>
              </w:rPr>
              <w:t>William Gould</w:t>
            </w:r>
          </w:p>
        </w:tc>
        <w:tc>
          <w:tcPr>
            <w:tcW w:w="1520" w:type="dxa"/>
            <w:vAlign w:val="bottom"/>
            <w:tcBorders>
              <w:bottom w:val="single" w:sz="8" w:color="auto"/>
              <w:right w:val="single" w:sz="8" w:color="auto"/>
            </w:tcBorders>
            <w:shd w:val="clear" w:color="auto" w:fill="CCEEFF"/>
          </w:tcPr>
          <w:p>
            <w:pPr>
              <w:jc w:val="right"/>
              <w:ind w:right="1352"/>
              <w:spacing w:after="0" w:line="88" w:lineRule="exact"/>
              <w:rPr>
                <w:sz w:val="20"/>
                <w:szCs w:val="20"/>
                <w:color w:val="auto"/>
              </w:rPr>
            </w:pPr>
            <w:r>
              <w:rPr>
                <w:rFonts w:ascii="Arial" w:cs="Arial" w:eastAsia="Arial" w:hAnsi="Arial"/>
                <w:sz w:val="10"/>
                <w:szCs w:val="10"/>
                <w:color w:val="auto"/>
              </w:rPr>
              <w:t>4</w:t>
            </w:r>
          </w:p>
        </w:tc>
        <w:tc>
          <w:tcPr>
            <w:tcW w:w="1680" w:type="dxa"/>
            <w:vAlign w:val="bottom"/>
            <w:tcBorders>
              <w:bottom w:val="single" w:sz="8" w:color="auto"/>
              <w:right w:val="single" w:sz="8" w:color="auto"/>
            </w:tcBorders>
            <w:shd w:val="clear" w:color="auto" w:fill="CCEEFF"/>
          </w:tcPr>
          <w:p>
            <w:pPr>
              <w:ind w:left="60"/>
              <w:spacing w:after="0" w:line="88" w:lineRule="exact"/>
              <w:rPr>
                <w:sz w:val="20"/>
                <w:szCs w:val="20"/>
                <w:color w:val="auto"/>
              </w:rPr>
            </w:pPr>
            <w:r>
              <w:rPr>
                <w:rFonts w:ascii="Arial" w:cs="Arial" w:eastAsia="Arial" w:hAnsi="Arial"/>
                <w:sz w:val="10"/>
                <w:szCs w:val="10"/>
                <w:color w:val="auto"/>
              </w:rPr>
              <w:t>April 6, 2015</w:t>
            </w:r>
          </w:p>
        </w:tc>
        <w:tc>
          <w:tcPr>
            <w:tcW w:w="1640" w:type="dxa"/>
            <w:vAlign w:val="bottom"/>
            <w:tcBorders>
              <w:bottom w:val="single" w:sz="8" w:color="auto"/>
              <w:right w:val="single" w:sz="8" w:color="auto"/>
            </w:tcBorders>
            <w:shd w:val="clear" w:color="auto" w:fill="CCEEFF"/>
          </w:tcPr>
          <w:p>
            <w:pPr>
              <w:ind w:left="60"/>
              <w:spacing w:after="0" w:line="88" w:lineRule="exact"/>
              <w:rPr>
                <w:sz w:val="20"/>
                <w:szCs w:val="20"/>
                <w:color w:val="auto"/>
              </w:rPr>
            </w:pPr>
            <w:r>
              <w:rPr>
                <w:rFonts w:ascii="Arial" w:cs="Arial" w:eastAsia="Arial" w:hAnsi="Arial"/>
                <w:sz w:val="10"/>
                <w:szCs w:val="10"/>
                <w:color w:val="auto"/>
              </w:rPr>
              <w:t>October 8, 2015</w:t>
            </w:r>
          </w:p>
        </w:tc>
      </w:tr>
      <w:tr>
        <w:trPr>
          <w:trHeight w:val="88"/>
        </w:trPr>
        <w:tc>
          <w:tcPr>
            <w:tcW w:w="1600" w:type="dxa"/>
            <w:vAlign w:val="bottom"/>
            <w:tcBorders>
              <w:left w:val="single" w:sz="8" w:color="auto"/>
              <w:bottom w:val="single" w:sz="8" w:color="auto"/>
              <w:right w:val="single" w:sz="8" w:color="auto"/>
            </w:tcBorders>
          </w:tcPr>
          <w:p>
            <w:pPr>
              <w:ind w:left="100"/>
              <w:spacing w:after="0" w:line="88" w:lineRule="exact"/>
              <w:rPr>
                <w:sz w:val="20"/>
                <w:szCs w:val="20"/>
                <w:color w:val="auto"/>
              </w:rPr>
            </w:pPr>
            <w:r>
              <w:rPr>
                <w:rFonts w:ascii="Arial" w:cs="Arial" w:eastAsia="Arial" w:hAnsi="Arial"/>
                <w:sz w:val="10"/>
                <w:szCs w:val="10"/>
                <w:color w:val="auto"/>
              </w:rPr>
              <w:t>James J. Cotter Jr.</w:t>
            </w:r>
            <w:r>
              <w:rPr>
                <w:rFonts w:ascii="Arial" w:cs="Arial" w:eastAsia="Arial" w:hAnsi="Arial"/>
                <w:sz w:val="4"/>
                <w:szCs w:val="4"/>
                <w:color w:val="auto"/>
              </w:rPr>
              <w:t>(5)</w:t>
            </w:r>
          </w:p>
        </w:tc>
        <w:tc>
          <w:tcPr>
            <w:tcW w:w="1520" w:type="dxa"/>
            <w:vAlign w:val="bottom"/>
            <w:tcBorders>
              <w:bottom w:val="single" w:sz="8" w:color="auto"/>
              <w:right w:val="single" w:sz="8" w:color="auto"/>
            </w:tcBorders>
          </w:tcPr>
          <w:p>
            <w:pPr>
              <w:jc w:val="right"/>
              <w:ind w:right="1352"/>
              <w:spacing w:after="0" w:line="88" w:lineRule="exact"/>
              <w:rPr>
                <w:sz w:val="20"/>
                <w:szCs w:val="20"/>
                <w:color w:val="auto"/>
              </w:rPr>
            </w:pPr>
            <w:r>
              <w:rPr>
                <w:rFonts w:ascii="Arial" w:cs="Arial" w:eastAsia="Arial" w:hAnsi="Arial"/>
                <w:sz w:val="10"/>
                <w:szCs w:val="10"/>
                <w:color w:val="auto"/>
              </w:rPr>
              <w:t>4</w:t>
            </w:r>
          </w:p>
        </w:tc>
        <w:tc>
          <w:tcPr>
            <w:tcW w:w="1680" w:type="dxa"/>
            <w:vAlign w:val="bottom"/>
            <w:tcBorders>
              <w:bottom w:val="single" w:sz="8" w:color="auto"/>
              <w:right w:val="single" w:sz="8" w:color="auto"/>
            </w:tcBorders>
          </w:tcPr>
          <w:p>
            <w:pPr>
              <w:ind w:left="60"/>
              <w:spacing w:after="0" w:line="88" w:lineRule="exact"/>
              <w:rPr>
                <w:sz w:val="20"/>
                <w:szCs w:val="20"/>
                <w:color w:val="auto"/>
              </w:rPr>
            </w:pPr>
            <w:r>
              <w:rPr>
                <w:rFonts w:ascii="Arial" w:cs="Arial" w:eastAsia="Arial" w:hAnsi="Arial"/>
                <w:sz w:val="10"/>
                <w:szCs w:val="10"/>
                <w:color w:val="auto"/>
              </w:rPr>
              <w:t>March 10, 2016</w:t>
            </w:r>
          </w:p>
        </w:tc>
        <w:tc>
          <w:tcPr>
            <w:tcW w:w="1640" w:type="dxa"/>
            <w:vAlign w:val="bottom"/>
            <w:tcBorders>
              <w:bottom w:val="single" w:sz="8" w:color="auto"/>
              <w:right w:val="single" w:sz="8" w:color="auto"/>
            </w:tcBorders>
          </w:tcPr>
          <w:p>
            <w:pPr>
              <w:ind w:left="60"/>
              <w:spacing w:after="0" w:line="88" w:lineRule="exact"/>
              <w:rPr>
                <w:sz w:val="20"/>
                <w:szCs w:val="20"/>
                <w:color w:val="auto"/>
              </w:rPr>
            </w:pPr>
            <w:r>
              <w:rPr>
                <w:rFonts w:ascii="Arial" w:cs="Arial" w:eastAsia="Arial" w:hAnsi="Arial"/>
                <w:sz w:val="10"/>
                <w:szCs w:val="10"/>
                <w:color w:val="auto"/>
              </w:rPr>
              <w:t>March 15, 2016</w:t>
            </w:r>
          </w:p>
        </w:tc>
      </w:tr>
      <w:tr>
        <w:trPr>
          <w:trHeight w:val="88"/>
        </w:trPr>
        <w:tc>
          <w:tcPr>
            <w:tcW w:w="1600" w:type="dxa"/>
            <w:vAlign w:val="bottom"/>
            <w:tcBorders>
              <w:left w:val="single" w:sz="8" w:color="auto"/>
              <w:bottom w:val="single" w:sz="8" w:color="auto"/>
              <w:right w:val="single" w:sz="8" w:color="auto"/>
            </w:tcBorders>
            <w:shd w:val="clear" w:color="auto" w:fill="CCEEFF"/>
          </w:tcPr>
          <w:p>
            <w:pPr>
              <w:ind w:left="100"/>
              <w:spacing w:after="0" w:line="88" w:lineRule="exact"/>
              <w:rPr>
                <w:sz w:val="20"/>
                <w:szCs w:val="20"/>
                <w:color w:val="auto"/>
              </w:rPr>
            </w:pPr>
            <w:r>
              <w:rPr>
                <w:rFonts w:ascii="Arial" w:cs="Arial" w:eastAsia="Arial" w:hAnsi="Arial"/>
                <w:sz w:val="10"/>
                <w:szCs w:val="10"/>
                <w:color w:val="auto"/>
              </w:rPr>
              <w:t>James J. Cotter Jr.</w:t>
            </w:r>
          </w:p>
        </w:tc>
        <w:tc>
          <w:tcPr>
            <w:tcW w:w="1520" w:type="dxa"/>
            <w:vAlign w:val="bottom"/>
            <w:tcBorders>
              <w:bottom w:val="single" w:sz="8" w:color="auto"/>
              <w:right w:val="single" w:sz="8" w:color="auto"/>
            </w:tcBorders>
            <w:shd w:val="clear" w:color="auto" w:fill="CCEEFF"/>
          </w:tcPr>
          <w:p>
            <w:pPr>
              <w:jc w:val="right"/>
              <w:ind w:right="1352"/>
              <w:spacing w:after="0" w:line="88" w:lineRule="exact"/>
              <w:rPr>
                <w:sz w:val="20"/>
                <w:szCs w:val="20"/>
                <w:color w:val="auto"/>
              </w:rPr>
            </w:pPr>
            <w:r>
              <w:rPr>
                <w:rFonts w:ascii="Arial" w:cs="Arial" w:eastAsia="Arial" w:hAnsi="Arial"/>
                <w:sz w:val="10"/>
                <w:szCs w:val="10"/>
                <w:color w:val="auto"/>
              </w:rPr>
              <w:t>4</w:t>
            </w:r>
          </w:p>
        </w:tc>
        <w:tc>
          <w:tcPr>
            <w:tcW w:w="1680" w:type="dxa"/>
            <w:vAlign w:val="bottom"/>
            <w:tcBorders>
              <w:bottom w:val="single" w:sz="8" w:color="auto"/>
              <w:right w:val="single" w:sz="8" w:color="auto"/>
            </w:tcBorders>
            <w:shd w:val="clear" w:color="auto" w:fill="CCEEFF"/>
          </w:tcPr>
          <w:p>
            <w:pPr>
              <w:ind w:left="60"/>
              <w:spacing w:after="0" w:line="88" w:lineRule="exact"/>
              <w:rPr>
                <w:sz w:val="20"/>
                <w:szCs w:val="20"/>
                <w:color w:val="auto"/>
              </w:rPr>
            </w:pPr>
            <w:r>
              <w:rPr>
                <w:rFonts w:ascii="Arial" w:cs="Arial" w:eastAsia="Arial" w:hAnsi="Arial"/>
                <w:sz w:val="10"/>
                <w:szCs w:val="10"/>
                <w:color w:val="auto"/>
              </w:rPr>
              <w:t>November 25, 2015</w:t>
            </w:r>
          </w:p>
        </w:tc>
        <w:tc>
          <w:tcPr>
            <w:tcW w:w="1640" w:type="dxa"/>
            <w:vAlign w:val="bottom"/>
            <w:tcBorders>
              <w:bottom w:val="single" w:sz="8" w:color="auto"/>
              <w:right w:val="single" w:sz="8" w:color="auto"/>
            </w:tcBorders>
            <w:shd w:val="clear" w:color="auto" w:fill="CCEEFF"/>
          </w:tcPr>
          <w:p>
            <w:pPr>
              <w:ind w:left="60"/>
              <w:spacing w:after="0" w:line="88" w:lineRule="exact"/>
              <w:rPr>
                <w:sz w:val="20"/>
                <w:szCs w:val="20"/>
                <w:color w:val="auto"/>
              </w:rPr>
            </w:pPr>
            <w:r>
              <w:rPr>
                <w:rFonts w:ascii="Arial" w:cs="Arial" w:eastAsia="Arial" w:hAnsi="Arial"/>
                <w:sz w:val="10"/>
                <w:szCs w:val="10"/>
                <w:color w:val="auto"/>
              </w:rPr>
              <w:t>December 1, 2015</w:t>
            </w:r>
          </w:p>
        </w:tc>
      </w:tr>
      <w:tr>
        <w:trPr>
          <w:trHeight w:val="88"/>
        </w:trPr>
        <w:tc>
          <w:tcPr>
            <w:tcW w:w="1600" w:type="dxa"/>
            <w:vAlign w:val="bottom"/>
            <w:tcBorders>
              <w:left w:val="single" w:sz="8" w:color="auto"/>
              <w:bottom w:val="single" w:sz="8" w:color="auto"/>
              <w:right w:val="single" w:sz="8" w:color="auto"/>
            </w:tcBorders>
          </w:tcPr>
          <w:p>
            <w:pPr>
              <w:ind w:left="100"/>
              <w:spacing w:after="0" w:line="88" w:lineRule="exact"/>
              <w:rPr>
                <w:sz w:val="20"/>
                <w:szCs w:val="20"/>
                <w:color w:val="auto"/>
              </w:rPr>
            </w:pPr>
            <w:r>
              <w:rPr>
                <w:rFonts w:ascii="Arial" w:cs="Arial" w:eastAsia="Arial" w:hAnsi="Arial"/>
                <w:sz w:val="10"/>
                <w:szCs w:val="10"/>
                <w:color w:val="auto"/>
              </w:rPr>
              <w:t>James J. Cotter Jr.</w:t>
            </w:r>
          </w:p>
        </w:tc>
        <w:tc>
          <w:tcPr>
            <w:tcW w:w="1520" w:type="dxa"/>
            <w:vAlign w:val="bottom"/>
            <w:tcBorders>
              <w:bottom w:val="single" w:sz="8" w:color="auto"/>
              <w:right w:val="single" w:sz="8" w:color="auto"/>
            </w:tcBorders>
          </w:tcPr>
          <w:p>
            <w:pPr>
              <w:jc w:val="right"/>
              <w:ind w:right="1352"/>
              <w:spacing w:after="0" w:line="88" w:lineRule="exact"/>
              <w:rPr>
                <w:sz w:val="20"/>
                <w:szCs w:val="20"/>
                <w:color w:val="auto"/>
              </w:rPr>
            </w:pPr>
            <w:r>
              <w:rPr>
                <w:rFonts w:ascii="Arial" w:cs="Arial" w:eastAsia="Arial" w:hAnsi="Arial"/>
                <w:sz w:val="10"/>
                <w:szCs w:val="10"/>
                <w:color w:val="auto"/>
              </w:rPr>
              <w:t>4</w:t>
            </w:r>
          </w:p>
        </w:tc>
        <w:tc>
          <w:tcPr>
            <w:tcW w:w="1680" w:type="dxa"/>
            <w:vAlign w:val="bottom"/>
            <w:tcBorders>
              <w:bottom w:val="single" w:sz="8" w:color="auto"/>
              <w:right w:val="single" w:sz="8" w:color="auto"/>
            </w:tcBorders>
          </w:tcPr>
          <w:p>
            <w:pPr>
              <w:ind w:left="60"/>
              <w:spacing w:after="0" w:line="88" w:lineRule="exact"/>
              <w:rPr>
                <w:sz w:val="20"/>
                <w:szCs w:val="20"/>
                <w:color w:val="auto"/>
              </w:rPr>
            </w:pPr>
            <w:r>
              <w:rPr>
                <w:rFonts w:ascii="Arial" w:cs="Arial" w:eastAsia="Arial" w:hAnsi="Arial"/>
                <w:sz w:val="10"/>
                <w:szCs w:val="10"/>
                <w:color w:val="auto"/>
              </w:rPr>
              <w:t>August 17, 2015</w:t>
            </w:r>
          </w:p>
        </w:tc>
        <w:tc>
          <w:tcPr>
            <w:tcW w:w="1640" w:type="dxa"/>
            <w:vAlign w:val="bottom"/>
            <w:tcBorders>
              <w:bottom w:val="single" w:sz="8" w:color="auto"/>
              <w:right w:val="single" w:sz="8" w:color="auto"/>
            </w:tcBorders>
          </w:tcPr>
          <w:p>
            <w:pPr>
              <w:ind w:left="60"/>
              <w:spacing w:after="0" w:line="88" w:lineRule="exact"/>
              <w:rPr>
                <w:sz w:val="20"/>
                <w:szCs w:val="20"/>
                <w:color w:val="auto"/>
              </w:rPr>
            </w:pPr>
            <w:r>
              <w:rPr>
                <w:rFonts w:ascii="Arial" w:cs="Arial" w:eastAsia="Arial" w:hAnsi="Arial"/>
                <w:sz w:val="10"/>
                <w:szCs w:val="10"/>
                <w:color w:val="auto"/>
              </w:rPr>
              <w:t>August 24, 2015</w:t>
            </w:r>
          </w:p>
        </w:tc>
      </w:tr>
      <w:tr>
        <w:trPr>
          <w:trHeight w:val="88"/>
        </w:trPr>
        <w:tc>
          <w:tcPr>
            <w:tcW w:w="1600" w:type="dxa"/>
            <w:vAlign w:val="bottom"/>
            <w:tcBorders>
              <w:left w:val="single" w:sz="8" w:color="auto"/>
              <w:bottom w:val="single" w:sz="8" w:color="auto"/>
              <w:right w:val="single" w:sz="8" w:color="auto"/>
            </w:tcBorders>
            <w:shd w:val="clear" w:color="auto" w:fill="CCEEFF"/>
          </w:tcPr>
          <w:p>
            <w:pPr>
              <w:ind w:left="100"/>
              <w:spacing w:after="0" w:line="88" w:lineRule="exact"/>
              <w:rPr>
                <w:sz w:val="20"/>
                <w:szCs w:val="20"/>
                <w:color w:val="auto"/>
              </w:rPr>
            </w:pPr>
            <w:r>
              <w:rPr>
                <w:rFonts w:ascii="Arial" w:cs="Arial" w:eastAsia="Arial" w:hAnsi="Arial"/>
                <w:sz w:val="10"/>
                <w:szCs w:val="10"/>
                <w:color w:val="auto"/>
              </w:rPr>
              <w:t>James J. Cotter Jr.</w:t>
            </w:r>
          </w:p>
        </w:tc>
        <w:tc>
          <w:tcPr>
            <w:tcW w:w="1520" w:type="dxa"/>
            <w:vAlign w:val="bottom"/>
            <w:tcBorders>
              <w:bottom w:val="single" w:sz="8" w:color="auto"/>
              <w:right w:val="single" w:sz="8" w:color="auto"/>
            </w:tcBorders>
            <w:shd w:val="clear" w:color="auto" w:fill="CCEEFF"/>
          </w:tcPr>
          <w:p>
            <w:pPr>
              <w:jc w:val="right"/>
              <w:ind w:right="1352"/>
              <w:spacing w:after="0" w:line="88" w:lineRule="exact"/>
              <w:rPr>
                <w:sz w:val="20"/>
                <w:szCs w:val="20"/>
                <w:color w:val="auto"/>
              </w:rPr>
            </w:pPr>
            <w:r>
              <w:rPr>
                <w:rFonts w:ascii="Arial" w:cs="Arial" w:eastAsia="Arial" w:hAnsi="Arial"/>
                <w:sz w:val="10"/>
                <w:szCs w:val="10"/>
                <w:color w:val="auto"/>
              </w:rPr>
              <w:t>4</w:t>
            </w:r>
          </w:p>
        </w:tc>
        <w:tc>
          <w:tcPr>
            <w:tcW w:w="1680" w:type="dxa"/>
            <w:vAlign w:val="bottom"/>
            <w:tcBorders>
              <w:bottom w:val="single" w:sz="8" w:color="auto"/>
              <w:right w:val="single" w:sz="8" w:color="auto"/>
            </w:tcBorders>
            <w:shd w:val="clear" w:color="auto" w:fill="CCEEFF"/>
          </w:tcPr>
          <w:p>
            <w:pPr>
              <w:ind w:left="60"/>
              <w:spacing w:after="0" w:line="88" w:lineRule="exact"/>
              <w:rPr>
                <w:sz w:val="20"/>
                <w:szCs w:val="20"/>
                <w:color w:val="auto"/>
              </w:rPr>
            </w:pPr>
            <w:r>
              <w:rPr>
                <w:rFonts w:ascii="Arial" w:cs="Arial" w:eastAsia="Arial" w:hAnsi="Arial"/>
                <w:sz w:val="10"/>
                <w:szCs w:val="10"/>
                <w:color w:val="auto"/>
              </w:rPr>
              <w:t>July 16, 2015</w:t>
            </w:r>
          </w:p>
        </w:tc>
        <w:tc>
          <w:tcPr>
            <w:tcW w:w="1640" w:type="dxa"/>
            <w:vAlign w:val="bottom"/>
            <w:tcBorders>
              <w:bottom w:val="single" w:sz="8" w:color="auto"/>
              <w:right w:val="single" w:sz="8" w:color="auto"/>
            </w:tcBorders>
            <w:shd w:val="clear" w:color="auto" w:fill="CCEEFF"/>
          </w:tcPr>
          <w:p>
            <w:pPr>
              <w:ind w:left="60"/>
              <w:spacing w:after="0" w:line="88" w:lineRule="exact"/>
              <w:rPr>
                <w:sz w:val="20"/>
                <w:szCs w:val="20"/>
                <w:color w:val="auto"/>
              </w:rPr>
            </w:pPr>
            <w:r>
              <w:rPr>
                <w:rFonts w:ascii="Arial" w:cs="Arial" w:eastAsia="Arial" w:hAnsi="Arial"/>
                <w:sz w:val="10"/>
                <w:szCs w:val="10"/>
                <w:color w:val="auto"/>
              </w:rPr>
              <w:t>July 31, 2015</w:t>
            </w:r>
          </w:p>
        </w:tc>
      </w:tr>
      <w:tr>
        <w:trPr>
          <w:trHeight w:val="88"/>
        </w:trPr>
        <w:tc>
          <w:tcPr>
            <w:tcW w:w="1600" w:type="dxa"/>
            <w:vAlign w:val="bottom"/>
            <w:tcBorders>
              <w:left w:val="single" w:sz="8" w:color="auto"/>
              <w:bottom w:val="single" w:sz="8" w:color="auto"/>
              <w:right w:val="single" w:sz="8" w:color="auto"/>
            </w:tcBorders>
          </w:tcPr>
          <w:p>
            <w:pPr>
              <w:ind w:left="100"/>
              <w:spacing w:after="0" w:line="88" w:lineRule="exact"/>
              <w:rPr>
                <w:sz w:val="20"/>
                <w:szCs w:val="20"/>
                <w:color w:val="auto"/>
              </w:rPr>
            </w:pPr>
            <w:r>
              <w:rPr>
                <w:rFonts w:ascii="Arial" w:cs="Arial" w:eastAsia="Arial" w:hAnsi="Arial"/>
                <w:sz w:val="10"/>
                <w:szCs w:val="10"/>
                <w:color w:val="auto"/>
              </w:rPr>
              <w:t>James J. Cotter Jr.</w:t>
            </w:r>
          </w:p>
        </w:tc>
        <w:tc>
          <w:tcPr>
            <w:tcW w:w="1520" w:type="dxa"/>
            <w:vAlign w:val="bottom"/>
            <w:tcBorders>
              <w:bottom w:val="single" w:sz="8" w:color="auto"/>
              <w:right w:val="single" w:sz="8" w:color="auto"/>
            </w:tcBorders>
          </w:tcPr>
          <w:p>
            <w:pPr>
              <w:jc w:val="right"/>
              <w:ind w:right="1352"/>
              <w:spacing w:after="0" w:line="88" w:lineRule="exact"/>
              <w:rPr>
                <w:sz w:val="20"/>
                <w:szCs w:val="20"/>
                <w:color w:val="auto"/>
              </w:rPr>
            </w:pPr>
            <w:r>
              <w:rPr>
                <w:rFonts w:ascii="Arial" w:cs="Arial" w:eastAsia="Arial" w:hAnsi="Arial"/>
                <w:sz w:val="10"/>
                <w:szCs w:val="10"/>
                <w:color w:val="auto"/>
              </w:rPr>
              <w:t>4</w:t>
            </w:r>
          </w:p>
        </w:tc>
        <w:tc>
          <w:tcPr>
            <w:tcW w:w="1680" w:type="dxa"/>
            <w:vAlign w:val="bottom"/>
            <w:tcBorders>
              <w:bottom w:val="single" w:sz="8" w:color="auto"/>
              <w:right w:val="single" w:sz="8" w:color="auto"/>
            </w:tcBorders>
          </w:tcPr>
          <w:p>
            <w:pPr>
              <w:ind w:left="60"/>
              <w:spacing w:after="0" w:line="88" w:lineRule="exact"/>
              <w:rPr>
                <w:sz w:val="20"/>
                <w:szCs w:val="20"/>
                <w:color w:val="auto"/>
              </w:rPr>
            </w:pPr>
            <w:r>
              <w:rPr>
                <w:rFonts w:ascii="Arial" w:cs="Arial" w:eastAsia="Arial" w:hAnsi="Arial"/>
                <w:sz w:val="10"/>
                <w:szCs w:val="10"/>
                <w:color w:val="auto"/>
              </w:rPr>
              <w:t>June 30, 2015</w:t>
            </w:r>
            <w:r>
              <w:rPr>
                <w:rFonts w:ascii="Arial" w:cs="Arial" w:eastAsia="Arial" w:hAnsi="Arial"/>
                <w:sz w:val="4"/>
                <w:szCs w:val="4"/>
                <w:color w:val="auto"/>
              </w:rPr>
              <w:t>(6)</w:t>
            </w:r>
          </w:p>
        </w:tc>
        <w:tc>
          <w:tcPr>
            <w:tcW w:w="1640" w:type="dxa"/>
            <w:vAlign w:val="bottom"/>
            <w:tcBorders>
              <w:bottom w:val="single" w:sz="8" w:color="auto"/>
              <w:right w:val="single" w:sz="8" w:color="auto"/>
            </w:tcBorders>
          </w:tcPr>
          <w:p>
            <w:pPr>
              <w:ind w:left="60"/>
              <w:spacing w:after="0" w:line="88" w:lineRule="exact"/>
              <w:rPr>
                <w:sz w:val="20"/>
                <w:szCs w:val="20"/>
                <w:color w:val="auto"/>
              </w:rPr>
            </w:pPr>
            <w:r>
              <w:rPr>
                <w:rFonts w:ascii="Arial" w:cs="Arial" w:eastAsia="Arial" w:hAnsi="Arial"/>
                <w:sz w:val="10"/>
                <w:szCs w:val="10"/>
                <w:color w:val="auto"/>
              </w:rPr>
              <w:t>July 16, 2015</w:t>
            </w:r>
          </w:p>
        </w:tc>
      </w:tr>
      <w:tr>
        <w:trPr>
          <w:trHeight w:val="88"/>
        </w:trPr>
        <w:tc>
          <w:tcPr>
            <w:tcW w:w="1600" w:type="dxa"/>
            <w:vAlign w:val="bottom"/>
            <w:tcBorders>
              <w:left w:val="single" w:sz="8" w:color="auto"/>
              <w:bottom w:val="single" w:sz="8" w:color="auto"/>
              <w:right w:val="single" w:sz="8" w:color="auto"/>
            </w:tcBorders>
            <w:shd w:val="clear" w:color="auto" w:fill="CCEEFF"/>
          </w:tcPr>
          <w:p>
            <w:pPr>
              <w:ind w:left="100"/>
              <w:spacing w:after="0" w:line="88" w:lineRule="exact"/>
              <w:rPr>
                <w:sz w:val="20"/>
                <w:szCs w:val="20"/>
                <w:color w:val="auto"/>
              </w:rPr>
            </w:pPr>
            <w:r>
              <w:rPr>
                <w:rFonts w:ascii="Arial" w:cs="Arial" w:eastAsia="Arial" w:hAnsi="Arial"/>
                <w:sz w:val="10"/>
                <w:szCs w:val="10"/>
                <w:color w:val="auto"/>
              </w:rPr>
              <w:t>James J. Cotter, Jr.</w:t>
            </w:r>
          </w:p>
        </w:tc>
        <w:tc>
          <w:tcPr>
            <w:tcW w:w="1520" w:type="dxa"/>
            <w:vAlign w:val="bottom"/>
            <w:tcBorders>
              <w:bottom w:val="single" w:sz="8" w:color="auto"/>
              <w:right w:val="single" w:sz="8" w:color="auto"/>
            </w:tcBorders>
            <w:shd w:val="clear" w:color="auto" w:fill="CCEEFF"/>
          </w:tcPr>
          <w:p>
            <w:pPr>
              <w:jc w:val="right"/>
              <w:ind w:right="1352"/>
              <w:spacing w:after="0" w:line="88" w:lineRule="exact"/>
              <w:rPr>
                <w:sz w:val="20"/>
                <w:szCs w:val="20"/>
                <w:color w:val="auto"/>
              </w:rPr>
            </w:pPr>
            <w:r>
              <w:rPr>
                <w:rFonts w:ascii="Arial" w:cs="Arial" w:eastAsia="Arial" w:hAnsi="Arial"/>
                <w:sz w:val="10"/>
                <w:szCs w:val="10"/>
                <w:color w:val="auto"/>
              </w:rPr>
              <w:t>4</w:t>
            </w:r>
          </w:p>
        </w:tc>
        <w:tc>
          <w:tcPr>
            <w:tcW w:w="1680" w:type="dxa"/>
            <w:vAlign w:val="bottom"/>
            <w:tcBorders>
              <w:bottom w:val="single" w:sz="8" w:color="auto"/>
              <w:right w:val="single" w:sz="8" w:color="auto"/>
            </w:tcBorders>
            <w:shd w:val="clear" w:color="auto" w:fill="CCEEFF"/>
          </w:tcPr>
          <w:p>
            <w:pPr>
              <w:ind w:left="60"/>
              <w:spacing w:after="0" w:line="88" w:lineRule="exact"/>
              <w:rPr>
                <w:sz w:val="20"/>
                <w:szCs w:val="20"/>
                <w:color w:val="auto"/>
              </w:rPr>
            </w:pPr>
            <w:r>
              <w:rPr>
                <w:rFonts w:ascii="Arial" w:cs="Arial" w:eastAsia="Arial" w:hAnsi="Arial"/>
                <w:sz w:val="10"/>
                <w:szCs w:val="10"/>
                <w:color w:val="auto"/>
              </w:rPr>
              <w:t>June 4, 2016</w:t>
            </w:r>
            <w:r>
              <w:rPr>
                <w:rFonts w:ascii="Arial" w:cs="Arial" w:eastAsia="Arial" w:hAnsi="Arial"/>
                <w:sz w:val="4"/>
                <w:szCs w:val="4"/>
                <w:color w:val="auto"/>
              </w:rPr>
              <w:t>(7)</w:t>
            </w:r>
          </w:p>
        </w:tc>
        <w:tc>
          <w:tcPr>
            <w:tcW w:w="1640" w:type="dxa"/>
            <w:vAlign w:val="bottom"/>
            <w:tcBorders>
              <w:bottom w:val="single" w:sz="8" w:color="auto"/>
              <w:right w:val="single" w:sz="8" w:color="auto"/>
            </w:tcBorders>
            <w:shd w:val="clear" w:color="auto" w:fill="CCEEFF"/>
          </w:tcPr>
          <w:p>
            <w:pPr>
              <w:ind w:left="60"/>
              <w:spacing w:after="0" w:line="88" w:lineRule="exact"/>
              <w:rPr>
                <w:sz w:val="20"/>
                <w:szCs w:val="20"/>
                <w:color w:val="auto"/>
              </w:rPr>
            </w:pPr>
            <w:r>
              <w:rPr>
                <w:rFonts w:ascii="Arial" w:cs="Arial" w:eastAsia="Arial" w:hAnsi="Arial"/>
                <w:sz w:val="10"/>
                <w:szCs w:val="10"/>
                <w:color w:val="auto"/>
              </w:rPr>
              <w:t>July 16, 2015</w:t>
            </w:r>
          </w:p>
        </w:tc>
      </w:tr>
      <w:tr>
        <w:trPr>
          <w:trHeight w:val="88"/>
        </w:trPr>
        <w:tc>
          <w:tcPr>
            <w:tcW w:w="1600" w:type="dxa"/>
            <w:vAlign w:val="bottom"/>
            <w:tcBorders>
              <w:left w:val="single" w:sz="8" w:color="auto"/>
              <w:bottom w:val="single" w:sz="8" w:color="auto"/>
              <w:right w:val="single" w:sz="8" w:color="auto"/>
            </w:tcBorders>
          </w:tcPr>
          <w:p>
            <w:pPr>
              <w:ind w:left="100"/>
              <w:spacing w:after="0" w:line="88" w:lineRule="exact"/>
              <w:rPr>
                <w:sz w:val="20"/>
                <w:szCs w:val="20"/>
                <w:color w:val="auto"/>
              </w:rPr>
            </w:pPr>
            <w:r>
              <w:rPr>
                <w:rFonts w:ascii="Arial" w:cs="Arial" w:eastAsia="Arial" w:hAnsi="Arial"/>
                <w:sz w:val="10"/>
                <w:szCs w:val="10"/>
                <w:color w:val="auto"/>
              </w:rPr>
              <w:t>Wayne Smith</w:t>
            </w:r>
          </w:p>
        </w:tc>
        <w:tc>
          <w:tcPr>
            <w:tcW w:w="1520" w:type="dxa"/>
            <w:vAlign w:val="bottom"/>
            <w:tcBorders>
              <w:bottom w:val="single" w:sz="8" w:color="auto"/>
              <w:right w:val="single" w:sz="8" w:color="auto"/>
            </w:tcBorders>
          </w:tcPr>
          <w:p>
            <w:pPr>
              <w:jc w:val="right"/>
              <w:ind w:right="1352"/>
              <w:spacing w:after="0" w:line="88" w:lineRule="exact"/>
              <w:rPr>
                <w:sz w:val="20"/>
                <w:szCs w:val="20"/>
                <w:color w:val="auto"/>
              </w:rPr>
            </w:pPr>
            <w:r>
              <w:rPr>
                <w:rFonts w:ascii="Arial" w:cs="Arial" w:eastAsia="Arial" w:hAnsi="Arial"/>
                <w:sz w:val="10"/>
                <w:szCs w:val="10"/>
                <w:color w:val="auto"/>
              </w:rPr>
              <w:t>4</w:t>
            </w:r>
          </w:p>
        </w:tc>
        <w:tc>
          <w:tcPr>
            <w:tcW w:w="1680" w:type="dxa"/>
            <w:vAlign w:val="bottom"/>
            <w:tcBorders>
              <w:bottom w:val="single" w:sz="8" w:color="auto"/>
              <w:right w:val="single" w:sz="8" w:color="auto"/>
            </w:tcBorders>
          </w:tcPr>
          <w:p>
            <w:pPr>
              <w:ind w:left="60"/>
              <w:spacing w:after="0" w:line="88" w:lineRule="exact"/>
              <w:rPr>
                <w:sz w:val="20"/>
                <w:szCs w:val="20"/>
                <w:color w:val="auto"/>
              </w:rPr>
            </w:pPr>
            <w:r>
              <w:rPr>
                <w:rFonts w:ascii="Arial" w:cs="Arial" w:eastAsia="Arial" w:hAnsi="Arial"/>
                <w:sz w:val="10"/>
                <w:szCs w:val="10"/>
                <w:color w:val="auto"/>
              </w:rPr>
              <w:t>July 16, 2015</w:t>
            </w:r>
          </w:p>
        </w:tc>
        <w:tc>
          <w:tcPr>
            <w:tcW w:w="1640" w:type="dxa"/>
            <w:vAlign w:val="bottom"/>
            <w:tcBorders>
              <w:bottom w:val="single" w:sz="8" w:color="auto"/>
              <w:right w:val="single" w:sz="8" w:color="auto"/>
            </w:tcBorders>
          </w:tcPr>
          <w:p>
            <w:pPr>
              <w:ind w:left="60"/>
              <w:spacing w:after="0" w:line="88" w:lineRule="exact"/>
              <w:rPr>
                <w:sz w:val="20"/>
                <w:szCs w:val="20"/>
                <w:color w:val="auto"/>
              </w:rPr>
            </w:pPr>
            <w:r>
              <w:rPr>
                <w:rFonts w:ascii="Arial" w:cs="Arial" w:eastAsia="Arial" w:hAnsi="Arial"/>
                <w:sz w:val="10"/>
                <w:szCs w:val="10"/>
                <w:color w:val="auto"/>
              </w:rPr>
              <w:t>July 31, 2015</w:t>
            </w:r>
          </w:p>
        </w:tc>
      </w:tr>
    </w:tbl>
    <w:p>
      <w:pPr>
        <w:spacing w:after="0" w:line="241" w:lineRule="exact"/>
        <w:rPr>
          <w:sz w:val="20"/>
          <w:szCs w:val="20"/>
          <w:color w:val="auto"/>
        </w:rPr>
      </w:pPr>
    </w:p>
    <w:p>
      <w:pPr>
        <w:ind w:left="220" w:hanging="216"/>
        <w:spacing w:after="0"/>
        <w:tabs>
          <w:tab w:leader="none" w:pos="220" w:val="left"/>
        </w:tabs>
        <w:numPr>
          <w:ilvl w:val="0"/>
          <w:numId w:val="42"/>
        </w:numPr>
        <w:rPr>
          <w:rFonts w:ascii="Arial" w:cs="Arial" w:eastAsia="Arial" w:hAnsi="Arial"/>
          <w:sz w:val="10"/>
          <w:szCs w:val="10"/>
          <w:color w:val="auto"/>
        </w:rPr>
      </w:pPr>
      <w:r>
        <w:rPr>
          <w:rFonts w:ascii="Arial" w:cs="Arial" w:eastAsia="Arial" w:hAnsi="Arial"/>
          <w:sz w:val="10"/>
          <w:szCs w:val="10"/>
          <w:color w:val="auto"/>
        </w:rPr>
        <w:t>This transaction was reported on Form 5 on April 22, 2016, which is later than required under Section 16(a) of the Securities Exchange Act of 1934.</w:t>
      </w:r>
    </w:p>
    <w:p>
      <w:pPr>
        <w:ind w:left="220" w:hanging="216"/>
        <w:spacing w:after="0" w:line="206" w:lineRule="auto"/>
        <w:tabs>
          <w:tab w:leader="none" w:pos="220" w:val="left"/>
        </w:tabs>
        <w:numPr>
          <w:ilvl w:val="0"/>
          <w:numId w:val="42"/>
        </w:numPr>
        <w:rPr>
          <w:rFonts w:ascii="Arial" w:cs="Arial" w:eastAsia="Arial" w:hAnsi="Arial"/>
          <w:sz w:val="10"/>
          <w:szCs w:val="10"/>
          <w:color w:val="auto"/>
        </w:rPr>
      </w:pPr>
      <w:r>
        <w:rPr>
          <w:rFonts w:ascii="Arial" w:cs="Arial" w:eastAsia="Arial" w:hAnsi="Arial"/>
          <w:sz w:val="10"/>
          <w:szCs w:val="10"/>
          <w:color w:val="auto"/>
        </w:rPr>
        <w:t>This transaction was reported on Form 5 on March 17, 2015, which is later than required under Section 16(a) of the Securities Exchange Act of 1934.</w:t>
      </w:r>
    </w:p>
    <w:p>
      <w:pPr>
        <w:ind w:left="220" w:hanging="216"/>
        <w:spacing w:after="0" w:line="206" w:lineRule="auto"/>
        <w:tabs>
          <w:tab w:leader="none" w:pos="220" w:val="left"/>
        </w:tabs>
        <w:numPr>
          <w:ilvl w:val="0"/>
          <w:numId w:val="42"/>
        </w:numPr>
        <w:rPr>
          <w:rFonts w:ascii="Arial" w:cs="Arial" w:eastAsia="Arial" w:hAnsi="Arial"/>
          <w:sz w:val="10"/>
          <w:szCs w:val="10"/>
          <w:color w:val="auto"/>
        </w:rPr>
      </w:pPr>
      <w:r>
        <w:rPr>
          <w:rFonts w:ascii="Arial" w:cs="Arial" w:eastAsia="Arial" w:hAnsi="Arial"/>
          <w:sz w:val="10"/>
          <w:szCs w:val="10"/>
          <w:color w:val="auto"/>
        </w:rPr>
        <w:t>This transaction was reported on Form 5 on March 12, 2014, which is later than required under Section 16(a) of the Securities Exchange Act of 1934.</w:t>
      </w:r>
    </w:p>
    <w:p>
      <w:pPr>
        <w:ind w:left="220" w:hanging="216"/>
        <w:spacing w:after="0" w:line="206" w:lineRule="auto"/>
        <w:tabs>
          <w:tab w:leader="none" w:pos="220" w:val="left"/>
        </w:tabs>
        <w:numPr>
          <w:ilvl w:val="0"/>
          <w:numId w:val="42"/>
        </w:numPr>
        <w:rPr>
          <w:rFonts w:ascii="Arial" w:cs="Arial" w:eastAsia="Arial" w:hAnsi="Arial"/>
          <w:sz w:val="10"/>
          <w:szCs w:val="10"/>
          <w:color w:val="auto"/>
        </w:rPr>
      </w:pPr>
      <w:r>
        <w:rPr>
          <w:rFonts w:ascii="Arial" w:cs="Arial" w:eastAsia="Arial" w:hAnsi="Arial"/>
          <w:sz w:val="10"/>
          <w:szCs w:val="10"/>
          <w:color w:val="auto"/>
        </w:rPr>
        <w:t>This transaction was reported on Form 5 on February 19, 2016, which is later than required under Section 16(a) of the Securities Exchange Act of 1934.</w:t>
      </w:r>
    </w:p>
    <w:p>
      <w:pPr>
        <w:spacing w:after="0"/>
        <w:rPr>
          <w:sz w:val="20"/>
          <w:szCs w:val="20"/>
          <w:color w:val="auto"/>
        </w:rPr>
      </w:pPr>
      <w:r>
        <w:rPr>
          <w:rFonts w:ascii="Arial" w:cs="Arial" w:eastAsia="Arial" w:hAnsi="Arial"/>
          <w:sz w:val="8"/>
          <w:szCs w:val="8"/>
          <w:color w:val="auto"/>
        </w:rPr>
        <w:t>(5)An additional Form 4 for Mr. Cotter Jr. was reported with a typographical error in the transaction date. The transaction date was reported as December 1, 2012, but should have been reported as December 1, 2015. This Form 4 was timely filed on December 3, 2015.</w:t>
      </w:r>
    </w:p>
    <w:p>
      <w:pPr>
        <w:ind w:left="260" w:hanging="256"/>
        <w:spacing w:after="0" w:line="221" w:lineRule="auto"/>
        <w:tabs>
          <w:tab w:leader="none" w:pos="260" w:val="left"/>
        </w:tabs>
        <w:numPr>
          <w:ilvl w:val="0"/>
          <w:numId w:val="43"/>
        </w:numPr>
        <w:rPr>
          <w:rFonts w:ascii="Arial" w:cs="Arial" w:eastAsia="Arial" w:hAnsi="Arial"/>
          <w:sz w:val="10"/>
          <w:szCs w:val="10"/>
          <w:color w:val="auto"/>
        </w:rPr>
      </w:pPr>
      <w:r>
        <w:rPr>
          <w:rFonts w:ascii="Arial" w:cs="Arial" w:eastAsia="Arial" w:hAnsi="Arial"/>
          <w:sz w:val="10"/>
          <w:szCs w:val="10"/>
          <w:color w:val="auto"/>
        </w:rPr>
        <w:t>Pursuant to Form 4/A filed August 24, 2015, the earliest transaction date was changed from July 1, 2015 to June 30, 2015.</w:t>
      </w:r>
    </w:p>
    <w:p>
      <w:pPr>
        <w:ind w:left="260" w:hanging="256"/>
        <w:spacing w:after="0" w:line="236" w:lineRule="auto"/>
        <w:tabs>
          <w:tab w:leader="none" w:pos="260" w:val="left"/>
        </w:tabs>
        <w:numPr>
          <w:ilvl w:val="0"/>
          <w:numId w:val="43"/>
        </w:numPr>
        <w:rPr>
          <w:rFonts w:ascii="Arial" w:cs="Arial" w:eastAsia="Arial" w:hAnsi="Arial"/>
          <w:sz w:val="10"/>
          <w:szCs w:val="10"/>
          <w:color w:val="auto"/>
        </w:rPr>
      </w:pPr>
      <w:r>
        <w:rPr>
          <w:rFonts w:ascii="Arial" w:cs="Arial" w:eastAsia="Arial" w:hAnsi="Arial"/>
          <w:sz w:val="10"/>
          <w:szCs w:val="10"/>
          <w:color w:val="auto"/>
        </w:rPr>
        <w:t>Pursuant to Form 4/A filed November 17, 2015, the earliest transaction date was changed from July 1, 2015 to June 4, 2015.</w:t>
      </w:r>
    </w:p>
    <w:p>
      <w:pPr>
        <w:spacing w:after="0" w:line="108" w:lineRule="exact"/>
        <w:rPr>
          <w:sz w:val="20"/>
          <w:szCs w:val="20"/>
          <w:color w:val="auto"/>
        </w:rPr>
      </w:pPr>
    </w:p>
    <w:p>
      <w:pPr>
        <w:ind w:left="440"/>
        <w:spacing w:after="0"/>
        <w:rPr>
          <w:sz w:val="20"/>
          <w:szCs w:val="20"/>
          <w:color w:val="auto"/>
        </w:rPr>
      </w:pPr>
      <w:r>
        <w:rPr>
          <w:rFonts w:ascii="Arial" w:cs="Arial" w:eastAsia="Arial" w:hAnsi="Arial"/>
          <w:sz w:val="11"/>
          <w:szCs w:val="11"/>
          <w:color w:val="auto"/>
        </w:rPr>
        <w:t>In addition to the above, the following Forms 5 for transactions that occurred in 2013, 2014 and 2015 were filed later than is required under Section 16(a) of the Securities Exchange Act of 1934.</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80" w:type="dxa"/>
            <w:vAlign w:val="bottom"/>
          </w:tcPr>
          <w:p>
            <w:pPr>
              <w:spacing w:after="0"/>
              <w:rPr>
                <w:sz w:val="10"/>
                <w:szCs w:val="10"/>
                <w:color w:val="auto"/>
              </w:rPr>
            </w:pPr>
          </w:p>
        </w:tc>
        <w:tc>
          <w:tcPr>
            <w:tcW w:w="200" w:type="dxa"/>
            <w:vAlign w:val="bottom"/>
          </w:tcPr>
          <w:p>
            <w:pPr>
              <w:spacing w:after="0"/>
              <w:rPr>
                <w:sz w:val="20"/>
                <w:szCs w:val="20"/>
                <w:color w:val="auto"/>
              </w:rPr>
            </w:pPr>
            <w:r>
              <w:rPr>
                <w:rFonts w:ascii="Arial" w:cs="Arial" w:eastAsia="Arial" w:hAnsi="Arial"/>
                <w:sz w:val="10"/>
                <w:szCs w:val="10"/>
                <w:b w:val="1"/>
                <w:bCs w:val="1"/>
                <w:color w:val="auto"/>
                <w:w w:val="84"/>
              </w:rPr>
              <w:t>Filer</w:t>
            </w:r>
          </w:p>
        </w:tc>
        <w:tc>
          <w:tcPr>
            <w:tcW w:w="1380" w:type="dxa"/>
            <w:vAlign w:val="bottom"/>
          </w:tcPr>
          <w:p>
            <w:pPr>
              <w:spacing w:after="0"/>
              <w:rPr>
                <w:sz w:val="10"/>
                <w:szCs w:val="10"/>
                <w:color w:val="auto"/>
              </w:rPr>
            </w:pPr>
          </w:p>
        </w:tc>
        <w:tc>
          <w:tcPr>
            <w:tcW w:w="240" w:type="dxa"/>
            <w:vAlign w:val="bottom"/>
          </w:tcPr>
          <w:p>
            <w:pPr>
              <w:spacing w:after="0"/>
              <w:rPr>
                <w:sz w:val="20"/>
                <w:szCs w:val="20"/>
                <w:color w:val="auto"/>
              </w:rPr>
            </w:pPr>
            <w:r>
              <w:rPr>
                <w:rFonts w:ascii="Arial" w:cs="Arial" w:eastAsia="Arial" w:hAnsi="Arial"/>
                <w:sz w:val="10"/>
                <w:szCs w:val="10"/>
                <w:b w:val="1"/>
                <w:bCs w:val="1"/>
                <w:color w:val="auto"/>
                <w:w w:val="87"/>
              </w:rPr>
              <w:t>Form</w:t>
            </w:r>
          </w:p>
        </w:tc>
        <w:tc>
          <w:tcPr>
            <w:tcW w:w="1280" w:type="dxa"/>
            <w:vAlign w:val="bottom"/>
          </w:tcPr>
          <w:p>
            <w:pPr>
              <w:spacing w:after="0"/>
              <w:rPr>
                <w:sz w:val="10"/>
                <w:szCs w:val="10"/>
                <w:color w:val="auto"/>
              </w:rPr>
            </w:pPr>
          </w:p>
        </w:tc>
        <w:tc>
          <w:tcPr>
            <w:tcW w:w="720" w:type="dxa"/>
            <w:vAlign w:val="bottom"/>
          </w:tcPr>
          <w:p>
            <w:pPr>
              <w:spacing w:after="0"/>
              <w:rPr>
                <w:sz w:val="20"/>
                <w:szCs w:val="20"/>
                <w:color w:val="auto"/>
              </w:rPr>
            </w:pPr>
            <w:r>
              <w:rPr>
                <w:rFonts w:ascii="Arial" w:cs="Arial" w:eastAsia="Arial" w:hAnsi="Arial"/>
                <w:sz w:val="10"/>
                <w:szCs w:val="10"/>
                <w:b w:val="1"/>
                <w:bCs w:val="1"/>
                <w:color w:val="auto"/>
                <w:w w:val="86"/>
              </w:rPr>
              <w:t>Transaction Date</w:t>
            </w:r>
          </w:p>
        </w:tc>
        <w:tc>
          <w:tcPr>
            <w:tcW w:w="5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540" w:type="dxa"/>
            <w:vAlign w:val="bottom"/>
            <w:gridSpan w:val="2"/>
          </w:tcPr>
          <w:p>
            <w:pPr>
              <w:spacing w:after="0"/>
              <w:rPr>
                <w:sz w:val="20"/>
                <w:szCs w:val="20"/>
                <w:color w:val="auto"/>
              </w:rPr>
            </w:pPr>
            <w:r>
              <w:rPr>
                <w:rFonts w:ascii="Arial" w:cs="Arial" w:eastAsia="Arial" w:hAnsi="Arial"/>
                <w:sz w:val="10"/>
                <w:szCs w:val="10"/>
                <w:b w:val="1"/>
                <w:bCs w:val="1"/>
                <w:color w:val="auto"/>
              </w:rPr>
              <w:t>Date of Filing</w:t>
            </w:r>
          </w:p>
        </w:tc>
      </w:tr>
      <w:tr>
        <w:trPr>
          <w:trHeight w:val="20"/>
        </w:trPr>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88"/>
        </w:trPr>
        <w:tc>
          <w:tcPr>
            <w:tcW w:w="80" w:type="dxa"/>
            <w:vAlign w:val="bottom"/>
            <w:shd w:val="clear" w:color="auto" w:fill="CCEEFF"/>
          </w:tcPr>
          <w:p>
            <w:pPr>
              <w:spacing w:after="0"/>
              <w:rPr>
                <w:sz w:val="7"/>
                <w:szCs w:val="7"/>
                <w:color w:val="auto"/>
              </w:rPr>
            </w:pPr>
          </w:p>
        </w:tc>
        <w:tc>
          <w:tcPr>
            <w:tcW w:w="1580" w:type="dxa"/>
            <w:vAlign w:val="bottom"/>
            <w:gridSpan w:val="2"/>
            <w:shd w:val="clear" w:color="auto" w:fill="CCEEFF"/>
          </w:tcPr>
          <w:p>
            <w:pPr>
              <w:spacing w:after="0" w:line="88" w:lineRule="exact"/>
              <w:rPr>
                <w:sz w:val="20"/>
                <w:szCs w:val="20"/>
                <w:color w:val="auto"/>
              </w:rPr>
            </w:pPr>
            <w:r>
              <w:rPr>
                <w:rFonts w:ascii="Arial" w:cs="Arial" w:eastAsia="Arial" w:hAnsi="Arial"/>
                <w:sz w:val="10"/>
                <w:szCs w:val="10"/>
                <w:color w:val="auto"/>
              </w:rPr>
              <w:t>Andrzej J. Matyczynski</w:t>
            </w:r>
          </w:p>
        </w:tc>
        <w:tc>
          <w:tcPr>
            <w:tcW w:w="240" w:type="dxa"/>
            <w:vAlign w:val="bottom"/>
            <w:shd w:val="clear" w:color="auto" w:fill="CCEEFF"/>
          </w:tcPr>
          <w:p>
            <w:pPr>
              <w:spacing w:after="0" w:line="88" w:lineRule="exact"/>
              <w:rPr>
                <w:sz w:val="20"/>
                <w:szCs w:val="20"/>
                <w:color w:val="auto"/>
              </w:rPr>
            </w:pPr>
            <w:r>
              <w:rPr>
                <w:rFonts w:ascii="Arial" w:cs="Arial" w:eastAsia="Arial" w:hAnsi="Arial"/>
                <w:sz w:val="10"/>
                <w:szCs w:val="10"/>
                <w:color w:val="auto"/>
              </w:rPr>
              <w:t>5</w:t>
            </w:r>
          </w:p>
        </w:tc>
        <w:tc>
          <w:tcPr>
            <w:tcW w:w="1280" w:type="dxa"/>
            <w:vAlign w:val="bottom"/>
            <w:shd w:val="clear" w:color="auto" w:fill="CCEEFF"/>
          </w:tcPr>
          <w:p>
            <w:pPr>
              <w:spacing w:after="0"/>
              <w:rPr>
                <w:sz w:val="7"/>
                <w:szCs w:val="7"/>
                <w:color w:val="auto"/>
              </w:rPr>
            </w:pPr>
          </w:p>
        </w:tc>
        <w:tc>
          <w:tcPr>
            <w:tcW w:w="1220" w:type="dxa"/>
            <w:vAlign w:val="bottom"/>
            <w:gridSpan w:val="2"/>
            <w:shd w:val="clear" w:color="auto" w:fill="CCEEFF"/>
          </w:tcPr>
          <w:p>
            <w:pPr>
              <w:spacing w:after="0" w:line="88" w:lineRule="exact"/>
              <w:rPr>
                <w:sz w:val="20"/>
                <w:szCs w:val="20"/>
                <w:color w:val="auto"/>
              </w:rPr>
            </w:pPr>
            <w:r>
              <w:rPr>
                <w:rFonts w:ascii="Arial" w:cs="Arial" w:eastAsia="Arial" w:hAnsi="Arial"/>
                <w:sz w:val="10"/>
                <w:szCs w:val="10"/>
                <w:color w:val="auto"/>
              </w:rPr>
              <w:t>December 31, 2015</w:t>
            </w:r>
          </w:p>
        </w:tc>
        <w:tc>
          <w:tcPr>
            <w:tcW w:w="2000" w:type="dxa"/>
            <w:vAlign w:val="bottom"/>
            <w:gridSpan w:val="3"/>
            <w:shd w:val="clear" w:color="auto" w:fill="CCEEFF"/>
          </w:tcPr>
          <w:p>
            <w:pPr>
              <w:ind w:left="460"/>
              <w:spacing w:after="0" w:line="88" w:lineRule="exact"/>
              <w:rPr>
                <w:sz w:val="20"/>
                <w:szCs w:val="20"/>
                <w:color w:val="auto"/>
              </w:rPr>
            </w:pPr>
            <w:r>
              <w:rPr>
                <w:rFonts w:ascii="Arial" w:cs="Arial" w:eastAsia="Arial" w:hAnsi="Arial"/>
                <w:sz w:val="10"/>
                <w:szCs w:val="10"/>
                <w:color w:val="auto"/>
              </w:rPr>
              <w:t>April 22, 2016</w:t>
            </w:r>
          </w:p>
        </w:tc>
      </w:tr>
      <w:tr>
        <w:trPr>
          <w:trHeight w:val="99"/>
        </w:trPr>
        <w:tc>
          <w:tcPr>
            <w:tcW w:w="80" w:type="dxa"/>
            <w:vAlign w:val="bottom"/>
          </w:tcPr>
          <w:p>
            <w:pPr>
              <w:spacing w:after="0"/>
              <w:rPr>
                <w:sz w:val="8"/>
                <w:szCs w:val="8"/>
                <w:color w:val="auto"/>
              </w:rPr>
            </w:pPr>
          </w:p>
        </w:tc>
        <w:tc>
          <w:tcPr>
            <w:tcW w:w="1580" w:type="dxa"/>
            <w:vAlign w:val="bottom"/>
            <w:gridSpan w:val="2"/>
          </w:tcPr>
          <w:p>
            <w:pPr>
              <w:spacing w:after="0" w:line="99" w:lineRule="exact"/>
              <w:rPr>
                <w:sz w:val="20"/>
                <w:szCs w:val="20"/>
                <w:color w:val="auto"/>
              </w:rPr>
            </w:pPr>
            <w:r>
              <w:rPr>
                <w:rFonts w:ascii="Arial" w:cs="Arial" w:eastAsia="Arial" w:hAnsi="Arial"/>
                <w:sz w:val="10"/>
                <w:szCs w:val="10"/>
                <w:color w:val="auto"/>
              </w:rPr>
              <w:t>Andrzej J. Matyczynski</w:t>
            </w:r>
          </w:p>
        </w:tc>
        <w:tc>
          <w:tcPr>
            <w:tcW w:w="240" w:type="dxa"/>
            <w:vAlign w:val="bottom"/>
          </w:tcPr>
          <w:p>
            <w:pPr>
              <w:spacing w:after="0" w:line="99" w:lineRule="exact"/>
              <w:rPr>
                <w:sz w:val="20"/>
                <w:szCs w:val="20"/>
                <w:color w:val="auto"/>
              </w:rPr>
            </w:pPr>
            <w:r>
              <w:rPr>
                <w:rFonts w:ascii="Arial" w:cs="Arial" w:eastAsia="Arial" w:hAnsi="Arial"/>
                <w:sz w:val="10"/>
                <w:szCs w:val="10"/>
                <w:color w:val="auto"/>
              </w:rPr>
              <w:t>5</w:t>
            </w:r>
          </w:p>
        </w:tc>
        <w:tc>
          <w:tcPr>
            <w:tcW w:w="1280" w:type="dxa"/>
            <w:vAlign w:val="bottom"/>
          </w:tcPr>
          <w:p>
            <w:pPr>
              <w:spacing w:after="0"/>
              <w:rPr>
                <w:sz w:val="8"/>
                <w:szCs w:val="8"/>
                <w:color w:val="auto"/>
              </w:rPr>
            </w:pPr>
          </w:p>
        </w:tc>
        <w:tc>
          <w:tcPr>
            <w:tcW w:w="1220" w:type="dxa"/>
            <w:vAlign w:val="bottom"/>
            <w:gridSpan w:val="2"/>
          </w:tcPr>
          <w:p>
            <w:pPr>
              <w:spacing w:after="0" w:line="99" w:lineRule="exact"/>
              <w:rPr>
                <w:sz w:val="20"/>
                <w:szCs w:val="20"/>
                <w:color w:val="auto"/>
              </w:rPr>
            </w:pPr>
            <w:r>
              <w:rPr>
                <w:rFonts w:ascii="Arial" w:cs="Arial" w:eastAsia="Arial" w:hAnsi="Arial"/>
                <w:sz w:val="10"/>
                <w:szCs w:val="10"/>
                <w:color w:val="auto"/>
              </w:rPr>
              <w:t>December 31, 2014</w:t>
            </w:r>
          </w:p>
        </w:tc>
        <w:tc>
          <w:tcPr>
            <w:tcW w:w="2000" w:type="dxa"/>
            <w:vAlign w:val="bottom"/>
            <w:gridSpan w:val="3"/>
          </w:tcPr>
          <w:p>
            <w:pPr>
              <w:ind w:left="460"/>
              <w:spacing w:after="0" w:line="99" w:lineRule="exact"/>
              <w:rPr>
                <w:sz w:val="20"/>
                <w:szCs w:val="20"/>
                <w:color w:val="auto"/>
              </w:rPr>
            </w:pPr>
            <w:r>
              <w:rPr>
                <w:rFonts w:ascii="Arial" w:cs="Arial" w:eastAsia="Arial" w:hAnsi="Arial"/>
                <w:sz w:val="10"/>
                <w:szCs w:val="10"/>
                <w:color w:val="auto"/>
              </w:rPr>
              <w:t>March 17, 2015</w:t>
            </w:r>
          </w:p>
        </w:tc>
      </w:tr>
      <w:tr>
        <w:trPr>
          <w:trHeight w:val="99"/>
        </w:trPr>
        <w:tc>
          <w:tcPr>
            <w:tcW w:w="80" w:type="dxa"/>
            <w:vAlign w:val="bottom"/>
            <w:shd w:val="clear" w:color="auto" w:fill="CCEEFF"/>
          </w:tcPr>
          <w:p>
            <w:pPr>
              <w:spacing w:after="0"/>
              <w:rPr>
                <w:sz w:val="8"/>
                <w:szCs w:val="8"/>
                <w:color w:val="auto"/>
              </w:rPr>
            </w:pPr>
          </w:p>
        </w:tc>
        <w:tc>
          <w:tcPr>
            <w:tcW w:w="1580" w:type="dxa"/>
            <w:vAlign w:val="bottom"/>
            <w:gridSpan w:val="2"/>
            <w:shd w:val="clear" w:color="auto" w:fill="CCEEFF"/>
          </w:tcPr>
          <w:p>
            <w:pPr>
              <w:spacing w:after="0" w:line="99" w:lineRule="exact"/>
              <w:rPr>
                <w:sz w:val="20"/>
                <w:szCs w:val="20"/>
                <w:color w:val="auto"/>
              </w:rPr>
            </w:pPr>
            <w:r>
              <w:rPr>
                <w:rFonts w:ascii="Arial" w:cs="Arial" w:eastAsia="Arial" w:hAnsi="Arial"/>
                <w:sz w:val="10"/>
                <w:szCs w:val="10"/>
                <w:color w:val="auto"/>
              </w:rPr>
              <w:t>Andrzej J. Matyczynski</w:t>
            </w:r>
          </w:p>
        </w:tc>
        <w:tc>
          <w:tcPr>
            <w:tcW w:w="240" w:type="dxa"/>
            <w:vAlign w:val="bottom"/>
            <w:shd w:val="clear" w:color="auto" w:fill="CCEEFF"/>
          </w:tcPr>
          <w:p>
            <w:pPr>
              <w:spacing w:after="0" w:line="99" w:lineRule="exact"/>
              <w:rPr>
                <w:sz w:val="20"/>
                <w:szCs w:val="20"/>
                <w:color w:val="auto"/>
              </w:rPr>
            </w:pPr>
            <w:r>
              <w:rPr>
                <w:rFonts w:ascii="Arial" w:cs="Arial" w:eastAsia="Arial" w:hAnsi="Arial"/>
                <w:sz w:val="10"/>
                <w:szCs w:val="10"/>
                <w:color w:val="auto"/>
              </w:rPr>
              <w:t>5</w:t>
            </w:r>
          </w:p>
        </w:tc>
        <w:tc>
          <w:tcPr>
            <w:tcW w:w="1280" w:type="dxa"/>
            <w:vAlign w:val="bottom"/>
            <w:shd w:val="clear" w:color="auto" w:fill="CCEEFF"/>
          </w:tcPr>
          <w:p>
            <w:pPr>
              <w:spacing w:after="0"/>
              <w:rPr>
                <w:sz w:val="8"/>
                <w:szCs w:val="8"/>
                <w:color w:val="auto"/>
              </w:rPr>
            </w:pPr>
          </w:p>
        </w:tc>
        <w:tc>
          <w:tcPr>
            <w:tcW w:w="1220" w:type="dxa"/>
            <w:vAlign w:val="bottom"/>
            <w:gridSpan w:val="2"/>
            <w:shd w:val="clear" w:color="auto" w:fill="CCEEFF"/>
          </w:tcPr>
          <w:p>
            <w:pPr>
              <w:spacing w:after="0" w:line="99" w:lineRule="exact"/>
              <w:rPr>
                <w:sz w:val="20"/>
                <w:szCs w:val="20"/>
                <w:color w:val="auto"/>
              </w:rPr>
            </w:pPr>
            <w:r>
              <w:rPr>
                <w:rFonts w:ascii="Arial" w:cs="Arial" w:eastAsia="Arial" w:hAnsi="Arial"/>
                <w:sz w:val="10"/>
                <w:szCs w:val="10"/>
                <w:color w:val="auto"/>
              </w:rPr>
              <w:t>December 31, 2013</w:t>
            </w:r>
          </w:p>
        </w:tc>
        <w:tc>
          <w:tcPr>
            <w:tcW w:w="2000" w:type="dxa"/>
            <w:vAlign w:val="bottom"/>
            <w:gridSpan w:val="3"/>
            <w:shd w:val="clear" w:color="auto" w:fill="CCEEFF"/>
          </w:tcPr>
          <w:p>
            <w:pPr>
              <w:ind w:left="460"/>
              <w:spacing w:after="0" w:line="99" w:lineRule="exact"/>
              <w:rPr>
                <w:sz w:val="20"/>
                <w:szCs w:val="20"/>
                <w:color w:val="auto"/>
              </w:rPr>
            </w:pPr>
            <w:r>
              <w:rPr>
                <w:rFonts w:ascii="Arial" w:cs="Arial" w:eastAsia="Arial" w:hAnsi="Arial"/>
                <w:sz w:val="10"/>
                <w:szCs w:val="10"/>
                <w:color w:val="auto"/>
              </w:rPr>
              <w:t>March 12, 2014</w:t>
            </w:r>
          </w:p>
        </w:tc>
      </w:tr>
      <w:tr>
        <w:trPr>
          <w:trHeight w:val="122"/>
        </w:trPr>
        <w:tc>
          <w:tcPr>
            <w:tcW w:w="80" w:type="dxa"/>
            <w:vAlign w:val="bottom"/>
          </w:tcPr>
          <w:p>
            <w:pPr>
              <w:spacing w:after="0"/>
              <w:rPr>
                <w:sz w:val="10"/>
                <w:szCs w:val="10"/>
                <w:color w:val="auto"/>
              </w:rPr>
            </w:pPr>
          </w:p>
        </w:tc>
        <w:tc>
          <w:tcPr>
            <w:tcW w:w="1580" w:type="dxa"/>
            <w:vAlign w:val="bottom"/>
            <w:gridSpan w:val="2"/>
          </w:tcPr>
          <w:p>
            <w:pPr>
              <w:spacing w:after="0"/>
              <w:rPr>
                <w:sz w:val="20"/>
                <w:szCs w:val="20"/>
                <w:color w:val="auto"/>
              </w:rPr>
            </w:pPr>
            <w:r>
              <w:rPr>
                <w:rFonts w:ascii="Arial" w:cs="Arial" w:eastAsia="Arial" w:hAnsi="Arial"/>
                <w:sz w:val="10"/>
                <w:szCs w:val="10"/>
                <w:color w:val="auto"/>
              </w:rPr>
              <w:t>Mark Cuban</w:t>
            </w:r>
          </w:p>
        </w:tc>
        <w:tc>
          <w:tcPr>
            <w:tcW w:w="240" w:type="dxa"/>
            <w:vAlign w:val="bottom"/>
          </w:tcPr>
          <w:p>
            <w:pPr>
              <w:spacing w:after="0"/>
              <w:rPr>
                <w:sz w:val="20"/>
                <w:szCs w:val="20"/>
                <w:color w:val="auto"/>
              </w:rPr>
            </w:pPr>
            <w:r>
              <w:rPr>
                <w:rFonts w:ascii="Arial" w:cs="Arial" w:eastAsia="Arial" w:hAnsi="Arial"/>
                <w:sz w:val="10"/>
                <w:szCs w:val="10"/>
                <w:color w:val="auto"/>
              </w:rPr>
              <w:t>5</w:t>
            </w:r>
          </w:p>
        </w:tc>
        <w:tc>
          <w:tcPr>
            <w:tcW w:w="1280" w:type="dxa"/>
            <w:vAlign w:val="bottom"/>
          </w:tcPr>
          <w:p>
            <w:pPr>
              <w:spacing w:after="0"/>
              <w:rPr>
                <w:sz w:val="10"/>
                <w:szCs w:val="10"/>
                <w:color w:val="auto"/>
              </w:rPr>
            </w:pPr>
          </w:p>
        </w:tc>
        <w:tc>
          <w:tcPr>
            <w:tcW w:w="1220" w:type="dxa"/>
            <w:vAlign w:val="bottom"/>
            <w:gridSpan w:val="2"/>
          </w:tcPr>
          <w:p>
            <w:pPr>
              <w:spacing w:after="0"/>
              <w:rPr>
                <w:sz w:val="20"/>
                <w:szCs w:val="20"/>
                <w:color w:val="auto"/>
              </w:rPr>
            </w:pPr>
            <w:r>
              <w:rPr>
                <w:rFonts w:ascii="Arial" w:cs="Arial" w:eastAsia="Arial" w:hAnsi="Arial"/>
                <w:sz w:val="10"/>
                <w:szCs w:val="10"/>
                <w:color w:val="auto"/>
              </w:rPr>
              <w:t>November 11, 2015</w:t>
            </w:r>
          </w:p>
        </w:tc>
        <w:tc>
          <w:tcPr>
            <w:tcW w:w="2000" w:type="dxa"/>
            <w:vAlign w:val="bottom"/>
            <w:gridSpan w:val="3"/>
          </w:tcPr>
          <w:p>
            <w:pPr>
              <w:ind w:left="460"/>
              <w:spacing w:after="0"/>
              <w:rPr>
                <w:sz w:val="20"/>
                <w:szCs w:val="20"/>
                <w:color w:val="auto"/>
              </w:rPr>
            </w:pPr>
            <w:r>
              <w:rPr>
                <w:rFonts w:ascii="Arial" w:cs="Arial" w:eastAsia="Arial" w:hAnsi="Arial"/>
                <w:sz w:val="10"/>
                <w:szCs w:val="10"/>
                <w:color w:val="auto"/>
              </w:rPr>
              <w:t>February 19, 2016</w:t>
            </w:r>
          </w:p>
        </w:tc>
      </w:tr>
    </w:tbl>
    <w:p>
      <w:pPr>
        <w:spacing w:after="0" w:line="23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Insofar as we are aware, all required filings have now been made.</w:t>
      </w:r>
    </w:p>
    <w:p>
      <w:pPr>
        <w:spacing w:after="0" w:line="12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Code of Ethics</w:t>
      </w:r>
    </w:p>
    <w:p>
      <w:pPr>
        <w:spacing w:after="0" w:line="127" w:lineRule="exact"/>
        <w:rPr>
          <w:sz w:val="20"/>
          <w:szCs w:val="20"/>
          <w:color w:val="auto"/>
        </w:rPr>
      </w:pPr>
    </w:p>
    <w:p>
      <w:pPr>
        <w:ind w:firstLine="432"/>
        <w:spacing w:after="0" w:line="323" w:lineRule="auto"/>
        <w:rPr>
          <w:sz w:val="20"/>
          <w:szCs w:val="20"/>
          <w:color w:val="auto"/>
        </w:rPr>
      </w:pPr>
      <w:r>
        <w:rPr>
          <w:rFonts w:ascii="Arial" w:cs="Arial" w:eastAsia="Arial" w:hAnsi="Arial"/>
          <w:sz w:val="11"/>
          <w:szCs w:val="11"/>
          <w:color w:val="auto"/>
        </w:rPr>
        <w:t xml:space="preserve">We have adopted a Code of Ethics designed to help our Directors and employees resolve ethical issues. Our Code of Ethics applies to all Directors and employees, including the Chief Executive Officer, the Chief Financial Officer, principal accounting officer, controller and persons performing similar functions. Our Code of Ethics is posted on our website at </w:t>
      </w:r>
      <w:r>
        <w:rPr>
          <w:rFonts w:ascii="Arial" w:cs="Arial" w:eastAsia="Arial" w:hAnsi="Arial"/>
          <w:sz w:val="11"/>
          <w:szCs w:val="11"/>
          <w:u w:val="single" w:color="auto"/>
          <w:color w:val="0000FF"/>
        </w:rPr>
        <w:t>http://www.readingrdi.com/Governance-Documents</w:t>
      </w:r>
      <w:r>
        <w:rPr>
          <w:rFonts w:ascii="Arial" w:cs="Arial" w:eastAsia="Arial" w:hAnsi="Arial"/>
          <w:sz w:val="11"/>
          <w:szCs w:val="11"/>
          <w:color w:val="auto"/>
        </w:rPr>
        <w:t>.</w:t>
      </w:r>
    </w:p>
    <w:p>
      <w:pPr>
        <w:spacing w:after="0" w:line="65" w:lineRule="exact"/>
        <w:rPr>
          <w:sz w:val="20"/>
          <w:szCs w:val="20"/>
          <w:color w:val="auto"/>
        </w:rPr>
      </w:pPr>
    </w:p>
    <w:p>
      <w:pPr>
        <w:ind w:right="120" w:firstLine="432"/>
        <w:spacing w:after="0" w:line="263" w:lineRule="auto"/>
        <w:rPr>
          <w:sz w:val="20"/>
          <w:szCs w:val="20"/>
          <w:color w:val="auto"/>
        </w:rPr>
      </w:pPr>
      <w:r>
        <w:rPr>
          <w:rFonts w:ascii="Arial" w:cs="Arial" w:eastAsia="Arial" w:hAnsi="Arial"/>
          <w:sz w:val="12"/>
          <w:szCs w:val="12"/>
          <w:color w:val="auto"/>
        </w:rPr>
        <w:t xml:space="preserve">The Board has established a means for employees to report a violation or suspected violation of the Code of Ethics anonymously. In addition, we have adopted a “Whistleblower Policy,” which is posted on our website, at </w:t>
      </w:r>
      <w:r>
        <w:rPr>
          <w:rFonts w:ascii="Arial" w:cs="Arial" w:eastAsia="Arial" w:hAnsi="Arial"/>
          <w:sz w:val="12"/>
          <w:szCs w:val="12"/>
          <w:u w:val="single" w:color="auto"/>
          <w:color w:val="0000FF"/>
        </w:rPr>
        <w:t>http://www.readingrdi.com/Governance-Documents</w:t>
      </w:r>
      <w:r>
        <w:rPr>
          <w:rFonts w:ascii="Arial" w:cs="Arial" w:eastAsia="Arial" w:hAnsi="Arial"/>
          <w:sz w:val="12"/>
          <w:szCs w:val="12"/>
          <w:color w:val="auto"/>
        </w:rPr>
        <w:t>, that establishes a process by which employees may anonymously disclose to the Audit Committee alleged fraud or violations of accounting, internal accounting controls or auditing matters.</w:t>
      </w:r>
    </w:p>
    <w:p>
      <w:pPr>
        <w:spacing w:after="0" w:line="101" w:lineRule="exact"/>
        <w:rPr>
          <w:sz w:val="20"/>
          <w:szCs w:val="20"/>
          <w:color w:val="auto"/>
        </w:rPr>
      </w:pPr>
    </w:p>
    <w:p>
      <w:pPr>
        <w:ind w:left="440"/>
        <w:spacing w:after="0"/>
        <w:rPr>
          <w:sz w:val="20"/>
          <w:szCs w:val="20"/>
          <w:color w:val="auto"/>
        </w:rPr>
      </w:pPr>
      <w:r>
        <w:rPr>
          <w:rFonts w:ascii="Arial" w:cs="Arial" w:eastAsia="Arial" w:hAnsi="Arial"/>
          <w:sz w:val="12"/>
          <w:szCs w:val="12"/>
          <w:b w:val="1"/>
          <w:bCs w:val="1"/>
          <w:u w:val="single" w:color="auto"/>
          <w:color w:val="auto"/>
        </w:rPr>
        <w:t>Audit Committee</w:t>
      </w:r>
    </w:p>
    <w:p>
      <w:pPr>
        <w:spacing w:after="0" w:line="127" w:lineRule="exact"/>
        <w:rPr>
          <w:sz w:val="20"/>
          <w:szCs w:val="20"/>
          <w:color w:val="auto"/>
        </w:rPr>
      </w:pPr>
    </w:p>
    <w:p>
      <w:pPr>
        <w:ind w:right="40" w:firstLine="432"/>
        <w:spacing w:after="0" w:line="259" w:lineRule="auto"/>
        <w:rPr>
          <w:sz w:val="20"/>
          <w:szCs w:val="20"/>
          <w:color w:val="auto"/>
        </w:rPr>
      </w:pPr>
      <w:r>
        <w:rPr>
          <w:rFonts w:ascii="Arial" w:cs="Arial" w:eastAsia="Arial" w:hAnsi="Arial"/>
          <w:sz w:val="12"/>
          <w:szCs w:val="12"/>
          <w:color w:val="auto"/>
        </w:rPr>
        <w:t xml:space="preserve">The Audit Committee operates pursuant to Charter adopted by our Board that is available on our website at </w:t>
      </w:r>
      <w:r>
        <w:rPr>
          <w:rFonts w:ascii="Arial" w:cs="Arial" w:eastAsia="Arial" w:hAnsi="Arial"/>
          <w:sz w:val="12"/>
          <w:szCs w:val="12"/>
          <w:u w:val="single" w:color="auto"/>
          <w:color w:val="0000FF"/>
        </w:rPr>
        <w:t>http://www.readingrdi.com/Committee-Charters</w:t>
      </w:r>
      <w:r>
        <w:rPr>
          <w:rFonts w:ascii="Arial" w:cs="Arial" w:eastAsia="Arial" w:hAnsi="Arial"/>
          <w:sz w:val="12"/>
          <w:szCs w:val="12"/>
          <w:color w:val="auto"/>
        </w:rPr>
        <w:t>. The Audit Committee reviews, considers, negotiates and approves or disapproves related party transactions (see the discussion in the section entitled “Certain Relationships and Related Party Transactions” below). In addition, the Audit Committee is responsible for, among other things, (i) reviewing and discussing with management the Company’s financial statements, earnings press releases and all internal controls reports, (ii) appointing, compensating and overseeing the work performed by the Company’s independent auditors, and (iii) reviewing with the independent auditors the findings of their audits.</w:t>
      </w:r>
    </w:p>
    <w:p>
      <w:pPr>
        <w:spacing w:after="0" w:line="9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Item 11 </w:t>
      </w:r>
      <w:r>
        <w:rPr>
          <w:rFonts w:ascii="Arial" w:cs="Arial" w:eastAsia="Arial" w:hAnsi="Arial"/>
          <w:sz w:val="12"/>
          <w:szCs w:val="12"/>
          <w:color w:val="auto"/>
        </w:rPr>
        <w:t>–</w:t>
      </w:r>
      <w:r>
        <w:rPr>
          <w:rFonts w:ascii="Arial" w:cs="Arial" w:eastAsia="Arial" w:hAnsi="Arial"/>
          <w:sz w:val="12"/>
          <w:szCs w:val="12"/>
          <w:b w:val="1"/>
          <w:bCs w:val="1"/>
          <w:color w:val="auto"/>
        </w:rPr>
        <w:t xml:space="preserve"> Executive Compensation</w:t>
      </w:r>
    </w:p>
    <w:p>
      <w:pPr>
        <w:spacing w:after="0" w:line="13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Compensation Discussion and Analysis</w:t>
      </w:r>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Role and Authority of the Compensation Committee</w:t>
      </w:r>
    </w:p>
    <w:p>
      <w:pPr>
        <w:spacing w:after="0" w:line="123" w:lineRule="exact"/>
        <w:rPr>
          <w:sz w:val="20"/>
          <w:szCs w:val="20"/>
          <w:color w:val="auto"/>
        </w:rPr>
      </w:pPr>
    </w:p>
    <w:p>
      <w:pPr>
        <w:ind w:right="280" w:firstLine="432"/>
        <w:spacing w:after="0" w:line="323" w:lineRule="auto"/>
        <w:rPr>
          <w:sz w:val="20"/>
          <w:szCs w:val="20"/>
          <w:color w:val="auto"/>
        </w:rPr>
      </w:pPr>
      <w:r>
        <w:rPr>
          <w:rFonts w:ascii="Arial" w:cs="Arial" w:eastAsia="Arial" w:hAnsi="Arial"/>
          <w:sz w:val="11"/>
          <w:szCs w:val="11"/>
          <w:color w:val="auto"/>
        </w:rPr>
        <w:t>Our Board has established a standing Compensation Committee consisting of three of our non-employee Directors. As a Controlled Company, we are exempt from the NASDAQ Listing Rules regarding the determination of executive compensation solely by independent directors. Notwithstanding such exemption, we adopted a Compensation Committee charter on March 10, 2016</w:t>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59690</wp:posOffset>
            </wp:positionV>
            <wp:extent cx="677989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779895" cy="42545"/>
                    </a:xfrm>
                    <a:prstGeom prst="rect">
                      <a:avLst/>
                    </a:prstGeom>
                    <a:noFill/>
                  </pic:spPr>
                </pic:pic>
              </a:graphicData>
            </a:graphic>
          </wp:anchor>
        </w:drawing>
      </w:r>
    </w:p>
    <w:p>
      <w:pPr>
        <w:sectPr>
          <w:pgSz w:w="11900" w:h="16838" w:orient="portrait"/>
          <w:cols w:equalWidth="0" w:num="1">
            <w:col w:w="10620"/>
          </w:cols>
          <w:pgMar w:left="640" w:top="264" w:right="639" w:bottom="1440" w:gutter="0" w:footer="0" w:header="0"/>
        </w:sectPr>
      </w:pPr>
    </w:p>
    <w:bookmarkStart w:id="105" w:name="page106"/>
    <w:bookmarkEnd w:id="105"/>
    <w:p>
      <w:pPr>
        <w:spacing w:after="0"/>
        <w:rPr>
          <w:sz w:val="20"/>
          <w:szCs w:val="20"/>
          <w:color w:val="auto"/>
        </w:rPr>
      </w:pPr>
      <w:r>
        <w:rPr>
          <w:rFonts w:ascii="Arial" w:cs="Arial" w:eastAsia="Arial" w:hAnsi="Arial"/>
          <w:sz w:val="12"/>
          <w:szCs w:val="12"/>
          <w:color w:val="auto"/>
        </w:rPr>
        <w:t>requiring our Compensation Committee members to meet the independence rules and regulations of the Securities Exchange Commission and the Nasdaq Stock Market.</w:t>
      </w:r>
    </w:p>
    <w:p>
      <w:pPr>
        <w:spacing w:after="0" w:line="123" w:lineRule="exact"/>
        <w:rPr>
          <w:sz w:val="20"/>
          <w:szCs w:val="20"/>
          <w:color w:val="auto"/>
        </w:rPr>
      </w:pPr>
    </w:p>
    <w:p>
      <w:pPr>
        <w:ind w:right="40" w:firstLine="432"/>
        <w:spacing w:after="0" w:line="257" w:lineRule="auto"/>
        <w:rPr>
          <w:sz w:val="20"/>
          <w:szCs w:val="20"/>
          <w:color w:val="auto"/>
        </w:rPr>
      </w:pPr>
      <w:r>
        <w:rPr>
          <w:rFonts w:ascii="Arial" w:cs="Arial" w:eastAsia="Arial" w:hAnsi="Arial"/>
          <w:sz w:val="12"/>
          <w:szCs w:val="12"/>
          <w:color w:val="auto"/>
        </w:rPr>
        <w:t>Prior to the adoption of our Compensation Committee Charter on March 10, 2016, it was our practice that the Compensation Committee would recommend to the full Board the compensation of our Chief Executive Officer and of the other Cotter family members who serve as officers of our Company. Our Board, with the Cotter family Directors abstaining, typically accepted without modification the compensation recommendations of the Compensation Committee, but reserved the right to modify the recommendations or take other compensation actions of its own. Prior to his resignation as our Chief Executive Officer, Mr. James J. Cotter, Sr. was delegated responsibility by our Board for determining the compensation of our executive officers other than himself and his family members. The Board exercised oversight of Mr. Cotter, Sr.’s executive compensation decisions as a part of his performance as our former Chief Executive Officer.</w:t>
      </w:r>
    </w:p>
    <w:p>
      <w:pPr>
        <w:spacing w:after="0" w:line="108" w:lineRule="exact"/>
        <w:rPr>
          <w:sz w:val="20"/>
          <w:szCs w:val="20"/>
          <w:color w:val="auto"/>
        </w:rPr>
      </w:pPr>
    </w:p>
    <w:p>
      <w:pPr>
        <w:ind w:firstLine="432"/>
        <w:spacing w:after="0" w:line="276" w:lineRule="auto"/>
        <w:rPr>
          <w:sz w:val="20"/>
          <w:szCs w:val="20"/>
          <w:color w:val="auto"/>
        </w:rPr>
      </w:pPr>
      <w:r>
        <w:rPr>
          <w:rFonts w:ascii="Arial" w:cs="Arial" w:eastAsia="Arial" w:hAnsi="Arial"/>
          <w:sz w:val="12"/>
          <w:szCs w:val="12"/>
          <w:color w:val="auto"/>
        </w:rPr>
        <w:t>Earlier this year, our Board adopted a number of actions intended to bring certain of our governance practices into line with best practices, including substantial steps in the area of Executive Compensation, which are discussed below under "2016 and Future Compensation Structure." First, this discussion will address our executive compensation for 2015.</w:t>
      </w:r>
    </w:p>
    <w:p>
      <w:pPr>
        <w:spacing w:after="0" w:line="84" w:lineRule="exact"/>
        <w:rPr>
          <w:sz w:val="20"/>
          <w:szCs w:val="20"/>
          <w:color w:val="auto"/>
        </w:rPr>
      </w:pPr>
    </w:p>
    <w:p>
      <w:pPr>
        <w:ind w:left="4320"/>
        <w:spacing w:after="0"/>
        <w:rPr>
          <w:sz w:val="20"/>
          <w:szCs w:val="20"/>
          <w:color w:val="auto"/>
        </w:rPr>
      </w:pPr>
      <w:r>
        <w:rPr>
          <w:rFonts w:ascii="Arial" w:cs="Arial" w:eastAsia="Arial" w:hAnsi="Arial"/>
          <w:sz w:val="12"/>
          <w:szCs w:val="12"/>
          <w:b w:val="1"/>
          <w:bCs w:val="1"/>
          <w:color w:val="auto"/>
        </w:rPr>
        <w:t>2015 EXECUTIVE COMPENSATION</w:t>
      </w:r>
    </w:p>
    <w:p>
      <w:pPr>
        <w:spacing w:after="0" w:line="127" w:lineRule="exact"/>
        <w:rPr>
          <w:sz w:val="20"/>
          <w:szCs w:val="20"/>
          <w:color w:val="auto"/>
        </w:rPr>
      </w:pPr>
    </w:p>
    <w:p>
      <w:pPr>
        <w:ind w:left="440"/>
        <w:spacing w:after="0"/>
        <w:rPr>
          <w:sz w:val="20"/>
          <w:szCs w:val="20"/>
          <w:color w:val="auto"/>
        </w:rPr>
      </w:pPr>
      <w:r>
        <w:rPr>
          <w:rFonts w:ascii="Arial" w:cs="Arial" w:eastAsia="Arial" w:hAnsi="Arial"/>
          <w:sz w:val="12"/>
          <w:szCs w:val="12"/>
          <w:color w:val="auto"/>
        </w:rPr>
        <w:t>The individuals named in the Summary Compensation Table, below, are referred to as the “named executive officers.”</w:t>
      </w:r>
    </w:p>
    <w:p>
      <w:pPr>
        <w:spacing w:after="0" w:line="13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CEO Compensation</w:t>
      </w:r>
    </w:p>
    <w:p>
      <w:pPr>
        <w:spacing w:after="0" w:line="123" w:lineRule="exact"/>
        <w:rPr>
          <w:sz w:val="20"/>
          <w:szCs w:val="20"/>
          <w:color w:val="auto"/>
        </w:rPr>
      </w:pPr>
    </w:p>
    <w:p>
      <w:pPr>
        <w:ind w:right="140" w:firstLine="432"/>
        <w:spacing w:after="0" w:line="259" w:lineRule="auto"/>
        <w:rPr>
          <w:sz w:val="20"/>
          <w:szCs w:val="20"/>
          <w:color w:val="auto"/>
        </w:rPr>
      </w:pPr>
      <w:r>
        <w:rPr>
          <w:rFonts w:ascii="Arial" w:cs="Arial" w:eastAsia="Arial" w:hAnsi="Arial"/>
          <w:sz w:val="12"/>
          <w:szCs w:val="12"/>
          <w:color w:val="auto"/>
        </w:rPr>
        <w:t>As a matter of general practice prior to 2016, the Compensation Committee recommended to our Board the annual compensation of our Chief Executive Officer, based primarily upon the Compensation Committee’s annual review of peer group practices and the advice of an independent third-party compensation consultant engaged annually to assist the Compensation Committee. The Compensation Committee had established three components of our Chief Executive Officer’s compensation—a base cash salary, a discretionary annual cash bonus, and a fixed stock grant. The objective of each element was to reasonably reward our Chief Executive Officer for his or her performance and leadership.</w:t>
      </w:r>
    </w:p>
    <w:p>
      <w:pPr>
        <w:spacing w:after="0" w:line="98" w:lineRule="exact"/>
        <w:rPr>
          <w:sz w:val="20"/>
          <w:szCs w:val="20"/>
          <w:color w:val="auto"/>
        </w:rPr>
      </w:pPr>
    </w:p>
    <w:p>
      <w:pPr>
        <w:ind w:right="160" w:firstLine="432"/>
        <w:spacing w:after="0" w:line="263" w:lineRule="auto"/>
        <w:rPr>
          <w:sz w:val="20"/>
          <w:szCs w:val="20"/>
          <w:color w:val="auto"/>
        </w:rPr>
      </w:pPr>
      <w:r>
        <w:rPr>
          <w:rFonts w:ascii="Arial" w:cs="Arial" w:eastAsia="Arial" w:hAnsi="Arial"/>
          <w:sz w:val="12"/>
          <w:szCs w:val="12"/>
          <w:color w:val="auto"/>
        </w:rPr>
        <w:t>The Compensation Committee engaged executive compensation consultants Willis Towers Watson (now known as Willis Towers Watson) in 2012 to analyze our Chief Executive Officer’s total direct compensation compared to a peer group of companies. In preparing that analysis, Willis Towers Watson, in consultation with our management, including James J. Cotter, Sr., identified a peer group of companies in the real estate and cinema exhibition industries, our two business segments, based on market value, industry, and business description.</w:t>
      </w:r>
    </w:p>
    <w:p>
      <w:pPr>
        <w:spacing w:after="0" w:line="105" w:lineRule="exact"/>
        <w:rPr>
          <w:sz w:val="20"/>
          <w:szCs w:val="20"/>
          <w:color w:val="auto"/>
        </w:rPr>
      </w:pPr>
    </w:p>
    <w:p>
      <w:pPr>
        <w:ind w:right="80" w:firstLine="432"/>
        <w:spacing w:after="0" w:line="259" w:lineRule="auto"/>
        <w:rPr>
          <w:sz w:val="20"/>
          <w:szCs w:val="20"/>
          <w:color w:val="auto"/>
        </w:rPr>
      </w:pPr>
      <w:r>
        <w:rPr>
          <w:rFonts w:ascii="Arial" w:cs="Arial" w:eastAsia="Arial" w:hAnsi="Arial"/>
          <w:sz w:val="12"/>
          <w:szCs w:val="12"/>
          <w:color w:val="auto"/>
        </w:rPr>
        <w:t>Prior to the work commenced in early 2016, Willis Towers Watson had most recently updated its analysis of our Chief Executive Officer’s compensation in 2014, when Mr. Cotter, Sr. held that position. The Willis Towers Watson analysis focused on the competitiveness of Mr. Cotter, Sr.’s annual base salary, total cash compensation and total direct compensation (</w:t>
      </w:r>
      <w:r>
        <w:rPr>
          <w:rFonts w:ascii="Arial" w:cs="Arial" w:eastAsia="Arial" w:hAnsi="Arial"/>
          <w:sz w:val="12"/>
          <w:szCs w:val="12"/>
          <w:i w:val="1"/>
          <w:iCs w:val="1"/>
          <w:color w:val="auto"/>
        </w:rPr>
        <w:t>i.e</w:t>
      </w:r>
      <w:r>
        <w:rPr>
          <w:rFonts w:ascii="Arial" w:cs="Arial" w:eastAsia="Arial" w:hAnsi="Arial"/>
          <w:sz w:val="12"/>
          <w:szCs w:val="12"/>
          <w:color w:val="auto"/>
        </w:rPr>
        <w:t>., total cash compensation plus expected value of long-term compensation) relative to a peer group of 17 United States and Australian companies and published compensation survey data, and to our Company’s compensation philosophy, which was to target Mr. Cotter, Sr.’s total direct compensation to the 66th percentile of the peer group. The peer group consisted of the following 17 companies:</w:t>
      </w:r>
    </w:p>
    <w:p>
      <w:pPr>
        <w:sectPr>
          <w:pgSz w:w="11900" w:h="16838" w:orient="portrait"/>
          <w:cols w:equalWidth="0" w:num="1">
            <w:col w:w="10620"/>
          </w:cols>
          <w:pgMar w:left="640" w:top="275" w:right="639" w:bottom="1440" w:gutter="0" w:footer="0" w:header="0"/>
        </w:sectPr>
      </w:pPr>
    </w:p>
    <w:p>
      <w:pPr>
        <w:spacing w:after="0" w:line="98" w:lineRule="exact"/>
        <w:rPr>
          <w:sz w:val="20"/>
          <w:szCs w:val="20"/>
          <w:color w:val="auto"/>
        </w:rPr>
      </w:pPr>
    </w:p>
    <w:p>
      <w:pPr>
        <w:ind w:left="640"/>
        <w:spacing w:after="0"/>
        <w:rPr>
          <w:sz w:val="20"/>
          <w:szCs w:val="20"/>
          <w:color w:val="auto"/>
        </w:rPr>
      </w:pPr>
      <w:r>
        <w:rPr>
          <w:rFonts w:ascii="Arial" w:cs="Arial" w:eastAsia="Arial" w:hAnsi="Arial"/>
          <w:sz w:val="12"/>
          <w:szCs w:val="12"/>
          <w:color w:val="auto"/>
        </w:rPr>
        <w:t>Acadia Realty Trust</w:t>
      </w:r>
    </w:p>
    <w:p>
      <w:pPr>
        <w:spacing w:after="0" w:line="15" w:lineRule="exact"/>
        <w:rPr>
          <w:sz w:val="20"/>
          <w:szCs w:val="20"/>
          <w:color w:val="auto"/>
        </w:rPr>
      </w:pPr>
    </w:p>
    <w:p>
      <w:pPr>
        <w:ind w:left="640"/>
        <w:spacing w:after="0"/>
        <w:rPr>
          <w:sz w:val="20"/>
          <w:szCs w:val="20"/>
          <w:color w:val="auto"/>
        </w:rPr>
      </w:pPr>
      <w:r>
        <w:rPr>
          <w:rFonts w:ascii="Arial" w:cs="Arial" w:eastAsia="Arial" w:hAnsi="Arial"/>
          <w:sz w:val="12"/>
          <w:szCs w:val="12"/>
          <w:color w:val="auto"/>
        </w:rPr>
        <w:t>Amalgamated Holdings Ltd.</w:t>
      </w:r>
    </w:p>
    <w:p>
      <w:pPr>
        <w:spacing w:after="0" w:line="6" w:lineRule="exact"/>
        <w:rPr>
          <w:sz w:val="20"/>
          <w:szCs w:val="20"/>
          <w:color w:val="auto"/>
        </w:rPr>
      </w:pPr>
    </w:p>
    <w:p>
      <w:pPr>
        <w:ind w:left="640"/>
        <w:spacing w:after="0"/>
        <w:rPr>
          <w:sz w:val="20"/>
          <w:szCs w:val="20"/>
          <w:color w:val="auto"/>
        </w:rPr>
      </w:pPr>
      <w:r>
        <w:rPr>
          <w:rFonts w:ascii="Arial" w:cs="Arial" w:eastAsia="Arial" w:hAnsi="Arial"/>
          <w:sz w:val="10"/>
          <w:szCs w:val="10"/>
          <w:color w:val="auto"/>
        </w:rPr>
        <w:t>Associated Estates Realty Corp.</w:t>
      </w:r>
    </w:p>
    <w:p>
      <w:pPr>
        <w:spacing w:after="0" w:line="29" w:lineRule="exact"/>
        <w:rPr>
          <w:sz w:val="20"/>
          <w:szCs w:val="20"/>
          <w:color w:val="auto"/>
        </w:rPr>
      </w:pPr>
    </w:p>
    <w:p>
      <w:pPr>
        <w:ind w:left="640"/>
        <w:spacing w:after="0"/>
        <w:rPr>
          <w:sz w:val="20"/>
          <w:szCs w:val="20"/>
          <w:color w:val="auto"/>
        </w:rPr>
      </w:pPr>
      <w:r>
        <w:rPr>
          <w:rFonts w:ascii="Arial" w:cs="Arial" w:eastAsia="Arial" w:hAnsi="Arial"/>
          <w:sz w:val="12"/>
          <w:szCs w:val="12"/>
          <w:color w:val="auto"/>
        </w:rPr>
        <w:t>Carmike Cinemas Inc.</w:t>
      </w:r>
    </w:p>
    <w:p>
      <w:pPr>
        <w:spacing w:after="0" w:line="6" w:lineRule="exact"/>
        <w:rPr>
          <w:sz w:val="20"/>
          <w:szCs w:val="20"/>
          <w:color w:val="auto"/>
        </w:rPr>
      </w:pPr>
    </w:p>
    <w:p>
      <w:pPr>
        <w:ind w:left="640"/>
        <w:spacing w:after="0"/>
        <w:rPr>
          <w:sz w:val="20"/>
          <w:szCs w:val="20"/>
          <w:color w:val="auto"/>
        </w:rPr>
      </w:pPr>
      <w:r>
        <w:rPr>
          <w:rFonts w:ascii="Arial" w:cs="Arial" w:eastAsia="Arial" w:hAnsi="Arial"/>
          <w:sz w:val="11"/>
          <w:szCs w:val="11"/>
          <w:color w:val="auto"/>
        </w:rPr>
        <w:t>Cedar Shopping Centers Inc.</w:t>
      </w:r>
    </w:p>
    <w:p>
      <w:pPr>
        <w:spacing w:after="0" w:line="18" w:lineRule="exact"/>
        <w:rPr>
          <w:sz w:val="20"/>
          <w:szCs w:val="20"/>
          <w:color w:val="auto"/>
        </w:rPr>
      </w:pPr>
    </w:p>
    <w:p>
      <w:pPr>
        <w:ind w:left="640"/>
        <w:spacing w:after="0"/>
        <w:rPr>
          <w:sz w:val="20"/>
          <w:szCs w:val="20"/>
          <w:color w:val="auto"/>
        </w:rPr>
      </w:pPr>
      <w:r>
        <w:rPr>
          <w:rFonts w:ascii="Arial" w:cs="Arial" w:eastAsia="Arial" w:hAnsi="Arial"/>
          <w:sz w:val="12"/>
          <w:szCs w:val="12"/>
          <w:color w:val="auto"/>
        </w:rPr>
        <w:t>Cinemark Holdings Inc.</w:t>
      </w:r>
    </w:p>
    <w:p>
      <w:pPr>
        <w:spacing w:after="0" w:line="6" w:lineRule="exact"/>
        <w:rPr>
          <w:sz w:val="20"/>
          <w:szCs w:val="20"/>
          <w:color w:val="auto"/>
        </w:rPr>
      </w:pPr>
    </w:p>
    <w:p>
      <w:pPr>
        <w:ind w:left="640"/>
        <w:spacing w:after="0"/>
        <w:rPr>
          <w:sz w:val="20"/>
          <w:szCs w:val="20"/>
          <w:color w:val="auto"/>
        </w:rPr>
      </w:pPr>
      <w:r>
        <w:rPr>
          <w:rFonts w:ascii="Arial" w:cs="Arial" w:eastAsia="Arial" w:hAnsi="Arial"/>
          <w:sz w:val="11"/>
          <w:szCs w:val="11"/>
          <w:color w:val="auto"/>
        </w:rPr>
        <w:t>Entertainment Properties Trust</w:t>
      </w:r>
    </w:p>
    <w:p>
      <w:pPr>
        <w:spacing w:after="0" w:line="18" w:lineRule="exact"/>
        <w:rPr>
          <w:sz w:val="20"/>
          <w:szCs w:val="20"/>
          <w:color w:val="auto"/>
        </w:rPr>
      </w:pPr>
    </w:p>
    <w:p>
      <w:pPr>
        <w:ind w:left="640"/>
        <w:spacing w:after="0"/>
        <w:rPr>
          <w:sz w:val="20"/>
          <w:szCs w:val="20"/>
          <w:color w:val="auto"/>
        </w:rPr>
      </w:pPr>
      <w:r>
        <w:rPr>
          <w:rFonts w:ascii="Arial" w:cs="Arial" w:eastAsia="Arial" w:hAnsi="Arial"/>
          <w:sz w:val="12"/>
          <w:szCs w:val="12"/>
          <w:color w:val="auto"/>
        </w:rPr>
        <w:t>Glimcher Realty Trust</w:t>
      </w:r>
    </w:p>
    <w:p>
      <w:pPr>
        <w:spacing w:after="0" w:line="6" w:lineRule="exact"/>
        <w:rPr>
          <w:sz w:val="20"/>
          <w:szCs w:val="20"/>
          <w:color w:val="auto"/>
        </w:rPr>
      </w:pPr>
    </w:p>
    <w:p>
      <w:pPr>
        <w:ind w:left="640"/>
        <w:spacing w:after="0"/>
        <w:rPr>
          <w:sz w:val="20"/>
          <w:szCs w:val="20"/>
          <w:color w:val="auto"/>
        </w:rPr>
      </w:pPr>
      <w:r>
        <w:rPr>
          <w:rFonts w:ascii="Arial" w:cs="Arial" w:eastAsia="Arial" w:hAnsi="Arial"/>
          <w:sz w:val="12"/>
          <w:szCs w:val="12"/>
          <w:color w:val="auto"/>
        </w:rPr>
        <w:t>IMAX Corporation</w:t>
      </w:r>
    </w:p>
    <w:p>
      <w:pPr>
        <w:spacing w:after="0" w:line="20" w:lineRule="exact"/>
        <w:rPr>
          <w:sz w:val="20"/>
          <w:szCs w:val="20"/>
          <w:color w:val="auto"/>
        </w:rPr>
      </w:pPr>
      <w:r>
        <w:rPr>
          <w:sz w:val="20"/>
          <w:szCs w:val="20"/>
          <w:color w:val="auto"/>
        </w:rPr>
        <w:br w:type="column"/>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color w:val="auto"/>
        </w:rPr>
        <w:t>Inland Real Estate Corp.</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Kite Realty Group Trust</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LTC Properties Inc.</w:t>
      </w:r>
    </w:p>
    <w:p>
      <w:pPr>
        <w:spacing w:after="0" w:line="6" w:lineRule="exact"/>
        <w:rPr>
          <w:sz w:val="20"/>
          <w:szCs w:val="20"/>
          <w:color w:val="auto"/>
        </w:rPr>
      </w:pPr>
    </w:p>
    <w:p>
      <w:pPr>
        <w:spacing w:after="0"/>
        <w:rPr>
          <w:sz w:val="20"/>
          <w:szCs w:val="20"/>
          <w:color w:val="auto"/>
        </w:rPr>
      </w:pPr>
      <w:r>
        <w:rPr>
          <w:rFonts w:ascii="Arial" w:cs="Arial" w:eastAsia="Arial" w:hAnsi="Arial"/>
          <w:sz w:val="10"/>
          <w:szCs w:val="10"/>
          <w:color w:val="auto"/>
        </w:rPr>
        <w:t>Ramco-Gershenson Properties Trust</w:t>
      </w:r>
    </w:p>
    <w:p>
      <w:pPr>
        <w:spacing w:after="0" w:line="29" w:lineRule="exact"/>
        <w:rPr>
          <w:sz w:val="20"/>
          <w:szCs w:val="20"/>
          <w:color w:val="auto"/>
        </w:rPr>
      </w:pPr>
    </w:p>
    <w:p>
      <w:pPr>
        <w:spacing w:after="0"/>
        <w:rPr>
          <w:sz w:val="20"/>
          <w:szCs w:val="20"/>
          <w:color w:val="auto"/>
        </w:rPr>
      </w:pPr>
      <w:r>
        <w:rPr>
          <w:rFonts w:ascii="Arial" w:cs="Arial" w:eastAsia="Arial" w:hAnsi="Arial"/>
          <w:sz w:val="12"/>
          <w:szCs w:val="12"/>
          <w:color w:val="auto"/>
        </w:rPr>
        <w:t>Regal Entertainment Group</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The Marcus Corporation</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Urstadt Biddle Properties Inc.</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Village Roadshow Ltd.</w:t>
      </w:r>
    </w:p>
    <w:p>
      <w:pPr>
        <w:spacing w:after="0" w:line="285" w:lineRule="exact"/>
        <w:rPr>
          <w:sz w:val="20"/>
          <w:szCs w:val="20"/>
          <w:color w:val="auto"/>
        </w:rPr>
      </w:pPr>
    </w:p>
    <w:p>
      <w:pPr>
        <w:sectPr>
          <w:pgSz w:w="11900" w:h="16838" w:orient="portrait"/>
          <w:cols w:equalWidth="0" w:num="2">
            <w:col w:w="2380" w:space="720"/>
            <w:col w:w="7520"/>
          </w:cols>
          <w:pgMar w:left="640" w:top="275" w:right="639" w:bottom="1440" w:gutter="0" w:footer="0" w:header="0"/>
          <w:type w:val="continuous"/>
        </w:sectPr>
      </w:pPr>
    </w:p>
    <w:p>
      <w:pPr>
        <w:ind w:right="420" w:firstLine="432"/>
        <w:spacing w:after="0" w:line="276" w:lineRule="auto"/>
        <w:rPr>
          <w:sz w:val="20"/>
          <w:szCs w:val="20"/>
          <w:color w:val="auto"/>
        </w:rPr>
      </w:pPr>
      <w:r>
        <w:rPr>
          <w:rFonts w:ascii="Arial" w:cs="Arial" w:eastAsia="Arial" w:hAnsi="Arial"/>
          <w:sz w:val="12"/>
          <w:szCs w:val="12"/>
          <w:color w:val="auto"/>
        </w:rPr>
        <w:t>Following his appointment on August 7, 2014 as our Chief Executive Officer and until his termination from that position on June 12, 2015, James J. Cotter, Jr. continued to receive the same base salary of $335,000 that he had previously been receiving in his capacity as our President. Mr. Cotter, Jr. was not awarded a discretionary cash bonus for 2014 or 2015.</w:t>
      </w:r>
    </w:p>
    <w:p>
      <w:pPr>
        <w:spacing w:after="0" w:line="88" w:lineRule="exact"/>
        <w:rPr>
          <w:sz w:val="20"/>
          <w:szCs w:val="20"/>
          <w:color w:val="auto"/>
        </w:rPr>
      </w:pPr>
    </w:p>
    <w:p>
      <w:pPr>
        <w:ind w:right="360" w:firstLine="432"/>
        <w:spacing w:after="0" w:line="323" w:lineRule="auto"/>
        <w:rPr>
          <w:sz w:val="20"/>
          <w:szCs w:val="20"/>
          <w:color w:val="auto"/>
        </w:rPr>
      </w:pPr>
      <w:r>
        <w:rPr>
          <w:rFonts w:ascii="Arial" w:cs="Arial" w:eastAsia="Arial" w:hAnsi="Arial"/>
          <w:sz w:val="11"/>
          <w:szCs w:val="11"/>
          <w:color w:val="auto"/>
        </w:rPr>
        <w:t>On June 12, 2015, our Board appointed Ellen M. Cotter as our interim President and Chief Executive Officer. No new compensatory arrangements were entered into with Ms. Cotter in connection with her appointment as interim President and Chief Executive Officer, and she continued to receive the same base salary of $402,000 that she received at the time of her appointment.</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59690</wp:posOffset>
            </wp:positionV>
            <wp:extent cx="677989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779895" cy="42545"/>
                    </a:xfrm>
                    <a:prstGeom prst="rect">
                      <a:avLst/>
                    </a:prstGeom>
                    <a:noFill/>
                  </pic:spPr>
                </pic:pic>
              </a:graphicData>
            </a:graphic>
          </wp:anchor>
        </w:drawing>
      </w:r>
    </w:p>
    <w:p>
      <w:pPr>
        <w:sectPr>
          <w:pgSz w:w="11900" w:h="16838" w:orient="portrait"/>
          <w:cols w:equalWidth="0" w:num="1">
            <w:col w:w="10620"/>
          </w:cols>
          <w:pgMar w:left="640" w:top="275" w:right="639" w:bottom="1440" w:gutter="0" w:footer="0" w:header="0"/>
          <w:type w:val="continuous"/>
        </w:sectPr>
      </w:pPr>
    </w:p>
    <w:bookmarkStart w:id="106" w:name="page107"/>
    <w:bookmarkEnd w:id="106"/>
    <w:p>
      <w:pPr>
        <w:ind w:right="40" w:firstLine="432"/>
        <w:spacing w:after="0" w:line="259" w:lineRule="auto"/>
        <w:rPr>
          <w:sz w:val="20"/>
          <w:szCs w:val="20"/>
          <w:color w:val="auto"/>
        </w:rPr>
      </w:pPr>
      <w:r>
        <w:rPr>
          <w:rFonts w:ascii="Arial" w:cs="Arial" w:eastAsia="Arial" w:hAnsi="Arial"/>
          <w:sz w:val="12"/>
          <w:szCs w:val="12"/>
          <w:color w:val="auto"/>
        </w:rPr>
        <w:t>In early 2016, the Compensation Committee, with the assistance of Willis Towers Watson and Ms. Cotter, adopted new procedures regarding officer compensation. As a part thereof, unlike prior years, the Compensation Committee evaluated the performance of our Chief Executive Officer and our named executive officers and determined their 2015 cash bonus awards. Having had the benefit of further analysis of the Company’s executive compensation and revisions of the Company’s compensation philosophy, the Compensation Committee approved a $250,000 bonus for Ellen M. Cotter for her 2015 performance as interim President and Chief Executive Officer.</w:t>
      </w:r>
    </w:p>
    <w:p>
      <w:pPr>
        <w:spacing w:after="0" w:line="98"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Total Direct Compensation</w:t>
      </w:r>
    </w:p>
    <w:p>
      <w:pPr>
        <w:spacing w:after="0" w:line="132" w:lineRule="exact"/>
        <w:rPr>
          <w:sz w:val="20"/>
          <w:szCs w:val="20"/>
          <w:color w:val="auto"/>
        </w:rPr>
      </w:pPr>
    </w:p>
    <w:p>
      <w:pPr>
        <w:ind w:right="20" w:firstLine="432"/>
        <w:spacing w:after="0" w:line="276" w:lineRule="auto"/>
        <w:rPr>
          <w:sz w:val="20"/>
          <w:szCs w:val="20"/>
          <w:color w:val="auto"/>
        </w:rPr>
      </w:pPr>
      <w:r>
        <w:rPr>
          <w:rFonts w:ascii="Arial" w:cs="Arial" w:eastAsia="Arial" w:hAnsi="Arial"/>
          <w:sz w:val="12"/>
          <w:szCs w:val="12"/>
          <w:color w:val="auto"/>
        </w:rPr>
        <w:t>In 2015, we and our Compensation Committee had no policy regarding the amount of salary and cash bonus paid to our Chief Executive Officer or other named executive officers in proportion to their total direct compensation.</w:t>
      </w:r>
    </w:p>
    <w:p>
      <w:pPr>
        <w:spacing w:after="0" w:line="8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Compensation of Other Named Executive Officers</w:t>
      </w:r>
    </w:p>
    <w:p>
      <w:pPr>
        <w:spacing w:after="0" w:line="123" w:lineRule="exact"/>
        <w:rPr>
          <w:sz w:val="20"/>
          <w:szCs w:val="20"/>
          <w:color w:val="auto"/>
        </w:rPr>
      </w:pPr>
    </w:p>
    <w:p>
      <w:pPr>
        <w:ind w:right="120" w:firstLine="432"/>
        <w:spacing w:after="0" w:line="263" w:lineRule="auto"/>
        <w:rPr>
          <w:sz w:val="20"/>
          <w:szCs w:val="20"/>
          <w:color w:val="auto"/>
        </w:rPr>
      </w:pPr>
      <w:r>
        <w:rPr>
          <w:rFonts w:ascii="Arial" w:cs="Arial" w:eastAsia="Arial" w:hAnsi="Arial"/>
          <w:sz w:val="12"/>
          <w:szCs w:val="12"/>
          <w:color w:val="auto"/>
        </w:rPr>
        <w:t>Until the reassessment of compensation practices in early 2016, the compensation of the Cotter family members as executive officers of our Company was determined by the Compensation Committee based on the same compensation philosophy used to determined Mr. Cotter, Sr.’s compensation prior to his retirement. The Cotter family members’ respective compensation packages each consisted of a base cash salary, discretionary cash bonus and, on occasion, discretionary grants of stock options.</w:t>
      </w:r>
    </w:p>
    <w:p>
      <w:pPr>
        <w:spacing w:after="0" w:line="105" w:lineRule="exact"/>
        <w:rPr>
          <w:sz w:val="20"/>
          <w:szCs w:val="20"/>
          <w:color w:val="auto"/>
        </w:rPr>
      </w:pPr>
    </w:p>
    <w:p>
      <w:pPr>
        <w:ind w:right="100" w:firstLine="432"/>
        <w:spacing w:after="0" w:line="276" w:lineRule="auto"/>
        <w:rPr>
          <w:sz w:val="20"/>
          <w:szCs w:val="20"/>
          <w:color w:val="auto"/>
        </w:rPr>
      </w:pPr>
      <w:r>
        <w:rPr>
          <w:rFonts w:ascii="Arial" w:cs="Arial" w:eastAsia="Arial" w:hAnsi="Arial"/>
          <w:sz w:val="12"/>
          <w:szCs w:val="12"/>
          <w:color w:val="auto"/>
        </w:rPr>
        <w:t>Historically, our Chief Executive Officer determined the base salaries of our executive officers other than himself and members of his family. Our Chief Executive Officer considered the following guidelines in setting the type and amount of executive compensation:</w:t>
      </w:r>
    </w:p>
    <w:p>
      <w:pPr>
        <w:spacing w:after="0" w:line="88" w:lineRule="exact"/>
        <w:rPr>
          <w:sz w:val="20"/>
          <w:szCs w:val="20"/>
          <w:color w:val="auto"/>
        </w:rPr>
      </w:pPr>
    </w:p>
    <w:p>
      <w:pPr>
        <w:ind w:left="680" w:hanging="243"/>
        <w:spacing w:after="0"/>
        <w:tabs>
          <w:tab w:leader="none" w:pos="680" w:val="left"/>
        </w:tabs>
        <w:numPr>
          <w:ilvl w:val="0"/>
          <w:numId w:val="44"/>
        </w:numPr>
        <w:rPr>
          <w:rFonts w:ascii="Arial" w:cs="Arial" w:eastAsia="Arial" w:hAnsi="Arial"/>
          <w:sz w:val="12"/>
          <w:szCs w:val="12"/>
          <w:color w:val="auto"/>
        </w:rPr>
      </w:pPr>
      <w:r>
        <w:rPr>
          <w:rFonts w:ascii="Arial" w:cs="Arial" w:eastAsia="Arial" w:hAnsi="Arial"/>
          <w:sz w:val="12"/>
          <w:szCs w:val="12"/>
          <w:color w:val="auto"/>
        </w:rPr>
        <w:t>Executive compensation should primarily be used to:</w:t>
      </w:r>
    </w:p>
    <w:p>
      <w:pPr>
        <w:spacing w:after="0" w:line="123" w:lineRule="exact"/>
        <w:rPr>
          <w:rFonts w:ascii="Arial" w:cs="Arial" w:eastAsia="Arial" w:hAnsi="Arial"/>
          <w:sz w:val="12"/>
          <w:szCs w:val="12"/>
          <w:color w:val="auto"/>
        </w:rPr>
      </w:pPr>
    </w:p>
    <w:p>
      <w:pPr>
        <w:ind w:left="840" w:hanging="187"/>
        <w:spacing w:after="0"/>
        <w:tabs>
          <w:tab w:leader="none" w:pos="840" w:val="left"/>
        </w:tabs>
        <w:numPr>
          <w:ilvl w:val="1"/>
          <w:numId w:val="44"/>
        </w:numPr>
        <w:rPr>
          <w:rFonts w:ascii="Arial" w:cs="Arial" w:eastAsia="Arial" w:hAnsi="Arial"/>
          <w:sz w:val="12"/>
          <w:szCs w:val="12"/>
          <w:color w:val="auto"/>
        </w:rPr>
      </w:pPr>
      <w:r>
        <w:rPr>
          <w:rFonts w:ascii="Arial" w:cs="Arial" w:eastAsia="Arial" w:hAnsi="Arial"/>
          <w:sz w:val="12"/>
          <w:szCs w:val="12"/>
          <w:color w:val="auto"/>
        </w:rPr>
        <w:t>attract and retain talented executives;</w:t>
      </w:r>
    </w:p>
    <w:p>
      <w:pPr>
        <w:spacing w:after="0" w:line="14" w:lineRule="exact"/>
        <w:rPr>
          <w:rFonts w:ascii="Arial" w:cs="Arial" w:eastAsia="Arial" w:hAnsi="Arial"/>
          <w:sz w:val="12"/>
          <w:szCs w:val="12"/>
          <w:color w:val="auto"/>
        </w:rPr>
      </w:pPr>
    </w:p>
    <w:p>
      <w:pPr>
        <w:ind w:left="740" w:hanging="87"/>
        <w:spacing w:after="0"/>
        <w:tabs>
          <w:tab w:leader="none" w:pos="740" w:val="left"/>
        </w:tabs>
        <w:numPr>
          <w:ilvl w:val="1"/>
          <w:numId w:val="44"/>
        </w:numPr>
        <w:rPr>
          <w:rFonts w:ascii="Arial" w:cs="Arial" w:eastAsia="Arial" w:hAnsi="Arial"/>
          <w:sz w:val="12"/>
          <w:szCs w:val="12"/>
          <w:color w:val="auto"/>
        </w:rPr>
      </w:pPr>
      <w:r>
        <w:rPr>
          <w:rFonts w:ascii="Arial" w:cs="Arial" w:eastAsia="Arial" w:hAnsi="Arial"/>
          <w:sz w:val="12"/>
          <w:szCs w:val="12"/>
          <w:color w:val="auto"/>
        </w:rPr>
        <w:t>reward executives appropriately for their individual efforts and job performance; and</w:t>
      </w:r>
    </w:p>
    <w:p>
      <w:pPr>
        <w:spacing w:after="0" w:line="6" w:lineRule="exact"/>
        <w:rPr>
          <w:sz w:val="20"/>
          <w:szCs w:val="20"/>
          <w:color w:val="auto"/>
        </w:rPr>
      </w:pPr>
    </w:p>
    <w:p>
      <w:pPr>
        <w:ind w:left="660"/>
        <w:spacing w:after="0"/>
        <w:rPr>
          <w:sz w:val="20"/>
          <w:szCs w:val="20"/>
          <w:color w:val="auto"/>
        </w:rPr>
      </w:pPr>
      <w:r>
        <w:rPr>
          <w:rFonts w:ascii="Arial" w:cs="Arial" w:eastAsia="Arial" w:hAnsi="Arial"/>
          <w:sz w:val="12"/>
          <w:szCs w:val="12"/>
          <w:color w:val="auto"/>
        </w:rPr>
        <w:t>·afford executives appropriate incentives to achieve the short-term and long-term business objectives established by management and our Board.</w:t>
      </w:r>
    </w:p>
    <w:p>
      <w:pPr>
        <w:spacing w:after="0" w:line="6" w:lineRule="exact"/>
        <w:rPr>
          <w:sz w:val="20"/>
          <w:szCs w:val="20"/>
          <w:color w:val="auto"/>
        </w:rPr>
      </w:pPr>
    </w:p>
    <w:p>
      <w:pPr>
        <w:ind w:left="680" w:hanging="243"/>
        <w:spacing w:after="0"/>
        <w:tabs>
          <w:tab w:leader="none" w:pos="680" w:val="left"/>
        </w:tabs>
        <w:numPr>
          <w:ilvl w:val="0"/>
          <w:numId w:val="45"/>
        </w:numPr>
        <w:rPr>
          <w:rFonts w:ascii="Arial" w:cs="Arial" w:eastAsia="Arial" w:hAnsi="Arial"/>
          <w:sz w:val="12"/>
          <w:szCs w:val="12"/>
          <w:color w:val="auto"/>
        </w:rPr>
      </w:pPr>
      <w:r>
        <w:rPr>
          <w:rFonts w:ascii="Arial" w:cs="Arial" w:eastAsia="Arial" w:hAnsi="Arial"/>
          <w:sz w:val="12"/>
          <w:szCs w:val="12"/>
          <w:color w:val="auto"/>
        </w:rPr>
        <w:t>In support of the foregoing, the total compensation paid to our named executive officers should be:</w:t>
      </w:r>
    </w:p>
    <w:p>
      <w:pPr>
        <w:spacing w:after="0" w:line="123" w:lineRule="exact"/>
        <w:rPr>
          <w:rFonts w:ascii="Arial" w:cs="Arial" w:eastAsia="Arial" w:hAnsi="Arial"/>
          <w:sz w:val="12"/>
          <w:szCs w:val="12"/>
          <w:color w:val="auto"/>
        </w:rPr>
      </w:pPr>
    </w:p>
    <w:p>
      <w:pPr>
        <w:ind w:left="780" w:hanging="127"/>
        <w:spacing w:after="0"/>
        <w:tabs>
          <w:tab w:leader="none" w:pos="780" w:val="left"/>
        </w:tabs>
        <w:numPr>
          <w:ilvl w:val="1"/>
          <w:numId w:val="45"/>
        </w:numPr>
        <w:rPr>
          <w:rFonts w:ascii="Arial" w:cs="Arial" w:eastAsia="Arial" w:hAnsi="Arial"/>
          <w:sz w:val="12"/>
          <w:szCs w:val="12"/>
          <w:color w:val="auto"/>
        </w:rPr>
      </w:pPr>
      <w:r>
        <w:rPr>
          <w:rFonts w:ascii="Arial" w:cs="Arial" w:eastAsia="Arial" w:hAnsi="Arial"/>
          <w:sz w:val="12"/>
          <w:szCs w:val="12"/>
          <w:color w:val="auto"/>
        </w:rPr>
        <w:t>fair, both to our Company and to the named executive officers;</w:t>
      </w:r>
    </w:p>
    <w:p>
      <w:pPr>
        <w:spacing w:after="0" w:line="14" w:lineRule="exact"/>
        <w:rPr>
          <w:rFonts w:ascii="Arial" w:cs="Arial" w:eastAsia="Arial" w:hAnsi="Arial"/>
          <w:sz w:val="12"/>
          <w:szCs w:val="12"/>
          <w:color w:val="auto"/>
        </w:rPr>
      </w:pPr>
    </w:p>
    <w:p>
      <w:pPr>
        <w:ind w:left="840" w:hanging="187"/>
        <w:spacing w:after="0"/>
        <w:tabs>
          <w:tab w:leader="none" w:pos="840" w:val="left"/>
        </w:tabs>
        <w:numPr>
          <w:ilvl w:val="1"/>
          <w:numId w:val="45"/>
        </w:numPr>
        <w:rPr>
          <w:rFonts w:ascii="Arial" w:cs="Arial" w:eastAsia="Arial" w:hAnsi="Arial"/>
          <w:sz w:val="12"/>
          <w:szCs w:val="12"/>
          <w:color w:val="auto"/>
        </w:rPr>
      </w:pPr>
      <w:r>
        <w:rPr>
          <w:rFonts w:ascii="Arial" w:cs="Arial" w:eastAsia="Arial" w:hAnsi="Arial"/>
          <w:sz w:val="12"/>
          <w:szCs w:val="12"/>
          <w:color w:val="auto"/>
        </w:rPr>
        <w:t>reasonable in nature and amount; and</w:t>
      </w:r>
    </w:p>
    <w:p>
      <w:pPr>
        <w:spacing w:after="0" w:line="6" w:lineRule="exact"/>
        <w:rPr>
          <w:rFonts w:ascii="Arial" w:cs="Arial" w:eastAsia="Arial" w:hAnsi="Arial"/>
          <w:sz w:val="12"/>
          <w:szCs w:val="12"/>
          <w:color w:val="auto"/>
        </w:rPr>
      </w:pPr>
    </w:p>
    <w:p>
      <w:pPr>
        <w:ind w:left="820" w:hanging="167"/>
        <w:spacing w:after="0"/>
        <w:tabs>
          <w:tab w:leader="none" w:pos="820" w:val="left"/>
        </w:tabs>
        <w:numPr>
          <w:ilvl w:val="1"/>
          <w:numId w:val="45"/>
        </w:numPr>
        <w:rPr>
          <w:rFonts w:ascii="Arial" w:cs="Arial" w:eastAsia="Arial" w:hAnsi="Arial"/>
          <w:sz w:val="12"/>
          <w:szCs w:val="12"/>
          <w:color w:val="auto"/>
        </w:rPr>
      </w:pPr>
      <w:r>
        <w:rPr>
          <w:rFonts w:ascii="Arial" w:cs="Arial" w:eastAsia="Arial" w:hAnsi="Arial"/>
          <w:sz w:val="12"/>
          <w:szCs w:val="12"/>
          <w:color w:val="auto"/>
        </w:rPr>
        <w:t>competitive with market compensation rates.</w:t>
      </w:r>
    </w:p>
    <w:p>
      <w:pPr>
        <w:spacing w:after="0" w:line="6" w:lineRule="exact"/>
        <w:rPr>
          <w:sz w:val="20"/>
          <w:szCs w:val="20"/>
          <w:color w:val="auto"/>
        </w:rPr>
      </w:pPr>
    </w:p>
    <w:p>
      <w:pPr>
        <w:ind w:right="160" w:firstLine="432"/>
        <w:spacing w:after="0" w:line="290" w:lineRule="auto"/>
        <w:rPr>
          <w:sz w:val="20"/>
          <w:szCs w:val="20"/>
          <w:color w:val="auto"/>
        </w:rPr>
      </w:pPr>
      <w:r>
        <w:rPr>
          <w:rFonts w:ascii="Arial" w:cs="Arial" w:eastAsia="Arial" w:hAnsi="Arial"/>
          <w:sz w:val="11"/>
          <w:szCs w:val="11"/>
          <w:color w:val="auto"/>
        </w:rPr>
        <w:t>Personal and Company performances were just two factors historically considered in establishing base salaries. We had no pre-established policy or target for allocating total executive compensation between base and discretionary or incentive compensation, or between cash and stock-based incentive compensation. Historically, including in 2015, a majority of total compensation to our named executive officers has been in the form of annual base salaries and discretionary cash bonuses, although stock bonuses have been granted from time to time under special circumstances.</w:t>
      </w:r>
    </w:p>
    <w:p>
      <w:pPr>
        <w:spacing w:after="0" w:line="82" w:lineRule="exact"/>
        <w:rPr>
          <w:sz w:val="20"/>
          <w:szCs w:val="20"/>
          <w:color w:val="auto"/>
        </w:rPr>
      </w:pPr>
    </w:p>
    <w:p>
      <w:pPr>
        <w:ind w:left="440"/>
        <w:spacing w:after="0"/>
        <w:rPr>
          <w:sz w:val="20"/>
          <w:szCs w:val="20"/>
          <w:color w:val="auto"/>
        </w:rPr>
      </w:pPr>
      <w:r>
        <w:rPr>
          <w:rFonts w:ascii="Arial" w:cs="Arial" w:eastAsia="Arial" w:hAnsi="Arial"/>
          <w:sz w:val="12"/>
          <w:szCs w:val="12"/>
          <w:color w:val="auto"/>
        </w:rPr>
        <w:t>These elements of our executive compensation are discussed further below.</w:t>
      </w:r>
    </w:p>
    <w:p>
      <w:pPr>
        <w:spacing w:after="0" w:line="123" w:lineRule="exact"/>
        <w:rPr>
          <w:sz w:val="20"/>
          <w:szCs w:val="20"/>
          <w:color w:val="auto"/>
        </w:rPr>
      </w:pPr>
    </w:p>
    <w:p>
      <w:pPr>
        <w:ind w:right="100" w:firstLine="432"/>
        <w:spacing w:after="0" w:line="298" w:lineRule="auto"/>
        <w:rPr>
          <w:sz w:val="20"/>
          <w:szCs w:val="20"/>
          <w:color w:val="auto"/>
        </w:rPr>
      </w:pPr>
      <w:r>
        <w:rPr>
          <w:rFonts w:ascii="Arial" w:cs="Arial" w:eastAsia="Arial" w:hAnsi="Arial"/>
          <w:sz w:val="11"/>
          <w:szCs w:val="11"/>
          <w:u w:val="single" w:color="auto"/>
          <w:color w:val="auto"/>
        </w:rPr>
        <w:t>Salary</w:t>
      </w:r>
      <w:r>
        <w:rPr>
          <w:rFonts w:ascii="Arial" w:cs="Arial" w:eastAsia="Arial" w:hAnsi="Arial"/>
          <w:sz w:val="11"/>
          <w:szCs w:val="11"/>
          <w:color w:val="auto"/>
        </w:rPr>
        <w:t>: Annual base salary was intended to compensate named executive officers for services rendered during the fiscal year in the ordinary course of performing their job responsibilities. Factors considered in setting the base salaries prior to 2015 included (i) the negotiated terms of each executive’s employment agreement or the original terms of employment, (ii) the individual’s position and level of responsibility with our Company, (iii) periodic review of the executive’s compensation, both individually and relative to our other named executive officers, and (iv) a subjective evaluation of individual job performance of the executive.</w:t>
      </w:r>
    </w:p>
    <w:p>
      <w:pPr>
        <w:spacing w:after="0" w:line="87" w:lineRule="exact"/>
        <w:rPr>
          <w:sz w:val="20"/>
          <w:szCs w:val="20"/>
          <w:color w:val="auto"/>
        </w:rPr>
      </w:pPr>
    </w:p>
    <w:p>
      <w:pPr>
        <w:ind w:firstLine="432"/>
        <w:spacing w:after="0" w:line="276" w:lineRule="auto"/>
        <w:rPr>
          <w:sz w:val="20"/>
          <w:szCs w:val="20"/>
          <w:color w:val="auto"/>
        </w:rPr>
      </w:pPr>
      <w:r>
        <w:rPr>
          <w:rFonts w:ascii="Arial" w:cs="Arial" w:eastAsia="Arial" w:hAnsi="Arial"/>
          <w:sz w:val="12"/>
          <w:szCs w:val="12"/>
          <w:u w:val="single" w:color="auto"/>
          <w:color w:val="auto"/>
        </w:rPr>
        <w:t>Cash Bonus</w:t>
      </w:r>
      <w:r>
        <w:rPr>
          <w:rFonts w:ascii="Arial" w:cs="Arial" w:eastAsia="Arial" w:hAnsi="Arial"/>
          <w:sz w:val="12"/>
          <w:szCs w:val="12"/>
          <w:color w:val="auto"/>
        </w:rPr>
        <w:t>: Historically, we had awarded annual cash bonuses to supplement the base salaries of our named executive officers, and our Board delegated to our former Chief Executive Officer, Mr. Cotter, Sr., the authority to determine in his discretion the annual cash bonuses, if any, to be paid to our executive officers other than the Cotter family executives.</w:t>
      </w:r>
    </w:p>
    <w:p>
      <w:pPr>
        <w:spacing w:after="0" w:line="88" w:lineRule="exact"/>
        <w:rPr>
          <w:sz w:val="20"/>
          <w:szCs w:val="20"/>
          <w:color w:val="auto"/>
        </w:rPr>
      </w:pPr>
    </w:p>
    <w:p>
      <w:pPr>
        <w:ind w:right="260" w:firstLine="432"/>
        <w:spacing w:after="0" w:line="276" w:lineRule="auto"/>
        <w:rPr>
          <w:sz w:val="20"/>
          <w:szCs w:val="20"/>
          <w:color w:val="auto"/>
        </w:rPr>
      </w:pPr>
      <w:r>
        <w:rPr>
          <w:rFonts w:ascii="Arial" w:cs="Arial" w:eastAsia="Arial" w:hAnsi="Arial"/>
          <w:sz w:val="12"/>
          <w:szCs w:val="12"/>
          <w:color w:val="auto"/>
        </w:rPr>
        <w:t>In early 2016, following the reassessment of the Company’s compensation structure discussed below, the Compensation Committee, meeting in executive session, approved a 2015 performance bonus for the Chief Executive Officer as well as our other named executive officers.</w:t>
      </w:r>
    </w:p>
    <w:p>
      <w:pPr>
        <w:spacing w:after="0" w:line="88" w:lineRule="exact"/>
        <w:rPr>
          <w:sz w:val="20"/>
          <w:szCs w:val="20"/>
          <w:color w:val="auto"/>
        </w:rPr>
      </w:pPr>
    </w:p>
    <w:p>
      <w:pPr>
        <w:ind w:right="200" w:firstLine="432"/>
        <w:spacing w:after="0" w:line="276" w:lineRule="auto"/>
        <w:rPr>
          <w:sz w:val="20"/>
          <w:szCs w:val="20"/>
          <w:color w:val="auto"/>
        </w:rPr>
      </w:pPr>
      <w:r>
        <w:rPr>
          <w:rFonts w:ascii="Arial" w:cs="Arial" w:eastAsia="Arial" w:hAnsi="Arial"/>
          <w:sz w:val="12"/>
          <w:szCs w:val="12"/>
          <w:u w:val="single" w:color="auto"/>
          <w:color w:val="auto"/>
        </w:rPr>
        <w:t>Stock Bonus</w:t>
      </w:r>
      <w:r>
        <w:rPr>
          <w:rFonts w:ascii="Arial" w:cs="Arial" w:eastAsia="Arial" w:hAnsi="Arial"/>
          <w:sz w:val="12"/>
          <w:szCs w:val="12"/>
          <w:color w:val="auto"/>
        </w:rPr>
        <w:t>: Equity incentive bonuses were available for award to align our executives’ long-term compensation to appreciation in stockholder value over time. Historically awards have not been granted on any fixed schedule, but instead were granted from time to time to new hires and for the recognition and retention of executives.</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59690</wp:posOffset>
            </wp:positionV>
            <wp:extent cx="677989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779895" cy="42545"/>
                    </a:xfrm>
                    <a:prstGeom prst="rect">
                      <a:avLst/>
                    </a:prstGeom>
                    <a:noFill/>
                  </pic:spPr>
                </pic:pic>
              </a:graphicData>
            </a:graphic>
          </wp:anchor>
        </w:drawing>
      </w:r>
    </w:p>
    <w:p>
      <w:pPr>
        <w:sectPr>
          <w:pgSz w:w="11900" w:h="16838" w:orient="portrait"/>
          <w:cols w:equalWidth="0" w:num="1">
            <w:col w:w="10620"/>
          </w:cols>
          <w:pgMar w:left="640" w:top="275" w:right="639" w:bottom="1440" w:gutter="0" w:footer="0" w:header="0"/>
        </w:sectPr>
      </w:pPr>
    </w:p>
    <w:bookmarkStart w:id="107" w:name="page108"/>
    <w:bookmarkEnd w:id="107"/>
    <w:p>
      <w:pPr>
        <w:ind w:right="60" w:firstLine="432"/>
        <w:spacing w:after="0" w:line="290" w:lineRule="auto"/>
        <w:rPr>
          <w:sz w:val="20"/>
          <w:szCs w:val="20"/>
          <w:color w:val="auto"/>
        </w:rPr>
      </w:pPr>
      <w:r>
        <w:rPr>
          <w:rFonts w:ascii="Arial" w:cs="Arial" w:eastAsia="Arial" w:hAnsi="Arial"/>
          <w:sz w:val="11"/>
          <w:szCs w:val="11"/>
          <w:color w:val="auto"/>
        </w:rPr>
        <w:t>If awarded, it has generally been our policy to value stock options and restricted stock at the closing price of our common stock as reported on the NASDAQ Stock Market on the date the award was approved or on the date of hire, if the stock is granted as a recruitment incentive. When stock was granted as bonus compensation for a particular transaction, the award may have been based on the market price on a date calculated from the closing date of the relevant transaction. Stock options granted to our employees generally have a five year term and vest over four years in equal installments upon the annual anniversaries of the date of the grant, subject to continued employment upon each vesting date. Awards may also have been subject to vesting and limitations on voting or other rights.</w:t>
      </w:r>
    </w:p>
    <w:p>
      <w:pPr>
        <w:spacing w:after="0" w:line="82" w:lineRule="exact"/>
        <w:rPr>
          <w:sz w:val="20"/>
          <w:szCs w:val="20"/>
          <w:color w:val="auto"/>
        </w:rPr>
      </w:pPr>
    </w:p>
    <w:p>
      <w:pPr>
        <w:ind w:left="440"/>
        <w:spacing w:after="0"/>
        <w:rPr>
          <w:sz w:val="20"/>
          <w:szCs w:val="20"/>
          <w:color w:val="auto"/>
        </w:rPr>
      </w:pPr>
      <w:r>
        <w:rPr>
          <w:rFonts w:ascii="Arial" w:cs="Arial" w:eastAsia="Arial" w:hAnsi="Arial"/>
          <w:sz w:val="12"/>
          <w:szCs w:val="12"/>
          <w:color w:val="auto"/>
        </w:rPr>
        <w:t>As discussed below, our Board substantially changed these practices for 2016 and future years.</w:t>
      </w:r>
    </w:p>
    <w:p>
      <w:pPr>
        <w:spacing w:after="0" w:line="132" w:lineRule="exact"/>
        <w:rPr>
          <w:sz w:val="20"/>
          <w:szCs w:val="20"/>
          <w:color w:val="auto"/>
        </w:rPr>
      </w:pPr>
    </w:p>
    <w:p>
      <w:pPr>
        <w:ind w:firstLine="432"/>
        <w:spacing w:after="0" w:line="276" w:lineRule="auto"/>
        <w:rPr>
          <w:sz w:val="20"/>
          <w:szCs w:val="20"/>
          <w:color w:val="auto"/>
        </w:rPr>
      </w:pPr>
      <w:r>
        <w:rPr>
          <w:rFonts w:ascii="Arial" w:cs="Arial" w:eastAsia="Arial" w:hAnsi="Arial"/>
          <w:sz w:val="12"/>
          <w:szCs w:val="12"/>
          <w:color w:val="auto"/>
        </w:rPr>
        <w:t>Other than James Cotter, Jr.'s role as Chief Executive Officer and thereafter, Ms. Ellen M. Cotter’s role as Chief Executive Officer, none of our executive officers played a role in determining the compensation of our named executive officers during 2015.</w:t>
      </w:r>
    </w:p>
    <w:p>
      <w:pPr>
        <w:spacing w:after="0" w:line="8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2015 Base Salaries and Bonuses</w:t>
      </w:r>
    </w:p>
    <w:p>
      <w:pPr>
        <w:spacing w:after="0" w:line="123" w:lineRule="exact"/>
        <w:rPr>
          <w:sz w:val="20"/>
          <w:szCs w:val="20"/>
          <w:color w:val="auto"/>
        </w:rPr>
      </w:pPr>
    </w:p>
    <w:p>
      <w:pPr>
        <w:ind w:right="80" w:firstLine="432"/>
        <w:spacing w:after="0" w:line="263" w:lineRule="auto"/>
        <w:rPr>
          <w:sz w:val="20"/>
          <w:szCs w:val="20"/>
          <w:color w:val="auto"/>
        </w:rPr>
      </w:pPr>
      <w:r>
        <w:rPr>
          <w:rFonts w:ascii="Arial" w:cs="Arial" w:eastAsia="Arial" w:hAnsi="Arial"/>
          <w:sz w:val="12"/>
          <w:szCs w:val="12"/>
          <w:color w:val="auto"/>
        </w:rPr>
        <w:t>We have historically established base salaries and target discretionary cash bonuses for our named executive officers through negotiations with the individual named executive officer, generally at the time the named executive officer commenced employment with us, subject to additional increases from time to time based on performance and tenure, with the intent of providing annual cash compensation at a level sufficient to attract and retain talented and experienced individuals.</w:t>
      </w:r>
    </w:p>
    <w:p>
      <w:pPr>
        <w:spacing w:after="0" w:line="105" w:lineRule="exact"/>
        <w:rPr>
          <w:sz w:val="20"/>
          <w:szCs w:val="20"/>
          <w:color w:val="auto"/>
        </w:rPr>
      </w:pPr>
    </w:p>
    <w:p>
      <w:pPr>
        <w:ind w:left="440"/>
        <w:spacing w:after="0"/>
        <w:rPr>
          <w:sz w:val="20"/>
          <w:szCs w:val="20"/>
          <w:color w:val="auto"/>
        </w:rPr>
      </w:pPr>
      <w:r>
        <w:rPr>
          <w:rFonts w:ascii="Arial" w:cs="Arial" w:eastAsia="Arial" w:hAnsi="Arial"/>
          <w:sz w:val="12"/>
          <w:szCs w:val="12"/>
          <w:color w:val="auto"/>
        </w:rPr>
        <w:t>Our Compensation Committee recommended and our Board approved the following base salaries for Mr. Cotter, Jr. and Ellen M. Cotter for 2015:</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80" w:type="dxa"/>
            <w:vAlign w:val="bottom"/>
            <w:shd w:val="clear" w:color="auto" w:fill="CCEEFF"/>
          </w:tcPr>
          <w:p>
            <w:pPr>
              <w:spacing w:after="0"/>
              <w:rPr>
                <w:sz w:val="12"/>
                <w:szCs w:val="12"/>
                <w:color w:val="auto"/>
              </w:rPr>
            </w:pPr>
          </w:p>
        </w:tc>
        <w:tc>
          <w:tcPr>
            <w:tcW w:w="19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940" w:type="dxa"/>
            <w:vAlign w:val="bottom"/>
            <w:shd w:val="clear" w:color="auto" w:fill="CCEEFF"/>
          </w:tcPr>
          <w:p>
            <w:pPr>
              <w:ind w:left="540"/>
              <w:spacing w:after="0"/>
              <w:rPr>
                <w:sz w:val="20"/>
                <w:szCs w:val="20"/>
                <w:color w:val="auto"/>
              </w:rPr>
            </w:pPr>
            <w:r>
              <w:rPr>
                <w:rFonts w:ascii="Arial" w:cs="Arial" w:eastAsia="Arial" w:hAnsi="Arial"/>
                <w:sz w:val="12"/>
                <w:szCs w:val="12"/>
                <w:b w:val="1"/>
                <w:bCs w:val="1"/>
                <w:color w:val="auto"/>
              </w:rPr>
              <w:t>2014 Base Salary</w:t>
            </w:r>
          </w:p>
        </w:tc>
        <w:tc>
          <w:tcPr>
            <w:tcW w:w="160" w:type="dxa"/>
            <w:vAlign w:val="bottom"/>
            <w:shd w:val="clear" w:color="auto" w:fill="CCEEFF"/>
          </w:tcPr>
          <w:p>
            <w:pPr>
              <w:spacing w:after="0"/>
              <w:rPr>
                <w:sz w:val="12"/>
                <w:szCs w:val="12"/>
                <w:color w:val="auto"/>
              </w:rPr>
            </w:pPr>
          </w:p>
        </w:tc>
        <w:tc>
          <w:tcPr>
            <w:tcW w:w="1980" w:type="dxa"/>
            <w:vAlign w:val="bottom"/>
            <w:gridSpan w:val="2"/>
            <w:shd w:val="clear" w:color="auto" w:fill="CCEEFF"/>
          </w:tcPr>
          <w:p>
            <w:pPr>
              <w:ind w:left="520"/>
              <w:spacing w:after="0"/>
              <w:rPr>
                <w:sz w:val="20"/>
                <w:szCs w:val="20"/>
                <w:color w:val="auto"/>
              </w:rPr>
            </w:pPr>
            <w:r>
              <w:rPr>
                <w:rFonts w:ascii="Arial" w:cs="Arial" w:eastAsia="Arial" w:hAnsi="Arial"/>
                <w:sz w:val="12"/>
                <w:szCs w:val="12"/>
                <w:b w:val="1"/>
                <w:bCs w:val="1"/>
                <w:color w:val="auto"/>
              </w:rPr>
              <w:t>2015 Base Salary</w:t>
            </w:r>
          </w:p>
        </w:tc>
      </w:tr>
      <w:tr>
        <w:trPr>
          <w:trHeight w:val="157"/>
        </w:trPr>
        <w:tc>
          <w:tcPr>
            <w:tcW w:w="80" w:type="dxa"/>
            <w:vAlign w:val="bottom"/>
            <w:tcBorders>
              <w:bottom w:val="single" w:sz="8" w:color="CCEEFF"/>
            </w:tcBorders>
            <w:shd w:val="clear" w:color="auto" w:fill="CCEEFF"/>
          </w:tcPr>
          <w:p>
            <w:pPr>
              <w:spacing w:after="0"/>
              <w:rPr>
                <w:sz w:val="13"/>
                <w:szCs w:val="13"/>
                <w:color w:val="auto"/>
              </w:rPr>
            </w:pPr>
          </w:p>
        </w:tc>
        <w:tc>
          <w:tcPr>
            <w:tcW w:w="19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2"/>
                <w:szCs w:val="12"/>
                <w:b w:val="1"/>
                <w:bCs w:val="1"/>
                <w:color w:val="auto"/>
              </w:rPr>
              <w:t>Name</w:t>
            </w:r>
          </w:p>
        </w:tc>
        <w:tc>
          <w:tcPr>
            <w:tcW w:w="160" w:type="dxa"/>
            <w:vAlign w:val="bottom"/>
            <w:tcBorders>
              <w:bottom w:val="single" w:sz="8" w:color="CCEEFF"/>
            </w:tcBorders>
            <w:shd w:val="clear" w:color="auto" w:fill="CCEEFF"/>
          </w:tcPr>
          <w:p>
            <w:pPr>
              <w:spacing w:after="0"/>
              <w:rPr>
                <w:sz w:val="13"/>
                <w:szCs w:val="13"/>
                <w:color w:val="auto"/>
              </w:rPr>
            </w:pPr>
          </w:p>
        </w:tc>
        <w:tc>
          <w:tcPr>
            <w:tcW w:w="19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2"/>
                <w:szCs w:val="12"/>
                <w:b w:val="1"/>
                <w:bCs w:val="1"/>
                <w:color w:val="auto"/>
                <w:w w:val="95"/>
              </w:rPr>
              <w:t>($)</w:t>
            </w:r>
          </w:p>
        </w:tc>
        <w:tc>
          <w:tcPr>
            <w:tcW w:w="160" w:type="dxa"/>
            <w:vAlign w:val="bottom"/>
            <w:tcBorders>
              <w:bottom w:val="single" w:sz="8" w:color="CCEEFF"/>
            </w:tcBorders>
            <w:shd w:val="clear" w:color="auto" w:fill="CCEEFF"/>
          </w:tcPr>
          <w:p>
            <w:pPr>
              <w:spacing w:after="0"/>
              <w:rPr>
                <w:sz w:val="13"/>
                <w:szCs w:val="13"/>
                <w:color w:val="auto"/>
              </w:rPr>
            </w:pPr>
          </w:p>
        </w:tc>
        <w:tc>
          <w:tcPr>
            <w:tcW w:w="19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2"/>
                <w:szCs w:val="12"/>
                <w:b w:val="1"/>
                <w:bCs w:val="1"/>
                <w:color w:val="auto"/>
                <w:w w:val="95"/>
              </w:rPr>
              <w:t>($)</w:t>
            </w:r>
          </w:p>
        </w:tc>
        <w:tc>
          <w:tcPr>
            <w:tcW w:w="80" w:type="dxa"/>
            <w:vAlign w:val="bottom"/>
            <w:tcBorders>
              <w:bottom w:val="single" w:sz="8" w:color="CCEEFF"/>
            </w:tcBorders>
            <w:shd w:val="clear" w:color="auto" w:fill="CCEEFF"/>
          </w:tcPr>
          <w:p>
            <w:pPr>
              <w:spacing w:after="0"/>
              <w:rPr>
                <w:sz w:val="13"/>
                <w:szCs w:val="13"/>
                <w:color w:val="auto"/>
              </w:rPr>
            </w:pPr>
          </w:p>
        </w:tc>
      </w:tr>
      <w:tr>
        <w:trPr>
          <w:trHeight w:val="133"/>
        </w:trPr>
        <w:tc>
          <w:tcPr>
            <w:tcW w:w="2000" w:type="dxa"/>
            <w:vAlign w:val="bottom"/>
            <w:gridSpan w:val="2"/>
          </w:tcPr>
          <w:p>
            <w:pPr>
              <w:ind w:left="80"/>
              <w:spacing w:after="0" w:line="133" w:lineRule="exact"/>
              <w:rPr>
                <w:sz w:val="20"/>
                <w:szCs w:val="20"/>
                <w:color w:val="auto"/>
              </w:rPr>
            </w:pPr>
            <w:r>
              <w:rPr>
                <w:rFonts w:ascii="Arial" w:cs="Arial" w:eastAsia="Arial" w:hAnsi="Arial"/>
                <w:sz w:val="12"/>
                <w:szCs w:val="12"/>
                <w:color w:val="auto"/>
              </w:rPr>
              <w:t xml:space="preserve">Ellen M. Cotter </w:t>
            </w:r>
            <w:r>
              <w:rPr>
                <w:rFonts w:ascii="Arial" w:cs="Arial" w:eastAsia="Arial" w:hAnsi="Arial"/>
                <w:sz w:val="5"/>
                <w:szCs w:val="5"/>
                <w:color w:val="auto"/>
              </w:rPr>
              <w:t>(1)</w:t>
            </w:r>
          </w:p>
        </w:tc>
        <w:tc>
          <w:tcPr>
            <w:tcW w:w="2100" w:type="dxa"/>
            <w:vAlign w:val="bottom"/>
            <w:gridSpan w:val="2"/>
          </w:tcPr>
          <w:p>
            <w:pPr>
              <w:jc w:val="center"/>
              <w:ind w:left="100"/>
              <w:spacing w:after="0" w:line="133" w:lineRule="exact"/>
              <w:rPr>
                <w:sz w:val="20"/>
                <w:szCs w:val="20"/>
                <w:color w:val="auto"/>
              </w:rPr>
            </w:pPr>
            <w:r>
              <w:rPr>
                <w:rFonts w:ascii="Arial" w:cs="Arial" w:eastAsia="Arial" w:hAnsi="Arial"/>
                <w:sz w:val="12"/>
                <w:szCs w:val="12"/>
                <w:color w:val="auto"/>
                <w:w w:val="87"/>
              </w:rPr>
              <w:t>335,000</w:t>
            </w:r>
          </w:p>
        </w:tc>
        <w:tc>
          <w:tcPr>
            <w:tcW w:w="2060" w:type="dxa"/>
            <w:vAlign w:val="bottom"/>
            <w:gridSpan w:val="2"/>
          </w:tcPr>
          <w:p>
            <w:pPr>
              <w:jc w:val="center"/>
              <w:ind w:left="100"/>
              <w:spacing w:after="0" w:line="133" w:lineRule="exact"/>
              <w:rPr>
                <w:sz w:val="20"/>
                <w:szCs w:val="20"/>
                <w:color w:val="auto"/>
              </w:rPr>
            </w:pPr>
            <w:r>
              <w:rPr>
                <w:rFonts w:ascii="Arial" w:cs="Arial" w:eastAsia="Arial" w:hAnsi="Arial"/>
                <w:sz w:val="12"/>
                <w:szCs w:val="12"/>
                <w:color w:val="auto"/>
                <w:w w:val="87"/>
              </w:rPr>
              <w:t>402,000</w:t>
            </w:r>
          </w:p>
        </w:tc>
        <w:tc>
          <w:tcPr>
            <w:tcW w:w="80" w:type="dxa"/>
            <w:vAlign w:val="bottom"/>
          </w:tcPr>
          <w:p>
            <w:pPr>
              <w:spacing w:after="0"/>
              <w:rPr>
                <w:sz w:val="11"/>
                <w:szCs w:val="11"/>
                <w:color w:val="auto"/>
              </w:rPr>
            </w:pPr>
          </w:p>
        </w:tc>
      </w:tr>
      <w:tr>
        <w:trPr>
          <w:trHeight w:val="144"/>
        </w:trPr>
        <w:tc>
          <w:tcPr>
            <w:tcW w:w="2000" w:type="dxa"/>
            <w:vAlign w:val="bottom"/>
            <w:gridSpan w:val="2"/>
            <w:shd w:val="clear" w:color="auto" w:fill="CCEEFF"/>
          </w:tcPr>
          <w:p>
            <w:pPr>
              <w:ind w:left="80"/>
              <w:spacing w:after="0"/>
              <w:rPr>
                <w:sz w:val="20"/>
                <w:szCs w:val="20"/>
                <w:color w:val="auto"/>
              </w:rPr>
            </w:pPr>
            <w:r>
              <w:rPr>
                <w:rFonts w:ascii="Arial" w:cs="Arial" w:eastAsia="Arial" w:hAnsi="Arial"/>
                <w:sz w:val="12"/>
                <w:szCs w:val="12"/>
                <w:color w:val="auto"/>
              </w:rPr>
              <w:t xml:space="preserve">James J. Cotter, Jr </w:t>
            </w:r>
            <w:r>
              <w:rPr>
                <w:rFonts w:ascii="Arial" w:cs="Arial" w:eastAsia="Arial" w:hAnsi="Arial"/>
                <w:sz w:val="5"/>
                <w:szCs w:val="5"/>
                <w:color w:val="auto"/>
              </w:rPr>
              <w:t>(2)</w:t>
            </w:r>
          </w:p>
        </w:tc>
        <w:tc>
          <w:tcPr>
            <w:tcW w:w="2100" w:type="dxa"/>
            <w:vAlign w:val="bottom"/>
            <w:gridSpan w:val="2"/>
            <w:shd w:val="clear" w:color="auto" w:fill="CCEEFF"/>
          </w:tcPr>
          <w:p>
            <w:pPr>
              <w:jc w:val="center"/>
              <w:ind w:left="100"/>
              <w:spacing w:after="0"/>
              <w:rPr>
                <w:sz w:val="20"/>
                <w:szCs w:val="20"/>
                <w:color w:val="auto"/>
              </w:rPr>
            </w:pPr>
            <w:r>
              <w:rPr>
                <w:rFonts w:ascii="Arial" w:cs="Arial" w:eastAsia="Arial" w:hAnsi="Arial"/>
                <w:sz w:val="12"/>
                <w:szCs w:val="12"/>
                <w:color w:val="auto"/>
                <w:w w:val="87"/>
              </w:rPr>
              <w:t>335,000</w:t>
            </w:r>
          </w:p>
        </w:tc>
        <w:tc>
          <w:tcPr>
            <w:tcW w:w="2060" w:type="dxa"/>
            <w:vAlign w:val="bottom"/>
            <w:gridSpan w:val="2"/>
            <w:shd w:val="clear" w:color="auto" w:fill="CCEEFF"/>
          </w:tcPr>
          <w:p>
            <w:pPr>
              <w:jc w:val="center"/>
              <w:ind w:left="100"/>
              <w:spacing w:after="0"/>
              <w:rPr>
                <w:sz w:val="20"/>
                <w:szCs w:val="20"/>
                <w:color w:val="auto"/>
              </w:rPr>
            </w:pPr>
            <w:r>
              <w:rPr>
                <w:rFonts w:ascii="Arial" w:cs="Arial" w:eastAsia="Arial" w:hAnsi="Arial"/>
                <w:sz w:val="12"/>
                <w:szCs w:val="12"/>
                <w:color w:val="auto"/>
                <w:w w:val="92"/>
              </w:rPr>
              <w:t>335,000</w:t>
            </w:r>
            <w:r>
              <w:rPr>
                <w:rFonts w:ascii="Arial" w:cs="Arial" w:eastAsia="Arial" w:hAnsi="Arial"/>
                <w:sz w:val="5"/>
                <w:szCs w:val="5"/>
                <w:color w:val="auto"/>
                <w:w w:val="92"/>
              </w:rPr>
              <w:t>(2)</w:t>
            </w:r>
          </w:p>
        </w:tc>
        <w:tc>
          <w:tcPr>
            <w:tcW w:w="80" w:type="dxa"/>
            <w:vAlign w:val="bottom"/>
            <w:shd w:val="clear" w:color="auto" w:fill="CCEEFF"/>
          </w:tcPr>
          <w:p>
            <w:pPr>
              <w:spacing w:after="0"/>
              <w:rPr>
                <w:sz w:val="12"/>
                <w:szCs w:val="12"/>
                <w:color w:val="auto"/>
              </w:rPr>
            </w:pPr>
          </w:p>
        </w:tc>
      </w:tr>
    </w:tbl>
    <w:p>
      <w:pPr>
        <w:spacing w:after="0" w:line="249" w:lineRule="exact"/>
        <w:rPr>
          <w:sz w:val="20"/>
          <w:szCs w:val="20"/>
          <w:color w:val="auto"/>
        </w:rPr>
      </w:pPr>
    </w:p>
    <w:p>
      <w:pPr>
        <w:ind w:left="400" w:hanging="179"/>
        <w:spacing w:after="0"/>
        <w:tabs>
          <w:tab w:leader="none" w:pos="400" w:val="left"/>
        </w:tabs>
        <w:numPr>
          <w:ilvl w:val="0"/>
          <w:numId w:val="46"/>
        </w:numPr>
        <w:rPr>
          <w:rFonts w:ascii="Arial" w:cs="Arial" w:eastAsia="Arial" w:hAnsi="Arial"/>
          <w:sz w:val="10"/>
          <w:szCs w:val="10"/>
          <w:color w:val="auto"/>
        </w:rPr>
      </w:pPr>
      <w:r>
        <w:rPr>
          <w:rFonts w:ascii="Arial" w:cs="Arial" w:eastAsia="Arial" w:hAnsi="Arial"/>
          <w:sz w:val="10"/>
          <w:szCs w:val="10"/>
          <w:color w:val="auto"/>
        </w:rPr>
        <w:t>Ellen M. Cotter was appointed Interim President and Chief Executive Officer on June 12, 2015 and President and Chief Executive Officer on January 8, 2016.</w:t>
      </w:r>
    </w:p>
    <w:p>
      <w:pPr>
        <w:spacing w:after="0" w:line="20" w:lineRule="exact"/>
        <w:rPr>
          <w:rFonts w:ascii="Arial" w:cs="Arial" w:eastAsia="Arial" w:hAnsi="Arial"/>
          <w:sz w:val="10"/>
          <w:szCs w:val="10"/>
          <w:color w:val="auto"/>
        </w:rPr>
      </w:pPr>
    </w:p>
    <w:p>
      <w:pPr>
        <w:ind w:left="340" w:right="120" w:hanging="119"/>
        <w:spacing w:after="0" w:line="335" w:lineRule="auto"/>
        <w:tabs>
          <w:tab w:leader="none" w:pos="340" w:val="left"/>
        </w:tabs>
        <w:numPr>
          <w:ilvl w:val="0"/>
          <w:numId w:val="46"/>
        </w:numPr>
        <w:rPr>
          <w:rFonts w:ascii="Arial" w:cs="Arial" w:eastAsia="Arial" w:hAnsi="Arial"/>
          <w:sz w:val="8"/>
          <w:szCs w:val="8"/>
          <w:color w:val="auto"/>
        </w:rPr>
      </w:pPr>
      <w:r>
        <w:rPr>
          <w:rFonts w:ascii="Arial" w:cs="Arial" w:eastAsia="Arial" w:hAnsi="Arial"/>
          <w:sz w:val="8"/>
          <w:szCs w:val="8"/>
          <w:color w:val="auto"/>
        </w:rPr>
        <w:t>James J. Cotter, Jr. served as President from June 1, 2013 through June 12, 2015, and Chief Executive Officer from August 7, 2014 through June 12, 2015. Mr. Cotter, Jr. had an annual base salary of $335,000 for 2015. When his employment ended, Mr. Cotter, Jr. earned a prorated base salary of $195,417 for 2015, which includes his severance payment paid through the end of July 2015.</w:t>
      </w:r>
    </w:p>
    <w:p>
      <w:pPr>
        <w:spacing w:after="0" w:line="215" w:lineRule="exact"/>
        <w:rPr>
          <w:sz w:val="20"/>
          <w:szCs w:val="20"/>
          <w:color w:val="auto"/>
        </w:rPr>
      </w:pPr>
    </w:p>
    <w:p>
      <w:pPr>
        <w:ind w:right="120" w:firstLine="432"/>
        <w:spacing w:after="0" w:line="276" w:lineRule="auto"/>
        <w:rPr>
          <w:sz w:val="20"/>
          <w:szCs w:val="20"/>
          <w:color w:val="auto"/>
        </w:rPr>
      </w:pPr>
      <w:r>
        <w:rPr>
          <w:rFonts w:ascii="Arial" w:cs="Arial" w:eastAsia="Arial" w:hAnsi="Arial"/>
          <w:sz w:val="12"/>
          <w:szCs w:val="12"/>
          <w:color w:val="auto"/>
        </w:rPr>
        <w:t>With the exception of Mr. Ghose, who was appointed Chief Financial Officer on May 11, 2015, Mr. Matyczynski, whose base salary was $324,000 in 2015, and Mr. Smith, whose base salary was $274,897, the base salaries of our other named executive officers generally remained at the levels established for 2014, as shown in the following table:</w:t>
      </w:r>
    </w:p>
    <w:p>
      <w:pPr>
        <w:spacing w:after="0" w:line="93" w:lineRule="exact"/>
        <w:rPr>
          <w:sz w:val="20"/>
          <w:szCs w:val="20"/>
          <w:color w:val="auto"/>
        </w:rPr>
      </w:pPr>
    </w:p>
    <w:tbl>
      <w:tblPr>
        <w:tblLayout w:type="fixed"/>
        <w:tblInd w:w="120" w:type="dxa"/>
        <w:tblCellMar>
          <w:top w:w="0" w:type="dxa"/>
          <w:left w:w="0" w:type="dxa"/>
          <w:bottom w:w="0" w:type="dxa"/>
          <w:right w:w="0" w:type="dxa"/>
        </w:tblCellMar>
      </w:tblPr>
      <w:tr>
        <w:trPr>
          <w:trHeight w:val="144"/>
        </w:trPr>
        <w:tc>
          <w:tcPr>
            <w:tcW w:w="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40" w:type="dxa"/>
            <w:vAlign w:val="bottom"/>
          </w:tcPr>
          <w:p>
            <w:pPr>
              <w:ind w:left="540"/>
              <w:spacing w:after="0"/>
              <w:rPr>
                <w:sz w:val="20"/>
                <w:szCs w:val="20"/>
                <w:color w:val="auto"/>
              </w:rPr>
            </w:pPr>
            <w:r>
              <w:rPr>
                <w:rFonts w:ascii="Arial" w:cs="Arial" w:eastAsia="Arial" w:hAnsi="Arial"/>
                <w:sz w:val="12"/>
                <w:szCs w:val="12"/>
                <w:b w:val="1"/>
                <w:bCs w:val="1"/>
                <w:color w:val="auto"/>
              </w:rPr>
              <w:t>2014 Base Salary</w:t>
            </w:r>
          </w:p>
        </w:tc>
        <w:tc>
          <w:tcPr>
            <w:tcW w:w="140" w:type="dxa"/>
            <w:vAlign w:val="bottom"/>
          </w:tcPr>
          <w:p>
            <w:pPr>
              <w:spacing w:after="0"/>
              <w:rPr>
                <w:sz w:val="12"/>
                <w:szCs w:val="12"/>
                <w:color w:val="auto"/>
              </w:rPr>
            </w:pPr>
          </w:p>
        </w:tc>
        <w:tc>
          <w:tcPr>
            <w:tcW w:w="1940" w:type="dxa"/>
            <w:vAlign w:val="bottom"/>
          </w:tcPr>
          <w:p>
            <w:pPr>
              <w:ind w:left="540"/>
              <w:spacing w:after="0"/>
              <w:rPr>
                <w:sz w:val="20"/>
                <w:szCs w:val="20"/>
                <w:color w:val="auto"/>
              </w:rPr>
            </w:pPr>
            <w:r>
              <w:rPr>
                <w:rFonts w:ascii="Arial" w:cs="Arial" w:eastAsia="Arial" w:hAnsi="Arial"/>
                <w:sz w:val="12"/>
                <w:szCs w:val="12"/>
                <w:b w:val="1"/>
                <w:bCs w:val="1"/>
                <w:color w:val="auto"/>
              </w:rPr>
              <w:t>2015 Base Salary</w:t>
            </w:r>
          </w:p>
        </w:tc>
        <w:tc>
          <w:tcPr>
            <w:tcW w:w="80" w:type="dxa"/>
            <w:vAlign w:val="bottom"/>
          </w:tcPr>
          <w:p>
            <w:pPr>
              <w:spacing w:after="0"/>
              <w:rPr>
                <w:sz w:val="12"/>
                <w:szCs w:val="12"/>
                <w:color w:val="auto"/>
              </w:rPr>
            </w:pPr>
          </w:p>
        </w:tc>
      </w:tr>
      <w:tr>
        <w:trPr>
          <w:trHeight w:val="157"/>
        </w:trPr>
        <w:tc>
          <w:tcPr>
            <w:tcW w:w="80" w:type="dxa"/>
            <w:vAlign w:val="bottom"/>
          </w:tcPr>
          <w:p>
            <w:pPr>
              <w:spacing w:after="0"/>
              <w:rPr>
                <w:sz w:val="13"/>
                <w:szCs w:val="13"/>
                <w:color w:val="auto"/>
              </w:rPr>
            </w:pPr>
          </w:p>
        </w:tc>
        <w:tc>
          <w:tcPr>
            <w:tcW w:w="1800" w:type="dxa"/>
            <w:vAlign w:val="bottom"/>
          </w:tcPr>
          <w:p>
            <w:pPr>
              <w:spacing w:after="0"/>
              <w:rPr>
                <w:sz w:val="20"/>
                <w:szCs w:val="20"/>
                <w:color w:val="auto"/>
              </w:rPr>
            </w:pPr>
            <w:r>
              <w:rPr>
                <w:rFonts w:ascii="Arial" w:cs="Arial" w:eastAsia="Arial" w:hAnsi="Arial"/>
                <w:sz w:val="12"/>
                <w:szCs w:val="12"/>
                <w:b w:val="1"/>
                <w:bCs w:val="1"/>
                <w:color w:val="auto"/>
              </w:rPr>
              <w:t>Name</w:t>
            </w:r>
          </w:p>
        </w:tc>
        <w:tc>
          <w:tcPr>
            <w:tcW w:w="2080" w:type="dxa"/>
            <w:vAlign w:val="bottom"/>
            <w:gridSpan w:val="2"/>
          </w:tcPr>
          <w:p>
            <w:pPr>
              <w:jc w:val="center"/>
              <w:ind w:left="80"/>
              <w:spacing w:after="0"/>
              <w:rPr>
                <w:sz w:val="20"/>
                <w:szCs w:val="20"/>
                <w:color w:val="auto"/>
              </w:rPr>
            </w:pPr>
            <w:r>
              <w:rPr>
                <w:rFonts w:ascii="Arial" w:cs="Arial" w:eastAsia="Arial" w:hAnsi="Arial"/>
                <w:sz w:val="12"/>
                <w:szCs w:val="12"/>
                <w:b w:val="1"/>
                <w:bCs w:val="1"/>
                <w:color w:val="auto"/>
                <w:w w:val="95"/>
              </w:rPr>
              <w:t>($)</w:t>
            </w:r>
          </w:p>
        </w:tc>
        <w:tc>
          <w:tcPr>
            <w:tcW w:w="2080" w:type="dxa"/>
            <w:vAlign w:val="bottom"/>
            <w:gridSpan w:val="2"/>
          </w:tcPr>
          <w:p>
            <w:pPr>
              <w:jc w:val="center"/>
              <w:ind w:left="80"/>
              <w:spacing w:after="0"/>
              <w:rPr>
                <w:sz w:val="20"/>
                <w:szCs w:val="20"/>
                <w:color w:val="auto"/>
              </w:rPr>
            </w:pPr>
            <w:r>
              <w:rPr>
                <w:rFonts w:ascii="Arial" w:cs="Arial" w:eastAsia="Arial" w:hAnsi="Arial"/>
                <w:sz w:val="12"/>
                <w:szCs w:val="12"/>
                <w:b w:val="1"/>
                <w:bCs w:val="1"/>
                <w:color w:val="auto"/>
                <w:w w:val="95"/>
              </w:rPr>
              <w:t>($)</w:t>
            </w:r>
          </w:p>
        </w:tc>
        <w:tc>
          <w:tcPr>
            <w:tcW w:w="80" w:type="dxa"/>
            <w:vAlign w:val="bottom"/>
          </w:tcPr>
          <w:p>
            <w:pPr>
              <w:spacing w:after="0"/>
              <w:rPr>
                <w:sz w:val="13"/>
                <w:szCs w:val="13"/>
                <w:color w:val="auto"/>
              </w:rPr>
            </w:pPr>
          </w:p>
        </w:tc>
      </w:tr>
      <w:tr>
        <w:trPr>
          <w:trHeight w:val="133"/>
        </w:trPr>
        <w:tc>
          <w:tcPr>
            <w:tcW w:w="80" w:type="dxa"/>
            <w:vAlign w:val="bottom"/>
            <w:shd w:val="clear" w:color="auto" w:fill="CCEEFF"/>
          </w:tcPr>
          <w:p>
            <w:pPr>
              <w:spacing w:after="0"/>
              <w:rPr>
                <w:sz w:val="11"/>
                <w:szCs w:val="11"/>
                <w:color w:val="auto"/>
              </w:rPr>
            </w:pPr>
          </w:p>
        </w:tc>
        <w:tc>
          <w:tcPr>
            <w:tcW w:w="1800" w:type="dxa"/>
            <w:vAlign w:val="bottom"/>
            <w:tcBorders>
              <w:top w:val="single" w:sz="8" w:color="auto"/>
            </w:tcBorders>
            <w:shd w:val="clear" w:color="auto" w:fill="CCEEFF"/>
          </w:tcPr>
          <w:p>
            <w:pPr>
              <w:spacing w:after="0" w:line="133" w:lineRule="exact"/>
              <w:rPr>
                <w:sz w:val="20"/>
                <w:szCs w:val="20"/>
                <w:color w:val="auto"/>
              </w:rPr>
            </w:pPr>
            <w:r>
              <w:rPr>
                <w:rFonts w:ascii="Arial" w:cs="Arial" w:eastAsia="Arial" w:hAnsi="Arial"/>
                <w:sz w:val="12"/>
                <w:szCs w:val="12"/>
                <w:color w:val="auto"/>
              </w:rPr>
              <w:t xml:space="preserve">Dev Ghose </w:t>
            </w:r>
            <w:r>
              <w:rPr>
                <w:rFonts w:ascii="Arial" w:cs="Arial" w:eastAsia="Arial" w:hAnsi="Arial"/>
                <w:sz w:val="5"/>
                <w:szCs w:val="5"/>
                <w:color w:val="auto"/>
              </w:rPr>
              <w:t>(1)</w:t>
            </w:r>
          </w:p>
        </w:tc>
        <w:tc>
          <w:tcPr>
            <w:tcW w:w="140" w:type="dxa"/>
            <w:vAlign w:val="bottom"/>
            <w:shd w:val="clear" w:color="auto" w:fill="CCEEFF"/>
          </w:tcPr>
          <w:p>
            <w:pPr>
              <w:spacing w:after="0"/>
              <w:rPr>
                <w:sz w:val="11"/>
                <w:szCs w:val="11"/>
                <w:color w:val="auto"/>
              </w:rPr>
            </w:pPr>
          </w:p>
        </w:tc>
        <w:tc>
          <w:tcPr>
            <w:tcW w:w="1940" w:type="dxa"/>
            <w:vAlign w:val="bottom"/>
            <w:tcBorders>
              <w:top w:val="single" w:sz="8" w:color="auto"/>
            </w:tcBorders>
            <w:shd w:val="clear" w:color="auto" w:fill="CCEEFF"/>
          </w:tcPr>
          <w:p>
            <w:pPr>
              <w:jc w:val="center"/>
              <w:spacing w:after="0" w:line="133" w:lineRule="exact"/>
              <w:rPr>
                <w:sz w:val="20"/>
                <w:szCs w:val="20"/>
                <w:color w:val="auto"/>
              </w:rPr>
            </w:pPr>
            <w:r>
              <w:rPr>
                <w:rFonts w:ascii="Arial" w:cs="Arial" w:eastAsia="Arial" w:hAnsi="Arial"/>
                <w:sz w:val="12"/>
                <w:szCs w:val="12"/>
                <w:color w:val="auto"/>
                <w:w w:val="99"/>
              </w:rPr>
              <w:t>--</w:t>
            </w:r>
          </w:p>
        </w:tc>
        <w:tc>
          <w:tcPr>
            <w:tcW w:w="140" w:type="dxa"/>
            <w:vAlign w:val="bottom"/>
            <w:shd w:val="clear" w:color="auto" w:fill="CCEEFF"/>
          </w:tcPr>
          <w:p>
            <w:pPr>
              <w:spacing w:after="0"/>
              <w:rPr>
                <w:sz w:val="11"/>
                <w:szCs w:val="11"/>
                <w:color w:val="auto"/>
              </w:rPr>
            </w:pPr>
          </w:p>
        </w:tc>
        <w:tc>
          <w:tcPr>
            <w:tcW w:w="1940" w:type="dxa"/>
            <w:vAlign w:val="bottom"/>
            <w:tcBorders>
              <w:top w:val="single" w:sz="8" w:color="auto"/>
            </w:tcBorders>
            <w:shd w:val="clear" w:color="auto" w:fill="CCEEFF"/>
          </w:tcPr>
          <w:p>
            <w:pPr>
              <w:jc w:val="center"/>
              <w:spacing w:after="0" w:line="133" w:lineRule="exact"/>
              <w:rPr>
                <w:sz w:val="20"/>
                <w:szCs w:val="20"/>
                <w:color w:val="auto"/>
              </w:rPr>
            </w:pPr>
            <w:r>
              <w:rPr>
                <w:rFonts w:ascii="Arial" w:cs="Arial" w:eastAsia="Arial" w:hAnsi="Arial"/>
                <w:sz w:val="12"/>
                <w:szCs w:val="12"/>
                <w:color w:val="auto"/>
                <w:w w:val="92"/>
              </w:rPr>
              <w:t>400,000</w:t>
            </w:r>
            <w:r>
              <w:rPr>
                <w:rFonts w:ascii="Arial" w:cs="Arial" w:eastAsia="Arial" w:hAnsi="Arial"/>
                <w:sz w:val="5"/>
                <w:szCs w:val="5"/>
                <w:color w:val="auto"/>
                <w:w w:val="92"/>
              </w:rPr>
              <w:t>(1)</w:t>
            </w:r>
          </w:p>
        </w:tc>
        <w:tc>
          <w:tcPr>
            <w:tcW w:w="80" w:type="dxa"/>
            <w:vAlign w:val="bottom"/>
            <w:shd w:val="clear" w:color="auto" w:fill="CCEEFF"/>
          </w:tcPr>
          <w:p>
            <w:pPr>
              <w:spacing w:after="0"/>
              <w:rPr>
                <w:sz w:val="11"/>
                <w:szCs w:val="11"/>
                <w:color w:val="auto"/>
              </w:rPr>
            </w:pPr>
          </w:p>
        </w:tc>
      </w:tr>
      <w:tr>
        <w:trPr>
          <w:trHeight w:val="144"/>
        </w:trPr>
        <w:tc>
          <w:tcPr>
            <w:tcW w:w="80" w:type="dxa"/>
            <w:vAlign w:val="bottom"/>
          </w:tcPr>
          <w:p>
            <w:pPr>
              <w:spacing w:after="0"/>
              <w:rPr>
                <w:sz w:val="12"/>
                <w:szCs w:val="12"/>
                <w:color w:val="auto"/>
              </w:rPr>
            </w:pPr>
          </w:p>
        </w:tc>
        <w:tc>
          <w:tcPr>
            <w:tcW w:w="1800" w:type="dxa"/>
            <w:vAlign w:val="bottom"/>
          </w:tcPr>
          <w:p>
            <w:pPr>
              <w:spacing w:after="0"/>
              <w:rPr>
                <w:sz w:val="20"/>
                <w:szCs w:val="20"/>
                <w:color w:val="auto"/>
              </w:rPr>
            </w:pPr>
            <w:r>
              <w:rPr>
                <w:rFonts w:ascii="Arial" w:cs="Arial" w:eastAsia="Arial" w:hAnsi="Arial"/>
                <w:sz w:val="12"/>
                <w:szCs w:val="12"/>
                <w:color w:val="auto"/>
              </w:rPr>
              <w:t xml:space="preserve">Andrzej J. Matyczynski </w:t>
            </w:r>
            <w:r>
              <w:rPr>
                <w:rFonts w:ascii="Arial" w:cs="Arial" w:eastAsia="Arial" w:hAnsi="Arial"/>
                <w:sz w:val="5"/>
                <w:szCs w:val="5"/>
                <w:color w:val="auto"/>
              </w:rPr>
              <w:t>(2)</w:t>
            </w:r>
          </w:p>
        </w:tc>
        <w:tc>
          <w:tcPr>
            <w:tcW w:w="2080" w:type="dxa"/>
            <w:vAlign w:val="bottom"/>
            <w:gridSpan w:val="2"/>
          </w:tcPr>
          <w:p>
            <w:pPr>
              <w:jc w:val="center"/>
              <w:ind w:left="80"/>
              <w:spacing w:after="0"/>
              <w:rPr>
                <w:sz w:val="20"/>
                <w:szCs w:val="20"/>
                <w:color w:val="auto"/>
              </w:rPr>
            </w:pPr>
            <w:r>
              <w:rPr>
                <w:rFonts w:ascii="Arial" w:cs="Arial" w:eastAsia="Arial" w:hAnsi="Arial"/>
                <w:sz w:val="12"/>
                <w:szCs w:val="12"/>
                <w:color w:val="auto"/>
                <w:w w:val="87"/>
              </w:rPr>
              <w:t>309,000</w:t>
            </w:r>
          </w:p>
        </w:tc>
        <w:tc>
          <w:tcPr>
            <w:tcW w:w="2080" w:type="dxa"/>
            <w:vAlign w:val="bottom"/>
            <w:gridSpan w:val="2"/>
          </w:tcPr>
          <w:p>
            <w:pPr>
              <w:jc w:val="center"/>
              <w:ind w:left="80"/>
              <w:spacing w:after="0"/>
              <w:rPr>
                <w:sz w:val="20"/>
                <w:szCs w:val="20"/>
                <w:color w:val="auto"/>
              </w:rPr>
            </w:pPr>
            <w:r>
              <w:rPr>
                <w:rFonts w:ascii="Arial" w:cs="Arial" w:eastAsia="Arial" w:hAnsi="Arial"/>
                <w:sz w:val="12"/>
                <w:szCs w:val="12"/>
                <w:color w:val="auto"/>
                <w:w w:val="87"/>
              </w:rPr>
              <w:t>324,000</w:t>
            </w:r>
          </w:p>
        </w:tc>
        <w:tc>
          <w:tcPr>
            <w:tcW w:w="80" w:type="dxa"/>
            <w:vAlign w:val="bottom"/>
          </w:tcPr>
          <w:p>
            <w:pPr>
              <w:spacing w:after="0"/>
              <w:rPr>
                <w:sz w:val="12"/>
                <w:szCs w:val="12"/>
                <w:color w:val="auto"/>
              </w:rPr>
            </w:pPr>
          </w:p>
        </w:tc>
      </w:tr>
      <w:tr>
        <w:trPr>
          <w:trHeight w:val="144"/>
        </w:trPr>
        <w:tc>
          <w:tcPr>
            <w:tcW w:w="80" w:type="dxa"/>
            <w:vAlign w:val="bottom"/>
            <w:shd w:val="clear" w:color="auto" w:fill="CCEEFF"/>
          </w:tcPr>
          <w:p>
            <w:pPr>
              <w:spacing w:after="0"/>
              <w:rPr>
                <w:sz w:val="12"/>
                <w:szCs w:val="12"/>
                <w:color w:val="auto"/>
              </w:rPr>
            </w:pPr>
          </w:p>
        </w:tc>
        <w:tc>
          <w:tcPr>
            <w:tcW w:w="1800" w:type="dxa"/>
            <w:vAlign w:val="bottom"/>
            <w:shd w:val="clear" w:color="auto" w:fill="CCEEFF"/>
          </w:tcPr>
          <w:p>
            <w:pPr>
              <w:spacing w:after="0"/>
              <w:rPr>
                <w:sz w:val="20"/>
                <w:szCs w:val="20"/>
                <w:color w:val="auto"/>
              </w:rPr>
            </w:pPr>
            <w:r>
              <w:rPr>
                <w:rFonts w:ascii="Arial" w:cs="Arial" w:eastAsia="Arial" w:hAnsi="Arial"/>
                <w:sz w:val="12"/>
                <w:szCs w:val="12"/>
                <w:color w:val="auto"/>
              </w:rPr>
              <w:t>William Ellis</w:t>
            </w:r>
            <w:r>
              <w:rPr>
                <w:rFonts w:ascii="Arial" w:cs="Arial" w:eastAsia="Arial" w:hAnsi="Arial"/>
                <w:sz w:val="5"/>
                <w:szCs w:val="5"/>
                <w:color w:val="auto"/>
              </w:rPr>
              <w:t>(3)</w:t>
            </w:r>
          </w:p>
        </w:tc>
        <w:tc>
          <w:tcPr>
            <w:tcW w:w="2080" w:type="dxa"/>
            <w:vAlign w:val="bottom"/>
            <w:gridSpan w:val="2"/>
            <w:shd w:val="clear" w:color="auto" w:fill="CCEEFF"/>
          </w:tcPr>
          <w:p>
            <w:pPr>
              <w:jc w:val="center"/>
              <w:ind w:left="80"/>
              <w:spacing w:after="0"/>
              <w:rPr>
                <w:sz w:val="20"/>
                <w:szCs w:val="20"/>
                <w:color w:val="auto"/>
              </w:rPr>
            </w:pPr>
            <w:r>
              <w:rPr>
                <w:rFonts w:ascii="Arial" w:cs="Arial" w:eastAsia="Arial" w:hAnsi="Arial"/>
                <w:sz w:val="12"/>
                <w:szCs w:val="12"/>
                <w:color w:val="auto"/>
                <w:w w:val="92"/>
              </w:rPr>
              <w:t>350,000</w:t>
            </w:r>
            <w:r>
              <w:rPr>
                <w:rFonts w:ascii="Arial" w:cs="Arial" w:eastAsia="Arial" w:hAnsi="Arial"/>
                <w:sz w:val="5"/>
                <w:szCs w:val="5"/>
                <w:color w:val="auto"/>
                <w:w w:val="92"/>
              </w:rPr>
              <w:t>(3)</w:t>
            </w:r>
          </w:p>
        </w:tc>
        <w:tc>
          <w:tcPr>
            <w:tcW w:w="2080" w:type="dxa"/>
            <w:vAlign w:val="bottom"/>
            <w:gridSpan w:val="2"/>
            <w:shd w:val="clear" w:color="auto" w:fill="CCEEFF"/>
          </w:tcPr>
          <w:p>
            <w:pPr>
              <w:jc w:val="center"/>
              <w:ind w:left="80"/>
              <w:spacing w:after="0"/>
              <w:rPr>
                <w:sz w:val="20"/>
                <w:szCs w:val="20"/>
                <w:color w:val="auto"/>
              </w:rPr>
            </w:pPr>
            <w:r>
              <w:rPr>
                <w:rFonts w:ascii="Arial" w:cs="Arial" w:eastAsia="Arial" w:hAnsi="Arial"/>
                <w:sz w:val="12"/>
                <w:szCs w:val="12"/>
                <w:color w:val="auto"/>
                <w:w w:val="87"/>
              </w:rPr>
              <w:t>350,000</w:t>
            </w:r>
          </w:p>
        </w:tc>
        <w:tc>
          <w:tcPr>
            <w:tcW w:w="80" w:type="dxa"/>
            <w:vAlign w:val="bottom"/>
            <w:shd w:val="clear" w:color="auto" w:fill="CCEEFF"/>
          </w:tcPr>
          <w:p>
            <w:pPr>
              <w:spacing w:after="0"/>
              <w:rPr>
                <w:sz w:val="12"/>
                <w:szCs w:val="12"/>
                <w:color w:val="auto"/>
              </w:rPr>
            </w:pPr>
          </w:p>
        </w:tc>
      </w:tr>
      <w:tr>
        <w:trPr>
          <w:trHeight w:val="144"/>
        </w:trPr>
        <w:tc>
          <w:tcPr>
            <w:tcW w:w="80" w:type="dxa"/>
            <w:vAlign w:val="bottom"/>
          </w:tcPr>
          <w:p>
            <w:pPr>
              <w:spacing w:after="0"/>
              <w:rPr>
                <w:sz w:val="12"/>
                <w:szCs w:val="12"/>
                <w:color w:val="auto"/>
              </w:rPr>
            </w:pPr>
          </w:p>
        </w:tc>
        <w:tc>
          <w:tcPr>
            <w:tcW w:w="1800" w:type="dxa"/>
            <w:vAlign w:val="bottom"/>
          </w:tcPr>
          <w:p>
            <w:pPr>
              <w:spacing w:after="0"/>
              <w:rPr>
                <w:sz w:val="20"/>
                <w:szCs w:val="20"/>
                <w:color w:val="auto"/>
              </w:rPr>
            </w:pPr>
            <w:r>
              <w:rPr>
                <w:rFonts w:ascii="Arial" w:cs="Arial" w:eastAsia="Arial" w:hAnsi="Arial"/>
                <w:sz w:val="12"/>
                <w:szCs w:val="12"/>
                <w:color w:val="auto"/>
              </w:rPr>
              <w:t>Robert F. Smerling</w:t>
            </w:r>
          </w:p>
        </w:tc>
        <w:tc>
          <w:tcPr>
            <w:tcW w:w="2080" w:type="dxa"/>
            <w:vAlign w:val="bottom"/>
            <w:gridSpan w:val="2"/>
          </w:tcPr>
          <w:p>
            <w:pPr>
              <w:jc w:val="center"/>
              <w:ind w:left="80"/>
              <w:spacing w:after="0"/>
              <w:rPr>
                <w:sz w:val="20"/>
                <w:szCs w:val="20"/>
                <w:color w:val="auto"/>
              </w:rPr>
            </w:pPr>
            <w:r>
              <w:rPr>
                <w:rFonts w:ascii="Arial" w:cs="Arial" w:eastAsia="Arial" w:hAnsi="Arial"/>
                <w:sz w:val="12"/>
                <w:szCs w:val="12"/>
                <w:color w:val="auto"/>
                <w:w w:val="87"/>
              </w:rPr>
              <w:t>350,000</w:t>
            </w:r>
          </w:p>
        </w:tc>
        <w:tc>
          <w:tcPr>
            <w:tcW w:w="2080" w:type="dxa"/>
            <w:vAlign w:val="bottom"/>
            <w:gridSpan w:val="2"/>
          </w:tcPr>
          <w:p>
            <w:pPr>
              <w:jc w:val="center"/>
              <w:ind w:left="80"/>
              <w:spacing w:after="0"/>
              <w:rPr>
                <w:sz w:val="20"/>
                <w:szCs w:val="20"/>
                <w:color w:val="auto"/>
              </w:rPr>
            </w:pPr>
            <w:r>
              <w:rPr>
                <w:rFonts w:ascii="Arial" w:cs="Arial" w:eastAsia="Arial" w:hAnsi="Arial"/>
                <w:sz w:val="12"/>
                <w:szCs w:val="12"/>
                <w:color w:val="auto"/>
                <w:w w:val="87"/>
              </w:rPr>
              <w:t>350,000</w:t>
            </w:r>
          </w:p>
        </w:tc>
        <w:tc>
          <w:tcPr>
            <w:tcW w:w="80" w:type="dxa"/>
            <w:vAlign w:val="bottom"/>
          </w:tcPr>
          <w:p>
            <w:pPr>
              <w:spacing w:after="0"/>
              <w:rPr>
                <w:sz w:val="12"/>
                <w:szCs w:val="12"/>
                <w:color w:val="auto"/>
              </w:rPr>
            </w:pPr>
          </w:p>
        </w:tc>
      </w:tr>
      <w:tr>
        <w:trPr>
          <w:trHeight w:val="144"/>
        </w:trPr>
        <w:tc>
          <w:tcPr>
            <w:tcW w:w="80" w:type="dxa"/>
            <w:vAlign w:val="bottom"/>
            <w:shd w:val="clear" w:color="auto" w:fill="CCEEFF"/>
          </w:tcPr>
          <w:p>
            <w:pPr>
              <w:spacing w:after="0"/>
              <w:rPr>
                <w:sz w:val="12"/>
                <w:szCs w:val="12"/>
                <w:color w:val="auto"/>
              </w:rPr>
            </w:pPr>
          </w:p>
        </w:tc>
        <w:tc>
          <w:tcPr>
            <w:tcW w:w="1800" w:type="dxa"/>
            <w:vAlign w:val="bottom"/>
            <w:shd w:val="clear" w:color="auto" w:fill="CCEEFF"/>
          </w:tcPr>
          <w:p>
            <w:pPr>
              <w:spacing w:after="0"/>
              <w:rPr>
                <w:sz w:val="20"/>
                <w:szCs w:val="20"/>
                <w:color w:val="auto"/>
              </w:rPr>
            </w:pPr>
            <w:r>
              <w:rPr>
                <w:rFonts w:ascii="Arial" w:cs="Arial" w:eastAsia="Arial" w:hAnsi="Arial"/>
                <w:sz w:val="12"/>
                <w:szCs w:val="12"/>
                <w:color w:val="auto"/>
              </w:rPr>
              <w:t>Wayne Smith</w:t>
            </w:r>
          </w:p>
        </w:tc>
        <w:tc>
          <w:tcPr>
            <w:tcW w:w="2080" w:type="dxa"/>
            <w:vAlign w:val="bottom"/>
            <w:gridSpan w:val="2"/>
            <w:shd w:val="clear" w:color="auto" w:fill="CCEEFF"/>
          </w:tcPr>
          <w:p>
            <w:pPr>
              <w:jc w:val="center"/>
              <w:ind w:left="80"/>
              <w:spacing w:after="0"/>
              <w:rPr>
                <w:sz w:val="20"/>
                <w:szCs w:val="20"/>
                <w:color w:val="auto"/>
              </w:rPr>
            </w:pPr>
            <w:r>
              <w:rPr>
                <w:rFonts w:ascii="Arial" w:cs="Arial" w:eastAsia="Arial" w:hAnsi="Arial"/>
                <w:sz w:val="12"/>
                <w:szCs w:val="12"/>
                <w:color w:val="auto"/>
                <w:w w:val="92"/>
              </w:rPr>
              <w:t>324,295</w:t>
            </w:r>
            <w:r>
              <w:rPr>
                <w:rFonts w:ascii="Arial" w:cs="Arial" w:eastAsia="Arial" w:hAnsi="Arial"/>
                <w:sz w:val="5"/>
                <w:szCs w:val="5"/>
                <w:color w:val="auto"/>
                <w:w w:val="92"/>
              </w:rPr>
              <w:t>(4)</w:t>
            </w:r>
          </w:p>
        </w:tc>
        <w:tc>
          <w:tcPr>
            <w:tcW w:w="2080" w:type="dxa"/>
            <w:vAlign w:val="bottom"/>
            <w:gridSpan w:val="2"/>
            <w:shd w:val="clear" w:color="auto" w:fill="CCEEFF"/>
          </w:tcPr>
          <w:p>
            <w:pPr>
              <w:jc w:val="center"/>
              <w:ind w:left="80"/>
              <w:spacing w:after="0"/>
              <w:rPr>
                <w:sz w:val="20"/>
                <w:szCs w:val="20"/>
                <w:color w:val="auto"/>
              </w:rPr>
            </w:pPr>
            <w:r>
              <w:rPr>
                <w:rFonts w:ascii="Arial" w:cs="Arial" w:eastAsia="Arial" w:hAnsi="Arial"/>
                <w:sz w:val="12"/>
                <w:szCs w:val="12"/>
                <w:color w:val="auto"/>
                <w:w w:val="92"/>
              </w:rPr>
              <w:t>274,897</w:t>
            </w:r>
            <w:r>
              <w:rPr>
                <w:rFonts w:ascii="Arial" w:cs="Arial" w:eastAsia="Arial" w:hAnsi="Arial"/>
                <w:sz w:val="5"/>
                <w:szCs w:val="5"/>
                <w:color w:val="auto"/>
                <w:w w:val="92"/>
              </w:rPr>
              <w:t>(4)</w:t>
            </w:r>
          </w:p>
        </w:tc>
        <w:tc>
          <w:tcPr>
            <w:tcW w:w="80" w:type="dxa"/>
            <w:vAlign w:val="bottom"/>
            <w:shd w:val="clear" w:color="auto" w:fill="CCEEFF"/>
          </w:tcPr>
          <w:p>
            <w:pPr>
              <w:spacing w:after="0"/>
              <w:rPr>
                <w:sz w:val="12"/>
                <w:szCs w:val="12"/>
                <w:color w:val="auto"/>
              </w:rPr>
            </w:pPr>
          </w:p>
        </w:tc>
      </w:tr>
    </w:tbl>
    <w:p>
      <w:pPr>
        <w:spacing w:after="0" w:line="249" w:lineRule="exact"/>
        <w:rPr>
          <w:sz w:val="20"/>
          <w:szCs w:val="20"/>
          <w:color w:val="auto"/>
        </w:rPr>
      </w:pPr>
    </w:p>
    <w:p>
      <w:pPr>
        <w:ind w:left="420" w:hanging="199"/>
        <w:spacing w:after="0"/>
        <w:tabs>
          <w:tab w:leader="none" w:pos="420" w:val="left"/>
        </w:tabs>
        <w:numPr>
          <w:ilvl w:val="0"/>
          <w:numId w:val="47"/>
        </w:numPr>
        <w:rPr>
          <w:rFonts w:ascii="Arial" w:cs="Arial" w:eastAsia="Arial" w:hAnsi="Arial"/>
          <w:sz w:val="10"/>
          <w:szCs w:val="10"/>
          <w:color w:val="auto"/>
        </w:rPr>
      </w:pPr>
      <w:r>
        <w:rPr>
          <w:rFonts w:ascii="Arial" w:cs="Arial" w:eastAsia="Arial" w:hAnsi="Arial"/>
          <w:sz w:val="10"/>
          <w:szCs w:val="10"/>
          <w:color w:val="auto"/>
        </w:rPr>
        <w:t>Devasis Ghose was appointed Chief Financial Officer and Treasurer on May 11, 2015. For 2015, Mr. Ghose earned a prorated base salary of $257,692.</w:t>
      </w:r>
    </w:p>
    <w:p>
      <w:pPr>
        <w:spacing w:after="0" w:line="20" w:lineRule="exact"/>
        <w:rPr>
          <w:rFonts w:ascii="Arial" w:cs="Arial" w:eastAsia="Arial" w:hAnsi="Arial"/>
          <w:sz w:val="10"/>
          <w:szCs w:val="10"/>
          <w:color w:val="auto"/>
        </w:rPr>
      </w:pPr>
    </w:p>
    <w:p>
      <w:pPr>
        <w:ind w:left="340" w:right="40" w:hanging="119"/>
        <w:spacing w:after="0" w:line="281" w:lineRule="auto"/>
        <w:tabs>
          <w:tab w:leader="none" w:pos="340" w:val="left"/>
        </w:tabs>
        <w:numPr>
          <w:ilvl w:val="0"/>
          <w:numId w:val="47"/>
        </w:numPr>
        <w:rPr>
          <w:rFonts w:ascii="Arial" w:cs="Arial" w:eastAsia="Arial" w:hAnsi="Arial"/>
          <w:sz w:val="8"/>
          <w:szCs w:val="8"/>
          <w:color w:val="auto"/>
        </w:rPr>
      </w:pPr>
      <w:r>
        <w:rPr>
          <w:rFonts w:ascii="Arial" w:cs="Arial" w:eastAsia="Arial" w:hAnsi="Arial"/>
          <w:sz w:val="8"/>
          <w:szCs w:val="8"/>
          <w:color w:val="auto"/>
        </w:rPr>
        <w:t>Andrzej J. Matyczynski, our former Chief Financial Officer, Treasurer and Corporate Secretary, has a written agreement with our Company that provides certain severance and deferred compensation benefits. Mr. Matyczynski resigned as Corporate Secretary on October 20, 2014 and as our Chief Financial Officer and Treasurer effective May 11, 2015, however he continued as an employee to assist in the transition of our new Chief Financial Officer, and was appointed Executive Vice President-- Global Operations on March 10, 2016. Under Mr. Matyczynski’s employment contract, upon his retirement and provided there has been no termination for cause, he will become entitled under his agreement to a lump-sum severance payment of $50,000, subject to certain offsets, and to the payment of his vested benefit under his deferred compensation plan discussed below in this section.</w:t>
      </w:r>
    </w:p>
    <w:p>
      <w:pPr>
        <w:spacing w:after="0" w:line="1" w:lineRule="exact"/>
        <w:rPr>
          <w:rFonts w:ascii="Arial" w:cs="Arial" w:eastAsia="Arial" w:hAnsi="Arial"/>
          <w:sz w:val="8"/>
          <w:szCs w:val="8"/>
          <w:color w:val="auto"/>
        </w:rPr>
      </w:pPr>
    </w:p>
    <w:p>
      <w:pPr>
        <w:ind w:left="420" w:hanging="199"/>
        <w:spacing w:after="0"/>
        <w:tabs>
          <w:tab w:leader="none" w:pos="420" w:val="left"/>
        </w:tabs>
        <w:numPr>
          <w:ilvl w:val="0"/>
          <w:numId w:val="47"/>
        </w:numPr>
        <w:rPr>
          <w:rFonts w:ascii="Arial" w:cs="Arial" w:eastAsia="Arial" w:hAnsi="Arial"/>
          <w:sz w:val="10"/>
          <w:szCs w:val="10"/>
          <w:color w:val="auto"/>
        </w:rPr>
      </w:pPr>
      <w:r>
        <w:rPr>
          <w:rFonts w:ascii="Arial" w:cs="Arial" w:eastAsia="Arial" w:hAnsi="Arial"/>
          <w:sz w:val="10"/>
          <w:szCs w:val="10"/>
          <w:color w:val="auto"/>
        </w:rPr>
        <w:t>William Ellis submitted his resignation on February 18, 2016, effective March 11, 2016. For 2014, Mr. Ellis earned a prorated base salary of $71,795.</w:t>
      </w:r>
    </w:p>
    <w:p>
      <w:pPr>
        <w:spacing w:after="0" w:line="20" w:lineRule="exact"/>
        <w:rPr>
          <w:rFonts w:ascii="Arial" w:cs="Arial" w:eastAsia="Arial" w:hAnsi="Arial"/>
          <w:sz w:val="10"/>
          <w:szCs w:val="10"/>
          <w:color w:val="auto"/>
        </w:rPr>
      </w:pPr>
    </w:p>
    <w:p>
      <w:pPr>
        <w:ind w:left="340" w:hanging="119"/>
        <w:spacing w:after="0"/>
        <w:tabs>
          <w:tab w:leader="none" w:pos="340" w:val="left"/>
        </w:tabs>
        <w:numPr>
          <w:ilvl w:val="0"/>
          <w:numId w:val="47"/>
        </w:numPr>
        <w:rPr>
          <w:rFonts w:ascii="Arial" w:cs="Arial" w:eastAsia="Arial" w:hAnsi="Arial"/>
          <w:sz w:val="8"/>
          <w:szCs w:val="8"/>
          <w:color w:val="auto"/>
        </w:rPr>
      </w:pPr>
      <w:r>
        <w:rPr>
          <w:rFonts w:ascii="Arial" w:cs="Arial" w:eastAsia="Arial" w:hAnsi="Arial"/>
          <w:sz w:val="8"/>
          <w:szCs w:val="8"/>
          <w:color w:val="auto"/>
        </w:rPr>
        <w:t>Mr. Smith’s salary was paid in Australian Dollars in the amounts of AUD$359,250 in 2014 (shown in the table in U.S. Dollars using exchange rate 0.9027), and AUD$365,360 in 2015 (shown in the table in U.S. Dollars using exchange rate 0.7524).</w:t>
      </w:r>
    </w:p>
    <w:p>
      <w:pPr>
        <w:spacing w:after="0" w:line="21" w:lineRule="exact"/>
        <w:rPr>
          <w:sz w:val="20"/>
          <w:szCs w:val="20"/>
          <w:color w:val="auto"/>
        </w:rPr>
      </w:pPr>
    </w:p>
    <w:p>
      <w:pPr>
        <w:ind w:left="440"/>
        <w:spacing w:after="0"/>
        <w:rPr>
          <w:sz w:val="20"/>
          <w:szCs w:val="20"/>
          <w:color w:val="auto"/>
        </w:rPr>
      </w:pPr>
      <w:r>
        <w:rPr>
          <w:rFonts w:ascii="Arial" w:cs="Arial" w:eastAsia="Arial" w:hAnsi="Arial"/>
          <w:sz w:val="12"/>
          <w:szCs w:val="12"/>
          <w:color w:val="auto"/>
        </w:rPr>
        <w:t>Prior to 2016, all named executive officers were eligible to receive a discretionary annual cash bonus. Cash bonuses are typically prorated to reflect a partial year of service.</w:t>
      </w:r>
    </w:p>
    <w:p>
      <w:pPr>
        <w:spacing w:after="0" w:line="140"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59690</wp:posOffset>
            </wp:positionV>
            <wp:extent cx="677989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779895" cy="42545"/>
                    </a:xfrm>
                    <a:prstGeom prst="rect">
                      <a:avLst/>
                    </a:prstGeom>
                    <a:noFill/>
                  </pic:spPr>
                </pic:pic>
              </a:graphicData>
            </a:graphic>
          </wp:anchor>
        </w:drawing>
      </w:r>
    </w:p>
    <w:p>
      <w:pPr>
        <w:sectPr>
          <w:pgSz w:w="11900" w:h="16838" w:orient="portrait"/>
          <w:cols w:equalWidth="0" w:num="1">
            <w:col w:w="10600"/>
          </w:cols>
          <w:pgMar w:left="640" w:top="275" w:right="659" w:bottom="1440" w:gutter="0" w:footer="0" w:header="0"/>
        </w:sectPr>
      </w:pPr>
    </w:p>
    <w:bookmarkStart w:id="108" w:name="page109"/>
    <w:bookmarkEnd w:id="108"/>
    <w:p>
      <w:pPr>
        <w:ind w:right="20" w:firstLine="432"/>
        <w:spacing w:after="0" w:line="259" w:lineRule="auto"/>
        <w:rPr>
          <w:sz w:val="20"/>
          <w:szCs w:val="20"/>
          <w:color w:val="auto"/>
        </w:rPr>
      </w:pPr>
      <w:r>
        <w:rPr>
          <w:rFonts w:ascii="Arial" w:cs="Arial" w:eastAsia="Arial" w:hAnsi="Arial"/>
          <w:sz w:val="12"/>
          <w:szCs w:val="12"/>
          <w:color w:val="auto"/>
        </w:rPr>
        <w:t>In connection with consideration of 2015 performance bonuses for members of management, the Chief Executive Officer prepared and submitted recommendations for each of the executive and management team members, other than herself. In considering these recommendations, the Compensation Committee had the benefit of its extensive deliberations as well as the data provided by Willis Towers Watson. In executive session, the Compensation Committee considered and approved a 2015 performance bonus for the Chief Executive Officer. The proposed bonus amounts were reviewed and approved by the Board in February 2016. The Board approval covered the named executive officers set forth below, as well as select other officers and executives.</w:t>
      </w:r>
    </w:p>
    <w:p>
      <w:pPr>
        <w:spacing w:after="0" w:line="125" w:lineRule="exact"/>
        <w:rPr>
          <w:sz w:val="20"/>
          <w:szCs w:val="20"/>
          <w:color w:val="auto"/>
        </w:rPr>
      </w:pPr>
    </w:p>
    <w:p>
      <w:pPr>
        <w:ind w:left="440"/>
        <w:spacing w:after="0"/>
        <w:rPr>
          <w:sz w:val="20"/>
          <w:szCs w:val="20"/>
          <w:color w:val="auto"/>
        </w:rPr>
      </w:pPr>
      <w:r>
        <w:rPr>
          <w:rFonts w:ascii="Arial" w:cs="Arial" w:eastAsia="Arial" w:hAnsi="Arial"/>
          <w:sz w:val="12"/>
          <w:szCs w:val="12"/>
          <w:color w:val="auto"/>
        </w:rPr>
        <w:t>The following are the 2015 Performance Bonuses approved pursuant to the above process:</w:t>
      </w:r>
    </w:p>
    <w:p>
      <w:pPr>
        <w:spacing w:after="0" w:line="128" w:lineRule="exact"/>
        <w:rPr>
          <w:sz w:val="20"/>
          <w:szCs w:val="20"/>
          <w:color w:val="auto"/>
        </w:rPr>
      </w:pPr>
    </w:p>
    <w:tbl>
      <w:tblPr>
        <w:tblLayout w:type="fixed"/>
        <w:tblInd w:w="120" w:type="dxa"/>
        <w:tblCellMar>
          <w:top w:w="0" w:type="dxa"/>
          <w:left w:w="0" w:type="dxa"/>
          <w:bottom w:w="0" w:type="dxa"/>
          <w:right w:w="0" w:type="dxa"/>
        </w:tblCellMar>
      </w:tblPr>
      <w:tr>
        <w:trPr>
          <w:trHeight w:val="144"/>
        </w:trPr>
        <w:tc>
          <w:tcPr>
            <w:tcW w:w="1780" w:type="dxa"/>
            <w:vAlign w:val="bottom"/>
          </w:tcPr>
          <w:p>
            <w:pPr>
              <w:spacing w:after="0"/>
              <w:rPr>
                <w:sz w:val="12"/>
                <w:szCs w:val="12"/>
                <w:color w:val="auto"/>
              </w:rPr>
            </w:pPr>
          </w:p>
        </w:tc>
        <w:tc>
          <w:tcPr>
            <w:tcW w:w="2260" w:type="dxa"/>
            <w:vAlign w:val="bottom"/>
          </w:tcPr>
          <w:p>
            <w:pPr>
              <w:ind w:left="560"/>
              <w:spacing w:after="0"/>
              <w:rPr>
                <w:sz w:val="20"/>
                <w:szCs w:val="20"/>
                <w:color w:val="auto"/>
              </w:rPr>
            </w:pPr>
            <w:r>
              <w:rPr>
                <w:rFonts w:ascii="Arial" w:cs="Arial" w:eastAsia="Arial" w:hAnsi="Arial"/>
                <w:sz w:val="12"/>
                <w:szCs w:val="12"/>
                <w:b w:val="1"/>
                <w:bCs w:val="1"/>
                <w:color w:val="auto"/>
              </w:rPr>
              <w:t>2015 Performance Bonus</w:t>
            </w:r>
          </w:p>
        </w:tc>
      </w:tr>
      <w:tr>
        <w:trPr>
          <w:trHeight w:val="161"/>
        </w:trPr>
        <w:tc>
          <w:tcPr>
            <w:tcW w:w="1780" w:type="dxa"/>
            <w:vAlign w:val="bottom"/>
          </w:tcPr>
          <w:p>
            <w:pPr>
              <w:ind w:left="80"/>
              <w:spacing w:after="0"/>
              <w:rPr>
                <w:sz w:val="20"/>
                <w:szCs w:val="20"/>
                <w:color w:val="auto"/>
              </w:rPr>
            </w:pPr>
            <w:r>
              <w:rPr>
                <w:rFonts w:ascii="Arial" w:cs="Arial" w:eastAsia="Arial" w:hAnsi="Arial"/>
                <w:sz w:val="12"/>
                <w:szCs w:val="12"/>
                <w:b w:val="1"/>
                <w:bCs w:val="1"/>
                <w:color w:val="auto"/>
              </w:rPr>
              <w:t>Name</w:t>
            </w:r>
          </w:p>
        </w:tc>
        <w:tc>
          <w:tcPr>
            <w:tcW w:w="2260" w:type="dxa"/>
            <w:vAlign w:val="bottom"/>
          </w:tcPr>
          <w:p>
            <w:pPr>
              <w:jc w:val="center"/>
              <w:ind w:left="100"/>
              <w:spacing w:after="0"/>
              <w:rPr>
                <w:sz w:val="20"/>
                <w:szCs w:val="20"/>
                <w:color w:val="auto"/>
              </w:rPr>
            </w:pPr>
            <w:r>
              <w:rPr>
                <w:rFonts w:ascii="Arial" w:cs="Arial" w:eastAsia="Arial" w:hAnsi="Arial"/>
                <w:sz w:val="12"/>
                <w:szCs w:val="12"/>
                <w:b w:val="1"/>
                <w:bCs w:val="1"/>
                <w:color w:val="auto"/>
                <w:w w:val="95"/>
              </w:rPr>
              <w:t>($)</w:t>
            </w:r>
          </w:p>
        </w:tc>
      </w:tr>
      <w:tr>
        <w:trPr>
          <w:trHeight w:val="149"/>
        </w:trPr>
        <w:tc>
          <w:tcPr>
            <w:tcW w:w="1780" w:type="dxa"/>
            <w:vAlign w:val="bottom"/>
            <w:shd w:val="clear" w:color="auto" w:fill="CCEEFF"/>
          </w:tcPr>
          <w:p>
            <w:pPr>
              <w:ind w:left="80"/>
              <w:spacing w:after="0"/>
              <w:rPr>
                <w:sz w:val="20"/>
                <w:szCs w:val="20"/>
                <w:color w:val="auto"/>
              </w:rPr>
            </w:pPr>
            <w:r>
              <w:rPr>
                <w:rFonts w:ascii="Arial" w:cs="Arial" w:eastAsia="Arial" w:hAnsi="Arial"/>
                <w:sz w:val="12"/>
                <w:szCs w:val="12"/>
                <w:color w:val="auto"/>
              </w:rPr>
              <w:t>Ellen M. Cotter</w:t>
            </w:r>
          </w:p>
        </w:tc>
        <w:tc>
          <w:tcPr>
            <w:tcW w:w="2260" w:type="dxa"/>
            <w:vAlign w:val="bottom"/>
            <w:shd w:val="clear" w:color="auto" w:fill="CCEEFF"/>
          </w:tcPr>
          <w:p>
            <w:pPr>
              <w:jc w:val="center"/>
              <w:ind w:left="100"/>
              <w:spacing w:after="0"/>
              <w:rPr>
                <w:sz w:val="20"/>
                <w:szCs w:val="20"/>
                <w:color w:val="auto"/>
              </w:rPr>
            </w:pPr>
            <w:r>
              <w:rPr>
                <w:rFonts w:ascii="Arial" w:cs="Arial" w:eastAsia="Arial" w:hAnsi="Arial"/>
                <w:sz w:val="12"/>
                <w:szCs w:val="12"/>
                <w:color w:val="auto"/>
                <w:w w:val="87"/>
              </w:rPr>
              <w:t>250,000</w:t>
            </w:r>
          </w:p>
        </w:tc>
      </w:tr>
      <w:tr>
        <w:trPr>
          <w:trHeight w:val="144"/>
        </w:trPr>
        <w:tc>
          <w:tcPr>
            <w:tcW w:w="1780" w:type="dxa"/>
            <w:vAlign w:val="bottom"/>
          </w:tcPr>
          <w:p>
            <w:pPr>
              <w:ind w:left="80"/>
              <w:spacing w:after="0"/>
              <w:rPr>
                <w:sz w:val="20"/>
                <w:szCs w:val="20"/>
                <w:color w:val="auto"/>
              </w:rPr>
            </w:pPr>
            <w:r>
              <w:rPr>
                <w:rFonts w:ascii="Arial" w:cs="Arial" w:eastAsia="Arial" w:hAnsi="Arial"/>
                <w:sz w:val="12"/>
                <w:szCs w:val="12"/>
                <w:color w:val="auto"/>
              </w:rPr>
              <w:t>Dev Ghose</w:t>
            </w:r>
          </w:p>
        </w:tc>
        <w:tc>
          <w:tcPr>
            <w:tcW w:w="2260" w:type="dxa"/>
            <w:vAlign w:val="bottom"/>
          </w:tcPr>
          <w:p>
            <w:pPr>
              <w:ind w:left="1060"/>
              <w:spacing w:after="0"/>
              <w:rPr>
                <w:sz w:val="20"/>
                <w:szCs w:val="20"/>
                <w:color w:val="auto"/>
              </w:rPr>
            </w:pPr>
            <w:r>
              <w:rPr>
                <w:rFonts w:ascii="Arial" w:cs="Arial" w:eastAsia="Arial" w:hAnsi="Arial"/>
                <w:sz w:val="12"/>
                <w:szCs w:val="12"/>
                <w:color w:val="auto"/>
              </w:rPr>
              <w:t>75,000</w:t>
            </w:r>
          </w:p>
        </w:tc>
      </w:tr>
      <w:tr>
        <w:trPr>
          <w:trHeight w:val="144"/>
        </w:trPr>
        <w:tc>
          <w:tcPr>
            <w:tcW w:w="1780" w:type="dxa"/>
            <w:vAlign w:val="bottom"/>
            <w:shd w:val="clear" w:color="auto" w:fill="CCEEFF"/>
          </w:tcPr>
          <w:p>
            <w:pPr>
              <w:ind w:left="80"/>
              <w:spacing w:after="0"/>
              <w:rPr>
                <w:sz w:val="20"/>
                <w:szCs w:val="20"/>
                <w:color w:val="auto"/>
              </w:rPr>
            </w:pPr>
            <w:r>
              <w:rPr>
                <w:rFonts w:ascii="Arial" w:cs="Arial" w:eastAsia="Arial" w:hAnsi="Arial"/>
                <w:sz w:val="12"/>
                <w:szCs w:val="12"/>
                <w:color w:val="auto"/>
              </w:rPr>
              <w:t>Andrzej J. Matyczynski</w:t>
            </w:r>
          </w:p>
        </w:tc>
        <w:tc>
          <w:tcPr>
            <w:tcW w:w="2260" w:type="dxa"/>
            <w:vAlign w:val="bottom"/>
            <w:shd w:val="clear" w:color="auto" w:fill="CCEEFF"/>
          </w:tcPr>
          <w:p>
            <w:pPr>
              <w:ind w:left="1020"/>
              <w:spacing w:after="0"/>
              <w:rPr>
                <w:sz w:val="20"/>
                <w:szCs w:val="20"/>
                <w:color w:val="auto"/>
              </w:rPr>
            </w:pPr>
            <w:r>
              <w:rPr>
                <w:rFonts w:ascii="Arial" w:cs="Arial" w:eastAsia="Arial" w:hAnsi="Arial"/>
                <w:sz w:val="12"/>
                <w:szCs w:val="12"/>
                <w:color w:val="auto"/>
              </w:rPr>
              <w:t>0</w:t>
            </w:r>
          </w:p>
        </w:tc>
      </w:tr>
      <w:tr>
        <w:trPr>
          <w:trHeight w:val="144"/>
        </w:trPr>
        <w:tc>
          <w:tcPr>
            <w:tcW w:w="1780" w:type="dxa"/>
            <w:vAlign w:val="bottom"/>
          </w:tcPr>
          <w:p>
            <w:pPr>
              <w:ind w:left="80"/>
              <w:spacing w:after="0"/>
              <w:rPr>
                <w:sz w:val="20"/>
                <w:szCs w:val="20"/>
                <w:color w:val="auto"/>
              </w:rPr>
            </w:pPr>
            <w:r>
              <w:rPr>
                <w:rFonts w:ascii="Arial" w:cs="Arial" w:eastAsia="Arial" w:hAnsi="Arial"/>
                <w:sz w:val="12"/>
                <w:szCs w:val="12"/>
                <w:color w:val="auto"/>
              </w:rPr>
              <w:t>William Ellis</w:t>
            </w:r>
          </w:p>
        </w:tc>
        <w:tc>
          <w:tcPr>
            <w:tcW w:w="2260" w:type="dxa"/>
            <w:vAlign w:val="bottom"/>
          </w:tcPr>
          <w:p>
            <w:pPr>
              <w:ind w:left="1160"/>
              <w:spacing w:after="0"/>
              <w:rPr>
                <w:sz w:val="20"/>
                <w:szCs w:val="20"/>
                <w:color w:val="auto"/>
              </w:rPr>
            </w:pPr>
            <w:r>
              <w:rPr>
                <w:rFonts w:ascii="Arial" w:cs="Arial" w:eastAsia="Arial" w:hAnsi="Arial"/>
                <w:sz w:val="12"/>
                <w:szCs w:val="12"/>
                <w:color w:val="auto"/>
              </w:rPr>
              <w:t>0</w:t>
            </w:r>
            <w:r>
              <w:rPr>
                <w:rFonts w:ascii="Arial" w:cs="Arial" w:eastAsia="Arial" w:hAnsi="Arial"/>
                <w:sz w:val="5"/>
                <w:szCs w:val="5"/>
                <w:color w:val="auto"/>
              </w:rPr>
              <w:t>(1)</w:t>
            </w:r>
          </w:p>
        </w:tc>
      </w:tr>
      <w:tr>
        <w:trPr>
          <w:trHeight w:val="144"/>
        </w:trPr>
        <w:tc>
          <w:tcPr>
            <w:tcW w:w="1780" w:type="dxa"/>
            <w:vAlign w:val="bottom"/>
            <w:shd w:val="clear" w:color="auto" w:fill="CCEEFF"/>
          </w:tcPr>
          <w:p>
            <w:pPr>
              <w:ind w:left="80"/>
              <w:spacing w:after="0"/>
              <w:rPr>
                <w:sz w:val="20"/>
                <w:szCs w:val="20"/>
                <w:color w:val="auto"/>
              </w:rPr>
            </w:pPr>
            <w:r>
              <w:rPr>
                <w:rFonts w:ascii="Arial" w:cs="Arial" w:eastAsia="Arial" w:hAnsi="Arial"/>
                <w:sz w:val="12"/>
                <w:szCs w:val="12"/>
                <w:color w:val="auto"/>
              </w:rPr>
              <w:t>James J. Cotter, Jr.</w:t>
            </w:r>
          </w:p>
        </w:tc>
        <w:tc>
          <w:tcPr>
            <w:tcW w:w="2260" w:type="dxa"/>
            <w:vAlign w:val="bottom"/>
            <w:shd w:val="clear" w:color="auto" w:fill="CCEEFF"/>
          </w:tcPr>
          <w:p>
            <w:pPr>
              <w:jc w:val="center"/>
              <w:ind w:left="100"/>
              <w:spacing w:after="0"/>
              <w:rPr>
                <w:sz w:val="20"/>
                <w:szCs w:val="20"/>
                <w:color w:val="auto"/>
              </w:rPr>
            </w:pPr>
            <w:r>
              <w:rPr>
                <w:rFonts w:ascii="Arial" w:cs="Arial" w:eastAsia="Arial" w:hAnsi="Arial"/>
                <w:sz w:val="12"/>
                <w:szCs w:val="12"/>
                <w:color w:val="auto"/>
                <w:w w:val="89"/>
              </w:rPr>
              <w:t>0</w:t>
            </w:r>
          </w:p>
        </w:tc>
      </w:tr>
      <w:tr>
        <w:trPr>
          <w:trHeight w:val="144"/>
        </w:trPr>
        <w:tc>
          <w:tcPr>
            <w:tcW w:w="1780" w:type="dxa"/>
            <w:vAlign w:val="bottom"/>
          </w:tcPr>
          <w:p>
            <w:pPr>
              <w:ind w:left="80"/>
              <w:spacing w:after="0"/>
              <w:rPr>
                <w:sz w:val="20"/>
                <w:szCs w:val="20"/>
                <w:color w:val="auto"/>
              </w:rPr>
            </w:pPr>
            <w:r>
              <w:rPr>
                <w:rFonts w:ascii="Arial" w:cs="Arial" w:eastAsia="Arial" w:hAnsi="Arial"/>
                <w:sz w:val="12"/>
                <w:szCs w:val="12"/>
                <w:color w:val="auto"/>
              </w:rPr>
              <w:t>Robert F. Smerling</w:t>
            </w:r>
          </w:p>
        </w:tc>
        <w:tc>
          <w:tcPr>
            <w:tcW w:w="2260" w:type="dxa"/>
            <w:vAlign w:val="bottom"/>
          </w:tcPr>
          <w:p>
            <w:pPr>
              <w:ind w:left="1060"/>
              <w:spacing w:after="0"/>
              <w:rPr>
                <w:sz w:val="20"/>
                <w:szCs w:val="20"/>
                <w:color w:val="auto"/>
              </w:rPr>
            </w:pPr>
            <w:r>
              <w:rPr>
                <w:rFonts w:ascii="Arial" w:cs="Arial" w:eastAsia="Arial" w:hAnsi="Arial"/>
                <w:sz w:val="12"/>
                <w:szCs w:val="12"/>
                <w:color w:val="auto"/>
              </w:rPr>
              <w:t>75,000</w:t>
            </w:r>
          </w:p>
        </w:tc>
      </w:tr>
      <w:tr>
        <w:trPr>
          <w:trHeight w:val="144"/>
        </w:trPr>
        <w:tc>
          <w:tcPr>
            <w:tcW w:w="1780" w:type="dxa"/>
            <w:vAlign w:val="bottom"/>
            <w:shd w:val="clear" w:color="auto" w:fill="CCEEFF"/>
          </w:tcPr>
          <w:p>
            <w:pPr>
              <w:ind w:left="80"/>
              <w:spacing w:after="0"/>
              <w:rPr>
                <w:sz w:val="20"/>
                <w:szCs w:val="20"/>
                <w:color w:val="auto"/>
              </w:rPr>
            </w:pPr>
            <w:r>
              <w:rPr>
                <w:rFonts w:ascii="Arial" w:cs="Arial" w:eastAsia="Arial" w:hAnsi="Arial"/>
                <w:sz w:val="12"/>
                <w:szCs w:val="12"/>
                <w:color w:val="auto"/>
              </w:rPr>
              <w:t>Wayne Smith</w:t>
            </w:r>
          </w:p>
        </w:tc>
        <w:tc>
          <w:tcPr>
            <w:tcW w:w="2260" w:type="dxa"/>
            <w:vAlign w:val="bottom"/>
            <w:shd w:val="clear" w:color="auto" w:fill="CCEEFF"/>
          </w:tcPr>
          <w:p>
            <w:pPr>
              <w:ind w:left="1060"/>
              <w:spacing w:after="0"/>
              <w:rPr>
                <w:sz w:val="20"/>
                <w:szCs w:val="20"/>
                <w:color w:val="auto"/>
              </w:rPr>
            </w:pPr>
            <w:r>
              <w:rPr>
                <w:rFonts w:ascii="Arial" w:cs="Arial" w:eastAsia="Arial" w:hAnsi="Arial"/>
                <w:sz w:val="12"/>
                <w:szCs w:val="12"/>
                <w:color w:val="auto"/>
              </w:rPr>
              <w:t>71,478</w:t>
            </w:r>
            <w:r>
              <w:rPr>
                <w:rFonts w:ascii="Arial" w:cs="Arial" w:eastAsia="Arial" w:hAnsi="Arial"/>
                <w:sz w:val="5"/>
                <w:szCs w:val="5"/>
                <w:color w:val="auto"/>
              </w:rPr>
              <w:t>(2)</w:t>
            </w:r>
          </w:p>
        </w:tc>
      </w:tr>
    </w:tbl>
    <w:p>
      <w:pPr>
        <w:spacing w:after="0" w:line="258" w:lineRule="exact"/>
        <w:rPr>
          <w:sz w:val="20"/>
          <w:szCs w:val="20"/>
          <w:color w:val="auto"/>
        </w:rPr>
      </w:pPr>
    </w:p>
    <w:p>
      <w:pPr>
        <w:ind w:left="360" w:hanging="139"/>
        <w:spacing w:after="0"/>
        <w:tabs>
          <w:tab w:leader="none" w:pos="360" w:val="left"/>
        </w:tabs>
        <w:numPr>
          <w:ilvl w:val="0"/>
          <w:numId w:val="48"/>
        </w:numPr>
        <w:rPr>
          <w:rFonts w:ascii="Arial" w:cs="Arial" w:eastAsia="Arial" w:hAnsi="Arial"/>
          <w:sz w:val="10"/>
          <w:szCs w:val="10"/>
          <w:color w:val="auto"/>
        </w:rPr>
      </w:pPr>
      <w:r>
        <w:rPr>
          <w:rFonts w:ascii="Arial" w:cs="Arial" w:eastAsia="Arial" w:hAnsi="Arial"/>
          <w:sz w:val="10"/>
          <w:szCs w:val="10"/>
          <w:color w:val="auto"/>
        </w:rPr>
        <w:t>Pursuant to his employment agreement, in 2015 Mr. Ellis received a guaranteed bonus of $60,000, and as such, it was not subject to the process above. Mr. Ellis submitted his resignation on February 18, 2016.</w:t>
      </w:r>
    </w:p>
    <w:p>
      <w:pPr>
        <w:spacing w:after="0" w:line="20" w:lineRule="exact"/>
        <w:rPr>
          <w:rFonts w:ascii="Arial" w:cs="Arial" w:eastAsia="Arial" w:hAnsi="Arial"/>
          <w:sz w:val="10"/>
          <w:szCs w:val="10"/>
          <w:color w:val="auto"/>
        </w:rPr>
      </w:pPr>
    </w:p>
    <w:p>
      <w:pPr>
        <w:ind w:left="420" w:hanging="199"/>
        <w:spacing w:after="0"/>
        <w:tabs>
          <w:tab w:leader="none" w:pos="420" w:val="left"/>
        </w:tabs>
        <w:numPr>
          <w:ilvl w:val="0"/>
          <w:numId w:val="48"/>
        </w:numPr>
        <w:rPr>
          <w:rFonts w:ascii="Arial" w:cs="Arial" w:eastAsia="Arial" w:hAnsi="Arial"/>
          <w:sz w:val="10"/>
          <w:szCs w:val="10"/>
          <w:color w:val="auto"/>
        </w:rPr>
      </w:pPr>
      <w:r>
        <w:rPr>
          <w:rFonts w:ascii="Arial" w:cs="Arial" w:eastAsia="Arial" w:hAnsi="Arial"/>
          <w:sz w:val="10"/>
          <w:szCs w:val="10"/>
          <w:color w:val="auto"/>
        </w:rPr>
        <w:t>Mr. Smith’s bonus was paid in Australian Dollars in the amount of AUD$95,000 (shown in the table in U.S. Dollars using exchange rate 0.7524).</w:t>
      </w:r>
    </w:p>
    <w:p>
      <w:pPr>
        <w:spacing w:after="0" w:line="204" w:lineRule="exact"/>
        <w:rPr>
          <w:sz w:val="20"/>
          <w:szCs w:val="20"/>
          <w:color w:val="auto"/>
        </w:rPr>
      </w:pPr>
    </w:p>
    <w:p>
      <w:pPr>
        <w:ind w:right="120" w:firstLine="432"/>
        <w:spacing w:after="0" w:line="290" w:lineRule="auto"/>
        <w:rPr>
          <w:sz w:val="20"/>
          <w:szCs w:val="20"/>
          <w:color w:val="auto"/>
        </w:rPr>
      </w:pPr>
      <w:r>
        <w:rPr>
          <w:rFonts w:ascii="Arial" w:cs="Arial" w:eastAsia="Arial" w:hAnsi="Arial"/>
          <w:sz w:val="11"/>
          <w:szCs w:val="11"/>
          <w:color w:val="auto"/>
        </w:rPr>
        <w:t>In the past, we have offered stock options and stock awards to our employees, including named executive officers, as the long-term incentive component of our compensation program. We sometimes granted equity awards to new hires upon their commencing employment with us and from time to time thereafter. Our stock options allow employees to purchase shares of our common stock at a price per share equal to the fair market value of our common stock on the date of grant and may or may not be intended to qualify as “incentive stock options” for U.S. federal income tax purposes. Generally, the stock options we granted to our employees vest over four years in equal installments upon the annual anniversaries of the date of grant, subject to their continued employment with us on each vesting date.</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Employment Agreements</w:t>
      </w:r>
    </w:p>
    <w:p>
      <w:pPr>
        <w:spacing w:after="0" w:line="127" w:lineRule="exact"/>
        <w:rPr>
          <w:sz w:val="20"/>
          <w:szCs w:val="20"/>
          <w:color w:val="auto"/>
        </w:rPr>
      </w:pPr>
    </w:p>
    <w:p>
      <w:pPr>
        <w:ind w:firstLine="432"/>
        <w:spacing w:after="0" w:line="259" w:lineRule="auto"/>
        <w:rPr>
          <w:sz w:val="20"/>
          <w:szCs w:val="20"/>
          <w:color w:val="auto"/>
        </w:rPr>
      </w:pPr>
      <w:r>
        <w:rPr>
          <w:rFonts w:ascii="Arial" w:cs="Arial" w:eastAsia="Arial" w:hAnsi="Arial"/>
          <w:sz w:val="12"/>
          <w:szCs w:val="12"/>
          <w:u w:val="single" w:color="auto"/>
          <w:color w:val="auto"/>
        </w:rPr>
        <w:t>James J. Cotter, Jr</w:t>
      </w:r>
      <w:r>
        <w:rPr>
          <w:rFonts w:ascii="Arial" w:cs="Arial" w:eastAsia="Arial" w:hAnsi="Arial"/>
          <w:sz w:val="12"/>
          <w:szCs w:val="12"/>
          <w:color w:val="auto"/>
        </w:rPr>
        <w:t>. On June 12, 2015, the Board terminated the employment of James J. Cotter, Jr. as our President and Chief Executive Officer. Under Mr. Cotter, Jr.’s employment agreement with the Company, he is entitled to the compensation and benefits he was receiving at the time of a termination without cause for a period of twelve months from notice of termination. At the time of termination, Mr. Cotter Jr.’s annual salary was $335,000, and the Company paid Mr. Cotter Jr. severance payments in the amount of $43,750. A dispute has arisen between the Company and Mr. Cotter as to whether the Company is required to continue to make these payments, which dispute is currently subject to arbitration.</w:t>
      </w:r>
    </w:p>
    <w:p>
      <w:pPr>
        <w:spacing w:after="0" w:line="98" w:lineRule="exact"/>
        <w:rPr>
          <w:sz w:val="20"/>
          <w:szCs w:val="20"/>
          <w:color w:val="auto"/>
        </w:rPr>
      </w:pPr>
    </w:p>
    <w:p>
      <w:pPr>
        <w:ind w:right="100" w:firstLine="432"/>
        <w:spacing w:after="0" w:line="259" w:lineRule="auto"/>
        <w:rPr>
          <w:sz w:val="20"/>
          <w:szCs w:val="20"/>
          <w:color w:val="auto"/>
        </w:rPr>
      </w:pPr>
      <w:r>
        <w:rPr>
          <w:rFonts w:ascii="Arial" w:cs="Arial" w:eastAsia="Arial" w:hAnsi="Arial"/>
          <w:sz w:val="12"/>
          <w:szCs w:val="12"/>
          <w:u w:val="single" w:color="auto"/>
          <w:color w:val="auto"/>
        </w:rPr>
        <w:t>Dev Ghose</w:t>
      </w:r>
      <w:r>
        <w:rPr>
          <w:rFonts w:ascii="Arial" w:cs="Arial" w:eastAsia="Arial" w:hAnsi="Arial"/>
          <w:sz w:val="12"/>
          <w:szCs w:val="12"/>
          <w:color w:val="auto"/>
        </w:rPr>
        <w:t>. On April 20, 2015, we entered into an employment agreement with Mr. Dev Ghose, pursuant to which he agreed to serve as our Chief Financial Officer for a one-year term commencing on May 11, 2015. The employment agreement provides that Mr. Ghose is to receive an annual base salary of $400,000, with an annual target bonus of $200,000, and employee benefits in line with those received by our other senior executives. Mr. Ghose was also granted stock options to purchase 100,000 shares of Class A Stock at an exercise price equal to the closing price of our Class A Stock on the date of grant and which will vest in equal annual increments over a four-year period, subject to his remaining in our continuous employ through each annual vesting date.</w:t>
      </w:r>
    </w:p>
    <w:p>
      <w:pPr>
        <w:spacing w:after="0" w:line="107" w:lineRule="exact"/>
        <w:rPr>
          <w:sz w:val="20"/>
          <w:szCs w:val="20"/>
          <w:color w:val="auto"/>
        </w:rPr>
      </w:pPr>
    </w:p>
    <w:p>
      <w:pPr>
        <w:ind w:right="120" w:firstLine="432"/>
        <w:spacing w:after="0" w:line="259" w:lineRule="auto"/>
        <w:rPr>
          <w:sz w:val="20"/>
          <w:szCs w:val="20"/>
          <w:color w:val="auto"/>
        </w:rPr>
      </w:pPr>
      <w:r>
        <w:rPr>
          <w:rFonts w:ascii="Arial" w:cs="Arial" w:eastAsia="Arial" w:hAnsi="Arial"/>
          <w:sz w:val="12"/>
          <w:szCs w:val="12"/>
          <w:color w:val="auto"/>
        </w:rPr>
        <w:t>Under his employment agreement, we may terminate Mr. Ghose’s employment with or without cause (as defined) at any time. If we terminate his employment without cause or fail to renew his employment agreement upon expiration without cause, Mr. Ghose will be entitled to receive severance in an amount equal to the salary and benefits he was receiving for a period of 12 months following such termination or non-renewal. If the termination is in connection with a “change of control” (as defined), Mr. Ghose would be entitled to severance in an amount equal to the compensation he would have received for a period two years from such termination.</w:t>
      </w:r>
    </w:p>
    <w:p>
      <w:pPr>
        <w:spacing w:after="0" w:line="98" w:lineRule="exact"/>
        <w:rPr>
          <w:sz w:val="20"/>
          <w:szCs w:val="20"/>
          <w:color w:val="auto"/>
        </w:rPr>
      </w:pPr>
    </w:p>
    <w:p>
      <w:pPr>
        <w:ind w:right="160" w:firstLine="432"/>
        <w:spacing w:after="0" w:line="259" w:lineRule="auto"/>
        <w:rPr>
          <w:sz w:val="20"/>
          <w:szCs w:val="20"/>
          <w:color w:val="auto"/>
        </w:rPr>
      </w:pPr>
      <w:r>
        <w:rPr>
          <w:rFonts w:ascii="Arial" w:cs="Arial" w:eastAsia="Arial" w:hAnsi="Arial"/>
          <w:sz w:val="12"/>
          <w:szCs w:val="12"/>
          <w:u w:val="single" w:color="auto"/>
          <w:color w:val="auto"/>
        </w:rPr>
        <w:t>William D. Ellis</w:t>
      </w:r>
      <w:r>
        <w:rPr>
          <w:rFonts w:ascii="Arial" w:cs="Arial" w:eastAsia="Arial" w:hAnsi="Arial"/>
          <w:sz w:val="12"/>
          <w:szCs w:val="12"/>
          <w:color w:val="auto"/>
        </w:rPr>
        <w:t>. On October 20, 2014, we entered into an employment agreement with Mr. William D. Ellis, which was amended in September 2015, pursuant to which he agreed to serve as our General Counsel for a term of three years. The employment agreement provided that Mr. Ellis was to receive an annual base salary of $350,000, with an annual guaranteed bonus of at least $60,000. In addition, Mr. Ellis was granted stock options to purchase 60,000 shares of Class A Stock at an exercise price equal to the closing price of our Class A Stock on the date of grant and which will vest in equal annual increments over a three-year period, subject to his remaining in our continuous employ through each annual vesting date.</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59690</wp:posOffset>
            </wp:positionV>
            <wp:extent cx="677989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779895" cy="42545"/>
                    </a:xfrm>
                    <a:prstGeom prst="rect">
                      <a:avLst/>
                    </a:prstGeom>
                    <a:noFill/>
                  </pic:spPr>
                </pic:pic>
              </a:graphicData>
            </a:graphic>
          </wp:anchor>
        </w:drawing>
      </w:r>
    </w:p>
    <w:p>
      <w:pPr>
        <w:sectPr>
          <w:pgSz w:w="11900" w:h="16838" w:orient="portrait"/>
          <w:cols w:equalWidth="0" w:num="1">
            <w:col w:w="10620"/>
          </w:cols>
          <w:pgMar w:left="640" w:top="275" w:right="639" w:bottom="1440" w:gutter="0" w:footer="0" w:header="0"/>
        </w:sectPr>
      </w:pPr>
    </w:p>
    <w:bookmarkStart w:id="109" w:name="page110"/>
    <w:bookmarkEnd w:id="109"/>
    <w:p>
      <w:pPr>
        <w:ind w:right="20" w:firstLine="432"/>
        <w:spacing w:after="0" w:line="298" w:lineRule="auto"/>
        <w:rPr>
          <w:sz w:val="20"/>
          <w:szCs w:val="20"/>
          <w:color w:val="auto"/>
        </w:rPr>
      </w:pPr>
      <w:r>
        <w:rPr>
          <w:rFonts w:ascii="Arial" w:cs="Arial" w:eastAsia="Arial" w:hAnsi="Arial"/>
          <w:sz w:val="11"/>
          <w:szCs w:val="11"/>
          <w:color w:val="auto"/>
        </w:rPr>
        <w:t>On February 18, 2016, William D. Ellis submitted his resignation as our General Counsel and Corporate Secretary. On March 11, 2016, we entered into an agreement with Mr. William D. Ellis, pursuant to which, in consideration of the payment to Mr. Ellis of $205,010 (to be paid in 19 equal semi-monthly installments of $10,790) and the vesting of options to acquire 20,000 shares of our Class A Common Stock on October 15, 2016, Mr. Ellis has agreed to be available to advise us on matters on which he previously worked until December 31, 2016. Mr. Ellis' last day of employment was March 11, 2016.</w:t>
      </w:r>
    </w:p>
    <w:p>
      <w:pPr>
        <w:spacing w:after="0" w:line="78" w:lineRule="exact"/>
        <w:rPr>
          <w:sz w:val="20"/>
          <w:szCs w:val="20"/>
          <w:color w:val="auto"/>
        </w:rPr>
      </w:pPr>
    </w:p>
    <w:p>
      <w:pPr>
        <w:ind w:right="60" w:firstLine="432"/>
        <w:spacing w:after="0" w:line="259" w:lineRule="auto"/>
        <w:rPr>
          <w:sz w:val="20"/>
          <w:szCs w:val="20"/>
          <w:color w:val="auto"/>
        </w:rPr>
      </w:pPr>
      <w:r>
        <w:rPr>
          <w:rFonts w:ascii="Arial" w:cs="Arial" w:eastAsia="Arial" w:hAnsi="Arial"/>
          <w:sz w:val="12"/>
          <w:szCs w:val="12"/>
          <w:u w:val="single" w:color="auto"/>
          <w:color w:val="auto"/>
        </w:rPr>
        <w:t>Andrzej J. Matyczynski</w:t>
      </w:r>
      <w:r>
        <w:rPr>
          <w:rFonts w:ascii="Arial" w:cs="Arial" w:eastAsia="Arial" w:hAnsi="Arial"/>
          <w:sz w:val="12"/>
          <w:szCs w:val="12"/>
          <w:color w:val="auto"/>
        </w:rPr>
        <w:t>. Mr. Matyczynski, our former Chief Financial Officer, Treasurer and Corporate Secretary, has a written agreement with our Company that provides for a lump-sum severance payment of $50,000, provided there has been no termination for cause and subject to certain offsets, and to the payment of his vested benefit under his deferred compensation plan discussed below in the section entitled “Other Elements of Compensation.” Mr. Matyczynski resigned as our Corporate Secretary on October 20, 2014 and as our Chief Financial Officer and Treasurer effective May 11, 2015, but continued as an employee in order to assist in the transition of our new Chief Financial Officer. He was appointed EVP-Global Operations in March 2016.</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2016 AND FUTURE COMPENSATION STRUCTURE</w:t>
      </w:r>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Background</w:t>
      </w:r>
    </w:p>
    <w:p>
      <w:pPr>
        <w:spacing w:after="0" w:line="123" w:lineRule="exact"/>
        <w:rPr>
          <w:sz w:val="20"/>
          <w:szCs w:val="20"/>
          <w:color w:val="auto"/>
        </w:rPr>
      </w:pPr>
    </w:p>
    <w:p>
      <w:pPr>
        <w:ind w:right="80" w:firstLine="432"/>
        <w:spacing w:after="0" w:line="259" w:lineRule="auto"/>
        <w:rPr>
          <w:sz w:val="20"/>
          <w:szCs w:val="20"/>
          <w:color w:val="auto"/>
        </w:rPr>
      </w:pPr>
      <w:r>
        <w:rPr>
          <w:rFonts w:ascii="Arial" w:cs="Arial" w:eastAsia="Arial" w:hAnsi="Arial"/>
          <w:sz w:val="12"/>
          <w:szCs w:val="12"/>
          <w:color w:val="auto"/>
        </w:rPr>
        <w:t>In early 2016, our Compensation Committee conducted a thorough evaluation of our compensation policy for executive officers and outside directors to establish a plan that encompasses best corporate practices consistent with our best interests. Our Compensation Committee undertook to review, evaluate, revise and recommend the adoption of new compensation arrangements for our executive and management officers and outside directors. In January 2016, our Compensation Committee retained the international compensation consulting firm of Willis Towers Watson as its advisor in this process and also relied on the advice of our legal counsel, Greenberg Traurig, LLP.</w:t>
      </w:r>
    </w:p>
    <w:p>
      <w:pPr>
        <w:spacing w:after="0" w:line="10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Compensation Committee Charter</w:t>
      </w:r>
    </w:p>
    <w:p>
      <w:pPr>
        <w:spacing w:after="0" w:line="123" w:lineRule="exact"/>
        <w:rPr>
          <w:sz w:val="20"/>
          <w:szCs w:val="20"/>
          <w:color w:val="auto"/>
        </w:rPr>
      </w:pPr>
    </w:p>
    <w:p>
      <w:pPr>
        <w:ind w:right="380" w:firstLine="432"/>
        <w:spacing w:after="0" w:line="276" w:lineRule="auto"/>
        <w:rPr>
          <w:sz w:val="20"/>
          <w:szCs w:val="20"/>
          <w:color w:val="auto"/>
        </w:rPr>
      </w:pPr>
      <w:r>
        <w:rPr>
          <w:rFonts w:ascii="Arial" w:cs="Arial" w:eastAsia="Arial" w:hAnsi="Arial"/>
          <w:sz w:val="12"/>
          <w:szCs w:val="12"/>
          <w:color w:val="auto"/>
        </w:rPr>
        <w:t>On February 29, 2016, our Board adopted the Charter of the Compensation Committee, or the Compensation Committee Charter. In keeping with our intent to implement best practices, the Compensation Committee Charter delegated the following responsibilities to our Compensation Committee:</w:t>
      </w:r>
    </w:p>
    <w:p>
      <w:pPr>
        <w:spacing w:after="0" w:line="88" w:lineRule="exact"/>
        <w:rPr>
          <w:sz w:val="20"/>
          <w:szCs w:val="20"/>
          <w:color w:val="auto"/>
        </w:rPr>
      </w:pPr>
    </w:p>
    <w:p>
      <w:pPr>
        <w:ind w:left="440"/>
        <w:spacing w:after="0"/>
        <w:rPr>
          <w:sz w:val="20"/>
          <w:szCs w:val="20"/>
          <w:color w:val="auto"/>
        </w:rPr>
      </w:pPr>
      <w:r>
        <w:rPr>
          <w:rFonts w:ascii="Arial" w:cs="Arial" w:eastAsia="Arial" w:hAnsi="Arial"/>
          <w:sz w:val="12"/>
          <w:szCs w:val="12"/>
          <w:color w:val="auto"/>
        </w:rPr>
        <w:t>· in consultation with our senior management, to establish our compensation philosophy and objectives;</w:t>
      </w:r>
    </w:p>
    <w:p>
      <w:pPr>
        <w:spacing w:after="0" w:line="15" w:lineRule="exact"/>
        <w:rPr>
          <w:sz w:val="20"/>
          <w:szCs w:val="20"/>
          <w:color w:val="auto"/>
        </w:rPr>
      </w:pPr>
    </w:p>
    <w:p>
      <w:pPr>
        <w:ind w:left="480" w:right="460" w:hanging="35"/>
        <w:spacing w:after="0" w:line="250" w:lineRule="auto"/>
        <w:rPr>
          <w:sz w:val="20"/>
          <w:szCs w:val="20"/>
          <w:color w:val="auto"/>
        </w:rPr>
      </w:pPr>
      <w:r>
        <w:rPr>
          <w:rFonts w:ascii="Arial" w:cs="Arial" w:eastAsia="Arial" w:hAnsi="Arial"/>
          <w:sz w:val="12"/>
          <w:szCs w:val="12"/>
          <w:color w:val="auto"/>
        </w:rPr>
        <w:t>·to review and approve all compensation, including salary, bonus, incentive and equity compensation, for our CEO and our executive officers, provided that our CEO may not be present during voting or deliberations on his or her compensation;</w:t>
      </w:r>
    </w:p>
    <w:p>
      <w:pPr>
        <w:spacing w:after="0" w:line="1" w:lineRule="exact"/>
        <w:rPr>
          <w:sz w:val="20"/>
          <w:szCs w:val="20"/>
          <w:color w:val="auto"/>
        </w:rPr>
      </w:pPr>
    </w:p>
    <w:p>
      <w:pPr>
        <w:ind w:left="440" w:right="220"/>
        <w:spacing w:after="0" w:line="250" w:lineRule="auto"/>
        <w:rPr>
          <w:sz w:val="20"/>
          <w:szCs w:val="20"/>
          <w:color w:val="auto"/>
        </w:rPr>
      </w:pPr>
      <w:r>
        <w:rPr>
          <w:rFonts w:ascii="Arial" w:cs="Arial" w:eastAsia="Arial" w:hAnsi="Arial"/>
          <w:sz w:val="12"/>
          <w:szCs w:val="12"/>
          <w:color w:val="auto"/>
        </w:rPr>
        <w:t>·to approve all employment agreements, severance arrangements, change in control provisions and agreements and any special or supplemental benefits applicable to our CEO and other executive officers; ·to approve and adopt, on behalf of our Board, incentive compensation and equity-based compensation plans, or, in the case of plans requiring stockholder approval, to review and recommend such plan to the stockholders;</w:t>
      </w:r>
    </w:p>
    <w:p>
      <w:pPr>
        <w:spacing w:after="0" w:line="1" w:lineRule="exact"/>
        <w:rPr>
          <w:sz w:val="20"/>
          <w:szCs w:val="20"/>
          <w:color w:val="auto"/>
        </w:rPr>
      </w:pPr>
    </w:p>
    <w:p>
      <w:pPr>
        <w:ind w:left="480" w:right="380" w:hanging="35"/>
        <w:spacing w:after="0" w:line="273" w:lineRule="auto"/>
        <w:rPr>
          <w:sz w:val="20"/>
          <w:szCs w:val="20"/>
          <w:color w:val="auto"/>
        </w:rPr>
      </w:pPr>
      <w:r>
        <w:rPr>
          <w:rFonts w:ascii="Arial" w:cs="Arial" w:eastAsia="Arial" w:hAnsi="Arial"/>
          <w:sz w:val="11"/>
          <w:szCs w:val="11"/>
          <w:color w:val="auto"/>
        </w:rPr>
        <w:t>·to review and discuss with our management and our counsel and auditors, the disclosures made in Compensation Discussion and Analysis and advise our Board whether, in the view of the Committee, the Compensation Discussion and Analysis is, in form and substance, satisfactory for inclusion in our annual report on Form 10-K and proxy statement for the annual meeting of stockholders;</w:t>
      </w:r>
    </w:p>
    <w:p>
      <w:pPr>
        <w:ind w:left="480" w:right="580" w:hanging="35"/>
        <w:spacing w:after="0" w:line="250" w:lineRule="auto"/>
        <w:rPr>
          <w:sz w:val="20"/>
          <w:szCs w:val="20"/>
          <w:color w:val="auto"/>
        </w:rPr>
      </w:pPr>
      <w:r>
        <w:rPr>
          <w:rFonts w:ascii="Arial" w:cs="Arial" w:eastAsia="Arial" w:hAnsi="Arial"/>
          <w:sz w:val="12"/>
          <w:szCs w:val="12"/>
          <w:color w:val="auto"/>
        </w:rPr>
        <w:t>·to prepare an annual compensation committee report for inclusion in our proxy statement for the annual meeting of stockholders in accordance with the applicable rules of the Securities and Exchange Commission (“</w:t>
      </w:r>
      <w:r>
        <w:rPr>
          <w:rFonts w:ascii="Arial" w:cs="Arial" w:eastAsia="Arial" w:hAnsi="Arial"/>
          <w:sz w:val="12"/>
          <w:szCs w:val="12"/>
          <w:b w:val="1"/>
          <w:bCs w:val="1"/>
          <w:i w:val="1"/>
          <w:iCs w:val="1"/>
          <w:color w:val="auto"/>
        </w:rPr>
        <w:t>SEC</w:t>
      </w:r>
      <w:r>
        <w:rPr>
          <w:rFonts w:ascii="Arial" w:cs="Arial" w:eastAsia="Arial" w:hAnsi="Arial"/>
          <w:sz w:val="12"/>
          <w:szCs w:val="12"/>
          <w:color w:val="auto"/>
        </w:rPr>
        <w:t>”);</w:t>
      </w:r>
    </w:p>
    <w:p>
      <w:pPr>
        <w:spacing w:after="0" w:line="1" w:lineRule="exact"/>
        <w:rPr>
          <w:sz w:val="20"/>
          <w:szCs w:val="20"/>
          <w:color w:val="auto"/>
        </w:rPr>
      </w:pPr>
    </w:p>
    <w:p>
      <w:pPr>
        <w:ind w:left="440"/>
        <w:spacing w:after="0"/>
        <w:rPr>
          <w:sz w:val="20"/>
          <w:szCs w:val="20"/>
          <w:color w:val="auto"/>
        </w:rPr>
      </w:pPr>
      <w:r>
        <w:rPr>
          <w:rFonts w:ascii="Arial" w:cs="Arial" w:eastAsia="Arial" w:hAnsi="Arial"/>
          <w:sz w:val="12"/>
          <w:szCs w:val="12"/>
          <w:color w:val="auto"/>
        </w:rPr>
        <w:t>· to periodically review and reassess the adequacy of this charter and recommend any proposed changes to the Board for approval;</w:t>
      </w:r>
    </w:p>
    <w:p>
      <w:pPr>
        <w:spacing w:after="0" w:line="6" w:lineRule="exact"/>
        <w:rPr>
          <w:sz w:val="20"/>
          <w:szCs w:val="20"/>
          <w:color w:val="auto"/>
        </w:rPr>
      </w:pPr>
    </w:p>
    <w:p>
      <w:pPr>
        <w:ind w:left="480" w:hanging="35"/>
        <w:spacing w:after="0" w:line="250" w:lineRule="auto"/>
        <w:rPr>
          <w:sz w:val="20"/>
          <w:szCs w:val="20"/>
          <w:color w:val="auto"/>
        </w:rPr>
      </w:pPr>
      <w:r>
        <w:rPr>
          <w:rFonts w:ascii="Arial" w:cs="Arial" w:eastAsia="Arial" w:hAnsi="Arial"/>
          <w:sz w:val="12"/>
          <w:szCs w:val="12"/>
          <w:color w:val="auto"/>
        </w:rPr>
        <w:t>·to administer our equity-based compensation plans, including the grant of stock options and other equity awards under such plans, the exercise of any discretion accorded to the administrator of all such plans and the interpretation of the provisions of such plans and the terms of any awards made under the plans; and</w:t>
      </w:r>
    </w:p>
    <w:p>
      <w:pPr>
        <w:spacing w:after="0" w:line="1" w:lineRule="exact"/>
        <w:rPr>
          <w:sz w:val="20"/>
          <w:szCs w:val="20"/>
          <w:color w:val="auto"/>
        </w:rPr>
      </w:pPr>
    </w:p>
    <w:p>
      <w:pPr>
        <w:ind w:left="480" w:right="260" w:hanging="35"/>
        <w:spacing w:after="0" w:line="250" w:lineRule="auto"/>
        <w:rPr>
          <w:sz w:val="20"/>
          <w:szCs w:val="20"/>
          <w:color w:val="auto"/>
        </w:rPr>
      </w:pPr>
      <w:r>
        <w:rPr>
          <w:rFonts w:ascii="Arial" w:cs="Arial" w:eastAsia="Arial" w:hAnsi="Arial"/>
          <w:sz w:val="12"/>
          <w:szCs w:val="12"/>
          <w:color w:val="auto"/>
        </w:rPr>
        <w:t>·to consider the results of the most recent stockholder advisory vote on executive compensation required by Section 14A of the Securities Exchange Act of 1934 when determining compensation policies and making decisions on executive compensation.</w:t>
      </w:r>
    </w:p>
    <w:p>
      <w:pPr>
        <w:spacing w:after="0" w:line="1" w:lineRule="exact"/>
        <w:rPr>
          <w:sz w:val="20"/>
          <w:szCs w:val="20"/>
          <w:color w:val="auto"/>
        </w:rPr>
      </w:pPr>
    </w:p>
    <w:p>
      <w:pPr>
        <w:ind w:right="40" w:firstLine="432"/>
        <w:spacing w:after="0" w:line="255" w:lineRule="auto"/>
        <w:rPr>
          <w:sz w:val="20"/>
          <w:szCs w:val="20"/>
          <w:color w:val="auto"/>
        </w:rPr>
      </w:pPr>
      <w:r>
        <w:rPr>
          <w:rFonts w:ascii="Arial" w:cs="Arial" w:eastAsia="Arial" w:hAnsi="Arial"/>
          <w:sz w:val="12"/>
          <w:szCs w:val="12"/>
          <w:color w:val="auto"/>
        </w:rPr>
        <w:t>Under the Compensation Committee Charter, "executive officer" is defined to mean the chief executive officer, president, chief financial officer, chief operating officer, general counsel, principal accounting officer, any executive vice president of the Company and any Managing Director of Reading Entertainment Australia Pty Ltd and/or Reading New Zealand, Ltd.; provided that any compensation determinations pertaining to Ellen M. Cotter and Margaret Cotter will be subject to review and approval by our Board.</w:t>
      </w:r>
    </w:p>
    <w:p>
      <w:pPr>
        <w:spacing w:after="0" w:line="110" w:lineRule="exact"/>
        <w:rPr>
          <w:sz w:val="20"/>
          <w:szCs w:val="20"/>
          <w:color w:val="auto"/>
        </w:rPr>
      </w:pPr>
    </w:p>
    <w:p>
      <w:pPr>
        <w:ind w:right="160" w:firstLine="432"/>
        <w:spacing w:after="0" w:line="276" w:lineRule="auto"/>
        <w:rPr>
          <w:sz w:val="20"/>
          <w:szCs w:val="20"/>
          <w:color w:val="auto"/>
        </w:rPr>
      </w:pPr>
      <w:r>
        <w:rPr>
          <w:rFonts w:ascii="Arial" w:cs="Arial" w:eastAsia="Arial" w:hAnsi="Arial"/>
          <w:sz w:val="12"/>
          <w:szCs w:val="12"/>
          <w:color w:val="auto"/>
        </w:rPr>
        <w:t>As noted above, the Compensation Committee Charter was adopted as part of our Board's implementation of additional corporate best practices measures. The Compensation Committee Charter will apply for the remainder of 2016 and the future, subject</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59690</wp:posOffset>
            </wp:positionV>
            <wp:extent cx="677989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779895" cy="42545"/>
                    </a:xfrm>
                    <a:prstGeom prst="rect">
                      <a:avLst/>
                    </a:prstGeom>
                    <a:noFill/>
                  </pic:spPr>
                </pic:pic>
              </a:graphicData>
            </a:graphic>
          </wp:anchor>
        </w:drawing>
      </w:r>
    </w:p>
    <w:p>
      <w:pPr>
        <w:sectPr>
          <w:pgSz w:w="11900" w:h="16838" w:orient="portrait"/>
          <w:cols w:equalWidth="0" w:num="1">
            <w:col w:w="10620"/>
          </w:cols>
          <w:pgMar w:left="640" w:top="275" w:right="639" w:bottom="1440" w:gutter="0" w:footer="0" w:header="0"/>
        </w:sectPr>
      </w:pPr>
    </w:p>
    <w:bookmarkStart w:id="110" w:name="page111"/>
    <w:bookmarkEnd w:id="110"/>
    <w:p>
      <w:pPr>
        <w:spacing w:after="0"/>
        <w:rPr>
          <w:sz w:val="20"/>
          <w:szCs w:val="20"/>
          <w:color w:val="auto"/>
        </w:rPr>
      </w:pPr>
      <w:r>
        <w:rPr>
          <w:rFonts w:ascii="Arial" w:cs="Arial" w:eastAsia="Arial" w:hAnsi="Arial"/>
          <w:sz w:val="12"/>
          <w:szCs w:val="12"/>
          <w:color w:val="auto"/>
        </w:rPr>
        <w:t xml:space="preserve">to further amendments and modifications by our Board. The Compensation Committee charter is available on our website at </w:t>
      </w:r>
      <w:r>
        <w:rPr>
          <w:rFonts w:ascii="Arial" w:cs="Arial" w:eastAsia="Arial" w:hAnsi="Arial"/>
          <w:sz w:val="12"/>
          <w:szCs w:val="12"/>
          <w:u w:val="single" w:color="auto"/>
          <w:color w:val="0000FF"/>
        </w:rPr>
        <w:t>http://www.readingrdi.com/Committee-Charters.</w:t>
      </w:r>
    </w:p>
    <w:p>
      <w:pPr>
        <w:spacing w:after="0" w:line="123" w:lineRule="exact"/>
        <w:rPr>
          <w:sz w:val="20"/>
          <w:szCs w:val="20"/>
          <w:color w:val="auto"/>
        </w:rPr>
      </w:pPr>
    </w:p>
    <w:p>
      <w:pPr>
        <w:ind w:right="140" w:firstLine="432"/>
        <w:spacing w:after="0" w:line="276" w:lineRule="auto"/>
        <w:rPr>
          <w:sz w:val="20"/>
          <w:szCs w:val="20"/>
          <w:color w:val="auto"/>
        </w:rPr>
      </w:pPr>
      <w:r>
        <w:rPr>
          <w:rFonts w:ascii="Arial" w:cs="Arial" w:eastAsia="Arial" w:hAnsi="Arial"/>
          <w:sz w:val="12"/>
          <w:szCs w:val="12"/>
          <w:color w:val="auto"/>
        </w:rPr>
        <w:t>The Compensation Committee reviews compensation policies and practices effecting employees in addition to those applicable to executive officers. The Compensation Committee has determined that it is not reasonably likely that our compensation policies and practices for its employees would have a material adverse effect on our Company.</w:t>
      </w:r>
    </w:p>
    <w:p>
      <w:pPr>
        <w:spacing w:after="0" w:line="9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Executive Compensation</w:t>
      </w:r>
    </w:p>
    <w:p>
      <w:pPr>
        <w:spacing w:after="0" w:line="123" w:lineRule="exact"/>
        <w:rPr>
          <w:sz w:val="20"/>
          <w:szCs w:val="20"/>
          <w:color w:val="auto"/>
        </w:rPr>
      </w:pPr>
    </w:p>
    <w:p>
      <w:pPr>
        <w:ind w:firstLine="432"/>
        <w:spacing w:after="0" w:line="290" w:lineRule="auto"/>
        <w:rPr>
          <w:sz w:val="20"/>
          <w:szCs w:val="20"/>
          <w:color w:val="auto"/>
        </w:rPr>
      </w:pPr>
      <w:r>
        <w:rPr>
          <w:rFonts w:ascii="Arial" w:cs="Arial" w:eastAsia="Arial" w:hAnsi="Arial"/>
          <w:sz w:val="11"/>
          <w:szCs w:val="11"/>
          <w:color w:val="auto"/>
        </w:rPr>
        <w:t>In early 2016, our Compensation Committee met with Willis Towers Watson, our Chief Executive Officer, and our legal counsel, to review the Company’s compensation levels, programs and practices. As part of its engagement, Willis Towers Watson reviewed our compensation paid to executive and management officers by position, in light of each person’s duties and responsibilities. Willis Towers Watson then compared our top executive and management positions to (i) executive compensation paid by a peer group and (ii) two surveys, the 2015 Willis Towers Watson Data Services Top Management Survey Report and the 2015 Mercer MBD Executive Compensation Survey, in each case, identified by office position and duties performed by the officer. The peer group utilized by Willis Towers Watson included the following 15 companies:</w:t>
      </w:r>
    </w:p>
    <w:p>
      <w:pPr>
        <w:sectPr>
          <w:pgSz w:w="11900" w:h="16838" w:orient="portrait"/>
          <w:cols w:equalWidth="0" w:num="1">
            <w:col w:w="10620"/>
          </w:cols>
          <w:pgMar w:left="640" w:top="275" w:right="639" w:bottom="1440" w:gutter="0" w:footer="0" w:header="0"/>
        </w:sectPr>
      </w:pPr>
    </w:p>
    <w:p>
      <w:pPr>
        <w:spacing w:after="0" w:line="82" w:lineRule="exact"/>
        <w:rPr>
          <w:sz w:val="20"/>
          <w:szCs w:val="20"/>
          <w:color w:val="auto"/>
        </w:rPr>
      </w:pPr>
    </w:p>
    <w:p>
      <w:pPr>
        <w:ind w:left="440"/>
        <w:spacing w:after="0"/>
        <w:rPr>
          <w:sz w:val="20"/>
          <w:szCs w:val="20"/>
          <w:color w:val="auto"/>
        </w:rPr>
      </w:pPr>
      <w:r>
        <w:rPr>
          <w:rFonts w:ascii="Arial" w:cs="Arial" w:eastAsia="Arial" w:hAnsi="Arial"/>
          <w:sz w:val="12"/>
          <w:szCs w:val="12"/>
          <w:color w:val="auto"/>
        </w:rPr>
        <w:t>Arcadia Realty Trust</w:t>
      </w:r>
    </w:p>
    <w:p>
      <w:pPr>
        <w:spacing w:after="0" w:line="15" w:lineRule="exact"/>
        <w:rPr>
          <w:sz w:val="20"/>
          <w:szCs w:val="20"/>
          <w:color w:val="auto"/>
        </w:rPr>
      </w:pPr>
    </w:p>
    <w:p>
      <w:pPr>
        <w:ind w:left="440"/>
        <w:spacing w:after="0"/>
        <w:rPr>
          <w:sz w:val="20"/>
          <w:szCs w:val="20"/>
          <w:color w:val="auto"/>
        </w:rPr>
      </w:pPr>
      <w:r>
        <w:rPr>
          <w:rFonts w:ascii="Arial" w:cs="Arial" w:eastAsia="Arial" w:hAnsi="Arial"/>
          <w:sz w:val="10"/>
          <w:szCs w:val="10"/>
          <w:color w:val="auto"/>
        </w:rPr>
        <w:t>Associated Estates Realty Corp.</w:t>
      </w:r>
    </w:p>
    <w:p>
      <w:pPr>
        <w:spacing w:after="0" w:line="29" w:lineRule="exact"/>
        <w:rPr>
          <w:sz w:val="20"/>
          <w:szCs w:val="20"/>
          <w:color w:val="auto"/>
        </w:rPr>
      </w:pPr>
    </w:p>
    <w:p>
      <w:pPr>
        <w:ind w:left="440"/>
        <w:spacing w:after="0"/>
        <w:rPr>
          <w:sz w:val="20"/>
          <w:szCs w:val="20"/>
          <w:color w:val="auto"/>
        </w:rPr>
      </w:pPr>
      <w:r>
        <w:rPr>
          <w:rFonts w:ascii="Arial" w:cs="Arial" w:eastAsia="Arial" w:hAnsi="Arial"/>
          <w:sz w:val="12"/>
          <w:szCs w:val="12"/>
          <w:color w:val="auto"/>
        </w:rPr>
        <w:t>Carmike Cinemas Inc.</w:t>
      </w:r>
    </w:p>
    <w:p>
      <w:pPr>
        <w:spacing w:after="0" w:line="6" w:lineRule="exact"/>
        <w:rPr>
          <w:sz w:val="20"/>
          <w:szCs w:val="20"/>
          <w:color w:val="auto"/>
        </w:rPr>
      </w:pPr>
    </w:p>
    <w:p>
      <w:pPr>
        <w:ind w:left="440"/>
        <w:spacing w:after="0"/>
        <w:rPr>
          <w:sz w:val="20"/>
          <w:szCs w:val="20"/>
          <w:color w:val="auto"/>
        </w:rPr>
      </w:pPr>
      <w:r>
        <w:rPr>
          <w:rFonts w:ascii="Arial" w:cs="Arial" w:eastAsia="Arial" w:hAnsi="Arial"/>
          <w:sz w:val="12"/>
          <w:szCs w:val="12"/>
          <w:color w:val="auto"/>
        </w:rPr>
        <w:t>Cedar Realty Trust Inc.</w:t>
      </w:r>
    </w:p>
    <w:p>
      <w:pPr>
        <w:spacing w:after="0" w:line="6" w:lineRule="exact"/>
        <w:rPr>
          <w:sz w:val="20"/>
          <w:szCs w:val="20"/>
          <w:color w:val="auto"/>
        </w:rPr>
      </w:pPr>
    </w:p>
    <w:p>
      <w:pPr>
        <w:ind w:left="440"/>
        <w:spacing w:after="0"/>
        <w:rPr>
          <w:sz w:val="20"/>
          <w:szCs w:val="20"/>
          <w:color w:val="auto"/>
        </w:rPr>
      </w:pPr>
      <w:r>
        <w:rPr>
          <w:rFonts w:ascii="Arial" w:cs="Arial" w:eastAsia="Arial" w:hAnsi="Arial"/>
          <w:sz w:val="12"/>
          <w:szCs w:val="12"/>
          <w:color w:val="auto"/>
        </w:rPr>
        <w:t>Charter Hall Group</w:t>
      </w:r>
    </w:p>
    <w:p>
      <w:pPr>
        <w:spacing w:after="0" w:line="6" w:lineRule="exact"/>
        <w:rPr>
          <w:sz w:val="20"/>
          <w:szCs w:val="20"/>
          <w:color w:val="auto"/>
        </w:rPr>
      </w:pPr>
    </w:p>
    <w:p>
      <w:pPr>
        <w:ind w:left="440"/>
        <w:spacing w:after="0"/>
        <w:rPr>
          <w:sz w:val="20"/>
          <w:szCs w:val="20"/>
          <w:color w:val="auto"/>
        </w:rPr>
      </w:pPr>
      <w:r>
        <w:rPr>
          <w:rFonts w:ascii="Arial" w:cs="Arial" w:eastAsia="Arial" w:hAnsi="Arial"/>
          <w:sz w:val="12"/>
          <w:szCs w:val="12"/>
          <w:color w:val="auto"/>
        </w:rPr>
        <w:t>EPR Properties</w:t>
      </w:r>
    </w:p>
    <w:p>
      <w:pPr>
        <w:spacing w:after="0" w:line="6" w:lineRule="exact"/>
        <w:rPr>
          <w:sz w:val="20"/>
          <w:szCs w:val="20"/>
          <w:color w:val="auto"/>
        </w:rPr>
      </w:pPr>
    </w:p>
    <w:p>
      <w:pPr>
        <w:ind w:left="440"/>
        <w:spacing w:after="0"/>
        <w:rPr>
          <w:sz w:val="20"/>
          <w:szCs w:val="20"/>
          <w:color w:val="auto"/>
        </w:rPr>
      </w:pPr>
      <w:r>
        <w:rPr>
          <w:rFonts w:ascii="Arial" w:cs="Arial" w:eastAsia="Arial" w:hAnsi="Arial"/>
          <w:sz w:val="12"/>
          <w:szCs w:val="12"/>
          <w:color w:val="auto"/>
        </w:rPr>
        <w:t>Vicinity Centres</w:t>
      </w:r>
    </w:p>
    <w:p>
      <w:pPr>
        <w:spacing w:after="0" w:line="6" w:lineRule="exact"/>
        <w:rPr>
          <w:sz w:val="20"/>
          <w:szCs w:val="20"/>
          <w:color w:val="auto"/>
        </w:rPr>
      </w:pPr>
    </w:p>
    <w:p>
      <w:pPr>
        <w:ind w:left="440"/>
        <w:spacing w:after="0"/>
        <w:rPr>
          <w:sz w:val="20"/>
          <w:szCs w:val="20"/>
          <w:color w:val="auto"/>
        </w:rPr>
      </w:pPr>
      <w:r>
        <w:rPr>
          <w:rFonts w:ascii="Arial" w:cs="Arial" w:eastAsia="Arial" w:hAnsi="Arial"/>
          <w:sz w:val="12"/>
          <w:szCs w:val="12"/>
          <w:color w:val="auto"/>
        </w:rPr>
        <w:t>IMAX Corporation</w:t>
      </w:r>
    </w:p>
    <w:p>
      <w:pPr>
        <w:spacing w:after="0" w:line="20" w:lineRule="exact"/>
        <w:rPr>
          <w:sz w:val="20"/>
          <w:szCs w:val="20"/>
          <w:color w:val="auto"/>
        </w:rPr>
      </w:pPr>
      <w:r>
        <w:rPr>
          <w:sz w:val="20"/>
          <w:szCs w:val="20"/>
          <w:color w:val="auto"/>
        </w:rPr>
        <w:br w:type="column"/>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2"/>
          <w:szCs w:val="12"/>
          <w:color w:val="auto"/>
        </w:rPr>
        <w:t>Inland Real Estate Corp.</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2"/>
          <w:szCs w:val="12"/>
          <w:color w:val="auto"/>
        </w:rPr>
        <w:t>Kite Realty Group Trust</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Marcus Corporation</w:t>
      </w:r>
    </w:p>
    <w:p>
      <w:pPr>
        <w:spacing w:after="0" w:line="6" w:lineRule="exact"/>
        <w:rPr>
          <w:sz w:val="20"/>
          <w:szCs w:val="20"/>
          <w:color w:val="auto"/>
        </w:rPr>
      </w:pPr>
    </w:p>
    <w:p>
      <w:pPr>
        <w:spacing w:after="0"/>
        <w:rPr>
          <w:sz w:val="20"/>
          <w:szCs w:val="20"/>
          <w:color w:val="auto"/>
        </w:rPr>
      </w:pPr>
      <w:r>
        <w:rPr>
          <w:rFonts w:ascii="Arial" w:cs="Arial" w:eastAsia="Arial" w:hAnsi="Arial"/>
          <w:sz w:val="10"/>
          <w:szCs w:val="10"/>
          <w:color w:val="auto"/>
        </w:rPr>
        <w:t>Pennsylvania Real Estate Investment Trust</w:t>
      </w:r>
    </w:p>
    <w:p>
      <w:pPr>
        <w:spacing w:after="0" w:line="29" w:lineRule="exact"/>
        <w:rPr>
          <w:sz w:val="20"/>
          <w:szCs w:val="20"/>
          <w:color w:val="auto"/>
        </w:rPr>
      </w:pPr>
    </w:p>
    <w:p>
      <w:pPr>
        <w:spacing w:after="0"/>
        <w:rPr>
          <w:sz w:val="20"/>
          <w:szCs w:val="20"/>
          <w:color w:val="auto"/>
        </w:rPr>
      </w:pPr>
      <w:r>
        <w:rPr>
          <w:rFonts w:ascii="Arial" w:cs="Arial" w:eastAsia="Arial" w:hAnsi="Arial"/>
          <w:sz w:val="12"/>
          <w:szCs w:val="12"/>
          <w:color w:val="auto"/>
        </w:rPr>
        <w:t>Ramco-Gershenson Properties Trust</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Urstadt Biddle Properties Inc.</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Village Roadshow Ltd.</w:t>
      </w:r>
    </w:p>
    <w:p>
      <w:pPr>
        <w:spacing w:after="0" w:line="344" w:lineRule="exact"/>
        <w:rPr>
          <w:sz w:val="20"/>
          <w:szCs w:val="20"/>
          <w:color w:val="auto"/>
        </w:rPr>
      </w:pPr>
    </w:p>
    <w:p>
      <w:pPr>
        <w:sectPr>
          <w:pgSz w:w="11900" w:h="16838" w:orient="portrait"/>
          <w:cols w:equalWidth="0" w:num="2">
            <w:col w:w="4680" w:space="720"/>
            <w:col w:w="5220"/>
          </w:cols>
          <w:pgMar w:left="640" w:top="275" w:right="639" w:bottom="1440" w:gutter="0" w:footer="0" w:header="0"/>
          <w:type w:val="continuous"/>
        </w:sectPr>
      </w:pPr>
    </w:p>
    <w:p>
      <w:pPr>
        <w:spacing w:after="0" w:line="13" w:lineRule="exact"/>
        <w:rPr>
          <w:sz w:val="20"/>
          <w:szCs w:val="20"/>
          <w:color w:val="auto"/>
        </w:rPr>
      </w:pPr>
    </w:p>
    <w:p>
      <w:pPr>
        <w:ind w:right="260" w:firstLine="432"/>
        <w:spacing w:after="0" w:line="276" w:lineRule="auto"/>
        <w:rPr>
          <w:sz w:val="20"/>
          <w:szCs w:val="20"/>
          <w:color w:val="auto"/>
        </w:rPr>
      </w:pPr>
      <w:r>
        <w:rPr>
          <w:rFonts w:ascii="Arial" w:cs="Arial" w:eastAsia="Arial" w:hAnsi="Arial"/>
          <w:sz w:val="12"/>
          <w:szCs w:val="12"/>
          <w:color w:val="auto"/>
        </w:rPr>
        <w:t>Willis Towers Watson selected the above peer group because (i) the companies included were based in the U.S. and Australia, reflecting our geographic operations and (ii) the companies were comparable to us based on revenue.</w:t>
      </w:r>
    </w:p>
    <w:p>
      <w:pPr>
        <w:spacing w:after="0" w:line="97" w:lineRule="exact"/>
        <w:rPr>
          <w:sz w:val="20"/>
          <w:szCs w:val="20"/>
          <w:color w:val="auto"/>
        </w:rPr>
      </w:pPr>
    </w:p>
    <w:p>
      <w:pPr>
        <w:ind w:right="40" w:firstLine="432"/>
        <w:spacing w:after="0" w:line="263" w:lineRule="auto"/>
        <w:rPr>
          <w:sz w:val="20"/>
          <w:szCs w:val="20"/>
          <w:color w:val="auto"/>
        </w:rPr>
      </w:pPr>
      <w:r>
        <w:rPr>
          <w:rFonts w:ascii="Arial" w:cs="Arial" w:eastAsia="Arial" w:hAnsi="Arial"/>
          <w:sz w:val="12"/>
          <w:szCs w:val="12"/>
          <w:color w:val="auto"/>
        </w:rPr>
        <w:t>The executive pay assessment prepared by Willis Towers Watson measured our executive and management compensation against compensation paid by peer group companies and the companies listed in the two surveys based on the 25th, 50th and 75th percentile of such peer group and surveyed companies. The 50th percentile was the median compensation paid by such peer group and surveyed companies to executives performing similar responsibilities and duties.</w:t>
      </w:r>
    </w:p>
    <w:p>
      <w:pPr>
        <w:spacing w:after="0" w:line="96" w:lineRule="exact"/>
        <w:rPr>
          <w:sz w:val="20"/>
          <w:szCs w:val="20"/>
          <w:color w:val="auto"/>
        </w:rPr>
      </w:pPr>
    </w:p>
    <w:p>
      <w:pPr>
        <w:jc w:val="both"/>
        <w:ind w:right="140" w:firstLine="432"/>
        <w:spacing w:after="0" w:line="263" w:lineRule="auto"/>
        <w:rPr>
          <w:sz w:val="20"/>
          <w:szCs w:val="20"/>
          <w:color w:val="auto"/>
        </w:rPr>
      </w:pPr>
      <w:r>
        <w:rPr>
          <w:rFonts w:ascii="Arial" w:cs="Arial" w:eastAsia="Arial" w:hAnsi="Arial"/>
          <w:sz w:val="12"/>
          <w:szCs w:val="12"/>
          <w:color w:val="auto"/>
        </w:rPr>
        <w:t>The Willis Towers Watson assessment compared the base salary, the short term incentive (cash bonus) and long term incentive (equity awards) of the peer and surveyed companies to the base salary, short term incentive and long term incentive provided to our executives. The assessment concluded that, except in a few positions, we were generally competitive in base salary, however, we were not competitive when short-term incentives and long term incentives were included in the total compensation paid to our executives and management.</w:t>
      </w:r>
    </w:p>
    <w:p>
      <w:pPr>
        <w:spacing w:after="0" w:line="96" w:lineRule="exact"/>
        <w:rPr>
          <w:sz w:val="20"/>
          <w:szCs w:val="20"/>
          <w:color w:val="auto"/>
        </w:rPr>
      </w:pPr>
    </w:p>
    <w:p>
      <w:pPr>
        <w:ind w:left="440"/>
        <w:spacing w:after="0"/>
        <w:rPr>
          <w:sz w:val="20"/>
          <w:szCs w:val="20"/>
          <w:color w:val="auto"/>
        </w:rPr>
      </w:pPr>
      <w:r>
        <w:rPr>
          <w:rFonts w:ascii="Arial" w:cs="Arial" w:eastAsia="Arial" w:hAnsi="Arial"/>
          <w:sz w:val="12"/>
          <w:szCs w:val="12"/>
          <w:color w:val="auto"/>
        </w:rPr>
        <w:t>As a result of the foregoing factors, Willis Towers Watson recommended that we:</w:t>
      </w:r>
    </w:p>
    <w:p>
      <w:pPr>
        <w:spacing w:after="0" w:line="132" w:lineRule="exact"/>
        <w:rPr>
          <w:sz w:val="20"/>
          <w:szCs w:val="20"/>
          <w:color w:val="auto"/>
        </w:rPr>
      </w:pPr>
    </w:p>
    <w:p>
      <w:pPr>
        <w:ind w:left="760" w:hanging="107"/>
        <w:spacing w:after="0"/>
        <w:tabs>
          <w:tab w:leader="none" w:pos="760" w:val="left"/>
        </w:tabs>
        <w:numPr>
          <w:ilvl w:val="0"/>
          <w:numId w:val="49"/>
        </w:numPr>
        <w:rPr>
          <w:rFonts w:ascii="Arial" w:cs="Arial" w:eastAsia="Arial" w:hAnsi="Arial"/>
          <w:sz w:val="12"/>
          <w:szCs w:val="12"/>
          <w:color w:val="auto"/>
        </w:rPr>
      </w:pPr>
      <w:r>
        <w:rPr>
          <w:rFonts w:ascii="Arial" w:cs="Arial" w:eastAsia="Arial" w:hAnsi="Arial"/>
          <w:sz w:val="12"/>
          <w:szCs w:val="12"/>
          <w:color w:val="auto"/>
        </w:rPr>
        <w:t>Implement a formal annual incentive opportunity for all executives; and</w:t>
      </w:r>
    </w:p>
    <w:p>
      <w:pPr>
        <w:spacing w:after="0" w:line="14" w:lineRule="exact"/>
        <w:rPr>
          <w:rFonts w:ascii="Arial" w:cs="Arial" w:eastAsia="Arial" w:hAnsi="Arial"/>
          <w:sz w:val="12"/>
          <w:szCs w:val="12"/>
          <w:color w:val="auto"/>
        </w:rPr>
      </w:pPr>
    </w:p>
    <w:p>
      <w:pPr>
        <w:ind w:left="760" w:hanging="107"/>
        <w:spacing w:after="0"/>
        <w:tabs>
          <w:tab w:leader="none" w:pos="760" w:val="left"/>
        </w:tabs>
        <w:numPr>
          <w:ilvl w:val="0"/>
          <w:numId w:val="49"/>
        </w:numPr>
        <w:rPr>
          <w:rFonts w:ascii="Arial" w:cs="Arial" w:eastAsia="Arial" w:hAnsi="Arial"/>
          <w:sz w:val="12"/>
          <w:szCs w:val="12"/>
          <w:color w:val="auto"/>
        </w:rPr>
      </w:pPr>
      <w:r>
        <w:rPr>
          <w:rFonts w:ascii="Arial" w:cs="Arial" w:eastAsia="Arial" w:hAnsi="Arial"/>
          <w:sz w:val="12"/>
          <w:szCs w:val="12"/>
          <w:color w:val="auto"/>
        </w:rPr>
        <w:t>Implement a regular annual grant program for long-term incentives.</w:t>
      </w:r>
    </w:p>
    <w:p>
      <w:pPr>
        <w:spacing w:after="0" w:line="6" w:lineRule="exact"/>
        <w:rPr>
          <w:sz w:val="20"/>
          <w:szCs w:val="20"/>
          <w:color w:val="auto"/>
        </w:rPr>
      </w:pPr>
    </w:p>
    <w:p>
      <w:pPr>
        <w:ind w:left="440"/>
        <w:spacing w:after="0"/>
        <w:rPr>
          <w:sz w:val="20"/>
          <w:szCs w:val="20"/>
          <w:color w:val="auto"/>
        </w:rPr>
      </w:pPr>
      <w:r>
        <w:rPr>
          <w:rFonts w:ascii="Arial" w:cs="Arial" w:eastAsia="Arial" w:hAnsi="Arial"/>
          <w:sz w:val="12"/>
          <w:szCs w:val="12"/>
          <w:color w:val="auto"/>
        </w:rPr>
        <w:t>Our Compensation Committee recommended, and our Board subsequently adopted, a compensation philosophy for our management team members to:</w:t>
      </w:r>
    </w:p>
    <w:p>
      <w:pPr>
        <w:spacing w:after="0" w:line="114" w:lineRule="exact"/>
        <w:rPr>
          <w:sz w:val="20"/>
          <w:szCs w:val="20"/>
          <w:color w:val="auto"/>
        </w:rPr>
      </w:pPr>
    </w:p>
    <w:p>
      <w:pPr>
        <w:ind w:left="760" w:hanging="107"/>
        <w:spacing w:after="0"/>
        <w:tabs>
          <w:tab w:leader="none" w:pos="760" w:val="left"/>
        </w:tabs>
        <w:numPr>
          <w:ilvl w:val="0"/>
          <w:numId w:val="50"/>
        </w:numPr>
        <w:rPr>
          <w:rFonts w:ascii="Arial" w:cs="Arial" w:eastAsia="Arial" w:hAnsi="Arial"/>
          <w:sz w:val="12"/>
          <w:szCs w:val="12"/>
          <w:color w:val="auto"/>
        </w:rPr>
      </w:pPr>
      <w:r>
        <w:rPr>
          <w:rFonts w:ascii="Arial" w:cs="Arial" w:eastAsia="Arial" w:hAnsi="Arial"/>
          <w:sz w:val="12"/>
          <w:szCs w:val="12"/>
          <w:color w:val="auto"/>
        </w:rPr>
        <w:t>Attract and retain talented and dedicated management team members;</w:t>
      </w:r>
    </w:p>
    <w:p>
      <w:pPr>
        <w:spacing w:after="0" w:line="14" w:lineRule="exact"/>
        <w:rPr>
          <w:rFonts w:ascii="Arial" w:cs="Arial" w:eastAsia="Arial" w:hAnsi="Arial"/>
          <w:sz w:val="12"/>
          <w:szCs w:val="12"/>
          <w:color w:val="auto"/>
        </w:rPr>
      </w:pPr>
    </w:p>
    <w:p>
      <w:pPr>
        <w:ind w:left="760" w:hanging="107"/>
        <w:spacing w:after="0"/>
        <w:tabs>
          <w:tab w:leader="none" w:pos="760" w:val="left"/>
        </w:tabs>
        <w:numPr>
          <w:ilvl w:val="0"/>
          <w:numId w:val="50"/>
        </w:numPr>
        <w:rPr>
          <w:rFonts w:ascii="Arial" w:cs="Arial" w:eastAsia="Arial" w:hAnsi="Arial"/>
          <w:sz w:val="12"/>
          <w:szCs w:val="12"/>
          <w:color w:val="auto"/>
        </w:rPr>
      </w:pPr>
      <w:r>
        <w:rPr>
          <w:rFonts w:ascii="Arial" w:cs="Arial" w:eastAsia="Arial" w:hAnsi="Arial"/>
          <w:sz w:val="12"/>
          <w:szCs w:val="12"/>
          <w:color w:val="auto"/>
        </w:rPr>
        <w:t>Provide overall compensation that is competitive in its industry;</w:t>
      </w:r>
    </w:p>
    <w:p>
      <w:pPr>
        <w:spacing w:after="0" w:line="6" w:lineRule="exact"/>
        <w:rPr>
          <w:rFonts w:ascii="Arial" w:cs="Arial" w:eastAsia="Arial" w:hAnsi="Arial"/>
          <w:sz w:val="12"/>
          <w:szCs w:val="12"/>
          <w:color w:val="auto"/>
        </w:rPr>
      </w:pPr>
    </w:p>
    <w:p>
      <w:pPr>
        <w:ind w:left="720" w:hanging="67"/>
        <w:spacing w:after="0"/>
        <w:tabs>
          <w:tab w:leader="none" w:pos="720" w:val="left"/>
        </w:tabs>
        <w:numPr>
          <w:ilvl w:val="0"/>
          <w:numId w:val="50"/>
        </w:numPr>
        <w:rPr>
          <w:rFonts w:ascii="Arial" w:cs="Arial" w:eastAsia="Arial" w:hAnsi="Arial"/>
          <w:sz w:val="12"/>
          <w:szCs w:val="12"/>
          <w:color w:val="auto"/>
        </w:rPr>
      </w:pPr>
      <w:r>
        <w:rPr>
          <w:rFonts w:ascii="Arial" w:cs="Arial" w:eastAsia="Arial" w:hAnsi="Arial"/>
          <w:sz w:val="12"/>
          <w:szCs w:val="12"/>
          <w:color w:val="auto"/>
        </w:rPr>
        <w:t>Correlate annual cash incentives to the achievement of its business and financial objectives; and</w:t>
      </w:r>
    </w:p>
    <w:p>
      <w:pPr>
        <w:spacing w:after="0" w:line="6" w:lineRule="exact"/>
        <w:rPr>
          <w:rFonts w:ascii="Arial" w:cs="Arial" w:eastAsia="Arial" w:hAnsi="Arial"/>
          <w:sz w:val="12"/>
          <w:szCs w:val="12"/>
          <w:color w:val="auto"/>
        </w:rPr>
      </w:pPr>
    </w:p>
    <w:p>
      <w:pPr>
        <w:ind w:left="720" w:hanging="67"/>
        <w:spacing w:after="0"/>
        <w:tabs>
          <w:tab w:leader="none" w:pos="720" w:val="left"/>
        </w:tabs>
        <w:numPr>
          <w:ilvl w:val="0"/>
          <w:numId w:val="50"/>
        </w:numPr>
        <w:rPr>
          <w:rFonts w:ascii="Arial" w:cs="Arial" w:eastAsia="Arial" w:hAnsi="Arial"/>
          <w:sz w:val="12"/>
          <w:szCs w:val="12"/>
          <w:color w:val="auto"/>
        </w:rPr>
      </w:pPr>
      <w:r>
        <w:rPr>
          <w:rFonts w:ascii="Arial" w:cs="Arial" w:eastAsia="Arial" w:hAnsi="Arial"/>
          <w:sz w:val="12"/>
          <w:szCs w:val="12"/>
          <w:color w:val="auto"/>
        </w:rPr>
        <w:t>Provide management team members with appropriate long-term incentives aligned with stockholder value.</w:t>
      </w:r>
    </w:p>
    <w:p>
      <w:pPr>
        <w:spacing w:after="0" w:line="6" w:lineRule="exact"/>
        <w:rPr>
          <w:sz w:val="20"/>
          <w:szCs w:val="20"/>
          <w:color w:val="auto"/>
        </w:rPr>
      </w:pPr>
    </w:p>
    <w:p>
      <w:pPr>
        <w:ind w:right="220" w:firstLine="432"/>
        <w:spacing w:after="0" w:line="261" w:lineRule="auto"/>
        <w:rPr>
          <w:sz w:val="20"/>
          <w:szCs w:val="20"/>
          <w:color w:val="auto"/>
        </w:rPr>
      </w:pPr>
      <w:r>
        <w:rPr>
          <w:rFonts w:ascii="Arial" w:cs="Arial" w:eastAsia="Arial" w:hAnsi="Arial"/>
          <w:sz w:val="12"/>
          <w:szCs w:val="12"/>
          <w:color w:val="auto"/>
        </w:rPr>
        <w:t>As part of the compensation philosophy, our compensation focus will be to (1) drive our strategic plan on growth, (2) align officer and management performance with the interests of our stockholders, and (3) encourage retention of our officers and management team members.</w:t>
      </w:r>
    </w:p>
    <w:p>
      <w:pPr>
        <w:spacing w:after="0" w:line="96" w:lineRule="exact"/>
        <w:rPr>
          <w:sz w:val="20"/>
          <w:szCs w:val="20"/>
          <w:color w:val="auto"/>
        </w:rPr>
      </w:pPr>
    </w:p>
    <w:p>
      <w:pPr>
        <w:ind w:firstLine="432"/>
        <w:spacing w:after="0" w:line="276" w:lineRule="auto"/>
        <w:rPr>
          <w:sz w:val="20"/>
          <w:szCs w:val="20"/>
          <w:color w:val="auto"/>
        </w:rPr>
      </w:pPr>
      <w:r>
        <w:rPr>
          <w:rFonts w:ascii="Arial" w:cs="Arial" w:eastAsia="Arial" w:hAnsi="Arial"/>
          <w:sz w:val="12"/>
          <w:szCs w:val="12"/>
          <w:color w:val="auto"/>
        </w:rPr>
        <w:t>In furtherance of the compensation policy and as a result of the extensive deliberations, including consideration of the Willis Towers Watson recommendations, our Compensation Committee adopted an executive and management officer compensation structure for 2016 consisting of:</w:t>
      </w:r>
    </w:p>
    <w:p>
      <w:pPr>
        <w:spacing w:after="0" w:line="97" w:lineRule="exact"/>
        <w:rPr>
          <w:sz w:val="20"/>
          <w:szCs w:val="20"/>
          <w:color w:val="auto"/>
        </w:rPr>
      </w:pPr>
    </w:p>
    <w:p>
      <w:pPr>
        <w:ind w:left="660"/>
        <w:spacing w:after="0"/>
        <w:rPr>
          <w:sz w:val="20"/>
          <w:szCs w:val="20"/>
          <w:color w:val="auto"/>
        </w:rPr>
      </w:pPr>
      <w:r>
        <w:rPr>
          <w:rFonts w:ascii="Arial" w:cs="Arial" w:eastAsia="Arial" w:hAnsi="Arial"/>
          <w:sz w:val="12"/>
          <w:szCs w:val="12"/>
          <w:color w:val="auto"/>
        </w:rPr>
        <w:t>· A base salary comparable with job description and industry standard.</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59690</wp:posOffset>
            </wp:positionV>
            <wp:extent cx="677989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779895" cy="42545"/>
                    </a:xfrm>
                    <a:prstGeom prst="rect">
                      <a:avLst/>
                    </a:prstGeom>
                    <a:noFill/>
                  </pic:spPr>
                </pic:pic>
              </a:graphicData>
            </a:graphic>
          </wp:anchor>
        </w:drawing>
      </w:r>
    </w:p>
    <w:p>
      <w:pPr>
        <w:sectPr>
          <w:pgSz w:w="11900" w:h="16838" w:orient="portrait"/>
          <w:cols w:equalWidth="0" w:num="1">
            <w:col w:w="10620"/>
          </w:cols>
          <w:pgMar w:left="640" w:top="275" w:right="639" w:bottom="1440" w:gutter="0" w:footer="0" w:header="0"/>
          <w:type w:val="continuous"/>
        </w:sectPr>
      </w:pPr>
    </w:p>
    <w:bookmarkStart w:id="111" w:name="page112"/>
    <w:bookmarkEnd w:id="111"/>
    <w:p>
      <w:pPr>
        <w:ind w:left="680" w:right="60" w:hanging="35"/>
        <w:spacing w:after="0" w:line="258" w:lineRule="auto"/>
        <w:rPr>
          <w:sz w:val="20"/>
          <w:szCs w:val="20"/>
          <w:color w:val="auto"/>
        </w:rPr>
      </w:pPr>
      <w:r>
        <w:rPr>
          <w:rFonts w:ascii="Arial" w:cs="Arial" w:eastAsia="Arial" w:hAnsi="Arial"/>
          <w:sz w:val="12"/>
          <w:szCs w:val="12"/>
          <w:color w:val="auto"/>
        </w:rPr>
        <w:t>·A short-term incentive plan based on a combination of factors including overall corporate and division performance as well as individual performance with a target bonus opportunity to be denominated as a percent of base salary with specific goals weightings and pay-out ranges; and</w:t>
      </w:r>
    </w:p>
    <w:p>
      <w:pPr>
        <w:ind w:left="660"/>
        <w:spacing w:after="0"/>
        <w:rPr>
          <w:sz w:val="20"/>
          <w:szCs w:val="20"/>
          <w:color w:val="auto"/>
        </w:rPr>
      </w:pPr>
      <w:r>
        <w:rPr>
          <w:rFonts w:ascii="Arial" w:cs="Arial" w:eastAsia="Arial" w:hAnsi="Arial"/>
          <w:sz w:val="12"/>
          <w:szCs w:val="12"/>
          <w:color w:val="auto"/>
        </w:rPr>
        <w:t>· A long-term incentive or equity awards in line with job description, performance, and industry standards.</w:t>
      </w:r>
    </w:p>
    <w:p>
      <w:pPr>
        <w:spacing w:after="0" w:line="6" w:lineRule="exact"/>
        <w:rPr>
          <w:sz w:val="20"/>
          <w:szCs w:val="20"/>
          <w:color w:val="auto"/>
        </w:rPr>
      </w:pPr>
    </w:p>
    <w:p>
      <w:pPr>
        <w:ind w:right="100" w:firstLine="432"/>
        <w:spacing w:after="0" w:line="261" w:lineRule="auto"/>
        <w:rPr>
          <w:sz w:val="20"/>
          <w:szCs w:val="20"/>
          <w:color w:val="auto"/>
        </w:rPr>
      </w:pPr>
      <w:r>
        <w:rPr>
          <w:rFonts w:ascii="Arial" w:cs="Arial" w:eastAsia="Arial" w:hAnsi="Arial"/>
          <w:sz w:val="12"/>
          <w:szCs w:val="12"/>
          <w:color w:val="auto"/>
        </w:rPr>
        <w:t>Our Compensation Committee's intention is that the compensation structure approved for 2016 will remain in place indefinitely. However, it will review performance and results after the first year and thereafter and evaluate from time to time whether enhancements, changes or other compensation structures are in our and our stockholders best interests.</w:t>
      </w:r>
    </w:p>
    <w:p>
      <w:pPr>
        <w:spacing w:after="0" w:line="96" w:lineRule="exact"/>
        <w:rPr>
          <w:sz w:val="20"/>
          <w:szCs w:val="20"/>
          <w:color w:val="auto"/>
        </w:rPr>
      </w:pPr>
    </w:p>
    <w:p>
      <w:pPr>
        <w:ind w:right="120" w:firstLine="432"/>
        <w:spacing w:after="0" w:line="257" w:lineRule="auto"/>
        <w:rPr>
          <w:sz w:val="20"/>
          <w:szCs w:val="20"/>
          <w:color w:val="auto"/>
        </w:rPr>
      </w:pPr>
      <w:r>
        <w:rPr>
          <w:rFonts w:ascii="Arial" w:cs="Arial" w:eastAsia="Arial" w:hAnsi="Arial"/>
          <w:sz w:val="12"/>
          <w:szCs w:val="12"/>
          <w:color w:val="auto"/>
        </w:rPr>
        <w:t>Reflecting the new approach, our Compensation Committee established (i) 2016 annual base salaries at levels that it believed (based heavily on the data provided by Willis Towers Watson) are generally competitive with executives in our peer group and in other comparable publicly-held companies as described in the executive pay assessment prepared by Willis Towers Watson, (ii) short term incentives in the form of discretionary annual cash bonuses based on the achievement of identified goals and benchmarks, and (iii) long-term incentives in the form of employee stock options and restricted stock units will be used as a retention tool and as a means to further align an executive’s long-term interests with those of our stockholders, with the ultimate objective of affording our executives an appropriate incentive to help drive increases in stockholder value.</w:t>
      </w:r>
    </w:p>
    <w:p>
      <w:pPr>
        <w:spacing w:after="0" w:line="108" w:lineRule="exact"/>
        <w:rPr>
          <w:sz w:val="20"/>
          <w:szCs w:val="20"/>
          <w:color w:val="auto"/>
        </w:rPr>
      </w:pPr>
    </w:p>
    <w:p>
      <w:pPr>
        <w:ind w:right="40" w:firstLine="432"/>
        <w:spacing w:after="0" w:line="263" w:lineRule="auto"/>
        <w:rPr>
          <w:sz w:val="20"/>
          <w:szCs w:val="20"/>
          <w:color w:val="auto"/>
        </w:rPr>
      </w:pPr>
      <w:r>
        <w:rPr>
          <w:rFonts w:ascii="Arial" w:cs="Arial" w:eastAsia="Arial" w:hAnsi="Arial"/>
          <w:sz w:val="12"/>
          <w:szCs w:val="12"/>
          <w:color w:val="auto"/>
        </w:rPr>
        <w:t>Our Compensation Committee will evaluate both executive performance and compensation to maintain our ability to attract and retain highly-qualified executives in key positions and to assure that compensation provided to executives remains competitive when compared to the compensation paid to similarly situated executives of companies with whom we compete for executive talent or that we consider comparable to our company.</w:t>
      </w:r>
    </w:p>
    <w:p>
      <w:pPr>
        <w:spacing w:after="0" w:line="9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Role of Chief Executive Officer in Compensation Decisions</w:t>
      </w:r>
    </w:p>
    <w:p>
      <w:pPr>
        <w:spacing w:after="0" w:line="123" w:lineRule="exact"/>
        <w:rPr>
          <w:sz w:val="20"/>
          <w:szCs w:val="20"/>
          <w:color w:val="auto"/>
        </w:rPr>
      </w:pPr>
    </w:p>
    <w:p>
      <w:pPr>
        <w:ind w:firstLine="432"/>
        <w:spacing w:after="0" w:line="263" w:lineRule="auto"/>
        <w:rPr>
          <w:sz w:val="20"/>
          <w:szCs w:val="20"/>
          <w:color w:val="auto"/>
        </w:rPr>
      </w:pPr>
      <w:r>
        <w:rPr>
          <w:rFonts w:ascii="Arial" w:cs="Arial" w:eastAsia="Arial" w:hAnsi="Arial"/>
          <w:sz w:val="12"/>
          <w:szCs w:val="12"/>
          <w:color w:val="auto"/>
        </w:rPr>
        <w:t>In connection with the implementation of the new compensation structure, our Compensation Committee conducted the thorough review of executive compensation discussed above. Our Compensation Committee engaged in extensive discussions with and considered with great weight the recommendations of the Chief Executive Officer as to compensation for executive and management team members other than for the Chief Executive Officer.</w:t>
      </w:r>
    </w:p>
    <w:p>
      <w:pPr>
        <w:spacing w:after="0" w:line="105" w:lineRule="exact"/>
        <w:rPr>
          <w:sz w:val="20"/>
          <w:szCs w:val="20"/>
          <w:color w:val="auto"/>
        </w:rPr>
      </w:pPr>
    </w:p>
    <w:p>
      <w:pPr>
        <w:ind w:right="180" w:firstLine="432"/>
        <w:spacing w:after="0" w:line="263" w:lineRule="auto"/>
        <w:rPr>
          <w:sz w:val="20"/>
          <w:szCs w:val="20"/>
          <w:color w:val="auto"/>
        </w:rPr>
      </w:pPr>
      <w:r>
        <w:rPr>
          <w:rFonts w:ascii="Arial" w:cs="Arial" w:eastAsia="Arial" w:hAnsi="Arial"/>
          <w:sz w:val="12"/>
          <w:szCs w:val="12"/>
          <w:color w:val="auto"/>
        </w:rPr>
        <w:t>Our Compensation Committee expects to perform an annual review of executive compensation, generally in the first quarter of the year following the year in review, with a presentation by the Chief Executive Officer regarding each element of the executive compensation arrangements. At our Compensation Committee’s direction, our Chief Executive Officer prepared an executive compensation review for each executive officer (other than the Chief Executive Officer), as well as the full executive team, which included recommendations for:</w:t>
      </w:r>
    </w:p>
    <w:p>
      <w:pPr>
        <w:spacing w:after="0" w:line="96" w:lineRule="exact"/>
        <w:rPr>
          <w:sz w:val="20"/>
          <w:szCs w:val="20"/>
          <w:color w:val="auto"/>
        </w:rPr>
      </w:pPr>
    </w:p>
    <w:p>
      <w:pPr>
        <w:ind w:left="1060" w:hanging="407"/>
        <w:spacing w:after="0"/>
        <w:tabs>
          <w:tab w:leader="none" w:pos="1060" w:val="left"/>
        </w:tabs>
        <w:numPr>
          <w:ilvl w:val="0"/>
          <w:numId w:val="51"/>
        </w:numPr>
        <w:rPr>
          <w:rFonts w:ascii="Arial" w:cs="Arial" w:eastAsia="Arial" w:hAnsi="Arial"/>
          <w:sz w:val="12"/>
          <w:szCs w:val="12"/>
          <w:color w:val="auto"/>
        </w:rPr>
      </w:pPr>
      <w:r>
        <w:rPr>
          <w:rFonts w:ascii="Arial" w:cs="Arial" w:eastAsia="Arial" w:hAnsi="Arial"/>
          <w:sz w:val="12"/>
          <w:szCs w:val="12"/>
          <w:color w:val="auto"/>
        </w:rPr>
        <w:t>2016 Base Salary</w:t>
      </w:r>
    </w:p>
    <w:p>
      <w:pPr>
        <w:spacing w:after="0" w:line="14" w:lineRule="exact"/>
        <w:rPr>
          <w:rFonts w:ascii="Arial" w:cs="Arial" w:eastAsia="Arial" w:hAnsi="Arial"/>
          <w:sz w:val="12"/>
          <w:szCs w:val="12"/>
          <w:color w:val="auto"/>
        </w:rPr>
      </w:pPr>
    </w:p>
    <w:p>
      <w:pPr>
        <w:ind w:left="700" w:hanging="47"/>
        <w:spacing w:after="0"/>
        <w:tabs>
          <w:tab w:leader="none" w:pos="700" w:val="left"/>
        </w:tabs>
        <w:numPr>
          <w:ilvl w:val="0"/>
          <w:numId w:val="51"/>
        </w:numPr>
        <w:rPr>
          <w:rFonts w:ascii="Arial" w:cs="Arial" w:eastAsia="Arial" w:hAnsi="Arial"/>
          <w:sz w:val="12"/>
          <w:szCs w:val="12"/>
          <w:color w:val="auto"/>
        </w:rPr>
      </w:pPr>
      <w:r>
        <w:rPr>
          <w:rFonts w:ascii="Arial" w:cs="Arial" w:eastAsia="Arial" w:hAnsi="Arial"/>
          <w:sz w:val="12"/>
          <w:szCs w:val="12"/>
          <w:color w:val="auto"/>
        </w:rPr>
        <w:t>A proposed year-end short -term incentive in the form of a target cash bonus based on the achievement of certain objectives; and</w:t>
      </w:r>
    </w:p>
    <w:p>
      <w:pPr>
        <w:spacing w:after="0" w:line="6" w:lineRule="exact"/>
        <w:rPr>
          <w:rFonts w:ascii="Arial" w:cs="Arial" w:eastAsia="Arial" w:hAnsi="Arial"/>
          <w:sz w:val="12"/>
          <w:szCs w:val="12"/>
          <w:color w:val="auto"/>
        </w:rPr>
      </w:pPr>
    </w:p>
    <w:p>
      <w:pPr>
        <w:ind w:left="720" w:hanging="67"/>
        <w:spacing w:after="0"/>
        <w:tabs>
          <w:tab w:leader="none" w:pos="720" w:val="left"/>
        </w:tabs>
        <w:numPr>
          <w:ilvl w:val="0"/>
          <w:numId w:val="51"/>
        </w:numPr>
        <w:rPr>
          <w:rFonts w:ascii="Arial" w:cs="Arial" w:eastAsia="Arial" w:hAnsi="Arial"/>
          <w:sz w:val="12"/>
          <w:szCs w:val="12"/>
          <w:color w:val="auto"/>
        </w:rPr>
      </w:pPr>
      <w:r>
        <w:rPr>
          <w:rFonts w:ascii="Arial" w:cs="Arial" w:eastAsia="Arial" w:hAnsi="Arial"/>
          <w:sz w:val="12"/>
          <w:szCs w:val="12"/>
          <w:color w:val="auto"/>
        </w:rPr>
        <w:t>A long-term incentive in the form of stock options and restricted stock units for the year under review.</w:t>
      </w:r>
    </w:p>
    <w:p>
      <w:pPr>
        <w:spacing w:after="0" w:line="6" w:lineRule="exact"/>
        <w:rPr>
          <w:sz w:val="20"/>
          <w:szCs w:val="20"/>
          <w:color w:val="auto"/>
        </w:rPr>
      </w:pPr>
    </w:p>
    <w:p>
      <w:pPr>
        <w:ind w:right="360" w:firstLine="432"/>
        <w:spacing w:after="0" w:line="361" w:lineRule="auto"/>
        <w:rPr>
          <w:sz w:val="20"/>
          <w:szCs w:val="20"/>
          <w:color w:val="auto"/>
        </w:rPr>
      </w:pPr>
      <w:r>
        <w:rPr>
          <w:rFonts w:ascii="Arial" w:cs="Arial" w:eastAsia="Arial" w:hAnsi="Arial"/>
          <w:sz w:val="10"/>
          <w:szCs w:val="10"/>
          <w:color w:val="auto"/>
        </w:rPr>
        <w:t>As part of the compensation review, our Chief Executive Officer may also recommend other changes to an executive’s compensation arrangements such as a change in the executive’s responsibilities. Our Compensation Committee will evaluate the Chief Executive Officer’s recommendations and, in its discretion, may accept or reject the recommendations, subject to the terms of any written employment agreements.</w:t>
      </w:r>
    </w:p>
    <w:p>
      <w:pPr>
        <w:spacing w:after="0" w:line="51" w:lineRule="exact"/>
        <w:rPr>
          <w:sz w:val="20"/>
          <w:szCs w:val="20"/>
          <w:color w:val="auto"/>
        </w:rPr>
      </w:pPr>
    </w:p>
    <w:p>
      <w:pPr>
        <w:ind w:right="20" w:firstLine="432"/>
        <w:spacing w:after="0" w:line="327" w:lineRule="auto"/>
        <w:rPr>
          <w:sz w:val="20"/>
          <w:szCs w:val="20"/>
          <w:color w:val="auto"/>
        </w:rPr>
      </w:pPr>
      <w:r>
        <w:rPr>
          <w:rFonts w:ascii="Arial" w:cs="Arial" w:eastAsia="Arial" w:hAnsi="Arial"/>
          <w:sz w:val="10"/>
          <w:szCs w:val="10"/>
          <w:color w:val="auto"/>
        </w:rPr>
        <w:t>Our Compensation Committee met in executive session without our Chief Executive Officer to consider the Chief Executive Officer’s compensation, including base salary, cash bonus and equity award, if any. Prior to such executive sessions, our Compensation Committee interviewed our Chief Executive Officer to obtain a better understanding of factors contributing to the Chief Executive Officer's compensation. With the exception of these executive sessions of our Compensation Committee, as a rule, our Chief Executive Officer participated in all deliberations of the Compensation Committee relating to executive compensation. However, our Compensation Committee also asked our Chief Executive Officer to be excused for certain deliberations with respect to the compensation recommended for Margaret Cotter, the sister of our Chief Executive Officer.</w:t>
      </w:r>
    </w:p>
    <w:p>
      <w:pPr>
        <w:spacing w:after="0" w:line="76" w:lineRule="exact"/>
        <w:rPr>
          <w:sz w:val="20"/>
          <w:szCs w:val="20"/>
          <w:color w:val="auto"/>
        </w:rPr>
      </w:pPr>
    </w:p>
    <w:p>
      <w:pPr>
        <w:ind w:right="60" w:firstLine="432"/>
        <w:spacing w:after="0" w:line="257" w:lineRule="auto"/>
        <w:rPr>
          <w:sz w:val="20"/>
          <w:szCs w:val="20"/>
          <w:color w:val="auto"/>
        </w:rPr>
      </w:pPr>
      <w:r>
        <w:rPr>
          <w:rFonts w:ascii="Arial" w:cs="Arial" w:eastAsia="Arial" w:hAnsi="Arial"/>
          <w:sz w:val="12"/>
          <w:szCs w:val="12"/>
          <w:color w:val="auto"/>
        </w:rPr>
        <w:t>In conjunction with the year-end annual compensation review, or as soon as practicable after the year-end, our Chief Executive Officer will recommend to our Compensation Committee our objectives and other criteria to be utilized for purposes of determining cash bonuses for certain senior executive officers. Our Compensation Committee, in its discretion, may revise the Chief Executive Officer’s recommendations. At the end of the year, our Compensation Committee, in consultation with our Chief Executive Officer, will review each performance goal and determine the extent to which the officer achieved such goals. In establishing performance goals, our Compensation Committee expects to consider whether the goals could possibly result in an incentive for any executives to take unwarranted risks in our Company’s business and intend to seek to avoid creating any such incentives.</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59690</wp:posOffset>
            </wp:positionV>
            <wp:extent cx="677989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779895" cy="42545"/>
                    </a:xfrm>
                    <a:prstGeom prst="rect">
                      <a:avLst/>
                    </a:prstGeom>
                    <a:noFill/>
                  </pic:spPr>
                </pic:pic>
              </a:graphicData>
            </a:graphic>
          </wp:anchor>
        </w:drawing>
      </w:r>
    </w:p>
    <w:p>
      <w:pPr>
        <w:sectPr>
          <w:pgSz w:w="11900" w:h="16838" w:orient="portrait"/>
          <w:cols w:equalWidth="0" w:num="1">
            <w:col w:w="10620"/>
          </w:cols>
          <w:pgMar w:left="640" w:top="275" w:right="639" w:bottom="1440" w:gutter="0" w:footer="0" w:header="0"/>
        </w:sectPr>
      </w:pPr>
    </w:p>
    <w:bookmarkStart w:id="112" w:name="page113"/>
    <w:bookmarkEnd w:id="112"/>
    <w:p>
      <w:pPr>
        <w:spacing w:after="0"/>
        <w:rPr>
          <w:sz w:val="20"/>
          <w:szCs w:val="20"/>
          <w:color w:val="auto"/>
        </w:rPr>
      </w:pPr>
      <w:r>
        <w:rPr>
          <w:rFonts w:ascii="Arial" w:cs="Arial" w:eastAsia="Arial" w:hAnsi="Arial"/>
          <w:sz w:val="12"/>
          <w:szCs w:val="12"/>
          <w:b w:val="1"/>
          <w:bCs w:val="1"/>
          <w:i w:val="1"/>
          <w:iCs w:val="1"/>
          <w:color w:val="auto"/>
        </w:rPr>
        <w:t>Base Salaries</w:t>
      </w:r>
    </w:p>
    <w:p>
      <w:pPr>
        <w:spacing w:after="0" w:line="123" w:lineRule="exact"/>
        <w:rPr>
          <w:sz w:val="20"/>
          <w:szCs w:val="20"/>
          <w:color w:val="auto"/>
        </w:rPr>
      </w:pPr>
    </w:p>
    <w:p>
      <w:pPr>
        <w:jc w:val="both"/>
        <w:ind w:right="100" w:firstLine="432"/>
        <w:spacing w:after="0" w:line="298" w:lineRule="auto"/>
        <w:rPr>
          <w:sz w:val="20"/>
          <w:szCs w:val="20"/>
          <w:color w:val="auto"/>
        </w:rPr>
      </w:pPr>
      <w:r>
        <w:rPr>
          <w:rFonts w:ascii="Arial" w:cs="Arial" w:eastAsia="Arial" w:hAnsi="Arial"/>
          <w:sz w:val="11"/>
          <w:szCs w:val="11"/>
          <w:color w:val="auto"/>
        </w:rPr>
        <w:t>Our Compensation Committee reviewed the executive pay assessment prepared by Willis Towers Watson and other factors and engaged in extensive deliberation and then recommended the following 2016 base salaries (the 2015 base salaries are shown for comparison purposes) for the following officers. Our Board approved the recommendations of our Compensation Committee on March 10, 2016 for the President and Chief Executive Officer, Chief Financial Officer and our named executive officers other than William D. Ellis and our prior Chief Executive Officers James J. Cotter, Sr. and James J. Cotter, Jr.</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1680" w:type="dxa"/>
            <w:vAlign w:val="bottom"/>
            <w:gridSpan w:val="2"/>
          </w:tcPr>
          <w:p>
            <w:pPr>
              <w:ind w:left="100"/>
              <w:spacing w:after="0"/>
              <w:rPr>
                <w:sz w:val="20"/>
                <w:szCs w:val="20"/>
                <w:color w:val="auto"/>
              </w:rPr>
            </w:pPr>
            <w:r>
              <w:rPr>
                <w:rFonts w:ascii="Arial" w:cs="Arial" w:eastAsia="Arial" w:hAnsi="Arial"/>
                <w:sz w:val="12"/>
                <w:szCs w:val="12"/>
                <w:b w:val="1"/>
                <w:bCs w:val="1"/>
                <w:color w:val="auto"/>
              </w:rPr>
              <w:t>Name</w:t>
            </w:r>
          </w:p>
        </w:tc>
        <w:tc>
          <w:tcPr>
            <w:tcW w:w="1900" w:type="dxa"/>
            <w:vAlign w:val="bottom"/>
            <w:gridSpan w:val="2"/>
          </w:tcPr>
          <w:p>
            <w:pPr>
              <w:ind w:left="80"/>
              <w:spacing w:after="0"/>
              <w:rPr>
                <w:sz w:val="20"/>
                <w:szCs w:val="20"/>
                <w:color w:val="auto"/>
              </w:rPr>
            </w:pPr>
            <w:r>
              <w:rPr>
                <w:rFonts w:ascii="Arial" w:cs="Arial" w:eastAsia="Arial" w:hAnsi="Arial"/>
                <w:sz w:val="12"/>
                <w:szCs w:val="12"/>
                <w:b w:val="1"/>
                <w:bCs w:val="1"/>
                <w:color w:val="auto"/>
              </w:rPr>
              <w:t>Title</w:t>
            </w:r>
          </w:p>
        </w:tc>
        <w:tc>
          <w:tcPr>
            <w:tcW w:w="960" w:type="dxa"/>
            <w:vAlign w:val="bottom"/>
          </w:tcPr>
          <w:p>
            <w:pPr>
              <w:jc w:val="right"/>
              <w:spacing w:after="0"/>
              <w:rPr>
                <w:sz w:val="20"/>
                <w:szCs w:val="20"/>
                <w:color w:val="auto"/>
              </w:rPr>
            </w:pPr>
            <w:r>
              <w:rPr>
                <w:rFonts w:ascii="Arial" w:cs="Arial" w:eastAsia="Arial" w:hAnsi="Arial"/>
                <w:sz w:val="12"/>
                <w:szCs w:val="12"/>
                <w:b w:val="1"/>
                <w:bCs w:val="1"/>
                <w:color w:val="auto"/>
                <w:w w:val="90"/>
              </w:rPr>
              <w:t>2015 Base Salary</w:t>
            </w:r>
            <w:r>
              <w:rPr>
                <w:rFonts w:ascii="Arial" w:cs="Arial" w:eastAsia="Arial" w:hAnsi="Arial"/>
                <w:sz w:val="5"/>
                <w:szCs w:val="5"/>
                <w:b w:val="1"/>
                <w:bCs w:val="1"/>
                <w:color w:val="auto"/>
                <w:w w:val="90"/>
              </w:rPr>
              <w:t>(4)</w:t>
            </w:r>
          </w:p>
        </w:tc>
        <w:tc>
          <w:tcPr>
            <w:tcW w:w="1440" w:type="dxa"/>
            <w:vAlign w:val="bottom"/>
          </w:tcPr>
          <w:p>
            <w:pPr>
              <w:jc w:val="right"/>
              <w:ind w:right="320"/>
              <w:spacing w:after="0"/>
              <w:rPr>
                <w:sz w:val="20"/>
                <w:szCs w:val="20"/>
                <w:color w:val="auto"/>
              </w:rPr>
            </w:pPr>
            <w:r>
              <w:rPr>
                <w:rFonts w:ascii="Arial" w:cs="Arial" w:eastAsia="Arial" w:hAnsi="Arial"/>
                <w:sz w:val="12"/>
                <w:szCs w:val="12"/>
                <w:b w:val="1"/>
                <w:bCs w:val="1"/>
                <w:color w:val="auto"/>
                <w:w w:val="99"/>
              </w:rPr>
              <w:t>2016 Base Salary</w:t>
            </w:r>
            <w:r>
              <w:rPr>
                <w:rFonts w:ascii="Arial" w:cs="Arial" w:eastAsia="Arial" w:hAnsi="Arial"/>
                <w:sz w:val="5"/>
                <w:szCs w:val="5"/>
                <w:b w:val="1"/>
                <w:bCs w:val="1"/>
                <w:color w:val="auto"/>
                <w:w w:val="99"/>
              </w:rPr>
              <w:t>(4)</w:t>
            </w:r>
          </w:p>
        </w:tc>
      </w:tr>
      <w:tr>
        <w:trPr>
          <w:trHeight w:val="124"/>
        </w:trPr>
        <w:tc>
          <w:tcPr>
            <w:tcW w:w="1360" w:type="dxa"/>
            <w:vAlign w:val="bottom"/>
            <w:tcBorders>
              <w:top w:val="single" w:sz="8" w:color="auto"/>
            </w:tcBorders>
            <w:shd w:val="clear" w:color="auto" w:fill="CCEEFF"/>
          </w:tcPr>
          <w:p>
            <w:pPr>
              <w:ind w:left="100"/>
              <w:spacing w:after="0" w:line="125" w:lineRule="exact"/>
              <w:rPr>
                <w:sz w:val="20"/>
                <w:szCs w:val="20"/>
                <w:color w:val="auto"/>
              </w:rPr>
            </w:pPr>
            <w:r>
              <w:rPr>
                <w:rFonts w:ascii="Arial" w:cs="Arial" w:eastAsia="Arial" w:hAnsi="Arial"/>
                <w:sz w:val="12"/>
                <w:szCs w:val="12"/>
                <w:color w:val="auto"/>
              </w:rPr>
              <w:t xml:space="preserve">Ellen Cotter </w:t>
            </w:r>
            <w:r>
              <w:rPr>
                <w:rFonts w:ascii="Arial" w:cs="Arial" w:eastAsia="Arial" w:hAnsi="Arial"/>
                <w:sz w:val="5"/>
                <w:szCs w:val="5"/>
                <w:color w:val="auto"/>
              </w:rPr>
              <w:t>(1)</w:t>
            </w:r>
          </w:p>
        </w:tc>
        <w:tc>
          <w:tcPr>
            <w:tcW w:w="320" w:type="dxa"/>
            <w:vAlign w:val="bottom"/>
            <w:tcBorders>
              <w:top w:val="single" w:sz="8" w:color="CCEEFF"/>
            </w:tcBorders>
            <w:shd w:val="clear" w:color="auto" w:fill="CCEEFF"/>
          </w:tcPr>
          <w:p>
            <w:pPr>
              <w:spacing w:after="0"/>
              <w:rPr>
                <w:sz w:val="10"/>
                <w:szCs w:val="10"/>
                <w:color w:val="auto"/>
              </w:rPr>
            </w:pPr>
          </w:p>
        </w:tc>
        <w:tc>
          <w:tcPr>
            <w:tcW w:w="1600" w:type="dxa"/>
            <w:vAlign w:val="bottom"/>
            <w:tcBorders>
              <w:top w:val="single" w:sz="8" w:color="auto"/>
            </w:tcBorders>
            <w:shd w:val="clear" w:color="auto" w:fill="CCEEFF"/>
          </w:tcPr>
          <w:p>
            <w:pPr>
              <w:ind w:left="80"/>
              <w:spacing w:after="0" w:line="125" w:lineRule="exact"/>
              <w:rPr>
                <w:sz w:val="20"/>
                <w:szCs w:val="20"/>
                <w:color w:val="auto"/>
              </w:rPr>
            </w:pPr>
            <w:r>
              <w:rPr>
                <w:rFonts w:ascii="Arial" w:cs="Arial" w:eastAsia="Arial" w:hAnsi="Arial"/>
                <w:sz w:val="12"/>
                <w:szCs w:val="12"/>
                <w:color w:val="auto"/>
              </w:rPr>
              <w:t>President and Chief</w:t>
            </w:r>
          </w:p>
        </w:tc>
        <w:tc>
          <w:tcPr>
            <w:tcW w:w="300" w:type="dxa"/>
            <w:vAlign w:val="bottom"/>
            <w:tcBorders>
              <w:top w:val="single" w:sz="8" w:color="CCEEFF"/>
            </w:tcBorders>
            <w:shd w:val="clear" w:color="auto" w:fill="CCEEFF"/>
          </w:tcPr>
          <w:p>
            <w:pPr>
              <w:spacing w:after="0"/>
              <w:rPr>
                <w:sz w:val="10"/>
                <w:szCs w:val="10"/>
                <w:color w:val="auto"/>
              </w:rPr>
            </w:pPr>
          </w:p>
        </w:tc>
        <w:tc>
          <w:tcPr>
            <w:tcW w:w="960" w:type="dxa"/>
            <w:vAlign w:val="bottom"/>
            <w:tcBorders>
              <w:top w:val="single" w:sz="8" w:color="auto"/>
            </w:tcBorders>
            <w:shd w:val="clear" w:color="auto" w:fill="CCEEFF"/>
          </w:tcPr>
          <w:p>
            <w:pPr>
              <w:jc w:val="right"/>
              <w:spacing w:after="0" w:line="125" w:lineRule="exact"/>
              <w:rPr>
                <w:sz w:val="20"/>
                <w:szCs w:val="20"/>
                <w:color w:val="auto"/>
              </w:rPr>
            </w:pPr>
            <w:r>
              <w:rPr>
                <w:rFonts w:ascii="Arial" w:cs="Arial" w:eastAsia="Arial" w:hAnsi="Arial"/>
                <w:sz w:val="12"/>
                <w:szCs w:val="12"/>
                <w:color w:val="auto"/>
              </w:rPr>
              <w:t>$402,000</w:t>
            </w:r>
          </w:p>
        </w:tc>
        <w:tc>
          <w:tcPr>
            <w:tcW w:w="1440" w:type="dxa"/>
            <w:vAlign w:val="bottom"/>
            <w:tcBorders>
              <w:top w:val="single" w:sz="8" w:color="auto"/>
            </w:tcBorders>
            <w:shd w:val="clear" w:color="auto" w:fill="CCEEFF"/>
          </w:tcPr>
          <w:p>
            <w:pPr>
              <w:jc w:val="right"/>
              <w:spacing w:after="0" w:line="125" w:lineRule="exact"/>
              <w:rPr>
                <w:sz w:val="20"/>
                <w:szCs w:val="20"/>
                <w:color w:val="auto"/>
              </w:rPr>
            </w:pPr>
            <w:r>
              <w:rPr>
                <w:rFonts w:ascii="Arial" w:cs="Arial" w:eastAsia="Arial" w:hAnsi="Arial"/>
                <w:sz w:val="12"/>
                <w:szCs w:val="12"/>
                <w:color w:val="auto"/>
              </w:rPr>
              <w:t>$450,000</w:t>
            </w:r>
          </w:p>
        </w:tc>
      </w:tr>
      <w:tr>
        <w:trPr>
          <w:trHeight w:val="153"/>
        </w:trPr>
        <w:tc>
          <w:tcPr>
            <w:tcW w:w="13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900" w:type="dxa"/>
            <w:vAlign w:val="bottom"/>
            <w:gridSpan w:val="2"/>
            <w:shd w:val="clear" w:color="auto" w:fill="CCEEFF"/>
          </w:tcPr>
          <w:p>
            <w:pPr>
              <w:ind w:left="80"/>
              <w:spacing w:after="0"/>
              <w:rPr>
                <w:sz w:val="20"/>
                <w:szCs w:val="20"/>
                <w:color w:val="auto"/>
              </w:rPr>
            </w:pPr>
            <w:r>
              <w:rPr>
                <w:rFonts w:ascii="Arial" w:cs="Arial" w:eastAsia="Arial" w:hAnsi="Arial"/>
                <w:sz w:val="12"/>
                <w:szCs w:val="12"/>
                <w:color w:val="auto"/>
              </w:rPr>
              <w:t>Executive Officer</w:t>
            </w:r>
          </w:p>
        </w:tc>
        <w:tc>
          <w:tcPr>
            <w:tcW w:w="96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r>
      <w:tr>
        <w:trPr>
          <w:trHeight w:val="72"/>
        </w:trPr>
        <w:tc>
          <w:tcPr>
            <w:tcW w:w="136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60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1440" w:type="dxa"/>
            <w:vAlign w:val="bottom"/>
            <w:shd w:val="clear" w:color="auto" w:fill="CCEEFF"/>
          </w:tcPr>
          <w:p>
            <w:pPr>
              <w:spacing w:after="0"/>
              <w:rPr>
                <w:sz w:val="6"/>
                <w:szCs w:val="6"/>
                <w:color w:val="auto"/>
              </w:rPr>
            </w:pPr>
          </w:p>
        </w:tc>
      </w:tr>
      <w:tr>
        <w:trPr>
          <w:trHeight w:val="135"/>
        </w:trPr>
        <w:tc>
          <w:tcPr>
            <w:tcW w:w="1680" w:type="dxa"/>
            <w:vAlign w:val="bottom"/>
            <w:gridSpan w:val="2"/>
          </w:tcPr>
          <w:p>
            <w:pPr>
              <w:ind w:left="100"/>
              <w:spacing w:after="0" w:line="136" w:lineRule="exact"/>
              <w:rPr>
                <w:sz w:val="20"/>
                <w:szCs w:val="20"/>
                <w:color w:val="auto"/>
              </w:rPr>
            </w:pPr>
            <w:r>
              <w:rPr>
                <w:rFonts w:ascii="Arial" w:cs="Arial" w:eastAsia="Arial" w:hAnsi="Arial"/>
                <w:sz w:val="12"/>
                <w:szCs w:val="12"/>
                <w:color w:val="auto"/>
              </w:rPr>
              <w:t xml:space="preserve">Dev Ghose </w:t>
            </w:r>
            <w:r>
              <w:rPr>
                <w:rFonts w:ascii="Arial" w:cs="Arial" w:eastAsia="Arial" w:hAnsi="Arial"/>
                <w:sz w:val="5"/>
                <w:szCs w:val="5"/>
                <w:color w:val="auto"/>
              </w:rPr>
              <w:t>(2)</w:t>
            </w:r>
          </w:p>
        </w:tc>
        <w:tc>
          <w:tcPr>
            <w:tcW w:w="1900" w:type="dxa"/>
            <w:vAlign w:val="bottom"/>
            <w:gridSpan w:val="2"/>
          </w:tcPr>
          <w:p>
            <w:pPr>
              <w:ind w:left="80"/>
              <w:spacing w:after="0" w:line="136" w:lineRule="exact"/>
              <w:rPr>
                <w:sz w:val="20"/>
                <w:szCs w:val="20"/>
                <w:color w:val="auto"/>
              </w:rPr>
            </w:pPr>
            <w:r>
              <w:rPr>
                <w:rFonts w:ascii="Arial" w:cs="Arial" w:eastAsia="Arial" w:hAnsi="Arial"/>
                <w:sz w:val="12"/>
                <w:szCs w:val="12"/>
                <w:color w:val="auto"/>
              </w:rPr>
              <w:t>EVP, Chief Financial</w:t>
            </w:r>
          </w:p>
        </w:tc>
        <w:tc>
          <w:tcPr>
            <w:tcW w:w="960" w:type="dxa"/>
            <w:vAlign w:val="bottom"/>
          </w:tcPr>
          <w:p>
            <w:pPr>
              <w:jc w:val="right"/>
              <w:spacing w:after="0" w:line="136" w:lineRule="exact"/>
              <w:rPr>
                <w:sz w:val="20"/>
                <w:szCs w:val="20"/>
                <w:color w:val="auto"/>
              </w:rPr>
            </w:pPr>
            <w:r>
              <w:rPr>
                <w:rFonts w:ascii="Arial" w:cs="Arial" w:eastAsia="Arial" w:hAnsi="Arial"/>
                <w:sz w:val="12"/>
                <w:szCs w:val="12"/>
                <w:color w:val="auto"/>
              </w:rPr>
              <w:t>400,000</w:t>
            </w:r>
          </w:p>
        </w:tc>
        <w:tc>
          <w:tcPr>
            <w:tcW w:w="1440" w:type="dxa"/>
            <w:vAlign w:val="bottom"/>
          </w:tcPr>
          <w:p>
            <w:pPr>
              <w:jc w:val="right"/>
              <w:spacing w:after="0" w:line="136" w:lineRule="exact"/>
              <w:rPr>
                <w:sz w:val="20"/>
                <w:szCs w:val="20"/>
                <w:color w:val="auto"/>
              </w:rPr>
            </w:pPr>
            <w:r>
              <w:rPr>
                <w:rFonts w:ascii="Arial" w:cs="Arial" w:eastAsia="Arial" w:hAnsi="Arial"/>
                <w:sz w:val="12"/>
                <w:szCs w:val="12"/>
                <w:color w:val="auto"/>
              </w:rPr>
              <w:t>400,000</w:t>
            </w:r>
          </w:p>
        </w:tc>
      </w:tr>
      <w:tr>
        <w:trPr>
          <w:trHeight w:val="144"/>
        </w:trPr>
        <w:tc>
          <w:tcPr>
            <w:tcW w:w="1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900" w:type="dxa"/>
            <w:vAlign w:val="bottom"/>
            <w:gridSpan w:val="2"/>
          </w:tcPr>
          <w:p>
            <w:pPr>
              <w:ind w:left="80"/>
              <w:spacing w:after="0"/>
              <w:rPr>
                <w:sz w:val="20"/>
                <w:szCs w:val="20"/>
                <w:color w:val="auto"/>
              </w:rPr>
            </w:pPr>
            <w:r>
              <w:rPr>
                <w:rFonts w:ascii="Arial" w:cs="Arial" w:eastAsia="Arial" w:hAnsi="Arial"/>
                <w:sz w:val="12"/>
                <w:szCs w:val="12"/>
                <w:color w:val="auto"/>
              </w:rPr>
              <w:t>Officer, Treasurer and</w:t>
            </w:r>
          </w:p>
        </w:tc>
        <w:tc>
          <w:tcPr>
            <w:tcW w:w="960" w:type="dxa"/>
            <w:vAlign w:val="bottom"/>
          </w:tcPr>
          <w:p>
            <w:pPr>
              <w:spacing w:after="0"/>
              <w:rPr>
                <w:sz w:val="12"/>
                <w:szCs w:val="12"/>
                <w:color w:val="auto"/>
              </w:rPr>
            </w:pPr>
          </w:p>
        </w:tc>
        <w:tc>
          <w:tcPr>
            <w:tcW w:w="1440" w:type="dxa"/>
            <w:vAlign w:val="bottom"/>
          </w:tcPr>
          <w:p>
            <w:pPr>
              <w:spacing w:after="0"/>
              <w:rPr>
                <w:sz w:val="12"/>
                <w:szCs w:val="12"/>
                <w:color w:val="auto"/>
              </w:rPr>
            </w:pPr>
          </w:p>
        </w:tc>
      </w:tr>
      <w:tr>
        <w:trPr>
          <w:trHeight w:val="153"/>
        </w:trPr>
        <w:tc>
          <w:tcPr>
            <w:tcW w:w="13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900" w:type="dxa"/>
            <w:vAlign w:val="bottom"/>
            <w:gridSpan w:val="2"/>
          </w:tcPr>
          <w:p>
            <w:pPr>
              <w:ind w:left="80"/>
              <w:spacing w:after="0"/>
              <w:rPr>
                <w:sz w:val="20"/>
                <w:szCs w:val="20"/>
                <w:color w:val="auto"/>
              </w:rPr>
            </w:pPr>
            <w:r>
              <w:rPr>
                <w:rFonts w:ascii="Arial" w:cs="Arial" w:eastAsia="Arial" w:hAnsi="Arial"/>
                <w:sz w:val="12"/>
                <w:szCs w:val="12"/>
                <w:color w:val="auto"/>
              </w:rPr>
              <w:t>Corporate Secretary</w:t>
            </w:r>
          </w:p>
        </w:tc>
        <w:tc>
          <w:tcPr>
            <w:tcW w:w="960" w:type="dxa"/>
            <w:vAlign w:val="bottom"/>
          </w:tcPr>
          <w:p>
            <w:pPr>
              <w:spacing w:after="0"/>
              <w:rPr>
                <w:sz w:val="13"/>
                <w:szCs w:val="13"/>
                <w:color w:val="auto"/>
              </w:rPr>
            </w:pPr>
          </w:p>
        </w:tc>
        <w:tc>
          <w:tcPr>
            <w:tcW w:w="1440" w:type="dxa"/>
            <w:vAlign w:val="bottom"/>
          </w:tcPr>
          <w:p>
            <w:pPr>
              <w:spacing w:after="0"/>
              <w:rPr>
                <w:sz w:val="13"/>
                <w:szCs w:val="13"/>
                <w:color w:val="auto"/>
              </w:rPr>
            </w:pPr>
          </w:p>
        </w:tc>
      </w:tr>
      <w:tr>
        <w:trPr>
          <w:trHeight w:val="72"/>
        </w:trPr>
        <w:tc>
          <w:tcPr>
            <w:tcW w:w="13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960" w:type="dxa"/>
            <w:vAlign w:val="bottom"/>
          </w:tcPr>
          <w:p>
            <w:pPr>
              <w:spacing w:after="0"/>
              <w:rPr>
                <w:sz w:val="6"/>
                <w:szCs w:val="6"/>
                <w:color w:val="auto"/>
              </w:rPr>
            </w:pPr>
          </w:p>
        </w:tc>
        <w:tc>
          <w:tcPr>
            <w:tcW w:w="1440" w:type="dxa"/>
            <w:vAlign w:val="bottom"/>
          </w:tcPr>
          <w:p>
            <w:pPr>
              <w:spacing w:after="0"/>
              <w:rPr>
                <w:sz w:val="6"/>
                <w:szCs w:val="6"/>
                <w:color w:val="auto"/>
              </w:rPr>
            </w:pPr>
          </w:p>
        </w:tc>
      </w:tr>
      <w:tr>
        <w:trPr>
          <w:trHeight w:val="132"/>
        </w:trPr>
        <w:tc>
          <w:tcPr>
            <w:tcW w:w="1680" w:type="dxa"/>
            <w:vAlign w:val="bottom"/>
            <w:gridSpan w:val="2"/>
            <w:shd w:val="clear" w:color="auto" w:fill="CCEEFF"/>
          </w:tcPr>
          <w:p>
            <w:pPr>
              <w:ind w:left="100"/>
              <w:spacing w:after="0" w:line="132" w:lineRule="exact"/>
              <w:rPr>
                <w:sz w:val="20"/>
                <w:szCs w:val="20"/>
                <w:color w:val="auto"/>
              </w:rPr>
            </w:pPr>
            <w:r>
              <w:rPr>
                <w:rFonts w:ascii="Arial" w:cs="Arial" w:eastAsia="Arial" w:hAnsi="Arial"/>
                <w:sz w:val="12"/>
                <w:szCs w:val="12"/>
                <w:color w:val="auto"/>
              </w:rPr>
              <w:t>Andrzej J. Matyczynski</w:t>
            </w:r>
          </w:p>
        </w:tc>
        <w:tc>
          <w:tcPr>
            <w:tcW w:w="1900" w:type="dxa"/>
            <w:vAlign w:val="bottom"/>
            <w:gridSpan w:val="2"/>
            <w:shd w:val="clear" w:color="auto" w:fill="CCEEFF"/>
          </w:tcPr>
          <w:p>
            <w:pPr>
              <w:ind w:left="80"/>
              <w:spacing w:after="0" w:line="132" w:lineRule="exact"/>
              <w:rPr>
                <w:sz w:val="20"/>
                <w:szCs w:val="20"/>
                <w:color w:val="auto"/>
              </w:rPr>
            </w:pPr>
            <w:r>
              <w:rPr>
                <w:rFonts w:ascii="Arial" w:cs="Arial" w:eastAsia="Arial" w:hAnsi="Arial"/>
                <w:sz w:val="12"/>
                <w:szCs w:val="12"/>
                <w:color w:val="auto"/>
              </w:rPr>
              <w:t>EVP-Global Operations</w:t>
            </w:r>
          </w:p>
        </w:tc>
        <w:tc>
          <w:tcPr>
            <w:tcW w:w="96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rPr>
              <w:t>324,000</w:t>
            </w:r>
          </w:p>
        </w:tc>
        <w:tc>
          <w:tcPr>
            <w:tcW w:w="144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rPr>
              <w:t>336,000</w:t>
            </w:r>
          </w:p>
        </w:tc>
      </w:tr>
      <w:tr>
        <w:trPr>
          <w:trHeight w:val="75"/>
        </w:trPr>
        <w:tc>
          <w:tcPr>
            <w:tcW w:w="1360" w:type="dxa"/>
            <w:vAlign w:val="bottom"/>
            <w:shd w:val="clear" w:color="auto" w:fill="CCEEFF"/>
          </w:tcPr>
          <w:p>
            <w:pPr>
              <w:ind w:left="100"/>
              <w:spacing w:after="0"/>
              <w:rPr>
                <w:sz w:val="20"/>
                <w:szCs w:val="20"/>
                <w:color w:val="auto"/>
              </w:rPr>
            </w:pPr>
            <w:r>
              <w:rPr>
                <w:rFonts w:ascii="Arial" w:cs="Arial" w:eastAsia="Arial" w:hAnsi="Arial"/>
                <w:sz w:val="6"/>
                <w:szCs w:val="6"/>
                <w:color w:val="auto"/>
              </w:rPr>
              <w:t>(3)</w:t>
            </w:r>
          </w:p>
        </w:tc>
        <w:tc>
          <w:tcPr>
            <w:tcW w:w="320" w:type="dxa"/>
            <w:vAlign w:val="bottom"/>
            <w:shd w:val="clear" w:color="auto" w:fill="CCEEFF"/>
          </w:tcPr>
          <w:p>
            <w:pPr>
              <w:spacing w:after="0"/>
              <w:rPr>
                <w:sz w:val="6"/>
                <w:szCs w:val="6"/>
                <w:color w:val="auto"/>
              </w:rPr>
            </w:pPr>
          </w:p>
        </w:tc>
        <w:tc>
          <w:tcPr>
            <w:tcW w:w="160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1440" w:type="dxa"/>
            <w:vAlign w:val="bottom"/>
            <w:shd w:val="clear" w:color="auto" w:fill="CCEEFF"/>
          </w:tcPr>
          <w:p>
            <w:pPr>
              <w:spacing w:after="0"/>
              <w:rPr>
                <w:sz w:val="6"/>
                <w:szCs w:val="6"/>
                <w:color w:val="auto"/>
              </w:rPr>
            </w:pPr>
          </w:p>
        </w:tc>
      </w:tr>
      <w:tr>
        <w:trPr>
          <w:trHeight w:val="99"/>
        </w:trPr>
        <w:tc>
          <w:tcPr>
            <w:tcW w:w="136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60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960" w:type="dxa"/>
            <w:vAlign w:val="bottom"/>
            <w:shd w:val="clear" w:color="auto" w:fill="CCEEFF"/>
          </w:tcPr>
          <w:p>
            <w:pPr>
              <w:spacing w:after="0"/>
              <w:rPr>
                <w:sz w:val="8"/>
                <w:szCs w:val="8"/>
                <w:color w:val="auto"/>
              </w:rPr>
            </w:pPr>
          </w:p>
        </w:tc>
        <w:tc>
          <w:tcPr>
            <w:tcW w:w="1440" w:type="dxa"/>
            <w:vAlign w:val="bottom"/>
            <w:shd w:val="clear" w:color="auto" w:fill="CCEEFF"/>
          </w:tcPr>
          <w:p>
            <w:pPr>
              <w:spacing w:after="0"/>
              <w:rPr>
                <w:sz w:val="8"/>
                <w:szCs w:val="8"/>
                <w:color w:val="auto"/>
              </w:rPr>
            </w:pPr>
          </w:p>
        </w:tc>
      </w:tr>
      <w:tr>
        <w:trPr>
          <w:trHeight w:val="153"/>
        </w:trPr>
        <w:tc>
          <w:tcPr>
            <w:tcW w:w="1680" w:type="dxa"/>
            <w:vAlign w:val="bottom"/>
            <w:gridSpan w:val="2"/>
          </w:tcPr>
          <w:p>
            <w:pPr>
              <w:ind w:left="100"/>
              <w:spacing w:after="0"/>
              <w:rPr>
                <w:sz w:val="20"/>
                <w:szCs w:val="20"/>
                <w:color w:val="auto"/>
              </w:rPr>
            </w:pPr>
            <w:r>
              <w:rPr>
                <w:rFonts w:ascii="Arial" w:cs="Arial" w:eastAsia="Arial" w:hAnsi="Arial"/>
                <w:sz w:val="12"/>
                <w:szCs w:val="12"/>
                <w:color w:val="auto"/>
              </w:rPr>
              <w:t>Robert F. Smerling</w:t>
            </w:r>
          </w:p>
        </w:tc>
        <w:tc>
          <w:tcPr>
            <w:tcW w:w="1900" w:type="dxa"/>
            <w:vAlign w:val="bottom"/>
            <w:gridSpan w:val="2"/>
          </w:tcPr>
          <w:p>
            <w:pPr>
              <w:ind w:left="80"/>
              <w:spacing w:after="0"/>
              <w:rPr>
                <w:sz w:val="20"/>
                <w:szCs w:val="20"/>
                <w:color w:val="auto"/>
              </w:rPr>
            </w:pPr>
            <w:r>
              <w:rPr>
                <w:rFonts w:ascii="Arial" w:cs="Arial" w:eastAsia="Arial" w:hAnsi="Arial"/>
                <w:sz w:val="12"/>
                <w:szCs w:val="12"/>
                <w:color w:val="auto"/>
              </w:rPr>
              <w:t>President, US Cinemas</w:t>
            </w:r>
          </w:p>
        </w:tc>
        <w:tc>
          <w:tcPr>
            <w:tcW w:w="960" w:type="dxa"/>
            <w:vAlign w:val="bottom"/>
          </w:tcPr>
          <w:p>
            <w:pPr>
              <w:jc w:val="right"/>
              <w:spacing w:after="0"/>
              <w:rPr>
                <w:sz w:val="20"/>
                <w:szCs w:val="20"/>
                <w:color w:val="auto"/>
              </w:rPr>
            </w:pPr>
            <w:r>
              <w:rPr>
                <w:rFonts w:ascii="Arial" w:cs="Arial" w:eastAsia="Arial" w:hAnsi="Arial"/>
                <w:sz w:val="12"/>
                <w:szCs w:val="12"/>
                <w:color w:val="auto"/>
              </w:rPr>
              <w:t>350,000</w:t>
            </w:r>
          </w:p>
        </w:tc>
        <w:tc>
          <w:tcPr>
            <w:tcW w:w="1440" w:type="dxa"/>
            <w:vAlign w:val="bottom"/>
          </w:tcPr>
          <w:p>
            <w:pPr>
              <w:jc w:val="right"/>
              <w:spacing w:after="0"/>
              <w:rPr>
                <w:sz w:val="20"/>
                <w:szCs w:val="20"/>
                <w:color w:val="auto"/>
              </w:rPr>
            </w:pPr>
            <w:r>
              <w:rPr>
                <w:rFonts w:ascii="Arial" w:cs="Arial" w:eastAsia="Arial" w:hAnsi="Arial"/>
                <w:sz w:val="12"/>
                <w:szCs w:val="12"/>
                <w:color w:val="auto"/>
              </w:rPr>
              <w:t>375,000</w:t>
            </w:r>
          </w:p>
        </w:tc>
      </w:tr>
      <w:tr>
        <w:trPr>
          <w:trHeight w:val="63"/>
        </w:trPr>
        <w:tc>
          <w:tcPr>
            <w:tcW w:w="13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960" w:type="dxa"/>
            <w:vAlign w:val="bottom"/>
          </w:tcPr>
          <w:p>
            <w:pPr>
              <w:spacing w:after="0"/>
              <w:rPr>
                <w:sz w:val="5"/>
                <w:szCs w:val="5"/>
                <w:color w:val="auto"/>
              </w:rPr>
            </w:pPr>
          </w:p>
        </w:tc>
        <w:tc>
          <w:tcPr>
            <w:tcW w:w="1440" w:type="dxa"/>
            <w:vAlign w:val="bottom"/>
          </w:tcPr>
          <w:p>
            <w:pPr>
              <w:spacing w:after="0"/>
              <w:rPr>
                <w:sz w:val="5"/>
                <w:szCs w:val="5"/>
                <w:color w:val="auto"/>
              </w:rPr>
            </w:pPr>
          </w:p>
        </w:tc>
      </w:tr>
      <w:tr>
        <w:trPr>
          <w:trHeight w:val="135"/>
        </w:trPr>
        <w:tc>
          <w:tcPr>
            <w:tcW w:w="1680" w:type="dxa"/>
            <w:vAlign w:val="bottom"/>
            <w:gridSpan w:val="2"/>
            <w:shd w:val="clear" w:color="auto" w:fill="CCEEFF"/>
          </w:tcPr>
          <w:p>
            <w:pPr>
              <w:ind w:left="100"/>
              <w:spacing w:after="0" w:line="136" w:lineRule="exact"/>
              <w:rPr>
                <w:sz w:val="20"/>
                <w:szCs w:val="20"/>
                <w:color w:val="auto"/>
              </w:rPr>
            </w:pPr>
            <w:r>
              <w:rPr>
                <w:rFonts w:ascii="Arial" w:cs="Arial" w:eastAsia="Arial" w:hAnsi="Arial"/>
                <w:sz w:val="12"/>
                <w:szCs w:val="12"/>
                <w:color w:val="auto"/>
              </w:rPr>
              <w:t>Wayne Smith</w:t>
            </w:r>
          </w:p>
        </w:tc>
        <w:tc>
          <w:tcPr>
            <w:tcW w:w="1900" w:type="dxa"/>
            <w:vAlign w:val="bottom"/>
            <w:gridSpan w:val="2"/>
            <w:shd w:val="clear" w:color="auto" w:fill="CCEEFF"/>
          </w:tcPr>
          <w:p>
            <w:pPr>
              <w:ind w:left="80"/>
              <w:spacing w:after="0" w:line="136" w:lineRule="exact"/>
              <w:rPr>
                <w:sz w:val="20"/>
                <w:szCs w:val="20"/>
                <w:color w:val="auto"/>
              </w:rPr>
            </w:pPr>
            <w:r>
              <w:rPr>
                <w:rFonts w:ascii="Arial" w:cs="Arial" w:eastAsia="Arial" w:hAnsi="Arial"/>
                <w:sz w:val="12"/>
                <w:szCs w:val="12"/>
                <w:color w:val="auto"/>
              </w:rPr>
              <w:t>Managing Director, Australia</w:t>
            </w:r>
          </w:p>
        </w:tc>
        <w:tc>
          <w:tcPr>
            <w:tcW w:w="960" w:type="dxa"/>
            <w:vAlign w:val="bottom"/>
            <w:shd w:val="clear" w:color="auto" w:fill="CCEEFF"/>
          </w:tcPr>
          <w:p>
            <w:pPr>
              <w:jc w:val="right"/>
              <w:ind w:right="180"/>
              <w:spacing w:after="0" w:line="136" w:lineRule="exact"/>
              <w:rPr>
                <w:sz w:val="20"/>
                <w:szCs w:val="20"/>
                <w:color w:val="auto"/>
              </w:rPr>
            </w:pPr>
            <w:r>
              <w:rPr>
                <w:rFonts w:ascii="Arial" w:cs="Arial" w:eastAsia="Arial" w:hAnsi="Arial"/>
                <w:sz w:val="12"/>
                <w:szCs w:val="12"/>
                <w:color w:val="auto"/>
              </w:rPr>
              <w:t>274,897</w:t>
            </w:r>
            <w:r>
              <w:rPr>
                <w:rFonts w:ascii="Arial" w:cs="Arial" w:eastAsia="Arial" w:hAnsi="Arial"/>
                <w:sz w:val="5"/>
                <w:szCs w:val="5"/>
                <w:color w:val="auto"/>
              </w:rPr>
              <w:t>(4)</w:t>
            </w:r>
          </w:p>
        </w:tc>
        <w:tc>
          <w:tcPr>
            <w:tcW w:w="1440" w:type="dxa"/>
            <w:vAlign w:val="bottom"/>
            <w:shd w:val="clear" w:color="auto" w:fill="CCEEFF"/>
          </w:tcPr>
          <w:p>
            <w:pPr>
              <w:jc w:val="right"/>
              <w:ind w:right="900"/>
              <w:spacing w:after="0" w:line="136" w:lineRule="exact"/>
              <w:rPr>
                <w:sz w:val="20"/>
                <w:szCs w:val="20"/>
                <w:color w:val="auto"/>
              </w:rPr>
            </w:pPr>
            <w:r>
              <w:rPr>
                <w:rFonts w:ascii="Arial" w:cs="Arial" w:eastAsia="Arial" w:hAnsi="Arial"/>
                <w:sz w:val="12"/>
                <w:szCs w:val="12"/>
                <w:color w:val="auto"/>
                <w:w w:val="92"/>
              </w:rPr>
              <w:t>282,491</w:t>
            </w:r>
            <w:r>
              <w:rPr>
                <w:rFonts w:ascii="Arial" w:cs="Arial" w:eastAsia="Arial" w:hAnsi="Arial"/>
                <w:sz w:val="5"/>
                <w:szCs w:val="5"/>
                <w:color w:val="auto"/>
                <w:w w:val="92"/>
              </w:rPr>
              <w:t>(4)</w:t>
            </w:r>
          </w:p>
        </w:tc>
      </w:tr>
      <w:tr>
        <w:trPr>
          <w:trHeight w:val="153"/>
        </w:trPr>
        <w:tc>
          <w:tcPr>
            <w:tcW w:w="13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900" w:type="dxa"/>
            <w:vAlign w:val="bottom"/>
            <w:gridSpan w:val="2"/>
            <w:shd w:val="clear" w:color="auto" w:fill="CCEEFF"/>
          </w:tcPr>
          <w:p>
            <w:pPr>
              <w:ind w:left="80"/>
              <w:spacing w:after="0"/>
              <w:rPr>
                <w:sz w:val="20"/>
                <w:szCs w:val="20"/>
                <w:color w:val="auto"/>
              </w:rPr>
            </w:pPr>
            <w:r>
              <w:rPr>
                <w:rFonts w:ascii="Arial" w:cs="Arial" w:eastAsia="Arial" w:hAnsi="Arial"/>
                <w:sz w:val="12"/>
                <w:szCs w:val="12"/>
                <w:color w:val="auto"/>
              </w:rPr>
              <w:t>and New Zealand</w:t>
            </w:r>
          </w:p>
        </w:tc>
        <w:tc>
          <w:tcPr>
            <w:tcW w:w="96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r>
      <w:tr>
        <w:trPr>
          <w:trHeight w:val="72"/>
        </w:trPr>
        <w:tc>
          <w:tcPr>
            <w:tcW w:w="136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60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1440" w:type="dxa"/>
            <w:vAlign w:val="bottom"/>
            <w:shd w:val="clear" w:color="auto" w:fill="CCEEFF"/>
          </w:tcPr>
          <w:p>
            <w:pPr>
              <w:spacing w:after="0"/>
              <w:rPr>
                <w:sz w:val="6"/>
                <w:szCs w:val="6"/>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2"/>
          <w:szCs w:val="12"/>
          <w:color w:val="auto"/>
        </w:rPr>
        <w:t>______________________________</w:t>
      </w:r>
    </w:p>
    <w:p>
      <w:pPr>
        <w:spacing w:after="0" w:line="75" w:lineRule="exact"/>
        <w:rPr>
          <w:sz w:val="20"/>
          <w:szCs w:val="20"/>
          <w:color w:val="auto"/>
        </w:rPr>
      </w:pPr>
    </w:p>
    <w:p>
      <w:pPr>
        <w:ind w:left="400" w:hanging="179"/>
        <w:spacing w:after="0"/>
        <w:tabs>
          <w:tab w:leader="none" w:pos="400" w:val="left"/>
        </w:tabs>
        <w:numPr>
          <w:ilvl w:val="0"/>
          <w:numId w:val="52"/>
        </w:numPr>
        <w:rPr>
          <w:rFonts w:ascii="Arial" w:cs="Arial" w:eastAsia="Arial" w:hAnsi="Arial"/>
          <w:sz w:val="10"/>
          <w:szCs w:val="10"/>
          <w:color w:val="auto"/>
        </w:rPr>
      </w:pPr>
      <w:r>
        <w:rPr>
          <w:rFonts w:ascii="Arial" w:cs="Arial" w:eastAsia="Arial" w:hAnsi="Arial"/>
          <w:sz w:val="10"/>
          <w:szCs w:val="10"/>
          <w:color w:val="auto"/>
        </w:rPr>
        <w:t>Ellen M. Cotter was appointed Interim President and Chief Executive Officer on June 12, 2015 and President and Chief Executive Officer on January 8, 2016.</w:t>
      </w:r>
    </w:p>
    <w:p>
      <w:pPr>
        <w:spacing w:after="0" w:line="20" w:lineRule="exact"/>
        <w:rPr>
          <w:rFonts w:ascii="Arial" w:cs="Arial" w:eastAsia="Arial" w:hAnsi="Arial"/>
          <w:sz w:val="10"/>
          <w:szCs w:val="10"/>
          <w:color w:val="auto"/>
        </w:rPr>
      </w:pPr>
    </w:p>
    <w:p>
      <w:pPr>
        <w:ind w:left="420" w:hanging="199"/>
        <w:spacing w:after="0"/>
        <w:tabs>
          <w:tab w:leader="none" w:pos="420" w:val="left"/>
        </w:tabs>
        <w:numPr>
          <w:ilvl w:val="0"/>
          <w:numId w:val="52"/>
        </w:numPr>
        <w:rPr>
          <w:rFonts w:ascii="Arial" w:cs="Arial" w:eastAsia="Arial" w:hAnsi="Arial"/>
          <w:sz w:val="10"/>
          <w:szCs w:val="10"/>
          <w:color w:val="auto"/>
        </w:rPr>
      </w:pPr>
      <w:r>
        <w:rPr>
          <w:rFonts w:ascii="Arial" w:cs="Arial" w:eastAsia="Arial" w:hAnsi="Arial"/>
          <w:sz w:val="10"/>
          <w:szCs w:val="10"/>
          <w:color w:val="auto"/>
        </w:rPr>
        <w:t>Devasis Ghose was appointed Chief Financial Officer and Treasurer on May 11, 2015. For 2015, Mr. Ghose earned a prorated base salary of $257,692.</w:t>
      </w:r>
    </w:p>
    <w:p>
      <w:pPr>
        <w:spacing w:after="0" w:line="155" w:lineRule="exact"/>
        <w:rPr>
          <w:sz w:val="20"/>
          <w:szCs w:val="20"/>
          <w:color w:val="auto"/>
        </w:rPr>
      </w:pPr>
    </w:p>
    <w:p>
      <w:pPr>
        <w:ind w:right="120"/>
        <w:spacing w:after="0" w:line="222" w:lineRule="auto"/>
        <w:rPr>
          <w:sz w:val="20"/>
          <w:szCs w:val="20"/>
          <w:color w:val="auto"/>
        </w:rPr>
      </w:pPr>
      <w:r>
        <w:rPr>
          <w:rFonts w:ascii="Arial" w:cs="Arial" w:eastAsia="Arial" w:hAnsi="Arial"/>
          <w:sz w:val="10"/>
          <w:szCs w:val="10"/>
          <w:color w:val="auto"/>
        </w:rPr>
        <w:t>Andrzej J. Matyczynski was the Company’s Chief Financial Officer and Treasurer until May 11, 2015 and thereafter he acted as Strategic Corporate Advisor to the Company. He was appointed EVP-Global Operations on March 10, 2016.In 2015, Mr. Smith was paid in Australian dollars in the amount of AUD$365,360 (shown in U.S. Dollars in the table above, using the conversion rate of 0.7524). In 2016, Mr. Smith will be paid in Australian dollars in the amount of AUD$370,000 (shown above in U.S. Dollars using the exchange rate of 0.76349).</w:t>
      </w:r>
    </w:p>
    <w:p>
      <w:pPr>
        <w:spacing w:after="0" w:line="9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Short Term Incentives</w:t>
      </w:r>
    </w:p>
    <w:p>
      <w:pPr>
        <w:spacing w:after="0" w:line="132" w:lineRule="exact"/>
        <w:rPr>
          <w:sz w:val="20"/>
          <w:szCs w:val="20"/>
          <w:color w:val="auto"/>
        </w:rPr>
      </w:pPr>
    </w:p>
    <w:p>
      <w:pPr>
        <w:ind w:firstLine="432"/>
        <w:spacing w:after="0" w:line="312" w:lineRule="auto"/>
        <w:rPr>
          <w:sz w:val="20"/>
          <w:szCs w:val="20"/>
          <w:color w:val="auto"/>
        </w:rPr>
      </w:pPr>
      <w:r>
        <w:rPr>
          <w:rFonts w:ascii="Arial" w:cs="Arial" w:eastAsia="Arial" w:hAnsi="Arial"/>
          <w:sz w:val="10"/>
          <w:szCs w:val="10"/>
          <w:color w:val="auto"/>
        </w:rPr>
        <w:t>The Short Term Incentives authorized by our Compensation Committee and our Board provides our executive officers and other management team members, who are selected to participate, with an opportunity to earn an annual cash bonus based upon the achievement of certain company financial goals, division goals and individual goals, established by our Chief Executive Officer and approved by our Compensation Committee and our Board (in future years, under the Compensation Committee Charter approved by our Board on March 10, 2016, our Compensation Committee will have full authority to approve these matters). Specifically, a participant in the short-term incentive plan will be advised of his or her annual potential target bonus expressed as a percentage of the participant’s base salary and by dollar amount. The participant will be eligible for a short-term incentive bonus once the participant achieves goals identified at the beginning of the year for a threshold target, the potential target or potential maximum target bonus opportunity. The bonus will vary depending upon the achievements made by the individual participants, the division and the corporation. Corporate goals for 2016 will include levels of earnings before interest, depreciation, taxes and amortization (“non-GAAP Operating Income”) and property development milestones. Division goals for 2016 will include levels of division cash flow and division milestones and individual goals will include specific unique performance goals specific to the individual’s position with us. Each of the corporate, division and individual goals carries a different percentage weight in determining the officer’s or other team member’s bonus for the year.</w:t>
      </w:r>
    </w:p>
    <w:p>
      <w:pPr>
        <w:spacing w:after="0" w:line="74" w:lineRule="exact"/>
        <w:rPr>
          <w:sz w:val="20"/>
          <w:szCs w:val="20"/>
          <w:color w:val="auto"/>
        </w:rPr>
      </w:pPr>
    </w:p>
    <w:p>
      <w:pPr>
        <w:ind w:left="440"/>
        <w:spacing w:after="0"/>
        <w:rPr>
          <w:sz w:val="20"/>
          <w:szCs w:val="20"/>
          <w:color w:val="auto"/>
        </w:rPr>
      </w:pPr>
      <w:r>
        <w:rPr>
          <w:rFonts w:ascii="Arial" w:cs="Arial" w:eastAsia="Arial" w:hAnsi="Arial"/>
          <w:sz w:val="10"/>
          <w:szCs w:val="10"/>
          <w:color w:val="auto"/>
        </w:rPr>
        <w:t>Ms. Ellen M. Cotter, our President and Chief Executive Officer, has a potential target bonus opportunity of 95% of Base Salary, or $427,500 at target based on Ms. Cotter’s achievement of her performance goals</w:t>
      </w:r>
    </w:p>
    <w:p>
      <w:pPr>
        <w:spacing w:after="0" w:line="38" w:lineRule="exact"/>
        <w:rPr>
          <w:sz w:val="20"/>
          <w:szCs w:val="20"/>
          <w:color w:val="auto"/>
        </w:rPr>
      </w:pPr>
    </w:p>
    <w:p>
      <w:pPr>
        <w:spacing w:after="0"/>
        <w:rPr>
          <w:sz w:val="20"/>
          <w:szCs w:val="20"/>
          <w:color w:val="auto"/>
        </w:rPr>
      </w:pPr>
      <w:r>
        <w:rPr>
          <w:rFonts w:ascii="Arial" w:cs="Arial" w:eastAsia="Arial" w:hAnsi="Arial"/>
          <w:sz w:val="11"/>
          <w:szCs w:val="11"/>
          <w:color w:val="auto"/>
        </w:rPr>
        <w:t>and over achievement of corporate goals discussed above. Of that potential target bonus opportunity, a threshold bonus of $213,750 may be achieved based upon Ms. Cotter’s achievement of certain performance goals</w:t>
      </w:r>
    </w:p>
    <w:p>
      <w:pPr>
        <w:spacing w:after="0" w:line="18" w:lineRule="exact"/>
        <w:rPr>
          <w:sz w:val="20"/>
          <w:szCs w:val="20"/>
          <w:color w:val="auto"/>
        </w:rPr>
      </w:pPr>
    </w:p>
    <w:p>
      <w:pPr>
        <w:spacing w:after="0"/>
        <w:rPr>
          <w:sz w:val="20"/>
          <w:szCs w:val="20"/>
          <w:color w:val="auto"/>
        </w:rPr>
      </w:pPr>
      <w:r>
        <w:rPr>
          <w:rFonts w:ascii="Arial" w:cs="Arial" w:eastAsia="Arial" w:hAnsi="Arial"/>
          <w:sz w:val="11"/>
          <w:szCs w:val="11"/>
          <w:color w:val="auto"/>
        </w:rPr>
        <w:t>and our achievement of certain corporate goals, and a potential maximum target of $641,250 is based on achieving additional performance goals. Ms. Cotter’s aggregate annual bonus opportunity can range from $0 to</w:t>
      </w:r>
    </w:p>
    <w:p>
      <w:pPr>
        <w:spacing w:after="0" w:line="18" w:lineRule="exact"/>
        <w:rPr>
          <w:sz w:val="20"/>
          <w:szCs w:val="20"/>
          <w:color w:val="auto"/>
        </w:rPr>
      </w:pPr>
    </w:p>
    <w:p>
      <w:pPr>
        <w:spacing w:after="0"/>
        <w:rPr>
          <w:sz w:val="20"/>
          <w:szCs w:val="20"/>
          <w:color w:val="auto"/>
        </w:rPr>
      </w:pPr>
      <w:r>
        <w:rPr>
          <w:rFonts w:ascii="Arial" w:cs="Arial" w:eastAsia="Arial" w:hAnsi="Arial"/>
          <w:sz w:val="10"/>
          <w:szCs w:val="10"/>
          <w:color w:val="auto"/>
        </w:rPr>
        <w:t>$641,250. Mr. Dev Ghose, our EVP, Chief Financial Officer, Treasurer and Corporate Secretary, has a potential target bonus opportunity of 50% of Base Salary, or $200,000 at target, which is based on achievement of his</w:t>
      </w:r>
    </w:p>
    <w:p>
      <w:pPr>
        <w:spacing w:after="0" w:line="29" w:lineRule="exact"/>
        <w:rPr>
          <w:sz w:val="20"/>
          <w:szCs w:val="20"/>
          <w:color w:val="auto"/>
        </w:rPr>
      </w:pPr>
    </w:p>
    <w:p>
      <w:pPr>
        <w:spacing w:after="0"/>
        <w:rPr>
          <w:sz w:val="20"/>
          <w:szCs w:val="20"/>
          <w:color w:val="auto"/>
        </w:rPr>
      </w:pPr>
      <w:r>
        <w:rPr>
          <w:rFonts w:ascii="Arial" w:cs="Arial" w:eastAsia="Arial" w:hAnsi="Arial"/>
          <w:sz w:val="11"/>
          <w:szCs w:val="11"/>
          <w:color w:val="auto"/>
        </w:rPr>
        <w:t>performance goals and our achievement of corporate goals, as discussed above. Mr. Ghose’s aggregate annual bonus opportunity can range from $0 to $300,000 (the maximum potential target if additional performance</w:t>
      </w:r>
    </w:p>
    <w:p>
      <w:pPr>
        <w:spacing w:after="0" w:line="18" w:lineRule="exact"/>
        <w:rPr>
          <w:sz w:val="20"/>
          <w:szCs w:val="20"/>
          <w:color w:val="auto"/>
        </w:rPr>
      </w:pPr>
    </w:p>
    <w:p>
      <w:pPr>
        <w:spacing w:after="0"/>
        <w:rPr>
          <w:sz w:val="20"/>
          <w:szCs w:val="20"/>
          <w:color w:val="auto"/>
        </w:rPr>
      </w:pPr>
      <w:r>
        <w:rPr>
          <w:rFonts w:ascii="Arial" w:cs="Arial" w:eastAsia="Arial" w:hAnsi="Arial"/>
          <w:sz w:val="11"/>
          <w:szCs w:val="11"/>
          <w:color w:val="auto"/>
        </w:rPr>
        <w:t>goals are met by Mr. Ghose). Mr. Andrzej J. Matyczynski, our EVP - Global Operations, has a target bonus opportunity of 50% of Base Salary, or $168,000 at target, which is based on achievement of his performance</w:t>
      </w:r>
    </w:p>
    <w:p>
      <w:pPr>
        <w:spacing w:after="0" w:line="18" w:lineRule="exact"/>
        <w:rPr>
          <w:sz w:val="20"/>
          <w:szCs w:val="20"/>
          <w:color w:val="auto"/>
        </w:rPr>
      </w:pPr>
    </w:p>
    <w:p>
      <w:pPr>
        <w:spacing w:after="0"/>
        <w:rPr>
          <w:sz w:val="20"/>
          <w:szCs w:val="20"/>
          <w:color w:val="auto"/>
        </w:rPr>
      </w:pPr>
      <w:r>
        <w:rPr>
          <w:rFonts w:ascii="Arial" w:cs="Arial" w:eastAsia="Arial" w:hAnsi="Arial"/>
          <w:sz w:val="11"/>
          <w:szCs w:val="11"/>
          <w:color w:val="auto"/>
        </w:rPr>
        <w:t>goals, our achievement of corporate goals and certain divisional goals. Mr. Matyczynski’s aggregate annual bonus opportunity can range from $0 to $252,000 (the maximum potential target if additional performance</w:t>
      </w:r>
    </w:p>
    <w:p>
      <w:pPr>
        <w:spacing w:after="0" w:line="18" w:lineRule="exact"/>
        <w:rPr>
          <w:sz w:val="20"/>
          <w:szCs w:val="20"/>
          <w:color w:val="auto"/>
        </w:rPr>
      </w:pPr>
    </w:p>
    <w:p>
      <w:pPr>
        <w:spacing w:after="0"/>
        <w:rPr>
          <w:sz w:val="20"/>
          <w:szCs w:val="20"/>
          <w:color w:val="auto"/>
        </w:rPr>
      </w:pPr>
      <w:r>
        <w:rPr>
          <w:rFonts w:ascii="Arial" w:cs="Arial" w:eastAsia="Arial" w:hAnsi="Arial"/>
          <w:sz w:val="12"/>
          <w:szCs w:val="12"/>
          <w:color w:val="auto"/>
        </w:rPr>
        <w:t>goals are met by Mr. Matyczynski). Mr. Robert Smerling, President, US Cinemas, has a target bonus opportunity of 30% of base pay, or $112,500 at target,</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59690</wp:posOffset>
            </wp:positionV>
            <wp:extent cx="677989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779895" cy="42545"/>
                    </a:xfrm>
                    <a:prstGeom prst="rect">
                      <a:avLst/>
                    </a:prstGeom>
                    <a:noFill/>
                  </pic:spPr>
                </pic:pic>
              </a:graphicData>
            </a:graphic>
          </wp:anchor>
        </w:drawing>
      </w:r>
    </w:p>
    <w:p>
      <w:pPr>
        <w:sectPr>
          <w:pgSz w:w="11900" w:h="16838" w:orient="portrait"/>
          <w:cols w:equalWidth="0" w:num="1">
            <w:col w:w="10620"/>
          </w:cols>
          <w:pgMar w:left="640" w:top="275" w:right="639" w:bottom="1440" w:gutter="0" w:footer="0" w:header="0"/>
        </w:sectPr>
      </w:pPr>
    </w:p>
    <w:bookmarkStart w:id="113" w:name="page114"/>
    <w:bookmarkEnd w:id="113"/>
    <w:p>
      <w:pPr>
        <w:spacing w:after="0" w:line="286" w:lineRule="auto"/>
        <w:rPr>
          <w:sz w:val="20"/>
          <w:szCs w:val="20"/>
          <w:color w:val="auto"/>
        </w:rPr>
      </w:pPr>
      <w:r>
        <w:rPr>
          <w:rFonts w:ascii="Arial" w:cs="Arial" w:eastAsia="Arial" w:hAnsi="Arial"/>
          <w:sz w:val="11"/>
          <w:szCs w:val="11"/>
          <w:color w:val="auto"/>
        </w:rPr>
        <w:t>which is based on achievement of his performance goals, our achievement of corporate goals and certain divisional goals. Mr. Smerling’s aggregate annual bonus opportunity can range from $0 to $168,750 (the maximum potential target if additional performance goals are met by Mr. Smerling). Mr. Wayne Smith, Managing Director, Australia New Zealand, has a target bonus opportunity of 40% of Base Salary, or A$148,000 at target, which is based on achievement of his performance goals, our achievement of corporate goals and certain divisional goals. Mr. Smith’s aggregate annual bonus opportunity can range from A$0 to A$222,000 (the maximum potential target if additional performance goals are met by Mr. Smith). The positions of other management team members have target bonus opportunities ranging from 20% to 30% of Base Salary based on achievement certain goals. The highest level of achievement, participants may be eligible to receive up to a maximum of 150% of his or her target bonus amount.</w:t>
      </w:r>
    </w:p>
    <w:p>
      <w:pPr>
        <w:spacing w:after="0" w:line="8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Long-Term Incentives</w:t>
      </w:r>
    </w:p>
    <w:p>
      <w:pPr>
        <w:spacing w:after="0" w:line="132" w:lineRule="exact"/>
        <w:rPr>
          <w:sz w:val="20"/>
          <w:szCs w:val="20"/>
          <w:color w:val="auto"/>
        </w:rPr>
      </w:pPr>
    </w:p>
    <w:p>
      <w:pPr>
        <w:ind w:right="260" w:firstLine="432"/>
        <w:spacing w:after="0" w:line="263" w:lineRule="auto"/>
        <w:rPr>
          <w:sz w:val="20"/>
          <w:szCs w:val="20"/>
          <w:color w:val="auto"/>
        </w:rPr>
      </w:pPr>
      <w:r>
        <w:rPr>
          <w:rFonts w:ascii="Arial" w:cs="Arial" w:eastAsia="Arial" w:hAnsi="Arial"/>
          <w:sz w:val="12"/>
          <w:szCs w:val="12"/>
          <w:color w:val="auto"/>
        </w:rPr>
        <w:t>Long-Term incentives will utilize the equity-based plan under our 2010 Incentive Stock Plan, as amended (the “2010 Plan”). For 2016, executive and management team participants will receive awards in the following forms: 50% time-based restricted stock units and 50% non-statutory stock options. The grants of restricted stock units and options will vest ratably over a four (4) year period with 1/4th vesting on each anniversary date of the grant date.</w:t>
      </w:r>
    </w:p>
    <w:p>
      <w:pPr>
        <w:spacing w:after="0" w:line="96" w:lineRule="exact"/>
        <w:rPr>
          <w:sz w:val="20"/>
          <w:szCs w:val="20"/>
          <w:color w:val="auto"/>
        </w:rPr>
      </w:pPr>
    </w:p>
    <w:p>
      <w:pPr>
        <w:ind w:left="440"/>
        <w:spacing w:after="0"/>
        <w:rPr>
          <w:sz w:val="20"/>
          <w:szCs w:val="20"/>
          <w:color w:val="auto"/>
        </w:rPr>
      </w:pPr>
      <w:r>
        <w:rPr>
          <w:rFonts w:ascii="Arial" w:cs="Arial" w:eastAsia="Arial" w:hAnsi="Arial"/>
          <w:sz w:val="12"/>
          <w:szCs w:val="12"/>
          <w:color w:val="auto"/>
        </w:rPr>
        <w:t>On March 10, 2016, the following grants were made:</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5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700" w:type="dxa"/>
            <w:vAlign w:val="bottom"/>
            <w:gridSpan w:val="2"/>
          </w:tcPr>
          <w:p>
            <w:pPr>
              <w:jc w:val="center"/>
              <w:ind w:right="380"/>
              <w:spacing w:after="0"/>
              <w:rPr>
                <w:sz w:val="20"/>
                <w:szCs w:val="20"/>
                <w:color w:val="auto"/>
              </w:rPr>
            </w:pPr>
            <w:r>
              <w:rPr>
                <w:rFonts w:ascii="Arial" w:cs="Arial" w:eastAsia="Arial" w:hAnsi="Arial"/>
                <w:sz w:val="10"/>
                <w:szCs w:val="10"/>
                <w:b w:val="1"/>
                <w:bCs w:val="1"/>
                <w:color w:val="auto"/>
                <w:w w:val="88"/>
              </w:rPr>
              <w:t>Dollar Amount of</w:t>
            </w:r>
          </w:p>
        </w:tc>
        <w:tc>
          <w:tcPr>
            <w:tcW w:w="1480" w:type="dxa"/>
            <w:vAlign w:val="bottom"/>
          </w:tcPr>
          <w:p>
            <w:pPr>
              <w:jc w:val="right"/>
              <w:ind w:right="212"/>
              <w:spacing w:after="0"/>
              <w:rPr>
                <w:sz w:val="20"/>
                <w:szCs w:val="20"/>
                <w:color w:val="auto"/>
              </w:rPr>
            </w:pPr>
            <w:r>
              <w:rPr>
                <w:rFonts w:ascii="Arial" w:cs="Arial" w:eastAsia="Arial" w:hAnsi="Arial"/>
                <w:sz w:val="10"/>
                <w:szCs w:val="10"/>
                <w:b w:val="1"/>
                <w:bCs w:val="1"/>
                <w:color w:val="auto"/>
              </w:rPr>
              <w:t>Dollar Amount of Non-</w:t>
            </w:r>
          </w:p>
        </w:tc>
      </w:tr>
      <w:tr>
        <w:trPr>
          <w:trHeight w:val="114"/>
        </w:trPr>
        <w:tc>
          <w:tcPr>
            <w:tcW w:w="1520" w:type="dxa"/>
            <w:vAlign w:val="bottom"/>
          </w:tcPr>
          <w:p>
            <w:pPr>
              <w:ind w:left="100"/>
              <w:spacing w:after="0" w:line="114" w:lineRule="exact"/>
              <w:rPr>
                <w:sz w:val="20"/>
                <w:szCs w:val="20"/>
                <w:color w:val="auto"/>
              </w:rPr>
            </w:pPr>
            <w:r>
              <w:rPr>
                <w:rFonts w:ascii="Arial" w:cs="Arial" w:eastAsia="Arial" w:hAnsi="Arial"/>
                <w:sz w:val="10"/>
                <w:szCs w:val="10"/>
                <w:b w:val="1"/>
                <w:bCs w:val="1"/>
                <w:color w:val="auto"/>
              </w:rPr>
              <w:t>Name</w:t>
            </w:r>
          </w:p>
        </w:tc>
        <w:tc>
          <w:tcPr>
            <w:tcW w:w="380" w:type="dxa"/>
            <w:vAlign w:val="bottom"/>
          </w:tcPr>
          <w:p>
            <w:pPr>
              <w:spacing w:after="0"/>
              <w:rPr>
                <w:sz w:val="9"/>
                <w:szCs w:val="9"/>
                <w:color w:val="auto"/>
              </w:rPr>
            </w:pPr>
          </w:p>
        </w:tc>
        <w:tc>
          <w:tcPr>
            <w:tcW w:w="1660" w:type="dxa"/>
            <w:vAlign w:val="bottom"/>
          </w:tcPr>
          <w:p>
            <w:pPr>
              <w:ind w:left="80"/>
              <w:spacing w:after="0" w:line="114" w:lineRule="exact"/>
              <w:rPr>
                <w:sz w:val="20"/>
                <w:szCs w:val="20"/>
                <w:color w:val="auto"/>
              </w:rPr>
            </w:pPr>
            <w:r>
              <w:rPr>
                <w:rFonts w:ascii="Arial" w:cs="Arial" w:eastAsia="Arial" w:hAnsi="Arial"/>
                <w:sz w:val="10"/>
                <w:szCs w:val="10"/>
                <w:b w:val="1"/>
                <w:bCs w:val="1"/>
                <w:color w:val="auto"/>
              </w:rPr>
              <w:t>Title</w:t>
            </w:r>
          </w:p>
        </w:tc>
        <w:tc>
          <w:tcPr>
            <w:tcW w:w="380" w:type="dxa"/>
            <w:vAlign w:val="bottom"/>
          </w:tcPr>
          <w:p>
            <w:pPr>
              <w:spacing w:after="0"/>
              <w:rPr>
                <w:sz w:val="9"/>
                <w:szCs w:val="9"/>
                <w:color w:val="auto"/>
              </w:rPr>
            </w:pPr>
          </w:p>
        </w:tc>
        <w:tc>
          <w:tcPr>
            <w:tcW w:w="1700" w:type="dxa"/>
            <w:vAlign w:val="bottom"/>
            <w:gridSpan w:val="2"/>
          </w:tcPr>
          <w:p>
            <w:pPr>
              <w:jc w:val="center"/>
              <w:ind w:right="380"/>
              <w:spacing w:after="0" w:line="114" w:lineRule="exact"/>
              <w:rPr>
                <w:sz w:val="20"/>
                <w:szCs w:val="20"/>
                <w:color w:val="auto"/>
              </w:rPr>
            </w:pPr>
            <w:r>
              <w:rPr>
                <w:rFonts w:ascii="Arial" w:cs="Arial" w:eastAsia="Arial" w:hAnsi="Arial"/>
                <w:sz w:val="10"/>
                <w:szCs w:val="10"/>
                <w:b w:val="1"/>
                <w:bCs w:val="1"/>
                <w:color w:val="auto"/>
                <w:w w:val="86"/>
              </w:rPr>
              <w:t>Restricted Stock Units</w:t>
            </w:r>
          </w:p>
        </w:tc>
        <w:tc>
          <w:tcPr>
            <w:tcW w:w="1480" w:type="dxa"/>
            <w:vAlign w:val="bottom"/>
          </w:tcPr>
          <w:p>
            <w:pPr>
              <w:jc w:val="right"/>
              <w:ind w:right="132"/>
              <w:spacing w:after="0" w:line="114" w:lineRule="exact"/>
              <w:rPr>
                <w:sz w:val="20"/>
                <w:szCs w:val="20"/>
                <w:color w:val="auto"/>
              </w:rPr>
            </w:pPr>
            <w:r>
              <w:rPr>
                <w:rFonts w:ascii="Arial" w:cs="Arial" w:eastAsia="Arial" w:hAnsi="Arial"/>
                <w:sz w:val="10"/>
                <w:szCs w:val="10"/>
                <w:b w:val="1"/>
                <w:bCs w:val="1"/>
                <w:color w:val="auto"/>
                <w:w w:val="98"/>
              </w:rPr>
              <w:t>Statutory Stock Options (1)</w:t>
            </w:r>
          </w:p>
        </w:tc>
      </w:tr>
      <w:tr>
        <w:trPr>
          <w:trHeight w:val="140"/>
        </w:trPr>
        <w:tc>
          <w:tcPr>
            <w:tcW w:w="1520" w:type="dxa"/>
            <w:vAlign w:val="bottom"/>
            <w:tcBorders>
              <w:top w:val="single" w:sz="8" w:color="auto"/>
              <w:bottom w:val="single" w:sz="8" w:color="CCEEFF"/>
            </w:tcBorders>
            <w:shd w:val="clear" w:color="auto" w:fill="CCEEFF"/>
          </w:tcPr>
          <w:p>
            <w:pPr>
              <w:ind w:left="100"/>
              <w:spacing w:after="0" w:line="111" w:lineRule="exact"/>
              <w:rPr>
                <w:sz w:val="20"/>
                <w:szCs w:val="20"/>
                <w:color w:val="auto"/>
              </w:rPr>
            </w:pPr>
            <w:r>
              <w:rPr>
                <w:rFonts w:ascii="Arial" w:cs="Arial" w:eastAsia="Arial" w:hAnsi="Arial"/>
                <w:sz w:val="10"/>
                <w:szCs w:val="10"/>
                <w:color w:val="auto"/>
              </w:rPr>
              <w:t>Ellen M. Cotter</w:t>
            </w:r>
          </w:p>
        </w:tc>
        <w:tc>
          <w:tcPr>
            <w:tcW w:w="380" w:type="dxa"/>
            <w:vAlign w:val="bottom"/>
            <w:tcBorders>
              <w:top w:val="single" w:sz="8" w:color="CCEEFF"/>
              <w:bottom w:val="single" w:sz="8" w:color="CCEEFF"/>
            </w:tcBorders>
            <w:shd w:val="clear" w:color="auto" w:fill="CCEEFF"/>
          </w:tcPr>
          <w:p>
            <w:pPr>
              <w:spacing w:after="0"/>
              <w:rPr>
                <w:sz w:val="12"/>
                <w:szCs w:val="12"/>
                <w:color w:val="auto"/>
              </w:rPr>
            </w:pPr>
          </w:p>
        </w:tc>
        <w:tc>
          <w:tcPr>
            <w:tcW w:w="1660" w:type="dxa"/>
            <w:vAlign w:val="bottom"/>
            <w:tcBorders>
              <w:top w:val="single" w:sz="8" w:color="auto"/>
              <w:bottom w:val="single" w:sz="8" w:color="CCEEFF"/>
            </w:tcBorders>
            <w:shd w:val="clear" w:color="auto" w:fill="CCEEFF"/>
          </w:tcPr>
          <w:p>
            <w:pPr>
              <w:ind w:left="80"/>
              <w:spacing w:after="0" w:line="111" w:lineRule="exact"/>
              <w:rPr>
                <w:sz w:val="20"/>
                <w:szCs w:val="20"/>
                <w:color w:val="auto"/>
              </w:rPr>
            </w:pPr>
            <w:r>
              <w:rPr>
                <w:rFonts w:ascii="Arial" w:cs="Arial" w:eastAsia="Arial" w:hAnsi="Arial"/>
                <w:sz w:val="10"/>
                <w:szCs w:val="10"/>
                <w:color w:val="auto"/>
                <w:w w:val="93"/>
              </w:rPr>
              <w:t>President and Chief Executive Officer</w:t>
            </w:r>
          </w:p>
        </w:tc>
        <w:tc>
          <w:tcPr>
            <w:tcW w:w="380" w:type="dxa"/>
            <w:vAlign w:val="bottom"/>
            <w:tcBorders>
              <w:top w:val="single" w:sz="8" w:color="CCEEFF"/>
              <w:bottom w:val="single" w:sz="8" w:color="CCEEFF"/>
            </w:tcBorders>
            <w:shd w:val="clear" w:color="auto" w:fill="CCEEFF"/>
          </w:tcPr>
          <w:p>
            <w:pPr>
              <w:spacing w:after="0"/>
              <w:rPr>
                <w:sz w:val="12"/>
                <w:szCs w:val="12"/>
                <w:color w:val="auto"/>
              </w:rPr>
            </w:pPr>
          </w:p>
        </w:tc>
        <w:tc>
          <w:tcPr>
            <w:tcW w:w="1340" w:type="dxa"/>
            <w:vAlign w:val="bottom"/>
            <w:tcBorders>
              <w:top w:val="single" w:sz="8" w:color="auto"/>
              <w:bottom w:val="single" w:sz="8" w:color="CCEEFF"/>
            </w:tcBorders>
            <w:shd w:val="clear" w:color="auto" w:fill="CCEEFF"/>
          </w:tcPr>
          <w:p>
            <w:pPr>
              <w:jc w:val="right"/>
              <w:spacing w:after="0" w:line="111" w:lineRule="exact"/>
              <w:rPr>
                <w:sz w:val="20"/>
                <w:szCs w:val="20"/>
                <w:color w:val="auto"/>
              </w:rPr>
            </w:pPr>
            <w:r>
              <w:rPr>
                <w:rFonts w:ascii="Arial" w:cs="Arial" w:eastAsia="Arial" w:hAnsi="Arial"/>
                <w:sz w:val="10"/>
                <w:szCs w:val="10"/>
                <w:color w:val="auto"/>
              </w:rPr>
              <w:t>$150,000</w:t>
            </w:r>
          </w:p>
        </w:tc>
        <w:tc>
          <w:tcPr>
            <w:tcW w:w="360" w:type="dxa"/>
            <w:vAlign w:val="bottom"/>
            <w:tcBorders>
              <w:top w:val="single" w:sz="8" w:color="CCEEFF"/>
              <w:bottom w:val="single" w:sz="8" w:color="CCEEFF"/>
            </w:tcBorders>
            <w:shd w:val="clear" w:color="auto" w:fill="CCEEFF"/>
          </w:tcPr>
          <w:p>
            <w:pPr>
              <w:spacing w:after="0"/>
              <w:rPr>
                <w:sz w:val="12"/>
                <w:szCs w:val="12"/>
                <w:color w:val="auto"/>
              </w:rPr>
            </w:pPr>
          </w:p>
        </w:tc>
        <w:tc>
          <w:tcPr>
            <w:tcW w:w="1480" w:type="dxa"/>
            <w:vAlign w:val="bottom"/>
            <w:tcBorders>
              <w:top w:val="single" w:sz="8" w:color="auto"/>
              <w:bottom w:val="single" w:sz="8" w:color="CCEEFF"/>
            </w:tcBorders>
            <w:shd w:val="clear" w:color="auto" w:fill="CCEEFF"/>
          </w:tcPr>
          <w:p>
            <w:pPr>
              <w:jc w:val="right"/>
              <w:spacing w:after="0" w:line="111" w:lineRule="exact"/>
              <w:rPr>
                <w:sz w:val="20"/>
                <w:szCs w:val="20"/>
                <w:color w:val="auto"/>
              </w:rPr>
            </w:pPr>
            <w:r>
              <w:rPr>
                <w:rFonts w:ascii="Arial" w:cs="Arial" w:eastAsia="Arial" w:hAnsi="Arial"/>
                <w:sz w:val="10"/>
                <w:szCs w:val="10"/>
                <w:color w:val="auto"/>
              </w:rPr>
              <w:t>$150,000</w:t>
            </w:r>
          </w:p>
        </w:tc>
      </w:tr>
      <w:tr>
        <w:trPr>
          <w:trHeight w:val="87"/>
        </w:trPr>
        <w:tc>
          <w:tcPr>
            <w:tcW w:w="1520" w:type="dxa"/>
            <w:vAlign w:val="bottom"/>
          </w:tcPr>
          <w:p>
            <w:pPr>
              <w:ind w:left="100"/>
              <w:spacing w:after="0" w:line="87" w:lineRule="exact"/>
              <w:rPr>
                <w:sz w:val="20"/>
                <w:szCs w:val="20"/>
                <w:color w:val="auto"/>
              </w:rPr>
            </w:pPr>
            <w:r>
              <w:rPr>
                <w:rFonts w:ascii="Arial" w:cs="Arial" w:eastAsia="Arial" w:hAnsi="Arial"/>
                <w:sz w:val="10"/>
                <w:szCs w:val="10"/>
                <w:color w:val="auto"/>
              </w:rPr>
              <w:t xml:space="preserve">Devasis Ghose </w:t>
            </w:r>
            <w:r>
              <w:rPr>
                <w:rFonts w:ascii="Arial" w:cs="Arial" w:eastAsia="Arial" w:hAnsi="Arial"/>
                <w:sz w:val="4"/>
                <w:szCs w:val="4"/>
                <w:color w:val="auto"/>
              </w:rPr>
              <w:t>(2)</w:t>
            </w:r>
          </w:p>
        </w:tc>
        <w:tc>
          <w:tcPr>
            <w:tcW w:w="380" w:type="dxa"/>
            <w:vAlign w:val="bottom"/>
          </w:tcPr>
          <w:p>
            <w:pPr>
              <w:spacing w:after="0"/>
              <w:rPr>
                <w:sz w:val="7"/>
                <w:szCs w:val="7"/>
                <w:color w:val="auto"/>
              </w:rPr>
            </w:pPr>
          </w:p>
        </w:tc>
        <w:tc>
          <w:tcPr>
            <w:tcW w:w="1660" w:type="dxa"/>
            <w:vAlign w:val="bottom"/>
          </w:tcPr>
          <w:p>
            <w:pPr>
              <w:ind w:left="80"/>
              <w:spacing w:after="0" w:line="87" w:lineRule="exact"/>
              <w:rPr>
                <w:sz w:val="20"/>
                <w:szCs w:val="20"/>
                <w:color w:val="auto"/>
              </w:rPr>
            </w:pPr>
            <w:r>
              <w:rPr>
                <w:rFonts w:ascii="Arial" w:cs="Arial" w:eastAsia="Arial" w:hAnsi="Arial"/>
                <w:sz w:val="10"/>
                <w:szCs w:val="10"/>
                <w:color w:val="auto"/>
              </w:rPr>
              <w:t>EVP, Chief Financial Officer,</w:t>
            </w:r>
          </w:p>
        </w:tc>
        <w:tc>
          <w:tcPr>
            <w:tcW w:w="1720" w:type="dxa"/>
            <w:vAlign w:val="bottom"/>
            <w:gridSpan w:val="2"/>
          </w:tcPr>
          <w:p>
            <w:pPr>
              <w:jc w:val="right"/>
              <w:spacing w:after="0" w:line="87" w:lineRule="exact"/>
              <w:rPr>
                <w:sz w:val="20"/>
                <w:szCs w:val="20"/>
                <w:color w:val="auto"/>
              </w:rPr>
            </w:pPr>
            <w:r>
              <w:rPr>
                <w:rFonts w:ascii="Arial" w:cs="Arial" w:eastAsia="Arial" w:hAnsi="Arial"/>
                <w:sz w:val="10"/>
                <w:szCs w:val="10"/>
                <w:color w:val="auto"/>
              </w:rPr>
              <w:t>0</w:t>
            </w:r>
          </w:p>
        </w:tc>
        <w:tc>
          <w:tcPr>
            <w:tcW w:w="360" w:type="dxa"/>
            <w:vAlign w:val="bottom"/>
          </w:tcPr>
          <w:p>
            <w:pPr>
              <w:spacing w:after="0"/>
              <w:rPr>
                <w:sz w:val="7"/>
                <w:szCs w:val="7"/>
                <w:color w:val="auto"/>
              </w:rPr>
            </w:pPr>
          </w:p>
        </w:tc>
        <w:tc>
          <w:tcPr>
            <w:tcW w:w="1480" w:type="dxa"/>
            <w:vAlign w:val="bottom"/>
          </w:tcPr>
          <w:p>
            <w:pPr>
              <w:jc w:val="right"/>
              <w:spacing w:after="0" w:line="87" w:lineRule="exact"/>
              <w:rPr>
                <w:sz w:val="20"/>
                <w:szCs w:val="20"/>
                <w:color w:val="auto"/>
              </w:rPr>
            </w:pPr>
            <w:r>
              <w:rPr>
                <w:rFonts w:ascii="Arial" w:cs="Arial" w:eastAsia="Arial" w:hAnsi="Arial"/>
                <w:sz w:val="10"/>
                <w:szCs w:val="10"/>
                <w:color w:val="auto"/>
              </w:rPr>
              <w:t>0</w:t>
            </w:r>
          </w:p>
        </w:tc>
      </w:tr>
      <w:tr>
        <w:trPr>
          <w:trHeight w:val="122"/>
        </w:trPr>
        <w:tc>
          <w:tcPr>
            <w:tcW w:w="15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60" w:type="dxa"/>
            <w:vAlign w:val="bottom"/>
          </w:tcPr>
          <w:p>
            <w:pPr>
              <w:ind w:left="80"/>
              <w:spacing w:after="0"/>
              <w:rPr>
                <w:sz w:val="20"/>
                <w:szCs w:val="20"/>
                <w:color w:val="auto"/>
              </w:rPr>
            </w:pPr>
            <w:r>
              <w:rPr>
                <w:rFonts w:ascii="Arial" w:cs="Arial" w:eastAsia="Arial" w:hAnsi="Arial"/>
                <w:sz w:val="10"/>
                <w:szCs w:val="10"/>
                <w:color w:val="auto"/>
              </w:rPr>
              <w:t>Treasurer and Corporate Secretary</w:t>
            </w:r>
          </w:p>
        </w:tc>
        <w:tc>
          <w:tcPr>
            <w:tcW w:w="3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80" w:type="dxa"/>
            <w:vAlign w:val="bottom"/>
          </w:tcPr>
          <w:p>
            <w:pPr>
              <w:spacing w:after="0"/>
              <w:rPr>
                <w:sz w:val="10"/>
                <w:szCs w:val="10"/>
                <w:color w:val="auto"/>
              </w:rPr>
            </w:pPr>
          </w:p>
        </w:tc>
      </w:tr>
      <w:tr>
        <w:trPr>
          <w:trHeight w:val="62"/>
        </w:trPr>
        <w:tc>
          <w:tcPr>
            <w:tcW w:w="1520" w:type="dxa"/>
            <w:vAlign w:val="bottom"/>
          </w:tcPr>
          <w:p>
            <w:pPr>
              <w:spacing w:after="0"/>
              <w:rPr>
                <w:sz w:val="5"/>
                <w:szCs w:val="5"/>
                <w:color w:val="auto"/>
              </w:rPr>
            </w:pPr>
          </w:p>
        </w:tc>
        <w:tc>
          <w:tcPr>
            <w:tcW w:w="380" w:type="dxa"/>
            <w:vAlign w:val="bottom"/>
          </w:tcPr>
          <w:p>
            <w:pPr>
              <w:spacing w:after="0"/>
              <w:rPr>
                <w:sz w:val="5"/>
                <w:szCs w:val="5"/>
                <w:color w:val="auto"/>
              </w:rPr>
            </w:pPr>
          </w:p>
        </w:tc>
        <w:tc>
          <w:tcPr>
            <w:tcW w:w="1660" w:type="dxa"/>
            <w:vAlign w:val="bottom"/>
          </w:tcPr>
          <w:p>
            <w:pPr>
              <w:spacing w:after="0"/>
              <w:rPr>
                <w:sz w:val="5"/>
                <w:szCs w:val="5"/>
                <w:color w:val="auto"/>
              </w:rPr>
            </w:pPr>
          </w:p>
        </w:tc>
        <w:tc>
          <w:tcPr>
            <w:tcW w:w="3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360" w:type="dxa"/>
            <w:vAlign w:val="bottom"/>
          </w:tcPr>
          <w:p>
            <w:pPr>
              <w:spacing w:after="0"/>
              <w:rPr>
                <w:sz w:val="5"/>
                <w:szCs w:val="5"/>
                <w:color w:val="auto"/>
              </w:rPr>
            </w:pPr>
          </w:p>
        </w:tc>
        <w:tc>
          <w:tcPr>
            <w:tcW w:w="1480" w:type="dxa"/>
            <w:vAlign w:val="bottom"/>
          </w:tcPr>
          <w:p>
            <w:pPr>
              <w:spacing w:after="0"/>
              <w:rPr>
                <w:sz w:val="5"/>
                <w:szCs w:val="5"/>
                <w:color w:val="auto"/>
              </w:rPr>
            </w:pPr>
          </w:p>
        </w:tc>
      </w:tr>
      <w:tr>
        <w:trPr>
          <w:trHeight w:val="151"/>
        </w:trPr>
        <w:tc>
          <w:tcPr>
            <w:tcW w:w="15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0"/>
                <w:szCs w:val="10"/>
                <w:color w:val="auto"/>
              </w:rPr>
              <w:t>Andrzej J. Matyczynski</w:t>
            </w:r>
          </w:p>
        </w:tc>
        <w:tc>
          <w:tcPr>
            <w:tcW w:w="380" w:type="dxa"/>
            <w:vAlign w:val="bottom"/>
            <w:tcBorders>
              <w:bottom w:val="single" w:sz="8" w:color="CCEEFF"/>
            </w:tcBorders>
            <w:shd w:val="clear" w:color="auto" w:fill="CCEEFF"/>
          </w:tcPr>
          <w:p>
            <w:pPr>
              <w:spacing w:after="0"/>
              <w:rPr>
                <w:sz w:val="13"/>
                <w:szCs w:val="13"/>
                <w:color w:val="auto"/>
              </w:rPr>
            </w:pPr>
          </w:p>
        </w:tc>
        <w:tc>
          <w:tcPr>
            <w:tcW w:w="16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0"/>
                <w:szCs w:val="10"/>
                <w:color w:val="auto"/>
              </w:rPr>
              <w:t>EVP-Global Operations</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0"/>
                <w:szCs w:val="10"/>
                <w:color w:val="auto"/>
              </w:rPr>
              <w:t>37,500</w:t>
            </w:r>
          </w:p>
        </w:tc>
        <w:tc>
          <w:tcPr>
            <w:tcW w:w="360" w:type="dxa"/>
            <w:vAlign w:val="bottom"/>
            <w:tcBorders>
              <w:bottom w:val="single" w:sz="8" w:color="CCEEFF"/>
            </w:tcBorders>
            <w:shd w:val="clear" w:color="auto" w:fill="CCEEFF"/>
          </w:tcPr>
          <w:p>
            <w:pPr>
              <w:spacing w:after="0"/>
              <w:rPr>
                <w:sz w:val="13"/>
                <w:szCs w:val="1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37,500</w:t>
            </w:r>
          </w:p>
        </w:tc>
      </w:tr>
      <w:tr>
        <w:trPr>
          <w:trHeight w:val="122"/>
        </w:trPr>
        <w:tc>
          <w:tcPr>
            <w:tcW w:w="1520" w:type="dxa"/>
            <w:vAlign w:val="bottom"/>
          </w:tcPr>
          <w:p>
            <w:pPr>
              <w:ind w:left="100"/>
              <w:spacing w:after="0"/>
              <w:rPr>
                <w:sz w:val="20"/>
                <w:szCs w:val="20"/>
                <w:color w:val="auto"/>
              </w:rPr>
            </w:pPr>
            <w:r>
              <w:rPr>
                <w:rFonts w:ascii="Arial" w:cs="Arial" w:eastAsia="Arial" w:hAnsi="Arial"/>
                <w:sz w:val="10"/>
                <w:szCs w:val="10"/>
                <w:color w:val="auto"/>
              </w:rPr>
              <w:t>Robert F. Smerling</w:t>
            </w:r>
          </w:p>
        </w:tc>
        <w:tc>
          <w:tcPr>
            <w:tcW w:w="380" w:type="dxa"/>
            <w:vAlign w:val="bottom"/>
          </w:tcPr>
          <w:p>
            <w:pPr>
              <w:spacing w:after="0"/>
              <w:rPr>
                <w:sz w:val="10"/>
                <w:szCs w:val="10"/>
                <w:color w:val="auto"/>
              </w:rPr>
            </w:pPr>
          </w:p>
        </w:tc>
        <w:tc>
          <w:tcPr>
            <w:tcW w:w="1660" w:type="dxa"/>
            <w:vAlign w:val="bottom"/>
          </w:tcPr>
          <w:p>
            <w:pPr>
              <w:ind w:left="80"/>
              <w:spacing w:after="0"/>
              <w:rPr>
                <w:sz w:val="20"/>
                <w:szCs w:val="20"/>
                <w:color w:val="auto"/>
              </w:rPr>
            </w:pPr>
            <w:r>
              <w:rPr>
                <w:rFonts w:ascii="Arial" w:cs="Arial" w:eastAsia="Arial" w:hAnsi="Arial"/>
                <w:sz w:val="10"/>
                <w:szCs w:val="10"/>
                <w:color w:val="auto"/>
              </w:rPr>
              <w:t>President, US Cinemas</w:t>
            </w:r>
          </w:p>
        </w:tc>
        <w:tc>
          <w:tcPr>
            <w:tcW w:w="1720" w:type="dxa"/>
            <w:vAlign w:val="bottom"/>
            <w:gridSpan w:val="2"/>
          </w:tcPr>
          <w:p>
            <w:pPr>
              <w:jc w:val="right"/>
              <w:spacing w:after="0"/>
              <w:rPr>
                <w:sz w:val="20"/>
                <w:szCs w:val="20"/>
                <w:color w:val="auto"/>
              </w:rPr>
            </w:pPr>
            <w:r>
              <w:rPr>
                <w:rFonts w:ascii="Arial" w:cs="Arial" w:eastAsia="Arial" w:hAnsi="Arial"/>
                <w:sz w:val="10"/>
                <w:szCs w:val="10"/>
                <w:color w:val="auto"/>
              </w:rPr>
              <w:t>50,000</w:t>
            </w:r>
          </w:p>
        </w:tc>
        <w:tc>
          <w:tcPr>
            <w:tcW w:w="360" w:type="dxa"/>
            <w:vAlign w:val="bottom"/>
          </w:tcPr>
          <w:p>
            <w:pPr>
              <w:spacing w:after="0"/>
              <w:rPr>
                <w:sz w:val="10"/>
                <w:szCs w:val="10"/>
                <w:color w:val="auto"/>
              </w:rPr>
            </w:pPr>
          </w:p>
        </w:tc>
        <w:tc>
          <w:tcPr>
            <w:tcW w:w="1480" w:type="dxa"/>
            <w:vAlign w:val="bottom"/>
          </w:tcPr>
          <w:p>
            <w:pPr>
              <w:jc w:val="right"/>
              <w:spacing w:after="0"/>
              <w:rPr>
                <w:sz w:val="20"/>
                <w:szCs w:val="20"/>
                <w:color w:val="auto"/>
              </w:rPr>
            </w:pPr>
            <w:r>
              <w:rPr>
                <w:rFonts w:ascii="Arial" w:cs="Arial" w:eastAsia="Arial" w:hAnsi="Arial"/>
                <w:sz w:val="10"/>
                <w:szCs w:val="10"/>
                <w:color w:val="auto"/>
              </w:rPr>
              <w:t>50,000</w:t>
            </w:r>
          </w:p>
        </w:tc>
      </w:tr>
      <w:tr>
        <w:trPr>
          <w:trHeight w:val="50"/>
        </w:trPr>
        <w:tc>
          <w:tcPr>
            <w:tcW w:w="15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660" w:type="dxa"/>
            <w:vAlign w:val="bottom"/>
          </w:tcPr>
          <w:p>
            <w:pPr>
              <w:spacing w:after="0"/>
              <w:rPr>
                <w:sz w:val="4"/>
                <w:szCs w:val="4"/>
                <w:color w:val="auto"/>
              </w:rPr>
            </w:pPr>
          </w:p>
        </w:tc>
        <w:tc>
          <w:tcPr>
            <w:tcW w:w="3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480" w:type="dxa"/>
            <w:vAlign w:val="bottom"/>
          </w:tcPr>
          <w:p>
            <w:pPr>
              <w:spacing w:after="0"/>
              <w:rPr>
                <w:sz w:val="4"/>
                <w:szCs w:val="4"/>
                <w:color w:val="auto"/>
              </w:rPr>
            </w:pPr>
          </w:p>
        </w:tc>
      </w:tr>
      <w:tr>
        <w:trPr>
          <w:trHeight w:val="87"/>
        </w:trPr>
        <w:tc>
          <w:tcPr>
            <w:tcW w:w="1520" w:type="dxa"/>
            <w:vAlign w:val="bottom"/>
            <w:shd w:val="clear" w:color="auto" w:fill="CCEEFF"/>
          </w:tcPr>
          <w:p>
            <w:pPr>
              <w:ind w:left="100"/>
              <w:spacing w:after="0" w:line="87" w:lineRule="exact"/>
              <w:rPr>
                <w:sz w:val="20"/>
                <w:szCs w:val="20"/>
                <w:color w:val="auto"/>
              </w:rPr>
            </w:pPr>
            <w:r>
              <w:rPr>
                <w:rFonts w:ascii="Arial" w:cs="Arial" w:eastAsia="Arial" w:hAnsi="Arial"/>
                <w:sz w:val="10"/>
                <w:szCs w:val="10"/>
                <w:color w:val="auto"/>
              </w:rPr>
              <w:t>Wayne Smith</w:t>
            </w:r>
          </w:p>
        </w:tc>
        <w:tc>
          <w:tcPr>
            <w:tcW w:w="380" w:type="dxa"/>
            <w:vAlign w:val="bottom"/>
            <w:shd w:val="clear" w:color="auto" w:fill="CCEEFF"/>
          </w:tcPr>
          <w:p>
            <w:pPr>
              <w:spacing w:after="0"/>
              <w:rPr>
                <w:sz w:val="7"/>
                <w:szCs w:val="7"/>
                <w:color w:val="auto"/>
              </w:rPr>
            </w:pPr>
          </w:p>
        </w:tc>
        <w:tc>
          <w:tcPr>
            <w:tcW w:w="1660" w:type="dxa"/>
            <w:vAlign w:val="bottom"/>
            <w:shd w:val="clear" w:color="auto" w:fill="CCEEFF"/>
          </w:tcPr>
          <w:p>
            <w:pPr>
              <w:ind w:left="80"/>
              <w:spacing w:after="0" w:line="87" w:lineRule="exact"/>
              <w:rPr>
                <w:sz w:val="20"/>
                <w:szCs w:val="20"/>
                <w:color w:val="auto"/>
              </w:rPr>
            </w:pPr>
            <w:r>
              <w:rPr>
                <w:rFonts w:ascii="Arial" w:cs="Arial" w:eastAsia="Arial" w:hAnsi="Arial"/>
                <w:sz w:val="10"/>
                <w:szCs w:val="10"/>
                <w:color w:val="auto"/>
              </w:rPr>
              <w:t>Managing Director, Australia and</w:t>
            </w:r>
          </w:p>
        </w:tc>
        <w:tc>
          <w:tcPr>
            <w:tcW w:w="1720" w:type="dxa"/>
            <w:vAlign w:val="bottom"/>
            <w:gridSpan w:val="2"/>
            <w:shd w:val="clear" w:color="auto" w:fill="CCEEFF"/>
          </w:tcPr>
          <w:p>
            <w:pPr>
              <w:jc w:val="right"/>
              <w:ind w:right="952"/>
              <w:spacing w:after="0" w:line="87" w:lineRule="exact"/>
              <w:rPr>
                <w:sz w:val="20"/>
                <w:szCs w:val="20"/>
                <w:color w:val="auto"/>
              </w:rPr>
            </w:pPr>
            <w:r>
              <w:rPr>
                <w:rFonts w:ascii="Arial" w:cs="Arial" w:eastAsia="Arial" w:hAnsi="Arial"/>
                <w:sz w:val="10"/>
                <w:szCs w:val="10"/>
                <w:color w:val="auto"/>
              </w:rPr>
              <w:t xml:space="preserve">27,000 </w:t>
            </w:r>
            <w:r>
              <w:rPr>
                <w:rFonts w:ascii="Arial" w:cs="Arial" w:eastAsia="Arial" w:hAnsi="Arial"/>
                <w:sz w:val="4"/>
                <w:szCs w:val="4"/>
                <w:color w:val="auto"/>
              </w:rPr>
              <w:t>(3)</w:t>
            </w:r>
          </w:p>
        </w:tc>
        <w:tc>
          <w:tcPr>
            <w:tcW w:w="360" w:type="dxa"/>
            <w:vAlign w:val="bottom"/>
            <w:shd w:val="clear" w:color="auto" w:fill="CCEEFF"/>
          </w:tcPr>
          <w:p>
            <w:pPr>
              <w:spacing w:after="0"/>
              <w:rPr>
                <w:sz w:val="7"/>
                <w:szCs w:val="7"/>
                <w:color w:val="auto"/>
              </w:rPr>
            </w:pPr>
          </w:p>
        </w:tc>
        <w:tc>
          <w:tcPr>
            <w:tcW w:w="1480" w:type="dxa"/>
            <w:vAlign w:val="bottom"/>
            <w:shd w:val="clear" w:color="auto" w:fill="CCEEFF"/>
          </w:tcPr>
          <w:p>
            <w:pPr>
              <w:jc w:val="right"/>
              <w:ind w:right="1112"/>
              <w:spacing w:after="0" w:line="87" w:lineRule="exact"/>
              <w:rPr>
                <w:sz w:val="20"/>
                <w:szCs w:val="20"/>
                <w:color w:val="auto"/>
              </w:rPr>
            </w:pPr>
            <w:r>
              <w:rPr>
                <w:rFonts w:ascii="Arial" w:cs="Arial" w:eastAsia="Arial" w:hAnsi="Arial"/>
                <w:sz w:val="10"/>
                <w:szCs w:val="10"/>
                <w:color w:val="auto"/>
                <w:w w:val="84"/>
              </w:rPr>
              <w:t>27,000</w:t>
            </w:r>
            <w:r>
              <w:rPr>
                <w:rFonts w:ascii="Arial" w:cs="Arial" w:eastAsia="Arial" w:hAnsi="Arial"/>
                <w:sz w:val="4"/>
                <w:szCs w:val="4"/>
                <w:color w:val="auto"/>
                <w:w w:val="84"/>
              </w:rPr>
              <w:t>(3)</w:t>
            </w:r>
          </w:p>
        </w:tc>
      </w:tr>
      <w:tr>
        <w:trPr>
          <w:trHeight w:val="122"/>
        </w:trPr>
        <w:tc>
          <w:tcPr>
            <w:tcW w:w="15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660" w:type="dxa"/>
            <w:vAlign w:val="bottom"/>
            <w:shd w:val="clear" w:color="auto" w:fill="CCEEFF"/>
          </w:tcPr>
          <w:p>
            <w:pPr>
              <w:ind w:left="80"/>
              <w:spacing w:after="0"/>
              <w:rPr>
                <w:sz w:val="20"/>
                <w:szCs w:val="20"/>
                <w:color w:val="auto"/>
              </w:rPr>
            </w:pPr>
            <w:r>
              <w:rPr>
                <w:rFonts w:ascii="Arial" w:cs="Arial" w:eastAsia="Arial" w:hAnsi="Arial"/>
                <w:sz w:val="10"/>
                <w:szCs w:val="10"/>
                <w:color w:val="auto"/>
              </w:rPr>
              <w:t>New Zealand</w:t>
            </w:r>
          </w:p>
        </w:tc>
        <w:tc>
          <w:tcPr>
            <w:tcW w:w="380" w:type="dxa"/>
            <w:vAlign w:val="bottom"/>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480" w:type="dxa"/>
            <w:vAlign w:val="bottom"/>
            <w:shd w:val="clear" w:color="auto" w:fill="CCEEFF"/>
          </w:tcPr>
          <w:p>
            <w:pPr>
              <w:spacing w:after="0"/>
              <w:rPr>
                <w:sz w:val="10"/>
                <w:szCs w:val="10"/>
                <w:color w:val="auto"/>
              </w:rPr>
            </w:pPr>
          </w:p>
        </w:tc>
      </w:tr>
      <w:tr>
        <w:trPr>
          <w:trHeight w:val="62"/>
        </w:trPr>
        <w:tc>
          <w:tcPr>
            <w:tcW w:w="1520" w:type="dxa"/>
            <w:vAlign w:val="bottom"/>
            <w:tcBorders>
              <w:bottom w:val="single" w:sz="8" w:color="auto"/>
            </w:tcBorders>
            <w:shd w:val="clear" w:color="auto" w:fill="CCEEFF"/>
          </w:tcPr>
          <w:p>
            <w:pPr>
              <w:spacing w:after="0"/>
              <w:rPr>
                <w:sz w:val="5"/>
                <w:szCs w:val="5"/>
                <w:color w:val="auto"/>
              </w:rPr>
            </w:pPr>
          </w:p>
        </w:tc>
        <w:tc>
          <w:tcPr>
            <w:tcW w:w="380" w:type="dxa"/>
            <w:vAlign w:val="bottom"/>
            <w:shd w:val="clear" w:color="auto" w:fill="CCEEFF"/>
          </w:tcPr>
          <w:p>
            <w:pPr>
              <w:spacing w:after="0"/>
              <w:rPr>
                <w:sz w:val="5"/>
                <w:szCs w:val="5"/>
                <w:color w:val="auto"/>
              </w:rPr>
            </w:pPr>
          </w:p>
        </w:tc>
        <w:tc>
          <w:tcPr>
            <w:tcW w:w="1660" w:type="dxa"/>
            <w:vAlign w:val="bottom"/>
            <w:shd w:val="clear" w:color="auto" w:fill="CCEEFF"/>
          </w:tcPr>
          <w:p>
            <w:pPr>
              <w:spacing w:after="0"/>
              <w:rPr>
                <w:sz w:val="5"/>
                <w:szCs w:val="5"/>
                <w:color w:val="auto"/>
              </w:rPr>
            </w:pPr>
          </w:p>
        </w:tc>
        <w:tc>
          <w:tcPr>
            <w:tcW w:w="380" w:type="dxa"/>
            <w:vAlign w:val="bottom"/>
            <w:shd w:val="clear" w:color="auto" w:fill="CCEEFF"/>
          </w:tcPr>
          <w:p>
            <w:pPr>
              <w:spacing w:after="0"/>
              <w:rPr>
                <w:sz w:val="5"/>
                <w:szCs w:val="5"/>
                <w:color w:val="auto"/>
              </w:rPr>
            </w:pPr>
          </w:p>
        </w:tc>
        <w:tc>
          <w:tcPr>
            <w:tcW w:w="134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480" w:type="dxa"/>
            <w:vAlign w:val="bottom"/>
            <w:shd w:val="clear" w:color="auto" w:fill="CCEEFF"/>
          </w:tcPr>
          <w:p>
            <w:pPr>
              <w:spacing w:after="0"/>
              <w:rPr>
                <w:sz w:val="5"/>
                <w:szCs w:val="5"/>
                <w:color w:val="auto"/>
              </w:rPr>
            </w:pPr>
          </w:p>
        </w:tc>
      </w:tr>
    </w:tbl>
    <w:p>
      <w:pPr>
        <w:spacing w:after="0" w:line="258" w:lineRule="exact"/>
        <w:rPr>
          <w:sz w:val="20"/>
          <w:szCs w:val="20"/>
          <w:color w:val="auto"/>
        </w:rPr>
      </w:pPr>
    </w:p>
    <w:p>
      <w:pPr>
        <w:ind w:left="540" w:hanging="536"/>
        <w:spacing w:after="0"/>
        <w:tabs>
          <w:tab w:leader="none" w:pos="540" w:val="left"/>
        </w:tabs>
        <w:numPr>
          <w:ilvl w:val="0"/>
          <w:numId w:val="53"/>
        </w:numPr>
        <w:rPr>
          <w:rFonts w:ascii="Arial" w:cs="Arial" w:eastAsia="Arial" w:hAnsi="Arial"/>
          <w:sz w:val="10"/>
          <w:szCs w:val="10"/>
          <w:color w:val="auto"/>
        </w:rPr>
      </w:pPr>
      <w:r>
        <w:rPr>
          <w:rFonts w:ascii="Arial" w:cs="Arial" w:eastAsia="Arial" w:hAnsi="Arial"/>
          <w:sz w:val="10"/>
          <w:szCs w:val="10"/>
          <w:color w:val="auto"/>
        </w:rPr>
        <w:t>The number of shares of stock to be issued will be calculated using the Black Scholes pricing model as of the date of grant of the award.</w:t>
      </w:r>
    </w:p>
    <w:p>
      <w:pPr>
        <w:spacing w:after="0" w:line="20" w:lineRule="exact"/>
        <w:rPr>
          <w:rFonts w:ascii="Arial" w:cs="Arial" w:eastAsia="Arial" w:hAnsi="Arial"/>
          <w:sz w:val="10"/>
          <w:szCs w:val="10"/>
          <w:color w:val="auto"/>
        </w:rPr>
      </w:pPr>
    </w:p>
    <w:p>
      <w:pPr>
        <w:ind w:left="240" w:hanging="236"/>
        <w:spacing w:after="0"/>
        <w:tabs>
          <w:tab w:leader="none" w:pos="240" w:val="left"/>
        </w:tabs>
        <w:numPr>
          <w:ilvl w:val="0"/>
          <w:numId w:val="53"/>
        </w:numPr>
        <w:rPr>
          <w:rFonts w:ascii="Arial" w:cs="Arial" w:eastAsia="Arial" w:hAnsi="Arial"/>
          <w:sz w:val="10"/>
          <w:szCs w:val="10"/>
          <w:color w:val="auto"/>
        </w:rPr>
      </w:pPr>
      <w:r>
        <w:rPr>
          <w:rFonts w:ascii="Arial" w:cs="Arial" w:eastAsia="Arial" w:hAnsi="Arial"/>
          <w:sz w:val="10"/>
          <w:szCs w:val="10"/>
          <w:color w:val="auto"/>
        </w:rPr>
        <w:t>Mr. Devasis Ghose was awarded 100,000 non-statutory stock options vesting over a 4-year period on commencing on Mr. Ghose’s first day of employment on May 11, 2015.</w:t>
      </w:r>
    </w:p>
    <w:p>
      <w:pPr>
        <w:spacing w:after="0" w:line="20" w:lineRule="exact"/>
        <w:rPr>
          <w:rFonts w:ascii="Arial" w:cs="Arial" w:eastAsia="Arial" w:hAnsi="Arial"/>
          <w:sz w:val="10"/>
          <w:szCs w:val="10"/>
          <w:color w:val="auto"/>
        </w:rPr>
      </w:pPr>
    </w:p>
    <w:p>
      <w:pPr>
        <w:ind w:left="540" w:hanging="536"/>
        <w:spacing w:after="0"/>
        <w:tabs>
          <w:tab w:leader="none" w:pos="540" w:val="left"/>
        </w:tabs>
        <w:numPr>
          <w:ilvl w:val="0"/>
          <w:numId w:val="53"/>
        </w:numPr>
        <w:rPr>
          <w:rFonts w:ascii="Arial" w:cs="Arial" w:eastAsia="Arial" w:hAnsi="Arial"/>
          <w:sz w:val="10"/>
          <w:szCs w:val="10"/>
          <w:color w:val="auto"/>
        </w:rPr>
      </w:pPr>
      <w:r>
        <w:rPr>
          <w:rFonts w:ascii="Arial" w:cs="Arial" w:eastAsia="Arial" w:hAnsi="Arial"/>
          <w:sz w:val="10"/>
          <w:szCs w:val="10"/>
          <w:color w:val="auto"/>
        </w:rPr>
        <w:t>Although Mr. Smith was paid 50% of $75,000 in Australian Dollars, the amount shown above is quoted in U.S. Dollars.</w:t>
      </w:r>
    </w:p>
    <w:p>
      <w:pPr>
        <w:spacing w:after="0" w:line="132" w:lineRule="exact"/>
        <w:rPr>
          <w:sz w:val="20"/>
          <w:szCs w:val="20"/>
          <w:color w:val="auto"/>
        </w:rPr>
      </w:pPr>
    </w:p>
    <w:p>
      <w:pPr>
        <w:ind w:left="440"/>
        <w:spacing w:after="0"/>
        <w:rPr>
          <w:sz w:val="20"/>
          <w:szCs w:val="20"/>
          <w:color w:val="auto"/>
        </w:rPr>
      </w:pPr>
      <w:r>
        <w:rPr>
          <w:rFonts w:ascii="Arial" w:cs="Arial" w:eastAsia="Arial" w:hAnsi="Arial"/>
          <w:sz w:val="12"/>
          <w:szCs w:val="12"/>
          <w:color w:val="auto"/>
        </w:rPr>
        <w:t>All long-term incentive awards will be subject to other terms and conditions set forth in the 2010 Plan and award grant.</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Other Elements of Compensation</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Retirement Plans</w:t>
      </w:r>
    </w:p>
    <w:p>
      <w:pPr>
        <w:spacing w:after="0" w:line="132" w:lineRule="exact"/>
        <w:rPr>
          <w:sz w:val="20"/>
          <w:szCs w:val="20"/>
          <w:color w:val="auto"/>
        </w:rPr>
      </w:pPr>
    </w:p>
    <w:p>
      <w:pPr>
        <w:ind w:left="440"/>
        <w:spacing w:after="0"/>
        <w:rPr>
          <w:sz w:val="20"/>
          <w:szCs w:val="20"/>
          <w:color w:val="auto"/>
        </w:rPr>
      </w:pPr>
      <w:r>
        <w:rPr>
          <w:rFonts w:ascii="Arial" w:cs="Arial" w:eastAsia="Arial" w:hAnsi="Arial"/>
          <w:sz w:val="11"/>
          <w:szCs w:val="11"/>
          <w:color w:val="auto"/>
        </w:rPr>
        <w:t>We maintain a 401(k) retirement savings plan that allows eligible employees to defer a portion of their compensation, within limits prescribed by the Internal Revenue Code, on a pre-tax basis through</w:t>
      </w:r>
    </w:p>
    <w:p>
      <w:pPr>
        <w:spacing w:after="0" w:line="26" w:lineRule="exact"/>
        <w:rPr>
          <w:sz w:val="20"/>
          <w:szCs w:val="20"/>
          <w:color w:val="auto"/>
        </w:rPr>
      </w:pPr>
    </w:p>
    <w:p>
      <w:pPr>
        <w:spacing w:after="0"/>
        <w:rPr>
          <w:sz w:val="20"/>
          <w:szCs w:val="20"/>
          <w:color w:val="auto"/>
        </w:rPr>
      </w:pPr>
      <w:r>
        <w:rPr>
          <w:rFonts w:ascii="Arial" w:cs="Arial" w:eastAsia="Arial" w:hAnsi="Arial"/>
          <w:sz w:val="11"/>
          <w:szCs w:val="11"/>
          <w:color w:val="auto"/>
        </w:rPr>
        <w:t>contributions to the plan. Our named executive officers other than Mr. Smith, who is a non-resident of the U.S., are eligible to participate in the 401(k) plan on the same terms as other full-time employees</w:t>
      </w:r>
    </w:p>
    <w:p>
      <w:pPr>
        <w:spacing w:after="0" w:line="18" w:lineRule="exact"/>
        <w:rPr>
          <w:sz w:val="20"/>
          <w:szCs w:val="20"/>
          <w:color w:val="auto"/>
        </w:rPr>
      </w:pPr>
    </w:p>
    <w:p>
      <w:pPr>
        <w:spacing w:after="0"/>
        <w:rPr>
          <w:sz w:val="20"/>
          <w:szCs w:val="20"/>
          <w:color w:val="auto"/>
        </w:rPr>
      </w:pPr>
      <w:r>
        <w:rPr>
          <w:rFonts w:ascii="Arial" w:cs="Arial" w:eastAsia="Arial" w:hAnsi="Arial"/>
          <w:sz w:val="11"/>
          <w:szCs w:val="11"/>
          <w:color w:val="auto"/>
        </w:rPr>
        <w:t>generally. Currently, we match contributions made by participants in the 401(k) plan up to a specified percentage, and these matching contributions are fully vested as of the date on which the contribution is made. We</w:t>
      </w:r>
    </w:p>
    <w:p>
      <w:pPr>
        <w:spacing w:after="0" w:line="18" w:lineRule="exact"/>
        <w:rPr>
          <w:sz w:val="20"/>
          <w:szCs w:val="20"/>
          <w:color w:val="auto"/>
        </w:rPr>
      </w:pPr>
    </w:p>
    <w:p>
      <w:pPr>
        <w:spacing w:after="0"/>
        <w:rPr>
          <w:sz w:val="20"/>
          <w:szCs w:val="20"/>
          <w:color w:val="auto"/>
        </w:rPr>
      </w:pPr>
      <w:r>
        <w:rPr>
          <w:rFonts w:ascii="Arial" w:cs="Arial" w:eastAsia="Arial" w:hAnsi="Arial"/>
          <w:sz w:val="11"/>
          <w:szCs w:val="11"/>
          <w:color w:val="auto"/>
        </w:rPr>
        <w:t>believe that providing a vehicle for tax-deferred retirement savings though our 401(k) plan, and making fully vested matching contributions, adds to the overall desirability of our executive compensation package and</w:t>
      </w:r>
    </w:p>
    <w:p>
      <w:pPr>
        <w:spacing w:after="0" w:line="18" w:lineRule="exact"/>
        <w:rPr>
          <w:sz w:val="20"/>
          <w:szCs w:val="20"/>
          <w:color w:val="auto"/>
        </w:rPr>
      </w:pPr>
    </w:p>
    <w:p>
      <w:pPr>
        <w:spacing w:after="0"/>
        <w:rPr>
          <w:sz w:val="20"/>
          <w:szCs w:val="20"/>
          <w:color w:val="auto"/>
        </w:rPr>
      </w:pPr>
      <w:r>
        <w:rPr>
          <w:rFonts w:ascii="Arial" w:cs="Arial" w:eastAsia="Arial" w:hAnsi="Arial"/>
          <w:sz w:val="12"/>
          <w:szCs w:val="12"/>
          <w:color w:val="auto"/>
        </w:rPr>
        <w:t>further incentivizes our employees, including our named executive officers, in accordance with our compensation policies.</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Other Retirement Plans</w:t>
      </w:r>
    </w:p>
    <w:p>
      <w:pPr>
        <w:spacing w:after="0" w:line="123"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During 2012, Mr. Matyczynski was granted an unfunded, nonqualified deferred compensation plan (“DCP”) that was partially vested and was to vest further so long as he remained in our continuous employ. The DCP allowed Mr. Matyczynski to defer part of the cash portion of his compensation, subject to annual limits set forth in the DCP. The funds held pursuant to the DCP are not segregated and do not accrue interest or other earnings. If Mr. Matyczynski were to be terminated for cause, then the total vested amount would be reduced to zero. The incremental amount vested each year was made subject to review and approval by our Board. Please see the “</w:t>
      </w:r>
      <w:r>
        <w:rPr>
          <w:rFonts w:ascii="Arial" w:cs="Arial" w:eastAsia="Arial" w:hAnsi="Arial"/>
          <w:sz w:val="12"/>
          <w:szCs w:val="12"/>
          <w:i w:val="1"/>
          <w:iCs w:val="1"/>
          <w:color w:val="auto"/>
        </w:rPr>
        <w:t>Nonqualified Deferred Compensation</w:t>
      </w:r>
      <w:r>
        <w:rPr>
          <w:rFonts w:ascii="Arial" w:cs="Arial" w:eastAsia="Arial" w:hAnsi="Arial"/>
          <w:sz w:val="12"/>
          <w:szCs w:val="12"/>
          <w:color w:val="auto"/>
        </w:rPr>
        <w:t>” table for additional information. In addition, Mr. Matyczynski is entitled to a</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59690</wp:posOffset>
            </wp:positionV>
            <wp:extent cx="677989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779895" cy="42545"/>
                    </a:xfrm>
                    <a:prstGeom prst="rect">
                      <a:avLst/>
                    </a:prstGeom>
                    <a:noFill/>
                  </pic:spPr>
                </pic:pic>
              </a:graphicData>
            </a:graphic>
          </wp:anchor>
        </w:drawing>
      </w:r>
    </w:p>
    <w:p>
      <w:pPr>
        <w:sectPr>
          <w:pgSz w:w="11900" w:h="16838" w:orient="portrait"/>
          <w:cols w:equalWidth="0" w:num="1">
            <w:col w:w="10620"/>
          </w:cols>
          <w:pgMar w:left="640" w:top="275" w:right="639" w:bottom="1440" w:gutter="0" w:footer="0" w:header="0"/>
        </w:sectPr>
      </w:pPr>
    </w:p>
    <w:bookmarkStart w:id="114" w:name="page115"/>
    <w:bookmarkEnd w:id="114"/>
    <w:p>
      <w:pPr>
        <w:spacing w:after="0"/>
        <w:rPr>
          <w:sz w:val="20"/>
          <w:szCs w:val="20"/>
          <w:color w:val="auto"/>
        </w:rPr>
      </w:pPr>
      <w:r>
        <w:rPr>
          <w:rFonts w:ascii="Arial" w:cs="Arial" w:eastAsia="Arial" w:hAnsi="Arial"/>
          <w:sz w:val="12"/>
          <w:szCs w:val="12"/>
          <w:color w:val="auto"/>
        </w:rPr>
        <w:t>lump-sum severance payment of $50,000, provided there has been no termination for cause and subject to certain offsets, upon his retirement.</w:t>
      </w:r>
    </w:p>
    <w:p>
      <w:pPr>
        <w:spacing w:after="0" w:line="123" w:lineRule="exact"/>
        <w:rPr>
          <w:sz w:val="20"/>
          <w:szCs w:val="20"/>
          <w:color w:val="auto"/>
        </w:rPr>
      </w:pPr>
    </w:p>
    <w:p>
      <w:pPr>
        <w:ind w:right="60" w:firstLine="432"/>
        <w:spacing w:after="0" w:line="257" w:lineRule="auto"/>
        <w:rPr>
          <w:sz w:val="20"/>
          <w:szCs w:val="20"/>
          <w:color w:val="auto"/>
        </w:rPr>
      </w:pPr>
      <w:r>
        <w:rPr>
          <w:rFonts w:ascii="Arial" w:cs="Arial" w:eastAsia="Arial" w:hAnsi="Arial"/>
          <w:sz w:val="12"/>
          <w:szCs w:val="12"/>
          <w:color w:val="auto"/>
        </w:rPr>
        <w:t>Upon the termination of Mr. Matyczynski’s employment, he will also be entitled under the DCP agreement to payment of the vested benefits under his DCP in annual installments following the later of (a) 30 days following Mr. Matyczynski’s 65th birthday or (b) six months after his separation from service for reasons other than his death or termination for cause. The DCP was to vest over 7 years and with full vesting to occur in 2019 at $1,000,000 in deferred compensation. However, in connection with his changed employment to EVP - Global Operations, the Company and Mr. Matyczynski agreed that the Company would cease making contributions to the DCP on April 15, 2016 and that the final contributions by the Company to the DCP would be $150,000 for 2015, and $21,875 for 2016, satisfying the Company’s total contribution obligations under the DCP at an amount of $621,875.</w:t>
      </w:r>
    </w:p>
    <w:p>
      <w:pPr>
        <w:spacing w:after="0" w:line="108" w:lineRule="exact"/>
        <w:rPr>
          <w:sz w:val="20"/>
          <w:szCs w:val="20"/>
          <w:color w:val="auto"/>
        </w:rPr>
      </w:pPr>
    </w:p>
    <w:p>
      <w:pPr>
        <w:jc w:val="both"/>
        <w:ind w:right="100" w:firstLine="432"/>
        <w:spacing w:after="0" w:line="276" w:lineRule="auto"/>
        <w:rPr>
          <w:sz w:val="20"/>
          <w:szCs w:val="20"/>
          <w:color w:val="auto"/>
        </w:rPr>
      </w:pPr>
      <w:r>
        <w:rPr>
          <w:rFonts w:ascii="Arial" w:cs="Arial" w:eastAsia="Arial" w:hAnsi="Arial"/>
          <w:sz w:val="12"/>
          <w:szCs w:val="12"/>
          <w:color w:val="auto"/>
        </w:rPr>
        <w:t>The DCP is an unfunded contractual obligation of the Company. DCP benefits are paid from the general assets of the Company. However, the Company reserves the right to establish a grantor trust from which DCP benefits may be paid.</w:t>
      </w:r>
    </w:p>
    <w:p>
      <w:pPr>
        <w:spacing w:after="0" w:line="88" w:lineRule="exact"/>
        <w:rPr>
          <w:sz w:val="20"/>
          <w:szCs w:val="20"/>
          <w:color w:val="auto"/>
        </w:rPr>
      </w:pPr>
    </w:p>
    <w:p>
      <w:pPr>
        <w:jc w:val="both"/>
        <w:ind w:right="100" w:firstLine="432"/>
        <w:spacing w:after="0" w:line="323" w:lineRule="auto"/>
        <w:rPr>
          <w:sz w:val="20"/>
          <w:szCs w:val="20"/>
          <w:color w:val="auto"/>
        </w:rPr>
      </w:pPr>
      <w:r>
        <w:rPr>
          <w:rFonts w:ascii="Arial" w:cs="Arial" w:eastAsia="Arial" w:hAnsi="Arial"/>
          <w:sz w:val="11"/>
          <w:szCs w:val="11"/>
          <w:color w:val="auto"/>
        </w:rPr>
        <w:t>In March 2016, the Compensation Committee approved a one-time retirement benefit for Robert Smerling, President, Cinema Operations, due to his significant long term service to the Company. The retirement benefit an amount equal to the average of the two highest total cash compensation (base salary plus cash bonus) years paid to Mr. Smerling in the then most recently completed five year period.</w:t>
      </w:r>
    </w:p>
    <w:p>
      <w:pPr>
        <w:spacing w:after="0" w:line="65" w:lineRule="exact"/>
        <w:rPr>
          <w:sz w:val="20"/>
          <w:szCs w:val="20"/>
          <w:color w:val="auto"/>
        </w:rPr>
      </w:pPr>
    </w:p>
    <w:p>
      <w:pPr>
        <w:ind w:left="440"/>
        <w:spacing w:after="0"/>
        <w:rPr>
          <w:sz w:val="20"/>
          <w:szCs w:val="20"/>
          <w:color w:val="auto"/>
        </w:rPr>
      </w:pPr>
      <w:r>
        <w:rPr>
          <w:rFonts w:ascii="Arial" w:cs="Arial" w:eastAsia="Arial" w:hAnsi="Arial"/>
          <w:sz w:val="12"/>
          <w:szCs w:val="12"/>
          <w:color w:val="auto"/>
        </w:rPr>
        <w:t>We currently maintain no other retirement plan for our named executive officers.</w:t>
      </w:r>
    </w:p>
    <w:p>
      <w:pPr>
        <w:spacing w:after="0" w:line="132"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Key Person Insurance</w:t>
      </w:r>
    </w:p>
    <w:p>
      <w:pPr>
        <w:spacing w:after="0" w:line="123" w:lineRule="exact"/>
        <w:rPr>
          <w:sz w:val="20"/>
          <w:szCs w:val="20"/>
          <w:color w:val="auto"/>
        </w:rPr>
      </w:pPr>
    </w:p>
    <w:p>
      <w:pPr>
        <w:jc w:val="both"/>
        <w:ind w:right="100" w:firstLine="432"/>
        <w:spacing w:after="0" w:line="286" w:lineRule="auto"/>
        <w:rPr>
          <w:sz w:val="20"/>
          <w:szCs w:val="20"/>
          <w:color w:val="auto"/>
        </w:rPr>
      </w:pPr>
      <w:r>
        <w:rPr>
          <w:rFonts w:ascii="Arial" w:cs="Arial" w:eastAsia="Arial" w:hAnsi="Arial"/>
          <w:sz w:val="11"/>
          <w:szCs w:val="11"/>
          <w:color w:val="auto"/>
        </w:rPr>
        <w:t>We maintain life insurance on certain individuals who we believe to be key to our management. In 2015, these individuals included James J. Cotter, Jr. (through September 13, 2015), Ellen M. Cotter, Margaret Cotter, William Ellis, Dev Ghose, Andrzej Matyczynski, Robert Smerling, Craig Tompkins and Wayne Smith. If such individual ceases to be our employee, Director or independent contractor, as the case may be, she or he is permitted, by assuming responsibility for all future premium payments, to replace our Company as the beneficiary under such policy. These policies allow each such individual to purchase up to an equal amount of insurance for such individual’s own benefit. In the case of our employees, the premium for both the insurance as to which we are the beneficiary and the insurance as to which our employee is the beneficiary, is paid by us. In the case of named executive officers, the premium paid by us for the benefit of such individual is reflected in the Compensation Table in the column captioned “All Other Compensation.”</w:t>
      </w:r>
    </w:p>
    <w:p>
      <w:pPr>
        <w:spacing w:after="0" w:line="84"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Employee Benefits and Perquisites</w:t>
      </w:r>
    </w:p>
    <w:p>
      <w:pPr>
        <w:spacing w:after="0" w:line="132" w:lineRule="exact"/>
        <w:rPr>
          <w:sz w:val="20"/>
          <w:szCs w:val="20"/>
          <w:color w:val="auto"/>
        </w:rPr>
      </w:pPr>
    </w:p>
    <w:p>
      <w:pPr>
        <w:ind w:right="260" w:firstLine="432"/>
        <w:spacing w:after="0" w:line="298" w:lineRule="auto"/>
        <w:rPr>
          <w:sz w:val="20"/>
          <w:szCs w:val="20"/>
          <w:color w:val="auto"/>
        </w:rPr>
      </w:pPr>
      <w:r>
        <w:rPr>
          <w:rFonts w:ascii="Arial" w:cs="Arial" w:eastAsia="Arial" w:hAnsi="Arial"/>
          <w:sz w:val="11"/>
          <w:szCs w:val="11"/>
          <w:color w:val="auto"/>
        </w:rPr>
        <w:t>Our named executive officers are eligible to participate in our health and welfare plans to the same extent as all full-time employees generally. We do not generally provide our named executive officers with perquisites or other personal benefits. Historically, many of our other named executive officers also received an automobile allowance. The table below shows car allowances granted to certain officers under their employment agreements or arrangements. From time to time, we may provide other perquisites to one or more of our other named executive officers.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80" w:type="dxa"/>
            <w:vAlign w:val="bottom"/>
          </w:tcPr>
          <w:p>
            <w:pPr>
              <w:spacing w:after="0"/>
              <w:rPr>
                <w:sz w:val="12"/>
                <w:szCs w:val="12"/>
                <w:color w:val="auto"/>
              </w:rPr>
            </w:pPr>
          </w:p>
        </w:tc>
        <w:tc>
          <w:tcPr>
            <w:tcW w:w="2140" w:type="dxa"/>
            <w:vAlign w:val="bottom"/>
            <w:gridSpan w:val="2"/>
          </w:tcPr>
          <w:p>
            <w:pPr>
              <w:spacing w:after="0"/>
              <w:rPr>
                <w:sz w:val="20"/>
                <w:szCs w:val="20"/>
                <w:color w:val="auto"/>
              </w:rPr>
            </w:pPr>
            <w:r>
              <w:rPr>
                <w:rFonts w:ascii="Arial" w:cs="Arial" w:eastAsia="Arial" w:hAnsi="Arial"/>
                <w:sz w:val="12"/>
                <w:szCs w:val="12"/>
                <w:b w:val="1"/>
                <w:bCs w:val="1"/>
                <w:color w:val="auto"/>
              </w:rPr>
              <w:t>Officer</w:t>
            </w:r>
          </w:p>
        </w:tc>
        <w:tc>
          <w:tcPr>
            <w:tcW w:w="2760" w:type="dxa"/>
            <w:vAlign w:val="bottom"/>
            <w:gridSpan w:val="3"/>
          </w:tcPr>
          <w:p>
            <w:pPr>
              <w:jc w:val="center"/>
              <w:ind w:left="240"/>
              <w:spacing w:after="0"/>
              <w:rPr>
                <w:sz w:val="20"/>
                <w:szCs w:val="20"/>
                <w:color w:val="auto"/>
              </w:rPr>
            </w:pPr>
            <w:r>
              <w:rPr>
                <w:rFonts w:ascii="Arial" w:cs="Arial" w:eastAsia="Arial" w:hAnsi="Arial"/>
                <w:sz w:val="12"/>
                <w:szCs w:val="12"/>
                <w:b w:val="1"/>
                <w:bCs w:val="1"/>
                <w:color w:val="auto"/>
                <w:w w:val="90"/>
              </w:rPr>
              <w:t xml:space="preserve">Annual Allowance </w:t>
            </w:r>
            <w:r>
              <w:rPr>
                <w:rFonts w:ascii="Arial" w:cs="Arial" w:eastAsia="Arial" w:hAnsi="Arial"/>
                <w:sz w:val="12"/>
                <w:szCs w:val="12"/>
                <w:b w:val="1"/>
                <w:bCs w:val="1"/>
                <w:u w:val="single" w:color="auto"/>
                <w:color w:val="auto"/>
                <w:w w:val="90"/>
              </w:rPr>
              <w:t>($</w:t>
            </w:r>
            <w:r>
              <w:rPr>
                <w:rFonts w:ascii="Arial" w:cs="Arial" w:eastAsia="Arial" w:hAnsi="Arial"/>
                <w:sz w:val="12"/>
                <w:szCs w:val="12"/>
                <w:b w:val="1"/>
                <w:bCs w:val="1"/>
                <w:color w:val="auto"/>
                <w:w w:val="90"/>
              </w:rPr>
              <w:t>)</w:t>
            </w:r>
          </w:p>
        </w:tc>
      </w:tr>
      <w:tr>
        <w:trPr>
          <w:trHeight w:val="27"/>
        </w:trPr>
        <w:tc>
          <w:tcPr>
            <w:tcW w:w="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7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r>
      <w:tr>
        <w:trPr>
          <w:trHeight w:val="144"/>
        </w:trPr>
        <w:tc>
          <w:tcPr>
            <w:tcW w:w="80" w:type="dxa"/>
            <w:vAlign w:val="bottom"/>
            <w:shd w:val="clear" w:color="auto" w:fill="CCEEFF"/>
          </w:tcPr>
          <w:p>
            <w:pPr>
              <w:spacing w:after="0"/>
              <w:rPr>
                <w:sz w:val="12"/>
                <w:szCs w:val="12"/>
                <w:color w:val="auto"/>
              </w:rPr>
            </w:pPr>
          </w:p>
        </w:tc>
        <w:tc>
          <w:tcPr>
            <w:tcW w:w="21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Dev Ghose</w:t>
            </w:r>
          </w:p>
        </w:tc>
        <w:tc>
          <w:tcPr>
            <w:tcW w:w="2080" w:type="dxa"/>
            <w:vAlign w:val="bottom"/>
            <w:gridSpan w:val="2"/>
            <w:shd w:val="clear" w:color="auto" w:fill="CCEEFF"/>
          </w:tcPr>
          <w:p>
            <w:pPr>
              <w:jc w:val="center"/>
              <w:ind w:left="920"/>
              <w:spacing w:after="0"/>
              <w:rPr>
                <w:sz w:val="20"/>
                <w:szCs w:val="20"/>
                <w:color w:val="auto"/>
              </w:rPr>
            </w:pPr>
            <w:r>
              <w:rPr>
                <w:rFonts w:ascii="Arial" w:cs="Arial" w:eastAsia="Arial" w:hAnsi="Arial"/>
                <w:sz w:val="12"/>
                <w:szCs w:val="12"/>
                <w:color w:val="auto"/>
                <w:w w:val="92"/>
              </w:rPr>
              <w:t>12,000</w:t>
            </w:r>
          </w:p>
        </w:tc>
        <w:tc>
          <w:tcPr>
            <w:tcW w:w="680" w:type="dxa"/>
            <w:vAlign w:val="bottom"/>
            <w:shd w:val="clear" w:color="auto" w:fill="CCEEFF"/>
          </w:tcPr>
          <w:p>
            <w:pPr>
              <w:spacing w:after="0"/>
              <w:rPr>
                <w:sz w:val="12"/>
                <w:szCs w:val="12"/>
                <w:color w:val="auto"/>
              </w:rPr>
            </w:pPr>
          </w:p>
        </w:tc>
      </w:tr>
      <w:tr>
        <w:trPr>
          <w:trHeight w:val="144"/>
        </w:trPr>
        <w:tc>
          <w:tcPr>
            <w:tcW w:w="80" w:type="dxa"/>
            <w:vAlign w:val="bottom"/>
          </w:tcPr>
          <w:p>
            <w:pPr>
              <w:spacing w:after="0"/>
              <w:rPr>
                <w:sz w:val="12"/>
                <w:szCs w:val="12"/>
                <w:color w:val="auto"/>
              </w:rPr>
            </w:pPr>
          </w:p>
        </w:tc>
        <w:tc>
          <w:tcPr>
            <w:tcW w:w="2140" w:type="dxa"/>
            <w:vAlign w:val="bottom"/>
            <w:gridSpan w:val="2"/>
          </w:tcPr>
          <w:p>
            <w:pPr>
              <w:spacing w:after="0"/>
              <w:rPr>
                <w:sz w:val="20"/>
                <w:szCs w:val="20"/>
                <w:color w:val="auto"/>
              </w:rPr>
            </w:pPr>
            <w:r>
              <w:rPr>
                <w:rFonts w:ascii="Arial" w:cs="Arial" w:eastAsia="Arial" w:hAnsi="Arial"/>
                <w:sz w:val="12"/>
                <w:szCs w:val="12"/>
                <w:color w:val="auto"/>
              </w:rPr>
              <w:t xml:space="preserve">William Ellis </w:t>
            </w:r>
            <w:r>
              <w:rPr>
                <w:rFonts w:ascii="Arial" w:cs="Arial" w:eastAsia="Arial" w:hAnsi="Arial"/>
                <w:sz w:val="5"/>
                <w:szCs w:val="5"/>
                <w:color w:val="auto"/>
              </w:rPr>
              <w:t>(1)</w:t>
            </w:r>
          </w:p>
        </w:tc>
        <w:tc>
          <w:tcPr>
            <w:tcW w:w="2080" w:type="dxa"/>
            <w:vAlign w:val="bottom"/>
            <w:gridSpan w:val="2"/>
          </w:tcPr>
          <w:p>
            <w:pPr>
              <w:jc w:val="center"/>
              <w:ind w:left="920"/>
              <w:spacing w:after="0"/>
              <w:rPr>
                <w:sz w:val="20"/>
                <w:szCs w:val="20"/>
                <w:color w:val="auto"/>
              </w:rPr>
            </w:pPr>
            <w:r>
              <w:rPr>
                <w:rFonts w:ascii="Arial" w:cs="Arial" w:eastAsia="Arial" w:hAnsi="Arial"/>
                <w:sz w:val="12"/>
                <w:szCs w:val="12"/>
                <w:color w:val="auto"/>
                <w:w w:val="92"/>
              </w:rPr>
              <w:t>15,000</w:t>
            </w:r>
          </w:p>
        </w:tc>
        <w:tc>
          <w:tcPr>
            <w:tcW w:w="680" w:type="dxa"/>
            <w:vAlign w:val="bottom"/>
          </w:tcPr>
          <w:p>
            <w:pPr>
              <w:spacing w:after="0"/>
              <w:rPr>
                <w:sz w:val="12"/>
                <w:szCs w:val="12"/>
                <w:color w:val="auto"/>
              </w:rPr>
            </w:pPr>
          </w:p>
        </w:tc>
      </w:tr>
      <w:tr>
        <w:trPr>
          <w:trHeight w:val="144"/>
        </w:trPr>
        <w:tc>
          <w:tcPr>
            <w:tcW w:w="80" w:type="dxa"/>
            <w:vAlign w:val="bottom"/>
            <w:shd w:val="clear" w:color="auto" w:fill="CCEEFF"/>
          </w:tcPr>
          <w:p>
            <w:pPr>
              <w:spacing w:after="0"/>
              <w:rPr>
                <w:sz w:val="12"/>
                <w:szCs w:val="12"/>
                <w:color w:val="auto"/>
              </w:rPr>
            </w:pPr>
          </w:p>
        </w:tc>
        <w:tc>
          <w:tcPr>
            <w:tcW w:w="21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Andrzej J. Matyczynski</w:t>
            </w:r>
          </w:p>
        </w:tc>
        <w:tc>
          <w:tcPr>
            <w:tcW w:w="2080" w:type="dxa"/>
            <w:vAlign w:val="bottom"/>
            <w:gridSpan w:val="2"/>
            <w:shd w:val="clear" w:color="auto" w:fill="CCEEFF"/>
          </w:tcPr>
          <w:p>
            <w:pPr>
              <w:jc w:val="center"/>
              <w:ind w:left="920"/>
              <w:spacing w:after="0"/>
              <w:rPr>
                <w:sz w:val="20"/>
                <w:szCs w:val="20"/>
                <w:color w:val="auto"/>
              </w:rPr>
            </w:pPr>
            <w:r>
              <w:rPr>
                <w:rFonts w:ascii="Arial" w:cs="Arial" w:eastAsia="Arial" w:hAnsi="Arial"/>
                <w:sz w:val="12"/>
                <w:szCs w:val="12"/>
                <w:color w:val="auto"/>
                <w:w w:val="92"/>
              </w:rPr>
              <w:t>12,000</w:t>
            </w:r>
          </w:p>
        </w:tc>
        <w:tc>
          <w:tcPr>
            <w:tcW w:w="680" w:type="dxa"/>
            <w:vAlign w:val="bottom"/>
            <w:shd w:val="clear" w:color="auto" w:fill="CCEEFF"/>
          </w:tcPr>
          <w:p>
            <w:pPr>
              <w:spacing w:after="0"/>
              <w:rPr>
                <w:sz w:val="12"/>
                <w:szCs w:val="12"/>
                <w:color w:val="auto"/>
              </w:rPr>
            </w:pPr>
          </w:p>
        </w:tc>
      </w:tr>
      <w:tr>
        <w:trPr>
          <w:trHeight w:val="144"/>
        </w:trPr>
        <w:tc>
          <w:tcPr>
            <w:tcW w:w="80" w:type="dxa"/>
            <w:vAlign w:val="bottom"/>
          </w:tcPr>
          <w:p>
            <w:pPr>
              <w:spacing w:after="0"/>
              <w:rPr>
                <w:sz w:val="12"/>
                <w:szCs w:val="12"/>
                <w:color w:val="auto"/>
              </w:rPr>
            </w:pPr>
          </w:p>
        </w:tc>
        <w:tc>
          <w:tcPr>
            <w:tcW w:w="2140" w:type="dxa"/>
            <w:vAlign w:val="bottom"/>
            <w:gridSpan w:val="2"/>
          </w:tcPr>
          <w:p>
            <w:pPr>
              <w:spacing w:after="0"/>
              <w:rPr>
                <w:sz w:val="20"/>
                <w:szCs w:val="20"/>
                <w:color w:val="auto"/>
              </w:rPr>
            </w:pPr>
            <w:r>
              <w:rPr>
                <w:rFonts w:ascii="Arial" w:cs="Arial" w:eastAsia="Arial" w:hAnsi="Arial"/>
                <w:sz w:val="12"/>
                <w:szCs w:val="12"/>
                <w:color w:val="auto"/>
              </w:rPr>
              <w:t>Ellen M. Cotter</w:t>
            </w:r>
          </w:p>
        </w:tc>
        <w:tc>
          <w:tcPr>
            <w:tcW w:w="2080" w:type="dxa"/>
            <w:vAlign w:val="bottom"/>
            <w:gridSpan w:val="2"/>
          </w:tcPr>
          <w:p>
            <w:pPr>
              <w:jc w:val="center"/>
              <w:ind w:left="920"/>
              <w:spacing w:after="0"/>
              <w:rPr>
                <w:sz w:val="20"/>
                <w:szCs w:val="20"/>
                <w:color w:val="auto"/>
              </w:rPr>
            </w:pPr>
            <w:r>
              <w:rPr>
                <w:rFonts w:ascii="Arial" w:cs="Arial" w:eastAsia="Arial" w:hAnsi="Arial"/>
                <w:sz w:val="12"/>
                <w:szCs w:val="12"/>
                <w:color w:val="auto"/>
                <w:w w:val="92"/>
              </w:rPr>
              <w:t>13,800</w:t>
            </w:r>
          </w:p>
        </w:tc>
        <w:tc>
          <w:tcPr>
            <w:tcW w:w="680" w:type="dxa"/>
            <w:vAlign w:val="bottom"/>
          </w:tcPr>
          <w:p>
            <w:pPr>
              <w:spacing w:after="0"/>
              <w:rPr>
                <w:sz w:val="12"/>
                <w:szCs w:val="12"/>
                <w:color w:val="auto"/>
              </w:rPr>
            </w:pPr>
          </w:p>
        </w:tc>
      </w:tr>
      <w:tr>
        <w:trPr>
          <w:trHeight w:val="144"/>
        </w:trPr>
        <w:tc>
          <w:tcPr>
            <w:tcW w:w="80" w:type="dxa"/>
            <w:vAlign w:val="bottom"/>
            <w:shd w:val="clear" w:color="auto" w:fill="CCEEFF"/>
          </w:tcPr>
          <w:p>
            <w:pPr>
              <w:spacing w:after="0"/>
              <w:rPr>
                <w:sz w:val="12"/>
                <w:szCs w:val="12"/>
                <w:color w:val="auto"/>
              </w:rPr>
            </w:pPr>
          </w:p>
        </w:tc>
        <w:tc>
          <w:tcPr>
            <w:tcW w:w="21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 xml:space="preserve">James J. Cotter, Jr. </w:t>
            </w:r>
            <w:r>
              <w:rPr>
                <w:rFonts w:ascii="Arial" w:cs="Arial" w:eastAsia="Arial" w:hAnsi="Arial"/>
                <w:sz w:val="5"/>
                <w:szCs w:val="5"/>
                <w:color w:val="auto"/>
              </w:rPr>
              <w:t>(1)</w:t>
            </w:r>
          </w:p>
        </w:tc>
        <w:tc>
          <w:tcPr>
            <w:tcW w:w="2080" w:type="dxa"/>
            <w:vAlign w:val="bottom"/>
            <w:gridSpan w:val="2"/>
            <w:shd w:val="clear" w:color="auto" w:fill="CCEEFF"/>
          </w:tcPr>
          <w:p>
            <w:pPr>
              <w:jc w:val="center"/>
              <w:ind w:left="920"/>
              <w:spacing w:after="0"/>
              <w:rPr>
                <w:sz w:val="20"/>
                <w:szCs w:val="20"/>
                <w:color w:val="auto"/>
              </w:rPr>
            </w:pPr>
            <w:r>
              <w:rPr>
                <w:rFonts w:ascii="Arial" w:cs="Arial" w:eastAsia="Arial" w:hAnsi="Arial"/>
                <w:sz w:val="12"/>
                <w:szCs w:val="12"/>
                <w:color w:val="auto"/>
                <w:w w:val="92"/>
              </w:rPr>
              <w:t>15,000</w:t>
            </w:r>
          </w:p>
        </w:tc>
        <w:tc>
          <w:tcPr>
            <w:tcW w:w="680" w:type="dxa"/>
            <w:vAlign w:val="bottom"/>
            <w:shd w:val="clear" w:color="auto" w:fill="CCEEFF"/>
          </w:tcPr>
          <w:p>
            <w:pPr>
              <w:spacing w:after="0"/>
              <w:rPr>
                <w:sz w:val="12"/>
                <w:szCs w:val="12"/>
                <w:color w:val="auto"/>
              </w:rPr>
            </w:pPr>
          </w:p>
        </w:tc>
      </w:tr>
      <w:tr>
        <w:trPr>
          <w:trHeight w:val="153"/>
        </w:trPr>
        <w:tc>
          <w:tcPr>
            <w:tcW w:w="80" w:type="dxa"/>
            <w:vAlign w:val="bottom"/>
          </w:tcPr>
          <w:p>
            <w:pPr>
              <w:spacing w:after="0"/>
              <w:rPr>
                <w:sz w:val="13"/>
                <w:szCs w:val="13"/>
                <w:color w:val="auto"/>
              </w:rPr>
            </w:pPr>
          </w:p>
        </w:tc>
        <w:tc>
          <w:tcPr>
            <w:tcW w:w="2140" w:type="dxa"/>
            <w:vAlign w:val="bottom"/>
            <w:gridSpan w:val="2"/>
          </w:tcPr>
          <w:p>
            <w:pPr>
              <w:spacing w:after="0"/>
              <w:rPr>
                <w:sz w:val="20"/>
                <w:szCs w:val="20"/>
                <w:color w:val="auto"/>
              </w:rPr>
            </w:pPr>
            <w:r>
              <w:rPr>
                <w:rFonts w:ascii="Arial" w:cs="Arial" w:eastAsia="Arial" w:hAnsi="Arial"/>
                <w:sz w:val="12"/>
                <w:szCs w:val="12"/>
                <w:color w:val="auto"/>
              </w:rPr>
              <w:t>Robert F. Smerling</w:t>
            </w:r>
          </w:p>
        </w:tc>
        <w:tc>
          <w:tcPr>
            <w:tcW w:w="2080" w:type="dxa"/>
            <w:vAlign w:val="bottom"/>
            <w:gridSpan w:val="2"/>
          </w:tcPr>
          <w:p>
            <w:pPr>
              <w:jc w:val="center"/>
              <w:ind w:left="920"/>
              <w:spacing w:after="0"/>
              <w:rPr>
                <w:sz w:val="20"/>
                <w:szCs w:val="20"/>
                <w:color w:val="auto"/>
              </w:rPr>
            </w:pPr>
            <w:r>
              <w:rPr>
                <w:rFonts w:ascii="Arial" w:cs="Arial" w:eastAsia="Arial" w:hAnsi="Arial"/>
                <w:sz w:val="12"/>
                <w:szCs w:val="12"/>
                <w:color w:val="auto"/>
                <w:w w:val="92"/>
              </w:rPr>
              <w:t>18,000</w:t>
            </w:r>
          </w:p>
        </w:tc>
        <w:tc>
          <w:tcPr>
            <w:tcW w:w="680" w:type="dxa"/>
            <w:vAlign w:val="bottom"/>
          </w:tcPr>
          <w:p>
            <w:pPr>
              <w:spacing w:after="0"/>
              <w:rPr>
                <w:sz w:val="13"/>
                <w:szCs w:val="13"/>
                <w:color w:val="auto"/>
              </w:rPr>
            </w:pPr>
          </w:p>
        </w:tc>
      </w:tr>
    </w:tbl>
    <w:p>
      <w:pPr>
        <w:spacing w:after="0" w:line="240" w:lineRule="exact"/>
        <w:rPr>
          <w:sz w:val="20"/>
          <w:szCs w:val="20"/>
          <w:color w:val="auto"/>
        </w:rPr>
      </w:pPr>
    </w:p>
    <w:p>
      <w:pPr>
        <w:ind w:left="860" w:hanging="423"/>
        <w:spacing w:after="0"/>
        <w:tabs>
          <w:tab w:leader="none" w:pos="860" w:val="left"/>
        </w:tabs>
        <w:numPr>
          <w:ilvl w:val="0"/>
          <w:numId w:val="54"/>
        </w:numPr>
        <w:rPr>
          <w:rFonts w:ascii="Arial" w:cs="Arial" w:eastAsia="Arial" w:hAnsi="Arial"/>
          <w:sz w:val="10"/>
          <w:szCs w:val="10"/>
          <w:color w:val="auto"/>
        </w:rPr>
      </w:pPr>
      <w:r>
        <w:rPr>
          <w:rFonts w:ascii="Arial" w:cs="Arial" w:eastAsia="Arial" w:hAnsi="Arial"/>
          <w:sz w:val="10"/>
          <w:szCs w:val="10"/>
          <w:color w:val="auto"/>
        </w:rPr>
        <w:t>Mr. Ellis and Mr. Cotter, Jr. are no longer employees of the Company.</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Tax and Accounting Considerations</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Deductibility of Executive Compensation</w:t>
      </w:r>
    </w:p>
    <w:p>
      <w:pPr>
        <w:spacing w:after="0" w:line="123" w:lineRule="exact"/>
        <w:rPr>
          <w:sz w:val="20"/>
          <w:szCs w:val="20"/>
          <w:color w:val="auto"/>
        </w:rPr>
      </w:pPr>
    </w:p>
    <w:p>
      <w:pPr>
        <w:ind w:firstLine="432"/>
        <w:spacing w:after="0" w:line="276" w:lineRule="auto"/>
        <w:rPr>
          <w:sz w:val="20"/>
          <w:szCs w:val="20"/>
          <w:color w:val="auto"/>
        </w:rPr>
      </w:pPr>
      <w:r>
        <w:rPr>
          <w:rFonts w:ascii="Arial" w:cs="Arial" w:eastAsia="Arial" w:hAnsi="Arial"/>
          <w:sz w:val="12"/>
          <w:szCs w:val="12"/>
          <w:color w:val="auto"/>
        </w:rPr>
        <w:t>Subject to an exception for “performance-based compensation,” Section 162(m) of the Internal Revenue Code generally prohibits publicly held corporations from deducting for federal income tax purposes annual compensation paid to any senior executive officer to the extent that such annual compensation exceeds $1.0 million. Our Compensation Committee and our Board consider the</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59690</wp:posOffset>
            </wp:positionV>
            <wp:extent cx="677989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779895" cy="42545"/>
                    </a:xfrm>
                    <a:prstGeom prst="rect">
                      <a:avLst/>
                    </a:prstGeom>
                    <a:noFill/>
                  </pic:spPr>
                </pic:pic>
              </a:graphicData>
            </a:graphic>
          </wp:anchor>
        </w:drawing>
      </w:r>
    </w:p>
    <w:p>
      <w:pPr>
        <w:sectPr>
          <w:pgSz w:w="11900" w:h="16838" w:orient="portrait"/>
          <w:cols w:equalWidth="0" w:num="1">
            <w:col w:w="10620"/>
          </w:cols>
          <w:pgMar w:left="640" w:top="275" w:right="639" w:bottom="1440" w:gutter="0" w:footer="0" w:header="0"/>
        </w:sectPr>
      </w:pPr>
    </w:p>
    <w:bookmarkStart w:id="115" w:name="page116"/>
    <w:bookmarkEnd w:id="115"/>
    <w:p>
      <w:pPr>
        <w:ind w:right="560"/>
        <w:spacing w:after="0" w:line="462" w:lineRule="auto"/>
        <w:rPr>
          <w:sz w:val="20"/>
          <w:szCs w:val="20"/>
          <w:color w:val="auto"/>
        </w:rPr>
      </w:pPr>
      <w:r>
        <w:rPr>
          <w:rFonts w:ascii="Arial" w:cs="Arial" w:eastAsia="Arial" w:hAnsi="Arial"/>
          <w:sz w:val="12"/>
          <w:szCs w:val="12"/>
          <w:color w:val="auto"/>
        </w:rPr>
        <w:t xml:space="preserve">limits on deductibility under Section 162(m) in establishing executive compensation, but retain the discretion to authorize the payment of compensation that exceeds the limit on deductibility under this Section. </w:t>
      </w:r>
      <w:r>
        <w:rPr>
          <w:rFonts w:ascii="Arial" w:cs="Arial" w:eastAsia="Arial" w:hAnsi="Arial"/>
          <w:sz w:val="12"/>
          <w:szCs w:val="12"/>
          <w:i w:val="1"/>
          <w:iCs w:val="1"/>
          <w:color w:val="auto"/>
        </w:rPr>
        <w:t>Nonqualified Deferred Compensation</w:t>
      </w:r>
    </w:p>
    <w:p>
      <w:pPr>
        <w:ind w:left="440"/>
        <w:spacing w:after="0"/>
        <w:rPr>
          <w:sz w:val="20"/>
          <w:szCs w:val="20"/>
          <w:color w:val="auto"/>
        </w:rPr>
      </w:pPr>
      <w:r>
        <w:rPr>
          <w:rFonts w:ascii="Arial" w:cs="Arial" w:eastAsia="Arial" w:hAnsi="Arial"/>
          <w:sz w:val="12"/>
          <w:szCs w:val="12"/>
          <w:color w:val="auto"/>
        </w:rPr>
        <w:t>We believe we are operating, where applicable, in compliance with the tax rules applicable to nonqualified deferred compensation arrangements.</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Say on Pay</w:t>
      </w:r>
    </w:p>
    <w:p>
      <w:pPr>
        <w:spacing w:after="0" w:line="123" w:lineRule="exact"/>
        <w:rPr>
          <w:sz w:val="20"/>
          <w:szCs w:val="20"/>
          <w:color w:val="auto"/>
        </w:rPr>
      </w:pPr>
    </w:p>
    <w:p>
      <w:pPr>
        <w:ind w:firstLine="432"/>
        <w:spacing w:after="0" w:line="263" w:lineRule="auto"/>
        <w:rPr>
          <w:sz w:val="20"/>
          <w:szCs w:val="20"/>
          <w:color w:val="auto"/>
        </w:rPr>
      </w:pPr>
      <w:r>
        <w:rPr>
          <w:rFonts w:ascii="Arial" w:cs="Arial" w:eastAsia="Arial" w:hAnsi="Arial"/>
          <w:sz w:val="12"/>
          <w:szCs w:val="12"/>
          <w:color w:val="auto"/>
        </w:rPr>
        <w:t>At our Annual Meeting of Stockholders held on May 15, 2014, we held an advisory vote on executive compensation. Our stockholders voted in favor of our Company’s executive compensation. The Compensation Committee reviewed the results of the advisory vote on executive compensation in 2014 and did not make any changes to our compensation based on the results of the vote. We expect that our next advisory vote of our stockholders on executive compensation will be at our 2017 Annual Meeting of Stockholders.</w:t>
      </w:r>
    </w:p>
    <w:p>
      <w:pPr>
        <w:spacing w:after="0" w:line="10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Executive Compensation</w:t>
      </w:r>
    </w:p>
    <w:p>
      <w:pPr>
        <w:spacing w:after="0" w:line="127" w:lineRule="exact"/>
        <w:rPr>
          <w:sz w:val="20"/>
          <w:szCs w:val="20"/>
          <w:color w:val="auto"/>
        </w:rPr>
      </w:pPr>
    </w:p>
    <w:p>
      <w:pPr>
        <w:ind w:right="100" w:firstLine="432"/>
        <w:spacing w:after="0" w:line="276" w:lineRule="auto"/>
        <w:rPr>
          <w:sz w:val="20"/>
          <w:szCs w:val="20"/>
          <w:color w:val="auto"/>
        </w:rPr>
      </w:pPr>
      <w:r>
        <w:rPr>
          <w:rFonts w:ascii="Arial" w:cs="Arial" w:eastAsia="Arial" w:hAnsi="Arial"/>
          <w:sz w:val="12"/>
          <w:szCs w:val="12"/>
          <w:color w:val="auto"/>
        </w:rPr>
        <w:t>This section discusses the material components of the compensation program for our executive officers named in the 2015 Summary Compensation Table below. In 2015, our named executive officers and their positions were as follows:</w:t>
      </w:r>
    </w:p>
    <w:p>
      <w:pPr>
        <w:spacing w:after="0" w:line="88" w:lineRule="exact"/>
        <w:rPr>
          <w:sz w:val="20"/>
          <w:szCs w:val="20"/>
          <w:color w:val="auto"/>
        </w:rPr>
      </w:pPr>
    </w:p>
    <w:p>
      <w:pPr>
        <w:ind w:left="680" w:hanging="35"/>
        <w:spacing w:after="0" w:line="258" w:lineRule="auto"/>
        <w:rPr>
          <w:sz w:val="20"/>
          <w:szCs w:val="20"/>
          <w:color w:val="auto"/>
        </w:rPr>
      </w:pPr>
      <w:r>
        <w:rPr>
          <w:rFonts w:ascii="Arial" w:cs="Arial" w:eastAsia="Arial" w:hAnsi="Arial"/>
          <w:sz w:val="12"/>
          <w:szCs w:val="12"/>
          <w:color w:val="auto"/>
        </w:rPr>
        <w:t>·Ellen M. Cotter, Chairperson of the Board, President and Chief Executive Officer, interim President and Chief Executive Officer, Chief Operating Officer – Domestic Cinemas and Chief Executive Officer of Consolidated Entertainment, LLC.</w:t>
      </w:r>
    </w:p>
    <w:p>
      <w:pPr>
        <w:ind w:left="780" w:hanging="127"/>
        <w:spacing w:after="0"/>
        <w:tabs>
          <w:tab w:leader="none" w:pos="780" w:val="left"/>
        </w:tabs>
        <w:numPr>
          <w:ilvl w:val="0"/>
          <w:numId w:val="55"/>
        </w:numPr>
        <w:rPr>
          <w:rFonts w:ascii="Arial" w:cs="Arial" w:eastAsia="Arial" w:hAnsi="Arial"/>
          <w:sz w:val="12"/>
          <w:szCs w:val="12"/>
          <w:color w:val="auto"/>
        </w:rPr>
      </w:pPr>
      <w:r>
        <w:rPr>
          <w:rFonts w:ascii="Arial" w:cs="Arial" w:eastAsia="Arial" w:hAnsi="Arial"/>
          <w:sz w:val="12"/>
          <w:szCs w:val="12"/>
          <w:color w:val="auto"/>
        </w:rPr>
        <w:t>Dev Ghose, EVP, Chief Financial Officer and Treasurer.</w:t>
      </w:r>
    </w:p>
    <w:p>
      <w:pPr>
        <w:spacing w:after="0" w:line="6" w:lineRule="exact"/>
        <w:rPr>
          <w:rFonts w:ascii="Arial" w:cs="Arial" w:eastAsia="Arial" w:hAnsi="Arial"/>
          <w:sz w:val="12"/>
          <w:szCs w:val="12"/>
          <w:color w:val="auto"/>
        </w:rPr>
      </w:pPr>
    </w:p>
    <w:p>
      <w:pPr>
        <w:ind w:left="780" w:hanging="127"/>
        <w:spacing w:after="0"/>
        <w:tabs>
          <w:tab w:leader="none" w:pos="780" w:val="left"/>
        </w:tabs>
        <w:numPr>
          <w:ilvl w:val="0"/>
          <w:numId w:val="55"/>
        </w:numPr>
        <w:rPr>
          <w:rFonts w:ascii="Arial" w:cs="Arial" w:eastAsia="Arial" w:hAnsi="Arial"/>
          <w:sz w:val="12"/>
          <w:szCs w:val="12"/>
          <w:color w:val="auto"/>
        </w:rPr>
      </w:pPr>
      <w:r>
        <w:rPr>
          <w:rFonts w:ascii="Arial" w:cs="Arial" w:eastAsia="Arial" w:hAnsi="Arial"/>
          <w:sz w:val="12"/>
          <w:szCs w:val="12"/>
          <w:color w:val="auto"/>
        </w:rPr>
        <w:t>William Ellis, General Counsel and Corporate Secretary</w:t>
      </w:r>
    </w:p>
    <w:p>
      <w:pPr>
        <w:spacing w:after="0" w:line="6" w:lineRule="exact"/>
        <w:rPr>
          <w:rFonts w:ascii="Arial" w:cs="Arial" w:eastAsia="Arial" w:hAnsi="Arial"/>
          <w:sz w:val="12"/>
          <w:szCs w:val="12"/>
          <w:color w:val="auto"/>
        </w:rPr>
      </w:pPr>
    </w:p>
    <w:p>
      <w:pPr>
        <w:ind w:left="780" w:hanging="127"/>
        <w:spacing w:after="0"/>
        <w:tabs>
          <w:tab w:leader="none" w:pos="780" w:val="left"/>
        </w:tabs>
        <w:numPr>
          <w:ilvl w:val="0"/>
          <w:numId w:val="55"/>
        </w:numPr>
        <w:rPr>
          <w:rFonts w:ascii="Arial" w:cs="Arial" w:eastAsia="Arial" w:hAnsi="Arial"/>
          <w:sz w:val="12"/>
          <w:szCs w:val="12"/>
          <w:color w:val="auto"/>
        </w:rPr>
      </w:pPr>
      <w:r>
        <w:rPr>
          <w:rFonts w:ascii="Arial" w:cs="Arial" w:eastAsia="Arial" w:hAnsi="Arial"/>
          <w:sz w:val="12"/>
          <w:szCs w:val="12"/>
          <w:color w:val="auto"/>
        </w:rPr>
        <w:t>Robert F. Smerling, President – Domestic Cinema Operations.</w:t>
      </w:r>
    </w:p>
    <w:p>
      <w:pPr>
        <w:spacing w:after="0" w:line="6" w:lineRule="exact"/>
        <w:rPr>
          <w:rFonts w:ascii="Arial" w:cs="Arial" w:eastAsia="Arial" w:hAnsi="Arial"/>
          <w:sz w:val="12"/>
          <w:szCs w:val="12"/>
          <w:color w:val="auto"/>
        </w:rPr>
      </w:pPr>
    </w:p>
    <w:p>
      <w:pPr>
        <w:ind w:left="760" w:hanging="107"/>
        <w:spacing w:after="0"/>
        <w:tabs>
          <w:tab w:leader="none" w:pos="760" w:val="left"/>
        </w:tabs>
        <w:numPr>
          <w:ilvl w:val="0"/>
          <w:numId w:val="55"/>
        </w:numPr>
        <w:rPr>
          <w:rFonts w:ascii="Arial" w:cs="Arial" w:eastAsia="Arial" w:hAnsi="Arial"/>
          <w:sz w:val="12"/>
          <w:szCs w:val="12"/>
          <w:color w:val="auto"/>
        </w:rPr>
      </w:pPr>
      <w:r>
        <w:rPr>
          <w:rFonts w:ascii="Arial" w:cs="Arial" w:eastAsia="Arial" w:hAnsi="Arial"/>
          <w:sz w:val="12"/>
          <w:szCs w:val="12"/>
          <w:color w:val="auto"/>
        </w:rPr>
        <w:t>Wayne Smith, Managing Director – Australia and New Zealand.</w:t>
      </w:r>
    </w:p>
    <w:p>
      <w:pPr>
        <w:spacing w:after="0" w:line="6" w:lineRule="exact"/>
        <w:rPr>
          <w:rFonts w:ascii="Arial" w:cs="Arial" w:eastAsia="Arial" w:hAnsi="Arial"/>
          <w:sz w:val="12"/>
          <w:szCs w:val="12"/>
          <w:color w:val="auto"/>
        </w:rPr>
      </w:pPr>
    </w:p>
    <w:p>
      <w:pPr>
        <w:ind w:left="740" w:hanging="87"/>
        <w:spacing w:after="0"/>
        <w:tabs>
          <w:tab w:leader="none" w:pos="740" w:val="left"/>
        </w:tabs>
        <w:numPr>
          <w:ilvl w:val="0"/>
          <w:numId w:val="55"/>
        </w:numPr>
        <w:rPr>
          <w:rFonts w:ascii="Arial" w:cs="Arial" w:eastAsia="Arial" w:hAnsi="Arial"/>
          <w:sz w:val="12"/>
          <w:szCs w:val="12"/>
          <w:color w:val="auto"/>
        </w:rPr>
      </w:pPr>
      <w:r>
        <w:rPr>
          <w:rFonts w:ascii="Arial" w:cs="Arial" w:eastAsia="Arial" w:hAnsi="Arial"/>
          <w:sz w:val="12"/>
          <w:szCs w:val="12"/>
          <w:color w:val="auto"/>
        </w:rPr>
        <w:t>James J. Cotter, Jr., former Vice Chairman, President and Chief Executive Officer.</w:t>
      </w:r>
    </w:p>
    <w:p>
      <w:pPr>
        <w:spacing w:after="0" w:line="6" w:lineRule="exact"/>
        <w:rPr>
          <w:rFonts w:ascii="Arial" w:cs="Arial" w:eastAsia="Arial" w:hAnsi="Arial"/>
          <w:sz w:val="12"/>
          <w:szCs w:val="12"/>
          <w:color w:val="auto"/>
        </w:rPr>
      </w:pPr>
    </w:p>
    <w:p>
      <w:pPr>
        <w:ind w:left="720" w:hanging="67"/>
        <w:spacing w:after="0"/>
        <w:tabs>
          <w:tab w:leader="none" w:pos="720" w:val="left"/>
        </w:tabs>
        <w:numPr>
          <w:ilvl w:val="0"/>
          <w:numId w:val="55"/>
        </w:numPr>
        <w:rPr>
          <w:rFonts w:ascii="Arial" w:cs="Arial" w:eastAsia="Arial" w:hAnsi="Arial"/>
          <w:sz w:val="12"/>
          <w:szCs w:val="12"/>
          <w:color w:val="auto"/>
        </w:rPr>
      </w:pPr>
      <w:r>
        <w:rPr>
          <w:rFonts w:ascii="Arial" w:cs="Arial" w:eastAsia="Arial" w:hAnsi="Arial"/>
          <w:sz w:val="12"/>
          <w:szCs w:val="12"/>
          <w:color w:val="auto"/>
        </w:rPr>
        <w:t>Andrzej J. Matyczynski, former Chief Financial Officer, Treasurer and Corporate Secretary.</w:t>
      </w:r>
    </w:p>
    <w:p>
      <w:pPr>
        <w:spacing w:after="0" w:line="11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Summary Compensation Table</w:t>
      </w:r>
    </w:p>
    <w:p>
      <w:pPr>
        <w:spacing w:after="0" w:line="127" w:lineRule="exact"/>
        <w:rPr>
          <w:sz w:val="20"/>
          <w:szCs w:val="20"/>
          <w:color w:val="auto"/>
        </w:rPr>
      </w:pPr>
    </w:p>
    <w:p>
      <w:pPr>
        <w:ind w:right="80" w:firstLine="432"/>
        <w:spacing w:after="0" w:line="259" w:lineRule="auto"/>
        <w:rPr>
          <w:sz w:val="20"/>
          <w:szCs w:val="20"/>
          <w:color w:val="auto"/>
        </w:rPr>
      </w:pPr>
      <w:r>
        <w:rPr>
          <w:rFonts w:ascii="Arial" w:cs="Arial" w:eastAsia="Arial" w:hAnsi="Arial"/>
          <w:sz w:val="12"/>
          <w:szCs w:val="12"/>
          <w:color w:val="auto"/>
        </w:rPr>
        <w:t>The following table shows the compensation paid or accrued during the last three fiscal years ended December 31, 2015 to (i) Mr. James J. Cotter, Jr., who served as our principal executive officer until June 12, 2015, (ii) Ellen M. Cotter, who served as our interim principal executive officer from June 12, 2015 through December 31, 2015, (iii) Mr. Andrzej J. Matyczynski, who served as our Chief Financial Officer and Treasurer until May 11, 2015, (iv) Mr. Dev Ghose, who served as our Chief Financial Officer starting May 11, 2015, and (v) the other three most highly compensated persons who served as executive officers in 2015. The following executives are herein referred to as our “named executive officers.”</w:t>
      </w:r>
    </w:p>
    <w:p>
      <w:pPr>
        <w:spacing w:after="0" w:line="347" w:lineRule="exact"/>
        <w:rPr>
          <w:sz w:val="20"/>
          <w:szCs w:val="20"/>
          <w:color w:val="auto"/>
        </w:rPr>
      </w:pPr>
    </w:p>
    <w:tbl>
      <w:tblPr>
        <w:tblLayout w:type="fixed"/>
        <w:tblInd w:w="1500" w:type="dxa"/>
        <w:tblCellMar>
          <w:top w:w="0" w:type="dxa"/>
          <w:left w:w="0" w:type="dxa"/>
          <w:bottom w:w="0" w:type="dxa"/>
          <w:right w:w="0" w:type="dxa"/>
        </w:tblCellMar>
      </w:tblPr>
      <w:tr>
        <w:trPr>
          <w:trHeight w:val="115"/>
        </w:trPr>
        <w:tc>
          <w:tcPr>
            <w:tcW w:w="3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160" w:type="dxa"/>
            <w:vAlign w:val="bottom"/>
          </w:tcPr>
          <w:p>
            <w:pPr>
              <w:jc w:val="center"/>
              <w:spacing w:after="0"/>
              <w:rPr>
                <w:sz w:val="20"/>
                <w:szCs w:val="20"/>
                <w:color w:val="auto"/>
              </w:rPr>
            </w:pPr>
            <w:r>
              <w:rPr>
                <w:rFonts w:ascii="Arial" w:cs="Arial" w:eastAsia="Arial" w:hAnsi="Arial"/>
                <w:sz w:val="10"/>
                <w:szCs w:val="10"/>
                <w:b w:val="1"/>
                <w:bCs w:val="1"/>
                <w:color w:val="auto"/>
                <w:w w:val="84"/>
              </w:rPr>
              <w:t>Change in Pension</w:t>
            </w:r>
          </w:p>
        </w:tc>
        <w:tc>
          <w:tcPr>
            <w:tcW w:w="1240" w:type="dxa"/>
            <w:vAlign w:val="bottom"/>
          </w:tcPr>
          <w:p>
            <w:pPr>
              <w:spacing w:after="0"/>
              <w:rPr>
                <w:sz w:val="10"/>
                <w:szCs w:val="10"/>
                <w:color w:val="auto"/>
              </w:rPr>
            </w:pPr>
          </w:p>
        </w:tc>
        <w:tc>
          <w:tcPr>
            <w:tcW w:w="500" w:type="dxa"/>
            <w:vAlign w:val="bottom"/>
          </w:tcPr>
          <w:p>
            <w:pPr>
              <w:spacing w:after="0"/>
              <w:rPr>
                <w:sz w:val="10"/>
                <w:szCs w:val="10"/>
                <w:color w:val="auto"/>
              </w:rPr>
            </w:pPr>
          </w:p>
        </w:tc>
      </w:tr>
      <w:tr>
        <w:trPr>
          <w:trHeight w:val="99"/>
        </w:trPr>
        <w:tc>
          <w:tcPr>
            <w:tcW w:w="36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160" w:type="dxa"/>
            <w:vAlign w:val="bottom"/>
          </w:tcPr>
          <w:p>
            <w:pPr>
              <w:jc w:val="center"/>
              <w:spacing w:after="0" w:line="99" w:lineRule="exact"/>
              <w:rPr>
                <w:sz w:val="20"/>
                <w:szCs w:val="20"/>
                <w:color w:val="auto"/>
              </w:rPr>
            </w:pPr>
            <w:r>
              <w:rPr>
                <w:rFonts w:ascii="Arial" w:cs="Arial" w:eastAsia="Arial" w:hAnsi="Arial"/>
                <w:sz w:val="10"/>
                <w:szCs w:val="10"/>
                <w:b w:val="1"/>
                <w:bCs w:val="1"/>
                <w:color w:val="auto"/>
                <w:w w:val="86"/>
              </w:rPr>
              <w:t>Value and Nonqualified</w:t>
            </w:r>
          </w:p>
        </w:tc>
        <w:tc>
          <w:tcPr>
            <w:tcW w:w="1240" w:type="dxa"/>
            <w:vAlign w:val="bottom"/>
          </w:tcPr>
          <w:p>
            <w:pPr>
              <w:spacing w:after="0"/>
              <w:rPr>
                <w:sz w:val="8"/>
                <w:szCs w:val="8"/>
                <w:color w:val="auto"/>
              </w:rPr>
            </w:pPr>
          </w:p>
        </w:tc>
        <w:tc>
          <w:tcPr>
            <w:tcW w:w="500" w:type="dxa"/>
            <w:vAlign w:val="bottom"/>
          </w:tcPr>
          <w:p>
            <w:pPr>
              <w:spacing w:after="0"/>
              <w:rPr>
                <w:sz w:val="8"/>
                <w:szCs w:val="8"/>
                <w:color w:val="auto"/>
              </w:rPr>
            </w:pPr>
          </w:p>
        </w:tc>
      </w:tr>
      <w:tr>
        <w:trPr>
          <w:trHeight w:val="99"/>
        </w:trPr>
        <w:tc>
          <w:tcPr>
            <w:tcW w:w="36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80" w:type="dxa"/>
            <w:vAlign w:val="bottom"/>
          </w:tcPr>
          <w:p>
            <w:pPr>
              <w:jc w:val="center"/>
              <w:spacing w:after="0" w:line="99" w:lineRule="exact"/>
              <w:rPr>
                <w:sz w:val="20"/>
                <w:szCs w:val="20"/>
                <w:color w:val="auto"/>
              </w:rPr>
            </w:pPr>
            <w:r>
              <w:rPr>
                <w:rFonts w:ascii="Arial" w:cs="Arial" w:eastAsia="Arial" w:hAnsi="Arial"/>
                <w:sz w:val="10"/>
                <w:szCs w:val="10"/>
                <w:b w:val="1"/>
                <w:bCs w:val="1"/>
                <w:color w:val="auto"/>
                <w:w w:val="80"/>
              </w:rPr>
              <w:t>Stock</w:t>
            </w:r>
          </w:p>
        </w:tc>
        <w:tc>
          <w:tcPr>
            <w:tcW w:w="640" w:type="dxa"/>
            <w:vAlign w:val="bottom"/>
          </w:tcPr>
          <w:p>
            <w:pPr>
              <w:jc w:val="center"/>
              <w:spacing w:after="0" w:line="99" w:lineRule="exact"/>
              <w:rPr>
                <w:sz w:val="20"/>
                <w:szCs w:val="20"/>
                <w:color w:val="auto"/>
              </w:rPr>
            </w:pPr>
            <w:r>
              <w:rPr>
                <w:rFonts w:ascii="Arial" w:cs="Arial" w:eastAsia="Arial" w:hAnsi="Arial"/>
                <w:sz w:val="10"/>
                <w:szCs w:val="10"/>
                <w:b w:val="1"/>
                <w:bCs w:val="1"/>
                <w:color w:val="auto"/>
                <w:w w:val="86"/>
              </w:rPr>
              <w:t>Option</w:t>
            </w:r>
          </w:p>
        </w:tc>
        <w:tc>
          <w:tcPr>
            <w:tcW w:w="1160" w:type="dxa"/>
            <w:vAlign w:val="bottom"/>
          </w:tcPr>
          <w:p>
            <w:pPr>
              <w:jc w:val="center"/>
              <w:spacing w:after="0" w:line="99" w:lineRule="exact"/>
              <w:rPr>
                <w:sz w:val="20"/>
                <w:szCs w:val="20"/>
                <w:color w:val="auto"/>
              </w:rPr>
            </w:pPr>
            <w:r>
              <w:rPr>
                <w:rFonts w:ascii="Arial" w:cs="Arial" w:eastAsia="Arial" w:hAnsi="Arial"/>
                <w:sz w:val="10"/>
                <w:szCs w:val="10"/>
                <w:b w:val="1"/>
                <w:bCs w:val="1"/>
                <w:color w:val="auto"/>
                <w:w w:val="87"/>
              </w:rPr>
              <w:t>Deferred</w:t>
            </w:r>
          </w:p>
        </w:tc>
        <w:tc>
          <w:tcPr>
            <w:tcW w:w="1240" w:type="dxa"/>
            <w:vAlign w:val="bottom"/>
          </w:tcPr>
          <w:p>
            <w:pPr>
              <w:spacing w:after="0"/>
              <w:rPr>
                <w:sz w:val="8"/>
                <w:szCs w:val="8"/>
                <w:color w:val="auto"/>
              </w:rPr>
            </w:pPr>
          </w:p>
        </w:tc>
        <w:tc>
          <w:tcPr>
            <w:tcW w:w="500" w:type="dxa"/>
            <w:vAlign w:val="bottom"/>
          </w:tcPr>
          <w:p>
            <w:pPr>
              <w:spacing w:after="0"/>
              <w:rPr>
                <w:sz w:val="8"/>
                <w:szCs w:val="8"/>
                <w:color w:val="auto"/>
              </w:rPr>
            </w:pPr>
          </w:p>
        </w:tc>
      </w:tr>
      <w:tr>
        <w:trPr>
          <w:trHeight w:val="99"/>
        </w:trPr>
        <w:tc>
          <w:tcPr>
            <w:tcW w:w="36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80" w:type="dxa"/>
            <w:vAlign w:val="bottom"/>
          </w:tcPr>
          <w:p>
            <w:pPr>
              <w:jc w:val="center"/>
              <w:spacing w:after="0" w:line="99" w:lineRule="exact"/>
              <w:rPr>
                <w:sz w:val="20"/>
                <w:szCs w:val="20"/>
                <w:color w:val="auto"/>
              </w:rPr>
            </w:pPr>
            <w:r>
              <w:rPr>
                <w:rFonts w:ascii="Arial" w:cs="Arial" w:eastAsia="Arial" w:hAnsi="Arial"/>
                <w:sz w:val="10"/>
                <w:szCs w:val="10"/>
                <w:b w:val="1"/>
                <w:bCs w:val="1"/>
                <w:color w:val="auto"/>
                <w:w w:val="89"/>
              </w:rPr>
              <w:t>Awards ($)</w:t>
            </w:r>
          </w:p>
        </w:tc>
        <w:tc>
          <w:tcPr>
            <w:tcW w:w="640" w:type="dxa"/>
            <w:vAlign w:val="bottom"/>
          </w:tcPr>
          <w:p>
            <w:pPr>
              <w:jc w:val="center"/>
              <w:spacing w:after="0" w:line="99" w:lineRule="exact"/>
              <w:rPr>
                <w:sz w:val="20"/>
                <w:szCs w:val="20"/>
                <w:color w:val="auto"/>
              </w:rPr>
            </w:pPr>
            <w:r>
              <w:rPr>
                <w:rFonts w:ascii="Arial" w:cs="Arial" w:eastAsia="Arial" w:hAnsi="Arial"/>
                <w:sz w:val="10"/>
                <w:szCs w:val="10"/>
                <w:b w:val="1"/>
                <w:bCs w:val="1"/>
                <w:color w:val="auto"/>
                <w:w w:val="85"/>
              </w:rPr>
              <w:t>Awards ($)</w:t>
            </w:r>
          </w:p>
        </w:tc>
        <w:tc>
          <w:tcPr>
            <w:tcW w:w="1160" w:type="dxa"/>
            <w:vAlign w:val="bottom"/>
          </w:tcPr>
          <w:p>
            <w:pPr>
              <w:jc w:val="center"/>
              <w:spacing w:after="0" w:line="99" w:lineRule="exact"/>
              <w:rPr>
                <w:sz w:val="20"/>
                <w:szCs w:val="20"/>
                <w:color w:val="auto"/>
              </w:rPr>
            </w:pPr>
            <w:r>
              <w:rPr>
                <w:rFonts w:ascii="Arial" w:cs="Arial" w:eastAsia="Arial" w:hAnsi="Arial"/>
                <w:sz w:val="10"/>
                <w:szCs w:val="10"/>
                <w:b w:val="1"/>
                <w:bCs w:val="1"/>
                <w:color w:val="auto"/>
                <w:w w:val="87"/>
              </w:rPr>
              <w:t>Compensation Earning</w:t>
            </w:r>
          </w:p>
        </w:tc>
        <w:tc>
          <w:tcPr>
            <w:tcW w:w="1240" w:type="dxa"/>
            <w:vAlign w:val="bottom"/>
          </w:tcPr>
          <w:p>
            <w:pPr>
              <w:jc w:val="center"/>
              <w:spacing w:after="0" w:line="99" w:lineRule="exact"/>
              <w:rPr>
                <w:sz w:val="20"/>
                <w:szCs w:val="20"/>
                <w:color w:val="auto"/>
              </w:rPr>
            </w:pPr>
            <w:r>
              <w:rPr>
                <w:rFonts w:ascii="Arial" w:cs="Arial" w:eastAsia="Arial" w:hAnsi="Arial"/>
                <w:sz w:val="10"/>
                <w:szCs w:val="10"/>
                <w:b w:val="1"/>
                <w:bCs w:val="1"/>
                <w:color w:val="auto"/>
                <w:w w:val="87"/>
              </w:rPr>
              <w:t>All Other Compensation</w:t>
            </w:r>
          </w:p>
        </w:tc>
        <w:tc>
          <w:tcPr>
            <w:tcW w:w="500" w:type="dxa"/>
            <w:vAlign w:val="bottom"/>
          </w:tcPr>
          <w:p>
            <w:pPr>
              <w:spacing w:after="0"/>
              <w:rPr>
                <w:sz w:val="8"/>
                <w:szCs w:val="8"/>
                <w:color w:val="auto"/>
              </w:rPr>
            </w:pPr>
          </w:p>
        </w:tc>
      </w:tr>
      <w:tr>
        <w:trPr>
          <w:trHeight w:val="114"/>
        </w:trPr>
        <w:tc>
          <w:tcPr>
            <w:tcW w:w="360" w:type="dxa"/>
            <w:vAlign w:val="bottom"/>
          </w:tcPr>
          <w:p>
            <w:pPr>
              <w:spacing w:after="0" w:line="114" w:lineRule="exact"/>
              <w:rPr>
                <w:sz w:val="20"/>
                <w:szCs w:val="20"/>
                <w:color w:val="auto"/>
              </w:rPr>
            </w:pPr>
            <w:r>
              <w:rPr>
                <w:rFonts w:ascii="Arial" w:cs="Arial" w:eastAsia="Arial" w:hAnsi="Arial"/>
                <w:sz w:val="10"/>
                <w:szCs w:val="10"/>
                <w:b w:val="1"/>
                <w:bCs w:val="1"/>
                <w:color w:val="auto"/>
              </w:rPr>
              <w:t>Year</w:t>
            </w:r>
          </w:p>
        </w:tc>
        <w:tc>
          <w:tcPr>
            <w:tcW w:w="700" w:type="dxa"/>
            <w:vAlign w:val="bottom"/>
          </w:tcPr>
          <w:p>
            <w:pPr>
              <w:ind w:left="160"/>
              <w:spacing w:after="0" w:line="114" w:lineRule="exact"/>
              <w:rPr>
                <w:sz w:val="20"/>
                <w:szCs w:val="20"/>
                <w:color w:val="auto"/>
              </w:rPr>
            </w:pPr>
            <w:r>
              <w:rPr>
                <w:rFonts w:ascii="Arial" w:cs="Arial" w:eastAsia="Arial" w:hAnsi="Arial"/>
                <w:sz w:val="10"/>
                <w:szCs w:val="10"/>
                <w:b w:val="1"/>
                <w:bCs w:val="1"/>
                <w:color w:val="auto"/>
              </w:rPr>
              <w:t>Salary ($)</w:t>
            </w:r>
          </w:p>
        </w:tc>
        <w:tc>
          <w:tcPr>
            <w:tcW w:w="660" w:type="dxa"/>
            <w:vAlign w:val="bottom"/>
          </w:tcPr>
          <w:p>
            <w:pPr>
              <w:ind w:left="160"/>
              <w:spacing w:after="0" w:line="114" w:lineRule="exact"/>
              <w:rPr>
                <w:sz w:val="20"/>
                <w:szCs w:val="20"/>
                <w:color w:val="auto"/>
              </w:rPr>
            </w:pPr>
            <w:r>
              <w:rPr>
                <w:rFonts w:ascii="Arial" w:cs="Arial" w:eastAsia="Arial" w:hAnsi="Arial"/>
                <w:sz w:val="10"/>
                <w:szCs w:val="10"/>
                <w:b w:val="1"/>
                <w:bCs w:val="1"/>
                <w:color w:val="auto"/>
              </w:rPr>
              <w:t>Bonus ($)</w:t>
            </w:r>
          </w:p>
        </w:tc>
        <w:tc>
          <w:tcPr>
            <w:tcW w:w="680" w:type="dxa"/>
            <w:vAlign w:val="bottom"/>
          </w:tcPr>
          <w:p>
            <w:pPr>
              <w:jc w:val="center"/>
              <w:spacing w:after="0" w:line="114" w:lineRule="exact"/>
              <w:rPr>
                <w:sz w:val="20"/>
                <w:szCs w:val="20"/>
                <w:color w:val="auto"/>
              </w:rPr>
            </w:pPr>
            <w:r>
              <w:rPr>
                <w:rFonts w:ascii="Arial" w:cs="Arial" w:eastAsia="Arial" w:hAnsi="Arial"/>
                <w:sz w:val="10"/>
                <w:szCs w:val="10"/>
                <w:b w:val="1"/>
                <w:bCs w:val="1"/>
                <w:color w:val="auto"/>
                <w:w w:val="81"/>
              </w:rPr>
              <w:t>(1)</w:t>
            </w:r>
          </w:p>
        </w:tc>
        <w:tc>
          <w:tcPr>
            <w:tcW w:w="640" w:type="dxa"/>
            <w:vAlign w:val="bottom"/>
          </w:tcPr>
          <w:p>
            <w:pPr>
              <w:jc w:val="center"/>
              <w:spacing w:after="0" w:line="114" w:lineRule="exact"/>
              <w:rPr>
                <w:sz w:val="20"/>
                <w:szCs w:val="20"/>
                <w:color w:val="auto"/>
              </w:rPr>
            </w:pPr>
            <w:r>
              <w:rPr>
                <w:rFonts w:ascii="Arial" w:cs="Arial" w:eastAsia="Arial" w:hAnsi="Arial"/>
                <w:sz w:val="10"/>
                <w:szCs w:val="10"/>
                <w:b w:val="1"/>
                <w:bCs w:val="1"/>
                <w:color w:val="auto"/>
                <w:w w:val="97"/>
              </w:rPr>
              <w:t>(1)</w:t>
            </w:r>
          </w:p>
        </w:tc>
        <w:tc>
          <w:tcPr>
            <w:tcW w:w="1160" w:type="dxa"/>
            <w:vAlign w:val="bottom"/>
          </w:tcPr>
          <w:p>
            <w:pPr>
              <w:jc w:val="center"/>
              <w:spacing w:after="0" w:line="114" w:lineRule="exact"/>
              <w:rPr>
                <w:sz w:val="20"/>
                <w:szCs w:val="20"/>
                <w:color w:val="auto"/>
              </w:rPr>
            </w:pPr>
            <w:r>
              <w:rPr>
                <w:rFonts w:ascii="Arial" w:cs="Arial" w:eastAsia="Arial" w:hAnsi="Arial"/>
                <w:sz w:val="10"/>
                <w:szCs w:val="10"/>
                <w:b w:val="1"/>
                <w:bCs w:val="1"/>
                <w:color w:val="auto"/>
                <w:w w:val="97"/>
              </w:rPr>
              <w:t>($)</w:t>
            </w:r>
          </w:p>
        </w:tc>
        <w:tc>
          <w:tcPr>
            <w:tcW w:w="1240" w:type="dxa"/>
            <w:vAlign w:val="bottom"/>
          </w:tcPr>
          <w:p>
            <w:pPr>
              <w:jc w:val="right"/>
              <w:ind w:right="532"/>
              <w:spacing w:after="0" w:line="114" w:lineRule="exact"/>
              <w:rPr>
                <w:sz w:val="20"/>
                <w:szCs w:val="20"/>
                <w:color w:val="auto"/>
              </w:rPr>
            </w:pPr>
            <w:r>
              <w:rPr>
                <w:rFonts w:ascii="Arial" w:cs="Arial" w:eastAsia="Arial" w:hAnsi="Arial"/>
                <w:sz w:val="10"/>
                <w:szCs w:val="10"/>
                <w:b w:val="1"/>
                <w:bCs w:val="1"/>
                <w:color w:val="auto"/>
              </w:rPr>
              <w:t>($)</w:t>
            </w:r>
          </w:p>
        </w:tc>
        <w:tc>
          <w:tcPr>
            <w:tcW w:w="500" w:type="dxa"/>
            <w:vAlign w:val="bottom"/>
          </w:tcPr>
          <w:p>
            <w:pPr>
              <w:ind w:left="160"/>
              <w:spacing w:after="0" w:line="114" w:lineRule="exact"/>
              <w:rPr>
                <w:sz w:val="20"/>
                <w:szCs w:val="20"/>
                <w:color w:val="auto"/>
              </w:rPr>
            </w:pPr>
            <w:r>
              <w:rPr>
                <w:rFonts w:ascii="Arial" w:cs="Arial" w:eastAsia="Arial" w:hAnsi="Arial"/>
                <w:sz w:val="10"/>
                <w:szCs w:val="10"/>
                <w:b w:val="1"/>
                <w:bCs w:val="1"/>
                <w:color w:val="auto"/>
                <w:w w:val="82"/>
              </w:rPr>
              <w:t>Total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3669030</wp:posOffset>
            </wp:positionH>
            <wp:positionV relativeFrom="paragraph">
              <wp:posOffset>0</wp:posOffset>
            </wp:positionV>
            <wp:extent cx="1126490" cy="571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126490" cy="5715"/>
                    </a:xfrm>
                    <a:prstGeom prst="rect">
                      <a:avLst/>
                    </a:prstGeom>
                    <a:noFill/>
                  </pic:spPr>
                </pic:pic>
              </a:graphicData>
            </a:graphic>
          </wp:anchor>
        </w:drawing>
      </w:r>
    </w:p>
    <w:p>
      <w:pPr>
        <w:sectPr>
          <w:pgSz w:w="11900" w:h="16838" w:orient="portrait"/>
          <w:cols w:equalWidth="0" w:num="1">
            <w:col w:w="10620"/>
          </w:cols>
          <w:pgMar w:left="640" w:top="275" w:right="639" w:bottom="1440" w:gutter="0" w:footer="0" w:header="0"/>
        </w:sectPr>
      </w:pPr>
    </w:p>
    <w:tbl>
      <w:tblPr>
        <w:tblLayout w:type="fixed"/>
        <w:tblInd w:w="80" w:type="dxa"/>
        <w:tblCellMar>
          <w:top w:w="0" w:type="dxa"/>
          <w:left w:w="0" w:type="dxa"/>
          <w:bottom w:w="0" w:type="dxa"/>
          <w:right w:w="0" w:type="dxa"/>
        </w:tblCellMar>
      </w:tblPr>
      <w:tr>
        <w:trPr>
          <w:trHeight w:val="40"/>
        </w:trPr>
        <w:tc>
          <w:tcPr>
            <w:tcW w:w="1320" w:type="dxa"/>
            <w:vAlign w:val="bottom"/>
            <w:vMerge w:val="restart"/>
          </w:tcPr>
          <w:p>
            <w:pPr>
              <w:spacing w:after="0" w:line="96" w:lineRule="exact"/>
              <w:rPr>
                <w:sz w:val="20"/>
                <w:szCs w:val="20"/>
                <w:color w:val="auto"/>
              </w:rPr>
            </w:pPr>
            <w:r>
              <w:rPr>
                <w:rFonts w:ascii="Arial" w:cs="Arial" w:eastAsia="Arial" w:hAnsi="Arial"/>
                <w:sz w:val="10"/>
                <w:szCs w:val="10"/>
                <w:color w:val="auto"/>
              </w:rPr>
              <w:t xml:space="preserve">Ellen M. Cotter </w:t>
            </w:r>
            <w:r>
              <w:rPr>
                <w:rFonts w:ascii="Arial" w:cs="Arial" w:eastAsia="Arial" w:hAnsi="Arial"/>
                <w:sz w:val="4"/>
                <w:szCs w:val="4"/>
                <w:color w:val="auto"/>
              </w:rPr>
              <w:t>(2)</w:t>
            </w:r>
          </w:p>
        </w:tc>
        <w:tc>
          <w:tcPr>
            <w:tcW w:w="380" w:type="dxa"/>
            <w:vAlign w:val="bottom"/>
            <w:shd w:val="clear" w:color="auto" w:fill="000000"/>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shd w:val="clear" w:color="auto" w:fill="000000"/>
          </w:tcPr>
          <w:p>
            <w:pPr>
              <w:spacing w:after="0"/>
              <w:rPr>
                <w:sz w:val="3"/>
                <w:szCs w:val="3"/>
                <w:color w:val="auto"/>
              </w:rPr>
            </w:pPr>
          </w:p>
        </w:tc>
        <w:tc>
          <w:tcPr>
            <w:tcW w:w="160" w:type="dxa"/>
            <w:vAlign w:val="bottom"/>
            <w:vMerge w:val="restart"/>
          </w:tcPr>
          <w:p>
            <w:pPr>
              <w:spacing w:after="0"/>
              <w:rPr>
                <w:sz w:val="3"/>
                <w:szCs w:val="3"/>
                <w:color w:val="auto"/>
              </w:rPr>
            </w:pPr>
          </w:p>
        </w:tc>
        <w:tc>
          <w:tcPr>
            <w:tcW w:w="500" w:type="dxa"/>
            <w:vAlign w:val="bottom"/>
            <w:shd w:val="clear" w:color="auto" w:fill="000000"/>
          </w:tcPr>
          <w:p>
            <w:pPr>
              <w:spacing w:after="0"/>
              <w:rPr>
                <w:sz w:val="3"/>
                <w:szCs w:val="3"/>
                <w:color w:val="auto"/>
              </w:rPr>
            </w:pPr>
          </w:p>
        </w:tc>
        <w:tc>
          <w:tcPr>
            <w:tcW w:w="160" w:type="dxa"/>
            <w:vAlign w:val="bottom"/>
            <w:vMerge w:val="restart"/>
          </w:tcPr>
          <w:p>
            <w:pPr>
              <w:spacing w:after="0"/>
              <w:rPr>
                <w:sz w:val="3"/>
                <w:szCs w:val="3"/>
                <w:color w:val="auto"/>
              </w:rPr>
            </w:pPr>
          </w:p>
        </w:tc>
        <w:tc>
          <w:tcPr>
            <w:tcW w:w="500" w:type="dxa"/>
            <w:vAlign w:val="bottom"/>
            <w:shd w:val="clear" w:color="auto" w:fill="000000"/>
          </w:tcPr>
          <w:p>
            <w:pPr>
              <w:spacing w:after="0"/>
              <w:rPr>
                <w:sz w:val="3"/>
                <w:szCs w:val="3"/>
                <w:color w:val="auto"/>
              </w:rPr>
            </w:pPr>
          </w:p>
        </w:tc>
        <w:tc>
          <w:tcPr>
            <w:tcW w:w="160" w:type="dxa"/>
            <w:vAlign w:val="bottom"/>
            <w:vMerge w:val="restart"/>
          </w:tcPr>
          <w:p>
            <w:pPr>
              <w:spacing w:after="0"/>
              <w:rPr>
                <w:sz w:val="3"/>
                <w:szCs w:val="3"/>
                <w:color w:val="auto"/>
              </w:rPr>
            </w:pPr>
          </w:p>
        </w:tc>
        <w:tc>
          <w:tcPr>
            <w:tcW w:w="500" w:type="dxa"/>
            <w:vAlign w:val="bottom"/>
            <w:shd w:val="clear" w:color="auto" w:fill="000000"/>
          </w:tcPr>
          <w:p>
            <w:pPr>
              <w:spacing w:after="0"/>
              <w:rPr>
                <w:sz w:val="3"/>
                <w:szCs w:val="3"/>
                <w:color w:val="auto"/>
              </w:rPr>
            </w:pPr>
          </w:p>
        </w:tc>
        <w:tc>
          <w:tcPr>
            <w:tcW w:w="160" w:type="dxa"/>
            <w:vAlign w:val="bottom"/>
            <w:vMerge w:val="restart"/>
          </w:tcPr>
          <w:p>
            <w:pPr>
              <w:spacing w:after="0"/>
              <w:rPr>
                <w:sz w:val="3"/>
                <w:szCs w:val="3"/>
                <w:color w:val="auto"/>
              </w:rPr>
            </w:pPr>
          </w:p>
        </w:tc>
        <w:tc>
          <w:tcPr>
            <w:tcW w:w="660" w:type="dxa"/>
            <w:vAlign w:val="bottom"/>
            <w:shd w:val="clear" w:color="auto" w:fill="000000"/>
          </w:tcPr>
          <w:p>
            <w:pPr>
              <w:spacing w:after="0"/>
              <w:rPr>
                <w:sz w:val="3"/>
                <w:szCs w:val="3"/>
                <w:color w:val="auto"/>
              </w:rPr>
            </w:pPr>
          </w:p>
        </w:tc>
        <w:tc>
          <w:tcPr>
            <w:tcW w:w="320" w:type="dxa"/>
            <w:vAlign w:val="bottom"/>
            <w:shd w:val="clear" w:color="auto" w:fill="000000"/>
          </w:tcPr>
          <w:p>
            <w:pPr>
              <w:spacing w:after="0"/>
              <w:rPr>
                <w:sz w:val="3"/>
                <w:szCs w:val="3"/>
                <w:color w:val="auto"/>
              </w:rPr>
            </w:pPr>
          </w:p>
        </w:tc>
        <w:tc>
          <w:tcPr>
            <w:tcW w:w="720" w:type="dxa"/>
            <w:vAlign w:val="bottom"/>
            <w:vMerge w:val="restart"/>
          </w:tcPr>
          <w:p>
            <w:pPr>
              <w:jc w:val="right"/>
              <w:spacing w:after="0" w:line="96" w:lineRule="exact"/>
              <w:rPr>
                <w:sz w:val="20"/>
                <w:szCs w:val="20"/>
                <w:color w:val="auto"/>
              </w:rPr>
            </w:pPr>
            <w:r>
              <w:rPr>
                <w:rFonts w:ascii="Arial" w:cs="Arial" w:eastAsia="Arial" w:hAnsi="Arial"/>
                <w:sz w:val="10"/>
                <w:szCs w:val="10"/>
                <w:color w:val="auto"/>
              </w:rPr>
              <w:t>25,465</w:t>
            </w:r>
          </w:p>
        </w:tc>
        <w:tc>
          <w:tcPr>
            <w:tcW w:w="0" w:type="dxa"/>
            <w:vAlign w:val="bottom"/>
          </w:tcPr>
          <w:p>
            <w:pPr>
              <w:spacing w:after="0" w:line="20" w:lineRule="exact"/>
              <w:rPr>
                <w:sz w:val="1"/>
                <w:szCs w:val="1"/>
                <w:color w:val="auto"/>
              </w:rPr>
            </w:pPr>
          </w:p>
        </w:tc>
      </w:tr>
      <w:tr>
        <w:trPr>
          <w:trHeight w:val="56"/>
        </w:trPr>
        <w:tc>
          <w:tcPr>
            <w:tcW w:w="1320" w:type="dxa"/>
            <w:vAlign w:val="bottom"/>
            <w:vMerge w:val="continue"/>
          </w:tcPr>
          <w:p>
            <w:pPr>
              <w:spacing w:after="0"/>
              <w:rPr>
                <w:sz w:val="4"/>
                <w:szCs w:val="4"/>
                <w:color w:val="auto"/>
              </w:rPr>
            </w:pPr>
          </w:p>
        </w:tc>
        <w:tc>
          <w:tcPr>
            <w:tcW w:w="540" w:type="dxa"/>
            <w:vAlign w:val="bottom"/>
            <w:gridSpan w:val="2"/>
          </w:tcPr>
          <w:p>
            <w:pPr>
              <w:jc w:val="right"/>
              <w:ind w:right="100"/>
              <w:spacing w:after="0" w:line="56" w:lineRule="exact"/>
              <w:rPr>
                <w:sz w:val="20"/>
                <w:szCs w:val="20"/>
                <w:color w:val="auto"/>
              </w:rPr>
            </w:pPr>
            <w:r>
              <w:rPr>
                <w:rFonts w:ascii="Arial" w:cs="Arial" w:eastAsia="Arial" w:hAnsi="Arial"/>
                <w:sz w:val="6"/>
                <w:szCs w:val="6"/>
                <w:color w:val="auto"/>
              </w:rPr>
              <w:t>2015</w:t>
            </w:r>
          </w:p>
        </w:tc>
        <w:tc>
          <w:tcPr>
            <w:tcW w:w="560" w:type="dxa"/>
            <w:vAlign w:val="bottom"/>
          </w:tcPr>
          <w:p>
            <w:pPr>
              <w:ind w:left="300"/>
              <w:spacing w:after="0" w:line="56" w:lineRule="exact"/>
              <w:rPr>
                <w:sz w:val="20"/>
                <w:szCs w:val="20"/>
                <w:color w:val="auto"/>
              </w:rPr>
            </w:pPr>
            <w:r>
              <w:rPr>
                <w:rFonts w:ascii="Arial" w:cs="Arial" w:eastAsia="Arial" w:hAnsi="Arial"/>
                <w:sz w:val="6"/>
                <w:szCs w:val="6"/>
                <w:color w:val="auto"/>
              </w:rPr>
              <w:t>402,000</w:t>
            </w:r>
          </w:p>
        </w:tc>
        <w:tc>
          <w:tcPr>
            <w:tcW w:w="160" w:type="dxa"/>
            <w:vAlign w:val="bottom"/>
            <w:vMerge w:val="continue"/>
          </w:tcPr>
          <w:p>
            <w:pPr>
              <w:spacing w:after="0"/>
              <w:rPr>
                <w:sz w:val="4"/>
                <w:szCs w:val="4"/>
                <w:color w:val="auto"/>
              </w:rPr>
            </w:pPr>
          </w:p>
        </w:tc>
        <w:tc>
          <w:tcPr>
            <w:tcW w:w="500" w:type="dxa"/>
            <w:vAlign w:val="bottom"/>
          </w:tcPr>
          <w:p>
            <w:pPr>
              <w:jc w:val="right"/>
              <w:spacing w:after="0" w:line="56" w:lineRule="exact"/>
              <w:rPr>
                <w:sz w:val="20"/>
                <w:szCs w:val="20"/>
                <w:color w:val="auto"/>
              </w:rPr>
            </w:pPr>
            <w:r>
              <w:rPr>
                <w:rFonts w:ascii="Arial" w:cs="Arial" w:eastAsia="Arial" w:hAnsi="Arial"/>
                <w:sz w:val="6"/>
                <w:szCs w:val="6"/>
                <w:color w:val="auto"/>
              </w:rPr>
              <w:t>250,000</w:t>
            </w:r>
          </w:p>
        </w:tc>
        <w:tc>
          <w:tcPr>
            <w:tcW w:w="160" w:type="dxa"/>
            <w:vAlign w:val="bottom"/>
            <w:vMerge w:val="continue"/>
          </w:tcPr>
          <w:p>
            <w:pPr>
              <w:spacing w:after="0"/>
              <w:rPr>
                <w:sz w:val="4"/>
                <w:szCs w:val="4"/>
                <w:color w:val="auto"/>
              </w:rPr>
            </w:pPr>
          </w:p>
        </w:tc>
        <w:tc>
          <w:tcPr>
            <w:tcW w:w="500" w:type="dxa"/>
            <w:vAlign w:val="bottom"/>
          </w:tcPr>
          <w:p>
            <w:pPr>
              <w:jc w:val="right"/>
              <w:spacing w:after="0" w:line="56" w:lineRule="exact"/>
              <w:rPr>
                <w:sz w:val="20"/>
                <w:szCs w:val="20"/>
                <w:color w:val="auto"/>
              </w:rPr>
            </w:pPr>
            <w:r>
              <w:rPr>
                <w:rFonts w:ascii="Arial" w:cs="Arial" w:eastAsia="Arial" w:hAnsi="Arial"/>
                <w:sz w:val="6"/>
                <w:szCs w:val="6"/>
                <w:color w:val="auto"/>
              </w:rPr>
              <w:t>--</w:t>
            </w:r>
          </w:p>
        </w:tc>
        <w:tc>
          <w:tcPr>
            <w:tcW w:w="160" w:type="dxa"/>
            <w:vAlign w:val="bottom"/>
            <w:vMerge w:val="continue"/>
          </w:tcPr>
          <w:p>
            <w:pPr>
              <w:spacing w:after="0"/>
              <w:rPr>
                <w:sz w:val="4"/>
                <w:szCs w:val="4"/>
                <w:color w:val="auto"/>
              </w:rPr>
            </w:pPr>
          </w:p>
        </w:tc>
        <w:tc>
          <w:tcPr>
            <w:tcW w:w="500" w:type="dxa"/>
            <w:vAlign w:val="bottom"/>
          </w:tcPr>
          <w:p>
            <w:pPr>
              <w:jc w:val="right"/>
              <w:spacing w:after="0" w:line="56" w:lineRule="exact"/>
              <w:rPr>
                <w:sz w:val="20"/>
                <w:szCs w:val="20"/>
                <w:color w:val="auto"/>
              </w:rPr>
            </w:pPr>
            <w:r>
              <w:rPr>
                <w:rFonts w:ascii="Arial" w:cs="Arial" w:eastAsia="Arial" w:hAnsi="Arial"/>
                <w:sz w:val="6"/>
                <w:szCs w:val="6"/>
                <w:color w:val="auto"/>
              </w:rPr>
              <w:t>--</w:t>
            </w:r>
          </w:p>
        </w:tc>
        <w:tc>
          <w:tcPr>
            <w:tcW w:w="160" w:type="dxa"/>
            <w:vAlign w:val="bottom"/>
            <w:vMerge w:val="continue"/>
          </w:tcPr>
          <w:p>
            <w:pPr>
              <w:spacing w:after="0"/>
              <w:rPr>
                <w:sz w:val="4"/>
                <w:szCs w:val="4"/>
                <w:color w:val="auto"/>
              </w:rPr>
            </w:pPr>
          </w:p>
        </w:tc>
        <w:tc>
          <w:tcPr>
            <w:tcW w:w="660" w:type="dxa"/>
            <w:vAlign w:val="bottom"/>
          </w:tcPr>
          <w:p>
            <w:pPr>
              <w:jc w:val="right"/>
              <w:ind w:right="73"/>
              <w:spacing w:after="0" w:line="56" w:lineRule="exact"/>
              <w:rPr>
                <w:sz w:val="20"/>
                <w:szCs w:val="20"/>
                <w:color w:val="auto"/>
              </w:rPr>
            </w:pPr>
            <w:r>
              <w:rPr>
                <w:rFonts w:ascii="Arial" w:cs="Arial" w:eastAsia="Arial" w:hAnsi="Arial"/>
                <w:sz w:val="6"/>
                <w:szCs w:val="6"/>
                <w:color w:val="auto"/>
              </w:rPr>
              <w:t>--</w:t>
            </w:r>
          </w:p>
        </w:tc>
        <w:tc>
          <w:tcPr>
            <w:tcW w:w="3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9"/>
        </w:trPr>
        <w:tc>
          <w:tcPr>
            <w:tcW w:w="1320" w:type="dxa"/>
            <w:vAlign w:val="bottom"/>
          </w:tcPr>
          <w:p>
            <w:pPr>
              <w:ind w:left="140"/>
              <w:spacing w:after="0" w:line="99" w:lineRule="exact"/>
              <w:rPr>
                <w:sz w:val="20"/>
                <w:szCs w:val="20"/>
                <w:color w:val="auto"/>
              </w:rPr>
            </w:pPr>
            <w:r>
              <w:rPr>
                <w:rFonts w:ascii="Arial" w:cs="Arial" w:eastAsia="Arial" w:hAnsi="Arial"/>
                <w:sz w:val="10"/>
                <w:szCs w:val="10"/>
                <w:color w:val="auto"/>
              </w:rPr>
              <w:t>Interim President and</w:t>
            </w:r>
          </w:p>
        </w:tc>
        <w:tc>
          <w:tcPr>
            <w:tcW w:w="540" w:type="dxa"/>
            <w:vAlign w:val="bottom"/>
            <w:gridSpan w:val="2"/>
            <w:vMerge w:val="restart"/>
          </w:tcPr>
          <w:p>
            <w:pPr>
              <w:jc w:val="right"/>
              <w:ind w:right="100"/>
              <w:spacing w:after="0"/>
              <w:rPr>
                <w:sz w:val="20"/>
                <w:szCs w:val="20"/>
                <w:color w:val="auto"/>
              </w:rPr>
            </w:pPr>
            <w:r>
              <w:rPr>
                <w:rFonts w:ascii="Arial" w:cs="Arial" w:eastAsia="Arial" w:hAnsi="Arial"/>
                <w:sz w:val="10"/>
                <w:szCs w:val="10"/>
                <w:color w:val="auto"/>
              </w:rPr>
              <w:t>2014</w:t>
            </w:r>
          </w:p>
        </w:tc>
        <w:tc>
          <w:tcPr>
            <w:tcW w:w="720" w:type="dxa"/>
            <w:vAlign w:val="bottom"/>
            <w:gridSpan w:val="2"/>
            <w:vMerge w:val="restart"/>
          </w:tcPr>
          <w:p>
            <w:pPr>
              <w:ind w:left="300"/>
              <w:spacing w:after="0"/>
              <w:rPr>
                <w:sz w:val="20"/>
                <w:szCs w:val="20"/>
                <w:color w:val="auto"/>
              </w:rPr>
            </w:pPr>
            <w:r>
              <w:rPr>
                <w:rFonts w:ascii="Arial" w:cs="Arial" w:eastAsia="Arial" w:hAnsi="Arial"/>
                <w:sz w:val="10"/>
                <w:szCs w:val="10"/>
                <w:color w:val="auto"/>
              </w:rPr>
              <w:t>335,000</w:t>
            </w:r>
          </w:p>
        </w:tc>
        <w:tc>
          <w:tcPr>
            <w:tcW w:w="500" w:type="dxa"/>
            <w:vAlign w:val="bottom"/>
            <w:vMerge w:val="restart"/>
          </w:tcPr>
          <w:p>
            <w:pPr>
              <w:jc w:val="right"/>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8"/>
                <w:szCs w:val="8"/>
                <w:color w:val="auto"/>
              </w:rPr>
            </w:pPr>
          </w:p>
        </w:tc>
        <w:tc>
          <w:tcPr>
            <w:tcW w:w="500" w:type="dxa"/>
            <w:vAlign w:val="bottom"/>
            <w:vMerge w:val="restart"/>
          </w:tcPr>
          <w:p>
            <w:pPr>
              <w:jc w:val="right"/>
              <w:spacing w:after="0"/>
              <w:rPr>
                <w:sz w:val="20"/>
                <w:szCs w:val="20"/>
                <w:color w:val="auto"/>
              </w:rPr>
            </w:pPr>
            <w:r>
              <w:rPr>
                <w:rFonts w:ascii="Arial" w:cs="Arial" w:eastAsia="Arial" w:hAnsi="Arial"/>
                <w:sz w:val="10"/>
                <w:szCs w:val="10"/>
                <w:color w:val="auto"/>
              </w:rPr>
              <w:t>--</w:t>
            </w:r>
          </w:p>
        </w:tc>
        <w:tc>
          <w:tcPr>
            <w:tcW w:w="660" w:type="dxa"/>
            <w:vAlign w:val="bottom"/>
            <w:gridSpan w:val="2"/>
            <w:vMerge w:val="restart"/>
          </w:tcPr>
          <w:p>
            <w:pPr>
              <w:jc w:val="right"/>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8"/>
                <w:szCs w:val="8"/>
                <w:color w:val="auto"/>
              </w:rPr>
            </w:pPr>
          </w:p>
        </w:tc>
        <w:tc>
          <w:tcPr>
            <w:tcW w:w="660" w:type="dxa"/>
            <w:vAlign w:val="bottom"/>
            <w:vMerge w:val="restart"/>
          </w:tcPr>
          <w:p>
            <w:pPr>
              <w:jc w:val="right"/>
              <w:ind w:right="73"/>
              <w:spacing w:after="0"/>
              <w:rPr>
                <w:sz w:val="20"/>
                <w:szCs w:val="20"/>
                <w:color w:val="auto"/>
              </w:rPr>
            </w:pPr>
            <w:r>
              <w:rPr>
                <w:rFonts w:ascii="Arial" w:cs="Arial" w:eastAsia="Arial" w:hAnsi="Arial"/>
                <w:sz w:val="10"/>
                <w:szCs w:val="10"/>
                <w:color w:val="auto"/>
              </w:rPr>
              <w:t>--</w:t>
            </w:r>
          </w:p>
        </w:tc>
        <w:tc>
          <w:tcPr>
            <w:tcW w:w="320" w:type="dxa"/>
            <w:vAlign w:val="bottom"/>
          </w:tcPr>
          <w:p>
            <w:pPr>
              <w:spacing w:after="0"/>
              <w:rPr>
                <w:sz w:val="8"/>
                <w:szCs w:val="8"/>
                <w:color w:val="auto"/>
              </w:rPr>
            </w:pPr>
          </w:p>
        </w:tc>
        <w:tc>
          <w:tcPr>
            <w:tcW w:w="720" w:type="dxa"/>
            <w:vAlign w:val="bottom"/>
            <w:vMerge w:val="restart"/>
          </w:tcPr>
          <w:p>
            <w:pPr>
              <w:jc w:val="right"/>
              <w:spacing w:after="0"/>
              <w:rPr>
                <w:sz w:val="20"/>
                <w:szCs w:val="20"/>
                <w:color w:val="auto"/>
              </w:rPr>
            </w:pPr>
            <w:r>
              <w:rPr>
                <w:rFonts w:ascii="Arial" w:cs="Arial" w:eastAsia="Arial" w:hAnsi="Arial"/>
                <w:sz w:val="10"/>
                <w:szCs w:val="10"/>
                <w:color w:val="auto"/>
              </w:rPr>
              <w:t>75,190</w:t>
            </w:r>
          </w:p>
        </w:tc>
        <w:tc>
          <w:tcPr>
            <w:tcW w:w="0" w:type="dxa"/>
            <w:vAlign w:val="bottom"/>
          </w:tcPr>
          <w:p>
            <w:pPr>
              <w:spacing w:after="0"/>
              <w:rPr>
                <w:sz w:val="1"/>
                <w:szCs w:val="1"/>
                <w:color w:val="auto"/>
              </w:rPr>
            </w:pPr>
          </w:p>
        </w:tc>
      </w:tr>
      <w:tr>
        <w:trPr>
          <w:trHeight w:val="99"/>
        </w:trPr>
        <w:tc>
          <w:tcPr>
            <w:tcW w:w="1320" w:type="dxa"/>
            <w:vAlign w:val="bottom"/>
          </w:tcPr>
          <w:p>
            <w:pPr>
              <w:ind w:left="140"/>
              <w:spacing w:after="0" w:line="99" w:lineRule="exact"/>
              <w:rPr>
                <w:sz w:val="20"/>
                <w:szCs w:val="20"/>
                <w:color w:val="auto"/>
              </w:rPr>
            </w:pPr>
            <w:r>
              <w:rPr>
                <w:rFonts w:ascii="Arial" w:cs="Arial" w:eastAsia="Arial" w:hAnsi="Arial"/>
                <w:sz w:val="10"/>
                <w:szCs w:val="10"/>
                <w:color w:val="auto"/>
              </w:rPr>
              <w:t>Chief Executive Officer,</w:t>
            </w:r>
          </w:p>
        </w:tc>
        <w:tc>
          <w:tcPr>
            <w:tcW w:w="540" w:type="dxa"/>
            <w:vAlign w:val="bottom"/>
            <w:gridSpan w:val="2"/>
            <w:vMerge w:val="continue"/>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0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66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1320" w:type="dxa"/>
            <w:vAlign w:val="bottom"/>
          </w:tcPr>
          <w:p>
            <w:pPr>
              <w:ind w:left="140"/>
              <w:spacing w:after="0" w:line="99" w:lineRule="exact"/>
              <w:rPr>
                <w:sz w:val="20"/>
                <w:szCs w:val="20"/>
                <w:color w:val="auto"/>
              </w:rPr>
            </w:pPr>
            <w:r>
              <w:rPr>
                <w:rFonts w:ascii="Arial" w:cs="Arial" w:eastAsia="Arial" w:hAnsi="Arial"/>
                <w:sz w:val="10"/>
                <w:szCs w:val="10"/>
                <w:color w:val="auto"/>
              </w:rPr>
              <w:t>Chief Operating Officer -</w:t>
            </w:r>
          </w:p>
        </w:tc>
        <w:tc>
          <w:tcPr>
            <w:tcW w:w="540" w:type="dxa"/>
            <w:vAlign w:val="bottom"/>
            <w:gridSpan w:val="2"/>
            <w:vMerge w:val="restart"/>
          </w:tcPr>
          <w:p>
            <w:pPr>
              <w:jc w:val="right"/>
              <w:ind w:right="100"/>
              <w:spacing w:after="0"/>
              <w:rPr>
                <w:sz w:val="20"/>
                <w:szCs w:val="20"/>
                <w:color w:val="auto"/>
              </w:rPr>
            </w:pPr>
            <w:r>
              <w:rPr>
                <w:rFonts w:ascii="Arial" w:cs="Arial" w:eastAsia="Arial" w:hAnsi="Arial"/>
                <w:sz w:val="10"/>
                <w:szCs w:val="10"/>
                <w:color w:val="auto"/>
              </w:rPr>
              <w:t>2013</w:t>
            </w:r>
          </w:p>
        </w:tc>
        <w:tc>
          <w:tcPr>
            <w:tcW w:w="720" w:type="dxa"/>
            <w:vAlign w:val="bottom"/>
            <w:gridSpan w:val="2"/>
            <w:vMerge w:val="restart"/>
          </w:tcPr>
          <w:p>
            <w:pPr>
              <w:ind w:left="300"/>
              <w:spacing w:after="0"/>
              <w:rPr>
                <w:sz w:val="20"/>
                <w:szCs w:val="20"/>
                <w:color w:val="auto"/>
              </w:rPr>
            </w:pPr>
            <w:r>
              <w:rPr>
                <w:rFonts w:ascii="Arial" w:cs="Arial" w:eastAsia="Arial" w:hAnsi="Arial"/>
                <w:sz w:val="10"/>
                <w:szCs w:val="10"/>
                <w:color w:val="auto"/>
              </w:rPr>
              <w:t>335,000</w:t>
            </w:r>
          </w:p>
        </w:tc>
        <w:tc>
          <w:tcPr>
            <w:tcW w:w="500" w:type="dxa"/>
            <w:vAlign w:val="bottom"/>
            <w:vMerge w:val="restart"/>
          </w:tcPr>
          <w:p>
            <w:pPr>
              <w:jc w:val="right"/>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8"/>
                <w:szCs w:val="8"/>
                <w:color w:val="auto"/>
              </w:rPr>
            </w:pPr>
          </w:p>
        </w:tc>
        <w:tc>
          <w:tcPr>
            <w:tcW w:w="500" w:type="dxa"/>
            <w:vAlign w:val="bottom"/>
            <w:vMerge w:val="restart"/>
          </w:tcPr>
          <w:p>
            <w:pPr>
              <w:jc w:val="right"/>
              <w:spacing w:after="0"/>
              <w:rPr>
                <w:sz w:val="20"/>
                <w:szCs w:val="20"/>
                <w:color w:val="auto"/>
              </w:rPr>
            </w:pPr>
            <w:r>
              <w:rPr>
                <w:rFonts w:ascii="Arial" w:cs="Arial" w:eastAsia="Arial" w:hAnsi="Arial"/>
                <w:sz w:val="10"/>
                <w:szCs w:val="10"/>
                <w:color w:val="auto"/>
              </w:rPr>
              <w:t>--</w:t>
            </w:r>
          </w:p>
        </w:tc>
        <w:tc>
          <w:tcPr>
            <w:tcW w:w="660" w:type="dxa"/>
            <w:vAlign w:val="bottom"/>
            <w:gridSpan w:val="2"/>
            <w:vMerge w:val="restart"/>
          </w:tcPr>
          <w:p>
            <w:pPr>
              <w:jc w:val="right"/>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8"/>
                <w:szCs w:val="8"/>
                <w:color w:val="auto"/>
              </w:rPr>
            </w:pPr>
          </w:p>
        </w:tc>
        <w:tc>
          <w:tcPr>
            <w:tcW w:w="660" w:type="dxa"/>
            <w:vAlign w:val="bottom"/>
            <w:vMerge w:val="restart"/>
          </w:tcPr>
          <w:p>
            <w:pPr>
              <w:jc w:val="right"/>
              <w:ind w:right="73"/>
              <w:spacing w:after="0"/>
              <w:rPr>
                <w:sz w:val="20"/>
                <w:szCs w:val="20"/>
                <w:color w:val="auto"/>
              </w:rPr>
            </w:pPr>
            <w:r>
              <w:rPr>
                <w:rFonts w:ascii="Arial" w:cs="Arial" w:eastAsia="Arial" w:hAnsi="Arial"/>
                <w:sz w:val="10"/>
                <w:szCs w:val="10"/>
                <w:color w:val="auto"/>
              </w:rPr>
              <w:t>--</w:t>
            </w:r>
          </w:p>
        </w:tc>
        <w:tc>
          <w:tcPr>
            <w:tcW w:w="320" w:type="dxa"/>
            <w:vAlign w:val="bottom"/>
          </w:tcPr>
          <w:p>
            <w:pPr>
              <w:spacing w:after="0"/>
              <w:rPr>
                <w:sz w:val="8"/>
                <w:szCs w:val="8"/>
                <w:color w:val="auto"/>
              </w:rPr>
            </w:pPr>
          </w:p>
        </w:tc>
        <w:tc>
          <w:tcPr>
            <w:tcW w:w="720" w:type="dxa"/>
            <w:vAlign w:val="bottom"/>
            <w:vMerge w:val="restart"/>
          </w:tcPr>
          <w:p>
            <w:pPr>
              <w:jc w:val="right"/>
              <w:spacing w:after="0"/>
              <w:rPr>
                <w:sz w:val="20"/>
                <w:szCs w:val="20"/>
                <w:color w:val="auto"/>
              </w:rPr>
            </w:pPr>
            <w:r>
              <w:rPr>
                <w:rFonts w:ascii="Arial" w:cs="Arial" w:eastAsia="Arial" w:hAnsi="Arial"/>
                <w:sz w:val="10"/>
                <w:szCs w:val="10"/>
                <w:color w:val="auto"/>
              </w:rPr>
              <w:t>24,915</w:t>
            </w:r>
          </w:p>
        </w:tc>
        <w:tc>
          <w:tcPr>
            <w:tcW w:w="0" w:type="dxa"/>
            <w:vAlign w:val="bottom"/>
          </w:tcPr>
          <w:p>
            <w:pPr>
              <w:spacing w:after="0"/>
              <w:rPr>
                <w:sz w:val="1"/>
                <w:szCs w:val="1"/>
                <w:color w:val="auto"/>
              </w:rPr>
            </w:pPr>
          </w:p>
        </w:tc>
      </w:tr>
      <w:tr>
        <w:trPr>
          <w:trHeight w:val="122"/>
        </w:trPr>
        <w:tc>
          <w:tcPr>
            <w:tcW w:w="1320" w:type="dxa"/>
            <w:vAlign w:val="bottom"/>
          </w:tcPr>
          <w:p>
            <w:pPr>
              <w:ind w:left="140"/>
              <w:spacing w:after="0"/>
              <w:rPr>
                <w:sz w:val="20"/>
                <w:szCs w:val="20"/>
                <w:color w:val="auto"/>
              </w:rPr>
            </w:pPr>
            <w:r>
              <w:rPr>
                <w:rFonts w:ascii="Arial" w:cs="Arial" w:eastAsia="Arial" w:hAnsi="Arial"/>
                <w:sz w:val="10"/>
                <w:szCs w:val="10"/>
                <w:color w:val="auto"/>
              </w:rPr>
              <w:t>Domestic Cinemas</w:t>
            </w:r>
          </w:p>
        </w:tc>
        <w:tc>
          <w:tcPr>
            <w:tcW w:w="540" w:type="dxa"/>
            <w:vAlign w:val="bottom"/>
            <w:gridSpan w:val="2"/>
            <w:vMerge w:val="continue"/>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50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vMerge w:val="continue"/>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6"/>
        </w:trPr>
        <w:tc>
          <w:tcPr>
            <w:tcW w:w="1320" w:type="dxa"/>
            <w:vAlign w:val="bottom"/>
          </w:tcPr>
          <w:p>
            <w:pPr>
              <w:spacing w:after="0"/>
              <w:rPr>
                <w:sz w:val="20"/>
                <w:szCs w:val="20"/>
                <w:color w:val="auto"/>
              </w:rPr>
            </w:pPr>
            <w:r>
              <w:rPr>
                <w:rFonts w:ascii="Arial" w:cs="Arial" w:eastAsia="Arial" w:hAnsi="Arial"/>
                <w:sz w:val="10"/>
                <w:szCs w:val="10"/>
                <w:color w:val="auto"/>
              </w:rPr>
              <w:t xml:space="preserve">James J. Cotter, Jr. </w:t>
            </w:r>
            <w:r>
              <w:rPr>
                <w:rFonts w:ascii="Arial" w:cs="Arial" w:eastAsia="Arial" w:hAnsi="Arial"/>
                <w:sz w:val="4"/>
                <w:szCs w:val="4"/>
                <w:color w:val="auto"/>
              </w:rPr>
              <w:t>(5)(9)</w:t>
            </w:r>
          </w:p>
        </w:tc>
        <w:tc>
          <w:tcPr>
            <w:tcW w:w="540" w:type="dxa"/>
            <w:vAlign w:val="bottom"/>
            <w:gridSpan w:val="2"/>
          </w:tcPr>
          <w:p>
            <w:pPr>
              <w:jc w:val="right"/>
              <w:ind w:right="100"/>
              <w:spacing w:after="0"/>
              <w:rPr>
                <w:sz w:val="20"/>
                <w:szCs w:val="20"/>
                <w:color w:val="auto"/>
              </w:rPr>
            </w:pPr>
            <w:r>
              <w:rPr>
                <w:rFonts w:ascii="Arial" w:cs="Arial" w:eastAsia="Arial" w:hAnsi="Arial"/>
                <w:sz w:val="10"/>
                <w:szCs w:val="10"/>
                <w:color w:val="auto"/>
              </w:rPr>
              <w:t>2015</w:t>
            </w:r>
          </w:p>
        </w:tc>
        <w:tc>
          <w:tcPr>
            <w:tcW w:w="720" w:type="dxa"/>
            <w:vAlign w:val="bottom"/>
            <w:gridSpan w:val="2"/>
          </w:tcPr>
          <w:p>
            <w:pPr>
              <w:ind w:left="300"/>
              <w:spacing w:after="0"/>
              <w:rPr>
                <w:sz w:val="20"/>
                <w:szCs w:val="20"/>
                <w:color w:val="auto"/>
              </w:rPr>
            </w:pPr>
            <w:r>
              <w:rPr>
                <w:rFonts w:ascii="Arial" w:cs="Arial" w:eastAsia="Arial" w:hAnsi="Arial"/>
                <w:sz w:val="10"/>
                <w:szCs w:val="10"/>
                <w:color w:val="auto"/>
              </w:rPr>
              <w:t>195,417</w:t>
            </w:r>
          </w:p>
        </w:tc>
        <w:tc>
          <w:tcPr>
            <w:tcW w:w="500" w:type="dxa"/>
            <w:vAlign w:val="bottom"/>
          </w:tcPr>
          <w:p>
            <w:pPr>
              <w:jc w:val="right"/>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w:t>
            </w:r>
          </w:p>
        </w:tc>
        <w:tc>
          <w:tcPr>
            <w:tcW w:w="660" w:type="dxa"/>
            <w:vAlign w:val="bottom"/>
            <w:gridSpan w:val="2"/>
          </w:tcPr>
          <w:p>
            <w:pPr>
              <w:jc w:val="right"/>
              <w:spacing w:after="0"/>
              <w:rPr>
                <w:sz w:val="20"/>
                <w:szCs w:val="20"/>
                <w:color w:val="auto"/>
              </w:rPr>
            </w:pPr>
            <w:r>
              <w:rPr>
                <w:rFonts w:ascii="Arial" w:cs="Arial" w:eastAsia="Arial" w:hAnsi="Arial"/>
                <w:sz w:val="10"/>
                <w:szCs w:val="10"/>
                <w:color w:val="auto"/>
              </w:rPr>
              <w:t>50,027--</w:t>
            </w:r>
          </w:p>
        </w:tc>
        <w:tc>
          <w:tcPr>
            <w:tcW w:w="160" w:type="dxa"/>
            <w:vAlign w:val="bottom"/>
          </w:tcPr>
          <w:p>
            <w:pPr>
              <w:spacing w:after="0"/>
              <w:rPr>
                <w:sz w:val="17"/>
                <w:szCs w:val="17"/>
                <w:color w:val="auto"/>
              </w:rPr>
            </w:pPr>
          </w:p>
        </w:tc>
        <w:tc>
          <w:tcPr>
            <w:tcW w:w="660" w:type="dxa"/>
            <w:vAlign w:val="bottom"/>
          </w:tcPr>
          <w:p>
            <w:pPr>
              <w:jc w:val="right"/>
              <w:ind w:right="73"/>
              <w:spacing w:after="0"/>
              <w:rPr>
                <w:sz w:val="20"/>
                <w:szCs w:val="20"/>
                <w:color w:val="auto"/>
              </w:rPr>
            </w:pPr>
            <w:r>
              <w:rPr>
                <w:rFonts w:ascii="Arial" w:cs="Arial" w:eastAsia="Arial" w:hAnsi="Arial"/>
                <w:sz w:val="10"/>
                <w:szCs w:val="10"/>
                <w:color w:val="auto"/>
              </w:rPr>
              <w:t>--</w:t>
            </w:r>
          </w:p>
        </w:tc>
        <w:tc>
          <w:tcPr>
            <w:tcW w:w="3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0"/>
                <w:szCs w:val="10"/>
                <w:color w:val="auto"/>
              </w:rPr>
              <w:t>16,161</w:t>
            </w:r>
          </w:p>
        </w:tc>
        <w:tc>
          <w:tcPr>
            <w:tcW w:w="0" w:type="dxa"/>
            <w:vAlign w:val="bottom"/>
          </w:tcPr>
          <w:p>
            <w:pPr>
              <w:spacing w:after="0"/>
              <w:rPr>
                <w:sz w:val="1"/>
                <w:szCs w:val="1"/>
                <w:color w:val="auto"/>
              </w:rPr>
            </w:pPr>
          </w:p>
        </w:tc>
      </w:tr>
      <w:tr>
        <w:trPr>
          <w:trHeight w:val="105"/>
        </w:trPr>
        <w:tc>
          <w:tcPr>
            <w:tcW w:w="1320" w:type="dxa"/>
            <w:vAlign w:val="bottom"/>
          </w:tcPr>
          <w:p>
            <w:pPr>
              <w:ind w:left="140"/>
              <w:spacing w:after="0" w:line="105" w:lineRule="exact"/>
              <w:rPr>
                <w:sz w:val="20"/>
                <w:szCs w:val="20"/>
                <w:color w:val="auto"/>
              </w:rPr>
            </w:pPr>
            <w:r>
              <w:rPr>
                <w:rFonts w:ascii="Arial" w:cs="Arial" w:eastAsia="Arial" w:hAnsi="Arial"/>
                <w:sz w:val="10"/>
                <w:szCs w:val="10"/>
                <w:color w:val="auto"/>
              </w:rPr>
              <w:t>Former President and</w:t>
            </w:r>
          </w:p>
        </w:tc>
        <w:tc>
          <w:tcPr>
            <w:tcW w:w="540" w:type="dxa"/>
            <w:vAlign w:val="bottom"/>
            <w:gridSpan w:val="2"/>
          </w:tcPr>
          <w:p>
            <w:pPr>
              <w:jc w:val="right"/>
              <w:ind w:right="100"/>
              <w:spacing w:after="0" w:line="105" w:lineRule="exact"/>
              <w:rPr>
                <w:sz w:val="20"/>
                <w:szCs w:val="20"/>
                <w:color w:val="auto"/>
              </w:rPr>
            </w:pPr>
            <w:r>
              <w:rPr>
                <w:rFonts w:ascii="Arial" w:cs="Arial" w:eastAsia="Arial" w:hAnsi="Arial"/>
                <w:sz w:val="10"/>
                <w:szCs w:val="10"/>
                <w:color w:val="auto"/>
              </w:rPr>
              <w:t>2014</w:t>
            </w:r>
          </w:p>
        </w:tc>
        <w:tc>
          <w:tcPr>
            <w:tcW w:w="720" w:type="dxa"/>
            <w:vAlign w:val="bottom"/>
            <w:gridSpan w:val="2"/>
          </w:tcPr>
          <w:p>
            <w:pPr>
              <w:ind w:left="300"/>
              <w:spacing w:after="0" w:line="105" w:lineRule="exact"/>
              <w:rPr>
                <w:sz w:val="20"/>
                <w:szCs w:val="20"/>
                <w:color w:val="auto"/>
              </w:rPr>
            </w:pPr>
            <w:r>
              <w:rPr>
                <w:rFonts w:ascii="Arial" w:cs="Arial" w:eastAsia="Arial" w:hAnsi="Arial"/>
                <w:sz w:val="10"/>
                <w:szCs w:val="10"/>
                <w:color w:val="auto"/>
              </w:rPr>
              <w:t>335,000</w:t>
            </w:r>
          </w:p>
        </w:tc>
        <w:tc>
          <w:tcPr>
            <w:tcW w:w="500" w:type="dxa"/>
            <w:vAlign w:val="bottom"/>
          </w:tcPr>
          <w:p>
            <w:pPr>
              <w:jc w:val="right"/>
              <w:spacing w:after="0" w:line="105" w:lineRule="exact"/>
              <w:rPr>
                <w:sz w:val="20"/>
                <w:szCs w:val="20"/>
                <w:color w:val="auto"/>
              </w:rPr>
            </w:pPr>
            <w:r>
              <w:rPr>
                <w:rFonts w:ascii="Arial" w:cs="Arial" w:eastAsia="Arial" w:hAnsi="Arial"/>
                <w:sz w:val="10"/>
                <w:szCs w:val="10"/>
                <w:color w:val="auto"/>
              </w:rPr>
              <w:t>--</w:t>
            </w:r>
          </w:p>
        </w:tc>
        <w:tc>
          <w:tcPr>
            <w:tcW w:w="160" w:type="dxa"/>
            <w:vAlign w:val="bottom"/>
          </w:tcPr>
          <w:p>
            <w:pPr>
              <w:spacing w:after="0"/>
              <w:rPr>
                <w:sz w:val="9"/>
                <w:szCs w:val="9"/>
                <w:color w:val="auto"/>
              </w:rPr>
            </w:pPr>
          </w:p>
        </w:tc>
        <w:tc>
          <w:tcPr>
            <w:tcW w:w="500" w:type="dxa"/>
            <w:vAlign w:val="bottom"/>
          </w:tcPr>
          <w:p>
            <w:pPr>
              <w:jc w:val="right"/>
              <w:spacing w:after="0" w:line="105" w:lineRule="exact"/>
              <w:rPr>
                <w:sz w:val="20"/>
                <w:szCs w:val="20"/>
                <w:color w:val="auto"/>
              </w:rPr>
            </w:pPr>
            <w:r>
              <w:rPr>
                <w:rFonts w:ascii="Arial" w:cs="Arial" w:eastAsia="Arial" w:hAnsi="Arial"/>
                <w:sz w:val="10"/>
                <w:szCs w:val="10"/>
                <w:color w:val="auto"/>
              </w:rPr>
              <w:t>--</w:t>
            </w:r>
          </w:p>
        </w:tc>
        <w:tc>
          <w:tcPr>
            <w:tcW w:w="660" w:type="dxa"/>
            <w:vAlign w:val="bottom"/>
            <w:gridSpan w:val="2"/>
          </w:tcPr>
          <w:p>
            <w:pPr>
              <w:jc w:val="right"/>
              <w:spacing w:after="0" w:line="105" w:lineRule="exact"/>
              <w:rPr>
                <w:sz w:val="20"/>
                <w:szCs w:val="20"/>
                <w:color w:val="auto"/>
              </w:rPr>
            </w:pPr>
            <w:r>
              <w:rPr>
                <w:rFonts w:ascii="Arial" w:cs="Arial" w:eastAsia="Arial" w:hAnsi="Arial"/>
                <w:sz w:val="10"/>
                <w:szCs w:val="10"/>
                <w:color w:val="auto"/>
              </w:rPr>
              <w:t>50,027--</w:t>
            </w:r>
          </w:p>
        </w:tc>
        <w:tc>
          <w:tcPr>
            <w:tcW w:w="160" w:type="dxa"/>
            <w:vAlign w:val="bottom"/>
          </w:tcPr>
          <w:p>
            <w:pPr>
              <w:spacing w:after="0"/>
              <w:rPr>
                <w:sz w:val="9"/>
                <w:szCs w:val="9"/>
                <w:color w:val="auto"/>
              </w:rPr>
            </w:pPr>
          </w:p>
        </w:tc>
        <w:tc>
          <w:tcPr>
            <w:tcW w:w="660" w:type="dxa"/>
            <w:vAlign w:val="bottom"/>
          </w:tcPr>
          <w:p>
            <w:pPr>
              <w:jc w:val="right"/>
              <w:ind w:right="73"/>
              <w:spacing w:after="0" w:line="105" w:lineRule="exact"/>
              <w:rPr>
                <w:sz w:val="20"/>
                <w:szCs w:val="20"/>
                <w:color w:val="auto"/>
              </w:rPr>
            </w:pPr>
            <w:r>
              <w:rPr>
                <w:rFonts w:ascii="Arial" w:cs="Arial" w:eastAsia="Arial" w:hAnsi="Arial"/>
                <w:sz w:val="10"/>
                <w:szCs w:val="10"/>
                <w:color w:val="auto"/>
              </w:rPr>
              <w:t>--</w:t>
            </w:r>
          </w:p>
        </w:tc>
        <w:tc>
          <w:tcPr>
            <w:tcW w:w="320" w:type="dxa"/>
            <w:vAlign w:val="bottom"/>
          </w:tcPr>
          <w:p>
            <w:pPr>
              <w:spacing w:after="0"/>
              <w:rPr>
                <w:sz w:val="9"/>
                <w:szCs w:val="9"/>
                <w:color w:val="auto"/>
              </w:rPr>
            </w:pPr>
          </w:p>
        </w:tc>
        <w:tc>
          <w:tcPr>
            <w:tcW w:w="720" w:type="dxa"/>
            <w:vAlign w:val="bottom"/>
          </w:tcPr>
          <w:p>
            <w:pPr>
              <w:jc w:val="right"/>
              <w:spacing w:after="0" w:line="105" w:lineRule="exact"/>
              <w:rPr>
                <w:sz w:val="20"/>
                <w:szCs w:val="20"/>
                <w:color w:val="auto"/>
              </w:rPr>
            </w:pPr>
            <w:r>
              <w:rPr>
                <w:rFonts w:ascii="Arial" w:cs="Arial" w:eastAsia="Arial" w:hAnsi="Arial"/>
                <w:sz w:val="10"/>
                <w:szCs w:val="10"/>
                <w:color w:val="auto"/>
              </w:rPr>
              <w:t>26,051</w:t>
            </w:r>
          </w:p>
        </w:tc>
        <w:tc>
          <w:tcPr>
            <w:tcW w:w="0" w:type="dxa"/>
            <w:vAlign w:val="bottom"/>
          </w:tcPr>
          <w:p>
            <w:pPr>
              <w:spacing w:after="0"/>
              <w:rPr>
                <w:sz w:val="1"/>
                <w:szCs w:val="1"/>
                <w:color w:val="auto"/>
              </w:rPr>
            </w:pPr>
          </w:p>
        </w:tc>
      </w:tr>
      <w:tr>
        <w:trPr>
          <w:trHeight w:val="149"/>
        </w:trPr>
        <w:tc>
          <w:tcPr>
            <w:tcW w:w="1320" w:type="dxa"/>
            <w:vAlign w:val="bottom"/>
          </w:tcPr>
          <w:p>
            <w:pPr>
              <w:ind w:left="140"/>
              <w:spacing w:after="0"/>
              <w:rPr>
                <w:sz w:val="20"/>
                <w:szCs w:val="20"/>
                <w:color w:val="auto"/>
              </w:rPr>
            </w:pPr>
            <w:r>
              <w:rPr>
                <w:rFonts w:ascii="Arial" w:cs="Arial" w:eastAsia="Arial" w:hAnsi="Arial"/>
                <w:sz w:val="10"/>
                <w:szCs w:val="10"/>
                <w:color w:val="auto"/>
              </w:rPr>
              <w:t>Chief Executive Officer</w:t>
            </w:r>
          </w:p>
        </w:tc>
        <w:tc>
          <w:tcPr>
            <w:tcW w:w="540" w:type="dxa"/>
            <w:vAlign w:val="bottom"/>
            <w:gridSpan w:val="2"/>
          </w:tcPr>
          <w:p>
            <w:pPr>
              <w:jc w:val="right"/>
              <w:ind w:right="100"/>
              <w:spacing w:after="0"/>
              <w:rPr>
                <w:sz w:val="20"/>
                <w:szCs w:val="20"/>
                <w:color w:val="auto"/>
              </w:rPr>
            </w:pPr>
            <w:r>
              <w:rPr>
                <w:rFonts w:ascii="Arial" w:cs="Arial" w:eastAsia="Arial" w:hAnsi="Arial"/>
                <w:sz w:val="10"/>
                <w:szCs w:val="10"/>
                <w:color w:val="auto"/>
              </w:rPr>
              <w:t>2013</w:t>
            </w:r>
          </w:p>
        </w:tc>
        <w:tc>
          <w:tcPr>
            <w:tcW w:w="720" w:type="dxa"/>
            <w:vAlign w:val="bottom"/>
            <w:gridSpan w:val="2"/>
          </w:tcPr>
          <w:p>
            <w:pPr>
              <w:ind w:left="300"/>
              <w:spacing w:after="0"/>
              <w:rPr>
                <w:sz w:val="20"/>
                <w:szCs w:val="20"/>
                <w:color w:val="auto"/>
              </w:rPr>
            </w:pPr>
            <w:r>
              <w:rPr>
                <w:rFonts w:ascii="Arial" w:cs="Arial" w:eastAsia="Arial" w:hAnsi="Arial"/>
                <w:sz w:val="10"/>
                <w:szCs w:val="10"/>
                <w:color w:val="auto"/>
              </w:rPr>
              <w:t>195,417</w:t>
            </w:r>
          </w:p>
        </w:tc>
        <w:tc>
          <w:tcPr>
            <w:tcW w:w="500" w:type="dxa"/>
            <w:vAlign w:val="bottom"/>
          </w:tcPr>
          <w:p>
            <w:pPr>
              <w:jc w:val="right"/>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w:t>
            </w:r>
          </w:p>
        </w:tc>
        <w:tc>
          <w:tcPr>
            <w:tcW w:w="660" w:type="dxa"/>
            <w:vAlign w:val="bottom"/>
            <w:gridSpan w:val="2"/>
          </w:tcPr>
          <w:p>
            <w:pPr>
              <w:jc w:val="right"/>
              <w:spacing w:after="0"/>
              <w:rPr>
                <w:sz w:val="20"/>
                <w:szCs w:val="20"/>
                <w:color w:val="auto"/>
              </w:rPr>
            </w:pPr>
            <w:r>
              <w:rPr>
                <w:rFonts w:ascii="Arial" w:cs="Arial" w:eastAsia="Arial" w:hAnsi="Arial"/>
                <w:sz w:val="10"/>
                <w:szCs w:val="10"/>
                <w:color w:val="auto"/>
              </w:rPr>
              <w:t>29,182--</w:t>
            </w:r>
          </w:p>
        </w:tc>
        <w:tc>
          <w:tcPr>
            <w:tcW w:w="160" w:type="dxa"/>
            <w:vAlign w:val="bottom"/>
          </w:tcPr>
          <w:p>
            <w:pPr>
              <w:spacing w:after="0"/>
              <w:rPr>
                <w:sz w:val="12"/>
                <w:szCs w:val="12"/>
                <w:color w:val="auto"/>
              </w:rPr>
            </w:pPr>
          </w:p>
        </w:tc>
        <w:tc>
          <w:tcPr>
            <w:tcW w:w="660" w:type="dxa"/>
            <w:vAlign w:val="bottom"/>
          </w:tcPr>
          <w:p>
            <w:pPr>
              <w:jc w:val="right"/>
              <w:ind w:right="73"/>
              <w:spacing w:after="0"/>
              <w:rPr>
                <w:sz w:val="20"/>
                <w:szCs w:val="20"/>
                <w:color w:val="auto"/>
              </w:rPr>
            </w:pPr>
            <w:r>
              <w:rPr>
                <w:rFonts w:ascii="Arial" w:cs="Arial" w:eastAsia="Arial" w:hAnsi="Arial"/>
                <w:sz w:val="10"/>
                <w:szCs w:val="10"/>
                <w:color w:val="auto"/>
              </w:rPr>
              <w:t>--</w:t>
            </w:r>
          </w:p>
        </w:tc>
        <w:tc>
          <w:tcPr>
            <w:tcW w:w="3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0"/>
                <w:szCs w:val="10"/>
                <w:color w:val="auto"/>
              </w:rPr>
              <w:t>9,346</w:t>
            </w:r>
          </w:p>
        </w:tc>
        <w:tc>
          <w:tcPr>
            <w:tcW w:w="0" w:type="dxa"/>
            <w:vAlign w:val="bottom"/>
          </w:tcPr>
          <w:p>
            <w:pPr>
              <w:spacing w:after="0"/>
              <w:rPr>
                <w:sz w:val="1"/>
                <w:szCs w:val="1"/>
                <w:color w:val="auto"/>
              </w:rPr>
            </w:pPr>
          </w:p>
        </w:tc>
      </w:tr>
      <w:tr>
        <w:trPr>
          <w:trHeight w:val="122"/>
        </w:trPr>
        <w:tc>
          <w:tcPr>
            <w:tcW w:w="1320" w:type="dxa"/>
            <w:vAlign w:val="bottom"/>
          </w:tcPr>
          <w:p>
            <w:pPr>
              <w:spacing w:after="0"/>
              <w:rPr>
                <w:sz w:val="20"/>
                <w:szCs w:val="20"/>
                <w:color w:val="auto"/>
              </w:rPr>
            </w:pPr>
            <w:r>
              <w:rPr>
                <w:rFonts w:ascii="Arial" w:cs="Arial" w:eastAsia="Arial" w:hAnsi="Arial"/>
                <w:sz w:val="10"/>
                <w:szCs w:val="10"/>
                <w:color w:val="auto"/>
              </w:rPr>
              <w:t xml:space="preserve">Devasis Ghose </w:t>
            </w:r>
            <w:r>
              <w:rPr>
                <w:rFonts w:ascii="Arial" w:cs="Arial" w:eastAsia="Arial" w:hAnsi="Arial"/>
                <w:sz w:val="4"/>
                <w:szCs w:val="4"/>
                <w:color w:val="auto"/>
              </w:rPr>
              <w:t>(6)</w:t>
            </w:r>
          </w:p>
        </w:tc>
        <w:tc>
          <w:tcPr>
            <w:tcW w:w="540" w:type="dxa"/>
            <w:vAlign w:val="bottom"/>
            <w:gridSpan w:val="2"/>
          </w:tcPr>
          <w:p>
            <w:pPr>
              <w:jc w:val="right"/>
              <w:ind w:right="100"/>
              <w:spacing w:after="0"/>
              <w:rPr>
                <w:sz w:val="20"/>
                <w:szCs w:val="20"/>
                <w:color w:val="auto"/>
              </w:rPr>
            </w:pPr>
            <w:r>
              <w:rPr>
                <w:rFonts w:ascii="Arial" w:cs="Arial" w:eastAsia="Arial" w:hAnsi="Arial"/>
                <w:sz w:val="10"/>
                <w:szCs w:val="10"/>
                <w:color w:val="auto"/>
              </w:rPr>
              <w:t>2015</w:t>
            </w:r>
          </w:p>
        </w:tc>
        <w:tc>
          <w:tcPr>
            <w:tcW w:w="720" w:type="dxa"/>
            <w:vAlign w:val="bottom"/>
            <w:gridSpan w:val="2"/>
          </w:tcPr>
          <w:p>
            <w:pPr>
              <w:ind w:left="300"/>
              <w:spacing w:after="0"/>
              <w:rPr>
                <w:sz w:val="20"/>
                <w:szCs w:val="20"/>
                <w:color w:val="auto"/>
              </w:rPr>
            </w:pPr>
            <w:r>
              <w:rPr>
                <w:rFonts w:ascii="Arial" w:cs="Arial" w:eastAsia="Arial" w:hAnsi="Arial"/>
                <w:sz w:val="10"/>
                <w:szCs w:val="10"/>
                <w:color w:val="auto"/>
              </w:rPr>
              <w:t>257,692</w:t>
            </w:r>
          </w:p>
        </w:tc>
        <w:tc>
          <w:tcPr>
            <w:tcW w:w="660" w:type="dxa"/>
            <w:vAlign w:val="bottom"/>
            <w:gridSpan w:val="2"/>
          </w:tcPr>
          <w:p>
            <w:pPr>
              <w:jc w:val="right"/>
              <w:ind w:right="100"/>
              <w:spacing w:after="0"/>
              <w:rPr>
                <w:sz w:val="20"/>
                <w:szCs w:val="20"/>
                <w:color w:val="auto"/>
              </w:rPr>
            </w:pPr>
            <w:r>
              <w:rPr>
                <w:rFonts w:ascii="Arial" w:cs="Arial" w:eastAsia="Arial" w:hAnsi="Arial"/>
                <w:sz w:val="10"/>
                <w:szCs w:val="10"/>
                <w:color w:val="auto"/>
              </w:rPr>
              <w:t>75,000</w:t>
            </w:r>
          </w:p>
        </w:tc>
        <w:tc>
          <w:tcPr>
            <w:tcW w:w="500" w:type="dxa"/>
            <w:vAlign w:val="bottom"/>
          </w:tcPr>
          <w:p>
            <w:pPr>
              <w:spacing w:after="0"/>
              <w:rPr>
                <w:sz w:val="10"/>
                <w:szCs w:val="10"/>
                <w:color w:val="auto"/>
              </w:rPr>
            </w:pPr>
          </w:p>
        </w:tc>
        <w:tc>
          <w:tcPr>
            <w:tcW w:w="820" w:type="dxa"/>
            <w:vAlign w:val="bottom"/>
            <w:gridSpan w:val="3"/>
          </w:tcPr>
          <w:p>
            <w:pPr>
              <w:jc w:val="right"/>
              <w:ind w:right="120"/>
              <w:spacing w:after="0"/>
              <w:rPr>
                <w:sz w:val="20"/>
                <w:szCs w:val="20"/>
                <w:color w:val="auto"/>
              </w:rPr>
            </w:pPr>
            <w:r>
              <w:rPr>
                <w:rFonts w:ascii="Arial" w:cs="Arial" w:eastAsia="Arial" w:hAnsi="Arial"/>
                <w:sz w:val="10"/>
                <w:szCs w:val="10"/>
                <w:color w:val="auto"/>
              </w:rPr>
              <w:t>382,334</w:t>
            </w:r>
          </w:p>
        </w:tc>
        <w:tc>
          <w:tcPr>
            <w:tcW w:w="660" w:type="dxa"/>
            <w:vAlign w:val="bottom"/>
          </w:tcPr>
          <w:p>
            <w:pPr>
              <w:jc w:val="right"/>
              <w:ind w:right="73"/>
              <w:spacing w:after="0"/>
              <w:rPr>
                <w:sz w:val="20"/>
                <w:szCs w:val="20"/>
                <w:color w:val="auto"/>
              </w:rPr>
            </w:pPr>
            <w:r>
              <w:rPr>
                <w:rFonts w:ascii="Arial" w:cs="Arial" w:eastAsia="Arial" w:hAnsi="Arial"/>
                <w:sz w:val="10"/>
                <w:szCs w:val="10"/>
                <w:color w:val="auto"/>
              </w:rPr>
              <w:t>--</w:t>
            </w:r>
          </w:p>
        </w:tc>
        <w:tc>
          <w:tcPr>
            <w:tcW w:w="320" w:type="dxa"/>
            <w:vAlign w:val="bottom"/>
          </w:tcPr>
          <w:p>
            <w:pPr>
              <w:spacing w:after="0"/>
              <w:rPr>
                <w:sz w:val="10"/>
                <w:szCs w:val="10"/>
                <w:color w:val="auto"/>
              </w:rPr>
            </w:pPr>
          </w:p>
        </w:tc>
        <w:tc>
          <w:tcPr>
            <w:tcW w:w="720" w:type="dxa"/>
            <w:vAlign w:val="bottom"/>
          </w:tcPr>
          <w:p>
            <w:pPr>
              <w:jc w:val="right"/>
              <w:spacing w:after="0"/>
              <w:rPr>
                <w:sz w:val="20"/>
                <w:szCs w:val="20"/>
                <w:color w:val="auto"/>
              </w:rPr>
            </w:pPr>
            <w:r>
              <w:rPr>
                <w:rFonts w:ascii="Arial" w:cs="Arial" w:eastAsia="Arial" w:hAnsi="Arial"/>
                <w:sz w:val="10"/>
                <w:szCs w:val="10"/>
                <w:color w:val="auto"/>
              </w:rPr>
              <w:t>15,730</w:t>
            </w:r>
          </w:p>
        </w:tc>
        <w:tc>
          <w:tcPr>
            <w:tcW w:w="0" w:type="dxa"/>
            <w:vAlign w:val="bottom"/>
          </w:tcPr>
          <w:p>
            <w:pPr>
              <w:spacing w:after="0"/>
              <w:rPr>
                <w:sz w:val="1"/>
                <w:szCs w:val="1"/>
                <w:color w:val="auto"/>
              </w:rPr>
            </w:pPr>
          </w:p>
        </w:tc>
      </w:tr>
      <w:tr>
        <w:trPr>
          <w:trHeight w:val="99"/>
        </w:trPr>
        <w:tc>
          <w:tcPr>
            <w:tcW w:w="1320" w:type="dxa"/>
            <w:vAlign w:val="bottom"/>
          </w:tcPr>
          <w:p>
            <w:pPr>
              <w:ind w:left="140"/>
              <w:spacing w:after="0" w:line="99" w:lineRule="exact"/>
              <w:rPr>
                <w:sz w:val="20"/>
                <w:szCs w:val="20"/>
                <w:color w:val="auto"/>
              </w:rPr>
            </w:pPr>
            <w:r>
              <w:rPr>
                <w:rFonts w:ascii="Arial" w:cs="Arial" w:eastAsia="Arial" w:hAnsi="Arial"/>
                <w:sz w:val="10"/>
                <w:szCs w:val="10"/>
                <w:color w:val="auto"/>
              </w:rPr>
              <w:t>Chief Financial Officer</w:t>
            </w:r>
          </w:p>
        </w:tc>
        <w:tc>
          <w:tcPr>
            <w:tcW w:w="540" w:type="dxa"/>
            <w:vAlign w:val="bottom"/>
            <w:gridSpan w:val="2"/>
            <w:vMerge w:val="restart"/>
          </w:tcPr>
          <w:p>
            <w:pPr>
              <w:jc w:val="right"/>
              <w:ind w:right="100"/>
              <w:spacing w:after="0"/>
              <w:rPr>
                <w:sz w:val="20"/>
                <w:szCs w:val="20"/>
                <w:color w:val="auto"/>
              </w:rPr>
            </w:pPr>
            <w:r>
              <w:rPr>
                <w:rFonts w:ascii="Arial" w:cs="Arial" w:eastAsia="Arial" w:hAnsi="Arial"/>
                <w:sz w:val="10"/>
                <w:szCs w:val="10"/>
                <w:color w:val="auto"/>
              </w:rPr>
              <w:t>2014</w:t>
            </w:r>
          </w:p>
        </w:tc>
        <w:tc>
          <w:tcPr>
            <w:tcW w:w="560" w:type="dxa"/>
            <w:vAlign w:val="bottom"/>
            <w:vMerge w:val="restart"/>
          </w:tcPr>
          <w:p>
            <w:pPr>
              <w:ind w:left="500"/>
              <w:spacing w:after="0"/>
              <w:rPr>
                <w:sz w:val="20"/>
                <w:szCs w:val="20"/>
                <w:color w:val="auto"/>
              </w:rPr>
            </w:pPr>
            <w:r>
              <w:rPr>
                <w:rFonts w:ascii="Arial" w:cs="Arial" w:eastAsia="Arial" w:hAnsi="Arial"/>
                <w:sz w:val="8"/>
                <w:szCs w:val="8"/>
                <w:color w:val="auto"/>
                <w:w w:val="74"/>
              </w:rPr>
              <w:t>--</w:t>
            </w:r>
          </w:p>
        </w:tc>
        <w:tc>
          <w:tcPr>
            <w:tcW w:w="160" w:type="dxa"/>
            <w:vAlign w:val="bottom"/>
          </w:tcPr>
          <w:p>
            <w:pPr>
              <w:spacing w:after="0"/>
              <w:rPr>
                <w:sz w:val="8"/>
                <w:szCs w:val="8"/>
                <w:color w:val="auto"/>
              </w:rPr>
            </w:pPr>
          </w:p>
        </w:tc>
        <w:tc>
          <w:tcPr>
            <w:tcW w:w="500" w:type="dxa"/>
            <w:vAlign w:val="bottom"/>
            <w:vMerge w:val="restart"/>
          </w:tcPr>
          <w:p>
            <w:pPr>
              <w:jc w:val="right"/>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8"/>
                <w:szCs w:val="8"/>
                <w:color w:val="auto"/>
              </w:rPr>
            </w:pPr>
          </w:p>
        </w:tc>
        <w:tc>
          <w:tcPr>
            <w:tcW w:w="500" w:type="dxa"/>
            <w:vAlign w:val="bottom"/>
            <w:vMerge w:val="restart"/>
          </w:tcPr>
          <w:p>
            <w:pPr>
              <w:jc w:val="right"/>
              <w:spacing w:after="0"/>
              <w:rPr>
                <w:sz w:val="20"/>
                <w:szCs w:val="20"/>
                <w:color w:val="auto"/>
              </w:rPr>
            </w:pPr>
            <w:r>
              <w:rPr>
                <w:rFonts w:ascii="Arial" w:cs="Arial" w:eastAsia="Arial" w:hAnsi="Arial"/>
                <w:sz w:val="10"/>
                <w:szCs w:val="10"/>
                <w:color w:val="auto"/>
              </w:rPr>
              <w:t>--</w:t>
            </w:r>
          </w:p>
        </w:tc>
        <w:tc>
          <w:tcPr>
            <w:tcW w:w="660" w:type="dxa"/>
            <w:vAlign w:val="bottom"/>
            <w:gridSpan w:val="2"/>
            <w:vMerge w:val="restart"/>
          </w:tcPr>
          <w:p>
            <w:pPr>
              <w:jc w:val="right"/>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8"/>
                <w:szCs w:val="8"/>
                <w:color w:val="auto"/>
              </w:rPr>
            </w:pPr>
          </w:p>
        </w:tc>
        <w:tc>
          <w:tcPr>
            <w:tcW w:w="660" w:type="dxa"/>
            <w:vAlign w:val="bottom"/>
            <w:vMerge w:val="restart"/>
          </w:tcPr>
          <w:p>
            <w:pPr>
              <w:jc w:val="right"/>
              <w:ind w:right="73"/>
              <w:spacing w:after="0"/>
              <w:rPr>
                <w:sz w:val="20"/>
                <w:szCs w:val="20"/>
                <w:color w:val="auto"/>
              </w:rPr>
            </w:pPr>
            <w:r>
              <w:rPr>
                <w:rFonts w:ascii="Arial" w:cs="Arial" w:eastAsia="Arial" w:hAnsi="Arial"/>
                <w:sz w:val="10"/>
                <w:szCs w:val="10"/>
                <w:color w:val="auto"/>
              </w:rPr>
              <w:t>--</w:t>
            </w:r>
          </w:p>
        </w:tc>
        <w:tc>
          <w:tcPr>
            <w:tcW w:w="320" w:type="dxa"/>
            <w:vAlign w:val="bottom"/>
            <w:vMerge w:val="restart"/>
          </w:tcPr>
          <w:p>
            <w:pPr>
              <w:ind w:left="40"/>
              <w:spacing w:after="0"/>
              <w:rPr>
                <w:sz w:val="20"/>
                <w:szCs w:val="20"/>
                <w:color w:val="auto"/>
              </w:rPr>
            </w:pPr>
            <w:r>
              <w:rPr>
                <w:rFonts w:ascii="Arial" w:cs="Arial" w:eastAsia="Arial" w:hAnsi="Arial"/>
                <w:sz w:val="10"/>
                <w:szCs w:val="10"/>
                <w:color w:val="auto"/>
              </w:rPr>
              <w:t>--</w:t>
            </w:r>
          </w:p>
        </w:tc>
        <w:tc>
          <w:tcPr>
            <w:tcW w:w="720" w:type="dxa"/>
            <w:vAlign w:val="bottom"/>
            <w:vMerge w:val="restart"/>
          </w:tcPr>
          <w:p>
            <w:pPr>
              <w:jc w:val="right"/>
              <w:ind w:right="12"/>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68"/>
        </w:trPr>
        <w:tc>
          <w:tcPr>
            <w:tcW w:w="1320" w:type="dxa"/>
            <w:vAlign w:val="bottom"/>
            <w:vMerge w:val="restart"/>
          </w:tcPr>
          <w:p>
            <w:pPr>
              <w:ind w:left="140"/>
              <w:spacing w:after="0"/>
              <w:rPr>
                <w:sz w:val="20"/>
                <w:szCs w:val="20"/>
                <w:color w:val="auto"/>
              </w:rPr>
            </w:pPr>
            <w:r>
              <w:rPr>
                <w:rFonts w:ascii="Arial" w:cs="Arial" w:eastAsia="Arial" w:hAnsi="Arial"/>
                <w:sz w:val="10"/>
                <w:szCs w:val="10"/>
                <w:color w:val="auto"/>
              </w:rPr>
              <w:t>and Treasurer</w:t>
            </w:r>
          </w:p>
        </w:tc>
        <w:tc>
          <w:tcPr>
            <w:tcW w:w="540" w:type="dxa"/>
            <w:vAlign w:val="bottom"/>
            <w:gridSpan w:val="2"/>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32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4"/>
        </w:trPr>
        <w:tc>
          <w:tcPr>
            <w:tcW w:w="1320" w:type="dxa"/>
            <w:vAlign w:val="bottom"/>
            <w:vMerge w:val="continue"/>
          </w:tcPr>
          <w:p>
            <w:pPr>
              <w:spacing w:after="0"/>
              <w:rPr>
                <w:sz w:val="4"/>
                <w:szCs w:val="4"/>
                <w:color w:val="auto"/>
              </w:rPr>
            </w:pPr>
          </w:p>
        </w:tc>
        <w:tc>
          <w:tcPr>
            <w:tcW w:w="540" w:type="dxa"/>
            <w:vAlign w:val="bottom"/>
            <w:gridSpan w:val="2"/>
            <w:vMerge w:val="restart"/>
          </w:tcPr>
          <w:p>
            <w:pPr>
              <w:jc w:val="right"/>
              <w:ind w:right="100"/>
              <w:spacing w:after="0"/>
              <w:rPr>
                <w:sz w:val="20"/>
                <w:szCs w:val="20"/>
                <w:color w:val="auto"/>
              </w:rPr>
            </w:pPr>
            <w:r>
              <w:rPr>
                <w:rFonts w:ascii="Arial" w:cs="Arial" w:eastAsia="Arial" w:hAnsi="Arial"/>
                <w:sz w:val="10"/>
                <w:szCs w:val="10"/>
                <w:color w:val="auto"/>
              </w:rPr>
              <w:t>2013</w:t>
            </w:r>
          </w:p>
        </w:tc>
        <w:tc>
          <w:tcPr>
            <w:tcW w:w="560" w:type="dxa"/>
            <w:vAlign w:val="bottom"/>
            <w:vMerge w:val="restart"/>
          </w:tcPr>
          <w:p>
            <w:pPr>
              <w:ind w:left="500"/>
              <w:spacing w:after="0"/>
              <w:rPr>
                <w:sz w:val="20"/>
                <w:szCs w:val="20"/>
                <w:color w:val="auto"/>
              </w:rPr>
            </w:pPr>
            <w:r>
              <w:rPr>
                <w:rFonts w:ascii="Arial" w:cs="Arial" w:eastAsia="Arial" w:hAnsi="Arial"/>
                <w:sz w:val="8"/>
                <w:szCs w:val="8"/>
                <w:color w:val="auto"/>
                <w:w w:val="74"/>
              </w:rPr>
              <w:t>--</w:t>
            </w:r>
          </w:p>
        </w:tc>
        <w:tc>
          <w:tcPr>
            <w:tcW w:w="160" w:type="dxa"/>
            <w:vAlign w:val="bottom"/>
          </w:tcPr>
          <w:p>
            <w:pPr>
              <w:spacing w:after="0"/>
              <w:rPr>
                <w:sz w:val="4"/>
                <w:szCs w:val="4"/>
                <w:color w:val="auto"/>
              </w:rPr>
            </w:pPr>
          </w:p>
        </w:tc>
        <w:tc>
          <w:tcPr>
            <w:tcW w:w="500" w:type="dxa"/>
            <w:vAlign w:val="bottom"/>
            <w:vMerge w:val="restart"/>
          </w:tcPr>
          <w:p>
            <w:pPr>
              <w:jc w:val="right"/>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4"/>
                <w:szCs w:val="4"/>
                <w:color w:val="auto"/>
              </w:rPr>
            </w:pPr>
          </w:p>
        </w:tc>
        <w:tc>
          <w:tcPr>
            <w:tcW w:w="500" w:type="dxa"/>
            <w:vAlign w:val="bottom"/>
            <w:vMerge w:val="restart"/>
          </w:tcPr>
          <w:p>
            <w:pPr>
              <w:jc w:val="right"/>
              <w:spacing w:after="0"/>
              <w:rPr>
                <w:sz w:val="20"/>
                <w:szCs w:val="20"/>
                <w:color w:val="auto"/>
              </w:rPr>
            </w:pPr>
            <w:r>
              <w:rPr>
                <w:rFonts w:ascii="Arial" w:cs="Arial" w:eastAsia="Arial" w:hAnsi="Arial"/>
                <w:sz w:val="10"/>
                <w:szCs w:val="10"/>
                <w:color w:val="auto"/>
              </w:rPr>
              <w:t>--</w:t>
            </w:r>
          </w:p>
        </w:tc>
        <w:tc>
          <w:tcPr>
            <w:tcW w:w="660" w:type="dxa"/>
            <w:vAlign w:val="bottom"/>
            <w:gridSpan w:val="2"/>
            <w:vMerge w:val="restart"/>
          </w:tcPr>
          <w:p>
            <w:pPr>
              <w:jc w:val="right"/>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4"/>
                <w:szCs w:val="4"/>
                <w:color w:val="auto"/>
              </w:rPr>
            </w:pPr>
          </w:p>
        </w:tc>
        <w:tc>
          <w:tcPr>
            <w:tcW w:w="660" w:type="dxa"/>
            <w:vAlign w:val="bottom"/>
            <w:vMerge w:val="restart"/>
          </w:tcPr>
          <w:p>
            <w:pPr>
              <w:jc w:val="right"/>
              <w:ind w:right="73"/>
              <w:spacing w:after="0"/>
              <w:rPr>
                <w:sz w:val="20"/>
                <w:szCs w:val="20"/>
                <w:color w:val="auto"/>
              </w:rPr>
            </w:pPr>
            <w:r>
              <w:rPr>
                <w:rFonts w:ascii="Arial" w:cs="Arial" w:eastAsia="Arial" w:hAnsi="Arial"/>
                <w:sz w:val="10"/>
                <w:szCs w:val="10"/>
                <w:color w:val="auto"/>
              </w:rPr>
              <w:t>--</w:t>
            </w:r>
          </w:p>
        </w:tc>
        <w:tc>
          <w:tcPr>
            <w:tcW w:w="320" w:type="dxa"/>
            <w:vAlign w:val="bottom"/>
            <w:vMerge w:val="restart"/>
          </w:tcPr>
          <w:p>
            <w:pPr>
              <w:ind w:left="40"/>
              <w:spacing w:after="0"/>
              <w:rPr>
                <w:sz w:val="20"/>
                <w:szCs w:val="20"/>
                <w:color w:val="auto"/>
              </w:rPr>
            </w:pPr>
            <w:r>
              <w:rPr>
                <w:rFonts w:ascii="Arial" w:cs="Arial" w:eastAsia="Arial" w:hAnsi="Arial"/>
                <w:sz w:val="10"/>
                <w:szCs w:val="10"/>
                <w:color w:val="auto"/>
              </w:rPr>
              <w:t>--</w:t>
            </w:r>
          </w:p>
        </w:tc>
        <w:tc>
          <w:tcPr>
            <w:tcW w:w="720" w:type="dxa"/>
            <w:vAlign w:val="bottom"/>
            <w:vMerge w:val="restart"/>
          </w:tcPr>
          <w:p>
            <w:pPr>
              <w:jc w:val="right"/>
              <w:ind w:right="12"/>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90"/>
        </w:trPr>
        <w:tc>
          <w:tcPr>
            <w:tcW w:w="1320" w:type="dxa"/>
            <w:vAlign w:val="bottom"/>
          </w:tcPr>
          <w:p>
            <w:pPr>
              <w:spacing w:after="0"/>
              <w:rPr>
                <w:sz w:val="7"/>
                <w:szCs w:val="7"/>
                <w:color w:val="auto"/>
              </w:rPr>
            </w:pPr>
          </w:p>
        </w:tc>
        <w:tc>
          <w:tcPr>
            <w:tcW w:w="540" w:type="dxa"/>
            <w:vAlign w:val="bottom"/>
            <w:gridSpan w:val="2"/>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32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2"/>
        </w:trPr>
        <w:tc>
          <w:tcPr>
            <w:tcW w:w="1320" w:type="dxa"/>
            <w:vAlign w:val="bottom"/>
          </w:tcPr>
          <w:p>
            <w:pPr>
              <w:spacing w:after="0"/>
              <w:rPr>
                <w:sz w:val="20"/>
                <w:szCs w:val="20"/>
                <w:color w:val="auto"/>
              </w:rPr>
            </w:pPr>
            <w:r>
              <w:rPr>
                <w:rFonts w:ascii="Arial" w:cs="Arial" w:eastAsia="Arial" w:hAnsi="Arial"/>
                <w:sz w:val="10"/>
                <w:szCs w:val="10"/>
                <w:color w:val="auto"/>
              </w:rPr>
              <w:t xml:space="preserve">Andrzej J. Matyczynski </w:t>
            </w:r>
            <w:r>
              <w:rPr>
                <w:rFonts w:ascii="Arial" w:cs="Arial" w:eastAsia="Arial" w:hAnsi="Arial"/>
                <w:sz w:val="4"/>
                <w:szCs w:val="4"/>
                <w:color w:val="auto"/>
              </w:rPr>
              <w:t>(7)</w:t>
            </w:r>
          </w:p>
        </w:tc>
        <w:tc>
          <w:tcPr>
            <w:tcW w:w="540" w:type="dxa"/>
            <w:vAlign w:val="bottom"/>
            <w:gridSpan w:val="2"/>
          </w:tcPr>
          <w:p>
            <w:pPr>
              <w:jc w:val="right"/>
              <w:ind w:right="100"/>
              <w:spacing w:after="0"/>
              <w:rPr>
                <w:sz w:val="20"/>
                <w:szCs w:val="20"/>
                <w:color w:val="auto"/>
              </w:rPr>
            </w:pPr>
            <w:r>
              <w:rPr>
                <w:rFonts w:ascii="Arial" w:cs="Arial" w:eastAsia="Arial" w:hAnsi="Arial"/>
                <w:sz w:val="10"/>
                <w:szCs w:val="10"/>
                <w:color w:val="auto"/>
              </w:rPr>
              <w:t>2015</w:t>
            </w:r>
          </w:p>
        </w:tc>
        <w:tc>
          <w:tcPr>
            <w:tcW w:w="720" w:type="dxa"/>
            <w:vAlign w:val="bottom"/>
            <w:gridSpan w:val="2"/>
          </w:tcPr>
          <w:p>
            <w:pPr>
              <w:ind w:left="300"/>
              <w:spacing w:after="0"/>
              <w:rPr>
                <w:sz w:val="20"/>
                <w:szCs w:val="20"/>
                <w:color w:val="auto"/>
              </w:rPr>
            </w:pPr>
            <w:r>
              <w:rPr>
                <w:rFonts w:ascii="Arial" w:cs="Arial" w:eastAsia="Arial" w:hAnsi="Arial"/>
                <w:sz w:val="10"/>
                <w:szCs w:val="10"/>
                <w:color w:val="auto"/>
              </w:rPr>
              <w:t>324,000</w:t>
            </w: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20" w:type="dxa"/>
            <w:vAlign w:val="bottom"/>
            <w:gridSpan w:val="3"/>
          </w:tcPr>
          <w:p>
            <w:pPr>
              <w:jc w:val="right"/>
              <w:ind w:right="120"/>
              <w:spacing w:after="0"/>
              <w:rPr>
                <w:sz w:val="20"/>
                <w:szCs w:val="20"/>
                <w:color w:val="auto"/>
              </w:rPr>
            </w:pPr>
            <w:r>
              <w:rPr>
                <w:rFonts w:ascii="Arial" w:cs="Arial" w:eastAsia="Arial" w:hAnsi="Arial"/>
                <w:sz w:val="10"/>
                <w:szCs w:val="10"/>
                <w:color w:val="auto"/>
              </w:rPr>
              <w:t>33,010</w:t>
            </w:r>
          </w:p>
        </w:tc>
        <w:tc>
          <w:tcPr>
            <w:tcW w:w="660" w:type="dxa"/>
            <w:vAlign w:val="bottom"/>
          </w:tcPr>
          <w:p>
            <w:pPr>
              <w:jc w:val="right"/>
              <w:ind w:right="13"/>
              <w:spacing w:after="0"/>
              <w:rPr>
                <w:sz w:val="20"/>
                <w:szCs w:val="20"/>
                <w:color w:val="auto"/>
              </w:rPr>
            </w:pPr>
            <w:r>
              <w:rPr>
                <w:rFonts w:ascii="Arial" w:cs="Arial" w:eastAsia="Arial" w:hAnsi="Arial"/>
                <w:sz w:val="10"/>
                <w:szCs w:val="10"/>
                <w:color w:val="auto"/>
              </w:rPr>
              <w:t>150,000</w:t>
            </w:r>
          </w:p>
        </w:tc>
        <w:tc>
          <w:tcPr>
            <w:tcW w:w="320" w:type="dxa"/>
            <w:vAlign w:val="bottom"/>
          </w:tcPr>
          <w:p>
            <w:pPr>
              <w:ind w:left="40"/>
              <w:spacing w:after="0"/>
              <w:rPr>
                <w:sz w:val="20"/>
                <w:szCs w:val="20"/>
                <w:color w:val="auto"/>
              </w:rPr>
            </w:pPr>
            <w:r>
              <w:rPr>
                <w:rFonts w:ascii="Arial" w:cs="Arial" w:eastAsia="Arial" w:hAnsi="Arial"/>
                <w:sz w:val="10"/>
                <w:szCs w:val="10"/>
                <w:color w:val="auto"/>
              </w:rPr>
              <w:t>(8)</w:t>
            </w:r>
          </w:p>
        </w:tc>
        <w:tc>
          <w:tcPr>
            <w:tcW w:w="720" w:type="dxa"/>
            <w:vAlign w:val="bottom"/>
          </w:tcPr>
          <w:p>
            <w:pPr>
              <w:jc w:val="right"/>
              <w:spacing w:after="0"/>
              <w:rPr>
                <w:sz w:val="20"/>
                <w:szCs w:val="20"/>
                <w:color w:val="auto"/>
              </w:rPr>
            </w:pPr>
            <w:r>
              <w:rPr>
                <w:rFonts w:ascii="Arial" w:cs="Arial" w:eastAsia="Arial" w:hAnsi="Arial"/>
                <w:sz w:val="10"/>
                <w:szCs w:val="10"/>
                <w:color w:val="auto"/>
              </w:rPr>
              <w:t>27,140</w:t>
            </w:r>
          </w:p>
        </w:tc>
        <w:tc>
          <w:tcPr>
            <w:tcW w:w="0" w:type="dxa"/>
            <w:vAlign w:val="bottom"/>
          </w:tcPr>
          <w:p>
            <w:pPr>
              <w:spacing w:after="0"/>
              <w:rPr>
                <w:sz w:val="1"/>
                <w:szCs w:val="1"/>
                <w:color w:val="auto"/>
              </w:rPr>
            </w:pPr>
          </w:p>
        </w:tc>
      </w:tr>
      <w:tr>
        <w:trPr>
          <w:trHeight w:val="99"/>
        </w:trPr>
        <w:tc>
          <w:tcPr>
            <w:tcW w:w="1320" w:type="dxa"/>
            <w:vAlign w:val="bottom"/>
          </w:tcPr>
          <w:p>
            <w:pPr>
              <w:ind w:left="140"/>
              <w:spacing w:after="0" w:line="99" w:lineRule="exact"/>
              <w:rPr>
                <w:sz w:val="20"/>
                <w:szCs w:val="20"/>
                <w:color w:val="auto"/>
              </w:rPr>
            </w:pPr>
            <w:r>
              <w:rPr>
                <w:rFonts w:ascii="Arial" w:cs="Arial" w:eastAsia="Arial" w:hAnsi="Arial"/>
                <w:sz w:val="10"/>
                <w:szCs w:val="10"/>
                <w:color w:val="auto"/>
              </w:rPr>
              <w:t>Former Chief Financial</w:t>
            </w:r>
          </w:p>
        </w:tc>
        <w:tc>
          <w:tcPr>
            <w:tcW w:w="540" w:type="dxa"/>
            <w:vAlign w:val="bottom"/>
            <w:gridSpan w:val="2"/>
            <w:vMerge w:val="restart"/>
          </w:tcPr>
          <w:p>
            <w:pPr>
              <w:jc w:val="right"/>
              <w:ind w:right="100"/>
              <w:spacing w:after="0"/>
              <w:rPr>
                <w:sz w:val="20"/>
                <w:szCs w:val="20"/>
                <w:color w:val="auto"/>
              </w:rPr>
            </w:pPr>
            <w:r>
              <w:rPr>
                <w:rFonts w:ascii="Arial" w:cs="Arial" w:eastAsia="Arial" w:hAnsi="Arial"/>
                <w:sz w:val="10"/>
                <w:szCs w:val="10"/>
                <w:color w:val="auto"/>
              </w:rPr>
              <w:t>2014</w:t>
            </w:r>
          </w:p>
        </w:tc>
        <w:tc>
          <w:tcPr>
            <w:tcW w:w="720" w:type="dxa"/>
            <w:vAlign w:val="bottom"/>
            <w:gridSpan w:val="2"/>
            <w:vMerge w:val="restart"/>
          </w:tcPr>
          <w:p>
            <w:pPr>
              <w:ind w:left="300"/>
              <w:spacing w:after="0"/>
              <w:rPr>
                <w:sz w:val="20"/>
                <w:szCs w:val="20"/>
                <w:color w:val="auto"/>
              </w:rPr>
            </w:pPr>
            <w:r>
              <w:rPr>
                <w:rFonts w:ascii="Arial" w:cs="Arial" w:eastAsia="Arial" w:hAnsi="Arial"/>
                <w:sz w:val="10"/>
                <w:szCs w:val="10"/>
                <w:color w:val="auto"/>
              </w:rPr>
              <w:t>308,640</w:t>
            </w: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820" w:type="dxa"/>
            <w:vAlign w:val="bottom"/>
            <w:gridSpan w:val="3"/>
            <w:vMerge w:val="restart"/>
          </w:tcPr>
          <w:p>
            <w:pPr>
              <w:jc w:val="right"/>
              <w:ind w:right="120"/>
              <w:spacing w:after="0"/>
              <w:rPr>
                <w:sz w:val="20"/>
                <w:szCs w:val="20"/>
                <w:color w:val="auto"/>
              </w:rPr>
            </w:pPr>
            <w:r>
              <w:rPr>
                <w:rFonts w:ascii="Arial" w:cs="Arial" w:eastAsia="Arial" w:hAnsi="Arial"/>
                <w:sz w:val="10"/>
                <w:szCs w:val="10"/>
                <w:color w:val="auto"/>
              </w:rPr>
              <w:t>33,010</w:t>
            </w:r>
          </w:p>
        </w:tc>
        <w:tc>
          <w:tcPr>
            <w:tcW w:w="660" w:type="dxa"/>
            <w:vAlign w:val="bottom"/>
            <w:vMerge w:val="restart"/>
          </w:tcPr>
          <w:p>
            <w:pPr>
              <w:jc w:val="right"/>
              <w:ind w:right="13"/>
              <w:spacing w:after="0"/>
              <w:rPr>
                <w:sz w:val="20"/>
                <w:szCs w:val="20"/>
                <w:color w:val="auto"/>
              </w:rPr>
            </w:pPr>
            <w:r>
              <w:rPr>
                <w:rFonts w:ascii="Arial" w:cs="Arial" w:eastAsia="Arial" w:hAnsi="Arial"/>
                <w:sz w:val="10"/>
                <w:szCs w:val="10"/>
                <w:color w:val="auto"/>
              </w:rPr>
              <w:t>150,000</w:t>
            </w:r>
          </w:p>
        </w:tc>
        <w:tc>
          <w:tcPr>
            <w:tcW w:w="320" w:type="dxa"/>
            <w:vAlign w:val="bottom"/>
            <w:vMerge w:val="restart"/>
          </w:tcPr>
          <w:p>
            <w:pPr>
              <w:ind w:left="40"/>
              <w:spacing w:after="0"/>
              <w:rPr>
                <w:sz w:val="20"/>
                <w:szCs w:val="20"/>
                <w:color w:val="auto"/>
              </w:rPr>
            </w:pPr>
            <w:r>
              <w:rPr>
                <w:rFonts w:ascii="Arial" w:cs="Arial" w:eastAsia="Arial" w:hAnsi="Arial"/>
                <w:sz w:val="10"/>
                <w:szCs w:val="10"/>
                <w:color w:val="auto"/>
              </w:rPr>
              <w:t>(8)</w:t>
            </w:r>
          </w:p>
        </w:tc>
        <w:tc>
          <w:tcPr>
            <w:tcW w:w="720" w:type="dxa"/>
            <w:vAlign w:val="bottom"/>
            <w:vMerge w:val="restart"/>
          </w:tcPr>
          <w:p>
            <w:pPr>
              <w:jc w:val="right"/>
              <w:spacing w:after="0"/>
              <w:rPr>
                <w:sz w:val="20"/>
                <w:szCs w:val="20"/>
                <w:color w:val="auto"/>
              </w:rPr>
            </w:pPr>
            <w:r>
              <w:rPr>
                <w:rFonts w:ascii="Arial" w:cs="Arial" w:eastAsia="Arial" w:hAnsi="Arial"/>
                <w:sz w:val="10"/>
                <w:szCs w:val="10"/>
                <w:color w:val="auto"/>
              </w:rPr>
              <w:t>26,380</w:t>
            </w:r>
          </w:p>
        </w:tc>
        <w:tc>
          <w:tcPr>
            <w:tcW w:w="0" w:type="dxa"/>
            <w:vAlign w:val="bottom"/>
          </w:tcPr>
          <w:p>
            <w:pPr>
              <w:spacing w:after="0"/>
              <w:rPr>
                <w:sz w:val="1"/>
                <w:szCs w:val="1"/>
                <w:color w:val="auto"/>
              </w:rPr>
            </w:pPr>
          </w:p>
        </w:tc>
      </w:tr>
      <w:tr>
        <w:trPr>
          <w:trHeight w:val="68"/>
        </w:trPr>
        <w:tc>
          <w:tcPr>
            <w:tcW w:w="1320" w:type="dxa"/>
            <w:vAlign w:val="bottom"/>
            <w:vMerge w:val="restart"/>
          </w:tcPr>
          <w:p>
            <w:pPr>
              <w:ind w:left="140"/>
              <w:spacing w:after="0"/>
              <w:rPr>
                <w:sz w:val="20"/>
                <w:szCs w:val="20"/>
                <w:color w:val="auto"/>
              </w:rPr>
            </w:pPr>
            <w:r>
              <w:rPr>
                <w:rFonts w:ascii="Arial" w:cs="Arial" w:eastAsia="Arial" w:hAnsi="Arial"/>
                <w:sz w:val="10"/>
                <w:szCs w:val="10"/>
                <w:color w:val="auto"/>
              </w:rPr>
              <w:t>Officer and Treasurer</w:t>
            </w:r>
          </w:p>
        </w:tc>
        <w:tc>
          <w:tcPr>
            <w:tcW w:w="540" w:type="dxa"/>
            <w:vAlign w:val="bottom"/>
            <w:gridSpan w:val="2"/>
            <w:vMerge w:val="continue"/>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500" w:type="dxa"/>
            <w:vAlign w:val="bottom"/>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tcPr>
          <w:p>
            <w:pPr>
              <w:spacing w:after="0"/>
              <w:rPr>
                <w:sz w:val="5"/>
                <w:szCs w:val="5"/>
                <w:color w:val="auto"/>
              </w:rPr>
            </w:pPr>
          </w:p>
        </w:tc>
        <w:tc>
          <w:tcPr>
            <w:tcW w:w="820" w:type="dxa"/>
            <w:vAlign w:val="bottom"/>
            <w:gridSpan w:val="3"/>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32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4"/>
        </w:trPr>
        <w:tc>
          <w:tcPr>
            <w:tcW w:w="1320" w:type="dxa"/>
            <w:vAlign w:val="bottom"/>
            <w:vMerge w:val="continue"/>
          </w:tcPr>
          <w:p>
            <w:pPr>
              <w:spacing w:after="0"/>
              <w:rPr>
                <w:sz w:val="4"/>
                <w:szCs w:val="4"/>
                <w:color w:val="auto"/>
              </w:rPr>
            </w:pPr>
          </w:p>
        </w:tc>
        <w:tc>
          <w:tcPr>
            <w:tcW w:w="540" w:type="dxa"/>
            <w:vAlign w:val="bottom"/>
            <w:gridSpan w:val="2"/>
            <w:vMerge w:val="restart"/>
          </w:tcPr>
          <w:p>
            <w:pPr>
              <w:jc w:val="right"/>
              <w:ind w:right="100"/>
              <w:spacing w:after="0"/>
              <w:rPr>
                <w:sz w:val="20"/>
                <w:szCs w:val="20"/>
                <w:color w:val="auto"/>
              </w:rPr>
            </w:pPr>
            <w:r>
              <w:rPr>
                <w:rFonts w:ascii="Arial" w:cs="Arial" w:eastAsia="Arial" w:hAnsi="Arial"/>
                <w:sz w:val="10"/>
                <w:szCs w:val="10"/>
                <w:color w:val="auto"/>
              </w:rPr>
              <w:t>2013</w:t>
            </w:r>
          </w:p>
        </w:tc>
        <w:tc>
          <w:tcPr>
            <w:tcW w:w="720" w:type="dxa"/>
            <w:vAlign w:val="bottom"/>
            <w:gridSpan w:val="2"/>
            <w:vMerge w:val="restart"/>
          </w:tcPr>
          <w:p>
            <w:pPr>
              <w:ind w:left="300"/>
              <w:spacing w:after="0"/>
              <w:rPr>
                <w:sz w:val="20"/>
                <w:szCs w:val="20"/>
                <w:color w:val="auto"/>
              </w:rPr>
            </w:pPr>
            <w:r>
              <w:rPr>
                <w:rFonts w:ascii="Arial" w:cs="Arial" w:eastAsia="Arial" w:hAnsi="Arial"/>
                <w:sz w:val="10"/>
                <w:szCs w:val="10"/>
                <w:color w:val="auto"/>
              </w:rPr>
              <w:t>308,640</w:t>
            </w:r>
          </w:p>
        </w:tc>
        <w:tc>
          <w:tcPr>
            <w:tcW w:w="660" w:type="dxa"/>
            <w:vAlign w:val="bottom"/>
            <w:gridSpan w:val="2"/>
            <w:vMerge w:val="restart"/>
          </w:tcPr>
          <w:p>
            <w:pPr>
              <w:jc w:val="right"/>
              <w:ind w:right="100"/>
              <w:spacing w:after="0"/>
              <w:rPr>
                <w:sz w:val="20"/>
                <w:szCs w:val="20"/>
                <w:color w:val="auto"/>
              </w:rPr>
            </w:pPr>
            <w:r>
              <w:rPr>
                <w:rFonts w:ascii="Arial" w:cs="Arial" w:eastAsia="Arial" w:hAnsi="Arial"/>
                <w:sz w:val="10"/>
                <w:szCs w:val="10"/>
                <w:color w:val="auto"/>
              </w:rPr>
              <w:t>35,000</w:t>
            </w:r>
          </w:p>
        </w:tc>
        <w:tc>
          <w:tcPr>
            <w:tcW w:w="500" w:type="dxa"/>
            <w:vAlign w:val="bottom"/>
            <w:vMerge w:val="restart"/>
          </w:tcPr>
          <w:p>
            <w:pPr>
              <w:jc w:val="right"/>
              <w:spacing w:after="0"/>
              <w:rPr>
                <w:sz w:val="20"/>
                <w:szCs w:val="20"/>
                <w:color w:val="auto"/>
              </w:rPr>
            </w:pPr>
            <w:r>
              <w:rPr>
                <w:rFonts w:ascii="Arial" w:cs="Arial" w:eastAsia="Arial" w:hAnsi="Arial"/>
                <w:sz w:val="10"/>
                <w:szCs w:val="10"/>
                <w:color w:val="auto"/>
              </w:rPr>
              <w:t>--</w:t>
            </w:r>
          </w:p>
        </w:tc>
        <w:tc>
          <w:tcPr>
            <w:tcW w:w="820" w:type="dxa"/>
            <w:vAlign w:val="bottom"/>
            <w:gridSpan w:val="3"/>
            <w:vMerge w:val="restart"/>
          </w:tcPr>
          <w:p>
            <w:pPr>
              <w:jc w:val="right"/>
              <w:ind w:right="120"/>
              <w:spacing w:after="0"/>
              <w:rPr>
                <w:sz w:val="20"/>
                <w:szCs w:val="20"/>
                <w:color w:val="auto"/>
              </w:rPr>
            </w:pPr>
            <w:r>
              <w:rPr>
                <w:rFonts w:ascii="Arial" w:cs="Arial" w:eastAsia="Arial" w:hAnsi="Arial"/>
                <w:sz w:val="10"/>
                <w:szCs w:val="10"/>
                <w:color w:val="auto"/>
              </w:rPr>
              <w:t>33,010</w:t>
            </w:r>
          </w:p>
        </w:tc>
        <w:tc>
          <w:tcPr>
            <w:tcW w:w="660" w:type="dxa"/>
            <w:vAlign w:val="bottom"/>
            <w:vMerge w:val="restart"/>
          </w:tcPr>
          <w:p>
            <w:pPr>
              <w:jc w:val="right"/>
              <w:ind w:right="13"/>
              <w:spacing w:after="0"/>
              <w:rPr>
                <w:sz w:val="20"/>
                <w:szCs w:val="20"/>
                <w:color w:val="auto"/>
              </w:rPr>
            </w:pPr>
            <w:r>
              <w:rPr>
                <w:rFonts w:ascii="Arial" w:cs="Arial" w:eastAsia="Arial" w:hAnsi="Arial"/>
                <w:sz w:val="10"/>
                <w:szCs w:val="10"/>
                <w:color w:val="auto"/>
              </w:rPr>
              <w:t>50,000</w:t>
            </w:r>
          </w:p>
        </w:tc>
        <w:tc>
          <w:tcPr>
            <w:tcW w:w="320" w:type="dxa"/>
            <w:vAlign w:val="bottom"/>
            <w:vMerge w:val="restart"/>
          </w:tcPr>
          <w:p>
            <w:pPr>
              <w:ind w:left="40"/>
              <w:spacing w:after="0"/>
              <w:rPr>
                <w:sz w:val="20"/>
                <w:szCs w:val="20"/>
                <w:color w:val="auto"/>
              </w:rPr>
            </w:pPr>
            <w:r>
              <w:rPr>
                <w:rFonts w:ascii="Arial" w:cs="Arial" w:eastAsia="Arial" w:hAnsi="Arial"/>
                <w:sz w:val="10"/>
                <w:szCs w:val="10"/>
                <w:color w:val="auto"/>
              </w:rPr>
              <w:t>(8)</w:t>
            </w:r>
          </w:p>
        </w:tc>
        <w:tc>
          <w:tcPr>
            <w:tcW w:w="720" w:type="dxa"/>
            <w:vAlign w:val="bottom"/>
            <w:vMerge w:val="restart"/>
          </w:tcPr>
          <w:p>
            <w:pPr>
              <w:jc w:val="right"/>
              <w:spacing w:after="0"/>
              <w:rPr>
                <w:sz w:val="20"/>
                <w:szCs w:val="20"/>
                <w:color w:val="auto"/>
              </w:rPr>
            </w:pPr>
            <w:r>
              <w:rPr>
                <w:rFonts w:ascii="Arial" w:cs="Arial" w:eastAsia="Arial" w:hAnsi="Arial"/>
                <w:sz w:val="10"/>
                <w:szCs w:val="10"/>
                <w:color w:val="auto"/>
              </w:rPr>
              <w:t>25,755</w:t>
            </w:r>
          </w:p>
        </w:tc>
        <w:tc>
          <w:tcPr>
            <w:tcW w:w="0" w:type="dxa"/>
            <w:vAlign w:val="bottom"/>
          </w:tcPr>
          <w:p>
            <w:pPr>
              <w:spacing w:after="0"/>
              <w:rPr>
                <w:sz w:val="1"/>
                <w:szCs w:val="1"/>
                <w:color w:val="auto"/>
              </w:rPr>
            </w:pPr>
          </w:p>
        </w:tc>
      </w:tr>
      <w:tr>
        <w:trPr>
          <w:trHeight w:val="90"/>
        </w:trPr>
        <w:tc>
          <w:tcPr>
            <w:tcW w:w="1320" w:type="dxa"/>
            <w:vAlign w:val="bottom"/>
          </w:tcPr>
          <w:p>
            <w:pPr>
              <w:spacing w:after="0"/>
              <w:rPr>
                <w:sz w:val="7"/>
                <w:szCs w:val="7"/>
                <w:color w:val="auto"/>
              </w:rPr>
            </w:pPr>
          </w:p>
        </w:tc>
        <w:tc>
          <w:tcPr>
            <w:tcW w:w="540" w:type="dxa"/>
            <w:vAlign w:val="bottom"/>
            <w:gridSpan w:val="2"/>
            <w:vMerge w:val="continue"/>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820" w:type="dxa"/>
            <w:vAlign w:val="bottom"/>
            <w:gridSpan w:val="3"/>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32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ind w:left="863" w:hanging="863"/>
        <w:spacing w:after="0"/>
        <w:tabs>
          <w:tab w:leader="none" w:pos="863" w:val="left"/>
        </w:tabs>
        <w:numPr>
          <w:ilvl w:val="0"/>
          <w:numId w:val="56"/>
        </w:numPr>
        <w:rPr>
          <w:rFonts w:ascii="Arial" w:cs="Arial" w:eastAsia="Arial" w:hAnsi="Arial"/>
          <w:sz w:val="8"/>
          <w:szCs w:val="8"/>
          <w:color w:val="auto"/>
          <w:vertAlign w:val="superscript"/>
        </w:rPr>
      </w:pPr>
      <w:r>
        <w:rPr>
          <w:rFonts w:ascii="Arial" w:cs="Arial" w:eastAsia="Arial" w:hAnsi="Arial"/>
          <w:sz w:val="8"/>
          <w:szCs w:val="8"/>
          <w:color w:val="auto"/>
        </w:rPr>
        <w:t>677,465</w:t>
      </w:r>
    </w:p>
    <w:p>
      <w:pPr>
        <w:spacing w:after="0" w:line="94" w:lineRule="exact"/>
        <w:rPr>
          <w:sz w:val="20"/>
          <w:szCs w:val="20"/>
          <w:color w:val="auto"/>
        </w:rPr>
      </w:pPr>
    </w:p>
    <w:p>
      <w:pPr>
        <w:ind w:left="3"/>
        <w:spacing w:after="0"/>
        <w:tabs>
          <w:tab w:leader="none" w:pos="842" w:val="left"/>
        </w:tabs>
        <w:rPr>
          <w:sz w:val="20"/>
          <w:szCs w:val="20"/>
          <w:color w:val="auto"/>
        </w:rPr>
      </w:pPr>
      <w:r>
        <w:rPr>
          <w:rFonts w:ascii="Arial" w:cs="Arial" w:eastAsia="Arial" w:hAnsi="Arial"/>
          <w:sz w:val="10"/>
          <w:szCs w:val="10"/>
          <w:color w:val="auto"/>
          <w:vertAlign w:val="superscript"/>
        </w:rPr>
        <w:t>(3)(4)</w:t>
      </w:r>
      <w:r>
        <w:rPr>
          <w:sz w:val="20"/>
          <w:szCs w:val="20"/>
          <w:color w:val="auto"/>
        </w:rPr>
        <w:tab/>
      </w:r>
      <w:r>
        <w:rPr>
          <w:rFonts w:ascii="Arial" w:cs="Arial" w:eastAsia="Arial" w:hAnsi="Arial"/>
          <w:sz w:val="8"/>
          <w:szCs w:val="8"/>
          <w:color w:val="auto"/>
        </w:rPr>
        <w:t>410,190</w:t>
      </w:r>
    </w:p>
    <w:p>
      <w:pPr>
        <w:spacing w:after="0" w:line="74" w:lineRule="exact"/>
        <w:rPr>
          <w:sz w:val="20"/>
          <w:szCs w:val="20"/>
          <w:color w:val="auto"/>
        </w:rPr>
      </w:pPr>
    </w:p>
    <w:p>
      <w:pPr>
        <w:ind w:left="863" w:hanging="863"/>
        <w:spacing w:after="0"/>
        <w:tabs>
          <w:tab w:leader="none" w:pos="863" w:val="left"/>
        </w:tabs>
        <w:numPr>
          <w:ilvl w:val="0"/>
          <w:numId w:val="57"/>
        </w:numPr>
        <w:rPr>
          <w:rFonts w:ascii="Arial" w:cs="Arial" w:eastAsia="Arial" w:hAnsi="Arial"/>
          <w:sz w:val="8"/>
          <w:szCs w:val="8"/>
          <w:color w:val="auto"/>
          <w:vertAlign w:val="superscript"/>
        </w:rPr>
      </w:pPr>
      <w:r>
        <w:rPr>
          <w:rFonts w:ascii="Arial" w:cs="Arial" w:eastAsia="Arial" w:hAnsi="Arial"/>
          <w:sz w:val="8"/>
          <w:szCs w:val="8"/>
          <w:color w:val="auto"/>
        </w:rPr>
        <w:t>359,915</w:t>
      </w:r>
    </w:p>
    <w:p>
      <w:pPr>
        <w:spacing w:after="0" w:line="97" w:lineRule="exact"/>
        <w:rPr>
          <w:sz w:val="20"/>
          <w:szCs w:val="20"/>
          <w:color w:val="auto"/>
        </w:rPr>
      </w:pPr>
    </w:p>
    <w:p>
      <w:pPr>
        <w:ind w:left="863" w:hanging="863"/>
        <w:spacing w:after="0"/>
        <w:tabs>
          <w:tab w:leader="none" w:pos="863" w:val="left"/>
        </w:tabs>
        <w:numPr>
          <w:ilvl w:val="0"/>
          <w:numId w:val="58"/>
        </w:numPr>
        <w:rPr>
          <w:rFonts w:ascii="Arial" w:cs="Arial" w:eastAsia="Arial" w:hAnsi="Arial"/>
          <w:sz w:val="8"/>
          <w:szCs w:val="8"/>
          <w:color w:val="auto"/>
          <w:vertAlign w:val="superscript"/>
        </w:rPr>
      </w:pPr>
      <w:r>
        <w:rPr>
          <w:rFonts w:ascii="Arial" w:cs="Arial" w:eastAsia="Arial" w:hAnsi="Arial"/>
          <w:sz w:val="8"/>
          <w:szCs w:val="8"/>
          <w:color w:val="auto"/>
        </w:rPr>
        <w:t>261,605</w:t>
      </w:r>
    </w:p>
    <w:p>
      <w:pPr>
        <w:spacing w:after="0" w:line="52" w:lineRule="exact"/>
        <w:rPr>
          <w:sz w:val="20"/>
          <w:szCs w:val="20"/>
          <w:color w:val="auto"/>
        </w:rPr>
      </w:pPr>
    </w:p>
    <w:p>
      <w:pPr>
        <w:ind w:left="863" w:hanging="863"/>
        <w:spacing w:after="0"/>
        <w:tabs>
          <w:tab w:leader="none" w:pos="863" w:val="left"/>
        </w:tabs>
        <w:numPr>
          <w:ilvl w:val="0"/>
          <w:numId w:val="59"/>
        </w:numPr>
        <w:rPr>
          <w:rFonts w:ascii="Arial" w:cs="Arial" w:eastAsia="Arial" w:hAnsi="Arial"/>
          <w:sz w:val="8"/>
          <w:szCs w:val="8"/>
          <w:color w:val="auto"/>
          <w:vertAlign w:val="superscript"/>
        </w:rPr>
      </w:pPr>
      <w:r>
        <w:rPr>
          <w:rFonts w:ascii="Arial" w:cs="Arial" w:eastAsia="Arial" w:hAnsi="Arial"/>
          <w:sz w:val="8"/>
          <w:szCs w:val="8"/>
          <w:color w:val="auto"/>
        </w:rPr>
        <w:t>411,078</w:t>
      </w:r>
    </w:p>
    <w:p>
      <w:pPr>
        <w:spacing w:after="0" w:line="52" w:lineRule="exact"/>
        <w:rPr>
          <w:sz w:val="20"/>
          <w:szCs w:val="20"/>
          <w:color w:val="auto"/>
        </w:rPr>
      </w:pPr>
    </w:p>
    <w:p>
      <w:pPr>
        <w:ind w:left="863" w:hanging="863"/>
        <w:spacing w:after="0"/>
        <w:tabs>
          <w:tab w:leader="none" w:pos="863" w:val="left"/>
        </w:tabs>
        <w:numPr>
          <w:ilvl w:val="0"/>
          <w:numId w:val="60"/>
        </w:numPr>
        <w:rPr>
          <w:rFonts w:ascii="Arial" w:cs="Arial" w:eastAsia="Arial" w:hAnsi="Arial"/>
          <w:sz w:val="8"/>
          <w:szCs w:val="8"/>
          <w:color w:val="auto"/>
          <w:vertAlign w:val="superscript"/>
        </w:rPr>
      </w:pPr>
      <w:r>
        <w:rPr>
          <w:rFonts w:ascii="Arial" w:cs="Arial" w:eastAsia="Arial" w:hAnsi="Arial"/>
          <w:sz w:val="8"/>
          <w:szCs w:val="8"/>
          <w:color w:val="auto"/>
        </w:rPr>
        <w:t>233,945</w:t>
      </w:r>
    </w:p>
    <w:p>
      <w:pPr>
        <w:spacing w:after="0" w:line="52" w:lineRule="exact"/>
        <w:rPr>
          <w:sz w:val="20"/>
          <w:szCs w:val="20"/>
          <w:color w:val="auto"/>
        </w:rPr>
      </w:pPr>
    </w:p>
    <w:p>
      <w:pPr>
        <w:ind w:left="863" w:hanging="863"/>
        <w:spacing w:after="0"/>
        <w:tabs>
          <w:tab w:leader="none" w:pos="863" w:val="left"/>
        </w:tabs>
        <w:numPr>
          <w:ilvl w:val="0"/>
          <w:numId w:val="61"/>
        </w:numPr>
        <w:rPr>
          <w:rFonts w:ascii="Arial" w:cs="Arial" w:eastAsia="Arial" w:hAnsi="Arial"/>
          <w:sz w:val="8"/>
          <w:szCs w:val="8"/>
          <w:color w:val="auto"/>
          <w:vertAlign w:val="superscript"/>
        </w:rPr>
      </w:pPr>
      <w:r>
        <w:rPr>
          <w:rFonts w:ascii="Arial" w:cs="Arial" w:eastAsia="Arial" w:hAnsi="Arial"/>
          <w:sz w:val="8"/>
          <w:szCs w:val="8"/>
          <w:color w:val="auto"/>
        </w:rPr>
        <w:t>407,005</w:t>
      </w:r>
    </w:p>
    <w:p>
      <w:pPr>
        <w:spacing w:after="0" w:line="52" w:lineRule="exact"/>
        <w:rPr>
          <w:rFonts w:ascii="Arial" w:cs="Arial" w:eastAsia="Arial" w:hAnsi="Arial"/>
          <w:sz w:val="8"/>
          <w:szCs w:val="8"/>
          <w:color w:val="auto"/>
          <w:vertAlign w:val="superscript"/>
        </w:rPr>
      </w:pPr>
    </w:p>
    <w:p>
      <w:pPr>
        <w:ind w:left="1043"/>
        <w:spacing w:after="0"/>
        <w:rPr>
          <w:rFonts w:ascii="Arial" w:cs="Arial" w:eastAsia="Arial" w:hAnsi="Arial"/>
          <w:sz w:val="8"/>
          <w:szCs w:val="8"/>
          <w:color w:val="auto"/>
          <w:vertAlign w:val="superscript"/>
        </w:rPr>
      </w:pPr>
      <w:r>
        <w:rPr>
          <w:rFonts w:ascii="Arial" w:cs="Arial" w:eastAsia="Arial" w:hAnsi="Arial"/>
          <w:sz w:val="10"/>
          <w:szCs w:val="10"/>
          <w:color w:val="auto"/>
        </w:rPr>
        <w:t>--</w:t>
      </w:r>
    </w:p>
    <w:p>
      <w:pPr>
        <w:spacing w:after="0" w:line="29" w:lineRule="exact"/>
        <w:rPr>
          <w:sz w:val="20"/>
          <w:szCs w:val="20"/>
          <w:color w:val="auto"/>
        </w:rPr>
      </w:pPr>
    </w:p>
    <w:p>
      <w:pPr>
        <w:ind w:left="1043"/>
        <w:spacing w:after="0"/>
        <w:rPr>
          <w:sz w:val="20"/>
          <w:szCs w:val="20"/>
          <w:color w:val="auto"/>
        </w:rPr>
      </w:pPr>
      <w:r>
        <w:rPr>
          <w:rFonts w:ascii="Arial" w:cs="Arial" w:eastAsia="Arial" w:hAnsi="Arial"/>
          <w:sz w:val="10"/>
          <w:szCs w:val="10"/>
          <w:color w:val="auto"/>
        </w:rPr>
        <w:t>--</w:t>
      </w:r>
    </w:p>
    <w:p>
      <w:pPr>
        <w:spacing w:after="0" w:line="29" w:lineRule="exact"/>
        <w:rPr>
          <w:sz w:val="20"/>
          <w:szCs w:val="20"/>
          <w:color w:val="auto"/>
        </w:rPr>
      </w:pPr>
    </w:p>
    <w:p>
      <w:pPr>
        <w:ind w:left="863" w:hanging="863"/>
        <w:spacing w:after="0"/>
        <w:tabs>
          <w:tab w:leader="none" w:pos="863" w:val="left"/>
        </w:tabs>
        <w:numPr>
          <w:ilvl w:val="0"/>
          <w:numId w:val="62"/>
        </w:numPr>
        <w:rPr>
          <w:rFonts w:ascii="Arial" w:cs="Arial" w:eastAsia="Arial" w:hAnsi="Arial"/>
          <w:sz w:val="8"/>
          <w:szCs w:val="8"/>
          <w:color w:val="auto"/>
          <w:vertAlign w:val="superscript"/>
        </w:rPr>
      </w:pPr>
      <w:r>
        <w:rPr>
          <w:rFonts w:ascii="Arial" w:cs="Arial" w:eastAsia="Arial" w:hAnsi="Arial"/>
          <w:sz w:val="8"/>
          <w:szCs w:val="8"/>
          <w:color w:val="auto"/>
        </w:rPr>
        <w:t>534,150</w:t>
      </w:r>
    </w:p>
    <w:p>
      <w:pPr>
        <w:spacing w:after="0" w:line="52" w:lineRule="exact"/>
        <w:rPr>
          <w:sz w:val="20"/>
          <w:szCs w:val="20"/>
          <w:color w:val="auto"/>
        </w:rPr>
      </w:pPr>
    </w:p>
    <w:p>
      <w:pPr>
        <w:ind w:left="863" w:hanging="863"/>
        <w:spacing w:after="0"/>
        <w:tabs>
          <w:tab w:leader="none" w:pos="863" w:val="left"/>
        </w:tabs>
        <w:numPr>
          <w:ilvl w:val="0"/>
          <w:numId w:val="63"/>
        </w:numPr>
        <w:rPr>
          <w:rFonts w:ascii="Arial" w:cs="Arial" w:eastAsia="Arial" w:hAnsi="Arial"/>
          <w:sz w:val="8"/>
          <w:szCs w:val="8"/>
          <w:color w:val="auto"/>
          <w:vertAlign w:val="superscript"/>
        </w:rPr>
      </w:pPr>
      <w:r>
        <w:rPr>
          <w:rFonts w:ascii="Arial" w:cs="Arial" w:eastAsia="Arial" w:hAnsi="Arial"/>
          <w:sz w:val="8"/>
          <w:szCs w:val="8"/>
          <w:color w:val="auto"/>
        </w:rPr>
        <w:t>518,030</w:t>
      </w:r>
    </w:p>
    <w:p>
      <w:pPr>
        <w:spacing w:after="0" w:line="52" w:lineRule="exact"/>
        <w:rPr>
          <w:sz w:val="20"/>
          <w:szCs w:val="20"/>
          <w:color w:val="auto"/>
        </w:rPr>
      </w:pPr>
    </w:p>
    <w:p>
      <w:pPr>
        <w:ind w:left="863" w:hanging="863"/>
        <w:spacing w:after="0"/>
        <w:tabs>
          <w:tab w:leader="none" w:pos="863" w:val="left"/>
        </w:tabs>
        <w:numPr>
          <w:ilvl w:val="0"/>
          <w:numId w:val="64"/>
        </w:numPr>
        <w:rPr>
          <w:rFonts w:ascii="Arial" w:cs="Arial" w:eastAsia="Arial" w:hAnsi="Arial"/>
          <w:sz w:val="8"/>
          <w:szCs w:val="8"/>
          <w:color w:val="auto"/>
          <w:vertAlign w:val="superscript"/>
        </w:rPr>
      </w:pPr>
      <w:r>
        <w:rPr>
          <w:rFonts w:ascii="Arial" w:cs="Arial" w:eastAsia="Arial" w:hAnsi="Arial"/>
          <w:sz w:val="8"/>
          <w:szCs w:val="8"/>
          <w:color w:val="auto"/>
        </w:rPr>
        <w:t>452,405</w:t>
      </w:r>
    </w:p>
    <w:p>
      <w:pPr>
        <w:spacing w:after="0" w:line="154" w:lineRule="exact"/>
        <w:rPr>
          <w:sz w:val="20"/>
          <w:szCs w:val="20"/>
          <w:color w:val="auto"/>
        </w:rPr>
      </w:pPr>
    </w:p>
    <w:p>
      <w:pPr>
        <w:sectPr>
          <w:pgSz w:w="11900" w:h="16838" w:orient="portrait"/>
          <w:cols w:equalWidth="0" w:num="2">
            <w:col w:w="6340" w:space="97"/>
            <w:col w:w="4183"/>
          </w:cols>
          <w:pgMar w:left="640" w:top="275" w:right="639" w:bottom="1440" w:gutter="0" w:footer="0" w:header="0"/>
          <w:type w:val="continuous"/>
        </w:sectPr>
      </w:pPr>
    </w:p>
    <w:p>
      <w:pPr>
        <w:jc w:val="center"/>
        <w:spacing w:after="0"/>
        <w:rPr>
          <w:sz w:val="20"/>
          <w:szCs w:val="20"/>
          <w:color w:val="auto"/>
        </w:rPr>
      </w:pPr>
      <w:r>
        <w:rPr>
          <w:rFonts w:ascii="Arial" w:cs="Arial" w:eastAsia="Arial" w:hAnsi="Arial"/>
          <w:sz w:val="10"/>
          <w:szCs w:val="10"/>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74295</wp:posOffset>
            </wp:positionV>
            <wp:extent cx="677989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779895" cy="42545"/>
                    </a:xfrm>
                    <a:prstGeom prst="rect">
                      <a:avLst/>
                    </a:prstGeom>
                    <a:noFill/>
                  </pic:spPr>
                </pic:pic>
              </a:graphicData>
            </a:graphic>
          </wp:anchor>
        </w:drawing>
      </w:r>
    </w:p>
    <w:p>
      <w:pPr>
        <w:sectPr>
          <w:pgSz w:w="11900" w:h="16838" w:orient="portrait"/>
          <w:cols w:equalWidth="0" w:num="1">
            <w:col w:w="10620"/>
          </w:cols>
          <w:pgMar w:left="640" w:top="275" w:right="639" w:bottom="1440" w:gutter="0" w:footer="0" w:header="0"/>
          <w:type w:val="continuous"/>
        </w:sectPr>
      </w:pPr>
    </w:p>
    <w:bookmarkStart w:id="116" w:name="page117"/>
    <w:bookmarkEnd w:id="116"/>
    <w:tbl>
      <w:tblPr>
        <w:tblLayout w:type="fixed"/>
        <w:tblInd w:w="80" w:type="dxa"/>
        <w:tblCellMar>
          <w:top w:w="0" w:type="dxa"/>
          <w:left w:w="0" w:type="dxa"/>
          <w:bottom w:w="0" w:type="dxa"/>
          <w:right w:w="0" w:type="dxa"/>
        </w:tblCellMar>
      </w:tblPr>
      <w:tr>
        <w:trPr>
          <w:trHeight w:val="78"/>
        </w:trPr>
        <w:tc>
          <w:tcPr>
            <w:tcW w:w="1280" w:type="dxa"/>
            <w:vAlign w:val="bottom"/>
            <w:vMerge w:val="restart"/>
          </w:tcPr>
          <w:p>
            <w:pPr>
              <w:spacing w:after="0"/>
              <w:rPr>
                <w:sz w:val="20"/>
                <w:szCs w:val="20"/>
                <w:color w:val="auto"/>
              </w:rPr>
            </w:pPr>
            <w:r>
              <w:rPr>
                <w:rFonts w:ascii="Arial" w:cs="Arial" w:eastAsia="Arial" w:hAnsi="Arial"/>
                <w:sz w:val="10"/>
                <w:szCs w:val="10"/>
                <w:color w:val="auto"/>
              </w:rPr>
              <w:t>William Ellis</w:t>
            </w:r>
          </w:p>
        </w:tc>
        <w:tc>
          <w:tcPr>
            <w:tcW w:w="520" w:type="dxa"/>
            <w:vAlign w:val="bottom"/>
            <w:vMerge w:val="restart"/>
          </w:tcPr>
          <w:p>
            <w:pPr>
              <w:jc w:val="right"/>
              <w:ind w:right="153"/>
              <w:spacing w:after="0"/>
              <w:rPr>
                <w:sz w:val="20"/>
                <w:szCs w:val="20"/>
                <w:color w:val="auto"/>
              </w:rPr>
            </w:pPr>
            <w:r>
              <w:rPr>
                <w:rFonts w:ascii="Arial" w:cs="Arial" w:eastAsia="Arial" w:hAnsi="Arial"/>
                <w:sz w:val="10"/>
                <w:szCs w:val="10"/>
                <w:color w:val="auto"/>
              </w:rPr>
              <w:t>2015</w:t>
            </w:r>
          </w:p>
        </w:tc>
        <w:tc>
          <w:tcPr>
            <w:tcW w:w="720" w:type="dxa"/>
            <w:vAlign w:val="bottom"/>
            <w:vMerge w:val="restart"/>
          </w:tcPr>
          <w:p>
            <w:pPr>
              <w:jc w:val="right"/>
              <w:ind w:right="153"/>
              <w:spacing w:after="0"/>
              <w:rPr>
                <w:sz w:val="20"/>
                <w:szCs w:val="20"/>
                <w:color w:val="auto"/>
              </w:rPr>
            </w:pPr>
            <w:r>
              <w:rPr>
                <w:rFonts w:ascii="Arial" w:cs="Arial" w:eastAsia="Arial" w:hAnsi="Arial"/>
                <w:sz w:val="10"/>
                <w:szCs w:val="10"/>
                <w:color w:val="auto"/>
              </w:rPr>
              <w:t>350,000</w:t>
            </w:r>
          </w:p>
        </w:tc>
        <w:tc>
          <w:tcPr>
            <w:tcW w:w="720" w:type="dxa"/>
            <w:vAlign w:val="bottom"/>
            <w:vMerge w:val="restart"/>
          </w:tcPr>
          <w:p>
            <w:pPr>
              <w:jc w:val="right"/>
              <w:ind w:right="213"/>
              <w:spacing w:after="0"/>
              <w:rPr>
                <w:sz w:val="20"/>
                <w:szCs w:val="20"/>
                <w:color w:val="auto"/>
              </w:rPr>
            </w:pPr>
            <w:r>
              <w:rPr>
                <w:rFonts w:ascii="Arial" w:cs="Arial" w:eastAsia="Arial" w:hAnsi="Arial"/>
                <w:sz w:val="10"/>
                <w:szCs w:val="10"/>
                <w:color w:val="auto"/>
              </w:rPr>
              <w:t>60,000</w:t>
            </w:r>
          </w:p>
        </w:tc>
        <w:tc>
          <w:tcPr>
            <w:tcW w:w="560" w:type="dxa"/>
            <w:vAlign w:val="bottom"/>
          </w:tcPr>
          <w:p>
            <w:pPr>
              <w:spacing w:after="0"/>
              <w:rPr>
                <w:sz w:val="6"/>
                <w:szCs w:val="6"/>
                <w:color w:val="auto"/>
              </w:rPr>
            </w:pPr>
          </w:p>
        </w:tc>
        <w:tc>
          <w:tcPr>
            <w:tcW w:w="780" w:type="dxa"/>
            <w:vAlign w:val="bottom"/>
            <w:vMerge w:val="restart"/>
          </w:tcPr>
          <w:p>
            <w:pPr>
              <w:jc w:val="right"/>
              <w:ind w:right="253"/>
              <w:spacing w:after="0"/>
              <w:rPr>
                <w:sz w:val="20"/>
                <w:szCs w:val="20"/>
                <w:color w:val="auto"/>
              </w:rPr>
            </w:pPr>
            <w:r>
              <w:rPr>
                <w:rFonts w:ascii="Arial" w:cs="Arial" w:eastAsia="Arial" w:hAnsi="Arial"/>
                <w:sz w:val="10"/>
                <w:szCs w:val="10"/>
                <w:color w:val="auto"/>
              </w:rPr>
              <w:t>57,194</w:t>
            </w:r>
          </w:p>
        </w:tc>
        <w:tc>
          <w:tcPr>
            <w:tcW w:w="800" w:type="dxa"/>
            <w:vAlign w:val="bottom"/>
          </w:tcPr>
          <w:p>
            <w:pPr>
              <w:spacing w:after="0"/>
              <w:rPr>
                <w:sz w:val="6"/>
                <w:szCs w:val="6"/>
                <w:color w:val="auto"/>
              </w:rPr>
            </w:pPr>
          </w:p>
        </w:tc>
        <w:tc>
          <w:tcPr>
            <w:tcW w:w="760" w:type="dxa"/>
            <w:vAlign w:val="bottom"/>
            <w:vMerge w:val="restart"/>
          </w:tcPr>
          <w:p>
            <w:pPr>
              <w:jc w:val="right"/>
              <w:ind w:right="13"/>
              <w:spacing w:after="0"/>
              <w:rPr>
                <w:sz w:val="20"/>
                <w:szCs w:val="20"/>
                <w:color w:val="auto"/>
              </w:rPr>
            </w:pPr>
            <w:r>
              <w:rPr>
                <w:rFonts w:ascii="Arial" w:cs="Arial" w:eastAsia="Arial" w:hAnsi="Arial"/>
                <w:sz w:val="10"/>
                <w:szCs w:val="10"/>
                <w:color w:val="auto"/>
              </w:rPr>
              <w:t>28,330</w:t>
            </w:r>
          </w:p>
        </w:tc>
        <w:tc>
          <w:tcPr>
            <w:tcW w:w="500" w:type="dxa"/>
            <w:vAlign w:val="bottom"/>
          </w:tcPr>
          <w:p>
            <w:pPr>
              <w:jc w:val="right"/>
              <w:ind w:right="356"/>
              <w:spacing w:after="0"/>
              <w:rPr>
                <w:sz w:val="20"/>
                <w:szCs w:val="20"/>
                <w:color w:val="auto"/>
              </w:rPr>
            </w:pPr>
            <w:r>
              <w:rPr>
                <w:rFonts w:ascii="Arial" w:cs="Arial" w:eastAsia="Arial" w:hAnsi="Arial"/>
                <w:sz w:val="5"/>
                <w:szCs w:val="5"/>
                <w:color w:val="auto"/>
              </w:rPr>
              <w:t>(3)</w:t>
            </w:r>
          </w:p>
        </w:tc>
        <w:tc>
          <w:tcPr>
            <w:tcW w:w="720" w:type="dxa"/>
            <w:vAlign w:val="bottom"/>
            <w:vMerge w:val="restart"/>
          </w:tcPr>
          <w:p>
            <w:pPr>
              <w:jc w:val="right"/>
              <w:spacing w:after="0"/>
              <w:rPr>
                <w:sz w:val="20"/>
                <w:szCs w:val="20"/>
                <w:color w:val="auto"/>
              </w:rPr>
            </w:pPr>
            <w:r>
              <w:rPr>
                <w:rFonts w:ascii="Arial" w:cs="Arial" w:eastAsia="Arial" w:hAnsi="Arial"/>
                <w:sz w:val="10"/>
                <w:szCs w:val="10"/>
                <w:color w:val="auto"/>
              </w:rPr>
              <w:t>495,524</w:t>
            </w:r>
          </w:p>
        </w:tc>
        <w:tc>
          <w:tcPr>
            <w:tcW w:w="0" w:type="dxa"/>
            <w:vAlign w:val="bottom"/>
          </w:tcPr>
          <w:p>
            <w:pPr>
              <w:spacing w:after="0"/>
              <w:rPr>
                <w:sz w:val="1"/>
                <w:szCs w:val="1"/>
                <w:color w:val="auto"/>
              </w:rPr>
            </w:pPr>
          </w:p>
        </w:tc>
      </w:tr>
      <w:tr>
        <w:trPr>
          <w:trHeight w:val="37"/>
        </w:trPr>
        <w:tc>
          <w:tcPr>
            <w:tcW w:w="1280" w:type="dxa"/>
            <w:vAlign w:val="bottom"/>
            <w:vMerge w:val="continue"/>
          </w:tcPr>
          <w:p>
            <w:pPr>
              <w:spacing w:after="0"/>
              <w:rPr>
                <w:sz w:val="3"/>
                <w:szCs w:val="3"/>
                <w:color w:val="auto"/>
              </w:rPr>
            </w:pPr>
          </w:p>
        </w:tc>
        <w:tc>
          <w:tcPr>
            <w:tcW w:w="520" w:type="dxa"/>
            <w:vAlign w:val="bottom"/>
            <w:vMerge w:val="continue"/>
          </w:tcPr>
          <w:p>
            <w:pPr>
              <w:spacing w:after="0"/>
              <w:rPr>
                <w:sz w:val="3"/>
                <w:szCs w:val="3"/>
                <w:color w:val="auto"/>
              </w:rPr>
            </w:pPr>
          </w:p>
        </w:tc>
        <w:tc>
          <w:tcPr>
            <w:tcW w:w="720" w:type="dxa"/>
            <w:vAlign w:val="bottom"/>
            <w:vMerge w:val="continue"/>
          </w:tcPr>
          <w:p>
            <w:pPr>
              <w:spacing w:after="0"/>
              <w:rPr>
                <w:sz w:val="3"/>
                <w:szCs w:val="3"/>
                <w:color w:val="auto"/>
              </w:rPr>
            </w:pPr>
          </w:p>
        </w:tc>
        <w:tc>
          <w:tcPr>
            <w:tcW w:w="7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50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2"/>
        </w:trPr>
        <w:tc>
          <w:tcPr>
            <w:tcW w:w="1280" w:type="dxa"/>
            <w:vAlign w:val="bottom"/>
          </w:tcPr>
          <w:p>
            <w:pPr>
              <w:ind w:left="140"/>
              <w:spacing w:after="0"/>
              <w:rPr>
                <w:sz w:val="20"/>
                <w:szCs w:val="20"/>
                <w:color w:val="auto"/>
              </w:rPr>
            </w:pPr>
            <w:r>
              <w:rPr>
                <w:rFonts w:ascii="Arial" w:cs="Arial" w:eastAsia="Arial" w:hAnsi="Arial"/>
                <w:sz w:val="10"/>
                <w:szCs w:val="10"/>
                <w:color w:val="auto"/>
              </w:rPr>
              <w:t xml:space="preserve">General Counsel </w:t>
            </w:r>
            <w:r>
              <w:rPr>
                <w:rFonts w:ascii="Arial" w:cs="Arial" w:eastAsia="Arial" w:hAnsi="Arial"/>
                <w:sz w:val="4"/>
                <w:szCs w:val="4"/>
                <w:color w:val="auto"/>
              </w:rPr>
              <w:t>(10)</w:t>
            </w:r>
          </w:p>
        </w:tc>
        <w:tc>
          <w:tcPr>
            <w:tcW w:w="520" w:type="dxa"/>
            <w:vAlign w:val="bottom"/>
            <w:vMerge w:val="restart"/>
          </w:tcPr>
          <w:p>
            <w:pPr>
              <w:jc w:val="right"/>
              <w:ind w:right="153"/>
              <w:spacing w:after="0"/>
              <w:rPr>
                <w:sz w:val="20"/>
                <w:szCs w:val="20"/>
                <w:color w:val="auto"/>
              </w:rPr>
            </w:pPr>
            <w:r>
              <w:rPr>
                <w:rFonts w:ascii="Arial" w:cs="Arial" w:eastAsia="Arial" w:hAnsi="Arial"/>
                <w:sz w:val="10"/>
                <w:szCs w:val="10"/>
                <w:color w:val="auto"/>
              </w:rPr>
              <w:t>2014</w:t>
            </w:r>
          </w:p>
        </w:tc>
        <w:tc>
          <w:tcPr>
            <w:tcW w:w="720" w:type="dxa"/>
            <w:vAlign w:val="bottom"/>
            <w:vMerge w:val="restart"/>
          </w:tcPr>
          <w:p>
            <w:pPr>
              <w:jc w:val="right"/>
              <w:ind w:right="153"/>
              <w:spacing w:after="0"/>
              <w:rPr>
                <w:sz w:val="20"/>
                <w:szCs w:val="20"/>
                <w:color w:val="auto"/>
              </w:rPr>
            </w:pPr>
            <w:r>
              <w:rPr>
                <w:rFonts w:ascii="Arial" w:cs="Arial" w:eastAsia="Arial" w:hAnsi="Arial"/>
                <w:sz w:val="10"/>
                <w:szCs w:val="10"/>
                <w:color w:val="auto"/>
              </w:rPr>
              <w:t>71,795</w:t>
            </w:r>
          </w:p>
        </w:tc>
        <w:tc>
          <w:tcPr>
            <w:tcW w:w="720" w:type="dxa"/>
            <w:vAlign w:val="bottom"/>
            <w:vMerge w:val="restart"/>
          </w:tcPr>
          <w:p>
            <w:pPr>
              <w:jc w:val="right"/>
              <w:ind w:right="213"/>
              <w:spacing w:after="0"/>
              <w:rPr>
                <w:sz w:val="20"/>
                <w:szCs w:val="20"/>
                <w:color w:val="auto"/>
              </w:rPr>
            </w:pPr>
            <w:r>
              <w:rPr>
                <w:rFonts w:ascii="Arial" w:cs="Arial" w:eastAsia="Arial" w:hAnsi="Arial"/>
                <w:sz w:val="10"/>
                <w:szCs w:val="10"/>
                <w:color w:val="auto"/>
              </w:rPr>
              <w:t>10,000</w:t>
            </w:r>
          </w:p>
        </w:tc>
        <w:tc>
          <w:tcPr>
            <w:tcW w:w="560" w:type="dxa"/>
            <w:vAlign w:val="bottom"/>
          </w:tcPr>
          <w:p>
            <w:pPr>
              <w:spacing w:after="0"/>
              <w:rPr>
                <w:sz w:val="10"/>
                <w:szCs w:val="10"/>
                <w:color w:val="auto"/>
              </w:rPr>
            </w:pPr>
          </w:p>
        </w:tc>
        <w:tc>
          <w:tcPr>
            <w:tcW w:w="780" w:type="dxa"/>
            <w:vAlign w:val="bottom"/>
            <w:vMerge w:val="restart"/>
          </w:tcPr>
          <w:p>
            <w:pPr>
              <w:jc w:val="right"/>
              <w:ind w:right="253"/>
              <w:spacing w:after="0"/>
              <w:rPr>
                <w:sz w:val="20"/>
                <w:szCs w:val="20"/>
                <w:color w:val="auto"/>
              </w:rPr>
            </w:pPr>
            <w:r>
              <w:rPr>
                <w:rFonts w:ascii="Arial" w:cs="Arial" w:eastAsia="Arial" w:hAnsi="Arial"/>
                <w:sz w:val="10"/>
                <w:szCs w:val="10"/>
                <w:color w:val="auto"/>
              </w:rPr>
              <w:t>9,532</w:t>
            </w:r>
          </w:p>
        </w:tc>
        <w:tc>
          <w:tcPr>
            <w:tcW w:w="800" w:type="dxa"/>
            <w:vAlign w:val="bottom"/>
          </w:tcPr>
          <w:p>
            <w:pPr>
              <w:spacing w:after="0"/>
              <w:rPr>
                <w:sz w:val="10"/>
                <w:szCs w:val="10"/>
                <w:color w:val="auto"/>
              </w:rPr>
            </w:pPr>
          </w:p>
        </w:tc>
        <w:tc>
          <w:tcPr>
            <w:tcW w:w="760" w:type="dxa"/>
            <w:vAlign w:val="bottom"/>
            <w:vMerge w:val="restart"/>
          </w:tcPr>
          <w:p>
            <w:pPr>
              <w:jc w:val="right"/>
              <w:ind w:right="13"/>
              <w:spacing w:after="0"/>
              <w:rPr>
                <w:sz w:val="20"/>
                <w:szCs w:val="20"/>
                <w:color w:val="auto"/>
              </w:rPr>
            </w:pPr>
            <w:r>
              <w:rPr>
                <w:rFonts w:ascii="Arial" w:cs="Arial" w:eastAsia="Arial" w:hAnsi="Arial"/>
                <w:sz w:val="10"/>
                <w:szCs w:val="10"/>
                <w:color w:val="auto"/>
              </w:rPr>
              <w:t>2,500</w:t>
            </w:r>
          </w:p>
        </w:tc>
        <w:tc>
          <w:tcPr>
            <w:tcW w:w="500" w:type="dxa"/>
            <w:vAlign w:val="bottom"/>
          </w:tcPr>
          <w:p>
            <w:pPr>
              <w:jc w:val="right"/>
              <w:ind w:right="356"/>
              <w:spacing w:after="0"/>
              <w:rPr>
                <w:sz w:val="20"/>
                <w:szCs w:val="20"/>
                <w:color w:val="auto"/>
              </w:rPr>
            </w:pPr>
            <w:r>
              <w:rPr>
                <w:rFonts w:ascii="Arial" w:cs="Arial" w:eastAsia="Arial" w:hAnsi="Arial"/>
                <w:sz w:val="5"/>
                <w:szCs w:val="5"/>
                <w:color w:val="auto"/>
              </w:rPr>
              <w:t>(3)</w:t>
            </w:r>
          </w:p>
        </w:tc>
        <w:tc>
          <w:tcPr>
            <w:tcW w:w="720" w:type="dxa"/>
            <w:vAlign w:val="bottom"/>
            <w:vMerge w:val="restart"/>
          </w:tcPr>
          <w:p>
            <w:pPr>
              <w:jc w:val="right"/>
              <w:spacing w:after="0"/>
              <w:rPr>
                <w:sz w:val="20"/>
                <w:szCs w:val="20"/>
                <w:color w:val="auto"/>
              </w:rPr>
            </w:pPr>
            <w:r>
              <w:rPr>
                <w:rFonts w:ascii="Arial" w:cs="Arial" w:eastAsia="Arial" w:hAnsi="Arial"/>
                <w:sz w:val="10"/>
                <w:szCs w:val="10"/>
                <w:color w:val="auto"/>
              </w:rPr>
              <w:t>93,827</w:t>
            </w:r>
          </w:p>
        </w:tc>
        <w:tc>
          <w:tcPr>
            <w:tcW w:w="0" w:type="dxa"/>
            <w:vAlign w:val="bottom"/>
          </w:tcPr>
          <w:p>
            <w:pPr>
              <w:spacing w:after="0"/>
              <w:rPr>
                <w:sz w:val="1"/>
                <w:szCs w:val="1"/>
                <w:color w:val="auto"/>
              </w:rPr>
            </w:pPr>
          </w:p>
        </w:tc>
      </w:tr>
      <w:tr>
        <w:trPr>
          <w:trHeight w:val="45"/>
        </w:trPr>
        <w:tc>
          <w:tcPr>
            <w:tcW w:w="1280" w:type="dxa"/>
            <w:vAlign w:val="bottom"/>
          </w:tcPr>
          <w:p>
            <w:pPr>
              <w:spacing w:after="0"/>
              <w:rPr>
                <w:sz w:val="3"/>
                <w:szCs w:val="3"/>
                <w:color w:val="auto"/>
              </w:rPr>
            </w:pPr>
          </w:p>
        </w:tc>
        <w:tc>
          <w:tcPr>
            <w:tcW w:w="520" w:type="dxa"/>
            <w:vAlign w:val="bottom"/>
            <w:vMerge w:val="continue"/>
          </w:tcPr>
          <w:p>
            <w:pPr>
              <w:spacing w:after="0"/>
              <w:rPr>
                <w:sz w:val="3"/>
                <w:szCs w:val="3"/>
                <w:color w:val="auto"/>
              </w:rPr>
            </w:pPr>
          </w:p>
        </w:tc>
        <w:tc>
          <w:tcPr>
            <w:tcW w:w="720" w:type="dxa"/>
            <w:vAlign w:val="bottom"/>
            <w:vMerge w:val="continue"/>
          </w:tcPr>
          <w:p>
            <w:pPr>
              <w:spacing w:after="0"/>
              <w:rPr>
                <w:sz w:val="3"/>
                <w:szCs w:val="3"/>
                <w:color w:val="auto"/>
              </w:rPr>
            </w:pPr>
          </w:p>
        </w:tc>
        <w:tc>
          <w:tcPr>
            <w:tcW w:w="7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50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44"/>
        </w:trPr>
        <w:tc>
          <w:tcPr>
            <w:tcW w:w="1280" w:type="dxa"/>
            <w:vAlign w:val="bottom"/>
          </w:tcPr>
          <w:p>
            <w:pPr>
              <w:spacing w:after="0"/>
              <w:rPr>
                <w:sz w:val="12"/>
                <w:szCs w:val="12"/>
                <w:color w:val="auto"/>
              </w:rPr>
            </w:pPr>
          </w:p>
        </w:tc>
        <w:tc>
          <w:tcPr>
            <w:tcW w:w="520" w:type="dxa"/>
            <w:vAlign w:val="bottom"/>
          </w:tcPr>
          <w:p>
            <w:pPr>
              <w:jc w:val="right"/>
              <w:ind w:right="153"/>
              <w:spacing w:after="0"/>
              <w:rPr>
                <w:sz w:val="20"/>
                <w:szCs w:val="20"/>
                <w:color w:val="auto"/>
              </w:rPr>
            </w:pPr>
            <w:r>
              <w:rPr>
                <w:rFonts w:ascii="Arial" w:cs="Arial" w:eastAsia="Arial" w:hAnsi="Arial"/>
                <w:sz w:val="10"/>
                <w:szCs w:val="10"/>
                <w:color w:val="auto"/>
              </w:rPr>
              <w:t>2013</w:t>
            </w:r>
          </w:p>
        </w:tc>
        <w:tc>
          <w:tcPr>
            <w:tcW w:w="720" w:type="dxa"/>
            <w:vAlign w:val="bottom"/>
          </w:tcPr>
          <w:p>
            <w:pPr>
              <w:jc w:val="right"/>
              <w:ind w:right="213"/>
              <w:spacing w:after="0"/>
              <w:rPr>
                <w:sz w:val="20"/>
                <w:szCs w:val="20"/>
                <w:color w:val="auto"/>
              </w:rPr>
            </w:pPr>
            <w:r>
              <w:rPr>
                <w:rFonts w:ascii="Arial" w:cs="Arial" w:eastAsia="Arial" w:hAnsi="Arial"/>
                <w:sz w:val="10"/>
                <w:szCs w:val="10"/>
                <w:color w:val="auto"/>
              </w:rPr>
              <w:t>--</w:t>
            </w:r>
          </w:p>
        </w:tc>
        <w:tc>
          <w:tcPr>
            <w:tcW w:w="720" w:type="dxa"/>
            <w:vAlign w:val="bottom"/>
          </w:tcPr>
          <w:p>
            <w:pPr>
              <w:jc w:val="right"/>
              <w:ind w:right="273"/>
              <w:spacing w:after="0"/>
              <w:rPr>
                <w:sz w:val="20"/>
                <w:szCs w:val="20"/>
                <w:color w:val="auto"/>
              </w:rPr>
            </w:pPr>
            <w:r>
              <w:rPr>
                <w:rFonts w:ascii="Arial" w:cs="Arial" w:eastAsia="Arial" w:hAnsi="Arial"/>
                <w:sz w:val="10"/>
                <w:szCs w:val="10"/>
                <w:color w:val="auto"/>
              </w:rPr>
              <w:t>--</w:t>
            </w:r>
          </w:p>
        </w:tc>
        <w:tc>
          <w:tcPr>
            <w:tcW w:w="560" w:type="dxa"/>
            <w:vAlign w:val="bottom"/>
          </w:tcPr>
          <w:p>
            <w:pPr>
              <w:jc w:val="right"/>
              <w:ind w:right="173"/>
              <w:spacing w:after="0"/>
              <w:rPr>
                <w:sz w:val="20"/>
                <w:szCs w:val="20"/>
                <w:color w:val="auto"/>
              </w:rPr>
            </w:pPr>
            <w:r>
              <w:rPr>
                <w:rFonts w:ascii="Arial" w:cs="Arial" w:eastAsia="Arial" w:hAnsi="Arial"/>
                <w:sz w:val="10"/>
                <w:szCs w:val="10"/>
                <w:color w:val="auto"/>
              </w:rPr>
              <w:t>--</w:t>
            </w:r>
          </w:p>
        </w:tc>
        <w:tc>
          <w:tcPr>
            <w:tcW w:w="780" w:type="dxa"/>
            <w:vAlign w:val="bottom"/>
          </w:tcPr>
          <w:p>
            <w:pPr>
              <w:jc w:val="right"/>
              <w:ind w:right="313"/>
              <w:spacing w:after="0"/>
              <w:rPr>
                <w:sz w:val="20"/>
                <w:szCs w:val="20"/>
                <w:color w:val="auto"/>
              </w:rPr>
            </w:pPr>
            <w:r>
              <w:rPr>
                <w:rFonts w:ascii="Arial" w:cs="Arial" w:eastAsia="Arial" w:hAnsi="Arial"/>
                <w:sz w:val="10"/>
                <w:szCs w:val="10"/>
                <w:color w:val="auto"/>
              </w:rPr>
              <w:t>--</w:t>
            </w:r>
          </w:p>
        </w:tc>
        <w:tc>
          <w:tcPr>
            <w:tcW w:w="800" w:type="dxa"/>
            <w:vAlign w:val="bottom"/>
          </w:tcPr>
          <w:p>
            <w:pPr>
              <w:jc w:val="right"/>
              <w:ind w:right="393"/>
              <w:spacing w:after="0"/>
              <w:rPr>
                <w:sz w:val="20"/>
                <w:szCs w:val="20"/>
                <w:color w:val="auto"/>
              </w:rPr>
            </w:pPr>
            <w:r>
              <w:rPr>
                <w:rFonts w:ascii="Arial" w:cs="Arial" w:eastAsia="Arial" w:hAnsi="Arial"/>
                <w:sz w:val="10"/>
                <w:szCs w:val="10"/>
                <w:color w:val="auto"/>
              </w:rPr>
              <w:t>--</w:t>
            </w:r>
          </w:p>
        </w:tc>
        <w:tc>
          <w:tcPr>
            <w:tcW w:w="760" w:type="dxa"/>
            <w:vAlign w:val="bottom"/>
          </w:tcPr>
          <w:p>
            <w:pPr>
              <w:jc w:val="right"/>
              <w:ind w:right="73"/>
              <w:spacing w:after="0"/>
              <w:rPr>
                <w:sz w:val="20"/>
                <w:szCs w:val="20"/>
                <w:color w:val="auto"/>
              </w:rPr>
            </w:pPr>
            <w:r>
              <w:rPr>
                <w:rFonts w:ascii="Arial" w:cs="Arial" w:eastAsia="Arial" w:hAnsi="Arial"/>
                <w:sz w:val="10"/>
                <w:szCs w:val="10"/>
                <w:color w:val="auto"/>
              </w:rPr>
              <w:t>--</w:t>
            </w:r>
          </w:p>
        </w:tc>
        <w:tc>
          <w:tcPr>
            <w:tcW w:w="500" w:type="dxa"/>
            <w:vAlign w:val="bottom"/>
          </w:tcPr>
          <w:p>
            <w:pPr>
              <w:spacing w:after="0"/>
              <w:rPr>
                <w:sz w:val="12"/>
                <w:szCs w:val="12"/>
                <w:color w:val="auto"/>
              </w:rPr>
            </w:pPr>
          </w:p>
        </w:tc>
        <w:tc>
          <w:tcPr>
            <w:tcW w:w="720" w:type="dxa"/>
            <w:vAlign w:val="bottom"/>
          </w:tcPr>
          <w:p>
            <w:pPr>
              <w:jc w:val="right"/>
              <w:ind w:right="13"/>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12"/>
        </w:trPr>
        <w:tc>
          <w:tcPr>
            <w:tcW w:w="1280" w:type="dxa"/>
            <w:vAlign w:val="bottom"/>
            <w:vMerge w:val="restart"/>
          </w:tcPr>
          <w:p>
            <w:pPr>
              <w:spacing w:after="0"/>
              <w:rPr>
                <w:sz w:val="20"/>
                <w:szCs w:val="20"/>
                <w:color w:val="auto"/>
              </w:rPr>
            </w:pPr>
            <w:r>
              <w:rPr>
                <w:rFonts w:ascii="Arial" w:cs="Arial" w:eastAsia="Arial" w:hAnsi="Arial"/>
                <w:sz w:val="10"/>
                <w:szCs w:val="10"/>
                <w:color w:val="auto"/>
              </w:rPr>
              <w:t>Robert F. Smerling</w:t>
            </w:r>
          </w:p>
        </w:tc>
        <w:tc>
          <w:tcPr>
            <w:tcW w:w="520" w:type="dxa"/>
            <w:vAlign w:val="bottom"/>
            <w:vMerge w:val="restart"/>
          </w:tcPr>
          <w:p>
            <w:pPr>
              <w:jc w:val="right"/>
              <w:ind w:right="153"/>
              <w:spacing w:after="0"/>
              <w:rPr>
                <w:sz w:val="20"/>
                <w:szCs w:val="20"/>
                <w:color w:val="auto"/>
              </w:rPr>
            </w:pPr>
            <w:r>
              <w:rPr>
                <w:rFonts w:ascii="Arial" w:cs="Arial" w:eastAsia="Arial" w:hAnsi="Arial"/>
                <w:sz w:val="10"/>
                <w:szCs w:val="10"/>
                <w:color w:val="auto"/>
              </w:rPr>
              <w:t>2015</w:t>
            </w:r>
          </w:p>
        </w:tc>
        <w:tc>
          <w:tcPr>
            <w:tcW w:w="720" w:type="dxa"/>
            <w:vAlign w:val="bottom"/>
            <w:vMerge w:val="restart"/>
          </w:tcPr>
          <w:p>
            <w:pPr>
              <w:jc w:val="right"/>
              <w:ind w:right="153"/>
              <w:spacing w:after="0"/>
              <w:rPr>
                <w:sz w:val="20"/>
                <w:szCs w:val="20"/>
                <w:color w:val="auto"/>
              </w:rPr>
            </w:pPr>
            <w:r>
              <w:rPr>
                <w:rFonts w:ascii="Arial" w:cs="Arial" w:eastAsia="Arial" w:hAnsi="Arial"/>
                <w:sz w:val="10"/>
                <w:szCs w:val="10"/>
                <w:color w:val="auto"/>
              </w:rPr>
              <w:t>350,000</w:t>
            </w:r>
          </w:p>
        </w:tc>
        <w:tc>
          <w:tcPr>
            <w:tcW w:w="720" w:type="dxa"/>
            <w:vAlign w:val="bottom"/>
            <w:vMerge w:val="restart"/>
          </w:tcPr>
          <w:p>
            <w:pPr>
              <w:jc w:val="right"/>
              <w:ind w:right="213"/>
              <w:spacing w:after="0"/>
              <w:rPr>
                <w:sz w:val="20"/>
                <w:szCs w:val="20"/>
                <w:color w:val="auto"/>
              </w:rPr>
            </w:pPr>
            <w:r>
              <w:rPr>
                <w:rFonts w:ascii="Arial" w:cs="Arial" w:eastAsia="Arial" w:hAnsi="Arial"/>
                <w:sz w:val="10"/>
                <w:szCs w:val="10"/>
                <w:color w:val="auto"/>
              </w:rPr>
              <w:t>75,000</w:t>
            </w:r>
          </w:p>
        </w:tc>
        <w:tc>
          <w:tcPr>
            <w:tcW w:w="560" w:type="dxa"/>
            <w:vAlign w:val="bottom"/>
            <w:vMerge w:val="restart"/>
          </w:tcPr>
          <w:p>
            <w:pPr>
              <w:jc w:val="right"/>
              <w:ind w:right="173"/>
              <w:spacing w:after="0"/>
              <w:rPr>
                <w:sz w:val="20"/>
                <w:szCs w:val="20"/>
                <w:color w:val="auto"/>
              </w:rPr>
            </w:pPr>
            <w:r>
              <w:rPr>
                <w:rFonts w:ascii="Arial" w:cs="Arial" w:eastAsia="Arial" w:hAnsi="Arial"/>
                <w:sz w:val="10"/>
                <w:szCs w:val="10"/>
                <w:color w:val="auto"/>
              </w:rPr>
              <w:t>--</w:t>
            </w:r>
          </w:p>
        </w:tc>
        <w:tc>
          <w:tcPr>
            <w:tcW w:w="780" w:type="dxa"/>
            <w:vAlign w:val="bottom"/>
            <w:vMerge w:val="restart"/>
          </w:tcPr>
          <w:p>
            <w:pPr>
              <w:jc w:val="right"/>
              <w:ind w:right="313"/>
              <w:spacing w:after="0"/>
              <w:rPr>
                <w:sz w:val="20"/>
                <w:szCs w:val="20"/>
                <w:color w:val="auto"/>
              </w:rPr>
            </w:pPr>
            <w:r>
              <w:rPr>
                <w:rFonts w:ascii="Arial" w:cs="Arial" w:eastAsia="Arial" w:hAnsi="Arial"/>
                <w:sz w:val="10"/>
                <w:szCs w:val="10"/>
                <w:color w:val="auto"/>
              </w:rPr>
              <w:t>--</w:t>
            </w:r>
          </w:p>
        </w:tc>
        <w:tc>
          <w:tcPr>
            <w:tcW w:w="800" w:type="dxa"/>
            <w:vAlign w:val="bottom"/>
            <w:vMerge w:val="restart"/>
          </w:tcPr>
          <w:p>
            <w:pPr>
              <w:jc w:val="right"/>
              <w:ind w:right="393"/>
              <w:spacing w:after="0"/>
              <w:rPr>
                <w:sz w:val="20"/>
                <w:szCs w:val="20"/>
                <w:color w:val="auto"/>
              </w:rPr>
            </w:pPr>
            <w:r>
              <w:rPr>
                <w:rFonts w:ascii="Arial" w:cs="Arial" w:eastAsia="Arial" w:hAnsi="Arial"/>
                <w:sz w:val="10"/>
                <w:szCs w:val="10"/>
                <w:color w:val="auto"/>
              </w:rPr>
              <w:t>--</w:t>
            </w:r>
          </w:p>
        </w:tc>
        <w:tc>
          <w:tcPr>
            <w:tcW w:w="760" w:type="dxa"/>
            <w:vAlign w:val="bottom"/>
            <w:vMerge w:val="restart"/>
          </w:tcPr>
          <w:p>
            <w:pPr>
              <w:jc w:val="right"/>
              <w:ind w:right="13"/>
              <w:spacing w:after="0"/>
              <w:rPr>
                <w:sz w:val="20"/>
                <w:szCs w:val="20"/>
                <w:color w:val="auto"/>
              </w:rPr>
            </w:pPr>
            <w:r>
              <w:rPr>
                <w:rFonts w:ascii="Arial" w:cs="Arial" w:eastAsia="Arial" w:hAnsi="Arial"/>
                <w:sz w:val="10"/>
                <w:szCs w:val="10"/>
                <w:color w:val="auto"/>
              </w:rPr>
              <w:t>22,899</w:t>
            </w:r>
          </w:p>
        </w:tc>
        <w:tc>
          <w:tcPr>
            <w:tcW w:w="500" w:type="dxa"/>
            <w:vAlign w:val="bottom"/>
          </w:tcPr>
          <w:p>
            <w:pPr>
              <w:jc w:val="right"/>
              <w:ind w:right="356"/>
              <w:spacing w:after="0"/>
              <w:rPr>
                <w:sz w:val="20"/>
                <w:szCs w:val="20"/>
                <w:color w:val="auto"/>
              </w:rPr>
            </w:pPr>
            <w:r>
              <w:rPr>
                <w:rFonts w:ascii="Arial" w:cs="Arial" w:eastAsia="Arial" w:hAnsi="Arial"/>
                <w:sz w:val="5"/>
                <w:szCs w:val="5"/>
                <w:color w:val="auto"/>
              </w:rPr>
              <w:t>(3)</w:t>
            </w:r>
          </w:p>
        </w:tc>
        <w:tc>
          <w:tcPr>
            <w:tcW w:w="720" w:type="dxa"/>
            <w:vAlign w:val="bottom"/>
            <w:vMerge w:val="restart"/>
          </w:tcPr>
          <w:p>
            <w:pPr>
              <w:jc w:val="right"/>
              <w:spacing w:after="0"/>
              <w:rPr>
                <w:sz w:val="20"/>
                <w:szCs w:val="20"/>
                <w:color w:val="auto"/>
              </w:rPr>
            </w:pPr>
            <w:r>
              <w:rPr>
                <w:rFonts w:ascii="Arial" w:cs="Arial" w:eastAsia="Arial" w:hAnsi="Arial"/>
                <w:sz w:val="10"/>
                <w:szCs w:val="10"/>
                <w:color w:val="auto"/>
              </w:rPr>
              <w:t>447,899</w:t>
            </w:r>
          </w:p>
        </w:tc>
        <w:tc>
          <w:tcPr>
            <w:tcW w:w="0" w:type="dxa"/>
            <w:vAlign w:val="bottom"/>
          </w:tcPr>
          <w:p>
            <w:pPr>
              <w:spacing w:after="0"/>
              <w:rPr>
                <w:sz w:val="1"/>
                <w:szCs w:val="1"/>
                <w:color w:val="auto"/>
              </w:rPr>
            </w:pPr>
          </w:p>
        </w:tc>
      </w:tr>
      <w:tr>
        <w:trPr>
          <w:trHeight w:val="37"/>
        </w:trPr>
        <w:tc>
          <w:tcPr>
            <w:tcW w:w="1280" w:type="dxa"/>
            <w:vAlign w:val="bottom"/>
            <w:vMerge w:val="continue"/>
          </w:tcPr>
          <w:p>
            <w:pPr>
              <w:spacing w:after="0"/>
              <w:rPr>
                <w:sz w:val="3"/>
                <w:szCs w:val="3"/>
                <w:color w:val="auto"/>
              </w:rPr>
            </w:pPr>
          </w:p>
        </w:tc>
        <w:tc>
          <w:tcPr>
            <w:tcW w:w="520" w:type="dxa"/>
            <w:vAlign w:val="bottom"/>
            <w:vMerge w:val="continue"/>
          </w:tcPr>
          <w:p>
            <w:pPr>
              <w:spacing w:after="0"/>
              <w:rPr>
                <w:sz w:val="3"/>
                <w:szCs w:val="3"/>
                <w:color w:val="auto"/>
              </w:rPr>
            </w:pPr>
          </w:p>
        </w:tc>
        <w:tc>
          <w:tcPr>
            <w:tcW w:w="720" w:type="dxa"/>
            <w:vAlign w:val="bottom"/>
            <w:vMerge w:val="continue"/>
          </w:tcPr>
          <w:p>
            <w:pPr>
              <w:spacing w:after="0"/>
              <w:rPr>
                <w:sz w:val="3"/>
                <w:szCs w:val="3"/>
                <w:color w:val="auto"/>
              </w:rPr>
            </w:pPr>
          </w:p>
        </w:tc>
        <w:tc>
          <w:tcPr>
            <w:tcW w:w="720" w:type="dxa"/>
            <w:vAlign w:val="bottom"/>
            <w:vMerge w:val="continue"/>
          </w:tcPr>
          <w:p>
            <w:pPr>
              <w:spacing w:after="0"/>
              <w:rPr>
                <w:sz w:val="3"/>
                <w:szCs w:val="3"/>
                <w:color w:val="auto"/>
              </w:rPr>
            </w:pPr>
          </w:p>
        </w:tc>
        <w:tc>
          <w:tcPr>
            <w:tcW w:w="56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50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99"/>
        </w:trPr>
        <w:tc>
          <w:tcPr>
            <w:tcW w:w="1280" w:type="dxa"/>
            <w:vAlign w:val="bottom"/>
          </w:tcPr>
          <w:p>
            <w:pPr>
              <w:ind w:left="140"/>
              <w:spacing w:after="0" w:line="99" w:lineRule="exact"/>
              <w:rPr>
                <w:sz w:val="20"/>
                <w:szCs w:val="20"/>
                <w:color w:val="auto"/>
              </w:rPr>
            </w:pPr>
            <w:r>
              <w:rPr>
                <w:rFonts w:ascii="Arial" w:cs="Arial" w:eastAsia="Arial" w:hAnsi="Arial"/>
                <w:sz w:val="10"/>
                <w:szCs w:val="10"/>
                <w:color w:val="auto"/>
              </w:rPr>
              <w:t>President – Domestic</w:t>
            </w:r>
          </w:p>
        </w:tc>
        <w:tc>
          <w:tcPr>
            <w:tcW w:w="520" w:type="dxa"/>
            <w:vAlign w:val="bottom"/>
            <w:vMerge w:val="restart"/>
          </w:tcPr>
          <w:p>
            <w:pPr>
              <w:jc w:val="right"/>
              <w:ind w:right="153"/>
              <w:spacing w:after="0"/>
              <w:rPr>
                <w:sz w:val="20"/>
                <w:szCs w:val="20"/>
                <w:color w:val="auto"/>
              </w:rPr>
            </w:pPr>
            <w:r>
              <w:rPr>
                <w:rFonts w:ascii="Arial" w:cs="Arial" w:eastAsia="Arial" w:hAnsi="Arial"/>
                <w:sz w:val="10"/>
                <w:szCs w:val="10"/>
                <w:color w:val="auto"/>
              </w:rPr>
              <w:t>2014</w:t>
            </w:r>
          </w:p>
        </w:tc>
        <w:tc>
          <w:tcPr>
            <w:tcW w:w="720" w:type="dxa"/>
            <w:vAlign w:val="bottom"/>
            <w:vMerge w:val="restart"/>
          </w:tcPr>
          <w:p>
            <w:pPr>
              <w:jc w:val="right"/>
              <w:ind w:right="153"/>
              <w:spacing w:after="0"/>
              <w:rPr>
                <w:sz w:val="20"/>
                <w:szCs w:val="20"/>
                <w:color w:val="auto"/>
              </w:rPr>
            </w:pPr>
            <w:r>
              <w:rPr>
                <w:rFonts w:ascii="Arial" w:cs="Arial" w:eastAsia="Arial" w:hAnsi="Arial"/>
                <w:sz w:val="10"/>
                <w:szCs w:val="10"/>
                <w:color w:val="auto"/>
              </w:rPr>
              <w:t>350,000</w:t>
            </w:r>
          </w:p>
        </w:tc>
        <w:tc>
          <w:tcPr>
            <w:tcW w:w="720" w:type="dxa"/>
            <w:vAlign w:val="bottom"/>
            <w:vMerge w:val="restart"/>
          </w:tcPr>
          <w:p>
            <w:pPr>
              <w:jc w:val="right"/>
              <w:ind w:right="213"/>
              <w:spacing w:after="0"/>
              <w:rPr>
                <w:sz w:val="20"/>
                <w:szCs w:val="20"/>
                <w:color w:val="auto"/>
              </w:rPr>
            </w:pPr>
            <w:r>
              <w:rPr>
                <w:rFonts w:ascii="Arial" w:cs="Arial" w:eastAsia="Arial" w:hAnsi="Arial"/>
                <w:sz w:val="10"/>
                <w:szCs w:val="10"/>
                <w:color w:val="auto"/>
              </w:rPr>
              <w:t>65,000</w:t>
            </w:r>
          </w:p>
        </w:tc>
        <w:tc>
          <w:tcPr>
            <w:tcW w:w="560" w:type="dxa"/>
            <w:vAlign w:val="bottom"/>
            <w:vMerge w:val="restart"/>
          </w:tcPr>
          <w:p>
            <w:pPr>
              <w:jc w:val="right"/>
              <w:ind w:right="173"/>
              <w:spacing w:after="0"/>
              <w:rPr>
                <w:sz w:val="20"/>
                <w:szCs w:val="20"/>
                <w:color w:val="auto"/>
              </w:rPr>
            </w:pPr>
            <w:r>
              <w:rPr>
                <w:rFonts w:ascii="Arial" w:cs="Arial" w:eastAsia="Arial" w:hAnsi="Arial"/>
                <w:sz w:val="10"/>
                <w:szCs w:val="10"/>
                <w:color w:val="auto"/>
              </w:rPr>
              <w:t>--</w:t>
            </w:r>
          </w:p>
        </w:tc>
        <w:tc>
          <w:tcPr>
            <w:tcW w:w="780" w:type="dxa"/>
            <w:vAlign w:val="bottom"/>
            <w:vMerge w:val="restart"/>
          </w:tcPr>
          <w:p>
            <w:pPr>
              <w:jc w:val="right"/>
              <w:ind w:right="313"/>
              <w:spacing w:after="0"/>
              <w:rPr>
                <w:sz w:val="20"/>
                <w:szCs w:val="20"/>
                <w:color w:val="auto"/>
              </w:rPr>
            </w:pPr>
            <w:r>
              <w:rPr>
                <w:rFonts w:ascii="Arial" w:cs="Arial" w:eastAsia="Arial" w:hAnsi="Arial"/>
                <w:sz w:val="10"/>
                <w:szCs w:val="10"/>
                <w:color w:val="auto"/>
              </w:rPr>
              <w:t>--</w:t>
            </w:r>
          </w:p>
        </w:tc>
        <w:tc>
          <w:tcPr>
            <w:tcW w:w="800" w:type="dxa"/>
            <w:vAlign w:val="bottom"/>
            <w:vMerge w:val="restart"/>
          </w:tcPr>
          <w:p>
            <w:pPr>
              <w:jc w:val="right"/>
              <w:ind w:right="393"/>
              <w:spacing w:after="0"/>
              <w:rPr>
                <w:sz w:val="20"/>
                <w:szCs w:val="20"/>
                <w:color w:val="auto"/>
              </w:rPr>
            </w:pPr>
            <w:r>
              <w:rPr>
                <w:rFonts w:ascii="Arial" w:cs="Arial" w:eastAsia="Arial" w:hAnsi="Arial"/>
                <w:sz w:val="10"/>
                <w:szCs w:val="10"/>
                <w:color w:val="auto"/>
              </w:rPr>
              <w:t>--</w:t>
            </w:r>
          </w:p>
        </w:tc>
        <w:tc>
          <w:tcPr>
            <w:tcW w:w="760" w:type="dxa"/>
            <w:vAlign w:val="bottom"/>
            <w:vMerge w:val="restart"/>
          </w:tcPr>
          <w:p>
            <w:pPr>
              <w:jc w:val="right"/>
              <w:ind w:right="13"/>
              <w:spacing w:after="0"/>
              <w:rPr>
                <w:sz w:val="20"/>
                <w:szCs w:val="20"/>
                <w:color w:val="auto"/>
              </w:rPr>
            </w:pPr>
            <w:r>
              <w:rPr>
                <w:rFonts w:ascii="Arial" w:cs="Arial" w:eastAsia="Arial" w:hAnsi="Arial"/>
                <w:sz w:val="10"/>
                <w:szCs w:val="10"/>
                <w:color w:val="auto"/>
              </w:rPr>
              <w:t>22,421</w:t>
            </w:r>
          </w:p>
        </w:tc>
        <w:tc>
          <w:tcPr>
            <w:tcW w:w="500" w:type="dxa"/>
            <w:vAlign w:val="bottom"/>
          </w:tcPr>
          <w:p>
            <w:pPr>
              <w:jc w:val="right"/>
              <w:ind w:right="356"/>
              <w:spacing w:after="0"/>
              <w:rPr>
                <w:sz w:val="20"/>
                <w:szCs w:val="20"/>
                <w:color w:val="auto"/>
              </w:rPr>
            </w:pPr>
            <w:r>
              <w:rPr>
                <w:rFonts w:ascii="Arial" w:cs="Arial" w:eastAsia="Arial" w:hAnsi="Arial"/>
                <w:sz w:val="5"/>
                <w:szCs w:val="5"/>
                <w:color w:val="auto"/>
              </w:rPr>
              <w:t>(3)</w:t>
            </w:r>
          </w:p>
        </w:tc>
        <w:tc>
          <w:tcPr>
            <w:tcW w:w="720" w:type="dxa"/>
            <w:vAlign w:val="bottom"/>
            <w:vMerge w:val="restart"/>
          </w:tcPr>
          <w:p>
            <w:pPr>
              <w:jc w:val="right"/>
              <w:spacing w:after="0"/>
              <w:rPr>
                <w:sz w:val="20"/>
                <w:szCs w:val="20"/>
                <w:color w:val="auto"/>
              </w:rPr>
            </w:pPr>
            <w:r>
              <w:rPr>
                <w:rFonts w:ascii="Arial" w:cs="Arial" w:eastAsia="Arial" w:hAnsi="Arial"/>
                <w:sz w:val="10"/>
                <w:szCs w:val="10"/>
                <w:color w:val="auto"/>
              </w:rPr>
              <w:t>437,421</w:t>
            </w:r>
          </w:p>
        </w:tc>
        <w:tc>
          <w:tcPr>
            <w:tcW w:w="0" w:type="dxa"/>
            <w:vAlign w:val="bottom"/>
          </w:tcPr>
          <w:p>
            <w:pPr>
              <w:spacing w:after="0"/>
              <w:rPr>
                <w:sz w:val="1"/>
                <w:szCs w:val="1"/>
                <w:color w:val="auto"/>
              </w:rPr>
            </w:pPr>
          </w:p>
        </w:tc>
      </w:tr>
      <w:tr>
        <w:trPr>
          <w:trHeight w:val="68"/>
        </w:trPr>
        <w:tc>
          <w:tcPr>
            <w:tcW w:w="1280" w:type="dxa"/>
            <w:vAlign w:val="bottom"/>
            <w:vMerge w:val="restart"/>
          </w:tcPr>
          <w:p>
            <w:pPr>
              <w:ind w:left="140"/>
              <w:spacing w:after="0"/>
              <w:rPr>
                <w:sz w:val="20"/>
                <w:szCs w:val="20"/>
                <w:color w:val="auto"/>
              </w:rPr>
            </w:pPr>
            <w:r>
              <w:rPr>
                <w:rFonts w:ascii="Arial" w:cs="Arial" w:eastAsia="Arial" w:hAnsi="Arial"/>
                <w:sz w:val="10"/>
                <w:szCs w:val="10"/>
                <w:color w:val="auto"/>
              </w:rPr>
              <w:t>Cinema Operations</w:t>
            </w:r>
          </w:p>
        </w:tc>
        <w:tc>
          <w:tcPr>
            <w:tcW w:w="52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5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4"/>
        </w:trPr>
        <w:tc>
          <w:tcPr>
            <w:tcW w:w="1280" w:type="dxa"/>
            <w:vAlign w:val="bottom"/>
            <w:vMerge w:val="continue"/>
          </w:tcPr>
          <w:p>
            <w:pPr>
              <w:spacing w:after="0"/>
              <w:rPr>
                <w:sz w:val="4"/>
                <w:szCs w:val="4"/>
                <w:color w:val="auto"/>
              </w:rPr>
            </w:pPr>
          </w:p>
        </w:tc>
        <w:tc>
          <w:tcPr>
            <w:tcW w:w="520" w:type="dxa"/>
            <w:vAlign w:val="bottom"/>
            <w:vMerge w:val="restart"/>
          </w:tcPr>
          <w:p>
            <w:pPr>
              <w:jc w:val="right"/>
              <w:ind w:right="153"/>
              <w:spacing w:after="0"/>
              <w:rPr>
                <w:sz w:val="20"/>
                <w:szCs w:val="20"/>
                <w:color w:val="auto"/>
              </w:rPr>
            </w:pPr>
            <w:r>
              <w:rPr>
                <w:rFonts w:ascii="Arial" w:cs="Arial" w:eastAsia="Arial" w:hAnsi="Arial"/>
                <w:sz w:val="10"/>
                <w:szCs w:val="10"/>
                <w:color w:val="auto"/>
              </w:rPr>
              <w:t>2013</w:t>
            </w:r>
          </w:p>
        </w:tc>
        <w:tc>
          <w:tcPr>
            <w:tcW w:w="720" w:type="dxa"/>
            <w:vAlign w:val="bottom"/>
            <w:vMerge w:val="restart"/>
          </w:tcPr>
          <w:p>
            <w:pPr>
              <w:jc w:val="right"/>
              <w:ind w:right="153"/>
              <w:spacing w:after="0"/>
              <w:rPr>
                <w:sz w:val="20"/>
                <w:szCs w:val="20"/>
                <w:color w:val="auto"/>
              </w:rPr>
            </w:pPr>
            <w:r>
              <w:rPr>
                <w:rFonts w:ascii="Arial" w:cs="Arial" w:eastAsia="Arial" w:hAnsi="Arial"/>
                <w:sz w:val="10"/>
                <w:szCs w:val="10"/>
                <w:color w:val="auto"/>
              </w:rPr>
              <w:t>350,000</w:t>
            </w:r>
          </w:p>
        </w:tc>
        <w:tc>
          <w:tcPr>
            <w:tcW w:w="720" w:type="dxa"/>
            <w:vAlign w:val="bottom"/>
            <w:vMerge w:val="restart"/>
          </w:tcPr>
          <w:p>
            <w:pPr>
              <w:jc w:val="right"/>
              <w:ind w:right="213"/>
              <w:spacing w:after="0"/>
              <w:rPr>
                <w:sz w:val="20"/>
                <w:szCs w:val="20"/>
                <w:color w:val="auto"/>
              </w:rPr>
            </w:pPr>
            <w:r>
              <w:rPr>
                <w:rFonts w:ascii="Arial" w:cs="Arial" w:eastAsia="Arial" w:hAnsi="Arial"/>
                <w:sz w:val="10"/>
                <w:szCs w:val="10"/>
                <w:color w:val="auto"/>
              </w:rPr>
              <w:t>25,000</w:t>
            </w:r>
          </w:p>
        </w:tc>
        <w:tc>
          <w:tcPr>
            <w:tcW w:w="560" w:type="dxa"/>
            <w:vAlign w:val="bottom"/>
            <w:vMerge w:val="restart"/>
          </w:tcPr>
          <w:p>
            <w:pPr>
              <w:jc w:val="right"/>
              <w:ind w:right="173"/>
              <w:spacing w:after="0"/>
              <w:rPr>
                <w:sz w:val="20"/>
                <w:szCs w:val="20"/>
                <w:color w:val="auto"/>
              </w:rPr>
            </w:pPr>
            <w:r>
              <w:rPr>
                <w:rFonts w:ascii="Arial" w:cs="Arial" w:eastAsia="Arial" w:hAnsi="Arial"/>
                <w:sz w:val="10"/>
                <w:szCs w:val="10"/>
                <w:color w:val="auto"/>
              </w:rPr>
              <w:t>--</w:t>
            </w:r>
          </w:p>
        </w:tc>
        <w:tc>
          <w:tcPr>
            <w:tcW w:w="780" w:type="dxa"/>
            <w:vAlign w:val="bottom"/>
            <w:vMerge w:val="restart"/>
          </w:tcPr>
          <w:p>
            <w:pPr>
              <w:jc w:val="right"/>
              <w:ind w:right="313"/>
              <w:spacing w:after="0"/>
              <w:rPr>
                <w:sz w:val="20"/>
                <w:szCs w:val="20"/>
                <w:color w:val="auto"/>
              </w:rPr>
            </w:pPr>
            <w:r>
              <w:rPr>
                <w:rFonts w:ascii="Arial" w:cs="Arial" w:eastAsia="Arial" w:hAnsi="Arial"/>
                <w:sz w:val="10"/>
                <w:szCs w:val="10"/>
                <w:color w:val="auto"/>
              </w:rPr>
              <w:t>--</w:t>
            </w:r>
          </w:p>
        </w:tc>
        <w:tc>
          <w:tcPr>
            <w:tcW w:w="800" w:type="dxa"/>
            <w:vAlign w:val="bottom"/>
            <w:vMerge w:val="restart"/>
          </w:tcPr>
          <w:p>
            <w:pPr>
              <w:jc w:val="right"/>
              <w:ind w:right="393"/>
              <w:spacing w:after="0"/>
              <w:rPr>
                <w:sz w:val="20"/>
                <w:szCs w:val="20"/>
                <w:color w:val="auto"/>
              </w:rPr>
            </w:pPr>
            <w:r>
              <w:rPr>
                <w:rFonts w:ascii="Arial" w:cs="Arial" w:eastAsia="Arial" w:hAnsi="Arial"/>
                <w:sz w:val="10"/>
                <w:szCs w:val="10"/>
                <w:color w:val="auto"/>
              </w:rPr>
              <w:t>--</w:t>
            </w:r>
          </w:p>
        </w:tc>
        <w:tc>
          <w:tcPr>
            <w:tcW w:w="760" w:type="dxa"/>
            <w:vAlign w:val="bottom"/>
            <w:vMerge w:val="restart"/>
          </w:tcPr>
          <w:p>
            <w:pPr>
              <w:jc w:val="right"/>
              <w:ind w:right="13"/>
              <w:spacing w:after="0"/>
              <w:rPr>
                <w:sz w:val="20"/>
                <w:szCs w:val="20"/>
                <w:color w:val="auto"/>
              </w:rPr>
            </w:pPr>
            <w:r>
              <w:rPr>
                <w:rFonts w:ascii="Arial" w:cs="Arial" w:eastAsia="Arial" w:hAnsi="Arial"/>
                <w:sz w:val="10"/>
                <w:szCs w:val="10"/>
                <w:color w:val="auto"/>
              </w:rPr>
              <w:t>21,981</w:t>
            </w:r>
          </w:p>
        </w:tc>
        <w:tc>
          <w:tcPr>
            <w:tcW w:w="500" w:type="dxa"/>
            <w:vAlign w:val="bottom"/>
            <w:vMerge w:val="restart"/>
          </w:tcPr>
          <w:p>
            <w:pPr>
              <w:jc w:val="right"/>
              <w:ind w:right="356"/>
              <w:spacing w:after="0"/>
              <w:rPr>
                <w:sz w:val="20"/>
                <w:szCs w:val="20"/>
                <w:color w:val="auto"/>
              </w:rPr>
            </w:pPr>
            <w:r>
              <w:rPr>
                <w:rFonts w:ascii="Arial" w:cs="Arial" w:eastAsia="Arial" w:hAnsi="Arial"/>
                <w:sz w:val="5"/>
                <w:szCs w:val="5"/>
                <w:color w:val="auto"/>
              </w:rPr>
              <w:t>(3)</w:t>
            </w:r>
          </w:p>
        </w:tc>
        <w:tc>
          <w:tcPr>
            <w:tcW w:w="720" w:type="dxa"/>
            <w:vAlign w:val="bottom"/>
            <w:vMerge w:val="restart"/>
          </w:tcPr>
          <w:p>
            <w:pPr>
              <w:jc w:val="right"/>
              <w:spacing w:after="0"/>
              <w:rPr>
                <w:sz w:val="20"/>
                <w:szCs w:val="20"/>
                <w:color w:val="auto"/>
              </w:rPr>
            </w:pPr>
            <w:r>
              <w:rPr>
                <w:rFonts w:ascii="Arial" w:cs="Arial" w:eastAsia="Arial" w:hAnsi="Arial"/>
                <w:sz w:val="10"/>
                <w:szCs w:val="10"/>
                <w:color w:val="auto"/>
              </w:rPr>
              <w:t>396,981</w:t>
            </w:r>
          </w:p>
        </w:tc>
        <w:tc>
          <w:tcPr>
            <w:tcW w:w="0" w:type="dxa"/>
            <w:vAlign w:val="bottom"/>
          </w:tcPr>
          <w:p>
            <w:pPr>
              <w:spacing w:after="0"/>
              <w:rPr>
                <w:sz w:val="1"/>
                <w:szCs w:val="1"/>
                <w:color w:val="auto"/>
              </w:rPr>
            </w:pPr>
          </w:p>
        </w:tc>
      </w:tr>
      <w:tr>
        <w:trPr>
          <w:trHeight w:val="31"/>
        </w:trPr>
        <w:tc>
          <w:tcPr>
            <w:tcW w:w="1280" w:type="dxa"/>
            <w:vAlign w:val="bottom"/>
          </w:tcPr>
          <w:p>
            <w:pPr>
              <w:spacing w:after="0"/>
              <w:rPr>
                <w:sz w:val="2"/>
                <w:szCs w:val="2"/>
                <w:color w:val="auto"/>
              </w:rPr>
            </w:pPr>
          </w:p>
        </w:tc>
        <w:tc>
          <w:tcPr>
            <w:tcW w:w="520" w:type="dxa"/>
            <w:vAlign w:val="bottom"/>
            <w:vMerge w:val="continue"/>
          </w:tcPr>
          <w:p>
            <w:pPr>
              <w:spacing w:after="0"/>
              <w:rPr>
                <w:sz w:val="2"/>
                <w:szCs w:val="2"/>
                <w:color w:val="auto"/>
              </w:rPr>
            </w:pPr>
          </w:p>
        </w:tc>
        <w:tc>
          <w:tcPr>
            <w:tcW w:w="720" w:type="dxa"/>
            <w:vAlign w:val="bottom"/>
            <w:vMerge w:val="continue"/>
          </w:tcPr>
          <w:p>
            <w:pPr>
              <w:spacing w:after="0"/>
              <w:rPr>
                <w:sz w:val="2"/>
                <w:szCs w:val="2"/>
                <w:color w:val="auto"/>
              </w:rPr>
            </w:pPr>
          </w:p>
        </w:tc>
        <w:tc>
          <w:tcPr>
            <w:tcW w:w="720" w:type="dxa"/>
            <w:vAlign w:val="bottom"/>
            <w:vMerge w:val="continue"/>
          </w:tcPr>
          <w:p>
            <w:pPr>
              <w:spacing w:after="0"/>
              <w:rPr>
                <w:sz w:val="2"/>
                <w:szCs w:val="2"/>
                <w:color w:val="auto"/>
              </w:rPr>
            </w:pPr>
          </w:p>
        </w:tc>
        <w:tc>
          <w:tcPr>
            <w:tcW w:w="56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80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500" w:type="dxa"/>
            <w:vAlign w:val="bottom"/>
            <w:vMerge w:val="continue"/>
          </w:tcPr>
          <w:p>
            <w:pPr>
              <w:spacing w:after="0"/>
              <w:rPr>
                <w:sz w:val="2"/>
                <w:szCs w:val="2"/>
                <w:color w:val="auto"/>
              </w:rPr>
            </w:pPr>
          </w:p>
        </w:tc>
        <w:tc>
          <w:tcPr>
            <w:tcW w:w="7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59"/>
        </w:trPr>
        <w:tc>
          <w:tcPr>
            <w:tcW w:w="12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5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5"/>
        </w:trPr>
        <w:tc>
          <w:tcPr>
            <w:tcW w:w="1280" w:type="dxa"/>
            <w:vAlign w:val="bottom"/>
          </w:tcPr>
          <w:p>
            <w:pPr>
              <w:spacing w:after="0"/>
              <w:rPr>
                <w:sz w:val="7"/>
                <w:szCs w:val="7"/>
                <w:color w:val="auto"/>
              </w:rPr>
            </w:pPr>
          </w:p>
        </w:tc>
        <w:tc>
          <w:tcPr>
            <w:tcW w:w="520" w:type="dxa"/>
            <w:vAlign w:val="bottom"/>
            <w:vMerge w:val="restart"/>
          </w:tcPr>
          <w:p>
            <w:pPr>
              <w:jc w:val="right"/>
              <w:ind w:right="153"/>
              <w:spacing w:after="0"/>
              <w:rPr>
                <w:sz w:val="20"/>
                <w:szCs w:val="20"/>
                <w:color w:val="auto"/>
              </w:rPr>
            </w:pPr>
            <w:r>
              <w:rPr>
                <w:rFonts w:ascii="Arial" w:cs="Arial" w:eastAsia="Arial" w:hAnsi="Arial"/>
                <w:sz w:val="10"/>
                <w:szCs w:val="10"/>
                <w:color w:val="auto"/>
              </w:rPr>
              <w:t>2015</w:t>
            </w:r>
          </w:p>
        </w:tc>
        <w:tc>
          <w:tcPr>
            <w:tcW w:w="720" w:type="dxa"/>
            <w:vAlign w:val="bottom"/>
            <w:vMerge w:val="restart"/>
          </w:tcPr>
          <w:p>
            <w:pPr>
              <w:jc w:val="right"/>
              <w:ind w:right="153"/>
              <w:spacing w:after="0"/>
              <w:rPr>
                <w:sz w:val="20"/>
                <w:szCs w:val="20"/>
                <w:color w:val="auto"/>
              </w:rPr>
            </w:pPr>
            <w:r>
              <w:rPr>
                <w:rFonts w:ascii="Arial" w:cs="Arial" w:eastAsia="Arial" w:hAnsi="Arial"/>
                <w:sz w:val="10"/>
                <w:szCs w:val="10"/>
                <w:color w:val="auto"/>
              </w:rPr>
              <w:t>274,897</w:t>
            </w:r>
          </w:p>
        </w:tc>
        <w:tc>
          <w:tcPr>
            <w:tcW w:w="720" w:type="dxa"/>
            <w:vAlign w:val="bottom"/>
            <w:vMerge w:val="restart"/>
          </w:tcPr>
          <w:p>
            <w:pPr>
              <w:jc w:val="right"/>
              <w:ind w:right="213"/>
              <w:spacing w:after="0"/>
              <w:rPr>
                <w:sz w:val="20"/>
                <w:szCs w:val="20"/>
                <w:color w:val="auto"/>
              </w:rPr>
            </w:pPr>
            <w:r>
              <w:rPr>
                <w:rFonts w:ascii="Arial" w:cs="Arial" w:eastAsia="Arial" w:hAnsi="Arial"/>
                <w:sz w:val="10"/>
                <w:szCs w:val="10"/>
                <w:color w:val="auto"/>
              </w:rPr>
              <w:t>71,478</w:t>
            </w:r>
          </w:p>
        </w:tc>
        <w:tc>
          <w:tcPr>
            <w:tcW w:w="560" w:type="dxa"/>
            <w:vAlign w:val="bottom"/>
            <w:vMerge w:val="restart"/>
          </w:tcPr>
          <w:p>
            <w:pPr>
              <w:jc w:val="right"/>
              <w:ind w:right="173"/>
              <w:spacing w:after="0"/>
              <w:rPr>
                <w:sz w:val="20"/>
                <w:szCs w:val="20"/>
                <w:color w:val="auto"/>
              </w:rPr>
            </w:pPr>
            <w:r>
              <w:rPr>
                <w:rFonts w:ascii="Arial" w:cs="Arial" w:eastAsia="Arial" w:hAnsi="Arial"/>
                <w:sz w:val="10"/>
                <w:szCs w:val="10"/>
                <w:color w:val="auto"/>
              </w:rPr>
              <w:t>--</w:t>
            </w:r>
          </w:p>
        </w:tc>
        <w:tc>
          <w:tcPr>
            <w:tcW w:w="780" w:type="dxa"/>
            <w:vAlign w:val="bottom"/>
            <w:vMerge w:val="restart"/>
          </w:tcPr>
          <w:p>
            <w:pPr>
              <w:jc w:val="right"/>
              <w:ind w:right="313"/>
              <w:spacing w:after="0"/>
              <w:rPr>
                <w:sz w:val="20"/>
                <w:szCs w:val="20"/>
                <w:color w:val="auto"/>
              </w:rPr>
            </w:pPr>
            <w:r>
              <w:rPr>
                <w:rFonts w:ascii="Arial" w:cs="Arial" w:eastAsia="Arial" w:hAnsi="Arial"/>
                <w:sz w:val="10"/>
                <w:szCs w:val="10"/>
                <w:color w:val="auto"/>
              </w:rPr>
              <w:t>--</w:t>
            </w:r>
          </w:p>
        </w:tc>
        <w:tc>
          <w:tcPr>
            <w:tcW w:w="800" w:type="dxa"/>
            <w:vAlign w:val="bottom"/>
            <w:vMerge w:val="restart"/>
          </w:tcPr>
          <w:p>
            <w:pPr>
              <w:jc w:val="right"/>
              <w:ind w:right="393"/>
              <w:spacing w:after="0"/>
              <w:rPr>
                <w:sz w:val="20"/>
                <w:szCs w:val="20"/>
                <w:color w:val="auto"/>
              </w:rPr>
            </w:pPr>
            <w:r>
              <w:rPr>
                <w:rFonts w:ascii="Arial" w:cs="Arial" w:eastAsia="Arial" w:hAnsi="Arial"/>
                <w:sz w:val="10"/>
                <w:szCs w:val="10"/>
                <w:color w:val="auto"/>
              </w:rPr>
              <w:t>--</w:t>
            </w:r>
          </w:p>
        </w:tc>
        <w:tc>
          <w:tcPr>
            <w:tcW w:w="760" w:type="dxa"/>
            <w:vAlign w:val="bottom"/>
            <w:vMerge w:val="restart"/>
          </w:tcPr>
          <w:p>
            <w:pPr>
              <w:jc w:val="right"/>
              <w:ind w:right="13"/>
              <w:spacing w:after="0"/>
              <w:rPr>
                <w:sz w:val="20"/>
                <w:szCs w:val="20"/>
                <w:color w:val="auto"/>
              </w:rPr>
            </w:pPr>
            <w:r>
              <w:rPr>
                <w:rFonts w:ascii="Arial" w:cs="Arial" w:eastAsia="Arial" w:hAnsi="Arial"/>
                <w:sz w:val="10"/>
                <w:szCs w:val="10"/>
                <w:color w:val="auto"/>
              </w:rPr>
              <w:t>2,600</w:t>
            </w:r>
          </w:p>
        </w:tc>
        <w:tc>
          <w:tcPr>
            <w:tcW w:w="500" w:type="dxa"/>
            <w:vAlign w:val="bottom"/>
          </w:tcPr>
          <w:p>
            <w:pPr>
              <w:jc w:val="right"/>
              <w:ind w:right="356"/>
              <w:spacing w:after="0"/>
              <w:rPr>
                <w:sz w:val="20"/>
                <w:szCs w:val="20"/>
                <w:color w:val="auto"/>
              </w:rPr>
            </w:pPr>
            <w:r>
              <w:rPr>
                <w:rFonts w:ascii="Arial" w:cs="Arial" w:eastAsia="Arial" w:hAnsi="Arial"/>
                <w:sz w:val="5"/>
                <w:szCs w:val="5"/>
                <w:color w:val="auto"/>
              </w:rPr>
              <w:t>(3)</w:t>
            </w:r>
          </w:p>
        </w:tc>
        <w:tc>
          <w:tcPr>
            <w:tcW w:w="720" w:type="dxa"/>
            <w:vAlign w:val="bottom"/>
            <w:vMerge w:val="restart"/>
          </w:tcPr>
          <w:p>
            <w:pPr>
              <w:jc w:val="right"/>
              <w:spacing w:after="0"/>
              <w:rPr>
                <w:sz w:val="20"/>
                <w:szCs w:val="20"/>
                <w:color w:val="auto"/>
              </w:rPr>
            </w:pPr>
            <w:r>
              <w:rPr>
                <w:rFonts w:ascii="Arial" w:cs="Arial" w:eastAsia="Arial" w:hAnsi="Arial"/>
                <w:sz w:val="10"/>
                <w:szCs w:val="10"/>
                <w:color w:val="auto"/>
              </w:rPr>
              <w:t>348,975</w:t>
            </w:r>
          </w:p>
        </w:tc>
        <w:tc>
          <w:tcPr>
            <w:tcW w:w="0" w:type="dxa"/>
            <w:vAlign w:val="bottom"/>
          </w:tcPr>
          <w:p>
            <w:pPr>
              <w:spacing w:after="0"/>
              <w:rPr>
                <w:sz w:val="1"/>
                <w:szCs w:val="1"/>
                <w:color w:val="auto"/>
              </w:rPr>
            </w:pPr>
          </w:p>
        </w:tc>
      </w:tr>
      <w:tr>
        <w:trPr>
          <w:trHeight w:val="94"/>
        </w:trPr>
        <w:tc>
          <w:tcPr>
            <w:tcW w:w="1280" w:type="dxa"/>
            <w:vAlign w:val="bottom"/>
          </w:tcPr>
          <w:p>
            <w:pPr>
              <w:spacing w:after="0" w:line="94" w:lineRule="exact"/>
              <w:rPr>
                <w:sz w:val="20"/>
                <w:szCs w:val="20"/>
                <w:color w:val="auto"/>
              </w:rPr>
            </w:pPr>
            <w:r>
              <w:rPr>
                <w:rFonts w:ascii="Arial" w:cs="Arial" w:eastAsia="Arial" w:hAnsi="Arial"/>
                <w:sz w:val="10"/>
                <w:szCs w:val="10"/>
                <w:color w:val="auto"/>
              </w:rPr>
              <w:t xml:space="preserve">Wayne Smith </w:t>
            </w:r>
            <w:r>
              <w:rPr>
                <w:rFonts w:ascii="Arial" w:cs="Arial" w:eastAsia="Arial" w:hAnsi="Arial"/>
                <w:sz w:val="4"/>
                <w:szCs w:val="4"/>
                <w:color w:val="auto"/>
              </w:rPr>
              <w:t>(11)</w:t>
            </w:r>
          </w:p>
        </w:tc>
        <w:tc>
          <w:tcPr>
            <w:tcW w:w="5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6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00" w:type="dxa"/>
            <w:vAlign w:val="bottom"/>
            <w:vMerge w:val="restart"/>
          </w:tcPr>
          <w:p>
            <w:pPr>
              <w:jc w:val="right"/>
              <w:ind w:right="356"/>
              <w:spacing w:after="0"/>
              <w:rPr>
                <w:sz w:val="20"/>
                <w:szCs w:val="20"/>
                <w:color w:val="auto"/>
              </w:rPr>
            </w:pPr>
            <w:r>
              <w:rPr>
                <w:rFonts w:ascii="Arial" w:cs="Arial" w:eastAsia="Arial" w:hAnsi="Arial"/>
                <w:sz w:val="5"/>
                <w:szCs w:val="5"/>
                <w:color w:val="auto"/>
              </w:rPr>
              <w:t>(3)</w:t>
            </w:r>
          </w:p>
        </w:tc>
        <w:tc>
          <w:tcPr>
            <w:tcW w:w="7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0"/>
        </w:trPr>
        <w:tc>
          <w:tcPr>
            <w:tcW w:w="1280" w:type="dxa"/>
            <w:vAlign w:val="bottom"/>
            <w:vMerge w:val="restart"/>
          </w:tcPr>
          <w:p>
            <w:pPr>
              <w:spacing w:after="0" w:line="105" w:lineRule="exact"/>
              <w:rPr>
                <w:sz w:val="20"/>
                <w:szCs w:val="20"/>
                <w:color w:val="auto"/>
              </w:rPr>
            </w:pPr>
            <w:r>
              <w:rPr>
                <w:rFonts w:ascii="Arial" w:cs="Arial" w:eastAsia="Arial" w:hAnsi="Arial"/>
                <w:sz w:val="10"/>
                <w:szCs w:val="10"/>
                <w:color w:val="auto"/>
                <w:w w:val="99"/>
              </w:rPr>
              <w:t>Managing Director -Australia</w:t>
            </w:r>
          </w:p>
        </w:tc>
        <w:tc>
          <w:tcPr>
            <w:tcW w:w="520" w:type="dxa"/>
            <w:vAlign w:val="bottom"/>
            <w:vMerge w:val="restart"/>
          </w:tcPr>
          <w:p>
            <w:pPr>
              <w:jc w:val="right"/>
              <w:ind w:right="153"/>
              <w:spacing w:after="0" w:line="105" w:lineRule="exact"/>
              <w:rPr>
                <w:sz w:val="20"/>
                <w:szCs w:val="20"/>
                <w:color w:val="auto"/>
              </w:rPr>
            </w:pPr>
            <w:r>
              <w:rPr>
                <w:rFonts w:ascii="Arial" w:cs="Arial" w:eastAsia="Arial" w:hAnsi="Arial"/>
                <w:sz w:val="10"/>
                <w:szCs w:val="10"/>
                <w:color w:val="auto"/>
              </w:rPr>
              <w:t>2014</w:t>
            </w:r>
          </w:p>
        </w:tc>
        <w:tc>
          <w:tcPr>
            <w:tcW w:w="720" w:type="dxa"/>
            <w:vAlign w:val="bottom"/>
            <w:vMerge w:val="restart"/>
          </w:tcPr>
          <w:p>
            <w:pPr>
              <w:jc w:val="right"/>
              <w:ind w:right="153"/>
              <w:spacing w:after="0" w:line="105" w:lineRule="exact"/>
              <w:rPr>
                <w:sz w:val="20"/>
                <w:szCs w:val="20"/>
                <w:color w:val="auto"/>
              </w:rPr>
            </w:pPr>
            <w:r>
              <w:rPr>
                <w:rFonts w:ascii="Arial" w:cs="Arial" w:eastAsia="Arial" w:hAnsi="Arial"/>
                <w:sz w:val="10"/>
                <w:szCs w:val="10"/>
                <w:color w:val="auto"/>
              </w:rPr>
              <w:t>324,295</w:t>
            </w:r>
          </w:p>
        </w:tc>
        <w:tc>
          <w:tcPr>
            <w:tcW w:w="720" w:type="dxa"/>
            <w:vAlign w:val="bottom"/>
            <w:vMerge w:val="restart"/>
          </w:tcPr>
          <w:p>
            <w:pPr>
              <w:jc w:val="right"/>
              <w:ind w:right="213"/>
              <w:spacing w:after="0" w:line="105" w:lineRule="exact"/>
              <w:rPr>
                <w:sz w:val="20"/>
                <w:szCs w:val="20"/>
                <w:color w:val="auto"/>
              </w:rPr>
            </w:pPr>
            <w:r>
              <w:rPr>
                <w:rFonts w:ascii="Arial" w:cs="Arial" w:eastAsia="Arial" w:hAnsi="Arial"/>
                <w:sz w:val="10"/>
                <w:szCs w:val="10"/>
                <w:color w:val="auto"/>
              </w:rPr>
              <w:t>72,216</w:t>
            </w:r>
          </w:p>
        </w:tc>
        <w:tc>
          <w:tcPr>
            <w:tcW w:w="560" w:type="dxa"/>
            <w:vAlign w:val="bottom"/>
            <w:vMerge w:val="restart"/>
          </w:tcPr>
          <w:p>
            <w:pPr>
              <w:jc w:val="right"/>
              <w:ind w:right="173"/>
              <w:spacing w:after="0" w:line="105" w:lineRule="exact"/>
              <w:rPr>
                <w:sz w:val="20"/>
                <w:szCs w:val="20"/>
                <w:color w:val="auto"/>
              </w:rPr>
            </w:pPr>
            <w:r>
              <w:rPr>
                <w:rFonts w:ascii="Arial" w:cs="Arial" w:eastAsia="Arial" w:hAnsi="Arial"/>
                <w:sz w:val="10"/>
                <w:szCs w:val="10"/>
                <w:color w:val="auto"/>
              </w:rPr>
              <w:t>--</w:t>
            </w:r>
          </w:p>
        </w:tc>
        <w:tc>
          <w:tcPr>
            <w:tcW w:w="780" w:type="dxa"/>
            <w:vAlign w:val="bottom"/>
            <w:vMerge w:val="restart"/>
          </w:tcPr>
          <w:p>
            <w:pPr>
              <w:jc w:val="right"/>
              <w:ind w:right="313"/>
              <w:spacing w:after="0" w:line="105" w:lineRule="exact"/>
              <w:rPr>
                <w:sz w:val="20"/>
                <w:szCs w:val="20"/>
                <w:color w:val="auto"/>
              </w:rPr>
            </w:pPr>
            <w:r>
              <w:rPr>
                <w:rFonts w:ascii="Arial" w:cs="Arial" w:eastAsia="Arial" w:hAnsi="Arial"/>
                <w:sz w:val="10"/>
                <w:szCs w:val="10"/>
                <w:color w:val="auto"/>
              </w:rPr>
              <w:t>--</w:t>
            </w:r>
          </w:p>
        </w:tc>
        <w:tc>
          <w:tcPr>
            <w:tcW w:w="800" w:type="dxa"/>
            <w:vAlign w:val="bottom"/>
            <w:vMerge w:val="restart"/>
          </w:tcPr>
          <w:p>
            <w:pPr>
              <w:jc w:val="right"/>
              <w:ind w:right="393"/>
              <w:spacing w:after="0" w:line="105" w:lineRule="exact"/>
              <w:rPr>
                <w:sz w:val="20"/>
                <w:szCs w:val="20"/>
                <w:color w:val="auto"/>
              </w:rPr>
            </w:pPr>
            <w:r>
              <w:rPr>
                <w:rFonts w:ascii="Arial" w:cs="Arial" w:eastAsia="Arial" w:hAnsi="Arial"/>
                <w:sz w:val="10"/>
                <w:szCs w:val="10"/>
                <w:color w:val="auto"/>
              </w:rPr>
              <w:t>--</w:t>
            </w:r>
          </w:p>
        </w:tc>
        <w:tc>
          <w:tcPr>
            <w:tcW w:w="760" w:type="dxa"/>
            <w:vAlign w:val="bottom"/>
            <w:vMerge w:val="restart"/>
          </w:tcPr>
          <w:p>
            <w:pPr>
              <w:jc w:val="right"/>
              <w:ind w:right="13"/>
              <w:spacing w:after="0" w:line="105" w:lineRule="exact"/>
              <w:rPr>
                <w:sz w:val="20"/>
                <w:szCs w:val="20"/>
                <w:color w:val="auto"/>
              </w:rPr>
            </w:pPr>
            <w:r>
              <w:rPr>
                <w:rFonts w:ascii="Arial" w:cs="Arial" w:eastAsia="Arial" w:hAnsi="Arial"/>
                <w:sz w:val="10"/>
                <w:szCs w:val="10"/>
                <w:color w:val="auto"/>
              </w:rPr>
              <w:t>2,340</w:t>
            </w:r>
          </w:p>
        </w:tc>
        <w:tc>
          <w:tcPr>
            <w:tcW w:w="500" w:type="dxa"/>
            <w:vAlign w:val="bottom"/>
            <w:vMerge w:val="continue"/>
          </w:tcPr>
          <w:p>
            <w:pPr>
              <w:spacing w:after="0"/>
              <w:rPr>
                <w:sz w:val="4"/>
                <w:szCs w:val="4"/>
                <w:color w:val="auto"/>
              </w:rPr>
            </w:pPr>
          </w:p>
        </w:tc>
        <w:tc>
          <w:tcPr>
            <w:tcW w:w="720" w:type="dxa"/>
            <w:vAlign w:val="bottom"/>
            <w:vMerge w:val="restart"/>
          </w:tcPr>
          <w:p>
            <w:pPr>
              <w:jc w:val="right"/>
              <w:spacing w:after="0" w:line="105" w:lineRule="exact"/>
              <w:rPr>
                <w:sz w:val="20"/>
                <w:szCs w:val="20"/>
                <w:color w:val="auto"/>
              </w:rPr>
            </w:pPr>
            <w:r>
              <w:rPr>
                <w:rFonts w:ascii="Arial" w:cs="Arial" w:eastAsia="Arial" w:hAnsi="Arial"/>
                <w:sz w:val="10"/>
                <w:szCs w:val="10"/>
                <w:color w:val="auto"/>
              </w:rPr>
              <w:t>398,851</w:t>
            </w:r>
          </w:p>
        </w:tc>
        <w:tc>
          <w:tcPr>
            <w:tcW w:w="0" w:type="dxa"/>
            <w:vAlign w:val="bottom"/>
          </w:tcPr>
          <w:p>
            <w:pPr>
              <w:spacing w:after="0"/>
              <w:rPr>
                <w:sz w:val="1"/>
                <w:szCs w:val="1"/>
                <w:color w:val="auto"/>
              </w:rPr>
            </w:pPr>
          </w:p>
        </w:tc>
      </w:tr>
      <w:tr>
        <w:trPr>
          <w:trHeight w:val="55"/>
        </w:trPr>
        <w:tc>
          <w:tcPr>
            <w:tcW w:w="1280" w:type="dxa"/>
            <w:vAlign w:val="bottom"/>
            <w:vMerge w:val="continue"/>
          </w:tcPr>
          <w:p>
            <w:pPr>
              <w:spacing w:after="0"/>
              <w:rPr>
                <w:sz w:val="4"/>
                <w:szCs w:val="4"/>
                <w:color w:val="auto"/>
              </w:rPr>
            </w:pPr>
          </w:p>
        </w:tc>
        <w:tc>
          <w:tcPr>
            <w:tcW w:w="52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560" w:type="dxa"/>
            <w:vAlign w:val="bottom"/>
            <w:vMerge w:val="continue"/>
          </w:tcPr>
          <w:p>
            <w:pPr>
              <w:spacing w:after="0"/>
              <w:rPr>
                <w:sz w:val="4"/>
                <w:szCs w:val="4"/>
                <w:color w:val="auto"/>
              </w:rPr>
            </w:pPr>
          </w:p>
        </w:tc>
        <w:tc>
          <w:tcPr>
            <w:tcW w:w="780" w:type="dxa"/>
            <w:vAlign w:val="bottom"/>
            <w:vMerge w:val="continue"/>
          </w:tcPr>
          <w:p>
            <w:pPr>
              <w:spacing w:after="0"/>
              <w:rPr>
                <w:sz w:val="4"/>
                <w:szCs w:val="4"/>
                <w:color w:val="auto"/>
              </w:rPr>
            </w:pPr>
          </w:p>
        </w:tc>
        <w:tc>
          <w:tcPr>
            <w:tcW w:w="80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50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0"/>
        </w:trPr>
        <w:tc>
          <w:tcPr>
            <w:tcW w:w="1280" w:type="dxa"/>
            <w:vAlign w:val="bottom"/>
          </w:tcPr>
          <w:p>
            <w:pPr>
              <w:spacing w:after="0" w:line="76" w:lineRule="exact"/>
              <w:rPr>
                <w:sz w:val="20"/>
                <w:szCs w:val="20"/>
                <w:color w:val="auto"/>
              </w:rPr>
            </w:pPr>
            <w:r>
              <w:rPr>
                <w:rFonts w:ascii="Arial" w:cs="Arial" w:eastAsia="Arial" w:hAnsi="Arial"/>
                <w:sz w:val="8"/>
                <w:szCs w:val="8"/>
                <w:color w:val="auto"/>
              </w:rPr>
              <w:t>and New Zealand</w:t>
            </w:r>
          </w:p>
        </w:tc>
        <w:tc>
          <w:tcPr>
            <w:tcW w:w="520" w:type="dxa"/>
            <w:vAlign w:val="bottom"/>
          </w:tcPr>
          <w:p>
            <w:pPr>
              <w:jc w:val="right"/>
              <w:ind w:right="153"/>
              <w:spacing w:after="0" w:line="76" w:lineRule="exact"/>
              <w:rPr>
                <w:sz w:val="20"/>
                <w:szCs w:val="20"/>
                <w:color w:val="auto"/>
              </w:rPr>
            </w:pPr>
            <w:r>
              <w:rPr>
                <w:rFonts w:ascii="Arial" w:cs="Arial" w:eastAsia="Arial" w:hAnsi="Arial"/>
                <w:sz w:val="8"/>
                <w:szCs w:val="8"/>
                <w:color w:val="auto"/>
              </w:rPr>
              <w:t>2013</w:t>
            </w:r>
          </w:p>
        </w:tc>
        <w:tc>
          <w:tcPr>
            <w:tcW w:w="720" w:type="dxa"/>
            <w:vAlign w:val="bottom"/>
          </w:tcPr>
          <w:p>
            <w:pPr>
              <w:jc w:val="right"/>
              <w:ind w:right="153"/>
              <w:spacing w:after="0" w:line="76" w:lineRule="exact"/>
              <w:rPr>
                <w:sz w:val="20"/>
                <w:szCs w:val="20"/>
                <w:color w:val="auto"/>
              </w:rPr>
            </w:pPr>
            <w:r>
              <w:rPr>
                <w:rFonts w:ascii="Arial" w:cs="Arial" w:eastAsia="Arial" w:hAnsi="Arial"/>
                <w:sz w:val="8"/>
                <w:szCs w:val="8"/>
                <w:color w:val="auto"/>
              </w:rPr>
              <w:t>340,393</w:t>
            </w:r>
          </w:p>
        </w:tc>
        <w:tc>
          <w:tcPr>
            <w:tcW w:w="720" w:type="dxa"/>
            <w:vAlign w:val="bottom"/>
          </w:tcPr>
          <w:p>
            <w:pPr>
              <w:jc w:val="right"/>
              <w:ind w:right="213"/>
              <w:spacing w:after="0" w:line="76" w:lineRule="exact"/>
              <w:rPr>
                <w:sz w:val="20"/>
                <w:szCs w:val="20"/>
                <w:color w:val="auto"/>
              </w:rPr>
            </w:pPr>
            <w:r>
              <w:rPr>
                <w:rFonts w:ascii="Arial" w:cs="Arial" w:eastAsia="Arial" w:hAnsi="Arial"/>
                <w:sz w:val="8"/>
                <w:szCs w:val="8"/>
                <w:color w:val="auto"/>
              </w:rPr>
              <w:t>48,420</w:t>
            </w:r>
          </w:p>
        </w:tc>
        <w:tc>
          <w:tcPr>
            <w:tcW w:w="560" w:type="dxa"/>
            <w:vAlign w:val="bottom"/>
          </w:tcPr>
          <w:p>
            <w:pPr>
              <w:jc w:val="right"/>
              <w:ind w:right="173"/>
              <w:spacing w:after="0" w:line="76" w:lineRule="exact"/>
              <w:rPr>
                <w:sz w:val="20"/>
                <w:szCs w:val="20"/>
                <w:color w:val="auto"/>
              </w:rPr>
            </w:pPr>
            <w:r>
              <w:rPr>
                <w:rFonts w:ascii="Arial" w:cs="Arial" w:eastAsia="Arial" w:hAnsi="Arial"/>
                <w:sz w:val="8"/>
                <w:szCs w:val="8"/>
                <w:color w:val="auto"/>
              </w:rPr>
              <w:t>--</w:t>
            </w:r>
          </w:p>
        </w:tc>
        <w:tc>
          <w:tcPr>
            <w:tcW w:w="780" w:type="dxa"/>
            <w:vAlign w:val="bottom"/>
          </w:tcPr>
          <w:p>
            <w:pPr>
              <w:jc w:val="right"/>
              <w:ind w:right="313"/>
              <w:spacing w:after="0" w:line="76" w:lineRule="exact"/>
              <w:rPr>
                <w:sz w:val="20"/>
                <w:szCs w:val="20"/>
                <w:color w:val="auto"/>
              </w:rPr>
            </w:pPr>
            <w:r>
              <w:rPr>
                <w:rFonts w:ascii="Arial" w:cs="Arial" w:eastAsia="Arial" w:hAnsi="Arial"/>
                <w:sz w:val="8"/>
                <w:szCs w:val="8"/>
                <w:color w:val="auto"/>
              </w:rPr>
              <w:t>--</w:t>
            </w:r>
          </w:p>
        </w:tc>
        <w:tc>
          <w:tcPr>
            <w:tcW w:w="800" w:type="dxa"/>
            <w:vAlign w:val="bottom"/>
          </w:tcPr>
          <w:p>
            <w:pPr>
              <w:jc w:val="right"/>
              <w:ind w:right="393"/>
              <w:spacing w:after="0" w:line="76" w:lineRule="exact"/>
              <w:rPr>
                <w:sz w:val="20"/>
                <w:szCs w:val="20"/>
                <w:color w:val="auto"/>
              </w:rPr>
            </w:pPr>
            <w:r>
              <w:rPr>
                <w:rFonts w:ascii="Arial" w:cs="Arial" w:eastAsia="Arial" w:hAnsi="Arial"/>
                <w:sz w:val="8"/>
                <w:szCs w:val="8"/>
                <w:color w:val="auto"/>
              </w:rPr>
              <w:t>--</w:t>
            </w:r>
          </w:p>
        </w:tc>
        <w:tc>
          <w:tcPr>
            <w:tcW w:w="760" w:type="dxa"/>
            <w:vAlign w:val="bottom"/>
          </w:tcPr>
          <w:p>
            <w:pPr>
              <w:jc w:val="right"/>
              <w:ind w:right="13"/>
              <w:spacing w:after="0" w:line="76" w:lineRule="exact"/>
              <w:rPr>
                <w:sz w:val="20"/>
                <w:szCs w:val="20"/>
                <w:color w:val="auto"/>
              </w:rPr>
            </w:pPr>
            <w:r>
              <w:rPr>
                <w:rFonts w:ascii="Arial" w:cs="Arial" w:eastAsia="Arial" w:hAnsi="Arial"/>
                <w:sz w:val="8"/>
                <w:szCs w:val="8"/>
                <w:color w:val="auto"/>
              </w:rPr>
              <w:t>2,075</w:t>
            </w:r>
          </w:p>
        </w:tc>
        <w:tc>
          <w:tcPr>
            <w:tcW w:w="500" w:type="dxa"/>
            <w:vAlign w:val="bottom"/>
          </w:tcPr>
          <w:p>
            <w:pPr>
              <w:jc w:val="right"/>
              <w:ind w:right="356"/>
              <w:spacing w:after="0"/>
              <w:rPr>
                <w:sz w:val="20"/>
                <w:szCs w:val="20"/>
                <w:color w:val="auto"/>
              </w:rPr>
            </w:pPr>
            <w:r>
              <w:rPr>
                <w:rFonts w:ascii="Arial" w:cs="Arial" w:eastAsia="Arial" w:hAnsi="Arial"/>
                <w:sz w:val="5"/>
                <w:szCs w:val="5"/>
                <w:color w:val="auto"/>
              </w:rPr>
              <w:t>(3)</w:t>
            </w:r>
          </w:p>
        </w:tc>
        <w:tc>
          <w:tcPr>
            <w:tcW w:w="720" w:type="dxa"/>
            <w:vAlign w:val="bottom"/>
          </w:tcPr>
          <w:p>
            <w:pPr>
              <w:jc w:val="right"/>
              <w:spacing w:after="0" w:line="76" w:lineRule="exact"/>
              <w:rPr>
                <w:sz w:val="20"/>
                <w:szCs w:val="20"/>
                <w:color w:val="auto"/>
              </w:rPr>
            </w:pPr>
            <w:r>
              <w:rPr>
                <w:rFonts w:ascii="Arial" w:cs="Arial" w:eastAsia="Arial" w:hAnsi="Arial"/>
                <w:sz w:val="8"/>
                <w:szCs w:val="8"/>
                <w:color w:val="auto"/>
              </w:rPr>
              <w:t>390,888</w:t>
            </w:r>
          </w:p>
        </w:tc>
        <w:tc>
          <w:tcPr>
            <w:tcW w:w="0" w:type="dxa"/>
            <w:vAlign w:val="bottom"/>
          </w:tcPr>
          <w:p>
            <w:pPr>
              <w:spacing w:after="0"/>
              <w:rPr>
                <w:sz w:val="1"/>
                <w:szCs w:val="1"/>
                <w:color w:val="auto"/>
              </w:rPr>
            </w:pPr>
          </w:p>
        </w:tc>
      </w:tr>
    </w:tbl>
    <w:p>
      <w:pPr>
        <w:spacing w:after="0" w:line="226" w:lineRule="exact"/>
        <w:rPr>
          <w:sz w:val="20"/>
          <w:szCs w:val="20"/>
          <w:color w:val="auto"/>
        </w:rPr>
      </w:pPr>
    </w:p>
    <w:p>
      <w:pPr>
        <w:ind w:left="220" w:right="200" w:hanging="216"/>
        <w:spacing w:after="0" w:line="230" w:lineRule="auto"/>
        <w:tabs>
          <w:tab w:leader="none" w:pos="242" w:val="left"/>
        </w:tabs>
        <w:numPr>
          <w:ilvl w:val="0"/>
          <w:numId w:val="65"/>
        </w:numPr>
        <w:rPr>
          <w:rFonts w:ascii="Arial" w:cs="Arial" w:eastAsia="Arial" w:hAnsi="Arial"/>
          <w:sz w:val="10"/>
          <w:szCs w:val="10"/>
          <w:color w:val="auto"/>
        </w:rPr>
      </w:pPr>
      <w:r>
        <w:rPr>
          <w:rFonts w:ascii="Arial" w:cs="Arial" w:eastAsia="Arial" w:hAnsi="Arial"/>
          <w:sz w:val="10"/>
          <w:szCs w:val="10"/>
          <w:color w:val="auto"/>
        </w:rPr>
        <w:t>Amounts represent the aggregate grant date fair value of awards computed in accordance with ASC Topic 718, excluding the effects of any estimated forfeitures. The assumptions used in the valuation of these awards are discussed in[ Note 3] to our consolidated financial statements. Amounts do not include the value of restricted stock units that will not vest within 60 days following the date of which this information is provided.</w:t>
      </w:r>
    </w:p>
    <w:p>
      <w:pPr>
        <w:spacing w:after="0" w:line="49" w:lineRule="exact"/>
        <w:rPr>
          <w:rFonts w:ascii="Arial" w:cs="Arial" w:eastAsia="Arial" w:hAnsi="Arial"/>
          <w:sz w:val="10"/>
          <w:szCs w:val="10"/>
          <w:color w:val="auto"/>
        </w:rPr>
      </w:pPr>
    </w:p>
    <w:p>
      <w:pPr>
        <w:ind w:left="240" w:hanging="236"/>
        <w:spacing w:after="0"/>
        <w:tabs>
          <w:tab w:leader="none" w:pos="240" w:val="left"/>
        </w:tabs>
        <w:numPr>
          <w:ilvl w:val="0"/>
          <w:numId w:val="65"/>
        </w:numPr>
        <w:rPr>
          <w:rFonts w:ascii="Arial" w:cs="Arial" w:eastAsia="Arial" w:hAnsi="Arial"/>
          <w:sz w:val="10"/>
          <w:szCs w:val="10"/>
          <w:color w:val="auto"/>
        </w:rPr>
      </w:pPr>
      <w:r>
        <w:rPr>
          <w:rFonts w:ascii="Arial" w:cs="Arial" w:eastAsia="Arial" w:hAnsi="Arial"/>
          <w:sz w:val="10"/>
          <w:szCs w:val="10"/>
          <w:color w:val="auto"/>
        </w:rPr>
        <w:t>Ms. Ellen M. Cotter was appointed our interim President and Chief Executive Officer on June 12, 2015.</w:t>
      </w:r>
    </w:p>
    <w:p>
      <w:pPr>
        <w:spacing w:after="0" w:line="56" w:lineRule="exact"/>
        <w:rPr>
          <w:rFonts w:ascii="Arial" w:cs="Arial" w:eastAsia="Arial" w:hAnsi="Arial"/>
          <w:sz w:val="10"/>
          <w:szCs w:val="10"/>
          <w:color w:val="auto"/>
        </w:rPr>
      </w:pPr>
    </w:p>
    <w:p>
      <w:pPr>
        <w:ind w:left="220" w:hanging="216"/>
        <w:spacing w:after="0" w:line="230" w:lineRule="auto"/>
        <w:tabs>
          <w:tab w:leader="none" w:pos="242" w:val="left"/>
        </w:tabs>
        <w:numPr>
          <w:ilvl w:val="0"/>
          <w:numId w:val="65"/>
        </w:numPr>
        <w:rPr>
          <w:rFonts w:ascii="Arial" w:cs="Arial" w:eastAsia="Arial" w:hAnsi="Arial"/>
          <w:sz w:val="10"/>
          <w:szCs w:val="10"/>
          <w:color w:val="auto"/>
        </w:rPr>
      </w:pPr>
      <w:r>
        <w:rPr>
          <w:rFonts w:ascii="Arial" w:cs="Arial" w:eastAsia="Arial" w:hAnsi="Arial"/>
          <w:sz w:val="10"/>
          <w:szCs w:val="10"/>
          <w:color w:val="auto"/>
        </w:rPr>
        <w:t>Includes our matching employer contributions under our 401(k) plan, the imputed tax of key person insurance, and any automobile allowances. Aside from the car allowances only the employer contributions for the 401(k) plan exceeded $10,000, see table below. See the table in the section entitled Employee Benefits and Perquisites for the amount of each individual’s car allowance.</w:t>
      </w:r>
    </w:p>
    <w:p>
      <w:pPr>
        <w:spacing w:after="0" w:line="68" w:lineRule="exact"/>
        <w:rPr>
          <w:sz w:val="20"/>
          <w:szCs w:val="20"/>
          <w:color w:val="auto"/>
        </w:rPr>
      </w:pPr>
    </w:p>
    <w:p>
      <w:pPr>
        <w:ind w:left="1120"/>
        <w:spacing w:after="0"/>
        <w:rPr>
          <w:sz w:val="20"/>
          <w:szCs w:val="20"/>
          <w:color w:val="auto"/>
        </w:rPr>
      </w:pPr>
      <w:r>
        <w:rPr>
          <w:rFonts w:ascii="Arial" w:cs="Arial" w:eastAsia="Arial" w:hAnsi="Arial"/>
          <w:sz w:val="10"/>
          <w:szCs w:val="10"/>
          <w:color w:val="auto"/>
        </w:rPr>
        <w:t>Employer Contribution for 401(k)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-70485</wp:posOffset>
            </wp:positionV>
            <wp:extent cx="2367915" cy="103505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367915" cy="1035050"/>
                    </a:xfrm>
                    <a:prstGeom prst="rect">
                      <a:avLst/>
                    </a:prstGeom>
                    <a:noFill/>
                  </pic:spPr>
                </pic:pic>
              </a:graphicData>
            </a:graphic>
          </wp:anchor>
        </w:drawing>
      </w:r>
    </w:p>
    <w:p>
      <w:pPr>
        <w:spacing w:after="0" w:line="45" w:lineRule="exact"/>
        <w:rPr>
          <w:sz w:val="20"/>
          <w:szCs w:val="20"/>
          <w:color w:val="auto"/>
        </w:rPr>
      </w:pPr>
    </w:p>
    <w:tbl>
      <w:tblPr>
        <w:tblLayout w:type="fixed"/>
        <w:tblInd w:w="100" w:type="dxa"/>
        <w:tblCellMar>
          <w:top w:w="0" w:type="dxa"/>
          <w:left w:w="0" w:type="dxa"/>
          <w:bottom w:w="0" w:type="dxa"/>
          <w:right w:w="0" w:type="dxa"/>
        </w:tblCellMar>
      </w:tblPr>
      <w:tr>
        <w:trPr>
          <w:trHeight w:val="122"/>
        </w:trPr>
        <w:tc>
          <w:tcPr>
            <w:tcW w:w="1260" w:type="dxa"/>
            <w:vAlign w:val="bottom"/>
          </w:tcPr>
          <w:p>
            <w:pPr>
              <w:spacing w:after="0"/>
              <w:rPr>
                <w:sz w:val="20"/>
                <w:szCs w:val="20"/>
                <w:color w:val="auto"/>
              </w:rPr>
            </w:pPr>
            <w:r>
              <w:rPr>
                <w:rFonts w:ascii="Arial" w:cs="Arial" w:eastAsia="Arial" w:hAnsi="Arial"/>
                <w:sz w:val="10"/>
                <w:szCs w:val="10"/>
                <w:color w:val="auto"/>
              </w:rPr>
              <w:t>Name</w:t>
            </w:r>
          </w:p>
        </w:tc>
        <w:tc>
          <w:tcPr>
            <w:tcW w:w="860" w:type="dxa"/>
            <w:vAlign w:val="bottom"/>
          </w:tcPr>
          <w:p>
            <w:pPr>
              <w:ind w:left="340"/>
              <w:spacing w:after="0"/>
              <w:rPr>
                <w:sz w:val="20"/>
                <w:szCs w:val="20"/>
                <w:color w:val="auto"/>
              </w:rPr>
            </w:pPr>
            <w:r>
              <w:rPr>
                <w:rFonts w:ascii="Arial" w:cs="Arial" w:eastAsia="Arial" w:hAnsi="Arial"/>
                <w:sz w:val="10"/>
                <w:szCs w:val="10"/>
                <w:color w:val="auto"/>
              </w:rPr>
              <w:t>2015</w:t>
            </w:r>
          </w:p>
        </w:tc>
        <w:tc>
          <w:tcPr>
            <w:tcW w:w="740" w:type="dxa"/>
            <w:vAlign w:val="bottom"/>
          </w:tcPr>
          <w:p>
            <w:pPr>
              <w:ind w:left="220"/>
              <w:spacing w:after="0"/>
              <w:rPr>
                <w:sz w:val="20"/>
                <w:szCs w:val="20"/>
                <w:color w:val="auto"/>
              </w:rPr>
            </w:pPr>
            <w:r>
              <w:rPr>
                <w:rFonts w:ascii="Arial" w:cs="Arial" w:eastAsia="Arial" w:hAnsi="Arial"/>
                <w:sz w:val="10"/>
                <w:szCs w:val="10"/>
                <w:color w:val="auto"/>
              </w:rPr>
              <w:t>2014</w:t>
            </w:r>
          </w:p>
        </w:tc>
        <w:tc>
          <w:tcPr>
            <w:tcW w:w="500" w:type="dxa"/>
            <w:vAlign w:val="bottom"/>
          </w:tcPr>
          <w:p>
            <w:pPr>
              <w:ind w:left="200"/>
              <w:spacing w:after="0"/>
              <w:rPr>
                <w:sz w:val="20"/>
                <w:szCs w:val="20"/>
                <w:color w:val="auto"/>
              </w:rPr>
            </w:pPr>
            <w:r>
              <w:rPr>
                <w:rFonts w:ascii="Arial" w:cs="Arial" w:eastAsia="Arial" w:hAnsi="Arial"/>
                <w:sz w:val="10"/>
                <w:szCs w:val="10"/>
                <w:color w:val="auto"/>
              </w:rPr>
              <w:t>2013</w:t>
            </w:r>
          </w:p>
        </w:tc>
      </w:tr>
      <w:tr>
        <w:trPr>
          <w:trHeight w:val="180"/>
        </w:trPr>
        <w:tc>
          <w:tcPr>
            <w:tcW w:w="1260" w:type="dxa"/>
            <w:vAlign w:val="bottom"/>
          </w:tcPr>
          <w:p>
            <w:pPr>
              <w:spacing w:after="0"/>
              <w:rPr>
                <w:sz w:val="20"/>
                <w:szCs w:val="20"/>
                <w:color w:val="auto"/>
              </w:rPr>
            </w:pPr>
            <w:r>
              <w:rPr>
                <w:rFonts w:ascii="Arial" w:cs="Arial" w:eastAsia="Arial" w:hAnsi="Arial"/>
                <w:sz w:val="10"/>
                <w:szCs w:val="10"/>
                <w:color w:val="auto"/>
              </w:rPr>
              <w:t>Ellen M. Cotter</w:t>
            </w:r>
          </w:p>
        </w:tc>
        <w:tc>
          <w:tcPr>
            <w:tcW w:w="860" w:type="dxa"/>
            <w:vAlign w:val="bottom"/>
          </w:tcPr>
          <w:p>
            <w:pPr>
              <w:ind w:left="340"/>
              <w:spacing w:after="0"/>
              <w:rPr>
                <w:sz w:val="20"/>
                <w:szCs w:val="20"/>
                <w:color w:val="auto"/>
              </w:rPr>
            </w:pPr>
            <w:r>
              <w:rPr>
                <w:rFonts w:ascii="Arial" w:cs="Arial" w:eastAsia="Arial" w:hAnsi="Arial"/>
                <w:sz w:val="10"/>
                <w:szCs w:val="10"/>
                <w:color w:val="auto"/>
              </w:rPr>
              <w:t>$10,600</w:t>
            </w:r>
          </w:p>
        </w:tc>
        <w:tc>
          <w:tcPr>
            <w:tcW w:w="740" w:type="dxa"/>
            <w:vAlign w:val="bottom"/>
          </w:tcPr>
          <w:p>
            <w:pPr>
              <w:ind w:left="220"/>
              <w:spacing w:after="0"/>
              <w:rPr>
                <w:sz w:val="20"/>
                <w:szCs w:val="20"/>
                <w:color w:val="auto"/>
              </w:rPr>
            </w:pPr>
            <w:r>
              <w:rPr>
                <w:rFonts w:ascii="Arial" w:cs="Arial" w:eastAsia="Arial" w:hAnsi="Arial"/>
                <w:sz w:val="10"/>
                <w:szCs w:val="10"/>
                <w:color w:val="auto"/>
              </w:rPr>
              <w:t>$10,400</w:t>
            </w:r>
          </w:p>
        </w:tc>
        <w:tc>
          <w:tcPr>
            <w:tcW w:w="500" w:type="dxa"/>
            <w:vAlign w:val="bottom"/>
          </w:tcPr>
          <w:p>
            <w:pPr>
              <w:ind w:left="200"/>
              <w:spacing w:after="0"/>
              <w:rPr>
                <w:sz w:val="20"/>
                <w:szCs w:val="20"/>
                <w:color w:val="auto"/>
              </w:rPr>
            </w:pPr>
            <w:r>
              <w:rPr>
                <w:rFonts w:ascii="Arial" w:cs="Arial" w:eastAsia="Arial" w:hAnsi="Arial"/>
                <w:sz w:val="10"/>
                <w:szCs w:val="10"/>
                <w:color w:val="auto"/>
                <w:w w:val="77"/>
              </w:rPr>
              <w:t>$10,200</w:t>
            </w:r>
          </w:p>
        </w:tc>
      </w:tr>
      <w:tr>
        <w:trPr>
          <w:trHeight w:val="180"/>
        </w:trPr>
        <w:tc>
          <w:tcPr>
            <w:tcW w:w="1260" w:type="dxa"/>
            <w:vAlign w:val="bottom"/>
          </w:tcPr>
          <w:p>
            <w:pPr>
              <w:spacing w:after="0"/>
              <w:rPr>
                <w:sz w:val="20"/>
                <w:szCs w:val="20"/>
                <w:color w:val="auto"/>
              </w:rPr>
            </w:pPr>
            <w:r>
              <w:rPr>
                <w:rFonts w:ascii="Arial" w:cs="Arial" w:eastAsia="Arial" w:hAnsi="Arial"/>
                <w:sz w:val="10"/>
                <w:szCs w:val="10"/>
                <w:color w:val="auto"/>
              </w:rPr>
              <w:t>James J. Cotter, Jr.</w:t>
            </w:r>
          </w:p>
        </w:tc>
        <w:tc>
          <w:tcPr>
            <w:tcW w:w="860" w:type="dxa"/>
            <w:vAlign w:val="bottom"/>
          </w:tcPr>
          <w:p>
            <w:pPr>
              <w:ind w:left="340"/>
              <w:spacing w:after="0"/>
              <w:rPr>
                <w:sz w:val="20"/>
                <w:szCs w:val="20"/>
                <w:color w:val="auto"/>
              </w:rPr>
            </w:pPr>
            <w:r>
              <w:rPr>
                <w:rFonts w:ascii="Arial" w:cs="Arial" w:eastAsia="Arial" w:hAnsi="Arial"/>
                <w:sz w:val="10"/>
                <w:szCs w:val="10"/>
                <w:color w:val="auto"/>
              </w:rPr>
              <w:t>6,700</w:t>
            </w:r>
          </w:p>
        </w:tc>
        <w:tc>
          <w:tcPr>
            <w:tcW w:w="740" w:type="dxa"/>
            <w:vAlign w:val="bottom"/>
          </w:tcPr>
          <w:p>
            <w:pPr>
              <w:ind w:left="220"/>
              <w:spacing w:after="0"/>
              <w:rPr>
                <w:sz w:val="20"/>
                <w:szCs w:val="20"/>
                <w:color w:val="auto"/>
              </w:rPr>
            </w:pPr>
            <w:r>
              <w:rPr>
                <w:rFonts w:ascii="Arial" w:cs="Arial" w:eastAsia="Arial" w:hAnsi="Arial"/>
                <w:sz w:val="10"/>
                <w:szCs w:val="10"/>
                <w:color w:val="auto"/>
              </w:rPr>
              <w:t>10,400</w:t>
            </w:r>
          </w:p>
        </w:tc>
        <w:tc>
          <w:tcPr>
            <w:tcW w:w="500" w:type="dxa"/>
            <w:vAlign w:val="bottom"/>
          </w:tcPr>
          <w:p>
            <w:pPr>
              <w:ind w:left="200"/>
              <w:spacing w:after="0"/>
              <w:rPr>
                <w:sz w:val="20"/>
                <w:szCs w:val="20"/>
                <w:color w:val="auto"/>
              </w:rPr>
            </w:pPr>
            <w:r>
              <w:rPr>
                <w:rFonts w:ascii="Arial" w:cs="Arial" w:eastAsia="Arial" w:hAnsi="Arial"/>
                <w:sz w:val="10"/>
                <w:szCs w:val="10"/>
                <w:color w:val="auto"/>
              </w:rPr>
              <w:t>0</w:t>
            </w:r>
          </w:p>
        </w:tc>
      </w:tr>
      <w:tr>
        <w:trPr>
          <w:trHeight w:val="180"/>
        </w:trPr>
        <w:tc>
          <w:tcPr>
            <w:tcW w:w="1260" w:type="dxa"/>
            <w:vAlign w:val="bottom"/>
          </w:tcPr>
          <w:p>
            <w:pPr>
              <w:spacing w:after="0"/>
              <w:rPr>
                <w:sz w:val="20"/>
                <w:szCs w:val="20"/>
                <w:color w:val="auto"/>
              </w:rPr>
            </w:pPr>
            <w:r>
              <w:rPr>
                <w:rFonts w:ascii="Arial" w:cs="Arial" w:eastAsia="Arial" w:hAnsi="Arial"/>
                <w:sz w:val="10"/>
                <w:szCs w:val="10"/>
                <w:color w:val="auto"/>
              </w:rPr>
              <w:t>Dev Ghose</w:t>
            </w:r>
          </w:p>
        </w:tc>
        <w:tc>
          <w:tcPr>
            <w:tcW w:w="860" w:type="dxa"/>
            <w:vAlign w:val="bottom"/>
          </w:tcPr>
          <w:p>
            <w:pPr>
              <w:ind w:left="340"/>
              <w:spacing w:after="0"/>
              <w:rPr>
                <w:sz w:val="20"/>
                <w:szCs w:val="20"/>
                <w:color w:val="auto"/>
              </w:rPr>
            </w:pPr>
            <w:r>
              <w:rPr>
                <w:rFonts w:ascii="Arial" w:cs="Arial" w:eastAsia="Arial" w:hAnsi="Arial"/>
                <w:sz w:val="10"/>
                <w:szCs w:val="10"/>
                <w:color w:val="auto"/>
              </w:rPr>
              <w:t>4,000</w:t>
            </w:r>
          </w:p>
        </w:tc>
        <w:tc>
          <w:tcPr>
            <w:tcW w:w="740" w:type="dxa"/>
            <w:vAlign w:val="bottom"/>
          </w:tcPr>
          <w:p>
            <w:pPr>
              <w:ind w:left="220"/>
              <w:spacing w:after="0"/>
              <w:rPr>
                <w:sz w:val="20"/>
                <w:szCs w:val="20"/>
                <w:color w:val="auto"/>
              </w:rPr>
            </w:pPr>
            <w:r>
              <w:rPr>
                <w:rFonts w:ascii="Arial" w:cs="Arial" w:eastAsia="Arial" w:hAnsi="Arial"/>
                <w:sz w:val="10"/>
                <w:szCs w:val="10"/>
                <w:color w:val="auto"/>
              </w:rPr>
              <w:t>0</w:t>
            </w:r>
          </w:p>
        </w:tc>
        <w:tc>
          <w:tcPr>
            <w:tcW w:w="500" w:type="dxa"/>
            <w:vAlign w:val="bottom"/>
          </w:tcPr>
          <w:p>
            <w:pPr>
              <w:ind w:left="200"/>
              <w:spacing w:after="0"/>
              <w:rPr>
                <w:sz w:val="20"/>
                <w:szCs w:val="20"/>
                <w:color w:val="auto"/>
              </w:rPr>
            </w:pPr>
            <w:r>
              <w:rPr>
                <w:rFonts w:ascii="Arial" w:cs="Arial" w:eastAsia="Arial" w:hAnsi="Arial"/>
                <w:sz w:val="10"/>
                <w:szCs w:val="10"/>
                <w:color w:val="auto"/>
              </w:rPr>
              <w:t>0</w:t>
            </w:r>
          </w:p>
        </w:tc>
      </w:tr>
      <w:tr>
        <w:trPr>
          <w:trHeight w:val="180"/>
        </w:trPr>
        <w:tc>
          <w:tcPr>
            <w:tcW w:w="1260" w:type="dxa"/>
            <w:vAlign w:val="bottom"/>
          </w:tcPr>
          <w:p>
            <w:pPr>
              <w:spacing w:after="0"/>
              <w:rPr>
                <w:sz w:val="20"/>
                <w:szCs w:val="20"/>
                <w:color w:val="auto"/>
              </w:rPr>
            </w:pPr>
            <w:r>
              <w:rPr>
                <w:rFonts w:ascii="Arial" w:cs="Arial" w:eastAsia="Arial" w:hAnsi="Arial"/>
                <w:sz w:val="10"/>
                <w:szCs w:val="10"/>
                <w:color w:val="auto"/>
              </w:rPr>
              <w:t>Andrzej J. Matyczynski</w:t>
            </w:r>
          </w:p>
        </w:tc>
        <w:tc>
          <w:tcPr>
            <w:tcW w:w="860" w:type="dxa"/>
            <w:vAlign w:val="bottom"/>
          </w:tcPr>
          <w:p>
            <w:pPr>
              <w:ind w:left="340"/>
              <w:spacing w:after="0"/>
              <w:rPr>
                <w:sz w:val="20"/>
                <w:szCs w:val="20"/>
                <w:color w:val="auto"/>
              </w:rPr>
            </w:pPr>
            <w:r>
              <w:rPr>
                <w:rFonts w:ascii="Arial" w:cs="Arial" w:eastAsia="Arial" w:hAnsi="Arial"/>
                <w:sz w:val="10"/>
                <w:szCs w:val="10"/>
                <w:color w:val="auto"/>
              </w:rPr>
              <w:t>10,600</w:t>
            </w:r>
          </w:p>
        </w:tc>
        <w:tc>
          <w:tcPr>
            <w:tcW w:w="740" w:type="dxa"/>
            <w:vAlign w:val="bottom"/>
          </w:tcPr>
          <w:p>
            <w:pPr>
              <w:ind w:left="220"/>
              <w:spacing w:after="0"/>
              <w:rPr>
                <w:sz w:val="20"/>
                <w:szCs w:val="20"/>
                <w:color w:val="auto"/>
              </w:rPr>
            </w:pPr>
            <w:r>
              <w:rPr>
                <w:rFonts w:ascii="Arial" w:cs="Arial" w:eastAsia="Arial" w:hAnsi="Arial"/>
                <w:sz w:val="10"/>
                <w:szCs w:val="10"/>
                <w:color w:val="auto"/>
              </w:rPr>
              <w:t>10,400</w:t>
            </w:r>
          </w:p>
        </w:tc>
        <w:tc>
          <w:tcPr>
            <w:tcW w:w="500" w:type="dxa"/>
            <w:vAlign w:val="bottom"/>
          </w:tcPr>
          <w:p>
            <w:pPr>
              <w:ind w:left="200"/>
              <w:spacing w:after="0"/>
              <w:rPr>
                <w:sz w:val="20"/>
                <w:szCs w:val="20"/>
                <w:color w:val="auto"/>
              </w:rPr>
            </w:pPr>
            <w:r>
              <w:rPr>
                <w:rFonts w:ascii="Arial" w:cs="Arial" w:eastAsia="Arial" w:hAnsi="Arial"/>
                <w:sz w:val="10"/>
                <w:szCs w:val="10"/>
                <w:color w:val="auto"/>
                <w:w w:val="91"/>
              </w:rPr>
              <w:t>10,200</w:t>
            </w:r>
          </w:p>
        </w:tc>
      </w:tr>
      <w:tr>
        <w:trPr>
          <w:trHeight w:val="180"/>
        </w:trPr>
        <w:tc>
          <w:tcPr>
            <w:tcW w:w="1260" w:type="dxa"/>
            <w:vAlign w:val="bottom"/>
          </w:tcPr>
          <w:p>
            <w:pPr>
              <w:spacing w:after="0"/>
              <w:rPr>
                <w:sz w:val="20"/>
                <w:szCs w:val="20"/>
                <w:color w:val="auto"/>
              </w:rPr>
            </w:pPr>
            <w:r>
              <w:rPr>
                <w:rFonts w:ascii="Arial" w:cs="Arial" w:eastAsia="Arial" w:hAnsi="Arial"/>
                <w:sz w:val="10"/>
                <w:szCs w:val="10"/>
                <w:color w:val="auto"/>
              </w:rPr>
              <w:t>William Ellis</w:t>
            </w:r>
          </w:p>
        </w:tc>
        <w:tc>
          <w:tcPr>
            <w:tcW w:w="860" w:type="dxa"/>
            <w:vAlign w:val="bottom"/>
          </w:tcPr>
          <w:p>
            <w:pPr>
              <w:ind w:left="340"/>
              <w:spacing w:after="0"/>
              <w:rPr>
                <w:sz w:val="20"/>
                <w:szCs w:val="20"/>
                <w:color w:val="auto"/>
              </w:rPr>
            </w:pPr>
            <w:r>
              <w:rPr>
                <w:rFonts w:ascii="Arial" w:cs="Arial" w:eastAsia="Arial" w:hAnsi="Arial"/>
                <w:sz w:val="10"/>
                <w:szCs w:val="10"/>
                <w:color w:val="auto"/>
              </w:rPr>
              <w:t>10,500</w:t>
            </w:r>
          </w:p>
        </w:tc>
        <w:tc>
          <w:tcPr>
            <w:tcW w:w="740" w:type="dxa"/>
            <w:vAlign w:val="bottom"/>
          </w:tcPr>
          <w:p>
            <w:pPr>
              <w:ind w:left="220"/>
              <w:spacing w:after="0"/>
              <w:rPr>
                <w:sz w:val="20"/>
                <w:szCs w:val="20"/>
                <w:color w:val="auto"/>
              </w:rPr>
            </w:pPr>
            <w:r>
              <w:rPr>
                <w:rFonts w:ascii="Arial" w:cs="Arial" w:eastAsia="Arial" w:hAnsi="Arial"/>
                <w:sz w:val="10"/>
                <w:szCs w:val="10"/>
                <w:color w:val="auto"/>
              </w:rPr>
              <w:t>0</w:t>
            </w:r>
          </w:p>
        </w:tc>
        <w:tc>
          <w:tcPr>
            <w:tcW w:w="500" w:type="dxa"/>
            <w:vAlign w:val="bottom"/>
          </w:tcPr>
          <w:p>
            <w:pPr>
              <w:ind w:left="200"/>
              <w:spacing w:after="0"/>
              <w:rPr>
                <w:sz w:val="20"/>
                <w:szCs w:val="20"/>
                <w:color w:val="auto"/>
              </w:rPr>
            </w:pPr>
            <w:r>
              <w:rPr>
                <w:rFonts w:ascii="Arial" w:cs="Arial" w:eastAsia="Arial" w:hAnsi="Arial"/>
                <w:sz w:val="10"/>
                <w:szCs w:val="10"/>
                <w:color w:val="auto"/>
              </w:rPr>
              <w:t>0</w:t>
            </w:r>
          </w:p>
        </w:tc>
      </w:tr>
      <w:tr>
        <w:trPr>
          <w:trHeight w:val="180"/>
        </w:trPr>
        <w:tc>
          <w:tcPr>
            <w:tcW w:w="1260" w:type="dxa"/>
            <w:vAlign w:val="bottom"/>
          </w:tcPr>
          <w:p>
            <w:pPr>
              <w:spacing w:after="0"/>
              <w:rPr>
                <w:sz w:val="20"/>
                <w:szCs w:val="20"/>
                <w:color w:val="auto"/>
              </w:rPr>
            </w:pPr>
            <w:r>
              <w:rPr>
                <w:rFonts w:ascii="Arial" w:cs="Arial" w:eastAsia="Arial" w:hAnsi="Arial"/>
                <w:sz w:val="10"/>
                <w:szCs w:val="10"/>
                <w:color w:val="auto"/>
              </w:rPr>
              <w:t>Robert F. Smerling</w:t>
            </w:r>
          </w:p>
        </w:tc>
        <w:tc>
          <w:tcPr>
            <w:tcW w:w="860" w:type="dxa"/>
            <w:vAlign w:val="bottom"/>
          </w:tcPr>
          <w:p>
            <w:pPr>
              <w:ind w:left="340"/>
              <w:spacing w:after="0"/>
              <w:rPr>
                <w:sz w:val="20"/>
                <w:szCs w:val="20"/>
                <w:color w:val="auto"/>
              </w:rPr>
            </w:pPr>
            <w:r>
              <w:rPr>
                <w:rFonts w:ascii="Arial" w:cs="Arial" w:eastAsia="Arial" w:hAnsi="Arial"/>
                <w:sz w:val="10"/>
                <w:szCs w:val="10"/>
                <w:color w:val="auto"/>
              </w:rPr>
              <w:t>0</w:t>
            </w:r>
          </w:p>
        </w:tc>
        <w:tc>
          <w:tcPr>
            <w:tcW w:w="740" w:type="dxa"/>
            <w:vAlign w:val="bottom"/>
          </w:tcPr>
          <w:p>
            <w:pPr>
              <w:ind w:left="220"/>
              <w:spacing w:after="0"/>
              <w:rPr>
                <w:sz w:val="20"/>
                <w:szCs w:val="20"/>
                <w:color w:val="auto"/>
              </w:rPr>
            </w:pPr>
            <w:r>
              <w:rPr>
                <w:rFonts w:ascii="Arial" w:cs="Arial" w:eastAsia="Arial" w:hAnsi="Arial"/>
                <w:sz w:val="10"/>
                <w:szCs w:val="10"/>
                <w:color w:val="auto"/>
              </w:rPr>
              <w:t>0</w:t>
            </w:r>
          </w:p>
        </w:tc>
        <w:tc>
          <w:tcPr>
            <w:tcW w:w="500" w:type="dxa"/>
            <w:vAlign w:val="bottom"/>
          </w:tcPr>
          <w:p>
            <w:pPr>
              <w:ind w:left="200"/>
              <w:spacing w:after="0"/>
              <w:rPr>
                <w:sz w:val="20"/>
                <w:szCs w:val="20"/>
                <w:color w:val="auto"/>
              </w:rPr>
            </w:pPr>
            <w:r>
              <w:rPr>
                <w:rFonts w:ascii="Arial" w:cs="Arial" w:eastAsia="Arial" w:hAnsi="Arial"/>
                <w:sz w:val="10"/>
                <w:szCs w:val="10"/>
                <w:color w:val="auto"/>
              </w:rPr>
              <w:t>0</w:t>
            </w:r>
          </w:p>
        </w:tc>
      </w:tr>
      <w:tr>
        <w:trPr>
          <w:trHeight w:val="180"/>
        </w:trPr>
        <w:tc>
          <w:tcPr>
            <w:tcW w:w="1260" w:type="dxa"/>
            <w:vAlign w:val="bottom"/>
          </w:tcPr>
          <w:p>
            <w:pPr>
              <w:spacing w:after="0"/>
              <w:rPr>
                <w:sz w:val="20"/>
                <w:szCs w:val="20"/>
                <w:color w:val="auto"/>
              </w:rPr>
            </w:pPr>
            <w:r>
              <w:rPr>
                <w:rFonts w:ascii="Arial" w:cs="Arial" w:eastAsia="Arial" w:hAnsi="Arial"/>
                <w:sz w:val="10"/>
                <w:szCs w:val="10"/>
                <w:color w:val="auto"/>
              </w:rPr>
              <w:t>Wayne Smith</w:t>
            </w:r>
          </w:p>
        </w:tc>
        <w:tc>
          <w:tcPr>
            <w:tcW w:w="860" w:type="dxa"/>
            <w:vAlign w:val="bottom"/>
          </w:tcPr>
          <w:p>
            <w:pPr>
              <w:ind w:left="340"/>
              <w:spacing w:after="0"/>
              <w:rPr>
                <w:sz w:val="20"/>
                <w:szCs w:val="20"/>
                <w:color w:val="auto"/>
              </w:rPr>
            </w:pPr>
            <w:r>
              <w:rPr>
                <w:rFonts w:ascii="Arial" w:cs="Arial" w:eastAsia="Arial" w:hAnsi="Arial"/>
                <w:sz w:val="10"/>
                <w:szCs w:val="10"/>
                <w:color w:val="auto"/>
              </w:rPr>
              <w:t>0</w:t>
            </w:r>
          </w:p>
        </w:tc>
        <w:tc>
          <w:tcPr>
            <w:tcW w:w="740" w:type="dxa"/>
            <w:vAlign w:val="bottom"/>
          </w:tcPr>
          <w:p>
            <w:pPr>
              <w:ind w:left="220"/>
              <w:spacing w:after="0"/>
              <w:rPr>
                <w:sz w:val="20"/>
                <w:szCs w:val="20"/>
                <w:color w:val="auto"/>
              </w:rPr>
            </w:pPr>
            <w:r>
              <w:rPr>
                <w:rFonts w:ascii="Arial" w:cs="Arial" w:eastAsia="Arial" w:hAnsi="Arial"/>
                <w:sz w:val="10"/>
                <w:szCs w:val="10"/>
                <w:color w:val="auto"/>
              </w:rPr>
              <w:t>0</w:t>
            </w:r>
          </w:p>
        </w:tc>
        <w:tc>
          <w:tcPr>
            <w:tcW w:w="500" w:type="dxa"/>
            <w:vAlign w:val="bottom"/>
          </w:tcPr>
          <w:p>
            <w:pPr>
              <w:ind w:left="200"/>
              <w:spacing w:after="0"/>
              <w:rPr>
                <w:sz w:val="20"/>
                <w:szCs w:val="20"/>
                <w:color w:val="auto"/>
              </w:rPr>
            </w:pPr>
            <w:r>
              <w:rPr>
                <w:rFonts w:ascii="Arial" w:cs="Arial" w:eastAsia="Arial" w:hAnsi="Arial"/>
                <w:sz w:val="10"/>
                <w:szCs w:val="10"/>
                <w:color w:val="auto"/>
              </w:rPr>
              <w:t>0</w:t>
            </w:r>
          </w:p>
        </w:tc>
      </w:tr>
    </w:tbl>
    <w:p>
      <w:pPr>
        <w:spacing w:after="0" w:line="320" w:lineRule="exact"/>
        <w:rPr>
          <w:sz w:val="20"/>
          <w:szCs w:val="20"/>
          <w:color w:val="auto"/>
        </w:rPr>
      </w:pPr>
    </w:p>
    <w:p>
      <w:pPr>
        <w:ind w:left="240" w:hanging="236"/>
        <w:spacing w:after="0"/>
        <w:tabs>
          <w:tab w:leader="none" w:pos="240" w:val="left"/>
        </w:tabs>
        <w:numPr>
          <w:ilvl w:val="0"/>
          <w:numId w:val="66"/>
        </w:numPr>
        <w:rPr>
          <w:rFonts w:ascii="Arial" w:cs="Arial" w:eastAsia="Arial" w:hAnsi="Arial"/>
          <w:sz w:val="10"/>
          <w:szCs w:val="10"/>
          <w:color w:val="auto"/>
        </w:rPr>
      </w:pPr>
      <w:r>
        <w:rPr>
          <w:rFonts w:ascii="Arial" w:cs="Arial" w:eastAsia="Arial" w:hAnsi="Arial"/>
          <w:sz w:val="10"/>
          <w:szCs w:val="10"/>
          <w:color w:val="auto"/>
        </w:rPr>
        <w:t>Includes a $50,000 tax gross-up for taxes incurred as a result of the exercise of nonqualified stock options that were intended to be issued as incentive stock options.</w:t>
      </w:r>
    </w:p>
    <w:p>
      <w:pPr>
        <w:spacing w:after="0" w:line="56" w:lineRule="exact"/>
        <w:rPr>
          <w:rFonts w:ascii="Arial" w:cs="Arial" w:eastAsia="Arial" w:hAnsi="Arial"/>
          <w:sz w:val="10"/>
          <w:szCs w:val="10"/>
          <w:color w:val="auto"/>
        </w:rPr>
      </w:pPr>
    </w:p>
    <w:p>
      <w:pPr>
        <w:ind w:left="220" w:right="260" w:hanging="216"/>
        <w:spacing w:after="0" w:line="335" w:lineRule="auto"/>
        <w:tabs>
          <w:tab w:leader="none" w:pos="242" w:val="left"/>
        </w:tabs>
        <w:numPr>
          <w:ilvl w:val="0"/>
          <w:numId w:val="66"/>
        </w:numPr>
        <w:rPr>
          <w:rFonts w:ascii="Arial" w:cs="Arial" w:eastAsia="Arial" w:hAnsi="Arial"/>
          <w:sz w:val="8"/>
          <w:szCs w:val="8"/>
          <w:color w:val="auto"/>
        </w:rPr>
      </w:pPr>
      <w:r>
        <w:rPr>
          <w:rFonts w:ascii="Arial" w:cs="Arial" w:eastAsia="Arial" w:hAnsi="Arial"/>
          <w:sz w:val="8"/>
          <w:szCs w:val="8"/>
          <w:color w:val="auto"/>
        </w:rPr>
        <w:t xml:space="preserve">Mr. Cotter, Jr., served as our Chief Executive Officer until June 12, 2015. In the case of Mr. Cotter Jr., the “All Other Compensation” column includes $43,750 in severance payments paid pursuant to Mr. Cotter Jr.’s employment agreement. Of this amount, the Company has a claim against Mr. Cotter Jr. for approximately $18,000, which, if the Company is successful in this claim, may be recovered from Mr. Cotter Jr. For additional information, see the information set forth in </w:t>
      </w:r>
      <w:r>
        <w:rPr>
          <w:rFonts w:ascii="Arial" w:cs="Arial" w:eastAsia="Arial" w:hAnsi="Arial"/>
          <w:sz w:val="8"/>
          <w:szCs w:val="8"/>
          <w:i w:val="1"/>
          <w:iCs w:val="1"/>
          <w:color w:val="auto"/>
        </w:rPr>
        <w:t>Item 3, Legal Proceedings</w:t>
      </w:r>
      <w:r>
        <w:rPr>
          <w:rFonts w:ascii="Arial" w:cs="Arial" w:eastAsia="Arial" w:hAnsi="Arial"/>
          <w:sz w:val="8"/>
          <w:szCs w:val="8"/>
          <w:color w:val="auto"/>
        </w:rPr>
        <w:t>.</w:t>
      </w:r>
    </w:p>
    <w:p>
      <w:pPr>
        <w:spacing w:after="0" w:line="13" w:lineRule="exact"/>
        <w:rPr>
          <w:rFonts w:ascii="Arial" w:cs="Arial" w:eastAsia="Arial" w:hAnsi="Arial"/>
          <w:sz w:val="8"/>
          <w:szCs w:val="8"/>
          <w:color w:val="auto"/>
        </w:rPr>
      </w:pPr>
    </w:p>
    <w:p>
      <w:pPr>
        <w:ind w:left="240" w:hanging="236"/>
        <w:spacing w:after="0"/>
        <w:tabs>
          <w:tab w:leader="none" w:pos="240" w:val="left"/>
        </w:tabs>
        <w:numPr>
          <w:ilvl w:val="0"/>
          <w:numId w:val="66"/>
        </w:numPr>
        <w:rPr>
          <w:rFonts w:ascii="Arial" w:cs="Arial" w:eastAsia="Arial" w:hAnsi="Arial"/>
          <w:sz w:val="10"/>
          <w:szCs w:val="10"/>
          <w:color w:val="auto"/>
        </w:rPr>
      </w:pPr>
      <w:r>
        <w:rPr>
          <w:rFonts w:ascii="Arial" w:cs="Arial" w:eastAsia="Arial" w:hAnsi="Arial"/>
          <w:sz w:val="10"/>
          <w:szCs w:val="10"/>
          <w:color w:val="auto"/>
        </w:rPr>
        <w:t>Mr. Ghose became Chief Financial Officer and Treasurer on May 11, 2015, as such, he was paid a prorated amount of his $400,000 salary for 2015.</w:t>
      </w:r>
    </w:p>
    <w:p>
      <w:pPr>
        <w:spacing w:after="0" w:line="83" w:lineRule="exact"/>
        <w:rPr>
          <w:rFonts w:ascii="Arial" w:cs="Arial" w:eastAsia="Arial" w:hAnsi="Arial"/>
          <w:sz w:val="10"/>
          <w:szCs w:val="10"/>
          <w:color w:val="auto"/>
        </w:rPr>
      </w:pPr>
    </w:p>
    <w:p>
      <w:pPr>
        <w:ind w:left="240" w:hanging="236"/>
        <w:spacing w:after="0"/>
        <w:tabs>
          <w:tab w:leader="none" w:pos="240" w:val="left"/>
        </w:tabs>
        <w:numPr>
          <w:ilvl w:val="0"/>
          <w:numId w:val="66"/>
        </w:numPr>
        <w:rPr>
          <w:rFonts w:ascii="Arial" w:cs="Arial" w:eastAsia="Arial" w:hAnsi="Arial"/>
          <w:sz w:val="10"/>
          <w:szCs w:val="10"/>
          <w:color w:val="auto"/>
        </w:rPr>
      </w:pPr>
      <w:r>
        <w:rPr>
          <w:rFonts w:ascii="Arial" w:cs="Arial" w:eastAsia="Arial" w:hAnsi="Arial"/>
          <w:sz w:val="10"/>
          <w:szCs w:val="10"/>
          <w:color w:val="auto"/>
        </w:rPr>
        <w:t>Mr. Matyczynski resigned as our Chief Financial Officer and Treasurer on May 11, 2015, and acted as our Strategic Corporate Advisor until March 10, 2016.</w:t>
      </w:r>
    </w:p>
    <w:p>
      <w:pPr>
        <w:spacing w:after="0" w:line="74" w:lineRule="exact"/>
        <w:rPr>
          <w:rFonts w:ascii="Arial" w:cs="Arial" w:eastAsia="Arial" w:hAnsi="Arial"/>
          <w:sz w:val="10"/>
          <w:szCs w:val="10"/>
          <w:color w:val="auto"/>
        </w:rPr>
      </w:pPr>
    </w:p>
    <w:p>
      <w:pPr>
        <w:ind w:left="240" w:hanging="236"/>
        <w:spacing w:after="0"/>
        <w:tabs>
          <w:tab w:leader="none" w:pos="240" w:val="left"/>
        </w:tabs>
        <w:numPr>
          <w:ilvl w:val="0"/>
          <w:numId w:val="66"/>
        </w:numPr>
        <w:rPr>
          <w:rFonts w:ascii="Arial" w:cs="Arial" w:eastAsia="Arial" w:hAnsi="Arial"/>
          <w:sz w:val="10"/>
          <w:szCs w:val="10"/>
          <w:color w:val="auto"/>
        </w:rPr>
      </w:pPr>
      <w:r>
        <w:rPr>
          <w:rFonts w:ascii="Arial" w:cs="Arial" w:eastAsia="Arial" w:hAnsi="Arial"/>
          <w:sz w:val="10"/>
          <w:szCs w:val="10"/>
          <w:color w:val="auto"/>
        </w:rPr>
        <w:t>Represents the increase in the vested benefit of the DCP for Mr. Matyczynski. Payment of the vested benefit under his DCP will be made in accordance with the terms of the DCP.</w:t>
      </w:r>
    </w:p>
    <w:p>
      <w:pPr>
        <w:spacing w:after="0" w:line="110" w:lineRule="exact"/>
        <w:rPr>
          <w:rFonts w:ascii="Arial" w:cs="Arial" w:eastAsia="Arial" w:hAnsi="Arial"/>
          <w:sz w:val="10"/>
          <w:szCs w:val="10"/>
          <w:color w:val="auto"/>
        </w:rPr>
      </w:pPr>
    </w:p>
    <w:p>
      <w:pPr>
        <w:ind w:left="240" w:hanging="236"/>
        <w:spacing w:after="0"/>
        <w:tabs>
          <w:tab w:leader="none" w:pos="240" w:val="left"/>
        </w:tabs>
        <w:numPr>
          <w:ilvl w:val="0"/>
          <w:numId w:val="66"/>
        </w:numPr>
        <w:rPr>
          <w:rFonts w:ascii="Arial" w:cs="Arial" w:eastAsia="Arial" w:hAnsi="Arial"/>
          <w:sz w:val="8"/>
          <w:szCs w:val="8"/>
          <w:color w:val="auto"/>
        </w:rPr>
      </w:pPr>
      <w:r>
        <w:rPr>
          <w:rFonts w:ascii="Arial" w:cs="Arial" w:eastAsia="Arial" w:hAnsi="Arial"/>
          <w:sz w:val="8"/>
          <w:szCs w:val="8"/>
          <w:color w:val="auto"/>
        </w:rPr>
        <w:t>Mr. Cotter, Jr. had an annual base salary of $335,000 for 2015. As his employment ended in June 2015, Mr. Cotter, Jr. earned a prorated base salary of $195,417 for 2015, which includes his severance payment paid through the end of July 2015.</w:t>
      </w:r>
    </w:p>
    <w:p>
      <w:pPr>
        <w:spacing w:after="0" w:line="124" w:lineRule="exact"/>
        <w:rPr>
          <w:rFonts w:ascii="Arial" w:cs="Arial" w:eastAsia="Arial" w:hAnsi="Arial"/>
          <w:sz w:val="8"/>
          <w:szCs w:val="8"/>
          <w:color w:val="auto"/>
        </w:rPr>
      </w:pPr>
    </w:p>
    <w:p>
      <w:pPr>
        <w:ind w:left="260" w:hanging="256"/>
        <w:spacing w:after="0"/>
        <w:tabs>
          <w:tab w:leader="none" w:pos="260" w:val="left"/>
        </w:tabs>
        <w:numPr>
          <w:ilvl w:val="0"/>
          <w:numId w:val="66"/>
        </w:numPr>
        <w:rPr>
          <w:rFonts w:ascii="Arial" w:cs="Arial" w:eastAsia="Arial" w:hAnsi="Arial"/>
          <w:sz w:val="10"/>
          <w:szCs w:val="10"/>
          <w:color w:val="auto"/>
        </w:rPr>
      </w:pPr>
      <w:r>
        <w:rPr>
          <w:rFonts w:ascii="Arial" w:cs="Arial" w:eastAsia="Arial" w:hAnsi="Arial"/>
          <w:sz w:val="10"/>
          <w:szCs w:val="10"/>
          <w:color w:val="auto"/>
        </w:rPr>
        <w:t>Mr. Ellis became General Counsel and Corporate Secretary on October 20, 2014 as such he was paid a prorated amount of his $350,000 salary in 2014. Mr. Ellis submitted his resignation on February 18, 206.</w:t>
      </w:r>
    </w:p>
    <w:p>
      <w:pPr>
        <w:spacing w:after="0" w:line="101" w:lineRule="exact"/>
        <w:rPr>
          <w:rFonts w:ascii="Arial" w:cs="Arial" w:eastAsia="Arial" w:hAnsi="Arial"/>
          <w:sz w:val="10"/>
          <w:szCs w:val="10"/>
          <w:color w:val="auto"/>
        </w:rPr>
      </w:pPr>
    </w:p>
    <w:p>
      <w:pPr>
        <w:ind w:left="260" w:hanging="256"/>
        <w:spacing w:after="0"/>
        <w:tabs>
          <w:tab w:leader="none" w:pos="260" w:val="left"/>
        </w:tabs>
        <w:numPr>
          <w:ilvl w:val="0"/>
          <w:numId w:val="66"/>
        </w:numPr>
        <w:rPr>
          <w:rFonts w:ascii="Arial" w:cs="Arial" w:eastAsia="Arial" w:hAnsi="Arial"/>
          <w:sz w:val="10"/>
          <w:szCs w:val="10"/>
          <w:color w:val="auto"/>
        </w:rPr>
      </w:pPr>
      <w:r>
        <w:rPr>
          <w:rFonts w:ascii="Arial" w:cs="Arial" w:eastAsia="Arial" w:hAnsi="Arial"/>
          <w:sz w:val="10"/>
          <w:szCs w:val="10"/>
          <w:color w:val="auto"/>
        </w:rPr>
        <w:t>Mr. Smith is paid in Australian Dollars. Amounts in the table above are shown in U.S. Dollars, using the conversion rates of 0.9684 for 2013, 0.9027 for 2014and 0.7524 for 2015.</w:t>
      </w:r>
    </w:p>
    <w:p>
      <w:pPr>
        <w:spacing w:after="0" w:line="11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Grants of Plan-Based Awards</w:t>
      </w:r>
    </w:p>
    <w:p>
      <w:pPr>
        <w:spacing w:after="0" w:line="127" w:lineRule="exact"/>
        <w:rPr>
          <w:sz w:val="20"/>
          <w:szCs w:val="20"/>
          <w:color w:val="auto"/>
        </w:rPr>
      </w:pPr>
    </w:p>
    <w:p>
      <w:pPr>
        <w:ind w:left="440"/>
        <w:spacing w:after="0"/>
        <w:rPr>
          <w:sz w:val="20"/>
          <w:szCs w:val="20"/>
          <w:color w:val="auto"/>
        </w:rPr>
      </w:pPr>
      <w:r>
        <w:rPr>
          <w:rFonts w:ascii="Arial" w:cs="Arial" w:eastAsia="Arial" w:hAnsi="Arial"/>
          <w:sz w:val="12"/>
          <w:szCs w:val="12"/>
          <w:color w:val="auto"/>
        </w:rPr>
        <w:t>The following table contains information concerning the stock grants made to our named executive officers for the year ended December 31, 2015:</w:t>
      </w:r>
    </w:p>
    <w:p>
      <w:pPr>
        <w:spacing w:after="0" w:line="150" w:lineRule="exact"/>
        <w:rPr>
          <w:sz w:val="20"/>
          <w:szCs w:val="20"/>
          <w:color w:val="auto"/>
        </w:rPr>
      </w:pPr>
    </w:p>
    <w:p>
      <w:pPr>
        <w:jc w:val="center"/>
        <w:ind w:right="-139"/>
        <w:spacing w:after="0"/>
        <w:rPr>
          <w:sz w:val="20"/>
          <w:szCs w:val="20"/>
          <w:color w:val="auto"/>
        </w:rPr>
      </w:pPr>
      <w:r>
        <w:rPr>
          <w:rFonts w:ascii="Arial" w:cs="Arial" w:eastAsia="Arial" w:hAnsi="Arial"/>
          <w:sz w:val="12"/>
          <w:szCs w:val="12"/>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59690</wp:posOffset>
            </wp:positionV>
            <wp:extent cx="677989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779895" cy="42545"/>
                    </a:xfrm>
                    <a:prstGeom prst="rect">
                      <a:avLst/>
                    </a:prstGeom>
                    <a:noFill/>
                  </pic:spPr>
                </pic:pic>
              </a:graphicData>
            </a:graphic>
          </wp:anchor>
        </w:drawing>
      </w:r>
    </w:p>
    <w:p>
      <w:pPr>
        <w:sectPr>
          <w:pgSz w:w="11900" w:h="16838" w:orient="portrait"/>
          <w:cols w:equalWidth="0" w:num="1">
            <w:col w:w="10500"/>
          </w:cols>
          <w:pgMar w:left="640" w:top="255" w:right="759" w:bottom="1440" w:gutter="0" w:footer="0" w:header="0"/>
        </w:sectPr>
      </w:pPr>
    </w:p>
    <w:bookmarkStart w:id="117" w:name="page118"/>
    <w:bookmarkEnd w:id="117"/>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760" w:type="dxa"/>
            <w:vAlign w:val="bottom"/>
            <w:tcBorders>
              <w:bottom w:val="single" w:sz="8" w:color="auto"/>
            </w:tcBorders>
          </w:tcPr>
          <w:p>
            <w:pPr>
              <w:ind w:left="260"/>
              <w:spacing w:after="0"/>
              <w:rPr>
                <w:sz w:val="20"/>
                <w:szCs w:val="20"/>
                <w:color w:val="auto"/>
              </w:rPr>
            </w:pPr>
            <w:r>
              <w:rPr>
                <w:rFonts w:ascii="Arial" w:cs="Arial" w:eastAsia="Arial" w:hAnsi="Arial"/>
                <w:sz w:val="10"/>
                <w:szCs w:val="10"/>
                <w:color w:val="auto"/>
              </w:rPr>
              <w:t>Name</w:t>
            </w:r>
          </w:p>
        </w:tc>
        <w:tc>
          <w:tcPr>
            <w:tcW w:w="40" w:type="dxa"/>
            <w:vAlign w:val="bottom"/>
          </w:tcPr>
          <w:p>
            <w:pPr>
              <w:spacing w:after="0"/>
              <w:rPr>
                <w:sz w:val="11"/>
                <w:szCs w:val="11"/>
                <w:color w:val="auto"/>
              </w:rPr>
            </w:pPr>
          </w:p>
        </w:tc>
        <w:tc>
          <w:tcPr>
            <w:tcW w:w="420" w:type="dxa"/>
            <w:vAlign w:val="bottom"/>
            <w:tcBorders>
              <w:bottom w:val="single" w:sz="8" w:color="auto"/>
            </w:tcBorders>
          </w:tcPr>
          <w:p>
            <w:pPr>
              <w:spacing w:after="0"/>
              <w:rPr>
                <w:sz w:val="20"/>
                <w:szCs w:val="20"/>
                <w:color w:val="auto"/>
              </w:rPr>
            </w:pPr>
            <w:r>
              <w:rPr>
                <w:rFonts w:ascii="Arial" w:cs="Arial" w:eastAsia="Arial" w:hAnsi="Arial"/>
                <w:sz w:val="10"/>
                <w:szCs w:val="10"/>
                <w:color w:val="auto"/>
                <w:w w:val="81"/>
              </w:rPr>
              <w:t>Grant Date</w:t>
            </w:r>
          </w:p>
        </w:tc>
      </w:tr>
      <w:tr>
        <w:trPr>
          <w:trHeight w:val="242"/>
        </w:trPr>
        <w:tc>
          <w:tcPr>
            <w:tcW w:w="760" w:type="dxa"/>
            <w:vAlign w:val="bottom"/>
          </w:tcPr>
          <w:p>
            <w:pPr>
              <w:spacing w:after="0"/>
              <w:rPr>
                <w:sz w:val="20"/>
                <w:szCs w:val="20"/>
                <w:color w:val="auto"/>
              </w:rPr>
            </w:pPr>
            <w:r>
              <w:rPr>
                <w:rFonts w:ascii="Arial" w:cs="Arial" w:eastAsia="Arial" w:hAnsi="Arial"/>
                <w:sz w:val="10"/>
                <w:szCs w:val="10"/>
                <w:color w:val="auto"/>
              </w:rPr>
              <w:t>Ellen M. Cotter</w:t>
            </w:r>
          </w:p>
        </w:tc>
        <w:tc>
          <w:tcPr>
            <w:tcW w:w="40" w:type="dxa"/>
            <w:vAlign w:val="bottom"/>
          </w:tcPr>
          <w:p>
            <w:pPr>
              <w:spacing w:after="0"/>
              <w:rPr>
                <w:sz w:val="21"/>
                <w:szCs w:val="21"/>
                <w:color w:val="auto"/>
              </w:rPr>
            </w:pPr>
          </w:p>
        </w:tc>
        <w:tc>
          <w:tcPr>
            <w:tcW w:w="420" w:type="dxa"/>
            <w:vAlign w:val="bottom"/>
          </w:tcPr>
          <w:p>
            <w:pPr>
              <w:spacing w:after="0"/>
              <w:rPr>
                <w:sz w:val="21"/>
                <w:szCs w:val="21"/>
                <w:color w:val="auto"/>
              </w:rPr>
            </w:pPr>
          </w:p>
        </w:tc>
      </w:tr>
      <w:tr>
        <w:trPr>
          <w:trHeight w:val="144"/>
        </w:trPr>
        <w:tc>
          <w:tcPr>
            <w:tcW w:w="760" w:type="dxa"/>
            <w:vAlign w:val="bottom"/>
          </w:tcPr>
          <w:p>
            <w:pPr>
              <w:spacing w:after="0"/>
              <w:rPr>
                <w:sz w:val="20"/>
                <w:szCs w:val="20"/>
                <w:color w:val="auto"/>
              </w:rPr>
            </w:pPr>
            <w:r>
              <w:rPr>
                <w:rFonts w:ascii="Arial" w:cs="Arial" w:eastAsia="Arial" w:hAnsi="Arial"/>
                <w:sz w:val="10"/>
                <w:szCs w:val="10"/>
                <w:color w:val="auto"/>
                <w:w w:val="85"/>
              </w:rPr>
              <w:t>James J. Cotter, Jr.</w:t>
            </w: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r>
      <w:tr>
        <w:trPr>
          <w:trHeight w:val="144"/>
        </w:trPr>
        <w:tc>
          <w:tcPr>
            <w:tcW w:w="760" w:type="dxa"/>
            <w:vAlign w:val="bottom"/>
          </w:tcPr>
          <w:p>
            <w:pPr>
              <w:spacing w:after="0"/>
              <w:rPr>
                <w:sz w:val="20"/>
                <w:szCs w:val="20"/>
                <w:color w:val="auto"/>
              </w:rPr>
            </w:pPr>
            <w:r>
              <w:rPr>
                <w:rFonts w:ascii="Arial" w:cs="Arial" w:eastAsia="Arial" w:hAnsi="Arial"/>
                <w:sz w:val="10"/>
                <w:szCs w:val="10"/>
                <w:color w:val="auto"/>
              </w:rPr>
              <w:t>Devasis Ghose</w:t>
            </w:r>
          </w:p>
        </w:tc>
        <w:tc>
          <w:tcPr>
            <w:tcW w:w="460" w:type="dxa"/>
            <w:vAlign w:val="bottom"/>
            <w:gridSpan w:val="2"/>
          </w:tcPr>
          <w:p>
            <w:pPr>
              <w:ind w:left="40"/>
              <w:spacing w:after="0"/>
              <w:rPr>
                <w:sz w:val="20"/>
                <w:szCs w:val="20"/>
                <w:color w:val="auto"/>
              </w:rPr>
            </w:pPr>
            <w:r>
              <w:rPr>
                <w:rFonts w:ascii="Arial" w:cs="Arial" w:eastAsia="Arial" w:hAnsi="Arial"/>
                <w:sz w:val="10"/>
                <w:szCs w:val="10"/>
                <w:color w:val="auto"/>
                <w:w w:val="87"/>
              </w:rPr>
              <w:t>5-11-2015</w:t>
            </w:r>
          </w:p>
        </w:tc>
      </w:tr>
      <w:tr>
        <w:trPr>
          <w:trHeight w:val="122"/>
        </w:trPr>
        <w:tc>
          <w:tcPr>
            <w:tcW w:w="760" w:type="dxa"/>
            <w:vAlign w:val="bottom"/>
          </w:tcPr>
          <w:p>
            <w:pPr>
              <w:spacing w:after="0"/>
              <w:rPr>
                <w:sz w:val="20"/>
                <w:szCs w:val="20"/>
                <w:color w:val="auto"/>
              </w:rPr>
            </w:pPr>
            <w:r>
              <w:rPr>
                <w:rFonts w:ascii="Arial" w:cs="Arial" w:eastAsia="Arial" w:hAnsi="Arial"/>
                <w:sz w:val="10"/>
                <w:szCs w:val="10"/>
                <w:color w:val="auto"/>
              </w:rPr>
              <w:t>Andrzej J.</w:t>
            </w: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r>
      <w:tr>
        <w:trPr>
          <w:trHeight w:val="99"/>
        </w:trPr>
        <w:tc>
          <w:tcPr>
            <w:tcW w:w="760" w:type="dxa"/>
            <w:vAlign w:val="bottom"/>
          </w:tcPr>
          <w:p>
            <w:pPr>
              <w:spacing w:after="0" w:line="99" w:lineRule="exact"/>
              <w:rPr>
                <w:sz w:val="20"/>
                <w:szCs w:val="20"/>
                <w:color w:val="auto"/>
              </w:rPr>
            </w:pPr>
            <w:r>
              <w:rPr>
                <w:rFonts w:ascii="Arial" w:cs="Arial" w:eastAsia="Arial" w:hAnsi="Arial"/>
                <w:sz w:val="10"/>
                <w:szCs w:val="10"/>
                <w:color w:val="auto"/>
              </w:rPr>
              <w:t>Matyczynski</w:t>
            </w: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r>
      <w:tr>
        <w:trPr>
          <w:trHeight w:val="122"/>
        </w:trPr>
        <w:tc>
          <w:tcPr>
            <w:tcW w:w="760" w:type="dxa"/>
            <w:vAlign w:val="bottom"/>
          </w:tcPr>
          <w:p>
            <w:pPr>
              <w:spacing w:after="0"/>
              <w:rPr>
                <w:sz w:val="20"/>
                <w:szCs w:val="20"/>
                <w:color w:val="auto"/>
              </w:rPr>
            </w:pPr>
            <w:r>
              <w:rPr>
                <w:rFonts w:ascii="Arial" w:cs="Arial" w:eastAsia="Arial" w:hAnsi="Arial"/>
                <w:sz w:val="10"/>
                <w:szCs w:val="10"/>
                <w:color w:val="auto"/>
              </w:rPr>
              <w:t>William Ellis</w:t>
            </w: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r>
      <w:tr>
        <w:trPr>
          <w:trHeight w:val="144"/>
        </w:trPr>
        <w:tc>
          <w:tcPr>
            <w:tcW w:w="760" w:type="dxa"/>
            <w:vAlign w:val="bottom"/>
          </w:tcPr>
          <w:p>
            <w:pPr>
              <w:spacing w:after="0"/>
              <w:rPr>
                <w:sz w:val="20"/>
                <w:szCs w:val="20"/>
                <w:color w:val="auto"/>
              </w:rPr>
            </w:pPr>
            <w:r>
              <w:rPr>
                <w:rFonts w:ascii="Arial" w:cs="Arial" w:eastAsia="Arial" w:hAnsi="Arial"/>
                <w:sz w:val="10"/>
                <w:szCs w:val="10"/>
                <w:color w:val="auto"/>
                <w:w w:val="88"/>
              </w:rPr>
              <w:t>Robert F. Smerling</w:t>
            </w: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r>
      <w:tr>
        <w:trPr>
          <w:trHeight w:val="144"/>
        </w:trPr>
        <w:tc>
          <w:tcPr>
            <w:tcW w:w="760" w:type="dxa"/>
            <w:vAlign w:val="bottom"/>
          </w:tcPr>
          <w:p>
            <w:pPr>
              <w:spacing w:after="0"/>
              <w:rPr>
                <w:sz w:val="20"/>
                <w:szCs w:val="20"/>
                <w:color w:val="auto"/>
              </w:rPr>
            </w:pPr>
            <w:r>
              <w:rPr>
                <w:rFonts w:ascii="Arial" w:cs="Arial" w:eastAsia="Arial" w:hAnsi="Arial"/>
                <w:sz w:val="10"/>
                <w:szCs w:val="10"/>
                <w:color w:val="auto"/>
                <w:w w:val="99"/>
              </w:rPr>
              <w:t>Wayne Smith (1)</w:t>
            </w:r>
          </w:p>
        </w:tc>
        <w:tc>
          <w:tcPr>
            <w:tcW w:w="460" w:type="dxa"/>
            <w:vAlign w:val="bottom"/>
            <w:gridSpan w:val="2"/>
          </w:tcPr>
          <w:p>
            <w:pPr>
              <w:ind w:left="40"/>
              <w:spacing w:after="0"/>
              <w:rPr>
                <w:sz w:val="20"/>
                <w:szCs w:val="20"/>
                <w:color w:val="auto"/>
              </w:rPr>
            </w:pPr>
            <w:r>
              <w:rPr>
                <w:rFonts w:ascii="Arial" w:cs="Arial" w:eastAsia="Arial" w:hAnsi="Arial"/>
                <w:sz w:val="10"/>
                <w:szCs w:val="10"/>
                <w:color w:val="auto"/>
                <w:w w:val="87"/>
              </w:rPr>
              <w:t>7-16-2015</w:t>
            </w: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15"/>
        </w:trPr>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tcPr>
          <w:p>
            <w:pPr>
              <w:jc w:val="center"/>
              <w:spacing w:after="0"/>
              <w:rPr>
                <w:sz w:val="20"/>
                <w:szCs w:val="20"/>
                <w:color w:val="auto"/>
              </w:rPr>
            </w:pPr>
            <w:r>
              <w:rPr>
                <w:rFonts w:ascii="Arial" w:cs="Arial" w:eastAsia="Arial" w:hAnsi="Arial"/>
                <w:sz w:val="10"/>
                <w:szCs w:val="10"/>
                <w:color w:val="auto"/>
                <w:w w:val="92"/>
              </w:rPr>
              <w:t>All Other</w:t>
            </w: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40" w:type="dxa"/>
            <w:vAlign w:val="bottom"/>
            <w:gridSpan w:val="3"/>
            <w:vMerge w:val="restart"/>
          </w:tcPr>
          <w:p>
            <w:pPr>
              <w:jc w:val="center"/>
              <w:spacing w:after="0"/>
              <w:rPr>
                <w:sz w:val="20"/>
                <w:szCs w:val="20"/>
                <w:color w:val="auto"/>
              </w:rPr>
            </w:pPr>
            <w:r>
              <w:rPr>
                <w:rFonts w:ascii="Arial" w:cs="Arial" w:eastAsia="Arial" w:hAnsi="Arial"/>
                <w:sz w:val="10"/>
                <w:szCs w:val="10"/>
                <w:color w:val="auto"/>
                <w:w w:val="84"/>
              </w:rPr>
              <w:t>Estimated Futures Payouts</w:t>
            </w:r>
          </w:p>
        </w:tc>
        <w:tc>
          <w:tcPr>
            <w:tcW w:w="60" w:type="dxa"/>
            <w:vAlign w:val="bottom"/>
          </w:tcPr>
          <w:p>
            <w:pPr>
              <w:spacing w:after="0"/>
              <w:rPr>
                <w:sz w:val="8"/>
                <w:szCs w:val="8"/>
                <w:color w:val="auto"/>
              </w:rPr>
            </w:pPr>
          </w:p>
        </w:tc>
        <w:tc>
          <w:tcPr>
            <w:tcW w:w="480" w:type="dxa"/>
            <w:vAlign w:val="bottom"/>
            <w:gridSpan w:val="2"/>
            <w:vMerge w:val="restart"/>
          </w:tcPr>
          <w:p>
            <w:pPr>
              <w:jc w:val="center"/>
              <w:ind w:right="40"/>
              <w:spacing w:after="0"/>
              <w:rPr>
                <w:sz w:val="20"/>
                <w:szCs w:val="20"/>
                <w:color w:val="auto"/>
              </w:rPr>
            </w:pPr>
            <w:r>
              <w:rPr>
                <w:rFonts w:ascii="Arial" w:cs="Arial" w:eastAsia="Arial" w:hAnsi="Arial"/>
                <w:sz w:val="10"/>
                <w:szCs w:val="10"/>
                <w:color w:val="auto"/>
                <w:w w:val="92"/>
              </w:rPr>
              <w:t>All Other</w:t>
            </w:r>
          </w:p>
        </w:tc>
        <w:tc>
          <w:tcPr>
            <w:tcW w:w="560" w:type="dxa"/>
            <w:vAlign w:val="bottom"/>
          </w:tcPr>
          <w:p>
            <w:pPr>
              <w:jc w:val="center"/>
              <w:spacing w:after="0" w:line="99" w:lineRule="exact"/>
              <w:rPr>
                <w:sz w:val="20"/>
                <w:szCs w:val="20"/>
                <w:color w:val="auto"/>
              </w:rPr>
            </w:pPr>
            <w:r>
              <w:rPr>
                <w:rFonts w:ascii="Arial" w:cs="Arial" w:eastAsia="Arial" w:hAnsi="Arial"/>
                <w:sz w:val="10"/>
                <w:szCs w:val="10"/>
                <w:color w:val="auto"/>
                <w:w w:val="88"/>
              </w:rPr>
              <w:t>Option</w:t>
            </w: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5"/>
        </w:trPr>
        <w:tc>
          <w:tcPr>
            <w:tcW w:w="40" w:type="dxa"/>
            <w:vAlign w:val="bottom"/>
          </w:tcPr>
          <w:p>
            <w:pPr>
              <w:spacing w:after="0"/>
              <w:rPr>
                <w:sz w:val="3"/>
                <w:szCs w:val="3"/>
                <w:color w:val="auto"/>
              </w:rPr>
            </w:pPr>
          </w:p>
        </w:tc>
        <w:tc>
          <w:tcPr>
            <w:tcW w:w="4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40" w:type="dxa"/>
            <w:vAlign w:val="bottom"/>
            <w:gridSpan w:val="3"/>
            <w:vMerge w:val="continue"/>
          </w:tcPr>
          <w:p>
            <w:pPr>
              <w:spacing w:after="0"/>
              <w:rPr>
                <w:sz w:val="3"/>
                <w:szCs w:val="3"/>
                <w:color w:val="auto"/>
              </w:rPr>
            </w:pPr>
          </w:p>
        </w:tc>
        <w:tc>
          <w:tcPr>
            <w:tcW w:w="60" w:type="dxa"/>
            <w:vAlign w:val="bottom"/>
          </w:tcPr>
          <w:p>
            <w:pPr>
              <w:spacing w:after="0"/>
              <w:rPr>
                <w:sz w:val="3"/>
                <w:szCs w:val="3"/>
                <w:color w:val="auto"/>
              </w:rPr>
            </w:pPr>
          </w:p>
        </w:tc>
        <w:tc>
          <w:tcPr>
            <w:tcW w:w="480" w:type="dxa"/>
            <w:vAlign w:val="bottom"/>
            <w:gridSpan w:val="2"/>
            <w:vMerge w:val="continue"/>
          </w:tcPr>
          <w:p>
            <w:pPr>
              <w:spacing w:after="0"/>
              <w:rPr>
                <w:sz w:val="3"/>
                <w:szCs w:val="3"/>
                <w:color w:val="auto"/>
              </w:rPr>
            </w:pPr>
          </w:p>
        </w:tc>
        <w:tc>
          <w:tcPr>
            <w:tcW w:w="560" w:type="dxa"/>
            <w:vAlign w:val="bottom"/>
            <w:vMerge w:val="restart"/>
          </w:tcPr>
          <w:p>
            <w:pPr>
              <w:jc w:val="center"/>
              <w:spacing w:after="0" w:line="99" w:lineRule="exact"/>
              <w:rPr>
                <w:sz w:val="20"/>
                <w:szCs w:val="20"/>
                <w:color w:val="auto"/>
              </w:rPr>
            </w:pPr>
            <w:r>
              <w:rPr>
                <w:rFonts w:ascii="Arial" w:cs="Arial" w:eastAsia="Arial" w:hAnsi="Arial"/>
                <w:sz w:val="10"/>
                <w:szCs w:val="10"/>
                <w:color w:val="auto"/>
                <w:w w:val="88"/>
              </w:rPr>
              <w:t>Awards:</w:t>
            </w: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54"/>
        </w:trPr>
        <w:tc>
          <w:tcPr>
            <w:tcW w:w="40" w:type="dxa"/>
            <w:vAlign w:val="bottom"/>
          </w:tcPr>
          <w:p>
            <w:pPr>
              <w:spacing w:after="0"/>
              <w:rPr>
                <w:sz w:val="4"/>
                <w:szCs w:val="4"/>
                <w:color w:val="auto"/>
              </w:rPr>
            </w:pPr>
          </w:p>
        </w:tc>
        <w:tc>
          <w:tcPr>
            <w:tcW w:w="1420" w:type="dxa"/>
            <w:vAlign w:val="bottom"/>
            <w:gridSpan w:val="8"/>
            <w:vMerge w:val="restart"/>
          </w:tcPr>
          <w:p>
            <w:pPr>
              <w:jc w:val="center"/>
              <w:ind w:right="40"/>
              <w:spacing w:after="0"/>
              <w:rPr>
                <w:sz w:val="20"/>
                <w:szCs w:val="20"/>
                <w:color w:val="auto"/>
              </w:rPr>
            </w:pPr>
            <w:r>
              <w:rPr>
                <w:rFonts w:ascii="Arial" w:cs="Arial" w:eastAsia="Arial" w:hAnsi="Arial"/>
                <w:sz w:val="10"/>
                <w:szCs w:val="10"/>
                <w:color w:val="auto"/>
                <w:w w:val="86"/>
              </w:rPr>
              <w:t>Estimated Future Payouts Under</w:t>
            </w:r>
          </w:p>
        </w:tc>
        <w:tc>
          <w:tcPr>
            <w:tcW w:w="1240" w:type="dxa"/>
            <w:vAlign w:val="bottom"/>
            <w:gridSpan w:val="3"/>
            <w:vMerge w:val="restart"/>
          </w:tcPr>
          <w:p>
            <w:pPr>
              <w:jc w:val="center"/>
              <w:spacing w:after="0" w:line="99" w:lineRule="exact"/>
              <w:rPr>
                <w:sz w:val="20"/>
                <w:szCs w:val="20"/>
                <w:color w:val="auto"/>
              </w:rPr>
            </w:pPr>
            <w:r>
              <w:rPr>
                <w:rFonts w:ascii="Arial" w:cs="Arial" w:eastAsia="Arial" w:hAnsi="Arial"/>
                <w:sz w:val="10"/>
                <w:szCs w:val="10"/>
                <w:color w:val="auto"/>
                <w:w w:val="89"/>
              </w:rPr>
              <w:t>Under Equity Incentive</w:t>
            </w:r>
          </w:p>
        </w:tc>
        <w:tc>
          <w:tcPr>
            <w:tcW w:w="60" w:type="dxa"/>
            <w:vAlign w:val="bottom"/>
          </w:tcPr>
          <w:p>
            <w:pPr>
              <w:spacing w:after="0"/>
              <w:rPr>
                <w:sz w:val="4"/>
                <w:szCs w:val="4"/>
                <w:color w:val="auto"/>
              </w:rPr>
            </w:pPr>
          </w:p>
        </w:tc>
        <w:tc>
          <w:tcPr>
            <w:tcW w:w="480" w:type="dxa"/>
            <w:vAlign w:val="bottom"/>
            <w:gridSpan w:val="2"/>
            <w:vMerge w:val="restart"/>
          </w:tcPr>
          <w:p>
            <w:pPr>
              <w:jc w:val="center"/>
              <w:ind w:right="40"/>
              <w:spacing w:after="0" w:line="99" w:lineRule="exact"/>
              <w:rPr>
                <w:sz w:val="20"/>
                <w:szCs w:val="20"/>
                <w:color w:val="auto"/>
              </w:rPr>
            </w:pPr>
            <w:r>
              <w:rPr>
                <w:rFonts w:ascii="Arial" w:cs="Arial" w:eastAsia="Arial" w:hAnsi="Arial"/>
                <w:sz w:val="10"/>
                <w:szCs w:val="10"/>
                <w:color w:val="auto"/>
                <w:w w:val="79"/>
              </w:rPr>
              <w:t>Stock</w:t>
            </w:r>
          </w:p>
        </w:tc>
        <w:tc>
          <w:tcPr>
            <w:tcW w:w="56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54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5"/>
        </w:trPr>
        <w:tc>
          <w:tcPr>
            <w:tcW w:w="40" w:type="dxa"/>
            <w:vAlign w:val="bottom"/>
          </w:tcPr>
          <w:p>
            <w:pPr>
              <w:spacing w:after="0"/>
              <w:rPr>
                <w:sz w:val="3"/>
                <w:szCs w:val="3"/>
                <w:color w:val="auto"/>
              </w:rPr>
            </w:pPr>
          </w:p>
        </w:tc>
        <w:tc>
          <w:tcPr>
            <w:tcW w:w="1420" w:type="dxa"/>
            <w:vAlign w:val="bottom"/>
            <w:gridSpan w:val="8"/>
            <w:vMerge w:val="continue"/>
          </w:tcPr>
          <w:p>
            <w:pPr>
              <w:spacing w:after="0"/>
              <w:rPr>
                <w:sz w:val="3"/>
                <w:szCs w:val="3"/>
                <w:color w:val="auto"/>
              </w:rPr>
            </w:pPr>
          </w:p>
        </w:tc>
        <w:tc>
          <w:tcPr>
            <w:tcW w:w="1240" w:type="dxa"/>
            <w:vAlign w:val="bottom"/>
            <w:gridSpan w:val="3"/>
            <w:vMerge w:val="continue"/>
          </w:tcPr>
          <w:p>
            <w:pPr>
              <w:spacing w:after="0"/>
              <w:rPr>
                <w:sz w:val="3"/>
                <w:szCs w:val="3"/>
                <w:color w:val="auto"/>
              </w:rPr>
            </w:pPr>
          </w:p>
        </w:tc>
        <w:tc>
          <w:tcPr>
            <w:tcW w:w="60" w:type="dxa"/>
            <w:vAlign w:val="bottom"/>
          </w:tcPr>
          <w:p>
            <w:pPr>
              <w:spacing w:after="0"/>
              <w:rPr>
                <w:sz w:val="3"/>
                <w:szCs w:val="3"/>
                <w:color w:val="auto"/>
              </w:rPr>
            </w:pPr>
          </w:p>
        </w:tc>
        <w:tc>
          <w:tcPr>
            <w:tcW w:w="480" w:type="dxa"/>
            <w:vAlign w:val="bottom"/>
            <w:gridSpan w:val="2"/>
            <w:vMerge w:val="continue"/>
          </w:tcPr>
          <w:p>
            <w:pPr>
              <w:spacing w:after="0"/>
              <w:rPr>
                <w:sz w:val="3"/>
                <w:szCs w:val="3"/>
                <w:color w:val="auto"/>
              </w:rPr>
            </w:pPr>
          </w:p>
        </w:tc>
        <w:tc>
          <w:tcPr>
            <w:tcW w:w="560" w:type="dxa"/>
            <w:vAlign w:val="bottom"/>
            <w:vMerge w:val="restart"/>
          </w:tcPr>
          <w:p>
            <w:pPr>
              <w:jc w:val="center"/>
              <w:spacing w:after="0" w:line="90" w:lineRule="exact"/>
              <w:rPr>
                <w:sz w:val="20"/>
                <w:szCs w:val="20"/>
                <w:color w:val="auto"/>
              </w:rPr>
            </w:pPr>
            <w:r>
              <w:rPr>
                <w:rFonts w:ascii="Arial" w:cs="Arial" w:eastAsia="Arial" w:hAnsi="Arial"/>
                <w:sz w:val="10"/>
                <w:szCs w:val="10"/>
                <w:color w:val="auto"/>
                <w:w w:val="89"/>
              </w:rPr>
              <w:t>Number of</w:t>
            </w: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5"/>
        </w:trPr>
        <w:tc>
          <w:tcPr>
            <w:tcW w:w="40" w:type="dxa"/>
            <w:vAlign w:val="bottom"/>
          </w:tcPr>
          <w:p>
            <w:pPr>
              <w:spacing w:after="0"/>
              <w:rPr>
                <w:sz w:val="3"/>
                <w:szCs w:val="3"/>
                <w:color w:val="auto"/>
              </w:rPr>
            </w:pPr>
          </w:p>
        </w:tc>
        <w:tc>
          <w:tcPr>
            <w:tcW w:w="1420" w:type="dxa"/>
            <w:vAlign w:val="bottom"/>
            <w:gridSpan w:val="8"/>
            <w:vMerge w:val="continue"/>
          </w:tcPr>
          <w:p>
            <w:pPr>
              <w:spacing w:after="0"/>
              <w:rPr>
                <w:sz w:val="3"/>
                <w:szCs w:val="3"/>
                <w:color w:val="auto"/>
              </w:rPr>
            </w:pPr>
          </w:p>
        </w:tc>
        <w:tc>
          <w:tcPr>
            <w:tcW w:w="1240" w:type="dxa"/>
            <w:vAlign w:val="bottom"/>
            <w:gridSpan w:val="3"/>
            <w:vMerge w:val="restart"/>
          </w:tcPr>
          <w:p>
            <w:pPr>
              <w:jc w:val="right"/>
              <w:ind w:right="332"/>
              <w:spacing w:after="0" w:line="112" w:lineRule="exact"/>
              <w:rPr>
                <w:sz w:val="20"/>
                <w:szCs w:val="20"/>
                <w:color w:val="auto"/>
              </w:rPr>
            </w:pPr>
            <w:r>
              <w:rPr>
                <w:rFonts w:ascii="Arial" w:cs="Arial" w:eastAsia="Arial" w:hAnsi="Arial"/>
                <w:sz w:val="10"/>
                <w:szCs w:val="10"/>
                <w:color w:val="auto"/>
              </w:rPr>
              <w:t>Plan Awards</w:t>
            </w:r>
          </w:p>
        </w:tc>
        <w:tc>
          <w:tcPr>
            <w:tcW w:w="60" w:type="dxa"/>
            <w:vAlign w:val="bottom"/>
          </w:tcPr>
          <w:p>
            <w:pPr>
              <w:spacing w:after="0"/>
              <w:rPr>
                <w:sz w:val="3"/>
                <w:szCs w:val="3"/>
                <w:color w:val="auto"/>
              </w:rPr>
            </w:pPr>
          </w:p>
        </w:tc>
        <w:tc>
          <w:tcPr>
            <w:tcW w:w="480" w:type="dxa"/>
            <w:vAlign w:val="bottom"/>
            <w:gridSpan w:val="2"/>
            <w:vMerge w:val="restart"/>
          </w:tcPr>
          <w:p>
            <w:pPr>
              <w:jc w:val="center"/>
              <w:ind w:right="40"/>
              <w:spacing w:after="0" w:line="112" w:lineRule="exact"/>
              <w:rPr>
                <w:sz w:val="20"/>
                <w:szCs w:val="20"/>
                <w:color w:val="auto"/>
              </w:rPr>
            </w:pPr>
            <w:r>
              <w:rPr>
                <w:rFonts w:ascii="Arial" w:cs="Arial" w:eastAsia="Arial" w:hAnsi="Arial"/>
                <w:sz w:val="10"/>
                <w:szCs w:val="10"/>
                <w:color w:val="auto"/>
                <w:w w:val="88"/>
              </w:rPr>
              <w:t>Awards:</w:t>
            </w:r>
          </w:p>
        </w:tc>
        <w:tc>
          <w:tcPr>
            <w:tcW w:w="56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67"/>
        </w:trPr>
        <w:tc>
          <w:tcPr>
            <w:tcW w:w="1460" w:type="dxa"/>
            <w:vAlign w:val="bottom"/>
            <w:gridSpan w:val="9"/>
            <w:vMerge w:val="restart"/>
          </w:tcPr>
          <w:p>
            <w:pPr>
              <w:ind w:left="40"/>
              <w:spacing w:after="0" w:line="83" w:lineRule="exact"/>
              <w:rPr>
                <w:sz w:val="20"/>
                <w:szCs w:val="20"/>
                <w:color w:val="auto"/>
              </w:rPr>
            </w:pPr>
            <w:r>
              <w:rPr>
                <w:rFonts w:ascii="Arial" w:cs="Arial" w:eastAsia="Arial" w:hAnsi="Arial"/>
                <w:sz w:val="8"/>
                <w:szCs w:val="8"/>
                <w:color w:val="auto"/>
              </w:rPr>
              <w:t>Non-Equity Incentive Plan Awards</w:t>
            </w:r>
          </w:p>
        </w:tc>
        <w:tc>
          <w:tcPr>
            <w:tcW w:w="1240" w:type="dxa"/>
            <w:vAlign w:val="bottom"/>
            <w:gridSpan w:val="3"/>
            <w:vMerge w:val="continue"/>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gridSpan w:val="2"/>
            <w:vMerge w:val="continue"/>
          </w:tcPr>
          <w:p>
            <w:pPr>
              <w:spacing w:after="0"/>
              <w:rPr>
                <w:sz w:val="5"/>
                <w:szCs w:val="5"/>
                <w:color w:val="auto"/>
              </w:rPr>
            </w:pPr>
          </w:p>
        </w:tc>
        <w:tc>
          <w:tcPr>
            <w:tcW w:w="560" w:type="dxa"/>
            <w:vAlign w:val="bottom"/>
            <w:vMerge w:val="restart"/>
          </w:tcPr>
          <w:p>
            <w:pPr>
              <w:jc w:val="center"/>
              <w:spacing w:after="0" w:line="83" w:lineRule="exact"/>
              <w:rPr>
                <w:sz w:val="20"/>
                <w:szCs w:val="20"/>
                <w:color w:val="auto"/>
              </w:rPr>
            </w:pPr>
            <w:r>
              <w:rPr>
                <w:rFonts w:ascii="Arial" w:cs="Arial" w:eastAsia="Arial" w:hAnsi="Arial"/>
                <w:sz w:val="8"/>
                <w:szCs w:val="8"/>
                <w:color w:val="auto"/>
              </w:rPr>
              <w:t>Securities</w:t>
            </w: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
        </w:trPr>
        <w:tc>
          <w:tcPr>
            <w:tcW w:w="1460" w:type="dxa"/>
            <w:vAlign w:val="bottom"/>
            <w:gridSpan w:val="9"/>
            <w:vMerge w:val="continue"/>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 w:type="dxa"/>
            <w:vAlign w:val="bottom"/>
          </w:tcPr>
          <w:p>
            <w:pPr>
              <w:spacing w:after="0"/>
              <w:rPr>
                <w:sz w:val="3"/>
                <w:szCs w:val="3"/>
                <w:color w:val="auto"/>
              </w:rPr>
            </w:pPr>
          </w:p>
        </w:tc>
        <w:tc>
          <w:tcPr>
            <w:tcW w:w="480" w:type="dxa"/>
            <w:vAlign w:val="bottom"/>
            <w:gridSpan w:val="2"/>
            <w:vMerge w:val="restart"/>
          </w:tcPr>
          <w:p>
            <w:pPr>
              <w:jc w:val="center"/>
              <w:ind w:right="40"/>
              <w:spacing w:after="0" w:line="87" w:lineRule="exact"/>
              <w:rPr>
                <w:sz w:val="20"/>
                <w:szCs w:val="20"/>
                <w:color w:val="auto"/>
              </w:rPr>
            </w:pPr>
            <w:r>
              <w:rPr>
                <w:rFonts w:ascii="Arial" w:cs="Arial" w:eastAsia="Arial" w:hAnsi="Arial"/>
                <w:sz w:val="10"/>
                <w:szCs w:val="10"/>
                <w:color w:val="auto"/>
                <w:w w:val="85"/>
              </w:rPr>
              <w:t>Number of</w:t>
            </w:r>
          </w:p>
        </w:tc>
        <w:tc>
          <w:tcPr>
            <w:tcW w:w="56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gridSpan w:val="2"/>
            <w:vMerge w:val="restart"/>
          </w:tcPr>
          <w:p>
            <w:pPr>
              <w:jc w:val="center"/>
              <w:ind w:right="80"/>
              <w:spacing w:after="0" w:line="87" w:lineRule="exact"/>
              <w:rPr>
                <w:sz w:val="20"/>
                <w:szCs w:val="20"/>
                <w:color w:val="auto"/>
              </w:rPr>
            </w:pPr>
            <w:r>
              <w:rPr>
                <w:rFonts w:ascii="Arial" w:cs="Arial" w:eastAsia="Arial" w:hAnsi="Arial"/>
                <w:sz w:val="10"/>
                <w:szCs w:val="10"/>
                <w:color w:val="auto"/>
                <w:w w:val="87"/>
              </w:rPr>
              <w:t>Exercise or</w:t>
            </w:r>
          </w:p>
        </w:tc>
        <w:tc>
          <w:tcPr>
            <w:tcW w:w="620" w:type="dxa"/>
            <w:vAlign w:val="bottom"/>
            <w:gridSpan w:val="3"/>
            <w:vMerge w:val="restart"/>
          </w:tcPr>
          <w:p>
            <w:pPr>
              <w:jc w:val="center"/>
              <w:spacing w:after="0" w:line="87" w:lineRule="exact"/>
              <w:rPr>
                <w:sz w:val="20"/>
                <w:szCs w:val="20"/>
                <w:color w:val="auto"/>
              </w:rPr>
            </w:pPr>
            <w:r>
              <w:rPr>
                <w:rFonts w:ascii="Arial" w:cs="Arial" w:eastAsia="Arial" w:hAnsi="Arial"/>
                <w:sz w:val="10"/>
                <w:szCs w:val="10"/>
                <w:color w:val="auto"/>
                <w:w w:val="86"/>
              </w:rPr>
              <w:t>Grant Date Fair</w:t>
            </w:r>
          </w:p>
        </w:tc>
        <w:tc>
          <w:tcPr>
            <w:tcW w:w="0" w:type="dxa"/>
            <w:vAlign w:val="bottom"/>
          </w:tcPr>
          <w:p>
            <w:pPr>
              <w:spacing w:after="0"/>
              <w:rPr>
                <w:sz w:val="1"/>
                <w:szCs w:val="1"/>
                <w:color w:val="auto"/>
              </w:rPr>
            </w:pPr>
          </w:p>
        </w:tc>
      </w:tr>
      <w:tr>
        <w:trPr>
          <w:trHeight w:val="31"/>
        </w:trPr>
        <w:tc>
          <w:tcPr>
            <w:tcW w:w="40" w:type="dxa"/>
            <w:vAlign w:val="bottom"/>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gridSpan w:val="2"/>
            <w:vMerge w:val="continue"/>
          </w:tcPr>
          <w:p>
            <w:pPr>
              <w:spacing w:after="0"/>
              <w:rPr>
                <w:sz w:val="2"/>
                <w:szCs w:val="2"/>
                <w:color w:val="auto"/>
              </w:rPr>
            </w:pPr>
          </w:p>
        </w:tc>
        <w:tc>
          <w:tcPr>
            <w:tcW w:w="560" w:type="dxa"/>
            <w:vAlign w:val="bottom"/>
            <w:vMerge w:val="restart"/>
          </w:tcPr>
          <w:p>
            <w:pPr>
              <w:jc w:val="center"/>
              <w:spacing w:after="0" w:line="85" w:lineRule="exact"/>
              <w:rPr>
                <w:sz w:val="20"/>
                <w:szCs w:val="20"/>
                <w:color w:val="auto"/>
              </w:rPr>
            </w:pPr>
            <w:r>
              <w:rPr>
                <w:rFonts w:ascii="Arial" w:cs="Arial" w:eastAsia="Arial" w:hAnsi="Arial"/>
                <w:sz w:val="8"/>
                <w:szCs w:val="8"/>
                <w:color w:val="auto"/>
              </w:rPr>
              <w:t>Underlying</w:t>
            </w:r>
          </w:p>
        </w:tc>
        <w:tc>
          <w:tcPr>
            <w:tcW w:w="80" w:type="dxa"/>
            <w:vAlign w:val="bottom"/>
          </w:tcPr>
          <w:p>
            <w:pPr>
              <w:spacing w:after="0"/>
              <w:rPr>
                <w:sz w:val="2"/>
                <w:szCs w:val="2"/>
                <w:color w:val="auto"/>
              </w:rPr>
            </w:pPr>
          </w:p>
        </w:tc>
        <w:tc>
          <w:tcPr>
            <w:tcW w:w="560" w:type="dxa"/>
            <w:vAlign w:val="bottom"/>
            <w:gridSpan w:val="2"/>
            <w:vMerge w:val="continue"/>
          </w:tcPr>
          <w:p>
            <w:pPr>
              <w:spacing w:after="0"/>
              <w:rPr>
                <w:sz w:val="2"/>
                <w:szCs w:val="2"/>
                <w:color w:val="auto"/>
              </w:rPr>
            </w:pPr>
          </w:p>
        </w:tc>
        <w:tc>
          <w:tcPr>
            <w:tcW w:w="62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54"/>
        </w:trPr>
        <w:tc>
          <w:tcPr>
            <w:tcW w:w="40" w:type="dxa"/>
            <w:vAlign w:val="bottom"/>
          </w:tcPr>
          <w:p>
            <w:pPr>
              <w:spacing w:after="0"/>
              <w:rPr>
                <w:sz w:val="4"/>
                <w:szCs w:val="4"/>
                <w:color w:val="auto"/>
              </w:rPr>
            </w:pPr>
          </w:p>
        </w:tc>
        <w:tc>
          <w:tcPr>
            <w:tcW w:w="4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460" w:type="dxa"/>
            <w:vAlign w:val="bottom"/>
          </w:tcPr>
          <w:p>
            <w:pPr>
              <w:spacing w:after="0"/>
              <w:rPr>
                <w:sz w:val="4"/>
                <w:szCs w:val="4"/>
                <w:color w:val="auto"/>
              </w:rPr>
            </w:pPr>
          </w:p>
        </w:tc>
        <w:tc>
          <w:tcPr>
            <w:tcW w:w="3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gridSpan w:val="2"/>
            <w:vMerge w:val="restart"/>
          </w:tcPr>
          <w:p>
            <w:pPr>
              <w:jc w:val="center"/>
              <w:ind w:right="40"/>
              <w:spacing w:after="0" w:line="99" w:lineRule="exact"/>
              <w:rPr>
                <w:sz w:val="20"/>
                <w:szCs w:val="20"/>
                <w:color w:val="auto"/>
              </w:rPr>
            </w:pPr>
            <w:r>
              <w:rPr>
                <w:rFonts w:ascii="Arial" w:cs="Arial" w:eastAsia="Arial" w:hAnsi="Arial"/>
                <w:sz w:val="10"/>
                <w:szCs w:val="10"/>
                <w:color w:val="auto"/>
                <w:w w:val="83"/>
              </w:rPr>
              <w:t>Shares of</w:t>
            </w:r>
          </w:p>
        </w:tc>
        <w:tc>
          <w:tcPr>
            <w:tcW w:w="560" w:type="dxa"/>
            <w:vAlign w:val="bottom"/>
            <w:vMerge w:val="continue"/>
          </w:tcPr>
          <w:p>
            <w:pPr>
              <w:spacing w:after="0"/>
              <w:rPr>
                <w:sz w:val="4"/>
                <w:szCs w:val="4"/>
                <w:color w:val="auto"/>
              </w:rPr>
            </w:pPr>
          </w:p>
        </w:tc>
        <w:tc>
          <w:tcPr>
            <w:tcW w:w="640" w:type="dxa"/>
            <w:vAlign w:val="bottom"/>
            <w:gridSpan w:val="3"/>
            <w:vMerge w:val="restart"/>
          </w:tcPr>
          <w:p>
            <w:pPr>
              <w:jc w:val="center"/>
              <w:spacing w:after="0" w:line="99" w:lineRule="exact"/>
              <w:rPr>
                <w:sz w:val="20"/>
                <w:szCs w:val="20"/>
                <w:color w:val="auto"/>
              </w:rPr>
            </w:pPr>
            <w:r>
              <w:rPr>
                <w:rFonts w:ascii="Arial" w:cs="Arial" w:eastAsia="Arial" w:hAnsi="Arial"/>
                <w:sz w:val="10"/>
                <w:szCs w:val="10"/>
                <w:color w:val="auto"/>
                <w:w w:val="87"/>
              </w:rPr>
              <w:t>Base Price of</w:t>
            </w:r>
          </w:p>
        </w:tc>
        <w:tc>
          <w:tcPr>
            <w:tcW w:w="620" w:type="dxa"/>
            <w:vAlign w:val="bottom"/>
            <w:gridSpan w:val="3"/>
            <w:vMerge w:val="restart"/>
          </w:tcPr>
          <w:p>
            <w:pPr>
              <w:jc w:val="center"/>
              <w:spacing w:after="0" w:line="99" w:lineRule="exact"/>
              <w:rPr>
                <w:sz w:val="20"/>
                <w:szCs w:val="20"/>
                <w:color w:val="auto"/>
              </w:rPr>
            </w:pPr>
            <w:r>
              <w:rPr>
                <w:rFonts w:ascii="Arial" w:cs="Arial" w:eastAsia="Arial" w:hAnsi="Arial"/>
                <w:sz w:val="10"/>
                <w:szCs w:val="10"/>
                <w:color w:val="auto"/>
                <w:w w:val="86"/>
              </w:rPr>
              <w:t>Value of Stock</w:t>
            </w:r>
          </w:p>
        </w:tc>
        <w:tc>
          <w:tcPr>
            <w:tcW w:w="0" w:type="dxa"/>
            <w:vAlign w:val="bottom"/>
          </w:tcPr>
          <w:p>
            <w:pPr>
              <w:spacing w:after="0"/>
              <w:rPr>
                <w:sz w:val="1"/>
                <w:szCs w:val="1"/>
                <w:color w:val="auto"/>
              </w:rPr>
            </w:pPr>
          </w:p>
        </w:tc>
      </w:tr>
      <w:tr>
        <w:trPr>
          <w:trHeight w:val="45"/>
        </w:trPr>
        <w:tc>
          <w:tcPr>
            <w:tcW w:w="40" w:type="dxa"/>
            <w:vAlign w:val="bottom"/>
          </w:tcPr>
          <w:p>
            <w:pPr>
              <w:spacing w:after="0"/>
              <w:rPr>
                <w:sz w:val="3"/>
                <w:szCs w:val="3"/>
                <w:color w:val="auto"/>
              </w:rPr>
            </w:pPr>
          </w:p>
        </w:tc>
        <w:tc>
          <w:tcPr>
            <w:tcW w:w="460" w:type="dxa"/>
            <w:vAlign w:val="bottom"/>
            <w:vMerge w:val="restart"/>
          </w:tcPr>
          <w:p>
            <w:pPr>
              <w:jc w:val="right"/>
              <w:ind w:right="12"/>
              <w:spacing w:after="0"/>
              <w:rPr>
                <w:sz w:val="20"/>
                <w:szCs w:val="20"/>
                <w:color w:val="auto"/>
              </w:rPr>
            </w:pPr>
            <w:r>
              <w:rPr>
                <w:rFonts w:ascii="Arial" w:cs="Arial" w:eastAsia="Arial" w:hAnsi="Arial"/>
                <w:sz w:val="10"/>
                <w:szCs w:val="10"/>
                <w:color w:val="auto"/>
                <w:w w:val="85"/>
              </w:rPr>
              <w:t>Threshold</w:t>
            </w: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vMerge w:val="restart"/>
          </w:tcPr>
          <w:p>
            <w:pPr>
              <w:jc w:val="right"/>
              <w:spacing w:after="0"/>
              <w:rPr>
                <w:sz w:val="20"/>
                <w:szCs w:val="20"/>
                <w:color w:val="auto"/>
              </w:rPr>
            </w:pPr>
            <w:r>
              <w:rPr>
                <w:rFonts w:ascii="Arial" w:cs="Arial" w:eastAsia="Arial" w:hAnsi="Arial"/>
                <w:sz w:val="10"/>
                <w:szCs w:val="10"/>
                <w:color w:val="auto"/>
                <w:w w:val="89"/>
              </w:rPr>
              <w:t>Threshold</w:t>
            </w:r>
          </w:p>
        </w:tc>
        <w:tc>
          <w:tcPr>
            <w:tcW w:w="340" w:type="dxa"/>
            <w:vAlign w:val="bottom"/>
            <w:vMerge w:val="restart"/>
          </w:tcPr>
          <w:p>
            <w:pPr>
              <w:jc w:val="center"/>
              <w:spacing w:after="0"/>
              <w:rPr>
                <w:sz w:val="20"/>
                <w:szCs w:val="20"/>
                <w:color w:val="auto"/>
              </w:rPr>
            </w:pPr>
            <w:r>
              <w:rPr>
                <w:rFonts w:ascii="Arial" w:cs="Arial" w:eastAsia="Arial" w:hAnsi="Arial"/>
                <w:sz w:val="10"/>
                <w:szCs w:val="10"/>
                <w:color w:val="auto"/>
                <w:w w:val="82"/>
              </w:rPr>
              <w:t>Target</w:t>
            </w:r>
          </w:p>
        </w:tc>
        <w:tc>
          <w:tcPr>
            <w:tcW w:w="440" w:type="dxa"/>
            <w:vAlign w:val="bottom"/>
            <w:vMerge w:val="restart"/>
          </w:tcPr>
          <w:p>
            <w:pPr>
              <w:jc w:val="right"/>
              <w:spacing w:after="0"/>
              <w:rPr>
                <w:sz w:val="20"/>
                <w:szCs w:val="20"/>
                <w:color w:val="auto"/>
              </w:rPr>
            </w:pPr>
            <w:r>
              <w:rPr>
                <w:rFonts w:ascii="Arial" w:cs="Arial" w:eastAsia="Arial" w:hAnsi="Arial"/>
                <w:sz w:val="10"/>
                <w:szCs w:val="10"/>
                <w:color w:val="auto"/>
                <w:w w:val="96"/>
              </w:rPr>
              <w:t>Maximum</w:t>
            </w:r>
          </w:p>
        </w:tc>
        <w:tc>
          <w:tcPr>
            <w:tcW w:w="60" w:type="dxa"/>
            <w:vAlign w:val="bottom"/>
          </w:tcPr>
          <w:p>
            <w:pPr>
              <w:spacing w:after="0"/>
              <w:rPr>
                <w:sz w:val="3"/>
                <w:szCs w:val="3"/>
                <w:color w:val="auto"/>
              </w:rPr>
            </w:pPr>
          </w:p>
        </w:tc>
        <w:tc>
          <w:tcPr>
            <w:tcW w:w="480" w:type="dxa"/>
            <w:vAlign w:val="bottom"/>
            <w:gridSpan w:val="2"/>
            <w:vMerge w:val="continue"/>
          </w:tcPr>
          <w:p>
            <w:pPr>
              <w:spacing w:after="0"/>
              <w:rPr>
                <w:sz w:val="3"/>
                <w:szCs w:val="3"/>
                <w:color w:val="auto"/>
              </w:rPr>
            </w:pPr>
          </w:p>
        </w:tc>
        <w:tc>
          <w:tcPr>
            <w:tcW w:w="560" w:type="dxa"/>
            <w:vAlign w:val="bottom"/>
            <w:vMerge w:val="restart"/>
          </w:tcPr>
          <w:p>
            <w:pPr>
              <w:jc w:val="center"/>
              <w:spacing w:after="0"/>
              <w:rPr>
                <w:sz w:val="20"/>
                <w:szCs w:val="20"/>
                <w:color w:val="auto"/>
              </w:rPr>
            </w:pPr>
            <w:r>
              <w:rPr>
                <w:rFonts w:ascii="Arial" w:cs="Arial" w:eastAsia="Arial" w:hAnsi="Arial"/>
                <w:sz w:val="10"/>
                <w:szCs w:val="10"/>
                <w:color w:val="auto"/>
                <w:w w:val="86"/>
              </w:rPr>
              <w:t>Options</w:t>
            </w:r>
          </w:p>
        </w:tc>
        <w:tc>
          <w:tcPr>
            <w:tcW w:w="640" w:type="dxa"/>
            <w:vAlign w:val="bottom"/>
            <w:gridSpan w:val="3"/>
            <w:vMerge w:val="continue"/>
          </w:tcPr>
          <w:p>
            <w:pPr>
              <w:spacing w:after="0"/>
              <w:rPr>
                <w:sz w:val="3"/>
                <w:szCs w:val="3"/>
                <w:color w:val="auto"/>
              </w:rPr>
            </w:pPr>
          </w:p>
        </w:tc>
        <w:tc>
          <w:tcPr>
            <w:tcW w:w="62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460" w:type="dxa"/>
            <w:vAlign w:val="bottom"/>
            <w:vMerge w:val="continue"/>
          </w:tcPr>
          <w:p>
            <w:pPr>
              <w:spacing w:after="0"/>
              <w:rPr>
                <w:sz w:val="8"/>
                <w:szCs w:val="8"/>
                <w:color w:val="auto"/>
              </w:rPr>
            </w:pPr>
          </w:p>
        </w:tc>
        <w:tc>
          <w:tcPr>
            <w:tcW w:w="440" w:type="dxa"/>
            <w:vAlign w:val="bottom"/>
            <w:gridSpan w:val="3"/>
          </w:tcPr>
          <w:p>
            <w:pPr>
              <w:jc w:val="center"/>
              <w:spacing w:after="0" w:line="94" w:lineRule="exact"/>
              <w:rPr>
                <w:sz w:val="20"/>
                <w:szCs w:val="20"/>
                <w:color w:val="auto"/>
              </w:rPr>
            </w:pPr>
            <w:r>
              <w:rPr>
                <w:rFonts w:ascii="Arial" w:cs="Arial" w:eastAsia="Arial" w:hAnsi="Arial"/>
                <w:sz w:val="10"/>
                <w:szCs w:val="10"/>
                <w:color w:val="auto"/>
                <w:w w:val="82"/>
              </w:rPr>
              <w:t>Target</w:t>
            </w:r>
          </w:p>
        </w:tc>
        <w:tc>
          <w:tcPr>
            <w:tcW w:w="520" w:type="dxa"/>
            <w:vAlign w:val="bottom"/>
            <w:gridSpan w:val="4"/>
          </w:tcPr>
          <w:p>
            <w:pPr>
              <w:jc w:val="center"/>
              <w:spacing w:after="0" w:line="94" w:lineRule="exact"/>
              <w:rPr>
                <w:sz w:val="20"/>
                <w:szCs w:val="20"/>
                <w:color w:val="auto"/>
              </w:rPr>
            </w:pPr>
            <w:r>
              <w:rPr>
                <w:rFonts w:ascii="Arial" w:cs="Arial" w:eastAsia="Arial" w:hAnsi="Arial"/>
                <w:sz w:val="10"/>
                <w:szCs w:val="10"/>
                <w:color w:val="auto"/>
                <w:w w:val="92"/>
              </w:rPr>
              <w:t>Maximum</w:t>
            </w:r>
          </w:p>
        </w:tc>
        <w:tc>
          <w:tcPr>
            <w:tcW w:w="460" w:type="dxa"/>
            <w:vAlign w:val="bottom"/>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44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gridSpan w:val="2"/>
          </w:tcPr>
          <w:p>
            <w:pPr>
              <w:jc w:val="center"/>
              <w:ind w:right="40"/>
              <w:spacing w:after="0" w:line="94" w:lineRule="exact"/>
              <w:rPr>
                <w:sz w:val="20"/>
                <w:szCs w:val="20"/>
                <w:color w:val="auto"/>
              </w:rPr>
            </w:pPr>
            <w:r>
              <w:rPr>
                <w:rFonts w:ascii="Arial" w:cs="Arial" w:eastAsia="Arial" w:hAnsi="Arial"/>
                <w:sz w:val="10"/>
                <w:szCs w:val="10"/>
                <w:color w:val="auto"/>
                <w:w w:val="87"/>
              </w:rPr>
              <w:t>Stock or</w:t>
            </w:r>
          </w:p>
        </w:tc>
        <w:tc>
          <w:tcPr>
            <w:tcW w:w="560" w:type="dxa"/>
            <w:vAlign w:val="bottom"/>
            <w:vMerge w:val="continue"/>
          </w:tcPr>
          <w:p>
            <w:pPr>
              <w:spacing w:after="0"/>
              <w:rPr>
                <w:sz w:val="8"/>
                <w:szCs w:val="8"/>
                <w:color w:val="auto"/>
              </w:rPr>
            </w:pPr>
          </w:p>
        </w:tc>
        <w:tc>
          <w:tcPr>
            <w:tcW w:w="640" w:type="dxa"/>
            <w:vAlign w:val="bottom"/>
            <w:gridSpan w:val="3"/>
          </w:tcPr>
          <w:p>
            <w:pPr>
              <w:jc w:val="center"/>
              <w:spacing w:after="0" w:line="94" w:lineRule="exact"/>
              <w:rPr>
                <w:sz w:val="20"/>
                <w:szCs w:val="20"/>
                <w:color w:val="auto"/>
              </w:rPr>
            </w:pPr>
            <w:r>
              <w:rPr>
                <w:rFonts w:ascii="Arial" w:cs="Arial" w:eastAsia="Arial" w:hAnsi="Arial"/>
                <w:sz w:val="10"/>
                <w:szCs w:val="10"/>
                <w:color w:val="auto"/>
                <w:w w:val="92"/>
              </w:rPr>
              <w:t>Option Award</w:t>
            </w:r>
          </w:p>
        </w:tc>
        <w:tc>
          <w:tcPr>
            <w:tcW w:w="40" w:type="dxa"/>
            <w:vAlign w:val="bottom"/>
          </w:tcPr>
          <w:p>
            <w:pPr>
              <w:spacing w:after="0"/>
              <w:rPr>
                <w:sz w:val="8"/>
                <w:szCs w:val="8"/>
                <w:color w:val="auto"/>
              </w:rPr>
            </w:pPr>
          </w:p>
        </w:tc>
        <w:tc>
          <w:tcPr>
            <w:tcW w:w="580" w:type="dxa"/>
            <w:vAlign w:val="bottom"/>
            <w:gridSpan w:val="2"/>
          </w:tcPr>
          <w:p>
            <w:pPr>
              <w:jc w:val="center"/>
              <w:ind w:right="20"/>
              <w:spacing w:after="0" w:line="94" w:lineRule="exact"/>
              <w:rPr>
                <w:sz w:val="20"/>
                <w:szCs w:val="20"/>
                <w:color w:val="auto"/>
              </w:rPr>
            </w:pPr>
            <w:r>
              <w:rPr>
                <w:rFonts w:ascii="Arial" w:cs="Arial" w:eastAsia="Arial" w:hAnsi="Arial"/>
                <w:sz w:val="10"/>
                <w:szCs w:val="10"/>
                <w:color w:val="auto"/>
                <w:w w:val="89"/>
              </w:rPr>
              <w:t>and Option</w:t>
            </w:r>
          </w:p>
        </w:tc>
        <w:tc>
          <w:tcPr>
            <w:tcW w:w="0" w:type="dxa"/>
            <w:vAlign w:val="bottom"/>
          </w:tcPr>
          <w:p>
            <w:pPr>
              <w:spacing w:after="0"/>
              <w:rPr>
                <w:sz w:val="1"/>
                <w:szCs w:val="1"/>
                <w:color w:val="auto"/>
              </w:rPr>
            </w:pPr>
          </w:p>
        </w:tc>
      </w:tr>
      <w:tr>
        <w:trPr>
          <w:trHeight w:val="108"/>
        </w:trPr>
        <w:tc>
          <w:tcPr>
            <w:tcW w:w="500" w:type="dxa"/>
            <w:vAlign w:val="bottom"/>
            <w:gridSpan w:val="2"/>
          </w:tcPr>
          <w:p>
            <w:pPr>
              <w:jc w:val="right"/>
              <w:ind w:right="152"/>
              <w:spacing w:after="0" w:line="108" w:lineRule="exact"/>
              <w:rPr>
                <w:sz w:val="20"/>
                <w:szCs w:val="20"/>
                <w:color w:val="auto"/>
              </w:rPr>
            </w:pPr>
            <w:r>
              <w:rPr>
                <w:rFonts w:ascii="Arial" w:cs="Arial" w:eastAsia="Arial" w:hAnsi="Arial"/>
                <w:sz w:val="10"/>
                <w:szCs w:val="10"/>
                <w:color w:val="auto"/>
              </w:rPr>
              <w:t>($)</w:t>
            </w:r>
          </w:p>
        </w:tc>
        <w:tc>
          <w:tcPr>
            <w:tcW w:w="140" w:type="dxa"/>
            <w:vAlign w:val="bottom"/>
          </w:tcPr>
          <w:p>
            <w:pPr>
              <w:spacing w:after="0"/>
              <w:rPr>
                <w:sz w:val="9"/>
                <w:szCs w:val="9"/>
                <w:color w:val="auto"/>
              </w:rPr>
            </w:pPr>
          </w:p>
        </w:tc>
        <w:tc>
          <w:tcPr>
            <w:tcW w:w="180" w:type="dxa"/>
            <w:vAlign w:val="bottom"/>
          </w:tcPr>
          <w:p>
            <w:pPr>
              <w:jc w:val="center"/>
              <w:spacing w:after="0" w:line="108" w:lineRule="exact"/>
              <w:rPr>
                <w:sz w:val="20"/>
                <w:szCs w:val="20"/>
                <w:color w:val="auto"/>
              </w:rPr>
            </w:pPr>
            <w:r>
              <w:rPr>
                <w:rFonts w:ascii="Arial" w:cs="Arial" w:eastAsia="Arial" w:hAnsi="Arial"/>
                <w:sz w:val="10"/>
                <w:szCs w:val="10"/>
                <w:color w:val="auto"/>
                <w:w w:val="97"/>
              </w:rPr>
              <w:t>($)</w:t>
            </w: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jc w:val="right"/>
              <w:ind w:right="12"/>
              <w:spacing w:after="0" w:line="108" w:lineRule="exact"/>
              <w:rPr>
                <w:sz w:val="20"/>
                <w:szCs w:val="20"/>
                <w:color w:val="auto"/>
              </w:rPr>
            </w:pPr>
            <w:r>
              <w:rPr>
                <w:rFonts w:ascii="Arial" w:cs="Arial" w:eastAsia="Arial" w:hAnsi="Arial"/>
                <w:sz w:val="10"/>
                <w:szCs w:val="10"/>
                <w:color w:val="auto"/>
                <w:w w:val="81"/>
              </w:rPr>
              <w:t>($)</w:t>
            </w: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jc w:val="right"/>
              <w:ind w:right="112"/>
              <w:spacing w:after="0" w:line="108" w:lineRule="exact"/>
              <w:rPr>
                <w:sz w:val="20"/>
                <w:szCs w:val="20"/>
                <w:color w:val="auto"/>
              </w:rPr>
            </w:pPr>
            <w:r>
              <w:rPr>
                <w:rFonts w:ascii="Arial" w:cs="Arial" w:eastAsia="Arial" w:hAnsi="Arial"/>
                <w:sz w:val="10"/>
                <w:szCs w:val="10"/>
                <w:color w:val="auto"/>
              </w:rPr>
              <w:t>(#)</w:t>
            </w:r>
          </w:p>
        </w:tc>
        <w:tc>
          <w:tcPr>
            <w:tcW w:w="340" w:type="dxa"/>
            <w:vAlign w:val="bottom"/>
          </w:tcPr>
          <w:p>
            <w:pPr>
              <w:jc w:val="right"/>
              <w:ind w:right="52"/>
              <w:spacing w:after="0" w:line="108" w:lineRule="exact"/>
              <w:rPr>
                <w:sz w:val="20"/>
                <w:szCs w:val="20"/>
                <w:color w:val="auto"/>
              </w:rPr>
            </w:pPr>
            <w:r>
              <w:rPr>
                <w:rFonts w:ascii="Arial" w:cs="Arial" w:eastAsia="Arial" w:hAnsi="Arial"/>
                <w:sz w:val="10"/>
                <w:szCs w:val="10"/>
                <w:color w:val="auto"/>
              </w:rPr>
              <w:t>(#)</w:t>
            </w:r>
          </w:p>
        </w:tc>
        <w:tc>
          <w:tcPr>
            <w:tcW w:w="440" w:type="dxa"/>
            <w:vAlign w:val="bottom"/>
          </w:tcPr>
          <w:p>
            <w:pPr>
              <w:jc w:val="right"/>
              <w:ind w:right="72"/>
              <w:spacing w:after="0" w:line="108" w:lineRule="exact"/>
              <w:rPr>
                <w:sz w:val="20"/>
                <w:szCs w:val="20"/>
                <w:color w:val="auto"/>
              </w:rPr>
            </w:pPr>
            <w:r>
              <w:rPr>
                <w:rFonts w:ascii="Arial" w:cs="Arial" w:eastAsia="Arial" w:hAnsi="Arial"/>
                <w:sz w:val="10"/>
                <w:szCs w:val="10"/>
                <w:color w:val="auto"/>
              </w:rPr>
              <w:t>(#)</w:t>
            </w:r>
          </w:p>
        </w:tc>
        <w:tc>
          <w:tcPr>
            <w:tcW w:w="540" w:type="dxa"/>
            <w:vAlign w:val="bottom"/>
            <w:gridSpan w:val="3"/>
          </w:tcPr>
          <w:p>
            <w:pPr>
              <w:jc w:val="center"/>
              <w:spacing w:after="0" w:line="108" w:lineRule="exact"/>
              <w:rPr>
                <w:sz w:val="20"/>
                <w:szCs w:val="20"/>
                <w:color w:val="auto"/>
              </w:rPr>
            </w:pPr>
            <w:r>
              <w:rPr>
                <w:rFonts w:ascii="Arial" w:cs="Arial" w:eastAsia="Arial" w:hAnsi="Arial"/>
                <w:sz w:val="10"/>
                <w:szCs w:val="10"/>
                <w:color w:val="auto"/>
                <w:w w:val="87"/>
              </w:rPr>
              <w:t>Units (#)(1)</w:t>
            </w:r>
          </w:p>
        </w:tc>
        <w:tc>
          <w:tcPr>
            <w:tcW w:w="560" w:type="dxa"/>
            <w:vAlign w:val="bottom"/>
          </w:tcPr>
          <w:p>
            <w:pPr>
              <w:jc w:val="center"/>
              <w:spacing w:after="0" w:line="108" w:lineRule="exact"/>
              <w:rPr>
                <w:sz w:val="20"/>
                <w:szCs w:val="20"/>
                <w:color w:val="auto"/>
              </w:rPr>
            </w:pPr>
            <w:r>
              <w:rPr>
                <w:rFonts w:ascii="Arial" w:cs="Arial" w:eastAsia="Arial" w:hAnsi="Arial"/>
                <w:sz w:val="10"/>
                <w:szCs w:val="10"/>
                <w:color w:val="auto"/>
                <w:w w:val="89"/>
              </w:rPr>
              <w:t>(#)(2)</w:t>
            </w:r>
          </w:p>
        </w:tc>
        <w:tc>
          <w:tcPr>
            <w:tcW w:w="640" w:type="dxa"/>
            <w:vAlign w:val="bottom"/>
            <w:gridSpan w:val="3"/>
          </w:tcPr>
          <w:p>
            <w:pPr>
              <w:jc w:val="center"/>
              <w:spacing w:after="0" w:line="108" w:lineRule="exact"/>
              <w:rPr>
                <w:sz w:val="20"/>
                <w:szCs w:val="20"/>
                <w:color w:val="auto"/>
              </w:rPr>
            </w:pPr>
            <w:r>
              <w:rPr>
                <w:rFonts w:ascii="Arial" w:cs="Arial" w:eastAsia="Arial" w:hAnsi="Arial"/>
                <w:sz w:val="10"/>
                <w:szCs w:val="10"/>
                <w:u w:val="single" w:color="auto"/>
                <w:color w:val="auto"/>
                <w:w w:val="87"/>
              </w:rPr>
              <w:t>($</w:t>
            </w:r>
            <w:r>
              <w:rPr>
                <w:rFonts w:ascii="Arial" w:cs="Arial" w:eastAsia="Arial" w:hAnsi="Arial"/>
                <w:sz w:val="10"/>
                <w:szCs w:val="10"/>
                <w:color w:val="auto"/>
                <w:w w:val="87"/>
              </w:rPr>
              <w:t>/share) (3)</w:t>
            </w:r>
          </w:p>
        </w:tc>
        <w:tc>
          <w:tcPr>
            <w:tcW w:w="40" w:type="dxa"/>
            <w:vAlign w:val="bottom"/>
          </w:tcPr>
          <w:p>
            <w:pPr>
              <w:spacing w:after="0"/>
              <w:rPr>
                <w:sz w:val="9"/>
                <w:szCs w:val="9"/>
                <w:color w:val="auto"/>
              </w:rPr>
            </w:pPr>
          </w:p>
        </w:tc>
        <w:tc>
          <w:tcPr>
            <w:tcW w:w="580" w:type="dxa"/>
            <w:vAlign w:val="bottom"/>
            <w:gridSpan w:val="2"/>
          </w:tcPr>
          <w:p>
            <w:pPr>
              <w:jc w:val="center"/>
              <w:ind w:right="40"/>
              <w:spacing w:after="0" w:line="108" w:lineRule="exact"/>
              <w:rPr>
                <w:sz w:val="20"/>
                <w:szCs w:val="20"/>
                <w:color w:val="auto"/>
              </w:rPr>
            </w:pPr>
            <w:r>
              <w:rPr>
                <w:rFonts w:ascii="Arial" w:cs="Arial" w:eastAsia="Arial" w:hAnsi="Arial"/>
                <w:sz w:val="10"/>
                <w:szCs w:val="10"/>
                <w:color w:val="auto"/>
                <w:w w:val="89"/>
              </w:rPr>
              <w:t xml:space="preserve">Awards </w:t>
            </w:r>
            <w:r>
              <w:rPr>
                <w:rFonts w:ascii="Arial" w:cs="Arial" w:eastAsia="Arial" w:hAnsi="Arial"/>
                <w:sz w:val="10"/>
                <w:szCs w:val="10"/>
                <w:u w:val="single" w:color="auto"/>
                <w:color w:val="auto"/>
                <w:w w:val="89"/>
              </w:rPr>
              <w:t>($</w:t>
            </w:r>
            <w:r>
              <w:rPr>
                <w:rFonts w:ascii="Arial" w:cs="Arial" w:eastAsia="Arial" w:hAnsi="Arial"/>
                <w:sz w:val="10"/>
                <w:szCs w:val="10"/>
                <w:color w:val="auto"/>
                <w:w w:val="89"/>
              </w:rPr>
              <w:t>)(4)</w:t>
            </w:r>
          </w:p>
        </w:tc>
        <w:tc>
          <w:tcPr>
            <w:tcW w:w="0" w:type="dxa"/>
            <w:vAlign w:val="bottom"/>
          </w:tcPr>
          <w:p>
            <w:pPr>
              <w:spacing w:after="0"/>
              <w:rPr>
                <w:sz w:val="1"/>
                <w:szCs w:val="1"/>
                <w:color w:val="auto"/>
              </w:rPr>
            </w:pPr>
          </w:p>
        </w:tc>
      </w:tr>
      <w:tr>
        <w:trPr>
          <w:trHeight w:val="20"/>
        </w:trPr>
        <w:tc>
          <w:tcPr>
            <w:tcW w:w="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0"/>
        </w:trPr>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0"/>
                <w:szCs w:val="10"/>
                <w:color w:val="auto"/>
              </w:rPr>
              <w:t>100,000</w:t>
            </w:r>
          </w:p>
        </w:tc>
        <w:tc>
          <w:tcPr>
            <w:tcW w:w="80" w:type="dxa"/>
            <w:vAlign w:val="bottom"/>
          </w:tcPr>
          <w:p>
            <w:pPr>
              <w:spacing w:after="0"/>
              <w:rPr>
                <w:sz w:val="24"/>
                <w:szCs w:val="24"/>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0"/>
                <w:szCs w:val="10"/>
                <w:color w:val="auto"/>
              </w:rPr>
              <w:t>13.42</w:t>
            </w:r>
          </w:p>
        </w:tc>
        <w:tc>
          <w:tcPr>
            <w:tcW w:w="620" w:type="dxa"/>
            <w:vAlign w:val="bottom"/>
            <w:gridSpan w:val="3"/>
          </w:tcPr>
          <w:p>
            <w:pPr>
              <w:jc w:val="right"/>
              <w:spacing w:after="0"/>
              <w:rPr>
                <w:sz w:val="20"/>
                <w:szCs w:val="20"/>
                <w:color w:val="auto"/>
              </w:rPr>
            </w:pPr>
            <w:r>
              <w:rPr>
                <w:rFonts w:ascii="Arial" w:cs="Arial" w:eastAsia="Arial" w:hAnsi="Arial"/>
                <w:sz w:val="10"/>
                <w:szCs w:val="10"/>
                <w:color w:val="auto"/>
              </w:rPr>
              <w:t>$382,334</w:t>
            </w:r>
          </w:p>
        </w:tc>
        <w:tc>
          <w:tcPr>
            <w:tcW w:w="0" w:type="dxa"/>
            <w:vAlign w:val="bottom"/>
          </w:tcPr>
          <w:p>
            <w:pPr>
              <w:spacing w:after="0"/>
              <w:rPr>
                <w:sz w:val="1"/>
                <w:szCs w:val="1"/>
                <w:color w:val="auto"/>
              </w:rPr>
            </w:pPr>
          </w:p>
        </w:tc>
      </w:tr>
      <w:tr>
        <w:trPr>
          <w:trHeight w:val="630"/>
        </w:trPr>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gridSpan w:val="3"/>
          </w:tcPr>
          <w:p>
            <w:pPr>
              <w:jc w:val="right"/>
              <w:ind w:right="20"/>
              <w:spacing w:after="0"/>
              <w:rPr>
                <w:sz w:val="20"/>
                <w:szCs w:val="20"/>
                <w:color w:val="auto"/>
              </w:rPr>
            </w:pPr>
            <w:r>
              <w:rPr>
                <w:rFonts w:ascii="Arial" w:cs="Arial" w:eastAsia="Arial" w:hAnsi="Arial"/>
                <w:sz w:val="10"/>
                <w:szCs w:val="10"/>
                <w:color w:val="auto"/>
              </w:rPr>
              <w:t>6,000</w:t>
            </w: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gridSpan w:val="3"/>
          </w:tcPr>
          <w:p>
            <w:pPr>
              <w:jc w:val="right"/>
              <w:spacing w:after="0"/>
              <w:rPr>
                <w:sz w:val="20"/>
                <w:szCs w:val="20"/>
                <w:color w:val="auto"/>
              </w:rPr>
            </w:pPr>
            <w:r>
              <w:rPr>
                <w:rFonts w:ascii="Arial" w:cs="Arial" w:eastAsia="Arial" w:hAnsi="Arial"/>
                <w:sz w:val="10"/>
                <w:szCs w:val="10"/>
                <w:color w:val="auto"/>
              </w:rPr>
              <w:t>$84,000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-784225</wp:posOffset>
            </wp:positionH>
            <wp:positionV relativeFrom="paragraph">
              <wp:posOffset>-652145</wp:posOffset>
            </wp:positionV>
            <wp:extent cx="4009390" cy="9144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4009390" cy="91440"/>
                    </a:xfrm>
                    <a:prstGeom prst="rect">
                      <a:avLst/>
                    </a:prstGeom>
                    <a:noFill/>
                  </pic:spPr>
                </pic:pic>
              </a:graphicData>
            </a:graphic>
          </wp:anchor>
        </w:drawing>
        <w:drawing>
          <wp:anchor simplePos="0" relativeHeight="251657728" behindDoc="1" locked="0" layoutInCell="0" allowOverlap="1">
            <wp:simplePos x="0" y="0"/>
            <wp:positionH relativeFrom="column">
              <wp:posOffset>-784225</wp:posOffset>
            </wp:positionH>
            <wp:positionV relativeFrom="paragraph">
              <wp:posOffset>-469265</wp:posOffset>
            </wp:positionV>
            <wp:extent cx="4009390" cy="9144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4009390" cy="91440"/>
                    </a:xfrm>
                    <a:prstGeom prst="rect">
                      <a:avLst/>
                    </a:prstGeom>
                    <a:noFill/>
                  </pic:spPr>
                </pic:pic>
              </a:graphicData>
            </a:graphic>
          </wp:anchor>
        </w:drawing>
        <w:drawing>
          <wp:anchor simplePos="0" relativeHeight="251657728" behindDoc="1" locked="0" layoutInCell="0" allowOverlap="1">
            <wp:simplePos x="0" y="0"/>
            <wp:positionH relativeFrom="column">
              <wp:posOffset>-784225</wp:posOffset>
            </wp:positionH>
            <wp:positionV relativeFrom="paragraph">
              <wp:posOffset>-251460</wp:posOffset>
            </wp:positionV>
            <wp:extent cx="4009390" cy="9144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4009390" cy="91440"/>
                    </a:xfrm>
                    <a:prstGeom prst="rect">
                      <a:avLst/>
                    </a:prstGeom>
                    <a:noFill/>
                  </pic:spPr>
                </pic:pic>
              </a:graphicData>
            </a:graphic>
          </wp:anchor>
        </w:drawing>
        <w:drawing>
          <wp:anchor simplePos="0" relativeHeight="251657728" behindDoc="1" locked="0" layoutInCell="0" allowOverlap="1">
            <wp:simplePos x="0" y="0"/>
            <wp:positionH relativeFrom="column">
              <wp:posOffset>-784225</wp:posOffset>
            </wp:positionH>
            <wp:positionV relativeFrom="paragraph">
              <wp:posOffset>-68580</wp:posOffset>
            </wp:positionV>
            <wp:extent cx="4009390" cy="971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4009390" cy="97155"/>
                    </a:xfrm>
                    <a:prstGeom prst="rect">
                      <a:avLst/>
                    </a:prstGeom>
                    <a:noFill/>
                  </pic:spPr>
                </pic:pic>
              </a:graphicData>
            </a:graphic>
          </wp:anchor>
        </w:drawing>
      </w:r>
    </w:p>
    <w:p>
      <w:pPr>
        <w:spacing w:after="0" w:line="167" w:lineRule="exact"/>
        <w:rPr>
          <w:sz w:val="20"/>
          <w:szCs w:val="20"/>
          <w:color w:val="auto"/>
        </w:rPr>
      </w:pPr>
    </w:p>
    <w:p>
      <w:pPr>
        <w:sectPr>
          <w:pgSz w:w="11900" w:h="16838" w:orient="portrait"/>
          <w:cols w:equalWidth="0" w:num="2">
            <w:col w:w="1220" w:space="20"/>
            <w:col w:w="9280"/>
          </w:cols>
          <w:pgMar w:left="640" w:top="255" w:right="739" w:bottom="1440" w:gutter="0" w:footer="0" w:header="0"/>
        </w:sectPr>
      </w:pPr>
    </w:p>
    <w:p>
      <w:pPr>
        <w:ind w:left="220" w:right="60" w:hanging="216"/>
        <w:spacing w:after="0" w:line="230" w:lineRule="auto"/>
        <w:tabs>
          <w:tab w:leader="none" w:pos="242" w:val="left"/>
        </w:tabs>
        <w:numPr>
          <w:ilvl w:val="0"/>
          <w:numId w:val="67"/>
        </w:numPr>
        <w:rPr>
          <w:rFonts w:ascii="Arial" w:cs="Arial" w:eastAsia="Arial" w:hAnsi="Arial"/>
          <w:sz w:val="10"/>
          <w:szCs w:val="10"/>
          <w:color w:val="auto"/>
        </w:rPr>
      </w:pPr>
      <w:r>
        <w:rPr>
          <w:rFonts w:ascii="Arial" w:cs="Arial" w:eastAsia="Arial" w:hAnsi="Arial"/>
          <w:sz w:val="10"/>
          <w:szCs w:val="10"/>
          <w:color w:val="auto"/>
        </w:rPr>
        <w:t>Mr. Wayne Smith was issued an award of restricted Class A Common Stock, which vests in equal installments on May 13, 2015 and May 13, 2016. The closing price per share for the Class A Common Stock on the date of grant was $14.00. The awards issued to Mr. Wayne Smith are related to his prior-year performance.</w:t>
      </w:r>
    </w:p>
    <w:p>
      <w:pPr>
        <w:spacing w:after="0" w:line="13" w:lineRule="exact"/>
        <w:rPr>
          <w:rFonts w:ascii="Arial" w:cs="Arial" w:eastAsia="Arial" w:hAnsi="Arial"/>
          <w:sz w:val="10"/>
          <w:szCs w:val="10"/>
          <w:color w:val="auto"/>
        </w:rPr>
      </w:pPr>
    </w:p>
    <w:p>
      <w:pPr>
        <w:ind w:left="240" w:hanging="236"/>
        <w:spacing w:after="0"/>
        <w:tabs>
          <w:tab w:leader="none" w:pos="240" w:val="left"/>
        </w:tabs>
        <w:numPr>
          <w:ilvl w:val="0"/>
          <w:numId w:val="67"/>
        </w:numPr>
        <w:rPr>
          <w:rFonts w:ascii="Arial" w:cs="Arial" w:eastAsia="Arial" w:hAnsi="Arial"/>
          <w:sz w:val="10"/>
          <w:szCs w:val="10"/>
          <w:color w:val="auto"/>
        </w:rPr>
      </w:pPr>
      <w:r>
        <w:rPr>
          <w:rFonts w:ascii="Arial" w:cs="Arial" w:eastAsia="Arial" w:hAnsi="Arial"/>
          <w:sz w:val="10"/>
          <w:szCs w:val="10"/>
          <w:color w:val="auto"/>
        </w:rPr>
        <w:t>Mr. Dev Ghose was issued an option to purchase 100,000 shares of Class A Common Stock at the commencement of his employment, which award vests in four equal installments.</w:t>
      </w:r>
    </w:p>
    <w:p>
      <w:pPr>
        <w:spacing w:after="0" w:line="20" w:lineRule="exact"/>
        <w:rPr>
          <w:rFonts w:ascii="Arial" w:cs="Arial" w:eastAsia="Arial" w:hAnsi="Arial"/>
          <w:sz w:val="10"/>
          <w:szCs w:val="10"/>
          <w:color w:val="auto"/>
        </w:rPr>
      </w:pPr>
    </w:p>
    <w:p>
      <w:pPr>
        <w:ind w:left="240" w:hanging="236"/>
        <w:spacing w:after="0"/>
        <w:tabs>
          <w:tab w:leader="none" w:pos="240" w:val="left"/>
        </w:tabs>
        <w:numPr>
          <w:ilvl w:val="0"/>
          <w:numId w:val="67"/>
        </w:numPr>
        <w:rPr>
          <w:rFonts w:ascii="Arial" w:cs="Arial" w:eastAsia="Arial" w:hAnsi="Arial"/>
          <w:sz w:val="10"/>
          <w:szCs w:val="10"/>
          <w:color w:val="auto"/>
        </w:rPr>
      </w:pPr>
      <w:r>
        <w:rPr>
          <w:rFonts w:ascii="Arial" w:cs="Arial" w:eastAsia="Arial" w:hAnsi="Arial"/>
          <w:sz w:val="10"/>
          <w:szCs w:val="10"/>
          <w:color w:val="auto"/>
        </w:rPr>
        <w:t>Options are granted with an exercise price equal to the closing price per share on the date of grant.</w:t>
      </w:r>
    </w:p>
    <w:p>
      <w:pPr>
        <w:spacing w:after="0" w:line="20" w:lineRule="exact"/>
        <w:rPr>
          <w:rFonts w:ascii="Arial" w:cs="Arial" w:eastAsia="Arial" w:hAnsi="Arial"/>
          <w:sz w:val="10"/>
          <w:szCs w:val="10"/>
          <w:color w:val="auto"/>
        </w:rPr>
      </w:pPr>
    </w:p>
    <w:p>
      <w:pPr>
        <w:ind w:left="240" w:hanging="236"/>
        <w:spacing w:after="0"/>
        <w:tabs>
          <w:tab w:leader="none" w:pos="240" w:val="left"/>
        </w:tabs>
        <w:numPr>
          <w:ilvl w:val="0"/>
          <w:numId w:val="67"/>
        </w:numPr>
        <w:rPr>
          <w:rFonts w:ascii="Arial" w:cs="Arial" w:eastAsia="Arial" w:hAnsi="Arial"/>
          <w:sz w:val="10"/>
          <w:szCs w:val="10"/>
          <w:color w:val="auto"/>
        </w:rPr>
      </w:pPr>
      <w:r>
        <w:rPr>
          <w:rFonts w:ascii="Arial" w:cs="Arial" w:eastAsia="Arial" w:hAnsi="Arial"/>
          <w:sz w:val="10"/>
          <w:szCs w:val="10"/>
          <w:color w:val="auto"/>
        </w:rPr>
        <w:t>Represents the total option value estimated as per ASC 718.</w:t>
      </w:r>
    </w:p>
    <w:p>
      <w:pPr>
        <w:spacing w:after="0" w:line="110" w:lineRule="exact"/>
        <w:rPr>
          <w:sz w:val="20"/>
          <w:szCs w:val="20"/>
          <w:color w:val="auto"/>
        </w:rPr>
      </w:pPr>
    </w:p>
    <w:p>
      <w:pPr>
        <w:jc w:val="center"/>
        <w:ind w:right="-99"/>
        <w:spacing w:after="0"/>
        <w:rPr>
          <w:sz w:val="20"/>
          <w:szCs w:val="20"/>
          <w:color w:val="auto"/>
        </w:rPr>
      </w:pPr>
      <w:r>
        <w:rPr>
          <w:rFonts w:ascii="Arial" w:cs="Arial" w:eastAsia="Arial" w:hAnsi="Arial"/>
          <w:sz w:val="12"/>
          <w:szCs w:val="12"/>
          <w:b w:val="1"/>
          <w:bCs w:val="1"/>
          <w:color w:val="auto"/>
        </w:rPr>
        <w:t>Nonqualified Deferred Compensation</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03"/>
        </w:trPr>
        <w:tc>
          <w:tcPr>
            <w:tcW w:w="1240" w:type="dxa"/>
            <w:vAlign w:val="bottom"/>
            <w:tcBorders>
              <w:top w:val="single" w:sz="8" w:color="95B3D7"/>
            </w:tcBorders>
          </w:tcPr>
          <w:p>
            <w:pPr>
              <w:spacing w:after="0"/>
              <w:rPr>
                <w:sz w:val="8"/>
                <w:szCs w:val="8"/>
                <w:color w:val="auto"/>
              </w:rPr>
            </w:pPr>
          </w:p>
        </w:tc>
        <w:tc>
          <w:tcPr>
            <w:tcW w:w="1080" w:type="dxa"/>
            <w:vAlign w:val="bottom"/>
            <w:tcBorders>
              <w:top w:val="single" w:sz="8" w:color="95B3D7"/>
            </w:tcBorders>
            <w:gridSpan w:val="2"/>
          </w:tcPr>
          <w:p>
            <w:pPr>
              <w:ind w:left="340"/>
              <w:spacing w:after="0" w:line="103" w:lineRule="exact"/>
              <w:rPr>
                <w:sz w:val="20"/>
                <w:szCs w:val="20"/>
                <w:color w:val="auto"/>
              </w:rPr>
            </w:pPr>
            <w:r>
              <w:rPr>
                <w:rFonts w:ascii="Arial" w:cs="Arial" w:eastAsia="Arial" w:hAnsi="Arial"/>
                <w:sz w:val="10"/>
                <w:szCs w:val="10"/>
                <w:b w:val="1"/>
                <w:bCs w:val="1"/>
                <w:color w:val="auto"/>
              </w:rPr>
              <w:t>Executive</w:t>
            </w:r>
          </w:p>
        </w:tc>
        <w:tc>
          <w:tcPr>
            <w:tcW w:w="720" w:type="dxa"/>
            <w:vAlign w:val="bottom"/>
            <w:tcBorders>
              <w:top w:val="single" w:sz="8" w:color="95B3D7"/>
            </w:tcBorders>
          </w:tcPr>
          <w:p>
            <w:pPr>
              <w:spacing w:after="0" w:line="103" w:lineRule="exact"/>
              <w:rPr>
                <w:sz w:val="20"/>
                <w:szCs w:val="20"/>
                <w:color w:val="auto"/>
              </w:rPr>
            </w:pPr>
            <w:r>
              <w:rPr>
                <w:rFonts w:ascii="Arial" w:cs="Arial" w:eastAsia="Arial" w:hAnsi="Arial"/>
                <w:sz w:val="10"/>
                <w:szCs w:val="10"/>
                <w:b w:val="1"/>
                <w:bCs w:val="1"/>
                <w:color w:val="auto"/>
              </w:rPr>
              <w:t>Registrant</w:t>
            </w:r>
          </w:p>
        </w:tc>
        <w:tc>
          <w:tcPr>
            <w:tcW w:w="760" w:type="dxa"/>
            <w:vAlign w:val="bottom"/>
            <w:tcBorders>
              <w:top w:val="single" w:sz="8" w:color="95B3D7"/>
            </w:tcBorders>
            <w:vMerge w:val="restart"/>
          </w:tcPr>
          <w:p>
            <w:pPr>
              <w:spacing w:after="0"/>
              <w:rPr>
                <w:sz w:val="20"/>
                <w:szCs w:val="20"/>
                <w:color w:val="auto"/>
              </w:rPr>
            </w:pPr>
            <w:r>
              <w:rPr>
                <w:rFonts w:ascii="Arial" w:cs="Arial" w:eastAsia="Arial" w:hAnsi="Arial"/>
                <w:sz w:val="10"/>
                <w:szCs w:val="10"/>
                <w:b w:val="1"/>
                <w:bCs w:val="1"/>
                <w:color w:val="auto"/>
              </w:rPr>
              <w:t>Aggregate</w:t>
            </w:r>
          </w:p>
        </w:tc>
        <w:tc>
          <w:tcPr>
            <w:tcW w:w="1280" w:type="dxa"/>
            <w:vAlign w:val="bottom"/>
            <w:tcBorders>
              <w:top w:val="single" w:sz="8" w:color="95B3D7"/>
            </w:tcBorders>
            <w:vMerge w:val="restart"/>
          </w:tcPr>
          <w:p>
            <w:pPr>
              <w:spacing w:after="0"/>
              <w:rPr>
                <w:sz w:val="20"/>
                <w:szCs w:val="20"/>
                <w:color w:val="auto"/>
              </w:rPr>
            </w:pPr>
            <w:r>
              <w:rPr>
                <w:rFonts w:ascii="Arial" w:cs="Arial" w:eastAsia="Arial" w:hAnsi="Arial"/>
                <w:sz w:val="10"/>
                <w:szCs w:val="10"/>
                <w:b w:val="1"/>
                <w:bCs w:val="1"/>
                <w:color w:val="auto"/>
              </w:rPr>
              <w:t>Aggregate</w:t>
            </w:r>
          </w:p>
        </w:tc>
        <w:tc>
          <w:tcPr>
            <w:tcW w:w="1540" w:type="dxa"/>
            <w:vAlign w:val="bottom"/>
            <w:tcBorders>
              <w:top w:val="single" w:sz="8" w:color="95B3D7"/>
            </w:tcBorders>
            <w:vMerge w:val="restart"/>
          </w:tcPr>
          <w:p>
            <w:pPr>
              <w:spacing w:after="0"/>
              <w:rPr>
                <w:sz w:val="20"/>
                <w:szCs w:val="20"/>
                <w:color w:val="auto"/>
              </w:rPr>
            </w:pPr>
            <w:r>
              <w:rPr>
                <w:rFonts w:ascii="Arial" w:cs="Arial" w:eastAsia="Arial" w:hAnsi="Arial"/>
                <w:sz w:val="10"/>
                <w:szCs w:val="10"/>
                <w:b w:val="1"/>
                <w:bCs w:val="1"/>
                <w:color w:val="auto"/>
                <w:w w:val="88"/>
              </w:rPr>
              <w:t>Aggregate balance at December 31,</w:t>
            </w:r>
          </w:p>
        </w:tc>
        <w:tc>
          <w:tcPr>
            <w:tcW w:w="0" w:type="dxa"/>
            <w:vAlign w:val="bottom"/>
          </w:tcPr>
          <w:p>
            <w:pPr>
              <w:spacing w:after="0"/>
              <w:rPr>
                <w:sz w:val="1"/>
                <w:szCs w:val="1"/>
                <w:color w:val="auto"/>
              </w:rPr>
            </w:pPr>
          </w:p>
        </w:tc>
      </w:tr>
      <w:tr>
        <w:trPr>
          <w:trHeight w:val="45"/>
        </w:trPr>
        <w:tc>
          <w:tcPr>
            <w:tcW w:w="1240" w:type="dxa"/>
            <w:vAlign w:val="bottom"/>
          </w:tcPr>
          <w:p>
            <w:pPr>
              <w:spacing w:after="0"/>
              <w:rPr>
                <w:sz w:val="3"/>
                <w:szCs w:val="3"/>
                <w:color w:val="auto"/>
              </w:rPr>
            </w:pPr>
          </w:p>
        </w:tc>
        <w:tc>
          <w:tcPr>
            <w:tcW w:w="1080" w:type="dxa"/>
            <w:vAlign w:val="bottom"/>
            <w:gridSpan w:val="2"/>
            <w:vMerge w:val="restart"/>
          </w:tcPr>
          <w:p>
            <w:pPr>
              <w:ind w:left="340"/>
              <w:spacing w:after="0"/>
              <w:rPr>
                <w:sz w:val="20"/>
                <w:szCs w:val="20"/>
                <w:color w:val="auto"/>
              </w:rPr>
            </w:pPr>
            <w:r>
              <w:rPr>
                <w:rFonts w:ascii="Arial" w:cs="Arial" w:eastAsia="Arial" w:hAnsi="Arial"/>
                <w:sz w:val="10"/>
                <w:szCs w:val="10"/>
                <w:b w:val="1"/>
                <w:bCs w:val="1"/>
                <w:color w:val="auto"/>
                <w:w w:val="92"/>
              </w:rPr>
              <w:t>contributions in</w:t>
            </w:r>
          </w:p>
        </w:tc>
        <w:tc>
          <w:tcPr>
            <w:tcW w:w="720" w:type="dxa"/>
            <w:vAlign w:val="bottom"/>
            <w:vMerge w:val="restart"/>
          </w:tcPr>
          <w:p>
            <w:pPr>
              <w:spacing w:after="0"/>
              <w:rPr>
                <w:sz w:val="20"/>
                <w:szCs w:val="20"/>
                <w:color w:val="auto"/>
              </w:rPr>
            </w:pPr>
            <w:r>
              <w:rPr>
                <w:rFonts w:ascii="Arial" w:cs="Arial" w:eastAsia="Arial" w:hAnsi="Arial"/>
                <w:sz w:val="10"/>
                <w:szCs w:val="10"/>
                <w:b w:val="1"/>
                <w:bCs w:val="1"/>
                <w:color w:val="auto"/>
                <w:w w:val="89"/>
              </w:rPr>
              <w:t>contributions in</w:t>
            </w:r>
          </w:p>
        </w:tc>
        <w:tc>
          <w:tcPr>
            <w:tcW w:w="760" w:type="dxa"/>
            <w:vAlign w:val="bottom"/>
            <w:vMerge w:val="continue"/>
          </w:tcPr>
          <w:p>
            <w:pPr>
              <w:spacing w:after="0"/>
              <w:rPr>
                <w:sz w:val="3"/>
                <w:szCs w:val="3"/>
                <w:color w:val="auto"/>
              </w:rPr>
            </w:pPr>
          </w:p>
        </w:tc>
        <w:tc>
          <w:tcPr>
            <w:tcW w:w="1280" w:type="dxa"/>
            <w:vAlign w:val="bottom"/>
            <w:vMerge w:val="continue"/>
          </w:tcPr>
          <w:p>
            <w:pPr>
              <w:spacing w:after="0"/>
              <w:rPr>
                <w:sz w:val="3"/>
                <w:szCs w:val="3"/>
                <w:color w:val="auto"/>
              </w:rPr>
            </w:pPr>
          </w:p>
        </w:tc>
        <w:tc>
          <w:tcPr>
            <w:tcW w:w="15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96"/>
        </w:trPr>
        <w:tc>
          <w:tcPr>
            <w:tcW w:w="1240" w:type="dxa"/>
            <w:vAlign w:val="bottom"/>
          </w:tcPr>
          <w:p>
            <w:pPr>
              <w:spacing w:after="0" w:line="96" w:lineRule="exact"/>
              <w:rPr>
                <w:sz w:val="20"/>
                <w:szCs w:val="20"/>
                <w:color w:val="auto"/>
              </w:rPr>
            </w:pPr>
            <w:r>
              <w:rPr>
                <w:rFonts w:ascii="Arial" w:cs="Arial" w:eastAsia="Arial" w:hAnsi="Arial"/>
                <w:sz w:val="10"/>
                <w:szCs w:val="10"/>
                <w:b w:val="1"/>
                <w:bCs w:val="1"/>
                <w:color w:val="auto"/>
              </w:rPr>
              <w:t>Name</w:t>
            </w:r>
          </w:p>
        </w:tc>
        <w:tc>
          <w:tcPr>
            <w:tcW w:w="1080" w:type="dxa"/>
            <w:vAlign w:val="bottom"/>
            <w:gridSpan w:val="2"/>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60" w:type="dxa"/>
            <w:vAlign w:val="bottom"/>
          </w:tcPr>
          <w:p>
            <w:pPr>
              <w:spacing w:after="0" w:line="96" w:lineRule="exact"/>
              <w:rPr>
                <w:sz w:val="20"/>
                <w:szCs w:val="20"/>
                <w:color w:val="auto"/>
              </w:rPr>
            </w:pPr>
            <w:r>
              <w:rPr>
                <w:rFonts w:ascii="Arial" w:cs="Arial" w:eastAsia="Arial" w:hAnsi="Arial"/>
                <w:sz w:val="10"/>
                <w:szCs w:val="10"/>
                <w:b w:val="1"/>
                <w:bCs w:val="1"/>
                <w:color w:val="auto"/>
                <w:w w:val="91"/>
              </w:rPr>
              <w:t>earnings in 2015</w:t>
            </w:r>
          </w:p>
        </w:tc>
        <w:tc>
          <w:tcPr>
            <w:tcW w:w="1280" w:type="dxa"/>
            <w:vAlign w:val="bottom"/>
          </w:tcPr>
          <w:p>
            <w:pPr>
              <w:spacing w:after="0" w:line="96" w:lineRule="exact"/>
              <w:rPr>
                <w:sz w:val="20"/>
                <w:szCs w:val="20"/>
                <w:color w:val="auto"/>
              </w:rPr>
            </w:pPr>
            <w:r>
              <w:rPr>
                <w:rFonts w:ascii="Arial" w:cs="Arial" w:eastAsia="Arial" w:hAnsi="Arial"/>
                <w:sz w:val="10"/>
                <w:szCs w:val="10"/>
                <w:b w:val="1"/>
                <w:bCs w:val="1"/>
                <w:color w:val="auto"/>
              </w:rPr>
              <w:t>withdrawals/distributions</w:t>
            </w:r>
          </w:p>
        </w:tc>
        <w:tc>
          <w:tcPr>
            <w:tcW w:w="1540" w:type="dxa"/>
            <w:vAlign w:val="bottom"/>
          </w:tcPr>
          <w:p>
            <w:pPr>
              <w:spacing w:after="0" w:line="96" w:lineRule="exact"/>
              <w:rPr>
                <w:sz w:val="20"/>
                <w:szCs w:val="20"/>
                <w:color w:val="auto"/>
              </w:rPr>
            </w:pPr>
            <w:r>
              <w:rPr>
                <w:rFonts w:ascii="Arial" w:cs="Arial" w:eastAsia="Arial" w:hAnsi="Arial"/>
                <w:sz w:val="10"/>
                <w:szCs w:val="10"/>
                <w:b w:val="1"/>
                <w:bCs w:val="1"/>
                <w:color w:val="auto"/>
              </w:rPr>
              <w:t>2015</w:t>
            </w:r>
          </w:p>
        </w:tc>
        <w:tc>
          <w:tcPr>
            <w:tcW w:w="0" w:type="dxa"/>
            <w:vAlign w:val="bottom"/>
          </w:tcPr>
          <w:p>
            <w:pPr>
              <w:spacing w:after="0"/>
              <w:rPr>
                <w:sz w:val="1"/>
                <w:szCs w:val="1"/>
                <w:color w:val="auto"/>
              </w:rPr>
            </w:pPr>
          </w:p>
        </w:tc>
      </w:tr>
      <w:tr>
        <w:trPr>
          <w:trHeight w:val="58"/>
        </w:trPr>
        <w:tc>
          <w:tcPr>
            <w:tcW w:w="1240" w:type="dxa"/>
            <w:vAlign w:val="bottom"/>
          </w:tcPr>
          <w:p>
            <w:pPr>
              <w:spacing w:after="0"/>
              <w:rPr>
                <w:sz w:val="5"/>
                <w:szCs w:val="5"/>
                <w:color w:val="auto"/>
              </w:rPr>
            </w:pPr>
          </w:p>
        </w:tc>
        <w:tc>
          <w:tcPr>
            <w:tcW w:w="1080" w:type="dxa"/>
            <w:vAlign w:val="bottom"/>
            <w:gridSpan w:val="2"/>
          </w:tcPr>
          <w:p>
            <w:pPr>
              <w:ind w:left="340"/>
              <w:spacing w:after="0" w:line="58" w:lineRule="exact"/>
              <w:rPr>
                <w:sz w:val="20"/>
                <w:szCs w:val="20"/>
                <w:color w:val="auto"/>
              </w:rPr>
            </w:pPr>
            <w:r>
              <w:rPr>
                <w:rFonts w:ascii="Arial" w:cs="Arial" w:eastAsia="Arial" w:hAnsi="Arial"/>
                <w:sz w:val="6"/>
                <w:szCs w:val="6"/>
                <w:b w:val="1"/>
                <w:bCs w:val="1"/>
                <w:color w:val="auto"/>
              </w:rPr>
              <w:t>2015</w:t>
            </w:r>
          </w:p>
        </w:tc>
        <w:tc>
          <w:tcPr>
            <w:tcW w:w="720" w:type="dxa"/>
            <w:vAlign w:val="bottom"/>
          </w:tcPr>
          <w:p>
            <w:pPr>
              <w:spacing w:after="0" w:line="58" w:lineRule="exact"/>
              <w:rPr>
                <w:sz w:val="20"/>
                <w:szCs w:val="20"/>
                <w:color w:val="auto"/>
              </w:rPr>
            </w:pPr>
            <w:r>
              <w:rPr>
                <w:rFonts w:ascii="Arial" w:cs="Arial" w:eastAsia="Arial" w:hAnsi="Arial"/>
                <w:sz w:val="6"/>
                <w:szCs w:val="6"/>
                <w:b w:val="1"/>
                <w:bCs w:val="1"/>
                <w:color w:val="auto"/>
              </w:rPr>
              <w:t>2015</w:t>
            </w:r>
          </w:p>
        </w:tc>
        <w:tc>
          <w:tcPr>
            <w:tcW w:w="760" w:type="dxa"/>
            <w:vAlign w:val="bottom"/>
            <w:vMerge w:val="restart"/>
          </w:tcPr>
          <w:p>
            <w:pPr>
              <w:spacing w:after="0"/>
              <w:rPr>
                <w:sz w:val="20"/>
                <w:szCs w:val="20"/>
                <w:color w:val="auto"/>
              </w:rPr>
            </w:pPr>
            <w:r>
              <w:rPr>
                <w:rFonts w:ascii="Arial" w:cs="Arial" w:eastAsia="Arial" w:hAnsi="Arial"/>
                <w:sz w:val="10"/>
                <w:szCs w:val="10"/>
                <w:b w:val="1"/>
                <w:bCs w:val="1"/>
                <w:color w:val="auto"/>
              </w:rPr>
              <w:t>($)</w:t>
            </w:r>
          </w:p>
        </w:tc>
        <w:tc>
          <w:tcPr>
            <w:tcW w:w="1280" w:type="dxa"/>
            <w:vAlign w:val="bottom"/>
            <w:vMerge w:val="restart"/>
          </w:tcPr>
          <w:p>
            <w:pPr>
              <w:spacing w:after="0"/>
              <w:rPr>
                <w:sz w:val="20"/>
                <w:szCs w:val="20"/>
                <w:color w:val="auto"/>
              </w:rPr>
            </w:pPr>
            <w:r>
              <w:rPr>
                <w:rFonts w:ascii="Arial" w:cs="Arial" w:eastAsia="Arial" w:hAnsi="Arial"/>
                <w:sz w:val="10"/>
                <w:szCs w:val="10"/>
                <w:b w:val="1"/>
                <w:bCs w:val="1"/>
                <w:color w:val="auto"/>
              </w:rPr>
              <w:t>($)</w:t>
            </w:r>
          </w:p>
        </w:tc>
        <w:tc>
          <w:tcPr>
            <w:tcW w:w="1540" w:type="dxa"/>
            <w:vAlign w:val="bottom"/>
            <w:vMerge w:val="restart"/>
          </w:tcPr>
          <w:p>
            <w:pPr>
              <w:spacing w:after="0"/>
              <w:rPr>
                <w:sz w:val="20"/>
                <w:szCs w:val="20"/>
                <w:color w:val="auto"/>
              </w:rPr>
            </w:pPr>
            <w:r>
              <w:rPr>
                <w:rFonts w:ascii="Arial" w:cs="Arial" w:eastAsia="Arial" w:hAnsi="Arial"/>
                <w:sz w:val="10"/>
                <w:szCs w:val="10"/>
                <w:b w:val="1"/>
                <w:bCs w:val="1"/>
                <w:color w:val="auto"/>
              </w:rPr>
              <w:t>($)</w:t>
            </w:r>
          </w:p>
        </w:tc>
        <w:tc>
          <w:tcPr>
            <w:tcW w:w="0" w:type="dxa"/>
            <w:vAlign w:val="bottom"/>
          </w:tcPr>
          <w:p>
            <w:pPr>
              <w:spacing w:after="0"/>
              <w:rPr>
                <w:sz w:val="1"/>
                <w:szCs w:val="1"/>
                <w:color w:val="auto"/>
              </w:rPr>
            </w:pPr>
          </w:p>
        </w:tc>
      </w:tr>
      <w:tr>
        <w:trPr>
          <w:trHeight w:val="70"/>
        </w:trPr>
        <w:tc>
          <w:tcPr>
            <w:tcW w:w="1240" w:type="dxa"/>
            <w:vAlign w:val="bottom"/>
          </w:tcPr>
          <w:p>
            <w:pPr>
              <w:spacing w:after="0"/>
              <w:rPr>
                <w:sz w:val="6"/>
                <w:szCs w:val="6"/>
                <w:color w:val="auto"/>
              </w:rPr>
            </w:pPr>
          </w:p>
        </w:tc>
        <w:tc>
          <w:tcPr>
            <w:tcW w:w="1080" w:type="dxa"/>
            <w:vAlign w:val="bottom"/>
            <w:gridSpan w:val="2"/>
            <w:vMerge w:val="restart"/>
          </w:tcPr>
          <w:p>
            <w:pPr>
              <w:ind w:left="340"/>
              <w:spacing w:after="0" w:line="114" w:lineRule="exact"/>
              <w:rPr>
                <w:sz w:val="20"/>
                <w:szCs w:val="20"/>
                <w:color w:val="auto"/>
              </w:rPr>
            </w:pPr>
            <w:r>
              <w:rPr>
                <w:rFonts w:ascii="Arial" w:cs="Arial" w:eastAsia="Arial" w:hAnsi="Arial"/>
                <w:sz w:val="10"/>
                <w:szCs w:val="10"/>
                <w:b w:val="1"/>
                <w:bCs w:val="1"/>
                <w:color w:val="auto"/>
              </w:rPr>
              <w:t>($)</w:t>
            </w:r>
          </w:p>
        </w:tc>
        <w:tc>
          <w:tcPr>
            <w:tcW w:w="720" w:type="dxa"/>
            <w:vAlign w:val="bottom"/>
            <w:vMerge w:val="restart"/>
          </w:tcPr>
          <w:p>
            <w:pPr>
              <w:spacing w:after="0" w:line="114" w:lineRule="exact"/>
              <w:rPr>
                <w:sz w:val="20"/>
                <w:szCs w:val="20"/>
                <w:color w:val="auto"/>
              </w:rPr>
            </w:pPr>
            <w:r>
              <w:rPr>
                <w:rFonts w:ascii="Arial" w:cs="Arial" w:eastAsia="Arial" w:hAnsi="Arial"/>
                <w:sz w:val="10"/>
                <w:szCs w:val="10"/>
                <w:b w:val="1"/>
                <w:bCs w:val="1"/>
                <w:color w:val="auto"/>
              </w:rPr>
              <w:t>($)</w:t>
            </w:r>
          </w:p>
        </w:tc>
        <w:tc>
          <w:tcPr>
            <w:tcW w:w="760" w:type="dxa"/>
            <w:vAlign w:val="bottom"/>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15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1240" w:type="dxa"/>
            <w:vAlign w:val="bottom"/>
            <w:tcBorders>
              <w:bottom w:val="single" w:sz="8" w:color="CCCCCC"/>
            </w:tcBorders>
          </w:tcPr>
          <w:p>
            <w:pPr>
              <w:spacing w:after="0"/>
              <w:rPr>
                <w:sz w:val="4"/>
                <w:szCs w:val="4"/>
                <w:color w:val="auto"/>
              </w:rPr>
            </w:pPr>
          </w:p>
        </w:tc>
        <w:tc>
          <w:tcPr>
            <w:tcW w:w="1080" w:type="dxa"/>
            <w:vAlign w:val="bottom"/>
            <w:tcBorders>
              <w:bottom w:val="single" w:sz="8" w:color="CCCCCC"/>
            </w:tcBorders>
            <w:gridSpan w:val="2"/>
            <w:vMerge w:val="continue"/>
          </w:tcPr>
          <w:p>
            <w:pPr>
              <w:spacing w:after="0"/>
              <w:rPr>
                <w:sz w:val="4"/>
                <w:szCs w:val="4"/>
                <w:color w:val="auto"/>
              </w:rPr>
            </w:pPr>
          </w:p>
        </w:tc>
        <w:tc>
          <w:tcPr>
            <w:tcW w:w="720" w:type="dxa"/>
            <w:vAlign w:val="bottom"/>
            <w:tcBorders>
              <w:bottom w:val="single" w:sz="8" w:color="CCCCCC"/>
            </w:tcBorders>
            <w:vMerge w:val="continue"/>
          </w:tcPr>
          <w:p>
            <w:pPr>
              <w:spacing w:after="0"/>
              <w:rPr>
                <w:sz w:val="4"/>
                <w:szCs w:val="4"/>
                <w:color w:val="auto"/>
              </w:rPr>
            </w:pPr>
          </w:p>
        </w:tc>
        <w:tc>
          <w:tcPr>
            <w:tcW w:w="760" w:type="dxa"/>
            <w:vAlign w:val="bottom"/>
            <w:tcBorders>
              <w:bottom w:val="single" w:sz="8" w:color="CCCCCC"/>
            </w:tcBorders>
          </w:tcPr>
          <w:p>
            <w:pPr>
              <w:spacing w:after="0"/>
              <w:rPr>
                <w:sz w:val="4"/>
                <w:szCs w:val="4"/>
                <w:color w:val="auto"/>
              </w:rPr>
            </w:pPr>
          </w:p>
        </w:tc>
        <w:tc>
          <w:tcPr>
            <w:tcW w:w="1280" w:type="dxa"/>
            <w:vAlign w:val="bottom"/>
            <w:tcBorders>
              <w:bottom w:val="single" w:sz="8" w:color="CCCCCC"/>
            </w:tcBorders>
          </w:tcPr>
          <w:p>
            <w:pPr>
              <w:spacing w:after="0"/>
              <w:rPr>
                <w:sz w:val="4"/>
                <w:szCs w:val="4"/>
                <w:color w:val="auto"/>
              </w:rPr>
            </w:pPr>
          </w:p>
        </w:tc>
        <w:tc>
          <w:tcPr>
            <w:tcW w:w="1540" w:type="dxa"/>
            <w:vAlign w:val="bottom"/>
            <w:tcBorders>
              <w:bottom w:val="single" w:sz="8" w:color="CCCCCC"/>
            </w:tcBorders>
          </w:tcPr>
          <w:p>
            <w:pPr>
              <w:spacing w:after="0"/>
              <w:rPr>
                <w:sz w:val="4"/>
                <w:szCs w:val="4"/>
                <w:color w:val="auto"/>
              </w:rPr>
            </w:pPr>
          </w:p>
        </w:tc>
        <w:tc>
          <w:tcPr>
            <w:tcW w:w="0" w:type="dxa"/>
            <w:vAlign w:val="bottom"/>
          </w:tcPr>
          <w:p>
            <w:pPr>
              <w:spacing w:after="0"/>
              <w:rPr>
                <w:sz w:val="1"/>
                <w:szCs w:val="1"/>
                <w:color w:val="auto"/>
              </w:rPr>
            </w:pPr>
          </w:p>
        </w:tc>
      </w:tr>
      <w:tr>
        <w:trPr>
          <w:trHeight w:val="99"/>
        </w:trPr>
        <w:tc>
          <w:tcPr>
            <w:tcW w:w="1240" w:type="dxa"/>
            <w:vAlign w:val="bottom"/>
            <w:tcBorders>
              <w:bottom w:val="single" w:sz="8" w:color="95B3D7"/>
            </w:tcBorders>
          </w:tcPr>
          <w:p>
            <w:pPr>
              <w:spacing w:after="0" w:line="99" w:lineRule="exact"/>
              <w:rPr>
                <w:sz w:val="20"/>
                <w:szCs w:val="20"/>
                <w:color w:val="auto"/>
              </w:rPr>
            </w:pPr>
            <w:r>
              <w:rPr>
                <w:rFonts w:ascii="Arial" w:cs="Arial" w:eastAsia="Arial" w:hAnsi="Arial"/>
                <w:sz w:val="10"/>
                <w:szCs w:val="10"/>
                <w:color w:val="auto"/>
              </w:rPr>
              <w:t>Andrzej J. Matyczynski</w:t>
            </w:r>
          </w:p>
        </w:tc>
        <w:tc>
          <w:tcPr>
            <w:tcW w:w="360" w:type="dxa"/>
            <w:vAlign w:val="bottom"/>
            <w:tcBorders>
              <w:bottom w:val="single" w:sz="8" w:color="95B3D7"/>
              <w:right w:val="single" w:sz="8" w:color="95B3D7"/>
            </w:tcBorders>
          </w:tcPr>
          <w:p>
            <w:pPr>
              <w:spacing w:after="0"/>
              <w:rPr>
                <w:sz w:val="8"/>
                <w:szCs w:val="8"/>
                <w:color w:val="auto"/>
              </w:rPr>
            </w:pPr>
          </w:p>
        </w:tc>
        <w:tc>
          <w:tcPr>
            <w:tcW w:w="720" w:type="dxa"/>
            <w:vAlign w:val="bottom"/>
            <w:tcBorders>
              <w:bottom w:val="single" w:sz="8" w:color="95B3D7"/>
              <w:right w:val="single" w:sz="8" w:color="95B3D7"/>
            </w:tcBorders>
          </w:tcPr>
          <w:p>
            <w:pPr>
              <w:spacing w:after="0" w:line="99" w:lineRule="exact"/>
              <w:rPr>
                <w:sz w:val="20"/>
                <w:szCs w:val="20"/>
                <w:color w:val="auto"/>
              </w:rPr>
            </w:pPr>
            <w:r>
              <w:rPr>
                <w:rFonts w:ascii="Arial" w:cs="Arial" w:eastAsia="Arial" w:hAnsi="Arial"/>
                <w:sz w:val="10"/>
                <w:szCs w:val="10"/>
                <w:color w:val="auto"/>
              </w:rPr>
              <w:t>0</w:t>
            </w:r>
          </w:p>
        </w:tc>
        <w:tc>
          <w:tcPr>
            <w:tcW w:w="720" w:type="dxa"/>
            <w:vAlign w:val="bottom"/>
            <w:tcBorders>
              <w:bottom w:val="single" w:sz="8" w:color="95B3D7"/>
              <w:right w:val="single" w:sz="8" w:color="95B3D7"/>
            </w:tcBorders>
          </w:tcPr>
          <w:p>
            <w:pPr>
              <w:spacing w:after="0" w:line="99" w:lineRule="exact"/>
              <w:rPr>
                <w:sz w:val="20"/>
                <w:szCs w:val="20"/>
                <w:color w:val="auto"/>
              </w:rPr>
            </w:pPr>
            <w:r>
              <w:rPr>
                <w:rFonts w:ascii="Arial" w:cs="Arial" w:eastAsia="Arial" w:hAnsi="Arial"/>
                <w:sz w:val="10"/>
                <w:szCs w:val="10"/>
                <w:color w:val="auto"/>
              </w:rPr>
              <w:t>150,000</w:t>
            </w:r>
          </w:p>
        </w:tc>
        <w:tc>
          <w:tcPr>
            <w:tcW w:w="760" w:type="dxa"/>
            <w:vAlign w:val="bottom"/>
            <w:tcBorders>
              <w:bottom w:val="single" w:sz="8" w:color="95B3D7"/>
              <w:right w:val="single" w:sz="8" w:color="95B3D7"/>
            </w:tcBorders>
          </w:tcPr>
          <w:p>
            <w:pPr>
              <w:jc w:val="right"/>
              <w:ind w:right="678"/>
              <w:spacing w:after="0"/>
              <w:rPr>
                <w:sz w:val="20"/>
                <w:szCs w:val="20"/>
                <w:color w:val="auto"/>
              </w:rPr>
            </w:pPr>
            <w:r>
              <w:rPr>
                <w:rFonts w:ascii="Arial" w:cs="Arial" w:eastAsia="Arial" w:hAnsi="Arial"/>
                <w:sz w:val="5"/>
                <w:szCs w:val="5"/>
                <w:color w:val="auto"/>
                <w:w w:val="70"/>
              </w:rPr>
              <w:t>0</w:t>
            </w:r>
          </w:p>
        </w:tc>
        <w:tc>
          <w:tcPr>
            <w:tcW w:w="1280" w:type="dxa"/>
            <w:vAlign w:val="bottom"/>
            <w:tcBorders>
              <w:bottom w:val="single" w:sz="8" w:color="95B3D7"/>
              <w:right w:val="single" w:sz="8" w:color="95B3D7"/>
            </w:tcBorders>
          </w:tcPr>
          <w:p>
            <w:pPr>
              <w:spacing w:after="0" w:line="99" w:lineRule="exact"/>
              <w:rPr>
                <w:sz w:val="20"/>
                <w:szCs w:val="20"/>
                <w:color w:val="auto"/>
              </w:rPr>
            </w:pPr>
            <w:r>
              <w:rPr>
                <w:rFonts w:ascii="Arial" w:cs="Arial" w:eastAsia="Arial" w:hAnsi="Arial"/>
                <w:sz w:val="10"/>
                <w:szCs w:val="10"/>
                <w:color w:val="auto"/>
              </w:rPr>
              <w:t>0</w:t>
            </w:r>
          </w:p>
        </w:tc>
        <w:tc>
          <w:tcPr>
            <w:tcW w:w="1540" w:type="dxa"/>
            <w:vAlign w:val="bottom"/>
            <w:tcBorders>
              <w:bottom w:val="single" w:sz="8" w:color="95B3D7"/>
              <w:right w:val="single" w:sz="8" w:color="95B3D7"/>
            </w:tcBorders>
          </w:tcPr>
          <w:p>
            <w:pPr>
              <w:spacing w:after="0" w:line="99" w:lineRule="exact"/>
              <w:rPr>
                <w:sz w:val="20"/>
                <w:szCs w:val="20"/>
                <w:color w:val="auto"/>
              </w:rPr>
            </w:pPr>
            <w:r>
              <w:rPr>
                <w:rFonts w:ascii="Arial" w:cs="Arial" w:eastAsia="Arial" w:hAnsi="Arial"/>
                <w:sz w:val="10"/>
                <w:szCs w:val="10"/>
                <w:color w:val="auto"/>
              </w:rPr>
              <w:t>600,000</w:t>
            </w:r>
          </w:p>
        </w:tc>
        <w:tc>
          <w:tcPr>
            <w:tcW w:w="0" w:type="dxa"/>
            <w:vAlign w:val="bottom"/>
          </w:tcPr>
          <w:p>
            <w:pPr>
              <w:spacing w:after="0"/>
              <w:rPr>
                <w:sz w:val="1"/>
                <w:szCs w:val="1"/>
                <w:color w:val="auto"/>
              </w:rPr>
            </w:pPr>
          </w:p>
        </w:tc>
      </w:tr>
    </w:tbl>
    <w:p>
      <w:pPr>
        <w:spacing w:after="0" w:line="207" w:lineRule="exact"/>
        <w:rPr>
          <w:sz w:val="20"/>
          <w:szCs w:val="20"/>
          <w:color w:val="auto"/>
        </w:rPr>
      </w:pPr>
    </w:p>
    <w:p>
      <w:pPr>
        <w:spacing w:after="0"/>
        <w:rPr>
          <w:sz w:val="20"/>
          <w:szCs w:val="20"/>
          <w:color w:val="auto"/>
        </w:rPr>
      </w:pPr>
      <w:r>
        <w:rPr>
          <w:rFonts w:ascii="Arial" w:cs="Arial" w:eastAsia="Arial" w:hAnsi="Arial"/>
          <w:sz w:val="12"/>
          <w:szCs w:val="12"/>
          <w:color w:val="auto"/>
        </w:rPr>
        <w:t>See Item 11 - Other Retirement Plans for a description of the DCP.</w:t>
      </w:r>
    </w:p>
    <w:p>
      <w:pPr>
        <w:spacing w:after="0" w:line="11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2010 Equity Incentive Plan</w:t>
      </w:r>
    </w:p>
    <w:p>
      <w:pPr>
        <w:spacing w:after="0" w:line="136" w:lineRule="exact"/>
        <w:rPr>
          <w:sz w:val="20"/>
          <w:szCs w:val="20"/>
          <w:color w:val="auto"/>
        </w:rPr>
      </w:pPr>
    </w:p>
    <w:p>
      <w:pPr>
        <w:ind w:right="40" w:firstLine="432"/>
        <w:spacing w:after="0" w:line="298" w:lineRule="auto"/>
        <w:rPr>
          <w:sz w:val="20"/>
          <w:szCs w:val="20"/>
          <w:color w:val="auto"/>
        </w:rPr>
      </w:pPr>
      <w:r>
        <w:rPr>
          <w:rFonts w:ascii="Arial" w:cs="Arial" w:eastAsia="Arial" w:hAnsi="Arial"/>
          <w:sz w:val="11"/>
          <w:szCs w:val="11"/>
          <w:color w:val="auto"/>
        </w:rPr>
        <w:t>On May 13, 2010, our stockholders approved the Plan at the annual meeting of stockholders in accordance with the recommendation of the Board of Directors of the Company. The Plan provides for awards of stock options, restricted stock, bonus stock, and stock appreciation rights to eligible employees, Directors, and consultants. The Board of Directors approved an amendment to the Plan to permit the award of restricted stock units on March 10, 2016. The Plan permits issuance of a maximum of 1,250,000 shares of Class A Stock. The Plan expires automatically on March 11, 2020.</w:t>
      </w:r>
    </w:p>
    <w:p>
      <w:pPr>
        <w:spacing w:after="0" w:line="78" w:lineRule="exact"/>
        <w:rPr>
          <w:sz w:val="20"/>
          <w:szCs w:val="20"/>
          <w:color w:val="auto"/>
        </w:rPr>
      </w:pPr>
    </w:p>
    <w:p>
      <w:pPr>
        <w:ind w:firstLine="432"/>
        <w:spacing w:after="0" w:line="323" w:lineRule="auto"/>
        <w:rPr>
          <w:sz w:val="20"/>
          <w:szCs w:val="20"/>
          <w:color w:val="auto"/>
        </w:rPr>
      </w:pPr>
      <w:r>
        <w:rPr>
          <w:rFonts w:ascii="Arial" w:cs="Arial" w:eastAsia="Arial" w:hAnsi="Arial"/>
          <w:sz w:val="11"/>
          <w:szCs w:val="11"/>
          <w:color w:val="auto"/>
        </w:rPr>
        <w:t>Equity incentive bonuses may be awarded to align our executives’ long-term compensation to appreciation in stockholder value over time and, so long as such grants are within the parameters of the Plan, historically were entirely discretionary on the part of Mr. Cotter, Sr. Other stock grants are subject to Board approval. Equity awards may include stock options, restricted stock, bonus stock, or stock appreciation rights.</w:t>
      </w:r>
    </w:p>
    <w:p>
      <w:pPr>
        <w:spacing w:after="0" w:line="65" w:lineRule="exact"/>
        <w:rPr>
          <w:sz w:val="20"/>
          <w:szCs w:val="20"/>
          <w:color w:val="auto"/>
        </w:rPr>
      </w:pPr>
    </w:p>
    <w:p>
      <w:pPr>
        <w:ind w:right="40" w:firstLine="432"/>
        <w:spacing w:after="0" w:line="263" w:lineRule="auto"/>
        <w:rPr>
          <w:sz w:val="20"/>
          <w:szCs w:val="20"/>
          <w:color w:val="auto"/>
        </w:rPr>
      </w:pPr>
      <w:r>
        <w:rPr>
          <w:rFonts w:ascii="Arial" w:cs="Arial" w:eastAsia="Arial" w:hAnsi="Arial"/>
          <w:sz w:val="12"/>
          <w:szCs w:val="12"/>
          <w:color w:val="auto"/>
        </w:rPr>
        <w:t>If awarded, it is generally our policy to value stock options and restricted stock at the closing price of our common stock as reported on the NASDAQ Stock Market on the date the award is approved or on the date of hire, if the stock is granted as a recruitment incentive. When stock is granted as bonus compensation for a particular transaction, the award may be based on the market price on a date calculated from the closing date of the relevant transaction. Awards may also be subject to vesting and limitations on voting or other rights.</w:t>
      </w:r>
    </w:p>
    <w:p>
      <w:pPr>
        <w:spacing w:after="0" w:line="10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Outstanding Equity Awards</w:t>
      </w:r>
    </w:p>
    <w:p>
      <w:pPr>
        <w:spacing w:after="0" w:line="127" w:lineRule="exact"/>
        <w:rPr>
          <w:sz w:val="20"/>
          <w:szCs w:val="20"/>
          <w:color w:val="auto"/>
        </w:rPr>
      </w:pPr>
    </w:p>
    <w:p>
      <w:pPr>
        <w:ind w:left="440"/>
        <w:spacing w:after="0"/>
        <w:rPr>
          <w:sz w:val="20"/>
          <w:szCs w:val="20"/>
          <w:color w:val="auto"/>
        </w:rPr>
      </w:pPr>
      <w:r>
        <w:rPr>
          <w:rFonts w:ascii="Arial" w:cs="Arial" w:eastAsia="Arial" w:hAnsi="Arial"/>
          <w:sz w:val="12"/>
          <w:szCs w:val="12"/>
          <w:color w:val="auto"/>
        </w:rPr>
        <w:t>The following table sets forth outstanding equity awards held by our named executive officers as of December 31, 2015 under the Plan:</w:t>
      </w:r>
    </w:p>
    <w:p>
      <w:pPr>
        <w:spacing w:after="0" w:line="119" w:lineRule="exact"/>
        <w:rPr>
          <w:sz w:val="20"/>
          <w:szCs w:val="20"/>
          <w:color w:val="auto"/>
        </w:rPr>
      </w:pPr>
    </w:p>
    <w:p>
      <w:pPr>
        <w:jc w:val="center"/>
        <w:ind w:right="-99"/>
        <w:spacing w:after="0"/>
        <w:rPr>
          <w:sz w:val="20"/>
          <w:szCs w:val="20"/>
          <w:color w:val="auto"/>
        </w:rPr>
      </w:pPr>
      <w:r>
        <w:rPr>
          <w:rFonts w:ascii="Arial" w:cs="Arial" w:eastAsia="Arial" w:hAnsi="Arial"/>
          <w:sz w:val="12"/>
          <w:szCs w:val="12"/>
          <w:b w:val="1"/>
          <w:bCs w:val="1"/>
          <w:color w:val="auto"/>
        </w:rPr>
        <w:t>Outstanding Equity Awards at Year Ended</w:t>
      </w:r>
    </w:p>
    <w:p>
      <w:pPr>
        <w:spacing w:after="0" w:line="19" w:lineRule="exact"/>
        <w:rPr>
          <w:sz w:val="20"/>
          <w:szCs w:val="20"/>
          <w:color w:val="auto"/>
        </w:rPr>
      </w:pPr>
    </w:p>
    <w:p>
      <w:pPr>
        <w:jc w:val="center"/>
        <w:ind w:right="-99"/>
        <w:spacing w:after="0"/>
        <w:rPr>
          <w:sz w:val="20"/>
          <w:szCs w:val="20"/>
          <w:color w:val="auto"/>
        </w:rPr>
      </w:pPr>
      <w:r>
        <w:rPr>
          <w:rFonts w:ascii="Arial" w:cs="Arial" w:eastAsia="Arial" w:hAnsi="Arial"/>
          <w:sz w:val="12"/>
          <w:szCs w:val="12"/>
          <w:b w:val="1"/>
          <w:bCs w:val="1"/>
          <w:color w:val="auto"/>
        </w:rPr>
        <w:t>December 31, 2015</w:t>
      </w:r>
    </w:p>
    <w:p>
      <w:pPr>
        <w:spacing w:after="0" w:line="276" w:lineRule="exact"/>
        <w:rPr>
          <w:sz w:val="20"/>
          <w:szCs w:val="20"/>
          <w:color w:val="auto"/>
        </w:rPr>
      </w:pPr>
    </w:p>
    <w:p>
      <w:pPr>
        <w:jc w:val="center"/>
        <w:ind w:right="-99"/>
        <w:spacing w:after="0"/>
        <w:rPr>
          <w:sz w:val="20"/>
          <w:szCs w:val="20"/>
          <w:color w:val="auto"/>
        </w:rPr>
      </w:pPr>
      <w:r>
        <w:rPr>
          <w:rFonts w:ascii="Arial" w:cs="Arial" w:eastAsia="Arial" w:hAnsi="Arial"/>
          <w:sz w:val="12"/>
          <w:szCs w:val="12"/>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59690</wp:posOffset>
            </wp:positionV>
            <wp:extent cx="6779895"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779895" cy="42545"/>
                    </a:xfrm>
                    <a:prstGeom prst="rect">
                      <a:avLst/>
                    </a:prstGeom>
                    <a:noFill/>
                  </pic:spPr>
                </pic:pic>
              </a:graphicData>
            </a:graphic>
          </wp:anchor>
        </w:drawing>
      </w:r>
    </w:p>
    <w:p>
      <w:pPr>
        <w:sectPr>
          <w:pgSz w:w="11900" w:h="16838" w:orient="portrait"/>
          <w:cols w:equalWidth="0" w:num="1">
            <w:col w:w="10520"/>
          </w:cols>
          <w:pgMar w:left="640" w:top="255" w:right="739" w:bottom="1440" w:gutter="0" w:footer="0" w:header="0"/>
          <w:type w:val="continuous"/>
        </w:sectPr>
      </w:pPr>
    </w:p>
    <w:bookmarkStart w:id="118" w:name="page119"/>
    <w:bookmarkEnd w:id="118"/>
    <w:tbl>
      <w:tblPr>
        <w:tblLayout w:type="fixed"/>
        <w:tblInd w:w="0" w:type="dxa"/>
        <w:tblCellMar>
          <w:top w:w="0" w:type="dxa"/>
          <w:left w:w="0" w:type="dxa"/>
          <w:bottom w:w="0" w:type="dxa"/>
          <w:right w:w="0" w:type="dxa"/>
        </w:tblCellMar>
      </w:tblPr>
      <w:tr>
        <w:trPr>
          <w:trHeight w:val="140"/>
        </w:trPr>
        <w:tc>
          <w:tcPr>
            <w:tcW w:w="1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gridSpan w:val="3"/>
          </w:tcPr>
          <w:p>
            <w:pPr>
              <w:ind w:left="80"/>
              <w:spacing w:after="0"/>
              <w:rPr>
                <w:sz w:val="20"/>
                <w:szCs w:val="20"/>
                <w:color w:val="auto"/>
              </w:rPr>
            </w:pPr>
            <w:r>
              <w:rPr>
                <w:rFonts w:ascii="Arial" w:cs="Arial" w:eastAsia="Arial" w:hAnsi="Arial"/>
                <w:sz w:val="11"/>
                <w:szCs w:val="11"/>
                <w:b w:val="1"/>
                <w:bCs w:val="1"/>
                <w:color w:val="auto"/>
              </w:rPr>
              <w:t>Option Awards</w:t>
            </w: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40" w:type="dxa"/>
            <w:vAlign w:val="bottom"/>
            <w:gridSpan w:val="4"/>
          </w:tcPr>
          <w:p>
            <w:pPr>
              <w:jc w:val="right"/>
              <w:ind w:right="531"/>
              <w:spacing w:after="0"/>
              <w:rPr>
                <w:sz w:val="20"/>
                <w:szCs w:val="20"/>
                <w:color w:val="auto"/>
              </w:rPr>
            </w:pPr>
            <w:r>
              <w:rPr>
                <w:rFonts w:ascii="Arial" w:cs="Arial" w:eastAsia="Arial" w:hAnsi="Arial"/>
                <w:sz w:val="11"/>
                <w:szCs w:val="11"/>
                <w:b w:val="1"/>
                <w:bCs w:val="1"/>
                <w:color w:val="auto"/>
              </w:rPr>
              <w:t>Stock Awards</w:t>
            </w:r>
          </w:p>
        </w:tc>
      </w:tr>
      <w:tr>
        <w:trPr>
          <w:trHeight w:val="119"/>
        </w:trPr>
        <w:tc>
          <w:tcPr>
            <w:tcW w:w="1220" w:type="dxa"/>
            <w:vAlign w:val="bottom"/>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gridSpan w:val="2"/>
          </w:tcPr>
          <w:p>
            <w:pPr>
              <w:jc w:val="center"/>
              <w:ind w:right="120"/>
              <w:spacing w:after="0" w:line="119" w:lineRule="exact"/>
              <w:rPr>
                <w:sz w:val="20"/>
                <w:szCs w:val="20"/>
                <w:color w:val="auto"/>
              </w:rPr>
            </w:pPr>
            <w:r>
              <w:rPr>
                <w:rFonts w:ascii="Arial" w:cs="Arial" w:eastAsia="Arial" w:hAnsi="Arial"/>
                <w:sz w:val="11"/>
                <w:szCs w:val="11"/>
                <w:b w:val="1"/>
                <w:bCs w:val="1"/>
                <w:color w:val="auto"/>
                <w:w w:val="90"/>
              </w:rPr>
              <w:t>Number of</w:t>
            </w:r>
          </w:p>
        </w:tc>
        <w:tc>
          <w:tcPr>
            <w:tcW w:w="6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gridSpan w:val="3"/>
          </w:tcPr>
          <w:p>
            <w:pPr>
              <w:jc w:val="center"/>
              <w:ind w:right="340"/>
              <w:spacing w:after="0" w:line="119" w:lineRule="exact"/>
              <w:rPr>
                <w:sz w:val="20"/>
                <w:szCs w:val="20"/>
                <w:color w:val="auto"/>
              </w:rPr>
            </w:pPr>
            <w:r>
              <w:rPr>
                <w:rFonts w:ascii="Arial" w:cs="Arial" w:eastAsia="Arial" w:hAnsi="Arial"/>
                <w:sz w:val="11"/>
                <w:szCs w:val="11"/>
                <w:b w:val="1"/>
                <w:bCs w:val="1"/>
                <w:color w:val="auto"/>
                <w:w w:val="90"/>
              </w:rPr>
              <w:t>Number of</w:t>
            </w:r>
          </w:p>
        </w:tc>
        <w:tc>
          <w:tcPr>
            <w:tcW w:w="54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Borders>
              <w:top w:val="single" w:sz="8" w:color="auto"/>
            </w:tcBorders>
            <w:gridSpan w:val="2"/>
          </w:tcPr>
          <w:p>
            <w:pPr>
              <w:jc w:val="center"/>
              <w:ind w:right="153"/>
              <w:spacing w:after="0" w:line="119" w:lineRule="exact"/>
              <w:rPr>
                <w:sz w:val="20"/>
                <w:szCs w:val="20"/>
                <w:color w:val="auto"/>
              </w:rPr>
            </w:pPr>
            <w:r>
              <w:rPr>
                <w:rFonts w:ascii="Arial" w:cs="Arial" w:eastAsia="Arial" w:hAnsi="Arial"/>
                <w:sz w:val="11"/>
                <w:szCs w:val="11"/>
                <w:b w:val="1"/>
                <w:bCs w:val="1"/>
                <w:color w:val="auto"/>
                <w:w w:val="90"/>
              </w:rPr>
              <w:t>Number of</w:t>
            </w:r>
          </w:p>
        </w:tc>
        <w:tc>
          <w:tcPr>
            <w:tcW w:w="86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r>
      <w:tr>
        <w:trPr>
          <w:trHeight w:val="135"/>
        </w:trPr>
        <w:tc>
          <w:tcPr>
            <w:tcW w:w="1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1"/>
              </w:rPr>
              <w:t>Shares</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0" w:type="dxa"/>
            <w:vAlign w:val="bottom"/>
            <w:gridSpan w:val="3"/>
          </w:tcPr>
          <w:p>
            <w:pPr>
              <w:jc w:val="center"/>
              <w:ind w:right="340"/>
              <w:spacing w:after="0"/>
              <w:rPr>
                <w:sz w:val="20"/>
                <w:szCs w:val="20"/>
                <w:color w:val="auto"/>
              </w:rPr>
            </w:pPr>
            <w:r>
              <w:rPr>
                <w:rFonts w:ascii="Arial" w:cs="Arial" w:eastAsia="Arial" w:hAnsi="Arial"/>
                <w:sz w:val="11"/>
                <w:szCs w:val="11"/>
                <w:b w:val="1"/>
                <w:bCs w:val="1"/>
                <w:color w:val="auto"/>
                <w:w w:val="81"/>
              </w:rPr>
              <w:t>Shares</w:t>
            </w: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gridSpan w:val="2"/>
          </w:tcPr>
          <w:p>
            <w:pPr>
              <w:jc w:val="center"/>
              <w:ind w:right="133"/>
              <w:spacing w:after="0"/>
              <w:rPr>
                <w:sz w:val="20"/>
                <w:szCs w:val="20"/>
                <w:color w:val="auto"/>
              </w:rPr>
            </w:pPr>
            <w:r>
              <w:rPr>
                <w:rFonts w:ascii="Arial" w:cs="Arial" w:eastAsia="Arial" w:hAnsi="Arial"/>
                <w:sz w:val="11"/>
                <w:szCs w:val="11"/>
                <w:b w:val="1"/>
                <w:bCs w:val="1"/>
                <w:color w:val="auto"/>
                <w:w w:val="86"/>
              </w:rPr>
              <w:t>Shares or</w:t>
            </w: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35"/>
        </w:trPr>
        <w:tc>
          <w:tcPr>
            <w:tcW w:w="1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3"/>
              </w:rPr>
              <w:t>Underlying</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0" w:type="dxa"/>
            <w:vAlign w:val="bottom"/>
            <w:gridSpan w:val="3"/>
          </w:tcPr>
          <w:p>
            <w:pPr>
              <w:jc w:val="center"/>
              <w:ind w:right="320"/>
              <w:spacing w:after="0"/>
              <w:rPr>
                <w:sz w:val="20"/>
                <w:szCs w:val="20"/>
                <w:color w:val="auto"/>
              </w:rPr>
            </w:pPr>
            <w:r>
              <w:rPr>
                <w:rFonts w:ascii="Arial" w:cs="Arial" w:eastAsia="Arial" w:hAnsi="Arial"/>
                <w:sz w:val="11"/>
                <w:szCs w:val="11"/>
                <w:b w:val="1"/>
                <w:bCs w:val="1"/>
                <w:color w:val="auto"/>
                <w:w w:val="90"/>
              </w:rPr>
              <w:t>Underlying</w:t>
            </w: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gridSpan w:val="2"/>
          </w:tcPr>
          <w:p>
            <w:pPr>
              <w:jc w:val="center"/>
              <w:ind w:right="133"/>
              <w:spacing w:after="0"/>
              <w:rPr>
                <w:sz w:val="20"/>
                <w:szCs w:val="20"/>
                <w:color w:val="auto"/>
              </w:rPr>
            </w:pPr>
            <w:r>
              <w:rPr>
                <w:rFonts w:ascii="Arial" w:cs="Arial" w:eastAsia="Arial" w:hAnsi="Arial"/>
                <w:sz w:val="11"/>
                <w:szCs w:val="11"/>
                <w:b w:val="1"/>
                <w:bCs w:val="1"/>
                <w:color w:val="auto"/>
                <w:w w:val="87"/>
              </w:rPr>
              <w:t>Units of</w:t>
            </w:r>
          </w:p>
        </w:tc>
        <w:tc>
          <w:tcPr>
            <w:tcW w:w="940" w:type="dxa"/>
            <w:vAlign w:val="bottom"/>
            <w:gridSpan w:val="2"/>
          </w:tcPr>
          <w:p>
            <w:pPr>
              <w:jc w:val="center"/>
              <w:ind w:right="31"/>
              <w:spacing w:after="0"/>
              <w:rPr>
                <w:sz w:val="20"/>
                <w:szCs w:val="20"/>
                <w:color w:val="auto"/>
              </w:rPr>
            </w:pPr>
            <w:r>
              <w:rPr>
                <w:rFonts w:ascii="Arial" w:cs="Arial" w:eastAsia="Arial" w:hAnsi="Arial"/>
                <w:sz w:val="11"/>
                <w:szCs w:val="11"/>
                <w:b w:val="1"/>
                <w:bCs w:val="1"/>
                <w:color w:val="auto"/>
                <w:w w:val="90"/>
              </w:rPr>
              <w:t>Market Value of</w:t>
            </w:r>
          </w:p>
        </w:tc>
      </w:tr>
      <w:tr>
        <w:trPr>
          <w:trHeight w:val="135"/>
        </w:trPr>
        <w:tc>
          <w:tcPr>
            <w:tcW w:w="1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8"/>
              </w:rPr>
              <w:t>Unexercised</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0" w:type="dxa"/>
            <w:vAlign w:val="bottom"/>
            <w:gridSpan w:val="3"/>
          </w:tcPr>
          <w:p>
            <w:pPr>
              <w:jc w:val="center"/>
              <w:ind w:right="320"/>
              <w:spacing w:after="0"/>
              <w:rPr>
                <w:sz w:val="20"/>
                <w:szCs w:val="20"/>
                <w:color w:val="auto"/>
              </w:rPr>
            </w:pPr>
            <w:r>
              <w:rPr>
                <w:rFonts w:ascii="Arial" w:cs="Arial" w:eastAsia="Arial" w:hAnsi="Arial"/>
                <w:sz w:val="11"/>
                <w:szCs w:val="11"/>
                <w:b w:val="1"/>
                <w:bCs w:val="1"/>
                <w:color w:val="auto"/>
                <w:w w:val="85"/>
              </w:rPr>
              <w:t>Unexercised</w:t>
            </w:r>
          </w:p>
        </w:tc>
        <w:tc>
          <w:tcPr>
            <w:tcW w:w="700" w:type="dxa"/>
            <w:vAlign w:val="bottom"/>
            <w:gridSpan w:val="2"/>
          </w:tcPr>
          <w:p>
            <w:pPr>
              <w:jc w:val="right"/>
              <w:ind w:right="320"/>
              <w:spacing w:after="0"/>
              <w:rPr>
                <w:sz w:val="20"/>
                <w:szCs w:val="20"/>
                <w:color w:val="auto"/>
              </w:rPr>
            </w:pPr>
            <w:r>
              <w:rPr>
                <w:rFonts w:ascii="Arial" w:cs="Arial" w:eastAsia="Arial" w:hAnsi="Arial"/>
                <w:sz w:val="11"/>
                <w:szCs w:val="11"/>
                <w:b w:val="1"/>
                <w:bCs w:val="1"/>
                <w:color w:val="auto"/>
              </w:rPr>
              <w:t>Option</w:t>
            </w:r>
          </w:p>
        </w:tc>
        <w:tc>
          <w:tcPr>
            <w:tcW w:w="680" w:type="dxa"/>
            <w:vAlign w:val="bottom"/>
          </w:tcPr>
          <w:p>
            <w:pPr>
              <w:jc w:val="center"/>
              <w:spacing w:after="0"/>
              <w:rPr>
                <w:sz w:val="20"/>
                <w:szCs w:val="20"/>
                <w:color w:val="auto"/>
              </w:rPr>
            </w:pPr>
            <w:r>
              <w:rPr>
                <w:rFonts w:ascii="Arial" w:cs="Arial" w:eastAsia="Arial" w:hAnsi="Arial"/>
                <w:sz w:val="11"/>
                <w:szCs w:val="11"/>
                <w:b w:val="1"/>
                <w:bCs w:val="1"/>
                <w:color w:val="auto"/>
                <w:w w:val="90"/>
              </w:rPr>
              <w:t>Option</w:t>
            </w:r>
          </w:p>
        </w:tc>
        <w:tc>
          <w:tcPr>
            <w:tcW w:w="160" w:type="dxa"/>
            <w:vAlign w:val="bottom"/>
          </w:tcPr>
          <w:p>
            <w:pPr>
              <w:spacing w:after="0"/>
              <w:rPr>
                <w:sz w:val="11"/>
                <w:szCs w:val="11"/>
                <w:color w:val="auto"/>
              </w:rPr>
            </w:pPr>
          </w:p>
        </w:tc>
        <w:tc>
          <w:tcPr>
            <w:tcW w:w="800" w:type="dxa"/>
            <w:vAlign w:val="bottom"/>
            <w:gridSpan w:val="2"/>
          </w:tcPr>
          <w:p>
            <w:pPr>
              <w:jc w:val="center"/>
              <w:ind w:right="133"/>
              <w:spacing w:after="0"/>
              <w:rPr>
                <w:sz w:val="20"/>
                <w:szCs w:val="20"/>
                <w:color w:val="auto"/>
              </w:rPr>
            </w:pPr>
            <w:r>
              <w:rPr>
                <w:rFonts w:ascii="Arial" w:cs="Arial" w:eastAsia="Arial" w:hAnsi="Arial"/>
                <w:sz w:val="11"/>
                <w:szCs w:val="11"/>
                <w:b w:val="1"/>
                <w:bCs w:val="1"/>
                <w:color w:val="auto"/>
                <w:w w:val="90"/>
              </w:rPr>
              <w:t>Stock that</w:t>
            </w:r>
          </w:p>
        </w:tc>
        <w:tc>
          <w:tcPr>
            <w:tcW w:w="940" w:type="dxa"/>
            <w:vAlign w:val="bottom"/>
            <w:gridSpan w:val="2"/>
          </w:tcPr>
          <w:p>
            <w:pPr>
              <w:jc w:val="center"/>
              <w:ind w:right="31"/>
              <w:spacing w:after="0"/>
              <w:rPr>
                <w:sz w:val="20"/>
                <w:szCs w:val="20"/>
                <w:color w:val="auto"/>
              </w:rPr>
            </w:pPr>
            <w:r>
              <w:rPr>
                <w:rFonts w:ascii="Arial" w:cs="Arial" w:eastAsia="Arial" w:hAnsi="Arial"/>
                <w:sz w:val="11"/>
                <w:szCs w:val="11"/>
                <w:b w:val="1"/>
                <w:bCs w:val="1"/>
                <w:color w:val="auto"/>
                <w:w w:val="86"/>
              </w:rPr>
              <w:t>Shares or Units</w:t>
            </w:r>
          </w:p>
        </w:tc>
      </w:tr>
      <w:tr>
        <w:trPr>
          <w:trHeight w:val="135"/>
        </w:trPr>
        <w:tc>
          <w:tcPr>
            <w:tcW w:w="1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1"/>
              </w:rPr>
              <w:t>Options</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0" w:type="dxa"/>
            <w:vAlign w:val="bottom"/>
            <w:gridSpan w:val="3"/>
          </w:tcPr>
          <w:p>
            <w:pPr>
              <w:jc w:val="center"/>
              <w:ind w:right="340"/>
              <w:spacing w:after="0"/>
              <w:rPr>
                <w:sz w:val="20"/>
                <w:szCs w:val="20"/>
                <w:color w:val="auto"/>
              </w:rPr>
            </w:pPr>
            <w:r>
              <w:rPr>
                <w:rFonts w:ascii="Arial" w:cs="Arial" w:eastAsia="Arial" w:hAnsi="Arial"/>
                <w:sz w:val="11"/>
                <w:szCs w:val="11"/>
                <w:b w:val="1"/>
                <w:bCs w:val="1"/>
                <w:color w:val="auto"/>
                <w:w w:val="91"/>
              </w:rPr>
              <w:t>Options</w:t>
            </w:r>
          </w:p>
        </w:tc>
        <w:tc>
          <w:tcPr>
            <w:tcW w:w="700" w:type="dxa"/>
            <w:vAlign w:val="bottom"/>
            <w:gridSpan w:val="2"/>
          </w:tcPr>
          <w:p>
            <w:pPr>
              <w:jc w:val="right"/>
              <w:ind w:right="300"/>
              <w:spacing w:after="0"/>
              <w:rPr>
                <w:sz w:val="20"/>
                <w:szCs w:val="20"/>
                <w:color w:val="auto"/>
              </w:rPr>
            </w:pPr>
            <w:r>
              <w:rPr>
                <w:rFonts w:ascii="Arial" w:cs="Arial" w:eastAsia="Arial" w:hAnsi="Arial"/>
                <w:sz w:val="11"/>
                <w:szCs w:val="11"/>
                <w:b w:val="1"/>
                <w:bCs w:val="1"/>
                <w:color w:val="auto"/>
                <w:w w:val="83"/>
              </w:rPr>
              <w:t>Exercise</w:t>
            </w:r>
          </w:p>
        </w:tc>
        <w:tc>
          <w:tcPr>
            <w:tcW w:w="680" w:type="dxa"/>
            <w:vAlign w:val="bottom"/>
          </w:tcPr>
          <w:p>
            <w:pPr>
              <w:jc w:val="center"/>
              <w:spacing w:after="0"/>
              <w:rPr>
                <w:sz w:val="20"/>
                <w:szCs w:val="20"/>
                <w:color w:val="auto"/>
              </w:rPr>
            </w:pPr>
            <w:r>
              <w:rPr>
                <w:rFonts w:ascii="Arial" w:cs="Arial" w:eastAsia="Arial" w:hAnsi="Arial"/>
                <w:sz w:val="11"/>
                <w:szCs w:val="11"/>
                <w:b w:val="1"/>
                <w:bCs w:val="1"/>
                <w:color w:val="auto"/>
                <w:w w:val="92"/>
              </w:rPr>
              <w:t>Expiration</w:t>
            </w:r>
          </w:p>
        </w:tc>
        <w:tc>
          <w:tcPr>
            <w:tcW w:w="160" w:type="dxa"/>
            <w:vAlign w:val="bottom"/>
          </w:tcPr>
          <w:p>
            <w:pPr>
              <w:spacing w:after="0"/>
              <w:rPr>
                <w:sz w:val="11"/>
                <w:szCs w:val="11"/>
                <w:color w:val="auto"/>
              </w:rPr>
            </w:pPr>
          </w:p>
        </w:tc>
        <w:tc>
          <w:tcPr>
            <w:tcW w:w="800" w:type="dxa"/>
            <w:vAlign w:val="bottom"/>
            <w:gridSpan w:val="2"/>
          </w:tcPr>
          <w:p>
            <w:pPr>
              <w:jc w:val="center"/>
              <w:ind w:right="133"/>
              <w:spacing w:after="0"/>
              <w:rPr>
                <w:sz w:val="20"/>
                <w:szCs w:val="20"/>
                <w:color w:val="auto"/>
              </w:rPr>
            </w:pPr>
            <w:r>
              <w:rPr>
                <w:rFonts w:ascii="Arial" w:cs="Arial" w:eastAsia="Arial" w:hAnsi="Arial"/>
                <w:sz w:val="11"/>
                <w:szCs w:val="11"/>
                <w:b w:val="1"/>
                <w:bCs w:val="1"/>
                <w:color w:val="auto"/>
                <w:w w:val="92"/>
              </w:rPr>
              <w:t>Have Not</w:t>
            </w:r>
          </w:p>
        </w:tc>
        <w:tc>
          <w:tcPr>
            <w:tcW w:w="940" w:type="dxa"/>
            <w:vAlign w:val="bottom"/>
            <w:gridSpan w:val="2"/>
          </w:tcPr>
          <w:p>
            <w:pPr>
              <w:jc w:val="center"/>
              <w:ind w:right="31"/>
              <w:spacing w:after="0"/>
              <w:rPr>
                <w:sz w:val="20"/>
                <w:szCs w:val="20"/>
                <w:color w:val="auto"/>
              </w:rPr>
            </w:pPr>
            <w:r>
              <w:rPr>
                <w:rFonts w:ascii="Arial" w:cs="Arial" w:eastAsia="Arial" w:hAnsi="Arial"/>
                <w:sz w:val="11"/>
                <w:szCs w:val="11"/>
                <w:b w:val="1"/>
                <w:bCs w:val="1"/>
                <w:color w:val="auto"/>
                <w:w w:val="93"/>
              </w:rPr>
              <w:t>that Have Not</w:t>
            </w:r>
          </w:p>
        </w:tc>
      </w:tr>
      <w:tr>
        <w:trPr>
          <w:trHeight w:val="142"/>
        </w:trPr>
        <w:tc>
          <w:tcPr>
            <w:tcW w:w="1220" w:type="dxa"/>
            <w:vAlign w:val="bottom"/>
          </w:tcPr>
          <w:p>
            <w:pPr>
              <w:spacing w:after="0"/>
              <w:rPr>
                <w:sz w:val="12"/>
                <w:szCs w:val="12"/>
                <w:color w:val="auto"/>
              </w:rPr>
            </w:pPr>
          </w:p>
        </w:tc>
        <w:tc>
          <w:tcPr>
            <w:tcW w:w="3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1"/>
              </w:rPr>
              <w:t>Class</w:t>
            </w:r>
          </w:p>
        </w:tc>
        <w:tc>
          <w:tcPr>
            <w:tcW w:w="180" w:type="dxa"/>
            <w:vAlign w:val="bottom"/>
          </w:tcPr>
          <w:p>
            <w:pPr>
              <w:spacing w:after="0"/>
              <w:rPr>
                <w:sz w:val="12"/>
                <w:szCs w:val="12"/>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8"/>
              </w:rPr>
              <w:t>Exercisable</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center"/>
              <w:ind w:right="26"/>
              <w:spacing w:after="0"/>
              <w:rPr>
                <w:sz w:val="20"/>
                <w:szCs w:val="20"/>
                <w:color w:val="auto"/>
              </w:rPr>
            </w:pPr>
            <w:r>
              <w:rPr>
                <w:rFonts w:ascii="Arial" w:cs="Arial" w:eastAsia="Arial" w:hAnsi="Arial"/>
                <w:sz w:val="11"/>
                <w:szCs w:val="11"/>
                <w:b w:val="1"/>
                <w:bCs w:val="1"/>
                <w:color w:val="auto"/>
                <w:w w:val="88"/>
              </w:rPr>
              <w:t>Unexercisable</w:t>
            </w: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b w:val="1"/>
                <w:bCs w:val="1"/>
                <w:color w:val="auto"/>
                <w:w w:val="92"/>
              </w:rPr>
              <w:t>Price ($)</w:t>
            </w:r>
          </w:p>
        </w:tc>
        <w:tc>
          <w:tcPr>
            <w:tcW w:w="160" w:type="dxa"/>
            <w:vAlign w:val="bottom"/>
          </w:tcPr>
          <w:p>
            <w:pPr>
              <w:spacing w:after="0"/>
              <w:rPr>
                <w:sz w:val="12"/>
                <w:szCs w:val="12"/>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3"/>
              </w:rPr>
              <w:t>Date</w:t>
            </w:r>
          </w:p>
        </w:tc>
        <w:tc>
          <w:tcPr>
            <w:tcW w:w="160" w:type="dxa"/>
            <w:vAlign w:val="bottom"/>
          </w:tcPr>
          <w:p>
            <w:pPr>
              <w:spacing w:after="0"/>
              <w:rPr>
                <w:sz w:val="12"/>
                <w:szCs w:val="12"/>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3"/>
              </w:rPr>
              <w:t>Vested</w:t>
            </w:r>
          </w:p>
        </w:tc>
        <w:tc>
          <w:tcPr>
            <w:tcW w:w="160" w:type="dxa"/>
            <w:vAlign w:val="bottom"/>
          </w:tcPr>
          <w:p>
            <w:pPr>
              <w:spacing w:after="0"/>
              <w:rPr>
                <w:sz w:val="12"/>
                <w:szCs w:val="12"/>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7"/>
              </w:rPr>
              <w:t>Vested ($)</w:t>
            </w:r>
          </w:p>
        </w:tc>
        <w:tc>
          <w:tcPr>
            <w:tcW w:w="80" w:type="dxa"/>
            <w:vAlign w:val="bottom"/>
          </w:tcPr>
          <w:p>
            <w:pPr>
              <w:spacing w:after="0"/>
              <w:rPr>
                <w:sz w:val="12"/>
                <w:szCs w:val="12"/>
                <w:color w:val="auto"/>
              </w:rPr>
            </w:pPr>
          </w:p>
        </w:tc>
      </w:tr>
      <w:tr>
        <w:trPr>
          <w:trHeight w:val="126"/>
        </w:trPr>
        <w:tc>
          <w:tcPr>
            <w:tcW w:w="1220" w:type="dxa"/>
            <w:vAlign w:val="bottom"/>
            <w:shd w:val="clear" w:color="auto" w:fill="CCEEFF"/>
          </w:tcPr>
          <w:p>
            <w:pPr>
              <w:ind w:left="80"/>
              <w:spacing w:after="0"/>
              <w:rPr>
                <w:sz w:val="20"/>
                <w:szCs w:val="20"/>
                <w:color w:val="auto"/>
              </w:rPr>
            </w:pPr>
            <w:r>
              <w:rPr>
                <w:rFonts w:ascii="Arial" w:cs="Arial" w:eastAsia="Arial" w:hAnsi="Arial"/>
                <w:sz w:val="11"/>
                <w:szCs w:val="11"/>
                <w:color w:val="auto"/>
              </w:rPr>
              <w:t xml:space="preserve">James J. Cotter, Jr. </w:t>
            </w:r>
            <w:r>
              <w:rPr>
                <w:rFonts w:ascii="Arial" w:cs="Arial" w:eastAsia="Arial" w:hAnsi="Arial"/>
                <w:sz w:val="11"/>
                <w:szCs w:val="11"/>
                <w:color w:val="auto"/>
                <w:vertAlign w:val="superscript"/>
              </w:rPr>
              <w:t>(1)</w:t>
            </w:r>
          </w:p>
        </w:tc>
        <w:tc>
          <w:tcPr>
            <w:tcW w:w="360" w:type="dxa"/>
            <w:vAlign w:val="bottom"/>
            <w:shd w:val="clear" w:color="auto" w:fill="CCEEFF"/>
          </w:tcPr>
          <w:p>
            <w:pPr>
              <w:jc w:val="center"/>
              <w:spacing w:after="0"/>
              <w:rPr>
                <w:sz w:val="20"/>
                <w:szCs w:val="20"/>
                <w:color w:val="auto"/>
              </w:rPr>
            </w:pPr>
            <w:r>
              <w:rPr>
                <w:rFonts w:ascii="Arial" w:cs="Arial" w:eastAsia="Arial" w:hAnsi="Arial"/>
                <w:sz w:val="11"/>
                <w:szCs w:val="11"/>
                <w:color w:val="auto"/>
              </w:rPr>
              <w:t>A</w:t>
            </w:r>
          </w:p>
        </w:tc>
        <w:tc>
          <w:tcPr>
            <w:tcW w:w="180" w:type="dxa"/>
            <w:vAlign w:val="bottom"/>
            <w:shd w:val="clear" w:color="auto" w:fill="CCEEFF"/>
          </w:tcPr>
          <w:p>
            <w:pPr>
              <w:spacing w:after="0"/>
              <w:rPr>
                <w:sz w:val="10"/>
                <w:szCs w:val="1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25,000</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1"/>
                <w:szCs w:val="11"/>
                <w:color w:val="auto"/>
                <w:w w:val="71"/>
              </w:rPr>
              <w:t>20,000</w:t>
            </w: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6.31</w:t>
            </w:r>
          </w:p>
        </w:tc>
        <w:tc>
          <w:tcPr>
            <w:tcW w:w="68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87"/>
              </w:rPr>
              <w:t>06/02/2018</w:t>
            </w: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60" w:type="dxa"/>
            <w:vAlign w:val="bottom"/>
            <w:shd w:val="clear" w:color="auto" w:fill="CCEEFF"/>
          </w:tcPr>
          <w:p>
            <w:pPr>
              <w:jc w:val="right"/>
              <w:ind w:right="93"/>
              <w:spacing w:after="0"/>
              <w:rPr>
                <w:sz w:val="20"/>
                <w:szCs w:val="20"/>
                <w:color w:val="auto"/>
              </w:rPr>
            </w:pPr>
            <w:r>
              <w:rPr>
                <w:rFonts w:ascii="Arial" w:cs="Arial" w:eastAsia="Arial" w:hAnsi="Arial"/>
                <w:sz w:val="5"/>
                <w:szCs w:val="5"/>
                <w:color w:val="auto"/>
                <w:w w:val="70"/>
              </w:rPr>
              <w:t>0</w:t>
            </w:r>
          </w:p>
        </w:tc>
        <w:tc>
          <w:tcPr>
            <w:tcW w:w="860" w:type="dxa"/>
            <w:vAlign w:val="bottom"/>
            <w:shd w:val="clear" w:color="auto" w:fill="CCEEFF"/>
          </w:tcPr>
          <w:p>
            <w:pPr>
              <w:spacing w:after="0"/>
              <w:rPr>
                <w:sz w:val="10"/>
                <w:szCs w:val="10"/>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0</w:t>
            </w:r>
          </w:p>
        </w:tc>
      </w:tr>
      <w:tr>
        <w:trPr>
          <w:trHeight w:val="135"/>
        </w:trPr>
        <w:tc>
          <w:tcPr>
            <w:tcW w:w="1220" w:type="dxa"/>
            <w:vAlign w:val="bottom"/>
          </w:tcPr>
          <w:p>
            <w:pPr>
              <w:ind w:left="80"/>
              <w:spacing w:after="0"/>
              <w:rPr>
                <w:sz w:val="20"/>
                <w:szCs w:val="20"/>
                <w:color w:val="auto"/>
              </w:rPr>
            </w:pPr>
            <w:r>
              <w:rPr>
                <w:rFonts w:ascii="Arial" w:cs="Arial" w:eastAsia="Arial" w:hAnsi="Arial"/>
                <w:sz w:val="11"/>
                <w:szCs w:val="11"/>
                <w:color w:val="auto"/>
              </w:rPr>
              <w:t>Ellen M. Cotter</w:t>
            </w:r>
          </w:p>
        </w:tc>
        <w:tc>
          <w:tcPr>
            <w:tcW w:w="360" w:type="dxa"/>
            <w:vAlign w:val="bottom"/>
          </w:tcPr>
          <w:p>
            <w:pPr>
              <w:jc w:val="center"/>
              <w:spacing w:after="0"/>
              <w:rPr>
                <w:sz w:val="20"/>
                <w:szCs w:val="20"/>
                <w:color w:val="auto"/>
              </w:rPr>
            </w:pPr>
            <w:r>
              <w:rPr>
                <w:rFonts w:ascii="Arial" w:cs="Arial" w:eastAsia="Arial" w:hAnsi="Arial"/>
                <w:sz w:val="11"/>
                <w:szCs w:val="11"/>
                <w:color w:val="auto"/>
              </w:rPr>
              <w:t>A</w:t>
            </w:r>
          </w:p>
        </w:tc>
        <w:tc>
          <w:tcPr>
            <w:tcW w:w="1040" w:type="dxa"/>
            <w:vAlign w:val="bottom"/>
            <w:gridSpan w:val="3"/>
          </w:tcPr>
          <w:p>
            <w:pPr>
              <w:jc w:val="right"/>
              <w:ind w:right="60"/>
              <w:spacing w:after="0"/>
              <w:rPr>
                <w:sz w:val="20"/>
                <w:szCs w:val="20"/>
                <w:color w:val="auto"/>
              </w:rPr>
            </w:pPr>
            <w:r>
              <w:rPr>
                <w:rFonts w:ascii="Arial" w:cs="Arial" w:eastAsia="Arial" w:hAnsi="Arial"/>
                <w:sz w:val="11"/>
                <w:szCs w:val="11"/>
                <w:color w:val="auto"/>
              </w:rPr>
              <w:t>20,000</w:t>
            </w:r>
          </w:p>
        </w:tc>
        <w:tc>
          <w:tcPr>
            <w:tcW w:w="12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1"/>
                <w:szCs w:val="11"/>
                <w:color w:val="auto"/>
              </w:rPr>
              <w:t>5.55</w:t>
            </w:r>
          </w:p>
        </w:tc>
        <w:tc>
          <w:tcPr>
            <w:tcW w:w="680" w:type="dxa"/>
            <w:vAlign w:val="bottom"/>
          </w:tcPr>
          <w:p>
            <w:pPr>
              <w:jc w:val="center"/>
              <w:spacing w:after="0"/>
              <w:rPr>
                <w:sz w:val="20"/>
                <w:szCs w:val="20"/>
                <w:color w:val="auto"/>
              </w:rPr>
            </w:pPr>
            <w:r>
              <w:rPr>
                <w:rFonts w:ascii="Arial" w:cs="Arial" w:eastAsia="Arial" w:hAnsi="Arial"/>
                <w:sz w:val="11"/>
                <w:szCs w:val="11"/>
                <w:color w:val="auto"/>
                <w:w w:val="87"/>
              </w:rPr>
              <w:t>03/06/2018</w:t>
            </w:r>
          </w:p>
        </w:tc>
        <w:tc>
          <w:tcPr>
            <w:tcW w:w="960" w:type="dxa"/>
            <w:vAlign w:val="bottom"/>
            <w:gridSpan w:val="3"/>
          </w:tcPr>
          <w:p>
            <w:pPr>
              <w:jc w:val="right"/>
              <w:ind w:right="93"/>
              <w:spacing w:after="0"/>
              <w:rPr>
                <w:sz w:val="20"/>
                <w:szCs w:val="20"/>
                <w:color w:val="auto"/>
              </w:rPr>
            </w:pPr>
            <w:r>
              <w:rPr>
                <w:rFonts w:ascii="Arial" w:cs="Arial" w:eastAsia="Arial" w:hAnsi="Arial"/>
                <w:sz w:val="11"/>
                <w:szCs w:val="11"/>
                <w:color w:val="auto"/>
              </w:rPr>
              <w:t>0</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0</w:t>
            </w:r>
          </w:p>
        </w:tc>
      </w:tr>
      <w:tr>
        <w:trPr>
          <w:trHeight w:val="135"/>
        </w:trPr>
        <w:tc>
          <w:tcPr>
            <w:tcW w:w="1220" w:type="dxa"/>
            <w:vAlign w:val="bottom"/>
            <w:shd w:val="clear" w:color="auto" w:fill="CCEEFF"/>
          </w:tcPr>
          <w:p>
            <w:pPr>
              <w:ind w:left="80"/>
              <w:spacing w:after="0"/>
              <w:rPr>
                <w:sz w:val="20"/>
                <w:szCs w:val="20"/>
                <w:color w:val="auto"/>
              </w:rPr>
            </w:pPr>
            <w:r>
              <w:rPr>
                <w:rFonts w:ascii="Arial" w:cs="Arial" w:eastAsia="Arial" w:hAnsi="Arial"/>
                <w:sz w:val="11"/>
                <w:szCs w:val="11"/>
                <w:color w:val="auto"/>
              </w:rPr>
              <w:t>William Ellis</w:t>
            </w:r>
            <w:r>
              <w:rPr>
                <w:rFonts w:ascii="Arial" w:cs="Arial" w:eastAsia="Arial" w:hAnsi="Arial"/>
                <w:sz w:val="11"/>
                <w:szCs w:val="11"/>
                <w:color w:val="auto"/>
                <w:vertAlign w:val="superscript"/>
              </w:rPr>
              <w:t>(2)</w:t>
            </w:r>
          </w:p>
        </w:tc>
        <w:tc>
          <w:tcPr>
            <w:tcW w:w="360" w:type="dxa"/>
            <w:vAlign w:val="bottom"/>
            <w:shd w:val="clear" w:color="auto" w:fill="CCEEFF"/>
          </w:tcPr>
          <w:p>
            <w:pPr>
              <w:jc w:val="center"/>
              <w:spacing w:after="0"/>
              <w:rPr>
                <w:sz w:val="20"/>
                <w:szCs w:val="20"/>
                <w:color w:val="auto"/>
              </w:rPr>
            </w:pPr>
            <w:r>
              <w:rPr>
                <w:rFonts w:ascii="Arial" w:cs="Arial" w:eastAsia="Arial" w:hAnsi="Arial"/>
                <w:sz w:val="11"/>
                <w:szCs w:val="11"/>
                <w:color w:val="auto"/>
              </w:rPr>
              <w:t>A</w:t>
            </w:r>
          </w:p>
        </w:tc>
        <w:tc>
          <w:tcPr>
            <w:tcW w:w="1040" w:type="dxa"/>
            <w:vAlign w:val="bottom"/>
            <w:gridSpan w:val="3"/>
            <w:shd w:val="clear" w:color="auto" w:fill="CCEEFF"/>
          </w:tcPr>
          <w:p>
            <w:pPr>
              <w:jc w:val="right"/>
              <w:ind w:right="60"/>
              <w:spacing w:after="0"/>
              <w:rPr>
                <w:sz w:val="20"/>
                <w:szCs w:val="20"/>
                <w:color w:val="auto"/>
              </w:rPr>
            </w:pPr>
            <w:r>
              <w:rPr>
                <w:rFonts w:ascii="Arial" w:cs="Arial" w:eastAsia="Arial" w:hAnsi="Arial"/>
                <w:sz w:val="11"/>
                <w:szCs w:val="11"/>
                <w:color w:val="auto"/>
              </w:rPr>
              <w:t>8,815</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00" w:type="dxa"/>
            <w:vAlign w:val="bottom"/>
            <w:gridSpan w:val="2"/>
            <w:shd w:val="clear" w:color="auto" w:fill="CCEEFF"/>
          </w:tcPr>
          <w:p>
            <w:pPr>
              <w:ind w:left="480"/>
              <w:spacing w:after="0"/>
              <w:rPr>
                <w:sz w:val="20"/>
                <w:szCs w:val="20"/>
                <w:color w:val="auto"/>
              </w:rPr>
            </w:pPr>
            <w:r>
              <w:rPr>
                <w:rFonts w:ascii="Arial" w:cs="Arial" w:eastAsia="Arial" w:hAnsi="Arial"/>
                <w:sz w:val="11"/>
                <w:szCs w:val="11"/>
                <w:color w:val="auto"/>
              </w:rPr>
              <w:t>40,000</w:t>
            </w:r>
          </w:p>
        </w:tc>
        <w:tc>
          <w:tcPr>
            <w:tcW w:w="10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8.94</w:t>
            </w:r>
          </w:p>
        </w:tc>
        <w:tc>
          <w:tcPr>
            <w:tcW w:w="68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87"/>
              </w:rPr>
              <w:t>12/31/2016</w:t>
            </w:r>
          </w:p>
        </w:tc>
        <w:tc>
          <w:tcPr>
            <w:tcW w:w="960" w:type="dxa"/>
            <w:vAlign w:val="bottom"/>
            <w:gridSpan w:val="3"/>
            <w:shd w:val="clear" w:color="auto" w:fill="CCEEFF"/>
          </w:tcPr>
          <w:p>
            <w:pPr>
              <w:jc w:val="right"/>
              <w:ind w:right="93"/>
              <w:spacing w:after="0"/>
              <w:rPr>
                <w:sz w:val="20"/>
                <w:szCs w:val="20"/>
                <w:color w:val="auto"/>
              </w:rPr>
            </w:pPr>
            <w:r>
              <w:rPr>
                <w:rFonts w:ascii="Arial" w:cs="Arial" w:eastAsia="Arial" w:hAnsi="Arial"/>
                <w:sz w:val="11"/>
                <w:szCs w:val="11"/>
                <w:color w:val="auto"/>
              </w:rPr>
              <w:t>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0</w:t>
            </w:r>
          </w:p>
        </w:tc>
      </w:tr>
      <w:tr>
        <w:trPr>
          <w:trHeight w:val="144"/>
        </w:trPr>
        <w:tc>
          <w:tcPr>
            <w:tcW w:w="1220" w:type="dxa"/>
            <w:vAlign w:val="bottom"/>
          </w:tcPr>
          <w:p>
            <w:pPr>
              <w:ind w:left="80"/>
              <w:spacing w:after="0"/>
              <w:rPr>
                <w:sz w:val="20"/>
                <w:szCs w:val="20"/>
                <w:color w:val="auto"/>
              </w:rPr>
            </w:pPr>
            <w:r>
              <w:rPr>
                <w:rFonts w:ascii="Arial" w:cs="Arial" w:eastAsia="Arial" w:hAnsi="Arial"/>
                <w:sz w:val="11"/>
                <w:szCs w:val="11"/>
                <w:color w:val="auto"/>
              </w:rPr>
              <w:t>Devasis Ghose</w:t>
            </w:r>
          </w:p>
        </w:tc>
        <w:tc>
          <w:tcPr>
            <w:tcW w:w="360" w:type="dxa"/>
            <w:vAlign w:val="bottom"/>
          </w:tcPr>
          <w:p>
            <w:pPr>
              <w:jc w:val="center"/>
              <w:spacing w:after="0"/>
              <w:rPr>
                <w:sz w:val="20"/>
                <w:szCs w:val="20"/>
                <w:color w:val="auto"/>
              </w:rPr>
            </w:pPr>
            <w:r>
              <w:rPr>
                <w:rFonts w:ascii="Arial" w:cs="Arial" w:eastAsia="Arial" w:hAnsi="Arial"/>
                <w:sz w:val="11"/>
                <w:szCs w:val="11"/>
                <w:color w:val="auto"/>
              </w:rPr>
              <w:t>A</w:t>
            </w:r>
          </w:p>
        </w:tc>
        <w:tc>
          <w:tcPr>
            <w:tcW w:w="920" w:type="dxa"/>
            <w:vAlign w:val="bottom"/>
            <w:gridSpan w:val="2"/>
          </w:tcPr>
          <w:p>
            <w:pPr>
              <w:ind w:left="160"/>
              <w:spacing w:after="0"/>
              <w:rPr>
                <w:sz w:val="20"/>
                <w:szCs w:val="20"/>
                <w:color w:val="auto"/>
              </w:rPr>
            </w:pPr>
            <w:r>
              <w:rPr>
                <w:rFonts w:ascii="Arial" w:cs="Arial" w:eastAsia="Arial" w:hAnsi="Arial"/>
                <w:sz w:val="11"/>
                <w:szCs w:val="11"/>
                <w:color w:val="auto"/>
              </w:rPr>
              <w:t>25,000</w:t>
            </w:r>
            <w:r>
              <w:rPr>
                <w:rFonts w:ascii="Arial" w:cs="Arial" w:eastAsia="Arial" w:hAnsi="Arial"/>
                <w:sz w:val="11"/>
                <w:szCs w:val="11"/>
                <w:color w:val="auto"/>
                <w:vertAlign w:val="superscript"/>
              </w:rPr>
              <w:t>(3)</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2"/>
          </w:tcPr>
          <w:p>
            <w:pPr>
              <w:ind w:left="480"/>
              <w:spacing w:after="0"/>
              <w:rPr>
                <w:sz w:val="20"/>
                <w:szCs w:val="20"/>
                <w:color w:val="auto"/>
              </w:rPr>
            </w:pPr>
            <w:r>
              <w:rPr>
                <w:rFonts w:ascii="Arial" w:cs="Arial" w:eastAsia="Arial" w:hAnsi="Arial"/>
                <w:sz w:val="11"/>
                <w:szCs w:val="11"/>
                <w:color w:val="auto"/>
              </w:rPr>
              <w:t>75,000</w:t>
            </w:r>
          </w:p>
        </w:tc>
        <w:tc>
          <w:tcPr>
            <w:tcW w:w="100" w:type="dxa"/>
            <w:vAlign w:val="bottom"/>
          </w:tcPr>
          <w:p>
            <w:pPr>
              <w:spacing w:after="0"/>
              <w:rPr>
                <w:sz w:val="12"/>
                <w:szCs w:val="12"/>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1"/>
                <w:szCs w:val="11"/>
                <w:color w:val="auto"/>
              </w:rPr>
              <w:t>13.42</w:t>
            </w:r>
          </w:p>
        </w:tc>
        <w:tc>
          <w:tcPr>
            <w:tcW w:w="680" w:type="dxa"/>
            <w:vAlign w:val="bottom"/>
          </w:tcPr>
          <w:p>
            <w:pPr>
              <w:jc w:val="center"/>
              <w:spacing w:after="0"/>
              <w:rPr>
                <w:sz w:val="20"/>
                <w:szCs w:val="20"/>
                <w:color w:val="auto"/>
              </w:rPr>
            </w:pPr>
            <w:r>
              <w:rPr>
                <w:rFonts w:ascii="Arial" w:cs="Arial" w:eastAsia="Arial" w:hAnsi="Arial"/>
                <w:sz w:val="11"/>
                <w:szCs w:val="11"/>
                <w:color w:val="auto"/>
                <w:w w:val="87"/>
              </w:rPr>
              <w:t>05/10/2020</w:t>
            </w: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30"/>
        </w:trPr>
        <w:tc>
          <w:tcPr>
            <w:tcW w:w="1220" w:type="dxa"/>
            <w:vAlign w:val="bottom"/>
            <w:shd w:val="clear" w:color="auto" w:fill="CCEEFF"/>
          </w:tcPr>
          <w:p>
            <w:pPr>
              <w:ind w:left="80"/>
              <w:spacing w:after="0"/>
              <w:rPr>
                <w:sz w:val="20"/>
                <w:szCs w:val="20"/>
                <w:color w:val="auto"/>
              </w:rPr>
            </w:pPr>
            <w:r>
              <w:rPr>
                <w:rFonts w:ascii="Arial" w:cs="Arial" w:eastAsia="Arial" w:hAnsi="Arial"/>
                <w:sz w:val="11"/>
                <w:szCs w:val="11"/>
                <w:color w:val="auto"/>
              </w:rPr>
              <w:t>Andrzej J.</w:t>
            </w:r>
          </w:p>
        </w:tc>
        <w:tc>
          <w:tcPr>
            <w:tcW w:w="360" w:type="dxa"/>
            <w:vAlign w:val="bottom"/>
            <w:shd w:val="clear" w:color="auto" w:fill="CCEEFF"/>
          </w:tcPr>
          <w:p>
            <w:pPr>
              <w:jc w:val="center"/>
              <w:spacing w:after="0"/>
              <w:rPr>
                <w:sz w:val="20"/>
                <w:szCs w:val="20"/>
                <w:color w:val="auto"/>
              </w:rPr>
            </w:pPr>
            <w:r>
              <w:rPr>
                <w:rFonts w:ascii="Arial" w:cs="Arial" w:eastAsia="Arial" w:hAnsi="Arial"/>
                <w:sz w:val="11"/>
                <w:szCs w:val="11"/>
                <w:color w:val="auto"/>
              </w:rPr>
              <w:t>A</w:t>
            </w:r>
          </w:p>
        </w:tc>
        <w:tc>
          <w:tcPr>
            <w:tcW w:w="1040" w:type="dxa"/>
            <w:vAlign w:val="bottom"/>
            <w:gridSpan w:val="3"/>
            <w:shd w:val="clear" w:color="auto" w:fill="CCEEFF"/>
          </w:tcPr>
          <w:p>
            <w:pPr>
              <w:jc w:val="right"/>
              <w:ind w:right="60"/>
              <w:spacing w:after="0"/>
              <w:rPr>
                <w:sz w:val="20"/>
                <w:szCs w:val="20"/>
                <w:color w:val="auto"/>
              </w:rPr>
            </w:pPr>
            <w:r>
              <w:rPr>
                <w:rFonts w:ascii="Arial" w:cs="Arial" w:eastAsia="Arial" w:hAnsi="Arial"/>
                <w:sz w:val="11"/>
                <w:szCs w:val="11"/>
                <w:color w:val="auto"/>
              </w:rPr>
              <w:t>25,000</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6.02</w:t>
            </w:r>
          </w:p>
        </w:tc>
        <w:tc>
          <w:tcPr>
            <w:tcW w:w="68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87"/>
              </w:rPr>
              <w:t>08/22/2022</w:t>
            </w:r>
          </w:p>
        </w:tc>
        <w:tc>
          <w:tcPr>
            <w:tcW w:w="960" w:type="dxa"/>
            <w:vAlign w:val="bottom"/>
            <w:gridSpan w:val="3"/>
            <w:shd w:val="clear" w:color="auto" w:fill="CCEEFF"/>
          </w:tcPr>
          <w:p>
            <w:pPr>
              <w:jc w:val="right"/>
              <w:ind w:right="93"/>
              <w:spacing w:after="0"/>
              <w:rPr>
                <w:sz w:val="20"/>
                <w:szCs w:val="20"/>
                <w:color w:val="auto"/>
              </w:rPr>
            </w:pPr>
            <w:r>
              <w:rPr>
                <w:rFonts w:ascii="Arial" w:cs="Arial" w:eastAsia="Arial" w:hAnsi="Arial"/>
                <w:sz w:val="11"/>
                <w:szCs w:val="11"/>
                <w:color w:val="auto"/>
              </w:rPr>
              <w:t>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0</w:t>
            </w:r>
          </w:p>
        </w:tc>
      </w:tr>
      <w:tr>
        <w:trPr>
          <w:trHeight w:val="140"/>
        </w:trPr>
        <w:tc>
          <w:tcPr>
            <w:tcW w:w="1220" w:type="dxa"/>
            <w:vAlign w:val="bottom"/>
            <w:shd w:val="clear" w:color="auto" w:fill="CCEEFF"/>
          </w:tcPr>
          <w:p>
            <w:pPr>
              <w:ind w:left="80"/>
              <w:spacing w:after="0"/>
              <w:rPr>
                <w:sz w:val="20"/>
                <w:szCs w:val="20"/>
                <w:color w:val="auto"/>
              </w:rPr>
            </w:pPr>
            <w:r>
              <w:rPr>
                <w:rFonts w:ascii="Arial" w:cs="Arial" w:eastAsia="Arial" w:hAnsi="Arial"/>
                <w:sz w:val="11"/>
                <w:szCs w:val="11"/>
                <w:color w:val="auto"/>
              </w:rPr>
              <w:t>Matyczynski</w:t>
            </w:r>
          </w:p>
        </w:tc>
        <w:tc>
          <w:tcPr>
            <w:tcW w:w="3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35"/>
        </w:trPr>
        <w:tc>
          <w:tcPr>
            <w:tcW w:w="1220" w:type="dxa"/>
            <w:vAlign w:val="bottom"/>
          </w:tcPr>
          <w:p>
            <w:pPr>
              <w:ind w:left="80"/>
              <w:spacing w:after="0"/>
              <w:rPr>
                <w:sz w:val="20"/>
                <w:szCs w:val="20"/>
                <w:color w:val="auto"/>
              </w:rPr>
            </w:pPr>
            <w:r>
              <w:rPr>
                <w:rFonts w:ascii="Arial" w:cs="Arial" w:eastAsia="Arial" w:hAnsi="Arial"/>
                <w:sz w:val="11"/>
                <w:szCs w:val="11"/>
                <w:color w:val="auto"/>
              </w:rPr>
              <w:t>Robert F. Smerling</w:t>
            </w:r>
          </w:p>
        </w:tc>
        <w:tc>
          <w:tcPr>
            <w:tcW w:w="360" w:type="dxa"/>
            <w:vAlign w:val="bottom"/>
          </w:tcPr>
          <w:p>
            <w:pPr>
              <w:jc w:val="center"/>
              <w:spacing w:after="0"/>
              <w:rPr>
                <w:sz w:val="20"/>
                <w:szCs w:val="20"/>
                <w:color w:val="auto"/>
              </w:rPr>
            </w:pPr>
            <w:r>
              <w:rPr>
                <w:rFonts w:ascii="Arial" w:cs="Arial" w:eastAsia="Arial" w:hAnsi="Arial"/>
                <w:sz w:val="11"/>
                <w:szCs w:val="11"/>
                <w:color w:val="auto"/>
              </w:rPr>
              <w:t>A</w:t>
            </w:r>
          </w:p>
        </w:tc>
        <w:tc>
          <w:tcPr>
            <w:tcW w:w="1040" w:type="dxa"/>
            <w:vAlign w:val="bottom"/>
            <w:gridSpan w:val="3"/>
          </w:tcPr>
          <w:p>
            <w:pPr>
              <w:jc w:val="right"/>
              <w:ind w:right="60"/>
              <w:spacing w:after="0"/>
              <w:rPr>
                <w:sz w:val="20"/>
                <w:szCs w:val="20"/>
                <w:color w:val="auto"/>
              </w:rPr>
            </w:pPr>
            <w:r>
              <w:rPr>
                <w:rFonts w:ascii="Arial" w:cs="Arial" w:eastAsia="Arial" w:hAnsi="Arial"/>
                <w:sz w:val="11"/>
                <w:szCs w:val="11"/>
                <w:color w:val="auto"/>
              </w:rPr>
              <w:t>43,750</w:t>
            </w:r>
          </w:p>
        </w:tc>
        <w:tc>
          <w:tcPr>
            <w:tcW w:w="12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1"/>
                <w:szCs w:val="11"/>
                <w:color w:val="auto"/>
              </w:rPr>
              <w:t>10.24</w:t>
            </w:r>
          </w:p>
        </w:tc>
        <w:tc>
          <w:tcPr>
            <w:tcW w:w="680" w:type="dxa"/>
            <w:vAlign w:val="bottom"/>
          </w:tcPr>
          <w:p>
            <w:pPr>
              <w:jc w:val="center"/>
              <w:spacing w:after="0"/>
              <w:rPr>
                <w:sz w:val="20"/>
                <w:szCs w:val="20"/>
                <w:color w:val="auto"/>
              </w:rPr>
            </w:pPr>
            <w:r>
              <w:rPr>
                <w:rFonts w:ascii="Arial" w:cs="Arial" w:eastAsia="Arial" w:hAnsi="Arial"/>
                <w:sz w:val="11"/>
                <w:szCs w:val="11"/>
                <w:color w:val="auto"/>
                <w:w w:val="87"/>
              </w:rPr>
              <w:t>05/08/2017</w:t>
            </w:r>
          </w:p>
        </w:tc>
        <w:tc>
          <w:tcPr>
            <w:tcW w:w="960" w:type="dxa"/>
            <w:vAlign w:val="bottom"/>
            <w:gridSpan w:val="3"/>
          </w:tcPr>
          <w:p>
            <w:pPr>
              <w:jc w:val="right"/>
              <w:ind w:right="93"/>
              <w:spacing w:after="0"/>
              <w:rPr>
                <w:sz w:val="20"/>
                <w:szCs w:val="20"/>
                <w:color w:val="auto"/>
              </w:rPr>
            </w:pPr>
            <w:r>
              <w:rPr>
                <w:rFonts w:ascii="Arial" w:cs="Arial" w:eastAsia="Arial" w:hAnsi="Arial"/>
                <w:sz w:val="11"/>
                <w:szCs w:val="11"/>
                <w:color w:val="auto"/>
              </w:rPr>
              <w:t>0</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0</w:t>
            </w:r>
          </w:p>
        </w:tc>
      </w:tr>
      <w:tr>
        <w:trPr>
          <w:trHeight w:val="135"/>
        </w:trPr>
        <w:tc>
          <w:tcPr>
            <w:tcW w:w="1220" w:type="dxa"/>
            <w:vAlign w:val="bottom"/>
            <w:shd w:val="clear" w:color="auto" w:fill="CCEEFF"/>
          </w:tcPr>
          <w:p>
            <w:pPr>
              <w:ind w:left="80"/>
              <w:spacing w:after="0"/>
              <w:rPr>
                <w:sz w:val="20"/>
                <w:szCs w:val="20"/>
                <w:color w:val="auto"/>
              </w:rPr>
            </w:pPr>
            <w:r>
              <w:rPr>
                <w:rFonts w:ascii="Arial" w:cs="Arial" w:eastAsia="Arial" w:hAnsi="Arial"/>
                <w:sz w:val="11"/>
                <w:szCs w:val="11"/>
                <w:color w:val="auto"/>
              </w:rPr>
              <w:t>Wayne Smith</w:t>
            </w:r>
          </w:p>
        </w:tc>
        <w:tc>
          <w:tcPr>
            <w:tcW w:w="360" w:type="dxa"/>
            <w:vAlign w:val="bottom"/>
            <w:shd w:val="clear" w:color="auto" w:fill="CCEEFF"/>
          </w:tcPr>
          <w:p>
            <w:pPr>
              <w:jc w:val="center"/>
              <w:spacing w:after="0"/>
              <w:rPr>
                <w:sz w:val="20"/>
                <w:szCs w:val="20"/>
                <w:color w:val="auto"/>
              </w:rPr>
            </w:pPr>
            <w:r>
              <w:rPr>
                <w:rFonts w:ascii="Arial" w:cs="Arial" w:eastAsia="Arial" w:hAnsi="Arial"/>
                <w:sz w:val="11"/>
                <w:szCs w:val="11"/>
                <w:color w:val="auto"/>
              </w:rPr>
              <w:t>A</w:t>
            </w:r>
          </w:p>
        </w:tc>
        <w:tc>
          <w:tcPr>
            <w:tcW w:w="920" w:type="dxa"/>
            <w:vAlign w:val="bottom"/>
            <w:gridSpan w:val="2"/>
            <w:shd w:val="clear" w:color="auto" w:fill="CCEEFF"/>
          </w:tcPr>
          <w:p>
            <w:pPr>
              <w:ind w:left="16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1"/>
                <w:szCs w:val="11"/>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0" w:type="dxa"/>
            <w:vAlign w:val="bottom"/>
            <w:gridSpan w:val="3"/>
            <w:shd w:val="clear" w:color="auto" w:fill="CCEEFF"/>
          </w:tcPr>
          <w:p>
            <w:pPr>
              <w:ind w:left="900"/>
              <w:spacing w:after="0"/>
              <w:rPr>
                <w:sz w:val="20"/>
                <w:szCs w:val="20"/>
                <w:color w:val="auto"/>
              </w:rPr>
            </w:pPr>
            <w:r>
              <w:rPr>
                <w:rFonts w:ascii="Arial" w:cs="Arial" w:eastAsia="Arial" w:hAnsi="Arial"/>
                <w:sz w:val="11"/>
                <w:szCs w:val="11"/>
                <w:color w:val="auto"/>
              </w:rPr>
              <w:t>--</w:t>
            </w: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1"/>
                <w:szCs w:val="11"/>
                <w:color w:val="auto"/>
              </w:rPr>
              <w:t>--</w:t>
            </w:r>
          </w:p>
        </w:tc>
        <w:tc>
          <w:tcPr>
            <w:tcW w:w="800" w:type="dxa"/>
            <w:vAlign w:val="bottom"/>
            <w:gridSpan w:val="2"/>
            <w:shd w:val="clear" w:color="auto" w:fill="CCEEFF"/>
          </w:tcPr>
          <w:p>
            <w:pPr>
              <w:jc w:val="right"/>
              <w:ind w:right="266"/>
              <w:spacing w:after="0"/>
              <w:rPr>
                <w:sz w:val="20"/>
                <w:szCs w:val="20"/>
                <w:color w:val="auto"/>
              </w:rPr>
            </w:pPr>
            <w:r>
              <w:rPr>
                <w:rFonts w:ascii="Arial" w:cs="Arial" w:eastAsia="Arial" w:hAnsi="Arial"/>
                <w:sz w:val="11"/>
                <w:szCs w:val="11"/>
                <w:color w:val="auto"/>
              </w:rPr>
              <w:t>3,000</w:t>
            </w:r>
            <w:r>
              <w:rPr>
                <w:rFonts w:ascii="Arial" w:cs="Arial" w:eastAsia="Arial" w:hAnsi="Arial"/>
                <w:sz w:val="11"/>
                <w:szCs w:val="11"/>
                <w:color w:val="auto"/>
                <w:vertAlign w:val="superscript"/>
              </w:rPr>
              <w:t>(4)</w:t>
            </w:r>
          </w:p>
        </w:tc>
        <w:tc>
          <w:tcPr>
            <w:tcW w:w="16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42,000</w:t>
            </w:r>
          </w:p>
        </w:tc>
      </w:tr>
    </w:tbl>
    <w:p>
      <w:pPr>
        <w:spacing w:after="0" w:line="249" w:lineRule="exact"/>
        <w:rPr>
          <w:sz w:val="20"/>
          <w:szCs w:val="20"/>
          <w:color w:val="auto"/>
        </w:rPr>
      </w:pPr>
    </w:p>
    <w:p>
      <w:pPr>
        <w:ind w:left="340" w:hanging="119"/>
        <w:spacing w:after="0" w:line="268" w:lineRule="auto"/>
        <w:tabs>
          <w:tab w:leader="none" w:pos="340" w:val="left"/>
        </w:tabs>
        <w:numPr>
          <w:ilvl w:val="0"/>
          <w:numId w:val="68"/>
        </w:numPr>
        <w:rPr>
          <w:rFonts w:ascii="Arial" w:cs="Arial" w:eastAsia="Arial" w:hAnsi="Arial"/>
          <w:sz w:val="8"/>
          <w:szCs w:val="8"/>
          <w:color w:val="auto"/>
        </w:rPr>
      </w:pPr>
      <w:r>
        <w:rPr>
          <w:rFonts w:ascii="Arial" w:cs="Arial" w:eastAsia="Arial" w:hAnsi="Arial"/>
          <w:sz w:val="8"/>
          <w:szCs w:val="8"/>
          <w:color w:val="auto"/>
        </w:rPr>
        <w:t>Mr. Cotter, Jr. has stated that he has unvested options to acquire 50,000 shares of Class A Stock at an exercise price of $6.31 per share, expiring February 6, 2018, of an original stock option grant of 100,000 Class A Stock. Mr. Cotter, Jr. exercised 50,000 stock options in June 2015. The Company’s position is that all unvested options expired upon the termination of Mr. Cotter, Jr.’s employment. The matter is under review by the Company.</w:t>
      </w:r>
    </w:p>
    <w:p>
      <w:pPr>
        <w:ind w:left="360" w:hanging="139"/>
        <w:spacing w:after="0" w:line="206" w:lineRule="auto"/>
        <w:tabs>
          <w:tab w:leader="none" w:pos="360" w:val="left"/>
        </w:tabs>
        <w:numPr>
          <w:ilvl w:val="0"/>
          <w:numId w:val="68"/>
        </w:numPr>
        <w:rPr>
          <w:rFonts w:ascii="Arial" w:cs="Arial" w:eastAsia="Arial" w:hAnsi="Arial"/>
          <w:sz w:val="10"/>
          <w:szCs w:val="10"/>
          <w:color w:val="auto"/>
        </w:rPr>
      </w:pPr>
      <w:r>
        <w:rPr>
          <w:rFonts w:ascii="Arial" w:cs="Arial" w:eastAsia="Arial" w:hAnsi="Arial"/>
          <w:sz w:val="10"/>
          <w:szCs w:val="10"/>
          <w:color w:val="auto"/>
        </w:rPr>
        <w:t>Mr. Ellis resigned effective March 11, 2106. As part of his separation agreement, 20,000 of the 40,000 remaining unvested shares will vest on October 20, 2016. Thereafter, no additional options will vest.</w:t>
      </w:r>
    </w:p>
    <w:p>
      <w:pPr>
        <w:ind w:left="740" w:hanging="519"/>
        <w:spacing w:after="0" w:line="206" w:lineRule="auto"/>
        <w:tabs>
          <w:tab w:leader="none" w:pos="740" w:val="left"/>
        </w:tabs>
        <w:numPr>
          <w:ilvl w:val="0"/>
          <w:numId w:val="68"/>
        </w:numPr>
        <w:rPr>
          <w:rFonts w:ascii="Arial" w:cs="Arial" w:eastAsia="Arial" w:hAnsi="Arial"/>
          <w:sz w:val="10"/>
          <w:szCs w:val="10"/>
          <w:color w:val="auto"/>
        </w:rPr>
      </w:pPr>
      <w:r>
        <w:rPr>
          <w:rFonts w:ascii="Arial" w:cs="Arial" w:eastAsia="Arial" w:hAnsi="Arial"/>
          <w:sz w:val="10"/>
          <w:szCs w:val="10"/>
          <w:color w:val="auto"/>
        </w:rPr>
        <w:t>25,000 of Mr. Ghose’s options will vest on May 11, 2016.</w:t>
      </w:r>
    </w:p>
    <w:p>
      <w:pPr>
        <w:ind w:left="460" w:hanging="239"/>
        <w:spacing w:after="0" w:line="236" w:lineRule="auto"/>
        <w:tabs>
          <w:tab w:leader="none" w:pos="460" w:val="left"/>
        </w:tabs>
        <w:numPr>
          <w:ilvl w:val="0"/>
          <w:numId w:val="68"/>
        </w:numPr>
        <w:rPr>
          <w:rFonts w:ascii="Arial" w:cs="Arial" w:eastAsia="Arial" w:hAnsi="Arial"/>
          <w:sz w:val="10"/>
          <w:szCs w:val="10"/>
          <w:color w:val="auto"/>
        </w:rPr>
      </w:pPr>
      <w:r>
        <w:rPr>
          <w:rFonts w:ascii="Arial" w:cs="Arial" w:eastAsia="Arial" w:hAnsi="Arial"/>
          <w:sz w:val="10"/>
          <w:szCs w:val="10"/>
          <w:color w:val="auto"/>
        </w:rPr>
        <w:t>Mr. Smith was granted 6,000 restricted shares of Class A stock on July 16, 2015, which vest over two years in annual installments.</w:t>
      </w:r>
    </w:p>
    <w:p>
      <w:pPr>
        <w:spacing w:after="0" w:line="10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Option Exercises and Stock Vested</w:t>
      </w:r>
    </w:p>
    <w:p>
      <w:pPr>
        <w:spacing w:after="0" w:line="127" w:lineRule="exact"/>
        <w:rPr>
          <w:sz w:val="20"/>
          <w:szCs w:val="20"/>
          <w:color w:val="auto"/>
        </w:rPr>
      </w:pPr>
    </w:p>
    <w:p>
      <w:pPr>
        <w:ind w:left="440"/>
        <w:spacing w:after="0"/>
        <w:rPr>
          <w:sz w:val="20"/>
          <w:szCs w:val="20"/>
          <w:color w:val="auto"/>
        </w:rPr>
      </w:pPr>
      <w:r>
        <w:rPr>
          <w:rFonts w:ascii="Arial" w:cs="Arial" w:eastAsia="Arial" w:hAnsi="Arial"/>
          <w:sz w:val="11"/>
          <w:szCs w:val="11"/>
          <w:color w:val="auto"/>
        </w:rPr>
        <w:t>The following table contains information for our named executive officers concerning the option awards that were exercised and stock awards that vested during the year ended December 31, 2015:</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40" w:type="dxa"/>
            <w:vAlign w:val="bottom"/>
            <w:gridSpan w:val="4"/>
          </w:tcPr>
          <w:p>
            <w:pPr>
              <w:jc w:val="right"/>
              <w:ind w:right="660"/>
              <w:spacing w:after="0"/>
              <w:rPr>
                <w:sz w:val="20"/>
                <w:szCs w:val="20"/>
                <w:color w:val="auto"/>
              </w:rPr>
            </w:pPr>
            <w:r>
              <w:rPr>
                <w:rFonts w:ascii="Arial" w:cs="Arial" w:eastAsia="Arial" w:hAnsi="Arial"/>
                <w:sz w:val="11"/>
                <w:szCs w:val="11"/>
                <w:b w:val="1"/>
                <w:bCs w:val="1"/>
                <w:color w:val="auto"/>
              </w:rPr>
              <w:t>Option Awards</w:t>
            </w:r>
          </w:p>
        </w:tc>
        <w:tc>
          <w:tcPr>
            <w:tcW w:w="1820" w:type="dxa"/>
            <w:vAlign w:val="bottom"/>
            <w:gridSpan w:val="5"/>
          </w:tcPr>
          <w:p>
            <w:pPr>
              <w:jc w:val="right"/>
              <w:ind w:right="640"/>
              <w:spacing w:after="0"/>
              <w:rPr>
                <w:sz w:val="20"/>
                <w:szCs w:val="20"/>
                <w:color w:val="auto"/>
              </w:rPr>
            </w:pPr>
            <w:r>
              <w:rPr>
                <w:rFonts w:ascii="Arial" w:cs="Arial" w:eastAsia="Arial" w:hAnsi="Arial"/>
                <w:sz w:val="11"/>
                <w:szCs w:val="11"/>
                <w:b w:val="1"/>
                <w:bCs w:val="1"/>
                <w:color w:val="auto"/>
              </w:rPr>
              <w:t>Stock Awards</w:t>
            </w:r>
          </w:p>
        </w:tc>
      </w:tr>
      <w:tr>
        <w:trPr>
          <w:trHeight w:val="109"/>
        </w:trPr>
        <w:tc>
          <w:tcPr>
            <w:tcW w:w="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Borders>
              <w:top w:val="single" w:sz="8" w:color="auto"/>
              <w:bottom w:val="single" w:sz="8" w:color="auto"/>
            </w:tcBorders>
          </w:tcPr>
          <w:p>
            <w:pPr>
              <w:jc w:val="right"/>
              <w:ind w:right="6"/>
              <w:spacing w:after="0" w:line="102" w:lineRule="exact"/>
              <w:rPr>
                <w:sz w:val="20"/>
                <w:szCs w:val="20"/>
                <w:color w:val="auto"/>
              </w:rPr>
            </w:pPr>
            <w:r>
              <w:rPr>
                <w:rFonts w:ascii="Arial" w:cs="Arial" w:eastAsia="Arial" w:hAnsi="Arial"/>
                <w:sz w:val="11"/>
                <w:szCs w:val="11"/>
                <w:b w:val="1"/>
                <w:bCs w:val="1"/>
                <w:color w:val="auto"/>
              </w:rPr>
              <w:t>Class</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760" w:type="dxa"/>
            <w:vAlign w:val="bottom"/>
            <w:tcBorders>
              <w:top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tcBorders>
              <w:top w:val="single" w:sz="8" w:color="auto"/>
            </w:tcBorders>
            <w:gridSpan w:val="2"/>
          </w:tcPr>
          <w:p>
            <w:pPr>
              <w:jc w:val="center"/>
              <w:ind w:right="80"/>
              <w:spacing w:after="0" w:line="102" w:lineRule="exact"/>
              <w:rPr>
                <w:sz w:val="20"/>
                <w:szCs w:val="20"/>
                <w:color w:val="auto"/>
              </w:rPr>
            </w:pPr>
            <w:r>
              <w:rPr>
                <w:rFonts w:ascii="Arial" w:cs="Arial" w:eastAsia="Arial" w:hAnsi="Arial"/>
                <w:sz w:val="11"/>
                <w:szCs w:val="11"/>
                <w:b w:val="1"/>
                <w:bCs w:val="1"/>
                <w:color w:val="auto"/>
                <w:w w:val="94"/>
              </w:rPr>
              <w:t>Number of</w:t>
            </w:r>
          </w:p>
        </w:tc>
        <w:tc>
          <w:tcPr>
            <w:tcW w:w="80" w:type="dxa"/>
            <w:vAlign w:val="bottom"/>
            <w:tcBorders>
              <w:top w:val="single" w:sz="8" w:color="auto"/>
            </w:tcBorders>
          </w:tcPr>
          <w:p>
            <w:pPr>
              <w:spacing w:after="0"/>
              <w:rPr>
                <w:sz w:val="9"/>
                <w:szCs w:val="9"/>
                <w:color w:val="auto"/>
              </w:rPr>
            </w:pPr>
          </w:p>
        </w:tc>
        <w:tc>
          <w:tcPr>
            <w:tcW w:w="82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r>
      <w:tr>
        <w:trPr>
          <w:trHeight w:val="108"/>
        </w:trPr>
        <w:tc>
          <w:tcPr>
            <w:tcW w:w="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gridSpan w:val="2"/>
          </w:tcPr>
          <w:p>
            <w:pPr>
              <w:jc w:val="center"/>
              <w:ind w:right="180"/>
              <w:spacing w:after="0" w:line="108" w:lineRule="exact"/>
              <w:rPr>
                <w:sz w:val="20"/>
                <w:szCs w:val="20"/>
                <w:color w:val="auto"/>
              </w:rPr>
            </w:pPr>
            <w:r>
              <w:rPr>
                <w:rFonts w:ascii="Arial" w:cs="Arial" w:eastAsia="Arial" w:hAnsi="Arial"/>
                <w:sz w:val="11"/>
                <w:szCs w:val="11"/>
                <w:b w:val="1"/>
                <w:bCs w:val="1"/>
                <w:color w:val="auto"/>
                <w:w w:val="90"/>
              </w:rPr>
              <w:t>Number of</w:t>
            </w: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gridSpan w:val="2"/>
          </w:tcPr>
          <w:p>
            <w:pPr>
              <w:jc w:val="center"/>
              <w:ind w:right="80"/>
              <w:spacing w:after="0" w:line="108" w:lineRule="exact"/>
              <w:rPr>
                <w:sz w:val="20"/>
                <w:szCs w:val="20"/>
                <w:color w:val="auto"/>
              </w:rPr>
            </w:pPr>
            <w:r>
              <w:rPr>
                <w:rFonts w:ascii="Arial" w:cs="Arial" w:eastAsia="Arial" w:hAnsi="Arial"/>
                <w:sz w:val="11"/>
                <w:szCs w:val="11"/>
                <w:b w:val="1"/>
                <w:bCs w:val="1"/>
                <w:color w:val="auto"/>
                <w:w w:val="87"/>
              </w:rPr>
              <w:t>Shares</w:t>
            </w: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r>
      <w:tr>
        <w:trPr>
          <w:trHeight w:val="135"/>
        </w:trPr>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gridSpan w:val="3"/>
          </w:tcPr>
          <w:p>
            <w:pPr>
              <w:jc w:val="center"/>
              <w:ind w:right="80"/>
              <w:spacing w:after="0"/>
              <w:rPr>
                <w:sz w:val="20"/>
                <w:szCs w:val="20"/>
                <w:color w:val="auto"/>
              </w:rPr>
            </w:pPr>
            <w:r>
              <w:rPr>
                <w:rFonts w:ascii="Arial" w:cs="Arial" w:eastAsia="Arial" w:hAnsi="Arial"/>
                <w:sz w:val="11"/>
                <w:szCs w:val="11"/>
                <w:b w:val="1"/>
                <w:bCs w:val="1"/>
                <w:color w:val="auto"/>
                <w:w w:val="86"/>
              </w:rPr>
              <w:t>Shares Acquired</w:t>
            </w:r>
          </w:p>
        </w:tc>
        <w:tc>
          <w:tcPr>
            <w:tcW w:w="920" w:type="dxa"/>
            <w:vAlign w:val="bottom"/>
            <w:gridSpan w:val="2"/>
          </w:tcPr>
          <w:p>
            <w:pPr>
              <w:jc w:val="right"/>
              <w:ind w:right="200"/>
              <w:spacing w:after="0"/>
              <w:rPr>
                <w:sz w:val="20"/>
                <w:szCs w:val="20"/>
                <w:color w:val="auto"/>
              </w:rPr>
            </w:pPr>
            <w:r>
              <w:rPr>
                <w:rFonts w:ascii="Arial" w:cs="Arial" w:eastAsia="Arial" w:hAnsi="Arial"/>
                <w:sz w:val="11"/>
                <w:szCs w:val="11"/>
                <w:b w:val="1"/>
                <w:bCs w:val="1"/>
                <w:color w:val="auto"/>
                <w:w w:val="90"/>
              </w:rPr>
              <w:t>Value Realized</w:t>
            </w:r>
          </w:p>
        </w:tc>
        <w:tc>
          <w:tcPr>
            <w:tcW w:w="84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87"/>
              </w:rPr>
              <w:t>Acquired on</w:t>
            </w:r>
          </w:p>
        </w:tc>
        <w:tc>
          <w:tcPr>
            <w:tcW w:w="980" w:type="dxa"/>
            <w:vAlign w:val="bottom"/>
            <w:gridSpan w:val="3"/>
          </w:tcPr>
          <w:p>
            <w:pPr>
              <w:jc w:val="right"/>
              <w:ind w:right="80"/>
              <w:spacing w:after="0"/>
              <w:rPr>
                <w:sz w:val="20"/>
                <w:szCs w:val="20"/>
                <w:color w:val="auto"/>
              </w:rPr>
            </w:pPr>
            <w:r>
              <w:rPr>
                <w:rFonts w:ascii="Arial" w:cs="Arial" w:eastAsia="Arial" w:hAnsi="Arial"/>
                <w:sz w:val="11"/>
                <w:szCs w:val="11"/>
                <w:b w:val="1"/>
                <w:bCs w:val="1"/>
                <w:color w:val="auto"/>
                <w:w w:val="94"/>
              </w:rPr>
              <w:t>Value Realized on</w:t>
            </w:r>
          </w:p>
        </w:tc>
      </w:tr>
      <w:tr>
        <w:trPr>
          <w:trHeight w:val="147"/>
        </w:trPr>
        <w:tc>
          <w:tcPr>
            <w:tcW w:w="80" w:type="dxa"/>
            <w:vAlign w:val="bottom"/>
          </w:tcPr>
          <w:p>
            <w:pPr>
              <w:spacing w:after="0"/>
              <w:rPr>
                <w:sz w:val="12"/>
                <w:szCs w:val="12"/>
                <w:color w:val="auto"/>
              </w:rPr>
            </w:pPr>
          </w:p>
        </w:tc>
        <w:tc>
          <w:tcPr>
            <w:tcW w:w="104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rPr>
              <w:t>Name</w:t>
            </w: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4"/>
              </w:rPr>
              <w:t>on Exercise</w:t>
            </w:r>
          </w:p>
        </w:tc>
        <w:tc>
          <w:tcPr>
            <w:tcW w:w="160" w:type="dxa"/>
            <w:vAlign w:val="bottom"/>
          </w:tcPr>
          <w:p>
            <w:pPr>
              <w:spacing w:after="0"/>
              <w:rPr>
                <w:sz w:val="12"/>
                <w:szCs w:val="1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89"/>
              </w:rPr>
              <w:t>on Exercise ($)</w:t>
            </w:r>
          </w:p>
        </w:tc>
        <w:tc>
          <w:tcPr>
            <w:tcW w:w="160" w:type="dxa"/>
            <w:vAlign w:val="bottom"/>
          </w:tcPr>
          <w:p>
            <w:pPr>
              <w:spacing w:after="0"/>
              <w:rPr>
                <w:sz w:val="12"/>
                <w:szCs w:val="12"/>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0"/>
              </w:rPr>
              <w:t>Vesting</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Vesting ($)</w:t>
            </w:r>
          </w:p>
        </w:tc>
        <w:tc>
          <w:tcPr>
            <w:tcW w:w="80" w:type="dxa"/>
            <w:vAlign w:val="bottom"/>
          </w:tcPr>
          <w:p>
            <w:pPr>
              <w:spacing w:after="0"/>
              <w:rPr>
                <w:sz w:val="12"/>
                <w:szCs w:val="12"/>
                <w:color w:val="auto"/>
              </w:rPr>
            </w:pPr>
          </w:p>
        </w:tc>
      </w:tr>
      <w:tr>
        <w:trPr>
          <w:trHeight w:val="131"/>
        </w:trPr>
        <w:tc>
          <w:tcPr>
            <w:tcW w:w="80" w:type="dxa"/>
            <w:vAlign w:val="bottom"/>
          </w:tcPr>
          <w:p>
            <w:pPr>
              <w:spacing w:after="0"/>
              <w:rPr>
                <w:sz w:val="11"/>
                <w:szCs w:val="11"/>
                <w:color w:val="auto"/>
              </w:rPr>
            </w:pPr>
          </w:p>
        </w:tc>
        <w:tc>
          <w:tcPr>
            <w:tcW w:w="1200" w:type="dxa"/>
            <w:vAlign w:val="bottom"/>
            <w:gridSpan w:val="2"/>
          </w:tcPr>
          <w:p>
            <w:pPr>
              <w:spacing w:after="0"/>
              <w:rPr>
                <w:sz w:val="11"/>
                <w:szCs w:val="11"/>
                <w:color w:val="auto"/>
              </w:rPr>
            </w:pPr>
          </w:p>
        </w:tc>
        <w:tc>
          <w:tcPr>
            <w:tcW w:w="460" w:type="dxa"/>
            <w:vAlign w:val="bottom"/>
            <w:gridSpan w:val="2"/>
          </w:tcPr>
          <w:p>
            <w:pPr>
              <w:spacing w:after="0"/>
              <w:rPr>
                <w:sz w:val="11"/>
                <w:szCs w:val="11"/>
                <w:color w:val="auto"/>
              </w:rPr>
            </w:pPr>
          </w:p>
        </w:tc>
        <w:tc>
          <w:tcPr>
            <w:tcW w:w="1000" w:type="dxa"/>
            <w:vAlign w:val="bottom"/>
            <w:gridSpan w:val="3"/>
          </w:tcPr>
          <w:p>
            <w:pPr>
              <w:spacing w:after="0"/>
              <w:rPr>
                <w:sz w:val="11"/>
                <w:szCs w:val="11"/>
                <w:color w:val="auto"/>
              </w:rPr>
            </w:pPr>
          </w:p>
        </w:tc>
        <w:tc>
          <w:tcPr>
            <w:tcW w:w="920" w:type="dxa"/>
            <w:vAlign w:val="bottom"/>
            <w:gridSpan w:val="2"/>
          </w:tcPr>
          <w:p>
            <w:pPr>
              <w:spacing w:after="0"/>
              <w:rPr>
                <w:sz w:val="11"/>
                <w:szCs w:val="11"/>
                <w:color w:val="auto"/>
              </w:rPr>
            </w:pPr>
          </w:p>
        </w:tc>
        <w:tc>
          <w:tcPr>
            <w:tcW w:w="840" w:type="dxa"/>
            <w:vAlign w:val="bottom"/>
            <w:gridSpan w:val="2"/>
          </w:tcPr>
          <w:p>
            <w:pPr>
              <w:spacing w:after="0"/>
              <w:rPr>
                <w:sz w:val="11"/>
                <w:szCs w:val="11"/>
                <w:color w:val="auto"/>
              </w:rPr>
            </w:pPr>
          </w:p>
        </w:tc>
        <w:tc>
          <w:tcPr>
            <w:tcW w:w="980" w:type="dxa"/>
            <w:vAlign w:val="bottom"/>
            <w:gridSpan w:val="3"/>
          </w:tcPr>
          <w:p>
            <w:pPr>
              <w:spacing w:after="0"/>
              <w:rPr>
                <w:sz w:val="11"/>
                <w:szCs w:val="11"/>
                <w:color w:val="auto"/>
              </w:rPr>
            </w:pPr>
          </w:p>
        </w:tc>
      </w:tr>
      <w:tr>
        <w:trPr>
          <w:trHeight w:val="135"/>
        </w:trPr>
        <w:tc>
          <w:tcPr>
            <w:tcW w:w="80" w:type="dxa"/>
            <w:vAlign w:val="bottom"/>
            <w:shd w:val="clear" w:color="auto" w:fill="CCEEFF"/>
          </w:tcPr>
          <w:p>
            <w:pPr>
              <w:spacing w:after="0"/>
              <w:rPr>
                <w:sz w:val="11"/>
                <w:szCs w:val="11"/>
                <w:color w:val="auto"/>
              </w:rPr>
            </w:pPr>
          </w:p>
        </w:tc>
        <w:tc>
          <w:tcPr>
            <w:tcW w:w="120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James J. Cotter, Sr.</w:t>
            </w: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B</w:t>
            </w: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1"/>
                <w:szCs w:val="11"/>
                <w:color w:val="auto"/>
              </w:rPr>
              <w:t>100,000</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1,024,000</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980" w:type="dxa"/>
            <w:vAlign w:val="bottom"/>
            <w:gridSpan w:val="3"/>
            <w:shd w:val="clear" w:color="auto" w:fill="CCEEFF"/>
          </w:tcPr>
          <w:p>
            <w:pPr>
              <w:jc w:val="right"/>
              <w:ind w:right="80"/>
              <w:spacing w:after="0"/>
              <w:rPr>
                <w:sz w:val="20"/>
                <w:szCs w:val="20"/>
                <w:color w:val="auto"/>
              </w:rPr>
            </w:pPr>
            <w:r>
              <w:rPr>
                <w:rFonts w:ascii="Arial" w:cs="Arial" w:eastAsia="Arial" w:hAnsi="Arial"/>
                <w:sz w:val="11"/>
                <w:szCs w:val="11"/>
                <w:color w:val="auto"/>
              </w:rPr>
              <w:t>--</w:t>
            </w:r>
          </w:p>
        </w:tc>
      </w:tr>
      <w:tr>
        <w:trPr>
          <w:trHeight w:val="144"/>
        </w:trPr>
        <w:tc>
          <w:tcPr>
            <w:tcW w:w="80" w:type="dxa"/>
            <w:vAlign w:val="bottom"/>
          </w:tcPr>
          <w:p>
            <w:pPr>
              <w:spacing w:after="0"/>
              <w:rPr>
                <w:sz w:val="12"/>
                <w:szCs w:val="12"/>
                <w:color w:val="auto"/>
              </w:rPr>
            </w:pPr>
          </w:p>
        </w:tc>
        <w:tc>
          <w:tcPr>
            <w:tcW w:w="1200" w:type="dxa"/>
            <w:vAlign w:val="bottom"/>
            <w:gridSpan w:val="2"/>
          </w:tcPr>
          <w:p>
            <w:pPr>
              <w:spacing w:after="0"/>
              <w:rPr>
                <w:sz w:val="20"/>
                <w:szCs w:val="20"/>
                <w:color w:val="auto"/>
              </w:rPr>
            </w:pPr>
            <w:r>
              <w:rPr>
                <w:rFonts w:ascii="Arial" w:cs="Arial" w:eastAsia="Arial" w:hAnsi="Arial"/>
                <w:sz w:val="11"/>
                <w:szCs w:val="11"/>
                <w:color w:val="auto"/>
              </w:rPr>
              <w:t xml:space="preserve">James J. Cotter, Jr. </w:t>
            </w:r>
            <w:r>
              <w:rPr>
                <w:rFonts w:ascii="Arial" w:cs="Arial" w:eastAsia="Arial" w:hAnsi="Arial"/>
                <w:sz w:val="11"/>
                <w:szCs w:val="11"/>
                <w:color w:val="auto"/>
                <w:vertAlign w:val="superscript"/>
              </w:rPr>
              <w:t>(1)</w:t>
            </w:r>
          </w:p>
        </w:tc>
        <w:tc>
          <w:tcPr>
            <w:tcW w:w="460" w:type="dxa"/>
            <w:vAlign w:val="bottom"/>
            <w:gridSpan w:val="2"/>
          </w:tcPr>
          <w:p>
            <w:pPr>
              <w:jc w:val="right"/>
              <w:ind w:right="80"/>
              <w:spacing w:after="0"/>
              <w:rPr>
                <w:sz w:val="20"/>
                <w:szCs w:val="20"/>
                <w:color w:val="auto"/>
              </w:rPr>
            </w:pPr>
            <w:r>
              <w:rPr>
                <w:rFonts w:ascii="Arial" w:cs="Arial" w:eastAsia="Arial" w:hAnsi="Arial"/>
                <w:sz w:val="11"/>
                <w:szCs w:val="11"/>
                <w:color w:val="auto"/>
              </w:rPr>
              <w:t>A</w:t>
            </w:r>
          </w:p>
        </w:tc>
        <w:tc>
          <w:tcPr>
            <w:tcW w:w="1000" w:type="dxa"/>
            <w:vAlign w:val="bottom"/>
            <w:gridSpan w:val="3"/>
          </w:tcPr>
          <w:p>
            <w:pPr>
              <w:jc w:val="right"/>
              <w:ind w:right="100"/>
              <w:spacing w:after="0"/>
              <w:rPr>
                <w:sz w:val="20"/>
                <w:szCs w:val="20"/>
                <w:color w:val="auto"/>
              </w:rPr>
            </w:pPr>
            <w:r>
              <w:rPr>
                <w:rFonts w:ascii="Arial" w:cs="Arial" w:eastAsia="Arial" w:hAnsi="Arial"/>
                <w:sz w:val="11"/>
                <w:szCs w:val="11"/>
                <w:color w:val="auto"/>
              </w:rPr>
              <w:t>50,000</w:t>
            </w:r>
          </w:p>
        </w:tc>
        <w:tc>
          <w:tcPr>
            <w:tcW w:w="920" w:type="dxa"/>
            <w:vAlign w:val="bottom"/>
            <w:gridSpan w:val="2"/>
          </w:tcPr>
          <w:p>
            <w:pPr>
              <w:jc w:val="right"/>
              <w:ind w:right="100"/>
              <w:spacing w:after="0"/>
              <w:rPr>
                <w:sz w:val="20"/>
                <w:szCs w:val="20"/>
                <w:color w:val="auto"/>
              </w:rPr>
            </w:pPr>
            <w:r>
              <w:rPr>
                <w:rFonts w:ascii="Arial" w:cs="Arial" w:eastAsia="Arial" w:hAnsi="Arial"/>
                <w:sz w:val="11"/>
                <w:szCs w:val="11"/>
                <w:color w:val="auto"/>
              </w:rPr>
              <w:t>315,500</w:t>
            </w: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35"/>
        </w:trPr>
        <w:tc>
          <w:tcPr>
            <w:tcW w:w="80" w:type="dxa"/>
            <w:vAlign w:val="bottom"/>
            <w:shd w:val="clear" w:color="auto" w:fill="CCEEFF"/>
          </w:tcPr>
          <w:p>
            <w:pPr>
              <w:spacing w:after="0"/>
              <w:rPr>
                <w:sz w:val="11"/>
                <w:szCs w:val="11"/>
                <w:color w:val="auto"/>
              </w:rPr>
            </w:pPr>
          </w:p>
        </w:tc>
        <w:tc>
          <w:tcPr>
            <w:tcW w:w="120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James J. Cotter, Jr.</w:t>
            </w: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A</w:t>
            </w: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1"/>
                <w:szCs w:val="11"/>
                <w:color w:val="auto"/>
              </w:rPr>
              <w:t>12,500</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48,375</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980" w:type="dxa"/>
            <w:vAlign w:val="bottom"/>
            <w:gridSpan w:val="3"/>
            <w:shd w:val="clear" w:color="auto" w:fill="CCEEFF"/>
          </w:tcPr>
          <w:p>
            <w:pPr>
              <w:jc w:val="right"/>
              <w:ind w:right="80"/>
              <w:spacing w:after="0"/>
              <w:rPr>
                <w:sz w:val="20"/>
                <w:szCs w:val="20"/>
                <w:color w:val="auto"/>
              </w:rPr>
            </w:pPr>
            <w:r>
              <w:rPr>
                <w:rFonts w:ascii="Arial" w:cs="Arial" w:eastAsia="Arial" w:hAnsi="Arial"/>
                <w:sz w:val="11"/>
                <w:szCs w:val="11"/>
                <w:color w:val="auto"/>
              </w:rPr>
              <w:t>--</w:t>
            </w:r>
          </w:p>
        </w:tc>
      </w:tr>
      <w:tr>
        <w:trPr>
          <w:trHeight w:val="135"/>
        </w:trPr>
        <w:tc>
          <w:tcPr>
            <w:tcW w:w="80" w:type="dxa"/>
            <w:vAlign w:val="bottom"/>
          </w:tcPr>
          <w:p>
            <w:pPr>
              <w:spacing w:after="0"/>
              <w:rPr>
                <w:sz w:val="11"/>
                <w:szCs w:val="11"/>
                <w:color w:val="auto"/>
              </w:rPr>
            </w:pPr>
          </w:p>
        </w:tc>
        <w:tc>
          <w:tcPr>
            <w:tcW w:w="1200" w:type="dxa"/>
            <w:vAlign w:val="bottom"/>
            <w:gridSpan w:val="2"/>
          </w:tcPr>
          <w:p>
            <w:pPr>
              <w:spacing w:after="0"/>
              <w:rPr>
                <w:sz w:val="20"/>
                <w:szCs w:val="20"/>
                <w:color w:val="auto"/>
              </w:rPr>
            </w:pPr>
            <w:r>
              <w:rPr>
                <w:rFonts w:ascii="Arial" w:cs="Arial" w:eastAsia="Arial" w:hAnsi="Arial"/>
                <w:sz w:val="11"/>
                <w:szCs w:val="11"/>
                <w:color w:val="auto"/>
              </w:rPr>
              <w:t>James J. Cotter, Jr.</w:t>
            </w:r>
          </w:p>
        </w:tc>
        <w:tc>
          <w:tcPr>
            <w:tcW w:w="460" w:type="dxa"/>
            <w:vAlign w:val="bottom"/>
            <w:gridSpan w:val="2"/>
          </w:tcPr>
          <w:p>
            <w:pPr>
              <w:jc w:val="right"/>
              <w:ind w:right="80"/>
              <w:spacing w:after="0"/>
              <w:rPr>
                <w:sz w:val="20"/>
                <w:szCs w:val="20"/>
                <w:color w:val="auto"/>
              </w:rPr>
            </w:pPr>
            <w:r>
              <w:rPr>
                <w:rFonts w:ascii="Arial" w:cs="Arial" w:eastAsia="Arial" w:hAnsi="Arial"/>
                <w:sz w:val="11"/>
                <w:szCs w:val="11"/>
                <w:color w:val="auto"/>
              </w:rPr>
              <w:t>A</w:t>
            </w:r>
          </w:p>
        </w:tc>
        <w:tc>
          <w:tcPr>
            <w:tcW w:w="1000" w:type="dxa"/>
            <w:vAlign w:val="bottom"/>
            <w:gridSpan w:val="3"/>
          </w:tcPr>
          <w:p>
            <w:pPr>
              <w:jc w:val="right"/>
              <w:ind w:right="100"/>
              <w:spacing w:after="0"/>
              <w:rPr>
                <w:sz w:val="20"/>
                <w:szCs w:val="20"/>
                <w:color w:val="auto"/>
              </w:rPr>
            </w:pPr>
            <w:r>
              <w:rPr>
                <w:rFonts w:ascii="Arial" w:cs="Arial" w:eastAsia="Arial" w:hAnsi="Arial"/>
                <w:sz w:val="11"/>
                <w:szCs w:val="11"/>
                <w:color w:val="auto"/>
              </w:rPr>
              <w:t>10,000</w:t>
            </w:r>
          </w:p>
        </w:tc>
        <w:tc>
          <w:tcPr>
            <w:tcW w:w="920" w:type="dxa"/>
            <w:vAlign w:val="bottom"/>
            <w:gridSpan w:val="2"/>
          </w:tcPr>
          <w:p>
            <w:pPr>
              <w:jc w:val="right"/>
              <w:ind w:right="100"/>
              <w:spacing w:after="0"/>
              <w:rPr>
                <w:sz w:val="20"/>
                <w:szCs w:val="20"/>
                <w:color w:val="auto"/>
              </w:rPr>
            </w:pPr>
            <w:r>
              <w:rPr>
                <w:rFonts w:ascii="Arial" w:cs="Arial" w:eastAsia="Arial" w:hAnsi="Arial"/>
                <w:sz w:val="11"/>
                <w:szCs w:val="11"/>
                <w:color w:val="auto"/>
              </w:rPr>
              <w:t>83,500</w:t>
            </w:r>
          </w:p>
        </w:tc>
        <w:tc>
          <w:tcPr>
            <w:tcW w:w="84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980" w:type="dxa"/>
            <w:vAlign w:val="bottom"/>
            <w:gridSpan w:val="3"/>
          </w:tcPr>
          <w:p>
            <w:pPr>
              <w:jc w:val="right"/>
              <w:ind w:right="80"/>
              <w:spacing w:after="0"/>
              <w:rPr>
                <w:sz w:val="20"/>
                <w:szCs w:val="20"/>
                <w:color w:val="auto"/>
              </w:rPr>
            </w:pPr>
            <w:r>
              <w:rPr>
                <w:rFonts w:ascii="Arial" w:cs="Arial" w:eastAsia="Arial" w:hAnsi="Arial"/>
                <w:sz w:val="11"/>
                <w:szCs w:val="11"/>
                <w:color w:val="auto"/>
              </w:rPr>
              <w:t>--</w:t>
            </w:r>
          </w:p>
        </w:tc>
      </w:tr>
      <w:tr>
        <w:trPr>
          <w:trHeight w:val="135"/>
        </w:trPr>
        <w:tc>
          <w:tcPr>
            <w:tcW w:w="80" w:type="dxa"/>
            <w:vAlign w:val="bottom"/>
            <w:shd w:val="clear" w:color="auto" w:fill="CCEEFF"/>
          </w:tcPr>
          <w:p>
            <w:pPr>
              <w:spacing w:after="0"/>
              <w:rPr>
                <w:sz w:val="11"/>
                <w:szCs w:val="11"/>
                <w:color w:val="auto"/>
              </w:rPr>
            </w:pPr>
          </w:p>
        </w:tc>
        <w:tc>
          <w:tcPr>
            <w:tcW w:w="120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Ellen M. Cotter</w:t>
            </w: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B</w:t>
            </w: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1"/>
                <w:szCs w:val="11"/>
                <w:color w:val="auto"/>
              </w:rPr>
              <w:t>50,000</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512,000</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980" w:type="dxa"/>
            <w:vAlign w:val="bottom"/>
            <w:gridSpan w:val="3"/>
            <w:shd w:val="clear" w:color="auto" w:fill="CCEEFF"/>
          </w:tcPr>
          <w:p>
            <w:pPr>
              <w:jc w:val="right"/>
              <w:ind w:right="80"/>
              <w:spacing w:after="0"/>
              <w:rPr>
                <w:sz w:val="20"/>
                <w:szCs w:val="20"/>
                <w:color w:val="auto"/>
              </w:rPr>
            </w:pPr>
            <w:r>
              <w:rPr>
                <w:rFonts w:ascii="Arial" w:cs="Arial" w:eastAsia="Arial" w:hAnsi="Arial"/>
                <w:sz w:val="11"/>
                <w:szCs w:val="11"/>
                <w:color w:val="auto"/>
              </w:rPr>
              <w:t>--</w:t>
            </w:r>
          </w:p>
        </w:tc>
      </w:tr>
      <w:tr>
        <w:trPr>
          <w:trHeight w:val="135"/>
        </w:trPr>
        <w:tc>
          <w:tcPr>
            <w:tcW w:w="80" w:type="dxa"/>
            <w:vAlign w:val="bottom"/>
          </w:tcPr>
          <w:p>
            <w:pPr>
              <w:spacing w:after="0"/>
              <w:rPr>
                <w:sz w:val="11"/>
                <w:szCs w:val="11"/>
                <w:color w:val="auto"/>
              </w:rPr>
            </w:pPr>
          </w:p>
        </w:tc>
        <w:tc>
          <w:tcPr>
            <w:tcW w:w="1200" w:type="dxa"/>
            <w:vAlign w:val="bottom"/>
            <w:gridSpan w:val="2"/>
          </w:tcPr>
          <w:p>
            <w:pPr>
              <w:spacing w:after="0"/>
              <w:rPr>
                <w:sz w:val="20"/>
                <w:szCs w:val="20"/>
                <w:color w:val="auto"/>
              </w:rPr>
            </w:pPr>
            <w:r>
              <w:rPr>
                <w:rFonts w:ascii="Arial" w:cs="Arial" w:eastAsia="Arial" w:hAnsi="Arial"/>
                <w:sz w:val="11"/>
                <w:szCs w:val="11"/>
                <w:color w:val="auto"/>
              </w:rPr>
              <w:t>Andrzej J. Matyczynski</w:t>
            </w:r>
          </w:p>
        </w:tc>
        <w:tc>
          <w:tcPr>
            <w:tcW w:w="460" w:type="dxa"/>
            <w:vAlign w:val="bottom"/>
            <w:gridSpan w:val="2"/>
          </w:tcPr>
          <w:p>
            <w:pPr>
              <w:jc w:val="right"/>
              <w:ind w:right="80"/>
              <w:spacing w:after="0"/>
              <w:rPr>
                <w:sz w:val="20"/>
                <w:szCs w:val="20"/>
                <w:color w:val="auto"/>
              </w:rPr>
            </w:pPr>
            <w:r>
              <w:rPr>
                <w:rFonts w:ascii="Arial" w:cs="Arial" w:eastAsia="Arial" w:hAnsi="Arial"/>
                <w:sz w:val="11"/>
                <w:szCs w:val="11"/>
                <w:color w:val="auto"/>
              </w:rPr>
              <w:t>A</w:t>
            </w:r>
          </w:p>
        </w:tc>
        <w:tc>
          <w:tcPr>
            <w:tcW w:w="1000" w:type="dxa"/>
            <w:vAlign w:val="bottom"/>
            <w:gridSpan w:val="3"/>
          </w:tcPr>
          <w:p>
            <w:pPr>
              <w:jc w:val="right"/>
              <w:ind w:right="100"/>
              <w:spacing w:after="0"/>
              <w:rPr>
                <w:sz w:val="20"/>
                <w:szCs w:val="20"/>
                <w:color w:val="auto"/>
              </w:rPr>
            </w:pPr>
            <w:r>
              <w:rPr>
                <w:rFonts w:ascii="Arial" w:cs="Arial" w:eastAsia="Arial" w:hAnsi="Arial"/>
                <w:sz w:val="11"/>
                <w:szCs w:val="11"/>
                <w:color w:val="auto"/>
              </w:rPr>
              <w:t>35,100</w:t>
            </w:r>
          </w:p>
        </w:tc>
        <w:tc>
          <w:tcPr>
            <w:tcW w:w="920" w:type="dxa"/>
            <w:vAlign w:val="bottom"/>
            <w:gridSpan w:val="2"/>
          </w:tcPr>
          <w:p>
            <w:pPr>
              <w:jc w:val="right"/>
              <w:ind w:right="100"/>
              <w:spacing w:after="0"/>
              <w:rPr>
                <w:sz w:val="20"/>
                <w:szCs w:val="20"/>
                <w:color w:val="auto"/>
              </w:rPr>
            </w:pPr>
            <w:r>
              <w:rPr>
                <w:rFonts w:ascii="Arial" w:cs="Arial" w:eastAsia="Arial" w:hAnsi="Arial"/>
                <w:sz w:val="11"/>
                <w:szCs w:val="11"/>
                <w:color w:val="auto"/>
              </w:rPr>
              <w:t>180,063</w:t>
            </w:r>
          </w:p>
        </w:tc>
        <w:tc>
          <w:tcPr>
            <w:tcW w:w="84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980" w:type="dxa"/>
            <w:vAlign w:val="bottom"/>
            <w:gridSpan w:val="3"/>
          </w:tcPr>
          <w:p>
            <w:pPr>
              <w:jc w:val="right"/>
              <w:ind w:right="80"/>
              <w:spacing w:after="0"/>
              <w:rPr>
                <w:sz w:val="20"/>
                <w:szCs w:val="20"/>
                <w:color w:val="auto"/>
              </w:rPr>
            </w:pPr>
            <w:r>
              <w:rPr>
                <w:rFonts w:ascii="Arial" w:cs="Arial" w:eastAsia="Arial" w:hAnsi="Arial"/>
                <w:sz w:val="11"/>
                <w:szCs w:val="11"/>
                <w:color w:val="auto"/>
              </w:rPr>
              <w:t>--</w:t>
            </w:r>
          </w:p>
        </w:tc>
      </w:tr>
      <w:tr>
        <w:trPr>
          <w:trHeight w:val="144"/>
        </w:trPr>
        <w:tc>
          <w:tcPr>
            <w:tcW w:w="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bl>
    <w:p>
      <w:pPr>
        <w:spacing w:after="0" w:line="258" w:lineRule="exact"/>
        <w:rPr>
          <w:sz w:val="20"/>
          <w:szCs w:val="20"/>
          <w:color w:val="auto"/>
        </w:rPr>
      </w:pPr>
    </w:p>
    <w:p>
      <w:pPr>
        <w:ind w:left="340" w:hanging="119"/>
        <w:spacing w:after="0" w:line="335" w:lineRule="auto"/>
        <w:tabs>
          <w:tab w:leader="none" w:pos="340" w:val="left"/>
        </w:tabs>
        <w:numPr>
          <w:ilvl w:val="0"/>
          <w:numId w:val="69"/>
        </w:numPr>
        <w:rPr>
          <w:rFonts w:ascii="Arial" w:cs="Arial" w:eastAsia="Arial" w:hAnsi="Arial"/>
          <w:sz w:val="8"/>
          <w:szCs w:val="8"/>
          <w:color w:val="auto"/>
        </w:rPr>
      </w:pPr>
      <w:r>
        <w:rPr>
          <w:rFonts w:ascii="Arial" w:cs="Arial" w:eastAsia="Arial" w:hAnsi="Arial"/>
          <w:sz w:val="8"/>
          <w:szCs w:val="8"/>
          <w:color w:val="auto"/>
        </w:rPr>
        <w:t>Mr. Cotter, Jr. has stated that he has unvested options to acquire 50,000 shares of Class A Stock at an exercise price of $6.31 per share, expiring February 6, 2018, of an original stock option grant of 100,000 Class A Stock. Mr. Cotter, Jr. exercised 50,000 stock options in June 2015. The Company’s position is that all unvested options expired upon the termination of Mr. Cotter, Jr.’s employment. The matter is under review by the Company.</w:t>
      </w:r>
    </w:p>
    <w:p>
      <w:pPr>
        <w:spacing w:after="0" w:line="8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Pension Benefits</w:t>
      </w:r>
    </w:p>
    <w:p>
      <w:pPr>
        <w:spacing w:after="0" w:line="127" w:lineRule="exact"/>
        <w:rPr>
          <w:sz w:val="20"/>
          <w:szCs w:val="20"/>
          <w:color w:val="auto"/>
        </w:rPr>
      </w:pPr>
    </w:p>
    <w:p>
      <w:pPr>
        <w:ind w:left="440"/>
        <w:spacing w:after="0"/>
        <w:rPr>
          <w:sz w:val="20"/>
          <w:szCs w:val="20"/>
          <w:color w:val="auto"/>
        </w:rPr>
      </w:pPr>
      <w:r>
        <w:rPr>
          <w:rFonts w:ascii="Arial" w:cs="Arial" w:eastAsia="Arial" w:hAnsi="Arial"/>
          <w:sz w:val="12"/>
          <w:szCs w:val="12"/>
          <w:color w:val="auto"/>
        </w:rPr>
        <w:t>The following table contains information concerning pension plans for each of the named executive officers for the year ended December 31, 2015:</w:t>
      </w:r>
    </w:p>
    <w:p>
      <w:pPr>
        <w:spacing w:after="0" w:line="123" w:lineRule="exact"/>
        <w:rPr>
          <w:sz w:val="20"/>
          <w:szCs w:val="20"/>
          <w:color w:val="auto"/>
        </w:rPr>
      </w:pPr>
    </w:p>
    <w:tbl>
      <w:tblPr>
        <w:tblLayout w:type="fixed"/>
        <w:tblInd w:w="80" w:type="dxa"/>
        <w:tblCellMar>
          <w:top w:w="0" w:type="dxa"/>
          <w:left w:w="0" w:type="dxa"/>
          <w:bottom w:w="0" w:type="dxa"/>
          <w:right w:w="0" w:type="dxa"/>
        </w:tblCellMar>
      </w:tblPr>
      <w:tr>
        <w:trPr>
          <w:trHeight w:val="135"/>
        </w:trPr>
        <w:tc>
          <w:tcPr>
            <w:tcW w:w="1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tcPr>
          <w:p>
            <w:pPr>
              <w:jc w:val="center"/>
              <w:spacing w:after="0"/>
              <w:rPr>
                <w:sz w:val="20"/>
                <w:szCs w:val="20"/>
                <w:color w:val="auto"/>
              </w:rPr>
            </w:pPr>
            <w:r>
              <w:rPr>
                <w:rFonts w:ascii="Arial" w:cs="Arial" w:eastAsia="Arial" w:hAnsi="Arial"/>
                <w:sz w:val="11"/>
                <w:szCs w:val="11"/>
                <w:b w:val="1"/>
                <w:bCs w:val="1"/>
                <w:color w:val="auto"/>
                <w:w w:val="85"/>
              </w:rPr>
              <w:t>Present Value of</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00" w:type="dxa"/>
            <w:vAlign w:val="bottom"/>
          </w:tcPr>
          <w:p>
            <w:pPr>
              <w:spacing w:after="0"/>
              <w:rPr>
                <w:sz w:val="11"/>
                <w:szCs w:val="11"/>
                <w:color w:val="auto"/>
              </w:rPr>
            </w:pPr>
          </w:p>
        </w:tc>
      </w:tr>
      <w:tr>
        <w:trPr>
          <w:trHeight w:val="135"/>
        </w:trPr>
        <w:tc>
          <w:tcPr>
            <w:tcW w:w="1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tcPr>
          <w:p>
            <w:pPr>
              <w:jc w:val="center"/>
              <w:spacing w:after="0"/>
              <w:rPr>
                <w:sz w:val="20"/>
                <w:szCs w:val="20"/>
                <w:color w:val="auto"/>
              </w:rPr>
            </w:pPr>
            <w:r>
              <w:rPr>
                <w:rFonts w:ascii="Arial" w:cs="Arial" w:eastAsia="Arial" w:hAnsi="Arial"/>
                <w:sz w:val="11"/>
                <w:szCs w:val="11"/>
                <w:b w:val="1"/>
                <w:bCs w:val="1"/>
                <w:color w:val="auto"/>
                <w:w w:val="88"/>
              </w:rPr>
              <w:t>Number of Years of</w:t>
            </w:r>
          </w:p>
        </w:tc>
        <w:tc>
          <w:tcPr>
            <w:tcW w:w="160" w:type="dxa"/>
            <w:vAlign w:val="bottom"/>
          </w:tcPr>
          <w:p>
            <w:pPr>
              <w:spacing w:after="0"/>
              <w:rPr>
                <w:sz w:val="11"/>
                <w:szCs w:val="11"/>
                <w:color w:val="auto"/>
              </w:rPr>
            </w:pPr>
          </w:p>
        </w:tc>
        <w:tc>
          <w:tcPr>
            <w:tcW w:w="1180" w:type="dxa"/>
            <w:vAlign w:val="bottom"/>
          </w:tcPr>
          <w:p>
            <w:pPr>
              <w:jc w:val="center"/>
              <w:spacing w:after="0"/>
              <w:rPr>
                <w:sz w:val="20"/>
                <w:szCs w:val="20"/>
                <w:color w:val="auto"/>
              </w:rPr>
            </w:pPr>
            <w:r>
              <w:rPr>
                <w:rFonts w:ascii="Arial" w:cs="Arial" w:eastAsia="Arial" w:hAnsi="Arial"/>
                <w:sz w:val="11"/>
                <w:szCs w:val="11"/>
                <w:b w:val="1"/>
                <w:bCs w:val="1"/>
                <w:color w:val="auto"/>
                <w:w w:val="88"/>
              </w:rPr>
              <w:t>Accumulated Benefit as</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00" w:type="dxa"/>
            <w:vAlign w:val="bottom"/>
          </w:tcPr>
          <w:p>
            <w:pPr>
              <w:jc w:val="center"/>
              <w:ind w:right="6"/>
              <w:spacing w:after="0"/>
              <w:rPr>
                <w:sz w:val="20"/>
                <w:szCs w:val="20"/>
                <w:color w:val="auto"/>
              </w:rPr>
            </w:pPr>
            <w:r>
              <w:rPr>
                <w:rFonts w:ascii="Arial" w:cs="Arial" w:eastAsia="Arial" w:hAnsi="Arial"/>
                <w:sz w:val="11"/>
                <w:szCs w:val="11"/>
                <w:b w:val="1"/>
                <w:bCs w:val="1"/>
                <w:color w:val="auto"/>
                <w:w w:val="89"/>
              </w:rPr>
              <w:t>Payments During Last</w:t>
            </w:r>
          </w:p>
        </w:tc>
      </w:tr>
      <w:tr>
        <w:trPr>
          <w:trHeight w:val="147"/>
        </w:trPr>
        <w:tc>
          <w:tcPr>
            <w:tcW w:w="148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rPr>
              <w:t>Name</w:t>
            </w:r>
          </w:p>
        </w:tc>
        <w:tc>
          <w:tcPr>
            <w:tcW w:w="160" w:type="dxa"/>
            <w:vAlign w:val="bottom"/>
          </w:tcPr>
          <w:p>
            <w:pPr>
              <w:spacing w:after="0"/>
              <w:rPr>
                <w:sz w:val="12"/>
                <w:szCs w:val="12"/>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2"/>
              </w:rPr>
              <w:t>Plan Name</w:t>
            </w:r>
          </w:p>
        </w:tc>
        <w:tc>
          <w:tcPr>
            <w:tcW w:w="160" w:type="dxa"/>
            <w:vAlign w:val="bottom"/>
          </w:tcPr>
          <w:p>
            <w:pPr>
              <w:spacing w:after="0"/>
              <w:rPr>
                <w:sz w:val="12"/>
                <w:szCs w:val="12"/>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9"/>
              </w:rPr>
              <w:t>Credited Service</w:t>
            </w:r>
          </w:p>
        </w:tc>
        <w:tc>
          <w:tcPr>
            <w:tcW w:w="160" w:type="dxa"/>
            <w:vAlign w:val="bottom"/>
          </w:tcPr>
          <w:p>
            <w:pPr>
              <w:spacing w:after="0"/>
              <w:rPr>
                <w:sz w:val="12"/>
                <w:szCs w:val="12"/>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9"/>
              </w:rPr>
              <w:t>of 12/31/2015 ($)</w:t>
            </w:r>
          </w:p>
        </w:tc>
        <w:tc>
          <w:tcPr>
            <w:tcW w:w="16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center"/>
              <w:ind w:right="6"/>
              <w:spacing w:after="0"/>
              <w:rPr>
                <w:sz w:val="20"/>
                <w:szCs w:val="20"/>
                <w:color w:val="auto"/>
              </w:rPr>
            </w:pPr>
            <w:r>
              <w:rPr>
                <w:rFonts w:ascii="Arial" w:cs="Arial" w:eastAsia="Arial" w:hAnsi="Arial"/>
                <w:sz w:val="11"/>
                <w:szCs w:val="11"/>
                <w:b w:val="1"/>
                <w:bCs w:val="1"/>
                <w:color w:val="auto"/>
                <w:w w:val="91"/>
              </w:rPr>
              <w:t>Fiscal Year ($)</w:t>
            </w:r>
          </w:p>
        </w:tc>
      </w:tr>
      <w:tr>
        <w:trPr>
          <w:trHeight w:val="262"/>
        </w:trPr>
        <w:tc>
          <w:tcPr>
            <w:tcW w:w="1480" w:type="dxa"/>
            <w:vAlign w:val="bottom"/>
          </w:tcPr>
          <w:p>
            <w:pPr>
              <w:spacing w:after="0"/>
              <w:rPr>
                <w:sz w:val="20"/>
                <w:szCs w:val="20"/>
                <w:color w:val="auto"/>
              </w:rPr>
            </w:pPr>
            <w:r>
              <w:rPr>
                <w:rFonts w:ascii="Arial" w:cs="Arial" w:eastAsia="Arial" w:hAnsi="Arial"/>
                <w:sz w:val="11"/>
                <w:szCs w:val="11"/>
                <w:color w:val="auto"/>
              </w:rPr>
              <w:t>Andrzej J. Matyczynski</w:t>
            </w:r>
          </w:p>
        </w:tc>
        <w:tc>
          <w:tcPr>
            <w:tcW w:w="16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1"/>
                <w:szCs w:val="11"/>
                <w:color w:val="auto"/>
                <w:w w:val="85"/>
              </w:rPr>
              <w:t>DCP</w:t>
            </w:r>
          </w:p>
        </w:tc>
        <w:tc>
          <w:tcPr>
            <w:tcW w:w="1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60" w:type="dxa"/>
            <w:vAlign w:val="bottom"/>
          </w:tcPr>
          <w:p>
            <w:pPr>
              <w:jc w:val="right"/>
              <w:ind w:right="93"/>
              <w:spacing w:after="0"/>
              <w:rPr>
                <w:sz w:val="20"/>
                <w:szCs w:val="20"/>
                <w:color w:val="auto"/>
              </w:rPr>
            </w:pPr>
            <w:r>
              <w:rPr>
                <w:rFonts w:ascii="Arial" w:cs="Arial" w:eastAsia="Arial" w:hAnsi="Arial"/>
                <w:sz w:val="5"/>
                <w:szCs w:val="5"/>
                <w:color w:val="auto"/>
                <w:w w:val="70"/>
              </w:rPr>
              <w:t>6</w:t>
            </w:r>
          </w:p>
        </w:tc>
        <w:tc>
          <w:tcPr>
            <w:tcW w:w="1180" w:type="dxa"/>
            <w:vAlign w:val="bottom"/>
          </w:tcPr>
          <w:p>
            <w:pPr>
              <w:jc w:val="right"/>
              <w:ind w:right="306"/>
              <w:spacing w:after="0"/>
              <w:rPr>
                <w:sz w:val="20"/>
                <w:szCs w:val="20"/>
                <w:color w:val="auto"/>
              </w:rPr>
            </w:pPr>
            <w:r>
              <w:rPr>
                <w:rFonts w:ascii="Arial" w:cs="Arial" w:eastAsia="Arial" w:hAnsi="Arial"/>
                <w:sz w:val="11"/>
                <w:szCs w:val="11"/>
                <w:color w:val="auto"/>
              </w:rPr>
              <w:t>600,000</w:t>
            </w:r>
          </w:p>
        </w:tc>
        <w:tc>
          <w:tcPr>
            <w:tcW w:w="22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1100" w:type="dxa"/>
            <w:vAlign w:val="bottom"/>
          </w:tcPr>
          <w:p>
            <w:pPr>
              <w:jc w:val="right"/>
              <w:ind w:right="86"/>
              <w:spacing w:after="0"/>
              <w:rPr>
                <w:sz w:val="20"/>
                <w:szCs w:val="20"/>
                <w:color w:val="auto"/>
              </w:rPr>
            </w:pPr>
            <w:r>
              <w:rPr>
                <w:rFonts w:ascii="Arial" w:cs="Arial" w:eastAsia="Arial" w:hAnsi="Arial"/>
                <w:sz w:val="11"/>
                <w:szCs w:val="11"/>
                <w:color w:val="auto"/>
              </w:rPr>
              <w:t>--</w:t>
            </w:r>
          </w:p>
        </w:tc>
      </w:tr>
    </w:tbl>
    <w:p>
      <w:pPr>
        <w:spacing w:after="0" w:line="283" w:lineRule="exact"/>
        <w:rPr>
          <w:sz w:val="20"/>
          <w:szCs w:val="20"/>
          <w:color w:val="auto"/>
        </w:rPr>
      </w:pPr>
    </w:p>
    <w:p>
      <w:pPr>
        <w:jc w:val="center"/>
        <w:ind w:right="-299"/>
        <w:spacing w:after="0"/>
        <w:rPr>
          <w:sz w:val="20"/>
          <w:szCs w:val="20"/>
          <w:color w:val="auto"/>
        </w:rPr>
      </w:pPr>
      <w:r>
        <w:rPr>
          <w:rFonts w:ascii="Arial" w:cs="Arial" w:eastAsia="Arial" w:hAnsi="Arial"/>
          <w:sz w:val="12"/>
          <w:szCs w:val="12"/>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59690</wp:posOffset>
            </wp:positionV>
            <wp:extent cx="6779895"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779895" cy="42545"/>
                    </a:xfrm>
                    <a:prstGeom prst="rect">
                      <a:avLst/>
                    </a:prstGeom>
                    <a:noFill/>
                  </pic:spPr>
                </pic:pic>
              </a:graphicData>
            </a:graphic>
          </wp:anchor>
        </w:drawing>
      </w:r>
    </w:p>
    <w:p>
      <w:pPr>
        <w:sectPr>
          <w:pgSz w:w="11900" w:h="16838" w:orient="portrait"/>
          <w:cols w:equalWidth="0" w:num="1">
            <w:col w:w="10320"/>
          </w:cols>
          <w:pgMar w:left="640" w:top="274" w:right="939" w:bottom="1440" w:gutter="0" w:footer="0" w:header="0"/>
        </w:sectPr>
      </w:pPr>
    </w:p>
    <w:bookmarkStart w:id="119" w:name="page120"/>
    <w:bookmarkEnd w:id="119"/>
    <w:p>
      <w:pPr>
        <w:spacing w:after="0"/>
        <w:rPr>
          <w:sz w:val="20"/>
          <w:szCs w:val="20"/>
          <w:color w:val="auto"/>
        </w:rPr>
      </w:pPr>
      <w:r>
        <w:rPr>
          <w:rFonts w:ascii="Arial" w:cs="Arial" w:eastAsia="Arial" w:hAnsi="Arial"/>
          <w:sz w:val="12"/>
          <w:szCs w:val="12"/>
          <w:b w:val="1"/>
          <w:bCs w:val="1"/>
          <w:color w:val="auto"/>
        </w:rPr>
        <w:t>Potential Payments upon Termination of Employment or Change in Control</w:t>
      </w:r>
    </w:p>
    <w:p>
      <w:pPr>
        <w:spacing w:after="0" w:line="136" w:lineRule="exact"/>
        <w:rPr>
          <w:sz w:val="20"/>
          <w:szCs w:val="20"/>
          <w:color w:val="auto"/>
        </w:rPr>
      </w:pPr>
    </w:p>
    <w:p>
      <w:pPr>
        <w:ind w:right="140" w:firstLine="432"/>
        <w:spacing w:after="0" w:line="276" w:lineRule="auto"/>
        <w:rPr>
          <w:sz w:val="20"/>
          <w:szCs w:val="20"/>
          <w:color w:val="auto"/>
        </w:rPr>
      </w:pPr>
      <w:r>
        <w:rPr>
          <w:rFonts w:ascii="Arial" w:cs="Arial" w:eastAsia="Arial" w:hAnsi="Arial"/>
          <w:sz w:val="12"/>
          <w:szCs w:val="12"/>
          <w:color w:val="auto"/>
        </w:rPr>
        <w:t>The following paragraphs provide information regarding potential payments to each of our named executive officers in connection with certain termination events, including a termination related to a change of control of the Company, as of December 31, 2015:</w:t>
      </w:r>
    </w:p>
    <w:p>
      <w:pPr>
        <w:spacing w:after="0" w:line="88" w:lineRule="exact"/>
        <w:rPr>
          <w:sz w:val="20"/>
          <w:szCs w:val="20"/>
          <w:color w:val="auto"/>
        </w:rPr>
      </w:pPr>
    </w:p>
    <w:p>
      <w:pPr>
        <w:ind w:right="80" w:firstLine="432"/>
        <w:spacing w:after="0" w:line="259" w:lineRule="auto"/>
        <w:rPr>
          <w:sz w:val="20"/>
          <w:szCs w:val="20"/>
          <w:color w:val="auto"/>
        </w:rPr>
      </w:pPr>
      <w:r>
        <w:rPr>
          <w:rFonts w:ascii="Arial" w:cs="Arial" w:eastAsia="Arial" w:hAnsi="Arial"/>
          <w:sz w:val="12"/>
          <w:szCs w:val="12"/>
          <w:u w:val="single" w:color="auto"/>
          <w:color w:val="auto"/>
        </w:rPr>
        <w:t>Mr. Dev Ghose – Termination without Cause</w:t>
      </w:r>
      <w:r>
        <w:rPr>
          <w:rFonts w:ascii="Arial" w:cs="Arial" w:eastAsia="Arial" w:hAnsi="Arial"/>
          <w:sz w:val="12"/>
          <w:szCs w:val="12"/>
          <w:i w:val="1"/>
          <w:iCs w:val="1"/>
          <w:color w:val="auto"/>
        </w:rPr>
        <w:t>.</w:t>
      </w:r>
      <w:r>
        <w:rPr>
          <w:rFonts w:ascii="Arial" w:cs="Arial" w:eastAsia="Arial" w:hAnsi="Arial"/>
          <w:sz w:val="12"/>
          <w:szCs w:val="12"/>
          <w:color w:val="auto"/>
        </w:rPr>
        <w:t xml:space="preserve"> Under his employment agreement, we may terminate Mr. Ghose’s employment with or without cause (as defined) at any time</w:t>
      </w:r>
      <w:r>
        <w:rPr>
          <w:rFonts w:ascii="Arial" w:cs="Arial" w:eastAsia="Arial" w:hAnsi="Arial"/>
          <w:sz w:val="12"/>
          <w:szCs w:val="12"/>
          <w:i w:val="1"/>
          <w:iCs w:val="1"/>
          <w:color w:val="auto"/>
        </w:rPr>
        <w:t>.</w:t>
      </w:r>
      <w:r>
        <w:rPr>
          <w:rFonts w:ascii="Arial" w:cs="Arial" w:eastAsia="Arial" w:hAnsi="Arial"/>
          <w:sz w:val="12"/>
          <w:szCs w:val="12"/>
          <w:color w:val="auto"/>
        </w:rPr>
        <w:t xml:space="preserve"> If we terminate his employment without cause or fail to renew his employment agreement upon expiration without cause, Mr. Ghose will be entitled to receive severance in an amount equal to the salary and benefits he was receiving for a period of 12 months following such termination or non-renewal</w:t>
      </w:r>
      <w:r>
        <w:rPr>
          <w:rFonts w:ascii="Arial" w:cs="Arial" w:eastAsia="Arial" w:hAnsi="Arial"/>
          <w:sz w:val="12"/>
          <w:szCs w:val="12"/>
          <w:i w:val="1"/>
          <w:iCs w:val="1"/>
          <w:color w:val="auto"/>
        </w:rPr>
        <w:t>.</w:t>
      </w:r>
      <w:r>
        <w:rPr>
          <w:rFonts w:ascii="Arial" w:cs="Arial" w:eastAsia="Arial" w:hAnsi="Arial"/>
          <w:sz w:val="12"/>
          <w:szCs w:val="12"/>
          <w:color w:val="auto"/>
        </w:rPr>
        <w:t xml:space="preserve"> If the termination is in connection with a “change of control” (as defined), Mr. Ghose would be entitled to severance in an amount equal to the compensation he would have received for a period two years from such termination</w:t>
      </w:r>
      <w:r>
        <w:rPr>
          <w:rFonts w:ascii="Arial" w:cs="Arial" w:eastAsia="Arial" w:hAnsi="Arial"/>
          <w:sz w:val="12"/>
          <w:szCs w:val="12"/>
          <w:b w:val="1"/>
          <w:bCs w:val="1"/>
          <w:color w:val="auto"/>
        </w:rPr>
        <w:t>.</w:t>
      </w:r>
    </w:p>
    <w:p>
      <w:pPr>
        <w:spacing w:after="0" w:line="98" w:lineRule="exact"/>
        <w:rPr>
          <w:sz w:val="20"/>
          <w:szCs w:val="20"/>
          <w:color w:val="auto"/>
        </w:rPr>
      </w:pPr>
    </w:p>
    <w:p>
      <w:pPr>
        <w:ind w:right="120" w:firstLine="432"/>
        <w:spacing w:after="0" w:line="259" w:lineRule="auto"/>
        <w:rPr>
          <w:sz w:val="20"/>
          <w:szCs w:val="20"/>
          <w:color w:val="auto"/>
        </w:rPr>
      </w:pPr>
      <w:r>
        <w:rPr>
          <w:rFonts w:ascii="Arial" w:cs="Arial" w:eastAsia="Arial" w:hAnsi="Arial"/>
          <w:sz w:val="12"/>
          <w:szCs w:val="12"/>
          <w:u w:val="single" w:color="auto"/>
          <w:color w:val="auto"/>
        </w:rPr>
        <w:t>Mr. William Ellis – Termination without Cause</w:t>
      </w:r>
      <w:r>
        <w:rPr>
          <w:rFonts w:ascii="Arial" w:cs="Arial" w:eastAsia="Arial" w:hAnsi="Arial"/>
          <w:sz w:val="12"/>
          <w:szCs w:val="12"/>
          <w:i w:val="1"/>
          <w:iCs w:val="1"/>
          <w:color w:val="auto"/>
        </w:rPr>
        <w:t>. .</w:t>
      </w:r>
      <w:r>
        <w:rPr>
          <w:rFonts w:ascii="Arial" w:cs="Arial" w:eastAsia="Arial" w:hAnsi="Arial"/>
          <w:sz w:val="12"/>
          <w:szCs w:val="12"/>
          <w:color w:val="auto"/>
        </w:rPr>
        <w:t xml:space="preserve"> Mr. Ellis resigned his employment effective March 11, 2016. We have entered into a separation agreement with Mr. Ellis which provides, among other things, that, in consideration of the payment to Mr. Ellis of $205,010 (to be paid in 19 equal semi-monthly installments of $10,790) and the vesting of options to acquire 20,000 shares of our Class A Common Stock on October 15, 2016, Mr. Ellis has agreed to be available to advise us on matters on which he previously worked until December 31, 2016. Mr. Ellis’ employment agreement contained a noncompetition clause that did not extend beyond his termination.</w:t>
      </w:r>
    </w:p>
    <w:p>
      <w:pPr>
        <w:spacing w:after="0" w:line="107" w:lineRule="exact"/>
        <w:rPr>
          <w:sz w:val="20"/>
          <w:szCs w:val="20"/>
          <w:color w:val="auto"/>
        </w:rPr>
      </w:pPr>
    </w:p>
    <w:p>
      <w:pPr>
        <w:ind w:right="580" w:firstLine="432"/>
        <w:spacing w:after="0" w:line="276" w:lineRule="auto"/>
        <w:rPr>
          <w:sz w:val="20"/>
          <w:szCs w:val="20"/>
          <w:color w:val="auto"/>
        </w:rPr>
      </w:pPr>
      <w:r>
        <w:rPr>
          <w:rFonts w:ascii="Arial" w:cs="Arial" w:eastAsia="Arial" w:hAnsi="Arial"/>
          <w:sz w:val="12"/>
          <w:szCs w:val="12"/>
          <w:u w:val="single" w:color="auto"/>
          <w:color w:val="auto"/>
        </w:rPr>
        <w:t>Mr. Wayne Smith — Termination of Employment for Failing to Meet Performance Standards</w:t>
      </w:r>
      <w:r>
        <w:rPr>
          <w:rFonts w:ascii="Arial" w:cs="Arial" w:eastAsia="Arial" w:hAnsi="Arial"/>
          <w:sz w:val="12"/>
          <w:szCs w:val="12"/>
          <w:color w:val="auto"/>
        </w:rPr>
        <w:t>. If Mr. Smith’s employment is terminated by the Board for failing to meet the standards of his anticipated performance, Mr. Smith will be entitled to a severance payment of six months’ base salary.</w:t>
      </w:r>
    </w:p>
    <w:p>
      <w:pPr>
        <w:spacing w:after="0" w:line="88" w:lineRule="exact"/>
        <w:rPr>
          <w:sz w:val="20"/>
          <w:szCs w:val="20"/>
          <w:color w:val="auto"/>
        </w:rPr>
      </w:pPr>
    </w:p>
    <w:p>
      <w:pPr>
        <w:jc w:val="both"/>
        <w:ind w:right="120" w:firstLine="432"/>
        <w:spacing w:after="0" w:line="263" w:lineRule="auto"/>
        <w:rPr>
          <w:sz w:val="20"/>
          <w:szCs w:val="20"/>
          <w:color w:val="auto"/>
        </w:rPr>
      </w:pPr>
      <w:r>
        <w:rPr>
          <w:rFonts w:ascii="Arial" w:cs="Arial" w:eastAsia="Arial" w:hAnsi="Arial"/>
          <w:sz w:val="12"/>
          <w:szCs w:val="12"/>
          <w:u w:val="single" w:color="auto"/>
          <w:color w:val="auto"/>
        </w:rPr>
        <w:t>Mr. Andrzej J. Matyczynski – Deferred Compensation Benefits</w:t>
      </w:r>
      <w:r>
        <w:rPr>
          <w:rFonts w:ascii="Arial" w:cs="Arial" w:eastAsia="Arial" w:hAnsi="Arial"/>
          <w:sz w:val="12"/>
          <w:szCs w:val="12"/>
          <w:color w:val="auto"/>
        </w:rPr>
        <w:t>. During 2012, Mr. Matyczynski was granted an unfunded, nonqualified deferred compensation plan (“DCP”) that was partially vested and was to vest further so long as he remained in our continuous employ. If Mr. Matyczynski were to be terminated for cause, then the total vested amount would be reduced to zero. The incremental amount vested each year was made subject to review and approval by our Board. Please see the “</w:t>
      </w:r>
      <w:r>
        <w:rPr>
          <w:rFonts w:ascii="Arial" w:cs="Arial" w:eastAsia="Arial" w:hAnsi="Arial"/>
          <w:sz w:val="12"/>
          <w:szCs w:val="12"/>
          <w:i w:val="1"/>
          <w:iCs w:val="1"/>
          <w:color w:val="auto"/>
        </w:rPr>
        <w:t>Nonqualified Deferred Compensation</w:t>
      </w:r>
      <w:r>
        <w:rPr>
          <w:rFonts w:ascii="Arial" w:cs="Arial" w:eastAsia="Arial" w:hAnsi="Arial"/>
          <w:sz w:val="12"/>
          <w:szCs w:val="12"/>
          <w:color w:val="auto"/>
        </w:rPr>
        <w:t>” table for additional information.</w:t>
      </w:r>
    </w:p>
    <w:p>
      <w:pPr>
        <w:spacing w:after="0" w:line="96" w:lineRule="exact"/>
        <w:rPr>
          <w:sz w:val="20"/>
          <w:szCs w:val="20"/>
          <w:color w:val="auto"/>
        </w:rPr>
      </w:pPr>
    </w:p>
    <w:p>
      <w:pPr>
        <w:spacing w:after="0"/>
        <w:rPr>
          <w:sz w:val="20"/>
          <w:szCs w:val="20"/>
          <w:color w:val="auto"/>
        </w:rPr>
      </w:pPr>
      <w:r>
        <w:rPr>
          <w:rFonts w:ascii="Arial" w:cs="Arial" w:eastAsia="Arial" w:hAnsi="Arial"/>
          <w:sz w:val="11"/>
          <w:szCs w:val="11"/>
          <w:color w:val="auto"/>
        </w:rPr>
        <w:t>Upon the termination of Mr. Matyczynski’s employment, he will be entitled under the DCP agreement to payment of the vested benefits under his DCP in annual installments following the later of (a) 30 days following</w:t>
      </w:r>
    </w:p>
    <w:p>
      <w:pPr>
        <w:spacing w:after="0" w:line="26" w:lineRule="exact"/>
        <w:rPr>
          <w:sz w:val="20"/>
          <w:szCs w:val="20"/>
          <w:color w:val="auto"/>
        </w:rPr>
      </w:pPr>
    </w:p>
    <w:p>
      <w:pPr>
        <w:spacing w:after="0"/>
        <w:rPr>
          <w:sz w:val="20"/>
          <w:szCs w:val="20"/>
          <w:color w:val="auto"/>
        </w:rPr>
      </w:pPr>
      <w:r>
        <w:rPr>
          <w:rFonts w:ascii="Arial" w:cs="Arial" w:eastAsia="Arial" w:hAnsi="Arial"/>
          <w:sz w:val="11"/>
          <w:szCs w:val="11"/>
          <w:color w:val="auto"/>
        </w:rPr>
        <w:t>Mr. Matyczynski’s 65th birthday or (b) six months after his separation from service for reasons other than his death or termination for cause. The DCP was to vest over 7 years and with full vesting to occur in 2019 at</w:t>
      </w:r>
    </w:p>
    <w:p>
      <w:pPr>
        <w:spacing w:after="0" w:line="18" w:lineRule="exact"/>
        <w:rPr>
          <w:sz w:val="20"/>
          <w:szCs w:val="20"/>
          <w:color w:val="auto"/>
        </w:rPr>
      </w:pPr>
    </w:p>
    <w:p>
      <w:pPr>
        <w:spacing w:after="0"/>
        <w:rPr>
          <w:sz w:val="20"/>
          <w:szCs w:val="20"/>
          <w:color w:val="auto"/>
        </w:rPr>
      </w:pPr>
      <w:r>
        <w:rPr>
          <w:rFonts w:ascii="Arial" w:cs="Arial" w:eastAsia="Arial" w:hAnsi="Arial"/>
          <w:sz w:val="10"/>
          <w:szCs w:val="10"/>
          <w:color w:val="auto"/>
        </w:rPr>
        <w:t>$1,000,000 in deferred compensation. However, in connection with his employment as EVP Global Operations, the Company and Mr. Matyczynski agreed that the Company would cease making contributions to the DCP</w:t>
      </w:r>
    </w:p>
    <w:p>
      <w:pPr>
        <w:spacing w:after="0" w:line="29" w:lineRule="exact"/>
        <w:rPr>
          <w:sz w:val="20"/>
          <w:szCs w:val="20"/>
          <w:color w:val="auto"/>
        </w:rPr>
      </w:pPr>
    </w:p>
    <w:p>
      <w:pPr>
        <w:spacing w:after="0"/>
        <w:rPr>
          <w:sz w:val="20"/>
          <w:szCs w:val="20"/>
          <w:color w:val="auto"/>
        </w:rPr>
      </w:pPr>
      <w:r>
        <w:rPr>
          <w:rFonts w:ascii="Arial" w:cs="Arial" w:eastAsia="Arial" w:hAnsi="Arial"/>
          <w:sz w:val="11"/>
          <w:szCs w:val="11"/>
          <w:color w:val="auto"/>
        </w:rPr>
        <w:t>on April 15, 2016 and that the final contributions by the Company to the DCP would be $150,000 for 2015 and $21,875 for 2016, satisfying the Company’s obligations under the DCP. Mr. Matyczynski’s agreement</w:t>
      </w:r>
    </w:p>
    <w:p>
      <w:pPr>
        <w:spacing w:after="0" w:line="18" w:lineRule="exact"/>
        <w:rPr>
          <w:sz w:val="20"/>
          <w:szCs w:val="20"/>
          <w:color w:val="auto"/>
        </w:rPr>
      </w:pPr>
    </w:p>
    <w:p>
      <w:pPr>
        <w:spacing w:after="0"/>
        <w:rPr>
          <w:sz w:val="20"/>
          <w:szCs w:val="20"/>
          <w:color w:val="auto"/>
        </w:rPr>
      </w:pPr>
      <w:r>
        <w:rPr>
          <w:rFonts w:ascii="Arial" w:cs="Arial" w:eastAsia="Arial" w:hAnsi="Arial"/>
          <w:sz w:val="12"/>
          <w:szCs w:val="12"/>
          <w:color w:val="auto"/>
        </w:rPr>
        <w:t>contains nonsolicitation provisions that extend for one year after his retirement.</w:t>
      </w:r>
    </w:p>
    <w:p>
      <w:pPr>
        <w:spacing w:after="0" w:line="123" w:lineRule="exact"/>
        <w:rPr>
          <w:sz w:val="20"/>
          <w:szCs w:val="20"/>
          <w:color w:val="auto"/>
        </w:rPr>
      </w:pPr>
    </w:p>
    <w:p>
      <w:pPr>
        <w:ind w:right="260" w:firstLine="432"/>
        <w:spacing w:after="0" w:line="276" w:lineRule="auto"/>
        <w:rPr>
          <w:sz w:val="20"/>
          <w:szCs w:val="20"/>
          <w:color w:val="auto"/>
        </w:rPr>
      </w:pPr>
      <w:r>
        <w:rPr>
          <w:rFonts w:ascii="Arial" w:cs="Arial" w:eastAsia="Arial" w:hAnsi="Arial"/>
          <w:sz w:val="12"/>
          <w:szCs w:val="12"/>
          <w:color w:val="auto"/>
        </w:rPr>
        <w:t>Under Mr. Matyczynski’s agreement, on his retirement date and provided there has not been a termination for cause, Mr. Matyczynski will be entitled to a lump sum severance payment in an amount equal to $50,000, less certain offsets.</w:t>
      </w:r>
    </w:p>
    <w:p>
      <w:pPr>
        <w:spacing w:after="0" w:line="88" w:lineRule="exact"/>
        <w:rPr>
          <w:sz w:val="20"/>
          <w:szCs w:val="20"/>
          <w:color w:val="auto"/>
        </w:rPr>
      </w:pPr>
    </w:p>
    <w:p>
      <w:pPr>
        <w:ind w:firstLine="432"/>
        <w:spacing w:after="0" w:line="380" w:lineRule="auto"/>
        <w:rPr>
          <w:sz w:val="20"/>
          <w:szCs w:val="20"/>
          <w:color w:val="auto"/>
        </w:rPr>
      </w:pPr>
      <w:r>
        <w:rPr>
          <w:rFonts w:ascii="Arial" w:cs="Arial" w:eastAsia="Arial" w:hAnsi="Arial"/>
          <w:sz w:val="10"/>
          <w:szCs w:val="10"/>
          <w:u w:val="single" w:color="auto"/>
          <w:color w:val="auto"/>
        </w:rPr>
        <w:t>Robert F. Smerling – Retirement Benefit</w:t>
      </w:r>
      <w:r>
        <w:rPr>
          <w:rFonts w:ascii="Arial" w:cs="Arial" w:eastAsia="Arial" w:hAnsi="Arial"/>
          <w:sz w:val="10"/>
          <w:szCs w:val="10"/>
          <w:color w:val="auto"/>
        </w:rPr>
        <w:t>. In March 2016, the Compensation Committee approved a one-time retirement benefit for Robert Smerling, President, Cinema Operations, due to his significant long-term service to the Company. The retirement benefit is the average of the two highest total cash compensation (base salary plus cash bonus) years paid to Mr. Smerling in the then most recently completed five year period.</w:t>
      </w:r>
    </w:p>
    <w:p>
      <w:pPr>
        <w:spacing w:after="0" w:line="41" w:lineRule="exact"/>
        <w:rPr>
          <w:sz w:val="20"/>
          <w:szCs w:val="20"/>
          <w:color w:val="auto"/>
        </w:rPr>
      </w:pPr>
    </w:p>
    <w:p>
      <w:pPr>
        <w:jc w:val="both"/>
        <w:ind w:right="160" w:firstLine="432"/>
        <w:spacing w:after="0" w:line="263" w:lineRule="auto"/>
        <w:rPr>
          <w:sz w:val="20"/>
          <w:szCs w:val="20"/>
          <w:color w:val="auto"/>
        </w:rPr>
      </w:pPr>
      <w:r>
        <w:rPr>
          <w:rFonts w:ascii="Arial" w:cs="Arial" w:eastAsia="Arial" w:hAnsi="Arial"/>
          <w:sz w:val="12"/>
          <w:szCs w:val="12"/>
          <w:color w:val="auto"/>
        </w:rPr>
        <w:t>No other named executive officers currently have employment agreements or other arrangements providing benefits upon termination or a change of control. The table below shows the maximum benefits that would be payable to each person listed above in the event of such person’s termination without cause or termination in connection with a change in control, if such events occurred on December 31, 2015, assuming the transaction took place on December 31, 2015 at price equal to the closing price of the Class A stock, which was of $13.11.</w:t>
      </w:r>
    </w:p>
    <w:p>
      <w:pPr>
        <w:spacing w:after="0" w:line="105" w:lineRule="exact"/>
        <w:rPr>
          <w:sz w:val="20"/>
          <w:szCs w:val="20"/>
          <w:color w:val="auto"/>
        </w:rPr>
      </w:pPr>
    </w:p>
    <w:p>
      <w:pPr>
        <w:ind w:left="440"/>
        <w:spacing w:after="0"/>
        <w:rPr>
          <w:sz w:val="20"/>
          <w:szCs w:val="20"/>
          <w:color w:val="auto"/>
        </w:rPr>
      </w:pPr>
      <w:r>
        <w:rPr>
          <w:rFonts w:ascii="Arial" w:cs="Arial" w:eastAsia="Arial" w:hAnsi="Arial"/>
          <w:sz w:val="12"/>
          <w:szCs w:val="12"/>
          <w:color w:val="auto"/>
        </w:rPr>
        <w:t>Mr. Ellis’ agreement terminated when his employment ended as of March 11, 2016. As such, his information is excluded from the table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59690</wp:posOffset>
            </wp:positionV>
            <wp:extent cx="6779895"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779895" cy="42545"/>
                    </a:xfrm>
                    <a:prstGeom prst="rect">
                      <a:avLst/>
                    </a:prstGeom>
                    <a:noFill/>
                  </pic:spPr>
                </pic:pic>
              </a:graphicData>
            </a:graphic>
          </wp:anchor>
        </w:drawing>
      </w:r>
    </w:p>
    <w:p>
      <w:pPr>
        <w:sectPr>
          <w:pgSz w:w="11900" w:h="16838" w:orient="portrait"/>
          <w:cols w:equalWidth="0" w:num="1">
            <w:col w:w="10620"/>
          </w:cols>
          <w:pgMar w:left="640" w:top="388" w:right="639" w:bottom="1440" w:gutter="0" w:footer="0" w:header="0"/>
        </w:sectPr>
      </w:pPr>
    </w:p>
    <w:bookmarkStart w:id="120" w:name="page121"/>
    <w:bookmarkEnd w:id="120"/>
    <w:tbl>
      <w:tblPr>
        <w:tblLayout w:type="fixed"/>
        <w:tblInd w:w="10" w:type="dxa"/>
        <w:tblCellMar>
          <w:top w:w="0" w:type="dxa"/>
          <w:left w:w="0" w:type="dxa"/>
          <w:bottom w:w="0" w:type="dxa"/>
          <w:right w:w="0" w:type="dxa"/>
        </w:tblCellMar>
      </w:tblPr>
      <w:tr>
        <w:trPr>
          <w:trHeight w:val="94"/>
        </w:trPr>
        <w:tc>
          <w:tcPr>
            <w:tcW w:w="1020" w:type="dxa"/>
            <w:vAlign w:val="bottom"/>
            <w:tcBorders>
              <w:top w:val="single" w:sz="8" w:color="auto"/>
              <w:left w:val="single" w:sz="8" w:color="auto"/>
              <w:right w:val="single" w:sz="8" w:color="auto"/>
            </w:tcBorders>
          </w:tcPr>
          <w:p>
            <w:pPr>
              <w:spacing w:after="0"/>
              <w:rPr>
                <w:sz w:val="8"/>
                <w:szCs w:val="8"/>
                <w:color w:val="auto"/>
              </w:rPr>
            </w:pPr>
          </w:p>
        </w:tc>
        <w:tc>
          <w:tcPr>
            <w:tcW w:w="2560" w:type="dxa"/>
            <w:vAlign w:val="bottom"/>
            <w:tcBorders>
              <w:top w:val="single" w:sz="8" w:color="auto"/>
              <w:right w:val="single" w:sz="8" w:color="auto"/>
            </w:tcBorders>
            <w:gridSpan w:val="3"/>
          </w:tcPr>
          <w:p>
            <w:pPr>
              <w:ind w:left="80"/>
              <w:spacing w:after="0" w:line="94" w:lineRule="exact"/>
              <w:rPr>
                <w:sz w:val="20"/>
                <w:szCs w:val="20"/>
                <w:color w:val="auto"/>
              </w:rPr>
            </w:pPr>
            <w:r>
              <w:rPr>
                <w:rFonts w:ascii="Arial" w:cs="Arial" w:eastAsia="Arial" w:hAnsi="Arial"/>
                <w:sz w:val="10"/>
                <w:szCs w:val="10"/>
                <w:b w:val="1"/>
                <w:bCs w:val="1"/>
                <w:color w:val="auto"/>
              </w:rPr>
              <w:t>Payable on upon Termination without Cause ($)</w:t>
            </w:r>
          </w:p>
        </w:tc>
        <w:tc>
          <w:tcPr>
            <w:tcW w:w="300" w:type="dxa"/>
            <w:vAlign w:val="bottom"/>
            <w:tcBorders>
              <w:top w:val="single" w:sz="8" w:color="auto"/>
              <w:right w:val="single" w:sz="8" w:color="auto"/>
            </w:tcBorders>
          </w:tcPr>
          <w:p>
            <w:pPr>
              <w:spacing w:after="0"/>
              <w:rPr>
                <w:sz w:val="8"/>
                <w:szCs w:val="8"/>
                <w:color w:val="auto"/>
              </w:rPr>
            </w:pPr>
          </w:p>
        </w:tc>
        <w:tc>
          <w:tcPr>
            <w:tcW w:w="2420" w:type="dxa"/>
            <w:vAlign w:val="bottom"/>
            <w:tcBorders>
              <w:top w:val="single" w:sz="8" w:color="auto"/>
              <w:right w:val="single" w:sz="8" w:color="auto"/>
            </w:tcBorders>
            <w:gridSpan w:val="4"/>
          </w:tcPr>
          <w:p>
            <w:pPr>
              <w:ind w:left="80"/>
              <w:spacing w:after="0" w:line="94" w:lineRule="exact"/>
              <w:rPr>
                <w:sz w:val="20"/>
                <w:szCs w:val="20"/>
                <w:color w:val="auto"/>
              </w:rPr>
            </w:pPr>
            <w:r>
              <w:rPr>
                <w:rFonts w:ascii="Arial" w:cs="Arial" w:eastAsia="Arial" w:hAnsi="Arial"/>
                <w:sz w:val="10"/>
                <w:szCs w:val="10"/>
                <w:b w:val="1"/>
                <w:bCs w:val="1"/>
                <w:color w:val="auto"/>
              </w:rPr>
              <w:t>Payable upon Termination in Connection with a</w:t>
            </w:r>
          </w:p>
        </w:tc>
        <w:tc>
          <w:tcPr>
            <w:tcW w:w="300" w:type="dxa"/>
            <w:vAlign w:val="bottom"/>
            <w:tcBorders>
              <w:top w:val="single" w:sz="8" w:color="auto"/>
              <w:right w:val="single" w:sz="8" w:color="auto"/>
            </w:tcBorders>
          </w:tcPr>
          <w:p>
            <w:pPr>
              <w:spacing w:after="0"/>
              <w:rPr>
                <w:sz w:val="8"/>
                <w:szCs w:val="8"/>
                <w:color w:val="auto"/>
              </w:rPr>
            </w:pPr>
          </w:p>
        </w:tc>
        <w:tc>
          <w:tcPr>
            <w:tcW w:w="880" w:type="dxa"/>
            <w:vAlign w:val="bottom"/>
            <w:tcBorders>
              <w:top w:val="single" w:sz="8" w:color="auto"/>
              <w:right w:val="single" w:sz="8" w:color="auto"/>
            </w:tcBorders>
          </w:tcPr>
          <w:p>
            <w:pPr>
              <w:ind w:left="80"/>
              <w:spacing w:after="0" w:line="94" w:lineRule="exact"/>
              <w:rPr>
                <w:sz w:val="20"/>
                <w:szCs w:val="20"/>
                <w:color w:val="auto"/>
              </w:rPr>
            </w:pPr>
            <w:r>
              <w:rPr>
                <w:rFonts w:ascii="Arial" w:cs="Arial" w:eastAsia="Arial" w:hAnsi="Arial"/>
                <w:sz w:val="10"/>
                <w:szCs w:val="10"/>
                <w:b w:val="1"/>
                <w:bCs w:val="1"/>
                <w:color w:val="auto"/>
              </w:rPr>
              <w:t>Payable upon</w:t>
            </w:r>
          </w:p>
        </w:tc>
      </w:tr>
      <w:tr>
        <w:trPr>
          <w:trHeight w:val="124"/>
        </w:trPr>
        <w:tc>
          <w:tcPr>
            <w:tcW w:w="1020" w:type="dxa"/>
            <w:vAlign w:val="bottom"/>
            <w:tcBorders>
              <w:left w:val="single" w:sz="8" w:color="auto"/>
              <w:right w:val="single" w:sz="8" w:color="auto"/>
            </w:tcBorders>
          </w:tcPr>
          <w:p>
            <w:pPr>
              <w:spacing w:after="0"/>
              <w:rPr>
                <w:sz w:val="10"/>
                <w:szCs w:val="10"/>
                <w:color w:val="auto"/>
              </w:rPr>
            </w:pPr>
          </w:p>
        </w:tc>
        <w:tc>
          <w:tcPr>
            <w:tcW w:w="8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80" w:type="dxa"/>
            <w:vAlign w:val="bottom"/>
            <w:tcBorders>
              <w:right w:val="single" w:sz="8" w:color="auto"/>
            </w:tcBorders>
          </w:tcPr>
          <w:p>
            <w:pPr>
              <w:spacing w:after="0"/>
              <w:rPr>
                <w:sz w:val="10"/>
                <w:szCs w:val="10"/>
                <w:color w:val="auto"/>
              </w:rPr>
            </w:pPr>
          </w:p>
        </w:tc>
        <w:tc>
          <w:tcPr>
            <w:tcW w:w="300" w:type="dxa"/>
            <w:vAlign w:val="bottom"/>
            <w:tcBorders>
              <w:right w:val="single" w:sz="8" w:color="auto"/>
            </w:tcBorders>
          </w:tcPr>
          <w:p>
            <w:pPr>
              <w:spacing w:after="0"/>
              <w:rPr>
                <w:sz w:val="10"/>
                <w:szCs w:val="10"/>
                <w:color w:val="auto"/>
              </w:rPr>
            </w:pPr>
          </w:p>
        </w:tc>
        <w:tc>
          <w:tcPr>
            <w:tcW w:w="1000" w:type="dxa"/>
            <w:vAlign w:val="bottom"/>
            <w:gridSpan w:val="2"/>
          </w:tcPr>
          <w:p>
            <w:pPr>
              <w:ind w:left="80"/>
              <w:spacing w:after="0"/>
              <w:rPr>
                <w:sz w:val="20"/>
                <w:szCs w:val="20"/>
                <w:color w:val="auto"/>
              </w:rPr>
            </w:pPr>
            <w:r>
              <w:rPr>
                <w:rFonts w:ascii="Arial" w:cs="Arial" w:eastAsia="Arial" w:hAnsi="Arial"/>
                <w:sz w:val="10"/>
                <w:szCs w:val="10"/>
                <w:b w:val="1"/>
                <w:bCs w:val="1"/>
                <w:color w:val="auto"/>
                <w:w w:val="88"/>
              </w:rPr>
              <w:t>Change in Control ($)</w:t>
            </w:r>
          </w:p>
        </w:tc>
        <w:tc>
          <w:tcPr>
            <w:tcW w:w="660" w:type="dxa"/>
            <w:vAlign w:val="bottom"/>
          </w:tcPr>
          <w:p>
            <w:pPr>
              <w:spacing w:after="0"/>
              <w:rPr>
                <w:sz w:val="10"/>
                <w:szCs w:val="10"/>
                <w:color w:val="auto"/>
              </w:rPr>
            </w:pPr>
          </w:p>
        </w:tc>
        <w:tc>
          <w:tcPr>
            <w:tcW w:w="760" w:type="dxa"/>
            <w:vAlign w:val="bottom"/>
            <w:tcBorders>
              <w:right w:val="single" w:sz="8" w:color="auto"/>
            </w:tcBorders>
          </w:tcPr>
          <w:p>
            <w:pPr>
              <w:spacing w:after="0"/>
              <w:rPr>
                <w:sz w:val="10"/>
                <w:szCs w:val="10"/>
                <w:color w:val="auto"/>
              </w:rPr>
            </w:pPr>
          </w:p>
        </w:tc>
        <w:tc>
          <w:tcPr>
            <w:tcW w:w="300" w:type="dxa"/>
            <w:vAlign w:val="bottom"/>
            <w:tcBorders>
              <w:right w:val="single" w:sz="8" w:color="auto"/>
            </w:tcBorders>
          </w:tcPr>
          <w:p>
            <w:pPr>
              <w:spacing w:after="0"/>
              <w:rPr>
                <w:sz w:val="10"/>
                <w:szCs w:val="10"/>
                <w:color w:val="auto"/>
              </w:rPr>
            </w:pPr>
          </w:p>
        </w:tc>
        <w:tc>
          <w:tcPr>
            <w:tcW w:w="880" w:type="dxa"/>
            <w:vAlign w:val="bottom"/>
            <w:tcBorders>
              <w:right w:val="single" w:sz="8" w:color="auto"/>
            </w:tcBorders>
          </w:tcPr>
          <w:p>
            <w:pPr>
              <w:ind w:left="80"/>
              <w:spacing w:after="0"/>
              <w:rPr>
                <w:sz w:val="20"/>
                <w:szCs w:val="20"/>
                <w:color w:val="auto"/>
              </w:rPr>
            </w:pPr>
            <w:r>
              <w:rPr>
                <w:rFonts w:ascii="Arial" w:cs="Arial" w:eastAsia="Arial" w:hAnsi="Arial"/>
                <w:sz w:val="10"/>
                <w:szCs w:val="10"/>
                <w:b w:val="1"/>
                <w:bCs w:val="1"/>
                <w:color w:val="auto"/>
              </w:rPr>
              <w:t>Retirement ($)</w:t>
            </w:r>
          </w:p>
        </w:tc>
      </w:tr>
      <w:tr>
        <w:trPr>
          <w:trHeight w:val="107"/>
        </w:trPr>
        <w:tc>
          <w:tcPr>
            <w:tcW w:w="1020" w:type="dxa"/>
            <w:vAlign w:val="bottom"/>
            <w:tcBorders>
              <w:left w:val="single" w:sz="8" w:color="auto"/>
              <w:bottom w:val="single" w:sz="8" w:color="auto"/>
              <w:right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880" w:type="dxa"/>
            <w:vAlign w:val="bottom"/>
            <w:tcBorders>
              <w:bottom w:val="single" w:sz="8" w:color="auto"/>
              <w:right w:val="single" w:sz="8" w:color="auto"/>
            </w:tcBorders>
          </w:tcPr>
          <w:p>
            <w:pPr>
              <w:spacing w:after="0"/>
              <w:rPr>
                <w:sz w:val="9"/>
                <w:szCs w:val="9"/>
                <w:color w:val="auto"/>
              </w:rPr>
            </w:pPr>
          </w:p>
        </w:tc>
        <w:tc>
          <w:tcPr>
            <w:tcW w:w="300" w:type="dxa"/>
            <w:vAlign w:val="bottom"/>
            <w:tcBorders>
              <w:bottom w:val="single" w:sz="8" w:color="auto"/>
              <w:right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760" w:type="dxa"/>
            <w:vAlign w:val="bottom"/>
            <w:tcBorders>
              <w:bottom w:val="single" w:sz="8" w:color="auto"/>
              <w:right w:val="single" w:sz="8" w:color="auto"/>
            </w:tcBorders>
          </w:tcPr>
          <w:p>
            <w:pPr>
              <w:spacing w:after="0"/>
              <w:rPr>
                <w:sz w:val="9"/>
                <w:szCs w:val="9"/>
                <w:color w:val="auto"/>
              </w:rPr>
            </w:pPr>
          </w:p>
        </w:tc>
        <w:tc>
          <w:tcPr>
            <w:tcW w:w="300" w:type="dxa"/>
            <w:vAlign w:val="bottom"/>
            <w:tcBorders>
              <w:bottom w:val="single" w:sz="8" w:color="auto"/>
              <w:right w:val="single" w:sz="8" w:color="auto"/>
            </w:tcBorders>
          </w:tcPr>
          <w:p>
            <w:pPr>
              <w:spacing w:after="0"/>
              <w:rPr>
                <w:sz w:val="9"/>
                <w:szCs w:val="9"/>
                <w:color w:val="auto"/>
              </w:rPr>
            </w:pPr>
          </w:p>
        </w:tc>
        <w:tc>
          <w:tcPr>
            <w:tcW w:w="880" w:type="dxa"/>
            <w:vAlign w:val="bottom"/>
            <w:tcBorders>
              <w:bottom w:val="single" w:sz="8" w:color="auto"/>
              <w:right w:val="single" w:sz="8" w:color="auto"/>
            </w:tcBorders>
          </w:tcPr>
          <w:p>
            <w:pPr>
              <w:spacing w:after="0"/>
              <w:rPr>
                <w:sz w:val="9"/>
                <w:szCs w:val="9"/>
                <w:color w:val="auto"/>
              </w:rPr>
            </w:pPr>
          </w:p>
        </w:tc>
      </w:tr>
      <w:tr>
        <w:trPr>
          <w:trHeight w:val="76"/>
        </w:trPr>
        <w:tc>
          <w:tcPr>
            <w:tcW w:w="1020" w:type="dxa"/>
            <w:vAlign w:val="bottom"/>
            <w:tcBorders>
              <w:left w:val="single" w:sz="8" w:color="auto"/>
              <w:right w:val="single" w:sz="8" w:color="auto"/>
            </w:tcBorders>
          </w:tcPr>
          <w:p>
            <w:pPr>
              <w:spacing w:after="0"/>
              <w:rPr>
                <w:sz w:val="6"/>
                <w:szCs w:val="6"/>
                <w:color w:val="auto"/>
              </w:rPr>
            </w:pPr>
          </w:p>
        </w:tc>
        <w:tc>
          <w:tcPr>
            <w:tcW w:w="840" w:type="dxa"/>
            <w:vAlign w:val="bottom"/>
            <w:tcBorders>
              <w:right w:val="single" w:sz="8" w:color="auto"/>
            </w:tcBorders>
          </w:tcPr>
          <w:p>
            <w:pPr>
              <w:ind w:left="80"/>
              <w:spacing w:after="0" w:line="76" w:lineRule="exact"/>
              <w:rPr>
                <w:sz w:val="20"/>
                <w:szCs w:val="20"/>
                <w:color w:val="auto"/>
              </w:rPr>
            </w:pPr>
            <w:r>
              <w:rPr>
                <w:rFonts w:ascii="Arial" w:cs="Arial" w:eastAsia="Arial" w:hAnsi="Arial"/>
                <w:sz w:val="8"/>
                <w:szCs w:val="8"/>
                <w:i w:val="1"/>
                <w:iCs w:val="1"/>
                <w:color w:val="auto"/>
              </w:rPr>
              <w:t>Severance</w:t>
            </w:r>
          </w:p>
        </w:tc>
        <w:tc>
          <w:tcPr>
            <w:tcW w:w="84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8"/>
                <w:szCs w:val="8"/>
                <w:i w:val="1"/>
                <w:iCs w:val="1"/>
                <w:color w:val="auto"/>
              </w:rPr>
              <w:t>Value of Vested</w:t>
            </w:r>
          </w:p>
        </w:tc>
        <w:tc>
          <w:tcPr>
            <w:tcW w:w="88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8"/>
                <w:szCs w:val="8"/>
                <w:i w:val="1"/>
                <w:iCs w:val="1"/>
                <w:color w:val="auto"/>
              </w:rPr>
              <w:t>Value of Health</w:t>
            </w:r>
          </w:p>
        </w:tc>
        <w:tc>
          <w:tcPr>
            <w:tcW w:w="300" w:type="dxa"/>
            <w:vAlign w:val="bottom"/>
            <w:tcBorders>
              <w:right w:val="single" w:sz="8" w:color="auto"/>
            </w:tcBorders>
          </w:tcPr>
          <w:p>
            <w:pPr>
              <w:spacing w:after="0"/>
              <w:rPr>
                <w:sz w:val="6"/>
                <w:szCs w:val="6"/>
                <w:color w:val="auto"/>
              </w:rPr>
            </w:pPr>
          </w:p>
        </w:tc>
        <w:tc>
          <w:tcPr>
            <w:tcW w:w="960" w:type="dxa"/>
            <w:vAlign w:val="bottom"/>
            <w:tcBorders>
              <w:right w:val="single" w:sz="8" w:color="auto"/>
            </w:tcBorders>
          </w:tcPr>
          <w:p>
            <w:pPr>
              <w:ind w:left="80"/>
              <w:spacing w:after="0" w:line="76" w:lineRule="exact"/>
              <w:rPr>
                <w:sz w:val="20"/>
                <w:szCs w:val="20"/>
                <w:color w:val="auto"/>
              </w:rPr>
            </w:pPr>
            <w:r>
              <w:rPr>
                <w:rFonts w:ascii="Arial" w:cs="Arial" w:eastAsia="Arial" w:hAnsi="Arial"/>
                <w:sz w:val="8"/>
                <w:szCs w:val="8"/>
                <w:i w:val="1"/>
                <w:iCs w:val="1"/>
                <w:color w:val="auto"/>
              </w:rPr>
              <w:t>Severance</w:t>
            </w:r>
          </w:p>
        </w:tc>
        <w:tc>
          <w:tcPr>
            <w:tcW w:w="40" w:type="dxa"/>
            <w:vAlign w:val="bottom"/>
          </w:tcPr>
          <w:p>
            <w:pPr>
              <w:spacing w:after="0"/>
              <w:rPr>
                <w:sz w:val="6"/>
                <w:szCs w:val="6"/>
                <w:color w:val="auto"/>
              </w:rPr>
            </w:pPr>
          </w:p>
        </w:tc>
        <w:tc>
          <w:tcPr>
            <w:tcW w:w="660" w:type="dxa"/>
            <w:vAlign w:val="bottom"/>
            <w:tcBorders>
              <w:right w:val="single" w:sz="8" w:color="auto"/>
            </w:tcBorders>
          </w:tcPr>
          <w:p>
            <w:pPr>
              <w:ind w:left="40"/>
              <w:spacing w:after="0" w:line="76" w:lineRule="exact"/>
              <w:rPr>
                <w:sz w:val="20"/>
                <w:szCs w:val="20"/>
                <w:color w:val="auto"/>
              </w:rPr>
            </w:pPr>
            <w:r>
              <w:rPr>
                <w:rFonts w:ascii="Arial" w:cs="Arial" w:eastAsia="Arial" w:hAnsi="Arial"/>
                <w:sz w:val="8"/>
                <w:szCs w:val="8"/>
                <w:i w:val="1"/>
                <w:iCs w:val="1"/>
                <w:color w:val="auto"/>
              </w:rPr>
              <w:t>Value of</w:t>
            </w:r>
          </w:p>
        </w:tc>
        <w:tc>
          <w:tcPr>
            <w:tcW w:w="76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8"/>
                <w:szCs w:val="8"/>
                <w:i w:val="1"/>
                <w:iCs w:val="1"/>
                <w:color w:val="auto"/>
              </w:rPr>
              <w:t>Value of</w:t>
            </w:r>
          </w:p>
        </w:tc>
        <w:tc>
          <w:tcPr>
            <w:tcW w:w="300" w:type="dxa"/>
            <w:vAlign w:val="bottom"/>
            <w:tcBorders>
              <w:right w:val="single" w:sz="8" w:color="auto"/>
            </w:tcBorders>
          </w:tcPr>
          <w:p>
            <w:pPr>
              <w:spacing w:after="0"/>
              <w:rPr>
                <w:sz w:val="6"/>
                <w:szCs w:val="6"/>
                <w:color w:val="auto"/>
              </w:rPr>
            </w:pPr>
          </w:p>
        </w:tc>
        <w:tc>
          <w:tcPr>
            <w:tcW w:w="880" w:type="dxa"/>
            <w:vAlign w:val="bottom"/>
            <w:tcBorders>
              <w:right w:val="single" w:sz="8" w:color="auto"/>
            </w:tcBorders>
          </w:tcPr>
          <w:p>
            <w:pPr>
              <w:ind w:left="80"/>
              <w:spacing w:after="0" w:line="76" w:lineRule="exact"/>
              <w:rPr>
                <w:sz w:val="20"/>
                <w:szCs w:val="20"/>
                <w:color w:val="auto"/>
              </w:rPr>
            </w:pPr>
            <w:r>
              <w:rPr>
                <w:rFonts w:ascii="Arial" w:cs="Arial" w:eastAsia="Arial" w:hAnsi="Arial"/>
                <w:sz w:val="8"/>
                <w:szCs w:val="8"/>
                <w:i w:val="1"/>
                <w:iCs w:val="1"/>
                <w:color w:val="auto"/>
              </w:rPr>
              <w:t>Benefits Payable</w:t>
            </w:r>
          </w:p>
        </w:tc>
      </w:tr>
      <w:tr>
        <w:trPr>
          <w:trHeight w:val="99"/>
        </w:trPr>
        <w:tc>
          <w:tcPr>
            <w:tcW w:w="1020" w:type="dxa"/>
            <w:vAlign w:val="bottom"/>
            <w:tcBorders>
              <w:left w:val="single" w:sz="8" w:color="auto"/>
              <w:right w:val="single" w:sz="8" w:color="auto"/>
            </w:tcBorders>
          </w:tcPr>
          <w:p>
            <w:pPr>
              <w:spacing w:after="0"/>
              <w:rPr>
                <w:sz w:val="8"/>
                <w:szCs w:val="8"/>
                <w:color w:val="auto"/>
              </w:rPr>
            </w:pPr>
          </w:p>
        </w:tc>
        <w:tc>
          <w:tcPr>
            <w:tcW w:w="840" w:type="dxa"/>
            <w:vAlign w:val="bottom"/>
            <w:tcBorders>
              <w:right w:val="single" w:sz="8" w:color="auto"/>
            </w:tcBorders>
          </w:tcPr>
          <w:p>
            <w:pPr>
              <w:ind w:left="80"/>
              <w:spacing w:after="0" w:line="99" w:lineRule="exact"/>
              <w:rPr>
                <w:sz w:val="20"/>
                <w:szCs w:val="20"/>
                <w:color w:val="auto"/>
              </w:rPr>
            </w:pPr>
            <w:r>
              <w:rPr>
                <w:rFonts w:ascii="Arial" w:cs="Arial" w:eastAsia="Arial" w:hAnsi="Arial"/>
                <w:sz w:val="10"/>
                <w:szCs w:val="10"/>
                <w:i w:val="1"/>
                <w:iCs w:val="1"/>
                <w:color w:val="auto"/>
              </w:rPr>
              <w:t>Payments</w:t>
            </w:r>
          </w:p>
        </w:tc>
        <w:tc>
          <w:tcPr>
            <w:tcW w:w="840" w:type="dxa"/>
            <w:vAlign w:val="bottom"/>
            <w:tcBorders>
              <w:right w:val="single" w:sz="8" w:color="auto"/>
            </w:tcBorders>
          </w:tcPr>
          <w:p>
            <w:pPr>
              <w:ind w:left="60"/>
              <w:spacing w:after="0" w:line="99" w:lineRule="exact"/>
              <w:rPr>
                <w:sz w:val="20"/>
                <w:szCs w:val="20"/>
                <w:color w:val="auto"/>
              </w:rPr>
            </w:pPr>
            <w:r>
              <w:rPr>
                <w:rFonts w:ascii="Arial" w:cs="Arial" w:eastAsia="Arial" w:hAnsi="Arial"/>
                <w:sz w:val="10"/>
                <w:szCs w:val="10"/>
                <w:i w:val="1"/>
                <w:iCs w:val="1"/>
                <w:color w:val="auto"/>
              </w:rPr>
              <w:t>Stock Options</w:t>
            </w:r>
          </w:p>
        </w:tc>
        <w:tc>
          <w:tcPr>
            <w:tcW w:w="880" w:type="dxa"/>
            <w:vAlign w:val="bottom"/>
            <w:tcBorders>
              <w:right w:val="single" w:sz="8" w:color="auto"/>
            </w:tcBorders>
          </w:tcPr>
          <w:p>
            <w:pPr>
              <w:ind w:left="60"/>
              <w:spacing w:after="0" w:line="99" w:lineRule="exact"/>
              <w:rPr>
                <w:sz w:val="20"/>
                <w:szCs w:val="20"/>
                <w:color w:val="auto"/>
              </w:rPr>
            </w:pPr>
            <w:r>
              <w:rPr>
                <w:rFonts w:ascii="Arial" w:cs="Arial" w:eastAsia="Arial" w:hAnsi="Arial"/>
                <w:sz w:val="10"/>
                <w:szCs w:val="10"/>
                <w:i w:val="1"/>
                <w:iCs w:val="1"/>
                <w:color w:val="auto"/>
              </w:rPr>
              <w:t>Benefits</w:t>
            </w:r>
          </w:p>
        </w:tc>
        <w:tc>
          <w:tcPr>
            <w:tcW w:w="300" w:type="dxa"/>
            <w:vAlign w:val="bottom"/>
            <w:tcBorders>
              <w:right w:val="single" w:sz="8" w:color="auto"/>
            </w:tcBorders>
          </w:tcPr>
          <w:p>
            <w:pPr>
              <w:spacing w:after="0"/>
              <w:rPr>
                <w:sz w:val="8"/>
                <w:szCs w:val="8"/>
                <w:color w:val="auto"/>
              </w:rPr>
            </w:pPr>
          </w:p>
        </w:tc>
        <w:tc>
          <w:tcPr>
            <w:tcW w:w="960" w:type="dxa"/>
            <w:vAlign w:val="bottom"/>
            <w:tcBorders>
              <w:right w:val="single" w:sz="8" w:color="auto"/>
            </w:tcBorders>
          </w:tcPr>
          <w:p>
            <w:pPr>
              <w:ind w:left="80"/>
              <w:spacing w:after="0" w:line="99" w:lineRule="exact"/>
              <w:rPr>
                <w:sz w:val="20"/>
                <w:szCs w:val="20"/>
                <w:color w:val="auto"/>
              </w:rPr>
            </w:pPr>
            <w:r>
              <w:rPr>
                <w:rFonts w:ascii="Arial" w:cs="Arial" w:eastAsia="Arial" w:hAnsi="Arial"/>
                <w:sz w:val="10"/>
                <w:szCs w:val="10"/>
                <w:i w:val="1"/>
                <w:iCs w:val="1"/>
                <w:color w:val="auto"/>
              </w:rPr>
              <w:t>Payments</w:t>
            </w:r>
          </w:p>
        </w:tc>
        <w:tc>
          <w:tcPr>
            <w:tcW w:w="40" w:type="dxa"/>
            <w:vAlign w:val="bottom"/>
          </w:tcPr>
          <w:p>
            <w:pPr>
              <w:spacing w:after="0"/>
              <w:rPr>
                <w:sz w:val="8"/>
                <w:szCs w:val="8"/>
                <w:color w:val="auto"/>
              </w:rPr>
            </w:pPr>
          </w:p>
        </w:tc>
        <w:tc>
          <w:tcPr>
            <w:tcW w:w="660" w:type="dxa"/>
            <w:vAlign w:val="bottom"/>
            <w:tcBorders>
              <w:right w:val="single" w:sz="8" w:color="auto"/>
            </w:tcBorders>
          </w:tcPr>
          <w:p>
            <w:pPr>
              <w:ind w:left="40"/>
              <w:spacing w:after="0" w:line="99" w:lineRule="exact"/>
              <w:rPr>
                <w:sz w:val="20"/>
                <w:szCs w:val="20"/>
                <w:color w:val="auto"/>
              </w:rPr>
            </w:pPr>
            <w:r>
              <w:rPr>
                <w:rFonts w:ascii="Arial" w:cs="Arial" w:eastAsia="Arial" w:hAnsi="Arial"/>
                <w:sz w:val="10"/>
                <w:szCs w:val="10"/>
                <w:i w:val="1"/>
                <w:iCs w:val="1"/>
                <w:color w:val="auto"/>
                <w:w w:val="98"/>
              </w:rPr>
              <w:t>Vested Stock</w:t>
            </w:r>
          </w:p>
        </w:tc>
        <w:tc>
          <w:tcPr>
            <w:tcW w:w="760" w:type="dxa"/>
            <w:vAlign w:val="bottom"/>
            <w:tcBorders>
              <w:right w:val="single" w:sz="8" w:color="auto"/>
            </w:tcBorders>
          </w:tcPr>
          <w:p>
            <w:pPr>
              <w:ind w:left="60"/>
              <w:spacing w:after="0" w:line="99" w:lineRule="exact"/>
              <w:rPr>
                <w:sz w:val="20"/>
                <w:szCs w:val="20"/>
                <w:color w:val="auto"/>
              </w:rPr>
            </w:pPr>
            <w:r>
              <w:rPr>
                <w:rFonts w:ascii="Arial" w:cs="Arial" w:eastAsia="Arial" w:hAnsi="Arial"/>
                <w:sz w:val="10"/>
                <w:szCs w:val="10"/>
                <w:i w:val="1"/>
                <w:iCs w:val="1"/>
                <w:color w:val="auto"/>
                <w:w w:val="94"/>
              </w:rPr>
              <w:t>Unvested Stock</w:t>
            </w:r>
          </w:p>
        </w:tc>
        <w:tc>
          <w:tcPr>
            <w:tcW w:w="300" w:type="dxa"/>
            <w:vAlign w:val="bottom"/>
            <w:tcBorders>
              <w:right w:val="single" w:sz="8" w:color="auto"/>
            </w:tcBorders>
          </w:tcPr>
          <w:p>
            <w:pPr>
              <w:spacing w:after="0"/>
              <w:rPr>
                <w:sz w:val="8"/>
                <w:szCs w:val="8"/>
                <w:color w:val="auto"/>
              </w:rPr>
            </w:pPr>
          </w:p>
        </w:tc>
        <w:tc>
          <w:tcPr>
            <w:tcW w:w="880" w:type="dxa"/>
            <w:vAlign w:val="bottom"/>
            <w:tcBorders>
              <w:right w:val="single" w:sz="8" w:color="auto"/>
            </w:tcBorders>
          </w:tcPr>
          <w:p>
            <w:pPr>
              <w:ind w:left="80"/>
              <w:spacing w:after="0" w:line="99" w:lineRule="exact"/>
              <w:rPr>
                <w:sz w:val="20"/>
                <w:szCs w:val="20"/>
                <w:color w:val="auto"/>
              </w:rPr>
            </w:pPr>
            <w:r>
              <w:rPr>
                <w:rFonts w:ascii="Arial" w:cs="Arial" w:eastAsia="Arial" w:hAnsi="Arial"/>
                <w:sz w:val="10"/>
                <w:szCs w:val="10"/>
                <w:i w:val="1"/>
                <w:iCs w:val="1"/>
                <w:color w:val="auto"/>
                <w:w w:val="98"/>
              </w:rPr>
              <w:t>under Retirement</w:t>
            </w:r>
          </w:p>
        </w:tc>
      </w:tr>
      <w:tr>
        <w:trPr>
          <w:trHeight w:val="99"/>
        </w:trPr>
        <w:tc>
          <w:tcPr>
            <w:tcW w:w="1020" w:type="dxa"/>
            <w:vAlign w:val="bottom"/>
            <w:tcBorders>
              <w:left w:val="single" w:sz="8" w:color="auto"/>
              <w:right w:val="single" w:sz="8" w:color="auto"/>
            </w:tcBorders>
          </w:tcPr>
          <w:p>
            <w:pPr>
              <w:spacing w:after="0"/>
              <w:rPr>
                <w:sz w:val="8"/>
                <w:szCs w:val="8"/>
                <w:color w:val="auto"/>
              </w:rPr>
            </w:pPr>
          </w:p>
        </w:tc>
        <w:tc>
          <w:tcPr>
            <w:tcW w:w="840" w:type="dxa"/>
            <w:vAlign w:val="bottom"/>
            <w:tcBorders>
              <w:right w:val="single" w:sz="8" w:color="auto"/>
            </w:tcBorders>
          </w:tcPr>
          <w:p>
            <w:pPr>
              <w:spacing w:after="0"/>
              <w:rPr>
                <w:sz w:val="8"/>
                <w:szCs w:val="8"/>
                <w:color w:val="auto"/>
              </w:rPr>
            </w:pPr>
          </w:p>
        </w:tc>
        <w:tc>
          <w:tcPr>
            <w:tcW w:w="840" w:type="dxa"/>
            <w:vAlign w:val="bottom"/>
            <w:tcBorders>
              <w:right w:val="single" w:sz="8" w:color="auto"/>
            </w:tcBorders>
          </w:tcPr>
          <w:p>
            <w:pPr>
              <w:spacing w:after="0"/>
              <w:rPr>
                <w:sz w:val="8"/>
                <w:szCs w:val="8"/>
                <w:color w:val="auto"/>
              </w:rPr>
            </w:pPr>
          </w:p>
        </w:tc>
        <w:tc>
          <w:tcPr>
            <w:tcW w:w="880" w:type="dxa"/>
            <w:vAlign w:val="bottom"/>
            <w:tcBorders>
              <w:right w:val="single" w:sz="8" w:color="auto"/>
            </w:tcBorders>
          </w:tcPr>
          <w:p>
            <w:pPr>
              <w:spacing w:after="0"/>
              <w:rPr>
                <w:sz w:val="8"/>
                <w:szCs w:val="8"/>
                <w:color w:val="auto"/>
              </w:rPr>
            </w:pPr>
          </w:p>
        </w:tc>
        <w:tc>
          <w:tcPr>
            <w:tcW w:w="300" w:type="dxa"/>
            <w:vAlign w:val="bottom"/>
            <w:tcBorders>
              <w:right w:val="single" w:sz="8" w:color="auto"/>
            </w:tcBorders>
          </w:tcPr>
          <w:p>
            <w:pPr>
              <w:spacing w:after="0"/>
              <w:rPr>
                <w:sz w:val="8"/>
                <w:szCs w:val="8"/>
                <w:color w:val="auto"/>
              </w:rPr>
            </w:pPr>
          </w:p>
        </w:tc>
        <w:tc>
          <w:tcPr>
            <w:tcW w:w="960" w:type="dxa"/>
            <w:vAlign w:val="bottom"/>
            <w:tcBorders>
              <w:right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tcBorders>
              <w:right w:val="single" w:sz="8" w:color="auto"/>
            </w:tcBorders>
          </w:tcPr>
          <w:p>
            <w:pPr>
              <w:ind w:left="40"/>
              <w:spacing w:after="0" w:line="99" w:lineRule="exact"/>
              <w:rPr>
                <w:sz w:val="20"/>
                <w:szCs w:val="20"/>
                <w:color w:val="auto"/>
              </w:rPr>
            </w:pPr>
            <w:r>
              <w:rPr>
                <w:rFonts w:ascii="Arial" w:cs="Arial" w:eastAsia="Arial" w:hAnsi="Arial"/>
                <w:sz w:val="10"/>
                <w:szCs w:val="10"/>
                <w:i w:val="1"/>
                <w:iCs w:val="1"/>
                <w:color w:val="auto"/>
              </w:rPr>
              <w:t>Options</w:t>
            </w:r>
          </w:p>
        </w:tc>
        <w:tc>
          <w:tcPr>
            <w:tcW w:w="760" w:type="dxa"/>
            <w:vAlign w:val="bottom"/>
            <w:tcBorders>
              <w:right w:val="single" w:sz="8" w:color="auto"/>
            </w:tcBorders>
          </w:tcPr>
          <w:p>
            <w:pPr>
              <w:ind w:left="60"/>
              <w:spacing w:after="0" w:line="99" w:lineRule="exact"/>
              <w:rPr>
                <w:sz w:val="20"/>
                <w:szCs w:val="20"/>
                <w:color w:val="auto"/>
              </w:rPr>
            </w:pPr>
            <w:r>
              <w:rPr>
                <w:rFonts w:ascii="Arial" w:cs="Arial" w:eastAsia="Arial" w:hAnsi="Arial"/>
                <w:sz w:val="10"/>
                <w:szCs w:val="10"/>
                <w:i w:val="1"/>
                <w:iCs w:val="1"/>
                <w:color w:val="auto"/>
              </w:rPr>
              <w:t>Options</w:t>
            </w:r>
          </w:p>
        </w:tc>
        <w:tc>
          <w:tcPr>
            <w:tcW w:w="300" w:type="dxa"/>
            <w:vAlign w:val="bottom"/>
            <w:tcBorders>
              <w:right w:val="single" w:sz="8" w:color="auto"/>
            </w:tcBorders>
          </w:tcPr>
          <w:p>
            <w:pPr>
              <w:spacing w:after="0"/>
              <w:rPr>
                <w:sz w:val="8"/>
                <w:szCs w:val="8"/>
                <w:color w:val="auto"/>
              </w:rPr>
            </w:pPr>
          </w:p>
        </w:tc>
        <w:tc>
          <w:tcPr>
            <w:tcW w:w="880" w:type="dxa"/>
            <w:vAlign w:val="bottom"/>
            <w:tcBorders>
              <w:right w:val="single" w:sz="8" w:color="auto"/>
            </w:tcBorders>
          </w:tcPr>
          <w:p>
            <w:pPr>
              <w:ind w:left="80"/>
              <w:spacing w:after="0" w:line="99" w:lineRule="exact"/>
              <w:rPr>
                <w:sz w:val="20"/>
                <w:szCs w:val="20"/>
                <w:color w:val="auto"/>
              </w:rPr>
            </w:pPr>
            <w:r>
              <w:rPr>
                <w:rFonts w:ascii="Arial" w:cs="Arial" w:eastAsia="Arial" w:hAnsi="Arial"/>
                <w:sz w:val="10"/>
                <w:szCs w:val="10"/>
                <w:i w:val="1"/>
                <w:iCs w:val="1"/>
                <w:color w:val="auto"/>
                <w:w w:val="98"/>
              </w:rPr>
              <w:t>Plans or the DCP</w:t>
            </w:r>
          </w:p>
        </w:tc>
      </w:tr>
      <w:tr>
        <w:trPr>
          <w:trHeight w:val="122"/>
        </w:trPr>
        <w:tc>
          <w:tcPr>
            <w:tcW w:w="1020" w:type="dxa"/>
            <w:vAlign w:val="bottom"/>
            <w:tcBorders>
              <w:left w:val="single" w:sz="8" w:color="auto"/>
              <w:right w:val="single" w:sz="8" w:color="auto"/>
            </w:tcBorders>
          </w:tcPr>
          <w:p>
            <w:pPr>
              <w:spacing w:after="0"/>
              <w:rPr>
                <w:sz w:val="10"/>
                <w:szCs w:val="10"/>
                <w:color w:val="auto"/>
              </w:rPr>
            </w:pPr>
          </w:p>
        </w:tc>
        <w:tc>
          <w:tcPr>
            <w:tcW w:w="840" w:type="dxa"/>
            <w:vAlign w:val="bottom"/>
            <w:tcBorders>
              <w:right w:val="single" w:sz="8" w:color="auto"/>
            </w:tcBorders>
          </w:tcPr>
          <w:p>
            <w:pPr>
              <w:spacing w:after="0"/>
              <w:rPr>
                <w:sz w:val="10"/>
                <w:szCs w:val="10"/>
                <w:color w:val="auto"/>
              </w:rPr>
            </w:pPr>
          </w:p>
        </w:tc>
        <w:tc>
          <w:tcPr>
            <w:tcW w:w="840" w:type="dxa"/>
            <w:vAlign w:val="bottom"/>
            <w:tcBorders>
              <w:right w:val="single" w:sz="8" w:color="auto"/>
            </w:tcBorders>
          </w:tcPr>
          <w:p>
            <w:pPr>
              <w:spacing w:after="0"/>
              <w:rPr>
                <w:sz w:val="10"/>
                <w:szCs w:val="10"/>
                <w:color w:val="auto"/>
              </w:rPr>
            </w:pPr>
          </w:p>
        </w:tc>
        <w:tc>
          <w:tcPr>
            <w:tcW w:w="880" w:type="dxa"/>
            <w:vAlign w:val="bottom"/>
            <w:tcBorders>
              <w:right w:val="single" w:sz="8" w:color="auto"/>
            </w:tcBorders>
          </w:tcPr>
          <w:p>
            <w:pPr>
              <w:spacing w:after="0"/>
              <w:rPr>
                <w:sz w:val="10"/>
                <w:szCs w:val="10"/>
                <w:color w:val="auto"/>
              </w:rPr>
            </w:pPr>
          </w:p>
        </w:tc>
        <w:tc>
          <w:tcPr>
            <w:tcW w:w="300" w:type="dxa"/>
            <w:vAlign w:val="bottom"/>
            <w:tcBorders>
              <w:right w:val="single" w:sz="8" w:color="auto"/>
            </w:tcBorders>
          </w:tcPr>
          <w:p>
            <w:pPr>
              <w:spacing w:after="0"/>
              <w:rPr>
                <w:sz w:val="10"/>
                <w:szCs w:val="10"/>
                <w:color w:val="auto"/>
              </w:rPr>
            </w:pPr>
          </w:p>
        </w:tc>
        <w:tc>
          <w:tcPr>
            <w:tcW w:w="96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Borders>
              <w:right w:val="single" w:sz="8" w:color="auto"/>
            </w:tcBorders>
          </w:tcPr>
          <w:p>
            <w:pPr>
              <w:spacing w:after="0"/>
              <w:rPr>
                <w:sz w:val="10"/>
                <w:szCs w:val="10"/>
                <w:color w:val="auto"/>
              </w:rPr>
            </w:pPr>
          </w:p>
        </w:tc>
        <w:tc>
          <w:tcPr>
            <w:tcW w:w="760" w:type="dxa"/>
            <w:vAlign w:val="bottom"/>
            <w:tcBorders>
              <w:right w:val="single" w:sz="8" w:color="auto"/>
            </w:tcBorders>
          </w:tcPr>
          <w:p>
            <w:pPr>
              <w:ind w:left="60"/>
              <w:spacing w:after="0"/>
              <w:rPr>
                <w:sz w:val="20"/>
                <w:szCs w:val="20"/>
                <w:color w:val="auto"/>
              </w:rPr>
            </w:pPr>
            <w:r>
              <w:rPr>
                <w:rFonts w:ascii="Arial" w:cs="Arial" w:eastAsia="Arial" w:hAnsi="Arial"/>
                <w:sz w:val="10"/>
                <w:szCs w:val="10"/>
                <w:i w:val="1"/>
                <w:iCs w:val="1"/>
                <w:color w:val="auto"/>
              </w:rPr>
              <w:t>Accelerated</w:t>
            </w:r>
          </w:p>
        </w:tc>
        <w:tc>
          <w:tcPr>
            <w:tcW w:w="300" w:type="dxa"/>
            <w:vAlign w:val="bottom"/>
            <w:tcBorders>
              <w:right w:val="single" w:sz="8" w:color="auto"/>
            </w:tcBorders>
          </w:tcPr>
          <w:p>
            <w:pPr>
              <w:spacing w:after="0"/>
              <w:rPr>
                <w:sz w:val="10"/>
                <w:szCs w:val="10"/>
                <w:color w:val="auto"/>
              </w:rPr>
            </w:pPr>
          </w:p>
        </w:tc>
        <w:tc>
          <w:tcPr>
            <w:tcW w:w="880" w:type="dxa"/>
            <w:vAlign w:val="bottom"/>
            <w:tcBorders>
              <w:right w:val="single" w:sz="8" w:color="auto"/>
            </w:tcBorders>
          </w:tcPr>
          <w:p>
            <w:pPr>
              <w:spacing w:after="0"/>
              <w:rPr>
                <w:sz w:val="10"/>
                <w:szCs w:val="10"/>
                <w:color w:val="auto"/>
              </w:rPr>
            </w:pPr>
          </w:p>
        </w:tc>
      </w:tr>
      <w:tr>
        <w:trPr>
          <w:trHeight w:val="107"/>
        </w:trPr>
        <w:tc>
          <w:tcPr>
            <w:tcW w:w="1020" w:type="dxa"/>
            <w:vAlign w:val="bottom"/>
            <w:tcBorders>
              <w:left w:val="single" w:sz="8" w:color="auto"/>
              <w:bottom w:val="single" w:sz="8" w:color="auto"/>
              <w:right w:val="single" w:sz="8" w:color="auto"/>
            </w:tcBorders>
          </w:tcPr>
          <w:p>
            <w:pPr>
              <w:spacing w:after="0"/>
              <w:rPr>
                <w:sz w:val="9"/>
                <w:szCs w:val="9"/>
                <w:color w:val="auto"/>
              </w:rPr>
            </w:pPr>
          </w:p>
        </w:tc>
        <w:tc>
          <w:tcPr>
            <w:tcW w:w="840" w:type="dxa"/>
            <w:vAlign w:val="bottom"/>
            <w:tcBorders>
              <w:bottom w:val="single" w:sz="8" w:color="auto"/>
              <w:right w:val="single" w:sz="8" w:color="auto"/>
            </w:tcBorders>
          </w:tcPr>
          <w:p>
            <w:pPr>
              <w:spacing w:after="0"/>
              <w:rPr>
                <w:sz w:val="9"/>
                <w:szCs w:val="9"/>
                <w:color w:val="auto"/>
              </w:rPr>
            </w:pPr>
          </w:p>
        </w:tc>
        <w:tc>
          <w:tcPr>
            <w:tcW w:w="840" w:type="dxa"/>
            <w:vAlign w:val="bottom"/>
            <w:tcBorders>
              <w:bottom w:val="single" w:sz="8" w:color="auto"/>
              <w:right w:val="single" w:sz="8" w:color="auto"/>
            </w:tcBorders>
          </w:tcPr>
          <w:p>
            <w:pPr>
              <w:spacing w:after="0"/>
              <w:rPr>
                <w:sz w:val="9"/>
                <w:szCs w:val="9"/>
                <w:color w:val="auto"/>
              </w:rPr>
            </w:pPr>
          </w:p>
        </w:tc>
        <w:tc>
          <w:tcPr>
            <w:tcW w:w="880" w:type="dxa"/>
            <w:vAlign w:val="bottom"/>
            <w:tcBorders>
              <w:bottom w:val="single" w:sz="8" w:color="auto"/>
              <w:right w:val="single" w:sz="8" w:color="auto"/>
            </w:tcBorders>
          </w:tcPr>
          <w:p>
            <w:pPr>
              <w:spacing w:after="0"/>
              <w:rPr>
                <w:sz w:val="9"/>
                <w:szCs w:val="9"/>
                <w:color w:val="auto"/>
              </w:rPr>
            </w:pPr>
          </w:p>
        </w:tc>
        <w:tc>
          <w:tcPr>
            <w:tcW w:w="300" w:type="dxa"/>
            <w:vAlign w:val="bottom"/>
            <w:tcBorders>
              <w:bottom w:val="single" w:sz="8" w:color="auto"/>
              <w:right w:val="single" w:sz="8" w:color="auto"/>
            </w:tcBorders>
          </w:tcPr>
          <w:p>
            <w:pPr>
              <w:spacing w:after="0"/>
              <w:rPr>
                <w:sz w:val="9"/>
                <w:szCs w:val="9"/>
                <w:color w:val="auto"/>
              </w:rPr>
            </w:pPr>
          </w:p>
        </w:tc>
        <w:tc>
          <w:tcPr>
            <w:tcW w:w="960" w:type="dxa"/>
            <w:vAlign w:val="bottom"/>
            <w:tcBorders>
              <w:bottom w:val="single" w:sz="8" w:color="auto"/>
              <w:right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660" w:type="dxa"/>
            <w:vAlign w:val="bottom"/>
            <w:tcBorders>
              <w:bottom w:val="single" w:sz="8" w:color="auto"/>
              <w:right w:val="single" w:sz="8" w:color="auto"/>
            </w:tcBorders>
          </w:tcPr>
          <w:p>
            <w:pPr>
              <w:spacing w:after="0"/>
              <w:rPr>
                <w:sz w:val="9"/>
                <w:szCs w:val="9"/>
                <w:color w:val="auto"/>
              </w:rPr>
            </w:pPr>
          </w:p>
        </w:tc>
        <w:tc>
          <w:tcPr>
            <w:tcW w:w="760" w:type="dxa"/>
            <w:vAlign w:val="bottom"/>
            <w:tcBorders>
              <w:bottom w:val="single" w:sz="8" w:color="auto"/>
              <w:right w:val="single" w:sz="8" w:color="auto"/>
            </w:tcBorders>
          </w:tcPr>
          <w:p>
            <w:pPr>
              <w:spacing w:after="0"/>
              <w:rPr>
                <w:sz w:val="9"/>
                <w:szCs w:val="9"/>
                <w:color w:val="auto"/>
              </w:rPr>
            </w:pPr>
          </w:p>
        </w:tc>
        <w:tc>
          <w:tcPr>
            <w:tcW w:w="300" w:type="dxa"/>
            <w:vAlign w:val="bottom"/>
            <w:tcBorders>
              <w:bottom w:val="single" w:sz="8" w:color="auto"/>
              <w:right w:val="single" w:sz="8" w:color="auto"/>
            </w:tcBorders>
          </w:tcPr>
          <w:p>
            <w:pPr>
              <w:spacing w:after="0"/>
              <w:rPr>
                <w:sz w:val="9"/>
                <w:szCs w:val="9"/>
                <w:color w:val="auto"/>
              </w:rPr>
            </w:pPr>
          </w:p>
        </w:tc>
        <w:tc>
          <w:tcPr>
            <w:tcW w:w="880" w:type="dxa"/>
            <w:vAlign w:val="bottom"/>
            <w:tcBorders>
              <w:bottom w:val="single" w:sz="8" w:color="auto"/>
              <w:right w:val="single" w:sz="8" w:color="auto"/>
            </w:tcBorders>
          </w:tcPr>
          <w:p>
            <w:pPr>
              <w:spacing w:after="0"/>
              <w:rPr>
                <w:sz w:val="9"/>
                <w:szCs w:val="9"/>
                <w:color w:val="auto"/>
              </w:rPr>
            </w:pPr>
          </w:p>
        </w:tc>
      </w:tr>
      <w:tr>
        <w:trPr>
          <w:trHeight w:val="111"/>
        </w:trPr>
        <w:tc>
          <w:tcPr>
            <w:tcW w:w="1020" w:type="dxa"/>
            <w:vAlign w:val="bottom"/>
            <w:tcBorders>
              <w:left w:val="single" w:sz="8" w:color="auto"/>
              <w:right w:val="single" w:sz="8" w:color="auto"/>
            </w:tcBorders>
            <w:shd w:val="clear" w:color="auto" w:fill="CCEEFF"/>
          </w:tcPr>
          <w:p>
            <w:pPr>
              <w:ind w:left="100"/>
              <w:spacing w:after="0" w:line="111" w:lineRule="exact"/>
              <w:rPr>
                <w:sz w:val="20"/>
                <w:szCs w:val="20"/>
                <w:color w:val="auto"/>
              </w:rPr>
            </w:pPr>
            <w:r>
              <w:rPr>
                <w:rFonts w:ascii="Arial" w:cs="Arial" w:eastAsia="Arial" w:hAnsi="Arial"/>
                <w:sz w:val="10"/>
                <w:szCs w:val="10"/>
                <w:color w:val="auto"/>
              </w:rPr>
              <w:t>Ellen Cotter</w:t>
            </w:r>
          </w:p>
        </w:tc>
        <w:tc>
          <w:tcPr>
            <w:tcW w:w="840" w:type="dxa"/>
            <w:vAlign w:val="bottom"/>
            <w:tcBorders>
              <w:right w:val="single" w:sz="8" w:color="auto"/>
            </w:tcBorders>
            <w:shd w:val="clear" w:color="auto" w:fill="CCEEFF"/>
          </w:tcPr>
          <w:p>
            <w:pPr>
              <w:ind w:left="80"/>
              <w:spacing w:after="0" w:line="111" w:lineRule="exact"/>
              <w:rPr>
                <w:sz w:val="20"/>
                <w:szCs w:val="20"/>
                <w:color w:val="auto"/>
              </w:rPr>
            </w:pPr>
            <w:r>
              <w:rPr>
                <w:rFonts w:ascii="Arial" w:cs="Arial" w:eastAsia="Arial" w:hAnsi="Arial"/>
                <w:sz w:val="10"/>
                <w:szCs w:val="10"/>
                <w:color w:val="auto"/>
              </w:rPr>
              <w:t>0</w:t>
            </w:r>
          </w:p>
        </w:tc>
        <w:tc>
          <w:tcPr>
            <w:tcW w:w="840" w:type="dxa"/>
            <w:vAlign w:val="bottom"/>
            <w:tcBorders>
              <w:right w:val="single" w:sz="8" w:color="auto"/>
            </w:tcBorders>
            <w:shd w:val="clear" w:color="auto" w:fill="CCEEFF"/>
          </w:tcPr>
          <w:p>
            <w:pPr>
              <w:ind w:left="60"/>
              <w:spacing w:after="0" w:line="111" w:lineRule="exact"/>
              <w:rPr>
                <w:sz w:val="20"/>
                <w:szCs w:val="20"/>
                <w:color w:val="auto"/>
              </w:rPr>
            </w:pPr>
            <w:r>
              <w:rPr>
                <w:rFonts w:ascii="Arial" w:cs="Arial" w:eastAsia="Arial" w:hAnsi="Arial"/>
                <w:sz w:val="10"/>
                <w:szCs w:val="10"/>
                <w:color w:val="auto"/>
              </w:rPr>
              <w:t>151,200</w:t>
            </w:r>
          </w:p>
        </w:tc>
        <w:tc>
          <w:tcPr>
            <w:tcW w:w="880" w:type="dxa"/>
            <w:vAlign w:val="bottom"/>
            <w:tcBorders>
              <w:right w:val="single" w:sz="8" w:color="auto"/>
            </w:tcBorders>
            <w:shd w:val="clear" w:color="auto" w:fill="CCEEFF"/>
          </w:tcPr>
          <w:p>
            <w:pPr>
              <w:ind w:left="60"/>
              <w:spacing w:after="0" w:line="111" w:lineRule="exact"/>
              <w:rPr>
                <w:sz w:val="20"/>
                <w:szCs w:val="20"/>
                <w:color w:val="auto"/>
              </w:rPr>
            </w:pPr>
            <w:r>
              <w:rPr>
                <w:rFonts w:ascii="Arial" w:cs="Arial" w:eastAsia="Arial" w:hAnsi="Arial"/>
                <w:sz w:val="10"/>
                <w:szCs w:val="10"/>
                <w:color w:val="auto"/>
              </w:rPr>
              <w:t>0</w:t>
            </w:r>
          </w:p>
        </w:tc>
        <w:tc>
          <w:tcPr>
            <w:tcW w:w="300" w:type="dxa"/>
            <w:vAlign w:val="bottom"/>
            <w:tcBorders>
              <w:right w:val="single" w:sz="8" w:color="auto"/>
            </w:tcBorders>
            <w:shd w:val="clear" w:color="auto" w:fill="CCEEFF"/>
          </w:tcPr>
          <w:p>
            <w:pPr>
              <w:spacing w:after="0"/>
              <w:rPr>
                <w:sz w:val="9"/>
                <w:szCs w:val="9"/>
                <w:color w:val="auto"/>
              </w:rPr>
            </w:pPr>
          </w:p>
        </w:tc>
        <w:tc>
          <w:tcPr>
            <w:tcW w:w="960" w:type="dxa"/>
            <w:vAlign w:val="bottom"/>
            <w:tcBorders>
              <w:right w:val="single" w:sz="8" w:color="auto"/>
            </w:tcBorders>
            <w:shd w:val="clear" w:color="auto" w:fill="CCEEFF"/>
          </w:tcPr>
          <w:p>
            <w:pPr>
              <w:ind w:left="80"/>
              <w:spacing w:after="0" w:line="111" w:lineRule="exact"/>
              <w:rPr>
                <w:sz w:val="20"/>
                <w:szCs w:val="20"/>
                <w:color w:val="auto"/>
              </w:rPr>
            </w:pPr>
            <w:r>
              <w:rPr>
                <w:rFonts w:ascii="Arial" w:cs="Arial" w:eastAsia="Arial" w:hAnsi="Arial"/>
                <w:sz w:val="10"/>
                <w:szCs w:val="10"/>
                <w:color w:val="auto"/>
              </w:rPr>
              <w:t>0</w:t>
            </w:r>
          </w:p>
        </w:tc>
        <w:tc>
          <w:tcPr>
            <w:tcW w:w="40" w:type="dxa"/>
            <w:vAlign w:val="bottom"/>
            <w:shd w:val="clear" w:color="auto" w:fill="CCEEFF"/>
          </w:tcPr>
          <w:p>
            <w:pPr>
              <w:spacing w:after="0"/>
              <w:rPr>
                <w:sz w:val="9"/>
                <w:szCs w:val="9"/>
                <w:color w:val="auto"/>
              </w:rPr>
            </w:pPr>
          </w:p>
        </w:tc>
        <w:tc>
          <w:tcPr>
            <w:tcW w:w="660" w:type="dxa"/>
            <w:vAlign w:val="bottom"/>
            <w:tcBorders>
              <w:right w:val="single" w:sz="8" w:color="auto"/>
            </w:tcBorders>
            <w:shd w:val="clear" w:color="auto" w:fill="CCEEFF"/>
          </w:tcPr>
          <w:p>
            <w:pPr>
              <w:ind w:left="40"/>
              <w:spacing w:after="0" w:line="111" w:lineRule="exact"/>
              <w:rPr>
                <w:sz w:val="20"/>
                <w:szCs w:val="20"/>
                <w:color w:val="auto"/>
              </w:rPr>
            </w:pPr>
            <w:r>
              <w:rPr>
                <w:rFonts w:ascii="Arial" w:cs="Arial" w:eastAsia="Arial" w:hAnsi="Arial"/>
                <w:sz w:val="10"/>
                <w:szCs w:val="10"/>
                <w:color w:val="auto"/>
              </w:rPr>
              <w:t>151,200</w:t>
            </w:r>
          </w:p>
        </w:tc>
        <w:tc>
          <w:tcPr>
            <w:tcW w:w="760" w:type="dxa"/>
            <w:vAlign w:val="bottom"/>
            <w:tcBorders>
              <w:right w:val="single" w:sz="8" w:color="auto"/>
            </w:tcBorders>
            <w:shd w:val="clear" w:color="auto" w:fill="CCEEFF"/>
          </w:tcPr>
          <w:p>
            <w:pPr>
              <w:ind w:left="60"/>
              <w:spacing w:after="0" w:line="111" w:lineRule="exact"/>
              <w:rPr>
                <w:sz w:val="20"/>
                <w:szCs w:val="20"/>
                <w:color w:val="auto"/>
              </w:rPr>
            </w:pPr>
            <w:r>
              <w:rPr>
                <w:rFonts w:ascii="Arial" w:cs="Arial" w:eastAsia="Arial" w:hAnsi="Arial"/>
                <w:sz w:val="10"/>
                <w:szCs w:val="10"/>
                <w:color w:val="auto"/>
              </w:rPr>
              <w:t>0</w:t>
            </w:r>
          </w:p>
        </w:tc>
        <w:tc>
          <w:tcPr>
            <w:tcW w:w="300" w:type="dxa"/>
            <w:vAlign w:val="bottom"/>
            <w:tcBorders>
              <w:right w:val="single" w:sz="8" w:color="auto"/>
            </w:tcBorders>
            <w:shd w:val="clear" w:color="auto" w:fill="CCEEFF"/>
          </w:tcPr>
          <w:p>
            <w:pPr>
              <w:spacing w:after="0"/>
              <w:rPr>
                <w:sz w:val="9"/>
                <w:szCs w:val="9"/>
                <w:color w:val="auto"/>
              </w:rPr>
            </w:pPr>
          </w:p>
        </w:tc>
        <w:tc>
          <w:tcPr>
            <w:tcW w:w="880" w:type="dxa"/>
            <w:vAlign w:val="bottom"/>
            <w:tcBorders>
              <w:right w:val="single" w:sz="8" w:color="auto"/>
            </w:tcBorders>
            <w:shd w:val="clear" w:color="auto" w:fill="CCEEFF"/>
          </w:tcPr>
          <w:p>
            <w:pPr>
              <w:ind w:left="80"/>
              <w:spacing w:after="0" w:line="111" w:lineRule="exact"/>
              <w:rPr>
                <w:sz w:val="20"/>
                <w:szCs w:val="20"/>
                <w:color w:val="auto"/>
              </w:rPr>
            </w:pPr>
            <w:r>
              <w:rPr>
                <w:rFonts w:ascii="Arial" w:cs="Arial" w:eastAsia="Arial" w:hAnsi="Arial"/>
                <w:sz w:val="10"/>
                <w:szCs w:val="10"/>
                <w:color w:val="auto"/>
              </w:rPr>
              <w:t>0</w:t>
            </w:r>
          </w:p>
        </w:tc>
      </w:tr>
      <w:tr>
        <w:trPr>
          <w:trHeight w:val="140"/>
        </w:trPr>
        <w:tc>
          <w:tcPr>
            <w:tcW w:w="1020" w:type="dxa"/>
            <w:vAlign w:val="bottom"/>
            <w:tcBorders>
              <w:left w:val="single" w:sz="8" w:color="auto"/>
              <w:bottom w:val="single" w:sz="8" w:color="auto"/>
              <w:right w:val="single" w:sz="8" w:color="auto"/>
            </w:tcBorders>
            <w:shd w:val="clear" w:color="auto" w:fill="CCEEFF"/>
          </w:tcPr>
          <w:p>
            <w:pPr>
              <w:spacing w:after="0"/>
              <w:rPr>
                <w:sz w:val="12"/>
                <w:szCs w:val="12"/>
                <w:color w:val="auto"/>
              </w:rPr>
            </w:pPr>
          </w:p>
        </w:tc>
        <w:tc>
          <w:tcPr>
            <w:tcW w:w="840" w:type="dxa"/>
            <w:vAlign w:val="bottom"/>
            <w:tcBorders>
              <w:bottom w:val="single" w:sz="8" w:color="auto"/>
              <w:right w:val="single" w:sz="8" w:color="auto"/>
            </w:tcBorders>
            <w:shd w:val="clear" w:color="auto" w:fill="CCEEFF"/>
          </w:tcPr>
          <w:p>
            <w:pPr>
              <w:spacing w:after="0"/>
              <w:rPr>
                <w:sz w:val="12"/>
                <w:szCs w:val="12"/>
                <w:color w:val="auto"/>
              </w:rPr>
            </w:pPr>
          </w:p>
        </w:tc>
        <w:tc>
          <w:tcPr>
            <w:tcW w:w="840" w:type="dxa"/>
            <w:vAlign w:val="bottom"/>
            <w:tcBorders>
              <w:bottom w:val="single" w:sz="8" w:color="auto"/>
              <w:right w:val="single" w:sz="8" w:color="auto"/>
            </w:tcBorders>
            <w:shd w:val="clear" w:color="auto" w:fill="CCEEFF"/>
          </w:tcPr>
          <w:p>
            <w:pPr>
              <w:spacing w:after="0"/>
              <w:rPr>
                <w:sz w:val="12"/>
                <w:szCs w:val="12"/>
                <w:color w:val="auto"/>
              </w:rPr>
            </w:pPr>
          </w:p>
        </w:tc>
        <w:tc>
          <w:tcPr>
            <w:tcW w:w="880" w:type="dxa"/>
            <w:vAlign w:val="bottom"/>
            <w:tcBorders>
              <w:bottom w:val="single" w:sz="8" w:color="auto"/>
              <w:right w:val="single" w:sz="8" w:color="auto"/>
            </w:tcBorders>
            <w:shd w:val="clear" w:color="auto" w:fill="CCEEFF"/>
          </w:tcPr>
          <w:p>
            <w:pPr>
              <w:spacing w:after="0"/>
              <w:rPr>
                <w:sz w:val="12"/>
                <w:szCs w:val="12"/>
                <w:color w:val="auto"/>
              </w:rPr>
            </w:pPr>
          </w:p>
        </w:tc>
        <w:tc>
          <w:tcPr>
            <w:tcW w:w="300" w:type="dxa"/>
            <w:vAlign w:val="bottom"/>
            <w:tcBorders>
              <w:bottom w:val="single" w:sz="8" w:color="auto"/>
              <w:right w:val="single" w:sz="8" w:color="auto"/>
            </w:tcBorders>
            <w:shd w:val="clear" w:color="auto" w:fill="CCEEFF"/>
          </w:tcPr>
          <w:p>
            <w:pPr>
              <w:spacing w:after="0"/>
              <w:rPr>
                <w:sz w:val="12"/>
                <w:szCs w:val="12"/>
                <w:color w:val="auto"/>
              </w:rPr>
            </w:pPr>
          </w:p>
        </w:tc>
        <w:tc>
          <w:tcPr>
            <w:tcW w:w="960" w:type="dxa"/>
            <w:vAlign w:val="bottom"/>
            <w:tcBorders>
              <w:bottom w:val="single" w:sz="8" w:color="auto"/>
              <w:right w:val="single" w:sz="8" w:color="auto"/>
            </w:tcBorders>
            <w:shd w:val="clear" w:color="auto" w:fill="CCEEFF"/>
          </w:tcPr>
          <w:p>
            <w:pPr>
              <w:spacing w:after="0"/>
              <w:rPr>
                <w:sz w:val="12"/>
                <w:szCs w:val="12"/>
                <w:color w:val="auto"/>
              </w:rPr>
            </w:pPr>
          </w:p>
        </w:tc>
        <w:tc>
          <w:tcPr>
            <w:tcW w:w="4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right w:val="single" w:sz="8" w:color="auto"/>
            </w:tcBorders>
            <w:shd w:val="clear" w:color="auto" w:fill="CCEEFF"/>
          </w:tcPr>
          <w:p>
            <w:pPr>
              <w:spacing w:after="0"/>
              <w:rPr>
                <w:sz w:val="12"/>
                <w:szCs w:val="12"/>
                <w:color w:val="auto"/>
              </w:rPr>
            </w:pPr>
          </w:p>
        </w:tc>
        <w:tc>
          <w:tcPr>
            <w:tcW w:w="760" w:type="dxa"/>
            <w:vAlign w:val="bottom"/>
            <w:tcBorders>
              <w:bottom w:val="single" w:sz="8" w:color="auto"/>
              <w:right w:val="single" w:sz="8" w:color="auto"/>
            </w:tcBorders>
            <w:shd w:val="clear" w:color="auto" w:fill="CCEEFF"/>
          </w:tcPr>
          <w:p>
            <w:pPr>
              <w:spacing w:after="0"/>
              <w:rPr>
                <w:sz w:val="12"/>
                <w:szCs w:val="12"/>
                <w:color w:val="auto"/>
              </w:rPr>
            </w:pPr>
          </w:p>
        </w:tc>
        <w:tc>
          <w:tcPr>
            <w:tcW w:w="300" w:type="dxa"/>
            <w:vAlign w:val="bottom"/>
            <w:tcBorders>
              <w:bottom w:val="single" w:sz="8" w:color="auto"/>
              <w:right w:val="single" w:sz="8" w:color="auto"/>
            </w:tcBorders>
            <w:shd w:val="clear" w:color="auto" w:fill="CCEEFF"/>
          </w:tcPr>
          <w:p>
            <w:pPr>
              <w:spacing w:after="0"/>
              <w:rPr>
                <w:sz w:val="12"/>
                <w:szCs w:val="12"/>
                <w:color w:val="auto"/>
              </w:rPr>
            </w:pPr>
          </w:p>
        </w:tc>
        <w:tc>
          <w:tcPr>
            <w:tcW w:w="880" w:type="dxa"/>
            <w:vAlign w:val="bottom"/>
            <w:tcBorders>
              <w:bottom w:val="single" w:sz="8" w:color="auto"/>
              <w:right w:val="single" w:sz="8" w:color="auto"/>
            </w:tcBorders>
            <w:shd w:val="clear" w:color="auto" w:fill="CCEEFF"/>
          </w:tcPr>
          <w:p>
            <w:pPr>
              <w:spacing w:after="0"/>
              <w:rPr>
                <w:sz w:val="12"/>
                <w:szCs w:val="12"/>
                <w:color w:val="auto"/>
              </w:rPr>
            </w:pPr>
          </w:p>
        </w:tc>
      </w:tr>
      <w:tr>
        <w:trPr>
          <w:trHeight w:val="111"/>
        </w:trPr>
        <w:tc>
          <w:tcPr>
            <w:tcW w:w="1020" w:type="dxa"/>
            <w:vAlign w:val="bottom"/>
            <w:tcBorders>
              <w:left w:val="single" w:sz="8" w:color="auto"/>
              <w:right w:val="single" w:sz="8" w:color="auto"/>
            </w:tcBorders>
          </w:tcPr>
          <w:p>
            <w:pPr>
              <w:ind w:left="100"/>
              <w:spacing w:after="0" w:line="111" w:lineRule="exact"/>
              <w:rPr>
                <w:sz w:val="20"/>
                <w:szCs w:val="20"/>
                <w:color w:val="auto"/>
              </w:rPr>
            </w:pPr>
            <w:r>
              <w:rPr>
                <w:rFonts w:ascii="Arial" w:cs="Arial" w:eastAsia="Arial" w:hAnsi="Arial"/>
                <w:sz w:val="10"/>
                <w:szCs w:val="10"/>
                <w:color w:val="auto"/>
              </w:rPr>
              <w:t>Dev Ghose</w:t>
            </w:r>
          </w:p>
        </w:tc>
        <w:tc>
          <w:tcPr>
            <w:tcW w:w="840" w:type="dxa"/>
            <w:vAlign w:val="bottom"/>
            <w:tcBorders>
              <w:right w:val="single" w:sz="8" w:color="auto"/>
            </w:tcBorders>
          </w:tcPr>
          <w:p>
            <w:pPr>
              <w:ind w:left="80"/>
              <w:spacing w:after="0" w:line="111" w:lineRule="exact"/>
              <w:rPr>
                <w:sz w:val="20"/>
                <w:szCs w:val="20"/>
                <w:color w:val="auto"/>
              </w:rPr>
            </w:pPr>
            <w:r>
              <w:rPr>
                <w:rFonts w:ascii="Arial" w:cs="Arial" w:eastAsia="Arial" w:hAnsi="Arial"/>
                <w:sz w:val="10"/>
                <w:szCs w:val="10"/>
                <w:color w:val="auto"/>
              </w:rPr>
              <w:t>400,000</w:t>
            </w:r>
          </w:p>
        </w:tc>
        <w:tc>
          <w:tcPr>
            <w:tcW w:w="840" w:type="dxa"/>
            <w:vAlign w:val="bottom"/>
            <w:tcBorders>
              <w:right w:val="single" w:sz="8" w:color="auto"/>
            </w:tcBorders>
          </w:tcPr>
          <w:p>
            <w:pPr>
              <w:ind w:left="60"/>
              <w:spacing w:after="0" w:line="111" w:lineRule="exact"/>
              <w:rPr>
                <w:sz w:val="20"/>
                <w:szCs w:val="20"/>
                <w:color w:val="auto"/>
              </w:rPr>
            </w:pPr>
            <w:r>
              <w:rPr>
                <w:rFonts w:ascii="Arial" w:cs="Arial" w:eastAsia="Arial" w:hAnsi="Arial"/>
                <w:sz w:val="10"/>
                <w:szCs w:val="10"/>
                <w:color w:val="auto"/>
              </w:rPr>
              <w:t>0</w:t>
            </w:r>
          </w:p>
        </w:tc>
        <w:tc>
          <w:tcPr>
            <w:tcW w:w="880" w:type="dxa"/>
            <w:vAlign w:val="bottom"/>
            <w:tcBorders>
              <w:right w:val="single" w:sz="8" w:color="auto"/>
            </w:tcBorders>
          </w:tcPr>
          <w:p>
            <w:pPr>
              <w:ind w:left="60"/>
              <w:spacing w:after="0" w:line="111" w:lineRule="exact"/>
              <w:rPr>
                <w:sz w:val="20"/>
                <w:szCs w:val="20"/>
                <w:color w:val="auto"/>
              </w:rPr>
            </w:pPr>
            <w:r>
              <w:rPr>
                <w:rFonts w:ascii="Arial" w:cs="Arial" w:eastAsia="Arial" w:hAnsi="Arial"/>
                <w:sz w:val="10"/>
                <w:szCs w:val="10"/>
                <w:color w:val="auto"/>
              </w:rPr>
              <w:t>23,040</w:t>
            </w:r>
          </w:p>
        </w:tc>
        <w:tc>
          <w:tcPr>
            <w:tcW w:w="300" w:type="dxa"/>
            <w:vAlign w:val="bottom"/>
            <w:tcBorders>
              <w:right w:val="single" w:sz="8" w:color="auto"/>
            </w:tcBorders>
          </w:tcPr>
          <w:p>
            <w:pPr>
              <w:spacing w:after="0"/>
              <w:rPr>
                <w:sz w:val="9"/>
                <w:szCs w:val="9"/>
                <w:color w:val="auto"/>
              </w:rPr>
            </w:pPr>
          </w:p>
        </w:tc>
        <w:tc>
          <w:tcPr>
            <w:tcW w:w="960" w:type="dxa"/>
            <w:vAlign w:val="bottom"/>
            <w:tcBorders>
              <w:right w:val="single" w:sz="8" w:color="auto"/>
            </w:tcBorders>
          </w:tcPr>
          <w:p>
            <w:pPr>
              <w:ind w:left="80"/>
              <w:spacing w:after="0" w:line="111" w:lineRule="exact"/>
              <w:rPr>
                <w:sz w:val="20"/>
                <w:szCs w:val="20"/>
                <w:color w:val="auto"/>
              </w:rPr>
            </w:pPr>
            <w:r>
              <w:rPr>
                <w:rFonts w:ascii="Arial" w:cs="Arial" w:eastAsia="Arial" w:hAnsi="Arial"/>
                <w:sz w:val="10"/>
                <w:szCs w:val="10"/>
                <w:color w:val="auto"/>
              </w:rPr>
              <w:t>800,000</w:t>
            </w:r>
          </w:p>
        </w:tc>
        <w:tc>
          <w:tcPr>
            <w:tcW w:w="40" w:type="dxa"/>
            <w:vAlign w:val="bottom"/>
          </w:tcPr>
          <w:p>
            <w:pPr>
              <w:spacing w:after="0"/>
              <w:rPr>
                <w:sz w:val="9"/>
                <w:szCs w:val="9"/>
                <w:color w:val="auto"/>
              </w:rPr>
            </w:pPr>
          </w:p>
        </w:tc>
        <w:tc>
          <w:tcPr>
            <w:tcW w:w="660" w:type="dxa"/>
            <w:vAlign w:val="bottom"/>
            <w:tcBorders>
              <w:right w:val="single" w:sz="8" w:color="auto"/>
            </w:tcBorders>
          </w:tcPr>
          <w:p>
            <w:pPr>
              <w:ind w:left="40"/>
              <w:spacing w:after="0" w:line="111" w:lineRule="exact"/>
              <w:rPr>
                <w:sz w:val="20"/>
                <w:szCs w:val="20"/>
                <w:color w:val="auto"/>
              </w:rPr>
            </w:pPr>
            <w:r>
              <w:rPr>
                <w:rFonts w:ascii="Arial" w:cs="Arial" w:eastAsia="Arial" w:hAnsi="Arial"/>
                <w:sz w:val="10"/>
                <w:szCs w:val="10"/>
                <w:color w:val="auto"/>
              </w:rPr>
              <w:t>0</w:t>
            </w:r>
          </w:p>
        </w:tc>
        <w:tc>
          <w:tcPr>
            <w:tcW w:w="760" w:type="dxa"/>
            <w:vAlign w:val="bottom"/>
            <w:tcBorders>
              <w:right w:val="single" w:sz="8" w:color="auto"/>
            </w:tcBorders>
          </w:tcPr>
          <w:p>
            <w:pPr>
              <w:spacing w:after="0"/>
              <w:rPr>
                <w:sz w:val="9"/>
                <w:szCs w:val="9"/>
                <w:color w:val="auto"/>
              </w:rPr>
            </w:pPr>
          </w:p>
        </w:tc>
        <w:tc>
          <w:tcPr>
            <w:tcW w:w="300" w:type="dxa"/>
            <w:vAlign w:val="bottom"/>
            <w:tcBorders>
              <w:right w:val="single" w:sz="8" w:color="auto"/>
            </w:tcBorders>
          </w:tcPr>
          <w:p>
            <w:pPr>
              <w:spacing w:after="0"/>
              <w:rPr>
                <w:sz w:val="9"/>
                <w:szCs w:val="9"/>
                <w:color w:val="auto"/>
              </w:rPr>
            </w:pPr>
          </w:p>
        </w:tc>
        <w:tc>
          <w:tcPr>
            <w:tcW w:w="880" w:type="dxa"/>
            <w:vAlign w:val="bottom"/>
            <w:tcBorders>
              <w:right w:val="single" w:sz="8" w:color="auto"/>
            </w:tcBorders>
          </w:tcPr>
          <w:p>
            <w:pPr>
              <w:ind w:left="80"/>
              <w:spacing w:after="0" w:line="111" w:lineRule="exact"/>
              <w:rPr>
                <w:sz w:val="20"/>
                <w:szCs w:val="20"/>
                <w:color w:val="auto"/>
              </w:rPr>
            </w:pPr>
            <w:r>
              <w:rPr>
                <w:rFonts w:ascii="Arial" w:cs="Arial" w:eastAsia="Arial" w:hAnsi="Arial"/>
                <w:sz w:val="10"/>
                <w:szCs w:val="10"/>
                <w:color w:val="auto"/>
              </w:rPr>
              <w:t>0</w:t>
            </w:r>
          </w:p>
        </w:tc>
      </w:tr>
      <w:tr>
        <w:trPr>
          <w:trHeight w:val="140"/>
        </w:trPr>
        <w:tc>
          <w:tcPr>
            <w:tcW w:w="1020" w:type="dxa"/>
            <w:vAlign w:val="bottom"/>
            <w:tcBorders>
              <w:left w:val="single" w:sz="8" w:color="auto"/>
              <w:bottom w:val="single" w:sz="8" w:color="auto"/>
              <w:right w:val="single" w:sz="8" w:color="auto"/>
            </w:tcBorders>
          </w:tcPr>
          <w:p>
            <w:pPr>
              <w:spacing w:after="0"/>
              <w:rPr>
                <w:sz w:val="12"/>
                <w:szCs w:val="12"/>
                <w:color w:val="auto"/>
              </w:rPr>
            </w:pPr>
          </w:p>
        </w:tc>
        <w:tc>
          <w:tcPr>
            <w:tcW w:w="840" w:type="dxa"/>
            <w:vAlign w:val="bottom"/>
            <w:tcBorders>
              <w:bottom w:val="single" w:sz="8" w:color="auto"/>
              <w:right w:val="single" w:sz="8" w:color="auto"/>
            </w:tcBorders>
          </w:tcPr>
          <w:p>
            <w:pPr>
              <w:spacing w:after="0"/>
              <w:rPr>
                <w:sz w:val="12"/>
                <w:szCs w:val="12"/>
                <w:color w:val="auto"/>
              </w:rPr>
            </w:pPr>
          </w:p>
        </w:tc>
        <w:tc>
          <w:tcPr>
            <w:tcW w:w="840" w:type="dxa"/>
            <w:vAlign w:val="bottom"/>
            <w:tcBorders>
              <w:bottom w:val="single" w:sz="8" w:color="auto"/>
              <w:right w:val="single" w:sz="8" w:color="auto"/>
            </w:tcBorders>
          </w:tcPr>
          <w:p>
            <w:pPr>
              <w:spacing w:after="0"/>
              <w:rPr>
                <w:sz w:val="12"/>
                <w:szCs w:val="12"/>
                <w:color w:val="auto"/>
              </w:rPr>
            </w:pPr>
          </w:p>
        </w:tc>
        <w:tc>
          <w:tcPr>
            <w:tcW w:w="880" w:type="dxa"/>
            <w:vAlign w:val="bottom"/>
            <w:tcBorders>
              <w:bottom w:val="single" w:sz="8" w:color="auto"/>
              <w:right w:val="single" w:sz="8" w:color="auto"/>
            </w:tcBorders>
          </w:tcPr>
          <w:p>
            <w:pPr>
              <w:spacing w:after="0"/>
              <w:rPr>
                <w:sz w:val="12"/>
                <w:szCs w:val="12"/>
                <w:color w:val="auto"/>
              </w:rPr>
            </w:pPr>
          </w:p>
        </w:tc>
        <w:tc>
          <w:tcPr>
            <w:tcW w:w="300" w:type="dxa"/>
            <w:vAlign w:val="bottom"/>
            <w:tcBorders>
              <w:bottom w:val="single" w:sz="8" w:color="auto"/>
              <w:right w:val="single" w:sz="8" w:color="auto"/>
            </w:tcBorders>
          </w:tcPr>
          <w:p>
            <w:pPr>
              <w:spacing w:after="0"/>
              <w:rPr>
                <w:sz w:val="12"/>
                <w:szCs w:val="12"/>
                <w:color w:val="auto"/>
              </w:rPr>
            </w:pPr>
          </w:p>
        </w:tc>
        <w:tc>
          <w:tcPr>
            <w:tcW w:w="960" w:type="dxa"/>
            <w:vAlign w:val="bottom"/>
            <w:tcBorders>
              <w:bottom w:val="single" w:sz="8" w:color="auto"/>
              <w:right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660" w:type="dxa"/>
            <w:vAlign w:val="bottom"/>
            <w:tcBorders>
              <w:bottom w:val="single" w:sz="8" w:color="auto"/>
              <w:right w:val="single" w:sz="8" w:color="auto"/>
            </w:tcBorders>
          </w:tcPr>
          <w:p>
            <w:pPr>
              <w:spacing w:after="0"/>
              <w:rPr>
                <w:sz w:val="12"/>
                <w:szCs w:val="12"/>
                <w:color w:val="auto"/>
              </w:rPr>
            </w:pPr>
          </w:p>
        </w:tc>
        <w:tc>
          <w:tcPr>
            <w:tcW w:w="760" w:type="dxa"/>
            <w:vAlign w:val="bottom"/>
            <w:tcBorders>
              <w:bottom w:val="single" w:sz="8" w:color="auto"/>
              <w:right w:val="single" w:sz="8" w:color="auto"/>
            </w:tcBorders>
          </w:tcPr>
          <w:p>
            <w:pPr>
              <w:spacing w:after="0"/>
              <w:rPr>
                <w:sz w:val="12"/>
                <w:szCs w:val="12"/>
                <w:color w:val="auto"/>
              </w:rPr>
            </w:pPr>
          </w:p>
        </w:tc>
        <w:tc>
          <w:tcPr>
            <w:tcW w:w="300" w:type="dxa"/>
            <w:vAlign w:val="bottom"/>
            <w:tcBorders>
              <w:bottom w:val="single" w:sz="8" w:color="auto"/>
              <w:right w:val="single" w:sz="8" w:color="auto"/>
            </w:tcBorders>
          </w:tcPr>
          <w:p>
            <w:pPr>
              <w:spacing w:after="0"/>
              <w:rPr>
                <w:sz w:val="12"/>
                <w:szCs w:val="12"/>
                <w:color w:val="auto"/>
              </w:rPr>
            </w:pPr>
          </w:p>
        </w:tc>
        <w:tc>
          <w:tcPr>
            <w:tcW w:w="880" w:type="dxa"/>
            <w:vAlign w:val="bottom"/>
            <w:tcBorders>
              <w:bottom w:val="single" w:sz="8" w:color="auto"/>
              <w:right w:val="single" w:sz="8" w:color="auto"/>
            </w:tcBorders>
          </w:tcPr>
          <w:p>
            <w:pPr>
              <w:spacing w:after="0"/>
              <w:rPr>
                <w:sz w:val="12"/>
                <w:szCs w:val="12"/>
                <w:color w:val="auto"/>
              </w:rPr>
            </w:pPr>
          </w:p>
        </w:tc>
      </w:tr>
      <w:tr>
        <w:trPr>
          <w:trHeight w:val="111"/>
        </w:trPr>
        <w:tc>
          <w:tcPr>
            <w:tcW w:w="1020" w:type="dxa"/>
            <w:vAlign w:val="bottom"/>
            <w:tcBorders>
              <w:left w:val="single" w:sz="8" w:color="auto"/>
              <w:right w:val="single" w:sz="8" w:color="auto"/>
            </w:tcBorders>
            <w:shd w:val="clear" w:color="auto" w:fill="CCEEFF"/>
          </w:tcPr>
          <w:p>
            <w:pPr>
              <w:ind w:left="100"/>
              <w:spacing w:after="0" w:line="111" w:lineRule="exact"/>
              <w:rPr>
                <w:sz w:val="20"/>
                <w:szCs w:val="20"/>
                <w:color w:val="auto"/>
              </w:rPr>
            </w:pPr>
            <w:r>
              <w:rPr>
                <w:rFonts w:ascii="Arial" w:cs="Arial" w:eastAsia="Arial" w:hAnsi="Arial"/>
                <w:sz w:val="10"/>
                <w:szCs w:val="10"/>
                <w:color w:val="auto"/>
              </w:rPr>
              <w:t>Wayne Smith</w:t>
            </w:r>
          </w:p>
        </w:tc>
        <w:tc>
          <w:tcPr>
            <w:tcW w:w="840" w:type="dxa"/>
            <w:vAlign w:val="bottom"/>
            <w:tcBorders>
              <w:right w:val="single" w:sz="8" w:color="auto"/>
            </w:tcBorders>
            <w:shd w:val="clear" w:color="auto" w:fill="CCEEFF"/>
          </w:tcPr>
          <w:p>
            <w:pPr>
              <w:ind w:left="80"/>
              <w:spacing w:after="0" w:line="111" w:lineRule="exact"/>
              <w:rPr>
                <w:sz w:val="20"/>
                <w:szCs w:val="20"/>
                <w:color w:val="auto"/>
              </w:rPr>
            </w:pPr>
            <w:r>
              <w:rPr>
                <w:rFonts w:ascii="Arial" w:cs="Arial" w:eastAsia="Arial" w:hAnsi="Arial"/>
                <w:sz w:val="10"/>
                <w:szCs w:val="10"/>
                <w:color w:val="auto"/>
              </w:rPr>
              <w:t>175,000</w:t>
            </w:r>
            <w:r>
              <w:rPr>
                <w:rFonts w:ascii="Arial" w:cs="Arial" w:eastAsia="Arial" w:hAnsi="Arial"/>
                <w:sz w:val="4"/>
                <w:szCs w:val="4"/>
                <w:color w:val="auto"/>
              </w:rPr>
              <w:t>(3)</w:t>
            </w:r>
          </w:p>
        </w:tc>
        <w:tc>
          <w:tcPr>
            <w:tcW w:w="840" w:type="dxa"/>
            <w:vAlign w:val="bottom"/>
            <w:tcBorders>
              <w:right w:val="single" w:sz="8" w:color="auto"/>
            </w:tcBorders>
            <w:shd w:val="clear" w:color="auto" w:fill="CCEEFF"/>
          </w:tcPr>
          <w:p>
            <w:pPr>
              <w:ind w:left="60"/>
              <w:spacing w:after="0" w:line="111" w:lineRule="exact"/>
              <w:rPr>
                <w:sz w:val="20"/>
                <w:szCs w:val="20"/>
                <w:color w:val="auto"/>
              </w:rPr>
            </w:pPr>
            <w:r>
              <w:rPr>
                <w:rFonts w:ascii="Arial" w:cs="Arial" w:eastAsia="Arial" w:hAnsi="Arial"/>
                <w:sz w:val="10"/>
                <w:szCs w:val="10"/>
                <w:color w:val="auto"/>
              </w:rPr>
              <w:t>39,330</w:t>
            </w:r>
          </w:p>
        </w:tc>
        <w:tc>
          <w:tcPr>
            <w:tcW w:w="880" w:type="dxa"/>
            <w:vAlign w:val="bottom"/>
            <w:tcBorders>
              <w:right w:val="single" w:sz="8" w:color="auto"/>
            </w:tcBorders>
            <w:shd w:val="clear" w:color="auto" w:fill="CCEEFF"/>
          </w:tcPr>
          <w:p>
            <w:pPr>
              <w:ind w:left="60"/>
              <w:spacing w:after="0" w:line="111" w:lineRule="exact"/>
              <w:rPr>
                <w:sz w:val="20"/>
                <w:szCs w:val="20"/>
                <w:color w:val="auto"/>
              </w:rPr>
            </w:pPr>
            <w:r>
              <w:rPr>
                <w:rFonts w:ascii="Arial" w:cs="Arial" w:eastAsia="Arial" w:hAnsi="Arial"/>
                <w:sz w:val="10"/>
                <w:szCs w:val="10"/>
                <w:color w:val="auto"/>
              </w:rPr>
              <w:t>--</w:t>
            </w:r>
          </w:p>
        </w:tc>
        <w:tc>
          <w:tcPr>
            <w:tcW w:w="300" w:type="dxa"/>
            <w:vAlign w:val="bottom"/>
            <w:tcBorders>
              <w:right w:val="single" w:sz="8" w:color="auto"/>
            </w:tcBorders>
            <w:shd w:val="clear" w:color="auto" w:fill="CCEEFF"/>
          </w:tcPr>
          <w:p>
            <w:pPr>
              <w:spacing w:after="0"/>
              <w:rPr>
                <w:sz w:val="9"/>
                <w:szCs w:val="9"/>
                <w:color w:val="auto"/>
              </w:rPr>
            </w:pPr>
          </w:p>
        </w:tc>
        <w:tc>
          <w:tcPr>
            <w:tcW w:w="960" w:type="dxa"/>
            <w:vAlign w:val="bottom"/>
            <w:tcBorders>
              <w:right w:val="single" w:sz="8" w:color="auto"/>
            </w:tcBorders>
            <w:shd w:val="clear" w:color="auto" w:fill="CCEEFF"/>
          </w:tcPr>
          <w:p>
            <w:pPr>
              <w:ind w:left="80"/>
              <w:spacing w:after="0" w:line="111" w:lineRule="exact"/>
              <w:rPr>
                <w:sz w:val="20"/>
                <w:szCs w:val="20"/>
                <w:color w:val="auto"/>
              </w:rPr>
            </w:pPr>
            <w:r>
              <w:rPr>
                <w:rFonts w:ascii="Arial" w:cs="Arial" w:eastAsia="Arial" w:hAnsi="Arial"/>
                <w:sz w:val="10"/>
                <w:szCs w:val="10"/>
                <w:color w:val="auto"/>
              </w:rPr>
              <w:t>0</w:t>
            </w:r>
          </w:p>
        </w:tc>
        <w:tc>
          <w:tcPr>
            <w:tcW w:w="40" w:type="dxa"/>
            <w:vAlign w:val="bottom"/>
            <w:shd w:val="clear" w:color="auto" w:fill="CCEEFF"/>
          </w:tcPr>
          <w:p>
            <w:pPr>
              <w:spacing w:after="0"/>
              <w:rPr>
                <w:sz w:val="9"/>
                <w:szCs w:val="9"/>
                <w:color w:val="auto"/>
              </w:rPr>
            </w:pPr>
          </w:p>
        </w:tc>
        <w:tc>
          <w:tcPr>
            <w:tcW w:w="660" w:type="dxa"/>
            <w:vAlign w:val="bottom"/>
            <w:tcBorders>
              <w:right w:val="single" w:sz="8" w:color="auto"/>
            </w:tcBorders>
            <w:shd w:val="clear" w:color="auto" w:fill="CCEEFF"/>
          </w:tcPr>
          <w:p>
            <w:pPr>
              <w:ind w:left="40"/>
              <w:spacing w:after="0" w:line="111" w:lineRule="exact"/>
              <w:rPr>
                <w:sz w:val="20"/>
                <w:szCs w:val="20"/>
                <w:color w:val="auto"/>
              </w:rPr>
            </w:pPr>
            <w:r>
              <w:rPr>
                <w:rFonts w:ascii="Arial" w:cs="Arial" w:eastAsia="Arial" w:hAnsi="Arial"/>
                <w:sz w:val="10"/>
                <w:szCs w:val="10"/>
                <w:color w:val="auto"/>
              </w:rPr>
              <w:t>39,330</w:t>
            </w:r>
          </w:p>
        </w:tc>
        <w:tc>
          <w:tcPr>
            <w:tcW w:w="760" w:type="dxa"/>
            <w:vAlign w:val="bottom"/>
            <w:tcBorders>
              <w:right w:val="single" w:sz="8" w:color="auto"/>
            </w:tcBorders>
            <w:shd w:val="clear" w:color="auto" w:fill="CCEEFF"/>
          </w:tcPr>
          <w:p>
            <w:pPr>
              <w:ind w:left="60"/>
              <w:spacing w:after="0" w:line="111" w:lineRule="exact"/>
              <w:rPr>
                <w:sz w:val="20"/>
                <w:szCs w:val="20"/>
                <w:color w:val="auto"/>
              </w:rPr>
            </w:pPr>
            <w:r>
              <w:rPr>
                <w:rFonts w:ascii="Arial" w:cs="Arial" w:eastAsia="Arial" w:hAnsi="Arial"/>
                <w:sz w:val="10"/>
                <w:szCs w:val="10"/>
                <w:color w:val="auto"/>
              </w:rPr>
              <w:t>39,330</w:t>
            </w:r>
          </w:p>
        </w:tc>
        <w:tc>
          <w:tcPr>
            <w:tcW w:w="300" w:type="dxa"/>
            <w:vAlign w:val="bottom"/>
            <w:tcBorders>
              <w:right w:val="single" w:sz="8" w:color="auto"/>
            </w:tcBorders>
            <w:shd w:val="clear" w:color="auto" w:fill="CCEEFF"/>
          </w:tcPr>
          <w:p>
            <w:pPr>
              <w:spacing w:after="0"/>
              <w:rPr>
                <w:sz w:val="9"/>
                <w:szCs w:val="9"/>
                <w:color w:val="auto"/>
              </w:rPr>
            </w:pPr>
          </w:p>
        </w:tc>
        <w:tc>
          <w:tcPr>
            <w:tcW w:w="880" w:type="dxa"/>
            <w:vAlign w:val="bottom"/>
            <w:tcBorders>
              <w:right w:val="single" w:sz="8" w:color="auto"/>
            </w:tcBorders>
            <w:shd w:val="clear" w:color="auto" w:fill="CCEEFF"/>
          </w:tcPr>
          <w:p>
            <w:pPr>
              <w:ind w:left="80"/>
              <w:spacing w:after="0" w:line="111" w:lineRule="exact"/>
              <w:rPr>
                <w:sz w:val="20"/>
                <w:szCs w:val="20"/>
                <w:color w:val="auto"/>
              </w:rPr>
            </w:pPr>
            <w:r>
              <w:rPr>
                <w:rFonts w:ascii="Arial" w:cs="Arial" w:eastAsia="Arial" w:hAnsi="Arial"/>
                <w:sz w:val="10"/>
                <w:szCs w:val="10"/>
                <w:color w:val="auto"/>
              </w:rPr>
              <w:t>0</w:t>
            </w:r>
          </w:p>
        </w:tc>
      </w:tr>
      <w:tr>
        <w:trPr>
          <w:trHeight w:val="140"/>
        </w:trPr>
        <w:tc>
          <w:tcPr>
            <w:tcW w:w="1020" w:type="dxa"/>
            <w:vAlign w:val="bottom"/>
            <w:tcBorders>
              <w:left w:val="single" w:sz="8" w:color="auto"/>
              <w:bottom w:val="single" w:sz="8" w:color="auto"/>
              <w:right w:val="single" w:sz="8" w:color="auto"/>
            </w:tcBorders>
            <w:shd w:val="clear" w:color="auto" w:fill="CCEEFF"/>
          </w:tcPr>
          <w:p>
            <w:pPr>
              <w:spacing w:after="0"/>
              <w:rPr>
                <w:sz w:val="12"/>
                <w:szCs w:val="12"/>
                <w:color w:val="auto"/>
              </w:rPr>
            </w:pPr>
          </w:p>
        </w:tc>
        <w:tc>
          <w:tcPr>
            <w:tcW w:w="840" w:type="dxa"/>
            <w:vAlign w:val="bottom"/>
            <w:tcBorders>
              <w:bottom w:val="single" w:sz="8" w:color="auto"/>
              <w:right w:val="single" w:sz="8" w:color="auto"/>
            </w:tcBorders>
            <w:shd w:val="clear" w:color="auto" w:fill="CCEEFF"/>
          </w:tcPr>
          <w:p>
            <w:pPr>
              <w:spacing w:after="0"/>
              <w:rPr>
                <w:sz w:val="12"/>
                <w:szCs w:val="12"/>
                <w:color w:val="auto"/>
              </w:rPr>
            </w:pPr>
          </w:p>
        </w:tc>
        <w:tc>
          <w:tcPr>
            <w:tcW w:w="840" w:type="dxa"/>
            <w:vAlign w:val="bottom"/>
            <w:tcBorders>
              <w:bottom w:val="single" w:sz="8" w:color="auto"/>
              <w:right w:val="single" w:sz="8" w:color="auto"/>
            </w:tcBorders>
            <w:shd w:val="clear" w:color="auto" w:fill="CCEEFF"/>
          </w:tcPr>
          <w:p>
            <w:pPr>
              <w:spacing w:after="0"/>
              <w:rPr>
                <w:sz w:val="12"/>
                <w:szCs w:val="12"/>
                <w:color w:val="auto"/>
              </w:rPr>
            </w:pPr>
          </w:p>
        </w:tc>
        <w:tc>
          <w:tcPr>
            <w:tcW w:w="880" w:type="dxa"/>
            <w:vAlign w:val="bottom"/>
            <w:tcBorders>
              <w:bottom w:val="single" w:sz="8" w:color="auto"/>
              <w:right w:val="single" w:sz="8" w:color="auto"/>
            </w:tcBorders>
            <w:shd w:val="clear" w:color="auto" w:fill="CCEEFF"/>
          </w:tcPr>
          <w:p>
            <w:pPr>
              <w:spacing w:after="0"/>
              <w:rPr>
                <w:sz w:val="12"/>
                <w:szCs w:val="12"/>
                <w:color w:val="auto"/>
              </w:rPr>
            </w:pPr>
          </w:p>
        </w:tc>
        <w:tc>
          <w:tcPr>
            <w:tcW w:w="300" w:type="dxa"/>
            <w:vAlign w:val="bottom"/>
            <w:tcBorders>
              <w:bottom w:val="single" w:sz="8" w:color="auto"/>
              <w:right w:val="single" w:sz="8" w:color="auto"/>
            </w:tcBorders>
            <w:shd w:val="clear" w:color="auto" w:fill="CCEEFF"/>
          </w:tcPr>
          <w:p>
            <w:pPr>
              <w:spacing w:after="0"/>
              <w:rPr>
                <w:sz w:val="12"/>
                <w:szCs w:val="12"/>
                <w:color w:val="auto"/>
              </w:rPr>
            </w:pPr>
          </w:p>
        </w:tc>
        <w:tc>
          <w:tcPr>
            <w:tcW w:w="960" w:type="dxa"/>
            <w:vAlign w:val="bottom"/>
            <w:tcBorders>
              <w:bottom w:val="single" w:sz="8" w:color="auto"/>
              <w:right w:val="single" w:sz="8" w:color="auto"/>
            </w:tcBorders>
            <w:shd w:val="clear" w:color="auto" w:fill="CCEEFF"/>
          </w:tcPr>
          <w:p>
            <w:pPr>
              <w:spacing w:after="0"/>
              <w:rPr>
                <w:sz w:val="12"/>
                <w:szCs w:val="12"/>
                <w:color w:val="auto"/>
              </w:rPr>
            </w:pPr>
          </w:p>
        </w:tc>
        <w:tc>
          <w:tcPr>
            <w:tcW w:w="4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right w:val="single" w:sz="8" w:color="auto"/>
            </w:tcBorders>
            <w:shd w:val="clear" w:color="auto" w:fill="CCEEFF"/>
          </w:tcPr>
          <w:p>
            <w:pPr>
              <w:spacing w:after="0"/>
              <w:rPr>
                <w:sz w:val="12"/>
                <w:szCs w:val="12"/>
                <w:color w:val="auto"/>
              </w:rPr>
            </w:pPr>
          </w:p>
        </w:tc>
        <w:tc>
          <w:tcPr>
            <w:tcW w:w="760" w:type="dxa"/>
            <w:vAlign w:val="bottom"/>
            <w:tcBorders>
              <w:bottom w:val="single" w:sz="8" w:color="auto"/>
              <w:right w:val="single" w:sz="8" w:color="auto"/>
            </w:tcBorders>
            <w:shd w:val="clear" w:color="auto" w:fill="CCEEFF"/>
          </w:tcPr>
          <w:p>
            <w:pPr>
              <w:spacing w:after="0"/>
              <w:rPr>
                <w:sz w:val="12"/>
                <w:szCs w:val="12"/>
                <w:color w:val="auto"/>
              </w:rPr>
            </w:pPr>
          </w:p>
        </w:tc>
        <w:tc>
          <w:tcPr>
            <w:tcW w:w="300" w:type="dxa"/>
            <w:vAlign w:val="bottom"/>
            <w:tcBorders>
              <w:bottom w:val="single" w:sz="8" w:color="auto"/>
              <w:right w:val="single" w:sz="8" w:color="auto"/>
            </w:tcBorders>
            <w:shd w:val="clear" w:color="auto" w:fill="CCEEFF"/>
          </w:tcPr>
          <w:p>
            <w:pPr>
              <w:spacing w:after="0"/>
              <w:rPr>
                <w:sz w:val="12"/>
                <w:szCs w:val="12"/>
                <w:color w:val="auto"/>
              </w:rPr>
            </w:pPr>
          </w:p>
        </w:tc>
        <w:tc>
          <w:tcPr>
            <w:tcW w:w="880" w:type="dxa"/>
            <w:vAlign w:val="bottom"/>
            <w:tcBorders>
              <w:bottom w:val="single" w:sz="8" w:color="auto"/>
              <w:right w:val="single" w:sz="8" w:color="auto"/>
            </w:tcBorders>
            <w:shd w:val="clear" w:color="auto" w:fill="CCEEFF"/>
          </w:tcPr>
          <w:p>
            <w:pPr>
              <w:spacing w:after="0"/>
              <w:rPr>
                <w:sz w:val="12"/>
                <w:szCs w:val="12"/>
                <w:color w:val="auto"/>
              </w:rPr>
            </w:pPr>
          </w:p>
        </w:tc>
      </w:tr>
      <w:tr>
        <w:trPr>
          <w:trHeight w:val="76"/>
        </w:trPr>
        <w:tc>
          <w:tcPr>
            <w:tcW w:w="1020" w:type="dxa"/>
            <w:vAlign w:val="bottom"/>
            <w:tcBorders>
              <w:left w:val="single" w:sz="8" w:color="auto"/>
              <w:right w:val="single" w:sz="8" w:color="auto"/>
            </w:tcBorders>
          </w:tcPr>
          <w:p>
            <w:pPr>
              <w:ind w:left="100"/>
              <w:spacing w:after="0" w:line="76" w:lineRule="exact"/>
              <w:rPr>
                <w:sz w:val="20"/>
                <w:szCs w:val="20"/>
                <w:color w:val="auto"/>
              </w:rPr>
            </w:pPr>
            <w:r>
              <w:rPr>
                <w:rFonts w:ascii="Arial" w:cs="Arial" w:eastAsia="Arial" w:hAnsi="Arial"/>
                <w:sz w:val="8"/>
                <w:szCs w:val="8"/>
                <w:color w:val="auto"/>
              </w:rPr>
              <w:t>Andrzej J.</w:t>
            </w:r>
          </w:p>
        </w:tc>
        <w:tc>
          <w:tcPr>
            <w:tcW w:w="840" w:type="dxa"/>
            <w:vAlign w:val="bottom"/>
            <w:tcBorders>
              <w:right w:val="single" w:sz="8" w:color="auto"/>
            </w:tcBorders>
          </w:tcPr>
          <w:p>
            <w:pPr>
              <w:ind w:left="80"/>
              <w:spacing w:after="0" w:line="76" w:lineRule="exact"/>
              <w:rPr>
                <w:sz w:val="20"/>
                <w:szCs w:val="20"/>
                <w:color w:val="auto"/>
              </w:rPr>
            </w:pPr>
            <w:r>
              <w:rPr>
                <w:rFonts w:ascii="Arial" w:cs="Arial" w:eastAsia="Arial" w:hAnsi="Arial"/>
                <w:sz w:val="8"/>
                <w:szCs w:val="8"/>
                <w:color w:val="auto"/>
              </w:rPr>
              <w:t>50,000</w:t>
            </w:r>
            <w:r>
              <w:rPr>
                <w:rFonts w:ascii="Arial" w:cs="Arial" w:eastAsia="Arial" w:hAnsi="Arial"/>
                <w:sz w:val="4"/>
                <w:szCs w:val="4"/>
                <w:color w:val="auto"/>
              </w:rPr>
              <w:t>(1)</w:t>
            </w:r>
          </w:p>
        </w:tc>
        <w:tc>
          <w:tcPr>
            <w:tcW w:w="84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8"/>
                <w:szCs w:val="8"/>
                <w:color w:val="auto"/>
              </w:rPr>
              <w:t>177,250</w:t>
            </w:r>
          </w:p>
        </w:tc>
        <w:tc>
          <w:tcPr>
            <w:tcW w:w="88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8"/>
                <w:szCs w:val="8"/>
                <w:color w:val="auto"/>
              </w:rPr>
              <w:t>0</w:t>
            </w:r>
          </w:p>
        </w:tc>
        <w:tc>
          <w:tcPr>
            <w:tcW w:w="300" w:type="dxa"/>
            <w:vAlign w:val="bottom"/>
            <w:tcBorders>
              <w:right w:val="single" w:sz="8" w:color="auto"/>
            </w:tcBorders>
          </w:tcPr>
          <w:p>
            <w:pPr>
              <w:spacing w:after="0"/>
              <w:rPr>
                <w:sz w:val="6"/>
                <w:szCs w:val="6"/>
                <w:color w:val="auto"/>
              </w:rPr>
            </w:pPr>
          </w:p>
        </w:tc>
        <w:tc>
          <w:tcPr>
            <w:tcW w:w="960" w:type="dxa"/>
            <w:vAlign w:val="bottom"/>
            <w:tcBorders>
              <w:right w:val="single" w:sz="8" w:color="auto"/>
            </w:tcBorders>
          </w:tcPr>
          <w:p>
            <w:pPr>
              <w:ind w:left="80"/>
              <w:spacing w:after="0" w:line="76" w:lineRule="exact"/>
              <w:rPr>
                <w:sz w:val="20"/>
                <w:szCs w:val="20"/>
                <w:color w:val="auto"/>
              </w:rPr>
            </w:pPr>
            <w:r>
              <w:rPr>
                <w:rFonts w:ascii="Arial" w:cs="Arial" w:eastAsia="Arial" w:hAnsi="Arial"/>
                <w:sz w:val="8"/>
                <w:szCs w:val="8"/>
                <w:color w:val="auto"/>
              </w:rPr>
              <w:t>0</w:t>
            </w:r>
          </w:p>
        </w:tc>
        <w:tc>
          <w:tcPr>
            <w:tcW w:w="40" w:type="dxa"/>
            <w:vAlign w:val="bottom"/>
          </w:tcPr>
          <w:p>
            <w:pPr>
              <w:spacing w:after="0"/>
              <w:rPr>
                <w:sz w:val="6"/>
                <w:szCs w:val="6"/>
                <w:color w:val="auto"/>
              </w:rPr>
            </w:pPr>
          </w:p>
        </w:tc>
        <w:tc>
          <w:tcPr>
            <w:tcW w:w="660" w:type="dxa"/>
            <w:vAlign w:val="bottom"/>
            <w:tcBorders>
              <w:right w:val="single" w:sz="8" w:color="auto"/>
            </w:tcBorders>
          </w:tcPr>
          <w:p>
            <w:pPr>
              <w:ind w:left="40"/>
              <w:spacing w:after="0" w:line="76" w:lineRule="exact"/>
              <w:rPr>
                <w:sz w:val="20"/>
                <w:szCs w:val="20"/>
                <w:color w:val="auto"/>
              </w:rPr>
            </w:pPr>
            <w:r>
              <w:rPr>
                <w:rFonts w:ascii="Arial" w:cs="Arial" w:eastAsia="Arial" w:hAnsi="Arial"/>
                <w:sz w:val="8"/>
                <w:szCs w:val="8"/>
                <w:color w:val="auto"/>
              </w:rPr>
              <w:t>177,250</w:t>
            </w:r>
          </w:p>
        </w:tc>
        <w:tc>
          <w:tcPr>
            <w:tcW w:w="760" w:type="dxa"/>
            <w:vAlign w:val="bottom"/>
            <w:tcBorders>
              <w:right w:val="single" w:sz="8" w:color="auto"/>
            </w:tcBorders>
          </w:tcPr>
          <w:p>
            <w:pPr>
              <w:ind w:left="60"/>
              <w:spacing w:after="0" w:line="76" w:lineRule="exact"/>
              <w:rPr>
                <w:sz w:val="20"/>
                <w:szCs w:val="20"/>
                <w:color w:val="auto"/>
              </w:rPr>
            </w:pPr>
            <w:r>
              <w:rPr>
                <w:rFonts w:ascii="Arial" w:cs="Arial" w:eastAsia="Arial" w:hAnsi="Arial"/>
                <w:sz w:val="8"/>
                <w:szCs w:val="8"/>
                <w:color w:val="auto"/>
              </w:rPr>
              <w:t>0</w:t>
            </w:r>
          </w:p>
        </w:tc>
        <w:tc>
          <w:tcPr>
            <w:tcW w:w="300" w:type="dxa"/>
            <w:vAlign w:val="bottom"/>
            <w:tcBorders>
              <w:right w:val="single" w:sz="8" w:color="auto"/>
            </w:tcBorders>
          </w:tcPr>
          <w:p>
            <w:pPr>
              <w:spacing w:after="0"/>
              <w:rPr>
                <w:sz w:val="6"/>
                <w:szCs w:val="6"/>
                <w:color w:val="auto"/>
              </w:rPr>
            </w:pPr>
          </w:p>
        </w:tc>
        <w:tc>
          <w:tcPr>
            <w:tcW w:w="880" w:type="dxa"/>
            <w:vAlign w:val="bottom"/>
            <w:tcBorders>
              <w:right w:val="single" w:sz="8" w:color="auto"/>
            </w:tcBorders>
          </w:tcPr>
          <w:p>
            <w:pPr>
              <w:ind w:left="80"/>
              <w:spacing w:after="0" w:line="76" w:lineRule="exact"/>
              <w:rPr>
                <w:sz w:val="20"/>
                <w:szCs w:val="20"/>
                <w:color w:val="auto"/>
              </w:rPr>
            </w:pPr>
            <w:r>
              <w:rPr>
                <w:rFonts w:ascii="Arial" w:cs="Arial" w:eastAsia="Arial" w:hAnsi="Arial"/>
                <w:sz w:val="8"/>
                <w:szCs w:val="8"/>
                <w:color w:val="auto"/>
              </w:rPr>
              <w:t>600,000</w:t>
            </w:r>
          </w:p>
        </w:tc>
      </w:tr>
      <w:tr>
        <w:trPr>
          <w:trHeight w:val="122"/>
        </w:trPr>
        <w:tc>
          <w:tcPr>
            <w:tcW w:w="102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0"/>
                <w:szCs w:val="10"/>
                <w:color w:val="auto"/>
              </w:rPr>
              <w:t>Matyczynski</w:t>
            </w:r>
          </w:p>
        </w:tc>
        <w:tc>
          <w:tcPr>
            <w:tcW w:w="840" w:type="dxa"/>
            <w:vAlign w:val="bottom"/>
            <w:tcBorders>
              <w:right w:val="single" w:sz="8" w:color="auto"/>
            </w:tcBorders>
          </w:tcPr>
          <w:p>
            <w:pPr>
              <w:spacing w:after="0"/>
              <w:rPr>
                <w:sz w:val="10"/>
                <w:szCs w:val="10"/>
                <w:color w:val="auto"/>
              </w:rPr>
            </w:pPr>
          </w:p>
        </w:tc>
        <w:tc>
          <w:tcPr>
            <w:tcW w:w="840" w:type="dxa"/>
            <w:vAlign w:val="bottom"/>
            <w:tcBorders>
              <w:right w:val="single" w:sz="8" w:color="auto"/>
            </w:tcBorders>
          </w:tcPr>
          <w:p>
            <w:pPr>
              <w:spacing w:after="0"/>
              <w:rPr>
                <w:sz w:val="10"/>
                <w:szCs w:val="10"/>
                <w:color w:val="auto"/>
              </w:rPr>
            </w:pPr>
          </w:p>
        </w:tc>
        <w:tc>
          <w:tcPr>
            <w:tcW w:w="880" w:type="dxa"/>
            <w:vAlign w:val="bottom"/>
            <w:tcBorders>
              <w:right w:val="single" w:sz="8" w:color="auto"/>
            </w:tcBorders>
          </w:tcPr>
          <w:p>
            <w:pPr>
              <w:spacing w:after="0"/>
              <w:rPr>
                <w:sz w:val="10"/>
                <w:szCs w:val="10"/>
                <w:color w:val="auto"/>
              </w:rPr>
            </w:pPr>
          </w:p>
        </w:tc>
        <w:tc>
          <w:tcPr>
            <w:tcW w:w="300" w:type="dxa"/>
            <w:vAlign w:val="bottom"/>
            <w:tcBorders>
              <w:right w:val="single" w:sz="8" w:color="auto"/>
            </w:tcBorders>
          </w:tcPr>
          <w:p>
            <w:pPr>
              <w:spacing w:after="0"/>
              <w:rPr>
                <w:sz w:val="10"/>
                <w:szCs w:val="10"/>
                <w:color w:val="auto"/>
              </w:rPr>
            </w:pPr>
          </w:p>
        </w:tc>
        <w:tc>
          <w:tcPr>
            <w:tcW w:w="96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Borders>
              <w:right w:val="single" w:sz="8" w:color="auto"/>
            </w:tcBorders>
          </w:tcPr>
          <w:p>
            <w:pPr>
              <w:spacing w:after="0"/>
              <w:rPr>
                <w:sz w:val="10"/>
                <w:szCs w:val="10"/>
                <w:color w:val="auto"/>
              </w:rPr>
            </w:pPr>
          </w:p>
        </w:tc>
        <w:tc>
          <w:tcPr>
            <w:tcW w:w="760" w:type="dxa"/>
            <w:vAlign w:val="bottom"/>
            <w:tcBorders>
              <w:right w:val="single" w:sz="8" w:color="auto"/>
            </w:tcBorders>
          </w:tcPr>
          <w:p>
            <w:pPr>
              <w:spacing w:after="0"/>
              <w:rPr>
                <w:sz w:val="10"/>
                <w:szCs w:val="10"/>
                <w:color w:val="auto"/>
              </w:rPr>
            </w:pPr>
          </w:p>
        </w:tc>
        <w:tc>
          <w:tcPr>
            <w:tcW w:w="300" w:type="dxa"/>
            <w:vAlign w:val="bottom"/>
            <w:tcBorders>
              <w:right w:val="single" w:sz="8" w:color="auto"/>
            </w:tcBorders>
          </w:tcPr>
          <w:p>
            <w:pPr>
              <w:spacing w:after="0"/>
              <w:rPr>
                <w:sz w:val="10"/>
                <w:szCs w:val="10"/>
                <w:color w:val="auto"/>
              </w:rPr>
            </w:pPr>
          </w:p>
        </w:tc>
        <w:tc>
          <w:tcPr>
            <w:tcW w:w="880" w:type="dxa"/>
            <w:vAlign w:val="bottom"/>
            <w:tcBorders>
              <w:right w:val="single" w:sz="8" w:color="auto"/>
            </w:tcBorders>
          </w:tcPr>
          <w:p>
            <w:pPr>
              <w:spacing w:after="0"/>
              <w:rPr>
                <w:sz w:val="10"/>
                <w:szCs w:val="10"/>
                <w:color w:val="auto"/>
              </w:rPr>
            </w:pPr>
          </w:p>
        </w:tc>
      </w:tr>
      <w:tr>
        <w:trPr>
          <w:trHeight w:val="107"/>
        </w:trPr>
        <w:tc>
          <w:tcPr>
            <w:tcW w:w="1020" w:type="dxa"/>
            <w:vAlign w:val="bottom"/>
            <w:tcBorders>
              <w:left w:val="single" w:sz="8" w:color="auto"/>
              <w:bottom w:val="single" w:sz="8" w:color="auto"/>
              <w:right w:val="single" w:sz="8" w:color="auto"/>
            </w:tcBorders>
          </w:tcPr>
          <w:p>
            <w:pPr>
              <w:spacing w:after="0"/>
              <w:rPr>
                <w:sz w:val="9"/>
                <w:szCs w:val="9"/>
                <w:color w:val="auto"/>
              </w:rPr>
            </w:pPr>
          </w:p>
        </w:tc>
        <w:tc>
          <w:tcPr>
            <w:tcW w:w="840" w:type="dxa"/>
            <w:vAlign w:val="bottom"/>
            <w:tcBorders>
              <w:bottom w:val="single" w:sz="8" w:color="auto"/>
              <w:right w:val="single" w:sz="8" w:color="auto"/>
            </w:tcBorders>
          </w:tcPr>
          <w:p>
            <w:pPr>
              <w:spacing w:after="0"/>
              <w:rPr>
                <w:sz w:val="9"/>
                <w:szCs w:val="9"/>
                <w:color w:val="auto"/>
              </w:rPr>
            </w:pPr>
          </w:p>
        </w:tc>
        <w:tc>
          <w:tcPr>
            <w:tcW w:w="840" w:type="dxa"/>
            <w:vAlign w:val="bottom"/>
            <w:tcBorders>
              <w:bottom w:val="single" w:sz="8" w:color="auto"/>
              <w:right w:val="single" w:sz="8" w:color="auto"/>
            </w:tcBorders>
          </w:tcPr>
          <w:p>
            <w:pPr>
              <w:spacing w:after="0"/>
              <w:rPr>
                <w:sz w:val="9"/>
                <w:szCs w:val="9"/>
                <w:color w:val="auto"/>
              </w:rPr>
            </w:pPr>
          </w:p>
        </w:tc>
        <w:tc>
          <w:tcPr>
            <w:tcW w:w="880" w:type="dxa"/>
            <w:vAlign w:val="bottom"/>
            <w:tcBorders>
              <w:bottom w:val="single" w:sz="8" w:color="auto"/>
              <w:right w:val="single" w:sz="8" w:color="auto"/>
            </w:tcBorders>
          </w:tcPr>
          <w:p>
            <w:pPr>
              <w:spacing w:after="0"/>
              <w:rPr>
                <w:sz w:val="9"/>
                <w:szCs w:val="9"/>
                <w:color w:val="auto"/>
              </w:rPr>
            </w:pPr>
          </w:p>
        </w:tc>
        <w:tc>
          <w:tcPr>
            <w:tcW w:w="300" w:type="dxa"/>
            <w:vAlign w:val="bottom"/>
            <w:tcBorders>
              <w:bottom w:val="single" w:sz="8" w:color="auto"/>
              <w:right w:val="single" w:sz="8" w:color="auto"/>
            </w:tcBorders>
          </w:tcPr>
          <w:p>
            <w:pPr>
              <w:spacing w:after="0"/>
              <w:rPr>
                <w:sz w:val="9"/>
                <w:szCs w:val="9"/>
                <w:color w:val="auto"/>
              </w:rPr>
            </w:pPr>
          </w:p>
        </w:tc>
        <w:tc>
          <w:tcPr>
            <w:tcW w:w="960" w:type="dxa"/>
            <w:vAlign w:val="bottom"/>
            <w:tcBorders>
              <w:bottom w:val="single" w:sz="8" w:color="auto"/>
              <w:right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660" w:type="dxa"/>
            <w:vAlign w:val="bottom"/>
            <w:tcBorders>
              <w:bottom w:val="single" w:sz="8" w:color="auto"/>
              <w:right w:val="single" w:sz="8" w:color="auto"/>
            </w:tcBorders>
          </w:tcPr>
          <w:p>
            <w:pPr>
              <w:spacing w:after="0"/>
              <w:rPr>
                <w:sz w:val="9"/>
                <w:szCs w:val="9"/>
                <w:color w:val="auto"/>
              </w:rPr>
            </w:pPr>
          </w:p>
        </w:tc>
        <w:tc>
          <w:tcPr>
            <w:tcW w:w="760" w:type="dxa"/>
            <w:vAlign w:val="bottom"/>
            <w:tcBorders>
              <w:bottom w:val="single" w:sz="8" w:color="auto"/>
              <w:right w:val="single" w:sz="8" w:color="auto"/>
            </w:tcBorders>
          </w:tcPr>
          <w:p>
            <w:pPr>
              <w:spacing w:after="0"/>
              <w:rPr>
                <w:sz w:val="9"/>
                <w:szCs w:val="9"/>
                <w:color w:val="auto"/>
              </w:rPr>
            </w:pPr>
          </w:p>
        </w:tc>
        <w:tc>
          <w:tcPr>
            <w:tcW w:w="300" w:type="dxa"/>
            <w:vAlign w:val="bottom"/>
            <w:tcBorders>
              <w:bottom w:val="single" w:sz="8" w:color="auto"/>
              <w:right w:val="single" w:sz="8" w:color="auto"/>
            </w:tcBorders>
          </w:tcPr>
          <w:p>
            <w:pPr>
              <w:spacing w:after="0"/>
              <w:rPr>
                <w:sz w:val="9"/>
                <w:szCs w:val="9"/>
                <w:color w:val="auto"/>
              </w:rPr>
            </w:pPr>
          </w:p>
        </w:tc>
        <w:tc>
          <w:tcPr>
            <w:tcW w:w="880" w:type="dxa"/>
            <w:vAlign w:val="bottom"/>
            <w:tcBorders>
              <w:bottom w:val="single" w:sz="8" w:color="auto"/>
              <w:right w:val="single" w:sz="8" w:color="auto"/>
            </w:tcBorders>
          </w:tcPr>
          <w:p>
            <w:pPr>
              <w:spacing w:after="0"/>
              <w:rPr>
                <w:sz w:val="9"/>
                <w:szCs w:val="9"/>
                <w:color w:val="auto"/>
              </w:rPr>
            </w:pPr>
          </w:p>
        </w:tc>
      </w:tr>
      <w:tr>
        <w:trPr>
          <w:trHeight w:val="111"/>
        </w:trPr>
        <w:tc>
          <w:tcPr>
            <w:tcW w:w="1020" w:type="dxa"/>
            <w:vAlign w:val="bottom"/>
            <w:tcBorders>
              <w:left w:val="single" w:sz="8" w:color="auto"/>
              <w:right w:val="single" w:sz="8" w:color="auto"/>
            </w:tcBorders>
            <w:shd w:val="clear" w:color="auto" w:fill="CCEEFF"/>
          </w:tcPr>
          <w:p>
            <w:pPr>
              <w:ind w:left="100"/>
              <w:spacing w:after="0" w:line="111" w:lineRule="exact"/>
              <w:rPr>
                <w:sz w:val="20"/>
                <w:szCs w:val="20"/>
                <w:color w:val="auto"/>
              </w:rPr>
            </w:pPr>
            <w:r>
              <w:rPr>
                <w:rFonts w:ascii="Arial" w:cs="Arial" w:eastAsia="Arial" w:hAnsi="Arial"/>
                <w:sz w:val="10"/>
                <w:szCs w:val="10"/>
                <w:color w:val="auto"/>
              </w:rPr>
              <w:t>Robert F. Smerling</w:t>
            </w:r>
          </w:p>
        </w:tc>
        <w:tc>
          <w:tcPr>
            <w:tcW w:w="840" w:type="dxa"/>
            <w:vAlign w:val="bottom"/>
            <w:tcBorders>
              <w:right w:val="single" w:sz="8" w:color="auto"/>
            </w:tcBorders>
            <w:shd w:val="clear" w:color="auto" w:fill="CCEEFF"/>
          </w:tcPr>
          <w:p>
            <w:pPr>
              <w:ind w:left="80"/>
              <w:spacing w:after="0" w:line="111" w:lineRule="exact"/>
              <w:rPr>
                <w:sz w:val="20"/>
                <w:szCs w:val="20"/>
                <w:color w:val="auto"/>
              </w:rPr>
            </w:pPr>
            <w:r>
              <w:rPr>
                <w:rFonts w:ascii="Arial" w:cs="Arial" w:eastAsia="Arial" w:hAnsi="Arial"/>
                <w:sz w:val="10"/>
                <w:szCs w:val="10"/>
                <w:color w:val="auto"/>
              </w:rPr>
              <w:t>0</w:t>
            </w:r>
          </w:p>
        </w:tc>
        <w:tc>
          <w:tcPr>
            <w:tcW w:w="840" w:type="dxa"/>
            <w:vAlign w:val="bottom"/>
            <w:tcBorders>
              <w:right w:val="single" w:sz="8" w:color="auto"/>
            </w:tcBorders>
            <w:shd w:val="clear" w:color="auto" w:fill="CCEEFF"/>
          </w:tcPr>
          <w:p>
            <w:pPr>
              <w:ind w:left="60"/>
              <w:spacing w:after="0" w:line="111" w:lineRule="exact"/>
              <w:rPr>
                <w:sz w:val="20"/>
                <w:szCs w:val="20"/>
                <w:color w:val="auto"/>
              </w:rPr>
            </w:pPr>
            <w:r>
              <w:rPr>
                <w:rFonts w:ascii="Arial" w:cs="Arial" w:eastAsia="Arial" w:hAnsi="Arial"/>
                <w:sz w:val="10"/>
                <w:szCs w:val="10"/>
                <w:color w:val="auto"/>
              </w:rPr>
              <w:t>125,562</w:t>
            </w:r>
          </w:p>
        </w:tc>
        <w:tc>
          <w:tcPr>
            <w:tcW w:w="880" w:type="dxa"/>
            <w:vAlign w:val="bottom"/>
            <w:tcBorders>
              <w:right w:val="single" w:sz="8" w:color="auto"/>
            </w:tcBorders>
            <w:shd w:val="clear" w:color="auto" w:fill="CCEEFF"/>
          </w:tcPr>
          <w:p>
            <w:pPr>
              <w:ind w:left="60"/>
              <w:spacing w:after="0" w:line="111" w:lineRule="exact"/>
              <w:rPr>
                <w:sz w:val="20"/>
                <w:szCs w:val="20"/>
                <w:color w:val="auto"/>
              </w:rPr>
            </w:pPr>
            <w:r>
              <w:rPr>
                <w:rFonts w:ascii="Arial" w:cs="Arial" w:eastAsia="Arial" w:hAnsi="Arial"/>
                <w:sz w:val="10"/>
                <w:szCs w:val="10"/>
                <w:color w:val="auto"/>
              </w:rPr>
              <w:t>0</w:t>
            </w:r>
          </w:p>
        </w:tc>
        <w:tc>
          <w:tcPr>
            <w:tcW w:w="300" w:type="dxa"/>
            <w:vAlign w:val="bottom"/>
            <w:tcBorders>
              <w:right w:val="single" w:sz="8" w:color="auto"/>
            </w:tcBorders>
            <w:shd w:val="clear" w:color="auto" w:fill="CCEEFF"/>
          </w:tcPr>
          <w:p>
            <w:pPr>
              <w:spacing w:after="0"/>
              <w:rPr>
                <w:sz w:val="9"/>
                <w:szCs w:val="9"/>
                <w:color w:val="auto"/>
              </w:rPr>
            </w:pPr>
          </w:p>
        </w:tc>
        <w:tc>
          <w:tcPr>
            <w:tcW w:w="960" w:type="dxa"/>
            <w:vAlign w:val="bottom"/>
            <w:tcBorders>
              <w:right w:val="single" w:sz="8" w:color="auto"/>
            </w:tcBorders>
            <w:shd w:val="clear" w:color="auto" w:fill="CCEEFF"/>
          </w:tcPr>
          <w:p>
            <w:pPr>
              <w:ind w:left="80"/>
              <w:spacing w:after="0" w:line="111" w:lineRule="exact"/>
              <w:rPr>
                <w:sz w:val="20"/>
                <w:szCs w:val="20"/>
                <w:color w:val="auto"/>
              </w:rPr>
            </w:pPr>
            <w:r>
              <w:rPr>
                <w:rFonts w:ascii="Arial" w:cs="Arial" w:eastAsia="Arial" w:hAnsi="Arial"/>
                <w:sz w:val="10"/>
                <w:szCs w:val="10"/>
                <w:color w:val="auto"/>
              </w:rPr>
              <w:t>0</w:t>
            </w:r>
          </w:p>
        </w:tc>
        <w:tc>
          <w:tcPr>
            <w:tcW w:w="40" w:type="dxa"/>
            <w:vAlign w:val="bottom"/>
            <w:shd w:val="clear" w:color="auto" w:fill="CCEEFF"/>
          </w:tcPr>
          <w:p>
            <w:pPr>
              <w:spacing w:after="0"/>
              <w:rPr>
                <w:sz w:val="9"/>
                <w:szCs w:val="9"/>
                <w:color w:val="auto"/>
              </w:rPr>
            </w:pPr>
          </w:p>
        </w:tc>
        <w:tc>
          <w:tcPr>
            <w:tcW w:w="660" w:type="dxa"/>
            <w:vAlign w:val="bottom"/>
            <w:tcBorders>
              <w:right w:val="single" w:sz="8" w:color="auto"/>
            </w:tcBorders>
            <w:shd w:val="clear" w:color="auto" w:fill="CCEEFF"/>
          </w:tcPr>
          <w:p>
            <w:pPr>
              <w:ind w:left="40"/>
              <w:spacing w:after="0" w:line="111" w:lineRule="exact"/>
              <w:rPr>
                <w:sz w:val="20"/>
                <w:szCs w:val="20"/>
                <w:color w:val="auto"/>
              </w:rPr>
            </w:pPr>
            <w:r>
              <w:rPr>
                <w:rFonts w:ascii="Arial" w:cs="Arial" w:eastAsia="Arial" w:hAnsi="Arial"/>
                <w:sz w:val="10"/>
                <w:szCs w:val="10"/>
                <w:color w:val="auto"/>
              </w:rPr>
              <w:t>125,562</w:t>
            </w:r>
          </w:p>
        </w:tc>
        <w:tc>
          <w:tcPr>
            <w:tcW w:w="760" w:type="dxa"/>
            <w:vAlign w:val="bottom"/>
            <w:tcBorders>
              <w:right w:val="single" w:sz="8" w:color="auto"/>
            </w:tcBorders>
            <w:shd w:val="clear" w:color="auto" w:fill="CCEEFF"/>
          </w:tcPr>
          <w:p>
            <w:pPr>
              <w:ind w:left="60"/>
              <w:spacing w:after="0" w:line="111" w:lineRule="exact"/>
              <w:rPr>
                <w:sz w:val="20"/>
                <w:szCs w:val="20"/>
                <w:color w:val="auto"/>
              </w:rPr>
            </w:pPr>
            <w:r>
              <w:rPr>
                <w:rFonts w:ascii="Arial" w:cs="Arial" w:eastAsia="Arial" w:hAnsi="Arial"/>
                <w:sz w:val="10"/>
                <w:szCs w:val="10"/>
                <w:color w:val="auto"/>
              </w:rPr>
              <w:t>0</w:t>
            </w:r>
          </w:p>
        </w:tc>
        <w:tc>
          <w:tcPr>
            <w:tcW w:w="300" w:type="dxa"/>
            <w:vAlign w:val="bottom"/>
            <w:tcBorders>
              <w:right w:val="single" w:sz="8" w:color="auto"/>
            </w:tcBorders>
            <w:shd w:val="clear" w:color="auto" w:fill="CCEEFF"/>
          </w:tcPr>
          <w:p>
            <w:pPr>
              <w:spacing w:after="0"/>
              <w:rPr>
                <w:sz w:val="9"/>
                <w:szCs w:val="9"/>
                <w:color w:val="auto"/>
              </w:rPr>
            </w:pPr>
          </w:p>
        </w:tc>
        <w:tc>
          <w:tcPr>
            <w:tcW w:w="880" w:type="dxa"/>
            <w:vAlign w:val="bottom"/>
            <w:tcBorders>
              <w:right w:val="single" w:sz="8" w:color="auto"/>
            </w:tcBorders>
            <w:shd w:val="clear" w:color="auto" w:fill="CCEEFF"/>
          </w:tcPr>
          <w:p>
            <w:pPr>
              <w:ind w:left="80"/>
              <w:spacing w:after="0" w:line="111" w:lineRule="exact"/>
              <w:rPr>
                <w:sz w:val="20"/>
                <w:szCs w:val="20"/>
                <w:color w:val="auto"/>
              </w:rPr>
            </w:pPr>
            <w:r>
              <w:rPr>
                <w:rFonts w:ascii="Arial" w:cs="Arial" w:eastAsia="Arial" w:hAnsi="Arial"/>
                <w:sz w:val="10"/>
                <w:szCs w:val="10"/>
                <w:color w:val="auto"/>
              </w:rPr>
              <w:t xml:space="preserve">415,000 </w:t>
            </w:r>
            <w:r>
              <w:rPr>
                <w:rFonts w:ascii="Arial" w:cs="Arial" w:eastAsia="Arial" w:hAnsi="Arial"/>
                <w:sz w:val="4"/>
                <w:szCs w:val="4"/>
                <w:color w:val="auto"/>
              </w:rPr>
              <w:t>(2)</w:t>
            </w:r>
          </w:p>
        </w:tc>
      </w:tr>
      <w:tr>
        <w:trPr>
          <w:trHeight w:val="140"/>
        </w:trPr>
        <w:tc>
          <w:tcPr>
            <w:tcW w:w="1020" w:type="dxa"/>
            <w:vAlign w:val="bottom"/>
            <w:tcBorders>
              <w:left w:val="single" w:sz="8" w:color="auto"/>
              <w:bottom w:val="single" w:sz="8" w:color="auto"/>
              <w:right w:val="single" w:sz="8" w:color="auto"/>
            </w:tcBorders>
            <w:shd w:val="clear" w:color="auto" w:fill="CCEEFF"/>
          </w:tcPr>
          <w:p>
            <w:pPr>
              <w:spacing w:after="0"/>
              <w:rPr>
                <w:sz w:val="12"/>
                <w:szCs w:val="12"/>
                <w:color w:val="auto"/>
              </w:rPr>
            </w:pPr>
          </w:p>
        </w:tc>
        <w:tc>
          <w:tcPr>
            <w:tcW w:w="840" w:type="dxa"/>
            <w:vAlign w:val="bottom"/>
            <w:tcBorders>
              <w:bottom w:val="single" w:sz="8" w:color="auto"/>
              <w:right w:val="single" w:sz="8" w:color="auto"/>
            </w:tcBorders>
            <w:shd w:val="clear" w:color="auto" w:fill="CCEEFF"/>
          </w:tcPr>
          <w:p>
            <w:pPr>
              <w:spacing w:after="0"/>
              <w:rPr>
                <w:sz w:val="12"/>
                <w:szCs w:val="12"/>
                <w:color w:val="auto"/>
              </w:rPr>
            </w:pPr>
          </w:p>
        </w:tc>
        <w:tc>
          <w:tcPr>
            <w:tcW w:w="840" w:type="dxa"/>
            <w:vAlign w:val="bottom"/>
            <w:tcBorders>
              <w:bottom w:val="single" w:sz="8" w:color="auto"/>
              <w:right w:val="single" w:sz="8" w:color="auto"/>
            </w:tcBorders>
            <w:shd w:val="clear" w:color="auto" w:fill="CCEEFF"/>
          </w:tcPr>
          <w:p>
            <w:pPr>
              <w:spacing w:after="0"/>
              <w:rPr>
                <w:sz w:val="12"/>
                <w:szCs w:val="12"/>
                <w:color w:val="auto"/>
              </w:rPr>
            </w:pPr>
          </w:p>
        </w:tc>
        <w:tc>
          <w:tcPr>
            <w:tcW w:w="880" w:type="dxa"/>
            <w:vAlign w:val="bottom"/>
            <w:tcBorders>
              <w:bottom w:val="single" w:sz="8" w:color="auto"/>
              <w:right w:val="single" w:sz="8" w:color="auto"/>
            </w:tcBorders>
            <w:shd w:val="clear" w:color="auto" w:fill="CCEEFF"/>
          </w:tcPr>
          <w:p>
            <w:pPr>
              <w:spacing w:after="0"/>
              <w:rPr>
                <w:sz w:val="12"/>
                <w:szCs w:val="12"/>
                <w:color w:val="auto"/>
              </w:rPr>
            </w:pPr>
          </w:p>
        </w:tc>
        <w:tc>
          <w:tcPr>
            <w:tcW w:w="300" w:type="dxa"/>
            <w:vAlign w:val="bottom"/>
            <w:tcBorders>
              <w:bottom w:val="single" w:sz="8" w:color="auto"/>
              <w:right w:val="single" w:sz="8" w:color="auto"/>
            </w:tcBorders>
            <w:shd w:val="clear" w:color="auto" w:fill="CCEEFF"/>
          </w:tcPr>
          <w:p>
            <w:pPr>
              <w:spacing w:after="0"/>
              <w:rPr>
                <w:sz w:val="12"/>
                <w:szCs w:val="12"/>
                <w:color w:val="auto"/>
              </w:rPr>
            </w:pPr>
          </w:p>
        </w:tc>
        <w:tc>
          <w:tcPr>
            <w:tcW w:w="960" w:type="dxa"/>
            <w:vAlign w:val="bottom"/>
            <w:tcBorders>
              <w:bottom w:val="single" w:sz="8" w:color="auto"/>
              <w:right w:val="single" w:sz="8" w:color="auto"/>
            </w:tcBorders>
            <w:shd w:val="clear" w:color="auto" w:fill="CCEEFF"/>
          </w:tcPr>
          <w:p>
            <w:pPr>
              <w:spacing w:after="0"/>
              <w:rPr>
                <w:sz w:val="12"/>
                <w:szCs w:val="12"/>
                <w:color w:val="auto"/>
              </w:rPr>
            </w:pPr>
          </w:p>
        </w:tc>
        <w:tc>
          <w:tcPr>
            <w:tcW w:w="4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right w:val="single" w:sz="8" w:color="auto"/>
            </w:tcBorders>
            <w:shd w:val="clear" w:color="auto" w:fill="CCEEFF"/>
          </w:tcPr>
          <w:p>
            <w:pPr>
              <w:spacing w:after="0"/>
              <w:rPr>
                <w:sz w:val="12"/>
                <w:szCs w:val="12"/>
                <w:color w:val="auto"/>
              </w:rPr>
            </w:pPr>
          </w:p>
        </w:tc>
        <w:tc>
          <w:tcPr>
            <w:tcW w:w="760" w:type="dxa"/>
            <w:vAlign w:val="bottom"/>
            <w:tcBorders>
              <w:bottom w:val="single" w:sz="8" w:color="auto"/>
              <w:right w:val="single" w:sz="8" w:color="auto"/>
            </w:tcBorders>
            <w:shd w:val="clear" w:color="auto" w:fill="CCEEFF"/>
          </w:tcPr>
          <w:p>
            <w:pPr>
              <w:spacing w:after="0"/>
              <w:rPr>
                <w:sz w:val="12"/>
                <w:szCs w:val="12"/>
                <w:color w:val="auto"/>
              </w:rPr>
            </w:pPr>
          </w:p>
        </w:tc>
        <w:tc>
          <w:tcPr>
            <w:tcW w:w="300" w:type="dxa"/>
            <w:vAlign w:val="bottom"/>
            <w:tcBorders>
              <w:bottom w:val="single" w:sz="8" w:color="auto"/>
              <w:right w:val="single" w:sz="8" w:color="auto"/>
            </w:tcBorders>
            <w:shd w:val="clear" w:color="auto" w:fill="CCEEFF"/>
          </w:tcPr>
          <w:p>
            <w:pPr>
              <w:spacing w:after="0"/>
              <w:rPr>
                <w:sz w:val="12"/>
                <w:szCs w:val="12"/>
                <w:color w:val="auto"/>
              </w:rPr>
            </w:pPr>
          </w:p>
        </w:tc>
        <w:tc>
          <w:tcPr>
            <w:tcW w:w="880" w:type="dxa"/>
            <w:vAlign w:val="bottom"/>
            <w:tcBorders>
              <w:bottom w:val="single" w:sz="8" w:color="auto"/>
              <w:right w:val="single" w:sz="8" w:color="auto"/>
            </w:tcBorders>
            <w:shd w:val="clear" w:color="auto" w:fill="CCEEFF"/>
          </w:tcPr>
          <w:p>
            <w:pPr>
              <w:spacing w:after="0"/>
              <w:rPr>
                <w:sz w:val="12"/>
                <w:szCs w:val="12"/>
                <w:color w:val="auto"/>
              </w:rPr>
            </w:pPr>
          </w:p>
        </w:tc>
      </w:tr>
    </w:tbl>
    <w:p>
      <w:pPr>
        <w:spacing w:after="0" w:line="249" w:lineRule="exact"/>
        <w:rPr>
          <w:sz w:val="20"/>
          <w:szCs w:val="20"/>
          <w:color w:val="auto"/>
        </w:rPr>
      </w:pPr>
    </w:p>
    <w:p>
      <w:pPr>
        <w:ind w:left="200" w:hanging="196"/>
        <w:spacing w:after="0"/>
        <w:tabs>
          <w:tab w:leader="none" w:pos="200" w:val="left"/>
        </w:tabs>
        <w:numPr>
          <w:ilvl w:val="0"/>
          <w:numId w:val="70"/>
        </w:numPr>
        <w:rPr>
          <w:rFonts w:ascii="Arial" w:cs="Arial" w:eastAsia="Arial" w:hAnsi="Arial"/>
          <w:sz w:val="10"/>
          <w:szCs w:val="10"/>
          <w:color w:val="auto"/>
        </w:rPr>
      </w:pPr>
      <w:r>
        <w:rPr>
          <w:rFonts w:ascii="Arial" w:cs="Arial" w:eastAsia="Arial" w:hAnsi="Arial"/>
          <w:sz w:val="10"/>
          <w:szCs w:val="10"/>
          <w:color w:val="auto"/>
        </w:rPr>
        <w:t>Mr. Matyczynski’s severance payment is payable upon his retirement, and is subject to certain offsets as set forth in his agreement, and is subject to certain offsets.</w:t>
      </w:r>
    </w:p>
    <w:p>
      <w:pPr>
        <w:spacing w:after="0" w:line="20" w:lineRule="exact"/>
        <w:rPr>
          <w:rFonts w:ascii="Arial" w:cs="Arial" w:eastAsia="Arial" w:hAnsi="Arial"/>
          <w:sz w:val="10"/>
          <w:szCs w:val="10"/>
          <w:color w:val="auto"/>
        </w:rPr>
      </w:pPr>
    </w:p>
    <w:p>
      <w:pPr>
        <w:ind w:left="120" w:right="100" w:hanging="116"/>
        <w:spacing w:after="0" w:line="287" w:lineRule="auto"/>
        <w:tabs>
          <w:tab w:leader="none" w:pos="120" w:val="left"/>
        </w:tabs>
        <w:numPr>
          <w:ilvl w:val="0"/>
          <w:numId w:val="70"/>
        </w:numPr>
        <w:rPr>
          <w:rFonts w:ascii="Arial" w:cs="Arial" w:eastAsia="Arial" w:hAnsi="Arial"/>
          <w:sz w:val="8"/>
          <w:szCs w:val="8"/>
          <w:color w:val="auto"/>
        </w:rPr>
      </w:pPr>
      <w:r>
        <w:rPr>
          <w:rFonts w:ascii="Arial" w:cs="Arial" w:eastAsia="Arial" w:hAnsi="Arial"/>
          <w:sz w:val="8"/>
          <w:szCs w:val="8"/>
          <w:color w:val="auto"/>
        </w:rPr>
        <w:t>Mr. Smerling’s one-time retirement benefit is based on the average of the two highest total cash compensation years paid to Mr. Smerling in the most recently completed five-year period. The figure quoted in the table represents the average of total compensation paid for years 2015 and 2014.</w:t>
      </w:r>
    </w:p>
    <w:p>
      <w:pPr>
        <w:spacing w:after="0" w:line="124" w:lineRule="exact"/>
        <w:rPr>
          <w:rFonts w:ascii="Arial" w:cs="Arial" w:eastAsia="Arial" w:hAnsi="Arial"/>
          <w:sz w:val="8"/>
          <w:szCs w:val="8"/>
          <w:color w:val="auto"/>
        </w:rPr>
      </w:pPr>
    </w:p>
    <w:p>
      <w:pPr>
        <w:ind w:left="900" w:hanging="896"/>
        <w:spacing w:after="0"/>
        <w:tabs>
          <w:tab w:leader="none" w:pos="900" w:val="left"/>
        </w:tabs>
        <w:numPr>
          <w:ilvl w:val="0"/>
          <w:numId w:val="70"/>
        </w:numPr>
        <w:rPr>
          <w:rFonts w:ascii="Arial" w:cs="Arial" w:eastAsia="Arial" w:hAnsi="Arial"/>
          <w:sz w:val="10"/>
          <w:szCs w:val="10"/>
          <w:color w:val="auto"/>
        </w:rPr>
      </w:pPr>
      <w:r>
        <w:rPr>
          <w:rFonts w:ascii="Arial" w:cs="Arial" w:eastAsia="Arial" w:hAnsi="Arial"/>
          <w:sz w:val="10"/>
          <w:szCs w:val="10"/>
          <w:color w:val="auto"/>
        </w:rPr>
        <w:t>Represents value of stock grants.</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Director Compensation Table</w:t>
      </w:r>
    </w:p>
    <w:p>
      <w:pPr>
        <w:spacing w:after="0" w:line="127" w:lineRule="exact"/>
        <w:rPr>
          <w:sz w:val="20"/>
          <w:szCs w:val="20"/>
          <w:color w:val="auto"/>
        </w:rPr>
      </w:pPr>
    </w:p>
    <w:p>
      <w:pPr>
        <w:ind w:left="440"/>
        <w:spacing w:after="0" w:line="138" w:lineRule="exact"/>
        <w:rPr>
          <w:sz w:val="20"/>
          <w:szCs w:val="20"/>
          <w:color w:val="auto"/>
        </w:rPr>
      </w:pPr>
      <w:r>
        <w:rPr>
          <w:rFonts w:ascii="Arial" w:cs="Arial" w:eastAsia="Arial" w:hAnsi="Arial"/>
          <w:sz w:val="12"/>
          <w:szCs w:val="12"/>
          <w:color w:val="auto"/>
        </w:rPr>
        <w:t>The following table sets forth information concerning the compensation to persons who served as our non</w:t>
      </w:r>
      <w:r>
        <w:rPr>
          <w:rFonts w:ascii="MS PGothic" w:cs="MS PGothic" w:eastAsia="MS PGothic" w:hAnsi="MS PGothic"/>
          <w:sz w:val="12"/>
          <w:szCs w:val="12"/>
          <w:color w:val="auto"/>
        </w:rPr>
        <w:t>‑</w:t>
      </w:r>
      <w:r>
        <w:rPr>
          <w:rFonts w:ascii="Arial" w:cs="Arial" w:eastAsia="Arial" w:hAnsi="Arial"/>
          <w:sz w:val="12"/>
          <w:szCs w:val="12"/>
          <w:color w:val="auto"/>
        </w:rPr>
        <w:t>employee Directors during 2015 for their services as Directors.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1360" w:type="dxa"/>
            <w:vAlign w:val="bottom"/>
          </w:tcPr>
          <w:p>
            <w:pPr>
              <w:spacing w:after="0"/>
              <w:rPr>
                <w:sz w:val="11"/>
                <w:szCs w:val="11"/>
                <w:color w:val="auto"/>
              </w:rPr>
            </w:pPr>
          </w:p>
        </w:tc>
        <w:tc>
          <w:tcPr>
            <w:tcW w:w="1120" w:type="dxa"/>
            <w:vAlign w:val="bottom"/>
          </w:tcPr>
          <w:p>
            <w:pPr>
              <w:jc w:val="right"/>
              <w:ind w:right="161"/>
              <w:spacing w:after="0"/>
              <w:rPr>
                <w:sz w:val="20"/>
                <w:szCs w:val="20"/>
                <w:color w:val="auto"/>
              </w:rPr>
            </w:pPr>
            <w:r>
              <w:rPr>
                <w:rFonts w:ascii="Arial" w:cs="Arial" w:eastAsia="Arial" w:hAnsi="Arial"/>
                <w:sz w:val="11"/>
                <w:szCs w:val="11"/>
                <w:b w:val="1"/>
                <w:bCs w:val="1"/>
                <w:color w:val="auto"/>
              </w:rPr>
              <w:t>Fees Earned or</w:t>
            </w:r>
          </w:p>
        </w:tc>
        <w:tc>
          <w:tcPr>
            <w:tcW w:w="900" w:type="dxa"/>
            <w:vAlign w:val="bottom"/>
          </w:tcPr>
          <w:p>
            <w:pPr>
              <w:jc w:val="right"/>
              <w:ind w:right="81"/>
              <w:spacing w:after="0"/>
              <w:rPr>
                <w:sz w:val="20"/>
                <w:szCs w:val="20"/>
                <w:color w:val="auto"/>
              </w:rPr>
            </w:pPr>
            <w:r>
              <w:rPr>
                <w:rFonts w:ascii="Arial" w:cs="Arial" w:eastAsia="Arial" w:hAnsi="Arial"/>
                <w:sz w:val="11"/>
                <w:szCs w:val="11"/>
                <w:b w:val="1"/>
                <w:bCs w:val="1"/>
                <w:color w:val="auto"/>
                <w:w w:val="94"/>
              </w:rPr>
              <w:t>Option Awards</w:t>
            </w:r>
          </w:p>
        </w:tc>
        <w:tc>
          <w:tcPr>
            <w:tcW w:w="2080" w:type="dxa"/>
            <w:vAlign w:val="bottom"/>
          </w:tcPr>
          <w:p>
            <w:pPr>
              <w:jc w:val="right"/>
              <w:ind w:right="541"/>
              <w:spacing w:after="0"/>
              <w:rPr>
                <w:sz w:val="20"/>
                <w:szCs w:val="20"/>
                <w:color w:val="auto"/>
              </w:rPr>
            </w:pPr>
            <w:r>
              <w:rPr>
                <w:rFonts w:ascii="Arial" w:cs="Arial" w:eastAsia="Arial" w:hAnsi="Arial"/>
                <w:sz w:val="11"/>
                <w:szCs w:val="11"/>
                <w:b w:val="1"/>
                <w:bCs w:val="1"/>
                <w:color w:val="auto"/>
              </w:rPr>
              <w:t>All Other Compensation</w:t>
            </w:r>
          </w:p>
        </w:tc>
        <w:tc>
          <w:tcPr>
            <w:tcW w:w="1100" w:type="dxa"/>
            <w:vAlign w:val="bottom"/>
          </w:tcPr>
          <w:p>
            <w:pPr>
              <w:spacing w:after="0"/>
              <w:rPr>
                <w:sz w:val="11"/>
                <w:szCs w:val="11"/>
                <w:color w:val="auto"/>
              </w:rPr>
            </w:pPr>
          </w:p>
        </w:tc>
      </w:tr>
      <w:tr>
        <w:trPr>
          <w:trHeight w:val="147"/>
        </w:trPr>
        <w:tc>
          <w:tcPr>
            <w:tcW w:w="1360" w:type="dxa"/>
            <w:vAlign w:val="bottom"/>
          </w:tcPr>
          <w:p>
            <w:pPr>
              <w:ind w:left="80"/>
              <w:spacing w:after="0"/>
              <w:rPr>
                <w:sz w:val="20"/>
                <w:szCs w:val="20"/>
                <w:color w:val="auto"/>
              </w:rPr>
            </w:pPr>
            <w:r>
              <w:rPr>
                <w:rFonts w:ascii="Arial" w:cs="Arial" w:eastAsia="Arial" w:hAnsi="Arial"/>
                <w:sz w:val="11"/>
                <w:szCs w:val="11"/>
                <w:b w:val="1"/>
                <w:bCs w:val="1"/>
                <w:color w:val="auto"/>
              </w:rPr>
              <w:t>Name</w:t>
            </w:r>
          </w:p>
        </w:tc>
        <w:tc>
          <w:tcPr>
            <w:tcW w:w="1120" w:type="dxa"/>
            <w:vAlign w:val="bottom"/>
          </w:tcPr>
          <w:p>
            <w:pPr>
              <w:jc w:val="right"/>
              <w:ind w:right="141"/>
              <w:spacing w:after="0"/>
              <w:rPr>
                <w:sz w:val="20"/>
                <w:szCs w:val="20"/>
                <w:color w:val="auto"/>
              </w:rPr>
            </w:pPr>
            <w:r>
              <w:rPr>
                <w:rFonts w:ascii="Arial" w:cs="Arial" w:eastAsia="Arial" w:hAnsi="Arial"/>
                <w:sz w:val="11"/>
                <w:szCs w:val="11"/>
                <w:b w:val="1"/>
                <w:bCs w:val="1"/>
                <w:color w:val="auto"/>
              </w:rPr>
              <w:t>Paid in Cash ($)</w:t>
            </w:r>
          </w:p>
        </w:tc>
        <w:tc>
          <w:tcPr>
            <w:tcW w:w="900" w:type="dxa"/>
            <w:vAlign w:val="bottom"/>
          </w:tcPr>
          <w:p>
            <w:pPr>
              <w:jc w:val="right"/>
              <w:ind w:right="301"/>
              <w:spacing w:after="0"/>
              <w:rPr>
                <w:sz w:val="20"/>
                <w:szCs w:val="20"/>
                <w:color w:val="auto"/>
              </w:rPr>
            </w:pPr>
            <w:r>
              <w:rPr>
                <w:rFonts w:ascii="Arial" w:cs="Arial" w:eastAsia="Arial" w:hAnsi="Arial"/>
                <w:sz w:val="11"/>
                <w:szCs w:val="11"/>
                <w:b w:val="1"/>
                <w:bCs w:val="1"/>
                <w:color w:val="auto"/>
              </w:rPr>
              <w:t>($)(1)</w:t>
            </w:r>
          </w:p>
        </w:tc>
        <w:tc>
          <w:tcPr>
            <w:tcW w:w="2080" w:type="dxa"/>
            <w:vAlign w:val="bottom"/>
          </w:tcPr>
          <w:p>
            <w:pPr>
              <w:jc w:val="right"/>
              <w:ind w:right="1041"/>
              <w:spacing w:after="0"/>
              <w:rPr>
                <w:sz w:val="20"/>
                <w:szCs w:val="20"/>
                <w:color w:val="auto"/>
              </w:rPr>
            </w:pPr>
            <w:r>
              <w:rPr>
                <w:rFonts w:ascii="Arial" w:cs="Arial" w:eastAsia="Arial" w:hAnsi="Arial"/>
                <w:sz w:val="11"/>
                <w:szCs w:val="11"/>
                <w:b w:val="1"/>
                <w:bCs w:val="1"/>
                <w:color w:val="auto"/>
              </w:rPr>
              <w:t>($)</w:t>
            </w:r>
          </w:p>
        </w:tc>
        <w:tc>
          <w:tcPr>
            <w:tcW w:w="1100" w:type="dxa"/>
            <w:vAlign w:val="bottom"/>
          </w:tcPr>
          <w:p>
            <w:pPr>
              <w:jc w:val="right"/>
              <w:ind w:right="401"/>
              <w:spacing w:after="0"/>
              <w:rPr>
                <w:sz w:val="20"/>
                <w:szCs w:val="20"/>
                <w:color w:val="auto"/>
              </w:rPr>
            </w:pPr>
            <w:r>
              <w:rPr>
                <w:rFonts w:ascii="Arial" w:cs="Arial" w:eastAsia="Arial" w:hAnsi="Arial"/>
                <w:sz w:val="11"/>
                <w:szCs w:val="11"/>
                <w:b w:val="1"/>
                <w:bCs w:val="1"/>
                <w:color w:val="auto"/>
              </w:rPr>
              <w:t>Total ($)</w:t>
            </w:r>
          </w:p>
        </w:tc>
      </w:tr>
      <w:tr>
        <w:trPr>
          <w:trHeight w:val="151"/>
        </w:trPr>
        <w:tc>
          <w:tcPr>
            <w:tcW w:w="1360" w:type="dxa"/>
            <w:vAlign w:val="bottom"/>
            <w:shd w:val="clear" w:color="auto" w:fill="CCEEFF"/>
          </w:tcPr>
          <w:p>
            <w:pPr>
              <w:ind w:left="80"/>
              <w:spacing w:after="0"/>
              <w:rPr>
                <w:sz w:val="20"/>
                <w:szCs w:val="20"/>
                <w:color w:val="auto"/>
              </w:rPr>
            </w:pPr>
            <w:r>
              <w:rPr>
                <w:rFonts w:ascii="Arial" w:cs="Arial" w:eastAsia="Arial" w:hAnsi="Arial"/>
                <w:sz w:val="12"/>
                <w:szCs w:val="12"/>
                <w:color w:val="auto"/>
              </w:rPr>
              <w:t>Judy Codding</w:t>
            </w:r>
          </w:p>
        </w:tc>
        <w:tc>
          <w:tcPr>
            <w:tcW w:w="112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11,957</w:t>
            </w:r>
          </w:p>
        </w:tc>
        <w:tc>
          <w:tcPr>
            <w:tcW w:w="9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0</w:t>
            </w:r>
          </w:p>
        </w:tc>
        <w:tc>
          <w:tcPr>
            <w:tcW w:w="2080" w:type="dxa"/>
            <w:vAlign w:val="bottom"/>
            <w:shd w:val="clear" w:color="auto" w:fill="CCEEFF"/>
          </w:tcPr>
          <w:p>
            <w:pPr>
              <w:jc w:val="right"/>
              <w:ind w:right="201"/>
              <w:spacing w:after="0"/>
              <w:rPr>
                <w:sz w:val="20"/>
                <w:szCs w:val="20"/>
                <w:color w:val="auto"/>
              </w:rPr>
            </w:pPr>
            <w:r>
              <w:rPr>
                <w:rFonts w:ascii="Arial" w:cs="Arial" w:eastAsia="Arial" w:hAnsi="Arial"/>
                <w:sz w:val="12"/>
                <w:szCs w:val="12"/>
                <w:color w:val="auto"/>
              </w:rPr>
              <w:t>0</w:t>
            </w: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11,957</w:t>
            </w:r>
          </w:p>
        </w:tc>
      </w:tr>
      <w:tr>
        <w:trPr>
          <w:trHeight w:val="144"/>
        </w:trPr>
        <w:tc>
          <w:tcPr>
            <w:tcW w:w="1360" w:type="dxa"/>
            <w:vAlign w:val="bottom"/>
          </w:tcPr>
          <w:p>
            <w:pPr>
              <w:ind w:left="80"/>
              <w:spacing w:after="0"/>
              <w:rPr>
                <w:sz w:val="20"/>
                <w:szCs w:val="20"/>
                <w:color w:val="auto"/>
              </w:rPr>
            </w:pPr>
            <w:r>
              <w:rPr>
                <w:rFonts w:ascii="Arial" w:cs="Arial" w:eastAsia="Arial" w:hAnsi="Arial"/>
                <w:sz w:val="12"/>
                <w:szCs w:val="12"/>
                <w:color w:val="auto"/>
              </w:rPr>
              <w:t xml:space="preserve">Margaret Cotter </w:t>
            </w:r>
            <w:r>
              <w:rPr>
                <w:rFonts w:ascii="Arial" w:cs="Arial" w:eastAsia="Arial" w:hAnsi="Arial"/>
                <w:sz w:val="5"/>
                <w:szCs w:val="5"/>
                <w:color w:val="auto"/>
              </w:rPr>
              <w:t>(2)</w:t>
            </w:r>
          </w:p>
        </w:tc>
        <w:tc>
          <w:tcPr>
            <w:tcW w:w="1120" w:type="dxa"/>
            <w:vAlign w:val="bottom"/>
          </w:tcPr>
          <w:p>
            <w:pPr>
              <w:jc w:val="right"/>
              <w:ind w:right="21"/>
              <w:spacing w:after="0"/>
              <w:rPr>
                <w:sz w:val="20"/>
                <w:szCs w:val="20"/>
                <w:color w:val="auto"/>
              </w:rPr>
            </w:pPr>
            <w:r>
              <w:rPr>
                <w:rFonts w:ascii="Arial" w:cs="Arial" w:eastAsia="Arial" w:hAnsi="Arial"/>
                <w:sz w:val="12"/>
                <w:szCs w:val="12"/>
                <w:color w:val="auto"/>
              </w:rPr>
              <w:t>35,000</w:t>
            </w:r>
          </w:p>
        </w:tc>
        <w:tc>
          <w:tcPr>
            <w:tcW w:w="900" w:type="dxa"/>
            <w:vAlign w:val="bottom"/>
          </w:tcPr>
          <w:p>
            <w:pPr>
              <w:jc w:val="right"/>
              <w:ind w:right="1"/>
              <w:spacing w:after="0"/>
              <w:rPr>
                <w:sz w:val="20"/>
                <w:szCs w:val="20"/>
                <w:color w:val="auto"/>
              </w:rPr>
            </w:pPr>
            <w:r>
              <w:rPr>
                <w:rFonts w:ascii="Arial" w:cs="Arial" w:eastAsia="Arial" w:hAnsi="Arial"/>
                <w:sz w:val="12"/>
                <w:szCs w:val="12"/>
                <w:color w:val="auto"/>
              </w:rPr>
              <w:t>7,656</w:t>
            </w:r>
          </w:p>
        </w:tc>
        <w:tc>
          <w:tcPr>
            <w:tcW w:w="2080" w:type="dxa"/>
            <w:vAlign w:val="bottom"/>
          </w:tcPr>
          <w:p>
            <w:pPr>
              <w:jc w:val="right"/>
              <w:ind w:right="201"/>
              <w:spacing w:after="0"/>
              <w:rPr>
                <w:sz w:val="20"/>
                <w:szCs w:val="20"/>
                <w:color w:val="auto"/>
              </w:rPr>
            </w:pPr>
            <w:r>
              <w:rPr>
                <w:rFonts w:ascii="Arial" w:cs="Arial" w:eastAsia="Arial" w:hAnsi="Arial"/>
                <w:sz w:val="12"/>
                <w:szCs w:val="12"/>
                <w:color w:val="auto"/>
              </w:rPr>
              <w:t>0</w:t>
            </w:r>
          </w:p>
        </w:tc>
        <w:tc>
          <w:tcPr>
            <w:tcW w:w="1100" w:type="dxa"/>
            <w:vAlign w:val="bottom"/>
          </w:tcPr>
          <w:p>
            <w:pPr>
              <w:jc w:val="right"/>
              <w:spacing w:after="0"/>
              <w:rPr>
                <w:sz w:val="20"/>
                <w:szCs w:val="20"/>
                <w:color w:val="auto"/>
              </w:rPr>
            </w:pPr>
            <w:r>
              <w:rPr>
                <w:rFonts w:ascii="Arial" w:cs="Arial" w:eastAsia="Arial" w:hAnsi="Arial"/>
                <w:sz w:val="12"/>
                <w:szCs w:val="12"/>
                <w:color w:val="auto"/>
              </w:rPr>
              <w:t>42,656</w:t>
            </w:r>
          </w:p>
        </w:tc>
      </w:tr>
      <w:tr>
        <w:trPr>
          <w:trHeight w:val="144"/>
        </w:trPr>
        <w:tc>
          <w:tcPr>
            <w:tcW w:w="1360" w:type="dxa"/>
            <w:vAlign w:val="bottom"/>
            <w:shd w:val="clear" w:color="auto" w:fill="CCEEFF"/>
          </w:tcPr>
          <w:p>
            <w:pPr>
              <w:ind w:left="80"/>
              <w:spacing w:after="0"/>
              <w:rPr>
                <w:sz w:val="20"/>
                <w:szCs w:val="20"/>
                <w:color w:val="auto"/>
              </w:rPr>
            </w:pPr>
            <w:r>
              <w:rPr>
                <w:rFonts w:ascii="Arial" w:cs="Arial" w:eastAsia="Arial" w:hAnsi="Arial"/>
                <w:sz w:val="12"/>
                <w:szCs w:val="12"/>
                <w:color w:val="auto"/>
              </w:rPr>
              <w:t xml:space="preserve">Guy W. Adams </w:t>
            </w:r>
            <w:r>
              <w:rPr>
                <w:rFonts w:ascii="Arial" w:cs="Arial" w:eastAsia="Arial" w:hAnsi="Arial"/>
                <w:sz w:val="5"/>
                <w:szCs w:val="5"/>
                <w:color w:val="auto"/>
              </w:rPr>
              <w:t>(3)</w:t>
            </w:r>
          </w:p>
        </w:tc>
        <w:tc>
          <w:tcPr>
            <w:tcW w:w="112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75,000</w:t>
            </w:r>
          </w:p>
        </w:tc>
        <w:tc>
          <w:tcPr>
            <w:tcW w:w="9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7,656</w:t>
            </w:r>
          </w:p>
        </w:tc>
        <w:tc>
          <w:tcPr>
            <w:tcW w:w="2080" w:type="dxa"/>
            <w:vAlign w:val="bottom"/>
            <w:shd w:val="clear" w:color="auto" w:fill="CCEEFF"/>
          </w:tcPr>
          <w:p>
            <w:pPr>
              <w:jc w:val="right"/>
              <w:ind w:right="201"/>
              <w:spacing w:after="0"/>
              <w:rPr>
                <w:sz w:val="20"/>
                <w:szCs w:val="20"/>
                <w:color w:val="auto"/>
              </w:rPr>
            </w:pPr>
            <w:r>
              <w:rPr>
                <w:rFonts w:ascii="Arial" w:cs="Arial" w:eastAsia="Arial" w:hAnsi="Arial"/>
                <w:sz w:val="12"/>
                <w:szCs w:val="12"/>
                <w:color w:val="auto"/>
              </w:rPr>
              <w:t>0</w:t>
            </w: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82,656</w:t>
            </w:r>
          </w:p>
        </w:tc>
      </w:tr>
      <w:tr>
        <w:trPr>
          <w:trHeight w:val="144"/>
        </w:trPr>
        <w:tc>
          <w:tcPr>
            <w:tcW w:w="1360" w:type="dxa"/>
            <w:vAlign w:val="bottom"/>
          </w:tcPr>
          <w:p>
            <w:pPr>
              <w:ind w:left="80"/>
              <w:spacing w:after="0"/>
              <w:rPr>
                <w:sz w:val="20"/>
                <w:szCs w:val="20"/>
                <w:color w:val="auto"/>
              </w:rPr>
            </w:pPr>
            <w:r>
              <w:rPr>
                <w:rFonts w:ascii="Arial" w:cs="Arial" w:eastAsia="Arial" w:hAnsi="Arial"/>
                <w:sz w:val="12"/>
                <w:szCs w:val="12"/>
                <w:color w:val="auto"/>
              </w:rPr>
              <w:t>William D. Gould</w:t>
            </w:r>
          </w:p>
        </w:tc>
        <w:tc>
          <w:tcPr>
            <w:tcW w:w="1120" w:type="dxa"/>
            <w:vAlign w:val="bottom"/>
          </w:tcPr>
          <w:p>
            <w:pPr>
              <w:jc w:val="right"/>
              <w:ind w:right="21"/>
              <w:spacing w:after="0"/>
              <w:rPr>
                <w:sz w:val="20"/>
                <w:szCs w:val="20"/>
                <w:color w:val="auto"/>
              </w:rPr>
            </w:pPr>
            <w:r>
              <w:rPr>
                <w:rFonts w:ascii="Arial" w:cs="Arial" w:eastAsia="Arial" w:hAnsi="Arial"/>
                <w:sz w:val="12"/>
                <w:szCs w:val="12"/>
                <w:color w:val="auto"/>
              </w:rPr>
              <w:t>80,000</w:t>
            </w:r>
          </w:p>
        </w:tc>
        <w:tc>
          <w:tcPr>
            <w:tcW w:w="900" w:type="dxa"/>
            <w:vAlign w:val="bottom"/>
          </w:tcPr>
          <w:p>
            <w:pPr>
              <w:jc w:val="right"/>
              <w:ind w:right="1"/>
              <w:spacing w:after="0"/>
              <w:rPr>
                <w:sz w:val="20"/>
                <w:szCs w:val="20"/>
                <w:color w:val="auto"/>
              </w:rPr>
            </w:pPr>
            <w:r>
              <w:rPr>
                <w:rFonts w:ascii="Arial" w:cs="Arial" w:eastAsia="Arial" w:hAnsi="Arial"/>
                <w:sz w:val="12"/>
                <w:szCs w:val="12"/>
                <w:color w:val="auto"/>
              </w:rPr>
              <w:t>7,656</w:t>
            </w:r>
          </w:p>
        </w:tc>
        <w:tc>
          <w:tcPr>
            <w:tcW w:w="2080" w:type="dxa"/>
            <w:vAlign w:val="bottom"/>
          </w:tcPr>
          <w:p>
            <w:pPr>
              <w:jc w:val="right"/>
              <w:ind w:right="201"/>
              <w:spacing w:after="0"/>
              <w:rPr>
                <w:sz w:val="20"/>
                <w:szCs w:val="20"/>
                <w:color w:val="auto"/>
              </w:rPr>
            </w:pPr>
            <w:r>
              <w:rPr>
                <w:rFonts w:ascii="Arial" w:cs="Arial" w:eastAsia="Arial" w:hAnsi="Arial"/>
                <w:sz w:val="12"/>
                <w:szCs w:val="12"/>
                <w:color w:val="auto"/>
              </w:rPr>
              <w:t>0</w:t>
            </w:r>
          </w:p>
        </w:tc>
        <w:tc>
          <w:tcPr>
            <w:tcW w:w="1100" w:type="dxa"/>
            <w:vAlign w:val="bottom"/>
          </w:tcPr>
          <w:p>
            <w:pPr>
              <w:jc w:val="right"/>
              <w:spacing w:after="0"/>
              <w:rPr>
                <w:sz w:val="20"/>
                <w:szCs w:val="20"/>
                <w:color w:val="auto"/>
              </w:rPr>
            </w:pPr>
            <w:r>
              <w:rPr>
                <w:rFonts w:ascii="Arial" w:cs="Arial" w:eastAsia="Arial" w:hAnsi="Arial"/>
                <w:sz w:val="12"/>
                <w:szCs w:val="12"/>
                <w:color w:val="auto"/>
              </w:rPr>
              <w:t>87,656</w:t>
            </w:r>
          </w:p>
        </w:tc>
      </w:tr>
      <w:tr>
        <w:trPr>
          <w:trHeight w:val="144"/>
        </w:trPr>
        <w:tc>
          <w:tcPr>
            <w:tcW w:w="1360" w:type="dxa"/>
            <w:vAlign w:val="bottom"/>
            <w:shd w:val="clear" w:color="auto" w:fill="CCEEFF"/>
          </w:tcPr>
          <w:p>
            <w:pPr>
              <w:ind w:left="80"/>
              <w:spacing w:after="0"/>
              <w:rPr>
                <w:sz w:val="20"/>
                <w:szCs w:val="20"/>
                <w:color w:val="auto"/>
              </w:rPr>
            </w:pPr>
            <w:r>
              <w:rPr>
                <w:rFonts w:ascii="Arial" w:cs="Arial" w:eastAsia="Arial" w:hAnsi="Arial"/>
                <w:sz w:val="12"/>
                <w:szCs w:val="12"/>
                <w:color w:val="auto"/>
              </w:rPr>
              <w:t>Edward L. Kane</w:t>
            </w:r>
          </w:p>
        </w:tc>
        <w:tc>
          <w:tcPr>
            <w:tcW w:w="112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98,000</w:t>
            </w:r>
          </w:p>
        </w:tc>
        <w:tc>
          <w:tcPr>
            <w:tcW w:w="9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7,656</w:t>
            </w:r>
          </w:p>
        </w:tc>
        <w:tc>
          <w:tcPr>
            <w:tcW w:w="2080" w:type="dxa"/>
            <w:vAlign w:val="bottom"/>
            <w:shd w:val="clear" w:color="auto" w:fill="CCEEFF"/>
          </w:tcPr>
          <w:p>
            <w:pPr>
              <w:jc w:val="right"/>
              <w:ind w:right="201"/>
              <w:spacing w:after="0"/>
              <w:rPr>
                <w:sz w:val="20"/>
                <w:szCs w:val="20"/>
                <w:color w:val="auto"/>
              </w:rPr>
            </w:pPr>
            <w:r>
              <w:rPr>
                <w:rFonts w:ascii="Arial" w:cs="Arial" w:eastAsia="Arial" w:hAnsi="Arial"/>
                <w:sz w:val="12"/>
                <w:szCs w:val="12"/>
                <w:color w:val="auto"/>
              </w:rPr>
              <w:t>0</w:t>
            </w: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105,656</w:t>
            </w:r>
          </w:p>
        </w:tc>
      </w:tr>
      <w:tr>
        <w:trPr>
          <w:trHeight w:val="144"/>
        </w:trPr>
        <w:tc>
          <w:tcPr>
            <w:tcW w:w="1360" w:type="dxa"/>
            <w:vAlign w:val="bottom"/>
          </w:tcPr>
          <w:p>
            <w:pPr>
              <w:ind w:left="80"/>
              <w:spacing w:after="0"/>
              <w:rPr>
                <w:sz w:val="20"/>
                <w:szCs w:val="20"/>
                <w:color w:val="auto"/>
              </w:rPr>
            </w:pPr>
            <w:r>
              <w:rPr>
                <w:rFonts w:ascii="Arial" w:cs="Arial" w:eastAsia="Arial" w:hAnsi="Arial"/>
                <w:sz w:val="12"/>
                <w:szCs w:val="12"/>
                <w:color w:val="auto"/>
              </w:rPr>
              <w:t>Douglas J. McEachern</w:t>
            </w:r>
          </w:p>
        </w:tc>
        <w:tc>
          <w:tcPr>
            <w:tcW w:w="1120" w:type="dxa"/>
            <w:vAlign w:val="bottom"/>
          </w:tcPr>
          <w:p>
            <w:pPr>
              <w:jc w:val="right"/>
              <w:ind w:right="21"/>
              <w:spacing w:after="0"/>
              <w:rPr>
                <w:sz w:val="20"/>
                <w:szCs w:val="20"/>
                <w:color w:val="auto"/>
              </w:rPr>
            </w:pPr>
            <w:r>
              <w:rPr>
                <w:rFonts w:ascii="Arial" w:cs="Arial" w:eastAsia="Arial" w:hAnsi="Arial"/>
                <w:sz w:val="12"/>
                <w:szCs w:val="12"/>
                <w:color w:val="auto"/>
              </w:rPr>
              <w:t>82,000</w:t>
            </w:r>
          </w:p>
        </w:tc>
        <w:tc>
          <w:tcPr>
            <w:tcW w:w="900" w:type="dxa"/>
            <w:vAlign w:val="bottom"/>
          </w:tcPr>
          <w:p>
            <w:pPr>
              <w:jc w:val="right"/>
              <w:ind w:right="1"/>
              <w:spacing w:after="0"/>
              <w:rPr>
                <w:sz w:val="20"/>
                <w:szCs w:val="20"/>
                <w:color w:val="auto"/>
              </w:rPr>
            </w:pPr>
            <w:r>
              <w:rPr>
                <w:rFonts w:ascii="Arial" w:cs="Arial" w:eastAsia="Arial" w:hAnsi="Arial"/>
                <w:sz w:val="12"/>
                <w:szCs w:val="12"/>
                <w:color w:val="auto"/>
              </w:rPr>
              <w:t>7,656</w:t>
            </w:r>
          </w:p>
        </w:tc>
        <w:tc>
          <w:tcPr>
            <w:tcW w:w="2080" w:type="dxa"/>
            <w:vAlign w:val="bottom"/>
          </w:tcPr>
          <w:p>
            <w:pPr>
              <w:jc w:val="right"/>
              <w:ind w:right="201"/>
              <w:spacing w:after="0"/>
              <w:rPr>
                <w:sz w:val="20"/>
                <w:szCs w:val="20"/>
                <w:color w:val="auto"/>
              </w:rPr>
            </w:pPr>
            <w:r>
              <w:rPr>
                <w:rFonts w:ascii="Arial" w:cs="Arial" w:eastAsia="Arial" w:hAnsi="Arial"/>
                <w:sz w:val="12"/>
                <w:szCs w:val="12"/>
                <w:color w:val="auto"/>
              </w:rPr>
              <w:t>0</w:t>
            </w:r>
          </w:p>
        </w:tc>
        <w:tc>
          <w:tcPr>
            <w:tcW w:w="1100" w:type="dxa"/>
            <w:vAlign w:val="bottom"/>
          </w:tcPr>
          <w:p>
            <w:pPr>
              <w:jc w:val="right"/>
              <w:spacing w:after="0"/>
              <w:rPr>
                <w:sz w:val="20"/>
                <w:szCs w:val="20"/>
                <w:color w:val="auto"/>
              </w:rPr>
            </w:pPr>
            <w:r>
              <w:rPr>
                <w:rFonts w:ascii="Arial" w:cs="Arial" w:eastAsia="Arial" w:hAnsi="Arial"/>
                <w:sz w:val="12"/>
                <w:szCs w:val="12"/>
                <w:color w:val="auto"/>
              </w:rPr>
              <w:t>89,656</w:t>
            </w:r>
          </w:p>
        </w:tc>
      </w:tr>
      <w:tr>
        <w:trPr>
          <w:trHeight w:val="144"/>
        </w:trPr>
        <w:tc>
          <w:tcPr>
            <w:tcW w:w="1360" w:type="dxa"/>
            <w:vAlign w:val="bottom"/>
            <w:shd w:val="clear" w:color="auto" w:fill="CCEEFF"/>
          </w:tcPr>
          <w:p>
            <w:pPr>
              <w:ind w:left="80"/>
              <w:spacing w:after="0"/>
              <w:rPr>
                <w:sz w:val="20"/>
                <w:szCs w:val="20"/>
                <w:color w:val="auto"/>
              </w:rPr>
            </w:pPr>
            <w:r>
              <w:rPr>
                <w:rFonts w:ascii="Arial" w:cs="Arial" w:eastAsia="Arial" w:hAnsi="Arial"/>
                <w:sz w:val="12"/>
                <w:szCs w:val="12"/>
                <w:color w:val="auto"/>
              </w:rPr>
              <w:t xml:space="preserve">Tim Storey </w:t>
            </w:r>
            <w:r>
              <w:rPr>
                <w:rFonts w:ascii="Arial" w:cs="Arial" w:eastAsia="Arial" w:hAnsi="Arial"/>
                <w:sz w:val="5"/>
                <w:szCs w:val="5"/>
                <w:color w:val="auto"/>
              </w:rPr>
              <w:t>(3)</w:t>
            </w:r>
          </w:p>
        </w:tc>
        <w:tc>
          <w:tcPr>
            <w:tcW w:w="112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112,500</w:t>
            </w:r>
          </w:p>
        </w:tc>
        <w:tc>
          <w:tcPr>
            <w:tcW w:w="9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7,656</w:t>
            </w:r>
          </w:p>
        </w:tc>
        <w:tc>
          <w:tcPr>
            <w:tcW w:w="2080" w:type="dxa"/>
            <w:vAlign w:val="bottom"/>
            <w:shd w:val="clear" w:color="auto" w:fill="CCEEFF"/>
          </w:tcPr>
          <w:p>
            <w:pPr>
              <w:jc w:val="right"/>
              <w:ind w:right="1561"/>
              <w:spacing w:after="0"/>
              <w:rPr>
                <w:sz w:val="20"/>
                <w:szCs w:val="20"/>
                <w:color w:val="auto"/>
              </w:rPr>
            </w:pPr>
            <w:r>
              <w:rPr>
                <w:rFonts w:ascii="Arial" w:cs="Arial" w:eastAsia="Arial" w:hAnsi="Arial"/>
                <w:sz w:val="12"/>
                <w:szCs w:val="12"/>
                <w:color w:val="auto"/>
              </w:rPr>
              <w:t>21,136</w:t>
            </w:r>
            <w:r>
              <w:rPr>
                <w:rFonts w:ascii="Arial" w:cs="Arial" w:eastAsia="Arial" w:hAnsi="Arial"/>
                <w:sz w:val="5"/>
                <w:szCs w:val="5"/>
                <w:color w:val="auto"/>
              </w:rPr>
              <w:t>(4)</w:t>
            </w: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140,292</w:t>
            </w:r>
          </w:p>
        </w:tc>
      </w:tr>
      <w:tr>
        <w:trPr>
          <w:trHeight w:val="144"/>
        </w:trPr>
        <w:tc>
          <w:tcPr>
            <w:tcW w:w="1360" w:type="dxa"/>
            <w:vAlign w:val="bottom"/>
          </w:tcPr>
          <w:p>
            <w:pPr>
              <w:ind w:left="80"/>
              <w:spacing w:after="0"/>
              <w:rPr>
                <w:sz w:val="20"/>
                <w:szCs w:val="20"/>
                <w:color w:val="auto"/>
              </w:rPr>
            </w:pPr>
            <w:r>
              <w:rPr>
                <w:rFonts w:ascii="Arial" w:cs="Arial" w:eastAsia="Arial" w:hAnsi="Arial"/>
                <w:sz w:val="12"/>
                <w:szCs w:val="12"/>
                <w:color w:val="auto"/>
              </w:rPr>
              <w:t>Michael Wrotniak</w:t>
            </w:r>
          </w:p>
        </w:tc>
        <w:tc>
          <w:tcPr>
            <w:tcW w:w="1120" w:type="dxa"/>
            <w:vAlign w:val="bottom"/>
          </w:tcPr>
          <w:p>
            <w:pPr>
              <w:jc w:val="right"/>
              <w:ind w:right="21"/>
              <w:spacing w:after="0"/>
              <w:rPr>
                <w:sz w:val="20"/>
                <w:szCs w:val="20"/>
                <w:color w:val="auto"/>
              </w:rPr>
            </w:pPr>
            <w:r>
              <w:rPr>
                <w:rFonts w:ascii="Arial" w:cs="Arial" w:eastAsia="Arial" w:hAnsi="Arial"/>
                <w:sz w:val="12"/>
                <w:szCs w:val="12"/>
                <w:color w:val="auto"/>
              </w:rPr>
              <w:t>11,005</w:t>
            </w:r>
          </w:p>
        </w:tc>
        <w:tc>
          <w:tcPr>
            <w:tcW w:w="900" w:type="dxa"/>
            <w:vAlign w:val="bottom"/>
          </w:tcPr>
          <w:p>
            <w:pPr>
              <w:jc w:val="right"/>
              <w:ind w:right="1"/>
              <w:spacing w:after="0"/>
              <w:rPr>
                <w:sz w:val="20"/>
                <w:szCs w:val="20"/>
                <w:color w:val="auto"/>
              </w:rPr>
            </w:pPr>
            <w:r>
              <w:rPr>
                <w:rFonts w:ascii="Arial" w:cs="Arial" w:eastAsia="Arial" w:hAnsi="Arial"/>
                <w:sz w:val="12"/>
                <w:szCs w:val="12"/>
                <w:color w:val="auto"/>
              </w:rPr>
              <w:t>0</w:t>
            </w:r>
          </w:p>
        </w:tc>
        <w:tc>
          <w:tcPr>
            <w:tcW w:w="2080" w:type="dxa"/>
            <w:vAlign w:val="bottom"/>
          </w:tcPr>
          <w:p>
            <w:pPr>
              <w:jc w:val="right"/>
              <w:ind w:right="201"/>
              <w:spacing w:after="0"/>
              <w:rPr>
                <w:sz w:val="20"/>
                <w:szCs w:val="20"/>
                <w:color w:val="auto"/>
              </w:rPr>
            </w:pPr>
            <w:r>
              <w:rPr>
                <w:rFonts w:ascii="Arial" w:cs="Arial" w:eastAsia="Arial" w:hAnsi="Arial"/>
                <w:sz w:val="12"/>
                <w:szCs w:val="12"/>
                <w:color w:val="auto"/>
              </w:rPr>
              <w:t>0</w:t>
            </w:r>
          </w:p>
        </w:tc>
        <w:tc>
          <w:tcPr>
            <w:tcW w:w="1100" w:type="dxa"/>
            <w:vAlign w:val="bottom"/>
          </w:tcPr>
          <w:p>
            <w:pPr>
              <w:jc w:val="right"/>
              <w:spacing w:after="0"/>
              <w:rPr>
                <w:sz w:val="20"/>
                <w:szCs w:val="20"/>
                <w:color w:val="auto"/>
              </w:rPr>
            </w:pPr>
            <w:r>
              <w:rPr>
                <w:rFonts w:ascii="Arial" w:cs="Arial" w:eastAsia="Arial" w:hAnsi="Arial"/>
                <w:sz w:val="12"/>
                <w:szCs w:val="12"/>
                <w:color w:val="auto"/>
              </w:rPr>
              <w:t>11,005</w:t>
            </w:r>
          </w:p>
        </w:tc>
      </w:tr>
      <w:tr>
        <w:trPr>
          <w:trHeight w:val="144"/>
        </w:trPr>
        <w:tc>
          <w:tcPr>
            <w:tcW w:w="136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8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r>
    </w:tbl>
    <w:p>
      <w:pPr>
        <w:ind w:left="80"/>
        <w:spacing w:after="0"/>
        <w:rPr>
          <w:sz w:val="20"/>
          <w:szCs w:val="20"/>
          <w:color w:val="auto"/>
        </w:rPr>
      </w:pPr>
      <w:r>
        <w:rPr>
          <w:rFonts w:ascii="Arial" w:cs="Arial" w:eastAsia="Arial" w:hAnsi="Arial"/>
          <w:sz w:val="12"/>
          <w:szCs w:val="12"/>
          <w:b w:val="1"/>
          <w:bCs w:val="1"/>
          <w:color w:val="auto"/>
        </w:rPr>
        <w:t>Total</w:t>
      </w:r>
    </w:p>
    <w:p>
      <w:pPr>
        <w:spacing w:after="0" w:line="291" w:lineRule="exact"/>
        <w:rPr>
          <w:sz w:val="20"/>
          <w:szCs w:val="20"/>
          <w:color w:val="auto"/>
        </w:rPr>
      </w:pPr>
    </w:p>
    <w:p>
      <w:pPr>
        <w:ind w:left="240" w:hanging="236"/>
        <w:spacing w:after="0"/>
        <w:tabs>
          <w:tab w:leader="none" w:pos="240" w:val="left"/>
        </w:tabs>
        <w:numPr>
          <w:ilvl w:val="0"/>
          <w:numId w:val="71"/>
        </w:numPr>
        <w:rPr>
          <w:rFonts w:ascii="Arial" w:cs="Arial" w:eastAsia="Arial" w:hAnsi="Arial"/>
          <w:sz w:val="10"/>
          <w:szCs w:val="10"/>
          <w:color w:val="auto"/>
        </w:rPr>
      </w:pPr>
      <w:r>
        <w:rPr>
          <w:rFonts w:ascii="Arial" w:cs="Arial" w:eastAsia="Arial" w:hAnsi="Arial"/>
          <w:sz w:val="10"/>
          <w:szCs w:val="10"/>
          <w:color w:val="auto"/>
        </w:rPr>
        <w:t>Fair value of the award computed in accordance with FASB ASC Topic 718.</w:t>
      </w:r>
    </w:p>
    <w:p>
      <w:pPr>
        <w:spacing w:after="0" w:line="38" w:lineRule="exact"/>
        <w:rPr>
          <w:rFonts w:ascii="Arial" w:cs="Arial" w:eastAsia="Arial" w:hAnsi="Arial"/>
          <w:sz w:val="10"/>
          <w:szCs w:val="10"/>
          <w:color w:val="auto"/>
        </w:rPr>
      </w:pPr>
    </w:p>
    <w:p>
      <w:pPr>
        <w:ind w:left="220" w:hanging="216"/>
        <w:spacing w:after="0" w:line="230" w:lineRule="auto"/>
        <w:tabs>
          <w:tab w:leader="none" w:pos="242" w:val="left"/>
        </w:tabs>
        <w:numPr>
          <w:ilvl w:val="0"/>
          <w:numId w:val="71"/>
        </w:numPr>
        <w:rPr>
          <w:rFonts w:ascii="Arial" w:cs="Arial" w:eastAsia="Arial" w:hAnsi="Arial"/>
          <w:sz w:val="10"/>
          <w:szCs w:val="10"/>
          <w:color w:val="auto"/>
        </w:rPr>
      </w:pPr>
      <w:r>
        <w:rPr>
          <w:rFonts w:ascii="Arial" w:cs="Arial" w:eastAsia="Arial" w:hAnsi="Arial"/>
          <w:sz w:val="10"/>
          <w:szCs w:val="10"/>
          <w:color w:val="auto"/>
        </w:rPr>
        <w:t>Until March 10, 2016, in addition to her Director’s fees, Ms. Margaret Cotter received a combination of fixed and incentive management fees under the OBI management agreement described under the caption “Certain Transactions and Related Party Transactions - OBI Management Agreement,” below.</w:t>
      </w:r>
    </w:p>
    <w:p>
      <w:pPr>
        <w:spacing w:after="0" w:line="13" w:lineRule="exact"/>
        <w:rPr>
          <w:rFonts w:ascii="Arial" w:cs="Arial" w:eastAsia="Arial" w:hAnsi="Arial"/>
          <w:sz w:val="10"/>
          <w:szCs w:val="10"/>
          <w:color w:val="auto"/>
        </w:rPr>
      </w:pPr>
    </w:p>
    <w:p>
      <w:pPr>
        <w:ind w:left="240" w:hanging="236"/>
        <w:spacing w:after="0"/>
        <w:tabs>
          <w:tab w:leader="none" w:pos="240" w:val="left"/>
        </w:tabs>
        <w:numPr>
          <w:ilvl w:val="0"/>
          <w:numId w:val="71"/>
        </w:numPr>
        <w:rPr>
          <w:rFonts w:ascii="Arial" w:cs="Arial" w:eastAsia="Arial" w:hAnsi="Arial"/>
          <w:sz w:val="10"/>
          <w:szCs w:val="10"/>
          <w:color w:val="auto"/>
        </w:rPr>
      </w:pPr>
      <w:r>
        <w:rPr>
          <w:rFonts w:ascii="Arial" w:cs="Arial" w:eastAsia="Arial" w:hAnsi="Arial"/>
          <w:sz w:val="10"/>
          <w:szCs w:val="10"/>
          <w:color w:val="auto"/>
        </w:rPr>
        <w:t>Mr. Storey served on our Board and Compensation Committee through October 11, 2015.</w:t>
      </w:r>
    </w:p>
    <w:p>
      <w:pPr>
        <w:spacing w:after="0" w:line="20" w:lineRule="exact"/>
        <w:rPr>
          <w:rFonts w:ascii="Arial" w:cs="Arial" w:eastAsia="Arial" w:hAnsi="Arial"/>
          <w:sz w:val="10"/>
          <w:szCs w:val="10"/>
          <w:color w:val="auto"/>
        </w:rPr>
      </w:pPr>
    </w:p>
    <w:p>
      <w:pPr>
        <w:ind w:left="240" w:hanging="236"/>
        <w:spacing w:after="0"/>
        <w:tabs>
          <w:tab w:leader="none" w:pos="240" w:val="left"/>
        </w:tabs>
        <w:numPr>
          <w:ilvl w:val="0"/>
          <w:numId w:val="71"/>
        </w:numPr>
        <w:rPr>
          <w:rFonts w:ascii="Arial" w:cs="Arial" w:eastAsia="Arial" w:hAnsi="Arial"/>
          <w:sz w:val="10"/>
          <w:szCs w:val="10"/>
          <w:color w:val="auto"/>
        </w:rPr>
      </w:pPr>
      <w:r>
        <w:rPr>
          <w:rFonts w:ascii="Arial" w:cs="Arial" w:eastAsia="Arial" w:hAnsi="Arial"/>
          <w:sz w:val="10"/>
          <w:szCs w:val="10"/>
          <w:color w:val="auto"/>
        </w:rPr>
        <w:t>Represents fees paid to Mr. Storey as the sole independent Director of our Company’s wholly owned New Zealand subsidiary.</w:t>
      </w:r>
    </w:p>
    <w:p>
      <w:pPr>
        <w:spacing w:after="0" w:line="10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Compensation Committee Interlocks and Insider Participation</w:t>
      </w:r>
    </w:p>
    <w:p>
      <w:pPr>
        <w:spacing w:after="0" w:line="127" w:lineRule="exact"/>
        <w:rPr>
          <w:sz w:val="20"/>
          <w:szCs w:val="20"/>
          <w:color w:val="auto"/>
        </w:rPr>
      </w:pPr>
    </w:p>
    <w:p>
      <w:pPr>
        <w:jc w:val="both"/>
        <w:ind w:right="80" w:firstLine="432"/>
        <w:spacing w:after="0" w:line="298" w:lineRule="auto"/>
        <w:rPr>
          <w:sz w:val="20"/>
          <w:szCs w:val="20"/>
          <w:color w:val="auto"/>
        </w:rPr>
      </w:pPr>
      <w:r>
        <w:rPr>
          <w:rFonts w:ascii="Arial" w:cs="Arial" w:eastAsia="Arial" w:hAnsi="Arial"/>
          <w:sz w:val="11"/>
          <w:szCs w:val="11"/>
          <w:color w:val="auto"/>
        </w:rPr>
        <w:t>Our Compensation Committee is currently composed of Mr. Kane, who serves as Chair, Mr. Adams and Dr. Codding. Mr. Storey, who served on our Board until October 11, 2015, served on our Compensation Committee until that date. None of the members of the Compensation Committee was an officer or employee of the Company at any time during 2015. None of our executive officers serves as a member of the board of directors or compensation committee of any entity that has or had one or more executive officers serving as a member of our Board of Directors or Compensation Committee.</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59690</wp:posOffset>
            </wp:positionV>
            <wp:extent cx="6779895"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779895" cy="42545"/>
                    </a:xfrm>
                    <a:prstGeom prst="rect">
                      <a:avLst/>
                    </a:prstGeom>
                    <a:noFill/>
                  </pic:spPr>
                </pic:pic>
              </a:graphicData>
            </a:graphic>
          </wp:anchor>
        </w:drawing>
      </w:r>
    </w:p>
    <w:p>
      <w:pPr>
        <w:sectPr>
          <w:pgSz w:w="11900" w:h="16838" w:orient="portrait"/>
          <w:cols w:equalWidth="0" w:num="1">
            <w:col w:w="10600"/>
          </w:cols>
          <w:pgMar w:left="640" w:top="264" w:right="659" w:bottom="1440" w:gutter="0" w:footer="0" w:header="0"/>
        </w:sectPr>
      </w:pPr>
    </w:p>
    <w:bookmarkStart w:id="121" w:name="page122"/>
    <w:bookmarkEnd w:id="121"/>
    <w:p>
      <w:pPr>
        <w:jc w:val="center"/>
        <w:ind w:right="-19"/>
        <w:spacing w:after="0"/>
        <w:rPr>
          <w:sz w:val="20"/>
          <w:szCs w:val="20"/>
          <w:color w:val="auto"/>
        </w:rPr>
      </w:pPr>
      <w:r>
        <w:rPr>
          <w:rFonts w:ascii="Arial" w:cs="Arial" w:eastAsia="Arial" w:hAnsi="Arial"/>
          <w:sz w:val="12"/>
          <w:szCs w:val="12"/>
          <w:b w:val="1"/>
          <w:bCs w:val="1"/>
          <w:color w:val="auto"/>
        </w:rPr>
        <w:t>REPORT OF THE COMPENSATION COMMITTEE</w:t>
      </w:r>
    </w:p>
    <w:p>
      <w:pPr>
        <w:spacing w:after="0" w:line="127" w:lineRule="exact"/>
        <w:rPr>
          <w:sz w:val="20"/>
          <w:szCs w:val="20"/>
          <w:color w:val="auto"/>
        </w:rPr>
      </w:pPr>
    </w:p>
    <w:p>
      <w:pPr>
        <w:ind w:right="40" w:firstLine="432"/>
        <w:spacing w:after="0" w:line="276" w:lineRule="auto"/>
        <w:rPr>
          <w:sz w:val="20"/>
          <w:szCs w:val="20"/>
          <w:color w:val="auto"/>
        </w:rPr>
      </w:pPr>
      <w:r>
        <w:rPr>
          <w:rFonts w:ascii="Arial" w:cs="Arial" w:eastAsia="Arial" w:hAnsi="Arial"/>
          <w:sz w:val="12"/>
          <w:szCs w:val="12"/>
          <w:color w:val="auto"/>
        </w:rPr>
        <w:t>The Compensation Committee has reviewed and discussed with management the “Compensation Discussion and Analysis” required by Item 401(b) of Regulation S-K and, based on such review and discussions, has recommended to our Board that the foregoing “Compensation Discussion and Analysis” be included in this Form 10-K.</w:t>
      </w:r>
    </w:p>
    <w:p>
      <w:pPr>
        <w:spacing w:after="0" w:line="97" w:lineRule="exact"/>
        <w:rPr>
          <w:sz w:val="20"/>
          <w:szCs w:val="20"/>
          <w:color w:val="auto"/>
        </w:rPr>
      </w:pPr>
    </w:p>
    <w:p>
      <w:pPr>
        <w:ind w:left="3120"/>
        <w:spacing w:after="0"/>
        <w:rPr>
          <w:sz w:val="20"/>
          <w:szCs w:val="20"/>
          <w:color w:val="auto"/>
        </w:rPr>
      </w:pPr>
      <w:r>
        <w:rPr>
          <w:rFonts w:ascii="Arial" w:cs="Arial" w:eastAsia="Arial" w:hAnsi="Arial"/>
          <w:sz w:val="12"/>
          <w:szCs w:val="12"/>
          <w:color w:val="auto"/>
        </w:rPr>
        <w:t>Respectfully submitted,</w:t>
      </w:r>
    </w:p>
    <w:p>
      <w:pPr>
        <w:spacing w:after="0" w:line="15" w:lineRule="exact"/>
        <w:rPr>
          <w:sz w:val="20"/>
          <w:szCs w:val="20"/>
          <w:color w:val="auto"/>
        </w:rPr>
      </w:pPr>
    </w:p>
    <w:p>
      <w:pPr>
        <w:ind w:left="3120"/>
        <w:spacing w:after="0"/>
        <w:rPr>
          <w:sz w:val="20"/>
          <w:szCs w:val="20"/>
          <w:color w:val="auto"/>
        </w:rPr>
      </w:pPr>
      <w:r>
        <w:rPr>
          <w:rFonts w:ascii="Arial" w:cs="Arial" w:eastAsia="Arial" w:hAnsi="Arial"/>
          <w:sz w:val="12"/>
          <w:szCs w:val="12"/>
          <w:color w:val="auto"/>
        </w:rPr>
        <w:t>Edward L. Kane, Chair</w:t>
      </w:r>
    </w:p>
    <w:p>
      <w:pPr>
        <w:spacing w:after="0" w:line="6" w:lineRule="exact"/>
        <w:rPr>
          <w:sz w:val="20"/>
          <w:szCs w:val="20"/>
          <w:color w:val="auto"/>
        </w:rPr>
      </w:pPr>
    </w:p>
    <w:p>
      <w:pPr>
        <w:ind w:left="3120"/>
        <w:spacing w:after="0"/>
        <w:rPr>
          <w:sz w:val="20"/>
          <w:szCs w:val="20"/>
          <w:color w:val="auto"/>
        </w:rPr>
      </w:pPr>
      <w:r>
        <w:rPr>
          <w:rFonts w:ascii="Arial" w:cs="Arial" w:eastAsia="Arial" w:hAnsi="Arial"/>
          <w:sz w:val="12"/>
          <w:szCs w:val="12"/>
          <w:color w:val="auto"/>
        </w:rPr>
        <w:t>Guy W. Adams</w:t>
      </w:r>
    </w:p>
    <w:p>
      <w:pPr>
        <w:spacing w:after="0" w:line="6" w:lineRule="exact"/>
        <w:rPr>
          <w:sz w:val="20"/>
          <w:szCs w:val="20"/>
          <w:color w:val="auto"/>
        </w:rPr>
      </w:pPr>
    </w:p>
    <w:p>
      <w:pPr>
        <w:ind w:left="3120"/>
        <w:spacing w:after="0"/>
        <w:rPr>
          <w:sz w:val="20"/>
          <w:szCs w:val="20"/>
          <w:color w:val="auto"/>
        </w:rPr>
      </w:pPr>
      <w:r>
        <w:rPr>
          <w:rFonts w:ascii="Arial" w:cs="Arial" w:eastAsia="Arial" w:hAnsi="Arial"/>
          <w:sz w:val="12"/>
          <w:szCs w:val="12"/>
          <w:color w:val="auto"/>
        </w:rPr>
        <w:t>Judy Codding</w:t>
      </w:r>
    </w:p>
    <w:p>
      <w:pPr>
        <w:spacing w:after="0" w:line="28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12 – Security Ownership of Certain Beneficial Owners and Management and Related Stockholder Matters</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Equity Compensation Plan Information</w:t>
      </w:r>
    </w:p>
    <w:p>
      <w:pPr>
        <w:spacing w:after="0" w:line="127" w:lineRule="exact"/>
        <w:rPr>
          <w:sz w:val="20"/>
          <w:szCs w:val="20"/>
          <w:color w:val="auto"/>
        </w:rPr>
      </w:pPr>
    </w:p>
    <w:p>
      <w:pPr>
        <w:ind w:left="440"/>
        <w:spacing w:after="0"/>
        <w:rPr>
          <w:sz w:val="20"/>
          <w:szCs w:val="20"/>
          <w:color w:val="auto"/>
        </w:rPr>
      </w:pPr>
      <w:r>
        <w:rPr>
          <w:rFonts w:ascii="Arial" w:cs="Arial" w:eastAsia="Arial" w:hAnsi="Arial"/>
          <w:sz w:val="12"/>
          <w:szCs w:val="12"/>
          <w:color w:val="auto"/>
        </w:rPr>
        <w:t>The following table sets forth, as of December 31, 2015, a summary of certain information related to our equity incentive plans under which our equity securities are authorized for issuance:</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6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88"/>
              </w:rPr>
              <w:t>Number of securities remaining</w:t>
            </w:r>
          </w:p>
        </w:tc>
      </w:tr>
      <w:tr>
        <w:trPr>
          <w:trHeight w:val="135"/>
        </w:trPr>
        <w:tc>
          <w:tcPr>
            <w:tcW w:w="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6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87"/>
              </w:rPr>
              <w:t>available for future issuance</w:t>
            </w:r>
          </w:p>
        </w:tc>
      </w:tr>
      <w:tr>
        <w:trPr>
          <w:trHeight w:val="135"/>
        </w:trPr>
        <w:tc>
          <w:tcPr>
            <w:tcW w:w="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6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86"/>
              </w:rPr>
              <w:t>under equity compensation</w:t>
            </w:r>
          </w:p>
        </w:tc>
      </w:tr>
      <w:tr>
        <w:trPr>
          <w:trHeight w:val="135"/>
        </w:trPr>
        <w:tc>
          <w:tcPr>
            <w:tcW w:w="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tcPr>
          <w:p>
            <w:pPr>
              <w:jc w:val="center"/>
              <w:ind w:left="6"/>
              <w:spacing w:after="0"/>
              <w:rPr>
                <w:sz w:val="20"/>
                <w:szCs w:val="20"/>
                <w:color w:val="auto"/>
              </w:rPr>
            </w:pPr>
            <w:r>
              <w:rPr>
                <w:rFonts w:ascii="Arial" w:cs="Arial" w:eastAsia="Arial" w:hAnsi="Arial"/>
                <w:sz w:val="11"/>
                <w:szCs w:val="11"/>
                <w:b w:val="1"/>
                <w:bCs w:val="1"/>
                <w:color w:val="auto"/>
                <w:w w:val="87"/>
              </w:rPr>
              <w:t>Number of securities to be</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jc w:val="center"/>
              <w:ind w:right="26"/>
              <w:spacing w:after="0"/>
              <w:rPr>
                <w:sz w:val="20"/>
                <w:szCs w:val="20"/>
                <w:color w:val="auto"/>
              </w:rPr>
            </w:pPr>
            <w:r>
              <w:rPr>
                <w:rFonts w:ascii="Arial" w:cs="Arial" w:eastAsia="Arial" w:hAnsi="Arial"/>
                <w:sz w:val="11"/>
                <w:szCs w:val="11"/>
                <w:b w:val="1"/>
                <w:bCs w:val="1"/>
                <w:color w:val="auto"/>
                <w:w w:val="89"/>
              </w:rPr>
              <w:t>Weighted average</w:t>
            </w:r>
          </w:p>
        </w:tc>
        <w:tc>
          <w:tcPr>
            <w:tcW w:w="160" w:type="dxa"/>
            <w:vAlign w:val="bottom"/>
          </w:tcPr>
          <w:p>
            <w:pPr>
              <w:spacing w:after="0"/>
              <w:rPr>
                <w:sz w:val="11"/>
                <w:szCs w:val="11"/>
                <w:color w:val="auto"/>
              </w:rPr>
            </w:pPr>
          </w:p>
        </w:tc>
        <w:tc>
          <w:tcPr>
            <w:tcW w:w="156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83"/>
              </w:rPr>
              <w:t>plans</w:t>
            </w:r>
          </w:p>
        </w:tc>
      </w:tr>
      <w:tr>
        <w:trPr>
          <w:trHeight w:val="135"/>
        </w:trPr>
        <w:tc>
          <w:tcPr>
            <w:tcW w:w="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tcPr>
          <w:p>
            <w:pPr>
              <w:jc w:val="center"/>
              <w:ind w:left="6"/>
              <w:spacing w:after="0"/>
              <w:rPr>
                <w:sz w:val="20"/>
                <w:szCs w:val="20"/>
                <w:color w:val="auto"/>
              </w:rPr>
            </w:pPr>
            <w:r>
              <w:rPr>
                <w:rFonts w:ascii="Arial" w:cs="Arial" w:eastAsia="Arial" w:hAnsi="Arial"/>
                <w:sz w:val="11"/>
                <w:szCs w:val="11"/>
                <w:b w:val="1"/>
                <w:bCs w:val="1"/>
                <w:color w:val="auto"/>
                <w:w w:val="84"/>
              </w:rPr>
              <w:t>issued upon exercise of</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jc w:val="center"/>
              <w:ind w:right="46"/>
              <w:spacing w:after="0"/>
              <w:rPr>
                <w:sz w:val="20"/>
                <w:szCs w:val="20"/>
                <w:color w:val="auto"/>
              </w:rPr>
            </w:pPr>
            <w:r>
              <w:rPr>
                <w:rFonts w:ascii="Arial" w:cs="Arial" w:eastAsia="Arial" w:hAnsi="Arial"/>
                <w:sz w:val="11"/>
                <w:szCs w:val="11"/>
                <w:b w:val="1"/>
                <w:bCs w:val="1"/>
                <w:color w:val="auto"/>
                <w:w w:val="85"/>
              </w:rPr>
              <w:t>exercise price of</w:t>
            </w:r>
          </w:p>
        </w:tc>
        <w:tc>
          <w:tcPr>
            <w:tcW w:w="160" w:type="dxa"/>
            <w:vAlign w:val="bottom"/>
          </w:tcPr>
          <w:p>
            <w:pPr>
              <w:spacing w:after="0"/>
              <w:rPr>
                <w:sz w:val="11"/>
                <w:szCs w:val="11"/>
                <w:color w:val="auto"/>
              </w:rPr>
            </w:pPr>
          </w:p>
        </w:tc>
        <w:tc>
          <w:tcPr>
            <w:tcW w:w="156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86"/>
              </w:rPr>
              <w:t>(excluding securities reflected in</w:t>
            </w:r>
          </w:p>
        </w:tc>
      </w:tr>
      <w:tr>
        <w:trPr>
          <w:trHeight w:val="144"/>
        </w:trPr>
        <w:tc>
          <w:tcPr>
            <w:tcW w:w="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tcPr>
          <w:p>
            <w:pPr>
              <w:jc w:val="center"/>
              <w:ind w:left="6"/>
              <w:spacing w:after="0"/>
              <w:rPr>
                <w:sz w:val="20"/>
                <w:szCs w:val="20"/>
                <w:color w:val="auto"/>
              </w:rPr>
            </w:pPr>
            <w:r>
              <w:rPr>
                <w:rFonts w:ascii="Arial" w:cs="Arial" w:eastAsia="Arial" w:hAnsi="Arial"/>
                <w:sz w:val="11"/>
                <w:szCs w:val="11"/>
                <w:b w:val="1"/>
                <w:bCs w:val="1"/>
                <w:color w:val="auto"/>
                <w:w w:val="86"/>
              </w:rPr>
              <w:t>outstanding options,</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jc w:val="center"/>
              <w:ind w:right="26"/>
              <w:spacing w:after="0"/>
              <w:rPr>
                <w:sz w:val="20"/>
                <w:szCs w:val="20"/>
                <w:color w:val="auto"/>
              </w:rPr>
            </w:pPr>
            <w:r>
              <w:rPr>
                <w:rFonts w:ascii="Arial" w:cs="Arial" w:eastAsia="Arial" w:hAnsi="Arial"/>
                <w:sz w:val="11"/>
                <w:szCs w:val="11"/>
                <w:b w:val="1"/>
                <w:bCs w:val="1"/>
                <w:color w:val="auto"/>
                <w:w w:val="84"/>
              </w:rPr>
              <w:t>outstanding options,</w:t>
            </w:r>
          </w:p>
        </w:tc>
        <w:tc>
          <w:tcPr>
            <w:tcW w:w="160" w:type="dxa"/>
            <w:vAlign w:val="bottom"/>
          </w:tcPr>
          <w:p>
            <w:pPr>
              <w:spacing w:after="0"/>
              <w:rPr>
                <w:sz w:val="12"/>
                <w:szCs w:val="12"/>
                <w:color w:val="auto"/>
              </w:rPr>
            </w:pPr>
          </w:p>
        </w:tc>
        <w:tc>
          <w:tcPr>
            <w:tcW w:w="156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87"/>
              </w:rPr>
              <w:t>column (a))</w:t>
            </w:r>
          </w:p>
        </w:tc>
      </w:tr>
      <w:tr>
        <w:trPr>
          <w:trHeight w:val="124"/>
        </w:trPr>
        <w:tc>
          <w:tcPr>
            <w:tcW w:w="80" w:type="dxa"/>
            <w:vAlign w:val="bottom"/>
          </w:tcPr>
          <w:p>
            <w:pPr>
              <w:spacing w:after="0"/>
              <w:rPr>
                <w:sz w:val="10"/>
                <w:szCs w:val="10"/>
                <w:color w:val="auto"/>
              </w:rPr>
            </w:pPr>
          </w:p>
        </w:tc>
        <w:tc>
          <w:tcPr>
            <w:tcW w:w="1140" w:type="dxa"/>
            <w:vAlign w:val="bottom"/>
            <w:tcBorders>
              <w:bottom w:val="single" w:sz="8" w:color="auto"/>
            </w:tcBorders>
          </w:tcPr>
          <w:p>
            <w:pPr>
              <w:spacing w:after="0" w:line="124" w:lineRule="exact"/>
              <w:rPr>
                <w:sz w:val="20"/>
                <w:szCs w:val="20"/>
                <w:color w:val="auto"/>
              </w:rPr>
            </w:pPr>
            <w:r>
              <w:rPr>
                <w:rFonts w:ascii="Arial" w:cs="Arial" w:eastAsia="Arial" w:hAnsi="Arial"/>
                <w:sz w:val="11"/>
                <w:szCs w:val="11"/>
                <w:color w:val="auto"/>
              </w:rPr>
              <w:t>Plan Category</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80" w:type="dxa"/>
            <w:vAlign w:val="bottom"/>
            <w:tcBorders>
              <w:bottom w:val="single" w:sz="8" w:color="auto"/>
            </w:tcBorders>
          </w:tcPr>
          <w:p>
            <w:pPr>
              <w:jc w:val="center"/>
              <w:ind w:left="6"/>
              <w:spacing w:after="0" w:line="124" w:lineRule="exact"/>
              <w:rPr>
                <w:sz w:val="20"/>
                <w:szCs w:val="20"/>
                <w:color w:val="auto"/>
              </w:rPr>
            </w:pPr>
            <w:r>
              <w:rPr>
                <w:rFonts w:ascii="Arial" w:cs="Arial" w:eastAsia="Arial" w:hAnsi="Arial"/>
                <w:sz w:val="11"/>
                <w:szCs w:val="11"/>
                <w:b w:val="1"/>
                <w:bCs w:val="1"/>
                <w:color w:val="auto"/>
                <w:w w:val="89"/>
              </w:rPr>
              <w:t>warrants and rights (a)</w:t>
            </w:r>
          </w:p>
        </w:tc>
        <w:tc>
          <w:tcPr>
            <w:tcW w:w="60" w:type="dxa"/>
            <w:vAlign w:val="bottom"/>
            <w:tcBorders>
              <w:bottom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120" w:type="dxa"/>
            <w:vAlign w:val="bottom"/>
            <w:tcBorders>
              <w:bottom w:val="single" w:sz="8" w:color="auto"/>
            </w:tcBorders>
            <w:gridSpan w:val="2"/>
          </w:tcPr>
          <w:p>
            <w:pPr>
              <w:jc w:val="center"/>
              <w:spacing w:after="0" w:line="124" w:lineRule="exact"/>
              <w:rPr>
                <w:sz w:val="20"/>
                <w:szCs w:val="20"/>
                <w:color w:val="auto"/>
              </w:rPr>
            </w:pPr>
            <w:r>
              <w:rPr>
                <w:rFonts w:ascii="Arial" w:cs="Arial" w:eastAsia="Arial" w:hAnsi="Arial"/>
                <w:sz w:val="11"/>
                <w:szCs w:val="11"/>
                <w:b w:val="1"/>
                <w:bCs w:val="1"/>
                <w:color w:val="auto"/>
                <w:w w:val="90"/>
              </w:rPr>
              <w:t>warrants and rights (b)</w:t>
            </w:r>
          </w:p>
        </w:tc>
        <w:tc>
          <w:tcPr>
            <w:tcW w:w="160" w:type="dxa"/>
            <w:vAlign w:val="bottom"/>
          </w:tcPr>
          <w:p>
            <w:pPr>
              <w:spacing w:after="0"/>
              <w:rPr>
                <w:sz w:val="10"/>
                <w:szCs w:val="10"/>
                <w:color w:val="auto"/>
              </w:rPr>
            </w:pPr>
          </w:p>
        </w:tc>
        <w:tc>
          <w:tcPr>
            <w:tcW w:w="1480" w:type="dxa"/>
            <w:vAlign w:val="bottom"/>
            <w:tcBorders>
              <w:top w:val="single" w:sz="8" w:color="auto"/>
            </w:tcBorders>
          </w:tcPr>
          <w:p>
            <w:pPr>
              <w:jc w:val="center"/>
              <w:spacing w:after="0" w:line="124" w:lineRule="exact"/>
              <w:rPr>
                <w:sz w:val="20"/>
                <w:szCs w:val="20"/>
                <w:color w:val="auto"/>
              </w:rPr>
            </w:pPr>
            <w:r>
              <w:rPr>
                <w:rFonts w:ascii="Arial" w:cs="Arial" w:eastAsia="Arial" w:hAnsi="Arial"/>
                <w:sz w:val="11"/>
                <w:szCs w:val="11"/>
                <w:b w:val="1"/>
                <w:bCs w:val="1"/>
                <w:color w:val="auto"/>
                <w:w w:val="88"/>
              </w:rPr>
              <w:t>(c)</w:t>
            </w:r>
          </w:p>
        </w:tc>
        <w:tc>
          <w:tcPr>
            <w:tcW w:w="80" w:type="dxa"/>
            <w:vAlign w:val="bottom"/>
          </w:tcPr>
          <w:p>
            <w:pPr>
              <w:spacing w:after="0"/>
              <w:rPr>
                <w:sz w:val="10"/>
                <w:szCs w:val="10"/>
                <w:color w:val="auto"/>
              </w:rPr>
            </w:pPr>
          </w:p>
        </w:tc>
      </w:tr>
      <w:tr>
        <w:trPr>
          <w:trHeight w:val="128"/>
        </w:trPr>
        <w:tc>
          <w:tcPr>
            <w:tcW w:w="8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1"/>
                <w:szCs w:val="11"/>
                <w:color w:val="auto"/>
              </w:rPr>
              <w:t>Equity compensation</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80" w:type="dxa"/>
            <w:vAlign w:val="bottom"/>
            <w:shd w:val="clear" w:color="auto" w:fill="CCEEFF"/>
          </w:tcPr>
          <w:p>
            <w:pPr>
              <w:jc w:val="right"/>
              <w:ind w:right="286"/>
              <w:spacing w:after="0"/>
              <w:rPr>
                <w:sz w:val="20"/>
                <w:szCs w:val="20"/>
                <w:color w:val="auto"/>
              </w:rPr>
            </w:pPr>
            <w:r>
              <w:rPr>
                <w:rFonts w:ascii="Arial" w:cs="Arial" w:eastAsia="Arial" w:hAnsi="Arial"/>
                <w:sz w:val="11"/>
                <w:szCs w:val="11"/>
                <w:color w:val="auto"/>
              </w:rPr>
              <w:t>486,565</w:t>
            </w: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w w:val="88"/>
              </w:rPr>
              <w:t>(2)</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8.68</w:t>
            </w:r>
          </w:p>
        </w:tc>
        <w:tc>
          <w:tcPr>
            <w:tcW w:w="1720" w:type="dxa"/>
            <w:vAlign w:val="bottom"/>
            <w:gridSpan w:val="3"/>
            <w:shd w:val="clear" w:color="auto" w:fill="CCEEFF"/>
          </w:tcPr>
          <w:p>
            <w:pPr>
              <w:jc w:val="right"/>
              <w:ind w:right="20"/>
              <w:spacing w:after="0"/>
              <w:rPr>
                <w:sz w:val="20"/>
                <w:szCs w:val="20"/>
                <w:color w:val="auto"/>
              </w:rPr>
            </w:pPr>
            <w:r>
              <w:rPr>
                <w:rFonts w:ascii="Arial" w:cs="Arial" w:eastAsia="Arial" w:hAnsi="Arial"/>
                <w:sz w:val="11"/>
                <w:szCs w:val="11"/>
                <w:color w:val="auto"/>
              </w:rPr>
              <w:t>551,800</w:t>
            </w:r>
          </w:p>
        </w:tc>
      </w:tr>
      <w:tr>
        <w:trPr>
          <w:trHeight w:val="135"/>
        </w:trPr>
        <w:tc>
          <w:tcPr>
            <w:tcW w:w="8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1"/>
                <w:szCs w:val="11"/>
                <w:color w:val="auto"/>
              </w:rPr>
              <w:t>plans approved by</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40"/>
        </w:trPr>
        <w:tc>
          <w:tcPr>
            <w:tcW w:w="8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1"/>
                <w:szCs w:val="11"/>
                <w:color w:val="auto"/>
              </w:rPr>
              <w:t xml:space="preserve">security holders </w:t>
            </w:r>
            <w:r>
              <w:rPr>
                <w:rFonts w:ascii="Arial" w:cs="Arial" w:eastAsia="Arial" w:hAnsi="Arial"/>
                <w:sz w:val="11"/>
                <w:szCs w:val="11"/>
                <w:color w:val="auto"/>
                <w:vertAlign w:val="superscript"/>
              </w:rPr>
              <w:t>(1)</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30"/>
        </w:trPr>
        <w:tc>
          <w:tcPr>
            <w:tcW w:w="80" w:type="dxa"/>
            <w:vAlign w:val="bottom"/>
          </w:tcPr>
          <w:p>
            <w:pPr>
              <w:spacing w:after="0"/>
              <w:rPr>
                <w:sz w:val="11"/>
                <w:szCs w:val="11"/>
                <w:color w:val="auto"/>
              </w:rPr>
            </w:pPr>
          </w:p>
        </w:tc>
        <w:tc>
          <w:tcPr>
            <w:tcW w:w="1140" w:type="dxa"/>
            <w:vAlign w:val="bottom"/>
          </w:tcPr>
          <w:p>
            <w:pPr>
              <w:spacing w:after="0"/>
              <w:rPr>
                <w:sz w:val="20"/>
                <w:szCs w:val="20"/>
                <w:color w:val="auto"/>
              </w:rPr>
            </w:pPr>
            <w:r>
              <w:rPr>
                <w:rFonts w:ascii="Arial" w:cs="Arial" w:eastAsia="Arial" w:hAnsi="Arial"/>
                <w:sz w:val="11"/>
                <w:szCs w:val="11"/>
                <w:color w:val="auto"/>
              </w:rPr>
              <w:t>Equity compensation</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35"/>
        </w:trPr>
        <w:tc>
          <w:tcPr>
            <w:tcW w:w="80" w:type="dxa"/>
            <w:vAlign w:val="bottom"/>
          </w:tcPr>
          <w:p>
            <w:pPr>
              <w:spacing w:after="0"/>
              <w:rPr>
                <w:sz w:val="11"/>
                <w:szCs w:val="11"/>
                <w:color w:val="auto"/>
              </w:rPr>
            </w:pPr>
          </w:p>
        </w:tc>
        <w:tc>
          <w:tcPr>
            <w:tcW w:w="1140" w:type="dxa"/>
            <w:vAlign w:val="bottom"/>
          </w:tcPr>
          <w:p>
            <w:pPr>
              <w:spacing w:after="0"/>
              <w:rPr>
                <w:sz w:val="20"/>
                <w:szCs w:val="20"/>
                <w:color w:val="auto"/>
              </w:rPr>
            </w:pPr>
            <w:r>
              <w:rPr>
                <w:rFonts w:ascii="Arial" w:cs="Arial" w:eastAsia="Arial" w:hAnsi="Arial"/>
                <w:sz w:val="11"/>
                <w:szCs w:val="11"/>
                <w:color w:val="auto"/>
              </w:rPr>
              <w:t>plans not approved by</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38"/>
        </w:trPr>
        <w:tc>
          <w:tcPr>
            <w:tcW w:w="80" w:type="dxa"/>
            <w:vAlign w:val="bottom"/>
          </w:tcPr>
          <w:p>
            <w:pPr>
              <w:spacing w:after="0"/>
              <w:rPr>
                <w:sz w:val="12"/>
                <w:szCs w:val="12"/>
                <w:color w:val="auto"/>
              </w:rPr>
            </w:pPr>
          </w:p>
        </w:tc>
        <w:tc>
          <w:tcPr>
            <w:tcW w:w="1140" w:type="dxa"/>
            <w:vAlign w:val="bottom"/>
          </w:tcPr>
          <w:p>
            <w:pPr>
              <w:spacing w:after="0"/>
              <w:rPr>
                <w:sz w:val="20"/>
                <w:szCs w:val="20"/>
                <w:color w:val="auto"/>
              </w:rPr>
            </w:pPr>
            <w:r>
              <w:rPr>
                <w:rFonts w:ascii="Arial" w:cs="Arial" w:eastAsia="Arial" w:hAnsi="Arial"/>
                <w:sz w:val="11"/>
                <w:szCs w:val="11"/>
                <w:color w:val="auto"/>
              </w:rPr>
              <w:t>security holders</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6"/>
        </w:trPr>
        <w:tc>
          <w:tcPr>
            <w:tcW w:w="8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1"/>
                <w:szCs w:val="11"/>
                <w:color w:val="auto"/>
              </w:rPr>
              <w:t>Total</w:t>
            </w:r>
          </w:p>
        </w:tc>
        <w:tc>
          <w:tcPr>
            <w:tcW w:w="1460" w:type="dxa"/>
            <w:vAlign w:val="bottom"/>
            <w:gridSpan w:val="3"/>
            <w:shd w:val="clear" w:color="auto" w:fill="CCEEFF"/>
          </w:tcPr>
          <w:p>
            <w:pPr>
              <w:jc w:val="right"/>
              <w:ind w:right="286"/>
              <w:spacing w:after="0"/>
              <w:rPr>
                <w:sz w:val="20"/>
                <w:szCs w:val="20"/>
                <w:color w:val="auto"/>
              </w:rPr>
            </w:pPr>
            <w:r>
              <w:rPr>
                <w:rFonts w:ascii="Arial" w:cs="Arial" w:eastAsia="Arial" w:hAnsi="Arial"/>
                <w:sz w:val="11"/>
                <w:szCs w:val="11"/>
                <w:color w:val="auto"/>
              </w:rPr>
              <w:t>486,565</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4"/>
        </w:trPr>
        <w:tc>
          <w:tcPr>
            <w:tcW w:w="8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80" w:type="dxa"/>
            <w:vAlign w:val="bottom"/>
          </w:tcPr>
          <w:p>
            <w:pPr>
              <w:spacing w:after="0"/>
              <w:rPr>
                <w:sz w:val="12"/>
                <w:szCs w:val="12"/>
                <w:color w:val="auto"/>
              </w:rPr>
            </w:pPr>
          </w:p>
        </w:tc>
      </w:tr>
    </w:tbl>
    <w:p>
      <w:pPr>
        <w:spacing w:after="0" w:line="249" w:lineRule="exact"/>
        <w:rPr>
          <w:sz w:val="20"/>
          <w:szCs w:val="20"/>
          <w:color w:val="auto"/>
        </w:rPr>
      </w:pPr>
    </w:p>
    <w:p>
      <w:pPr>
        <w:ind w:left="240" w:hanging="236"/>
        <w:spacing w:after="0"/>
        <w:tabs>
          <w:tab w:leader="none" w:pos="240" w:val="left"/>
        </w:tabs>
        <w:numPr>
          <w:ilvl w:val="0"/>
          <w:numId w:val="72"/>
        </w:numPr>
        <w:rPr>
          <w:rFonts w:ascii="Arial" w:cs="Arial" w:eastAsia="Arial" w:hAnsi="Arial"/>
          <w:sz w:val="10"/>
          <w:szCs w:val="10"/>
          <w:color w:val="auto"/>
        </w:rPr>
      </w:pPr>
      <w:r>
        <w:rPr>
          <w:rFonts w:ascii="Arial" w:cs="Arial" w:eastAsia="Arial" w:hAnsi="Arial"/>
          <w:sz w:val="10"/>
          <w:szCs w:val="10"/>
          <w:color w:val="auto"/>
        </w:rPr>
        <w:t>These plans are the Company’s 1999 Stock Option Plan and 2010 Stock Incentive Plan.</w:t>
      </w:r>
    </w:p>
    <w:p>
      <w:pPr>
        <w:spacing w:after="0" w:line="20" w:lineRule="exact"/>
        <w:rPr>
          <w:rFonts w:ascii="Arial" w:cs="Arial" w:eastAsia="Arial" w:hAnsi="Arial"/>
          <w:sz w:val="10"/>
          <w:szCs w:val="10"/>
          <w:color w:val="auto"/>
        </w:rPr>
      </w:pPr>
    </w:p>
    <w:p>
      <w:pPr>
        <w:ind w:left="240" w:hanging="236"/>
        <w:spacing w:after="0"/>
        <w:tabs>
          <w:tab w:leader="none" w:pos="240" w:val="left"/>
        </w:tabs>
        <w:numPr>
          <w:ilvl w:val="0"/>
          <w:numId w:val="72"/>
        </w:numPr>
        <w:rPr>
          <w:rFonts w:ascii="Arial" w:cs="Arial" w:eastAsia="Arial" w:hAnsi="Arial"/>
          <w:sz w:val="10"/>
          <w:szCs w:val="10"/>
          <w:color w:val="auto"/>
        </w:rPr>
      </w:pPr>
      <w:r>
        <w:rPr>
          <w:rFonts w:ascii="Arial" w:cs="Arial" w:eastAsia="Arial" w:hAnsi="Arial"/>
          <w:sz w:val="10"/>
          <w:szCs w:val="10"/>
          <w:color w:val="auto"/>
        </w:rPr>
        <w:t>Represents outstanding options only.</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BENEFICIAL OWNERSHIP OF SECURITIES</w:t>
      </w:r>
    </w:p>
    <w:p>
      <w:pPr>
        <w:spacing w:after="0" w:line="136" w:lineRule="exact"/>
        <w:rPr>
          <w:sz w:val="20"/>
          <w:szCs w:val="20"/>
          <w:color w:val="auto"/>
        </w:rPr>
      </w:pPr>
    </w:p>
    <w:p>
      <w:pPr>
        <w:ind w:left="440"/>
        <w:spacing w:after="0"/>
        <w:rPr>
          <w:sz w:val="20"/>
          <w:szCs w:val="20"/>
          <w:color w:val="auto"/>
        </w:rPr>
      </w:pPr>
      <w:r>
        <w:rPr>
          <w:rFonts w:ascii="Arial" w:cs="Arial" w:eastAsia="Arial" w:hAnsi="Arial"/>
          <w:sz w:val="12"/>
          <w:szCs w:val="12"/>
          <w:color w:val="auto"/>
        </w:rPr>
        <w:t>Except as described below, the following table sets forth the shares of Class A Stock and Class B Stock beneficially owned on April 22, 2016 by:</w:t>
      </w:r>
    </w:p>
    <w:p>
      <w:pPr>
        <w:spacing w:after="0" w:line="123" w:lineRule="exact"/>
        <w:rPr>
          <w:sz w:val="20"/>
          <w:szCs w:val="20"/>
          <w:color w:val="auto"/>
        </w:rPr>
      </w:pPr>
    </w:p>
    <w:p>
      <w:pPr>
        <w:ind w:left="780" w:hanging="127"/>
        <w:spacing w:after="0"/>
        <w:tabs>
          <w:tab w:leader="none" w:pos="780" w:val="left"/>
        </w:tabs>
        <w:numPr>
          <w:ilvl w:val="0"/>
          <w:numId w:val="73"/>
        </w:numPr>
        <w:rPr>
          <w:rFonts w:ascii="Arial" w:cs="Arial" w:eastAsia="Arial" w:hAnsi="Arial"/>
          <w:sz w:val="12"/>
          <w:szCs w:val="12"/>
          <w:color w:val="auto"/>
        </w:rPr>
      </w:pPr>
      <w:r>
        <w:rPr>
          <w:rFonts w:ascii="Arial" w:cs="Arial" w:eastAsia="Arial" w:hAnsi="Arial"/>
          <w:sz w:val="12"/>
          <w:szCs w:val="12"/>
          <w:color w:val="auto"/>
        </w:rPr>
        <w:t>each of our incumbent Directors and Director nominees;</w:t>
      </w:r>
    </w:p>
    <w:p>
      <w:pPr>
        <w:spacing w:after="0" w:line="14" w:lineRule="exact"/>
        <w:rPr>
          <w:rFonts w:ascii="Arial" w:cs="Arial" w:eastAsia="Arial" w:hAnsi="Arial"/>
          <w:sz w:val="12"/>
          <w:szCs w:val="12"/>
          <w:color w:val="auto"/>
        </w:rPr>
      </w:pPr>
    </w:p>
    <w:p>
      <w:pPr>
        <w:ind w:left="700" w:hanging="47"/>
        <w:spacing w:after="0"/>
        <w:tabs>
          <w:tab w:leader="none" w:pos="700" w:val="left"/>
        </w:tabs>
        <w:numPr>
          <w:ilvl w:val="0"/>
          <w:numId w:val="73"/>
        </w:numPr>
        <w:rPr>
          <w:rFonts w:ascii="Arial" w:cs="Arial" w:eastAsia="Arial" w:hAnsi="Arial"/>
          <w:sz w:val="12"/>
          <w:szCs w:val="12"/>
          <w:color w:val="auto"/>
        </w:rPr>
      </w:pPr>
      <w:r>
        <w:rPr>
          <w:rFonts w:ascii="Arial" w:cs="Arial" w:eastAsia="Arial" w:hAnsi="Arial"/>
          <w:sz w:val="12"/>
          <w:szCs w:val="12"/>
          <w:color w:val="auto"/>
        </w:rPr>
        <w:t>each of our incumbent executive officers and named executive officers set forth in the Summary Compensation Table of this Form 10-K;</w:t>
      </w:r>
    </w:p>
    <w:p>
      <w:pPr>
        <w:spacing w:after="0" w:line="6" w:lineRule="exact"/>
        <w:rPr>
          <w:rFonts w:ascii="Arial" w:cs="Arial" w:eastAsia="Arial" w:hAnsi="Arial"/>
          <w:sz w:val="12"/>
          <w:szCs w:val="12"/>
          <w:color w:val="auto"/>
        </w:rPr>
      </w:pPr>
    </w:p>
    <w:p>
      <w:pPr>
        <w:ind w:left="720" w:hanging="67"/>
        <w:spacing w:after="0"/>
        <w:tabs>
          <w:tab w:leader="none" w:pos="720" w:val="left"/>
        </w:tabs>
        <w:numPr>
          <w:ilvl w:val="0"/>
          <w:numId w:val="73"/>
        </w:numPr>
        <w:rPr>
          <w:rFonts w:ascii="Arial" w:cs="Arial" w:eastAsia="Arial" w:hAnsi="Arial"/>
          <w:sz w:val="12"/>
          <w:szCs w:val="12"/>
          <w:color w:val="auto"/>
        </w:rPr>
      </w:pPr>
      <w:r>
        <w:rPr>
          <w:rFonts w:ascii="Arial" w:cs="Arial" w:eastAsia="Arial" w:hAnsi="Arial"/>
          <w:sz w:val="12"/>
          <w:szCs w:val="12"/>
          <w:color w:val="auto"/>
        </w:rPr>
        <w:t>each person known to us to be the beneficial owner of more than 5% of our Class B Stock; and</w:t>
      </w:r>
    </w:p>
    <w:p>
      <w:pPr>
        <w:spacing w:after="0" w:line="6" w:lineRule="exact"/>
        <w:rPr>
          <w:rFonts w:ascii="Arial" w:cs="Arial" w:eastAsia="Arial" w:hAnsi="Arial"/>
          <w:sz w:val="12"/>
          <w:szCs w:val="12"/>
          <w:color w:val="auto"/>
        </w:rPr>
      </w:pPr>
    </w:p>
    <w:p>
      <w:pPr>
        <w:ind w:left="740" w:hanging="87"/>
        <w:spacing w:after="0"/>
        <w:tabs>
          <w:tab w:leader="none" w:pos="740" w:val="left"/>
        </w:tabs>
        <w:numPr>
          <w:ilvl w:val="0"/>
          <w:numId w:val="73"/>
        </w:numPr>
        <w:rPr>
          <w:rFonts w:ascii="Arial" w:cs="Arial" w:eastAsia="Arial" w:hAnsi="Arial"/>
          <w:sz w:val="12"/>
          <w:szCs w:val="12"/>
          <w:color w:val="auto"/>
        </w:rPr>
      </w:pPr>
      <w:r>
        <w:rPr>
          <w:rFonts w:ascii="Arial" w:cs="Arial" w:eastAsia="Arial" w:hAnsi="Arial"/>
          <w:sz w:val="12"/>
          <w:szCs w:val="12"/>
          <w:color w:val="auto"/>
        </w:rPr>
        <w:t>all of our incumbent Directors and incumbent executive officers as a group.</w:t>
      </w:r>
    </w:p>
    <w:p>
      <w:pPr>
        <w:spacing w:after="0" w:line="6" w:lineRule="exact"/>
        <w:rPr>
          <w:sz w:val="20"/>
          <w:szCs w:val="20"/>
          <w:color w:val="auto"/>
        </w:rPr>
      </w:pPr>
    </w:p>
    <w:p>
      <w:pPr>
        <w:ind w:firstLine="432"/>
        <w:spacing w:after="0" w:line="261" w:lineRule="auto"/>
        <w:rPr>
          <w:sz w:val="20"/>
          <w:szCs w:val="20"/>
          <w:color w:val="auto"/>
        </w:rPr>
      </w:pPr>
      <w:r>
        <w:rPr>
          <w:rFonts w:ascii="Arial" w:cs="Arial" w:eastAsia="Arial" w:hAnsi="Arial"/>
          <w:sz w:val="12"/>
          <w:szCs w:val="12"/>
          <w:color w:val="auto"/>
        </w:rPr>
        <w:t>Except as noted, and except pursuant to applicable community property laws, we believe that each beneficial owner has sole voting power and sole investment power with respect to the shares shown. An asterisk (*) denotes beneficial ownership of less than 1%.</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8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140" w:type="dxa"/>
            <w:vAlign w:val="bottom"/>
            <w:tcBorders>
              <w:bottom w:val="single" w:sz="8" w:color="auto"/>
            </w:tcBorders>
            <w:gridSpan w:val="6"/>
          </w:tcPr>
          <w:p>
            <w:pPr>
              <w:jc w:val="center"/>
              <w:ind w:left="746"/>
              <w:spacing w:after="0"/>
              <w:rPr>
                <w:sz w:val="20"/>
                <w:szCs w:val="20"/>
                <w:color w:val="auto"/>
              </w:rPr>
            </w:pPr>
            <w:r>
              <w:rPr>
                <w:rFonts w:ascii="Arial" w:cs="Arial" w:eastAsia="Arial" w:hAnsi="Arial"/>
                <w:sz w:val="11"/>
                <w:szCs w:val="11"/>
                <w:b w:val="1"/>
                <w:bCs w:val="1"/>
                <w:color w:val="auto"/>
                <w:w w:val="89"/>
              </w:rPr>
              <w:t>Amount and Nature of Beneficial Ownership (1)</w:t>
            </w:r>
          </w:p>
        </w:tc>
        <w:tc>
          <w:tcPr>
            <w:tcW w:w="8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r>
      <w:tr>
        <w:trPr>
          <w:trHeight w:val="128"/>
        </w:trPr>
        <w:tc>
          <w:tcPr>
            <w:tcW w:w="8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180" w:type="dxa"/>
            <w:vAlign w:val="bottom"/>
            <w:gridSpan w:val="4"/>
          </w:tcPr>
          <w:p>
            <w:pPr>
              <w:ind w:left="700"/>
              <w:spacing w:after="0"/>
              <w:rPr>
                <w:sz w:val="20"/>
                <w:szCs w:val="20"/>
                <w:color w:val="auto"/>
              </w:rPr>
            </w:pPr>
            <w:r>
              <w:rPr>
                <w:rFonts w:ascii="Arial" w:cs="Arial" w:eastAsia="Arial" w:hAnsi="Arial"/>
                <w:sz w:val="11"/>
                <w:szCs w:val="11"/>
                <w:b w:val="1"/>
                <w:bCs w:val="1"/>
                <w:color w:val="auto"/>
              </w:rPr>
              <w:t>Class A Stock</w:t>
            </w:r>
          </w:p>
        </w:tc>
        <w:tc>
          <w:tcPr>
            <w:tcW w:w="1780" w:type="dxa"/>
            <w:vAlign w:val="bottom"/>
            <w:gridSpan w:val="3"/>
          </w:tcPr>
          <w:p>
            <w:pPr>
              <w:jc w:val="right"/>
              <w:ind w:right="526"/>
              <w:spacing w:after="0"/>
              <w:rPr>
                <w:sz w:val="20"/>
                <w:szCs w:val="20"/>
                <w:color w:val="auto"/>
              </w:rPr>
            </w:pPr>
            <w:r>
              <w:rPr>
                <w:rFonts w:ascii="Arial" w:cs="Arial" w:eastAsia="Arial" w:hAnsi="Arial"/>
                <w:sz w:val="11"/>
                <w:szCs w:val="11"/>
                <w:b w:val="1"/>
                <w:bCs w:val="1"/>
                <w:color w:val="auto"/>
              </w:rPr>
              <w:t>Class B Stock</w:t>
            </w:r>
          </w:p>
        </w:tc>
        <w:tc>
          <w:tcPr>
            <w:tcW w:w="80" w:type="dxa"/>
            <w:vAlign w:val="bottom"/>
          </w:tcPr>
          <w:p>
            <w:pPr>
              <w:spacing w:after="0"/>
              <w:rPr>
                <w:sz w:val="11"/>
                <w:szCs w:val="11"/>
                <w:color w:val="auto"/>
              </w:rPr>
            </w:pPr>
          </w:p>
        </w:tc>
      </w:tr>
      <w:tr>
        <w:trPr>
          <w:trHeight w:val="115"/>
        </w:trPr>
        <w:tc>
          <w:tcPr>
            <w:tcW w:w="80" w:type="dxa"/>
            <w:vAlign w:val="bottom"/>
          </w:tcPr>
          <w:p>
            <w:pPr>
              <w:spacing w:after="0"/>
              <w:rPr>
                <w:sz w:val="9"/>
                <w:szCs w:val="9"/>
                <w:color w:val="auto"/>
              </w:rPr>
            </w:pPr>
          </w:p>
        </w:tc>
        <w:tc>
          <w:tcPr>
            <w:tcW w:w="2440" w:type="dxa"/>
            <w:vAlign w:val="bottom"/>
            <w:gridSpan w:val="2"/>
          </w:tcPr>
          <w:p>
            <w:pPr>
              <w:spacing w:after="0" w:line="115" w:lineRule="exact"/>
              <w:rPr>
                <w:sz w:val="20"/>
                <w:szCs w:val="20"/>
                <w:color w:val="auto"/>
              </w:rPr>
            </w:pPr>
            <w:r>
              <w:rPr>
                <w:rFonts w:ascii="Arial" w:cs="Arial" w:eastAsia="Arial" w:hAnsi="Arial"/>
                <w:sz w:val="11"/>
                <w:szCs w:val="11"/>
                <w:b w:val="1"/>
                <w:bCs w:val="1"/>
                <w:color w:val="auto"/>
              </w:rPr>
              <w:t>Name and Address of</w:t>
            </w:r>
          </w:p>
        </w:tc>
        <w:tc>
          <w:tcPr>
            <w:tcW w:w="100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860" w:type="dxa"/>
            <w:vAlign w:val="bottom"/>
            <w:tcBorders>
              <w:top w:val="single" w:sz="8" w:color="auto"/>
            </w:tcBorders>
          </w:tcPr>
          <w:p>
            <w:pPr>
              <w:jc w:val="center"/>
              <w:spacing w:after="0" w:line="115" w:lineRule="exact"/>
              <w:rPr>
                <w:sz w:val="20"/>
                <w:szCs w:val="20"/>
                <w:color w:val="auto"/>
              </w:rPr>
            </w:pPr>
            <w:r>
              <w:rPr>
                <w:rFonts w:ascii="Arial" w:cs="Arial" w:eastAsia="Arial" w:hAnsi="Arial"/>
                <w:sz w:val="11"/>
                <w:szCs w:val="11"/>
                <w:b w:val="1"/>
                <w:bCs w:val="1"/>
                <w:color w:val="auto"/>
                <w:w w:val="85"/>
              </w:rPr>
              <w:t>Percentage of</w:t>
            </w:r>
          </w:p>
        </w:tc>
        <w:tc>
          <w:tcPr>
            <w:tcW w:w="160" w:type="dxa"/>
            <w:vAlign w:val="bottom"/>
          </w:tcPr>
          <w:p>
            <w:pPr>
              <w:spacing w:after="0"/>
              <w:rPr>
                <w:sz w:val="9"/>
                <w:szCs w:val="9"/>
                <w:color w:val="auto"/>
              </w:rPr>
            </w:pPr>
          </w:p>
        </w:tc>
        <w:tc>
          <w:tcPr>
            <w:tcW w:w="960" w:type="dxa"/>
            <w:vAlign w:val="bottom"/>
            <w:tcBorders>
              <w:top w:val="single" w:sz="8" w:color="auto"/>
            </w:tcBorders>
            <w:gridSpan w:val="2"/>
          </w:tcPr>
          <w:p>
            <w:pPr>
              <w:jc w:val="right"/>
              <w:ind w:right="320"/>
              <w:spacing w:after="0" w:line="115" w:lineRule="exact"/>
              <w:rPr>
                <w:sz w:val="20"/>
                <w:szCs w:val="20"/>
                <w:color w:val="auto"/>
              </w:rPr>
            </w:pPr>
            <w:r>
              <w:rPr>
                <w:rFonts w:ascii="Arial" w:cs="Arial" w:eastAsia="Arial" w:hAnsi="Arial"/>
                <w:sz w:val="11"/>
                <w:szCs w:val="11"/>
                <w:b w:val="1"/>
                <w:bCs w:val="1"/>
                <w:color w:val="auto"/>
              </w:rPr>
              <w:t>Number of</w:t>
            </w:r>
          </w:p>
        </w:tc>
        <w:tc>
          <w:tcPr>
            <w:tcW w:w="820" w:type="dxa"/>
            <w:vAlign w:val="bottom"/>
            <w:tcBorders>
              <w:top w:val="single" w:sz="8" w:color="auto"/>
            </w:tcBorders>
          </w:tcPr>
          <w:p>
            <w:pPr>
              <w:jc w:val="right"/>
              <w:ind w:right="46"/>
              <w:spacing w:after="0" w:line="115" w:lineRule="exact"/>
              <w:rPr>
                <w:sz w:val="20"/>
                <w:szCs w:val="20"/>
                <w:color w:val="auto"/>
              </w:rPr>
            </w:pPr>
            <w:r>
              <w:rPr>
                <w:rFonts w:ascii="Arial" w:cs="Arial" w:eastAsia="Arial" w:hAnsi="Arial"/>
                <w:sz w:val="11"/>
                <w:szCs w:val="11"/>
                <w:b w:val="1"/>
                <w:bCs w:val="1"/>
                <w:color w:val="auto"/>
                <w:w w:val="96"/>
              </w:rPr>
              <w:t>Percentage of</w:t>
            </w:r>
          </w:p>
        </w:tc>
        <w:tc>
          <w:tcPr>
            <w:tcW w:w="80" w:type="dxa"/>
            <w:vAlign w:val="bottom"/>
          </w:tcPr>
          <w:p>
            <w:pPr>
              <w:spacing w:after="0"/>
              <w:rPr>
                <w:sz w:val="9"/>
                <w:szCs w:val="9"/>
                <w:color w:val="auto"/>
              </w:rPr>
            </w:pPr>
          </w:p>
        </w:tc>
      </w:tr>
      <w:tr>
        <w:trPr>
          <w:trHeight w:val="142"/>
        </w:trPr>
        <w:tc>
          <w:tcPr>
            <w:tcW w:w="80" w:type="dxa"/>
            <w:vAlign w:val="bottom"/>
          </w:tcPr>
          <w:p>
            <w:pPr>
              <w:spacing w:after="0"/>
              <w:rPr>
                <w:sz w:val="12"/>
                <w:szCs w:val="12"/>
                <w:color w:val="auto"/>
              </w:rPr>
            </w:pPr>
          </w:p>
        </w:tc>
        <w:tc>
          <w:tcPr>
            <w:tcW w:w="2440" w:type="dxa"/>
            <w:vAlign w:val="bottom"/>
            <w:gridSpan w:val="2"/>
          </w:tcPr>
          <w:p>
            <w:pPr>
              <w:spacing w:after="0"/>
              <w:rPr>
                <w:sz w:val="20"/>
                <w:szCs w:val="20"/>
                <w:color w:val="auto"/>
              </w:rPr>
            </w:pPr>
            <w:r>
              <w:rPr>
                <w:rFonts w:ascii="Arial" w:cs="Arial" w:eastAsia="Arial" w:hAnsi="Arial"/>
                <w:sz w:val="11"/>
                <w:szCs w:val="11"/>
                <w:b w:val="1"/>
                <w:bCs w:val="1"/>
                <w:color w:val="auto"/>
              </w:rPr>
              <w:t>Beneficial Owner</w:t>
            </w:r>
          </w:p>
        </w:tc>
        <w:tc>
          <w:tcPr>
            <w:tcW w:w="1160" w:type="dxa"/>
            <w:vAlign w:val="bottom"/>
            <w:gridSpan w:val="2"/>
          </w:tcPr>
          <w:p>
            <w:pPr>
              <w:jc w:val="right"/>
              <w:ind w:right="240"/>
              <w:spacing w:after="0"/>
              <w:rPr>
                <w:sz w:val="20"/>
                <w:szCs w:val="20"/>
                <w:color w:val="auto"/>
              </w:rPr>
            </w:pPr>
            <w:r>
              <w:rPr>
                <w:rFonts w:ascii="Arial" w:cs="Arial" w:eastAsia="Arial" w:hAnsi="Arial"/>
                <w:sz w:val="11"/>
                <w:szCs w:val="11"/>
                <w:b w:val="1"/>
                <w:bCs w:val="1"/>
                <w:color w:val="auto"/>
                <w:w w:val="94"/>
              </w:rPr>
              <w:t>Number of Shares</w:t>
            </w:r>
          </w:p>
        </w:tc>
        <w:tc>
          <w:tcPr>
            <w:tcW w:w="102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86"/>
              </w:rPr>
              <w:t>Stock</w:t>
            </w:r>
          </w:p>
        </w:tc>
        <w:tc>
          <w:tcPr>
            <w:tcW w:w="960" w:type="dxa"/>
            <w:vAlign w:val="bottom"/>
            <w:gridSpan w:val="2"/>
          </w:tcPr>
          <w:p>
            <w:pPr>
              <w:jc w:val="right"/>
              <w:ind w:right="420"/>
              <w:spacing w:after="0"/>
              <w:rPr>
                <w:sz w:val="20"/>
                <w:szCs w:val="20"/>
                <w:color w:val="auto"/>
              </w:rPr>
            </w:pPr>
            <w:r>
              <w:rPr>
                <w:rFonts w:ascii="Arial" w:cs="Arial" w:eastAsia="Arial" w:hAnsi="Arial"/>
                <w:sz w:val="11"/>
                <w:szCs w:val="11"/>
                <w:b w:val="1"/>
                <w:bCs w:val="1"/>
                <w:color w:val="auto"/>
              </w:rPr>
              <w:t>Shares</w:t>
            </w:r>
          </w:p>
        </w:tc>
        <w:tc>
          <w:tcPr>
            <w:tcW w:w="900" w:type="dxa"/>
            <w:vAlign w:val="bottom"/>
            <w:gridSpan w:val="2"/>
          </w:tcPr>
          <w:p>
            <w:pPr>
              <w:jc w:val="right"/>
              <w:ind w:right="360"/>
              <w:spacing w:after="0"/>
              <w:rPr>
                <w:sz w:val="20"/>
                <w:szCs w:val="20"/>
                <w:color w:val="auto"/>
              </w:rPr>
            </w:pPr>
            <w:r>
              <w:rPr>
                <w:rFonts w:ascii="Arial" w:cs="Arial" w:eastAsia="Arial" w:hAnsi="Arial"/>
                <w:sz w:val="11"/>
                <w:szCs w:val="11"/>
                <w:b w:val="1"/>
                <w:bCs w:val="1"/>
                <w:color w:val="auto"/>
              </w:rPr>
              <w:t>Stock</w:t>
            </w:r>
          </w:p>
        </w:tc>
      </w:tr>
      <w:tr>
        <w:trPr>
          <w:trHeight w:val="131"/>
        </w:trPr>
        <w:tc>
          <w:tcPr>
            <w:tcW w:w="80" w:type="dxa"/>
            <w:vAlign w:val="bottom"/>
          </w:tcPr>
          <w:p>
            <w:pPr>
              <w:spacing w:after="0"/>
              <w:rPr>
                <w:sz w:val="11"/>
                <w:szCs w:val="11"/>
                <w:color w:val="auto"/>
              </w:rPr>
            </w:pPr>
          </w:p>
        </w:tc>
        <w:tc>
          <w:tcPr>
            <w:tcW w:w="2280" w:type="dxa"/>
            <w:vAlign w:val="bottom"/>
            <w:tcBorders>
              <w:top w:val="single" w:sz="8" w:color="auto"/>
            </w:tcBorders>
          </w:tcPr>
          <w:p>
            <w:pPr>
              <w:spacing w:after="0"/>
              <w:rPr>
                <w:sz w:val="20"/>
                <w:szCs w:val="20"/>
                <w:color w:val="auto"/>
              </w:rPr>
            </w:pPr>
            <w:r>
              <w:rPr>
                <w:rFonts w:ascii="Arial" w:cs="Arial" w:eastAsia="Arial" w:hAnsi="Arial"/>
                <w:sz w:val="11"/>
                <w:szCs w:val="11"/>
                <w:b w:val="1"/>
                <w:bCs w:val="1"/>
                <w:i w:val="1"/>
                <w:iCs w:val="1"/>
                <w:color w:val="auto"/>
              </w:rPr>
              <w:t>Directors and Named Executive Officers</w:t>
            </w:r>
          </w:p>
        </w:tc>
        <w:tc>
          <w:tcPr>
            <w:tcW w:w="160" w:type="dxa"/>
            <w:vAlign w:val="bottom"/>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r>
      <w:tr>
        <w:trPr>
          <w:trHeight w:val="139"/>
        </w:trPr>
        <w:tc>
          <w:tcPr>
            <w:tcW w:w="80" w:type="dxa"/>
            <w:vAlign w:val="bottom"/>
            <w:shd w:val="clear" w:color="auto" w:fill="CCEEFF"/>
          </w:tcPr>
          <w:p>
            <w:pPr>
              <w:spacing w:after="0"/>
              <w:rPr>
                <w:sz w:val="12"/>
                <w:szCs w:val="12"/>
                <w:color w:val="auto"/>
              </w:rPr>
            </w:pPr>
          </w:p>
        </w:tc>
        <w:tc>
          <w:tcPr>
            <w:tcW w:w="244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Ellen M. Cotter (2)(12)</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3,146,965</w:t>
            </w:r>
          </w:p>
        </w:tc>
        <w:tc>
          <w:tcPr>
            <w:tcW w:w="1020" w:type="dxa"/>
            <w:vAlign w:val="bottom"/>
            <w:gridSpan w:val="2"/>
            <w:shd w:val="clear" w:color="auto" w:fill="CCEEFF"/>
          </w:tcPr>
          <w:p>
            <w:pPr>
              <w:jc w:val="center"/>
              <w:ind w:left="546"/>
              <w:spacing w:after="0"/>
              <w:rPr>
                <w:sz w:val="20"/>
                <w:szCs w:val="20"/>
                <w:color w:val="auto"/>
              </w:rPr>
            </w:pPr>
            <w:r>
              <w:rPr>
                <w:rFonts w:ascii="Arial" w:cs="Arial" w:eastAsia="Arial" w:hAnsi="Arial"/>
                <w:sz w:val="11"/>
                <w:szCs w:val="11"/>
                <w:color w:val="auto"/>
                <w:w w:val="83"/>
              </w:rPr>
              <w:t>14.5</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1,173,888</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69.8</w:t>
            </w:r>
          </w:p>
        </w:tc>
      </w:tr>
      <w:tr>
        <w:trPr>
          <w:trHeight w:val="135"/>
        </w:trPr>
        <w:tc>
          <w:tcPr>
            <w:tcW w:w="80" w:type="dxa"/>
            <w:vAlign w:val="bottom"/>
          </w:tcPr>
          <w:p>
            <w:pPr>
              <w:spacing w:after="0"/>
              <w:rPr>
                <w:sz w:val="11"/>
                <w:szCs w:val="11"/>
                <w:color w:val="auto"/>
              </w:rPr>
            </w:pPr>
          </w:p>
        </w:tc>
        <w:tc>
          <w:tcPr>
            <w:tcW w:w="2440" w:type="dxa"/>
            <w:vAlign w:val="bottom"/>
            <w:gridSpan w:val="2"/>
          </w:tcPr>
          <w:p>
            <w:pPr>
              <w:spacing w:after="0"/>
              <w:rPr>
                <w:sz w:val="20"/>
                <w:szCs w:val="20"/>
                <w:color w:val="auto"/>
              </w:rPr>
            </w:pPr>
            <w:r>
              <w:rPr>
                <w:rFonts w:ascii="Arial" w:cs="Arial" w:eastAsia="Arial" w:hAnsi="Arial"/>
                <w:sz w:val="11"/>
                <w:szCs w:val="11"/>
                <w:color w:val="auto"/>
              </w:rPr>
              <w:t>James J. Cotter, Jr. (12)(13)</w:t>
            </w:r>
          </w:p>
        </w:tc>
        <w:tc>
          <w:tcPr>
            <w:tcW w:w="1160" w:type="dxa"/>
            <w:vAlign w:val="bottom"/>
            <w:gridSpan w:val="2"/>
          </w:tcPr>
          <w:p>
            <w:pPr>
              <w:jc w:val="right"/>
              <w:ind w:right="100"/>
              <w:spacing w:after="0"/>
              <w:rPr>
                <w:sz w:val="20"/>
                <w:szCs w:val="20"/>
                <w:color w:val="auto"/>
              </w:rPr>
            </w:pPr>
            <w:r>
              <w:rPr>
                <w:rFonts w:ascii="Arial" w:cs="Arial" w:eastAsia="Arial" w:hAnsi="Arial"/>
                <w:sz w:val="11"/>
                <w:szCs w:val="11"/>
                <w:color w:val="auto"/>
              </w:rPr>
              <w:t>3,084,976</w:t>
            </w:r>
          </w:p>
        </w:tc>
        <w:tc>
          <w:tcPr>
            <w:tcW w:w="1020" w:type="dxa"/>
            <w:vAlign w:val="bottom"/>
            <w:gridSpan w:val="2"/>
          </w:tcPr>
          <w:p>
            <w:pPr>
              <w:jc w:val="center"/>
              <w:ind w:left="546"/>
              <w:spacing w:after="0"/>
              <w:rPr>
                <w:sz w:val="20"/>
                <w:szCs w:val="20"/>
                <w:color w:val="auto"/>
              </w:rPr>
            </w:pPr>
            <w:r>
              <w:rPr>
                <w:rFonts w:ascii="Arial" w:cs="Arial" w:eastAsia="Arial" w:hAnsi="Arial"/>
                <w:sz w:val="11"/>
                <w:szCs w:val="11"/>
                <w:color w:val="auto"/>
                <w:w w:val="83"/>
              </w:rPr>
              <w:t>14.2</w:t>
            </w:r>
          </w:p>
        </w:tc>
        <w:tc>
          <w:tcPr>
            <w:tcW w:w="960" w:type="dxa"/>
            <w:vAlign w:val="bottom"/>
            <w:gridSpan w:val="2"/>
          </w:tcPr>
          <w:p>
            <w:pPr>
              <w:jc w:val="right"/>
              <w:ind w:right="120"/>
              <w:spacing w:after="0"/>
              <w:rPr>
                <w:sz w:val="20"/>
                <w:szCs w:val="20"/>
                <w:color w:val="auto"/>
              </w:rPr>
            </w:pPr>
            <w:r>
              <w:rPr>
                <w:rFonts w:ascii="Arial" w:cs="Arial" w:eastAsia="Arial" w:hAnsi="Arial"/>
                <w:sz w:val="11"/>
                <w:szCs w:val="11"/>
                <w:color w:val="auto"/>
              </w:rPr>
              <w:t>696,080</w:t>
            </w:r>
          </w:p>
        </w:tc>
        <w:tc>
          <w:tcPr>
            <w:tcW w:w="900" w:type="dxa"/>
            <w:vAlign w:val="bottom"/>
            <w:gridSpan w:val="2"/>
          </w:tcPr>
          <w:p>
            <w:pPr>
              <w:jc w:val="right"/>
              <w:ind w:right="40"/>
              <w:spacing w:after="0"/>
              <w:rPr>
                <w:sz w:val="20"/>
                <w:szCs w:val="20"/>
                <w:color w:val="auto"/>
              </w:rPr>
            </w:pPr>
            <w:r>
              <w:rPr>
                <w:rFonts w:ascii="Arial" w:cs="Arial" w:eastAsia="Arial" w:hAnsi="Arial"/>
                <w:sz w:val="11"/>
                <w:szCs w:val="11"/>
                <w:color w:val="auto"/>
              </w:rPr>
              <w:t>41.4</w:t>
            </w:r>
          </w:p>
        </w:tc>
      </w:tr>
      <w:tr>
        <w:trPr>
          <w:trHeight w:val="135"/>
        </w:trPr>
        <w:tc>
          <w:tcPr>
            <w:tcW w:w="80" w:type="dxa"/>
            <w:vAlign w:val="bottom"/>
            <w:shd w:val="clear" w:color="auto" w:fill="CCEEFF"/>
          </w:tcPr>
          <w:p>
            <w:pPr>
              <w:spacing w:after="0"/>
              <w:rPr>
                <w:sz w:val="11"/>
                <w:szCs w:val="11"/>
                <w:color w:val="auto"/>
              </w:rPr>
            </w:pPr>
          </w:p>
        </w:tc>
        <w:tc>
          <w:tcPr>
            <w:tcW w:w="244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Margaret Cotter (3)(12)</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3,335,012</w:t>
            </w:r>
          </w:p>
        </w:tc>
        <w:tc>
          <w:tcPr>
            <w:tcW w:w="1020" w:type="dxa"/>
            <w:vAlign w:val="bottom"/>
            <w:gridSpan w:val="2"/>
            <w:shd w:val="clear" w:color="auto" w:fill="CCEEFF"/>
          </w:tcPr>
          <w:p>
            <w:pPr>
              <w:jc w:val="center"/>
              <w:ind w:left="546"/>
              <w:spacing w:after="0"/>
              <w:rPr>
                <w:sz w:val="20"/>
                <w:szCs w:val="20"/>
                <w:color w:val="auto"/>
              </w:rPr>
            </w:pPr>
            <w:r>
              <w:rPr>
                <w:rFonts w:ascii="Arial" w:cs="Arial" w:eastAsia="Arial" w:hAnsi="Arial"/>
                <w:sz w:val="11"/>
                <w:szCs w:val="11"/>
                <w:color w:val="auto"/>
                <w:w w:val="83"/>
              </w:rPr>
              <w:t>15.4</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1,158,988</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66.9</w:t>
            </w:r>
          </w:p>
        </w:tc>
      </w:tr>
    </w:tbl>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59690</wp:posOffset>
            </wp:positionV>
            <wp:extent cx="6779895"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779895" cy="42545"/>
                    </a:xfrm>
                    <a:prstGeom prst="rect">
                      <a:avLst/>
                    </a:prstGeom>
                    <a:noFill/>
                  </pic:spPr>
                </pic:pic>
              </a:graphicData>
            </a:graphic>
          </wp:anchor>
        </w:drawing>
      </w:r>
    </w:p>
    <w:p>
      <w:pPr>
        <w:sectPr>
          <w:pgSz w:w="11900" w:h="16838" w:orient="portrait"/>
          <w:cols w:equalWidth="0" w:num="1">
            <w:col w:w="10600"/>
          </w:cols>
          <w:pgMar w:left="640" w:top="271" w:right="659" w:bottom="1440" w:gutter="0" w:footer="0" w:header="0"/>
        </w:sectPr>
      </w:pPr>
    </w:p>
    <w:bookmarkStart w:id="122" w:name="page123"/>
    <w:bookmarkEnd w:id="122"/>
    <w:tbl>
      <w:tblPr>
        <w:tblLayout w:type="fixed"/>
        <w:tblInd w:w="0" w:type="dxa"/>
        <w:tblCellMar>
          <w:top w:w="0" w:type="dxa"/>
          <w:left w:w="0" w:type="dxa"/>
          <w:bottom w:w="0" w:type="dxa"/>
          <w:right w:w="0" w:type="dxa"/>
        </w:tblCellMar>
      </w:tblPr>
      <w:tr>
        <w:trPr>
          <w:trHeight w:val="138"/>
        </w:trPr>
        <w:tc>
          <w:tcPr>
            <w:tcW w:w="2440" w:type="dxa"/>
            <w:vAlign w:val="bottom"/>
          </w:tcPr>
          <w:p>
            <w:pPr>
              <w:ind w:left="80"/>
              <w:spacing w:after="0"/>
              <w:rPr>
                <w:sz w:val="20"/>
                <w:szCs w:val="20"/>
                <w:color w:val="auto"/>
              </w:rPr>
            </w:pPr>
            <w:r>
              <w:rPr>
                <w:rFonts w:ascii="Arial" w:cs="Arial" w:eastAsia="Arial" w:hAnsi="Arial"/>
                <w:sz w:val="11"/>
                <w:szCs w:val="11"/>
                <w:color w:val="auto"/>
              </w:rPr>
              <w:t>Guy W. Adams (8)</w:t>
            </w:r>
          </w:p>
        </w:tc>
        <w:tc>
          <w:tcPr>
            <w:tcW w:w="1540" w:type="dxa"/>
            <w:vAlign w:val="bottom"/>
          </w:tcPr>
          <w:p>
            <w:pPr>
              <w:jc w:val="right"/>
              <w:ind w:right="346"/>
              <w:spacing w:after="0"/>
              <w:rPr>
                <w:sz w:val="20"/>
                <w:szCs w:val="20"/>
                <w:color w:val="auto"/>
              </w:rPr>
            </w:pPr>
            <w:r>
              <w:rPr>
                <w:rFonts w:ascii="Arial" w:cs="Arial" w:eastAsia="Arial" w:hAnsi="Arial"/>
                <w:sz w:val="11"/>
                <w:szCs w:val="11"/>
                <w:color w:val="auto"/>
              </w:rPr>
              <w:t>2,000</w:t>
            </w:r>
          </w:p>
        </w:tc>
        <w:tc>
          <w:tcPr>
            <w:tcW w:w="880" w:type="dxa"/>
            <w:vAlign w:val="bottom"/>
          </w:tcPr>
          <w:p>
            <w:pPr>
              <w:jc w:val="right"/>
              <w:ind w:right="266"/>
              <w:spacing w:after="0"/>
              <w:rPr>
                <w:sz w:val="20"/>
                <w:szCs w:val="20"/>
                <w:color w:val="auto"/>
              </w:rPr>
            </w:pPr>
            <w:r>
              <w:rPr>
                <w:rFonts w:ascii="Arial" w:cs="Arial" w:eastAsia="Arial" w:hAnsi="Arial"/>
                <w:sz w:val="11"/>
                <w:szCs w:val="11"/>
                <w:color w:val="auto"/>
              </w:rPr>
              <w:t>*</w:t>
            </w:r>
          </w:p>
        </w:tc>
        <w:tc>
          <w:tcPr>
            <w:tcW w:w="1080" w:type="dxa"/>
            <w:vAlign w:val="bottom"/>
          </w:tcPr>
          <w:p>
            <w:pPr>
              <w:jc w:val="right"/>
              <w:ind w:right="386"/>
              <w:spacing w:after="0"/>
              <w:rPr>
                <w:sz w:val="20"/>
                <w:szCs w:val="20"/>
                <w:color w:val="auto"/>
              </w:rPr>
            </w:pPr>
            <w:r>
              <w:rPr>
                <w:rFonts w:ascii="Arial" w:cs="Arial" w:eastAsia="Arial" w:hAnsi="Arial"/>
                <w:sz w:val="11"/>
                <w:szCs w:val="11"/>
                <w:color w:val="auto"/>
              </w:rPr>
              <w:t>--</w:t>
            </w:r>
          </w:p>
        </w:tc>
        <w:tc>
          <w:tcPr>
            <w:tcW w:w="620" w:type="dxa"/>
            <w:vAlign w:val="bottom"/>
          </w:tcPr>
          <w:p>
            <w:pPr>
              <w:jc w:val="right"/>
              <w:ind w:right="26"/>
              <w:spacing w:after="0"/>
              <w:rPr>
                <w:sz w:val="20"/>
                <w:szCs w:val="20"/>
                <w:color w:val="auto"/>
              </w:rPr>
            </w:pPr>
            <w:r>
              <w:rPr>
                <w:rFonts w:ascii="Arial" w:cs="Arial" w:eastAsia="Arial" w:hAnsi="Arial"/>
                <w:sz w:val="11"/>
                <w:szCs w:val="11"/>
                <w:color w:val="auto"/>
              </w:rPr>
              <w:t>--</w:t>
            </w:r>
          </w:p>
        </w:tc>
      </w:tr>
      <w:tr>
        <w:trPr>
          <w:trHeight w:val="137"/>
        </w:trPr>
        <w:tc>
          <w:tcPr>
            <w:tcW w:w="2440" w:type="dxa"/>
            <w:vAlign w:val="bottom"/>
            <w:shd w:val="clear" w:color="auto" w:fill="CCEEFF"/>
          </w:tcPr>
          <w:p>
            <w:pPr>
              <w:ind w:left="80"/>
              <w:spacing w:after="0"/>
              <w:rPr>
                <w:sz w:val="20"/>
                <w:szCs w:val="20"/>
                <w:color w:val="auto"/>
              </w:rPr>
            </w:pPr>
            <w:r>
              <w:rPr>
                <w:rFonts w:ascii="Arial" w:cs="Arial" w:eastAsia="Arial" w:hAnsi="Arial"/>
                <w:sz w:val="11"/>
                <w:szCs w:val="11"/>
                <w:color w:val="auto"/>
              </w:rPr>
              <w:t>Judy Codding (9)</w:t>
            </w:r>
          </w:p>
        </w:tc>
        <w:tc>
          <w:tcPr>
            <w:tcW w:w="1540" w:type="dxa"/>
            <w:vAlign w:val="bottom"/>
            <w:shd w:val="clear" w:color="auto" w:fill="CCEEFF"/>
          </w:tcPr>
          <w:p>
            <w:pPr>
              <w:jc w:val="right"/>
              <w:ind w:right="346"/>
              <w:spacing w:after="0"/>
              <w:rPr>
                <w:sz w:val="20"/>
                <w:szCs w:val="20"/>
                <w:color w:val="auto"/>
              </w:rPr>
            </w:pPr>
            <w:r>
              <w:rPr>
                <w:rFonts w:ascii="Arial" w:cs="Arial" w:eastAsia="Arial" w:hAnsi="Arial"/>
                <w:sz w:val="11"/>
                <w:szCs w:val="11"/>
                <w:color w:val="auto"/>
              </w:rPr>
              <w:t>2,000</w:t>
            </w:r>
          </w:p>
        </w:tc>
        <w:tc>
          <w:tcPr>
            <w:tcW w:w="880" w:type="dxa"/>
            <w:vAlign w:val="bottom"/>
            <w:shd w:val="clear" w:color="auto" w:fill="CCEEFF"/>
          </w:tcPr>
          <w:p>
            <w:pPr>
              <w:jc w:val="right"/>
              <w:ind w:right="266"/>
              <w:spacing w:after="0"/>
              <w:rPr>
                <w:sz w:val="20"/>
                <w:szCs w:val="20"/>
                <w:color w:val="auto"/>
              </w:rPr>
            </w:pPr>
            <w:r>
              <w:rPr>
                <w:rFonts w:ascii="Arial" w:cs="Arial" w:eastAsia="Arial" w:hAnsi="Arial"/>
                <w:sz w:val="11"/>
                <w:szCs w:val="11"/>
                <w:color w:val="auto"/>
              </w:rPr>
              <w:t>*</w:t>
            </w:r>
          </w:p>
        </w:tc>
        <w:tc>
          <w:tcPr>
            <w:tcW w:w="1080" w:type="dxa"/>
            <w:vAlign w:val="bottom"/>
            <w:shd w:val="clear" w:color="auto" w:fill="CCEEFF"/>
          </w:tcPr>
          <w:p>
            <w:pPr>
              <w:jc w:val="right"/>
              <w:ind w:right="386"/>
              <w:spacing w:after="0"/>
              <w:rPr>
                <w:sz w:val="20"/>
                <w:szCs w:val="20"/>
                <w:color w:val="auto"/>
              </w:rPr>
            </w:pPr>
            <w:r>
              <w:rPr>
                <w:rFonts w:ascii="Arial" w:cs="Arial" w:eastAsia="Arial" w:hAnsi="Arial"/>
                <w:sz w:val="11"/>
                <w:szCs w:val="11"/>
                <w:color w:val="auto"/>
              </w:rPr>
              <w:t>--</w:t>
            </w:r>
          </w:p>
        </w:tc>
        <w:tc>
          <w:tcPr>
            <w:tcW w:w="62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w:t>
            </w:r>
          </w:p>
        </w:tc>
      </w:tr>
      <w:tr>
        <w:trPr>
          <w:trHeight w:val="135"/>
        </w:trPr>
        <w:tc>
          <w:tcPr>
            <w:tcW w:w="2440" w:type="dxa"/>
            <w:vAlign w:val="bottom"/>
          </w:tcPr>
          <w:p>
            <w:pPr>
              <w:ind w:left="80"/>
              <w:spacing w:after="0"/>
              <w:rPr>
                <w:sz w:val="20"/>
                <w:szCs w:val="20"/>
                <w:color w:val="auto"/>
              </w:rPr>
            </w:pPr>
            <w:r>
              <w:rPr>
                <w:rFonts w:ascii="Arial" w:cs="Arial" w:eastAsia="Arial" w:hAnsi="Arial"/>
                <w:sz w:val="11"/>
                <w:szCs w:val="11"/>
                <w:color w:val="auto"/>
              </w:rPr>
              <w:t>William D. Gould (4)</w:t>
            </w:r>
          </w:p>
        </w:tc>
        <w:tc>
          <w:tcPr>
            <w:tcW w:w="1540" w:type="dxa"/>
            <w:vAlign w:val="bottom"/>
          </w:tcPr>
          <w:p>
            <w:pPr>
              <w:jc w:val="right"/>
              <w:ind w:right="346"/>
              <w:spacing w:after="0"/>
              <w:rPr>
                <w:sz w:val="20"/>
                <w:szCs w:val="20"/>
                <w:color w:val="auto"/>
              </w:rPr>
            </w:pPr>
            <w:r>
              <w:rPr>
                <w:rFonts w:ascii="Arial" w:cs="Arial" w:eastAsia="Arial" w:hAnsi="Arial"/>
                <w:sz w:val="11"/>
                <w:szCs w:val="11"/>
                <w:color w:val="auto"/>
              </w:rPr>
              <w:t>56,340</w:t>
            </w:r>
          </w:p>
        </w:tc>
        <w:tc>
          <w:tcPr>
            <w:tcW w:w="880" w:type="dxa"/>
            <w:vAlign w:val="bottom"/>
          </w:tcPr>
          <w:p>
            <w:pPr>
              <w:jc w:val="right"/>
              <w:ind w:right="266"/>
              <w:spacing w:after="0"/>
              <w:rPr>
                <w:sz w:val="20"/>
                <w:szCs w:val="20"/>
                <w:color w:val="auto"/>
              </w:rPr>
            </w:pPr>
            <w:r>
              <w:rPr>
                <w:rFonts w:ascii="Arial" w:cs="Arial" w:eastAsia="Arial" w:hAnsi="Arial"/>
                <w:sz w:val="11"/>
                <w:szCs w:val="11"/>
                <w:color w:val="auto"/>
              </w:rPr>
              <w:t>*</w:t>
            </w:r>
          </w:p>
        </w:tc>
        <w:tc>
          <w:tcPr>
            <w:tcW w:w="1080" w:type="dxa"/>
            <w:vAlign w:val="bottom"/>
          </w:tcPr>
          <w:p>
            <w:pPr>
              <w:jc w:val="right"/>
              <w:ind w:right="386"/>
              <w:spacing w:after="0"/>
              <w:rPr>
                <w:sz w:val="20"/>
                <w:szCs w:val="20"/>
                <w:color w:val="auto"/>
              </w:rPr>
            </w:pPr>
            <w:r>
              <w:rPr>
                <w:rFonts w:ascii="Arial" w:cs="Arial" w:eastAsia="Arial" w:hAnsi="Arial"/>
                <w:sz w:val="11"/>
                <w:szCs w:val="11"/>
                <w:color w:val="auto"/>
              </w:rPr>
              <w:t>--</w:t>
            </w:r>
          </w:p>
        </w:tc>
        <w:tc>
          <w:tcPr>
            <w:tcW w:w="620" w:type="dxa"/>
            <w:vAlign w:val="bottom"/>
          </w:tcPr>
          <w:p>
            <w:pPr>
              <w:jc w:val="right"/>
              <w:ind w:right="26"/>
              <w:spacing w:after="0"/>
              <w:rPr>
                <w:sz w:val="20"/>
                <w:szCs w:val="20"/>
                <w:color w:val="auto"/>
              </w:rPr>
            </w:pPr>
            <w:r>
              <w:rPr>
                <w:rFonts w:ascii="Arial" w:cs="Arial" w:eastAsia="Arial" w:hAnsi="Arial"/>
                <w:sz w:val="11"/>
                <w:szCs w:val="11"/>
                <w:color w:val="auto"/>
              </w:rPr>
              <w:t>--</w:t>
            </w:r>
          </w:p>
        </w:tc>
      </w:tr>
      <w:tr>
        <w:trPr>
          <w:trHeight w:val="135"/>
        </w:trPr>
        <w:tc>
          <w:tcPr>
            <w:tcW w:w="2440" w:type="dxa"/>
            <w:vAlign w:val="bottom"/>
            <w:shd w:val="clear" w:color="auto" w:fill="CCEEFF"/>
          </w:tcPr>
          <w:p>
            <w:pPr>
              <w:ind w:left="80"/>
              <w:spacing w:after="0"/>
              <w:rPr>
                <w:sz w:val="20"/>
                <w:szCs w:val="20"/>
                <w:color w:val="auto"/>
              </w:rPr>
            </w:pPr>
            <w:r>
              <w:rPr>
                <w:rFonts w:ascii="Arial" w:cs="Arial" w:eastAsia="Arial" w:hAnsi="Arial"/>
                <w:sz w:val="11"/>
                <w:szCs w:val="11"/>
                <w:color w:val="auto"/>
              </w:rPr>
              <w:t>Edward L. Kane (5)</w:t>
            </w:r>
          </w:p>
        </w:tc>
        <w:tc>
          <w:tcPr>
            <w:tcW w:w="1540" w:type="dxa"/>
            <w:vAlign w:val="bottom"/>
            <w:shd w:val="clear" w:color="auto" w:fill="CCEEFF"/>
          </w:tcPr>
          <w:p>
            <w:pPr>
              <w:jc w:val="right"/>
              <w:ind w:right="346"/>
              <w:spacing w:after="0"/>
              <w:rPr>
                <w:sz w:val="20"/>
                <w:szCs w:val="20"/>
                <w:color w:val="auto"/>
              </w:rPr>
            </w:pPr>
            <w:r>
              <w:rPr>
                <w:rFonts w:ascii="Arial" w:cs="Arial" w:eastAsia="Arial" w:hAnsi="Arial"/>
                <w:sz w:val="11"/>
                <w:szCs w:val="11"/>
                <w:color w:val="auto"/>
              </w:rPr>
              <w:t>21,500</w:t>
            </w:r>
          </w:p>
        </w:tc>
        <w:tc>
          <w:tcPr>
            <w:tcW w:w="880" w:type="dxa"/>
            <w:vAlign w:val="bottom"/>
            <w:shd w:val="clear" w:color="auto" w:fill="CCEEFF"/>
          </w:tcPr>
          <w:p>
            <w:pPr>
              <w:jc w:val="right"/>
              <w:ind w:right="266"/>
              <w:spacing w:after="0"/>
              <w:rPr>
                <w:sz w:val="20"/>
                <w:szCs w:val="20"/>
                <w:color w:val="auto"/>
              </w:rPr>
            </w:pPr>
            <w:r>
              <w:rPr>
                <w:rFonts w:ascii="Arial" w:cs="Arial" w:eastAsia="Arial" w:hAnsi="Arial"/>
                <w:sz w:val="11"/>
                <w:szCs w:val="11"/>
                <w:color w:val="auto"/>
              </w:rPr>
              <w:t>*</w:t>
            </w:r>
          </w:p>
        </w:tc>
        <w:tc>
          <w:tcPr>
            <w:tcW w:w="1080" w:type="dxa"/>
            <w:vAlign w:val="bottom"/>
            <w:shd w:val="clear" w:color="auto" w:fill="CCEEFF"/>
          </w:tcPr>
          <w:p>
            <w:pPr>
              <w:jc w:val="right"/>
              <w:ind w:right="346"/>
              <w:spacing w:after="0"/>
              <w:rPr>
                <w:sz w:val="20"/>
                <w:szCs w:val="20"/>
                <w:color w:val="auto"/>
              </w:rPr>
            </w:pPr>
            <w:r>
              <w:rPr>
                <w:rFonts w:ascii="Arial" w:cs="Arial" w:eastAsia="Arial" w:hAnsi="Arial"/>
                <w:sz w:val="11"/>
                <w:szCs w:val="11"/>
                <w:color w:val="auto"/>
              </w:rPr>
              <w:t>100</w:t>
            </w:r>
          </w:p>
        </w:tc>
        <w:tc>
          <w:tcPr>
            <w:tcW w:w="62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w:t>
            </w:r>
          </w:p>
        </w:tc>
      </w:tr>
      <w:tr>
        <w:trPr>
          <w:trHeight w:val="135"/>
        </w:trPr>
        <w:tc>
          <w:tcPr>
            <w:tcW w:w="2440" w:type="dxa"/>
            <w:vAlign w:val="bottom"/>
          </w:tcPr>
          <w:p>
            <w:pPr>
              <w:ind w:left="80"/>
              <w:spacing w:after="0"/>
              <w:rPr>
                <w:sz w:val="20"/>
                <w:szCs w:val="20"/>
                <w:color w:val="auto"/>
              </w:rPr>
            </w:pPr>
            <w:r>
              <w:rPr>
                <w:rFonts w:ascii="Arial" w:cs="Arial" w:eastAsia="Arial" w:hAnsi="Arial"/>
                <w:sz w:val="11"/>
                <w:szCs w:val="11"/>
                <w:color w:val="auto"/>
              </w:rPr>
              <w:t>Andrzej J. Matyczynski (16)</w:t>
            </w:r>
          </w:p>
        </w:tc>
        <w:tc>
          <w:tcPr>
            <w:tcW w:w="1540" w:type="dxa"/>
            <w:vAlign w:val="bottom"/>
          </w:tcPr>
          <w:p>
            <w:pPr>
              <w:jc w:val="right"/>
              <w:ind w:right="346"/>
              <w:spacing w:after="0"/>
              <w:rPr>
                <w:sz w:val="20"/>
                <w:szCs w:val="20"/>
                <w:color w:val="auto"/>
              </w:rPr>
            </w:pPr>
            <w:r>
              <w:rPr>
                <w:rFonts w:ascii="Arial" w:cs="Arial" w:eastAsia="Arial" w:hAnsi="Arial"/>
                <w:sz w:val="11"/>
                <w:szCs w:val="11"/>
                <w:color w:val="auto"/>
              </w:rPr>
              <w:t>50,880</w:t>
            </w:r>
          </w:p>
        </w:tc>
        <w:tc>
          <w:tcPr>
            <w:tcW w:w="880" w:type="dxa"/>
            <w:vAlign w:val="bottom"/>
          </w:tcPr>
          <w:p>
            <w:pPr>
              <w:jc w:val="right"/>
              <w:ind w:right="266"/>
              <w:spacing w:after="0"/>
              <w:rPr>
                <w:sz w:val="20"/>
                <w:szCs w:val="20"/>
                <w:color w:val="auto"/>
              </w:rPr>
            </w:pPr>
            <w:r>
              <w:rPr>
                <w:rFonts w:ascii="Arial" w:cs="Arial" w:eastAsia="Arial" w:hAnsi="Arial"/>
                <w:sz w:val="11"/>
                <w:szCs w:val="11"/>
                <w:color w:val="auto"/>
              </w:rPr>
              <w:t>*</w:t>
            </w:r>
          </w:p>
        </w:tc>
        <w:tc>
          <w:tcPr>
            <w:tcW w:w="1080" w:type="dxa"/>
            <w:vAlign w:val="bottom"/>
          </w:tcPr>
          <w:p>
            <w:pPr>
              <w:jc w:val="right"/>
              <w:ind w:right="386"/>
              <w:spacing w:after="0"/>
              <w:rPr>
                <w:sz w:val="20"/>
                <w:szCs w:val="20"/>
                <w:color w:val="auto"/>
              </w:rPr>
            </w:pPr>
            <w:r>
              <w:rPr>
                <w:rFonts w:ascii="Arial" w:cs="Arial" w:eastAsia="Arial" w:hAnsi="Arial"/>
                <w:sz w:val="11"/>
                <w:szCs w:val="11"/>
                <w:color w:val="auto"/>
              </w:rPr>
              <w:t>--</w:t>
            </w:r>
          </w:p>
        </w:tc>
        <w:tc>
          <w:tcPr>
            <w:tcW w:w="620" w:type="dxa"/>
            <w:vAlign w:val="bottom"/>
          </w:tcPr>
          <w:p>
            <w:pPr>
              <w:jc w:val="right"/>
              <w:ind w:right="26"/>
              <w:spacing w:after="0"/>
              <w:rPr>
                <w:sz w:val="20"/>
                <w:szCs w:val="20"/>
                <w:color w:val="auto"/>
              </w:rPr>
            </w:pPr>
            <w:r>
              <w:rPr>
                <w:rFonts w:ascii="Arial" w:cs="Arial" w:eastAsia="Arial" w:hAnsi="Arial"/>
                <w:sz w:val="11"/>
                <w:szCs w:val="11"/>
                <w:color w:val="auto"/>
              </w:rPr>
              <w:t>--</w:t>
            </w:r>
          </w:p>
        </w:tc>
      </w:tr>
      <w:tr>
        <w:trPr>
          <w:trHeight w:val="135"/>
        </w:trPr>
        <w:tc>
          <w:tcPr>
            <w:tcW w:w="2440" w:type="dxa"/>
            <w:vAlign w:val="bottom"/>
            <w:shd w:val="clear" w:color="auto" w:fill="CCEEFF"/>
          </w:tcPr>
          <w:p>
            <w:pPr>
              <w:ind w:left="80"/>
              <w:spacing w:after="0"/>
              <w:rPr>
                <w:sz w:val="20"/>
                <w:szCs w:val="20"/>
                <w:color w:val="auto"/>
              </w:rPr>
            </w:pPr>
            <w:r>
              <w:rPr>
                <w:rFonts w:ascii="Arial" w:cs="Arial" w:eastAsia="Arial" w:hAnsi="Arial"/>
                <w:sz w:val="11"/>
                <w:szCs w:val="11"/>
                <w:color w:val="auto"/>
              </w:rPr>
              <w:t>Douglas J. McEachern (6)</w:t>
            </w:r>
          </w:p>
        </w:tc>
        <w:tc>
          <w:tcPr>
            <w:tcW w:w="1540" w:type="dxa"/>
            <w:vAlign w:val="bottom"/>
            <w:shd w:val="clear" w:color="auto" w:fill="CCEEFF"/>
          </w:tcPr>
          <w:p>
            <w:pPr>
              <w:jc w:val="right"/>
              <w:ind w:right="346"/>
              <w:spacing w:after="0"/>
              <w:rPr>
                <w:sz w:val="20"/>
                <w:szCs w:val="20"/>
                <w:color w:val="auto"/>
              </w:rPr>
            </w:pPr>
            <w:r>
              <w:rPr>
                <w:rFonts w:ascii="Arial" w:cs="Arial" w:eastAsia="Arial" w:hAnsi="Arial"/>
                <w:sz w:val="11"/>
                <w:szCs w:val="11"/>
                <w:color w:val="auto"/>
              </w:rPr>
              <w:t>39,300</w:t>
            </w:r>
          </w:p>
        </w:tc>
        <w:tc>
          <w:tcPr>
            <w:tcW w:w="880" w:type="dxa"/>
            <w:vAlign w:val="bottom"/>
            <w:shd w:val="clear" w:color="auto" w:fill="CCEEFF"/>
          </w:tcPr>
          <w:p>
            <w:pPr>
              <w:jc w:val="right"/>
              <w:ind w:right="266"/>
              <w:spacing w:after="0"/>
              <w:rPr>
                <w:sz w:val="20"/>
                <w:szCs w:val="20"/>
                <w:color w:val="auto"/>
              </w:rPr>
            </w:pPr>
            <w:r>
              <w:rPr>
                <w:rFonts w:ascii="Arial" w:cs="Arial" w:eastAsia="Arial" w:hAnsi="Arial"/>
                <w:sz w:val="11"/>
                <w:szCs w:val="11"/>
                <w:color w:val="auto"/>
              </w:rPr>
              <w:t>*</w:t>
            </w:r>
          </w:p>
        </w:tc>
        <w:tc>
          <w:tcPr>
            <w:tcW w:w="1080" w:type="dxa"/>
            <w:vAlign w:val="bottom"/>
            <w:shd w:val="clear" w:color="auto" w:fill="CCEEFF"/>
          </w:tcPr>
          <w:p>
            <w:pPr>
              <w:jc w:val="right"/>
              <w:ind w:right="386"/>
              <w:spacing w:after="0"/>
              <w:rPr>
                <w:sz w:val="20"/>
                <w:szCs w:val="20"/>
                <w:color w:val="auto"/>
              </w:rPr>
            </w:pPr>
            <w:r>
              <w:rPr>
                <w:rFonts w:ascii="Arial" w:cs="Arial" w:eastAsia="Arial" w:hAnsi="Arial"/>
                <w:sz w:val="11"/>
                <w:szCs w:val="11"/>
                <w:color w:val="auto"/>
              </w:rPr>
              <w:t>--</w:t>
            </w:r>
          </w:p>
        </w:tc>
        <w:tc>
          <w:tcPr>
            <w:tcW w:w="62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w:t>
            </w:r>
          </w:p>
        </w:tc>
      </w:tr>
      <w:tr>
        <w:trPr>
          <w:trHeight w:val="135"/>
        </w:trPr>
        <w:tc>
          <w:tcPr>
            <w:tcW w:w="2440" w:type="dxa"/>
            <w:vAlign w:val="bottom"/>
          </w:tcPr>
          <w:p>
            <w:pPr>
              <w:ind w:left="80"/>
              <w:spacing w:after="0"/>
              <w:rPr>
                <w:sz w:val="20"/>
                <w:szCs w:val="20"/>
                <w:color w:val="auto"/>
              </w:rPr>
            </w:pPr>
            <w:r>
              <w:rPr>
                <w:rFonts w:ascii="Arial" w:cs="Arial" w:eastAsia="Arial" w:hAnsi="Arial"/>
                <w:sz w:val="11"/>
                <w:szCs w:val="11"/>
                <w:color w:val="auto"/>
              </w:rPr>
              <w:t>Michael Wrotniak (10)</w:t>
            </w:r>
          </w:p>
        </w:tc>
        <w:tc>
          <w:tcPr>
            <w:tcW w:w="1540" w:type="dxa"/>
            <w:vAlign w:val="bottom"/>
          </w:tcPr>
          <w:p>
            <w:pPr>
              <w:jc w:val="right"/>
              <w:ind w:right="346"/>
              <w:spacing w:after="0"/>
              <w:rPr>
                <w:sz w:val="20"/>
                <w:szCs w:val="20"/>
                <w:color w:val="auto"/>
              </w:rPr>
            </w:pPr>
            <w:r>
              <w:rPr>
                <w:rFonts w:ascii="Arial" w:cs="Arial" w:eastAsia="Arial" w:hAnsi="Arial"/>
                <w:sz w:val="11"/>
                <w:szCs w:val="11"/>
                <w:color w:val="auto"/>
              </w:rPr>
              <w:t>2,000</w:t>
            </w:r>
          </w:p>
        </w:tc>
        <w:tc>
          <w:tcPr>
            <w:tcW w:w="880" w:type="dxa"/>
            <w:vAlign w:val="bottom"/>
          </w:tcPr>
          <w:p>
            <w:pPr>
              <w:jc w:val="right"/>
              <w:ind w:right="266"/>
              <w:spacing w:after="0"/>
              <w:rPr>
                <w:sz w:val="20"/>
                <w:szCs w:val="20"/>
                <w:color w:val="auto"/>
              </w:rPr>
            </w:pPr>
            <w:r>
              <w:rPr>
                <w:rFonts w:ascii="Arial" w:cs="Arial" w:eastAsia="Arial" w:hAnsi="Arial"/>
                <w:sz w:val="11"/>
                <w:szCs w:val="11"/>
                <w:color w:val="auto"/>
              </w:rPr>
              <w:t>--</w:t>
            </w:r>
          </w:p>
        </w:tc>
        <w:tc>
          <w:tcPr>
            <w:tcW w:w="1080" w:type="dxa"/>
            <w:vAlign w:val="bottom"/>
          </w:tcPr>
          <w:p>
            <w:pPr>
              <w:jc w:val="right"/>
              <w:ind w:right="386"/>
              <w:spacing w:after="0"/>
              <w:rPr>
                <w:sz w:val="20"/>
                <w:szCs w:val="20"/>
                <w:color w:val="auto"/>
              </w:rPr>
            </w:pPr>
            <w:r>
              <w:rPr>
                <w:rFonts w:ascii="Arial" w:cs="Arial" w:eastAsia="Arial" w:hAnsi="Arial"/>
                <w:sz w:val="11"/>
                <w:szCs w:val="11"/>
                <w:color w:val="auto"/>
              </w:rPr>
              <w:t>--</w:t>
            </w:r>
          </w:p>
        </w:tc>
        <w:tc>
          <w:tcPr>
            <w:tcW w:w="620" w:type="dxa"/>
            <w:vAlign w:val="bottom"/>
          </w:tcPr>
          <w:p>
            <w:pPr>
              <w:jc w:val="right"/>
              <w:ind w:right="26"/>
              <w:spacing w:after="0"/>
              <w:rPr>
                <w:sz w:val="20"/>
                <w:szCs w:val="20"/>
                <w:color w:val="auto"/>
              </w:rPr>
            </w:pPr>
            <w:r>
              <w:rPr>
                <w:rFonts w:ascii="Arial" w:cs="Arial" w:eastAsia="Arial" w:hAnsi="Arial"/>
                <w:sz w:val="11"/>
                <w:szCs w:val="11"/>
                <w:color w:val="auto"/>
              </w:rPr>
              <w:t>--</w:t>
            </w:r>
          </w:p>
        </w:tc>
      </w:tr>
      <w:tr>
        <w:trPr>
          <w:trHeight w:val="135"/>
        </w:trPr>
        <w:tc>
          <w:tcPr>
            <w:tcW w:w="2440" w:type="dxa"/>
            <w:vAlign w:val="bottom"/>
            <w:shd w:val="clear" w:color="auto" w:fill="CCEEFF"/>
          </w:tcPr>
          <w:p>
            <w:pPr>
              <w:ind w:left="80"/>
              <w:spacing w:after="0"/>
              <w:rPr>
                <w:sz w:val="20"/>
                <w:szCs w:val="20"/>
                <w:color w:val="auto"/>
              </w:rPr>
            </w:pPr>
            <w:r>
              <w:rPr>
                <w:rFonts w:ascii="Arial" w:cs="Arial" w:eastAsia="Arial" w:hAnsi="Arial"/>
                <w:sz w:val="11"/>
                <w:szCs w:val="11"/>
                <w:color w:val="auto"/>
              </w:rPr>
              <w:t>Robert F. Smerling (7)</w:t>
            </w:r>
          </w:p>
        </w:tc>
        <w:tc>
          <w:tcPr>
            <w:tcW w:w="1540" w:type="dxa"/>
            <w:vAlign w:val="bottom"/>
            <w:shd w:val="clear" w:color="auto" w:fill="CCEEFF"/>
          </w:tcPr>
          <w:p>
            <w:pPr>
              <w:jc w:val="right"/>
              <w:ind w:right="346"/>
              <w:spacing w:after="0"/>
              <w:rPr>
                <w:sz w:val="20"/>
                <w:szCs w:val="20"/>
                <w:color w:val="auto"/>
              </w:rPr>
            </w:pPr>
            <w:r>
              <w:rPr>
                <w:rFonts w:ascii="Arial" w:cs="Arial" w:eastAsia="Arial" w:hAnsi="Arial"/>
                <w:sz w:val="11"/>
                <w:szCs w:val="11"/>
                <w:color w:val="auto"/>
              </w:rPr>
              <w:t>43,750</w:t>
            </w:r>
          </w:p>
        </w:tc>
        <w:tc>
          <w:tcPr>
            <w:tcW w:w="880" w:type="dxa"/>
            <w:vAlign w:val="bottom"/>
            <w:shd w:val="clear" w:color="auto" w:fill="CCEEFF"/>
          </w:tcPr>
          <w:p>
            <w:pPr>
              <w:jc w:val="right"/>
              <w:ind w:right="266"/>
              <w:spacing w:after="0"/>
              <w:rPr>
                <w:sz w:val="20"/>
                <w:szCs w:val="20"/>
                <w:color w:val="auto"/>
              </w:rPr>
            </w:pPr>
            <w:r>
              <w:rPr>
                <w:rFonts w:ascii="Arial" w:cs="Arial" w:eastAsia="Arial" w:hAnsi="Arial"/>
                <w:sz w:val="11"/>
                <w:szCs w:val="11"/>
                <w:color w:val="auto"/>
              </w:rPr>
              <w:t>*</w:t>
            </w:r>
          </w:p>
        </w:tc>
        <w:tc>
          <w:tcPr>
            <w:tcW w:w="1080" w:type="dxa"/>
            <w:vAlign w:val="bottom"/>
            <w:shd w:val="clear" w:color="auto" w:fill="CCEEFF"/>
          </w:tcPr>
          <w:p>
            <w:pPr>
              <w:jc w:val="right"/>
              <w:ind w:right="386"/>
              <w:spacing w:after="0"/>
              <w:rPr>
                <w:sz w:val="20"/>
                <w:szCs w:val="20"/>
                <w:color w:val="auto"/>
              </w:rPr>
            </w:pPr>
            <w:r>
              <w:rPr>
                <w:rFonts w:ascii="Arial" w:cs="Arial" w:eastAsia="Arial" w:hAnsi="Arial"/>
                <w:sz w:val="11"/>
                <w:szCs w:val="11"/>
                <w:color w:val="auto"/>
              </w:rPr>
              <w:t>--</w:t>
            </w:r>
          </w:p>
        </w:tc>
        <w:tc>
          <w:tcPr>
            <w:tcW w:w="62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w:t>
            </w:r>
          </w:p>
        </w:tc>
      </w:tr>
      <w:tr>
        <w:trPr>
          <w:trHeight w:val="135"/>
        </w:trPr>
        <w:tc>
          <w:tcPr>
            <w:tcW w:w="2440" w:type="dxa"/>
            <w:vAlign w:val="bottom"/>
          </w:tcPr>
          <w:p>
            <w:pPr>
              <w:ind w:left="80"/>
              <w:spacing w:after="0"/>
              <w:rPr>
                <w:sz w:val="20"/>
                <w:szCs w:val="20"/>
                <w:color w:val="auto"/>
              </w:rPr>
            </w:pPr>
            <w:r>
              <w:rPr>
                <w:rFonts w:ascii="Arial" w:cs="Arial" w:eastAsia="Arial" w:hAnsi="Arial"/>
                <w:sz w:val="11"/>
                <w:szCs w:val="11"/>
                <w:color w:val="auto"/>
              </w:rPr>
              <w:t>Wayne Smith (11)</w:t>
            </w:r>
          </w:p>
        </w:tc>
        <w:tc>
          <w:tcPr>
            <w:tcW w:w="1540" w:type="dxa"/>
            <w:vAlign w:val="bottom"/>
          </w:tcPr>
          <w:p>
            <w:pPr>
              <w:jc w:val="right"/>
              <w:ind w:right="346"/>
              <w:spacing w:after="0"/>
              <w:rPr>
                <w:sz w:val="20"/>
                <w:szCs w:val="20"/>
                <w:color w:val="auto"/>
              </w:rPr>
            </w:pPr>
            <w:r>
              <w:rPr>
                <w:rFonts w:ascii="Arial" w:cs="Arial" w:eastAsia="Arial" w:hAnsi="Arial"/>
                <w:sz w:val="11"/>
                <w:szCs w:val="11"/>
                <w:color w:val="auto"/>
              </w:rPr>
              <w:t>3,000</w:t>
            </w:r>
          </w:p>
        </w:tc>
        <w:tc>
          <w:tcPr>
            <w:tcW w:w="880" w:type="dxa"/>
            <w:vAlign w:val="bottom"/>
          </w:tcPr>
          <w:p>
            <w:pPr>
              <w:jc w:val="right"/>
              <w:ind w:right="266"/>
              <w:spacing w:after="0"/>
              <w:rPr>
                <w:sz w:val="20"/>
                <w:szCs w:val="20"/>
                <w:color w:val="auto"/>
              </w:rPr>
            </w:pPr>
            <w:r>
              <w:rPr>
                <w:rFonts w:ascii="Arial" w:cs="Arial" w:eastAsia="Arial" w:hAnsi="Arial"/>
                <w:sz w:val="11"/>
                <w:szCs w:val="11"/>
                <w:color w:val="auto"/>
              </w:rPr>
              <w:t>*</w:t>
            </w:r>
          </w:p>
        </w:tc>
        <w:tc>
          <w:tcPr>
            <w:tcW w:w="1080" w:type="dxa"/>
            <w:vAlign w:val="bottom"/>
          </w:tcPr>
          <w:p>
            <w:pPr>
              <w:jc w:val="right"/>
              <w:ind w:right="386"/>
              <w:spacing w:after="0"/>
              <w:rPr>
                <w:sz w:val="20"/>
                <w:szCs w:val="20"/>
                <w:color w:val="auto"/>
              </w:rPr>
            </w:pPr>
            <w:r>
              <w:rPr>
                <w:rFonts w:ascii="Arial" w:cs="Arial" w:eastAsia="Arial" w:hAnsi="Arial"/>
                <w:sz w:val="11"/>
                <w:szCs w:val="11"/>
                <w:color w:val="auto"/>
              </w:rPr>
              <w:t>--</w:t>
            </w:r>
          </w:p>
        </w:tc>
        <w:tc>
          <w:tcPr>
            <w:tcW w:w="620" w:type="dxa"/>
            <w:vAlign w:val="bottom"/>
          </w:tcPr>
          <w:p>
            <w:pPr>
              <w:jc w:val="right"/>
              <w:ind w:right="26"/>
              <w:spacing w:after="0"/>
              <w:rPr>
                <w:sz w:val="20"/>
                <w:szCs w:val="20"/>
                <w:color w:val="auto"/>
              </w:rPr>
            </w:pPr>
            <w:r>
              <w:rPr>
                <w:rFonts w:ascii="Arial" w:cs="Arial" w:eastAsia="Arial" w:hAnsi="Arial"/>
                <w:sz w:val="11"/>
                <w:szCs w:val="11"/>
                <w:color w:val="auto"/>
              </w:rPr>
              <w:t>--</w:t>
            </w:r>
          </w:p>
        </w:tc>
      </w:tr>
      <w:tr>
        <w:trPr>
          <w:trHeight w:val="135"/>
        </w:trPr>
        <w:tc>
          <w:tcPr>
            <w:tcW w:w="2440" w:type="dxa"/>
            <w:vAlign w:val="bottom"/>
            <w:shd w:val="clear" w:color="auto" w:fill="CCEEFF"/>
          </w:tcPr>
          <w:p>
            <w:pPr>
              <w:ind w:left="80"/>
              <w:spacing w:after="0"/>
              <w:rPr>
                <w:sz w:val="20"/>
                <w:szCs w:val="20"/>
                <w:color w:val="auto"/>
              </w:rPr>
            </w:pPr>
            <w:r>
              <w:rPr>
                <w:rFonts w:ascii="Arial" w:cs="Arial" w:eastAsia="Arial" w:hAnsi="Arial"/>
                <w:sz w:val="11"/>
                <w:szCs w:val="11"/>
                <w:color w:val="auto"/>
              </w:rPr>
              <w:t>William Ellis (17)</w:t>
            </w:r>
          </w:p>
        </w:tc>
        <w:tc>
          <w:tcPr>
            <w:tcW w:w="1540" w:type="dxa"/>
            <w:vAlign w:val="bottom"/>
            <w:shd w:val="clear" w:color="auto" w:fill="CCEEFF"/>
          </w:tcPr>
          <w:p>
            <w:pPr>
              <w:jc w:val="right"/>
              <w:ind w:right="346"/>
              <w:spacing w:after="0"/>
              <w:rPr>
                <w:sz w:val="20"/>
                <w:szCs w:val="20"/>
                <w:color w:val="auto"/>
              </w:rPr>
            </w:pPr>
            <w:r>
              <w:rPr>
                <w:rFonts w:ascii="Arial" w:cs="Arial" w:eastAsia="Arial" w:hAnsi="Arial"/>
                <w:sz w:val="11"/>
                <w:szCs w:val="11"/>
                <w:color w:val="auto"/>
              </w:rPr>
              <w:t>20,000</w:t>
            </w:r>
          </w:p>
        </w:tc>
        <w:tc>
          <w:tcPr>
            <w:tcW w:w="880" w:type="dxa"/>
            <w:vAlign w:val="bottom"/>
            <w:shd w:val="clear" w:color="auto" w:fill="CCEEFF"/>
          </w:tcPr>
          <w:p>
            <w:pPr>
              <w:jc w:val="right"/>
              <w:ind w:right="266"/>
              <w:spacing w:after="0"/>
              <w:rPr>
                <w:sz w:val="20"/>
                <w:szCs w:val="20"/>
                <w:color w:val="auto"/>
              </w:rPr>
            </w:pPr>
            <w:r>
              <w:rPr>
                <w:rFonts w:ascii="Arial" w:cs="Arial" w:eastAsia="Arial" w:hAnsi="Arial"/>
                <w:sz w:val="11"/>
                <w:szCs w:val="11"/>
                <w:color w:val="auto"/>
              </w:rPr>
              <w:t>*</w:t>
            </w:r>
          </w:p>
        </w:tc>
        <w:tc>
          <w:tcPr>
            <w:tcW w:w="1080" w:type="dxa"/>
            <w:vAlign w:val="bottom"/>
            <w:shd w:val="clear" w:color="auto" w:fill="CCEEFF"/>
          </w:tcPr>
          <w:p>
            <w:pPr>
              <w:jc w:val="right"/>
              <w:ind w:right="386"/>
              <w:spacing w:after="0"/>
              <w:rPr>
                <w:sz w:val="20"/>
                <w:szCs w:val="20"/>
                <w:color w:val="auto"/>
              </w:rPr>
            </w:pPr>
            <w:r>
              <w:rPr>
                <w:rFonts w:ascii="Arial" w:cs="Arial" w:eastAsia="Arial" w:hAnsi="Arial"/>
                <w:sz w:val="11"/>
                <w:szCs w:val="11"/>
                <w:color w:val="auto"/>
              </w:rPr>
              <w:t>--</w:t>
            </w:r>
          </w:p>
        </w:tc>
        <w:tc>
          <w:tcPr>
            <w:tcW w:w="62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w:t>
            </w:r>
          </w:p>
        </w:tc>
      </w:tr>
      <w:tr>
        <w:trPr>
          <w:trHeight w:val="135"/>
        </w:trPr>
        <w:tc>
          <w:tcPr>
            <w:tcW w:w="2440" w:type="dxa"/>
            <w:vAlign w:val="bottom"/>
          </w:tcPr>
          <w:p>
            <w:pPr>
              <w:ind w:left="80"/>
              <w:spacing w:after="0"/>
              <w:rPr>
                <w:sz w:val="20"/>
                <w:szCs w:val="20"/>
                <w:color w:val="auto"/>
              </w:rPr>
            </w:pPr>
            <w:r>
              <w:rPr>
                <w:rFonts w:ascii="Arial" w:cs="Arial" w:eastAsia="Arial" w:hAnsi="Arial"/>
                <w:sz w:val="11"/>
                <w:szCs w:val="11"/>
                <w:color w:val="auto"/>
              </w:rPr>
              <w:t>Dev Ghose (18)</w:t>
            </w:r>
          </w:p>
        </w:tc>
        <w:tc>
          <w:tcPr>
            <w:tcW w:w="1540" w:type="dxa"/>
            <w:vAlign w:val="bottom"/>
          </w:tcPr>
          <w:p>
            <w:pPr>
              <w:jc w:val="right"/>
              <w:ind w:right="346"/>
              <w:spacing w:after="0"/>
              <w:rPr>
                <w:sz w:val="20"/>
                <w:szCs w:val="20"/>
                <w:color w:val="auto"/>
              </w:rPr>
            </w:pPr>
            <w:r>
              <w:rPr>
                <w:rFonts w:ascii="Arial" w:cs="Arial" w:eastAsia="Arial" w:hAnsi="Arial"/>
                <w:sz w:val="11"/>
                <w:szCs w:val="11"/>
                <w:color w:val="auto"/>
              </w:rPr>
              <w:t>25,000</w:t>
            </w:r>
          </w:p>
        </w:tc>
        <w:tc>
          <w:tcPr>
            <w:tcW w:w="880" w:type="dxa"/>
            <w:vAlign w:val="bottom"/>
          </w:tcPr>
          <w:p>
            <w:pPr>
              <w:jc w:val="right"/>
              <w:ind w:right="266"/>
              <w:spacing w:after="0"/>
              <w:rPr>
                <w:sz w:val="20"/>
                <w:szCs w:val="20"/>
                <w:color w:val="auto"/>
              </w:rPr>
            </w:pPr>
            <w:r>
              <w:rPr>
                <w:rFonts w:ascii="Arial" w:cs="Arial" w:eastAsia="Arial" w:hAnsi="Arial"/>
                <w:sz w:val="11"/>
                <w:szCs w:val="11"/>
                <w:color w:val="auto"/>
              </w:rPr>
              <w:t>--</w:t>
            </w:r>
          </w:p>
        </w:tc>
        <w:tc>
          <w:tcPr>
            <w:tcW w:w="1080" w:type="dxa"/>
            <w:vAlign w:val="bottom"/>
          </w:tcPr>
          <w:p>
            <w:pPr>
              <w:jc w:val="right"/>
              <w:ind w:right="386"/>
              <w:spacing w:after="0"/>
              <w:rPr>
                <w:sz w:val="20"/>
                <w:szCs w:val="20"/>
                <w:color w:val="auto"/>
              </w:rPr>
            </w:pPr>
            <w:r>
              <w:rPr>
                <w:rFonts w:ascii="Arial" w:cs="Arial" w:eastAsia="Arial" w:hAnsi="Arial"/>
                <w:sz w:val="11"/>
                <w:szCs w:val="11"/>
                <w:color w:val="auto"/>
              </w:rPr>
              <w:t>--</w:t>
            </w:r>
          </w:p>
        </w:tc>
        <w:tc>
          <w:tcPr>
            <w:tcW w:w="620" w:type="dxa"/>
            <w:vAlign w:val="bottom"/>
          </w:tcPr>
          <w:p>
            <w:pPr>
              <w:jc w:val="right"/>
              <w:ind w:right="26"/>
              <w:spacing w:after="0"/>
              <w:rPr>
                <w:sz w:val="20"/>
                <w:szCs w:val="20"/>
                <w:color w:val="auto"/>
              </w:rPr>
            </w:pPr>
            <w:r>
              <w:rPr>
                <w:rFonts w:ascii="Arial" w:cs="Arial" w:eastAsia="Arial" w:hAnsi="Arial"/>
                <w:sz w:val="11"/>
                <w:szCs w:val="11"/>
                <w:color w:val="auto"/>
              </w:rPr>
              <w:t>--</w:t>
            </w:r>
          </w:p>
        </w:tc>
      </w:tr>
      <w:tr>
        <w:trPr>
          <w:trHeight w:val="144"/>
        </w:trPr>
        <w:tc>
          <w:tcPr>
            <w:tcW w:w="2440" w:type="dxa"/>
            <w:vAlign w:val="bottom"/>
            <w:shd w:val="clear" w:color="auto" w:fill="CCEEFF"/>
          </w:tcPr>
          <w:p>
            <w:pPr>
              <w:ind w:left="80"/>
              <w:spacing w:after="0"/>
              <w:rPr>
                <w:sz w:val="20"/>
                <w:szCs w:val="20"/>
                <w:color w:val="auto"/>
              </w:rPr>
            </w:pPr>
            <w:r>
              <w:rPr>
                <w:rFonts w:ascii="Arial" w:cs="Arial" w:eastAsia="Arial" w:hAnsi="Arial"/>
                <w:sz w:val="11"/>
                <w:szCs w:val="11"/>
                <w:color w:val="auto"/>
              </w:rPr>
              <w:t>5% or Greater Stockholders</w:t>
            </w:r>
          </w:p>
        </w:tc>
        <w:tc>
          <w:tcPr>
            <w:tcW w:w="15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r>
      <w:tr>
        <w:trPr>
          <w:trHeight w:val="135"/>
        </w:trPr>
        <w:tc>
          <w:tcPr>
            <w:tcW w:w="2440" w:type="dxa"/>
            <w:vAlign w:val="bottom"/>
          </w:tcPr>
          <w:p>
            <w:pPr>
              <w:ind w:left="80"/>
              <w:spacing w:after="0"/>
              <w:rPr>
                <w:sz w:val="20"/>
                <w:szCs w:val="20"/>
                <w:color w:val="auto"/>
              </w:rPr>
            </w:pPr>
            <w:r>
              <w:rPr>
                <w:rFonts w:ascii="Arial" w:cs="Arial" w:eastAsia="Arial" w:hAnsi="Arial"/>
                <w:sz w:val="11"/>
                <w:szCs w:val="11"/>
                <w:color w:val="auto"/>
              </w:rPr>
              <w:t>James J. Cotter Living Trust (12)</w:t>
            </w:r>
          </w:p>
        </w:tc>
        <w:tc>
          <w:tcPr>
            <w:tcW w:w="1540" w:type="dxa"/>
            <w:vAlign w:val="bottom"/>
          </w:tcPr>
          <w:p>
            <w:pPr>
              <w:jc w:val="right"/>
              <w:ind w:right="346"/>
              <w:spacing w:after="0"/>
              <w:rPr>
                <w:sz w:val="20"/>
                <w:szCs w:val="20"/>
                <w:color w:val="auto"/>
              </w:rPr>
            </w:pPr>
            <w:r>
              <w:rPr>
                <w:rFonts w:ascii="Arial" w:cs="Arial" w:eastAsia="Arial" w:hAnsi="Arial"/>
                <w:sz w:val="11"/>
                <w:szCs w:val="11"/>
                <w:color w:val="auto"/>
              </w:rPr>
              <w:t>1,897,649</w:t>
            </w:r>
          </w:p>
        </w:tc>
        <w:tc>
          <w:tcPr>
            <w:tcW w:w="880" w:type="dxa"/>
            <w:vAlign w:val="bottom"/>
          </w:tcPr>
          <w:p>
            <w:pPr>
              <w:jc w:val="right"/>
              <w:ind w:right="226"/>
              <w:spacing w:after="0"/>
              <w:rPr>
                <w:sz w:val="20"/>
                <w:szCs w:val="20"/>
                <w:color w:val="auto"/>
              </w:rPr>
            </w:pPr>
            <w:r>
              <w:rPr>
                <w:rFonts w:ascii="Arial" w:cs="Arial" w:eastAsia="Arial" w:hAnsi="Arial"/>
                <w:sz w:val="11"/>
                <w:szCs w:val="11"/>
                <w:color w:val="auto"/>
              </w:rPr>
              <w:t>8.8</w:t>
            </w:r>
          </w:p>
        </w:tc>
        <w:tc>
          <w:tcPr>
            <w:tcW w:w="1080" w:type="dxa"/>
            <w:vAlign w:val="bottom"/>
          </w:tcPr>
          <w:p>
            <w:pPr>
              <w:jc w:val="right"/>
              <w:ind w:right="346"/>
              <w:spacing w:after="0"/>
              <w:rPr>
                <w:sz w:val="20"/>
                <w:szCs w:val="20"/>
                <w:color w:val="auto"/>
              </w:rPr>
            </w:pPr>
            <w:r>
              <w:rPr>
                <w:rFonts w:ascii="Arial" w:cs="Arial" w:eastAsia="Arial" w:hAnsi="Arial"/>
                <w:sz w:val="11"/>
                <w:szCs w:val="11"/>
                <w:color w:val="auto"/>
              </w:rPr>
              <w:t>696,080</w:t>
            </w:r>
          </w:p>
        </w:tc>
        <w:tc>
          <w:tcPr>
            <w:tcW w:w="620" w:type="dxa"/>
            <w:vAlign w:val="bottom"/>
          </w:tcPr>
          <w:p>
            <w:pPr>
              <w:jc w:val="right"/>
              <w:spacing w:after="0"/>
              <w:rPr>
                <w:sz w:val="20"/>
                <w:szCs w:val="20"/>
                <w:color w:val="auto"/>
              </w:rPr>
            </w:pPr>
            <w:r>
              <w:rPr>
                <w:rFonts w:ascii="Arial" w:cs="Arial" w:eastAsia="Arial" w:hAnsi="Arial"/>
                <w:sz w:val="11"/>
                <w:szCs w:val="11"/>
                <w:color w:val="auto"/>
              </w:rPr>
              <w:t>41.4</w:t>
            </w:r>
          </w:p>
        </w:tc>
      </w:tr>
      <w:tr>
        <w:trPr>
          <w:trHeight w:val="135"/>
        </w:trPr>
        <w:tc>
          <w:tcPr>
            <w:tcW w:w="2440" w:type="dxa"/>
            <w:vAlign w:val="bottom"/>
            <w:shd w:val="clear" w:color="auto" w:fill="CCEEFF"/>
          </w:tcPr>
          <w:p>
            <w:pPr>
              <w:ind w:left="80"/>
              <w:spacing w:after="0"/>
              <w:rPr>
                <w:sz w:val="20"/>
                <w:szCs w:val="20"/>
                <w:color w:val="auto"/>
              </w:rPr>
            </w:pPr>
            <w:r>
              <w:rPr>
                <w:rFonts w:ascii="Arial" w:cs="Arial" w:eastAsia="Arial" w:hAnsi="Arial"/>
                <w:sz w:val="11"/>
                <w:szCs w:val="11"/>
                <w:color w:val="auto"/>
              </w:rPr>
              <w:t>Estate of James J. Cotter, Sr. (Deceased) (12)</w:t>
            </w:r>
          </w:p>
        </w:tc>
        <w:tc>
          <w:tcPr>
            <w:tcW w:w="1540" w:type="dxa"/>
            <w:vAlign w:val="bottom"/>
            <w:shd w:val="clear" w:color="auto" w:fill="CCEEFF"/>
          </w:tcPr>
          <w:p>
            <w:pPr>
              <w:jc w:val="right"/>
              <w:ind w:right="346"/>
              <w:spacing w:after="0"/>
              <w:rPr>
                <w:sz w:val="20"/>
                <w:szCs w:val="20"/>
                <w:color w:val="auto"/>
              </w:rPr>
            </w:pPr>
            <w:r>
              <w:rPr>
                <w:rFonts w:ascii="Arial" w:cs="Arial" w:eastAsia="Arial" w:hAnsi="Arial"/>
                <w:sz w:val="11"/>
                <w:szCs w:val="11"/>
                <w:color w:val="auto"/>
              </w:rPr>
              <w:t>326,800</w:t>
            </w:r>
          </w:p>
        </w:tc>
        <w:tc>
          <w:tcPr>
            <w:tcW w:w="880" w:type="dxa"/>
            <w:vAlign w:val="bottom"/>
            <w:shd w:val="clear" w:color="auto" w:fill="CCEEFF"/>
          </w:tcPr>
          <w:p>
            <w:pPr>
              <w:jc w:val="right"/>
              <w:ind w:right="226"/>
              <w:spacing w:after="0"/>
              <w:rPr>
                <w:sz w:val="20"/>
                <w:szCs w:val="20"/>
                <w:color w:val="auto"/>
              </w:rPr>
            </w:pPr>
            <w:r>
              <w:rPr>
                <w:rFonts w:ascii="Arial" w:cs="Arial" w:eastAsia="Arial" w:hAnsi="Arial"/>
                <w:sz w:val="11"/>
                <w:szCs w:val="11"/>
                <w:color w:val="auto"/>
              </w:rPr>
              <w:t>1.5</w:t>
            </w:r>
          </w:p>
        </w:tc>
        <w:tc>
          <w:tcPr>
            <w:tcW w:w="1080" w:type="dxa"/>
            <w:vAlign w:val="bottom"/>
            <w:shd w:val="clear" w:color="auto" w:fill="CCEEFF"/>
          </w:tcPr>
          <w:p>
            <w:pPr>
              <w:jc w:val="right"/>
              <w:ind w:right="346"/>
              <w:spacing w:after="0"/>
              <w:rPr>
                <w:sz w:val="20"/>
                <w:szCs w:val="20"/>
                <w:color w:val="auto"/>
              </w:rPr>
            </w:pPr>
            <w:r>
              <w:rPr>
                <w:rFonts w:ascii="Arial" w:cs="Arial" w:eastAsia="Arial" w:hAnsi="Arial"/>
                <w:sz w:val="11"/>
                <w:szCs w:val="11"/>
                <w:color w:val="auto"/>
              </w:rPr>
              <w:t>427,808</w:t>
            </w: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25.5</w:t>
            </w:r>
          </w:p>
        </w:tc>
      </w:tr>
      <w:tr>
        <w:trPr>
          <w:trHeight w:val="130"/>
        </w:trPr>
        <w:tc>
          <w:tcPr>
            <w:tcW w:w="2440" w:type="dxa"/>
            <w:vAlign w:val="bottom"/>
          </w:tcPr>
          <w:p>
            <w:pPr>
              <w:ind w:left="80"/>
              <w:spacing w:after="0"/>
              <w:rPr>
                <w:sz w:val="20"/>
                <w:szCs w:val="20"/>
                <w:color w:val="auto"/>
              </w:rPr>
            </w:pPr>
            <w:r>
              <w:rPr>
                <w:rFonts w:ascii="Arial" w:cs="Arial" w:eastAsia="Arial" w:hAnsi="Arial"/>
                <w:sz w:val="11"/>
                <w:szCs w:val="11"/>
                <w:color w:val="auto"/>
              </w:rPr>
              <w:t>Mark Cuban (14)</w:t>
            </w:r>
          </w:p>
        </w:tc>
        <w:tc>
          <w:tcPr>
            <w:tcW w:w="1540" w:type="dxa"/>
            <w:vAlign w:val="bottom"/>
          </w:tcPr>
          <w:p>
            <w:pPr>
              <w:jc w:val="right"/>
              <w:ind w:right="346"/>
              <w:spacing w:after="0"/>
              <w:rPr>
                <w:sz w:val="20"/>
                <w:szCs w:val="20"/>
                <w:color w:val="auto"/>
              </w:rPr>
            </w:pPr>
            <w:r>
              <w:rPr>
                <w:rFonts w:ascii="Arial" w:cs="Arial" w:eastAsia="Arial" w:hAnsi="Arial"/>
                <w:sz w:val="11"/>
                <w:szCs w:val="11"/>
                <w:color w:val="auto"/>
              </w:rPr>
              <w:t>72,164</w:t>
            </w:r>
          </w:p>
        </w:tc>
        <w:tc>
          <w:tcPr>
            <w:tcW w:w="880" w:type="dxa"/>
            <w:vAlign w:val="bottom"/>
          </w:tcPr>
          <w:p>
            <w:pPr>
              <w:jc w:val="right"/>
              <w:ind w:right="266"/>
              <w:spacing w:after="0"/>
              <w:rPr>
                <w:sz w:val="20"/>
                <w:szCs w:val="20"/>
                <w:color w:val="auto"/>
              </w:rPr>
            </w:pPr>
            <w:r>
              <w:rPr>
                <w:rFonts w:ascii="Arial" w:cs="Arial" w:eastAsia="Arial" w:hAnsi="Arial"/>
                <w:sz w:val="11"/>
                <w:szCs w:val="11"/>
                <w:color w:val="auto"/>
              </w:rPr>
              <w:t>*</w:t>
            </w:r>
          </w:p>
        </w:tc>
        <w:tc>
          <w:tcPr>
            <w:tcW w:w="1080" w:type="dxa"/>
            <w:vAlign w:val="bottom"/>
          </w:tcPr>
          <w:p>
            <w:pPr>
              <w:jc w:val="right"/>
              <w:ind w:right="346"/>
              <w:spacing w:after="0"/>
              <w:rPr>
                <w:sz w:val="20"/>
                <w:szCs w:val="20"/>
                <w:color w:val="auto"/>
              </w:rPr>
            </w:pPr>
            <w:r>
              <w:rPr>
                <w:rFonts w:ascii="Arial" w:cs="Arial" w:eastAsia="Arial" w:hAnsi="Arial"/>
                <w:sz w:val="11"/>
                <w:szCs w:val="11"/>
                <w:color w:val="auto"/>
              </w:rPr>
              <w:t>207,913</w:t>
            </w:r>
          </w:p>
        </w:tc>
        <w:tc>
          <w:tcPr>
            <w:tcW w:w="620" w:type="dxa"/>
            <w:vAlign w:val="bottom"/>
          </w:tcPr>
          <w:p>
            <w:pPr>
              <w:jc w:val="right"/>
              <w:spacing w:after="0"/>
              <w:rPr>
                <w:sz w:val="20"/>
                <w:szCs w:val="20"/>
                <w:color w:val="auto"/>
              </w:rPr>
            </w:pPr>
            <w:r>
              <w:rPr>
                <w:rFonts w:ascii="Arial" w:cs="Arial" w:eastAsia="Arial" w:hAnsi="Arial"/>
                <w:sz w:val="11"/>
                <w:szCs w:val="11"/>
                <w:color w:val="auto"/>
              </w:rPr>
              <w:t>12.4</w:t>
            </w:r>
          </w:p>
        </w:tc>
      </w:tr>
      <w:tr>
        <w:trPr>
          <w:trHeight w:val="135"/>
        </w:trPr>
        <w:tc>
          <w:tcPr>
            <w:tcW w:w="2440" w:type="dxa"/>
            <w:vAlign w:val="bottom"/>
          </w:tcPr>
          <w:p>
            <w:pPr>
              <w:ind w:left="80"/>
              <w:spacing w:after="0"/>
              <w:rPr>
                <w:sz w:val="20"/>
                <w:szCs w:val="20"/>
                <w:color w:val="auto"/>
              </w:rPr>
            </w:pPr>
            <w:r>
              <w:rPr>
                <w:rFonts w:ascii="Arial" w:cs="Arial" w:eastAsia="Arial" w:hAnsi="Arial"/>
                <w:sz w:val="11"/>
                <w:szCs w:val="11"/>
                <w:color w:val="auto"/>
              </w:rPr>
              <w:t>5424 Deloache Avenue</w:t>
            </w:r>
          </w:p>
        </w:tc>
        <w:tc>
          <w:tcPr>
            <w:tcW w:w="1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r>
      <w:tr>
        <w:trPr>
          <w:trHeight w:val="138"/>
        </w:trPr>
        <w:tc>
          <w:tcPr>
            <w:tcW w:w="2440" w:type="dxa"/>
            <w:vAlign w:val="bottom"/>
          </w:tcPr>
          <w:p>
            <w:pPr>
              <w:ind w:left="80"/>
              <w:spacing w:after="0"/>
              <w:rPr>
                <w:sz w:val="20"/>
                <w:szCs w:val="20"/>
                <w:color w:val="auto"/>
              </w:rPr>
            </w:pPr>
            <w:r>
              <w:rPr>
                <w:rFonts w:ascii="Arial" w:cs="Arial" w:eastAsia="Arial" w:hAnsi="Arial"/>
                <w:sz w:val="11"/>
                <w:szCs w:val="11"/>
                <w:color w:val="auto"/>
              </w:rPr>
              <w:t>Dallas, Texas 75220</w:t>
            </w:r>
          </w:p>
        </w:tc>
        <w:tc>
          <w:tcPr>
            <w:tcW w:w="15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132"/>
        </w:trPr>
        <w:tc>
          <w:tcPr>
            <w:tcW w:w="2440" w:type="dxa"/>
            <w:vAlign w:val="bottom"/>
            <w:shd w:val="clear" w:color="auto" w:fill="CCEEFF"/>
          </w:tcPr>
          <w:p>
            <w:pPr>
              <w:ind w:left="80"/>
              <w:spacing w:after="0"/>
              <w:rPr>
                <w:sz w:val="20"/>
                <w:szCs w:val="20"/>
                <w:color w:val="auto"/>
              </w:rPr>
            </w:pPr>
            <w:r>
              <w:rPr>
                <w:rFonts w:ascii="Arial" w:cs="Arial" w:eastAsia="Arial" w:hAnsi="Arial"/>
                <w:sz w:val="11"/>
                <w:szCs w:val="11"/>
                <w:color w:val="auto"/>
                <w:w w:val="96"/>
              </w:rPr>
              <w:t>PICO Holdings, Inc. and PICO Deferred Holdings,</w:t>
            </w:r>
          </w:p>
        </w:tc>
        <w:tc>
          <w:tcPr>
            <w:tcW w:w="1540" w:type="dxa"/>
            <w:vAlign w:val="bottom"/>
            <w:shd w:val="clear" w:color="auto" w:fill="CCEEFF"/>
          </w:tcPr>
          <w:p>
            <w:pPr>
              <w:jc w:val="right"/>
              <w:ind w:right="406"/>
              <w:spacing w:after="0"/>
              <w:rPr>
                <w:sz w:val="20"/>
                <w:szCs w:val="20"/>
                <w:color w:val="auto"/>
              </w:rPr>
            </w:pPr>
            <w:r>
              <w:rPr>
                <w:rFonts w:ascii="Arial" w:cs="Arial" w:eastAsia="Arial" w:hAnsi="Arial"/>
                <w:sz w:val="11"/>
                <w:szCs w:val="11"/>
                <w:color w:val="auto"/>
              </w:rPr>
              <w:t>--</w:t>
            </w:r>
          </w:p>
        </w:tc>
        <w:tc>
          <w:tcPr>
            <w:tcW w:w="880" w:type="dxa"/>
            <w:vAlign w:val="bottom"/>
            <w:shd w:val="clear" w:color="auto" w:fill="CCEEFF"/>
          </w:tcPr>
          <w:p>
            <w:pPr>
              <w:jc w:val="right"/>
              <w:ind w:right="266"/>
              <w:spacing w:after="0"/>
              <w:rPr>
                <w:sz w:val="20"/>
                <w:szCs w:val="20"/>
                <w:color w:val="auto"/>
              </w:rPr>
            </w:pPr>
            <w:r>
              <w:rPr>
                <w:rFonts w:ascii="Arial" w:cs="Arial" w:eastAsia="Arial" w:hAnsi="Arial"/>
                <w:sz w:val="11"/>
                <w:szCs w:val="11"/>
                <w:color w:val="auto"/>
              </w:rPr>
              <w:t>--</w:t>
            </w:r>
          </w:p>
        </w:tc>
        <w:tc>
          <w:tcPr>
            <w:tcW w:w="1080" w:type="dxa"/>
            <w:vAlign w:val="bottom"/>
            <w:shd w:val="clear" w:color="auto" w:fill="CCEEFF"/>
          </w:tcPr>
          <w:p>
            <w:pPr>
              <w:jc w:val="right"/>
              <w:ind w:right="346"/>
              <w:spacing w:after="0"/>
              <w:rPr>
                <w:sz w:val="20"/>
                <w:szCs w:val="20"/>
                <w:color w:val="auto"/>
              </w:rPr>
            </w:pPr>
            <w:r>
              <w:rPr>
                <w:rFonts w:ascii="Arial" w:cs="Arial" w:eastAsia="Arial" w:hAnsi="Arial"/>
                <w:sz w:val="11"/>
                <w:szCs w:val="11"/>
                <w:color w:val="auto"/>
              </w:rPr>
              <w:t>117,500</w:t>
            </w: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7.0</w:t>
            </w:r>
          </w:p>
        </w:tc>
      </w:tr>
      <w:tr>
        <w:trPr>
          <w:trHeight w:val="135"/>
        </w:trPr>
        <w:tc>
          <w:tcPr>
            <w:tcW w:w="2440" w:type="dxa"/>
            <w:vAlign w:val="bottom"/>
            <w:shd w:val="clear" w:color="auto" w:fill="CCEEFF"/>
          </w:tcPr>
          <w:p>
            <w:pPr>
              <w:ind w:left="80"/>
              <w:spacing w:after="0"/>
              <w:rPr>
                <w:sz w:val="20"/>
                <w:szCs w:val="20"/>
                <w:color w:val="auto"/>
              </w:rPr>
            </w:pPr>
            <w:r>
              <w:rPr>
                <w:rFonts w:ascii="Arial" w:cs="Arial" w:eastAsia="Arial" w:hAnsi="Arial"/>
                <w:sz w:val="11"/>
                <w:szCs w:val="11"/>
                <w:color w:val="auto"/>
              </w:rPr>
              <w:t>LLC (15)</w:t>
            </w:r>
          </w:p>
        </w:tc>
        <w:tc>
          <w:tcPr>
            <w:tcW w:w="15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r>
      <w:tr>
        <w:trPr>
          <w:trHeight w:val="135"/>
        </w:trPr>
        <w:tc>
          <w:tcPr>
            <w:tcW w:w="2440" w:type="dxa"/>
            <w:vAlign w:val="bottom"/>
            <w:shd w:val="clear" w:color="auto" w:fill="CCEEFF"/>
          </w:tcPr>
          <w:p>
            <w:pPr>
              <w:ind w:left="80"/>
              <w:spacing w:after="0"/>
              <w:rPr>
                <w:sz w:val="20"/>
                <w:szCs w:val="20"/>
                <w:color w:val="auto"/>
              </w:rPr>
            </w:pPr>
            <w:r>
              <w:rPr>
                <w:rFonts w:ascii="Arial" w:cs="Arial" w:eastAsia="Arial" w:hAnsi="Arial"/>
                <w:sz w:val="11"/>
                <w:szCs w:val="11"/>
                <w:color w:val="auto"/>
              </w:rPr>
              <w:t>875 Prospect Street, Suite 301</w:t>
            </w:r>
          </w:p>
        </w:tc>
        <w:tc>
          <w:tcPr>
            <w:tcW w:w="15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r>
      <w:tr>
        <w:trPr>
          <w:trHeight w:val="140"/>
        </w:trPr>
        <w:tc>
          <w:tcPr>
            <w:tcW w:w="2440" w:type="dxa"/>
            <w:vAlign w:val="bottom"/>
            <w:shd w:val="clear" w:color="auto" w:fill="CCEEFF"/>
          </w:tcPr>
          <w:p>
            <w:pPr>
              <w:ind w:left="80"/>
              <w:spacing w:after="0"/>
              <w:rPr>
                <w:sz w:val="20"/>
                <w:szCs w:val="20"/>
                <w:color w:val="auto"/>
              </w:rPr>
            </w:pPr>
            <w:r>
              <w:rPr>
                <w:rFonts w:ascii="Arial" w:cs="Arial" w:eastAsia="Arial" w:hAnsi="Arial"/>
                <w:sz w:val="11"/>
                <w:szCs w:val="11"/>
                <w:color w:val="auto"/>
              </w:rPr>
              <w:t>La Jolla, California 92037</w:t>
            </w:r>
          </w:p>
        </w:tc>
        <w:tc>
          <w:tcPr>
            <w:tcW w:w="15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r>
      <w:tr>
        <w:trPr>
          <w:trHeight w:val="140"/>
        </w:trPr>
        <w:tc>
          <w:tcPr>
            <w:tcW w:w="2440" w:type="dxa"/>
            <w:vAlign w:val="bottom"/>
          </w:tcPr>
          <w:p>
            <w:pPr>
              <w:ind w:left="80"/>
              <w:spacing w:after="0"/>
              <w:rPr>
                <w:sz w:val="20"/>
                <w:szCs w:val="20"/>
                <w:color w:val="auto"/>
              </w:rPr>
            </w:pPr>
            <w:r>
              <w:rPr>
                <w:rFonts w:ascii="Arial" w:cs="Arial" w:eastAsia="Arial" w:hAnsi="Arial"/>
                <w:sz w:val="11"/>
                <w:szCs w:val="11"/>
                <w:color w:val="auto"/>
              </w:rPr>
              <w:t>James J. Cotter Foundation</w:t>
            </w:r>
          </w:p>
        </w:tc>
        <w:tc>
          <w:tcPr>
            <w:tcW w:w="1540" w:type="dxa"/>
            <w:vAlign w:val="bottom"/>
          </w:tcPr>
          <w:p>
            <w:pPr>
              <w:jc w:val="right"/>
              <w:ind w:right="346"/>
              <w:spacing w:after="0"/>
              <w:rPr>
                <w:sz w:val="20"/>
                <w:szCs w:val="20"/>
                <w:color w:val="auto"/>
              </w:rPr>
            </w:pPr>
            <w:r>
              <w:rPr>
                <w:rFonts w:ascii="Arial" w:cs="Arial" w:eastAsia="Arial" w:hAnsi="Arial"/>
                <w:sz w:val="11"/>
                <w:szCs w:val="11"/>
                <w:color w:val="auto"/>
              </w:rPr>
              <w:t>102,751</w:t>
            </w:r>
          </w:p>
        </w:tc>
        <w:tc>
          <w:tcPr>
            <w:tcW w:w="880" w:type="dxa"/>
            <w:vAlign w:val="bottom"/>
          </w:tcPr>
          <w:p>
            <w:pPr>
              <w:jc w:val="right"/>
              <w:ind w:right="266"/>
              <w:spacing w:after="0"/>
              <w:rPr>
                <w:sz w:val="20"/>
                <w:szCs w:val="20"/>
                <w:color w:val="auto"/>
              </w:rPr>
            </w:pPr>
            <w:r>
              <w:rPr>
                <w:rFonts w:ascii="Arial" w:cs="Arial" w:eastAsia="Arial" w:hAnsi="Arial"/>
                <w:sz w:val="11"/>
                <w:szCs w:val="11"/>
                <w:color w:val="auto"/>
              </w:rPr>
              <w:t>*</w:t>
            </w:r>
          </w:p>
        </w:tc>
        <w:tc>
          <w:tcPr>
            <w:tcW w:w="108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148"/>
        </w:trPr>
        <w:tc>
          <w:tcPr>
            <w:tcW w:w="2440" w:type="dxa"/>
            <w:vAlign w:val="bottom"/>
            <w:shd w:val="clear" w:color="auto" w:fill="CCEEFF"/>
          </w:tcPr>
          <w:p>
            <w:pPr>
              <w:ind w:left="80"/>
              <w:spacing w:after="0"/>
              <w:rPr>
                <w:sz w:val="20"/>
                <w:szCs w:val="20"/>
                <w:color w:val="auto"/>
              </w:rPr>
            </w:pPr>
            <w:r>
              <w:rPr>
                <w:rFonts w:ascii="Arial" w:cs="Arial" w:eastAsia="Arial" w:hAnsi="Arial"/>
                <w:sz w:val="11"/>
                <w:szCs w:val="11"/>
                <w:color w:val="auto"/>
              </w:rPr>
              <w:t>Cotter 2005 Grandchildren’s Trust</w:t>
            </w:r>
          </w:p>
        </w:tc>
        <w:tc>
          <w:tcPr>
            <w:tcW w:w="1540" w:type="dxa"/>
            <w:vAlign w:val="bottom"/>
            <w:shd w:val="clear" w:color="auto" w:fill="CCEEFF"/>
          </w:tcPr>
          <w:p>
            <w:pPr>
              <w:jc w:val="right"/>
              <w:ind w:right="346"/>
              <w:spacing w:after="0"/>
              <w:rPr>
                <w:sz w:val="20"/>
                <w:szCs w:val="20"/>
                <w:color w:val="auto"/>
              </w:rPr>
            </w:pPr>
            <w:r>
              <w:rPr>
                <w:rFonts w:ascii="Arial" w:cs="Arial" w:eastAsia="Arial" w:hAnsi="Arial"/>
                <w:sz w:val="11"/>
                <w:szCs w:val="11"/>
                <w:color w:val="auto"/>
              </w:rPr>
              <w:t>289,390</w:t>
            </w:r>
          </w:p>
        </w:tc>
        <w:tc>
          <w:tcPr>
            <w:tcW w:w="880" w:type="dxa"/>
            <w:vAlign w:val="bottom"/>
            <w:shd w:val="clear" w:color="auto" w:fill="CCEEFF"/>
          </w:tcPr>
          <w:p>
            <w:pPr>
              <w:jc w:val="right"/>
              <w:ind w:right="226"/>
              <w:spacing w:after="0"/>
              <w:rPr>
                <w:sz w:val="20"/>
                <w:szCs w:val="20"/>
                <w:color w:val="auto"/>
              </w:rPr>
            </w:pPr>
            <w:r>
              <w:rPr>
                <w:rFonts w:ascii="Arial" w:cs="Arial" w:eastAsia="Arial" w:hAnsi="Arial"/>
                <w:sz w:val="11"/>
                <w:szCs w:val="11"/>
                <w:color w:val="auto"/>
              </w:rPr>
              <w:t>1.3</w:t>
            </w:r>
          </w:p>
        </w:tc>
        <w:tc>
          <w:tcPr>
            <w:tcW w:w="10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r>
      <w:tr>
        <w:trPr>
          <w:trHeight w:val="130"/>
        </w:trPr>
        <w:tc>
          <w:tcPr>
            <w:tcW w:w="2440" w:type="dxa"/>
            <w:vAlign w:val="bottom"/>
          </w:tcPr>
          <w:p>
            <w:pPr>
              <w:ind w:left="80"/>
              <w:spacing w:after="0"/>
              <w:rPr>
                <w:sz w:val="20"/>
                <w:szCs w:val="20"/>
                <w:color w:val="auto"/>
              </w:rPr>
            </w:pPr>
            <w:r>
              <w:rPr>
                <w:rFonts w:ascii="Arial" w:cs="Arial" w:eastAsia="Arial" w:hAnsi="Arial"/>
                <w:sz w:val="11"/>
                <w:szCs w:val="11"/>
                <w:color w:val="auto"/>
                <w:w w:val="96"/>
              </w:rPr>
              <w:t>All Directors and executive officers as a group (14</w:t>
            </w:r>
          </w:p>
        </w:tc>
        <w:tc>
          <w:tcPr>
            <w:tcW w:w="1540" w:type="dxa"/>
            <w:vAlign w:val="bottom"/>
          </w:tcPr>
          <w:p>
            <w:pPr>
              <w:jc w:val="right"/>
              <w:ind w:right="346"/>
              <w:spacing w:after="0"/>
              <w:rPr>
                <w:sz w:val="20"/>
                <w:szCs w:val="20"/>
                <w:color w:val="auto"/>
              </w:rPr>
            </w:pPr>
            <w:r>
              <w:rPr>
                <w:rFonts w:ascii="Arial" w:cs="Arial" w:eastAsia="Arial" w:hAnsi="Arial"/>
                <w:sz w:val="11"/>
                <w:szCs w:val="11"/>
                <w:color w:val="auto"/>
              </w:rPr>
              <w:t>5,007,094</w:t>
            </w:r>
          </w:p>
        </w:tc>
        <w:tc>
          <w:tcPr>
            <w:tcW w:w="880" w:type="dxa"/>
            <w:vAlign w:val="bottom"/>
          </w:tcPr>
          <w:p>
            <w:pPr>
              <w:jc w:val="right"/>
              <w:ind w:right="226"/>
              <w:spacing w:after="0"/>
              <w:rPr>
                <w:sz w:val="20"/>
                <w:szCs w:val="20"/>
                <w:color w:val="auto"/>
              </w:rPr>
            </w:pPr>
            <w:r>
              <w:rPr>
                <w:rFonts w:ascii="Arial" w:cs="Arial" w:eastAsia="Arial" w:hAnsi="Arial"/>
                <w:sz w:val="11"/>
                <w:szCs w:val="11"/>
                <w:color w:val="auto"/>
              </w:rPr>
              <w:t>22.9</w:t>
            </w:r>
          </w:p>
        </w:tc>
        <w:tc>
          <w:tcPr>
            <w:tcW w:w="1080" w:type="dxa"/>
            <w:vAlign w:val="bottom"/>
          </w:tcPr>
          <w:p>
            <w:pPr>
              <w:jc w:val="right"/>
              <w:ind w:right="346"/>
              <w:spacing w:after="0"/>
              <w:rPr>
                <w:sz w:val="20"/>
                <w:szCs w:val="20"/>
                <w:color w:val="auto"/>
              </w:rPr>
            </w:pPr>
            <w:r>
              <w:rPr>
                <w:rFonts w:ascii="Arial" w:cs="Arial" w:eastAsia="Arial" w:hAnsi="Arial"/>
                <w:sz w:val="11"/>
                <w:szCs w:val="11"/>
                <w:color w:val="auto"/>
              </w:rPr>
              <w:t>1,209,088</w:t>
            </w:r>
          </w:p>
        </w:tc>
        <w:tc>
          <w:tcPr>
            <w:tcW w:w="620" w:type="dxa"/>
            <w:vAlign w:val="bottom"/>
          </w:tcPr>
          <w:p>
            <w:pPr>
              <w:jc w:val="right"/>
              <w:spacing w:after="0"/>
              <w:rPr>
                <w:sz w:val="20"/>
                <w:szCs w:val="20"/>
                <w:color w:val="auto"/>
              </w:rPr>
            </w:pPr>
            <w:r>
              <w:rPr>
                <w:rFonts w:ascii="Arial" w:cs="Arial" w:eastAsia="Arial" w:hAnsi="Arial"/>
                <w:sz w:val="11"/>
                <w:szCs w:val="11"/>
                <w:color w:val="auto"/>
              </w:rPr>
              <w:t>71.9</w:t>
            </w:r>
          </w:p>
        </w:tc>
      </w:tr>
      <w:tr>
        <w:trPr>
          <w:trHeight w:val="138"/>
        </w:trPr>
        <w:tc>
          <w:tcPr>
            <w:tcW w:w="2440" w:type="dxa"/>
            <w:vAlign w:val="bottom"/>
          </w:tcPr>
          <w:p>
            <w:pPr>
              <w:ind w:left="80"/>
              <w:spacing w:after="0"/>
              <w:rPr>
                <w:sz w:val="20"/>
                <w:szCs w:val="20"/>
                <w:color w:val="auto"/>
              </w:rPr>
            </w:pPr>
            <w:r>
              <w:rPr>
                <w:rFonts w:ascii="Arial" w:cs="Arial" w:eastAsia="Arial" w:hAnsi="Arial"/>
                <w:sz w:val="11"/>
                <w:szCs w:val="11"/>
                <w:color w:val="auto"/>
              </w:rPr>
              <w:t>persons) (18)</w:t>
            </w:r>
          </w:p>
        </w:tc>
        <w:tc>
          <w:tcPr>
            <w:tcW w:w="15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146"/>
        </w:trPr>
        <w:tc>
          <w:tcPr>
            <w:tcW w:w="2440" w:type="dxa"/>
            <w:vAlign w:val="bottom"/>
            <w:tcBorders>
              <w:bottom w:val="single" w:sz="8" w:color="auto"/>
            </w:tcBorders>
            <w:shd w:val="clear" w:color="auto" w:fill="CCEEFF"/>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r>
    </w:tbl>
    <w:p>
      <w:pPr>
        <w:spacing w:after="0" w:line="249" w:lineRule="exact"/>
        <w:rPr>
          <w:sz w:val="20"/>
          <w:szCs w:val="20"/>
          <w:color w:val="auto"/>
        </w:rPr>
      </w:pPr>
    </w:p>
    <w:p>
      <w:pPr>
        <w:ind w:left="220" w:right="60" w:hanging="216"/>
        <w:spacing w:after="0" w:line="222" w:lineRule="auto"/>
        <w:tabs>
          <w:tab w:leader="none" w:pos="242" w:val="left"/>
        </w:tabs>
        <w:numPr>
          <w:ilvl w:val="0"/>
          <w:numId w:val="74"/>
        </w:numPr>
        <w:rPr>
          <w:rFonts w:ascii="Arial" w:cs="Arial" w:eastAsia="Arial" w:hAnsi="Arial"/>
          <w:sz w:val="10"/>
          <w:szCs w:val="10"/>
          <w:color w:val="auto"/>
        </w:rPr>
      </w:pPr>
      <w:r>
        <w:rPr>
          <w:rFonts w:ascii="Arial" w:cs="Arial" w:eastAsia="Arial" w:hAnsi="Arial"/>
          <w:sz w:val="10"/>
          <w:szCs w:val="10"/>
          <w:color w:val="auto"/>
        </w:rPr>
        <w:t>Percentage ownership is determined based on 21,654,302 shares of Class A Stock and 1,680,590 shares of Class B Stock outstanding on March 31, 2016. Beneficial ownership has been determined in accordance with SEC rules. Shares subject to options that are currently exercisable, or exercisable within 60 days following the date as of which this information is provided, and not subject to repurchase as of that date, which are indicated by footnote, are deemed to be beneficially owned by the person holding the options and are deemed to be outstanding in computing the percentage ownership of that person, but not in computing the percentage ownership of any other person.</w:t>
      </w:r>
    </w:p>
    <w:p>
      <w:pPr>
        <w:spacing w:after="0" w:line="14" w:lineRule="exact"/>
        <w:rPr>
          <w:rFonts w:ascii="Arial" w:cs="Arial" w:eastAsia="Arial" w:hAnsi="Arial"/>
          <w:sz w:val="10"/>
          <w:szCs w:val="10"/>
          <w:color w:val="auto"/>
        </w:rPr>
      </w:pPr>
    </w:p>
    <w:p>
      <w:pPr>
        <w:ind w:left="220" w:hanging="216"/>
        <w:spacing w:after="0" w:line="273" w:lineRule="auto"/>
        <w:tabs>
          <w:tab w:leader="none" w:pos="242" w:val="left"/>
        </w:tabs>
        <w:numPr>
          <w:ilvl w:val="0"/>
          <w:numId w:val="74"/>
        </w:numPr>
        <w:rPr>
          <w:rFonts w:ascii="Arial" w:cs="Arial" w:eastAsia="Arial" w:hAnsi="Arial"/>
          <w:sz w:val="8"/>
          <w:szCs w:val="8"/>
          <w:color w:val="auto"/>
        </w:rPr>
      </w:pPr>
      <w:r>
        <w:rPr>
          <w:rFonts w:ascii="Arial" w:cs="Arial" w:eastAsia="Arial" w:hAnsi="Arial"/>
          <w:sz w:val="8"/>
          <w:szCs w:val="8"/>
          <w:color w:val="auto"/>
        </w:rPr>
        <w:t>The Class A Stock shown includes 20,000 shares subject to stock options as well as 799,765 shares held directly. The Class A Stock shown also includes 102,751 shares held by the James J. Cotter Foundation (the “Cotter Foundation”). Ellen M. Cotter is Co-Trustee of the Cotter Foundation and, as such, is deemed to beneficially own such shares. Ms. Cotter disclaims beneficial ownership of such shares except to the extent of her pecuniary interest, if any, in such shares. The Class A Stock shown also includes 297,070 shares that are part of the Estate of James J. Cotter, Deceased (the “Cotter Estate”) that is being administered in the State of Nevada and 29,730 shares from the Cotter Profit Sharing Plan. On December 22, 2014, the District Court of Clark County, Nevada, appointed Ellen M. Cotter and Margaret Cotter as co-executors of the Cotter Estate. As such, Ellen M. Cotter would be deemed to beneficially own such shares. The shares of Class A Stock shown also include 1,897,649 shares held by the James J. Cotter Living Trust (the “Living Trust”). See footnotes (12) to this table for information regarding beneficial ownership of the shares held by the Living Trust. As Co-Trustees of the Living Trust, the three Cotter family members would be deemed to beneficially own such shares depending upon the outcome of the matters described in footnote (12). Together Margaret Cotter and Ellen M. Cotter beneficially own 1,208,988 shares of Class B Stock.</w:t>
      </w:r>
    </w:p>
    <w:p>
      <w:pPr>
        <w:spacing w:after="0" w:line="2" w:lineRule="exact"/>
        <w:rPr>
          <w:rFonts w:ascii="Arial" w:cs="Arial" w:eastAsia="Arial" w:hAnsi="Arial"/>
          <w:sz w:val="8"/>
          <w:szCs w:val="8"/>
          <w:color w:val="auto"/>
        </w:rPr>
      </w:pPr>
    </w:p>
    <w:p>
      <w:pPr>
        <w:ind w:left="220" w:right="80" w:hanging="216"/>
        <w:spacing w:after="0" w:line="277" w:lineRule="auto"/>
        <w:tabs>
          <w:tab w:leader="none" w:pos="242" w:val="left"/>
        </w:tabs>
        <w:numPr>
          <w:ilvl w:val="0"/>
          <w:numId w:val="74"/>
        </w:numPr>
        <w:rPr>
          <w:rFonts w:ascii="Arial" w:cs="Arial" w:eastAsia="Arial" w:hAnsi="Arial"/>
          <w:sz w:val="8"/>
          <w:szCs w:val="8"/>
          <w:color w:val="auto"/>
        </w:rPr>
      </w:pPr>
      <w:r>
        <w:rPr>
          <w:rFonts w:ascii="Arial" w:cs="Arial" w:eastAsia="Arial" w:hAnsi="Arial"/>
          <w:sz w:val="8"/>
          <w:szCs w:val="8"/>
          <w:color w:val="auto"/>
        </w:rPr>
        <w:t>The Class A Stock shown includes 17,000 shares subject to stock options as well as 804,173 shares held directly. The Class A Stock shown also includes 289,390 shares held by the Cotter 2005 Grandchildren’s Trust and 29,730 shares from the Cotter Profit Sharing Plan. Margaret Cotter is Co-Trustee of the Cotter 2005 Grandchildren’s Trust and, as such, is deemed to beneficially own such shares. Ms. Cotter disclaims beneficial ownership of such shares except to the extent of her pecuniary interest, if any, in such shares. The Class A Stock shown includes 297,070 shares of Class A Stock that are part of the Cotter Estate. As Co-Executor of the Cotter Estate, Ms. Cotter would be deemed to beneficially own such shares. The shares of Class A Stock shown also include 1,897,649 shares held by the Living Trust. See footnotes (12) for information regarding beneficial ownership of the shares held by the Living Trust. As Co-Trustees of the Living Trust, the three Cotter family members would be deemed to beneficially own such shares depending upon the outcome of the matters described in footnote (12). Together Margaret Cotter and Ellen M. Cotter beneficially own 1,208,988 shares of Class B Stock.</w:t>
      </w:r>
    </w:p>
    <w:p>
      <w:pPr>
        <w:ind w:left="240" w:hanging="236"/>
        <w:spacing w:after="0"/>
        <w:tabs>
          <w:tab w:leader="none" w:pos="240" w:val="left"/>
        </w:tabs>
        <w:numPr>
          <w:ilvl w:val="0"/>
          <w:numId w:val="74"/>
        </w:numPr>
        <w:rPr>
          <w:rFonts w:ascii="Arial" w:cs="Arial" w:eastAsia="Arial" w:hAnsi="Arial"/>
          <w:sz w:val="10"/>
          <w:szCs w:val="10"/>
          <w:color w:val="auto"/>
        </w:rPr>
      </w:pPr>
      <w:r>
        <w:rPr>
          <w:rFonts w:ascii="Arial" w:cs="Arial" w:eastAsia="Arial" w:hAnsi="Arial"/>
          <w:sz w:val="10"/>
          <w:szCs w:val="10"/>
          <w:color w:val="auto"/>
        </w:rPr>
        <w:t>The Class A Stock shown includes 19,000 shares subject to stock options.</w:t>
      </w:r>
    </w:p>
    <w:p>
      <w:pPr>
        <w:spacing w:after="0" w:line="20" w:lineRule="exact"/>
        <w:rPr>
          <w:rFonts w:ascii="Arial" w:cs="Arial" w:eastAsia="Arial" w:hAnsi="Arial"/>
          <w:sz w:val="10"/>
          <w:szCs w:val="10"/>
          <w:color w:val="auto"/>
        </w:rPr>
      </w:pPr>
    </w:p>
    <w:p>
      <w:pPr>
        <w:ind w:left="240" w:hanging="236"/>
        <w:spacing w:after="0"/>
        <w:tabs>
          <w:tab w:leader="none" w:pos="240" w:val="left"/>
        </w:tabs>
        <w:numPr>
          <w:ilvl w:val="0"/>
          <w:numId w:val="74"/>
        </w:numPr>
        <w:rPr>
          <w:rFonts w:ascii="Arial" w:cs="Arial" w:eastAsia="Arial" w:hAnsi="Arial"/>
          <w:sz w:val="10"/>
          <w:szCs w:val="10"/>
          <w:color w:val="auto"/>
        </w:rPr>
      </w:pPr>
      <w:r>
        <w:rPr>
          <w:rFonts w:ascii="Arial" w:cs="Arial" w:eastAsia="Arial" w:hAnsi="Arial"/>
          <w:sz w:val="10"/>
          <w:szCs w:val="10"/>
          <w:color w:val="auto"/>
        </w:rPr>
        <w:t>The Class A Stock shown includes 4,000 shares subject to stock options.</w:t>
      </w:r>
    </w:p>
    <w:p>
      <w:pPr>
        <w:spacing w:after="0" w:line="20" w:lineRule="exact"/>
        <w:rPr>
          <w:rFonts w:ascii="Arial" w:cs="Arial" w:eastAsia="Arial" w:hAnsi="Arial"/>
          <w:sz w:val="10"/>
          <w:szCs w:val="10"/>
          <w:color w:val="auto"/>
        </w:rPr>
      </w:pPr>
    </w:p>
    <w:p>
      <w:pPr>
        <w:ind w:left="240" w:hanging="236"/>
        <w:spacing w:after="0"/>
        <w:tabs>
          <w:tab w:leader="none" w:pos="240" w:val="left"/>
        </w:tabs>
        <w:numPr>
          <w:ilvl w:val="0"/>
          <w:numId w:val="74"/>
        </w:numPr>
        <w:rPr>
          <w:rFonts w:ascii="Arial" w:cs="Arial" w:eastAsia="Arial" w:hAnsi="Arial"/>
          <w:sz w:val="10"/>
          <w:szCs w:val="10"/>
          <w:color w:val="auto"/>
        </w:rPr>
      </w:pPr>
      <w:r>
        <w:rPr>
          <w:rFonts w:ascii="Arial" w:cs="Arial" w:eastAsia="Arial" w:hAnsi="Arial"/>
          <w:sz w:val="10"/>
          <w:szCs w:val="10"/>
          <w:color w:val="auto"/>
        </w:rPr>
        <w:t>The Class A Stock shown includes 29,000 shares subject to stock options.</w:t>
      </w:r>
    </w:p>
    <w:p>
      <w:pPr>
        <w:spacing w:after="0" w:line="20" w:lineRule="exact"/>
        <w:rPr>
          <w:rFonts w:ascii="Arial" w:cs="Arial" w:eastAsia="Arial" w:hAnsi="Arial"/>
          <w:sz w:val="10"/>
          <w:szCs w:val="10"/>
          <w:color w:val="auto"/>
        </w:rPr>
      </w:pPr>
    </w:p>
    <w:p>
      <w:pPr>
        <w:ind w:left="240" w:hanging="236"/>
        <w:spacing w:after="0"/>
        <w:tabs>
          <w:tab w:leader="none" w:pos="240" w:val="left"/>
        </w:tabs>
        <w:numPr>
          <w:ilvl w:val="0"/>
          <w:numId w:val="74"/>
        </w:numPr>
        <w:rPr>
          <w:rFonts w:ascii="Arial" w:cs="Arial" w:eastAsia="Arial" w:hAnsi="Arial"/>
          <w:sz w:val="10"/>
          <w:szCs w:val="10"/>
          <w:color w:val="auto"/>
        </w:rPr>
      </w:pPr>
      <w:r>
        <w:rPr>
          <w:rFonts w:ascii="Arial" w:cs="Arial" w:eastAsia="Arial" w:hAnsi="Arial"/>
          <w:sz w:val="10"/>
          <w:szCs w:val="10"/>
          <w:color w:val="auto"/>
        </w:rPr>
        <w:t>The Class A Stock shown consists 43,750 shares subject to stock options.</w:t>
      </w:r>
    </w:p>
    <w:p>
      <w:pPr>
        <w:spacing w:after="0" w:line="20" w:lineRule="exact"/>
        <w:rPr>
          <w:rFonts w:ascii="Arial" w:cs="Arial" w:eastAsia="Arial" w:hAnsi="Arial"/>
          <w:sz w:val="10"/>
          <w:szCs w:val="10"/>
          <w:color w:val="auto"/>
        </w:rPr>
      </w:pPr>
    </w:p>
    <w:p>
      <w:pPr>
        <w:ind w:left="240" w:hanging="236"/>
        <w:spacing w:after="0"/>
        <w:tabs>
          <w:tab w:leader="none" w:pos="240" w:val="left"/>
        </w:tabs>
        <w:numPr>
          <w:ilvl w:val="0"/>
          <w:numId w:val="74"/>
        </w:numPr>
        <w:rPr>
          <w:rFonts w:ascii="Arial" w:cs="Arial" w:eastAsia="Arial" w:hAnsi="Arial"/>
          <w:sz w:val="10"/>
          <w:szCs w:val="10"/>
          <w:color w:val="auto"/>
        </w:rPr>
      </w:pPr>
      <w:r>
        <w:rPr>
          <w:rFonts w:ascii="Arial" w:cs="Arial" w:eastAsia="Arial" w:hAnsi="Arial"/>
          <w:sz w:val="10"/>
          <w:szCs w:val="10"/>
          <w:color w:val="auto"/>
        </w:rPr>
        <w:t>The Class A Stock shown consists of 2,000 shares subject to stock options.</w:t>
      </w:r>
    </w:p>
    <w:p>
      <w:pPr>
        <w:spacing w:after="0" w:line="20" w:lineRule="exact"/>
        <w:rPr>
          <w:rFonts w:ascii="Arial" w:cs="Arial" w:eastAsia="Arial" w:hAnsi="Arial"/>
          <w:sz w:val="10"/>
          <w:szCs w:val="10"/>
          <w:color w:val="auto"/>
        </w:rPr>
      </w:pPr>
    </w:p>
    <w:p>
      <w:pPr>
        <w:ind w:left="240" w:hanging="236"/>
        <w:spacing w:after="0"/>
        <w:tabs>
          <w:tab w:leader="none" w:pos="240" w:val="left"/>
        </w:tabs>
        <w:numPr>
          <w:ilvl w:val="0"/>
          <w:numId w:val="74"/>
        </w:numPr>
        <w:rPr>
          <w:rFonts w:ascii="Arial" w:cs="Arial" w:eastAsia="Arial" w:hAnsi="Arial"/>
          <w:sz w:val="10"/>
          <w:szCs w:val="10"/>
          <w:color w:val="auto"/>
        </w:rPr>
      </w:pPr>
      <w:r>
        <w:rPr>
          <w:rFonts w:ascii="Arial" w:cs="Arial" w:eastAsia="Arial" w:hAnsi="Arial"/>
          <w:sz w:val="10"/>
          <w:szCs w:val="10"/>
          <w:color w:val="auto"/>
        </w:rPr>
        <w:t>The Class A Stock shown consists of 2,000 shares subject to stock options.</w:t>
      </w:r>
    </w:p>
    <w:p>
      <w:pPr>
        <w:spacing w:after="0" w:line="20" w:lineRule="exact"/>
        <w:rPr>
          <w:rFonts w:ascii="Arial" w:cs="Arial" w:eastAsia="Arial" w:hAnsi="Arial"/>
          <w:sz w:val="10"/>
          <w:szCs w:val="10"/>
          <w:color w:val="auto"/>
        </w:rPr>
      </w:pPr>
    </w:p>
    <w:p>
      <w:pPr>
        <w:ind w:left="240" w:hanging="236"/>
        <w:spacing w:after="0"/>
        <w:tabs>
          <w:tab w:leader="none" w:pos="240" w:val="left"/>
        </w:tabs>
        <w:numPr>
          <w:ilvl w:val="0"/>
          <w:numId w:val="74"/>
        </w:numPr>
        <w:rPr>
          <w:rFonts w:ascii="Arial" w:cs="Arial" w:eastAsia="Arial" w:hAnsi="Arial"/>
          <w:sz w:val="10"/>
          <w:szCs w:val="10"/>
          <w:color w:val="auto"/>
        </w:rPr>
      </w:pPr>
      <w:r>
        <w:rPr>
          <w:rFonts w:ascii="Arial" w:cs="Arial" w:eastAsia="Arial" w:hAnsi="Arial"/>
          <w:sz w:val="10"/>
          <w:szCs w:val="10"/>
          <w:color w:val="auto"/>
        </w:rPr>
        <w:t>The Class A Stock shown consists of 2,000 shares subject to stock options.</w:t>
      </w:r>
    </w:p>
    <w:p>
      <w:pPr>
        <w:spacing w:after="0" w:line="20" w:lineRule="exact"/>
        <w:rPr>
          <w:rFonts w:ascii="Arial" w:cs="Arial" w:eastAsia="Arial" w:hAnsi="Arial"/>
          <w:sz w:val="10"/>
          <w:szCs w:val="10"/>
          <w:color w:val="auto"/>
        </w:rPr>
      </w:pPr>
    </w:p>
    <w:p>
      <w:pPr>
        <w:ind w:left="200" w:hanging="196"/>
        <w:spacing w:after="0"/>
        <w:tabs>
          <w:tab w:leader="none" w:pos="200" w:val="left"/>
        </w:tabs>
        <w:numPr>
          <w:ilvl w:val="0"/>
          <w:numId w:val="74"/>
        </w:numPr>
        <w:rPr>
          <w:rFonts w:ascii="Arial" w:cs="Arial" w:eastAsia="Arial" w:hAnsi="Arial"/>
          <w:sz w:val="10"/>
          <w:szCs w:val="10"/>
          <w:color w:val="auto"/>
        </w:rPr>
      </w:pPr>
      <w:r>
        <w:rPr>
          <w:rFonts w:ascii="Arial" w:cs="Arial" w:eastAsia="Arial" w:hAnsi="Arial"/>
          <w:sz w:val="10"/>
          <w:szCs w:val="10"/>
          <w:color w:val="auto"/>
        </w:rPr>
        <w:t>The Class A Stock shown consists of 3,000 restricted stock grants.</w:t>
      </w:r>
    </w:p>
    <w:p>
      <w:pPr>
        <w:spacing w:after="0" w:line="20" w:lineRule="exact"/>
        <w:rPr>
          <w:rFonts w:ascii="Arial" w:cs="Arial" w:eastAsia="Arial" w:hAnsi="Arial"/>
          <w:sz w:val="10"/>
          <w:szCs w:val="10"/>
          <w:color w:val="auto"/>
        </w:rPr>
      </w:pPr>
    </w:p>
    <w:p>
      <w:pPr>
        <w:ind w:left="220" w:right="60" w:hanging="216"/>
        <w:spacing w:after="0" w:line="230" w:lineRule="auto"/>
        <w:tabs>
          <w:tab w:leader="none" w:pos="263" w:val="left"/>
        </w:tabs>
        <w:numPr>
          <w:ilvl w:val="0"/>
          <w:numId w:val="74"/>
        </w:numPr>
        <w:rPr>
          <w:rFonts w:ascii="Arial" w:cs="Arial" w:eastAsia="Arial" w:hAnsi="Arial"/>
          <w:sz w:val="10"/>
          <w:szCs w:val="10"/>
          <w:color w:val="auto"/>
        </w:rPr>
      </w:pPr>
      <w:r>
        <w:rPr>
          <w:rFonts w:ascii="Arial" w:cs="Arial" w:eastAsia="Arial" w:hAnsi="Arial"/>
          <w:sz w:val="10"/>
          <w:szCs w:val="10"/>
          <w:color w:val="auto"/>
        </w:rPr>
        <w:t>On June 5, 2013, the Declaration of Trust establishing the Living Trust was amended and restated (the “2013 Restatement”) to provide that, upon the death of James J. Cotter, Sr., the Trust’s shares of Class B Stock were to be held in a separate trust, to be known as the “Reading Voting Trust,” for the benefit of the</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59690</wp:posOffset>
            </wp:positionV>
            <wp:extent cx="6779895"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779895" cy="42545"/>
                    </a:xfrm>
                    <a:prstGeom prst="rect">
                      <a:avLst/>
                    </a:prstGeom>
                    <a:noFill/>
                  </pic:spPr>
                </pic:pic>
              </a:graphicData>
            </a:graphic>
          </wp:anchor>
        </w:drawing>
      </w:r>
    </w:p>
    <w:p>
      <w:pPr>
        <w:sectPr>
          <w:pgSz w:w="11900" w:h="16838" w:orient="portrait"/>
          <w:cols w:equalWidth="0" w:num="1">
            <w:col w:w="10600"/>
          </w:cols>
          <w:pgMar w:left="640" w:top="278" w:right="659" w:bottom="1440" w:gutter="0" w:footer="0" w:header="0"/>
        </w:sectPr>
      </w:pPr>
    </w:p>
    <w:bookmarkStart w:id="123" w:name="page124"/>
    <w:bookmarkEnd w:id="123"/>
    <w:p>
      <w:pPr>
        <w:ind w:left="220" w:right="60"/>
        <w:spacing w:after="0" w:line="103" w:lineRule="exact"/>
        <w:rPr>
          <w:sz w:val="20"/>
          <w:szCs w:val="20"/>
          <w:color w:val="auto"/>
        </w:rPr>
      </w:pPr>
      <w:r>
        <w:rPr>
          <w:rFonts w:ascii="Arial" w:cs="Arial" w:eastAsia="Arial" w:hAnsi="Arial"/>
          <w:sz w:val="8"/>
          <w:szCs w:val="8"/>
          <w:color w:val="auto"/>
        </w:rPr>
        <w:t>grandchildren of Mr. Cotter, Sr. Mr. Cotter, Sr. passed away on September 13, 2014. The 2013 Restatement also names Margaret Cotter the sole trustee of the Reading Voting Trust and names James J. Cotter, Jr. as the first alternate trustee in the event that Ms. Cotter is unable or unwilling to act as trustee. The trustees of the Living Trust, as of the 2013 Restatement, were Ellen M. Cotter and Margaret Cotter. On June 19, 2014, Mr. Cotter, Sr. signed a 2014 Partial Amendment to Declaration of Trust (the “2014 Amendment”) that names Margaret Cotter and James J. Cotter, Jr. as the co-trustees of the Reading Voting Trust and provides that, in the event they are unable to agree upon an important trust decision, they shall rotate the trusteeship between them annually on each January 1st. It further directs the trustees of the Reading Voting Trust to, among other things, vote the Class B Stock held by the Reading Voting Trust in favor of the appointment of Ellen M. Cotter, Margaret Cotter and James J. Cotter, Jr. to our Board and to take all actions to rotate the chairmanship of our Board among the three of them. The 2014 Amendment states that James J. Cotter, Jr., Ellen M. Cotter and Margaret Cotter are Co</w:t>
      </w:r>
      <w:r>
        <w:rPr>
          <w:rFonts w:ascii="MS PGothic" w:cs="MS PGothic" w:eastAsia="MS PGothic" w:hAnsi="MS PGothic"/>
          <w:sz w:val="8"/>
          <w:szCs w:val="8"/>
          <w:color w:val="auto"/>
        </w:rPr>
        <w:t>‑</w:t>
      </w:r>
      <w:r>
        <w:rPr>
          <w:rFonts w:ascii="Arial" w:cs="Arial" w:eastAsia="Arial" w:hAnsi="Arial"/>
          <w:sz w:val="8"/>
          <w:szCs w:val="8"/>
          <w:color w:val="auto"/>
        </w:rPr>
        <w:t>Trustees of the Living Trust. On February 6, 2015, Ellen M. Cotter and Margaret Cotter filed a Petition in the Superior Court of the State of California, County of Los Angeles, captioned In re James J. Cotter Living Trust dated August 1, 2000 (Case No. BP159755). The Petition, among other things, seeks relief that could determine the validity of the 2014 Amendment and who between Margaret Cotter and James J. Cotter Jr. will have authority as trustee or co-trustees of the Reading Voting Trust to vote the shares of Class B Stock shown (in whole or in part) and the scope and extent of such authority. Mr. Cotter, Jr. has filed an opposition to the Petition. The [696,080] shares of Class B Stock shown in the table as being beneficially owned by the Living Trust are reflected on the Company’s stock register as being held by the Living Trust and not by the Reading Voting Trust. The information in the table reflects direct ownership of the [696,080] shares of Class B Stock by the Living Trust in accordance with the Company’s stock register and beneficial ownership of such shares as being held by each of the three potential Co-Trustees, Mr. Cotter, Jr., Ellen M. Cotter and Margaret Cotter, who, unless a court determines otherwise, are deemed to share voting and investment power of the shares held by the Living Trust.</w:t>
      </w:r>
    </w:p>
    <w:p>
      <w:pPr>
        <w:spacing w:after="0" w:line="106" w:lineRule="exact"/>
        <w:rPr>
          <w:sz w:val="20"/>
          <w:szCs w:val="20"/>
          <w:color w:val="auto"/>
        </w:rPr>
      </w:pPr>
    </w:p>
    <w:p>
      <w:pPr>
        <w:ind w:left="260" w:hanging="256"/>
        <w:spacing w:after="0"/>
        <w:tabs>
          <w:tab w:leader="none" w:pos="260" w:val="left"/>
        </w:tabs>
        <w:numPr>
          <w:ilvl w:val="0"/>
          <w:numId w:val="75"/>
        </w:numPr>
        <w:rPr>
          <w:rFonts w:ascii="Arial" w:cs="Arial" w:eastAsia="Arial" w:hAnsi="Arial"/>
          <w:sz w:val="8"/>
          <w:szCs w:val="8"/>
          <w:color w:val="auto"/>
        </w:rPr>
      </w:pPr>
      <w:r>
        <w:rPr>
          <w:rFonts w:ascii="Arial" w:cs="Arial" w:eastAsia="Arial" w:hAnsi="Arial"/>
          <w:sz w:val="8"/>
          <w:szCs w:val="8"/>
          <w:color w:val="auto"/>
        </w:rPr>
        <w:t>The Class A Stock shown includes 25,000 shares subject to stock options as well as 770,186 shares held directly The Class A Stock shown also includes 289,390 shares held by the Cotter 2005 Grandchildren’s Trust and 102,751 held by the Cotter</w:t>
      </w:r>
    </w:p>
    <w:p>
      <w:pPr>
        <w:spacing w:after="0" w:line="15" w:lineRule="exact"/>
        <w:rPr>
          <w:sz w:val="20"/>
          <w:szCs w:val="20"/>
          <w:color w:val="auto"/>
        </w:rPr>
      </w:pPr>
    </w:p>
    <w:p>
      <w:pPr>
        <w:ind w:left="220" w:right="80"/>
        <w:spacing w:after="0" w:line="214" w:lineRule="auto"/>
        <w:rPr>
          <w:sz w:val="20"/>
          <w:szCs w:val="20"/>
          <w:color w:val="auto"/>
        </w:rPr>
      </w:pPr>
      <w:r>
        <w:rPr>
          <w:rFonts w:ascii="Arial" w:cs="Arial" w:eastAsia="Arial" w:hAnsi="Arial"/>
          <w:sz w:val="10"/>
          <w:szCs w:val="10"/>
          <w:color w:val="auto"/>
        </w:rPr>
        <w:t>Foundation. Mr. Cotter, Jr. is Co-Trustee of the Cotter 2005 Grandchildren’s Trust and of the Cotter Foundation and, as such, is deemed to beneficially own such shares. Mr. Cotter, Jr. disclaims beneficial ownership of such shares except to the extent of his pecuniary interest, if any, in such shares. The Class A Stock shown also includes 1,897,649 shares held by the Living Trust, which became irrevocable upon Mr. Cotter, Sr.’s death on September 13, 2014. See footnote (12) above for information regarding beneficial ownership of the shares held by the Living Trust. As Co-Trustees of the Living Trust, the three Cotter family members would be deemed to beneficially own such shares depending upon the outcome of the matters described in footnote (12). The Class A Stock shown includes 770,186 shares pledged as security for a margin loan.</w:t>
      </w:r>
    </w:p>
    <w:p>
      <w:pPr>
        <w:spacing w:after="0" w:line="14" w:lineRule="exact"/>
        <w:rPr>
          <w:sz w:val="20"/>
          <w:szCs w:val="20"/>
          <w:color w:val="auto"/>
        </w:rPr>
      </w:pPr>
    </w:p>
    <w:p>
      <w:pPr>
        <w:ind w:left="260" w:hanging="256"/>
        <w:spacing w:after="0"/>
        <w:tabs>
          <w:tab w:leader="none" w:pos="260" w:val="left"/>
        </w:tabs>
        <w:numPr>
          <w:ilvl w:val="0"/>
          <w:numId w:val="76"/>
        </w:numPr>
        <w:rPr>
          <w:rFonts w:ascii="Arial" w:cs="Arial" w:eastAsia="Arial" w:hAnsi="Arial"/>
          <w:sz w:val="10"/>
          <w:szCs w:val="10"/>
          <w:color w:val="auto"/>
        </w:rPr>
      </w:pPr>
      <w:r>
        <w:rPr>
          <w:rFonts w:ascii="Arial" w:cs="Arial" w:eastAsia="Arial" w:hAnsi="Arial"/>
          <w:sz w:val="10"/>
          <w:szCs w:val="10"/>
          <w:color w:val="auto"/>
        </w:rPr>
        <w:t>Based on Mr. Cuban’s Form 5 filed with the SEC on February 19, 2016 and Schedule 13D/A filed on February 22, 2016.</w:t>
      </w:r>
    </w:p>
    <w:p>
      <w:pPr>
        <w:spacing w:after="0" w:line="20" w:lineRule="exact"/>
        <w:rPr>
          <w:rFonts w:ascii="Arial" w:cs="Arial" w:eastAsia="Arial" w:hAnsi="Arial"/>
          <w:sz w:val="10"/>
          <w:szCs w:val="10"/>
          <w:color w:val="auto"/>
        </w:rPr>
      </w:pPr>
    </w:p>
    <w:p>
      <w:pPr>
        <w:ind w:left="260" w:hanging="256"/>
        <w:spacing w:after="0"/>
        <w:tabs>
          <w:tab w:leader="none" w:pos="260" w:val="left"/>
        </w:tabs>
        <w:numPr>
          <w:ilvl w:val="0"/>
          <w:numId w:val="76"/>
        </w:numPr>
        <w:rPr>
          <w:rFonts w:ascii="Arial" w:cs="Arial" w:eastAsia="Arial" w:hAnsi="Arial"/>
          <w:sz w:val="10"/>
          <w:szCs w:val="10"/>
          <w:color w:val="auto"/>
        </w:rPr>
      </w:pPr>
      <w:r>
        <w:rPr>
          <w:rFonts w:ascii="Arial" w:cs="Arial" w:eastAsia="Arial" w:hAnsi="Arial"/>
          <w:sz w:val="10"/>
          <w:szCs w:val="10"/>
          <w:color w:val="auto"/>
        </w:rPr>
        <w:t>Based on the PICO Holdings, Inc. and PICO Deferred Holdings, LLC Schedule 13G filed with the SEC on January 14, 2009.</w:t>
      </w:r>
    </w:p>
    <w:p>
      <w:pPr>
        <w:spacing w:after="0" w:line="20" w:lineRule="exact"/>
        <w:rPr>
          <w:rFonts w:ascii="Arial" w:cs="Arial" w:eastAsia="Arial" w:hAnsi="Arial"/>
          <w:sz w:val="10"/>
          <w:szCs w:val="10"/>
          <w:color w:val="auto"/>
        </w:rPr>
      </w:pPr>
    </w:p>
    <w:p>
      <w:pPr>
        <w:ind w:left="260" w:hanging="256"/>
        <w:spacing w:after="0"/>
        <w:tabs>
          <w:tab w:leader="none" w:pos="260" w:val="left"/>
        </w:tabs>
        <w:numPr>
          <w:ilvl w:val="0"/>
          <w:numId w:val="76"/>
        </w:numPr>
        <w:rPr>
          <w:rFonts w:ascii="Arial" w:cs="Arial" w:eastAsia="Arial" w:hAnsi="Arial"/>
          <w:sz w:val="10"/>
          <w:szCs w:val="10"/>
          <w:color w:val="auto"/>
        </w:rPr>
      </w:pPr>
      <w:r>
        <w:rPr>
          <w:rFonts w:ascii="Arial" w:cs="Arial" w:eastAsia="Arial" w:hAnsi="Arial"/>
          <w:sz w:val="10"/>
          <w:szCs w:val="10"/>
          <w:color w:val="auto"/>
        </w:rPr>
        <w:t>The Class A Stock shown includes 25,000 shares subject to stock options.</w:t>
      </w:r>
    </w:p>
    <w:p>
      <w:pPr>
        <w:spacing w:after="0" w:line="20" w:lineRule="exact"/>
        <w:rPr>
          <w:rFonts w:ascii="Arial" w:cs="Arial" w:eastAsia="Arial" w:hAnsi="Arial"/>
          <w:sz w:val="10"/>
          <w:szCs w:val="10"/>
          <w:color w:val="auto"/>
        </w:rPr>
      </w:pPr>
    </w:p>
    <w:p>
      <w:pPr>
        <w:ind w:left="260" w:hanging="256"/>
        <w:spacing w:after="0"/>
        <w:tabs>
          <w:tab w:leader="none" w:pos="260" w:val="left"/>
        </w:tabs>
        <w:numPr>
          <w:ilvl w:val="0"/>
          <w:numId w:val="76"/>
        </w:numPr>
        <w:rPr>
          <w:rFonts w:ascii="Arial" w:cs="Arial" w:eastAsia="Arial" w:hAnsi="Arial"/>
          <w:sz w:val="10"/>
          <w:szCs w:val="10"/>
          <w:color w:val="auto"/>
        </w:rPr>
      </w:pPr>
      <w:r>
        <w:rPr>
          <w:rFonts w:ascii="Arial" w:cs="Arial" w:eastAsia="Arial" w:hAnsi="Arial"/>
          <w:sz w:val="10"/>
          <w:szCs w:val="10"/>
          <w:color w:val="auto"/>
        </w:rPr>
        <w:t>The Class A Stock shown includes 8,815 shares subject to stock options.</w:t>
      </w:r>
    </w:p>
    <w:p>
      <w:pPr>
        <w:spacing w:after="0" w:line="20" w:lineRule="exact"/>
        <w:rPr>
          <w:rFonts w:ascii="Arial" w:cs="Arial" w:eastAsia="Arial" w:hAnsi="Arial"/>
          <w:sz w:val="10"/>
          <w:szCs w:val="10"/>
          <w:color w:val="auto"/>
        </w:rPr>
      </w:pPr>
    </w:p>
    <w:p>
      <w:pPr>
        <w:ind w:left="260" w:hanging="256"/>
        <w:spacing w:after="0"/>
        <w:tabs>
          <w:tab w:leader="none" w:pos="260" w:val="left"/>
        </w:tabs>
        <w:numPr>
          <w:ilvl w:val="0"/>
          <w:numId w:val="76"/>
        </w:numPr>
        <w:rPr>
          <w:rFonts w:ascii="Arial" w:cs="Arial" w:eastAsia="Arial" w:hAnsi="Arial"/>
          <w:sz w:val="10"/>
          <w:szCs w:val="10"/>
          <w:color w:val="auto"/>
        </w:rPr>
      </w:pPr>
      <w:r>
        <w:rPr>
          <w:rFonts w:ascii="Arial" w:cs="Arial" w:eastAsia="Arial" w:hAnsi="Arial"/>
          <w:sz w:val="10"/>
          <w:szCs w:val="10"/>
          <w:color w:val="auto"/>
        </w:rPr>
        <w:t>The Class A Stock shown includes 222,565 shares subject to options not exerciseable.</w:t>
      </w:r>
    </w:p>
    <w:p>
      <w:pPr>
        <w:spacing w:after="0" w:line="12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13 – Certain Relationships and Related Transactions, and Director Independence</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CERTAIN RELATIONSHIPS AND RELATED PARTY TRANSACTIONS</w:t>
      </w:r>
    </w:p>
    <w:p>
      <w:pPr>
        <w:spacing w:after="0" w:line="136" w:lineRule="exact"/>
        <w:rPr>
          <w:sz w:val="20"/>
          <w:szCs w:val="20"/>
          <w:color w:val="auto"/>
        </w:rPr>
      </w:pPr>
    </w:p>
    <w:p>
      <w:pPr>
        <w:ind w:right="60" w:firstLine="432"/>
        <w:spacing w:after="0" w:line="259" w:lineRule="auto"/>
        <w:rPr>
          <w:sz w:val="20"/>
          <w:szCs w:val="20"/>
          <w:color w:val="auto"/>
        </w:rPr>
      </w:pPr>
      <w:r>
        <w:rPr>
          <w:rFonts w:ascii="Arial" w:cs="Arial" w:eastAsia="Arial" w:hAnsi="Arial"/>
          <w:sz w:val="12"/>
          <w:szCs w:val="12"/>
          <w:color w:val="auto"/>
        </w:rPr>
        <w:t>The members of our Audit Committee are Douglas McEachern, who serves as Chair, Edward Kane and Michael Wrotniak. Management presents all potential related party transactions to the Audit Committee for review. Our Audit Committee reviews whether a given related party transaction is beneficial to our Company, and approves or bars the transaction after a thorough analysis. Only Committee members disinterested in the transaction in question participate in the determination of whether the transaction may proceed. See the discussion entitled “</w:t>
      </w:r>
      <w:r>
        <w:rPr>
          <w:rFonts w:ascii="Arial" w:cs="Arial" w:eastAsia="Arial" w:hAnsi="Arial"/>
          <w:sz w:val="12"/>
          <w:szCs w:val="12"/>
          <w:i w:val="1"/>
          <w:iCs w:val="1"/>
          <w:color w:val="auto"/>
        </w:rPr>
        <w:t>Review, Approval or Ratification of Transactions with Related Persons</w:t>
      </w:r>
      <w:r>
        <w:rPr>
          <w:rFonts w:ascii="Arial" w:cs="Arial" w:eastAsia="Arial" w:hAnsi="Arial"/>
          <w:sz w:val="12"/>
          <w:szCs w:val="12"/>
          <w:color w:val="auto"/>
        </w:rPr>
        <w:t>” on page [11] for additional information regarding the review process.</w:t>
      </w:r>
    </w:p>
    <w:p>
      <w:pPr>
        <w:spacing w:after="0" w:line="9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Sutton Hill Capital</w:t>
      </w:r>
    </w:p>
    <w:p>
      <w:pPr>
        <w:spacing w:after="0" w:line="154" w:lineRule="exact"/>
        <w:rPr>
          <w:sz w:val="20"/>
          <w:szCs w:val="20"/>
          <w:color w:val="auto"/>
        </w:rPr>
      </w:pPr>
    </w:p>
    <w:p>
      <w:pPr>
        <w:ind w:right="180" w:firstLine="432"/>
        <w:spacing w:after="0" w:line="298" w:lineRule="auto"/>
        <w:rPr>
          <w:sz w:val="20"/>
          <w:szCs w:val="20"/>
          <w:color w:val="auto"/>
        </w:rPr>
      </w:pPr>
      <w:r>
        <w:rPr>
          <w:rFonts w:ascii="Arial" w:cs="Arial" w:eastAsia="Arial" w:hAnsi="Arial"/>
          <w:sz w:val="11"/>
          <w:szCs w:val="11"/>
          <w:color w:val="auto"/>
        </w:rPr>
        <w:t>In 2001, we entered into a transaction with Sutton Hill Capital, LLC (“SHC”) regarding the master leasing, with an option to purchase, of certain cinemas located in Manhattan including our Village East and Cinemas 1, 2, 3 theaters. In connection with that transaction, we also agreed (i) to lend certain amounts to SHC, to provide liquidity in its investment, pending our determination whether or not to exercise our option to purchase and (ii) to manage the 86th Street Cinema on a fee basis. SHC is a limited liability company owned in equal shares by the Cotter Estate and a third party.</w:t>
      </w:r>
    </w:p>
    <w:p>
      <w:pPr>
        <w:spacing w:after="0" w:line="105" w:lineRule="exact"/>
        <w:rPr>
          <w:sz w:val="20"/>
          <w:szCs w:val="20"/>
          <w:color w:val="auto"/>
        </w:rPr>
      </w:pPr>
    </w:p>
    <w:p>
      <w:pPr>
        <w:ind w:firstLine="432"/>
        <w:spacing w:after="0" w:line="263" w:lineRule="auto"/>
        <w:rPr>
          <w:sz w:val="20"/>
          <w:szCs w:val="20"/>
          <w:color w:val="auto"/>
        </w:rPr>
      </w:pPr>
      <w:r>
        <w:rPr>
          <w:rFonts w:ascii="Arial" w:cs="Arial" w:eastAsia="Arial" w:hAnsi="Arial"/>
          <w:sz w:val="12"/>
          <w:szCs w:val="12"/>
          <w:color w:val="auto"/>
        </w:rPr>
        <w:t>As previously reported, over the years, two of the cinemas subject to the master leasing agreement have been redeveloped and one (the Cinemas 1, 2, 3 discussed below) has been acquired. The Village East is the only cinema that remains subject to this master lease. We paid an annual rent of $590,000 for this cinema to SHC in each of 2015, 2014, and 2013. During this same period, we received management fees from the 86</w:t>
      </w:r>
      <w:r>
        <w:rPr>
          <w:rFonts w:ascii="Arial" w:cs="Arial" w:eastAsia="Arial" w:hAnsi="Arial"/>
          <w:sz w:val="5"/>
          <w:szCs w:val="5"/>
          <w:color w:val="auto"/>
        </w:rPr>
        <w:t>th</w:t>
      </w:r>
      <w:r>
        <w:rPr>
          <w:rFonts w:ascii="Arial" w:cs="Arial" w:eastAsia="Arial" w:hAnsi="Arial"/>
          <w:sz w:val="12"/>
          <w:szCs w:val="12"/>
          <w:color w:val="auto"/>
        </w:rPr>
        <w:t xml:space="preserve"> Street Cinema of $151,000, $123,000 and $183,000.</w:t>
      </w:r>
    </w:p>
    <w:p>
      <w:pPr>
        <w:spacing w:after="0" w:line="123" w:lineRule="exact"/>
        <w:rPr>
          <w:sz w:val="20"/>
          <w:szCs w:val="20"/>
          <w:color w:val="auto"/>
        </w:rPr>
      </w:pPr>
    </w:p>
    <w:p>
      <w:pPr>
        <w:ind w:right="20" w:firstLine="432"/>
        <w:spacing w:after="0" w:line="254" w:lineRule="auto"/>
        <w:rPr>
          <w:sz w:val="20"/>
          <w:szCs w:val="20"/>
          <w:color w:val="auto"/>
        </w:rPr>
      </w:pPr>
      <w:r>
        <w:rPr>
          <w:rFonts w:ascii="Arial" w:cs="Arial" w:eastAsia="Arial" w:hAnsi="Arial"/>
          <w:sz w:val="12"/>
          <w:szCs w:val="12"/>
          <w:color w:val="auto"/>
        </w:rPr>
        <w:t>In 2005, we acquired (i) from a third party the fee interest underlying the Cinemas 1, 2, 3 and (ii) from SHC its interest in the ground lease estate underlying and the improvements constituting the Cinemas 1, 2, 3 . The ground lease estate and the improvements acquired from SHC were originally a part of the master lease transaction, discussed above. In connection with that transaction, we granted to SHC an option to acquire at cost a 25% interest in the special purpose entity (Sutton Hill Properties, LLC (“SHP”) formed to acquire these fee, leasehold and improvements interests. On June 28, 2007, SHC exercised this option, paying $3.0 million and assuming a proportionate share of SHP’s liabilities. At the time of the option exercise and the closing of the acquisition of the 25% interest, SHP had debt of $26.9 million, including a $2.9 million, non-interest bearing intercompany loan from the Company. As of December 31, 2015, SHP had debt of $19.4 million (again, including the intercompany loan). Since the acquisition by SHC of its 25% interest, SHP has covered its operating costs and debt service through cash flow from the Cinemas 1, 2, 3 , (ii) borrowings from third parties, and (iii) pro-rata contributions from the members. We receive an annual management fee equal to 5% of SHP’s gross</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59690</wp:posOffset>
            </wp:positionV>
            <wp:extent cx="6779895"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779895" cy="42545"/>
                    </a:xfrm>
                    <a:prstGeom prst="rect">
                      <a:avLst/>
                    </a:prstGeom>
                    <a:noFill/>
                  </pic:spPr>
                </pic:pic>
              </a:graphicData>
            </a:graphic>
          </wp:anchor>
        </w:drawing>
      </w:r>
    </w:p>
    <w:p>
      <w:pPr>
        <w:sectPr>
          <w:pgSz w:w="11900" w:h="16838" w:orient="portrait"/>
          <w:cols w:equalWidth="0" w:num="1">
            <w:col w:w="10620"/>
          </w:cols>
          <w:pgMar w:left="640" w:top="271" w:right="639" w:bottom="1440" w:gutter="0" w:footer="0" w:header="0"/>
        </w:sectPr>
      </w:pPr>
    </w:p>
    <w:bookmarkStart w:id="124" w:name="page125"/>
    <w:bookmarkEnd w:id="124"/>
    <w:p>
      <w:pPr>
        <w:ind w:right="200"/>
        <w:spacing w:after="0" w:line="276" w:lineRule="auto"/>
        <w:rPr>
          <w:sz w:val="20"/>
          <w:szCs w:val="20"/>
          <w:color w:val="auto"/>
        </w:rPr>
      </w:pPr>
      <w:r>
        <w:rPr>
          <w:rFonts w:ascii="Arial" w:cs="Arial" w:eastAsia="Arial" w:hAnsi="Arial"/>
          <w:sz w:val="12"/>
          <w:szCs w:val="12"/>
          <w:color w:val="auto"/>
        </w:rPr>
        <w:t>income for managing the cinema and the property, amounting to $153,000, $123,000 and $183,000 in 2015, 2014 and 2013 respectively. This management fee was modified in 2015, as discussed below, retroactive to December 1, 2014.</w:t>
      </w:r>
    </w:p>
    <w:p>
      <w:pPr>
        <w:spacing w:after="0" w:line="115" w:lineRule="exact"/>
        <w:rPr>
          <w:sz w:val="20"/>
          <w:szCs w:val="20"/>
          <w:color w:val="auto"/>
        </w:rPr>
      </w:pPr>
    </w:p>
    <w:p>
      <w:pPr>
        <w:ind w:right="40" w:firstLine="432"/>
        <w:spacing w:after="0" w:line="283" w:lineRule="auto"/>
        <w:rPr>
          <w:sz w:val="20"/>
          <w:szCs w:val="20"/>
          <w:color w:val="auto"/>
        </w:rPr>
      </w:pPr>
      <w:r>
        <w:rPr>
          <w:rFonts w:ascii="Arial" w:cs="Arial" w:eastAsia="Arial" w:hAnsi="Arial"/>
          <w:sz w:val="11"/>
          <w:szCs w:val="11"/>
          <w:color w:val="auto"/>
        </w:rPr>
        <w:t xml:space="preserve">On June 29, 2010, we agreed to extend our existing lease from SHC of the Village East Cinema by 10 years, with a new termination date of June 30, 2020. This amendment was reviewed and approved by our Audit Committee. The Village East lease includes a sub-lease of the ground underlying the cinema that is subject to a longer-term ground lease between SHC and an unrelated third party that expires in June 2031 (the “cinema ground lease”). The extended lease provides for a call option pursuant to which Reading may purchase the cinema ground lease for $5.9 million at the end of the lease term. Additionally, the lease has a put option pursuant to which SHC may require Reading to purchase all or a portion of SHC’s interest in the existing cinema lease and the cinema ground lease at any time between July 1, 2013 and December 4, 2019. SHC’s put option may be exercised on one or more occasions in increments of not less than $100,000 each. We recorded the Village East Cinema building as a property asset of $4.7 million on our balance sheet based on the cost carry-over basis from an entity under common control with a corresponding capital lease liability of $5.9 million presented under other liabilities (see Note 11 – </w:t>
      </w:r>
      <w:r>
        <w:rPr>
          <w:rFonts w:ascii="Arial" w:cs="Arial" w:eastAsia="Arial" w:hAnsi="Arial"/>
          <w:sz w:val="11"/>
          <w:szCs w:val="11"/>
          <w:i w:val="1"/>
          <w:iCs w:val="1"/>
          <w:color w:val="auto"/>
        </w:rPr>
        <w:t>Pension and Other Liabilities</w:t>
      </w:r>
      <w:r>
        <w:rPr>
          <w:rFonts w:ascii="Arial" w:cs="Arial" w:eastAsia="Arial" w:hAnsi="Arial"/>
          <w:sz w:val="11"/>
          <w:szCs w:val="11"/>
          <w:color w:val="auto"/>
        </w:rPr>
        <w:t>).</w:t>
      </w:r>
    </w:p>
    <w:p>
      <w:pPr>
        <w:spacing w:after="0" w:line="114" w:lineRule="exact"/>
        <w:rPr>
          <w:sz w:val="20"/>
          <w:szCs w:val="20"/>
          <w:color w:val="auto"/>
        </w:rPr>
      </w:pPr>
    </w:p>
    <w:p>
      <w:pPr>
        <w:ind w:right="20" w:firstLine="432"/>
        <w:spacing w:after="0" w:line="312" w:lineRule="auto"/>
        <w:rPr>
          <w:sz w:val="20"/>
          <w:szCs w:val="20"/>
          <w:color w:val="auto"/>
        </w:rPr>
      </w:pPr>
      <w:r>
        <w:rPr>
          <w:rFonts w:ascii="Arial" w:cs="Arial" w:eastAsia="Arial" w:hAnsi="Arial"/>
          <w:sz w:val="10"/>
          <w:szCs w:val="10"/>
          <w:color w:val="auto"/>
        </w:rPr>
        <w:t>In February 2015, SHP and we entered into an amendment to the management agreement dated as of June 27, 2007 between SHP and us. The amendment, which was retroactive to December 1, 2014, memorialized our undertaking to SHP with respect to $750,000 (the “Renovation Funding Amount”) of renovations to Cinemas 1, 2, 3 funded or to be funded by us. In consideration of our funding of the renovations, our annual management fee under the management agreement was increased commencing January 1, 2015 by an amount equivalent to 100% of any incremental positive cash flow of Cinemas 1, 2, 3 over the average annual positive cash flow of the Cinemas 1, 2, 3 over the three-year period ended December 31, 2014 (not to exceed a cumulative aggregate amount equal to the Renovation Funding Amount), plus a 15% annual cash-on-cash return on the balance outstanding from time to time of the Renovation Funding Amount, payable at the time of the payment of the annual management fee. Under the amended management agreement, we are entitled to retain ownership of (and any right to depreciate) any furniture, fixtures and equipment purchased by us in connection with such renovation and have the right (but not the obligation) to remove all such furniture, fixtures and equipment (at our own cost and expense) from the Cinemas upon the termination of the management agreement. The amendment also provides that, during the term of the management agreement, SHP will be responsible for the cost of repair and maintenance of the renovations. In 2015, we received a management fee of $153,000. This amendment was approved by SHC and by the Audit Committee of our Board of Directors.</w:t>
      </w:r>
    </w:p>
    <w:p>
      <w:pPr>
        <w:spacing w:after="0" w:line="9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OBI Management Agreement</w:t>
      </w:r>
    </w:p>
    <w:p>
      <w:pPr>
        <w:spacing w:after="0" w:line="154" w:lineRule="exact"/>
        <w:rPr>
          <w:sz w:val="20"/>
          <w:szCs w:val="20"/>
          <w:color w:val="auto"/>
        </w:rPr>
      </w:pPr>
    </w:p>
    <w:p>
      <w:pPr>
        <w:ind w:firstLine="432"/>
        <w:spacing w:after="0" w:line="255" w:lineRule="auto"/>
        <w:rPr>
          <w:sz w:val="20"/>
          <w:szCs w:val="20"/>
          <w:color w:val="auto"/>
        </w:rPr>
      </w:pPr>
      <w:r>
        <w:rPr>
          <w:rFonts w:ascii="Arial" w:cs="Arial" w:eastAsia="Arial" w:hAnsi="Arial"/>
          <w:sz w:val="12"/>
          <w:szCs w:val="12"/>
          <w:color w:val="auto"/>
        </w:rPr>
        <w:t>Pursuant to a Theater Management Agreement (the “Management Agreement”), our live theater operations were, until recently, managed by Off-Broadway Investments, LLC (“OBI Management”), which is wholly owned by Ms. Margaret Cotter who is the daughter of the late Mr. James J. Cotter, Sr., the sister of Ellen M. Cotter and James Cotter, Jr., and a member of our Board of Directors. The Management Agreement was terminated effective March 10, 2016 in connection with the retention by our Company of Margaret Cotter as a full time employee.</w:t>
      </w:r>
    </w:p>
    <w:p>
      <w:pPr>
        <w:spacing w:after="0" w:line="1" w:lineRule="exact"/>
        <w:rPr>
          <w:sz w:val="20"/>
          <w:szCs w:val="20"/>
          <w:color w:val="auto"/>
        </w:rPr>
      </w:pPr>
    </w:p>
    <w:p>
      <w:pPr>
        <w:spacing w:after="0" w:line="250" w:lineRule="auto"/>
        <w:rPr>
          <w:sz w:val="20"/>
          <w:szCs w:val="20"/>
          <w:color w:val="auto"/>
        </w:rPr>
      </w:pPr>
      <w:r>
        <w:rPr>
          <w:rFonts w:ascii="Arial" w:cs="Arial" w:eastAsia="Arial" w:hAnsi="Arial"/>
          <w:sz w:val="12"/>
          <w:szCs w:val="12"/>
          <w:color w:val="auto"/>
        </w:rPr>
        <w:t>The Theater Management Agreement generally provided for the payment of a combination of fixed and incentive fees for the management of our four live theaters. Historically, these fees have equated to approximately 21% of the net cash flow generated by these properties. We currently estimate that fees to be paid to OBI for 2015 will be approximately $389,000. We paid $397,000 and $401,000 in fees with respect to 2014, and 2013, respectively. We also reimbursed OBI for certain travel expenses, shared the cost of an administrative assistant and provided office space at our New York offices. The fees payable to OBI for the period January 1, 2016 through and including March 9, 2016, will be prorated.</w:t>
      </w:r>
    </w:p>
    <w:p>
      <w:pPr>
        <w:spacing w:after="0" w:line="1" w:lineRule="exact"/>
        <w:rPr>
          <w:sz w:val="20"/>
          <w:szCs w:val="20"/>
          <w:color w:val="auto"/>
        </w:rPr>
      </w:pPr>
    </w:p>
    <w:p>
      <w:pPr>
        <w:ind w:firstLine="432"/>
        <w:spacing w:after="0" w:line="284" w:lineRule="auto"/>
        <w:rPr>
          <w:sz w:val="20"/>
          <w:szCs w:val="20"/>
          <w:color w:val="auto"/>
        </w:rPr>
      </w:pPr>
      <w:r>
        <w:rPr>
          <w:rFonts w:ascii="Arial" w:cs="Arial" w:eastAsia="Arial" w:hAnsi="Arial"/>
          <w:sz w:val="11"/>
          <w:szCs w:val="11"/>
          <w:color w:val="auto"/>
        </w:rPr>
        <w:t>OBI Management historically conducted its operations from our office facilities on a rent-free basis, and we shared the cost of one administrative employee of OBI Management. We reimbursed travel related expenses for OBI Management personnel with respect to travel between New York City and Chicago in connection with the management of the Royal George complex. Other than these expenses, OBI Management was responsible for all of its costs and expenses related to the performance of its management functions. The Management Agreement renewed automatically each year unless either party gives at least six months’ prior notice of its determination to allow the Management Agreement to expire. In addition, we could terminate the Management Agreement at any time for cause.</w:t>
      </w:r>
    </w:p>
    <w:p>
      <w:pPr>
        <w:spacing w:after="0" w:line="113" w:lineRule="exact"/>
        <w:rPr>
          <w:sz w:val="20"/>
          <w:szCs w:val="20"/>
          <w:color w:val="auto"/>
        </w:rPr>
      </w:pPr>
    </w:p>
    <w:p>
      <w:pPr>
        <w:ind w:right="40" w:firstLine="432"/>
        <w:spacing w:after="0" w:line="340" w:lineRule="auto"/>
        <w:rPr>
          <w:sz w:val="20"/>
          <w:szCs w:val="20"/>
          <w:color w:val="auto"/>
        </w:rPr>
      </w:pPr>
      <w:r>
        <w:rPr>
          <w:rFonts w:ascii="Arial" w:cs="Arial" w:eastAsia="Arial" w:hAnsi="Arial"/>
          <w:sz w:val="10"/>
          <w:szCs w:val="10"/>
          <w:color w:val="auto"/>
        </w:rPr>
        <w:t>Effective March 10, 2016, Margaret Cotter became a full time employee of the Company and the Management Agreement was terminated. As Executive Vice-President Real Estate Management and Development - NYC, Ms. Cotter will continue to be responsible for the management of our live theater assets, will continue her role heading up the pre-redevelopment of our New York Properties and will be our senior executive responsible for the actual redevelopment of our New York properties. Pursuant to the termination agreement, Ms. Cotter has given up any right she might otherwise have, through OBI, to income from STOMP.</w:t>
      </w:r>
    </w:p>
    <w:p>
      <w:pPr>
        <w:spacing w:after="0" w:line="88" w:lineRule="exact"/>
        <w:rPr>
          <w:sz w:val="20"/>
          <w:szCs w:val="20"/>
          <w:color w:val="auto"/>
        </w:rPr>
      </w:pPr>
    </w:p>
    <w:p>
      <w:pPr>
        <w:ind w:right="120" w:firstLine="432"/>
        <w:spacing w:after="0" w:line="323" w:lineRule="auto"/>
        <w:rPr>
          <w:sz w:val="20"/>
          <w:szCs w:val="20"/>
          <w:color w:val="auto"/>
        </w:rPr>
      </w:pPr>
      <w:r>
        <w:rPr>
          <w:rFonts w:ascii="Arial" w:cs="Arial" w:eastAsia="Arial" w:hAnsi="Arial"/>
          <w:sz w:val="11"/>
          <w:szCs w:val="11"/>
          <w:color w:val="auto"/>
        </w:rPr>
        <w:t>Ms. Cotter's compensation as Executive Vice-President was set as part of an extensive executive compensation process. For 2016, Ms. Cotter's base salary will be $350,000, she will have a short term incentive target bonus opportunity of $105,000 (30% of her base salary), and she was granted a long term incentive of a stock option for 19,921 shares of Class A common stock and 4,184</w:t>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59690</wp:posOffset>
            </wp:positionV>
            <wp:extent cx="6779895"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779895" cy="42545"/>
                    </a:xfrm>
                    <a:prstGeom prst="rect">
                      <a:avLst/>
                    </a:prstGeom>
                    <a:noFill/>
                  </pic:spPr>
                </pic:pic>
              </a:graphicData>
            </a:graphic>
          </wp:anchor>
        </w:drawing>
      </w:r>
    </w:p>
    <w:p>
      <w:pPr>
        <w:sectPr>
          <w:pgSz w:w="11900" w:h="16838" w:orient="portrait"/>
          <w:cols w:equalWidth="0" w:num="1">
            <w:col w:w="10600"/>
          </w:cols>
          <w:pgMar w:left="640" w:top="275" w:right="659" w:bottom="1440" w:gutter="0" w:footer="0" w:header="0"/>
        </w:sectPr>
      </w:pPr>
    </w:p>
    <w:bookmarkStart w:id="125" w:name="page126"/>
    <w:bookmarkEnd w:id="125"/>
    <w:p>
      <w:pPr>
        <w:spacing w:after="0"/>
        <w:rPr>
          <w:sz w:val="20"/>
          <w:szCs w:val="20"/>
          <w:color w:val="auto"/>
        </w:rPr>
      </w:pPr>
      <w:r>
        <w:rPr>
          <w:rFonts w:ascii="Arial" w:cs="Arial" w:eastAsia="Arial" w:hAnsi="Arial"/>
          <w:sz w:val="12"/>
          <w:szCs w:val="12"/>
          <w:color w:val="auto"/>
        </w:rPr>
        <w:t>restricted stock units under the Company’s 2010 Stock Incentive Plan, as amended, which long term incentives vest over a four year period.</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Live Theater Play Investment</w:t>
      </w:r>
    </w:p>
    <w:p>
      <w:pPr>
        <w:spacing w:after="0" w:line="154" w:lineRule="exact"/>
        <w:rPr>
          <w:sz w:val="20"/>
          <w:szCs w:val="20"/>
          <w:color w:val="auto"/>
        </w:rPr>
      </w:pPr>
    </w:p>
    <w:p>
      <w:pPr>
        <w:ind w:right="280" w:firstLine="432"/>
        <w:spacing w:after="0" w:line="263" w:lineRule="auto"/>
        <w:rPr>
          <w:sz w:val="20"/>
          <w:szCs w:val="20"/>
          <w:color w:val="auto"/>
        </w:rPr>
      </w:pPr>
      <w:r>
        <w:rPr>
          <w:rFonts w:ascii="Arial" w:cs="Arial" w:eastAsia="Arial" w:hAnsi="Arial"/>
          <w:sz w:val="12"/>
          <w:szCs w:val="12"/>
          <w:color w:val="auto"/>
        </w:rPr>
        <w:t xml:space="preserve">From time to time, our officers and Directors may invest in plays that lease our live theaters. The play STOMP has been playing in our Orpheum Theatre since prior to the time we acquired the theater in 2001. The Cotter Estate or the Cotter Trust and Mr. Michael Forman own an approximately 5% interest in that play, an interest that they have held since prior to our acquisition of the theater. Refer to Item 3 – </w:t>
      </w:r>
      <w:r>
        <w:rPr>
          <w:rFonts w:ascii="Arial" w:cs="Arial" w:eastAsia="Arial" w:hAnsi="Arial"/>
          <w:sz w:val="12"/>
          <w:szCs w:val="12"/>
          <w:i w:val="1"/>
          <w:iCs w:val="1"/>
          <w:color w:val="auto"/>
        </w:rPr>
        <w:t>Legal</w:t>
      </w:r>
      <w:r>
        <w:rPr>
          <w:rFonts w:ascii="Arial" w:cs="Arial" w:eastAsia="Arial" w:hAnsi="Arial"/>
          <w:sz w:val="12"/>
          <w:szCs w:val="12"/>
          <w:color w:val="auto"/>
        </w:rPr>
        <w:t xml:space="preserve"> </w:t>
      </w:r>
      <w:r>
        <w:rPr>
          <w:rFonts w:ascii="Arial" w:cs="Arial" w:eastAsia="Arial" w:hAnsi="Arial"/>
          <w:sz w:val="12"/>
          <w:szCs w:val="12"/>
          <w:i w:val="1"/>
          <w:iCs w:val="1"/>
          <w:color w:val="auto"/>
        </w:rPr>
        <w:t xml:space="preserve">Proceedings </w:t>
      </w:r>
      <w:r>
        <w:rPr>
          <w:rFonts w:ascii="Arial" w:cs="Arial" w:eastAsia="Arial" w:hAnsi="Arial"/>
          <w:sz w:val="12"/>
          <w:szCs w:val="12"/>
          <w:color w:val="auto"/>
        </w:rPr>
        <w:t>for more information about the show STOMP.</w:t>
      </w:r>
    </w:p>
    <w:p>
      <w:pPr>
        <w:spacing w:after="0" w:line="11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Shadow View Land and Farming, LLC</w:t>
      </w:r>
    </w:p>
    <w:p>
      <w:pPr>
        <w:spacing w:after="0" w:line="127" w:lineRule="exact"/>
        <w:rPr>
          <w:sz w:val="20"/>
          <w:szCs w:val="20"/>
          <w:color w:val="auto"/>
        </w:rPr>
      </w:pPr>
    </w:p>
    <w:p>
      <w:pPr>
        <w:ind w:firstLine="432"/>
        <w:spacing w:after="0" w:line="259" w:lineRule="auto"/>
        <w:rPr>
          <w:sz w:val="20"/>
          <w:szCs w:val="20"/>
          <w:color w:val="auto"/>
        </w:rPr>
      </w:pPr>
      <w:r>
        <w:rPr>
          <w:rFonts w:ascii="Arial" w:cs="Arial" w:eastAsia="Arial" w:hAnsi="Arial"/>
          <w:sz w:val="12"/>
          <w:szCs w:val="12"/>
          <w:color w:val="auto"/>
        </w:rPr>
        <w:t>Director Guy Adams has performed consulting services for James J. Cotter, Sr., with respect to certain holdings that are now controlled by the Cotter Estate and/or the Cotter Trust (collectively the “Cotter Interests”). These holdings include a 50% non-controlling membership interest in Shadow View Land and Farming, LLC (the “Shadow View Investment” and “Shadow View” respectively), certain agricultural interests in Northern California (the “Cotter Farms”) and certain land interests in Texas (the “Texas Properties”). In addition, Mr. Adams is the CFO of certain captive insurance entities, owned by a certain trust for the benefit of Ellen M. Cotter, James J. Cotter, Jr. and Margaret Cotter (the “captive insurance entities”).</w:t>
      </w:r>
    </w:p>
    <w:p>
      <w:pPr>
        <w:spacing w:after="0" w:line="107" w:lineRule="exact"/>
        <w:rPr>
          <w:sz w:val="20"/>
          <w:szCs w:val="20"/>
          <w:color w:val="auto"/>
        </w:rPr>
      </w:pPr>
    </w:p>
    <w:p>
      <w:pPr>
        <w:ind w:firstLine="432"/>
        <w:spacing w:after="0" w:line="254" w:lineRule="auto"/>
        <w:rPr>
          <w:sz w:val="20"/>
          <w:szCs w:val="20"/>
          <w:color w:val="auto"/>
        </w:rPr>
      </w:pPr>
      <w:r>
        <w:rPr>
          <w:rFonts w:ascii="Arial" w:cs="Arial" w:eastAsia="Arial" w:hAnsi="Arial"/>
          <w:sz w:val="12"/>
          <w:szCs w:val="12"/>
          <w:color w:val="auto"/>
        </w:rPr>
        <w:t>Shadow View is a consolidated subsidiary of the Company. The Company has from time to time made capital contributions to Shadow View. The Company has also, from time to time, as the managing member, funded on an interim basis certain costs incurred by Shadow View, ultimately billing such costs through to the two members. The Company has never paid any remuneration to Shadow View. Mr. Adams’ consulting fees with respect to the Shadow View Interest were to have been measured by the profit, if any, derived by the Cotter Interests from the Shadow View Investment. He has no beneficial interest in Shadow View or the Shadow View Investment. His consulting fees with respect to Shadow View were equal to 5% of the profit, if any, derived by the Cotter Interests from the Shadow View Investment after recoupment of its investment plus a return of 100%. To date, no profits have been generated by Shadow View and Mr. Adams has never received any compensation with respect to these consulting services. His consulting fee would have been calculated only after the Cotter Interests had received back their costs and expenses and two times their investment in Shadow View. Mr. Adams’ consulting fees would have been 2.5% of the then-profit, if any, recognized by Shadow View, considered as a whole.</w:t>
      </w:r>
    </w:p>
    <w:p>
      <w:pPr>
        <w:spacing w:after="0" w:line="104" w:lineRule="exact"/>
        <w:rPr>
          <w:sz w:val="20"/>
          <w:szCs w:val="20"/>
          <w:color w:val="auto"/>
        </w:rPr>
      </w:pPr>
    </w:p>
    <w:p>
      <w:pPr>
        <w:ind w:right="180" w:firstLine="432"/>
        <w:spacing w:after="0" w:line="276" w:lineRule="auto"/>
        <w:rPr>
          <w:sz w:val="20"/>
          <w:szCs w:val="20"/>
          <w:color w:val="auto"/>
        </w:rPr>
      </w:pPr>
      <w:r>
        <w:rPr>
          <w:rFonts w:ascii="Arial" w:cs="Arial" w:eastAsia="Arial" w:hAnsi="Arial"/>
          <w:sz w:val="12"/>
          <w:szCs w:val="12"/>
          <w:color w:val="auto"/>
        </w:rPr>
        <w:t>The Company and its subsidiaries (i) do not have any interest in, (ii) have never conducted any business with, and (iii) have not made any payments to, the Cotter Family Farms, the Texas Properties and/or the captive insurance entities.</w:t>
      </w:r>
    </w:p>
    <w:p>
      <w:pPr>
        <w:spacing w:after="0" w:line="8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Document Storage Agreement</w:t>
      </w:r>
    </w:p>
    <w:p>
      <w:pPr>
        <w:spacing w:after="0" w:line="136" w:lineRule="exact"/>
        <w:rPr>
          <w:sz w:val="20"/>
          <w:szCs w:val="20"/>
          <w:color w:val="auto"/>
        </w:rPr>
      </w:pPr>
    </w:p>
    <w:p>
      <w:pPr>
        <w:ind w:right="100" w:firstLine="432"/>
        <w:spacing w:after="0" w:line="276" w:lineRule="auto"/>
        <w:rPr>
          <w:sz w:val="20"/>
          <w:szCs w:val="20"/>
          <w:color w:val="auto"/>
        </w:rPr>
      </w:pPr>
      <w:r>
        <w:rPr>
          <w:rFonts w:ascii="Arial" w:cs="Arial" w:eastAsia="Arial" w:hAnsi="Arial"/>
          <w:sz w:val="12"/>
          <w:szCs w:val="12"/>
          <w:color w:val="auto"/>
        </w:rPr>
        <w:t>In consideration of the payment of $100 per month, our Company has agreed to allow Ellen Cotter and Margaret Cotter to keep certain files related to the Cotter Estate and/or the Cotter Trust at our Los Angeles Corporate Headquarters.</w:t>
      </w:r>
    </w:p>
    <w:p>
      <w:pPr>
        <w:spacing w:after="0" w:line="8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Review, Approval or Ratification of Transactions with Related Persons</w:t>
      </w:r>
    </w:p>
    <w:p>
      <w:pPr>
        <w:spacing w:after="0" w:line="127" w:lineRule="exact"/>
        <w:rPr>
          <w:sz w:val="20"/>
          <w:szCs w:val="20"/>
          <w:color w:val="auto"/>
        </w:rPr>
      </w:pPr>
    </w:p>
    <w:p>
      <w:pPr>
        <w:ind w:right="20" w:firstLine="432"/>
        <w:spacing w:after="0" w:line="257" w:lineRule="auto"/>
        <w:rPr>
          <w:sz w:val="20"/>
          <w:szCs w:val="20"/>
          <w:color w:val="auto"/>
        </w:rPr>
      </w:pPr>
      <w:r>
        <w:rPr>
          <w:rFonts w:ascii="Arial" w:cs="Arial" w:eastAsia="Arial" w:hAnsi="Arial"/>
          <w:sz w:val="12"/>
          <w:szCs w:val="12"/>
          <w:color w:val="auto"/>
        </w:rPr>
        <w:t>The Audit Committee has adopted a written charter, which includes responsibility for approval of “Related Party Transactions.” Under its charter, the Audit Committee performs the functions of the “Conflicts Committee” of the Board and is delegated responsibility and authority by the Board to review, consider and negotiate, and to approve or disapprove on behalf of the Company the terms and conditions of any and all Related Party Transactions (defined below) with the same effect as though such actions had been taken by the full Board. Any such matter requires no further action by the Board in order to be binding upon the Company, except in the case of matters that, under applicable Nevada Law, cannot be delegated to a committee of the Board and must be determined by the full Board. In those cases where the authority of the Board cannot be delegated, the Audit Committee nevertheless provides its recommendation to the full Board.</w:t>
      </w:r>
    </w:p>
    <w:p>
      <w:pPr>
        <w:spacing w:after="0" w:line="108" w:lineRule="exact"/>
        <w:rPr>
          <w:sz w:val="20"/>
          <w:szCs w:val="20"/>
          <w:color w:val="auto"/>
        </w:rPr>
      </w:pPr>
    </w:p>
    <w:p>
      <w:pPr>
        <w:ind w:firstLine="432"/>
        <w:spacing w:after="0" w:line="259" w:lineRule="auto"/>
        <w:rPr>
          <w:sz w:val="20"/>
          <w:szCs w:val="20"/>
          <w:color w:val="auto"/>
        </w:rPr>
      </w:pPr>
      <w:r>
        <w:rPr>
          <w:rFonts w:ascii="Arial" w:cs="Arial" w:eastAsia="Arial" w:hAnsi="Arial"/>
          <w:sz w:val="12"/>
          <w:szCs w:val="12"/>
          <w:color w:val="auto"/>
        </w:rPr>
        <w:t>As used in the Audit Committee’s Charter, the term “Related Party Transaction” means any transaction or arrangement between the Company on one hand, and on the other hand (i) any one or more directors, executive officers or stockholders holding more than 10% of the voting power of the Company (or any spouse, parent, sibling or heir of any such individual), or (ii) any one or more entities under common control with any one of such persons, or (iii) any entity in which one or more such persons holds more than a 10% interest. Related Party Transactions do not include matters related to employment or employee compensation related issues.</w:t>
      </w:r>
    </w:p>
    <w:p>
      <w:pPr>
        <w:spacing w:after="0" w:line="98" w:lineRule="exact"/>
        <w:rPr>
          <w:sz w:val="20"/>
          <w:szCs w:val="20"/>
          <w:color w:val="auto"/>
        </w:rPr>
      </w:pPr>
    </w:p>
    <w:p>
      <w:pPr>
        <w:ind w:right="400" w:firstLine="432"/>
        <w:spacing w:after="0" w:line="276" w:lineRule="auto"/>
        <w:rPr>
          <w:sz w:val="20"/>
          <w:szCs w:val="20"/>
          <w:color w:val="auto"/>
        </w:rPr>
      </w:pPr>
      <w:r>
        <w:rPr>
          <w:rFonts w:ascii="Arial" w:cs="Arial" w:eastAsia="Arial" w:hAnsi="Arial"/>
          <w:sz w:val="12"/>
          <w:szCs w:val="12"/>
          <w:color w:val="auto"/>
        </w:rPr>
        <w:t>The charter provides that the Audit Committee reviews transactions subject to the policy and determines whether or not to approve or ratify those transactions. In doing so, the Audit Committee takes into account, among other factors it deems appropriate:</w:t>
      </w:r>
    </w:p>
    <w:p>
      <w:pPr>
        <w:spacing w:after="0" w:line="88" w:lineRule="exact"/>
        <w:rPr>
          <w:sz w:val="20"/>
          <w:szCs w:val="20"/>
          <w:color w:val="auto"/>
        </w:rPr>
      </w:pPr>
    </w:p>
    <w:p>
      <w:pPr>
        <w:ind w:left="5220" w:right="4340" w:hanging="4567"/>
        <w:spacing w:after="0" w:line="527" w:lineRule="auto"/>
        <w:tabs>
          <w:tab w:leader="none" w:pos="712" w:val="left"/>
        </w:tabs>
        <w:numPr>
          <w:ilvl w:val="0"/>
          <w:numId w:val="77"/>
        </w:numPr>
        <w:rPr>
          <w:rFonts w:ascii="Arial" w:cs="Arial" w:eastAsia="Arial" w:hAnsi="Arial"/>
          <w:sz w:val="12"/>
          <w:szCs w:val="12"/>
          <w:color w:val="auto"/>
        </w:rPr>
      </w:pPr>
      <w:r>
        <w:rPr>
          <w:rFonts w:ascii="Arial" w:cs="Arial" w:eastAsia="Arial" w:hAnsi="Arial"/>
          <w:sz w:val="12"/>
          <w:szCs w:val="12"/>
          <w:color w:val="auto"/>
        </w:rPr>
        <w:t>the approximate dollar value of the amount involved in the transaction and whether the transaction is material to us; 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-53975</wp:posOffset>
            </wp:positionV>
            <wp:extent cx="6779895"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779895" cy="42545"/>
                    </a:xfrm>
                    <a:prstGeom prst="rect">
                      <a:avLst/>
                    </a:prstGeom>
                    <a:noFill/>
                  </pic:spPr>
                </pic:pic>
              </a:graphicData>
            </a:graphic>
          </wp:anchor>
        </w:drawing>
      </w:r>
    </w:p>
    <w:p>
      <w:pPr>
        <w:sectPr>
          <w:pgSz w:w="11900" w:h="16838" w:orient="portrait"/>
          <w:cols w:equalWidth="0" w:num="1">
            <w:col w:w="10620"/>
          </w:cols>
          <w:pgMar w:left="640" w:top="275" w:right="639" w:bottom="1440" w:gutter="0" w:footer="0" w:header="0"/>
        </w:sectPr>
      </w:pPr>
    </w:p>
    <w:bookmarkStart w:id="126" w:name="page127"/>
    <w:bookmarkEnd w:id="126"/>
    <w:p>
      <w:pPr>
        <w:ind w:left="660"/>
        <w:spacing w:after="0"/>
        <w:rPr>
          <w:sz w:val="20"/>
          <w:szCs w:val="20"/>
          <w:color w:val="auto"/>
        </w:rPr>
      </w:pPr>
      <w:r>
        <w:rPr>
          <w:rFonts w:ascii="Arial" w:cs="Arial" w:eastAsia="Arial" w:hAnsi="Arial"/>
          <w:sz w:val="12"/>
          <w:szCs w:val="12"/>
          <w:color w:val="auto"/>
        </w:rPr>
        <w:t>·whether the terms are fair to us, have resulted from arm’s length negotiations and are on terms at least as favorable as would apply if the transaction did not involve a Related Person;</w:t>
      </w:r>
    </w:p>
    <w:p>
      <w:pPr>
        <w:spacing w:after="0" w:line="15" w:lineRule="exact"/>
        <w:rPr>
          <w:sz w:val="20"/>
          <w:szCs w:val="20"/>
          <w:color w:val="auto"/>
        </w:rPr>
      </w:pPr>
    </w:p>
    <w:p>
      <w:pPr>
        <w:ind w:left="760" w:hanging="107"/>
        <w:spacing w:after="0"/>
        <w:tabs>
          <w:tab w:leader="none" w:pos="760" w:val="left"/>
        </w:tabs>
        <w:numPr>
          <w:ilvl w:val="0"/>
          <w:numId w:val="78"/>
        </w:numPr>
        <w:rPr>
          <w:rFonts w:ascii="Arial" w:cs="Arial" w:eastAsia="Arial" w:hAnsi="Arial"/>
          <w:sz w:val="12"/>
          <w:szCs w:val="12"/>
          <w:color w:val="auto"/>
        </w:rPr>
      </w:pPr>
      <w:r>
        <w:rPr>
          <w:rFonts w:ascii="Arial" w:cs="Arial" w:eastAsia="Arial" w:hAnsi="Arial"/>
          <w:sz w:val="12"/>
          <w:szCs w:val="12"/>
          <w:color w:val="auto"/>
        </w:rPr>
        <w:t>the purpose of, and the potential benefits to us of, the transaction;</w:t>
      </w:r>
    </w:p>
    <w:p>
      <w:pPr>
        <w:spacing w:after="0" w:line="6" w:lineRule="exact"/>
        <w:rPr>
          <w:rFonts w:ascii="Arial" w:cs="Arial" w:eastAsia="Arial" w:hAnsi="Arial"/>
          <w:sz w:val="12"/>
          <w:szCs w:val="12"/>
          <w:color w:val="auto"/>
        </w:rPr>
      </w:pPr>
    </w:p>
    <w:p>
      <w:pPr>
        <w:ind w:left="740" w:hanging="87"/>
        <w:spacing w:after="0"/>
        <w:tabs>
          <w:tab w:leader="none" w:pos="740" w:val="left"/>
        </w:tabs>
        <w:numPr>
          <w:ilvl w:val="0"/>
          <w:numId w:val="78"/>
        </w:numPr>
        <w:rPr>
          <w:rFonts w:ascii="Arial" w:cs="Arial" w:eastAsia="Arial" w:hAnsi="Arial"/>
          <w:sz w:val="12"/>
          <w:szCs w:val="12"/>
          <w:color w:val="auto"/>
        </w:rPr>
      </w:pPr>
      <w:r>
        <w:rPr>
          <w:rFonts w:ascii="Arial" w:cs="Arial" w:eastAsia="Arial" w:hAnsi="Arial"/>
          <w:sz w:val="12"/>
          <w:szCs w:val="12"/>
          <w:color w:val="auto"/>
        </w:rPr>
        <w:t>whether the transaction was undertaken in our ordinary course of business;</w:t>
      </w:r>
    </w:p>
    <w:p>
      <w:pPr>
        <w:spacing w:after="0" w:line="6" w:lineRule="exact"/>
        <w:rPr>
          <w:sz w:val="20"/>
          <w:szCs w:val="20"/>
          <w:color w:val="auto"/>
        </w:rPr>
      </w:pPr>
    </w:p>
    <w:p>
      <w:pPr>
        <w:ind w:left="660"/>
        <w:spacing w:after="0"/>
        <w:rPr>
          <w:sz w:val="20"/>
          <w:szCs w:val="20"/>
          <w:color w:val="auto"/>
        </w:rPr>
      </w:pPr>
      <w:r>
        <w:rPr>
          <w:rFonts w:ascii="Arial" w:cs="Arial" w:eastAsia="Arial" w:hAnsi="Arial"/>
          <w:sz w:val="11"/>
          <w:szCs w:val="11"/>
          <w:color w:val="auto"/>
        </w:rPr>
        <w:t>·the Related Person’s interest in the transaction, including the approximate dollar value of the amount of the Related Person’s interest in the transaction without regard to the amount of any profit or loss;</w:t>
      </w:r>
    </w:p>
    <w:p>
      <w:pPr>
        <w:spacing w:after="0" w:line="18" w:lineRule="exact"/>
        <w:rPr>
          <w:sz w:val="20"/>
          <w:szCs w:val="20"/>
          <w:color w:val="auto"/>
        </w:rPr>
      </w:pPr>
    </w:p>
    <w:p>
      <w:pPr>
        <w:ind w:left="840" w:hanging="187"/>
        <w:spacing w:after="0"/>
        <w:tabs>
          <w:tab w:leader="none" w:pos="840" w:val="left"/>
        </w:tabs>
        <w:numPr>
          <w:ilvl w:val="0"/>
          <w:numId w:val="79"/>
        </w:numPr>
        <w:rPr>
          <w:rFonts w:ascii="Arial" w:cs="Arial" w:eastAsia="Arial" w:hAnsi="Arial"/>
          <w:sz w:val="12"/>
          <w:szCs w:val="12"/>
          <w:color w:val="auto"/>
        </w:rPr>
      </w:pPr>
      <w:r>
        <w:rPr>
          <w:rFonts w:ascii="Arial" w:cs="Arial" w:eastAsia="Arial" w:hAnsi="Arial"/>
          <w:sz w:val="12"/>
          <w:szCs w:val="12"/>
          <w:color w:val="auto"/>
        </w:rPr>
        <w:t>required public disclosure, if any; and</w:t>
      </w:r>
    </w:p>
    <w:p>
      <w:pPr>
        <w:spacing w:after="0" w:line="6" w:lineRule="exact"/>
        <w:rPr>
          <w:sz w:val="20"/>
          <w:szCs w:val="20"/>
          <w:color w:val="auto"/>
        </w:rPr>
      </w:pPr>
    </w:p>
    <w:p>
      <w:pPr>
        <w:ind w:right="340" w:firstLine="432"/>
        <w:spacing w:after="0" w:line="454" w:lineRule="auto"/>
        <w:rPr>
          <w:sz w:val="20"/>
          <w:szCs w:val="20"/>
          <w:color w:val="auto"/>
        </w:rPr>
      </w:pPr>
      <w:r>
        <w:rPr>
          <w:rFonts w:ascii="Arial" w:cs="Arial" w:eastAsia="Arial" w:hAnsi="Arial"/>
          <w:sz w:val="12"/>
          <w:szCs w:val="12"/>
          <w:color w:val="auto"/>
        </w:rPr>
        <w:t xml:space="preserve">any other information regarding the transaction or the Related Person in the context of the proposed transaction that would be material to investors in light of the circumstances of the particular transaction. </w:t>
      </w:r>
      <w:r>
        <w:rPr>
          <w:rFonts w:ascii="Arial" w:cs="Arial" w:eastAsia="Arial" w:hAnsi="Arial"/>
          <w:sz w:val="12"/>
          <w:szCs w:val="12"/>
          <w:b w:val="1"/>
          <w:bCs w:val="1"/>
          <w:color w:val="auto"/>
        </w:rPr>
        <w:t>Director Independence</w:t>
      </w:r>
    </w:p>
    <w:p>
      <w:pPr>
        <w:ind w:firstLine="432"/>
        <w:spacing w:after="0" w:line="257" w:lineRule="auto"/>
        <w:rPr>
          <w:sz w:val="20"/>
          <w:szCs w:val="20"/>
          <w:color w:val="auto"/>
        </w:rPr>
      </w:pPr>
      <w:r>
        <w:rPr>
          <w:rFonts w:ascii="Arial" w:cs="Arial" w:eastAsia="Arial" w:hAnsi="Arial"/>
          <w:sz w:val="12"/>
          <w:szCs w:val="12"/>
          <w:color w:val="auto"/>
        </w:rPr>
        <w:t>The Company has elected to take the “controlled company” exception under applicable listing rules of The NASDAQ Stock Market (the “NASDAQ Listing Rules”). Accordingly, the Company is exempted from the requirement to have an independent nominating committee and to have a board composed of at least a majority of independent directors. We are nevertheless nominating six independent directors for election to our Board. We have an Audit and Conflicts Committee (the “Audit Committee”) and a Compensation Committee composed entirely of independent directors. We have a four member Executive Committee composed of our Chairperson and Vice-Chairperson and two independent directors (Messrs. Guy W. Adams and Edward L. Kane). Due to this structure, the concurrence of at least one independent member of the Executive Committee is required in order for the Executive Committee to take action.</w:t>
      </w:r>
    </w:p>
    <w:p>
      <w:pPr>
        <w:spacing w:after="0" w:line="99" w:lineRule="exact"/>
        <w:rPr>
          <w:sz w:val="20"/>
          <w:szCs w:val="20"/>
          <w:color w:val="auto"/>
        </w:rPr>
      </w:pPr>
    </w:p>
    <w:p>
      <w:pPr>
        <w:ind w:right="20" w:firstLine="432"/>
        <w:spacing w:after="0" w:line="255" w:lineRule="auto"/>
        <w:rPr>
          <w:sz w:val="20"/>
          <w:szCs w:val="20"/>
          <w:color w:val="auto"/>
        </w:rPr>
      </w:pPr>
      <w:r>
        <w:rPr>
          <w:rFonts w:ascii="Arial" w:cs="Arial" w:eastAsia="Arial" w:hAnsi="Arial"/>
          <w:sz w:val="12"/>
          <w:szCs w:val="12"/>
          <w:color w:val="auto"/>
        </w:rPr>
        <w:t>We believe that our Directors bring a broad range of leadership experience to our Company and regularly contribute to the thoughtful discussion involved in effectively overseeing the business and affairs of the Company. We believe that all Board members are well engaged in their responsibilities and that all Board members express their views and consider the opinions expressed by other Directors. Six Directors on our Board are independent under the NASDAQ Listing Rules and SEC rules, and William D. Gould serves as the lead director among our Independent Directors. In that capacity, Mr. Gould chairs meetings of the Independent Directors and acts as liaison between our Chairperson of the Board and interim Chief Executive Officer and our Independent Directors. Our Independent Directors are involved in the leadership structure of our Board by serving on our Audit Committee, the Compensation Committee and the Tax Oversight Committee, each of which has a separate independent chairperson. Nominations to our Board for the Annual Meeting were made by our entire Board, consisting of a majority of Independent Directors.</w:t>
      </w:r>
    </w:p>
    <w:p>
      <w:pPr>
        <w:spacing w:after="0" w:line="102" w:lineRule="exact"/>
        <w:rPr>
          <w:sz w:val="20"/>
          <w:szCs w:val="20"/>
          <w:color w:val="auto"/>
        </w:rPr>
      </w:pPr>
    </w:p>
    <w:p>
      <w:pPr>
        <w:ind w:right="60" w:firstLine="432"/>
        <w:spacing w:after="0" w:line="281" w:lineRule="auto"/>
        <w:rPr>
          <w:sz w:val="20"/>
          <w:szCs w:val="20"/>
          <w:color w:val="auto"/>
        </w:rPr>
      </w:pPr>
      <w:r>
        <w:rPr>
          <w:rFonts w:ascii="Arial" w:cs="Arial" w:eastAsia="Arial" w:hAnsi="Arial"/>
          <w:sz w:val="11"/>
          <w:szCs w:val="11"/>
          <w:u w:val="single" w:color="auto"/>
          <w:color w:val="auto"/>
        </w:rPr>
        <w:t>Audit Committee</w:t>
      </w:r>
      <w:r>
        <w:rPr>
          <w:rFonts w:ascii="Arial" w:cs="Arial" w:eastAsia="Arial" w:hAnsi="Arial"/>
          <w:sz w:val="11"/>
          <w:szCs w:val="11"/>
          <w:color w:val="auto"/>
        </w:rPr>
        <w:t>. Our Board has determined that the Audit Committee is composed entirely of independent Directors (as defined in section 5605(a)(2) of the NASDAQ Listing Rules), and that Mr. McEachern, the Chair of our Audit Committee, is qualified as an Audit Committee Financial Expert. Our Audit Committee is currently composed of Mr. McEachern, who serves as Chairperson, Mr. Kane and Mr.</w:t>
      </w:r>
    </w:p>
    <w:p>
      <w:pPr>
        <w:spacing w:after="0" w:line="1" w:lineRule="exact"/>
        <w:rPr>
          <w:sz w:val="20"/>
          <w:szCs w:val="20"/>
          <w:color w:val="auto"/>
        </w:rPr>
      </w:pPr>
    </w:p>
    <w:p>
      <w:pPr>
        <w:ind w:right="100"/>
        <w:spacing w:after="0" w:line="261" w:lineRule="auto"/>
        <w:rPr>
          <w:sz w:val="20"/>
          <w:szCs w:val="20"/>
          <w:color w:val="auto"/>
        </w:rPr>
      </w:pPr>
      <w:r>
        <w:rPr>
          <w:rFonts w:ascii="Arial" w:cs="Arial" w:eastAsia="Arial" w:hAnsi="Arial"/>
          <w:sz w:val="12"/>
          <w:szCs w:val="12"/>
          <w:color w:val="auto"/>
        </w:rPr>
        <w:t>Wrotniak. Mr. Storey, who served on our board through October 11, 2015, served on our Audit Committee through the same date. The Audit Committee held four meetings during 2015. For additional information, see the Audit Committee section of Item 10 – Directors, Executive Officers and Corporate Governance, above.</w:t>
      </w:r>
    </w:p>
    <w:p>
      <w:pPr>
        <w:spacing w:after="0" w:line="105" w:lineRule="exact"/>
        <w:rPr>
          <w:sz w:val="20"/>
          <w:szCs w:val="20"/>
          <w:color w:val="auto"/>
        </w:rPr>
      </w:pPr>
    </w:p>
    <w:p>
      <w:pPr>
        <w:ind w:right="60" w:firstLine="432"/>
        <w:spacing w:after="0" w:line="286" w:lineRule="auto"/>
        <w:rPr>
          <w:sz w:val="20"/>
          <w:szCs w:val="20"/>
          <w:color w:val="auto"/>
        </w:rPr>
      </w:pPr>
      <w:r>
        <w:rPr>
          <w:rFonts w:ascii="Arial" w:cs="Arial" w:eastAsia="Arial" w:hAnsi="Arial"/>
          <w:sz w:val="11"/>
          <w:szCs w:val="11"/>
          <w:u w:val="single" w:color="auto"/>
          <w:color w:val="auto"/>
        </w:rPr>
        <w:t>Compensation Committee</w:t>
      </w:r>
      <w:r>
        <w:rPr>
          <w:rFonts w:ascii="Arial" w:cs="Arial" w:eastAsia="Arial" w:hAnsi="Arial"/>
          <w:sz w:val="11"/>
          <w:szCs w:val="11"/>
          <w:color w:val="auto"/>
        </w:rPr>
        <w:t xml:space="preserve">. The Compensation Committee is currently composed of Mr. Kane, who serves as Chairperson, Mr. Adams and Dr. Codding. Mr. Storey served on our Compensation Committee through October 11, 2015. The Compensation Committee’s charter is available on our website at </w:t>
      </w:r>
      <w:r>
        <w:rPr>
          <w:rFonts w:ascii="Arial" w:cs="Arial" w:eastAsia="Arial" w:hAnsi="Arial"/>
          <w:sz w:val="11"/>
          <w:szCs w:val="11"/>
          <w:u w:val="single" w:color="auto"/>
          <w:color w:val="0000FF"/>
        </w:rPr>
        <w:t>http://www.readingrdi.com/compensation-stock-options-committee/</w:t>
      </w:r>
      <w:r>
        <w:rPr>
          <w:rFonts w:ascii="Arial" w:cs="Arial" w:eastAsia="Arial" w:hAnsi="Arial"/>
          <w:sz w:val="11"/>
          <w:szCs w:val="11"/>
          <w:color w:val="auto"/>
        </w:rPr>
        <w:t>. The Compensation Committee evaluates and makes recommendations to the full Board regarding the compensation of our Chief Executive Officer and other executive officers (including the Cotter family members). In addition, the Compensation Committee establishes the Company’s general compensation philosophy and objectives (in consultation with management), approves and adopts on behalf of the Board incentive compensation and equity-based compensation plans, subject to stockholder approval as required, and performs other compensation related functions as delegated by our Board. The Compensation Committee held three meetings during 2015.</w:t>
      </w:r>
    </w:p>
    <w:p>
      <w:pPr>
        <w:spacing w:after="0" w:line="10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14 – Principal Accounting Fees and Services</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Summary of Principal Accounting Fees for Professional Services Rendered</w:t>
      </w:r>
    </w:p>
    <w:p>
      <w:pPr>
        <w:spacing w:after="0" w:line="127" w:lineRule="exact"/>
        <w:rPr>
          <w:sz w:val="20"/>
          <w:szCs w:val="20"/>
          <w:color w:val="auto"/>
        </w:rPr>
      </w:pPr>
    </w:p>
    <w:p>
      <w:pPr>
        <w:ind w:right="300" w:firstLine="432"/>
        <w:spacing w:after="0" w:line="276" w:lineRule="auto"/>
        <w:rPr>
          <w:sz w:val="20"/>
          <w:szCs w:val="20"/>
          <w:color w:val="auto"/>
        </w:rPr>
      </w:pPr>
      <w:r>
        <w:rPr>
          <w:rFonts w:ascii="Arial" w:cs="Arial" w:eastAsia="Arial" w:hAnsi="Arial"/>
          <w:sz w:val="12"/>
          <w:szCs w:val="12"/>
          <w:color w:val="auto"/>
        </w:rPr>
        <w:t>Our independent public accountants, Grant Thornton LLP, have audited our financial statements for the fiscal year ended December 31, 2015, and are expected to have a representative present at the Annual Meeting, who will have the opportunity to make a statement if he or she desires to do so and is expected to be available to respond to appropriate questions.</w:t>
      </w:r>
    </w:p>
    <w:p>
      <w:pPr>
        <w:spacing w:after="0" w:line="9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Audit Fees</w:t>
      </w:r>
    </w:p>
    <w:p>
      <w:pPr>
        <w:spacing w:after="0" w:line="127" w:lineRule="exact"/>
        <w:rPr>
          <w:sz w:val="20"/>
          <w:szCs w:val="20"/>
          <w:color w:val="auto"/>
        </w:rPr>
      </w:pPr>
    </w:p>
    <w:p>
      <w:pPr>
        <w:ind w:right="20" w:firstLine="432"/>
        <w:spacing w:after="0" w:line="276" w:lineRule="auto"/>
        <w:rPr>
          <w:sz w:val="20"/>
          <w:szCs w:val="20"/>
          <w:color w:val="auto"/>
        </w:rPr>
      </w:pPr>
      <w:r>
        <w:rPr>
          <w:rFonts w:ascii="Arial" w:cs="Arial" w:eastAsia="Arial" w:hAnsi="Arial"/>
          <w:sz w:val="12"/>
          <w:szCs w:val="12"/>
          <w:color w:val="auto"/>
        </w:rPr>
        <w:t>The aggregate fees for professional services for the audit of our financial statements, audit of internal controls related to the Sarbanes-Oxley Act, and the reviews of the financial statements included in our Forms 10-K and 10-Q provided by Grant Thornton LLP for 2015 and 2014 were approximately $931,500 and $661,700, respectively.</w:t>
      </w:r>
    </w:p>
    <w:p>
      <w:pPr>
        <w:spacing w:after="0" w:line="115"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59690</wp:posOffset>
            </wp:positionV>
            <wp:extent cx="6779895"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779895" cy="42545"/>
                    </a:xfrm>
                    <a:prstGeom prst="rect">
                      <a:avLst/>
                    </a:prstGeom>
                    <a:noFill/>
                  </pic:spPr>
                </pic:pic>
              </a:graphicData>
            </a:graphic>
          </wp:anchor>
        </w:drawing>
      </w:r>
    </w:p>
    <w:p>
      <w:pPr>
        <w:sectPr>
          <w:pgSz w:w="11900" w:h="16838" w:orient="portrait"/>
          <w:cols w:equalWidth="0" w:num="1">
            <w:col w:w="10600"/>
          </w:cols>
          <w:pgMar w:left="640" w:top="275" w:right="659" w:bottom="1440" w:gutter="0" w:footer="0" w:header="0"/>
        </w:sectPr>
      </w:pPr>
    </w:p>
    <w:bookmarkStart w:id="127" w:name="page128"/>
    <w:bookmarkEnd w:id="127"/>
    <w:p>
      <w:pPr>
        <w:spacing w:after="0"/>
        <w:rPr>
          <w:sz w:val="20"/>
          <w:szCs w:val="20"/>
          <w:color w:val="auto"/>
        </w:rPr>
      </w:pPr>
      <w:r>
        <w:rPr>
          <w:rFonts w:ascii="Arial" w:cs="Arial" w:eastAsia="Arial" w:hAnsi="Arial"/>
          <w:sz w:val="12"/>
          <w:szCs w:val="12"/>
          <w:b w:val="1"/>
          <w:bCs w:val="1"/>
          <w:color w:val="auto"/>
        </w:rPr>
        <w:t>Audit-Related Fees</w:t>
      </w:r>
    </w:p>
    <w:p>
      <w:pPr>
        <w:spacing w:after="0" w:line="127" w:lineRule="exact"/>
        <w:rPr>
          <w:sz w:val="20"/>
          <w:szCs w:val="20"/>
          <w:color w:val="auto"/>
        </w:rPr>
      </w:pPr>
    </w:p>
    <w:p>
      <w:pPr>
        <w:ind w:left="440"/>
        <w:spacing w:after="0"/>
        <w:rPr>
          <w:sz w:val="20"/>
          <w:szCs w:val="20"/>
          <w:color w:val="auto"/>
        </w:rPr>
      </w:pPr>
      <w:r>
        <w:rPr>
          <w:rFonts w:ascii="Arial" w:cs="Arial" w:eastAsia="Arial" w:hAnsi="Arial"/>
          <w:sz w:val="12"/>
          <w:szCs w:val="12"/>
          <w:color w:val="auto"/>
        </w:rPr>
        <w:t>Grant Thornton LLP did not provide us any audit related services for 2015 or 2014.</w:t>
      </w:r>
    </w:p>
    <w:p>
      <w:pPr>
        <w:spacing w:after="0" w:line="12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Tax Fees</w:t>
      </w:r>
    </w:p>
    <w:p>
      <w:pPr>
        <w:spacing w:after="0" w:line="127" w:lineRule="exact"/>
        <w:rPr>
          <w:sz w:val="20"/>
          <w:szCs w:val="20"/>
          <w:color w:val="auto"/>
        </w:rPr>
      </w:pPr>
    </w:p>
    <w:p>
      <w:pPr>
        <w:ind w:left="440"/>
        <w:spacing w:after="0"/>
        <w:rPr>
          <w:sz w:val="20"/>
          <w:szCs w:val="20"/>
          <w:color w:val="auto"/>
        </w:rPr>
      </w:pPr>
      <w:r>
        <w:rPr>
          <w:rFonts w:ascii="Arial" w:cs="Arial" w:eastAsia="Arial" w:hAnsi="Arial"/>
          <w:sz w:val="12"/>
          <w:szCs w:val="12"/>
          <w:color w:val="auto"/>
        </w:rPr>
        <w:t>Grant Thornton LLP did not provide us any products or any services for tax compliance, tax advice, or tax planning for 2015 or 2014.</w:t>
      </w:r>
    </w:p>
    <w:p>
      <w:pPr>
        <w:spacing w:after="0" w:line="11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All Other Fees</w:t>
      </w:r>
    </w:p>
    <w:p>
      <w:pPr>
        <w:spacing w:after="0" w:line="136" w:lineRule="exact"/>
        <w:rPr>
          <w:sz w:val="20"/>
          <w:szCs w:val="20"/>
          <w:color w:val="auto"/>
        </w:rPr>
      </w:pPr>
    </w:p>
    <w:p>
      <w:pPr>
        <w:ind w:left="440"/>
        <w:spacing w:after="0"/>
        <w:rPr>
          <w:sz w:val="20"/>
          <w:szCs w:val="20"/>
          <w:color w:val="auto"/>
        </w:rPr>
      </w:pPr>
      <w:r>
        <w:rPr>
          <w:rFonts w:ascii="Arial" w:cs="Arial" w:eastAsia="Arial" w:hAnsi="Arial"/>
          <w:sz w:val="12"/>
          <w:szCs w:val="12"/>
          <w:color w:val="auto"/>
        </w:rPr>
        <w:t>Grant Thornton LLP did not provide us any services for 2015 or 2014, other than as set forth above.</w:t>
      </w:r>
    </w:p>
    <w:p>
      <w:pPr>
        <w:spacing w:after="0" w:line="11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Pre-Approval Policies and Procedures</w:t>
      </w:r>
    </w:p>
    <w:p>
      <w:pPr>
        <w:spacing w:after="0" w:line="127" w:lineRule="exact"/>
        <w:rPr>
          <w:sz w:val="20"/>
          <w:szCs w:val="20"/>
          <w:color w:val="auto"/>
        </w:rPr>
      </w:pPr>
    </w:p>
    <w:p>
      <w:pPr>
        <w:ind w:firstLine="432"/>
        <w:spacing w:after="0" w:line="257" w:lineRule="auto"/>
        <w:rPr>
          <w:sz w:val="20"/>
          <w:szCs w:val="20"/>
          <w:color w:val="auto"/>
        </w:rPr>
      </w:pPr>
      <w:r>
        <w:rPr>
          <w:rFonts w:ascii="Arial" w:cs="Arial" w:eastAsia="Arial" w:hAnsi="Arial"/>
          <w:sz w:val="12"/>
          <w:szCs w:val="12"/>
          <w:color w:val="auto"/>
        </w:rPr>
        <w:t xml:space="preserve">Our Audit Committee must pre-approve, to the extent required by applicable law, all audit services and permissible non-audit services provided by our independent registered public accounting firm, except for any </w:t>
      </w:r>
      <w:r>
        <w:rPr>
          <w:rFonts w:ascii="Arial" w:cs="Arial" w:eastAsia="Arial" w:hAnsi="Arial"/>
          <w:sz w:val="12"/>
          <w:szCs w:val="12"/>
          <w:i w:val="1"/>
          <w:iCs w:val="1"/>
          <w:color w:val="auto"/>
        </w:rPr>
        <w:t>de minimis</w:t>
      </w:r>
      <w:r>
        <w:rPr>
          <w:rFonts w:ascii="Arial" w:cs="Arial" w:eastAsia="Arial" w:hAnsi="Arial"/>
          <w:sz w:val="12"/>
          <w:szCs w:val="12"/>
          <w:color w:val="auto"/>
        </w:rPr>
        <w:t xml:space="preserve"> non-audit services. Non-audit services are considered </w:t>
      </w:r>
      <w:r>
        <w:rPr>
          <w:rFonts w:ascii="Arial" w:cs="Arial" w:eastAsia="Arial" w:hAnsi="Arial"/>
          <w:sz w:val="12"/>
          <w:szCs w:val="12"/>
          <w:i w:val="1"/>
          <w:iCs w:val="1"/>
          <w:color w:val="auto"/>
        </w:rPr>
        <w:t>de minimis</w:t>
      </w:r>
      <w:r>
        <w:rPr>
          <w:rFonts w:ascii="Arial" w:cs="Arial" w:eastAsia="Arial" w:hAnsi="Arial"/>
          <w:sz w:val="12"/>
          <w:szCs w:val="12"/>
          <w:color w:val="auto"/>
        </w:rPr>
        <w:t xml:space="preserve"> if (i) the aggregate amount of all such non-audit services constitutes less than 5% of the total amount of revenues we paid to our independent registered public accounting firm during the fiscal year in which they are provided; (ii) we did not recognize such services at the time of the engagement to be non-audit services; and (iii) such services are promptly submitted to our Audit Committee for approval prior to the completion of the audit by our Audit Committee or any of its members who has authority to give such approval. Our Audit Committee pre-approved all services provided to us by Grant Thornton LLP for 2015 and 2014.</w:t>
      </w:r>
    </w:p>
    <w:p>
      <w:pPr>
        <w:spacing w:after="0" w:line="126" w:lineRule="exact"/>
        <w:rPr>
          <w:sz w:val="20"/>
          <w:szCs w:val="20"/>
          <w:color w:val="auto"/>
        </w:rPr>
      </w:pPr>
    </w:p>
    <w:p>
      <w:pPr>
        <w:jc w:val="center"/>
        <w:ind w:right="-119"/>
        <w:spacing w:after="0"/>
        <w:rPr>
          <w:sz w:val="20"/>
          <w:szCs w:val="20"/>
          <w:color w:val="auto"/>
        </w:rPr>
      </w:pPr>
      <w:r>
        <w:rPr>
          <w:rFonts w:ascii="Arial" w:cs="Arial" w:eastAsia="Arial" w:hAnsi="Arial"/>
          <w:sz w:val="12"/>
          <w:szCs w:val="12"/>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59690</wp:posOffset>
            </wp:positionV>
            <wp:extent cx="6779895"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779895" cy="42545"/>
                    </a:xfrm>
                    <a:prstGeom prst="rect">
                      <a:avLst/>
                    </a:prstGeom>
                    <a:noFill/>
                  </pic:spPr>
                </pic:pic>
              </a:graphicData>
            </a:graphic>
          </wp:anchor>
        </w:drawing>
      </w:r>
    </w:p>
    <w:p>
      <w:pPr>
        <w:sectPr>
          <w:pgSz w:w="11900" w:h="16838" w:orient="portrait"/>
          <w:cols w:equalWidth="0" w:num="1">
            <w:col w:w="10500"/>
          </w:cols>
          <w:pgMar w:left="640" w:top="271" w:right="759" w:bottom="1440" w:gutter="0" w:footer="0" w:header="0"/>
        </w:sectPr>
      </w:pPr>
    </w:p>
    <w:bookmarkStart w:id="128" w:name="page129"/>
    <w:bookmarkEnd w:id="128"/>
    <w:p>
      <w:pPr>
        <w:ind w:left="5080"/>
        <w:spacing w:after="0"/>
        <w:rPr>
          <w:sz w:val="20"/>
          <w:szCs w:val="20"/>
          <w:color w:val="auto"/>
        </w:rPr>
      </w:pPr>
      <w:r>
        <w:rPr>
          <w:rFonts w:ascii="Arial" w:cs="Arial" w:eastAsia="Arial" w:hAnsi="Arial"/>
          <w:sz w:val="12"/>
          <w:szCs w:val="12"/>
          <w:b w:val="1"/>
          <w:bCs w:val="1"/>
          <w:u w:val="single" w:color="auto"/>
          <w:color w:val="auto"/>
        </w:rPr>
        <w:t>PART IV</w:t>
      </w:r>
    </w:p>
    <w:p>
      <w:pPr>
        <w:spacing w:after="0" w:line="60"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auto"/>
        </w:rPr>
        <w:t>Item 15 – Exhibits, Financial Statement Schedules</w:t>
      </w:r>
    </w:p>
    <w:p>
      <w:pPr>
        <w:spacing w:after="0" w:line="73" w:lineRule="exact"/>
        <w:rPr>
          <w:sz w:val="20"/>
          <w:szCs w:val="20"/>
          <w:color w:val="auto"/>
        </w:rPr>
      </w:pPr>
    </w:p>
    <w:p>
      <w:pPr>
        <w:spacing w:after="0"/>
        <w:rPr>
          <w:sz w:val="20"/>
          <w:szCs w:val="20"/>
          <w:color w:val="auto"/>
        </w:rPr>
      </w:pPr>
      <w:r>
        <w:rPr>
          <w:rFonts w:ascii="Arial" w:cs="Arial" w:eastAsia="Arial" w:hAnsi="Arial"/>
          <w:sz w:val="12"/>
          <w:szCs w:val="12"/>
          <w:color w:val="auto"/>
        </w:rPr>
        <w:t>(a) The following documents are filed as a part of this report:</w:t>
      </w:r>
    </w:p>
    <w:p>
      <w:pPr>
        <w:spacing w:after="0" w:line="123" w:lineRule="exact"/>
        <w:rPr>
          <w:sz w:val="20"/>
          <w:szCs w:val="20"/>
          <w:color w:val="auto"/>
        </w:rPr>
      </w:pPr>
    </w:p>
    <w:p>
      <w:pPr>
        <w:ind w:left="640" w:hanging="419"/>
        <w:spacing w:after="0"/>
        <w:tabs>
          <w:tab w:leader="none" w:pos="640" w:val="left"/>
        </w:tabs>
        <w:numPr>
          <w:ilvl w:val="0"/>
          <w:numId w:val="80"/>
        </w:numPr>
        <w:rPr>
          <w:rFonts w:ascii="Arial" w:cs="Arial" w:eastAsia="Arial" w:hAnsi="Arial"/>
          <w:sz w:val="12"/>
          <w:szCs w:val="12"/>
          <w:color w:val="auto"/>
        </w:rPr>
      </w:pPr>
      <w:r>
        <w:rPr>
          <w:rFonts w:ascii="Arial" w:cs="Arial" w:eastAsia="Arial" w:hAnsi="Arial"/>
          <w:sz w:val="12"/>
          <w:szCs w:val="12"/>
          <w:i w:val="1"/>
          <w:iCs w:val="1"/>
          <w:color w:val="auto"/>
        </w:rPr>
        <w:t>Financial Statements</w:t>
      </w:r>
    </w:p>
    <w:p>
      <w:pPr>
        <w:spacing w:after="0" w:line="69" w:lineRule="exact"/>
        <w:rPr>
          <w:sz w:val="20"/>
          <w:szCs w:val="20"/>
          <w:color w:val="auto"/>
        </w:rPr>
      </w:pPr>
    </w:p>
    <w:p>
      <w:pPr>
        <w:spacing w:after="0"/>
        <w:rPr>
          <w:sz w:val="20"/>
          <w:szCs w:val="20"/>
          <w:color w:val="auto"/>
        </w:rPr>
      </w:pPr>
      <w:r>
        <w:rPr>
          <w:rFonts w:ascii="Arial" w:cs="Arial" w:eastAsia="Arial" w:hAnsi="Arial"/>
          <w:sz w:val="10"/>
          <w:szCs w:val="10"/>
          <w:color w:val="auto"/>
        </w:rPr>
        <w:t xml:space="preserve">The following financial statements are filed as part of this report under Item 8 – </w:t>
      </w:r>
      <w:r>
        <w:rPr>
          <w:rFonts w:ascii="Arial" w:cs="Arial" w:eastAsia="Arial" w:hAnsi="Arial"/>
          <w:sz w:val="10"/>
          <w:szCs w:val="10"/>
          <w:i w:val="1"/>
          <w:iCs w:val="1"/>
          <w:color w:val="auto"/>
        </w:rPr>
        <w:t>Financial Statements and Supplementary Data</w:t>
      </w:r>
      <w:r>
        <w:rPr>
          <w:rFonts w:ascii="Arial" w:cs="Arial" w:eastAsia="Arial" w:hAnsi="Arial"/>
          <w:sz w:val="10"/>
          <w:szCs w:val="10"/>
          <w:color w:val="auto"/>
        </w:rPr>
        <w:t>.</w:t>
      </w:r>
    </w:p>
    <w:p>
      <w:pPr>
        <w:spacing w:after="0" w:line="88"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auto"/>
        </w:rPr>
        <w:t>Description</w:t>
      </w:r>
    </w:p>
    <w:p>
      <w:pPr>
        <w:spacing w:after="0" w:line="59" w:lineRule="exact"/>
        <w:rPr>
          <w:sz w:val="20"/>
          <w:szCs w:val="20"/>
          <w:color w:val="auto"/>
        </w:rPr>
      </w:pPr>
    </w:p>
    <w:p>
      <w:pPr>
        <w:spacing w:after="0"/>
        <w:rPr>
          <w:rFonts w:ascii="Arial" w:cs="Arial" w:eastAsia="Arial" w:hAnsi="Arial"/>
          <w:sz w:val="14"/>
          <w:szCs w:val="14"/>
          <w:u w:val="single" w:color="auto"/>
          <w:color w:val="0000EE"/>
        </w:rPr>
      </w:pPr>
      <w:hyperlink w:anchor="page54">
        <w:r>
          <w:rPr>
            <w:rFonts w:ascii="Arial" w:cs="Arial" w:eastAsia="Arial" w:hAnsi="Arial"/>
            <w:sz w:val="14"/>
            <w:szCs w:val="14"/>
            <w:u w:val="single" w:color="auto"/>
            <w:color w:val="0000EE"/>
          </w:rPr>
          <w:t>Report of Independent Registered Public Accounting Firm</w:t>
        </w:r>
      </w:hyperlink>
    </w:p>
    <w:p>
      <w:pPr>
        <w:spacing w:after="0" w:line="127" w:lineRule="exact"/>
        <w:rPr>
          <w:sz w:val="20"/>
          <w:szCs w:val="20"/>
          <w:color w:val="auto"/>
        </w:rPr>
      </w:pPr>
    </w:p>
    <w:p>
      <w:pPr>
        <w:spacing w:after="0"/>
        <w:rPr>
          <w:rFonts w:ascii="Arial" w:cs="Arial" w:eastAsia="Arial" w:hAnsi="Arial"/>
          <w:sz w:val="14"/>
          <w:szCs w:val="14"/>
          <w:u w:val="single" w:color="auto"/>
          <w:color w:val="0000EE"/>
        </w:rPr>
      </w:pPr>
      <w:hyperlink w:anchor="page55">
        <w:r>
          <w:rPr>
            <w:rFonts w:ascii="Arial" w:cs="Arial" w:eastAsia="Arial" w:hAnsi="Arial"/>
            <w:sz w:val="14"/>
            <w:szCs w:val="14"/>
            <w:u w:val="single" w:color="auto"/>
            <w:color w:val="0000EE"/>
          </w:rPr>
          <w:t>Consolidated Balance Sheets as of December 31, 2015 and 2014</w:t>
        </w:r>
      </w:hyperlink>
    </w:p>
    <w:p>
      <w:pPr>
        <w:spacing w:after="0" w:line="118" w:lineRule="exact"/>
        <w:rPr>
          <w:sz w:val="20"/>
          <w:szCs w:val="20"/>
          <w:color w:val="auto"/>
        </w:rPr>
      </w:pPr>
    </w:p>
    <w:p>
      <w:pPr>
        <w:spacing w:after="0"/>
        <w:rPr>
          <w:rFonts w:ascii="Arial" w:cs="Arial" w:eastAsia="Arial" w:hAnsi="Arial"/>
          <w:sz w:val="14"/>
          <w:szCs w:val="14"/>
          <w:u w:val="single" w:color="auto"/>
          <w:color w:val="0000EE"/>
        </w:rPr>
      </w:pPr>
      <w:hyperlink w:anchor="page57">
        <w:r>
          <w:rPr>
            <w:rFonts w:ascii="Arial" w:cs="Arial" w:eastAsia="Arial" w:hAnsi="Arial"/>
            <w:sz w:val="14"/>
            <w:szCs w:val="14"/>
            <w:u w:val="single" w:color="auto"/>
            <w:color w:val="0000EE"/>
          </w:rPr>
          <w:t>Consolidated Statements of Operations for the Three Years Ended December 31, 2015</w:t>
        </w:r>
      </w:hyperlink>
    </w:p>
    <w:p>
      <w:pPr>
        <w:spacing w:after="0" w:line="118" w:lineRule="exact"/>
        <w:rPr>
          <w:sz w:val="20"/>
          <w:szCs w:val="20"/>
          <w:color w:val="auto"/>
        </w:rPr>
      </w:pPr>
    </w:p>
    <w:p>
      <w:pPr>
        <w:spacing w:after="0"/>
        <w:rPr>
          <w:rFonts w:ascii="Arial" w:cs="Arial" w:eastAsia="Arial" w:hAnsi="Arial"/>
          <w:sz w:val="12"/>
          <w:szCs w:val="12"/>
          <w:u w:val="single" w:color="auto"/>
          <w:color w:val="0000EE"/>
        </w:rPr>
      </w:pPr>
      <w:hyperlink w:anchor="page58">
        <w:r>
          <w:rPr>
            <w:rFonts w:ascii="Arial" w:cs="Arial" w:eastAsia="Arial" w:hAnsi="Arial"/>
            <w:sz w:val="12"/>
            <w:szCs w:val="12"/>
            <w:u w:val="single" w:color="auto"/>
            <w:color w:val="0000EE"/>
          </w:rPr>
          <w:t>Consolidated Statements of Comprehensive Income (Loss) for the Three Years Ended December 31, 2015</w:t>
        </w:r>
      </w:hyperlink>
    </w:p>
    <w:p>
      <w:pPr>
        <w:spacing w:after="0" w:line="150" w:lineRule="exact"/>
        <w:rPr>
          <w:sz w:val="20"/>
          <w:szCs w:val="20"/>
          <w:color w:val="auto"/>
        </w:rPr>
      </w:pPr>
    </w:p>
    <w:p>
      <w:pPr>
        <w:spacing w:after="0"/>
        <w:rPr>
          <w:rFonts w:ascii="Arial" w:cs="Arial" w:eastAsia="Arial" w:hAnsi="Arial"/>
          <w:sz w:val="14"/>
          <w:szCs w:val="14"/>
          <w:u w:val="single" w:color="auto"/>
          <w:color w:val="0000EE"/>
        </w:rPr>
      </w:pPr>
      <w:hyperlink w:anchor="page59">
        <w:r>
          <w:rPr>
            <w:rFonts w:ascii="Arial" w:cs="Arial" w:eastAsia="Arial" w:hAnsi="Arial"/>
            <w:sz w:val="14"/>
            <w:szCs w:val="14"/>
            <w:u w:val="single" w:color="auto"/>
            <w:color w:val="0000EE"/>
          </w:rPr>
          <w:t>Consolidated Statements of Stockholders’ Equity for the Three Years Ended December 31, 2015</w:t>
        </w:r>
      </w:hyperlink>
    </w:p>
    <w:p>
      <w:pPr>
        <w:spacing w:after="0" w:line="118" w:lineRule="exact"/>
        <w:rPr>
          <w:sz w:val="20"/>
          <w:szCs w:val="20"/>
          <w:color w:val="auto"/>
        </w:rPr>
      </w:pPr>
    </w:p>
    <w:p>
      <w:pPr>
        <w:spacing w:after="0"/>
        <w:rPr>
          <w:rFonts w:ascii="Arial" w:cs="Arial" w:eastAsia="Arial" w:hAnsi="Arial"/>
          <w:sz w:val="14"/>
          <w:szCs w:val="14"/>
          <w:u w:val="single" w:color="auto"/>
          <w:color w:val="0000EE"/>
        </w:rPr>
      </w:pPr>
      <w:hyperlink w:anchor="page60">
        <w:r>
          <w:rPr>
            <w:rFonts w:ascii="Arial" w:cs="Arial" w:eastAsia="Arial" w:hAnsi="Arial"/>
            <w:sz w:val="14"/>
            <w:szCs w:val="14"/>
            <w:u w:val="single" w:color="auto"/>
            <w:color w:val="0000EE"/>
          </w:rPr>
          <w:t>Consolidated Statements of Cash Flows for the Three Years Ended December 31, 2015</w:t>
        </w:r>
      </w:hyperlink>
    </w:p>
    <w:p>
      <w:pPr>
        <w:spacing w:after="0" w:line="118" w:lineRule="exact"/>
        <w:rPr>
          <w:sz w:val="20"/>
          <w:szCs w:val="20"/>
          <w:color w:val="auto"/>
        </w:rPr>
      </w:pPr>
    </w:p>
    <w:p>
      <w:pPr>
        <w:spacing w:after="0"/>
        <w:rPr>
          <w:rFonts w:ascii="Arial" w:cs="Arial" w:eastAsia="Arial" w:hAnsi="Arial"/>
          <w:sz w:val="14"/>
          <w:szCs w:val="14"/>
          <w:u w:val="single" w:color="auto"/>
          <w:color w:val="0000EE"/>
        </w:rPr>
      </w:pPr>
      <w:hyperlink w:anchor="page61">
        <w:r>
          <w:rPr>
            <w:rFonts w:ascii="Arial" w:cs="Arial" w:eastAsia="Arial" w:hAnsi="Arial"/>
            <w:sz w:val="14"/>
            <w:szCs w:val="14"/>
            <w:u w:val="single" w:color="auto"/>
            <w:color w:val="0000EE"/>
          </w:rPr>
          <w:t>Notes to Consolidated Financial Statements</w:t>
        </w:r>
      </w:hyperlink>
    </w:p>
    <w:p>
      <w:pPr>
        <w:spacing w:after="0" w:line="187" w:lineRule="exact"/>
        <w:rPr>
          <w:sz w:val="20"/>
          <w:szCs w:val="20"/>
          <w:color w:val="auto"/>
        </w:rPr>
      </w:pPr>
    </w:p>
    <w:p>
      <w:pPr>
        <w:ind w:left="640" w:hanging="419"/>
        <w:spacing w:after="0"/>
        <w:tabs>
          <w:tab w:leader="none" w:pos="640" w:val="left"/>
        </w:tabs>
        <w:numPr>
          <w:ilvl w:val="0"/>
          <w:numId w:val="81"/>
        </w:numPr>
        <w:rPr>
          <w:rFonts w:ascii="Arial" w:cs="Arial" w:eastAsia="Arial" w:hAnsi="Arial"/>
          <w:sz w:val="12"/>
          <w:szCs w:val="12"/>
          <w:color w:val="auto"/>
        </w:rPr>
      </w:pPr>
      <w:r>
        <w:rPr>
          <w:rFonts w:ascii="Arial" w:cs="Arial" w:eastAsia="Arial" w:hAnsi="Arial"/>
          <w:sz w:val="12"/>
          <w:szCs w:val="12"/>
          <w:i w:val="1"/>
          <w:iCs w:val="1"/>
          <w:color w:val="auto"/>
        </w:rPr>
        <w:t>Financial Statements and Schedules for the years ended December 31, 2015, 2014, and 2013</w:t>
      </w:r>
    </w:p>
    <w:p>
      <w:pPr>
        <w:spacing w:after="0" w:line="118" w:lineRule="exact"/>
        <w:rPr>
          <w:sz w:val="20"/>
          <w:szCs w:val="20"/>
          <w:color w:val="auto"/>
        </w:rPr>
      </w:pPr>
    </w:p>
    <w:p>
      <w:pPr>
        <w:spacing w:after="0"/>
        <w:rPr>
          <w:rFonts w:ascii="Arial" w:cs="Arial" w:eastAsia="Arial" w:hAnsi="Arial"/>
          <w:sz w:val="14"/>
          <w:szCs w:val="14"/>
          <w:u w:val="single" w:color="auto"/>
          <w:color w:val="auto"/>
        </w:rPr>
      </w:pPr>
      <w:hyperlink w:anchor="page96">
        <w:r>
          <w:rPr>
            <w:rFonts w:ascii="Arial" w:cs="Arial" w:eastAsia="Arial" w:hAnsi="Arial"/>
            <w:sz w:val="14"/>
            <w:szCs w:val="14"/>
            <w:u w:val="single" w:color="auto"/>
            <w:color w:val="auto"/>
          </w:rPr>
          <w:t>Schedule II – Valuation and Qualifying Accounts</w:t>
        </w:r>
      </w:hyperlink>
    </w:p>
    <w:p>
      <w:pPr>
        <w:spacing w:after="0" w:line="133" w:lineRule="exact"/>
        <w:rPr>
          <w:sz w:val="20"/>
          <w:szCs w:val="20"/>
          <w:color w:val="auto"/>
        </w:rPr>
      </w:pPr>
    </w:p>
    <w:p>
      <w:pPr>
        <w:ind w:left="640" w:hanging="419"/>
        <w:spacing w:after="0"/>
        <w:tabs>
          <w:tab w:leader="none" w:pos="640" w:val="left"/>
        </w:tabs>
        <w:numPr>
          <w:ilvl w:val="1"/>
          <w:numId w:val="82"/>
        </w:numPr>
        <w:rPr>
          <w:rFonts w:ascii="Arial" w:cs="Arial" w:eastAsia="Arial" w:hAnsi="Arial"/>
          <w:sz w:val="12"/>
          <w:szCs w:val="12"/>
          <w:i w:val="1"/>
          <w:iCs w:val="1"/>
          <w:u w:val="single" w:color="auto"/>
          <w:color w:val="auto"/>
        </w:rPr>
      </w:pPr>
      <w:hyperlink w:anchor="page130">
        <w:r>
          <w:rPr>
            <w:rFonts w:ascii="Arial" w:cs="Arial" w:eastAsia="Arial" w:hAnsi="Arial"/>
            <w:sz w:val="12"/>
            <w:szCs w:val="12"/>
            <w:i w:val="1"/>
            <w:iCs w:val="1"/>
            <w:u w:val="single" w:color="auto"/>
            <w:color w:val="auto"/>
          </w:rPr>
          <w:t>Exhibits</w:t>
        </w:r>
      </w:hyperlink>
    </w:p>
    <w:p>
      <w:pPr>
        <w:spacing w:after="0" w:line="60" w:lineRule="exact"/>
        <w:rPr>
          <w:rFonts w:ascii="Arial" w:cs="Arial" w:eastAsia="Arial" w:hAnsi="Arial"/>
          <w:sz w:val="12"/>
          <w:szCs w:val="12"/>
          <w:i w:val="1"/>
          <w:iCs w:val="1"/>
          <w:u w:val="single" w:color="auto"/>
          <w:color w:val="auto"/>
        </w:rPr>
      </w:pPr>
    </w:p>
    <w:p>
      <w:pPr>
        <w:ind w:left="180" w:hanging="176"/>
        <w:spacing w:after="0"/>
        <w:tabs>
          <w:tab w:leader="none" w:pos="180" w:val="left"/>
        </w:tabs>
        <w:numPr>
          <w:ilvl w:val="0"/>
          <w:numId w:val="83"/>
        </w:numPr>
        <w:rPr>
          <w:rFonts w:ascii="Arial" w:cs="Arial" w:eastAsia="Arial" w:hAnsi="Arial"/>
          <w:sz w:val="12"/>
          <w:szCs w:val="12"/>
          <w:color w:val="auto"/>
        </w:rPr>
      </w:pPr>
      <w:r>
        <w:rPr>
          <w:rFonts w:ascii="Arial" w:cs="Arial" w:eastAsia="Arial" w:hAnsi="Arial"/>
          <w:sz w:val="12"/>
          <w:szCs w:val="12"/>
          <w:color w:val="auto"/>
        </w:rPr>
        <w:t>Exhibits</w:t>
      </w:r>
    </w:p>
    <w:p>
      <w:pPr>
        <w:spacing w:after="0" w:line="132" w:lineRule="exact"/>
        <w:rPr>
          <w:sz w:val="20"/>
          <w:szCs w:val="20"/>
          <w:color w:val="auto"/>
        </w:rPr>
      </w:pPr>
    </w:p>
    <w:p>
      <w:pPr>
        <w:spacing w:after="0"/>
        <w:rPr>
          <w:sz w:val="20"/>
          <w:szCs w:val="20"/>
          <w:color w:val="auto"/>
        </w:rPr>
      </w:pPr>
      <w:r>
        <w:rPr>
          <w:rFonts w:ascii="Arial" w:cs="Arial" w:eastAsia="Arial" w:hAnsi="Arial"/>
          <w:sz w:val="12"/>
          <w:szCs w:val="12"/>
          <w:color w:val="auto"/>
        </w:rPr>
        <w:t>See Item (a) 3. above.</w:t>
      </w:r>
    </w:p>
    <w:p>
      <w:pPr>
        <w:spacing w:after="0" w:line="123" w:lineRule="exact"/>
        <w:rPr>
          <w:sz w:val="20"/>
          <w:szCs w:val="20"/>
          <w:color w:val="auto"/>
        </w:rPr>
      </w:pPr>
    </w:p>
    <w:p>
      <w:pPr>
        <w:ind w:right="8219" w:firstLine="4"/>
        <w:spacing w:after="0" w:line="545" w:lineRule="auto"/>
        <w:tabs>
          <w:tab w:leader="none" w:pos="163" w:val="left"/>
        </w:tabs>
        <w:numPr>
          <w:ilvl w:val="0"/>
          <w:numId w:val="84"/>
        </w:numPr>
        <w:rPr>
          <w:rFonts w:ascii="Arial" w:cs="Arial" w:eastAsia="Arial" w:hAnsi="Arial"/>
          <w:sz w:val="11"/>
          <w:szCs w:val="11"/>
          <w:color w:val="auto"/>
        </w:rPr>
      </w:pPr>
      <w:r>
        <w:rPr>
          <w:rFonts w:ascii="Arial" w:cs="Arial" w:eastAsia="Arial" w:hAnsi="Arial"/>
          <w:sz w:val="11"/>
          <w:szCs w:val="11"/>
          <w:color w:val="auto"/>
        </w:rPr>
        <w:t>Financial Statement Schedule See Item (a) 2. above.</w:t>
      </w:r>
    </w:p>
    <w:p>
      <w:pPr>
        <w:spacing w:after="0" w:line="200" w:lineRule="exact"/>
        <w:rPr>
          <w:sz w:val="20"/>
          <w:szCs w:val="20"/>
          <w:color w:val="auto"/>
        </w:rPr>
      </w:pPr>
    </w:p>
    <w:p>
      <w:pPr>
        <w:spacing w:after="0" w:line="306" w:lineRule="exact"/>
        <w:rPr>
          <w:sz w:val="20"/>
          <w:szCs w:val="20"/>
          <w:color w:val="auto"/>
        </w:rPr>
      </w:pPr>
    </w:p>
    <w:p>
      <w:pPr>
        <w:ind w:left="5220"/>
        <w:spacing w:after="0"/>
        <w:rPr>
          <w:sz w:val="20"/>
          <w:szCs w:val="20"/>
          <w:color w:val="auto"/>
        </w:rPr>
      </w:pPr>
      <w:r>
        <w:rPr>
          <w:rFonts w:ascii="Arial" w:cs="Arial" w:eastAsia="Arial" w:hAnsi="Arial"/>
          <w:sz w:val="12"/>
          <w:szCs w:val="12"/>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59690</wp:posOffset>
            </wp:positionV>
            <wp:extent cx="6779895"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779895" cy="42545"/>
                    </a:xfrm>
                    <a:prstGeom prst="rect">
                      <a:avLst/>
                    </a:prstGeom>
                    <a:noFill/>
                  </pic:spPr>
                </pic:pic>
              </a:graphicData>
            </a:graphic>
          </wp:anchor>
        </w:drawing>
      </w:r>
    </w:p>
    <w:p>
      <w:pPr>
        <w:sectPr>
          <w:pgSz w:w="11900" w:h="16838" w:orient="portrait"/>
          <w:cols w:equalWidth="0" w:num="1">
            <w:col w:w="9819"/>
          </w:cols>
          <w:pgMar w:left="640" w:top="334" w:right="1440" w:bottom="1440" w:gutter="0" w:footer="0" w:header="0"/>
        </w:sectPr>
      </w:pPr>
    </w:p>
    <w:bookmarkStart w:id="129" w:name="page130"/>
    <w:bookmarkEnd w:id="129"/>
    <w:tbl>
      <w:tblPr>
        <w:tblLayout w:type="fixed"/>
        <w:tblInd w:w="0" w:type="dxa"/>
        <w:tblCellMar>
          <w:top w:w="0" w:type="dxa"/>
          <w:left w:w="0" w:type="dxa"/>
          <w:bottom w:w="0" w:type="dxa"/>
          <w:right w:w="0" w:type="dxa"/>
        </w:tblCellMar>
      </w:tblPr>
      <w:tr>
        <w:trPr>
          <w:trHeight w:val="138"/>
        </w:trPr>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Exhibits</w:t>
            </w:r>
          </w:p>
        </w:tc>
        <w:tc>
          <w:tcPr>
            <w:tcW w:w="10020" w:type="dxa"/>
            <w:vAlign w:val="bottom"/>
          </w:tcPr>
          <w:p>
            <w:pPr>
              <w:spacing w:after="0"/>
              <w:rPr>
                <w:sz w:val="12"/>
                <w:szCs w:val="12"/>
                <w:color w:val="auto"/>
              </w:rPr>
            </w:pPr>
          </w:p>
        </w:tc>
      </w:tr>
      <w:tr>
        <w:trPr>
          <w:trHeight w:val="268"/>
        </w:trPr>
        <w:tc>
          <w:tcPr>
            <w:tcW w:w="440" w:type="dxa"/>
            <w:vAlign w:val="bottom"/>
            <w:tcBorders>
              <w:top w:val="single" w:sz="8" w:color="auto"/>
            </w:tcBorders>
          </w:tcPr>
          <w:p>
            <w:pPr>
              <w:ind w:left="80"/>
              <w:spacing w:after="0"/>
              <w:rPr>
                <w:sz w:val="20"/>
                <w:szCs w:val="20"/>
                <w:color w:val="auto"/>
              </w:rPr>
            </w:pPr>
            <w:r>
              <w:rPr>
                <w:rFonts w:ascii="Arial" w:cs="Arial" w:eastAsia="Arial" w:hAnsi="Arial"/>
                <w:sz w:val="12"/>
                <w:szCs w:val="12"/>
                <w:color w:val="auto"/>
              </w:rPr>
              <w:t>3.1+</w:t>
            </w:r>
          </w:p>
        </w:tc>
        <w:tc>
          <w:tcPr>
            <w:tcW w:w="180" w:type="dxa"/>
            <w:vAlign w:val="bottom"/>
          </w:tcPr>
          <w:p>
            <w:pPr>
              <w:spacing w:after="0"/>
              <w:rPr>
                <w:sz w:val="23"/>
                <w:szCs w:val="23"/>
                <w:color w:val="auto"/>
              </w:rPr>
            </w:pPr>
          </w:p>
        </w:tc>
        <w:tc>
          <w:tcPr>
            <w:tcW w:w="10020" w:type="dxa"/>
            <w:vAlign w:val="bottom"/>
          </w:tcPr>
          <w:p>
            <w:pPr>
              <w:ind w:left="200"/>
              <w:spacing w:after="0"/>
              <w:rPr>
                <w:sz w:val="20"/>
                <w:szCs w:val="20"/>
                <w:color w:val="auto"/>
              </w:rPr>
            </w:pPr>
            <w:r>
              <w:rPr>
                <w:rFonts w:ascii="Arial" w:cs="Arial" w:eastAsia="Arial" w:hAnsi="Arial"/>
                <w:sz w:val="12"/>
                <w:szCs w:val="12"/>
                <w:color w:val="auto"/>
              </w:rPr>
              <w:t>Amended and Restated Articles of Incorporation of Reading International, Inc., a Nevada corporation,</w:t>
            </w:r>
          </w:p>
        </w:tc>
      </w:tr>
      <w:tr>
        <w:trPr>
          <w:trHeight w:val="153"/>
        </w:trPr>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20" w:type="dxa"/>
            <w:vAlign w:val="bottom"/>
          </w:tcPr>
          <w:p>
            <w:pPr>
              <w:ind w:left="200"/>
              <w:spacing w:after="0"/>
              <w:rPr>
                <w:sz w:val="20"/>
                <w:szCs w:val="20"/>
                <w:color w:val="auto"/>
              </w:rPr>
            </w:pPr>
            <w:r>
              <w:rPr>
                <w:rFonts w:ascii="Arial" w:cs="Arial" w:eastAsia="Arial" w:hAnsi="Arial"/>
                <w:sz w:val="12"/>
                <w:szCs w:val="12"/>
                <w:color w:val="auto"/>
              </w:rPr>
              <w:t>effective as of August 6, 2014.</w:t>
            </w:r>
          </w:p>
        </w:tc>
      </w:tr>
      <w:tr>
        <w:trPr>
          <w:trHeight w:val="252"/>
        </w:trPr>
        <w:tc>
          <w:tcPr>
            <w:tcW w:w="440" w:type="dxa"/>
            <w:vAlign w:val="bottom"/>
          </w:tcPr>
          <w:p>
            <w:pPr>
              <w:ind w:left="80"/>
              <w:spacing w:after="0"/>
              <w:rPr>
                <w:sz w:val="20"/>
                <w:szCs w:val="20"/>
                <w:color w:val="auto"/>
              </w:rPr>
            </w:pPr>
            <w:r>
              <w:rPr>
                <w:rFonts w:ascii="Arial" w:cs="Arial" w:eastAsia="Arial" w:hAnsi="Arial"/>
                <w:sz w:val="12"/>
                <w:szCs w:val="12"/>
                <w:color w:val="auto"/>
              </w:rPr>
              <w:t>3.2.1+</w:t>
            </w:r>
          </w:p>
        </w:tc>
        <w:tc>
          <w:tcPr>
            <w:tcW w:w="180" w:type="dxa"/>
            <w:vAlign w:val="bottom"/>
          </w:tcPr>
          <w:p>
            <w:pPr>
              <w:spacing w:after="0"/>
              <w:rPr>
                <w:sz w:val="21"/>
                <w:szCs w:val="21"/>
                <w:color w:val="auto"/>
              </w:rPr>
            </w:pPr>
          </w:p>
        </w:tc>
        <w:tc>
          <w:tcPr>
            <w:tcW w:w="10020" w:type="dxa"/>
            <w:vAlign w:val="bottom"/>
          </w:tcPr>
          <w:p>
            <w:pPr>
              <w:ind w:left="200"/>
              <w:spacing w:after="0"/>
              <w:rPr>
                <w:sz w:val="20"/>
                <w:szCs w:val="20"/>
                <w:color w:val="auto"/>
              </w:rPr>
            </w:pPr>
            <w:r>
              <w:rPr>
                <w:rFonts w:ascii="Arial" w:cs="Arial" w:eastAsia="Arial" w:hAnsi="Arial"/>
                <w:sz w:val="12"/>
                <w:szCs w:val="12"/>
                <w:color w:val="auto"/>
              </w:rPr>
              <w:t>Amended and Restated Bylaws of Reading International, Inc., a Nevada corporation, effective as of</w:t>
            </w:r>
          </w:p>
        </w:tc>
      </w:tr>
      <w:tr>
        <w:trPr>
          <w:trHeight w:val="153"/>
        </w:trPr>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20" w:type="dxa"/>
            <w:vAlign w:val="bottom"/>
          </w:tcPr>
          <w:p>
            <w:pPr>
              <w:ind w:left="200"/>
              <w:spacing w:after="0"/>
              <w:rPr>
                <w:sz w:val="20"/>
                <w:szCs w:val="20"/>
                <w:color w:val="auto"/>
              </w:rPr>
            </w:pPr>
            <w:r>
              <w:rPr>
                <w:rFonts w:ascii="Arial" w:cs="Arial" w:eastAsia="Arial" w:hAnsi="Arial"/>
                <w:sz w:val="12"/>
                <w:szCs w:val="12"/>
                <w:color w:val="auto"/>
              </w:rPr>
              <w:t>October 5, 2015.</w:t>
            </w:r>
          </w:p>
        </w:tc>
      </w:tr>
      <w:tr>
        <w:trPr>
          <w:trHeight w:val="252"/>
        </w:trPr>
        <w:tc>
          <w:tcPr>
            <w:tcW w:w="440" w:type="dxa"/>
            <w:vAlign w:val="bottom"/>
          </w:tcPr>
          <w:p>
            <w:pPr>
              <w:ind w:left="80"/>
              <w:spacing w:after="0"/>
              <w:rPr>
                <w:sz w:val="20"/>
                <w:szCs w:val="20"/>
                <w:color w:val="auto"/>
              </w:rPr>
            </w:pPr>
            <w:r>
              <w:rPr>
                <w:rFonts w:ascii="Arial" w:cs="Arial" w:eastAsia="Arial" w:hAnsi="Arial"/>
                <w:sz w:val="12"/>
                <w:szCs w:val="12"/>
                <w:color w:val="auto"/>
              </w:rPr>
              <w:t>4.1*</w:t>
            </w:r>
          </w:p>
        </w:tc>
        <w:tc>
          <w:tcPr>
            <w:tcW w:w="180" w:type="dxa"/>
            <w:vAlign w:val="bottom"/>
          </w:tcPr>
          <w:p>
            <w:pPr>
              <w:spacing w:after="0"/>
              <w:rPr>
                <w:sz w:val="21"/>
                <w:szCs w:val="21"/>
                <w:color w:val="auto"/>
              </w:rPr>
            </w:pPr>
          </w:p>
        </w:tc>
        <w:tc>
          <w:tcPr>
            <w:tcW w:w="10020" w:type="dxa"/>
            <w:vAlign w:val="bottom"/>
          </w:tcPr>
          <w:p>
            <w:pPr>
              <w:ind w:left="200"/>
              <w:spacing w:after="0"/>
              <w:rPr>
                <w:sz w:val="20"/>
                <w:szCs w:val="20"/>
                <w:color w:val="auto"/>
              </w:rPr>
            </w:pPr>
            <w:r>
              <w:rPr>
                <w:rFonts w:ascii="Arial" w:cs="Arial" w:eastAsia="Arial" w:hAnsi="Arial"/>
                <w:sz w:val="12"/>
                <w:szCs w:val="12"/>
                <w:color w:val="auto"/>
              </w:rPr>
              <w:t>1999 Stock Option Plan of Reading International, Inc., as amended on December 31, 2001 (filed as Exhibit</w:t>
            </w:r>
          </w:p>
        </w:tc>
      </w:tr>
      <w:tr>
        <w:trPr>
          <w:trHeight w:val="144"/>
        </w:trPr>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20" w:type="dxa"/>
            <w:vAlign w:val="bottom"/>
          </w:tcPr>
          <w:p>
            <w:pPr>
              <w:ind w:left="200"/>
              <w:spacing w:after="0"/>
              <w:rPr>
                <w:sz w:val="20"/>
                <w:szCs w:val="20"/>
                <w:color w:val="auto"/>
              </w:rPr>
            </w:pPr>
            <w:r>
              <w:rPr>
                <w:rFonts w:ascii="Arial" w:cs="Arial" w:eastAsia="Arial" w:hAnsi="Arial"/>
                <w:sz w:val="12"/>
                <w:szCs w:val="12"/>
                <w:color w:val="auto"/>
              </w:rPr>
              <w:t>4.1 to the Company’s Registration Statement on Form S-8 filed on January 21, 2004, and incorporated</w:t>
            </w:r>
          </w:p>
        </w:tc>
      </w:tr>
      <w:tr>
        <w:trPr>
          <w:trHeight w:val="153"/>
        </w:trPr>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20" w:type="dxa"/>
            <w:vAlign w:val="bottom"/>
          </w:tcPr>
          <w:p>
            <w:pPr>
              <w:ind w:left="200"/>
              <w:spacing w:after="0"/>
              <w:rPr>
                <w:sz w:val="20"/>
                <w:szCs w:val="20"/>
                <w:color w:val="auto"/>
              </w:rPr>
            </w:pPr>
            <w:r>
              <w:rPr>
                <w:rFonts w:ascii="Arial" w:cs="Arial" w:eastAsia="Arial" w:hAnsi="Arial"/>
                <w:sz w:val="12"/>
                <w:szCs w:val="12"/>
                <w:color w:val="auto"/>
              </w:rPr>
              <w:t>herein by reference).</w:t>
            </w:r>
          </w:p>
        </w:tc>
      </w:tr>
      <w:tr>
        <w:trPr>
          <w:trHeight w:val="252"/>
        </w:trPr>
        <w:tc>
          <w:tcPr>
            <w:tcW w:w="440" w:type="dxa"/>
            <w:vAlign w:val="bottom"/>
          </w:tcPr>
          <w:p>
            <w:pPr>
              <w:ind w:left="80"/>
              <w:spacing w:after="0"/>
              <w:rPr>
                <w:sz w:val="20"/>
                <w:szCs w:val="20"/>
                <w:color w:val="auto"/>
              </w:rPr>
            </w:pPr>
            <w:r>
              <w:rPr>
                <w:rFonts w:ascii="Arial" w:cs="Arial" w:eastAsia="Arial" w:hAnsi="Arial"/>
                <w:sz w:val="12"/>
                <w:szCs w:val="12"/>
                <w:color w:val="auto"/>
              </w:rPr>
              <w:t>4.2*</w:t>
            </w:r>
          </w:p>
        </w:tc>
        <w:tc>
          <w:tcPr>
            <w:tcW w:w="180" w:type="dxa"/>
            <w:vAlign w:val="bottom"/>
          </w:tcPr>
          <w:p>
            <w:pPr>
              <w:spacing w:after="0"/>
              <w:rPr>
                <w:sz w:val="21"/>
                <w:szCs w:val="21"/>
                <w:color w:val="auto"/>
              </w:rPr>
            </w:pPr>
          </w:p>
        </w:tc>
        <w:tc>
          <w:tcPr>
            <w:tcW w:w="10020" w:type="dxa"/>
            <w:vAlign w:val="bottom"/>
          </w:tcPr>
          <w:p>
            <w:pPr>
              <w:ind w:left="200"/>
              <w:spacing w:after="0"/>
              <w:rPr>
                <w:sz w:val="20"/>
                <w:szCs w:val="20"/>
                <w:color w:val="auto"/>
              </w:rPr>
            </w:pPr>
            <w:r>
              <w:rPr>
                <w:rFonts w:ascii="Arial" w:cs="Arial" w:eastAsia="Arial" w:hAnsi="Arial"/>
                <w:sz w:val="12"/>
                <w:szCs w:val="12"/>
                <w:color w:val="auto"/>
              </w:rPr>
              <w:t>2010 Stock Incentive Plan and related forms of (i) Stock Option Agreement, (ii) Stock Bonus Agreement,</w:t>
            </w:r>
          </w:p>
        </w:tc>
      </w:tr>
      <w:tr>
        <w:trPr>
          <w:trHeight w:val="144"/>
        </w:trPr>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20" w:type="dxa"/>
            <w:vAlign w:val="bottom"/>
          </w:tcPr>
          <w:p>
            <w:pPr>
              <w:ind w:left="200"/>
              <w:spacing w:after="0"/>
              <w:rPr>
                <w:sz w:val="20"/>
                <w:szCs w:val="20"/>
                <w:color w:val="auto"/>
              </w:rPr>
            </w:pPr>
            <w:r>
              <w:rPr>
                <w:rFonts w:ascii="Arial" w:cs="Arial" w:eastAsia="Arial" w:hAnsi="Arial"/>
                <w:sz w:val="12"/>
                <w:szCs w:val="12"/>
                <w:color w:val="auto"/>
              </w:rPr>
              <w:t>(iii) Restricted Stock Agreement, and (iv) Stock Appreciation Right Agreement (filed as Exhibits 4.1, 4.2,</w:t>
            </w:r>
          </w:p>
        </w:tc>
      </w:tr>
      <w:tr>
        <w:trPr>
          <w:trHeight w:val="144"/>
        </w:trPr>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20" w:type="dxa"/>
            <w:vAlign w:val="bottom"/>
          </w:tcPr>
          <w:p>
            <w:pPr>
              <w:ind w:left="200"/>
              <w:spacing w:after="0"/>
              <w:rPr>
                <w:sz w:val="20"/>
                <w:szCs w:val="20"/>
                <w:color w:val="auto"/>
              </w:rPr>
            </w:pPr>
            <w:r>
              <w:rPr>
                <w:rFonts w:ascii="Arial" w:cs="Arial" w:eastAsia="Arial" w:hAnsi="Arial"/>
                <w:sz w:val="12"/>
                <w:szCs w:val="12"/>
                <w:color w:val="auto"/>
              </w:rPr>
              <w:t>4.3, 4.4 and 4.5, respectively, to the Company’s report on Form S-8 on May 26, 2010, and incorporated</w:t>
            </w:r>
          </w:p>
        </w:tc>
      </w:tr>
      <w:tr>
        <w:trPr>
          <w:trHeight w:val="153"/>
        </w:trPr>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20" w:type="dxa"/>
            <w:vAlign w:val="bottom"/>
          </w:tcPr>
          <w:p>
            <w:pPr>
              <w:ind w:left="200"/>
              <w:spacing w:after="0"/>
              <w:rPr>
                <w:sz w:val="20"/>
                <w:szCs w:val="20"/>
                <w:color w:val="auto"/>
              </w:rPr>
            </w:pPr>
            <w:r>
              <w:rPr>
                <w:rFonts w:ascii="Arial" w:cs="Arial" w:eastAsia="Arial" w:hAnsi="Arial"/>
                <w:sz w:val="12"/>
                <w:szCs w:val="12"/>
                <w:color w:val="auto"/>
              </w:rPr>
              <w:t>herein by reference).</w:t>
            </w:r>
          </w:p>
        </w:tc>
      </w:tr>
      <w:tr>
        <w:trPr>
          <w:trHeight w:val="252"/>
        </w:trPr>
        <w:tc>
          <w:tcPr>
            <w:tcW w:w="440" w:type="dxa"/>
            <w:vAlign w:val="bottom"/>
          </w:tcPr>
          <w:p>
            <w:pPr>
              <w:ind w:left="80"/>
              <w:spacing w:after="0"/>
              <w:rPr>
                <w:sz w:val="20"/>
                <w:szCs w:val="20"/>
                <w:color w:val="auto"/>
              </w:rPr>
            </w:pPr>
            <w:r>
              <w:rPr>
                <w:rFonts w:ascii="Arial" w:cs="Arial" w:eastAsia="Arial" w:hAnsi="Arial"/>
                <w:sz w:val="12"/>
                <w:szCs w:val="12"/>
                <w:color w:val="auto"/>
              </w:rPr>
              <w:t>4.3*</w:t>
            </w:r>
          </w:p>
        </w:tc>
        <w:tc>
          <w:tcPr>
            <w:tcW w:w="180" w:type="dxa"/>
            <w:vAlign w:val="bottom"/>
          </w:tcPr>
          <w:p>
            <w:pPr>
              <w:spacing w:after="0"/>
              <w:rPr>
                <w:sz w:val="21"/>
                <w:szCs w:val="21"/>
                <w:color w:val="auto"/>
              </w:rPr>
            </w:pPr>
          </w:p>
        </w:tc>
        <w:tc>
          <w:tcPr>
            <w:tcW w:w="10020" w:type="dxa"/>
            <w:vAlign w:val="bottom"/>
          </w:tcPr>
          <w:p>
            <w:pPr>
              <w:ind w:left="200"/>
              <w:spacing w:after="0"/>
              <w:rPr>
                <w:sz w:val="20"/>
                <w:szCs w:val="20"/>
                <w:color w:val="auto"/>
              </w:rPr>
            </w:pPr>
            <w:r>
              <w:rPr>
                <w:rFonts w:ascii="Arial" w:cs="Arial" w:eastAsia="Arial" w:hAnsi="Arial"/>
                <w:sz w:val="12"/>
                <w:szCs w:val="12"/>
                <w:color w:val="auto"/>
              </w:rPr>
              <w:t>Amendment to the 2010 Stock Incentive Plan effective May 19, 2011 (filed as Appendix A of the</w:t>
            </w:r>
          </w:p>
        </w:tc>
      </w:tr>
      <w:tr>
        <w:trPr>
          <w:trHeight w:val="153"/>
        </w:trPr>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20" w:type="dxa"/>
            <w:vAlign w:val="bottom"/>
          </w:tcPr>
          <w:p>
            <w:pPr>
              <w:ind w:left="200"/>
              <w:spacing w:after="0"/>
              <w:rPr>
                <w:sz w:val="20"/>
                <w:szCs w:val="20"/>
                <w:color w:val="auto"/>
              </w:rPr>
            </w:pPr>
            <w:r>
              <w:rPr>
                <w:rFonts w:ascii="Arial" w:cs="Arial" w:eastAsia="Arial" w:hAnsi="Arial"/>
                <w:sz w:val="12"/>
                <w:szCs w:val="12"/>
                <w:color w:val="auto"/>
              </w:rPr>
              <w:t>Company’s proxy statement on April 29, 2011, and incorporated here by reference).</w:t>
            </w:r>
          </w:p>
        </w:tc>
      </w:tr>
      <w:tr>
        <w:trPr>
          <w:trHeight w:val="252"/>
        </w:trPr>
        <w:tc>
          <w:tcPr>
            <w:tcW w:w="440" w:type="dxa"/>
            <w:vAlign w:val="bottom"/>
          </w:tcPr>
          <w:p>
            <w:pPr>
              <w:ind w:left="80"/>
              <w:spacing w:after="0"/>
              <w:rPr>
                <w:sz w:val="20"/>
                <w:szCs w:val="20"/>
                <w:color w:val="auto"/>
              </w:rPr>
            </w:pPr>
            <w:r>
              <w:rPr>
                <w:rFonts w:ascii="Arial" w:cs="Arial" w:eastAsia="Arial" w:hAnsi="Arial"/>
                <w:sz w:val="12"/>
                <w:szCs w:val="12"/>
                <w:color w:val="auto"/>
              </w:rPr>
              <w:t>4.4*</w:t>
            </w:r>
          </w:p>
        </w:tc>
        <w:tc>
          <w:tcPr>
            <w:tcW w:w="180" w:type="dxa"/>
            <w:vAlign w:val="bottom"/>
          </w:tcPr>
          <w:p>
            <w:pPr>
              <w:spacing w:after="0"/>
              <w:rPr>
                <w:sz w:val="21"/>
                <w:szCs w:val="21"/>
                <w:color w:val="auto"/>
              </w:rPr>
            </w:pPr>
          </w:p>
        </w:tc>
        <w:tc>
          <w:tcPr>
            <w:tcW w:w="10020" w:type="dxa"/>
            <w:vAlign w:val="bottom"/>
          </w:tcPr>
          <w:p>
            <w:pPr>
              <w:ind w:left="200"/>
              <w:spacing w:after="0"/>
              <w:rPr>
                <w:sz w:val="20"/>
                <w:szCs w:val="20"/>
                <w:color w:val="auto"/>
              </w:rPr>
            </w:pPr>
            <w:r>
              <w:rPr>
                <w:rFonts w:ascii="Arial" w:cs="Arial" w:eastAsia="Arial" w:hAnsi="Arial"/>
                <w:sz w:val="12"/>
                <w:szCs w:val="12"/>
                <w:color w:val="auto"/>
              </w:rPr>
              <w:t>First Amendment to the 2010 Stock Incentive Plan dated as of March 10, 2016 (filed as Exhibit 10 the</w:t>
            </w:r>
          </w:p>
        </w:tc>
      </w:tr>
      <w:tr>
        <w:trPr>
          <w:trHeight w:val="153"/>
        </w:trPr>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20" w:type="dxa"/>
            <w:vAlign w:val="bottom"/>
          </w:tcPr>
          <w:p>
            <w:pPr>
              <w:ind w:left="200"/>
              <w:spacing w:after="0"/>
              <w:rPr>
                <w:sz w:val="20"/>
                <w:szCs w:val="20"/>
                <w:color w:val="auto"/>
              </w:rPr>
            </w:pPr>
            <w:r>
              <w:rPr>
                <w:rFonts w:ascii="Arial" w:cs="Arial" w:eastAsia="Arial" w:hAnsi="Arial"/>
                <w:sz w:val="12"/>
                <w:szCs w:val="12"/>
                <w:color w:val="auto"/>
              </w:rPr>
              <w:t>Company’s report on Form 8-K filed on March 15, 2016, and incorporated herein by reference).</w:t>
            </w:r>
          </w:p>
        </w:tc>
      </w:tr>
      <w:tr>
        <w:trPr>
          <w:trHeight w:val="252"/>
        </w:trPr>
        <w:tc>
          <w:tcPr>
            <w:tcW w:w="440" w:type="dxa"/>
            <w:vAlign w:val="bottom"/>
          </w:tcPr>
          <w:p>
            <w:pPr>
              <w:ind w:left="80"/>
              <w:spacing w:after="0"/>
              <w:rPr>
                <w:sz w:val="20"/>
                <w:szCs w:val="20"/>
                <w:color w:val="auto"/>
              </w:rPr>
            </w:pPr>
            <w:r>
              <w:rPr>
                <w:rFonts w:ascii="Arial" w:cs="Arial" w:eastAsia="Arial" w:hAnsi="Arial"/>
                <w:sz w:val="12"/>
                <w:szCs w:val="12"/>
                <w:color w:val="auto"/>
              </w:rPr>
              <w:t>4.5</w:t>
            </w:r>
          </w:p>
        </w:tc>
        <w:tc>
          <w:tcPr>
            <w:tcW w:w="180" w:type="dxa"/>
            <w:vAlign w:val="bottom"/>
          </w:tcPr>
          <w:p>
            <w:pPr>
              <w:spacing w:after="0"/>
              <w:rPr>
                <w:sz w:val="21"/>
                <w:szCs w:val="21"/>
                <w:color w:val="auto"/>
              </w:rPr>
            </w:pPr>
          </w:p>
        </w:tc>
        <w:tc>
          <w:tcPr>
            <w:tcW w:w="10020" w:type="dxa"/>
            <w:vAlign w:val="bottom"/>
          </w:tcPr>
          <w:p>
            <w:pPr>
              <w:ind w:left="200"/>
              <w:spacing w:after="0"/>
              <w:rPr>
                <w:sz w:val="20"/>
                <w:szCs w:val="20"/>
                <w:color w:val="auto"/>
              </w:rPr>
            </w:pPr>
            <w:r>
              <w:rPr>
                <w:rFonts w:ascii="Arial" w:cs="Arial" w:eastAsia="Arial" w:hAnsi="Arial"/>
                <w:sz w:val="12"/>
                <w:szCs w:val="12"/>
                <w:color w:val="auto"/>
              </w:rPr>
              <w:t>Form of Preferred Securities Certificate evidencing the preferred securities of Reading International Trust I</w:t>
            </w:r>
          </w:p>
        </w:tc>
      </w:tr>
      <w:tr>
        <w:trPr>
          <w:trHeight w:val="144"/>
        </w:trPr>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20" w:type="dxa"/>
            <w:vAlign w:val="bottom"/>
          </w:tcPr>
          <w:p>
            <w:pPr>
              <w:ind w:left="200"/>
              <w:spacing w:after="0"/>
              <w:rPr>
                <w:sz w:val="20"/>
                <w:szCs w:val="20"/>
                <w:color w:val="auto"/>
              </w:rPr>
            </w:pPr>
            <w:r>
              <w:rPr>
                <w:rFonts w:ascii="Arial" w:cs="Arial" w:eastAsia="Arial" w:hAnsi="Arial"/>
                <w:sz w:val="12"/>
                <w:szCs w:val="12"/>
                <w:color w:val="auto"/>
              </w:rPr>
              <w:t>(filed as Exhibit 4.1 to the Company’s report on Form 8-K filed on February 9, 2007, and incorporated</w:t>
            </w:r>
          </w:p>
        </w:tc>
      </w:tr>
      <w:tr>
        <w:trPr>
          <w:trHeight w:val="153"/>
        </w:trPr>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20" w:type="dxa"/>
            <w:vAlign w:val="bottom"/>
          </w:tcPr>
          <w:p>
            <w:pPr>
              <w:ind w:left="200"/>
              <w:spacing w:after="0"/>
              <w:rPr>
                <w:sz w:val="20"/>
                <w:szCs w:val="20"/>
                <w:color w:val="auto"/>
              </w:rPr>
            </w:pPr>
            <w:r>
              <w:rPr>
                <w:rFonts w:ascii="Arial" w:cs="Arial" w:eastAsia="Arial" w:hAnsi="Arial"/>
                <w:sz w:val="12"/>
                <w:szCs w:val="12"/>
                <w:color w:val="auto"/>
              </w:rPr>
              <w:t>herein by reference).</w:t>
            </w:r>
          </w:p>
        </w:tc>
      </w:tr>
      <w:tr>
        <w:trPr>
          <w:trHeight w:val="252"/>
        </w:trPr>
        <w:tc>
          <w:tcPr>
            <w:tcW w:w="440" w:type="dxa"/>
            <w:vAlign w:val="bottom"/>
          </w:tcPr>
          <w:p>
            <w:pPr>
              <w:ind w:left="80"/>
              <w:spacing w:after="0"/>
              <w:rPr>
                <w:sz w:val="20"/>
                <w:szCs w:val="20"/>
                <w:color w:val="auto"/>
              </w:rPr>
            </w:pPr>
            <w:r>
              <w:rPr>
                <w:rFonts w:ascii="Arial" w:cs="Arial" w:eastAsia="Arial" w:hAnsi="Arial"/>
                <w:sz w:val="12"/>
                <w:szCs w:val="12"/>
                <w:color w:val="auto"/>
              </w:rPr>
              <w:t>4.6</w:t>
            </w:r>
          </w:p>
        </w:tc>
        <w:tc>
          <w:tcPr>
            <w:tcW w:w="180" w:type="dxa"/>
            <w:vAlign w:val="bottom"/>
          </w:tcPr>
          <w:p>
            <w:pPr>
              <w:spacing w:after="0"/>
              <w:rPr>
                <w:sz w:val="21"/>
                <w:szCs w:val="21"/>
                <w:color w:val="auto"/>
              </w:rPr>
            </w:pPr>
          </w:p>
        </w:tc>
        <w:tc>
          <w:tcPr>
            <w:tcW w:w="10020" w:type="dxa"/>
            <w:vAlign w:val="bottom"/>
          </w:tcPr>
          <w:p>
            <w:pPr>
              <w:ind w:left="200"/>
              <w:spacing w:after="0"/>
              <w:rPr>
                <w:sz w:val="20"/>
                <w:szCs w:val="20"/>
                <w:color w:val="auto"/>
              </w:rPr>
            </w:pPr>
            <w:r>
              <w:rPr>
                <w:rFonts w:ascii="Arial" w:cs="Arial" w:eastAsia="Arial" w:hAnsi="Arial"/>
                <w:sz w:val="12"/>
                <w:szCs w:val="12"/>
                <w:color w:val="auto"/>
              </w:rPr>
              <w:t>Form of Common Securities Certificate evidencing common securities of Reading International Trust I</w:t>
            </w:r>
          </w:p>
        </w:tc>
      </w:tr>
      <w:tr>
        <w:trPr>
          <w:trHeight w:val="144"/>
        </w:trPr>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20" w:type="dxa"/>
            <w:vAlign w:val="bottom"/>
          </w:tcPr>
          <w:p>
            <w:pPr>
              <w:ind w:left="200"/>
              <w:spacing w:after="0"/>
              <w:rPr>
                <w:sz w:val="20"/>
                <w:szCs w:val="20"/>
                <w:color w:val="auto"/>
              </w:rPr>
            </w:pPr>
            <w:r>
              <w:rPr>
                <w:rFonts w:ascii="Arial" w:cs="Arial" w:eastAsia="Arial" w:hAnsi="Arial"/>
                <w:sz w:val="12"/>
                <w:szCs w:val="12"/>
                <w:color w:val="auto"/>
              </w:rPr>
              <w:t>(filed as Exhibit 4.2 to the Company’s report on Form 8-K filed on February 9, 2007, and incorporated</w:t>
            </w:r>
          </w:p>
        </w:tc>
      </w:tr>
      <w:tr>
        <w:trPr>
          <w:trHeight w:val="153"/>
        </w:trPr>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20" w:type="dxa"/>
            <w:vAlign w:val="bottom"/>
          </w:tcPr>
          <w:p>
            <w:pPr>
              <w:ind w:left="200"/>
              <w:spacing w:after="0"/>
              <w:rPr>
                <w:sz w:val="20"/>
                <w:szCs w:val="20"/>
                <w:color w:val="auto"/>
              </w:rPr>
            </w:pPr>
            <w:r>
              <w:rPr>
                <w:rFonts w:ascii="Arial" w:cs="Arial" w:eastAsia="Arial" w:hAnsi="Arial"/>
                <w:sz w:val="12"/>
                <w:szCs w:val="12"/>
                <w:color w:val="auto"/>
              </w:rPr>
              <w:t>herein by reference).</w:t>
            </w:r>
          </w:p>
        </w:tc>
      </w:tr>
      <w:tr>
        <w:trPr>
          <w:trHeight w:val="252"/>
        </w:trPr>
        <w:tc>
          <w:tcPr>
            <w:tcW w:w="440" w:type="dxa"/>
            <w:vAlign w:val="bottom"/>
          </w:tcPr>
          <w:p>
            <w:pPr>
              <w:ind w:left="80"/>
              <w:spacing w:after="0"/>
              <w:rPr>
                <w:sz w:val="20"/>
                <w:szCs w:val="20"/>
                <w:color w:val="auto"/>
              </w:rPr>
            </w:pPr>
            <w:r>
              <w:rPr>
                <w:rFonts w:ascii="Arial" w:cs="Arial" w:eastAsia="Arial" w:hAnsi="Arial"/>
                <w:sz w:val="12"/>
                <w:szCs w:val="12"/>
                <w:color w:val="auto"/>
              </w:rPr>
              <w:t>4.7</w:t>
            </w:r>
          </w:p>
        </w:tc>
        <w:tc>
          <w:tcPr>
            <w:tcW w:w="180" w:type="dxa"/>
            <w:vAlign w:val="bottom"/>
          </w:tcPr>
          <w:p>
            <w:pPr>
              <w:spacing w:after="0"/>
              <w:rPr>
                <w:sz w:val="21"/>
                <w:szCs w:val="21"/>
                <w:color w:val="auto"/>
              </w:rPr>
            </w:pPr>
          </w:p>
        </w:tc>
        <w:tc>
          <w:tcPr>
            <w:tcW w:w="10020" w:type="dxa"/>
            <w:vAlign w:val="bottom"/>
          </w:tcPr>
          <w:p>
            <w:pPr>
              <w:ind w:left="200"/>
              <w:spacing w:after="0"/>
              <w:rPr>
                <w:sz w:val="20"/>
                <w:szCs w:val="20"/>
                <w:color w:val="auto"/>
              </w:rPr>
            </w:pPr>
            <w:r>
              <w:rPr>
                <w:rFonts w:ascii="Arial" w:cs="Arial" w:eastAsia="Arial" w:hAnsi="Arial"/>
                <w:sz w:val="12"/>
                <w:szCs w:val="12"/>
                <w:color w:val="auto"/>
              </w:rPr>
              <w:t>Form of Reading International, Inc. and Reading New Zealand, Limited, Junior Subordinated Note due</w:t>
            </w:r>
          </w:p>
        </w:tc>
      </w:tr>
      <w:tr>
        <w:trPr>
          <w:trHeight w:val="144"/>
        </w:trPr>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20" w:type="dxa"/>
            <w:vAlign w:val="bottom"/>
          </w:tcPr>
          <w:p>
            <w:pPr>
              <w:ind w:left="200"/>
              <w:spacing w:after="0"/>
              <w:rPr>
                <w:sz w:val="20"/>
                <w:szCs w:val="20"/>
                <w:color w:val="auto"/>
              </w:rPr>
            </w:pPr>
            <w:r>
              <w:rPr>
                <w:rFonts w:ascii="Arial" w:cs="Arial" w:eastAsia="Arial" w:hAnsi="Arial"/>
                <w:sz w:val="12"/>
                <w:szCs w:val="12"/>
                <w:color w:val="auto"/>
              </w:rPr>
              <w:t>2027 (filed as Exhibit 4.3 to the Company’s report on Form 8-K filed on February 9, 2007, and</w:t>
            </w:r>
          </w:p>
        </w:tc>
      </w:tr>
      <w:tr>
        <w:trPr>
          <w:trHeight w:val="153"/>
        </w:trPr>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20" w:type="dxa"/>
            <w:vAlign w:val="bottom"/>
          </w:tcPr>
          <w:p>
            <w:pPr>
              <w:ind w:left="200"/>
              <w:spacing w:after="0"/>
              <w:rPr>
                <w:sz w:val="20"/>
                <w:szCs w:val="20"/>
                <w:color w:val="auto"/>
              </w:rPr>
            </w:pPr>
            <w:r>
              <w:rPr>
                <w:rFonts w:ascii="Arial" w:cs="Arial" w:eastAsia="Arial" w:hAnsi="Arial"/>
                <w:sz w:val="12"/>
                <w:szCs w:val="12"/>
                <w:color w:val="auto"/>
              </w:rPr>
              <w:t>incorporated herein by reference).</w:t>
            </w:r>
          </w:p>
        </w:tc>
      </w:tr>
      <w:tr>
        <w:trPr>
          <w:trHeight w:val="252"/>
        </w:trPr>
        <w:tc>
          <w:tcPr>
            <w:tcW w:w="440" w:type="dxa"/>
            <w:vAlign w:val="bottom"/>
          </w:tcPr>
          <w:p>
            <w:pPr>
              <w:ind w:left="80"/>
              <w:spacing w:after="0"/>
              <w:rPr>
                <w:sz w:val="20"/>
                <w:szCs w:val="20"/>
                <w:color w:val="auto"/>
              </w:rPr>
            </w:pPr>
            <w:r>
              <w:rPr>
                <w:rFonts w:ascii="Arial" w:cs="Arial" w:eastAsia="Arial" w:hAnsi="Arial"/>
                <w:sz w:val="12"/>
                <w:szCs w:val="12"/>
                <w:color w:val="auto"/>
              </w:rPr>
              <w:t>4.8</w:t>
            </w:r>
          </w:p>
        </w:tc>
        <w:tc>
          <w:tcPr>
            <w:tcW w:w="180" w:type="dxa"/>
            <w:vAlign w:val="bottom"/>
          </w:tcPr>
          <w:p>
            <w:pPr>
              <w:spacing w:after="0"/>
              <w:rPr>
                <w:sz w:val="21"/>
                <w:szCs w:val="21"/>
                <w:color w:val="auto"/>
              </w:rPr>
            </w:pPr>
          </w:p>
        </w:tc>
        <w:tc>
          <w:tcPr>
            <w:tcW w:w="10020" w:type="dxa"/>
            <w:vAlign w:val="bottom"/>
          </w:tcPr>
          <w:p>
            <w:pPr>
              <w:ind w:left="200"/>
              <w:spacing w:after="0"/>
              <w:rPr>
                <w:sz w:val="20"/>
                <w:szCs w:val="20"/>
                <w:color w:val="auto"/>
              </w:rPr>
            </w:pPr>
            <w:r>
              <w:rPr>
                <w:rFonts w:ascii="Arial" w:cs="Arial" w:eastAsia="Arial" w:hAnsi="Arial"/>
                <w:sz w:val="12"/>
                <w:szCs w:val="12"/>
                <w:color w:val="auto"/>
              </w:rPr>
              <w:t>Form of Indenture (filed as Exhibit 4.4 to the Company’s report on Form S-3 on October 20, 2009, and</w:t>
            </w:r>
          </w:p>
        </w:tc>
      </w:tr>
      <w:tr>
        <w:trPr>
          <w:trHeight w:val="153"/>
        </w:trPr>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20" w:type="dxa"/>
            <w:vAlign w:val="bottom"/>
          </w:tcPr>
          <w:p>
            <w:pPr>
              <w:ind w:left="200"/>
              <w:spacing w:after="0"/>
              <w:rPr>
                <w:sz w:val="20"/>
                <w:szCs w:val="20"/>
                <w:color w:val="auto"/>
              </w:rPr>
            </w:pPr>
            <w:r>
              <w:rPr>
                <w:rFonts w:ascii="Arial" w:cs="Arial" w:eastAsia="Arial" w:hAnsi="Arial"/>
                <w:sz w:val="12"/>
                <w:szCs w:val="12"/>
                <w:color w:val="auto"/>
              </w:rPr>
              <w:t>incorporated herein by reference).</w:t>
            </w:r>
          </w:p>
        </w:tc>
      </w:tr>
      <w:tr>
        <w:trPr>
          <w:trHeight w:val="252"/>
        </w:trPr>
        <w:tc>
          <w:tcPr>
            <w:tcW w:w="440" w:type="dxa"/>
            <w:vAlign w:val="bottom"/>
          </w:tcPr>
          <w:p>
            <w:pPr>
              <w:ind w:left="80"/>
              <w:spacing w:after="0"/>
              <w:rPr>
                <w:sz w:val="20"/>
                <w:szCs w:val="20"/>
                <w:color w:val="auto"/>
              </w:rPr>
            </w:pPr>
            <w:r>
              <w:rPr>
                <w:rFonts w:ascii="Arial" w:cs="Arial" w:eastAsia="Arial" w:hAnsi="Arial"/>
                <w:sz w:val="12"/>
                <w:szCs w:val="12"/>
                <w:color w:val="auto"/>
              </w:rPr>
              <w:t>10.1</w:t>
            </w:r>
          </w:p>
        </w:tc>
        <w:tc>
          <w:tcPr>
            <w:tcW w:w="180" w:type="dxa"/>
            <w:vAlign w:val="bottom"/>
          </w:tcPr>
          <w:p>
            <w:pPr>
              <w:spacing w:after="0"/>
              <w:rPr>
                <w:sz w:val="21"/>
                <w:szCs w:val="21"/>
                <w:color w:val="auto"/>
              </w:rPr>
            </w:pPr>
          </w:p>
        </w:tc>
        <w:tc>
          <w:tcPr>
            <w:tcW w:w="10020" w:type="dxa"/>
            <w:vAlign w:val="bottom"/>
          </w:tcPr>
          <w:p>
            <w:pPr>
              <w:ind w:left="200"/>
              <w:spacing w:after="0"/>
              <w:rPr>
                <w:sz w:val="20"/>
                <w:szCs w:val="20"/>
                <w:color w:val="auto"/>
              </w:rPr>
            </w:pPr>
            <w:r>
              <w:rPr>
                <w:rFonts w:ascii="Arial" w:cs="Arial" w:eastAsia="Arial" w:hAnsi="Arial"/>
                <w:sz w:val="12"/>
                <w:szCs w:val="12"/>
                <w:color w:val="auto"/>
              </w:rPr>
              <w:t>Amended and Restated Lease Agreement, dated as of July 28, 2000, as amended and restated as of January</w:t>
            </w:r>
          </w:p>
        </w:tc>
      </w:tr>
      <w:tr>
        <w:trPr>
          <w:trHeight w:val="144"/>
        </w:trPr>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20" w:type="dxa"/>
            <w:vAlign w:val="bottom"/>
          </w:tcPr>
          <w:p>
            <w:pPr>
              <w:ind w:left="200"/>
              <w:spacing w:after="0"/>
              <w:rPr>
                <w:sz w:val="20"/>
                <w:szCs w:val="20"/>
                <w:color w:val="auto"/>
              </w:rPr>
            </w:pPr>
            <w:r>
              <w:rPr>
                <w:rFonts w:ascii="Arial" w:cs="Arial" w:eastAsia="Arial" w:hAnsi="Arial"/>
                <w:sz w:val="12"/>
                <w:szCs w:val="12"/>
                <w:color w:val="auto"/>
              </w:rPr>
              <w:t>29, 2002, between Sutton Hill Capital, L.L.C. and Citadel Cinemas, Inc. (filed as Exhibit 10.40 to the</w:t>
            </w:r>
          </w:p>
        </w:tc>
      </w:tr>
      <w:tr>
        <w:trPr>
          <w:trHeight w:val="144"/>
        </w:trPr>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20" w:type="dxa"/>
            <w:vAlign w:val="bottom"/>
          </w:tcPr>
          <w:p>
            <w:pPr>
              <w:ind w:left="200"/>
              <w:spacing w:after="0"/>
              <w:rPr>
                <w:sz w:val="20"/>
                <w:szCs w:val="20"/>
                <w:color w:val="auto"/>
              </w:rPr>
            </w:pPr>
            <w:r>
              <w:rPr>
                <w:rFonts w:ascii="Arial" w:cs="Arial" w:eastAsia="Arial" w:hAnsi="Arial"/>
                <w:sz w:val="12"/>
                <w:szCs w:val="12"/>
                <w:color w:val="auto"/>
              </w:rPr>
              <w:t>Company’s Annual Report on Form 10-K for the year ended December 31, 2002 and incorporated herein</w:t>
            </w:r>
          </w:p>
        </w:tc>
      </w:tr>
      <w:tr>
        <w:trPr>
          <w:trHeight w:val="153"/>
        </w:trPr>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20" w:type="dxa"/>
            <w:vAlign w:val="bottom"/>
          </w:tcPr>
          <w:p>
            <w:pPr>
              <w:ind w:left="200"/>
              <w:spacing w:after="0"/>
              <w:rPr>
                <w:sz w:val="20"/>
                <w:szCs w:val="20"/>
                <w:color w:val="auto"/>
              </w:rPr>
            </w:pPr>
            <w:r>
              <w:rPr>
                <w:rFonts w:ascii="Arial" w:cs="Arial" w:eastAsia="Arial" w:hAnsi="Arial"/>
                <w:sz w:val="12"/>
                <w:szCs w:val="12"/>
                <w:color w:val="auto"/>
              </w:rPr>
              <w:t>by reference).</w:t>
            </w:r>
          </w:p>
        </w:tc>
      </w:tr>
      <w:tr>
        <w:trPr>
          <w:trHeight w:val="252"/>
        </w:trPr>
        <w:tc>
          <w:tcPr>
            <w:tcW w:w="440" w:type="dxa"/>
            <w:vAlign w:val="bottom"/>
          </w:tcPr>
          <w:p>
            <w:pPr>
              <w:ind w:left="80"/>
              <w:spacing w:after="0"/>
              <w:rPr>
                <w:sz w:val="20"/>
                <w:szCs w:val="20"/>
                <w:color w:val="auto"/>
              </w:rPr>
            </w:pPr>
            <w:r>
              <w:rPr>
                <w:rFonts w:ascii="Arial" w:cs="Arial" w:eastAsia="Arial" w:hAnsi="Arial"/>
                <w:sz w:val="12"/>
                <w:szCs w:val="12"/>
                <w:color w:val="auto"/>
              </w:rPr>
              <w:t>10.2</w:t>
            </w:r>
          </w:p>
        </w:tc>
        <w:tc>
          <w:tcPr>
            <w:tcW w:w="180" w:type="dxa"/>
            <w:vAlign w:val="bottom"/>
          </w:tcPr>
          <w:p>
            <w:pPr>
              <w:spacing w:after="0"/>
              <w:rPr>
                <w:sz w:val="21"/>
                <w:szCs w:val="21"/>
                <w:color w:val="auto"/>
              </w:rPr>
            </w:pPr>
          </w:p>
        </w:tc>
        <w:tc>
          <w:tcPr>
            <w:tcW w:w="10020" w:type="dxa"/>
            <w:vAlign w:val="bottom"/>
          </w:tcPr>
          <w:p>
            <w:pPr>
              <w:ind w:left="200"/>
              <w:spacing w:after="0"/>
              <w:rPr>
                <w:sz w:val="20"/>
                <w:szCs w:val="20"/>
                <w:color w:val="auto"/>
              </w:rPr>
            </w:pPr>
            <w:r>
              <w:rPr>
                <w:rFonts w:ascii="Arial" w:cs="Arial" w:eastAsia="Arial" w:hAnsi="Arial"/>
                <w:sz w:val="12"/>
                <w:szCs w:val="12"/>
                <w:color w:val="auto"/>
              </w:rPr>
              <w:t>Second Amendment to Amended and Restated Master Operating Lease dated as of September 1, 2005</w:t>
            </w:r>
          </w:p>
        </w:tc>
      </w:tr>
      <w:tr>
        <w:trPr>
          <w:trHeight w:val="144"/>
        </w:trPr>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20" w:type="dxa"/>
            <w:vAlign w:val="bottom"/>
          </w:tcPr>
          <w:p>
            <w:pPr>
              <w:ind w:left="200"/>
              <w:spacing w:after="0"/>
              <w:rPr>
                <w:sz w:val="20"/>
                <w:szCs w:val="20"/>
                <w:color w:val="auto"/>
              </w:rPr>
            </w:pPr>
            <w:r>
              <w:rPr>
                <w:rFonts w:ascii="Arial" w:cs="Arial" w:eastAsia="Arial" w:hAnsi="Arial"/>
                <w:sz w:val="12"/>
                <w:szCs w:val="12"/>
                <w:color w:val="auto"/>
              </w:rPr>
              <w:t>(filed as exhibit 10.58 to the Company’s report on Form 8-K filed on September 21, 2005, and incorporated</w:t>
            </w:r>
          </w:p>
        </w:tc>
      </w:tr>
      <w:tr>
        <w:trPr>
          <w:trHeight w:val="153"/>
        </w:trPr>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20" w:type="dxa"/>
            <w:vAlign w:val="bottom"/>
          </w:tcPr>
          <w:p>
            <w:pPr>
              <w:ind w:left="200"/>
              <w:spacing w:after="0"/>
              <w:rPr>
                <w:sz w:val="20"/>
                <w:szCs w:val="20"/>
                <w:color w:val="auto"/>
              </w:rPr>
            </w:pPr>
            <w:r>
              <w:rPr>
                <w:rFonts w:ascii="Arial" w:cs="Arial" w:eastAsia="Arial" w:hAnsi="Arial"/>
                <w:sz w:val="12"/>
                <w:szCs w:val="12"/>
                <w:color w:val="auto"/>
              </w:rPr>
              <w:t>herein by reference).</w:t>
            </w:r>
          </w:p>
        </w:tc>
      </w:tr>
      <w:tr>
        <w:trPr>
          <w:trHeight w:val="252"/>
        </w:trPr>
        <w:tc>
          <w:tcPr>
            <w:tcW w:w="440" w:type="dxa"/>
            <w:vAlign w:val="bottom"/>
          </w:tcPr>
          <w:p>
            <w:pPr>
              <w:ind w:left="80"/>
              <w:spacing w:after="0"/>
              <w:rPr>
                <w:sz w:val="20"/>
                <w:szCs w:val="20"/>
                <w:color w:val="auto"/>
              </w:rPr>
            </w:pPr>
            <w:r>
              <w:rPr>
                <w:rFonts w:ascii="Arial" w:cs="Arial" w:eastAsia="Arial" w:hAnsi="Arial"/>
                <w:sz w:val="12"/>
                <w:szCs w:val="12"/>
                <w:color w:val="auto"/>
              </w:rPr>
              <w:t>10.3</w:t>
            </w:r>
          </w:p>
        </w:tc>
        <w:tc>
          <w:tcPr>
            <w:tcW w:w="180" w:type="dxa"/>
            <w:vAlign w:val="bottom"/>
          </w:tcPr>
          <w:p>
            <w:pPr>
              <w:spacing w:after="0"/>
              <w:rPr>
                <w:sz w:val="21"/>
                <w:szCs w:val="21"/>
                <w:color w:val="auto"/>
              </w:rPr>
            </w:pPr>
          </w:p>
        </w:tc>
        <w:tc>
          <w:tcPr>
            <w:tcW w:w="10020" w:type="dxa"/>
            <w:vAlign w:val="bottom"/>
          </w:tcPr>
          <w:p>
            <w:pPr>
              <w:ind w:left="200"/>
              <w:spacing w:after="0"/>
              <w:rPr>
                <w:sz w:val="20"/>
                <w:szCs w:val="20"/>
                <w:color w:val="auto"/>
              </w:rPr>
            </w:pPr>
            <w:r>
              <w:rPr>
                <w:rFonts w:ascii="Arial" w:cs="Arial" w:eastAsia="Arial" w:hAnsi="Arial"/>
                <w:sz w:val="12"/>
                <w:szCs w:val="12"/>
                <w:color w:val="auto"/>
              </w:rPr>
              <w:t>Assignment and Assumption of Lease between Sutton Hill Capital L.L.C. and Sutton Hill Properties, LLC</w:t>
            </w:r>
          </w:p>
        </w:tc>
      </w:tr>
      <w:tr>
        <w:trPr>
          <w:trHeight w:val="144"/>
        </w:trPr>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20" w:type="dxa"/>
            <w:vAlign w:val="bottom"/>
          </w:tcPr>
          <w:p>
            <w:pPr>
              <w:ind w:left="200"/>
              <w:spacing w:after="0"/>
              <w:rPr>
                <w:sz w:val="20"/>
                <w:szCs w:val="20"/>
                <w:color w:val="auto"/>
              </w:rPr>
            </w:pPr>
            <w:r>
              <w:rPr>
                <w:rFonts w:ascii="Arial" w:cs="Arial" w:eastAsia="Arial" w:hAnsi="Arial"/>
                <w:sz w:val="12"/>
                <w:szCs w:val="12"/>
                <w:color w:val="auto"/>
              </w:rPr>
              <w:t>dated as of September 19, 2005 (filed as exhibit 10.56 to the Company’s report on Form 8-K filed on</w:t>
            </w:r>
          </w:p>
        </w:tc>
      </w:tr>
      <w:tr>
        <w:trPr>
          <w:trHeight w:val="153"/>
        </w:trPr>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20" w:type="dxa"/>
            <w:vAlign w:val="bottom"/>
          </w:tcPr>
          <w:p>
            <w:pPr>
              <w:ind w:left="200"/>
              <w:spacing w:after="0"/>
              <w:rPr>
                <w:sz w:val="20"/>
                <w:szCs w:val="20"/>
                <w:color w:val="auto"/>
              </w:rPr>
            </w:pPr>
            <w:r>
              <w:rPr>
                <w:rFonts w:ascii="Arial" w:cs="Arial" w:eastAsia="Arial" w:hAnsi="Arial"/>
                <w:sz w:val="12"/>
                <w:szCs w:val="12"/>
                <w:color w:val="auto"/>
              </w:rPr>
              <w:t>September 21, 2005, and incorporated herein by reference).</w:t>
            </w:r>
          </w:p>
        </w:tc>
      </w:tr>
      <w:tr>
        <w:trPr>
          <w:trHeight w:val="252"/>
        </w:trPr>
        <w:tc>
          <w:tcPr>
            <w:tcW w:w="440" w:type="dxa"/>
            <w:vAlign w:val="bottom"/>
          </w:tcPr>
          <w:p>
            <w:pPr>
              <w:ind w:left="80"/>
              <w:spacing w:after="0"/>
              <w:rPr>
                <w:sz w:val="20"/>
                <w:szCs w:val="20"/>
                <w:color w:val="auto"/>
              </w:rPr>
            </w:pPr>
            <w:r>
              <w:rPr>
                <w:rFonts w:ascii="Arial" w:cs="Arial" w:eastAsia="Arial" w:hAnsi="Arial"/>
                <w:sz w:val="12"/>
                <w:szCs w:val="12"/>
                <w:color w:val="auto"/>
              </w:rPr>
              <w:t>10.4</w:t>
            </w:r>
          </w:p>
        </w:tc>
        <w:tc>
          <w:tcPr>
            <w:tcW w:w="180" w:type="dxa"/>
            <w:vAlign w:val="bottom"/>
          </w:tcPr>
          <w:p>
            <w:pPr>
              <w:spacing w:after="0"/>
              <w:rPr>
                <w:sz w:val="21"/>
                <w:szCs w:val="21"/>
                <w:color w:val="auto"/>
              </w:rPr>
            </w:pPr>
          </w:p>
        </w:tc>
        <w:tc>
          <w:tcPr>
            <w:tcW w:w="10020" w:type="dxa"/>
            <w:vAlign w:val="bottom"/>
          </w:tcPr>
          <w:p>
            <w:pPr>
              <w:ind w:left="200"/>
              <w:spacing w:after="0"/>
              <w:rPr>
                <w:sz w:val="20"/>
                <w:szCs w:val="20"/>
                <w:color w:val="auto"/>
              </w:rPr>
            </w:pPr>
            <w:r>
              <w:rPr>
                <w:rFonts w:ascii="Arial" w:cs="Arial" w:eastAsia="Arial" w:hAnsi="Arial"/>
                <w:sz w:val="12"/>
                <w:szCs w:val="12"/>
                <w:color w:val="auto"/>
              </w:rPr>
              <w:t>Third Amendment to Amended and Restated Master Operating Lease Agreement, dated June 29, 2010,</w:t>
            </w:r>
          </w:p>
        </w:tc>
      </w:tr>
      <w:tr>
        <w:trPr>
          <w:trHeight w:val="144"/>
        </w:trPr>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20" w:type="dxa"/>
            <w:vAlign w:val="bottom"/>
          </w:tcPr>
          <w:p>
            <w:pPr>
              <w:ind w:left="200"/>
              <w:spacing w:after="0"/>
              <w:rPr>
                <w:sz w:val="20"/>
                <w:szCs w:val="20"/>
                <w:color w:val="auto"/>
              </w:rPr>
            </w:pPr>
            <w:r>
              <w:rPr>
                <w:rFonts w:ascii="Arial" w:cs="Arial" w:eastAsia="Arial" w:hAnsi="Arial"/>
                <w:sz w:val="12"/>
                <w:szCs w:val="12"/>
                <w:color w:val="auto"/>
              </w:rPr>
              <w:t>between Sutton Hill Capital, L.L.C. and Citadel Cinemas, Inc. (filed as Exhibit 10.21 to the Company’s</w:t>
            </w:r>
          </w:p>
        </w:tc>
      </w:tr>
      <w:tr>
        <w:trPr>
          <w:trHeight w:val="153"/>
        </w:trPr>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20" w:type="dxa"/>
            <w:vAlign w:val="bottom"/>
          </w:tcPr>
          <w:p>
            <w:pPr>
              <w:ind w:left="200"/>
              <w:spacing w:after="0"/>
              <w:rPr>
                <w:sz w:val="20"/>
                <w:szCs w:val="20"/>
                <w:color w:val="auto"/>
              </w:rPr>
            </w:pPr>
            <w:r>
              <w:rPr>
                <w:rFonts w:ascii="Arial" w:cs="Arial" w:eastAsia="Arial" w:hAnsi="Arial"/>
                <w:sz w:val="12"/>
                <w:szCs w:val="12"/>
                <w:color w:val="auto"/>
              </w:rPr>
              <w:t>report on Form 10-K for the year ended December 31, 2010, and incorporated herein by reference).</w:t>
            </w:r>
          </w:p>
        </w:tc>
      </w:tr>
      <w:tr>
        <w:trPr>
          <w:trHeight w:val="252"/>
        </w:trPr>
        <w:tc>
          <w:tcPr>
            <w:tcW w:w="440" w:type="dxa"/>
            <w:vAlign w:val="bottom"/>
          </w:tcPr>
          <w:p>
            <w:pPr>
              <w:ind w:left="80"/>
              <w:spacing w:after="0"/>
              <w:rPr>
                <w:sz w:val="20"/>
                <w:szCs w:val="20"/>
                <w:color w:val="auto"/>
              </w:rPr>
            </w:pPr>
            <w:r>
              <w:rPr>
                <w:rFonts w:ascii="Arial" w:cs="Arial" w:eastAsia="Arial" w:hAnsi="Arial"/>
                <w:sz w:val="12"/>
                <w:szCs w:val="12"/>
                <w:color w:val="auto"/>
              </w:rPr>
              <w:t>10.5</w:t>
            </w:r>
          </w:p>
        </w:tc>
        <w:tc>
          <w:tcPr>
            <w:tcW w:w="180" w:type="dxa"/>
            <w:vAlign w:val="bottom"/>
          </w:tcPr>
          <w:p>
            <w:pPr>
              <w:spacing w:after="0"/>
              <w:rPr>
                <w:sz w:val="21"/>
                <w:szCs w:val="21"/>
                <w:color w:val="auto"/>
              </w:rPr>
            </w:pPr>
          </w:p>
        </w:tc>
        <w:tc>
          <w:tcPr>
            <w:tcW w:w="10020" w:type="dxa"/>
            <w:vAlign w:val="bottom"/>
          </w:tcPr>
          <w:p>
            <w:pPr>
              <w:ind w:left="200"/>
              <w:spacing w:after="0"/>
              <w:rPr>
                <w:sz w:val="20"/>
                <w:szCs w:val="20"/>
                <w:color w:val="auto"/>
              </w:rPr>
            </w:pPr>
            <w:r>
              <w:rPr>
                <w:rFonts w:ascii="Arial" w:cs="Arial" w:eastAsia="Arial" w:hAnsi="Arial"/>
                <w:sz w:val="12"/>
                <w:szCs w:val="12"/>
                <w:color w:val="auto"/>
              </w:rPr>
              <w:t>Omnibus Amendment Agreement, dated as of October 22, 2003, between Citadel Cinemas, Inc., Sutton</w:t>
            </w:r>
          </w:p>
        </w:tc>
      </w:tr>
      <w:tr>
        <w:trPr>
          <w:trHeight w:val="144"/>
        </w:trPr>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20" w:type="dxa"/>
            <w:vAlign w:val="bottom"/>
          </w:tcPr>
          <w:p>
            <w:pPr>
              <w:ind w:left="200"/>
              <w:spacing w:after="0"/>
              <w:rPr>
                <w:sz w:val="20"/>
                <w:szCs w:val="20"/>
                <w:color w:val="auto"/>
              </w:rPr>
            </w:pPr>
            <w:r>
              <w:rPr>
                <w:rFonts w:ascii="Arial" w:cs="Arial" w:eastAsia="Arial" w:hAnsi="Arial"/>
                <w:sz w:val="12"/>
                <w:szCs w:val="12"/>
                <w:color w:val="auto"/>
              </w:rPr>
              <w:t>Hill Capital, L.L.C., Nationwide Theatres Corp., Sutton Hill Associates, and Reading International, Inc.</w:t>
            </w:r>
          </w:p>
        </w:tc>
      </w:tr>
      <w:tr>
        <w:trPr>
          <w:trHeight w:val="144"/>
        </w:trPr>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20" w:type="dxa"/>
            <w:vAlign w:val="bottom"/>
          </w:tcPr>
          <w:p>
            <w:pPr>
              <w:ind w:left="200"/>
              <w:spacing w:after="0"/>
              <w:rPr>
                <w:sz w:val="20"/>
                <w:szCs w:val="20"/>
                <w:color w:val="auto"/>
              </w:rPr>
            </w:pPr>
            <w:r>
              <w:rPr>
                <w:rFonts w:ascii="Arial" w:cs="Arial" w:eastAsia="Arial" w:hAnsi="Arial"/>
                <w:sz w:val="12"/>
                <w:szCs w:val="12"/>
                <w:color w:val="auto"/>
              </w:rPr>
              <w:t>(filed as Exhibit 10.49 to the Company’s report on Form 10-Q for the period ended September 30, 2003,</w:t>
            </w:r>
          </w:p>
        </w:tc>
      </w:tr>
      <w:tr>
        <w:trPr>
          <w:trHeight w:val="153"/>
        </w:trPr>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20" w:type="dxa"/>
            <w:vAlign w:val="bottom"/>
          </w:tcPr>
          <w:p>
            <w:pPr>
              <w:ind w:left="200"/>
              <w:spacing w:after="0"/>
              <w:rPr>
                <w:sz w:val="20"/>
                <w:szCs w:val="20"/>
                <w:color w:val="auto"/>
              </w:rPr>
            </w:pPr>
            <w:r>
              <w:rPr>
                <w:rFonts w:ascii="Arial" w:cs="Arial" w:eastAsia="Arial" w:hAnsi="Arial"/>
                <w:sz w:val="12"/>
                <w:szCs w:val="12"/>
                <w:color w:val="auto"/>
              </w:rPr>
              <w:t>and incorporated herein by reference).</w:t>
            </w:r>
          </w:p>
        </w:tc>
      </w:tr>
      <w:tr>
        <w:trPr>
          <w:trHeight w:val="252"/>
        </w:trPr>
        <w:tc>
          <w:tcPr>
            <w:tcW w:w="440" w:type="dxa"/>
            <w:vAlign w:val="bottom"/>
          </w:tcPr>
          <w:p>
            <w:pPr>
              <w:ind w:left="80"/>
              <w:spacing w:after="0"/>
              <w:rPr>
                <w:sz w:val="20"/>
                <w:szCs w:val="20"/>
                <w:color w:val="auto"/>
              </w:rPr>
            </w:pPr>
            <w:r>
              <w:rPr>
                <w:rFonts w:ascii="Arial" w:cs="Arial" w:eastAsia="Arial" w:hAnsi="Arial"/>
                <w:sz w:val="12"/>
                <w:szCs w:val="12"/>
                <w:color w:val="auto"/>
              </w:rPr>
              <w:t>10.6</w:t>
            </w:r>
          </w:p>
        </w:tc>
        <w:tc>
          <w:tcPr>
            <w:tcW w:w="180" w:type="dxa"/>
            <w:vAlign w:val="bottom"/>
          </w:tcPr>
          <w:p>
            <w:pPr>
              <w:spacing w:after="0"/>
              <w:rPr>
                <w:sz w:val="21"/>
                <w:szCs w:val="21"/>
                <w:color w:val="auto"/>
              </w:rPr>
            </w:pPr>
          </w:p>
        </w:tc>
        <w:tc>
          <w:tcPr>
            <w:tcW w:w="10020" w:type="dxa"/>
            <w:vAlign w:val="bottom"/>
          </w:tcPr>
          <w:p>
            <w:pPr>
              <w:ind w:left="200"/>
              <w:spacing w:after="0"/>
              <w:rPr>
                <w:sz w:val="20"/>
                <w:szCs w:val="20"/>
                <w:color w:val="auto"/>
              </w:rPr>
            </w:pPr>
            <w:r>
              <w:rPr>
                <w:rFonts w:ascii="Arial" w:cs="Arial" w:eastAsia="Arial" w:hAnsi="Arial"/>
                <w:sz w:val="12"/>
                <w:szCs w:val="12"/>
                <w:color w:val="auto"/>
              </w:rPr>
              <w:t>Theater Management Agreement, effective as January 1, 2002, between Liberty Theaters, Inc. and OBI</w:t>
            </w:r>
          </w:p>
        </w:tc>
      </w:tr>
      <w:tr>
        <w:trPr>
          <w:trHeight w:val="144"/>
        </w:trPr>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20" w:type="dxa"/>
            <w:vAlign w:val="bottom"/>
          </w:tcPr>
          <w:p>
            <w:pPr>
              <w:ind w:left="200"/>
              <w:spacing w:after="0"/>
              <w:rPr>
                <w:sz w:val="20"/>
                <w:szCs w:val="20"/>
                <w:color w:val="auto"/>
              </w:rPr>
            </w:pPr>
            <w:r>
              <w:rPr>
                <w:rFonts w:ascii="Arial" w:cs="Arial" w:eastAsia="Arial" w:hAnsi="Arial"/>
                <w:sz w:val="12"/>
                <w:szCs w:val="12"/>
                <w:color w:val="auto"/>
              </w:rPr>
              <w:t>LLC (filed as Exhibit 10.47 to the Company’s Annual Report on Form 10-K for the year ended December</w:t>
            </w:r>
          </w:p>
        </w:tc>
      </w:tr>
      <w:tr>
        <w:trPr>
          <w:trHeight w:val="153"/>
        </w:trPr>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20" w:type="dxa"/>
            <w:vAlign w:val="bottom"/>
          </w:tcPr>
          <w:p>
            <w:pPr>
              <w:ind w:left="200"/>
              <w:spacing w:after="0"/>
              <w:rPr>
                <w:sz w:val="20"/>
                <w:szCs w:val="20"/>
                <w:color w:val="auto"/>
              </w:rPr>
            </w:pPr>
            <w:r>
              <w:rPr>
                <w:rFonts w:ascii="Arial" w:cs="Arial" w:eastAsia="Arial" w:hAnsi="Arial"/>
                <w:sz w:val="12"/>
                <w:szCs w:val="12"/>
                <w:color w:val="auto"/>
              </w:rPr>
              <w:t>31, 2002 and incorporated herein by reference).</w:t>
            </w:r>
          </w:p>
        </w:tc>
      </w:tr>
      <w:tr>
        <w:trPr>
          <w:trHeight w:val="252"/>
        </w:trPr>
        <w:tc>
          <w:tcPr>
            <w:tcW w:w="440" w:type="dxa"/>
            <w:vAlign w:val="bottom"/>
          </w:tcPr>
          <w:p>
            <w:pPr>
              <w:ind w:left="80"/>
              <w:spacing w:after="0"/>
              <w:rPr>
                <w:sz w:val="20"/>
                <w:szCs w:val="20"/>
                <w:color w:val="auto"/>
              </w:rPr>
            </w:pPr>
            <w:r>
              <w:rPr>
                <w:rFonts w:ascii="Arial" w:cs="Arial" w:eastAsia="Arial" w:hAnsi="Arial"/>
                <w:sz w:val="12"/>
                <w:szCs w:val="12"/>
                <w:color w:val="auto"/>
              </w:rPr>
              <w:t>10.7</w:t>
            </w:r>
          </w:p>
        </w:tc>
        <w:tc>
          <w:tcPr>
            <w:tcW w:w="180" w:type="dxa"/>
            <w:vAlign w:val="bottom"/>
          </w:tcPr>
          <w:p>
            <w:pPr>
              <w:spacing w:after="0"/>
              <w:rPr>
                <w:sz w:val="21"/>
                <w:szCs w:val="21"/>
                <w:color w:val="auto"/>
              </w:rPr>
            </w:pPr>
          </w:p>
        </w:tc>
        <w:tc>
          <w:tcPr>
            <w:tcW w:w="10020" w:type="dxa"/>
            <w:vAlign w:val="bottom"/>
          </w:tcPr>
          <w:p>
            <w:pPr>
              <w:ind w:left="200"/>
              <w:spacing w:after="0"/>
              <w:rPr>
                <w:sz w:val="20"/>
                <w:szCs w:val="20"/>
                <w:color w:val="auto"/>
              </w:rPr>
            </w:pPr>
            <w:r>
              <w:rPr>
                <w:rFonts w:ascii="Arial" w:cs="Arial" w:eastAsia="Arial" w:hAnsi="Arial"/>
                <w:sz w:val="12"/>
                <w:szCs w:val="12"/>
                <w:color w:val="auto"/>
              </w:rPr>
              <w:t>Amended and Restated Declaration of Trust, dated February 5, 2007, among Reading International Inc., as</w:t>
            </w:r>
          </w:p>
        </w:tc>
      </w:tr>
      <w:tr>
        <w:trPr>
          <w:trHeight w:val="144"/>
        </w:trPr>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20" w:type="dxa"/>
            <w:vAlign w:val="bottom"/>
          </w:tcPr>
          <w:p>
            <w:pPr>
              <w:ind w:left="200"/>
              <w:spacing w:after="0"/>
              <w:rPr>
                <w:sz w:val="20"/>
                <w:szCs w:val="20"/>
                <w:color w:val="auto"/>
              </w:rPr>
            </w:pPr>
            <w:r>
              <w:rPr>
                <w:rFonts w:ascii="Arial" w:cs="Arial" w:eastAsia="Arial" w:hAnsi="Arial"/>
                <w:sz w:val="12"/>
                <w:szCs w:val="12"/>
                <w:color w:val="auto"/>
              </w:rPr>
              <w:t>sponsor, the Administrators named therein, and Wells Fargo Bank, N.A., as property trustee, and Wells</w:t>
            </w:r>
          </w:p>
        </w:tc>
      </w:tr>
      <w:tr>
        <w:trPr>
          <w:trHeight w:val="144"/>
        </w:trPr>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20" w:type="dxa"/>
            <w:vAlign w:val="bottom"/>
          </w:tcPr>
          <w:p>
            <w:pPr>
              <w:ind w:left="200"/>
              <w:spacing w:after="0"/>
              <w:rPr>
                <w:sz w:val="20"/>
                <w:szCs w:val="20"/>
                <w:color w:val="auto"/>
              </w:rPr>
            </w:pPr>
            <w:r>
              <w:rPr>
                <w:rFonts w:ascii="Arial" w:cs="Arial" w:eastAsia="Arial" w:hAnsi="Arial"/>
                <w:sz w:val="12"/>
                <w:szCs w:val="12"/>
                <w:color w:val="auto"/>
              </w:rPr>
              <w:t>Fargo Delaware Trust Company as Delaware trustee (filed as Exhibit 10.2 to the Company’s report on</w:t>
            </w:r>
          </w:p>
        </w:tc>
      </w:tr>
      <w:tr>
        <w:trPr>
          <w:trHeight w:val="153"/>
        </w:trPr>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20" w:type="dxa"/>
            <w:vAlign w:val="bottom"/>
          </w:tcPr>
          <w:p>
            <w:pPr>
              <w:ind w:left="200"/>
              <w:spacing w:after="0"/>
              <w:rPr>
                <w:sz w:val="20"/>
                <w:szCs w:val="20"/>
                <w:color w:val="auto"/>
              </w:rPr>
            </w:pPr>
            <w:r>
              <w:rPr>
                <w:rFonts w:ascii="Arial" w:cs="Arial" w:eastAsia="Arial" w:hAnsi="Arial"/>
                <w:sz w:val="12"/>
                <w:szCs w:val="12"/>
                <w:color w:val="auto"/>
              </w:rPr>
              <w:t>Form 8-K dated February 5, 2007, and incorporated herein by reference).</w:t>
            </w:r>
          </w:p>
        </w:tc>
      </w:tr>
      <w:tr>
        <w:trPr>
          <w:trHeight w:val="252"/>
        </w:trPr>
        <w:tc>
          <w:tcPr>
            <w:tcW w:w="4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20" w:type="dxa"/>
            <w:vAlign w:val="bottom"/>
          </w:tcPr>
          <w:p>
            <w:pPr>
              <w:ind w:left="200"/>
              <w:spacing w:after="0"/>
              <w:rPr>
                <w:sz w:val="20"/>
                <w:szCs w:val="20"/>
                <w:color w:val="auto"/>
              </w:rPr>
            </w:pPr>
            <w:r>
              <w:rPr>
                <w:rFonts w:ascii="Arial" w:cs="Arial" w:eastAsia="Arial" w:hAnsi="Arial"/>
                <w:sz w:val="12"/>
                <w:szCs w:val="12"/>
                <w:color w:val="auto"/>
              </w:rPr>
              <w:t>Indenture among Reading International, Inc., Reading New Zealand Limited, and Wells Fargo Bank, N.A.,</w:t>
            </w:r>
          </w:p>
        </w:tc>
      </w:tr>
      <w:tr>
        <w:trPr>
          <w:trHeight w:val="144"/>
        </w:trPr>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20" w:type="dxa"/>
            <w:vAlign w:val="bottom"/>
          </w:tcPr>
          <w:p>
            <w:pPr>
              <w:ind w:left="200"/>
              <w:spacing w:after="0"/>
              <w:rPr>
                <w:sz w:val="20"/>
                <w:szCs w:val="20"/>
                <w:color w:val="auto"/>
              </w:rPr>
            </w:pPr>
            <w:r>
              <w:rPr>
                <w:rFonts w:ascii="Arial" w:cs="Arial" w:eastAsia="Arial" w:hAnsi="Arial"/>
                <w:sz w:val="12"/>
                <w:szCs w:val="12"/>
                <w:color w:val="auto"/>
              </w:rPr>
              <w:t>as indenture trustee (filed as Exhibit 10.4 to the Company’s report on Form 8-K dated February 5, 2007,</w:t>
            </w:r>
          </w:p>
        </w:tc>
      </w:tr>
      <w:tr>
        <w:trPr>
          <w:trHeight w:val="153"/>
        </w:trPr>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20" w:type="dxa"/>
            <w:vAlign w:val="bottom"/>
          </w:tcPr>
          <w:p>
            <w:pPr>
              <w:ind w:left="200"/>
              <w:spacing w:after="0"/>
              <w:rPr>
                <w:sz w:val="20"/>
                <w:szCs w:val="20"/>
                <w:color w:val="auto"/>
              </w:rPr>
            </w:pPr>
            <w:r>
              <w:rPr>
                <w:rFonts w:ascii="Arial" w:cs="Arial" w:eastAsia="Arial" w:hAnsi="Arial"/>
                <w:sz w:val="12"/>
                <w:szCs w:val="12"/>
                <w:color w:val="auto"/>
              </w:rPr>
              <w:t>and incorporated herein by reference).</w:t>
            </w:r>
          </w:p>
        </w:tc>
      </w:tr>
      <w:tr>
        <w:trPr>
          <w:trHeight w:val="252"/>
        </w:trPr>
        <w:tc>
          <w:tcPr>
            <w:tcW w:w="440" w:type="dxa"/>
            <w:vAlign w:val="bottom"/>
          </w:tcPr>
          <w:p>
            <w:pPr>
              <w:ind w:left="80"/>
              <w:spacing w:after="0"/>
              <w:rPr>
                <w:sz w:val="20"/>
                <w:szCs w:val="20"/>
                <w:color w:val="auto"/>
              </w:rPr>
            </w:pPr>
            <w:r>
              <w:rPr>
                <w:rFonts w:ascii="Arial" w:cs="Arial" w:eastAsia="Arial" w:hAnsi="Arial"/>
                <w:sz w:val="12"/>
                <w:szCs w:val="12"/>
                <w:color w:val="auto"/>
              </w:rPr>
              <w:t>10.9+</w:t>
            </w:r>
          </w:p>
        </w:tc>
        <w:tc>
          <w:tcPr>
            <w:tcW w:w="180" w:type="dxa"/>
            <w:vAlign w:val="bottom"/>
          </w:tcPr>
          <w:p>
            <w:pPr>
              <w:spacing w:after="0"/>
              <w:rPr>
                <w:sz w:val="21"/>
                <w:szCs w:val="21"/>
                <w:color w:val="auto"/>
              </w:rPr>
            </w:pPr>
          </w:p>
        </w:tc>
        <w:tc>
          <w:tcPr>
            <w:tcW w:w="10020" w:type="dxa"/>
            <w:vAlign w:val="bottom"/>
          </w:tcPr>
          <w:p>
            <w:pPr>
              <w:ind w:left="200"/>
              <w:spacing w:after="0"/>
              <w:rPr>
                <w:sz w:val="20"/>
                <w:szCs w:val="20"/>
                <w:color w:val="auto"/>
              </w:rPr>
            </w:pPr>
            <w:r>
              <w:rPr>
                <w:rFonts w:ascii="Arial" w:cs="Arial" w:eastAsia="Arial" w:hAnsi="Arial"/>
                <w:sz w:val="12"/>
                <w:szCs w:val="12"/>
                <w:color w:val="auto"/>
              </w:rPr>
              <w:t>Amended and Restated Corporate Markets Loan &amp; Bank Guarantee Facility Agreement dated December</w:t>
            </w:r>
          </w:p>
        </w:tc>
      </w:tr>
      <w:tr>
        <w:trPr>
          <w:trHeight w:val="153"/>
        </w:trPr>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20" w:type="dxa"/>
            <w:vAlign w:val="bottom"/>
          </w:tcPr>
          <w:p>
            <w:pPr>
              <w:ind w:left="200"/>
              <w:spacing w:after="0"/>
              <w:rPr>
                <w:sz w:val="20"/>
                <w:szCs w:val="20"/>
                <w:color w:val="auto"/>
              </w:rPr>
            </w:pPr>
            <w:r>
              <w:rPr>
                <w:rFonts w:ascii="Arial" w:cs="Arial" w:eastAsia="Arial" w:hAnsi="Arial"/>
                <w:sz w:val="12"/>
                <w:szCs w:val="12"/>
                <w:color w:val="auto"/>
              </w:rPr>
              <w:t>23, 2015, among Reading Entertainment Australia Pty Ltd and National Australia Bank Limited.</w:t>
            </w:r>
          </w:p>
        </w:tc>
      </w:tr>
      <w:tr>
        <w:trPr>
          <w:trHeight w:val="252"/>
        </w:trPr>
        <w:tc>
          <w:tcPr>
            <w:tcW w:w="440" w:type="dxa"/>
            <w:vAlign w:val="bottom"/>
          </w:tcPr>
          <w:p>
            <w:pPr>
              <w:ind w:left="80"/>
              <w:spacing w:after="0"/>
              <w:rPr>
                <w:sz w:val="20"/>
                <w:szCs w:val="20"/>
                <w:color w:val="auto"/>
              </w:rPr>
            </w:pPr>
            <w:r>
              <w:rPr>
                <w:rFonts w:ascii="Arial" w:cs="Arial" w:eastAsia="Arial" w:hAnsi="Arial"/>
                <w:sz w:val="12"/>
                <w:szCs w:val="12"/>
                <w:color w:val="auto"/>
                <w:w w:val="91"/>
              </w:rPr>
              <w:t>10.10+</w:t>
            </w:r>
          </w:p>
        </w:tc>
        <w:tc>
          <w:tcPr>
            <w:tcW w:w="180" w:type="dxa"/>
            <w:vAlign w:val="bottom"/>
          </w:tcPr>
          <w:p>
            <w:pPr>
              <w:spacing w:after="0"/>
              <w:rPr>
                <w:sz w:val="21"/>
                <w:szCs w:val="21"/>
                <w:color w:val="auto"/>
              </w:rPr>
            </w:pPr>
          </w:p>
        </w:tc>
        <w:tc>
          <w:tcPr>
            <w:tcW w:w="10020" w:type="dxa"/>
            <w:vAlign w:val="bottom"/>
          </w:tcPr>
          <w:p>
            <w:pPr>
              <w:ind w:left="200"/>
              <w:spacing w:after="0"/>
              <w:rPr>
                <w:sz w:val="20"/>
                <w:szCs w:val="20"/>
                <w:color w:val="auto"/>
              </w:rPr>
            </w:pPr>
            <w:r>
              <w:rPr>
                <w:rFonts w:ascii="Arial" w:cs="Arial" w:eastAsia="Arial" w:hAnsi="Arial"/>
                <w:sz w:val="12"/>
                <w:szCs w:val="12"/>
                <w:color w:val="auto"/>
              </w:rPr>
              <w:t>Wholesale Term Loan Facility dated May 21, 2015, among Reading Courtenay Central Limited and</w:t>
            </w:r>
          </w:p>
        </w:tc>
      </w:tr>
      <w:tr>
        <w:trPr>
          <w:trHeight w:val="153"/>
        </w:trPr>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20" w:type="dxa"/>
            <w:vAlign w:val="bottom"/>
          </w:tcPr>
          <w:p>
            <w:pPr>
              <w:ind w:left="200"/>
              <w:spacing w:after="0"/>
              <w:rPr>
                <w:sz w:val="20"/>
                <w:szCs w:val="20"/>
                <w:color w:val="auto"/>
              </w:rPr>
            </w:pPr>
            <w:r>
              <w:rPr>
                <w:rFonts w:ascii="Arial" w:cs="Arial" w:eastAsia="Arial" w:hAnsi="Arial"/>
                <w:sz w:val="12"/>
                <w:szCs w:val="12"/>
                <w:color w:val="auto"/>
              </w:rPr>
              <w:t>Westpac New Zealand Limited.</w:t>
            </w:r>
          </w:p>
        </w:tc>
      </w:tr>
      <w:tr>
        <w:trPr>
          <w:trHeight w:val="342"/>
        </w:trPr>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20" w:type="dxa"/>
            <w:vAlign w:val="bottom"/>
          </w:tcPr>
          <w:p>
            <w:pPr>
              <w:ind w:left="4600"/>
              <w:spacing w:after="0"/>
              <w:rPr>
                <w:sz w:val="20"/>
                <w:szCs w:val="20"/>
                <w:color w:val="auto"/>
              </w:rPr>
            </w:pPr>
            <w:r>
              <w:rPr>
                <w:rFonts w:ascii="Arial" w:cs="Arial" w:eastAsia="Arial" w:hAnsi="Arial"/>
                <w:sz w:val="12"/>
                <w:szCs w:val="12"/>
                <w:color w:val="auto"/>
              </w:rPr>
              <w:t>130</w:t>
            </w:r>
          </w:p>
        </w:tc>
      </w:tr>
      <w:tr>
        <w:trPr>
          <w:trHeight w:val="106"/>
        </w:trPr>
        <w:tc>
          <w:tcPr>
            <w:tcW w:w="44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00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6739255</wp:posOffset>
            </wp:positionH>
            <wp:positionV relativeFrom="paragraph">
              <wp:posOffset>-29210</wp:posOffset>
            </wp:positionV>
            <wp:extent cx="31115"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111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1115"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1115" cy="42545"/>
                    </a:xfrm>
                    <a:prstGeom prst="rect">
                      <a:avLst/>
                    </a:prstGeom>
                    <a:noFill/>
                  </pic:spPr>
                </pic:pic>
              </a:graphicData>
            </a:graphic>
          </wp:anchor>
        </w:drawing>
      </w:r>
    </w:p>
    <w:p>
      <w:pPr>
        <w:sectPr>
          <w:pgSz w:w="11900" w:h="16838" w:orient="portrait"/>
          <w:cols w:equalWidth="0" w:num="1">
            <w:col w:w="10640"/>
          </w:cols>
          <w:pgMar w:left="640" w:top="326" w:right="619" w:bottom="1440" w:gutter="0" w:footer="0" w:header="0"/>
        </w:sectPr>
      </w:pPr>
    </w:p>
    <w:bookmarkStart w:id="130" w:name="page131"/>
    <w:bookmarkEnd w:id="130"/>
    <w:tbl>
      <w:tblPr>
        <w:tblLayout w:type="fixed"/>
        <w:tblInd w:w="80" w:type="dxa"/>
        <w:tblCellMar>
          <w:top w:w="0" w:type="dxa"/>
          <w:left w:w="0" w:type="dxa"/>
          <w:bottom w:w="0" w:type="dxa"/>
          <w:right w:w="0" w:type="dxa"/>
        </w:tblCellMar>
      </w:tblPr>
      <w:tr>
        <w:trPr>
          <w:trHeight w:val="153"/>
        </w:trPr>
        <w:tc>
          <w:tcPr>
            <w:tcW w:w="600" w:type="dxa"/>
            <w:vAlign w:val="bottom"/>
          </w:tcPr>
          <w:p>
            <w:pPr>
              <w:spacing w:after="0"/>
              <w:rPr>
                <w:sz w:val="20"/>
                <w:szCs w:val="20"/>
                <w:color w:val="auto"/>
              </w:rPr>
            </w:pPr>
            <w:r>
              <w:rPr>
                <w:rFonts w:ascii="Arial" w:cs="Arial" w:eastAsia="Arial" w:hAnsi="Arial"/>
                <w:sz w:val="12"/>
                <w:szCs w:val="12"/>
                <w:color w:val="auto"/>
              </w:rPr>
              <w:t>10.11+</w:t>
            </w:r>
          </w:p>
        </w:tc>
        <w:tc>
          <w:tcPr>
            <w:tcW w:w="5300" w:type="dxa"/>
            <w:vAlign w:val="bottom"/>
          </w:tcPr>
          <w:p>
            <w:pPr>
              <w:ind w:left="140"/>
              <w:spacing w:after="0"/>
              <w:rPr>
                <w:sz w:val="20"/>
                <w:szCs w:val="20"/>
                <w:color w:val="auto"/>
              </w:rPr>
            </w:pPr>
            <w:r>
              <w:rPr>
                <w:rFonts w:ascii="Arial" w:cs="Arial" w:eastAsia="Arial" w:hAnsi="Arial"/>
                <w:sz w:val="12"/>
                <w:szCs w:val="12"/>
                <w:color w:val="auto"/>
                <w:w w:val="94"/>
              </w:rPr>
              <w:t>Loan agreement dated June 26, 2014, between Santander Bank, N.A. and Sutton Hill Properties, LLC.</w:t>
            </w:r>
          </w:p>
        </w:tc>
      </w:tr>
      <w:tr>
        <w:trPr>
          <w:trHeight w:val="252"/>
        </w:trPr>
        <w:tc>
          <w:tcPr>
            <w:tcW w:w="600" w:type="dxa"/>
            <w:vAlign w:val="bottom"/>
          </w:tcPr>
          <w:p>
            <w:pPr>
              <w:spacing w:after="0"/>
              <w:rPr>
                <w:sz w:val="20"/>
                <w:szCs w:val="20"/>
                <w:color w:val="auto"/>
              </w:rPr>
            </w:pPr>
            <w:r>
              <w:rPr>
                <w:rFonts w:ascii="Arial" w:cs="Arial" w:eastAsia="Arial" w:hAnsi="Arial"/>
                <w:sz w:val="12"/>
                <w:szCs w:val="12"/>
                <w:color w:val="auto"/>
              </w:rPr>
              <w:t>10.13</w:t>
            </w:r>
          </w:p>
        </w:tc>
        <w:tc>
          <w:tcPr>
            <w:tcW w:w="5300" w:type="dxa"/>
            <w:vAlign w:val="bottom"/>
          </w:tcPr>
          <w:p>
            <w:pPr>
              <w:ind w:left="140"/>
              <w:spacing w:after="0"/>
              <w:rPr>
                <w:sz w:val="20"/>
                <w:szCs w:val="20"/>
                <w:color w:val="auto"/>
              </w:rPr>
            </w:pPr>
            <w:r>
              <w:rPr>
                <w:rFonts w:ascii="Arial" w:cs="Arial" w:eastAsia="Arial" w:hAnsi="Arial"/>
                <w:sz w:val="12"/>
                <w:szCs w:val="12"/>
                <w:color w:val="auto"/>
                <w:w w:val="91"/>
              </w:rPr>
              <w:t>Master Lease Agreement dated October 26, 2012, between Consolidated Cinema Services LLC and Banc</w:t>
            </w:r>
          </w:p>
        </w:tc>
      </w:tr>
      <w:tr>
        <w:trPr>
          <w:trHeight w:val="144"/>
        </w:trPr>
        <w:tc>
          <w:tcPr>
            <w:tcW w:w="600" w:type="dxa"/>
            <w:vAlign w:val="bottom"/>
          </w:tcPr>
          <w:p>
            <w:pPr>
              <w:spacing w:after="0"/>
              <w:rPr>
                <w:sz w:val="12"/>
                <w:szCs w:val="12"/>
                <w:color w:val="auto"/>
              </w:rPr>
            </w:pPr>
          </w:p>
        </w:tc>
        <w:tc>
          <w:tcPr>
            <w:tcW w:w="5300" w:type="dxa"/>
            <w:vAlign w:val="bottom"/>
          </w:tcPr>
          <w:p>
            <w:pPr>
              <w:ind w:left="140"/>
              <w:spacing w:after="0"/>
              <w:rPr>
                <w:sz w:val="20"/>
                <w:szCs w:val="20"/>
                <w:color w:val="auto"/>
              </w:rPr>
            </w:pPr>
            <w:r>
              <w:rPr>
                <w:rFonts w:ascii="Arial" w:cs="Arial" w:eastAsia="Arial" w:hAnsi="Arial"/>
                <w:sz w:val="12"/>
                <w:szCs w:val="12"/>
                <w:color w:val="auto"/>
                <w:w w:val="93"/>
              </w:rPr>
              <w:t>of America Leasing &amp; Capital, LLC (filed as Exhibit 10.31 to the Company’s report on Form 10-K for the</w:t>
            </w:r>
          </w:p>
        </w:tc>
      </w:tr>
      <w:tr>
        <w:trPr>
          <w:trHeight w:val="153"/>
        </w:trPr>
        <w:tc>
          <w:tcPr>
            <w:tcW w:w="600" w:type="dxa"/>
            <w:vAlign w:val="bottom"/>
          </w:tcPr>
          <w:p>
            <w:pPr>
              <w:spacing w:after="0"/>
              <w:rPr>
                <w:sz w:val="13"/>
                <w:szCs w:val="13"/>
                <w:color w:val="auto"/>
              </w:rPr>
            </w:pPr>
          </w:p>
        </w:tc>
        <w:tc>
          <w:tcPr>
            <w:tcW w:w="5300" w:type="dxa"/>
            <w:vAlign w:val="bottom"/>
          </w:tcPr>
          <w:p>
            <w:pPr>
              <w:ind w:left="140"/>
              <w:spacing w:after="0"/>
              <w:rPr>
                <w:sz w:val="20"/>
                <w:szCs w:val="20"/>
                <w:color w:val="auto"/>
              </w:rPr>
            </w:pPr>
            <w:r>
              <w:rPr>
                <w:rFonts w:ascii="Arial" w:cs="Arial" w:eastAsia="Arial" w:hAnsi="Arial"/>
                <w:sz w:val="12"/>
                <w:szCs w:val="12"/>
                <w:color w:val="auto"/>
              </w:rPr>
              <w:t>year ended December 31, 2013, and incorporated herein by reference).</w:t>
            </w:r>
          </w:p>
        </w:tc>
      </w:tr>
      <w:tr>
        <w:trPr>
          <w:trHeight w:val="252"/>
        </w:trPr>
        <w:tc>
          <w:tcPr>
            <w:tcW w:w="600" w:type="dxa"/>
            <w:vAlign w:val="bottom"/>
          </w:tcPr>
          <w:p>
            <w:pPr>
              <w:spacing w:after="0"/>
              <w:rPr>
                <w:sz w:val="20"/>
                <w:szCs w:val="20"/>
                <w:color w:val="auto"/>
              </w:rPr>
            </w:pPr>
            <w:r>
              <w:rPr>
                <w:rFonts w:ascii="Arial" w:cs="Arial" w:eastAsia="Arial" w:hAnsi="Arial"/>
                <w:sz w:val="12"/>
                <w:szCs w:val="12"/>
                <w:color w:val="auto"/>
              </w:rPr>
              <w:t>10.14</w:t>
            </w:r>
          </w:p>
        </w:tc>
        <w:tc>
          <w:tcPr>
            <w:tcW w:w="5300" w:type="dxa"/>
            <w:vAlign w:val="bottom"/>
          </w:tcPr>
          <w:p>
            <w:pPr>
              <w:ind w:left="140"/>
              <w:spacing w:after="0"/>
              <w:rPr>
                <w:sz w:val="20"/>
                <w:szCs w:val="20"/>
                <w:color w:val="auto"/>
              </w:rPr>
            </w:pPr>
            <w:r>
              <w:rPr>
                <w:rFonts w:ascii="Arial" w:cs="Arial" w:eastAsia="Arial" w:hAnsi="Arial"/>
                <w:sz w:val="12"/>
                <w:szCs w:val="12"/>
                <w:color w:val="auto"/>
                <w:w w:val="93"/>
              </w:rPr>
              <w:t>Amendment dated October 31, 2012 to the Master Lease Agreement dated October 26, 2012, between</w:t>
            </w:r>
          </w:p>
        </w:tc>
      </w:tr>
      <w:tr>
        <w:trPr>
          <w:trHeight w:val="144"/>
        </w:trPr>
        <w:tc>
          <w:tcPr>
            <w:tcW w:w="600" w:type="dxa"/>
            <w:vAlign w:val="bottom"/>
          </w:tcPr>
          <w:p>
            <w:pPr>
              <w:spacing w:after="0"/>
              <w:rPr>
                <w:sz w:val="12"/>
                <w:szCs w:val="12"/>
                <w:color w:val="auto"/>
              </w:rPr>
            </w:pPr>
          </w:p>
        </w:tc>
        <w:tc>
          <w:tcPr>
            <w:tcW w:w="5300" w:type="dxa"/>
            <w:vAlign w:val="bottom"/>
          </w:tcPr>
          <w:p>
            <w:pPr>
              <w:ind w:left="140"/>
              <w:spacing w:after="0"/>
              <w:rPr>
                <w:sz w:val="20"/>
                <w:szCs w:val="20"/>
                <w:color w:val="auto"/>
              </w:rPr>
            </w:pPr>
            <w:r>
              <w:rPr>
                <w:rFonts w:ascii="Arial" w:cs="Arial" w:eastAsia="Arial" w:hAnsi="Arial"/>
                <w:sz w:val="12"/>
                <w:szCs w:val="12"/>
                <w:color w:val="auto"/>
                <w:w w:val="93"/>
              </w:rPr>
              <w:t>Consolidated Cinema Services LLC and Banc of America Leasing &amp; Capital, LLC (filed as Exhibit 10.32</w:t>
            </w:r>
          </w:p>
        </w:tc>
      </w:tr>
      <w:tr>
        <w:trPr>
          <w:trHeight w:val="144"/>
        </w:trPr>
        <w:tc>
          <w:tcPr>
            <w:tcW w:w="600" w:type="dxa"/>
            <w:vAlign w:val="bottom"/>
          </w:tcPr>
          <w:p>
            <w:pPr>
              <w:spacing w:after="0"/>
              <w:rPr>
                <w:sz w:val="12"/>
                <w:szCs w:val="12"/>
                <w:color w:val="auto"/>
              </w:rPr>
            </w:pPr>
          </w:p>
        </w:tc>
        <w:tc>
          <w:tcPr>
            <w:tcW w:w="5300" w:type="dxa"/>
            <w:vAlign w:val="bottom"/>
          </w:tcPr>
          <w:p>
            <w:pPr>
              <w:ind w:left="140"/>
              <w:spacing w:after="0"/>
              <w:rPr>
                <w:sz w:val="20"/>
                <w:szCs w:val="20"/>
                <w:color w:val="auto"/>
              </w:rPr>
            </w:pPr>
            <w:r>
              <w:rPr>
                <w:rFonts w:ascii="Arial" w:cs="Arial" w:eastAsia="Arial" w:hAnsi="Arial"/>
                <w:sz w:val="12"/>
                <w:szCs w:val="12"/>
                <w:color w:val="auto"/>
                <w:w w:val="91"/>
              </w:rPr>
              <w:t>to the Company’s report on Form 10-K for the year ended December 31, 2013, and incorporated herein by</w:t>
            </w:r>
          </w:p>
        </w:tc>
      </w:tr>
      <w:tr>
        <w:trPr>
          <w:trHeight w:val="153"/>
        </w:trPr>
        <w:tc>
          <w:tcPr>
            <w:tcW w:w="600" w:type="dxa"/>
            <w:vAlign w:val="bottom"/>
          </w:tcPr>
          <w:p>
            <w:pPr>
              <w:spacing w:after="0"/>
              <w:rPr>
                <w:sz w:val="13"/>
                <w:szCs w:val="13"/>
                <w:color w:val="auto"/>
              </w:rPr>
            </w:pPr>
          </w:p>
        </w:tc>
        <w:tc>
          <w:tcPr>
            <w:tcW w:w="5300" w:type="dxa"/>
            <w:vAlign w:val="bottom"/>
          </w:tcPr>
          <w:p>
            <w:pPr>
              <w:ind w:left="140"/>
              <w:spacing w:after="0"/>
              <w:rPr>
                <w:sz w:val="20"/>
                <w:szCs w:val="20"/>
                <w:color w:val="auto"/>
              </w:rPr>
            </w:pPr>
            <w:r>
              <w:rPr>
                <w:rFonts w:ascii="Arial" w:cs="Arial" w:eastAsia="Arial" w:hAnsi="Arial"/>
                <w:sz w:val="12"/>
                <w:szCs w:val="12"/>
                <w:color w:val="auto"/>
              </w:rPr>
              <w:t>reference).</w:t>
            </w:r>
          </w:p>
        </w:tc>
      </w:tr>
      <w:tr>
        <w:trPr>
          <w:trHeight w:val="252"/>
        </w:trPr>
        <w:tc>
          <w:tcPr>
            <w:tcW w:w="600" w:type="dxa"/>
            <w:vAlign w:val="bottom"/>
          </w:tcPr>
          <w:p>
            <w:pPr>
              <w:spacing w:after="0"/>
              <w:rPr>
                <w:sz w:val="20"/>
                <w:szCs w:val="20"/>
                <w:color w:val="auto"/>
              </w:rPr>
            </w:pPr>
            <w:r>
              <w:rPr>
                <w:rFonts w:ascii="Arial" w:cs="Arial" w:eastAsia="Arial" w:hAnsi="Arial"/>
                <w:sz w:val="12"/>
                <w:szCs w:val="12"/>
                <w:color w:val="auto"/>
              </w:rPr>
              <w:t>10.15*</w:t>
            </w:r>
          </w:p>
        </w:tc>
        <w:tc>
          <w:tcPr>
            <w:tcW w:w="5300" w:type="dxa"/>
            <w:vAlign w:val="bottom"/>
          </w:tcPr>
          <w:p>
            <w:pPr>
              <w:ind w:left="140"/>
              <w:spacing w:after="0"/>
              <w:rPr>
                <w:sz w:val="20"/>
                <w:szCs w:val="20"/>
                <w:color w:val="auto"/>
              </w:rPr>
            </w:pPr>
            <w:r>
              <w:rPr>
                <w:rFonts w:ascii="Arial" w:cs="Arial" w:eastAsia="Arial" w:hAnsi="Arial"/>
                <w:sz w:val="12"/>
                <w:szCs w:val="12"/>
                <w:color w:val="auto"/>
                <w:w w:val="91"/>
              </w:rPr>
              <w:t>Form of Indemnification Agreement, as routinely granted to the Company’s Officers and Directors (filed as</w:t>
            </w:r>
          </w:p>
        </w:tc>
      </w:tr>
      <w:tr>
        <w:trPr>
          <w:trHeight w:val="144"/>
        </w:trPr>
        <w:tc>
          <w:tcPr>
            <w:tcW w:w="600" w:type="dxa"/>
            <w:vAlign w:val="bottom"/>
          </w:tcPr>
          <w:p>
            <w:pPr>
              <w:spacing w:after="0"/>
              <w:rPr>
                <w:sz w:val="12"/>
                <w:szCs w:val="12"/>
                <w:color w:val="auto"/>
              </w:rPr>
            </w:pPr>
          </w:p>
        </w:tc>
        <w:tc>
          <w:tcPr>
            <w:tcW w:w="5300" w:type="dxa"/>
            <w:vAlign w:val="bottom"/>
          </w:tcPr>
          <w:p>
            <w:pPr>
              <w:ind w:left="140"/>
              <w:spacing w:after="0"/>
              <w:rPr>
                <w:sz w:val="20"/>
                <w:szCs w:val="20"/>
                <w:color w:val="auto"/>
              </w:rPr>
            </w:pPr>
            <w:r>
              <w:rPr>
                <w:rFonts w:ascii="Arial" w:cs="Arial" w:eastAsia="Arial" w:hAnsi="Arial"/>
                <w:sz w:val="12"/>
                <w:szCs w:val="12"/>
                <w:color w:val="auto"/>
                <w:w w:val="97"/>
              </w:rPr>
              <w:t>Exhibit 10.77 to the Company’s report on Form 10-Q for the period ended September 30, 2008, and</w:t>
            </w:r>
          </w:p>
        </w:tc>
      </w:tr>
      <w:tr>
        <w:trPr>
          <w:trHeight w:val="153"/>
        </w:trPr>
        <w:tc>
          <w:tcPr>
            <w:tcW w:w="600" w:type="dxa"/>
            <w:vAlign w:val="bottom"/>
          </w:tcPr>
          <w:p>
            <w:pPr>
              <w:spacing w:after="0"/>
              <w:rPr>
                <w:sz w:val="13"/>
                <w:szCs w:val="13"/>
                <w:color w:val="auto"/>
              </w:rPr>
            </w:pPr>
          </w:p>
        </w:tc>
        <w:tc>
          <w:tcPr>
            <w:tcW w:w="5300" w:type="dxa"/>
            <w:vAlign w:val="bottom"/>
          </w:tcPr>
          <w:p>
            <w:pPr>
              <w:ind w:left="140"/>
              <w:spacing w:after="0"/>
              <w:rPr>
                <w:sz w:val="20"/>
                <w:szCs w:val="20"/>
                <w:color w:val="auto"/>
              </w:rPr>
            </w:pPr>
            <w:r>
              <w:rPr>
                <w:rFonts w:ascii="Arial" w:cs="Arial" w:eastAsia="Arial" w:hAnsi="Arial"/>
                <w:sz w:val="12"/>
                <w:szCs w:val="12"/>
                <w:color w:val="auto"/>
              </w:rPr>
              <w:t>incorporated herein by reference).</w:t>
            </w:r>
          </w:p>
        </w:tc>
      </w:tr>
      <w:tr>
        <w:trPr>
          <w:trHeight w:val="252"/>
        </w:trPr>
        <w:tc>
          <w:tcPr>
            <w:tcW w:w="600" w:type="dxa"/>
            <w:vAlign w:val="bottom"/>
          </w:tcPr>
          <w:p>
            <w:pPr>
              <w:spacing w:after="0"/>
              <w:rPr>
                <w:sz w:val="20"/>
                <w:szCs w:val="20"/>
                <w:color w:val="auto"/>
              </w:rPr>
            </w:pPr>
            <w:r>
              <w:rPr>
                <w:rFonts w:ascii="Arial" w:cs="Arial" w:eastAsia="Arial" w:hAnsi="Arial"/>
                <w:sz w:val="12"/>
                <w:szCs w:val="12"/>
                <w:color w:val="auto"/>
              </w:rPr>
              <w:t>10.16*</w:t>
            </w:r>
          </w:p>
        </w:tc>
        <w:tc>
          <w:tcPr>
            <w:tcW w:w="5300" w:type="dxa"/>
            <w:vAlign w:val="bottom"/>
          </w:tcPr>
          <w:p>
            <w:pPr>
              <w:ind w:left="140"/>
              <w:spacing w:after="0"/>
              <w:rPr>
                <w:sz w:val="20"/>
                <w:szCs w:val="20"/>
                <w:color w:val="auto"/>
              </w:rPr>
            </w:pPr>
            <w:r>
              <w:rPr>
                <w:rFonts w:ascii="Arial" w:cs="Arial" w:eastAsia="Arial" w:hAnsi="Arial"/>
                <w:sz w:val="12"/>
                <w:szCs w:val="12"/>
                <w:color w:val="auto"/>
                <w:w w:val="92"/>
              </w:rPr>
              <w:t>Employment Agreement between Reading International, Inc. and Devasis Ghose, Chief Financial Officer</w:t>
            </w:r>
          </w:p>
        </w:tc>
      </w:tr>
      <w:tr>
        <w:trPr>
          <w:trHeight w:val="144"/>
        </w:trPr>
        <w:tc>
          <w:tcPr>
            <w:tcW w:w="600" w:type="dxa"/>
            <w:vAlign w:val="bottom"/>
          </w:tcPr>
          <w:p>
            <w:pPr>
              <w:spacing w:after="0"/>
              <w:rPr>
                <w:sz w:val="12"/>
                <w:szCs w:val="12"/>
                <w:color w:val="auto"/>
              </w:rPr>
            </w:pPr>
          </w:p>
        </w:tc>
        <w:tc>
          <w:tcPr>
            <w:tcW w:w="5300" w:type="dxa"/>
            <w:vAlign w:val="bottom"/>
          </w:tcPr>
          <w:p>
            <w:pPr>
              <w:ind w:left="140"/>
              <w:spacing w:after="0"/>
              <w:rPr>
                <w:sz w:val="20"/>
                <w:szCs w:val="20"/>
                <w:color w:val="auto"/>
              </w:rPr>
            </w:pPr>
            <w:r>
              <w:rPr>
                <w:rFonts w:ascii="Arial" w:cs="Arial" w:eastAsia="Arial" w:hAnsi="Arial"/>
                <w:sz w:val="12"/>
                <w:szCs w:val="12"/>
                <w:color w:val="auto"/>
                <w:w w:val="94"/>
              </w:rPr>
              <w:t>(filed as Exhibit 10.1 to the Company’s report on Form 10-Q for the period ended March 31, 2015, and</w:t>
            </w:r>
          </w:p>
        </w:tc>
      </w:tr>
      <w:tr>
        <w:trPr>
          <w:trHeight w:val="153"/>
        </w:trPr>
        <w:tc>
          <w:tcPr>
            <w:tcW w:w="600" w:type="dxa"/>
            <w:vAlign w:val="bottom"/>
          </w:tcPr>
          <w:p>
            <w:pPr>
              <w:spacing w:after="0"/>
              <w:rPr>
                <w:sz w:val="13"/>
                <w:szCs w:val="13"/>
                <w:color w:val="auto"/>
              </w:rPr>
            </w:pPr>
          </w:p>
        </w:tc>
        <w:tc>
          <w:tcPr>
            <w:tcW w:w="5300" w:type="dxa"/>
            <w:vAlign w:val="bottom"/>
          </w:tcPr>
          <w:p>
            <w:pPr>
              <w:ind w:left="140"/>
              <w:spacing w:after="0"/>
              <w:rPr>
                <w:sz w:val="20"/>
                <w:szCs w:val="20"/>
                <w:color w:val="auto"/>
              </w:rPr>
            </w:pPr>
            <w:r>
              <w:rPr>
                <w:rFonts w:ascii="Arial" w:cs="Arial" w:eastAsia="Arial" w:hAnsi="Arial"/>
                <w:sz w:val="12"/>
                <w:szCs w:val="12"/>
                <w:color w:val="auto"/>
              </w:rPr>
              <w:t>incorporated herein by reference).</w:t>
            </w:r>
          </w:p>
        </w:tc>
      </w:tr>
      <w:tr>
        <w:trPr>
          <w:trHeight w:val="252"/>
        </w:trPr>
        <w:tc>
          <w:tcPr>
            <w:tcW w:w="600" w:type="dxa"/>
            <w:vAlign w:val="bottom"/>
          </w:tcPr>
          <w:p>
            <w:pPr>
              <w:spacing w:after="0"/>
              <w:rPr>
                <w:sz w:val="20"/>
                <w:szCs w:val="20"/>
                <w:color w:val="auto"/>
              </w:rPr>
            </w:pPr>
            <w:r>
              <w:rPr>
                <w:rFonts w:ascii="Arial" w:cs="Arial" w:eastAsia="Arial" w:hAnsi="Arial"/>
                <w:sz w:val="12"/>
                <w:szCs w:val="12"/>
                <w:color w:val="auto"/>
              </w:rPr>
              <w:t>10.17*</w:t>
            </w:r>
          </w:p>
        </w:tc>
        <w:tc>
          <w:tcPr>
            <w:tcW w:w="5300" w:type="dxa"/>
            <w:vAlign w:val="bottom"/>
          </w:tcPr>
          <w:p>
            <w:pPr>
              <w:ind w:left="140"/>
              <w:spacing w:after="0"/>
              <w:rPr>
                <w:sz w:val="20"/>
                <w:szCs w:val="20"/>
                <w:color w:val="auto"/>
              </w:rPr>
            </w:pPr>
            <w:r>
              <w:rPr>
                <w:rFonts w:ascii="Arial" w:cs="Arial" w:eastAsia="Arial" w:hAnsi="Arial"/>
                <w:sz w:val="12"/>
                <w:szCs w:val="12"/>
                <w:color w:val="auto"/>
                <w:w w:val="92"/>
              </w:rPr>
              <w:t>Employment Agreement between Reading International, Inc. and William D. Ellis, General Counsel (filed</w:t>
            </w:r>
          </w:p>
        </w:tc>
      </w:tr>
      <w:tr>
        <w:trPr>
          <w:trHeight w:val="144"/>
        </w:trPr>
        <w:tc>
          <w:tcPr>
            <w:tcW w:w="600" w:type="dxa"/>
            <w:vAlign w:val="bottom"/>
          </w:tcPr>
          <w:p>
            <w:pPr>
              <w:spacing w:after="0"/>
              <w:rPr>
                <w:sz w:val="12"/>
                <w:szCs w:val="12"/>
                <w:color w:val="auto"/>
              </w:rPr>
            </w:pPr>
          </w:p>
        </w:tc>
        <w:tc>
          <w:tcPr>
            <w:tcW w:w="5300" w:type="dxa"/>
            <w:vAlign w:val="bottom"/>
          </w:tcPr>
          <w:p>
            <w:pPr>
              <w:ind w:left="140"/>
              <w:spacing w:after="0"/>
              <w:rPr>
                <w:sz w:val="20"/>
                <w:szCs w:val="20"/>
                <w:color w:val="auto"/>
              </w:rPr>
            </w:pPr>
            <w:r>
              <w:rPr>
                <w:rFonts w:ascii="Arial" w:cs="Arial" w:eastAsia="Arial" w:hAnsi="Arial"/>
                <w:sz w:val="12"/>
                <w:szCs w:val="12"/>
                <w:color w:val="auto"/>
                <w:w w:val="95"/>
              </w:rPr>
              <w:t>as Exhibit 10.1 to the Company’s report on Form 10-Q for the period ended September 30, 2015, and</w:t>
            </w:r>
          </w:p>
        </w:tc>
      </w:tr>
      <w:tr>
        <w:trPr>
          <w:trHeight w:val="153"/>
        </w:trPr>
        <w:tc>
          <w:tcPr>
            <w:tcW w:w="600" w:type="dxa"/>
            <w:vAlign w:val="bottom"/>
          </w:tcPr>
          <w:p>
            <w:pPr>
              <w:spacing w:after="0"/>
              <w:rPr>
                <w:sz w:val="13"/>
                <w:szCs w:val="13"/>
                <w:color w:val="auto"/>
              </w:rPr>
            </w:pPr>
          </w:p>
        </w:tc>
        <w:tc>
          <w:tcPr>
            <w:tcW w:w="5300" w:type="dxa"/>
            <w:vAlign w:val="bottom"/>
          </w:tcPr>
          <w:p>
            <w:pPr>
              <w:ind w:left="140"/>
              <w:spacing w:after="0"/>
              <w:rPr>
                <w:sz w:val="20"/>
                <w:szCs w:val="20"/>
                <w:color w:val="auto"/>
              </w:rPr>
            </w:pPr>
            <w:r>
              <w:rPr>
                <w:rFonts w:ascii="Arial" w:cs="Arial" w:eastAsia="Arial" w:hAnsi="Arial"/>
                <w:sz w:val="12"/>
                <w:szCs w:val="12"/>
                <w:color w:val="auto"/>
              </w:rPr>
              <w:t>incorporated herein by reference).</w:t>
            </w:r>
          </w:p>
        </w:tc>
      </w:tr>
      <w:tr>
        <w:trPr>
          <w:trHeight w:val="252"/>
        </w:trPr>
        <w:tc>
          <w:tcPr>
            <w:tcW w:w="600" w:type="dxa"/>
            <w:vAlign w:val="bottom"/>
          </w:tcPr>
          <w:p>
            <w:pPr>
              <w:spacing w:after="0"/>
              <w:rPr>
                <w:sz w:val="20"/>
                <w:szCs w:val="20"/>
                <w:color w:val="auto"/>
              </w:rPr>
            </w:pPr>
            <w:r>
              <w:rPr>
                <w:rFonts w:ascii="Arial" w:cs="Arial" w:eastAsia="Arial" w:hAnsi="Arial"/>
                <w:sz w:val="12"/>
                <w:szCs w:val="12"/>
                <w:color w:val="auto"/>
              </w:rPr>
              <w:t>10.18*</w:t>
            </w:r>
          </w:p>
        </w:tc>
        <w:tc>
          <w:tcPr>
            <w:tcW w:w="5300" w:type="dxa"/>
            <w:vAlign w:val="bottom"/>
          </w:tcPr>
          <w:p>
            <w:pPr>
              <w:ind w:left="140"/>
              <w:spacing w:after="0"/>
              <w:rPr>
                <w:sz w:val="20"/>
                <w:szCs w:val="20"/>
                <w:color w:val="auto"/>
              </w:rPr>
            </w:pPr>
            <w:r>
              <w:rPr>
                <w:rFonts w:ascii="Arial" w:cs="Arial" w:eastAsia="Arial" w:hAnsi="Arial"/>
                <w:sz w:val="12"/>
                <w:szCs w:val="12"/>
                <w:color w:val="auto"/>
                <w:w w:val="90"/>
              </w:rPr>
              <w:t>Separation and Release Agreement dated March 11, 2016 between Reading International, Inc. and William</w:t>
            </w:r>
          </w:p>
        </w:tc>
      </w:tr>
      <w:tr>
        <w:trPr>
          <w:trHeight w:val="144"/>
        </w:trPr>
        <w:tc>
          <w:tcPr>
            <w:tcW w:w="600" w:type="dxa"/>
            <w:vAlign w:val="bottom"/>
          </w:tcPr>
          <w:p>
            <w:pPr>
              <w:spacing w:after="0"/>
              <w:rPr>
                <w:sz w:val="12"/>
                <w:szCs w:val="12"/>
                <w:color w:val="auto"/>
              </w:rPr>
            </w:pPr>
          </w:p>
        </w:tc>
        <w:tc>
          <w:tcPr>
            <w:tcW w:w="5300" w:type="dxa"/>
            <w:vAlign w:val="bottom"/>
          </w:tcPr>
          <w:p>
            <w:pPr>
              <w:ind w:left="140"/>
              <w:spacing w:after="0"/>
              <w:rPr>
                <w:sz w:val="20"/>
                <w:szCs w:val="20"/>
                <w:color w:val="auto"/>
              </w:rPr>
            </w:pPr>
            <w:r>
              <w:rPr>
                <w:rFonts w:ascii="Arial" w:cs="Arial" w:eastAsia="Arial" w:hAnsi="Arial"/>
                <w:sz w:val="12"/>
                <w:szCs w:val="12"/>
                <w:color w:val="auto"/>
              </w:rPr>
              <w:t>D. Ellis (filed as Exhibit 12.1 to the Company’s report on Form 8-K filed on March 15, 2016, and</w:t>
            </w:r>
          </w:p>
        </w:tc>
      </w:tr>
      <w:tr>
        <w:trPr>
          <w:trHeight w:val="153"/>
        </w:trPr>
        <w:tc>
          <w:tcPr>
            <w:tcW w:w="600" w:type="dxa"/>
            <w:vAlign w:val="bottom"/>
          </w:tcPr>
          <w:p>
            <w:pPr>
              <w:spacing w:after="0"/>
              <w:rPr>
                <w:sz w:val="13"/>
                <w:szCs w:val="13"/>
                <w:color w:val="auto"/>
              </w:rPr>
            </w:pPr>
          </w:p>
        </w:tc>
        <w:tc>
          <w:tcPr>
            <w:tcW w:w="5300" w:type="dxa"/>
            <w:vAlign w:val="bottom"/>
          </w:tcPr>
          <w:p>
            <w:pPr>
              <w:ind w:left="140"/>
              <w:spacing w:after="0"/>
              <w:rPr>
                <w:sz w:val="20"/>
                <w:szCs w:val="20"/>
                <w:color w:val="auto"/>
              </w:rPr>
            </w:pPr>
            <w:r>
              <w:rPr>
                <w:rFonts w:ascii="Arial" w:cs="Arial" w:eastAsia="Arial" w:hAnsi="Arial"/>
                <w:sz w:val="12"/>
                <w:szCs w:val="12"/>
                <w:color w:val="auto"/>
              </w:rPr>
              <w:t>incorporated herein by reference).</w:t>
            </w:r>
          </w:p>
        </w:tc>
      </w:tr>
      <w:tr>
        <w:trPr>
          <w:trHeight w:val="252"/>
        </w:trPr>
        <w:tc>
          <w:tcPr>
            <w:tcW w:w="600" w:type="dxa"/>
            <w:vAlign w:val="bottom"/>
          </w:tcPr>
          <w:p>
            <w:pPr>
              <w:spacing w:after="0"/>
              <w:rPr>
                <w:sz w:val="20"/>
                <w:szCs w:val="20"/>
                <w:color w:val="auto"/>
              </w:rPr>
            </w:pPr>
            <w:r>
              <w:rPr>
                <w:rFonts w:ascii="Arial" w:cs="Arial" w:eastAsia="Arial" w:hAnsi="Arial"/>
                <w:sz w:val="12"/>
                <w:szCs w:val="12"/>
                <w:color w:val="auto"/>
              </w:rPr>
              <w:t>10.19*+</w:t>
            </w:r>
          </w:p>
        </w:tc>
        <w:tc>
          <w:tcPr>
            <w:tcW w:w="5300" w:type="dxa"/>
            <w:vAlign w:val="bottom"/>
          </w:tcPr>
          <w:p>
            <w:pPr>
              <w:ind w:left="140"/>
              <w:spacing w:after="0"/>
              <w:rPr>
                <w:sz w:val="20"/>
                <w:szCs w:val="20"/>
                <w:color w:val="auto"/>
              </w:rPr>
            </w:pPr>
            <w:r>
              <w:rPr>
                <w:rFonts w:ascii="Arial" w:cs="Arial" w:eastAsia="Arial" w:hAnsi="Arial"/>
                <w:sz w:val="12"/>
                <w:szCs w:val="12"/>
                <w:color w:val="auto"/>
                <w:w w:val="91"/>
              </w:rPr>
              <w:t>Separation and Release Agreement dated May 30, 2014 between Reading International, Inc. and Andrzej</w:t>
            </w:r>
          </w:p>
        </w:tc>
      </w:tr>
      <w:tr>
        <w:trPr>
          <w:trHeight w:val="153"/>
        </w:trPr>
        <w:tc>
          <w:tcPr>
            <w:tcW w:w="600" w:type="dxa"/>
            <w:vAlign w:val="bottom"/>
          </w:tcPr>
          <w:p>
            <w:pPr>
              <w:spacing w:after="0"/>
              <w:rPr>
                <w:sz w:val="13"/>
                <w:szCs w:val="13"/>
                <w:color w:val="auto"/>
              </w:rPr>
            </w:pPr>
          </w:p>
        </w:tc>
        <w:tc>
          <w:tcPr>
            <w:tcW w:w="5300" w:type="dxa"/>
            <w:vAlign w:val="bottom"/>
          </w:tcPr>
          <w:p>
            <w:pPr>
              <w:ind w:left="140"/>
              <w:spacing w:after="0"/>
              <w:rPr>
                <w:sz w:val="20"/>
                <w:szCs w:val="20"/>
                <w:color w:val="auto"/>
              </w:rPr>
            </w:pPr>
            <w:r>
              <w:rPr>
                <w:rFonts w:ascii="Arial" w:cs="Arial" w:eastAsia="Arial" w:hAnsi="Arial"/>
                <w:sz w:val="12"/>
                <w:szCs w:val="12"/>
                <w:color w:val="auto"/>
              </w:rPr>
              <w:t>Matyczynski.</w:t>
            </w:r>
          </w:p>
        </w:tc>
      </w:tr>
      <w:tr>
        <w:trPr>
          <w:trHeight w:val="234"/>
        </w:trPr>
        <w:tc>
          <w:tcPr>
            <w:tcW w:w="600" w:type="dxa"/>
            <w:vAlign w:val="bottom"/>
          </w:tcPr>
          <w:p>
            <w:pPr>
              <w:spacing w:after="0"/>
              <w:rPr>
                <w:sz w:val="20"/>
                <w:szCs w:val="20"/>
                <w:color w:val="auto"/>
              </w:rPr>
            </w:pPr>
            <w:r>
              <w:rPr>
                <w:rFonts w:ascii="Arial" w:cs="Arial" w:eastAsia="Arial" w:hAnsi="Arial"/>
                <w:sz w:val="12"/>
                <w:szCs w:val="12"/>
                <w:color w:val="auto"/>
              </w:rPr>
              <w:t>10.20*+</w:t>
            </w:r>
          </w:p>
        </w:tc>
        <w:tc>
          <w:tcPr>
            <w:tcW w:w="5300" w:type="dxa"/>
            <w:vAlign w:val="bottom"/>
          </w:tcPr>
          <w:p>
            <w:pPr>
              <w:ind w:left="140"/>
              <w:spacing w:after="0"/>
              <w:rPr>
                <w:sz w:val="20"/>
                <w:szCs w:val="20"/>
                <w:color w:val="auto"/>
              </w:rPr>
            </w:pPr>
            <w:r>
              <w:rPr>
                <w:rFonts w:ascii="Arial" w:cs="Arial" w:eastAsia="Arial" w:hAnsi="Arial"/>
                <w:sz w:val="12"/>
                <w:szCs w:val="12"/>
                <w:color w:val="auto"/>
                <w:w w:val="96"/>
              </w:rPr>
              <w:t>First Amendment to the Separation and Release Agreement between Reading International, Inc. and</w:t>
            </w:r>
          </w:p>
        </w:tc>
      </w:tr>
      <w:tr>
        <w:trPr>
          <w:trHeight w:val="153"/>
        </w:trPr>
        <w:tc>
          <w:tcPr>
            <w:tcW w:w="600" w:type="dxa"/>
            <w:vAlign w:val="bottom"/>
          </w:tcPr>
          <w:p>
            <w:pPr>
              <w:spacing w:after="0"/>
              <w:rPr>
                <w:sz w:val="13"/>
                <w:szCs w:val="13"/>
                <w:color w:val="auto"/>
              </w:rPr>
            </w:pPr>
          </w:p>
        </w:tc>
        <w:tc>
          <w:tcPr>
            <w:tcW w:w="5300" w:type="dxa"/>
            <w:vAlign w:val="bottom"/>
          </w:tcPr>
          <w:p>
            <w:pPr>
              <w:ind w:left="140"/>
              <w:spacing w:after="0"/>
              <w:rPr>
                <w:sz w:val="20"/>
                <w:szCs w:val="20"/>
                <w:color w:val="auto"/>
              </w:rPr>
            </w:pPr>
            <w:r>
              <w:rPr>
                <w:rFonts w:ascii="Arial" w:cs="Arial" w:eastAsia="Arial" w:hAnsi="Arial"/>
                <w:sz w:val="12"/>
                <w:szCs w:val="12"/>
                <w:color w:val="auto"/>
              </w:rPr>
              <w:t>Andrzej Matyczynski, effective as of August 6, 2014.</w:t>
            </w:r>
          </w:p>
        </w:tc>
      </w:tr>
      <w:tr>
        <w:trPr>
          <w:trHeight w:val="234"/>
        </w:trPr>
        <w:tc>
          <w:tcPr>
            <w:tcW w:w="600" w:type="dxa"/>
            <w:vAlign w:val="bottom"/>
          </w:tcPr>
          <w:p>
            <w:pPr>
              <w:spacing w:after="0"/>
              <w:rPr>
                <w:sz w:val="20"/>
                <w:szCs w:val="20"/>
                <w:color w:val="auto"/>
              </w:rPr>
            </w:pPr>
            <w:r>
              <w:rPr>
                <w:rFonts w:ascii="Arial" w:cs="Arial" w:eastAsia="Arial" w:hAnsi="Arial"/>
                <w:sz w:val="12"/>
                <w:szCs w:val="12"/>
                <w:color w:val="auto"/>
              </w:rPr>
              <w:t>10.21*+</w:t>
            </w:r>
          </w:p>
        </w:tc>
        <w:tc>
          <w:tcPr>
            <w:tcW w:w="5300" w:type="dxa"/>
            <w:vAlign w:val="bottom"/>
          </w:tcPr>
          <w:p>
            <w:pPr>
              <w:ind w:left="140"/>
              <w:spacing w:after="0"/>
              <w:rPr>
                <w:sz w:val="20"/>
                <w:szCs w:val="20"/>
                <w:color w:val="auto"/>
              </w:rPr>
            </w:pPr>
            <w:r>
              <w:rPr>
                <w:rFonts w:ascii="Arial" w:cs="Arial" w:eastAsia="Arial" w:hAnsi="Arial"/>
                <w:sz w:val="12"/>
                <w:szCs w:val="12"/>
                <w:color w:val="auto"/>
                <w:w w:val="93"/>
              </w:rPr>
              <w:t>Second Amendment to the Separation and Release Agreement between Reading International, Inc. and</w:t>
            </w:r>
          </w:p>
        </w:tc>
      </w:tr>
      <w:tr>
        <w:trPr>
          <w:trHeight w:val="153"/>
        </w:trPr>
        <w:tc>
          <w:tcPr>
            <w:tcW w:w="600" w:type="dxa"/>
            <w:vAlign w:val="bottom"/>
          </w:tcPr>
          <w:p>
            <w:pPr>
              <w:spacing w:after="0"/>
              <w:rPr>
                <w:sz w:val="13"/>
                <w:szCs w:val="13"/>
                <w:color w:val="auto"/>
              </w:rPr>
            </w:pPr>
          </w:p>
        </w:tc>
        <w:tc>
          <w:tcPr>
            <w:tcW w:w="5300" w:type="dxa"/>
            <w:vAlign w:val="bottom"/>
          </w:tcPr>
          <w:p>
            <w:pPr>
              <w:ind w:left="140"/>
              <w:spacing w:after="0"/>
              <w:rPr>
                <w:sz w:val="20"/>
                <w:szCs w:val="20"/>
                <w:color w:val="auto"/>
              </w:rPr>
            </w:pPr>
            <w:r>
              <w:rPr>
                <w:rFonts w:ascii="Arial" w:cs="Arial" w:eastAsia="Arial" w:hAnsi="Arial"/>
                <w:sz w:val="12"/>
                <w:szCs w:val="12"/>
                <w:color w:val="auto"/>
              </w:rPr>
              <w:t>Andrzej Matyczynski, effective as of November 26, 2014.</w:t>
            </w:r>
          </w:p>
        </w:tc>
      </w:tr>
      <w:tr>
        <w:trPr>
          <w:trHeight w:val="252"/>
        </w:trPr>
        <w:tc>
          <w:tcPr>
            <w:tcW w:w="600" w:type="dxa"/>
            <w:vAlign w:val="bottom"/>
          </w:tcPr>
          <w:p>
            <w:pPr>
              <w:spacing w:after="0"/>
              <w:rPr>
                <w:sz w:val="20"/>
                <w:szCs w:val="20"/>
                <w:color w:val="auto"/>
              </w:rPr>
            </w:pPr>
            <w:r>
              <w:rPr>
                <w:rFonts w:ascii="Arial" w:cs="Arial" w:eastAsia="Arial" w:hAnsi="Arial"/>
                <w:sz w:val="12"/>
                <w:szCs w:val="12"/>
                <w:color w:val="auto"/>
              </w:rPr>
              <w:t>10.22*+</w:t>
            </w:r>
          </w:p>
        </w:tc>
        <w:tc>
          <w:tcPr>
            <w:tcW w:w="5300" w:type="dxa"/>
            <w:vAlign w:val="bottom"/>
          </w:tcPr>
          <w:p>
            <w:pPr>
              <w:ind w:left="140"/>
              <w:spacing w:after="0"/>
              <w:rPr>
                <w:sz w:val="20"/>
                <w:szCs w:val="20"/>
                <w:color w:val="auto"/>
              </w:rPr>
            </w:pPr>
            <w:r>
              <w:rPr>
                <w:rFonts w:ascii="Arial" w:cs="Arial" w:eastAsia="Arial" w:hAnsi="Arial"/>
                <w:sz w:val="12"/>
                <w:szCs w:val="12"/>
                <w:color w:val="auto"/>
                <w:w w:val="95"/>
              </w:rPr>
              <w:t>Third Amendment to the Separation and Release Agreement between Reading International, Inc. and</w:t>
            </w:r>
          </w:p>
        </w:tc>
      </w:tr>
      <w:tr>
        <w:trPr>
          <w:trHeight w:val="153"/>
        </w:trPr>
        <w:tc>
          <w:tcPr>
            <w:tcW w:w="600" w:type="dxa"/>
            <w:vAlign w:val="bottom"/>
          </w:tcPr>
          <w:p>
            <w:pPr>
              <w:spacing w:after="0"/>
              <w:rPr>
                <w:sz w:val="13"/>
                <w:szCs w:val="13"/>
                <w:color w:val="auto"/>
              </w:rPr>
            </w:pPr>
          </w:p>
        </w:tc>
        <w:tc>
          <w:tcPr>
            <w:tcW w:w="5300" w:type="dxa"/>
            <w:vAlign w:val="bottom"/>
          </w:tcPr>
          <w:p>
            <w:pPr>
              <w:ind w:left="140"/>
              <w:spacing w:after="0"/>
              <w:rPr>
                <w:sz w:val="20"/>
                <w:szCs w:val="20"/>
                <w:color w:val="auto"/>
              </w:rPr>
            </w:pPr>
            <w:r>
              <w:rPr>
                <w:rFonts w:ascii="Arial" w:cs="Arial" w:eastAsia="Arial" w:hAnsi="Arial"/>
                <w:sz w:val="12"/>
                <w:szCs w:val="12"/>
                <w:color w:val="auto"/>
              </w:rPr>
              <w:t>Andrzej Matyczynski, effective as of May 1, 2015.</w:t>
            </w:r>
          </w:p>
        </w:tc>
      </w:tr>
      <w:tr>
        <w:trPr>
          <w:trHeight w:val="252"/>
        </w:trPr>
        <w:tc>
          <w:tcPr>
            <w:tcW w:w="600" w:type="dxa"/>
            <w:vAlign w:val="bottom"/>
          </w:tcPr>
          <w:p>
            <w:pPr>
              <w:spacing w:after="0"/>
              <w:rPr>
                <w:sz w:val="20"/>
                <w:szCs w:val="20"/>
                <w:color w:val="auto"/>
              </w:rPr>
            </w:pPr>
            <w:r>
              <w:rPr>
                <w:rFonts w:ascii="Arial" w:cs="Arial" w:eastAsia="Arial" w:hAnsi="Arial"/>
                <w:sz w:val="12"/>
                <w:szCs w:val="12"/>
                <w:color w:val="auto"/>
              </w:rPr>
              <w:t>10.23*+</w:t>
            </w:r>
          </w:p>
        </w:tc>
        <w:tc>
          <w:tcPr>
            <w:tcW w:w="5300" w:type="dxa"/>
            <w:vAlign w:val="bottom"/>
          </w:tcPr>
          <w:p>
            <w:pPr>
              <w:ind w:left="140"/>
              <w:spacing w:after="0"/>
              <w:rPr>
                <w:sz w:val="20"/>
                <w:szCs w:val="20"/>
                <w:color w:val="auto"/>
              </w:rPr>
            </w:pPr>
            <w:r>
              <w:rPr>
                <w:rFonts w:ascii="Arial" w:cs="Arial" w:eastAsia="Arial" w:hAnsi="Arial"/>
                <w:sz w:val="12"/>
                <w:szCs w:val="12"/>
                <w:color w:val="auto"/>
                <w:w w:val="90"/>
              </w:rPr>
              <w:t>Amended and Restated Compensatory Arrangements for Executive and Management Employees dated as</w:t>
            </w:r>
          </w:p>
        </w:tc>
      </w:tr>
      <w:tr>
        <w:trPr>
          <w:trHeight w:val="153"/>
        </w:trPr>
        <w:tc>
          <w:tcPr>
            <w:tcW w:w="600" w:type="dxa"/>
            <w:vAlign w:val="bottom"/>
          </w:tcPr>
          <w:p>
            <w:pPr>
              <w:spacing w:after="0"/>
              <w:rPr>
                <w:sz w:val="13"/>
                <w:szCs w:val="13"/>
                <w:color w:val="auto"/>
              </w:rPr>
            </w:pPr>
          </w:p>
        </w:tc>
        <w:tc>
          <w:tcPr>
            <w:tcW w:w="5300" w:type="dxa"/>
            <w:vAlign w:val="bottom"/>
          </w:tcPr>
          <w:p>
            <w:pPr>
              <w:ind w:left="140"/>
              <w:spacing w:after="0"/>
              <w:rPr>
                <w:sz w:val="20"/>
                <w:szCs w:val="20"/>
                <w:color w:val="auto"/>
              </w:rPr>
            </w:pPr>
            <w:r>
              <w:rPr>
                <w:rFonts w:ascii="Arial" w:cs="Arial" w:eastAsia="Arial" w:hAnsi="Arial"/>
                <w:sz w:val="12"/>
                <w:szCs w:val="12"/>
                <w:color w:val="auto"/>
              </w:rPr>
              <w:t>of March 28, 2016.</w:t>
            </w:r>
          </w:p>
        </w:tc>
      </w:tr>
      <w:tr>
        <w:trPr>
          <w:trHeight w:val="261"/>
        </w:trPr>
        <w:tc>
          <w:tcPr>
            <w:tcW w:w="600" w:type="dxa"/>
            <w:vAlign w:val="bottom"/>
          </w:tcPr>
          <w:p>
            <w:pPr>
              <w:spacing w:after="0"/>
              <w:rPr>
                <w:sz w:val="20"/>
                <w:szCs w:val="20"/>
                <w:color w:val="auto"/>
              </w:rPr>
            </w:pPr>
            <w:r>
              <w:rPr>
                <w:rFonts w:ascii="Arial" w:cs="Arial" w:eastAsia="Arial" w:hAnsi="Arial"/>
                <w:sz w:val="12"/>
                <w:szCs w:val="12"/>
                <w:color w:val="auto"/>
              </w:rPr>
              <w:t>10.24+</w:t>
            </w:r>
          </w:p>
        </w:tc>
        <w:tc>
          <w:tcPr>
            <w:tcW w:w="5300" w:type="dxa"/>
            <w:vAlign w:val="bottom"/>
          </w:tcPr>
          <w:p>
            <w:pPr>
              <w:ind w:left="140"/>
              <w:spacing w:after="0"/>
              <w:rPr>
                <w:sz w:val="20"/>
                <w:szCs w:val="20"/>
                <w:color w:val="auto"/>
              </w:rPr>
            </w:pPr>
            <w:r>
              <w:rPr>
                <w:rFonts w:ascii="Arial" w:cs="Arial" w:eastAsia="Arial" w:hAnsi="Arial"/>
                <w:sz w:val="12"/>
                <w:szCs w:val="12"/>
                <w:color w:val="auto"/>
              </w:rPr>
              <w:t>OBI Termination Agreement and Release</w:t>
            </w:r>
          </w:p>
        </w:tc>
      </w:tr>
      <w:tr>
        <w:trPr>
          <w:trHeight w:val="261"/>
        </w:trPr>
        <w:tc>
          <w:tcPr>
            <w:tcW w:w="600" w:type="dxa"/>
            <w:vAlign w:val="bottom"/>
          </w:tcPr>
          <w:p>
            <w:pPr>
              <w:spacing w:after="0"/>
              <w:rPr>
                <w:sz w:val="20"/>
                <w:szCs w:val="20"/>
                <w:color w:val="auto"/>
              </w:rPr>
            </w:pPr>
            <w:r>
              <w:rPr>
                <w:rFonts w:ascii="Arial" w:cs="Arial" w:eastAsia="Arial" w:hAnsi="Arial"/>
                <w:sz w:val="12"/>
                <w:szCs w:val="12"/>
                <w:color w:val="auto"/>
              </w:rPr>
              <w:t>21+</w:t>
            </w:r>
          </w:p>
        </w:tc>
        <w:tc>
          <w:tcPr>
            <w:tcW w:w="5300" w:type="dxa"/>
            <w:vAlign w:val="bottom"/>
          </w:tcPr>
          <w:p>
            <w:pPr>
              <w:ind w:left="140"/>
              <w:spacing w:after="0"/>
              <w:rPr>
                <w:sz w:val="20"/>
                <w:szCs w:val="20"/>
                <w:color w:val="auto"/>
              </w:rPr>
            </w:pPr>
            <w:r>
              <w:rPr>
                <w:rFonts w:ascii="Arial" w:cs="Arial" w:eastAsia="Arial" w:hAnsi="Arial"/>
                <w:sz w:val="12"/>
                <w:szCs w:val="12"/>
                <w:color w:val="auto"/>
              </w:rPr>
              <w:t>List of Subsidiaries.</w:t>
            </w:r>
          </w:p>
        </w:tc>
      </w:tr>
      <w:tr>
        <w:trPr>
          <w:trHeight w:val="261"/>
        </w:trPr>
        <w:tc>
          <w:tcPr>
            <w:tcW w:w="600" w:type="dxa"/>
            <w:vAlign w:val="bottom"/>
          </w:tcPr>
          <w:p>
            <w:pPr>
              <w:spacing w:after="0"/>
              <w:rPr>
                <w:sz w:val="20"/>
                <w:szCs w:val="20"/>
                <w:color w:val="auto"/>
              </w:rPr>
            </w:pPr>
            <w:r>
              <w:rPr>
                <w:rFonts w:ascii="Arial" w:cs="Arial" w:eastAsia="Arial" w:hAnsi="Arial"/>
                <w:sz w:val="12"/>
                <w:szCs w:val="12"/>
                <w:color w:val="auto"/>
              </w:rPr>
              <w:t>23.1+</w:t>
            </w:r>
          </w:p>
        </w:tc>
        <w:tc>
          <w:tcPr>
            <w:tcW w:w="5300" w:type="dxa"/>
            <w:vAlign w:val="bottom"/>
          </w:tcPr>
          <w:p>
            <w:pPr>
              <w:ind w:left="140"/>
              <w:spacing w:after="0"/>
              <w:rPr>
                <w:sz w:val="20"/>
                <w:szCs w:val="20"/>
                <w:color w:val="auto"/>
              </w:rPr>
            </w:pPr>
            <w:r>
              <w:rPr>
                <w:rFonts w:ascii="Arial" w:cs="Arial" w:eastAsia="Arial" w:hAnsi="Arial"/>
                <w:sz w:val="12"/>
                <w:szCs w:val="12"/>
                <w:color w:val="auto"/>
              </w:rPr>
              <w:t>Consent of Independent Registered Public Accounting Firm, Grant Thornton LLP.</w:t>
            </w:r>
          </w:p>
        </w:tc>
      </w:tr>
      <w:tr>
        <w:trPr>
          <w:trHeight w:val="261"/>
        </w:trPr>
        <w:tc>
          <w:tcPr>
            <w:tcW w:w="600" w:type="dxa"/>
            <w:vAlign w:val="bottom"/>
          </w:tcPr>
          <w:p>
            <w:pPr>
              <w:spacing w:after="0"/>
              <w:rPr>
                <w:sz w:val="20"/>
                <w:szCs w:val="20"/>
                <w:color w:val="auto"/>
              </w:rPr>
            </w:pPr>
            <w:r>
              <w:rPr>
                <w:rFonts w:ascii="Arial" w:cs="Arial" w:eastAsia="Arial" w:hAnsi="Arial"/>
                <w:sz w:val="12"/>
                <w:szCs w:val="12"/>
                <w:color w:val="auto"/>
              </w:rPr>
              <w:t>31.1+</w:t>
            </w:r>
          </w:p>
        </w:tc>
        <w:tc>
          <w:tcPr>
            <w:tcW w:w="5300" w:type="dxa"/>
            <w:vAlign w:val="bottom"/>
          </w:tcPr>
          <w:p>
            <w:pPr>
              <w:ind w:left="140"/>
              <w:spacing w:after="0"/>
              <w:rPr>
                <w:sz w:val="20"/>
                <w:szCs w:val="20"/>
                <w:color w:val="auto"/>
              </w:rPr>
            </w:pPr>
            <w:r>
              <w:rPr>
                <w:rFonts w:ascii="Arial" w:cs="Arial" w:eastAsia="Arial" w:hAnsi="Arial"/>
                <w:sz w:val="12"/>
                <w:szCs w:val="12"/>
                <w:color w:val="auto"/>
                <w:w w:val="95"/>
              </w:rPr>
              <w:t>Certification of Principal Executive Officer pursuant to Section 302 of the Sarbanes-Oxley Act of 2002.</w:t>
            </w:r>
          </w:p>
        </w:tc>
      </w:tr>
      <w:tr>
        <w:trPr>
          <w:trHeight w:val="261"/>
        </w:trPr>
        <w:tc>
          <w:tcPr>
            <w:tcW w:w="600" w:type="dxa"/>
            <w:vAlign w:val="bottom"/>
          </w:tcPr>
          <w:p>
            <w:pPr>
              <w:spacing w:after="0"/>
              <w:rPr>
                <w:sz w:val="20"/>
                <w:szCs w:val="20"/>
                <w:color w:val="auto"/>
              </w:rPr>
            </w:pPr>
            <w:r>
              <w:rPr>
                <w:rFonts w:ascii="Arial" w:cs="Arial" w:eastAsia="Arial" w:hAnsi="Arial"/>
                <w:sz w:val="12"/>
                <w:szCs w:val="12"/>
                <w:color w:val="auto"/>
              </w:rPr>
              <w:t>31.2+</w:t>
            </w:r>
          </w:p>
        </w:tc>
        <w:tc>
          <w:tcPr>
            <w:tcW w:w="5300" w:type="dxa"/>
            <w:vAlign w:val="bottom"/>
          </w:tcPr>
          <w:p>
            <w:pPr>
              <w:ind w:left="140"/>
              <w:spacing w:after="0"/>
              <w:rPr>
                <w:sz w:val="20"/>
                <w:szCs w:val="20"/>
                <w:color w:val="auto"/>
              </w:rPr>
            </w:pPr>
            <w:r>
              <w:rPr>
                <w:rFonts w:ascii="Arial" w:cs="Arial" w:eastAsia="Arial" w:hAnsi="Arial"/>
                <w:sz w:val="12"/>
                <w:szCs w:val="12"/>
                <w:color w:val="auto"/>
                <w:w w:val="95"/>
              </w:rPr>
              <w:t>Certification of Principal Financial Officer pursuant to Section 302 of the Sarbanes-Oxley Act of 2002.</w:t>
            </w:r>
          </w:p>
        </w:tc>
      </w:tr>
      <w:tr>
        <w:trPr>
          <w:trHeight w:val="252"/>
        </w:trPr>
        <w:tc>
          <w:tcPr>
            <w:tcW w:w="600" w:type="dxa"/>
            <w:vAlign w:val="bottom"/>
          </w:tcPr>
          <w:p>
            <w:pPr>
              <w:spacing w:after="0"/>
              <w:rPr>
                <w:sz w:val="20"/>
                <w:szCs w:val="20"/>
                <w:color w:val="auto"/>
              </w:rPr>
            </w:pPr>
            <w:r>
              <w:rPr>
                <w:rFonts w:ascii="Arial" w:cs="Arial" w:eastAsia="Arial" w:hAnsi="Arial"/>
                <w:sz w:val="12"/>
                <w:szCs w:val="12"/>
                <w:color w:val="auto"/>
              </w:rPr>
              <w:t>32.1+</w:t>
            </w:r>
          </w:p>
        </w:tc>
        <w:tc>
          <w:tcPr>
            <w:tcW w:w="5300" w:type="dxa"/>
            <w:vAlign w:val="bottom"/>
          </w:tcPr>
          <w:p>
            <w:pPr>
              <w:ind w:left="140"/>
              <w:spacing w:after="0"/>
              <w:rPr>
                <w:sz w:val="20"/>
                <w:szCs w:val="20"/>
                <w:color w:val="auto"/>
              </w:rPr>
            </w:pPr>
            <w:r>
              <w:rPr>
                <w:rFonts w:ascii="Arial" w:cs="Arial" w:eastAsia="Arial" w:hAnsi="Arial"/>
                <w:sz w:val="12"/>
                <w:szCs w:val="12"/>
                <w:color w:val="auto"/>
                <w:w w:val="94"/>
              </w:rPr>
              <w:t>Certification of Principal Executive Officer pursuant to 18 U.S.C. Section 1350, as adopted pursuant to</w:t>
            </w:r>
          </w:p>
        </w:tc>
      </w:tr>
      <w:tr>
        <w:trPr>
          <w:trHeight w:val="153"/>
        </w:trPr>
        <w:tc>
          <w:tcPr>
            <w:tcW w:w="600" w:type="dxa"/>
            <w:vAlign w:val="bottom"/>
          </w:tcPr>
          <w:p>
            <w:pPr>
              <w:spacing w:after="0"/>
              <w:rPr>
                <w:sz w:val="13"/>
                <w:szCs w:val="13"/>
                <w:color w:val="auto"/>
              </w:rPr>
            </w:pPr>
          </w:p>
        </w:tc>
        <w:tc>
          <w:tcPr>
            <w:tcW w:w="5300" w:type="dxa"/>
            <w:vAlign w:val="bottom"/>
          </w:tcPr>
          <w:p>
            <w:pPr>
              <w:ind w:left="140"/>
              <w:spacing w:after="0"/>
              <w:rPr>
                <w:sz w:val="20"/>
                <w:szCs w:val="20"/>
                <w:color w:val="auto"/>
              </w:rPr>
            </w:pPr>
            <w:r>
              <w:rPr>
                <w:rFonts w:ascii="Arial" w:cs="Arial" w:eastAsia="Arial" w:hAnsi="Arial"/>
                <w:sz w:val="12"/>
                <w:szCs w:val="12"/>
                <w:color w:val="auto"/>
              </w:rPr>
              <w:t>Section 906 of the Sarbanes-Oxley Act of 2002.</w:t>
            </w:r>
          </w:p>
        </w:tc>
      </w:tr>
      <w:tr>
        <w:trPr>
          <w:trHeight w:val="252"/>
        </w:trPr>
        <w:tc>
          <w:tcPr>
            <w:tcW w:w="600" w:type="dxa"/>
            <w:vAlign w:val="bottom"/>
          </w:tcPr>
          <w:p>
            <w:pPr>
              <w:spacing w:after="0"/>
              <w:rPr>
                <w:sz w:val="20"/>
                <w:szCs w:val="20"/>
                <w:color w:val="auto"/>
              </w:rPr>
            </w:pPr>
            <w:r>
              <w:rPr>
                <w:rFonts w:ascii="Arial" w:cs="Arial" w:eastAsia="Arial" w:hAnsi="Arial"/>
                <w:sz w:val="12"/>
                <w:szCs w:val="12"/>
                <w:color w:val="auto"/>
              </w:rPr>
              <w:t>32.2+</w:t>
            </w:r>
          </w:p>
        </w:tc>
        <w:tc>
          <w:tcPr>
            <w:tcW w:w="5300" w:type="dxa"/>
            <w:vAlign w:val="bottom"/>
          </w:tcPr>
          <w:p>
            <w:pPr>
              <w:ind w:left="140"/>
              <w:spacing w:after="0"/>
              <w:rPr>
                <w:sz w:val="20"/>
                <w:szCs w:val="20"/>
                <w:color w:val="auto"/>
              </w:rPr>
            </w:pPr>
            <w:r>
              <w:rPr>
                <w:rFonts w:ascii="Arial" w:cs="Arial" w:eastAsia="Arial" w:hAnsi="Arial"/>
                <w:sz w:val="12"/>
                <w:szCs w:val="12"/>
                <w:color w:val="auto"/>
                <w:w w:val="95"/>
              </w:rPr>
              <w:t>Certification of Principal Financial Officer pursuant to 18 U.S.C. Section 1350, as adopted pursuant to</w:t>
            </w:r>
          </w:p>
        </w:tc>
      </w:tr>
      <w:tr>
        <w:trPr>
          <w:trHeight w:val="153"/>
        </w:trPr>
        <w:tc>
          <w:tcPr>
            <w:tcW w:w="600" w:type="dxa"/>
            <w:vAlign w:val="bottom"/>
          </w:tcPr>
          <w:p>
            <w:pPr>
              <w:spacing w:after="0"/>
              <w:rPr>
                <w:sz w:val="13"/>
                <w:szCs w:val="13"/>
                <w:color w:val="auto"/>
              </w:rPr>
            </w:pPr>
          </w:p>
        </w:tc>
        <w:tc>
          <w:tcPr>
            <w:tcW w:w="5300" w:type="dxa"/>
            <w:vAlign w:val="bottom"/>
          </w:tcPr>
          <w:p>
            <w:pPr>
              <w:ind w:left="140"/>
              <w:spacing w:after="0"/>
              <w:rPr>
                <w:sz w:val="20"/>
                <w:szCs w:val="20"/>
                <w:color w:val="auto"/>
              </w:rPr>
            </w:pPr>
            <w:r>
              <w:rPr>
                <w:rFonts w:ascii="Arial" w:cs="Arial" w:eastAsia="Arial" w:hAnsi="Arial"/>
                <w:sz w:val="12"/>
                <w:szCs w:val="12"/>
                <w:color w:val="auto"/>
              </w:rPr>
              <w:t>Section 906 of the Sarbanes-Oxley Act of 2002.</w:t>
            </w:r>
          </w:p>
        </w:tc>
      </w:tr>
      <w:tr>
        <w:trPr>
          <w:trHeight w:val="261"/>
        </w:trPr>
        <w:tc>
          <w:tcPr>
            <w:tcW w:w="600" w:type="dxa"/>
            <w:vAlign w:val="bottom"/>
          </w:tcPr>
          <w:p>
            <w:pPr>
              <w:spacing w:after="0"/>
              <w:rPr>
                <w:sz w:val="20"/>
                <w:szCs w:val="20"/>
                <w:color w:val="auto"/>
              </w:rPr>
            </w:pPr>
            <w:r>
              <w:rPr>
                <w:rFonts w:ascii="Arial" w:cs="Arial" w:eastAsia="Arial" w:hAnsi="Arial"/>
                <w:sz w:val="12"/>
                <w:szCs w:val="12"/>
                <w:color w:val="auto"/>
              </w:rPr>
              <w:t>101.INS</w:t>
            </w:r>
          </w:p>
        </w:tc>
        <w:tc>
          <w:tcPr>
            <w:tcW w:w="5300" w:type="dxa"/>
            <w:vAlign w:val="bottom"/>
          </w:tcPr>
          <w:p>
            <w:pPr>
              <w:ind w:left="140"/>
              <w:spacing w:after="0"/>
              <w:rPr>
                <w:sz w:val="20"/>
                <w:szCs w:val="20"/>
                <w:color w:val="auto"/>
              </w:rPr>
            </w:pPr>
            <w:r>
              <w:rPr>
                <w:rFonts w:ascii="Arial" w:cs="Arial" w:eastAsia="Arial" w:hAnsi="Arial"/>
                <w:sz w:val="12"/>
                <w:szCs w:val="12"/>
                <w:color w:val="auto"/>
              </w:rPr>
              <w:t>XBRL Instance Document</w:t>
            </w:r>
          </w:p>
        </w:tc>
      </w:tr>
      <w:tr>
        <w:trPr>
          <w:trHeight w:val="261"/>
        </w:trPr>
        <w:tc>
          <w:tcPr>
            <w:tcW w:w="600" w:type="dxa"/>
            <w:vAlign w:val="bottom"/>
          </w:tcPr>
          <w:p>
            <w:pPr>
              <w:spacing w:after="0"/>
              <w:rPr>
                <w:sz w:val="20"/>
                <w:szCs w:val="20"/>
                <w:color w:val="auto"/>
              </w:rPr>
            </w:pPr>
            <w:r>
              <w:rPr>
                <w:rFonts w:ascii="Arial" w:cs="Arial" w:eastAsia="Arial" w:hAnsi="Arial"/>
                <w:sz w:val="12"/>
                <w:szCs w:val="12"/>
                <w:color w:val="auto"/>
              </w:rPr>
              <w:t>101.SCH</w:t>
            </w:r>
          </w:p>
        </w:tc>
        <w:tc>
          <w:tcPr>
            <w:tcW w:w="5300" w:type="dxa"/>
            <w:vAlign w:val="bottom"/>
          </w:tcPr>
          <w:p>
            <w:pPr>
              <w:ind w:left="140"/>
              <w:spacing w:after="0"/>
              <w:rPr>
                <w:sz w:val="20"/>
                <w:szCs w:val="20"/>
                <w:color w:val="auto"/>
              </w:rPr>
            </w:pPr>
            <w:r>
              <w:rPr>
                <w:rFonts w:ascii="Arial" w:cs="Arial" w:eastAsia="Arial" w:hAnsi="Arial"/>
                <w:sz w:val="12"/>
                <w:szCs w:val="12"/>
                <w:color w:val="auto"/>
              </w:rPr>
              <w:t>XBRL Taxonomy Extension Schema</w:t>
            </w:r>
          </w:p>
        </w:tc>
      </w:tr>
      <w:tr>
        <w:trPr>
          <w:trHeight w:val="261"/>
        </w:trPr>
        <w:tc>
          <w:tcPr>
            <w:tcW w:w="600" w:type="dxa"/>
            <w:vAlign w:val="bottom"/>
          </w:tcPr>
          <w:p>
            <w:pPr>
              <w:spacing w:after="0"/>
              <w:rPr>
                <w:sz w:val="20"/>
                <w:szCs w:val="20"/>
                <w:color w:val="auto"/>
              </w:rPr>
            </w:pPr>
            <w:r>
              <w:rPr>
                <w:rFonts w:ascii="Arial" w:cs="Arial" w:eastAsia="Arial" w:hAnsi="Arial"/>
                <w:sz w:val="12"/>
                <w:szCs w:val="12"/>
                <w:color w:val="auto"/>
              </w:rPr>
              <w:t>101.CAL</w:t>
            </w:r>
          </w:p>
        </w:tc>
        <w:tc>
          <w:tcPr>
            <w:tcW w:w="5300" w:type="dxa"/>
            <w:vAlign w:val="bottom"/>
          </w:tcPr>
          <w:p>
            <w:pPr>
              <w:ind w:left="140"/>
              <w:spacing w:after="0"/>
              <w:rPr>
                <w:sz w:val="20"/>
                <w:szCs w:val="20"/>
                <w:color w:val="auto"/>
              </w:rPr>
            </w:pPr>
            <w:r>
              <w:rPr>
                <w:rFonts w:ascii="Arial" w:cs="Arial" w:eastAsia="Arial" w:hAnsi="Arial"/>
                <w:sz w:val="12"/>
                <w:szCs w:val="12"/>
                <w:color w:val="auto"/>
              </w:rPr>
              <w:t>XBRL Taxonomy Extension Calculation</w:t>
            </w:r>
          </w:p>
        </w:tc>
      </w:tr>
      <w:tr>
        <w:trPr>
          <w:trHeight w:val="261"/>
        </w:trPr>
        <w:tc>
          <w:tcPr>
            <w:tcW w:w="600" w:type="dxa"/>
            <w:vAlign w:val="bottom"/>
          </w:tcPr>
          <w:p>
            <w:pPr>
              <w:spacing w:after="0"/>
              <w:rPr>
                <w:sz w:val="20"/>
                <w:szCs w:val="20"/>
                <w:color w:val="auto"/>
              </w:rPr>
            </w:pPr>
            <w:r>
              <w:rPr>
                <w:rFonts w:ascii="Arial" w:cs="Arial" w:eastAsia="Arial" w:hAnsi="Arial"/>
                <w:sz w:val="12"/>
                <w:szCs w:val="12"/>
                <w:color w:val="auto"/>
              </w:rPr>
              <w:t>101.DEF</w:t>
            </w:r>
          </w:p>
        </w:tc>
        <w:tc>
          <w:tcPr>
            <w:tcW w:w="5300" w:type="dxa"/>
            <w:vAlign w:val="bottom"/>
          </w:tcPr>
          <w:p>
            <w:pPr>
              <w:ind w:left="140"/>
              <w:spacing w:after="0"/>
              <w:rPr>
                <w:sz w:val="20"/>
                <w:szCs w:val="20"/>
                <w:color w:val="auto"/>
              </w:rPr>
            </w:pPr>
            <w:r>
              <w:rPr>
                <w:rFonts w:ascii="Arial" w:cs="Arial" w:eastAsia="Arial" w:hAnsi="Arial"/>
                <w:sz w:val="12"/>
                <w:szCs w:val="12"/>
                <w:color w:val="auto"/>
              </w:rPr>
              <w:t>XBRL Taxonomy Extension Definition</w:t>
            </w:r>
          </w:p>
        </w:tc>
      </w:tr>
      <w:tr>
        <w:trPr>
          <w:trHeight w:val="261"/>
        </w:trPr>
        <w:tc>
          <w:tcPr>
            <w:tcW w:w="600" w:type="dxa"/>
            <w:vAlign w:val="bottom"/>
          </w:tcPr>
          <w:p>
            <w:pPr>
              <w:spacing w:after="0"/>
              <w:rPr>
                <w:sz w:val="20"/>
                <w:szCs w:val="20"/>
                <w:color w:val="auto"/>
              </w:rPr>
            </w:pPr>
            <w:r>
              <w:rPr>
                <w:rFonts w:ascii="Arial" w:cs="Arial" w:eastAsia="Arial" w:hAnsi="Arial"/>
                <w:sz w:val="12"/>
                <w:szCs w:val="12"/>
                <w:color w:val="auto"/>
              </w:rPr>
              <w:t>101.LAB</w:t>
            </w:r>
          </w:p>
        </w:tc>
        <w:tc>
          <w:tcPr>
            <w:tcW w:w="5300" w:type="dxa"/>
            <w:vAlign w:val="bottom"/>
          </w:tcPr>
          <w:p>
            <w:pPr>
              <w:ind w:left="140"/>
              <w:spacing w:after="0"/>
              <w:rPr>
                <w:sz w:val="20"/>
                <w:szCs w:val="20"/>
                <w:color w:val="auto"/>
              </w:rPr>
            </w:pPr>
            <w:r>
              <w:rPr>
                <w:rFonts w:ascii="Arial" w:cs="Arial" w:eastAsia="Arial" w:hAnsi="Arial"/>
                <w:sz w:val="12"/>
                <w:szCs w:val="12"/>
                <w:color w:val="auto"/>
              </w:rPr>
              <w:t>XBRL Taxonomy Extension Labels</w:t>
            </w:r>
          </w:p>
        </w:tc>
      </w:tr>
      <w:tr>
        <w:trPr>
          <w:trHeight w:val="261"/>
        </w:trPr>
        <w:tc>
          <w:tcPr>
            <w:tcW w:w="600" w:type="dxa"/>
            <w:vAlign w:val="bottom"/>
          </w:tcPr>
          <w:p>
            <w:pPr>
              <w:spacing w:after="0"/>
              <w:rPr>
                <w:sz w:val="20"/>
                <w:szCs w:val="20"/>
                <w:color w:val="auto"/>
              </w:rPr>
            </w:pPr>
            <w:r>
              <w:rPr>
                <w:rFonts w:ascii="Arial" w:cs="Arial" w:eastAsia="Arial" w:hAnsi="Arial"/>
                <w:sz w:val="12"/>
                <w:szCs w:val="12"/>
                <w:color w:val="auto"/>
              </w:rPr>
              <w:t>101.PRE</w:t>
            </w:r>
          </w:p>
        </w:tc>
        <w:tc>
          <w:tcPr>
            <w:tcW w:w="5300" w:type="dxa"/>
            <w:vAlign w:val="bottom"/>
          </w:tcPr>
          <w:p>
            <w:pPr>
              <w:ind w:left="140"/>
              <w:spacing w:after="0"/>
              <w:rPr>
                <w:sz w:val="20"/>
                <w:szCs w:val="20"/>
                <w:color w:val="auto"/>
              </w:rPr>
            </w:pPr>
            <w:r>
              <w:rPr>
                <w:rFonts w:ascii="Arial" w:cs="Arial" w:eastAsia="Arial" w:hAnsi="Arial"/>
                <w:sz w:val="12"/>
                <w:szCs w:val="12"/>
                <w:color w:val="auto"/>
              </w:rPr>
              <w:t>XBRL Taxonomy Extension Presentation</w:t>
            </w:r>
          </w:p>
        </w:tc>
      </w:tr>
    </w:tbl>
    <w:p>
      <w:pPr>
        <w:spacing w:after="0" w:line="72" w:lineRule="exact"/>
        <w:rPr>
          <w:sz w:val="20"/>
          <w:szCs w:val="20"/>
          <w:color w:val="auto"/>
        </w:rPr>
      </w:pPr>
    </w:p>
    <w:p>
      <w:pPr>
        <w:spacing w:after="0"/>
        <w:rPr>
          <w:sz w:val="20"/>
          <w:szCs w:val="20"/>
          <w:color w:val="auto"/>
        </w:rPr>
      </w:pPr>
      <w:r>
        <w:rPr>
          <w:rFonts w:ascii="Arial" w:cs="Arial" w:eastAsia="Arial" w:hAnsi="Arial"/>
          <w:sz w:val="12"/>
          <w:szCs w:val="12"/>
          <w:color w:val="auto"/>
        </w:rPr>
        <w:t>*These exhibits constitute the executive compensation plans and arrangements of the Company.</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+These exhibits are filed herewith.</w:t>
      </w:r>
    </w:p>
    <w:p>
      <w:pPr>
        <w:spacing w:after="0" w:line="141" w:lineRule="exact"/>
        <w:rPr>
          <w:sz w:val="20"/>
          <w:szCs w:val="20"/>
          <w:color w:val="auto"/>
        </w:rPr>
      </w:pPr>
    </w:p>
    <w:p>
      <w:pPr>
        <w:ind w:left="5220"/>
        <w:spacing w:after="0"/>
        <w:rPr>
          <w:sz w:val="20"/>
          <w:szCs w:val="20"/>
          <w:color w:val="auto"/>
        </w:rPr>
      </w:pPr>
      <w:r>
        <w:rPr>
          <w:rFonts w:ascii="Arial" w:cs="Arial" w:eastAsia="Arial" w:hAnsi="Arial"/>
          <w:sz w:val="12"/>
          <w:szCs w:val="12"/>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59690</wp:posOffset>
            </wp:positionV>
            <wp:extent cx="6779895"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779895" cy="42545"/>
                    </a:xfrm>
                    <a:prstGeom prst="rect">
                      <a:avLst/>
                    </a:prstGeom>
                    <a:noFill/>
                  </pic:spPr>
                </pic:pic>
              </a:graphicData>
            </a:graphic>
          </wp:anchor>
        </w:drawing>
      </w:r>
    </w:p>
    <w:p>
      <w:pPr>
        <w:sectPr>
          <w:pgSz w:w="11900" w:h="16838" w:orient="portrait"/>
          <w:cols w:equalWidth="0" w:num="1">
            <w:col w:w="9819"/>
          </w:cols>
          <w:pgMar w:left="640" w:top="338" w:right="1440" w:bottom="1440" w:gutter="0" w:footer="0" w:header="0"/>
        </w:sectPr>
      </w:pPr>
    </w:p>
    <w:bookmarkStart w:id="131" w:name="page132"/>
    <w:bookmarkEnd w:id="131"/>
    <w:p>
      <w:pPr>
        <w:ind w:left="4920"/>
        <w:spacing w:after="0"/>
        <w:rPr>
          <w:sz w:val="20"/>
          <w:szCs w:val="20"/>
          <w:color w:val="auto"/>
        </w:rPr>
      </w:pPr>
      <w:r>
        <w:rPr>
          <w:rFonts w:ascii="Arial" w:cs="Arial" w:eastAsia="Arial" w:hAnsi="Arial"/>
          <w:sz w:val="12"/>
          <w:szCs w:val="12"/>
          <w:b w:val="1"/>
          <w:bCs w:val="1"/>
          <w:u w:val="single" w:color="auto"/>
          <w:color w:val="auto"/>
        </w:rPr>
        <w:t>SIGNATURES</w:t>
      </w:r>
    </w:p>
    <w:p>
      <w:pPr>
        <w:spacing w:after="0" w:line="6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Pursuant to the requirements of the Securities Exchange Act of 1934, the registrant has duly caused this report to be signed on its behalf by the undersigned thereunto duly authorized.</w:t>
      </w:r>
    </w:p>
    <w:p>
      <w:pPr>
        <w:spacing w:after="0" w:line="69" w:lineRule="exact"/>
        <w:rPr>
          <w:sz w:val="20"/>
          <w:szCs w:val="20"/>
          <w:color w:val="auto"/>
        </w:rPr>
      </w:pPr>
    </w:p>
    <w:p>
      <w:pPr>
        <w:ind w:left="4360"/>
        <w:spacing w:after="0"/>
        <w:rPr>
          <w:sz w:val="20"/>
          <w:szCs w:val="20"/>
          <w:color w:val="auto"/>
        </w:rPr>
      </w:pPr>
      <w:r>
        <w:rPr>
          <w:rFonts w:ascii="Arial" w:cs="Arial" w:eastAsia="Arial" w:hAnsi="Arial"/>
          <w:sz w:val="12"/>
          <w:szCs w:val="12"/>
          <w:b w:val="1"/>
          <w:bCs w:val="1"/>
          <w:color w:val="auto"/>
        </w:rPr>
        <w:t>READING INTERNATIONAL, INC.</w:t>
      </w:r>
    </w:p>
    <w:p>
      <w:pPr>
        <w:spacing w:after="0" w:line="64" w:lineRule="exact"/>
        <w:rPr>
          <w:sz w:val="20"/>
          <w:szCs w:val="20"/>
          <w:color w:val="auto"/>
        </w:rPr>
      </w:pPr>
    </w:p>
    <w:p>
      <w:pPr>
        <w:ind w:left="5020"/>
        <w:spacing w:after="0"/>
        <w:rPr>
          <w:sz w:val="20"/>
          <w:szCs w:val="20"/>
          <w:color w:val="auto"/>
        </w:rPr>
      </w:pPr>
      <w:r>
        <w:rPr>
          <w:rFonts w:ascii="Arial" w:cs="Arial" w:eastAsia="Arial" w:hAnsi="Arial"/>
          <w:sz w:val="12"/>
          <w:szCs w:val="12"/>
          <w:color w:val="auto"/>
        </w:rPr>
        <w:t>(Registrant)</w:t>
      </w:r>
    </w:p>
    <w:p>
      <w:pPr>
        <w:spacing w:after="0" w:line="186" w:lineRule="exact"/>
        <w:rPr>
          <w:sz w:val="20"/>
          <w:szCs w:val="20"/>
          <w:color w:val="auto"/>
        </w:rPr>
      </w:pPr>
    </w:p>
    <w:p>
      <w:pPr>
        <w:spacing w:after="0"/>
        <w:tabs>
          <w:tab w:leader="none" w:pos="720" w:val="left"/>
          <w:tab w:leader="none" w:pos="4840" w:val="left"/>
          <w:tab w:leader="none" w:pos="6280" w:val="left"/>
        </w:tabs>
        <w:rPr>
          <w:sz w:val="20"/>
          <w:szCs w:val="20"/>
          <w:color w:val="auto"/>
        </w:rPr>
      </w:pPr>
      <w:r>
        <w:rPr>
          <w:rFonts w:ascii="Arial" w:cs="Arial" w:eastAsia="Arial" w:hAnsi="Arial"/>
          <w:sz w:val="12"/>
          <w:szCs w:val="12"/>
          <w:color w:val="auto"/>
        </w:rPr>
        <w:t>Date:</w:t>
      </w:r>
      <w:r>
        <w:rPr>
          <w:sz w:val="20"/>
          <w:szCs w:val="20"/>
          <w:color w:val="auto"/>
        </w:rPr>
        <w:tab/>
      </w:r>
      <w:r>
        <w:rPr>
          <w:rFonts w:ascii="Arial" w:cs="Arial" w:eastAsia="Arial" w:hAnsi="Arial"/>
          <w:sz w:val="12"/>
          <w:szCs w:val="12"/>
          <w:color w:val="auto"/>
        </w:rPr>
        <w:t>April 29, 2016</w:t>
      </w:r>
      <w:r>
        <w:rPr>
          <w:sz w:val="20"/>
          <w:szCs w:val="20"/>
          <w:color w:val="auto"/>
        </w:rPr>
        <w:tab/>
      </w:r>
      <w:r>
        <w:rPr>
          <w:rFonts w:ascii="Arial" w:cs="Arial" w:eastAsia="Arial" w:hAnsi="Arial"/>
          <w:sz w:val="12"/>
          <w:szCs w:val="12"/>
          <w:color w:val="auto"/>
        </w:rPr>
        <w:t>By:</w:t>
      </w:r>
      <w:r>
        <w:rPr>
          <w:sz w:val="20"/>
          <w:szCs w:val="20"/>
          <w:color w:val="auto"/>
        </w:rPr>
        <w:tab/>
      </w:r>
      <w:r>
        <w:rPr>
          <w:rFonts w:ascii="Arial" w:cs="Arial" w:eastAsia="Arial" w:hAnsi="Arial"/>
          <w:sz w:val="10"/>
          <w:szCs w:val="10"/>
          <w:color w:val="auto"/>
        </w:rPr>
        <w:t>/s/ Devasis Ghose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4000500</wp:posOffset>
            </wp:positionH>
            <wp:positionV relativeFrom="paragraph">
              <wp:posOffset>9525</wp:posOffset>
            </wp:positionV>
            <wp:extent cx="2745105" cy="1143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2745105" cy="11430"/>
                    </a:xfrm>
                    <a:prstGeom prst="rect">
                      <a:avLst/>
                    </a:prstGeom>
                    <a:noFill/>
                  </pic:spPr>
                </pic:pic>
              </a:graphicData>
            </a:graphic>
          </wp:anchor>
        </w:drawing>
      </w:r>
    </w:p>
    <w:p>
      <w:pPr>
        <w:spacing w:after="0" w:line="58" w:lineRule="exact"/>
        <w:rPr>
          <w:sz w:val="20"/>
          <w:szCs w:val="20"/>
          <w:color w:val="auto"/>
        </w:rPr>
      </w:pPr>
    </w:p>
    <w:p>
      <w:pPr>
        <w:ind w:left="6300"/>
        <w:spacing w:after="0"/>
        <w:rPr>
          <w:sz w:val="20"/>
          <w:szCs w:val="20"/>
          <w:color w:val="auto"/>
        </w:rPr>
      </w:pPr>
      <w:r>
        <w:rPr>
          <w:rFonts w:ascii="Arial" w:cs="Arial" w:eastAsia="Arial" w:hAnsi="Arial"/>
          <w:sz w:val="12"/>
          <w:szCs w:val="12"/>
          <w:color w:val="auto"/>
        </w:rPr>
        <w:t>Devasis Ghose</w:t>
      </w:r>
    </w:p>
    <w:p>
      <w:pPr>
        <w:spacing w:after="0" w:line="69" w:lineRule="exact"/>
        <w:rPr>
          <w:sz w:val="20"/>
          <w:szCs w:val="20"/>
          <w:color w:val="auto"/>
        </w:rPr>
      </w:pPr>
    </w:p>
    <w:p>
      <w:pPr>
        <w:ind w:left="6300"/>
        <w:spacing w:after="0"/>
        <w:rPr>
          <w:sz w:val="20"/>
          <w:szCs w:val="20"/>
          <w:color w:val="auto"/>
        </w:rPr>
      </w:pPr>
      <w:r>
        <w:rPr>
          <w:rFonts w:ascii="Arial" w:cs="Arial" w:eastAsia="Arial" w:hAnsi="Arial"/>
          <w:sz w:val="12"/>
          <w:szCs w:val="12"/>
          <w:color w:val="auto"/>
        </w:rPr>
        <w:t>Chief Financial Officer and Treasurer</w:t>
      </w:r>
    </w:p>
    <w:p>
      <w:pPr>
        <w:spacing w:after="0" w:line="69" w:lineRule="exact"/>
        <w:rPr>
          <w:sz w:val="20"/>
          <w:szCs w:val="20"/>
          <w:color w:val="auto"/>
        </w:rPr>
      </w:pPr>
    </w:p>
    <w:p>
      <w:pPr>
        <w:ind w:left="6300"/>
        <w:spacing w:after="0"/>
        <w:rPr>
          <w:sz w:val="20"/>
          <w:szCs w:val="20"/>
          <w:color w:val="auto"/>
        </w:rPr>
      </w:pPr>
      <w:r>
        <w:rPr>
          <w:rFonts w:ascii="Arial" w:cs="Arial" w:eastAsia="Arial" w:hAnsi="Arial"/>
          <w:sz w:val="12"/>
          <w:szCs w:val="12"/>
          <w:i w:val="1"/>
          <w:iCs w:val="1"/>
          <w:color w:val="auto"/>
        </w:rPr>
        <w:t>(Principal Financial Officer)</w:t>
      </w:r>
    </w:p>
    <w:p>
      <w:pPr>
        <w:spacing w:after="0" w:line="65"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Pursuant to the requirements of the Securities and Exchange Act of 1934, this report has been signed below by the following persons on behalf of Registrant and in the capacities and on the dates indicated.</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580" w:type="dxa"/>
            <w:vAlign w:val="bottom"/>
            <w:gridSpan w:val="2"/>
          </w:tcPr>
          <w:p>
            <w:pPr>
              <w:spacing w:after="0"/>
              <w:rPr>
                <w:sz w:val="20"/>
                <w:szCs w:val="20"/>
                <w:color w:val="auto"/>
              </w:rPr>
            </w:pPr>
            <w:r>
              <w:rPr>
                <w:rFonts w:ascii="Arial" w:cs="Arial" w:eastAsia="Arial" w:hAnsi="Arial"/>
                <w:sz w:val="12"/>
                <w:szCs w:val="12"/>
                <w:b w:val="1"/>
                <w:bCs w:val="1"/>
                <w:color w:val="auto"/>
              </w:rPr>
              <w:t>Signature</w:t>
            </w:r>
          </w:p>
        </w:tc>
        <w:tc>
          <w:tcPr>
            <w:tcW w:w="5280" w:type="dxa"/>
            <w:vAlign w:val="bottom"/>
            <w:gridSpan w:val="3"/>
          </w:tcPr>
          <w:p>
            <w:pPr>
              <w:ind w:left="3080"/>
              <w:spacing w:after="0"/>
              <w:rPr>
                <w:sz w:val="20"/>
                <w:szCs w:val="20"/>
                <w:color w:val="auto"/>
              </w:rPr>
            </w:pPr>
            <w:r>
              <w:rPr>
                <w:rFonts w:ascii="Arial" w:cs="Arial" w:eastAsia="Arial" w:hAnsi="Arial"/>
                <w:sz w:val="12"/>
                <w:szCs w:val="12"/>
                <w:b w:val="1"/>
                <w:bCs w:val="1"/>
                <w:color w:val="auto"/>
              </w:rPr>
              <w:t>Title(s)</w:t>
            </w:r>
          </w:p>
        </w:tc>
        <w:tc>
          <w:tcPr>
            <w:tcW w:w="1900" w:type="dxa"/>
            <w:vAlign w:val="bottom"/>
          </w:tcPr>
          <w:p>
            <w:pPr>
              <w:spacing w:after="0"/>
              <w:rPr>
                <w:sz w:val="12"/>
                <w:szCs w:val="12"/>
                <w:color w:val="auto"/>
              </w:rPr>
            </w:pPr>
          </w:p>
        </w:tc>
        <w:tc>
          <w:tcPr>
            <w:tcW w:w="880" w:type="dxa"/>
            <w:vAlign w:val="bottom"/>
            <w:gridSpan w:val="2"/>
          </w:tcPr>
          <w:p>
            <w:pPr>
              <w:jc w:val="center"/>
              <w:ind w:right="640"/>
              <w:spacing w:after="0"/>
              <w:rPr>
                <w:sz w:val="20"/>
                <w:szCs w:val="20"/>
                <w:color w:val="auto"/>
              </w:rPr>
            </w:pPr>
            <w:r>
              <w:rPr>
                <w:rFonts w:ascii="Arial" w:cs="Arial" w:eastAsia="Arial" w:hAnsi="Arial"/>
                <w:sz w:val="12"/>
                <w:szCs w:val="12"/>
                <w:b w:val="1"/>
                <w:bCs w:val="1"/>
                <w:color w:val="auto"/>
                <w:w w:val="92"/>
              </w:rPr>
              <w:t>Date</w:t>
            </w:r>
          </w:p>
        </w:tc>
      </w:tr>
      <w:tr>
        <w:trPr>
          <w:trHeight w:val="20"/>
        </w:trPr>
        <w:tc>
          <w:tcPr>
            <w:tcW w:w="500" w:type="dxa"/>
            <w:vAlign w:val="bottom"/>
            <w:shd w:val="clear" w:color="auto" w:fill="000000"/>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68"/>
        </w:trPr>
        <w:tc>
          <w:tcPr>
            <w:tcW w:w="2580" w:type="dxa"/>
            <w:vAlign w:val="bottom"/>
            <w:tcBorders>
              <w:bottom w:val="single" w:sz="8" w:color="auto"/>
            </w:tcBorders>
            <w:gridSpan w:val="2"/>
          </w:tcPr>
          <w:p>
            <w:pPr>
              <w:spacing w:after="0"/>
              <w:rPr>
                <w:sz w:val="20"/>
                <w:szCs w:val="20"/>
                <w:color w:val="auto"/>
              </w:rPr>
            </w:pPr>
            <w:r>
              <w:rPr>
                <w:rFonts w:ascii="Arial" w:cs="Arial" w:eastAsia="Arial" w:hAnsi="Arial"/>
                <w:sz w:val="12"/>
                <w:szCs w:val="12"/>
                <w:color w:val="auto"/>
              </w:rPr>
              <w:t>/s/ Ellen M. Cotter</w:t>
            </w:r>
          </w:p>
        </w:tc>
        <w:tc>
          <w:tcPr>
            <w:tcW w:w="5280" w:type="dxa"/>
            <w:vAlign w:val="bottom"/>
            <w:gridSpan w:val="3"/>
          </w:tcPr>
          <w:p>
            <w:pPr>
              <w:spacing w:after="0"/>
              <w:rPr>
                <w:sz w:val="20"/>
                <w:szCs w:val="20"/>
                <w:color w:val="auto"/>
              </w:rPr>
            </w:pPr>
            <w:r>
              <w:rPr>
                <w:rFonts w:ascii="Arial" w:cs="Arial" w:eastAsia="Arial" w:hAnsi="Arial"/>
                <w:sz w:val="12"/>
                <w:szCs w:val="12"/>
                <w:color w:val="auto"/>
              </w:rPr>
              <w:t>President, Chief Executive Officer and Chairman of the Board and Director</w:t>
            </w:r>
          </w:p>
        </w:tc>
        <w:tc>
          <w:tcPr>
            <w:tcW w:w="2780" w:type="dxa"/>
            <w:vAlign w:val="bottom"/>
            <w:gridSpan w:val="3"/>
          </w:tcPr>
          <w:p>
            <w:pPr>
              <w:jc w:val="center"/>
              <w:ind w:left="1180"/>
              <w:spacing w:after="0"/>
              <w:rPr>
                <w:sz w:val="20"/>
                <w:szCs w:val="20"/>
                <w:color w:val="auto"/>
              </w:rPr>
            </w:pPr>
            <w:r>
              <w:rPr>
                <w:rFonts w:ascii="Arial" w:cs="Arial" w:eastAsia="Arial" w:hAnsi="Arial"/>
                <w:sz w:val="12"/>
                <w:szCs w:val="12"/>
                <w:color w:val="auto"/>
                <w:w w:val="94"/>
              </w:rPr>
              <w:t>April 29, 2016</w:t>
            </w:r>
          </w:p>
        </w:tc>
      </w:tr>
      <w:tr>
        <w:trPr>
          <w:trHeight w:val="169"/>
        </w:trPr>
        <w:tc>
          <w:tcPr>
            <w:tcW w:w="2580" w:type="dxa"/>
            <w:vAlign w:val="bottom"/>
            <w:gridSpan w:val="2"/>
          </w:tcPr>
          <w:p>
            <w:pPr>
              <w:spacing w:after="0"/>
              <w:rPr>
                <w:sz w:val="20"/>
                <w:szCs w:val="20"/>
                <w:color w:val="auto"/>
              </w:rPr>
            </w:pPr>
            <w:r>
              <w:rPr>
                <w:rFonts w:ascii="Arial" w:cs="Arial" w:eastAsia="Arial" w:hAnsi="Arial"/>
                <w:sz w:val="12"/>
                <w:szCs w:val="12"/>
                <w:color w:val="auto"/>
              </w:rPr>
              <w:t>Ellen M. Cotter</w:t>
            </w:r>
          </w:p>
        </w:tc>
        <w:tc>
          <w:tcPr>
            <w:tcW w:w="5280" w:type="dxa"/>
            <w:vAlign w:val="bottom"/>
            <w:gridSpan w:val="3"/>
          </w:tcPr>
          <w:p>
            <w:pPr>
              <w:spacing w:after="0"/>
              <w:rPr>
                <w:sz w:val="20"/>
                <w:szCs w:val="20"/>
                <w:color w:val="auto"/>
              </w:rPr>
            </w:pPr>
            <w:r>
              <w:rPr>
                <w:rFonts w:ascii="Arial" w:cs="Arial" w:eastAsia="Arial" w:hAnsi="Arial"/>
                <w:sz w:val="12"/>
                <w:szCs w:val="12"/>
                <w:i w:val="1"/>
                <w:iCs w:val="1"/>
                <w:color w:val="auto"/>
              </w:rPr>
              <w:t>(Principal Executive Officer)</w:t>
            </w:r>
          </w:p>
        </w:tc>
        <w:tc>
          <w:tcPr>
            <w:tcW w:w="1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261"/>
        </w:trPr>
        <w:tc>
          <w:tcPr>
            <w:tcW w:w="2580" w:type="dxa"/>
            <w:vAlign w:val="bottom"/>
            <w:tcBorders>
              <w:bottom w:val="single" w:sz="8" w:color="auto"/>
            </w:tcBorders>
            <w:gridSpan w:val="2"/>
          </w:tcPr>
          <w:p>
            <w:pPr>
              <w:spacing w:after="0"/>
              <w:rPr>
                <w:sz w:val="20"/>
                <w:szCs w:val="20"/>
                <w:color w:val="auto"/>
              </w:rPr>
            </w:pPr>
            <w:r>
              <w:rPr>
                <w:rFonts w:ascii="Arial" w:cs="Arial" w:eastAsia="Arial" w:hAnsi="Arial"/>
                <w:sz w:val="12"/>
                <w:szCs w:val="12"/>
                <w:color w:val="auto"/>
              </w:rPr>
              <w:t>/s/ Devasis Ghose</w:t>
            </w:r>
          </w:p>
        </w:tc>
        <w:tc>
          <w:tcPr>
            <w:tcW w:w="5280" w:type="dxa"/>
            <w:vAlign w:val="bottom"/>
            <w:gridSpan w:val="3"/>
          </w:tcPr>
          <w:p>
            <w:pPr>
              <w:spacing w:after="0"/>
              <w:rPr>
                <w:sz w:val="20"/>
                <w:szCs w:val="20"/>
                <w:color w:val="auto"/>
              </w:rPr>
            </w:pPr>
            <w:r>
              <w:rPr>
                <w:rFonts w:ascii="Arial" w:cs="Arial" w:eastAsia="Arial" w:hAnsi="Arial"/>
                <w:sz w:val="12"/>
                <w:szCs w:val="12"/>
                <w:color w:val="auto"/>
              </w:rPr>
              <w:t>Chief Financial Officer and Treasurer</w:t>
            </w:r>
          </w:p>
        </w:tc>
        <w:tc>
          <w:tcPr>
            <w:tcW w:w="2780" w:type="dxa"/>
            <w:vAlign w:val="bottom"/>
            <w:gridSpan w:val="3"/>
          </w:tcPr>
          <w:p>
            <w:pPr>
              <w:jc w:val="center"/>
              <w:ind w:left="1180"/>
              <w:spacing w:after="0"/>
              <w:rPr>
                <w:sz w:val="20"/>
                <w:szCs w:val="20"/>
                <w:color w:val="auto"/>
              </w:rPr>
            </w:pPr>
            <w:r>
              <w:rPr>
                <w:rFonts w:ascii="Arial" w:cs="Arial" w:eastAsia="Arial" w:hAnsi="Arial"/>
                <w:sz w:val="12"/>
                <w:szCs w:val="12"/>
                <w:color w:val="auto"/>
                <w:w w:val="94"/>
              </w:rPr>
              <w:t>April 29, 2016</w:t>
            </w:r>
          </w:p>
        </w:tc>
      </w:tr>
      <w:tr>
        <w:trPr>
          <w:trHeight w:val="169"/>
        </w:trPr>
        <w:tc>
          <w:tcPr>
            <w:tcW w:w="2580" w:type="dxa"/>
            <w:vAlign w:val="bottom"/>
            <w:gridSpan w:val="2"/>
          </w:tcPr>
          <w:p>
            <w:pPr>
              <w:spacing w:after="0"/>
              <w:rPr>
                <w:sz w:val="20"/>
                <w:szCs w:val="20"/>
                <w:color w:val="auto"/>
              </w:rPr>
            </w:pPr>
            <w:r>
              <w:rPr>
                <w:rFonts w:ascii="Arial" w:cs="Arial" w:eastAsia="Arial" w:hAnsi="Arial"/>
                <w:sz w:val="12"/>
                <w:szCs w:val="12"/>
                <w:color w:val="auto"/>
              </w:rPr>
              <w:t>Devasis Ghose</w:t>
            </w:r>
          </w:p>
        </w:tc>
        <w:tc>
          <w:tcPr>
            <w:tcW w:w="5280" w:type="dxa"/>
            <w:vAlign w:val="bottom"/>
            <w:gridSpan w:val="3"/>
          </w:tcPr>
          <w:p>
            <w:pPr>
              <w:spacing w:after="0"/>
              <w:rPr>
                <w:sz w:val="20"/>
                <w:szCs w:val="20"/>
                <w:color w:val="auto"/>
              </w:rPr>
            </w:pPr>
            <w:r>
              <w:rPr>
                <w:rFonts w:ascii="Arial" w:cs="Arial" w:eastAsia="Arial" w:hAnsi="Arial"/>
                <w:sz w:val="12"/>
                <w:szCs w:val="12"/>
                <w:i w:val="1"/>
                <w:iCs w:val="1"/>
                <w:color w:val="auto"/>
              </w:rPr>
              <w:t>(Principal Financial Officer)</w:t>
            </w:r>
          </w:p>
        </w:tc>
        <w:tc>
          <w:tcPr>
            <w:tcW w:w="1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261"/>
        </w:trPr>
        <w:tc>
          <w:tcPr>
            <w:tcW w:w="2580" w:type="dxa"/>
            <w:vAlign w:val="bottom"/>
            <w:tcBorders>
              <w:bottom w:val="single" w:sz="8" w:color="auto"/>
            </w:tcBorders>
            <w:gridSpan w:val="2"/>
          </w:tcPr>
          <w:p>
            <w:pPr>
              <w:spacing w:after="0"/>
              <w:rPr>
                <w:sz w:val="20"/>
                <w:szCs w:val="20"/>
                <w:color w:val="auto"/>
              </w:rPr>
            </w:pPr>
            <w:r>
              <w:rPr>
                <w:rFonts w:ascii="Arial" w:cs="Arial" w:eastAsia="Arial" w:hAnsi="Arial"/>
                <w:sz w:val="12"/>
                <w:szCs w:val="12"/>
                <w:color w:val="auto"/>
              </w:rPr>
              <w:t>/s/ Steve Lucas</w:t>
            </w:r>
          </w:p>
        </w:tc>
        <w:tc>
          <w:tcPr>
            <w:tcW w:w="5280" w:type="dxa"/>
            <w:vAlign w:val="bottom"/>
            <w:gridSpan w:val="3"/>
          </w:tcPr>
          <w:p>
            <w:pPr>
              <w:spacing w:after="0"/>
              <w:rPr>
                <w:sz w:val="20"/>
                <w:szCs w:val="20"/>
                <w:color w:val="auto"/>
              </w:rPr>
            </w:pPr>
            <w:r>
              <w:rPr>
                <w:rFonts w:ascii="Arial" w:cs="Arial" w:eastAsia="Arial" w:hAnsi="Arial"/>
                <w:sz w:val="12"/>
                <w:szCs w:val="12"/>
                <w:color w:val="auto"/>
              </w:rPr>
              <w:t>Vice President, Controller and Chief Accounting Officer</w:t>
            </w:r>
          </w:p>
        </w:tc>
        <w:tc>
          <w:tcPr>
            <w:tcW w:w="2780" w:type="dxa"/>
            <w:vAlign w:val="bottom"/>
            <w:gridSpan w:val="3"/>
          </w:tcPr>
          <w:p>
            <w:pPr>
              <w:jc w:val="center"/>
              <w:ind w:left="1180"/>
              <w:spacing w:after="0"/>
              <w:rPr>
                <w:sz w:val="20"/>
                <w:szCs w:val="20"/>
                <w:color w:val="auto"/>
              </w:rPr>
            </w:pPr>
            <w:r>
              <w:rPr>
                <w:rFonts w:ascii="Arial" w:cs="Arial" w:eastAsia="Arial" w:hAnsi="Arial"/>
                <w:sz w:val="12"/>
                <w:szCs w:val="12"/>
                <w:color w:val="auto"/>
                <w:w w:val="94"/>
              </w:rPr>
              <w:t>April 29, 2016</w:t>
            </w:r>
          </w:p>
        </w:tc>
      </w:tr>
      <w:tr>
        <w:trPr>
          <w:trHeight w:val="169"/>
        </w:trPr>
        <w:tc>
          <w:tcPr>
            <w:tcW w:w="2580" w:type="dxa"/>
            <w:vAlign w:val="bottom"/>
            <w:gridSpan w:val="2"/>
          </w:tcPr>
          <w:p>
            <w:pPr>
              <w:spacing w:after="0"/>
              <w:rPr>
                <w:sz w:val="20"/>
                <w:szCs w:val="20"/>
                <w:color w:val="auto"/>
              </w:rPr>
            </w:pPr>
            <w:r>
              <w:rPr>
                <w:rFonts w:ascii="Arial" w:cs="Arial" w:eastAsia="Arial" w:hAnsi="Arial"/>
                <w:sz w:val="12"/>
                <w:szCs w:val="12"/>
                <w:color w:val="auto"/>
              </w:rPr>
              <w:t>Steve Lucas</w:t>
            </w:r>
          </w:p>
        </w:tc>
        <w:tc>
          <w:tcPr>
            <w:tcW w:w="5280" w:type="dxa"/>
            <w:vAlign w:val="bottom"/>
            <w:gridSpan w:val="3"/>
          </w:tcPr>
          <w:p>
            <w:pPr>
              <w:spacing w:after="0"/>
              <w:rPr>
                <w:sz w:val="20"/>
                <w:szCs w:val="20"/>
                <w:color w:val="auto"/>
              </w:rPr>
            </w:pPr>
            <w:r>
              <w:rPr>
                <w:rFonts w:ascii="Arial" w:cs="Arial" w:eastAsia="Arial" w:hAnsi="Arial"/>
                <w:sz w:val="12"/>
                <w:szCs w:val="12"/>
                <w:i w:val="1"/>
                <w:iCs w:val="1"/>
                <w:color w:val="auto"/>
              </w:rPr>
              <w:t>(Principal Accounting Officer)</w:t>
            </w:r>
          </w:p>
        </w:tc>
        <w:tc>
          <w:tcPr>
            <w:tcW w:w="1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261"/>
        </w:trPr>
        <w:tc>
          <w:tcPr>
            <w:tcW w:w="2580" w:type="dxa"/>
            <w:vAlign w:val="bottom"/>
            <w:tcBorders>
              <w:bottom w:val="single" w:sz="8" w:color="auto"/>
            </w:tcBorders>
            <w:gridSpan w:val="2"/>
          </w:tcPr>
          <w:p>
            <w:pPr>
              <w:spacing w:after="0"/>
              <w:rPr>
                <w:sz w:val="20"/>
                <w:szCs w:val="20"/>
                <w:color w:val="auto"/>
              </w:rPr>
            </w:pPr>
            <w:r>
              <w:rPr>
                <w:rFonts w:ascii="Arial" w:cs="Arial" w:eastAsia="Arial" w:hAnsi="Arial"/>
                <w:sz w:val="12"/>
                <w:szCs w:val="12"/>
                <w:color w:val="auto"/>
              </w:rPr>
              <w:t>/s/ Margaret Cotter</w:t>
            </w:r>
          </w:p>
        </w:tc>
        <w:tc>
          <w:tcPr>
            <w:tcW w:w="5280" w:type="dxa"/>
            <w:vAlign w:val="bottom"/>
            <w:gridSpan w:val="3"/>
          </w:tcPr>
          <w:p>
            <w:pPr>
              <w:spacing w:after="0"/>
              <w:rPr>
                <w:sz w:val="20"/>
                <w:szCs w:val="20"/>
                <w:color w:val="auto"/>
              </w:rPr>
            </w:pPr>
            <w:r>
              <w:rPr>
                <w:rFonts w:ascii="Arial" w:cs="Arial" w:eastAsia="Arial" w:hAnsi="Arial"/>
                <w:sz w:val="12"/>
                <w:szCs w:val="12"/>
                <w:color w:val="auto"/>
              </w:rPr>
              <w:t>Vice Chairman of the Board and Director</w:t>
            </w:r>
          </w:p>
        </w:tc>
        <w:tc>
          <w:tcPr>
            <w:tcW w:w="2780" w:type="dxa"/>
            <w:vAlign w:val="bottom"/>
            <w:gridSpan w:val="3"/>
          </w:tcPr>
          <w:p>
            <w:pPr>
              <w:jc w:val="center"/>
              <w:ind w:left="1180"/>
              <w:spacing w:after="0"/>
              <w:rPr>
                <w:sz w:val="20"/>
                <w:szCs w:val="20"/>
                <w:color w:val="auto"/>
              </w:rPr>
            </w:pPr>
            <w:r>
              <w:rPr>
                <w:rFonts w:ascii="Arial" w:cs="Arial" w:eastAsia="Arial" w:hAnsi="Arial"/>
                <w:sz w:val="12"/>
                <w:szCs w:val="12"/>
                <w:color w:val="auto"/>
                <w:w w:val="94"/>
              </w:rPr>
              <w:t>April 29, 2016</w:t>
            </w:r>
          </w:p>
        </w:tc>
      </w:tr>
      <w:tr>
        <w:trPr>
          <w:trHeight w:val="169"/>
        </w:trPr>
        <w:tc>
          <w:tcPr>
            <w:tcW w:w="2580" w:type="dxa"/>
            <w:vAlign w:val="bottom"/>
            <w:gridSpan w:val="2"/>
          </w:tcPr>
          <w:p>
            <w:pPr>
              <w:spacing w:after="0"/>
              <w:rPr>
                <w:sz w:val="20"/>
                <w:szCs w:val="20"/>
                <w:color w:val="auto"/>
              </w:rPr>
            </w:pPr>
            <w:r>
              <w:rPr>
                <w:rFonts w:ascii="Arial" w:cs="Arial" w:eastAsia="Arial" w:hAnsi="Arial"/>
                <w:sz w:val="12"/>
                <w:szCs w:val="12"/>
                <w:color w:val="auto"/>
              </w:rPr>
              <w:t>Margaret Cotter</w:t>
            </w:r>
          </w:p>
        </w:tc>
        <w:tc>
          <w:tcPr>
            <w:tcW w:w="3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261"/>
        </w:trPr>
        <w:tc>
          <w:tcPr>
            <w:tcW w:w="500" w:type="dxa"/>
            <w:vAlign w:val="bottom"/>
            <w:tcBorders>
              <w:bottom w:val="single" w:sz="8" w:color="auto"/>
            </w:tcBorders>
          </w:tcPr>
          <w:p>
            <w:pPr>
              <w:spacing w:after="0"/>
              <w:rPr>
                <w:sz w:val="22"/>
                <w:szCs w:val="22"/>
                <w:color w:val="auto"/>
              </w:rPr>
            </w:pPr>
          </w:p>
        </w:tc>
        <w:tc>
          <w:tcPr>
            <w:tcW w:w="2080" w:type="dxa"/>
            <w:vAlign w:val="bottom"/>
            <w:tcBorders>
              <w:bottom w:val="single" w:sz="8" w:color="auto"/>
            </w:tcBorders>
          </w:tcPr>
          <w:p>
            <w:pPr>
              <w:spacing w:after="0"/>
              <w:rPr>
                <w:sz w:val="22"/>
                <w:szCs w:val="22"/>
                <w:color w:val="auto"/>
              </w:rPr>
            </w:pPr>
          </w:p>
        </w:tc>
        <w:tc>
          <w:tcPr>
            <w:tcW w:w="5280" w:type="dxa"/>
            <w:vAlign w:val="bottom"/>
            <w:gridSpan w:val="3"/>
          </w:tcPr>
          <w:p>
            <w:pPr>
              <w:spacing w:after="0"/>
              <w:rPr>
                <w:sz w:val="20"/>
                <w:szCs w:val="20"/>
                <w:color w:val="auto"/>
              </w:rPr>
            </w:pPr>
            <w:r>
              <w:rPr>
                <w:rFonts w:ascii="Arial" w:cs="Arial" w:eastAsia="Arial" w:hAnsi="Arial"/>
                <w:sz w:val="12"/>
                <w:szCs w:val="12"/>
                <w:color w:val="auto"/>
              </w:rPr>
              <w:t>Director</w:t>
            </w:r>
          </w:p>
        </w:tc>
        <w:tc>
          <w:tcPr>
            <w:tcW w:w="19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40" w:type="dxa"/>
            <w:vAlign w:val="bottom"/>
          </w:tcPr>
          <w:p>
            <w:pPr>
              <w:spacing w:after="0"/>
              <w:rPr>
                <w:sz w:val="22"/>
                <w:szCs w:val="22"/>
                <w:color w:val="auto"/>
              </w:rPr>
            </w:pPr>
          </w:p>
        </w:tc>
      </w:tr>
      <w:tr>
        <w:trPr>
          <w:trHeight w:val="169"/>
        </w:trPr>
        <w:tc>
          <w:tcPr>
            <w:tcW w:w="2580" w:type="dxa"/>
            <w:vAlign w:val="bottom"/>
            <w:gridSpan w:val="2"/>
          </w:tcPr>
          <w:p>
            <w:pPr>
              <w:spacing w:after="0"/>
              <w:rPr>
                <w:sz w:val="20"/>
                <w:szCs w:val="20"/>
                <w:color w:val="auto"/>
              </w:rPr>
            </w:pPr>
            <w:r>
              <w:rPr>
                <w:rFonts w:ascii="Arial" w:cs="Arial" w:eastAsia="Arial" w:hAnsi="Arial"/>
                <w:sz w:val="12"/>
                <w:szCs w:val="12"/>
                <w:color w:val="auto"/>
              </w:rPr>
              <w:t>James J. Cotter</w:t>
            </w:r>
          </w:p>
        </w:tc>
        <w:tc>
          <w:tcPr>
            <w:tcW w:w="3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261"/>
        </w:trPr>
        <w:tc>
          <w:tcPr>
            <w:tcW w:w="500" w:type="dxa"/>
            <w:vAlign w:val="bottom"/>
            <w:tcBorders>
              <w:bottom w:val="single" w:sz="8" w:color="auto"/>
            </w:tcBorders>
          </w:tcPr>
          <w:p>
            <w:pPr>
              <w:spacing w:after="0"/>
              <w:rPr>
                <w:sz w:val="22"/>
                <w:szCs w:val="22"/>
                <w:color w:val="auto"/>
              </w:rPr>
            </w:pPr>
          </w:p>
        </w:tc>
        <w:tc>
          <w:tcPr>
            <w:tcW w:w="2080" w:type="dxa"/>
            <w:vAlign w:val="bottom"/>
            <w:tcBorders>
              <w:bottom w:val="single" w:sz="8" w:color="auto"/>
            </w:tcBorders>
          </w:tcPr>
          <w:p>
            <w:pPr>
              <w:spacing w:after="0"/>
              <w:rPr>
                <w:sz w:val="22"/>
                <w:szCs w:val="22"/>
                <w:color w:val="auto"/>
              </w:rPr>
            </w:pPr>
          </w:p>
        </w:tc>
        <w:tc>
          <w:tcPr>
            <w:tcW w:w="5280" w:type="dxa"/>
            <w:vAlign w:val="bottom"/>
            <w:gridSpan w:val="3"/>
          </w:tcPr>
          <w:p>
            <w:pPr>
              <w:spacing w:after="0"/>
              <w:rPr>
                <w:sz w:val="20"/>
                <w:szCs w:val="20"/>
                <w:color w:val="auto"/>
              </w:rPr>
            </w:pPr>
            <w:r>
              <w:rPr>
                <w:rFonts w:ascii="Arial" w:cs="Arial" w:eastAsia="Arial" w:hAnsi="Arial"/>
                <w:sz w:val="12"/>
                <w:szCs w:val="12"/>
                <w:color w:val="auto"/>
              </w:rPr>
              <w:t>Director</w:t>
            </w:r>
          </w:p>
        </w:tc>
        <w:tc>
          <w:tcPr>
            <w:tcW w:w="19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40" w:type="dxa"/>
            <w:vAlign w:val="bottom"/>
          </w:tcPr>
          <w:p>
            <w:pPr>
              <w:spacing w:after="0"/>
              <w:rPr>
                <w:sz w:val="22"/>
                <w:szCs w:val="22"/>
                <w:color w:val="auto"/>
              </w:rPr>
            </w:pPr>
          </w:p>
        </w:tc>
      </w:tr>
      <w:tr>
        <w:trPr>
          <w:trHeight w:val="169"/>
        </w:trPr>
        <w:tc>
          <w:tcPr>
            <w:tcW w:w="2580" w:type="dxa"/>
            <w:vAlign w:val="bottom"/>
            <w:gridSpan w:val="2"/>
          </w:tcPr>
          <w:p>
            <w:pPr>
              <w:spacing w:after="0"/>
              <w:rPr>
                <w:sz w:val="20"/>
                <w:szCs w:val="20"/>
                <w:color w:val="auto"/>
              </w:rPr>
            </w:pPr>
            <w:r>
              <w:rPr>
                <w:rFonts w:ascii="Arial" w:cs="Arial" w:eastAsia="Arial" w:hAnsi="Arial"/>
                <w:sz w:val="12"/>
                <w:szCs w:val="12"/>
                <w:color w:val="auto"/>
              </w:rPr>
              <w:t>Guy W. Adams</w:t>
            </w:r>
          </w:p>
        </w:tc>
        <w:tc>
          <w:tcPr>
            <w:tcW w:w="3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261"/>
        </w:trPr>
        <w:tc>
          <w:tcPr>
            <w:tcW w:w="2580" w:type="dxa"/>
            <w:vAlign w:val="bottom"/>
            <w:tcBorders>
              <w:bottom w:val="single" w:sz="8" w:color="auto"/>
            </w:tcBorders>
            <w:gridSpan w:val="2"/>
          </w:tcPr>
          <w:p>
            <w:pPr>
              <w:spacing w:after="0"/>
              <w:rPr>
                <w:sz w:val="20"/>
                <w:szCs w:val="20"/>
                <w:color w:val="auto"/>
              </w:rPr>
            </w:pPr>
            <w:r>
              <w:rPr>
                <w:rFonts w:ascii="Arial" w:cs="Arial" w:eastAsia="Arial" w:hAnsi="Arial"/>
                <w:sz w:val="12"/>
                <w:szCs w:val="12"/>
                <w:color w:val="auto"/>
              </w:rPr>
              <w:t>/s/ William D. Gould</w:t>
            </w:r>
          </w:p>
        </w:tc>
        <w:tc>
          <w:tcPr>
            <w:tcW w:w="5280" w:type="dxa"/>
            <w:vAlign w:val="bottom"/>
            <w:gridSpan w:val="3"/>
          </w:tcPr>
          <w:p>
            <w:pPr>
              <w:spacing w:after="0"/>
              <w:rPr>
                <w:sz w:val="20"/>
                <w:szCs w:val="20"/>
                <w:color w:val="auto"/>
              </w:rPr>
            </w:pPr>
            <w:r>
              <w:rPr>
                <w:rFonts w:ascii="Arial" w:cs="Arial" w:eastAsia="Arial" w:hAnsi="Arial"/>
                <w:sz w:val="12"/>
                <w:szCs w:val="12"/>
                <w:color w:val="auto"/>
              </w:rPr>
              <w:t>Director</w:t>
            </w:r>
          </w:p>
        </w:tc>
        <w:tc>
          <w:tcPr>
            <w:tcW w:w="2780" w:type="dxa"/>
            <w:vAlign w:val="bottom"/>
            <w:gridSpan w:val="3"/>
          </w:tcPr>
          <w:p>
            <w:pPr>
              <w:jc w:val="center"/>
              <w:ind w:left="1180"/>
              <w:spacing w:after="0"/>
              <w:rPr>
                <w:sz w:val="20"/>
                <w:szCs w:val="20"/>
                <w:color w:val="auto"/>
              </w:rPr>
            </w:pPr>
            <w:r>
              <w:rPr>
                <w:rFonts w:ascii="Arial" w:cs="Arial" w:eastAsia="Arial" w:hAnsi="Arial"/>
                <w:sz w:val="12"/>
                <w:szCs w:val="12"/>
                <w:color w:val="auto"/>
                <w:w w:val="94"/>
              </w:rPr>
              <w:t>April 29, 2016</w:t>
            </w:r>
          </w:p>
        </w:tc>
      </w:tr>
      <w:tr>
        <w:trPr>
          <w:trHeight w:val="169"/>
        </w:trPr>
        <w:tc>
          <w:tcPr>
            <w:tcW w:w="2580" w:type="dxa"/>
            <w:vAlign w:val="bottom"/>
            <w:gridSpan w:val="2"/>
          </w:tcPr>
          <w:p>
            <w:pPr>
              <w:spacing w:after="0"/>
              <w:rPr>
                <w:sz w:val="20"/>
                <w:szCs w:val="20"/>
                <w:color w:val="auto"/>
              </w:rPr>
            </w:pPr>
            <w:r>
              <w:rPr>
                <w:rFonts w:ascii="Arial" w:cs="Arial" w:eastAsia="Arial" w:hAnsi="Arial"/>
                <w:sz w:val="12"/>
                <w:szCs w:val="12"/>
                <w:color w:val="auto"/>
              </w:rPr>
              <w:t>William D. Gould</w:t>
            </w:r>
          </w:p>
        </w:tc>
        <w:tc>
          <w:tcPr>
            <w:tcW w:w="3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261"/>
        </w:trPr>
        <w:tc>
          <w:tcPr>
            <w:tcW w:w="2580" w:type="dxa"/>
            <w:vAlign w:val="bottom"/>
            <w:tcBorders>
              <w:bottom w:val="single" w:sz="8" w:color="auto"/>
            </w:tcBorders>
            <w:gridSpan w:val="2"/>
          </w:tcPr>
          <w:p>
            <w:pPr>
              <w:spacing w:after="0"/>
              <w:rPr>
                <w:sz w:val="20"/>
                <w:szCs w:val="20"/>
                <w:color w:val="auto"/>
              </w:rPr>
            </w:pPr>
            <w:r>
              <w:rPr>
                <w:rFonts w:ascii="Arial" w:cs="Arial" w:eastAsia="Arial" w:hAnsi="Arial"/>
                <w:sz w:val="12"/>
                <w:szCs w:val="12"/>
                <w:color w:val="auto"/>
              </w:rPr>
              <w:t>/s/ Edward L. Kane</w:t>
            </w:r>
          </w:p>
        </w:tc>
        <w:tc>
          <w:tcPr>
            <w:tcW w:w="5280" w:type="dxa"/>
            <w:vAlign w:val="bottom"/>
            <w:gridSpan w:val="3"/>
          </w:tcPr>
          <w:p>
            <w:pPr>
              <w:spacing w:after="0"/>
              <w:rPr>
                <w:sz w:val="20"/>
                <w:szCs w:val="20"/>
                <w:color w:val="auto"/>
              </w:rPr>
            </w:pPr>
            <w:r>
              <w:rPr>
                <w:rFonts w:ascii="Arial" w:cs="Arial" w:eastAsia="Arial" w:hAnsi="Arial"/>
                <w:sz w:val="12"/>
                <w:szCs w:val="12"/>
                <w:color w:val="auto"/>
              </w:rPr>
              <w:t>Director</w:t>
            </w:r>
          </w:p>
        </w:tc>
        <w:tc>
          <w:tcPr>
            <w:tcW w:w="2780" w:type="dxa"/>
            <w:vAlign w:val="bottom"/>
            <w:gridSpan w:val="3"/>
          </w:tcPr>
          <w:p>
            <w:pPr>
              <w:jc w:val="center"/>
              <w:ind w:left="1180"/>
              <w:spacing w:after="0"/>
              <w:rPr>
                <w:sz w:val="20"/>
                <w:szCs w:val="20"/>
                <w:color w:val="auto"/>
              </w:rPr>
            </w:pPr>
            <w:r>
              <w:rPr>
                <w:rFonts w:ascii="Arial" w:cs="Arial" w:eastAsia="Arial" w:hAnsi="Arial"/>
                <w:sz w:val="12"/>
                <w:szCs w:val="12"/>
                <w:color w:val="auto"/>
                <w:w w:val="94"/>
              </w:rPr>
              <w:t>April 29, 2016</w:t>
            </w:r>
          </w:p>
        </w:tc>
      </w:tr>
      <w:tr>
        <w:trPr>
          <w:trHeight w:val="169"/>
        </w:trPr>
        <w:tc>
          <w:tcPr>
            <w:tcW w:w="2580" w:type="dxa"/>
            <w:vAlign w:val="bottom"/>
            <w:gridSpan w:val="2"/>
          </w:tcPr>
          <w:p>
            <w:pPr>
              <w:spacing w:after="0"/>
              <w:rPr>
                <w:sz w:val="20"/>
                <w:szCs w:val="20"/>
                <w:color w:val="auto"/>
              </w:rPr>
            </w:pPr>
            <w:r>
              <w:rPr>
                <w:rFonts w:ascii="Arial" w:cs="Arial" w:eastAsia="Arial" w:hAnsi="Arial"/>
                <w:sz w:val="12"/>
                <w:szCs w:val="12"/>
                <w:color w:val="auto"/>
              </w:rPr>
              <w:t>Edward L Kane</w:t>
            </w:r>
          </w:p>
        </w:tc>
        <w:tc>
          <w:tcPr>
            <w:tcW w:w="3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261"/>
        </w:trPr>
        <w:tc>
          <w:tcPr>
            <w:tcW w:w="2580" w:type="dxa"/>
            <w:vAlign w:val="bottom"/>
            <w:tcBorders>
              <w:bottom w:val="single" w:sz="8" w:color="auto"/>
            </w:tcBorders>
            <w:gridSpan w:val="2"/>
          </w:tcPr>
          <w:p>
            <w:pPr>
              <w:spacing w:after="0"/>
              <w:rPr>
                <w:sz w:val="20"/>
                <w:szCs w:val="20"/>
                <w:color w:val="auto"/>
              </w:rPr>
            </w:pPr>
            <w:r>
              <w:rPr>
                <w:rFonts w:ascii="Arial" w:cs="Arial" w:eastAsia="Arial" w:hAnsi="Arial"/>
                <w:sz w:val="12"/>
                <w:szCs w:val="12"/>
                <w:color w:val="auto"/>
              </w:rPr>
              <w:t>/s/ Douglas J. McEachern</w:t>
            </w:r>
          </w:p>
        </w:tc>
        <w:tc>
          <w:tcPr>
            <w:tcW w:w="5280" w:type="dxa"/>
            <w:vAlign w:val="bottom"/>
            <w:gridSpan w:val="3"/>
          </w:tcPr>
          <w:p>
            <w:pPr>
              <w:spacing w:after="0"/>
              <w:rPr>
                <w:sz w:val="20"/>
                <w:szCs w:val="20"/>
                <w:color w:val="auto"/>
              </w:rPr>
            </w:pPr>
            <w:r>
              <w:rPr>
                <w:rFonts w:ascii="Arial" w:cs="Arial" w:eastAsia="Arial" w:hAnsi="Arial"/>
                <w:sz w:val="12"/>
                <w:szCs w:val="12"/>
                <w:color w:val="auto"/>
              </w:rPr>
              <w:t>Director</w:t>
            </w:r>
          </w:p>
        </w:tc>
        <w:tc>
          <w:tcPr>
            <w:tcW w:w="2780" w:type="dxa"/>
            <w:vAlign w:val="bottom"/>
            <w:gridSpan w:val="3"/>
          </w:tcPr>
          <w:p>
            <w:pPr>
              <w:jc w:val="center"/>
              <w:ind w:left="1180"/>
              <w:spacing w:after="0"/>
              <w:rPr>
                <w:sz w:val="20"/>
                <w:szCs w:val="20"/>
                <w:color w:val="auto"/>
              </w:rPr>
            </w:pPr>
            <w:r>
              <w:rPr>
                <w:rFonts w:ascii="Arial" w:cs="Arial" w:eastAsia="Arial" w:hAnsi="Arial"/>
                <w:sz w:val="12"/>
                <w:szCs w:val="12"/>
                <w:color w:val="auto"/>
                <w:w w:val="94"/>
              </w:rPr>
              <w:t>April 29, 2016</w:t>
            </w:r>
          </w:p>
        </w:tc>
      </w:tr>
      <w:tr>
        <w:trPr>
          <w:trHeight w:val="169"/>
        </w:trPr>
        <w:tc>
          <w:tcPr>
            <w:tcW w:w="2580" w:type="dxa"/>
            <w:vAlign w:val="bottom"/>
            <w:gridSpan w:val="2"/>
          </w:tcPr>
          <w:p>
            <w:pPr>
              <w:spacing w:after="0"/>
              <w:rPr>
                <w:sz w:val="20"/>
                <w:szCs w:val="20"/>
                <w:color w:val="auto"/>
              </w:rPr>
            </w:pPr>
            <w:r>
              <w:rPr>
                <w:rFonts w:ascii="Arial" w:cs="Arial" w:eastAsia="Arial" w:hAnsi="Arial"/>
                <w:sz w:val="12"/>
                <w:szCs w:val="12"/>
                <w:color w:val="auto"/>
              </w:rPr>
              <w:t>Douglas J. McEachern</w:t>
            </w:r>
          </w:p>
        </w:tc>
        <w:tc>
          <w:tcPr>
            <w:tcW w:w="3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261"/>
        </w:trPr>
        <w:tc>
          <w:tcPr>
            <w:tcW w:w="2580" w:type="dxa"/>
            <w:vAlign w:val="bottom"/>
            <w:tcBorders>
              <w:bottom w:val="single" w:sz="8" w:color="auto"/>
            </w:tcBorders>
            <w:gridSpan w:val="2"/>
          </w:tcPr>
          <w:p>
            <w:pPr>
              <w:spacing w:after="0"/>
              <w:rPr>
                <w:sz w:val="20"/>
                <w:szCs w:val="20"/>
                <w:color w:val="auto"/>
              </w:rPr>
            </w:pPr>
            <w:r>
              <w:rPr>
                <w:rFonts w:ascii="Arial" w:cs="Arial" w:eastAsia="Arial" w:hAnsi="Arial"/>
                <w:sz w:val="12"/>
                <w:szCs w:val="12"/>
                <w:color w:val="auto"/>
              </w:rPr>
              <w:t>/s/ Dr. Judy Codding</w:t>
            </w:r>
          </w:p>
        </w:tc>
        <w:tc>
          <w:tcPr>
            <w:tcW w:w="5280" w:type="dxa"/>
            <w:vAlign w:val="bottom"/>
            <w:gridSpan w:val="3"/>
          </w:tcPr>
          <w:p>
            <w:pPr>
              <w:spacing w:after="0"/>
              <w:rPr>
                <w:sz w:val="20"/>
                <w:szCs w:val="20"/>
                <w:color w:val="auto"/>
              </w:rPr>
            </w:pPr>
            <w:r>
              <w:rPr>
                <w:rFonts w:ascii="Arial" w:cs="Arial" w:eastAsia="Arial" w:hAnsi="Arial"/>
                <w:sz w:val="12"/>
                <w:szCs w:val="12"/>
                <w:color w:val="auto"/>
              </w:rPr>
              <w:t>Director</w:t>
            </w:r>
          </w:p>
        </w:tc>
        <w:tc>
          <w:tcPr>
            <w:tcW w:w="2780" w:type="dxa"/>
            <w:vAlign w:val="bottom"/>
            <w:gridSpan w:val="3"/>
          </w:tcPr>
          <w:p>
            <w:pPr>
              <w:jc w:val="center"/>
              <w:ind w:left="1180"/>
              <w:spacing w:after="0"/>
              <w:rPr>
                <w:sz w:val="20"/>
                <w:szCs w:val="20"/>
                <w:color w:val="auto"/>
              </w:rPr>
            </w:pPr>
            <w:r>
              <w:rPr>
                <w:rFonts w:ascii="Arial" w:cs="Arial" w:eastAsia="Arial" w:hAnsi="Arial"/>
                <w:sz w:val="12"/>
                <w:szCs w:val="12"/>
                <w:color w:val="auto"/>
                <w:w w:val="94"/>
              </w:rPr>
              <w:t>April 29, 2016</w:t>
            </w:r>
          </w:p>
        </w:tc>
      </w:tr>
      <w:tr>
        <w:trPr>
          <w:trHeight w:val="169"/>
        </w:trPr>
        <w:tc>
          <w:tcPr>
            <w:tcW w:w="2580" w:type="dxa"/>
            <w:vAlign w:val="bottom"/>
            <w:gridSpan w:val="2"/>
          </w:tcPr>
          <w:p>
            <w:pPr>
              <w:spacing w:after="0"/>
              <w:rPr>
                <w:sz w:val="20"/>
                <w:szCs w:val="20"/>
                <w:color w:val="auto"/>
              </w:rPr>
            </w:pPr>
            <w:r>
              <w:rPr>
                <w:rFonts w:ascii="Arial" w:cs="Arial" w:eastAsia="Arial" w:hAnsi="Arial"/>
                <w:sz w:val="12"/>
                <w:szCs w:val="12"/>
                <w:color w:val="auto"/>
              </w:rPr>
              <w:t>Dr. Judy Codding</w:t>
            </w:r>
          </w:p>
        </w:tc>
        <w:tc>
          <w:tcPr>
            <w:tcW w:w="3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261"/>
        </w:trPr>
        <w:tc>
          <w:tcPr>
            <w:tcW w:w="2580" w:type="dxa"/>
            <w:vAlign w:val="bottom"/>
            <w:tcBorders>
              <w:bottom w:val="single" w:sz="8" w:color="auto"/>
            </w:tcBorders>
            <w:gridSpan w:val="2"/>
          </w:tcPr>
          <w:p>
            <w:pPr>
              <w:spacing w:after="0"/>
              <w:rPr>
                <w:sz w:val="20"/>
                <w:szCs w:val="20"/>
                <w:color w:val="auto"/>
              </w:rPr>
            </w:pPr>
            <w:r>
              <w:rPr>
                <w:rFonts w:ascii="Arial" w:cs="Arial" w:eastAsia="Arial" w:hAnsi="Arial"/>
                <w:sz w:val="12"/>
                <w:szCs w:val="12"/>
                <w:color w:val="auto"/>
              </w:rPr>
              <w:t>/s/ Michael Wrotniak</w:t>
            </w:r>
          </w:p>
        </w:tc>
        <w:tc>
          <w:tcPr>
            <w:tcW w:w="5280" w:type="dxa"/>
            <w:vAlign w:val="bottom"/>
            <w:gridSpan w:val="3"/>
          </w:tcPr>
          <w:p>
            <w:pPr>
              <w:spacing w:after="0"/>
              <w:rPr>
                <w:sz w:val="20"/>
                <w:szCs w:val="20"/>
                <w:color w:val="auto"/>
              </w:rPr>
            </w:pPr>
            <w:r>
              <w:rPr>
                <w:rFonts w:ascii="Arial" w:cs="Arial" w:eastAsia="Arial" w:hAnsi="Arial"/>
                <w:sz w:val="12"/>
                <w:szCs w:val="12"/>
                <w:color w:val="auto"/>
              </w:rPr>
              <w:t>Director</w:t>
            </w:r>
          </w:p>
        </w:tc>
        <w:tc>
          <w:tcPr>
            <w:tcW w:w="2780" w:type="dxa"/>
            <w:vAlign w:val="bottom"/>
            <w:gridSpan w:val="3"/>
          </w:tcPr>
          <w:p>
            <w:pPr>
              <w:jc w:val="center"/>
              <w:ind w:left="1180"/>
              <w:spacing w:after="0"/>
              <w:rPr>
                <w:sz w:val="20"/>
                <w:szCs w:val="20"/>
                <w:color w:val="auto"/>
              </w:rPr>
            </w:pPr>
            <w:r>
              <w:rPr>
                <w:rFonts w:ascii="Arial" w:cs="Arial" w:eastAsia="Arial" w:hAnsi="Arial"/>
                <w:sz w:val="12"/>
                <w:szCs w:val="12"/>
                <w:color w:val="auto"/>
                <w:w w:val="94"/>
              </w:rPr>
              <w:t>April 29, 2016</w:t>
            </w:r>
          </w:p>
        </w:tc>
      </w:tr>
      <w:tr>
        <w:trPr>
          <w:trHeight w:val="169"/>
        </w:trPr>
        <w:tc>
          <w:tcPr>
            <w:tcW w:w="2580" w:type="dxa"/>
            <w:vAlign w:val="bottom"/>
            <w:gridSpan w:val="2"/>
          </w:tcPr>
          <w:p>
            <w:pPr>
              <w:spacing w:after="0"/>
              <w:rPr>
                <w:sz w:val="20"/>
                <w:szCs w:val="20"/>
                <w:color w:val="auto"/>
              </w:rPr>
            </w:pPr>
            <w:r>
              <w:rPr>
                <w:rFonts w:ascii="Arial" w:cs="Arial" w:eastAsia="Arial" w:hAnsi="Arial"/>
                <w:sz w:val="12"/>
                <w:szCs w:val="12"/>
                <w:color w:val="auto"/>
              </w:rPr>
              <w:t>Michael Wrotniak</w:t>
            </w:r>
          </w:p>
        </w:tc>
        <w:tc>
          <w:tcPr>
            <w:tcW w:w="3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558"/>
        </w:trPr>
        <w:tc>
          <w:tcPr>
            <w:tcW w:w="50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080" w:type="dxa"/>
            <w:vAlign w:val="bottom"/>
          </w:tcPr>
          <w:p>
            <w:pPr>
              <w:ind w:left="2640"/>
              <w:spacing w:after="0"/>
              <w:rPr>
                <w:sz w:val="20"/>
                <w:szCs w:val="20"/>
                <w:color w:val="auto"/>
              </w:rPr>
            </w:pPr>
            <w:r>
              <w:rPr>
                <w:rFonts w:ascii="Arial" w:cs="Arial" w:eastAsia="Arial" w:hAnsi="Arial"/>
                <w:sz w:val="12"/>
                <w:szCs w:val="12"/>
                <w:color w:val="auto"/>
              </w:rPr>
              <w:t>132</w:t>
            </w:r>
          </w:p>
        </w:tc>
        <w:tc>
          <w:tcPr>
            <w:tcW w:w="3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06"/>
        </w:trPr>
        <w:tc>
          <w:tcPr>
            <w:tcW w:w="500" w:type="dxa"/>
            <w:vAlign w:val="bottom"/>
            <w:tcBorders>
              <w:bottom w:val="single" w:sz="8" w:color="9A9A9A"/>
            </w:tcBorders>
          </w:tcPr>
          <w:p>
            <w:pPr>
              <w:spacing w:after="0"/>
              <w:rPr>
                <w:sz w:val="9"/>
                <w:szCs w:val="9"/>
                <w:color w:val="auto"/>
              </w:rPr>
            </w:pPr>
          </w:p>
        </w:tc>
        <w:tc>
          <w:tcPr>
            <w:tcW w:w="2080" w:type="dxa"/>
            <w:vAlign w:val="bottom"/>
            <w:tcBorders>
              <w:bottom w:val="single" w:sz="8" w:color="9A9A9A"/>
            </w:tcBorders>
          </w:tcPr>
          <w:p>
            <w:pPr>
              <w:spacing w:after="0"/>
              <w:rPr>
                <w:sz w:val="9"/>
                <w:szCs w:val="9"/>
                <w:color w:val="auto"/>
              </w:rPr>
            </w:pPr>
          </w:p>
        </w:tc>
        <w:tc>
          <w:tcPr>
            <w:tcW w:w="308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1820" w:type="dxa"/>
            <w:vAlign w:val="bottom"/>
            <w:tcBorders>
              <w:bottom w:val="single" w:sz="8" w:color="9A9A9A"/>
            </w:tcBorders>
          </w:tcPr>
          <w:p>
            <w:pPr>
              <w:spacing w:after="0"/>
              <w:rPr>
                <w:sz w:val="9"/>
                <w:szCs w:val="9"/>
                <w:color w:val="auto"/>
              </w:rPr>
            </w:pPr>
          </w:p>
        </w:tc>
        <w:tc>
          <w:tcPr>
            <w:tcW w:w="19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6739255</wp:posOffset>
            </wp:positionH>
            <wp:positionV relativeFrom="paragraph">
              <wp:posOffset>-29210</wp:posOffset>
            </wp:positionV>
            <wp:extent cx="31115"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111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1115"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1115" cy="42545"/>
                    </a:xfrm>
                    <a:prstGeom prst="rect">
                      <a:avLst/>
                    </a:prstGeom>
                    <a:noFill/>
                  </pic:spPr>
                </pic:pic>
              </a:graphicData>
            </a:graphic>
          </wp:anchor>
        </w:drawing>
      </w:r>
    </w:p>
    <w:p>
      <w:pPr>
        <w:sectPr>
          <w:pgSz w:w="11900" w:h="16838" w:orient="portrait"/>
          <w:cols w:equalWidth="0" w:num="1">
            <w:col w:w="10640"/>
          </w:cols>
          <w:pgMar w:left="640" w:top="388" w:right="619" w:bottom="1440" w:gutter="0" w:footer="0" w:header="0"/>
        </w:sectPr>
      </w:pPr>
    </w:p>
    <w:bookmarkStart w:id="132" w:name="page133"/>
    <w:bookmarkEnd w:id="132"/>
    <w:p>
      <w:pPr>
        <w:ind w:left="3800"/>
        <w:spacing w:after="0"/>
        <w:tabs>
          <w:tab w:leader="none" w:pos="8680" w:val="left"/>
        </w:tabs>
        <w:rPr>
          <w:sz w:val="20"/>
          <w:szCs w:val="20"/>
          <w:color w:val="auto"/>
        </w:rPr>
      </w:pPr>
      <w:r>
        <w:rPr>
          <w:rFonts w:ascii="Arial" w:cs="Arial" w:eastAsia="Arial" w:hAnsi="Arial"/>
          <w:sz w:val="12"/>
          <w:szCs w:val="12"/>
          <w:b w:val="1"/>
          <w:bCs w:val="1"/>
          <w:color w:val="auto"/>
        </w:rPr>
        <w:t>Amended and Restated Articles of Incorporation</w:t>
      </w:r>
      <w:r>
        <w:rPr>
          <w:sz w:val="20"/>
          <w:szCs w:val="20"/>
          <w:color w:val="auto"/>
        </w:rPr>
        <w:tab/>
      </w:r>
      <w:r>
        <w:rPr>
          <w:rFonts w:ascii="Arial" w:cs="Arial" w:eastAsia="Arial" w:hAnsi="Arial"/>
          <w:sz w:val="12"/>
          <w:szCs w:val="12"/>
          <w:b w:val="1"/>
          <w:bCs w:val="1"/>
          <w:color w:val="auto"/>
        </w:rPr>
        <w:t>EXHIBIT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-242570</wp:posOffset>
            </wp:positionH>
            <wp:positionV relativeFrom="paragraph">
              <wp:posOffset>160655</wp:posOffset>
            </wp:positionV>
            <wp:extent cx="6231255" cy="49028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231255" cy="4902835"/>
                    </a:xfrm>
                    <a:prstGeom prst="rect">
                      <a:avLst/>
                    </a:prstGeom>
                    <a:noFill/>
                  </pic:spPr>
                </pic:pic>
              </a:graphicData>
            </a:graphic>
          </wp:anchor>
        </w:drawing>
      </w:r>
    </w:p>
    <w:p>
      <w:pPr>
        <w:sectPr>
          <w:pgSz w:w="11900" w:h="16838" w:orient="portrait"/>
          <w:cols w:equalWidth="0" w:num="1">
            <w:col w:w="9400"/>
          </w:cols>
          <w:pgMar w:left="1440" w:top="127" w:right="1059" w:bottom="1440" w:gutter="0" w:footer="0" w:header="0"/>
        </w:sectPr>
      </w:pPr>
    </w:p>
    <w:bookmarkStart w:id="133" w:name="page134"/>
    <w:bookmarkEnd w:id="133"/>
    <w:p>
      <w:pPr>
        <w:ind w:left="3800"/>
        <w:spacing w:after="0"/>
        <w:tabs>
          <w:tab w:leader="none" w:pos="8680" w:val="left"/>
        </w:tabs>
        <w:rPr>
          <w:sz w:val="20"/>
          <w:szCs w:val="20"/>
          <w:color w:val="auto"/>
        </w:rPr>
      </w:pPr>
      <w:r>
        <w:rPr>
          <w:rFonts w:ascii="Arial" w:cs="Arial" w:eastAsia="Arial" w:hAnsi="Arial"/>
          <w:sz w:val="12"/>
          <w:szCs w:val="12"/>
          <w:b w:val="1"/>
          <w:bCs w:val="1"/>
          <w:color w:val="auto"/>
        </w:rPr>
        <w:t>Amended and Restated Articles of Incorporation</w:t>
      </w:r>
      <w:r>
        <w:rPr>
          <w:sz w:val="20"/>
          <w:szCs w:val="20"/>
          <w:color w:val="auto"/>
        </w:rPr>
        <w:tab/>
      </w:r>
      <w:r>
        <w:rPr>
          <w:rFonts w:ascii="Arial" w:cs="Arial" w:eastAsia="Arial" w:hAnsi="Arial"/>
          <w:sz w:val="12"/>
          <w:szCs w:val="12"/>
          <w:b w:val="1"/>
          <w:bCs w:val="1"/>
          <w:color w:val="auto"/>
        </w:rPr>
        <w:t>EXHIBIT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-242570</wp:posOffset>
            </wp:positionH>
            <wp:positionV relativeFrom="paragraph">
              <wp:posOffset>160655</wp:posOffset>
            </wp:positionV>
            <wp:extent cx="6231255" cy="489712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231255" cy="4897120"/>
                    </a:xfrm>
                    <a:prstGeom prst="rect">
                      <a:avLst/>
                    </a:prstGeom>
                    <a:noFill/>
                  </pic:spPr>
                </pic:pic>
              </a:graphicData>
            </a:graphic>
          </wp:anchor>
        </w:drawing>
      </w:r>
    </w:p>
    <w:p>
      <w:pPr>
        <w:sectPr>
          <w:pgSz w:w="11900" w:h="16838" w:orient="portrait"/>
          <w:cols w:equalWidth="0" w:num="1">
            <w:col w:w="9400"/>
          </w:cols>
          <w:pgMar w:left="1440" w:top="127" w:right="1059" w:bottom="1440" w:gutter="0" w:footer="0" w:header="0"/>
        </w:sectPr>
      </w:pPr>
    </w:p>
    <w:bookmarkStart w:id="134" w:name="page135"/>
    <w:bookmarkEnd w:id="134"/>
    <w:p>
      <w:pPr>
        <w:ind w:left="3800"/>
        <w:spacing w:after="0"/>
        <w:tabs>
          <w:tab w:leader="none" w:pos="8680" w:val="left"/>
        </w:tabs>
        <w:rPr>
          <w:sz w:val="20"/>
          <w:szCs w:val="20"/>
          <w:color w:val="auto"/>
        </w:rPr>
      </w:pPr>
      <w:r>
        <w:rPr>
          <w:rFonts w:ascii="Arial" w:cs="Arial" w:eastAsia="Arial" w:hAnsi="Arial"/>
          <w:sz w:val="12"/>
          <w:szCs w:val="12"/>
          <w:b w:val="1"/>
          <w:bCs w:val="1"/>
          <w:color w:val="auto"/>
        </w:rPr>
        <w:t>Amended and Restated Articles of Incorporation</w:t>
      </w:r>
      <w:r>
        <w:rPr>
          <w:sz w:val="20"/>
          <w:szCs w:val="20"/>
          <w:color w:val="auto"/>
        </w:rPr>
        <w:tab/>
      </w:r>
      <w:r>
        <w:rPr>
          <w:rFonts w:ascii="Arial" w:cs="Arial" w:eastAsia="Arial" w:hAnsi="Arial"/>
          <w:sz w:val="12"/>
          <w:szCs w:val="12"/>
          <w:b w:val="1"/>
          <w:bCs w:val="1"/>
          <w:color w:val="auto"/>
        </w:rPr>
        <w:t>EXHIBIT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-242570</wp:posOffset>
            </wp:positionH>
            <wp:positionV relativeFrom="paragraph">
              <wp:posOffset>160655</wp:posOffset>
            </wp:positionV>
            <wp:extent cx="6231255" cy="491426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231255" cy="4914265"/>
                    </a:xfrm>
                    <a:prstGeom prst="rect">
                      <a:avLst/>
                    </a:prstGeom>
                    <a:noFill/>
                  </pic:spPr>
                </pic:pic>
              </a:graphicData>
            </a:graphic>
          </wp:anchor>
        </w:drawing>
      </w:r>
    </w:p>
    <w:p>
      <w:pPr>
        <w:sectPr>
          <w:pgSz w:w="11900" w:h="16838" w:orient="portrait"/>
          <w:cols w:equalWidth="0" w:num="1">
            <w:col w:w="9400"/>
          </w:cols>
          <w:pgMar w:left="1440" w:top="127" w:right="1059" w:bottom="1440" w:gutter="0" w:footer="0" w:header="0"/>
        </w:sectPr>
      </w:pPr>
    </w:p>
    <w:bookmarkStart w:id="135" w:name="page136"/>
    <w:bookmarkEnd w:id="135"/>
    <w:p>
      <w:pPr>
        <w:ind w:left="3800"/>
        <w:spacing w:after="0"/>
        <w:tabs>
          <w:tab w:leader="none" w:pos="8680" w:val="left"/>
        </w:tabs>
        <w:rPr>
          <w:sz w:val="20"/>
          <w:szCs w:val="20"/>
          <w:color w:val="auto"/>
        </w:rPr>
      </w:pPr>
      <w:r>
        <w:rPr>
          <w:rFonts w:ascii="Arial" w:cs="Arial" w:eastAsia="Arial" w:hAnsi="Arial"/>
          <w:sz w:val="12"/>
          <w:szCs w:val="12"/>
          <w:b w:val="1"/>
          <w:bCs w:val="1"/>
          <w:color w:val="auto"/>
        </w:rPr>
        <w:t>Amended and Restated Articles of Incorporation</w:t>
      </w:r>
      <w:r>
        <w:rPr>
          <w:sz w:val="20"/>
          <w:szCs w:val="20"/>
          <w:color w:val="auto"/>
        </w:rPr>
        <w:tab/>
      </w:r>
      <w:r>
        <w:rPr>
          <w:rFonts w:ascii="Arial" w:cs="Arial" w:eastAsia="Arial" w:hAnsi="Arial"/>
          <w:sz w:val="12"/>
          <w:szCs w:val="12"/>
          <w:b w:val="1"/>
          <w:bCs w:val="1"/>
          <w:color w:val="auto"/>
        </w:rPr>
        <w:t>EXHIBIT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-242570</wp:posOffset>
            </wp:positionH>
            <wp:positionV relativeFrom="paragraph">
              <wp:posOffset>160655</wp:posOffset>
            </wp:positionV>
            <wp:extent cx="6231255" cy="489140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231255" cy="4891405"/>
                    </a:xfrm>
                    <a:prstGeom prst="rect">
                      <a:avLst/>
                    </a:prstGeom>
                    <a:noFill/>
                  </pic:spPr>
                </pic:pic>
              </a:graphicData>
            </a:graphic>
          </wp:anchor>
        </w:drawing>
      </w:r>
    </w:p>
    <w:p>
      <w:pPr>
        <w:sectPr>
          <w:pgSz w:w="11900" w:h="16838" w:orient="portrait"/>
          <w:cols w:equalWidth="0" w:num="1">
            <w:col w:w="9400"/>
          </w:cols>
          <w:pgMar w:left="1440" w:top="127" w:right="1059" w:bottom="1440" w:gutter="0" w:footer="0" w:header="0"/>
        </w:sectPr>
      </w:pPr>
    </w:p>
    <w:bookmarkStart w:id="136" w:name="page137"/>
    <w:bookmarkEnd w:id="136"/>
    <w:p>
      <w:pPr>
        <w:ind w:left="3800"/>
        <w:spacing w:after="0"/>
        <w:tabs>
          <w:tab w:leader="none" w:pos="8680" w:val="left"/>
        </w:tabs>
        <w:rPr>
          <w:sz w:val="20"/>
          <w:szCs w:val="20"/>
          <w:color w:val="auto"/>
        </w:rPr>
      </w:pPr>
      <w:r>
        <w:rPr>
          <w:rFonts w:ascii="Arial" w:cs="Arial" w:eastAsia="Arial" w:hAnsi="Arial"/>
          <w:sz w:val="12"/>
          <w:szCs w:val="12"/>
          <w:b w:val="1"/>
          <w:bCs w:val="1"/>
          <w:color w:val="auto"/>
        </w:rPr>
        <w:t>Amended and Restated Articles of Incorporation</w:t>
      </w:r>
      <w:r>
        <w:rPr>
          <w:sz w:val="20"/>
          <w:szCs w:val="20"/>
          <w:color w:val="auto"/>
        </w:rPr>
        <w:tab/>
      </w:r>
      <w:r>
        <w:rPr>
          <w:rFonts w:ascii="Arial" w:cs="Arial" w:eastAsia="Arial" w:hAnsi="Arial"/>
          <w:sz w:val="12"/>
          <w:szCs w:val="12"/>
          <w:b w:val="1"/>
          <w:bCs w:val="1"/>
          <w:color w:val="auto"/>
        </w:rPr>
        <w:t>EXHIBIT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-242570</wp:posOffset>
            </wp:positionH>
            <wp:positionV relativeFrom="paragraph">
              <wp:posOffset>160655</wp:posOffset>
            </wp:positionV>
            <wp:extent cx="6231255" cy="489140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231255" cy="4891405"/>
                    </a:xfrm>
                    <a:prstGeom prst="rect">
                      <a:avLst/>
                    </a:prstGeom>
                    <a:noFill/>
                  </pic:spPr>
                </pic:pic>
              </a:graphicData>
            </a:graphic>
          </wp:anchor>
        </w:drawing>
      </w:r>
    </w:p>
    <w:p>
      <w:pPr>
        <w:sectPr>
          <w:pgSz w:w="11900" w:h="16838" w:orient="portrait"/>
          <w:cols w:equalWidth="0" w:num="1">
            <w:col w:w="9400"/>
          </w:cols>
          <w:pgMar w:left="1440" w:top="126" w:right="1059" w:bottom="1440" w:gutter="0" w:footer="0" w:header="0"/>
        </w:sectPr>
      </w:pPr>
    </w:p>
    <w:bookmarkStart w:id="137" w:name="page138"/>
    <w:bookmarkEnd w:id="137"/>
    <w:p>
      <w:pPr>
        <w:ind w:left="3800"/>
        <w:spacing w:after="0"/>
        <w:tabs>
          <w:tab w:leader="none" w:pos="8680" w:val="left"/>
        </w:tabs>
        <w:rPr>
          <w:sz w:val="20"/>
          <w:szCs w:val="20"/>
          <w:color w:val="auto"/>
        </w:rPr>
      </w:pPr>
      <w:r>
        <w:rPr>
          <w:rFonts w:ascii="Arial" w:cs="Arial" w:eastAsia="Arial" w:hAnsi="Arial"/>
          <w:sz w:val="12"/>
          <w:szCs w:val="12"/>
          <w:b w:val="1"/>
          <w:bCs w:val="1"/>
          <w:color w:val="auto"/>
        </w:rPr>
        <w:t>Amended and Restated Articles of Incorporation</w:t>
      </w:r>
      <w:r>
        <w:rPr>
          <w:sz w:val="20"/>
          <w:szCs w:val="20"/>
          <w:color w:val="auto"/>
        </w:rPr>
        <w:tab/>
      </w:r>
      <w:r>
        <w:rPr>
          <w:rFonts w:ascii="Arial" w:cs="Arial" w:eastAsia="Arial" w:hAnsi="Arial"/>
          <w:sz w:val="12"/>
          <w:szCs w:val="12"/>
          <w:b w:val="1"/>
          <w:bCs w:val="1"/>
          <w:color w:val="auto"/>
        </w:rPr>
        <w:t>EXHIBIT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-242570</wp:posOffset>
            </wp:positionH>
            <wp:positionV relativeFrom="paragraph">
              <wp:posOffset>160655</wp:posOffset>
            </wp:positionV>
            <wp:extent cx="6231255" cy="490855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231255" cy="4908550"/>
                    </a:xfrm>
                    <a:prstGeom prst="rect">
                      <a:avLst/>
                    </a:prstGeom>
                    <a:noFill/>
                  </pic:spPr>
                </pic:pic>
              </a:graphicData>
            </a:graphic>
          </wp:anchor>
        </w:drawing>
      </w:r>
    </w:p>
    <w:p>
      <w:pPr>
        <w:sectPr>
          <w:pgSz w:w="11900" w:h="16838" w:orient="portrait"/>
          <w:cols w:equalWidth="0" w:num="1">
            <w:col w:w="9400"/>
          </w:cols>
          <w:pgMar w:left="1440" w:top="127" w:right="1059" w:bottom="1440" w:gutter="0" w:footer="0" w:header="0"/>
        </w:sectPr>
      </w:pPr>
    </w:p>
    <w:bookmarkStart w:id="138" w:name="page139"/>
    <w:bookmarkEnd w:id="138"/>
    <w:p>
      <w:pPr>
        <w:ind w:left="3800"/>
        <w:spacing w:after="0"/>
        <w:tabs>
          <w:tab w:leader="none" w:pos="8680" w:val="left"/>
        </w:tabs>
        <w:rPr>
          <w:sz w:val="20"/>
          <w:szCs w:val="20"/>
          <w:color w:val="auto"/>
        </w:rPr>
      </w:pPr>
      <w:r>
        <w:rPr>
          <w:rFonts w:ascii="Arial" w:cs="Arial" w:eastAsia="Arial" w:hAnsi="Arial"/>
          <w:sz w:val="12"/>
          <w:szCs w:val="12"/>
          <w:b w:val="1"/>
          <w:bCs w:val="1"/>
          <w:color w:val="auto"/>
        </w:rPr>
        <w:t>Amended and Restated Articles of Incorporation</w:t>
      </w:r>
      <w:r>
        <w:rPr>
          <w:sz w:val="20"/>
          <w:szCs w:val="20"/>
          <w:color w:val="auto"/>
        </w:rPr>
        <w:tab/>
      </w:r>
      <w:r>
        <w:rPr>
          <w:rFonts w:ascii="Arial" w:cs="Arial" w:eastAsia="Arial" w:hAnsi="Arial"/>
          <w:sz w:val="12"/>
          <w:szCs w:val="12"/>
          <w:b w:val="1"/>
          <w:bCs w:val="1"/>
          <w:color w:val="auto"/>
        </w:rPr>
        <w:t>EXHIBIT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-242570</wp:posOffset>
            </wp:positionH>
            <wp:positionV relativeFrom="paragraph">
              <wp:posOffset>160655</wp:posOffset>
            </wp:positionV>
            <wp:extent cx="6231255" cy="472567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231255" cy="4725670"/>
                    </a:xfrm>
                    <a:prstGeom prst="rect">
                      <a:avLst/>
                    </a:prstGeom>
                    <a:noFill/>
                  </pic:spPr>
                </pic:pic>
              </a:graphicData>
            </a:graphic>
          </wp:anchor>
        </w:drawing>
      </w:r>
    </w:p>
    <w:p>
      <w:pPr>
        <w:sectPr>
          <w:pgSz w:w="11900" w:h="16838" w:orient="portrait"/>
          <w:cols w:equalWidth="0" w:num="1">
            <w:col w:w="9400"/>
          </w:cols>
          <w:pgMar w:left="1440" w:top="127" w:right="1059" w:bottom="1440" w:gutter="0" w:footer="0" w:header="0"/>
        </w:sectPr>
      </w:pPr>
    </w:p>
    <w:bookmarkStart w:id="139" w:name="page140"/>
    <w:bookmarkEnd w:id="139"/>
    <w:p>
      <w:pPr>
        <w:ind w:left="3740"/>
        <w:spacing w:after="0"/>
        <w:tabs>
          <w:tab w:leader="none" w:pos="8580" w:val="left"/>
        </w:tabs>
        <w:rPr>
          <w:sz w:val="20"/>
          <w:szCs w:val="20"/>
          <w:color w:val="auto"/>
        </w:rPr>
      </w:pPr>
      <w:r>
        <w:rPr>
          <w:rFonts w:ascii="Arial" w:cs="Arial" w:eastAsia="Arial" w:hAnsi="Arial"/>
          <w:sz w:val="12"/>
          <w:szCs w:val="12"/>
          <w:b w:val="1"/>
          <w:bCs w:val="1"/>
          <w:color w:val="auto"/>
        </w:rPr>
        <w:t>Amended and Restated Bylaws</w:t>
      </w:r>
      <w:r>
        <w:rPr>
          <w:sz w:val="20"/>
          <w:szCs w:val="20"/>
          <w:color w:val="auto"/>
        </w:rPr>
        <w:tab/>
      </w:r>
      <w:r>
        <w:rPr>
          <w:rFonts w:ascii="Arial" w:cs="Arial" w:eastAsia="Arial" w:hAnsi="Arial"/>
          <w:sz w:val="12"/>
          <w:szCs w:val="12"/>
          <w:b w:val="1"/>
          <w:bCs w:val="1"/>
          <w:color w:val="auto"/>
        </w:rPr>
        <w:t>EXHIBIT 3.2.1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-242570</wp:posOffset>
            </wp:positionH>
            <wp:positionV relativeFrom="paragraph">
              <wp:posOffset>160655</wp:posOffset>
            </wp:positionV>
            <wp:extent cx="6231255" cy="491426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231255" cy="4914265"/>
                    </a:xfrm>
                    <a:prstGeom prst="rect">
                      <a:avLst/>
                    </a:prstGeom>
                    <a:noFill/>
                  </pic:spPr>
                </pic:pic>
              </a:graphicData>
            </a:graphic>
          </wp:anchor>
        </w:drawing>
      </w:r>
    </w:p>
    <w:p>
      <w:pPr>
        <w:sectPr>
          <w:pgSz w:w="11900" w:h="16838" w:orient="portrait"/>
          <w:cols w:equalWidth="0" w:num="1">
            <w:col w:w="9400"/>
          </w:cols>
          <w:pgMar w:left="1440" w:top="126" w:right="1059" w:bottom="1440" w:gutter="0" w:footer="0" w:header="0"/>
        </w:sectPr>
      </w:pPr>
    </w:p>
    <w:bookmarkStart w:id="140" w:name="page141"/>
    <w:bookmarkEnd w:id="140"/>
    <w:p>
      <w:pPr>
        <w:ind w:left="3740"/>
        <w:spacing w:after="0"/>
        <w:tabs>
          <w:tab w:leader="none" w:pos="8580" w:val="left"/>
        </w:tabs>
        <w:rPr>
          <w:sz w:val="20"/>
          <w:szCs w:val="20"/>
          <w:color w:val="auto"/>
        </w:rPr>
      </w:pPr>
      <w:r>
        <w:rPr>
          <w:rFonts w:ascii="Arial" w:cs="Arial" w:eastAsia="Arial" w:hAnsi="Arial"/>
          <w:sz w:val="12"/>
          <w:szCs w:val="12"/>
          <w:b w:val="1"/>
          <w:bCs w:val="1"/>
          <w:color w:val="auto"/>
        </w:rPr>
        <w:t>Amended and Restated Bylaws</w:t>
      </w:r>
      <w:r>
        <w:rPr>
          <w:sz w:val="20"/>
          <w:szCs w:val="20"/>
          <w:color w:val="auto"/>
        </w:rPr>
        <w:tab/>
      </w:r>
      <w:r>
        <w:rPr>
          <w:rFonts w:ascii="Arial" w:cs="Arial" w:eastAsia="Arial" w:hAnsi="Arial"/>
          <w:sz w:val="12"/>
          <w:szCs w:val="12"/>
          <w:b w:val="1"/>
          <w:bCs w:val="1"/>
          <w:color w:val="auto"/>
        </w:rPr>
        <w:t>EXHIBIT 3.2.1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-242570</wp:posOffset>
            </wp:positionH>
            <wp:positionV relativeFrom="paragraph">
              <wp:posOffset>160655</wp:posOffset>
            </wp:positionV>
            <wp:extent cx="6231255" cy="489140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231255" cy="4891405"/>
                    </a:xfrm>
                    <a:prstGeom prst="rect">
                      <a:avLst/>
                    </a:prstGeom>
                    <a:noFill/>
                  </pic:spPr>
                </pic:pic>
              </a:graphicData>
            </a:graphic>
          </wp:anchor>
        </w:drawing>
      </w:r>
    </w:p>
    <w:p>
      <w:pPr>
        <w:sectPr>
          <w:pgSz w:w="11900" w:h="16838" w:orient="portrait"/>
          <w:cols w:equalWidth="0" w:num="1">
            <w:col w:w="9400"/>
          </w:cols>
          <w:pgMar w:left="1440" w:top="126" w:right="1059" w:bottom="1440" w:gutter="0" w:footer="0" w:header="0"/>
        </w:sectPr>
      </w:pPr>
    </w:p>
    <w:bookmarkStart w:id="141" w:name="page142"/>
    <w:bookmarkEnd w:id="141"/>
    <w:p>
      <w:pPr>
        <w:ind w:left="3740"/>
        <w:spacing w:after="0"/>
        <w:tabs>
          <w:tab w:leader="none" w:pos="8580" w:val="left"/>
        </w:tabs>
        <w:rPr>
          <w:sz w:val="20"/>
          <w:szCs w:val="20"/>
          <w:color w:val="auto"/>
        </w:rPr>
      </w:pPr>
      <w:r>
        <w:rPr>
          <w:rFonts w:ascii="Arial" w:cs="Arial" w:eastAsia="Arial" w:hAnsi="Arial"/>
          <w:sz w:val="12"/>
          <w:szCs w:val="12"/>
          <w:b w:val="1"/>
          <w:bCs w:val="1"/>
          <w:color w:val="auto"/>
        </w:rPr>
        <w:t>Amended and Restated Bylaws</w:t>
      </w:r>
      <w:r>
        <w:rPr>
          <w:sz w:val="20"/>
          <w:szCs w:val="20"/>
          <w:color w:val="auto"/>
        </w:rPr>
        <w:tab/>
      </w:r>
      <w:r>
        <w:rPr>
          <w:rFonts w:ascii="Arial" w:cs="Arial" w:eastAsia="Arial" w:hAnsi="Arial"/>
          <w:sz w:val="12"/>
          <w:szCs w:val="12"/>
          <w:b w:val="1"/>
          <w:bCs w:val="1"/>
          <w:color w:val="auto"/>
        </w:rPr>
        <w:t>EXHIBIT 3.2.1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-242570</wp:posOffset>
            </wp:positionH>
            <wp:positionV relativeFrom="paragraph">
              <wp:posOffset>160655</wp:posOffset>
            </wp:positionV>
            <wp:extent cx="6231255" cy="48514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231255" cy="4851400"/>
                    </a:xfrm>
                    <a:prstGeom prst="rect">
                      <a:avLst/>
                    </a:prstGeom>
                    <a:noFill/>
                  </pic:spPr>
                </pic:pic>
              </a:graphicData>
            </a:graphic>
          </wp:anchor>
        </w:drawing>
      </w:r>
    </w:p>
    <w:p>
      <w:pPr>
        <w:sectPr>
          <w:pgSz w:w="11900" w:h="16838" w:orient="portrait"/>
          <w:cols w:equalWidth="0" w:num="1">
            <w:col w:w="9400"/>
          </w:cols>
          <w:pgMar w:left="1440" w:top="127" w:right="1059" w:bottom="1440" w:gutter="0" w:footer="0" w:header="0"/>
        </w:sectPr>
      </w:pPr>
    </w:p>
    <w:bookmarkStart w:id="142" w:name="page143"/>
    <w:bookmarkEnd w:id="142"/>
    <w:p>
      <w:pPr>
        <w:ind w:left="3740"/>
        <w:spacing w:after="0"/>
        <w:tabs>
          <w:tab w:leader="none" w:pos="8580" w:val="left"/>
        </w:tabs>
        <w:rPr>
          <w:sz w:val="20"/>
          <w:szCs w:val="20"/>
          <w:color w:val="auto"/>
        </w:rPr>
      </w:pPr>
      <w:r>
        <w:rPr>
          <w:rFonts w:ascii="Arial" w:cs="Arial" w:eastAsia="Arial" w:hAnsi="Arial"/>
          <w:sz w:val="12"/>
          <w:szCs w:val="12"/>
          <w:b w:val="1"/>
          <w:bCs w:val="1"/>
          <w:color w:val="auto"/>
        </w:rPr>
        <w:t>Amended and Restated Bylaws</w:t>
      </w:r>
      <w:r>
        <w:rPr>
          <w:sz w:val="20"/>
          <w:szCs w:val="20"/>
          <w:color w:val="auto"/>
        </w:rPr>
        <w:tab/>
      </w:r>
      <w:r>
        <w:rPr>
          <w:rFonts w:ascii="Arial" w:cs="Arial" w:eastAsia="Arial" w:hAnsi="Arial"/>
          <w:sz w:val="12"/>
          <w:szCs w:val="12"/>
          <w:b w:val="1"/>
          <w:bCs w:val="1"/>
          <w:color w:val="auto"/>
        </w:rPr>
        <w:t>EXHIBIT 3.2.1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-242570</wp:posOffset>
            </wp:positionH>
            <wp:positionV relativeFrom="paragraph">
              <wp:posOffset>160655</wp:posOffset>
            </wp:positionV>
            <wp:extent cx="6231255" cy="489140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231255" cy="4891405"/>
                    </a:xfrm>
                    <a:prstGeom prst="rect">
                      <a:avLst/>
                    </a:prstGeom>
                    <a:noFill/>
                  </pic:spPr>
                </pic:pic>
              </a:graphicData>
            </a:graphic>
          </wp:anchor>
        </w:drawing>
      </w:r>
    </w:p>
    <w:p>
      <w:pPr>
        <w:sectPr>
          <w:pgSz w:w="11900" w:h="16838" w:orient="portrait"/>
          <w:cols w:equalWidth="0" w:num="1">
            <w:col w:w="9400"/>
          </w:cols>
          <w:pgMar w:left="1440" w:top="127" w:right="1059" w:bottom="1440" w:gutter="0" w:footer="0" w:header="0"/>
        </w:sectPr>
      </w:pPr>
    </w:p>
    <w:bookmarkStart w:id="143" w:name="page144"/>
    <w:bookmarkEnd w:id="143"/>
    <w:p>
      <w:pPr>
        <w:ind w:left="3740"/>
        <w:spacing w:after="0"/>
        <w:tabs>
          <w:tab w:leader="none" w:pos="8580" w:val="left"/>
        </w:tabs>
        <w:rPr>
          <w:sz w:val="20"/>
          <w:szCs w:val="20"/>
          <w:color w:val="auto"/>
        </w:rPr>
      </w:pPr>
      <w:r>
        <w:rPr>
          <w:rFonts w:ascii="Arial" w:cs="Arial" w:eastAsia="Arial" w:hAnsi="Arial"/>
          <w:sz w:val="12"/>
          <w:szCs w:val="12"/>
          <w:b w:val="1"/>
          <w:bCs w:val="1"/>
          <w:color w:val="auto"/>
        </w:rPr>
        <w:t>Amended and Restated Bylaws</w:t>
      </w:r>
      <w:r>
        <w:rPr>
          <w:sz w:val="20"/>
          <w:szCs w:val="20"/>
          <w:color w:val="auto"/>
        </w:rPr>
        <w:tab/>
      </w:r>
      <w:r>
        <w:rPr>
          <w:rFonts w:ascii="Arial" w:cs="Arial" w:eastAsia="Arial" w:hAnsi="Arial"/>
          <w:sz w:val="12"/>
          <w:szCs w:val="12"/>
          <w:b w:val="1"/>
          <w:bCs w:val="1"/>
          <w:color w:val="auto"/>
        </w:rPr>
        <w:t>EXHIBIT 3.2.1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-242570</wp:posOffset>
            </wp:positionH>
            <wp:positionV relativeFrom="paragraph">
              <wp:posOffset>160655</wp:posOffset>
            </wp:positionV>
            <wp:extent cx="6231255" cy="48514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231255" cy="4851400"/>
                    </a:xfrm>
                    <a:prstGeom prst="rect">
                      <a:avLst/>
                    </a:prstGeom>
                    <a:noFill/>
                  </pic:spPr>
                </pic:pic>
              </a:graphicData>
            </a:graphic>
          </wp:anchor>
        </w:drawing>
      </w:r>
    </w:p>
    <w:p>
      <w:pPr>
        <w:sectPr>
          <w:pgSz w:w="11900" w:h="16838" w:orient="portrait"/>
          <w:cols w:equalWidth="0" w:num="1">
            <w:col w:w="9400"/>
          </w:cols>
          <w:pgMar w:left="1440" w:top="127" w:right="1059" w:bottom="1440" w:gutter="0" w:footer="0" w:header="0"/>
        </w:sectPr>
      </w:pPr>
    </w:p>
    <w:bookmarkStart w:id="144" w:name="page145"/>
    <w:bookmarkEnd w:id="144"/>
    <w:p>
      <w:pPr>
        <w:ind w:left="3740"/>
        <w:spacing w:after="0"/>
        <w:tabs>
          <w:tab w:leader="none" w:pos="8580" w:val="left"/>
        </w:tabs>
        <w:rPr>
          <w:sz w:val="20"/>
          <w:szCs w:val="20"/>
          <w:color w:val="auto"/>
        </w:rPr>
      </w:pPr>
      <w:r>
        <w:rPr>
          <w:rFonts w:ascii="Arial" w:cs="Arial" w:eastAsia="Arial" w:hAnsi="Arial"/>
          <w:sz w:val="12"/>
          <w:szCs w:val="12"/>
          <w:b w:val="1"/>
          <w:bCs w:val="1"/>
          <w:color w:val="auto"/>
        </w:rPr>
        <w:t>Amended and Restated Bylaws</w:t>
      </w:r>
      <w:r>
        <w:rPr>
          <w:sz w:val="20"/>
          <w:szCs w:val="20"/>
          <w:color w:val="auto"/>
        </w:rPr>
        <w:tab/>
      </w:r>
      <w:r>
        <w:rPr>
          <w:rFonts w:ascii="Arial" w:cs="Arial" w:eastAsia="Arial" w:hAnsi="Arial"/>
          <w:sz w:val="12"/>
          <w:szCs w:val="12"/>
          <w:b w:val="1"/>
          <w:bCs w:val="1"/>
          <w:color w:val="auto"/>
        </w:rPr>
        <w:t>EXHIBIT 3.2.1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-242570</wp:posOffset>
            </wp:positionH>
            <wp:positionV relativeFrom="paragraph">
              <wp:posOffset>160655</wp:posOffset>
            </wp:positionV>
            <wp:extent cx="6231255" cy="489712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231255" cy="4897120"/>
                    </a:xfrm>
                    <a:prstGeom prst="rect">
                      <a:avLst/>
                    </a:prstGeom>
                    <a:noFill/>
                  </pic:spPr>
                </pic:pic>
              </a:graphicData>
            </a:graphic>
          </wp:anchor>
        </w:drawing>
      </w:r>
    </w:p>
    <w:p>
      <w:pPr>
        <w:sectPr>
          <w:pgSz w:w="11900" w:h="16838" w:orient="portrait"/>
          <w:cols w:equalWidth="0" w:num="1">
            <w:col w:w="9400"/>
          </w:cols>
          <w:pgMar w:left="1440" w:top="126" w:right="1059" w:bottom="1440" w:gutter="0" w:footer="0" w:header="0"/>
        </w:sectPr>
      </w:pPr>
    </w:p>
    <w:bookmarkStart w:id="145" w:name="page146"/>
    <w:bookmarkEnd w:id="145"/>
    <w:p>
      <w:pPr>
        <w:ind w:left="3740"/>
        <w:spacing w:after="0"/>
        <w:tabs>
          <w:tab w:leader="none" w:pos="8580" w:val="left"/>
        </w:tabs>
        <w:rPr>
          <w:sz w:val="20"/>
          <w:szCs w:val="20"/>
          <w:color w:val="auto"/>
        </w:rPr>
      </w:pPr>
      <w:r>
        <w:rPr>
          <w:rFonts w:ascii="Arial" w:cs="Arial" w:eastAsia="Arial" w:hAnsi="Arial"/>
          <w:sz w:val="12"/>
          <w:szCs w:val="12"/>
          <w:b w:val="1"/>
          <w:bCs w:val="1"/>
          <w:color w:val="auto"/>
        </w:rPr>
        <w:t>Amended and Restated Bylaws</w:t>
      </w:r>
      <w:r>
        <w:rPr>
          <w:sz w:val="20"/>
          <w:szCs w:val="20"/>
          <w:color w:val="auto"/>
        </w:rPr>
        <w:tab/>
      </w:r>
      <w:r>
        <w:rPr>
          <w:rFonts w:ascii="Arial" w:cs="Arial" w:eastAsia="Arial" w:hAnsi="Arial"/>
          <w:sz w:val="12"/>
          <w:szCs w:val="12"/>
          <w:b w:val="1"/>
          <w:bCs w:val="1"/>
          <w:color w:val="auto"/>
        </w:rPr>
        <w:t>EXHIBIT 3.2.1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-242570</wp:posOffset>
            </wp:positionH>
            <wp:positionV relativeFrom="paragraph">
              <wp:posOffset>160655</wp:posOffset>
            </wp:positionV>
            <wp:extent cx="6231255" cy="487426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231255" cy="4874260"/>
                    </a:xfrm>
                    <a:prstGeom prst="rect">
                      <a:avLst/>
                    </a:prstGeom>
                    <a:noFill/>
                  </pic:spPr>
                </pic:pic>
              </a:graphicData>
            </a:graphic>
          </wp:anchor>
        </w:drawing>
      </w:r>
    </w:p>
    <w:p>
      <w:pPr>
        <w:sectPr>
          <w:pgSz w:w="11900" w:h="16838" w:orient="portrait"/>
          <w:cols w:equalWidth="0" w:num="1">
            <w:col w:w="9400"/>
          </w:cols>
          <w:pgMar w:left="1440" w:top="127" w:right="1059" w:bottom="1440" w:gutter="0" w:footer="0" w:header="0"/>
        </w:sectPr>
      </w:pPr>
    </w:p>
    <w:bookmarkStart w:id="146" w:name="page147"/>
    <w:bookmarkEnd w:id="146"/>
    <w:p>
      <w:pPr>
        <w:ind w:left="3740"/>
        <w:spacing w:after="0"/>
        <w:tabs>
          <w:tab w:leader="none" w:pos="8580" w:val="left"/>
        </w:tabs>
        <w:rPr>
          <w:sz w:val="20"/>
          <w:szCs w:val="20"/>
          <w:color w:val="auto"/>
        </w:rPr>
      </w:pPr>
      <w:r>
        <w:rPr>
          <w:rFonts w:ascii="Arial" w:cs="Arial" w:eastAsia="Arial" w:hAnsi="Arial"/>
          <w:sz w:val="12"/>
          <w:szCs w:val="12"/>
          <w:b w:val="1"/>
          <w:bCs w:val="1"/>
          <w:color w:val="auto"/>
        </w:rPr>
        <w:t>Amended and Restated Bylaws</w:t>
      </w:r>
      <w:r>
        <w:rPr>
          <w:sz w:val="20"/>
          <w:szCs w:val="20"/>
          <w:color w:val="auto"/>
        </w:rPr>
        <w:tab/>
      </w:r>
      <w:r>
        <w:rPr>
          <w:rFonts w:ascii="Arial" w:cs="Arial" w:eastAsia="Arial" w:hAnsi="Arial"/>
          <w:sz w:val="12"/>
          <w:szCs w:val="12"/>
          <w:b w:val="1"/>
          <w:bCs w:val="1"/>
          <w:color w:val="auto"/>
        </w:rPr>
        <w:t>EXHIBIT 3.2.1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-242570</wp:posOffset>
            </wp:positionH>
            <wp:positionV relativeFrom="paragraph">
              <wp:posOffset>160655</wp:posOffset>
            </wp:positionV>
            <wp:extent cx="6231255" cy="483997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231255" cy="4839970"/>
                    </a:xfrm>
                    <a:prstGeom prst="rect">
                      <a:avLst/>
                    </a:prstGeom>
                    <a:noFill/>
                  </pic:spPr>
                </pic:pic>
              </a:graphicData>
            </a:graphic>
          </wp:anchor>
        </w:drawing>
      </w:r>
    </w:p>
    <w:p>
      <w:pPr>
        <w:sectPr>
          <w:pgSz w:w="11900" w:h="16838" w:orient="portrait"/>
          <w:cols w:equalWidth="0" w:num="1">
            <w:col w:w="9400"/>
          </w:cols>
          <w:pgMar w:left="1440" w:top="127" w:right="1059" w:bottom="1440" w:gutter="0" w:footer="0" w:header="0"/>
        </w:sectPr>
      </w:pPr>
    </w:p>
    <w:bookmarkStart w:id="147" w:name="page148"/>
    <w:bookmarkEnd w:id="147"/>
    <w:p>
      <w:pPr>
        <w:ind w:left="3740"/>
        <w:spacing w:after="0"/>
        <w:tabs>
          <w:tab w:leader="none" w:pos="8580" w:val="left"/>
        </w:tabs>
        <w:rPr>
          <w:sz w:val="20"/>
          <w:szCs w:val="20"/>
          <w:color w:val="auto"/>
        </w:rPr>
      </w:pPr>
      <w:r>
        <w:rPr>
          <w:rFonts w:ascii="Arial" w:cs="Arial" w:eastAsia="Arial" w:hAnsi="Arial"/>
          <w:sz w:val="12"/>
          <w:szCs w:val="12"/>
          <w:b w:val="1"/>
          <w:bCs w:val="1"/>
          <w:color w:val="auto"/>
        </w:rPr>
        <w:t>Amended and Restated Bylaws</w:t>
      </w:r>
      <w:r>
        <w:rPr>
          <w:sz w:val="20"/>
          <w:szCs w:val="20"/>
          <w:color w:val="auto"/>
        </w:rPr>
        <w:tab/>
      </w:r>
      <w:r>
        <w:rPr>
          <w:rFonts w:ascii="Arial" w:cs="Arial" w:eastAsia="Arial" w:hAnsi="Arial"/>
          <w:sz w:val="12"/>
          <w:szCs w:val="12"/>
          <w:b w:val="1"/>
          <w:bCs w:val="1"/>
          <w:color w:val="auto"/>
        </w:rPr>
        <w:t>EXHIBIT 3.2.1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-242570</wp:posOffset>
            </wp:positionH>
            <wp:positionV relativeFrom="paragraph">
              <wp:posOffset>332105</wp:posOffset>
            </wp:positionV>
            <wp:extent cx="6231255" cy="4737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231255" cy="4737100"/>
                    </a:xfrm>
                    <a:prstGeom prst="rect">
                      <a:avLst/>
                    </a:prstGeom>
                    <a:noFill/>
                  </pic:spPr>
                </pic:pic>
              </a:graphicData>
            </a:graphic>
          </wp:anchor>
        </w:drawing>
      </w:r>
    </w:p>
    <w:p>
      <w:pPr>
        <w:sectPr>
          <w:pgSz w:w="11900" w:h="16838" w:orient="portrait"/>
          <w:cols w:equalWidth="0" w:num="1">
            <w:col w:w="9400"/>
          </w:cols>
          <w:pgMar w:left="1440" w:top="126" w:right="1059" w:bottom="1440" w:gutter="0" w:footer="0" w:header="0"/>
        </w:sectPr>
      </w:pPr>
    </w:p>
    <w:bookmarkStart w:id="148" w:name="page149"/>
    <w:bookmarkEnd w:id="148"/>
    <w:p>
      <w:pPr>
        <w:ind w:left="3740"/>
        <w:spacing w:after="0"/>
        <w:tabs>
          <w:tab w:leader="none" w:pos="8580" w:val="left"/>
        </w:tabs>
        <w:rPr>
          <w:sz w:val="20"/>
          <w:szCs w:val="20"/>
          <w:color w:val="auto"/>
        </w:rPr>
      </w:pPr>
      <w:r>
        <w:rPr>
          <w:rFonts w:ascii="Arial" w:cs="Arial" w:eastAsia="Arial" w:hAnsi="Arial"/>
          <w:sz w:val="12"/>
          <w:szCs w:val="12"/>
          <w:b w:val="1"/>
          <w:bCs w:val="1"/>
          <w:color w:val="auto"/>
        </w:rPr>
        <w:t>Amended and Restated Bylaws</w:t>
      </w:r>
      <w:r>
        <w:rPr>
          <w:sz w:val="20"/>
          <w:szCs w:val="20"/>
          <w:color w:val="auto"/>
        </w:rPr>
        <w:tab/>
      </w:r>
      <w:r>
        <w:rPr>
          <w:rFonts w:ascii="Arial" w:cs="Arial" w:eastAsia="Arial" w:hAnsi="Arial"/>
          <w:sz w:val="12"/>
          <w:szCs w:val="12"/>
          <w:b w:val="1"/>
          <w:bCs w:val="1"/>
          <w:color w:val="auto"/>
        </w:rPr>
        <w:t>EXHIBIT 3.2.1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-242570</wp:posOffset>
            </wp:positionH>
            <wp:positionV relativeFrom="paragraph">
              <wp:posOffset>332105</wp:posOffset>
            </wp:positionV>
            <wp:extent cx="6231255" cy="468566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231255" cy="4685665"/>
                    </a:xfrm>
                    <a:prstGeom prst="rect">
                      <a:avLst/>
                    </a:prstGeom>
                    <a:noFill/>
                  </pic:spPr>
                </pic:pic>
              </a:graphicData>
            </a:graphic>
          </wp:anchor>
        </w:drawing>
      </w:r>
    </w:p>
    <w:p>
      <w:pPr>
        <w:sectPr>
          <w:pgSz w:w="11900" w:h="16838" w:orient="portrait"/>
          <w:cols w:equalWidth="0" w:num="1">
            <w:col w:w="9400"/>
          </w:cols>
          <w:pgMar w:left="1440" w:top="127" w:right="1059" w:bottom="1440" w:gutter="0" w:footer="0" w:header="0"/>
        </w:sectPr>
      </w:pPr>
    </w:p>
    <w:bookmarkStart w:id="149" w:name="page150"/>
    <w:bookmarkEnd w:id="149"/>
    <w:p>
      <w:pPr>
        <w:ind w:left="3740"/>
        <w:spacing w:after="0"/>
        <w:tabs>
          <w:tab w:leader="none" w:pos="8580" w:val="left"/>
        </w:tabs>
        <w:rPr>
          <w:sz w:val="20"/>
          <w:szCs w:val="20"/>
          <w:color w:val="auto"/>
        </w:rPr>
      </w:pPr>
      <w:r>
        <w:rPr>
          <w:rFonts w:ascii="Arial" w:cs="Arial" w:eastAsia="Arial" w:hAnsi="Arial"/>
          <w:sz w:val="12"/>
          <w:szCs w:val="12"/>
          <w:b w:val="1"/>
          <w:bCs w:val="1"/>
          <w:color w:val="auto"/>
        </w:rPr>
        <w:t>Amended and Restated Bylaws</w:t>
      </w:r>
      <w:r>
        <w:rPr>
          <w:sz w:val="20"/>
          <w:szCs w:val="20"/>
          <w:color w:val="auto"/>
        </w:rPr>
        <w:tab/>
      </w:r>
      <w:r>
        <w:rPr>
          <w:rFonts w:ascii="Arial" w:cs="Arial" w:eastAsia="Arial" w:hAnsi="Arial"/>
          <w:sz w:val="12"/>
          <w:szCs w:val="12"/>
          <w:b w:val="1"/>
          <w:bCs w:val="1"/>
          <w:color w:val="auto"/>
        </w:rPr>
        <w:t>EXHIBIT 3.2.1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-242570</wp:posOffset>
            </wp:positionH>
            <wp:positionV relativeFrom="paragraph">
              <wp:posOffset>332105</wp:posOffset>
            </wp:positionV>
            <wp:extent cx="6231255" cy="467995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231255" cy="4679950"/>
                    </a:xfrm>
                    <a:prstGeom prst="rect">
                      <a:avLst/>
                    </a:prstGeom>
                    <a:noFill/>
                  </pic:spPr>
                </pic:pic>
              </a:graphicData>
            </a:graphic>
          </wp:anchor>
        </w:drawing>
      </w:r>
    </w:p>
    <w:p>
      <w:pPr>
        <w:sectPr>
          <w:pgSz w:w="11900" w:h="16838" w:orient="portrait"/>
          <w:cols w:equalWidth="0" w:num="1">
            <w:col w:w="9400"/>
          </w:cols>
          <w:pgMar w:left="1440" w:top="127" w:right="1059" w:bottom="1440" w:gutter="0" w:footer="0" w:header="0"/>
        </w:sectPr>
      </w:pPr>
    </w:p>
    <w:bookmarkStart w:id="150" w:name="page151"/>
    <w:bookmarkEnd w:id="150"/>
    <w:p>
      <w:pPr>
        <w:ind w:left="3740"/>
        <w:spacing w:after="0"/>
        <w:tabs>
          <w:tab w:leader="none" w:pos="8580" w:val="left"/>
        </w:tabs>
        <w:rPr>
          <w:sz w:val="20"/>
          <w:szCs w:val="20"/>
          <w:color w:val="auto"/>
        </w:rPr>
      </w:pPr>
      <w:r>
        <w:rPr>
          <w:rFonts w:ascii="Arial" w:cs="Arial" w:eastAsia="Arial" w:hAnsi="Arial"/>
          <w:sz w:val="12"/>
          <w:szCs w:val="12"/>
          <w:b w:val="1"/>
          <w:bCs w:val="1"/>
          <w:color w:val="auto"/>
        </w:rPr>
        <w:t>Amended and Restated Bylaws</w:t>
      </w:r>
      <w:r>
        <w:rPr>
          <w:sz w:val="20"/>
          <w:szCs w:val="20"/>
          <w:color w:val="auto"/>
        </w:rPr>
        <w:tab/>
      </w:r>
      <w:r>
        <w:rPr>
          <w:rFonts w:ascii="Arial" w:cs="Arial" w:eastAsia="Arial" w:hAnsi="Arial"/>
          <w:sz w:val="12"/>
          <w:szCs w:val="12"/>
          <w:b w:val="1"/>
          <w:bCs w:val="1"/>
          <w:color w:val="auto"/>
        </w:rPr>
        <w:t>EXHIBIT 3.2.1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-242570</wp:posOffset>
            </wp:positionH>
            <wp:positionV relativeFrom="paragraph">
              <wp:posOffset>332105</wp:posOffset>
            </wp:positionV>
            <wp:extent cx="6231255" cy="471424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231255" cy="4714240"/>
                    </a:xfrm>
                    <a:prstGeom prst="rect">
                      <a:avLst/>
                    </a:prstGeom>
                    <a:noFill/>
                  </pic:spPr>
                </pic:pic>
              </a:graphicData>
            </a:graphic>
          </wp:anchor>
        </w:drawing>
      </w:r>
    </w:p>
    <w:p>
      <w:pPr>
        <w:sectPr>
          <w:pgSz w:w="11900" w:h="16838" w:orient="portrait"/>
          <w:cols w:equalWidth="0" w:num="1">
            <w:col w:w="9400"/>
          </w:cols>
          <w:pgMar w:left="1440" w:top="127" w:right="1059" w:bottom="1440" w:gutter="0" w:footer="0" w:header="0"/>
        </w:sectPr>
      </w:pPr>
    </w:p>
    <w:bookmarkStart w:id="151" w:name="page152"/>
    <w:bookmarkEnd w:id="151"/>
    <w:p>
      <w:pPr>
        <w:ind w:left="3740"/>
        <w:spacing w:after="0"/>
        <w:tabs>
          <w:tab w:leader="none" w:pos="8580" w:val="left"/>
        </w:tabs>
        <w:rPr>
          <w:sz w:val="20"/>
          <w:szCs w:val="20"/>
          <w:color w:val="auto"/>
        </w:rPr>
      </w:pPr>
      <w:r>
        <w:rPr>
          <w:rFonts w:ascii="Arial" w:cs="Arial" w:eastAsia="Arial" w:hAnsi="Arial"/>
          <w:sz w:val="12"/>
          <w:szCs w:val="12"/>
          <w:b w:val="1"/>
          <w:bCs w:val="1"/>
          <w:color w:val="auto"/>
        </w:rPr>
        <w:t>Amended and Restated Bylaws</w:t>
      </w:r>
      <w:r>
        <w:rPr>
          <w:sz w:val="20"/>
          <w:szCs w:val="20"/>
          <w:color w:val="auto"/>
        </w:rPr>
        <w:tab/>
      </w:r>
      <w:r>
        <w:rPr>
          <w:rFonts w:ascii="Arial" w:cs="Arial" w:eastAsia="Arial" w:hAnsi="Arial"/>
          <w:sz w:val="12"/>
          <w:szCs w:val="12"/>
          <w:b w:val="1"/>
          <w:bCs w:val="1"/>
          <w:color w:val="auto"/>
        </w:rPr>
        <w:t>EXHIBIT 3.2.1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-242570</wp:posOffset>
            </wp:positionH>
            <wp:positionV relativeFrom="paragraph">
              <wp:posOffset>332105</wp:posOffset>
            </wp:positionV>
            <wp:extent cx="6231255" cy="471424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231255" cy="4714240"/>
                    </a:xfrm>
                    <a:prstGeom prst="rect">
                      <a:avLst/>
                    </a:prstGeom>
                    <a:noFill/>
                  </pic:spPr>
                </pic:pic>
              </a:graphicData>
            </a:graphic>
          </wp:anchor>
        </w:drawing>
      </w:r>
    </w:p>
    <w:p>
      <w:pPr>
        <w:sectPr>
          <w:pgSz w:w="11900" w:h="16838" w:orient="portrait"/>
          <w:cols w:equalWidth="0" w:num="1">
            <w:col w:w="9400"/>
          </w:cols>
          <w:pgMar w:left="1440" w:top="127" w:right="1059" w:bottom="1440" w:gutter="0" w:footer="0" w:header="0"/>
        </w:sectPr>
      </w:pPr>
    </w:p>
    <w:bookmarkStart w:id="152" w:name="page153"/>
    <w:bookmarkEnd w:id="152"/>
    <w:p>
      <w:pPr>
        <w:ind w:left="3740"/>
        <w:spacing w:after="0"/>
        <w:tabs>
          <w:tab w:leader="none" w:pos="8580" w:val="left"/>
        </w:tabs>
        <w:rPr>
          <w:sz w:val="20"/>
          <w:szCs w:val="20"/>
          <w:color w:val="auto"/>
        </w:rPr>
      </w:pPr>
      <w:r>
        <w:rPr>
          <w:rFonts w:ascii="Arial" w:cs="Arial" w:eastAsia="Arial" w:hAnsi="Arial"/>
          <w:sz w:val="12"/>
          <w:szCs w:val="12"/>
          <w:b w:val="1"/>
          <w:bCs w:val="1"/>
          <w:color w:val="auto"/>
        </w:rPr>
        <w:t>Amended and Restated Bylaws</w:t>
      </w:r>
      <w:r>
        <w:rPr>
          <w:sz w:val="20"/>
          <w:szCs w:val="20"/>
          <w:color w:val="auto"/>
        </w:rPr>
        <w:tab/>
      </w:r>
      <w:r>
        <w:rPr>
          <w:rFonts w:ascii="Arial" w:cs="Arial" w:eastAsia="Arial" w:hAnsi="Arial"/>
          <w:sz w:val="12"/>
          <w:szCs w:val="12"/>
          <w:b w:val="1"/>
          <w:bCs w:val="1"/>
          <w:color w:val="auto"/>
        </w:rPr>
        <w:t>EXHIBIT 3.2.1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-242570</wp:posOffset>
            </wp:positionH>
            <wp:positionV relativeFrom="paragraph">
              <wp:posOffset>332740</wp:posOffset>
            </wp:positionV>
            <wp:extent cx="6231255" cy="468566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231255" cy="4685665"/>
                    </a:xfrm>
                    <a:prstGeom prst="rect">
                      <a:avLst/>
                    </a:prstGeom>
                    <a:noFill/>
                  </pic:spPr>
                </pic:pic>
              </a:graphicData>
            </a:graphic>
          </wp:anchor>
        </w:drawing>
      </w:r>
    </w:p>
    <w:p>
      <w:pPr>
        <w:sectPr>
          <w:pgSz w:w="11900" w:h="16838" w:orient="portrait"/>
          <w:cols w:equalWidth="0" w:num="1">
            <w:col w:w="9400"/>
          </w:cols>
          <w:pgMar w:left="1440" w:top="127" w:right="1059" w:bottom="1440" w:gutter="0" w:footer="0" w:header="0"/>
        </w:sectPr>
      </w:pPr>
    </w:p>
    <w:bookmarkStart w:id="153" w:name="page154"/>
    <w:bookmarkEnd w:id="153"/>
    <w:p>
      <w:pPr>
        <w:ind w:left="3740"/>
        <w:spacing w:after="0"/>
        <w:tabs>
          <w:tab w:leader="none" w:pos="8580" w:val="left"/>
        </w:tabs>
        <w:rPr>
          <w:sz w:val="20"/>
          <w:szCs w:val="20"/>
          <w:color w:val="auto"/>
        </w:rPr>
      </w:pPr>
      <w:r>
        <w:rPr>
          <w:rFonts w:ascii="Arial" w:cs="Arial" w:eastAsia="Arial" w:hAnsi="Arial"/>
          <w:sz w:val="12"/>
          <w:szCs w:val="12"/>
          <w:b w:val="1"/>
          <w:bCs w:val="1"/>
          <w:color w:val="auto"/>
        </w:rPr>
        <w:t>Amended and Restated Bylaws</w:t>
      </w:r>
      <w:r>
        <w:rPr>
          <w:sz w:val="20"/>
          <w:szCs w:val="20"/>
          <w:color w:val="auto"/>
        </w:rPr>
        <w:tab/>
      </w:r>
      <w:r>
        <w:rPr>
          <w:rFonts w:ascii="Arial" w:cs="Arial" w:eastAsia="Arial" w:hAnsi="Arial"/>
          <w:sz w:val="12"/>
          <w:szCs w:val="12"/>
          <w:b w:val="1"/>
          <w:bCs w:val="1"/>
          <w:color w:val="auto"/>
        </w:rPr>
        <w:t>EXHIBIT 3.2.1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-242570</wp:posOffset>
            </wp:positionH>
            <wp:positionV relativeFrom="paragraph">
              <wp:posOffset>332105</wp:posOffset>
            </wp:positionV>
            <wp:extent cx="6231255" cy="468566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231255" cy="4685665"/>
                    </a:xfrm>
                    <a:prstGeom prst="rect">
                      <a:avLst/>
                    </a:prstGeom>
                    <a:noFill/>
                  </pic:spPr>
                </pic:pic>
              </a:graphicData>
            </a:graphic>
          </wp:anchor>
        </w:drawing>
      </w:r>
    </w:p>
    <w:p>
      <w:pPr>
        <w:sectPr>
          <w:pgSz w:w="11900" w:h="16838" w:orient="portrait"/>
          <w:cols w:equalWidth="0" w:num="1">
            <w:col w:w="9400"/>
          </w:cols>
          <w:pgMar w:left="1440" w:top="127" w:right="1059" w:bottom="1440" w:gutter="0" w:footer="0" w:header="0"/>
        </w:sectPr>
      </w:pPr>
    </w:p>
    <w:bookmarkStart w:id="154" w:name="page155"/>
    <w:bookmarkEnd w:id="154"/>
    <w:p>
      <w:pPr>
        <w:ind w:left="3740"/>
        <w:spacing w:after="0"/>
        <w:tabs>
          <w:tab w:leader="none" w:pos="8580" w:val="left"/>
        </w:tabs>
        <w:rPr>
          <w:sz w:val="20"/>
          <w:szCs w:val="20"/>
          <w:color w:val="auto"/>
        </w:rPr>
      </w:pPr>
      <w:r>
        <w:rPr>
          <w:rFonts w:ascii="Arial" w:cs="Arial" w:eastAsia="Arial" w:hAnsi="Arial"/>
          <w:sz w:val="12"/>
          <w:szCs w:val="12"/>
          <w:b w:val="1"/>
          <w:bCs w:val="1"/>
          <w:color w:val="auto"/>
        </w:rPr>
        <w:t>Amended and Restated Bylaws</w:t>
      </w:r>
      <w:r>
        <w:rPr>
          <w:sz w:val="20"/>
          <w:szCs w:val="20"/>
          <w:color w:val="auto"/>
        </w:rPr>
        <w:tab/>
      </w:r>
      <w:r>
        <w:rPr>
          <w:rFonts w:ascii="Arial" w:cs="Arial" w:eastAsia="Arial" w:hAnsi="Arial"/>
          <w:sz w:val="12"/>
          <w:szCs w:val="12"/>
          <w:b w:val="1"/>
          <w:bCs w:val="1"/>
          <w:color w:val="auto"/>
        </w:rPr>
        <w:t>EXHIBIT 3.2.1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-242570</wp:posOffset>
            </wp:positionH>
            <wp:positionV relativeFrom="paragraph">
              <wp:posOffset>332105</wp:posOffset>
            </wp:positionV>
            <wp:extent cx="6231255" cy="47199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231255" cy="4719955"/>
                    </a:xfrm>
                    <a:prstGeom prst="rect">
                      <a:avLst/>
                    </a:prstGeom>
                    <a:noFill/>
                  </pic:spPr>
                </pic:pic>
              </a:graphicData>
            </a:graphic>
          </wp:anchor>
        </w:drawing>
      </w:r>
    </w:p>
    <w:p>
      <w:pPr>
        <w:sectPr>
          <w:pgSz w:w="11900" w:h="16838" w:orient="portrait"/>
          <w:cols w:equalWidth="0" w:num="1">
            <w:col w:w="9400"/>
          </w:cols>
          <w:pgMar w:left="1440" w:top="127" w:right="1059" w:bottom="1440" w:gutter="0" w:footer="0" w:header="0"/>
        </w:sectPr>
      </w:pPr>
    </w:p>
    <w:bookmarkStart w:id="155" w:name="page156"/>
    <w:bookmarkEnd w:id="155"/>
    <w:p>
      <w:pPr>
        <w:ind w:left="3740"/>
        <w:spacing w:after="0"/>
        <w:tabs>
          <w:tab w:leader="none" w:pos="8580" w:val="left"/>
        </w:tabs>
        <w:rPr>
          <w:sz w:val="20"/>
          <w:szCs w:val="20"/>
          <w:color w:val="auto"/>
        </w:rPr>
      </w:pPr>
      <w:r>
        <w:rPr>
          <w:rFonts w:ascii="Arial" w:cs="Arial" w:eastAsia="Arial" w:hAnsi="Arial"/>
          <w:sz w:val="12"/>
          <w:szCs w:val="12"/>
          <w:b w:val="1"/>
          <w:bCs w:val="1"/>
          <w:color w:val="auto"/>
        </w:rPr>
        <w:t>Amended and Restated Bylaws</w:t>
      </w:r>
      <w:r>
        <w:rPr>
          <w:sz w:val="20"/>
          <w:szCs w:val="20"/>
          <w:color w:val="auto"/>
        </w:rPr>
        <w:tab/>
      </w:r>
      <w:r>
        <w:rPr>
          <w:rFonts w:ascii="Arial" w:cs="Arial" w:eastAsia="Arial" w:hAnsi="Arial"/>
          <w:sz w:val="12"/>
          <w:szCs w:val="12"/>
          <w:b w:val="1"/>
          <w:bCs w:val="1"/>
          <w:color w:val="auto"/>
        </w:rPr>
        <w:t>EXHIBIT 3.2.1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-242570</wp:posOffset>
            </wp:positionH>
            <wp:positionV relativeFrom="paragraph">
              <wp:posOffset>332105</wp:posOffset>
            </wp:positionV>
            <wp:extent cx="6231255" cy="472567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231255" cy="4725670"/>
                    </a:xfrm>
                    <a:prstGeom prst="rect">
                      <a:avLst/>
                    </a:prstGeom>
                    <a:noFill/>
                  </pic:spPr>
                </pic:pic>
              </a:graphicData>
            </a:graphic>
          </wp:anchor>
        </w:drawing>
      </w:r>
    </w:p>
    <w:p>
      <w:pPr>
        <w:sectPr>
          <w:pgSz w:w="11900" w:h="16838" w:orient="portrait"/>
          <w:cols w:equalWidth="0" w:num="1">
            <w:col w:w="9400"/>
          </w:cols>
          <w:pgMar w:left="1440" w:top="126" w:right="1059" w:bottom="1440" w:gutter="0" w:footer="0" w:header="0"/>
        </w:sectPr>
      </w:pPr>
    </w:p>
    <w:bookmarkStart w:id="156" w:name="page157"/>
    <w:bookmarkEnd w:id="156"/>
    <w:p>
      <w:pPr>
        <w:ind w:left="3740"/>
        <w:spacing w:after="0"/>
        <w:tabs>
          <w:tab w:leader="none" w:pos="8580" w:val="left"/>
        </w:tabs>
        <w:rPr>
          <w:sz w:val="20"/>
          <w:szCs w:val="20"/>
          <w:color w:val="auto"/>
        </w:rPr>
      </w:pPr>
      <w:r>
        <w:rPr>
          <w:rFonts w:ascii="Arial" w:cs="Arial" w:eastAsia="Arial" w:hAnsi="Arial"/>
          <w:sz w:val="12"/>
          <w:szCs w:val="12"/>
          <w:b w:val="1"/>
          <w:bCs w:val="1"/>
          <w:color w:val="auto"/>
        </w:rPr>
        <w:t>Amended and Restated Bylaws</w:t>
      </w:r>
      <w:r>
        <w:rPr>
          <w:sz w:val="20"/>
          <w:szCs w:val="20"/>
          <w:color w:val="auto"/>
        </w:rPr>
        <w:tab/>
      </w:r>
      <w:r>
        <w:rPr>
          <w:rFonts w:ascii="Arial" w:cs="Arial" w:eastAsia="Arial" w:hAnsi="Arial"/>
          <w:sz w:val="12"/>
          <w:szCs w:val="12"/>
          <w:b w:val="1"/>
          <w:bCs w:val="1"/>
          <w:color w:val="auto"/>
        </w:rPr>
        <w:t>EXHIBIT 3.2.1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-242570</wp:posOffset>
            </wp:positionH>
            <wp:positionV relativeFrom="paragraph">
              <wp:posOffset>332740</wp:posOffset>
            </wp:positionV>
            <wp:extent cx="6231255" cy="472567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231255" cy="4725670"/>
                    </a:xfrm>
                    <a:prstGeom prst="rect">
                      <a:avLst/>
                    </a:prstGeom>
                    <a:noFill/>
                  </pic:spPr>
                </pic:pic>
              </a:graphicData>
            </a:graphic>
          </wp:anchor>
        </w:drawing>
      </w:r>
    </w:p>
    <w:p>
      <w:pPr>
        <w:sectPr>
          <w:pgSz w:w="11900" w:h="16838" w:orient="portrait"/>
          <w:cols w:equalWidth="0" w:num="1">
            <w:col w:w="9400"/>
          </w:cols>
          <w:pgMar w:left="1440" w:top="127" w:right="1059" w:bottom="1440" w:gutter="0" w:footer="0" w:header="0"/>
        </w:sectPr>
      </w:pPr>
    </w:p>
    <w:bookmarkStart w:id="157" w:name="page158"/>
    <w:bookmarkEnd w:id="15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401955</wp:posOffset>
            </wp:positionH>
            <wp:positionV relativeFrom="page">
              <wp:posOffset>88900</wp:posOffset>
            </wp:positionV>
            <wp:extent cx="6768465" cy="577215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768465" cy="57721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8" w:name="page159"/>
    <w:bookmarkEnd w:id="15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460375</wp:posOffset>
            </wp:positionH>
            <wp:positionV relativeFrom="page">
              <wp:posOffset>111760</wp:posOffset>
            </wp:positionV>
            <wp:extent cx="3809365" cy="494157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clrChange>
                        <a:clrFrom>
                          <a:srgbClr val="FFFFFF"/>
                        </a:clrFrom>
                        <a:clrTo>
                          <a:srgbClr val="FFFFFF">
                            <a:alpha val="0"/>
                          </a:srgbClr>
                        </a:clrTo>
                      </a:clrChange>
                      <a:extLst>
                        <a:ext uri="{28A0092B-C50C-407E-A947-70E740481C1C}"/>
                      </a:extLst>
                    </a:blip>
                    <a:srcRect/>
                    <a:stretch>
                      <a:fillRect/>
                    </a:stretch>
                  </pic:blipFill>
                  <pic:spPr bwMode="auto">
                    <a:xfrm>
                      <a:off x="0" y="0"/>
                      <a:ext cx="3809365" cy="49415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Introduction</w:t>
      </w:r>
    </w:p>
    <w:p>
      <w:pPr>
        <w:spacing w:after="0" w:line="129" w:lineRule="exact"/>
        <w:rPr>
          <w:sz w:val="20"/>
          <w:szCs w:val="20"/>
          <w:color w:val="auto"/>
        </w:rPr>
      </w:pPr>
    </w:p>
    <w:p>
      <w:pPr>
        <w:ind w:left="60"/>
        <w:spacing w:after="0"/>
        <w:rPr>
          <w:sz w:val="20"/>
          <w:szCs w:val="20"/>
          <w:color w:val="auto"/>
        </w:rPr>
      </w:pPr>
      <w:r>
        <w:rPr>
          <w:rFonts w:ascii="Arial" w:cs="Arial" w:eastAsia="Arial" w:hAnsi="Arial"/>
          <w:sz w:val="10"/>
          <w:szCs w:val="10"/>
          <w:color w:val="auto"/>
        </w:rPr>
        <w:t>Westpac NZ has agreed to provide the Borrower with a term loan of $50,000,000 on the terms and conditions of this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205105</wp:posOffset>
            </wp:positionV>
            <wp:extent cx="6768465"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768465" cy="42545"/>
                    </a:xfrm>
                    <a:prstGeom prst="rect">
                      <a:avLst/>
                    </a:prstGeom>
                    <a:noFill/>
                  </pic:spPr>
                </pic:pic>
              </a:graphicData>
            </a:graphic>
          </wp:anchor>
        </w:drawing>
      </w:r>
    </w:p>
    <w:p>
      <w:pPr>
        <w:sectPr>
          <w:pgSz w:w="11900" w:h="16838" w:orient="portrait"/>
          <w:cols w:equalWidth="0" w:num="1">
            <w:col w:w="9799"/>
          </w:cols>
          <w:pgMar w:left="660" w:top="1440" w:right="1440" w:bottom="1440" w:gutter="0" w:footer="0" w:header="0"/>
        </w:sectPr>
      </w:pPr>
    </w:p>
    <w:bookmarkStart w:id="159" w:name="page160"/>
    <w:bookmarkEnd w:id="159"/>
    <w:p>
      <w:pPr>
        <w:ind w:left="64"/>
        <w:spacing w:after="0"/>
        <w:rPr>
          <w:sz w:val="20"/>
          <w:szCs w:val="20"/>
          <w:color w:val="auto"/>
        </w:rPr>
      </w:pPr>
      <w:r>
        <w:rPr>
          <w:rFonts w:ascii="Arial" w:cs="Arial" w:eastAsia="Arial" w:hAnsi="Arial"/>
          <w:sz w:val="11"/>
          <w:szCs w:val="11"/>
          <w:color w:val="auto"/>
        </w:rPr>
        <w:t>Agreement.</w:t>
      </w:r>
    </w:p>
    <w:p>
      <w:pPr>
        <w:spacing w:after="0" w:line="150" w:lineRule="exact"/>
        <w:rPr>
          <w:sz w:val="20"/>
          <w:szCs w:val="20"/>
          <w:color w:val="auto"/>
        </w:rPr>
      </w:pPr>
    </w:p>
    <w:p>
      <w:pPr>
        <w:ind w:left="64"/>
        <w:spacing w:after="0"/>
        <w:rPr>
          <w:sz w:val="20"/>
          <w:szCs w:val="20"/>
          <w:color w:val="auto"/>
        </w:rPr>
      </w:pPr>
      <w:r>
        <w:rPr>
          <w:rFonts w:ascii="Arial" w:cs="Arial" w:eastAsia="Arial" w:hAnsi="Arial"/>
          <w:sz w:val="11"/>
          <w:szCs w:val="11"/>
          <w:b w:val="1"/>
          <w:bCs w:val="1"/>
          <w:color w:val="auto"/>
        </w:rPr>
        <w:t>Agreement</w:t>
      </w:r>
    </w:p>
    <w:p>
      <w:pPr>
        <w:spacing w:after="0" w:line="126" w:lineRule="exact"/>
        <w:rPr>
          <w:sz w:val="20"/>
          <w:szCs w:val="20"/>
          <w:color w:val="auto"/>
        </w:rPr>
      </w:pPr>
    </w:p>
    <w:p>
      <w:pPr>
        <w:ind w:left="1064" w:hanging="1064"/>
        <w:spacing w:after="0"/>
        <w:tabs>
          <w:tab w:leader="none" w:pos="1064" w:val="left"/>
        </w:tabs>
        <w:numPr>
          <w:ilvl w:val="0"/>
          <w:numId w:val="85"/>
        </w:numPr>
        <w:rPr>
          <w:rFonts w:ascii="Arial" w:cs="Arial" w:eastAsia="Arial" w:hAnsi="Arial"/>
          <w:sz w:val="11"/>
          <w:szCs w:val="11"/>
          <w:b w:val="1"/>
          <w:bCs w:val="1"/>
          <w:color w:val="auto"/>
        </w:rPr>
      </w:pPr>
      <w:r>
        <w:rPr>
          <w:rFonts w:ascii="Arial" w:cs="Arial" w:eastAsia="Arial" w:hAnsi="Arial"/>
          <w:sz w:val="11"/>
          <w:szCs w:val="11"/>
          <w:b w:val="1"/>
          <w:bCs w:val="1"/>
          <w:color w:val="auto"/>
        </w:rPr>
        <w:t>condition precedent</w:t>
      </w:r>
    </w:p>
    <w:p>
      <w:pPr>
        <w:spacing w:after="0" w:line="261" w:lineRule="exact"/>
        <w:rPr>
          <w:sz w:val="20"/>
          <w:szCs w:val="20"/>
          <w:color w:val="auto"/>
        </w:rPr>
      </w:pPr>
    </w:p>
    <w:p>
      <w:pPr>
        <w:ind w:left="4"/>
        <w:spacing w:after="0"/>
        <w:tabs>
          <w:tab w:leader="none" w:pos="1943" w:val="left"/>
        </w:tabs>
        <w:rPr>
          <w:sz w:val="20"/>
          <w:szCs w:val="20"/>
          <w:color w:val="auto"/>
        </w:rPr>
      </w:pPr>
      <w:r>
        <w:rPr>
          <w:rFonts w:ascii="Arial" w:cs="Arial" w:eastAsia="Arial" w:hAnsi="Arial"/>
          <w:sz w:val="11"/>
          <w:szCs w:val="11"/>
          <w:b w:val="1"/>
          <w:bCs w:val="1"/>
          <w:color w:val="auto"/>
        </w:rPr>
        <w:t>1.1</w:t>
      </w:r>
      <w:r>
        <w:rPr>
          <w:sz w:val="20"/>
          <w:szCs w:val="20"/>
          <w:color w:val="auto"/>
        </w:rPr>
        <w:tab/>
      </w:r>
      <w:r>
        <w:rPr>
          <w:rFonts w:ascii="Arial" w:cs="Arial" w:eastAsia="Arial" w:hAnsi="Arial"/>
          <w:sz w:val="10"/>
          <w:szCs w:val="10"/>
          <w:b w:val="1"/>
          <w:bCs w:val="1"/>
          <w:color w:val="auto"/>
        </w:rPr>
        <w:t>Pre-condition</w:t>
      </w:r>
    </w:p>
    <w:p>
      <w:pPr>
        <w:ind w:left="404"/>
        <w:spacing w:after="0" w:line="227" w:lineRule="auto"/>
        <w:rPr>
          <w:sz w:val="20"/>
          <w:szCs w:val="20"/>
          <w:color w:val="auto"/>
        </w:rPr>
      </w:pPr>
      <w:r>
        <w:rPr>
          <w:rFonts w:ascii="Arial" w:cs="Arial" w:eastAsia="Arial" w:hAnsi="Arial"/>
          <w:sz w:val="11"/>
          <w:szCs w:val="11"/>
          <w:color w:val="auto"/>
        </w:rPr>
        <w:t>The obligations of Westpac NZ under this Agreement are subject to the condition precedent that it must have received all of the following in form and substance satisfactory to it:</w:t>
      </w:r>
    </w:p>
    <w:p>
      <w:pPr>
        <w:ind w:left="484" w:hanging="484"/>
        <w:spacing w:after="0" w:line="222" w:lineRule="auto"/>
        <w:tabs>
          <w:tab w:leader="none" w:pos="484" w:val="left"/>
        </w:tabs>
        <w:numPr>
          <w:ilvl w:val="0"/>
          <w:numId w:val="86"/>
        </w:numPr>
        <w:rPr>
          <w:rFonts w:ascii="Arial" w:cs="Arial" w:eastAsia="Arial" w:hAnsi="Arial"/>
          <w:sz w:val="11"/>
          <w:szCs w:val="11"/>
          <w:color w:val="auto"/>
        </w:rPr>
      </w:pPr>
      <w:r>
        <w:rPr>
          <w:rFonts w:ascii="Arial" w:cs="Arial" w:eastAsia="Arial" w:hAnsi="Arial"/>
          <w:sz w:val="11"/>
          <w:szCs w:val="11"/>
          <w:color w:val="auto"/>
        </w:rPr>
        <w:t>the original of this Agreement duly executed by the Borrower;</w:t>
      </w:r>
    </w:p>
    <w:p>
      <w:pPr>
        <w:ind w:left="784" w:hanging="387"/>
        <w:spacing w:after="0" w:line="222" w:lineRule="auto"/>
        <w:tabs>
          <w:tab w:leader="none" w:pos="784" w:val="left"/>
        </w:tabs>
        <w:numPr>
          <w:ilvl w:val="1"/>
          <w:numId w:val="87"/>
        </w:numPr>
        <w:rPr>
          <w:rFonts w:ascii="Arial" w:cs="Arial" w:eastAsia="Arial" w:hAnsi="Arial"/>
          <w:sz w:val="11"/>
          <w:szCs w:val="11"/>
          <w:color w:val="auto"/>
        </w:rPr>
      </w:pPr>
      <w:r>
        <w:rPr>
          <w:rFonts w:ascii="Arial" w:cs="Arial" w:eastAsia="Arial" w:hAnsi="Arial"/>
          <w:sz w:val="11"/>
          <w:szCs w:val="11"/>
          <w:color w:val="auto"/>
        </w:rPr>
        <w:t>a certificate from a director of the Borrower in the form set out in the first schedule;</w:t>
      </w:r>
    </w:p>
    <w:p>
      <w:pPr>
        <w:ind w:left="364" w:right="360" w:hanging="364"/>
        <w:spacing w:after="0" w:line="222" w:lineRule="auto"/>
        <w:tabs>
          <w:tab w:leader="none" w:pos="364" w:val="left"/>
        </w:tabs>
        <w:numPr>
          <w:ilvl w:val="0"/>
          <w:numId w:val="88"/>
        </w:numPr>
        <w:rPr>
          <w:rFonts w:ascii="Arial" w:cs="Arial" w:eastAsia="Arial" w:hAnsi="Arial"/>
          <w:sz w:val="11"/>
          <w:szCs w:val="11"/>
          <w:color w:val="auto"/>
        </w:rPr>
      </w:pPr>
      <w:r>
        <w:rPr>
          <w:rFonts w:ascii="Arial" w:cs="Arial" w:eastAsia="Arial" w:hAnsi="Arial"/>
          <w:sz w:val="11"/>
          <w:szCs w:val="11"/>
          <w:color w:val="auto"/>
        </w:rPr>
        <w:t>the Security (where necessary duly registered), the other Bank Documents and any ancillary documentation as may have been notified to the Borrower by Westpac NZ or its solicitors as being related to this Agreement, the Loan, the Security and/or the other Bank Documents;</w:t>
      </w:r>
    </w:p>
    <w:p>
      <w:pPr>
        <w:ind w:left="784" w:hanging="387"/>
        <w:spacing w:after="0" w:line="222" w:lineRule="auto"/>
        <w:tabs>
          <w:tab w:leader="none" w:pos="784" w:val="left"/>
        </w:tabs>
        <w:numPr>
          <w:ilvl w:val="1"/>
          <w:numId w:val="88"/>
        </w:numPr>
        <w:rPr>
          <w:rFonts w:ascii="Arial" w:cs="Arial" w:eastAsia="Arial" w:hAnsi="Arial"/>
          <w:sz w:val="11"/>
          <w:szCs w:val="11"/>
          <w:color w:val="auto"/>
        </w:rPr>
      </w:pPr>
      <w:r>
        <w:rPr>
          <w:rFonts w:ascii="Arial" w:cs="Arial" w:eastAsia="Arial" w:hAnsi="Arial"/>
          <w:sz w:val="11"/>
          <w:szCs w:val="11"/>
          <w:color w:val="auto"/>
        </w:rPr>
        <w:t>evidence of registration of any financing statement in respect of the Security; and</w:t>
      </w:r>
    </w:p>
    <w:p>
      <w:pPr>
        <w:ind w:left="724" w:hanging="327"/>
        <w:spacing w:after="0"/>
        <w:tabs>
          <w:tab w:leader="none" w:pos="724" w:val="left"/>
        </w:tabs>
        <w:numPr>
          <w:ilvl w:val="1"/>
          <w:numId w:val="88"/>
        </w:numPr>
        <w:rPr>
          <w:rFonts w:ascii="Arial" w:cs="Arial" w:eastAsia="Arial" w:hAnsi="Arial"/>
          <w:sz w:val="11"/>
          <w:szCs w:val="11"/>
          <w:color w:val="auto"/>
        </w:rPr>
      </w:pPr>
      <w:r>
        <w:rPr>
          <w:rFonts w:ascii="Arial" w:cs="Arial" w:eastAsia="Arial" w:hAnsi="Arial"/>
          <w:sz w:val="11"/>
          <w:szCs w:val="11"/>
          <w:color w:val="auto"/>
        </w:rPr>
        <w:t>any other documents or evidence (including legal opinions) as Westpac NZ or its solicitors may require.</w:t>
      </w:r>
    </w:p>
    <w:p>
      <w:pPr>
        <w:spacing w:after="0" w:line="114" w:lineRule="exact"/>
        <w:rPr>
          <w:sz w:val="20"/>
          <w:szCs w:val="20"/>
          <w:color w:val="auto"/>
        </w:rPr>
      </w:pPr>
    </w:p>
    <w:p>
      <w:pPr>
        <w:ind w:left="4"/>
        <w:spacing w:after="0"/>
        <w:tabs>
          <w:tab w:leader="none" w:pos="983" w:val="left"/>
        </w:tabs>
        <w:rPr>
          <w:sz w:val="20"/>
          <w:szCs w:val="20"/>
          <w:color w:val="auto"/>
        </w:rPr>
      </w:pPr>
      <w:r>
        <w:rPr>
          <w:rFonts w:ascii="Arial" w:cs="Arial" w:eastAsia="Arial" w:hAnsi="Arial"/>
          <w:sz w:val="11"/>
          <w:szCs w:val="11"/>
          <w:b w:val="1"/>
          <w:bCs w:val="1"/>
          <w:color w:val="auto"/>
        </w:rPr>
        <w:t>1.2</w:t>
      </w:r>
      <w:r>
        <w:rPr>
          <w:sz w:val="20"/>
          <w:szCs w:val="20"/>
          <w:color w:val="auto"/>
        </w:rPr>
        <w:tab/>
      </w:r>
      <w:r>
        <w:rPr>
          <w:rFonts w:ascii="Arial" w:cs="Arial" w:eastAsia="Arial" w:hAnsi="Arial"/>
          <w:sz w:val="10"/>
          <w:szCs w:val="10"/>
          <w:b w:val="1"/>
          <w:bCs w:val="1"/>
          <w:color w:val="auto"/>
        </w:rPr>
        <w:t>Failure to Satisfy Pre-condition</w:t>
      </w:r>
    </w:p>
    <w:p>
      <w:pPr>
        <w:spacing w:after="0" w:line="3" w:lineRule="exact"/>
        <w:rPr>
          <w:sz w:val="20"/>
          <w:szCs w:val="20"/>
          <w:color w:val="auto"/>
        </w:rPr>
      </w:pPr>
    </w:p>
    <w:p>
      <w:pPr>
        <w:ind w:left="404"/>
        <w:spacing w:after="0"/>
        <w:rPr>
          <w:sz w:val="20"/>
          <w:szCs w:val="20"/>
          <w:color w:val="auto"/>
        </w:rPr>
      </w:pPr>
      <w:r>
        <w:rPr>
          <w:rFonts w:ascii="Arial" w:cs="Arial" w:eastAsia="Arial" w:hAnsi="Arial"/>
          <w:sz w:val="11"/>
          <w:szCs w:val="11"/>
          <w:color w:val="auto"/>
        </w:rPr>
        <w:t>If the condition contained in clause 1.1 is not satisfied or waived before 30 June 2015 then Westpac NZ may terminate this Agreement whereupon it shall have no further liability or obligation to the Borrower.</w:t>
      </w:r>
    </w:p>
    <w:p>
      <w:pPr>
        <w:spacing w:after="0" w:line="231" w:lineRule="exact"/>
        <w:rPr>
          <w:sz w:val="20"/>
          <w:szCs w:val="20"/>
          <w:color w:val="auto"/>
        </w:rPr>
      </w:pPr>
    </w:p>
    <w:p>
      <w:pPr>
        <w:ind w:left="1144" w:hanging="1144"/>
        <w:spacing w:after="0"/>
        <w:tabs>
          <w:tab w:leader="none" w:pos="1144" w:val="left"/>
        </w:tabs>
        <w:numPr>
          <w:ilvl w:val="0"/>
          <w:numId w:val="89"/>
        </w:numPr>
        <w:rPr>
          <w:rFonts w:ascii="Arial" w:cs="Arial" w:eastAsia="Arial" w:hAnsi="Arial"/>
          <w:sz w:val="11"/>
          <w:szCs w:val="11"/>
          <w:b w:val="1"/>
          <w:bCs w:val="1"/>
          <w:color w:val="auto"/>
        </w:rPr>
      </w:pPr>
      <w:r>
        <w:rPr>
          <w:rFonts w:ascii="Arial" w:cs="Arial" w:eastAsia="Arial" w:hAnsi="Arial"/>
          <w:sz w:val="11"/>
          <w:szCs w:val="11"/>
          <w:b w:val="1"/>
          <w:bCs w:val="1"/>
          <w:color w:val="auto"/>
        </w:rPr>
        <w:t>availability of loan</w:t>
      </w:r>
    </w:p>
    <w:p>
      <w:pPr>
        <w:spacing w:after="0" w:line="261" w:lineRule="exact"/>
        <w:rPr>
          <w:sz w:val="20"/>
          <w:szCs w:val="20"/>
          <w:color w:val="auto"/>
        </w:rPr>
      </w:pPr>
    </w:p>
    <w:p>
      <w:pPr>
        <w:ind w:left="4"/>
        <w:spacing w:after="0"/>
        <w:tabs>
          <w:tab w:leader="none" w:pos="3943" w:val="left"/>
        </w:tabs>
        <w:rPr>
          <w:sz w:val="20"/>
          <w:szCs w:val="20"/>
          <w:color w:val="auto"/>
        </w:rPr>
      </w:pPr>
      <w:r>
        <w:rPr>
          <w:rFonts w:ascii="Arial" w:cs="Arial" w:eastAsia="Arial" w:hAnsi="Arial"/>
          <w:sz w:val="11"/>
          <w:szCs w:val="11"/>
          <w:b w:val="1"/>
          <w:bCs w:val="1"/>
          <w:color w:val="auto"/>
        </w:rPr>
        <w:t>2.1</w:t>
      </w:r>
      <w:r>
        <w:rPr>
          <w:sz w:val="20"/>
          <w:szCs w:val="20"/>
          <w:color w:val="auto"/>
        </w:rPr>
        <w:tab/>
      </w:r>
      <w:r>
        <w:rPr>
          <w:rFonts w:ascii="Arial" w:cs="Arial" w:eastAsia="Arial" w:hAnsi="Arial"/>
          <w:sz w:val="10"/>
          <w:szCs w:val="10"/>
          <w:b w:val="1"/>
          <w:bCs w:val="1"/>
          <w:color w:val="auto"/>
        </w:rPr>
        <w:t>Loan</w:t>
      </w:r>
    </w:p>
    <w:p>
      <w:pPr>
        <w:ind w:left="404"/>
        <w:spacing w:after="0" w:line="227" w:lineRule="auto"/>
        <w:rPr>
          <w:sz w:val="20"/>
          <w:szCs w:val="20"/>
          <w:color w:val="auto"/>
        </w:rPr>
      </w:pPr>
      <w:r>
        <w:rPr>
          <w:rFonts w:ascii="Arial" w:cs="Arial" w:eastAsia="Arial" w:hAnsi="Arial"/>
          <w:sz w:val="11"/>
          <w:szCs w:val="11"/>
          <w:color w:val="auto"/>
        </w:rPr>
        <w:t>Westpac NZ will make the first Advance available to the Borrower during the Availability Period, and will then make the rest of the Loan available to the Borrower, provided that:</w:t>
      </w:r>
    </w:p>
    <w:p>
      <w:pPr>
        <w:ind w:left="444" w:hanging="444"/>
        <w:spacing w:after="0" w:line="222" w:lineRule="auto"/>
        <w:tabs>
          <w:tab w:leader="none" w:pos="444" w:val="left"/>
        </w:tabs>
        <w:numPr>
          <w:ilvl w:val="0"/>
          <w:numId w:val="90"/>
        </w:numPr>
        <w:rPr>
          <w:rFonts w:ascii="Arial" w:cs="Arial" w:eastAsia="Arial" w:hAnsi="Arial"/>
          <w:sz w:val="11"/>
          <w:szCs w:val="11"/>
          <w:color w:val="auto"/>
        </w:rPr>
      </w:pPr>
      <w:r>
        <w:rPr>
          <w:rFonts w:ascii="Arial" w:cs="Arial" w:eastAsia="Arial" w:hAnsi="Arial"/>
          <w:sz w:val="11"/>
          <w:szCs w:val="11"/>
          <w:color w:val="auto"/>
        </w:rPr>
        <w:t>the Borrower has complied with the relevant drawdown procedure;</w:t>
      </w:r>
    </w:p>
    <w:p>
      <w:pPr>
        <w:ind w:left="504" w:hanging="504"/>
        <w:spacing w:after="0" w:line="222" w:lineRule="auto"/>
        <w:tabs>
          <w:tab w:leader="none" w:pos="504" w:val="left"/>
        </w:tabs>
        <w:numPr>
          <w:ilvl w:val="0"/>
          <w:numId w:val="90"/>
        </w:numPr>
        <w:rPr>
          <w:rFonts w:ascii="Arial" w:cs="Arial" w:eastAsia="Arial" w:hAnsi="Arial"/>
          <w:sz w:val="11"/>
          <w:szCs w:val="11"/>
          <w:color w:val="auto"/>
        </w:rPr>
      </w:pPr>
      <w:r>
        <w:rPr>
          <w:rFonts w:ascii="Arial" w:cs="Arial" w:eastAsia="Arial" w:hAnsi="Arial"/>
          <w:sz w:val="11"/>
          <w:szCs w:val="11"/>
          <w:color w:val="auto"/>
        </w:rPr>
        <w:t>no Event of Default or Potential Event of Default has occurred and is continuing or will occur as a result of the making of the Loan;</w:t>
      </w:r>
    </w:p>
    <w:p>
      <w:pPr>
        <w:ind w:left="364" w:hanging="364"/>
        <w:spacing w:after="0" w:line="222" w:lineRule="auto"/>
        <w:tabs>
          <w:tab w:leader="none" w:pos="364" w:val="left"/>
        </w:tabs>
        <w:numPr>
          <w:ilvl w:val="0"/>
          <w:numId w:val="90"/>
        </w:numPr>
        <w:rPr>
          <w:rFonts w:ascii="Arial" w:cs="Arial" w:eastAsia="Arial" w:hAnsi="Arial"/>
          <w:sz w:val="11"/>
          <w:szCs w:val="11"/>
          <w:color w:val="auto"/>
        </w:rPr>
      </w:pPr>
      <w:r>
        <w:rPr>
          <w:rFonts w:ascii="Arial" w:cs="Arial" w:eastAsia="Arial" w:hAnsi="Arial"/>
          <w:sz w:val="11"/>
          <w:szCs w:val="11"/>
          <w:color w:val="auto"/>
        </w:rPr>
        <w:t>the First Tranche is utilised to repay the Borrower's existing indebtedness with Westpac NZ (account no. 03- 0104-0786183-91) and any surplus may be utilised for the Borrower's general requirements and CAPEX funding and the first drawdown must occur prior to 30 June 2015;</w:t>
      </w:r>
    </w:p>
    <w:p>
      <w:pPr>
        <w:ind w:left="764" w:hanging="367"/>
        <w:spacing w:after="0" w:line="222" w:lineRule="auto"/>
        <w:tabs>
          <w:tab w:leader="none" w:pos="764" w:val="left"/>
        </w:tabs>
        <w:numPr>
          <w:ilvl w:val="1"/>
          <w:numId w:val="91"/>
        </w:numPr>
        <w:rPr>
          <w:rFonts w:ascii="Arial" w:cs="Arial" w:eastAsia="Arial" w:hAnsi="Arial"/>
          <w:sz w:val="11"/>
          <w:szCs w:val="11"/>
          <w:color w:val="auto"/>
        </w:rPr>
      </w:pPr>
      <w:r>
        <w:rPr>
          <w:rFonts w:ascii="Arial" w:cs="Arial" w:eastAsia="Arial" w:hAnsi="Arial"/>
          <w:sz w:val="11"/>
          <w:szCs w:val="11"/>
          <w:color w:val="auto"/>
        </w:rPr>
        <w:t>the Second Tranche is utilised to assist the Borrower in completing the Development;</w:t>
      </w:r>
    </w:p>
    <w:p>
      <w:pPr>
        <w:ind w:left="364" w:right="120" w:hanging="364"/>
        <w:spacing w:after="0" w:line="234" w:lineRule="auto"/>
        <w:tabs>
          <w:tab w:leader="none" w:pos="364" w:val="left"/>
        </w:tabs>
        <w:numPr>
          <w:ilvl w:val="0"/>
          <w:numId w:val="92"/>
        </w:numPr>
        <w:rPr>
          <w:rFonts w:ascii="Arial" w:cs="Arial" w:eastAsia="Arial" w:hAnsi="Arial"/>
          <w:sz w:val="11"/>
          <w:szCs w:val="11"/>
          <w:color w:val="auto"/>
        </w:rPr>
      </w:pPr>
      <w:r>
        <w:rPr>
          <w:rFonts w:ascii="Arial" w:cs="Arial" w:eastAsia="Arial" w:hAnsi="Arial"/>
          <w:sz w:val="11"/>
          <w:szCs w:val="11"/>
          <w:color w:val="auto"/>
        </w:rPr>
        <w:t>prior to the first drawdown under the Second Tranche being made available, the special conditions contained in the Letter of Offer for Advances of the Second Tranche must have been satisfied in Westpac NZ's absolute discretion.</w:t>
      </w:r>
    </w:p>
    <w:p>
      <w:pPr>
        <w:spacing w:after="0" w:line="111" w:lineRule="exact"/>
        <w:rPr>
          <w:sz w:val="20"/>
          <w:szCs w:val="20"/>
          <w:color w:val="auto"/>
        </w:rPr>
      </w:pPr>
    </w:p>
    <w:p>
      <w:pPr>
        <w:ind w:left="4"/>
        <w:spacing w:after="0"/>
        <w:tabs>
          <w:tab w:leader="none" w:pos="1423" w:val="left"/>
        </w:tabs>
        <w:rPr>
          <w:sz w:val="20"/>
          <w:szCs w:val="20"/>
          <w:color w:val="auto"/>
        </w:rPr>
      </w:pPr>
      <w:r>
        <w:rPr>
          <w:rFonts w:ascii="Arial" w:cs="Arial" w:eastAsia="Arial" w:hAnsi="Arial"/>
          <w:sz w:val="11"/>
          <w:szCs w:val="11"/>
          <w:b w:val="1"/>
          <w:bCs w:val="1"/>
          <w:color w:val="auto"/>
        </w:rPr>
        <w:t>2.2</w:t>
      </w:r>
      <w:r>
        <w:rPr>
          <w:sz w:val="20"/>
          <w:szCs w:val="20"/>
          <w:color w:val="auto"/>
        </w:rPr>
        <w:tab/>
      </w:r>
      <w:r>
        <w:rPr>
          <w:rFonts w:ascii="Arial" w:cs="Arial" w:eastAsia="Arial" w:hAnsi="Arial"/>
          <w:sz w:val="10"/>
          <w:szCs w:val="10"/>
          <w:b w:val="1"/>
          <w:bCs w:val="1"/>
          <w:color w:val="auto"/>
        </w:rPr>
        <w:t>Termination of Loan</w:t>
      </w:r>
    </w:p>
    <w:p>
      <w:pPr>
        <w:spacing w:after="0" w:line="2" w:lineRule="exact"/>
        <w:rPr>
          <w:sz w:val="20"/>
          <w:szCs w:val="20"/>
          <w:color w:val="auto"/>
        </w:rPr>
      </w:pPr>
    </w:p>
    <w:p>
      <w:pPr>
        <w:ind w:left="404"/>
        <w:spacing w:after="0"/>
        <w:rPr>
          <w:sz w:val="20"/>
          <w:szCs w:val="20"/>
          <w:color w:val="auto"/>
        </w:rPr>
      </w:pPr>
      <w:r>
        <w:rPr>
          <w:rFonts w:ascii="Arial" w:cs="Arial" w:eastAsia="Arial" w:hAnsi="Arial"/>
          <w:sz w:val="11"/>
          <w:szCs w:val="11"/>
          <w:color w:val="auto"/>
        </w:rPr>
        <w:t>On termination of the Loan:</w:t>
      </w:r>
    </w:p>
    <w:p>
      <w:pPr>
        <w:ind w:left="424" w:hanging="424"/>
        <w:spacing w:after="0" w:line="222" w:lineRule="auto"/>
        <w:tabs>
          <w:tab w:leader="none" w:pos="424" w:val="left"/>
        </w:tabs>
        <w:numPr>
          <w:ilvl w:val="0"/>
          <w:numId w:val="93"/>
        </w:numPr>
        <w:rPr>
          <w:rFonts w:ascii="Arial" w:cs="Arial" w:eastAsia="Arial" w:hAnsi="Arial"/>
          <w:sz w:val="11"/>
          <w:szCs w:val="11"/>
          <w:color w:val="auto"/>
        </w:rPr>
      </w:pPr>
      <w:r>
        <w:rPr>
          <w:rFonts w:ascii="Arial" w:cs="Arial" w:eastAsia="Arial" w:hAnsi="Arial"/>
          <w:sz w:val="11"/>
          <w:szCs w:val="11"/>
          <w:color w:val="auto"/>
        </w:rPr>
        <w:t>Westpac NZ's obligations to make the Loan available will terminate; and</w:t>
      </w:r>
    </w:p>
    <w:p>
      <w:pPr>
        <w:ind w:left="424" w:hanging="424"/>
        <w:spacing w:after="0" w:line="222" w:lineRule="auto"/>
        <w:tabs>
          <w:tab w:leader="none" w:pos="424" w:val="left"/>
        </w:tabs>
        <w:numPr>
          <w:ilvl w:val="0"/>
          <w:numId w:val="93"/>
        </w:numPr>
        <w:rPr>
          <w:rFonts w:ascii="Arial" w:cs="Arial" w:eastAsia="Arial" w:hAnsi="Arial"/>
          <w:sz w:val="11"/>
          <w:szCs w:val="11"/>
          <w:color w:val="auto"/>
        </w:rPr>
      </w:pPr>
      <w:r>
        <w:rPr>
          <w:rFonts w:ascii="Arial" w:cs="Arial" w:eastAsia="Arial" w:hAnsi="Arial"/>
          <w:sz w:val="11"/>
          <w:szCs w:val="11"/>
          <w:color w:val="auto"/>
        </w:rPr>
        <w:t>the Borrower must immediately pay or repay to Westpac NZ all Outstanding Moneys (notwithstanding that the due date for repayment has not otherwise occurred); and</w:t>
      </w:r>
    </w:p>
    <w:p>
      <w:pPr>
        <w:ind w:left="824" w:hanging="427"/>
        <w:spacing w:after="0"/>
        <w:tabs>
          <w:tab w:leader="none" w:pos="824" w:val="left"/>
        </w:tabs>
        <w:numPr>
          <w:ilvl w:val="1"/>
          <w:numId w:val="93"/>
        </w:numPr>
        <w:rPr>
          <w:rFonts w:ascii="Arial" w:cs="Arial" w:eastAsia="Arial" w:hAnsi="Arial"/>
          <w:sz w:val="11"/>
          <w:szCs w:val="11"/>
          <w:color w:val="auto"/>
        </w:rPr>
      </w:pPr>
      <w:r>
        <w:rPr>
          <w:rFonts w:ascii="Arial" w:cs="Arial" w:eastAsia="Arial" w:hAnsi="Arial"/>
          <w:sz w:val="11"/>
          <w:szCs w:val="11"/>
          <w:color w:val="auto"/>
        </w:rPr>
        <w:t>Westpac NZ will have no further obligations to the Borrower.</w:t>
      </w:r>
    </w:p>
    <w:p>
      <w:pPr>
        <w:spacing w:after="0" w:line="105" w:lineRule="exact"/>
        <w:rPr>
          <w:sz w:val="20"/>
          <w:szCs w:val="20"/>
          <w:color w:val="auto"/>
        </w:rPr>
      </w:pPr>
    </w:p>
    <w:p>
      <w:pPr>
        <w:ind w:left="4"/>
        <w:spacing w:after="0"/>
        <w:tabs>
          <w:tab w:leader="none" w:pos="1383" w:val="left"/>
        </w:tabs>
        <w:rPr>
          <w:sz w:val="20"/>
          <w:szCs w:val="20"/>
          <w:color w:val="auto"/>
        </w:rPr>
      </w:pPr>
      <w:r>
        <w:rPr>
          <w:rFonts w:ascii="Arial" w:cs="Arial" w:eastAsia="Arial" w:hAnsi="Arial"/>
          <w:sz w:val="11"/>
          <w:szCs w:val="11"/>
          <w:b w:val="1"/>
          <w:bCs w:val="1"/>
          <w:color w:val="auto"/>
        </w:rPr>
        <w:t>2.3</w:t>
      </w:r>
      <w:r>
        <w:rPr>
          <w:sz w:val="20"/>
          <w:szCs w:val="20"/>
          <w:color w:val="auto"/>
        </w:rPr>
        <w:tab/>
      </w:r>
      <w:r>
        <w:rPr>
          <w:rFonts w:ascii="Arial" w:cs="Arial" w:eastAsia="Arial" w:hAnsi="Arial"/>
          <w:sz w:val="10"/>
          <w:szCs w:val="10"/>
          <w:b w:val="1"/>
          <w:bCs w:val="1"/>
          <w:color w:val="auto"/>
        </w:rPr>
        <w:t>Effect of Termination</w:t>
      </w:r>
    </w:p>
    <w:p>
      <w:pPr>
        <w:spacing w:after="0" w:line="12" w:lineRule="exact"/>
        <w:rPr>
          <w:sz w:val="20"/>
          <w:szCs w:val="20"/>
          <w:color w:val="auto"/>
        </w:rPr>
      </w:pPr>
    </w:p>
    <w:p>
      <w:pPr>
        <w:ind w:left="404" w:right="380"/>
        <w:spacing w:after="0" w:line="234" w:lineRule="auto"/>
        <w:rPr>
          <w:sz w:val="20"/>
          <w:szCs w:val="20"/>
          <w:color w:val="auto"/>
        </w:rPr>
      </w:pPr>
      <w:r>
        <w:rPr>
          <w:rFonts w:ascii="Arial" w:cs="Arial" w:eastAsia="Arial" w:hAnsi="Arial"/>
          <w:sz w:val="11"/>
          <w:szCs w:val="11"/>
          <w:color w:val="auto"/>
        </w:rPr>
        <w:t>Termination of the Loan will not affect any of the Borrower's obligations to Westpac NZ under this Agreement including obligations under the indemnities in clause 12 or the Borrower's obligations under the Security, which will remain binding upon it until all Outstanding Moneys have been repaid in full.</w:t>
      </w:r>
    </w:p>
    <w:p>
      <w:pPr>
        <w:spacing w:after="0" w:line="219" w:lineRule="exact"/>
        <w:rPr>
          <w:sz w:val="20"/>
          <w:szCs w:val="20"/>
          <w:color w:val="auto"/>
        </w:rPr>
      </w:pPr>
    </w:p>
    <w:p>
      <w:pPr>
        <w:ind w:left="884" w:hanging="884"/>
        <w:spacing w:after="0"/>
        <w:tabs>
          <w:tab w:leader="none" w:pos="884" w:val="left"/>
        </w:tabs>
        <w:numPr>
          <w:ilvl w:val="0"/>
          <w:numId w:val="94"/>
        </w:numPr>
        <w:rPr>
          <w:rFonts w:ascii="Arial" w:cs="Arial" w:eastAsia="Arial" w:hAnsi="Arial"/>
          <w:sz w:val="11"/>
          <w:szCs w:val="11"/>
          <w:b w:val="1"/>
          <w:bCs w:val="1"/>
          <w:color w:val="auto"/>
        </w:rPr>
      </w:pPr>
      <w:r>
        <w:rPr>
          <w:rFonts w:ascii="Arial" w:cs="Arial" w:eastAsia="Arial" w:hAnsi="Arial"/>
          <w:sz w:val="11"/>
          <w:szCs w:val="11"/>
          <w:b w:val="1"/>
          <w:bCs w:val="1"/>
          <w:color w:val="auto"/>
        </w:rPr>
        <w:t>procedure for drawdown</w:t>
      </w:r>
    </w:p>
    <w:p>
      <w:pPr>
        <w:spacing w:after="0" w:line="264" w:lineRule="exact"/>
        <w:rPr>
          <w:sz w:val="20"/>
          <w:szCs w:val="20"/>
          <w:color w:val="auto"/>
        </w:rPr>
      </w:pPr>
    </w:p>
    <w:p>
      <w:pPr>
        <w:ind w:left="404" w:right="120"/>
        <w:spacing w:after="0" w:line="234" w:lineRule="auto"/>
        <w:rPr>
          <w:sz w:val="20"/>
          <w:szCs w:val="20"/>
          <w:color w:val="auto"/>
        </w:rPr>
      </w:pPr>
      <w:r>
        <w:rPr>
          <w:rFonts w:ascii="Arial" w:cs="Arial" w:eastAsia="Arial" w:hAnsi="Arial"/>
          <w:sz w:val="11"/>
          <w:szCs w:val="11"/>
          <w:color w:val="auto"/>
        </w:rPr>
        <w:t>Not later than 2 Banking Days prior to the Banking Day on which the Borrower requires to drawdown all or part of the Loan, the Borrower must deliver to Westpac NZ an unconditional and irrevocable drawdown notice in the form set out in the second schedule signed by an authorised signatory of the Borrower.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270510</wp:posOffset>
            </wp:positionV>
            <wp:extent cx="6768465"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768465" cy="42545"/>
                    </a:xfrm>
                    <a:prstGeom prst="rect">
                      <a:avLst/>
                    </a:prstGeom>
                    <a:noFill/>
                  </pic:spPr>
                </pic:pic>
              </a:graphicData>
            </a:graphic>
          </wp:anchor>
        </w:drawing>
      </w:r>
    </w:p>
    <w:p>
      <w:pPr>
        <w:sectPr>
          <w:pgSz w:w="11900" w:h="16838" w:orient="portrait"/>
          <w:cols w:equalWidth="0" w:num="1">
            <w:col w:w="10524"/>
          </w:cols>
          <w:pgMar w:left="656" w:top="132" w:right="719" w:bottom="1440" w:gutter="0" w:footer="0" w:header="0"/>
        </w:sectPr>
      </w:pPr>
    </w:p>
    <w:bookmarkStart w:id="160" w:name="page161"/>
    <w:bookmarkEnd w:id="160"/>
    <w:p>
      <w:pPr>
        <w:ind w:left="4"/>
        <w:spacing w:after="0"/>
        <w:tabs>
          <w:tab w:leader="none" w:pos="2223" w:val="left"/>
        </w:tabs>
        <w:rPr>
          <w:sz w:val="20"/>
          <w:szCs w:val="20"/>
          <w:color w:val="auto"/>
        </w:rPr>
      </w:pPr>
      <w:r>
        <w:rPr>
          <w:rFonts w:ascii="Arial" w:cs="Arial" w:eastAsia="Arial" w:hAnsi="Arial"/>
          <w:sz w:val="11"/>
          <w:szCs w:val="11"/>
          <w:b w:val="1"/>
          <w:bCs w:val="1"/>
          <w:color w:val="auto"/>
        </w:rPr>
        <w:t>4.</w:t>
      </w:r>
      <w:r>
        <w:rPr>
          <w:sz w:val="20"/>
          <w:szCs w:val="20"/>
          <w:color w:val="auto"/>
        </w:rPr>
        <w:tab/>
      </w:r>
      <w:r>
        <w:rPr>
          <w:rFonts w:ascii="Arial" w:cs="Arial" w:eastAsia="Arial" w:hAnsi="Arial"/>
          <w:sz w:val="11"/>
          <w:szCs w:val="11"/>
          <w:b w:val="1"/>
          <w:bCs w:val="1"/>
          <w:color w:val="auto"/>
        </w:rPr>
        <w:t>interest</w:t>
      </w:r>
    </w:p>
    <w:p>
      <w:pPr>
        <w:spacing w:after="0" w:line="261" w:lineRule="exact"/>
        <w:rPr>
          <w:sz w:val="20"/>
          <w:szCs w:val="20"/>
          <w:color w:val="auto"/>
        </w:rPr>
      </w:pPr>
    </w:p>
    <w:p>
      <w:pPr>
        <w:ind w:left="4"/>
        <w:spacing w:after="0"/>
        <w:tabs>
          <w:tab w:leader="none" w:pos="2703" w:val="left"/>
        </w:tabs>
        <w:rPr>
          <w:sz w:val="20"/>
          <w:szCs w:val="20"/>
          <w:color w:val="auto"/>
        </w:rPr>
      </w:pPr>
      <w:r>
        <w:rPr>
          <w:rFonts w:ascii="Arial" w:cs="Arial" w:eastAsia="Arial" w:hAnsi="Arial"/>
          <w:sz w:val="11"/>
          <w:szCs w:val="11"/>
          <w:b w:val="1"/>
          <w:bCs w:val="1"/>
          <w:color w:val="auto"/>
        </w:rPr>
        <w:t>4.1</w:t>
      </w:r>
      <w:r>
        <w:rPr>
          <w:sz w:val="20"/>
          <w:szCs w:val="20"/>
          <w:color w:val="auto"/>
        </w:rPr>
        <w:tab/>
      </w:r>
      <w:r>
        <w:rPr>
          <w:rFonts w:ascii="Arial" w:cs="Arial" w:eastAsia="Arial" w:hAnsi="Arial"/>
          <w:sz w:val="10"/>
          <w:szCs w:val="10"/>
          <w:b w:val="1"/>
          <w:bCs w:val="1"/>
          <w:color w:val="auto"/>
        </w:rPr>
        <w:t>Payment</w:t>
      </w:r>
    </w:p>
    <w:p>
      <w:pPr>
        <w:spacing w:after="0" w:line="12" w:lineRule="exact"/>
        <w:rPr>
          <w:sz w:val="20"/>
          <w:szCs w:val="20"/>
          <w:color w:val="auto"/>
        </w:rPr>
      </w:pPr>
    </w:p>
    <w:p>
      <w:pPr>
        <w:ind w:left="364" w:right="380" w:hanging="364"/>
        <w:spacing w:after="0" w:line="213" w:lineRule="auto"/>
        <w:tabs>
          <w:tab w:leader="none" w:pos="364" w:val="left"/>
        </w:tabs>
        <w:numPr>
          <w:ilvl w:val="0"/>
          <w:numId w:val="95"/>
        </w:numPr>
        <w:rPr>
          <w:rFonts w:ascii="Arial" w:cs="Arial" w:eastAsia="Arial" w:hAnsi="Arial"/>
          <w:sz w:val="11"/>
          <w:szCs w:val="11"/>
          <w:color w:val="auto"/>
        </w:rPr>
      </w:pPr>
      <w:r>
        <w:rPr>
          <w:rFonts w:ascii="Arial" w:cs="Arial" w:eastAsia="Arial" w:hAnsi="Arial"/>
          <w:sz w:val="11"/>
          <w:szCs w:val="11"/>
          <w:color w:val="auto"/>
        </w:rPr>
        <w:t>Interest on the Loan will be calculated at the Floating Rate or at the Fixed Rate (if it applies) on the basis of the actual number of days elapsed and a 365 day year, and will accrue from day to day from the Commencement Date until the Loan is repaid in full, and must be paid by consecutive monthly payments on each Interest Payment Date.</w:t>
      </w:r>
    </w:p>
    <w:p>
      <w:pPr>
        <w:ind w:left="364" w:right="180" w:hanging="364"/>
        <w:spacing w:after="0" w:line="234" w:lineRule="auto"/>
        <w:tabs>
          <w:tab w:leader="none" w:pos="364" w:val="left"/>
        </w:tabs>
        <w:numPr>
          <w:ilvl w:val="0"/>
          <w:numId w:val="95"/>
        </w:numPr>
        <w:rPr>
          <w:rFonts w:ascii="Arial" w:cs="Arial" w:eastAsia="Arial" w:hAnsi="Arial"/>
          <w:sz w:val="11"/>
          <w:szCs w:val="11"/>
          <w:color w:val="auto"/>
        </w:rPr>
      </w:pPr>
      <w:r>
        <w:rPr>
          <w:rFonts w:ascii="Arial" w:cs="Arial" w:eastAsia="Arial" w:hAnsi="Arial"/>
          <w:sz w:val="11"/>
          <w:szCs w:val="11"/>
          <w:color w:val="auto"/>
        </w:rPr>
        <w:t>The first interest payment on the Loan will be due and payable on the Interest Payment Date which immediately follows the Commencement Date. Each interest payment will be for the period beginning on the Commencement Date or the previous Interest Payment Date (as the case may be) and ending on (but excluding) the next Interest Payment Date.</w:t>
      </w:r>
    </w:p>
    <w:p>
      <w:pPr>
        <w:spacing w:after="0" w:line="111" w:lineRule="exact"/>
        <w:rPr>
          <w:sz w:val="20"/>
          <w:szCs w:val="20"/>
          <w:color w:val="auto"/>
        </w:rPr>
      </w:pPr>
    </w:p>
    <w:p>
      <w:pPr>
        <w:ind w:left="4"/>
        <w:spacing w:after="0"/>
        <w:tabs>
          <w:tab w:leader="none" w:pos="1083" w:val="left"/>
        </w:tabs>
        <w:rPr>
          <w:sz w:val="20"/>
          <w:szCs w:val="20"/>
          <w:color w:val="auto"/>
        </w:rPr>
      </w:pPr>
      <w:r>
        <w:rPr>
          <w:rFonts w:ascii="Arial" w:cs="Arial" w:eastAsia="Arial" w:hAnsi="Arial"/>
          <w:sz w:val="11"/>
          <w:szCs w:val="11"/>
          <w:b w:val="1"/>
          <w:bCs w:val="1"/>
          <w:color w:val="auto"/>
        </w:rPr>
        <w:t>4.2</w:t>
      </w:r>
      <w:r>
        <w:rPr>
          <w:sz w:val="20"/>
          <w:szCs w:val="20"/>
          <w:color w:val="auto"/>
        </w:rPr>
        <w:tab/>
      </w:r>
      <w:r>
        <w:rPr>
          <w:rFonts w:ascii="Arial" w:cs="Arial" w:eastAsia="Arial" w:hAnsi="Arial"/>
          <w:sz w:val="10"/>
          <w:szCs w:val="10"/>
          <w:b w:val="1"/>
          <w:bCs w:val="1"/>
          <w:color w:val="auto"/>
        </w:rPr>
        <w:t>Telephone Communications</w:t>
      </w:r>
    </w:p>
    <w:p>
      <w:pPr>
        <w:spacing w:after="0" w:line="2" w:lineRule="exact"/>
        <w:rPr>
          <w:sz w:val="20"/>
          <w:szCs w:val="20"/>
          <w:color w:val="auto"/>
        </w:rPr>
      </w:pPr>
    </w:p>
    <w:p>
      <w:pPr>
        <w:ind w:left="964" w:hanging="964"/>
        <w:spacing w:after="0"/>
        <w:tabs>
          <w:tab w:leader="none" w:pos="964" w:val="left"/>
        </w:tabs>
        <w:numPr>
          <w:ilvl w:val="0"/>
          <w:numId w:val="96"/>
        </w:numPr>
        <w:rPr>
          <w:rFonts w:ascii="Arial" w:cs="Arial" w:eastAsia="Arial" w:hAnsi="Arial"/>
          <w:sz w:val="11"/>
          <w:szCs w:val="11"/>
          <w:b w:val="1"/>
          <w:bCs w:val="1"/>
          <w:color w:val="auto"/>
        </w:rPr>
      </w:pPr>
      <w:r>
        <w:rPr>
          <w:rFonts w:ascii="Arial" w:cs="Arial" w:eastAsia="Arial" w:hAnsi="Arial"/>
          <w:sz w:val="11"/>
          <w:szCs w:val="11"/>
          <w:b w:val="1"/>
          <w:bCs w:val="1"/>
          <w:color w:val="auto"/>
        </w:rPr>
        <w:t>validity of instructions</w:t>
      </w:r>
    </w:p>
    <w:p>
      <w:pPr>
        <w:ind w:left="744" w:right="80"/>
        <w:spacing w:after="0" w:line="234" w:lineRule="auto"/>
        <w:rPr>
          <w:sz w:val="20"/>
          <w:szCs w:val="20"/>
          <w:color w:val="auto"/>
        </w:rPr>
      </w:pPr>
      <w:r>
        <w:rPr>
          <w:rFonts w:ascii="Arial" w:cs="Arial" w:eastAsia="Arial" w:hAnsi="Arial"/>
          <w:sz w:val="11"/>
          <w:szCs w:val="11"/>
          <w:color w:val="auto"/>
        </w:rPr>
        <w:t>Westpac NZ will be under no obligation to enquire as to the validity of any telephone instructions or acceptance which it receives or to require any evidence as to the authenticity, validity or legality of any telephone advice received or as to the authority of the person giving the telephone advice to act on behalf of the Borrower.</w:t>
      </w:r>
    </w:p>
    <w:p>
      <w:pPr>
        <w:spacing w:after="0" w:line="102" w:lineRule="exact"/>
        <w:rPr>
          <w:sz w:val="20"/>
          <w:szCs w:val="20"/>
          <w:color w:val="auto"/>
        </w:rPr>
      </w:pPr>
    </w:p>
    <w:p>
      <w:pPr>
        <w:ind w:left="1044" w:hanging="1044"/>
        <w:spacing w:after="0"/>
        <w:tabs>
          <w:tab w:leader="none" w:pos="1044" w:val="left"/>
        </w:tabs>
        <w:numPr>
          <w:ilvl w:val="0"/>
          <w:numId w:val="97"/>
        </w:numPr>
        <w:rPr>
          <w:rFonts w:ascii="Arial" w:cs="Arial" w:eastAsia="Arial" w:hAnsi="Arial"/>
          <w:sz w:val="11"/>
          <w:szCs w:val="11"/>
          <w:b w:val="1"/>
          <w:bCs w:val="1"/>
          <w:color w:val="auto"/>
        </w:rPr>
      </w:pPr>
      <w:r>
        <w:rPr>
          <w:rFonts w:ascii="Arial" w:cs="Arial" w:eastAsia="Arial" w:hAnsi="Arial"/>
          <w:sz w:val="11"/>
          <w:szCs w:val="11"/>
          <w:b w:val="1"/>
          <w:bCs w:val="1"/>
          <w:color w:val="auto"/>
        </w:rPr>
        <w:t>authority to tape calls</w:t>
      </w:r>
    </w:p>
    <w:p>
      <w:pPr>
        <w:spacing w:after="0" w:line="3" w:lineRule="exact"/>
        <w:rPr>
          <w:sz w:val="20"/>
          <w:szCs w:val="20"/>
          <w:color w:val="auto"/>
        </w:rPr>
      </w:pPr>
    </w:p>
    <w:p>
      <w:pPr>
        <w:ind w:left="744" w:right="300"/>
        <w:spacing w:after="0" w:line="234" w:lineRule="auto"/>
        <w:rPr>
          <w:sz w:val="20"/>
          <w:szCs w:val="20"/>
          <w:color w:val="auto"/>
        </w:rPr>
      </w:pPr>
      <w:r>
        <w:rPr>
          <w:rFonts w:ascii="Arial" w:cs="Arial" w:eastAsia="Arial" w:hAnsi="Arial"/>
          <w:sz w:val="11"/>
          <w:szCs w:val="11"/>
          <w:color w:val="auto"/>
        </w:rPr>
        <w:t>The Borrower acknowledges that Westpac NZ may from time to time keep tape recordings of telephone conversations between Westpac NZ and the Borrower and consents to the recording of those telephone conversations.</w:t>
      </w:r>
    </w:p>
    <w:p>
      <w:pPr>
        <w:spacing w:after="0" w:line="228" w:lineRule="exact"/>
        <w:rPr>
          <w:sz w:val="20"/>
          <w:szCs w:val="20"/>
          <w:color w:val="auto"/>
        </w:rPr>
      </w:pPr>
    </w:p>
    <w:p>
      <w:pPr>
        <w:ind w:left="684" w:hanging="684"/>
        <w:spacing w:after="0"/>
        <w:tabs>
          <w:tab w:leader="none" w:pos="684" w:val="left"/>
        </w:tabs>
        <w:numPr>
          <w:ilvl w:val="0"/>
          <w:numId w:val="98"/>
        </w:numPr>
        <w:rPr>
          <w:rFonts w:ascii="Arial" w:cs="Arial" w:eastAsia="Arial" w:hAnsi="Arial"/>
          <w:sz w:val="11"/>
          <w:szCs w:val="11"/>
          <w:b w:val="1"/>
          <w:bCs w:val="1"/>
          <w:color w:val="auto"/>
        </w:rPr>
      </w:pPr>
      <w:r>
        <w:rPr>
          <w:rFonts w:ascii="Arial" w:cs="Arial" w:eastAsia="Arial" w:hAnsi="Arial"/>
          <w:sz w:val="11"/>
          <w:szCs w:val="11"/>
          <w:b w:val="1"/>
          <w:bCs w:val="1"/>
          <w:color w:val="auto"/>
        </w:rPr>
        <w:t>repayment and prepayment of loan</w:t>
      </w:r>
    </w:p>
    <w:p>
      <w:pPr>
        <w:spacing w:after="0" w:line="261" w:lineRule="exact"/>
        <w:rPr>
          <w:sz w:val="20"/>
          <w:szCs w:val="20"/>
          <w:color w:val="auto"/>
        </w:rPr>
      </w:pPr>
    </w:p>
    <w:p>
      <w:pPr>
        <w:ind w:left="4"/>
        <w:spacing w:after="0"/>
        <w:tabs>
          <w:tab w:leader="none" w:pos="2243" w:val="left"/>
        </w:tabs>
        <w:rPr>
          <w:sz w:val="20"/>
          <w:szCs w:val="20"/>
          <w:color w:val="auto"/>
        </w:rPr>
      </w:pPr>
      <w:r>
        <w:rPr>
          <w:rFonts w:ascii="Arial" w:cs="Arial" w:eastAsia="Arial" w:hAnsi="Arial"/>
          <w:sz w:val="11"/>
          <w:szCs w:val="11"/>
          <w:b w:val="1"/>
          <w:bCs w:val="1"/>
          <w:color w:val="auto"/>
        </w:rPr>
        <w:t>5.1</w:t>
      </w:r>
      <w:r>
        <w:rPr>
          <w:sz w:val="20"/>
          <w:szCs w:val="20"/>
          <w:color w:val="auto"/>
        </w:rPr>
        <w:tab/>
      </w:r>
      <w:r>
        <w:rPr>
          <w:rFonts w:ascii="Arial" w:cs="Arial" w:eastAsia="Arial" w:hAnsi="Arial"/>
          <w:sz w:val="10"/>
          <w:szCs w:val="10"/>
          <w:b w:val="1"/>
          <w:bCs w:val="1"/>
          <w:color w:val="auto"/>
        </w:rPr>
        <w:t>Repayment</w:t>
      </w:r>
    </w:p>
    <w:p>
      <w:pPr>
        <w:spacing w:after="0" w:line="12" w:lineRule="exact"/>
        <w:rPr>
          <w:sz w:val="20"/>
          <w:szCs w:val="20"/>
          <w:color w:val="auto"/>
        </w:rPr>
      </w:pPr>
    </w:p>
    <w:p>
      <w:pPr>
        <w:ind w:left="404"/>
        <w:spacing w:after="0"/>
        <w:rPr>
          <w:sz w:val="20"/>
          <w:szCs w:val="20"/>
          <w:color w:val="auto"/>
        </w:rPr>
      </w:pPr>
      <w:r>
        <w:rPr>
          <w:rFonts w:ascii="Arial" w:cs="Arial" w:eastAsia="Arial" w:hAnsi="Arial"/>
          <w:sz w:val="11"/>
          <w:szCs w:val="11"/>
          <w:color w:val="auto"/>
        </w:rPr>
        <w:t>The Borrower must pay the Outstanding Moneys on the Termination Date.</w:t>
      </w:r>
    </w:p>
    <w:p>
      <w:pPr>
        <w:spacing w:after="0" w:line="114" w:lineRule="exact"/>
        <w:rPr>
          <w:sz w:val="20"/>
          <w:szCs w:val="20"/>
          <w:color w:val="auto"/>
        </w:rPr>
      </w:pPr>
    </w:p>
    <w:p>
      <w:pPr>
        <w:ind w:left="4"/>
        <w:spacing w:after="0"/>
        <w:tabs>
          <w:tab w:leader="none" w:pos="2143" w:val="left"/>
        </w:tabs>
        <w:rPr>
          <w:sz w:val="20"/>
          <w:szCs w:val="20"/>
          <w:color w:val="auto"/>
        </w:rPr>
      </w:pPr>
      <w:r>
        <w:rPr>
          <w:rFonts w:ascii="Arial" w:cs="Arial" w:eastAsia="Arial" w:hAnsi="Arial"/>
          <w:sz w:val="11"/>
          <w:szCs w:val="11"/>
          <w:b w:val="1"/>
          <w:bCs w:val="1"/>
          <w:color w:val="auto"/>
        </w:rPr>
        <w:t>5.2</w:t>
      </w:r>
      <w:r>
        <w:rPr>
          <w:sz w:val="20"/>
          <w:szCs w:val="20"/>
          <w:color w:val="auto"/>
        </w:rPr>
        <w:tab/>
      </w:r>
      <w:r>
        <w:rPr>
          <w:rFonts w:ascii="Arial" w:cs="Arial" w:eastAsia="Arial" w:hAnsi="Arial"/>
          <w:sz w:val="10"/>
          <w:szCs w:val="10"/>
          <w:b w:val="1"/>
          <w:bCs w:val="1"/>
          <w:color w:val="auto"/>
        </w:rPr>
        <w:t>Prepayment</w:t>
      </w:r>
    </w:p>
    <w:p>
      <w:pPr>
        <w:spacing w:after="0" w:line="12" w:lineRule="exact"/>
        <w:rPr>
          <w:sz w:val="20"/>
          <w:szCs w:val="20"/>
          <w:color w:val="auto"/>
        </w:rPr>
      </w:pPr>
    </w:p>
    <w:p>
      <w:pPr>
        <w:ind w:left="704" w:hanging="704"/>
        <w:spacing w:after="0"/>
        <w:tabs>
          <w:tab w:leader="none" w:pos="704" w:val="left"/>
        </w:tabs>
        <w:numPr>
          <w:ilvl w:val="0"/>
          <w:numId w:val="99"/>
        </w:numPr>
        <w:rPr>
          <w:rFonts w:ascii="Arial" w:cs="Arial" w:eastAsia="Arial" w:hAnsi="Arial"/>
          <w:sz w:val="11"/>
          <w:szCs w:val="11"/>
          <w:b w:val="1"/>
          <w:bCs w:val="1"/>
          <w:color w:val="auto"/>
        </w:rPr>
      </w:pPr>
      <w:r>
        <w:rPr>
          <w:rFonts w:ascii="Arial" w:cs="Arial" w:eastAsia="Arial" w:hAnsi="Arial"/>
          <w:sz w:val="11"/>
          <w:szCs w:val="11"/>
          <w:b w:val="1"/>
          <w:bCs w:val="1"/>
          <w:color w:val="auto"/>
        </w:rPr>
        <w:t>notice and prepayment multiples</w:t>
      </w:r>
    </w:p>
    <w:p>
      <w:pPr>
        <w:spacing w:after="0" w:line="108" w:lineRule="exact"/>
        <w:rPr>
          <w:sz w:val="20"/>
          <w:szCs w:val="20"/>
          <w:color w:val="auto"/>
        </w:rPr>
      </w:pPr>
    </w:p>
    <w:p>
      <w:pPr>
        <w:ind w:left="864" w:hanging="346"/>
        <w:spacing w:after="0"/>
        <w:tabs>
          <w:tab w:leader="none" w:pos="864" w:val="left"/>
        </w:tabs>
        <w:numPr>
          <w:ilvl w:val="0"/>
          <w:numId w:val="100"/>
        </w:numPr>
        <w:rPr>
          <w:rFonts w:ascii="Arial" w:cs="Arial" w:eastAsia="Arial" w:hAnsi="Arial"/>
          <w:sz w:val="11"/>
          <w:szCs w:val="11"/>
          <w:color w:val="auto"/>
        </w:rPr>
      </w:pPr>
      <w:r>
        <w:rPr>
          <w:rFonts w:ascii="Arial" w:cs="Arial" w:eastAsia="Arial" w:hAnsi="Arial"/>
          <w:sz w:val="11"/>
          <w:szCs w:val="11"/>
          <w:color w:val="auto"/>
        </w:rPr>
        <w:t>after giving Westpac NZ not less than 5 Banking Days irrevocable notice in writing of its intention to do so and then making payment on the specified date; and</w:t>
      </w:r>
    </w:p>
    <w:p>
      <w:pPr>
        <w:sectPr>
          <w:pgSz w:w="11900" w:h="16838" w:orient="portrait"/>
          <w:cols w:equalWidth="0" w:num="1">
            <w:col w:w="10464"/>
          </w:cols>
          <w:pgMar w:left="656" w:top="255" w:right="779" w:bottom="1440" w:gutter="0" w:footer="0" w:header="0"/>
        </w:sectPr>
      </w:pPr>
    </w:p>
    <w:p>
      <w:pPr>
        <w:ind w:left="464"/>
        <w:spacing w:after="0" w:line="228" w:lineRule="auto"/>
        <w:rPr>
          <w:sz w:val="20"/>
          <w:szCs w:val="20"/>
          <w:color w:val="auto"/>
        </w:rPr>
      </w:pPr>
      <w:r>
        <w:rPr>
          <w:rFonts w:ascii="Arial" w:cs="Arial" w:eastAsia="Arial" w:hAnsi="Arial"/>
          <w:sz w:val="11"/>
          <w:szCs w:val="11"/>
          <w:color w:val="auto"/>
        </w:rPr>
        <w:t>ii.</w:t>
      </w:r>
    </w:p>
    <w:p>
      <w:pPr>
        <w:spacing w:after="0" w:line="20" w:lineRule="exact"/>
        <w:rPr>
          <w:sz w:val="20"/>
          <w:szCs w:val="20"/>
          <w:color w:val="auto"/>
        </w:rPr>
      </w:pPr>
      <w:r>
        <w:rPr>
          <w:sz w:val="20"/>
          <w:szCs w:val="20"/>
          <w:color w:val="auto"/>
        </w:rPr>
        <w:br w:type="column"/>
      </w:r>
    </w:p>
    <w:p>
      <w:pPr>
        <w:spacing w:after="0" w:line="204" w:lineRule="auto"/>
        <w:rPr>
          <w:sz w:val="20"/>
          <w:szCs w:val="20"/>
          <w:color w:val="auto"/>
        </w:rPr>
      </w:pPr>
      <w:r>
        <w:rPr>
          <w:rFonts w:ascii="Arial" w:cs="Arial" w:eastAsia="Arial" w:hAnsi="Arial"/>
          <w:sz w:val="11"/>
          <w:szCs w:val="11"/>
          <w:color w:val="auto"/>
        </w:rPr>
        <w:t>in</w:t>
      </w:r>
    </w:p>
    <w:p>
      <w:pPr>
        <w:spacing w:after="0" w:line="222" w:lineRule="auto"/>
        <w:rPr>
          <w:sz w:val="20"/>
          <w:szCs w:val="20"/>
          <w:color w:val="auto"/>
        </w:rPr>
      </w:pPr>
      <w:r>
        <w:rPr>
          <w:rFonts w:ascii="Arial" w:cs="Arial" w:eastAsia="Arial" w:hAnsi="Arial"/>
          <w:sz w:val="11"/>
          <w:szCs w:val="11"/>
          <w:color w:val="auto"/>
        </w:rPr>
        <w:t>multiples</w:t>
      </w:r>
    </w:p>
    <w:p>
      <w:pPr>
        <w:spacing w:after="0" w:line="222" w:lineRule="auto"/>
        <w:rPr>
          <w:sz w:val="20"/>
          <w:szCs w:val="20"/>
          <w:color w:val="auto"/>
        </w:rPr>
      </w:pPr>
      <w:r>
        <w:rPr>
          <w:rFonts w:ascii="Arial" w:cs="Arial" w:eastAsia="Arial" w:hAnsi="Arial"/>
          <w:sz w:val="11"/>
          <w:szCs w:val="11"/>
          <w:color w:val="auto"/>
        </w:rPr>
        <w:t>of</w:t>
      </w:r>
    </w:p>
    <w:p>
      <w:pPr>
        <w:spacing w:after="0"/>
        <w:rPr>
          <w:sz w:val="20"/>
          <w:szCs w:val="20"/>
          <w:color w:val="auto"/>
        </w:rPr>
      </w:pPr>
      <w:r>
        <w:rPr>
          <w:rFonts w:ascii="Arial" w:cs="Arial" w:eastAsia="Arial" w:hAnsi="Arial"/>
          <w:sz w:val="11"/>
          <w:szCs w:val="11"/>
          <w:color w:val="auto"/>
        </w:rPr>
        <w:t>$10,000.</w:t>
      </w:r>
    </w:p>
    <w:p>
      <w:pPr>
        <w:spacing w:after="0" w:line="105" w:lineRule="exact"/>
        <w:rPr>
          <w:sz w:val="20"/>
          <w:szCs w:val="20"/>
          <w:color w:val="auto"/>
        </w:rPr>
      </w:pPr>
    </w:p>
    <w:p>
      <w:pPr>
        <w:sectPr>
          <w:pgSz w:w="11900" w:h="16838" w:orient="portrait"/>
          <w:cols w:equalWidth="0" w:num="2">
            <w:col w:w="8084" w:space="720"/>
            <w:col w:w="1660"/>
          </w:cols>
          <w:pgMar w:left="656" w:top="255" w:right="779" w:bottom="1440" w:gutter="0" w:footer="0" w:header="0"/>
          <w:type w:val="continuous"/>
        </w:sectPr>
      </w:pPr>
    </w:p>
    <w:p>
      <w:pPr>
        <w:ind w:left="4"/>
        <w:spacing w:after="0"/>
        <w:rPr>
          <w:sz w:val="20"/>
          <w:szCs w:val="20"/>
          <w:color w:val="auto"/>
        </w:rPr>
      </w:pPr>
      <w:r>
        <w:rPr>
          <w:rFonts w:ascii="Arial" w:cs="Arial" w:eastAsia="Arial" w:hAnsi="Arial"/>
          <w:sz w:val="10"/>
          <w:szCs w:val="10"/>
          <w:b w:val="1"/>
          <w:bCs w:val="1"/>
          <w:color w:val="auto"/>
        </w:rPr>
        <w:t>b)</w:t>
      </w:r>
    </w:p>
    <w:p>
      <w:pPr>
        <w:spacing w:after="0" w:line="20" w:lineRule="exact"/>
        <w:rPr>
          <w:sz w:val="20"/>
          <w:szCs w:val="20"/>
          <w:color w:val="auto"/>
        </w:rPr>
      </w:pPr>
      <w:r>
        <w:rPr>
          <w:sz w:val="20"/>
          <w:szCs w:val="20"/>
          <w:color w:val="auto"/>
        </w:rPr>
        <w:br w:type="column"/>
      </w:r>
    </w:p>
    <w:p>
      <w:pPr>
        <w:ind w:left="1900"/>
        <w:spacing w:after="0"/>
        <w:rPr>
          <w:sz w:val="20"/>
          <w:szCs w:val="20"/>
          <w:color w:val="auto"/>
        </w:rPr>
      </w:pPr>
      <w:r>
        <w:rPr>
          <w:rFonts w:ascii="Arial" w:cs="Arial" w:eastAsia="Arial" w:hAnsi="Arial"/>
          <w:sz w:val="11"/>
          <w:szCs w:val="11"/>
          <w:b w:val="1"/>
          <w:bCs w:val="1"/>
          <w:color w:val="auto"/>
        </w:rPr>
        <w:t>losses</w:t>
      </w:r>
    </w:p>
    <w:p>
      <w:pPr>
        <w:spacing w:after="0" w:line="3" w:lineRule="exact"/>
        <w:rPr>
          <w:sz w:val="20"/>
          <w:szCs w:val="20"/>
          <w:color w:val="auto"/>
        </w:rPr>
      </w:pPr>
    </w:p>
    <w:p>
      <w:pPr>
        <w:spacing w:after="0"/>
        <w:rPr>
          <w:sz w:val="20"/>
          <w:szCs w:val="20"/>
          <w:color w:val="auto"/>
        </w:rPr>
      </w:pPr>
      <w:r>
        <w:rPr>
          <w:rFonts w:ascii="Arial" w:cs="Arial" w:eastAsia="Arial" w:hAnsi="Arial"/>
          <w:sz w:val="10"/>
          <w:szCs w:val="10"/>
          <w:color w:val="auto"/>
        </w:rPr>
        <w:t>On any prepayment made other than at the end of a Floating Rate Period applying to the amount prepaid, the Borrower must at the time of prepayment pay to Westpac NZ any losses, costs, penalties and</w:t>
      </w:r>
    </w:p>
    <w:p>
      <w:pPr>
        <w:spacing w:after="0" w:line="2" w:lineRule="exact"/>
        <w:rPr>
          <w:sz w:val="20"/>
          <w:szCs w:val="20"/>
          <w:color w:val="auto"/>
        </w:rPr>
      </w:pPr>
    </w:p>
    <w:p>
      <w:pPr>
        <w:spacing w:after="0"/>
        <w:rPr>
          <w:sz w:val="20"/>
          <w:szCs w:val="20"/>
          <w:color w:val="auto"/>
        </w:rPr>
      </w:pPr>
      <w:r>
        <w:rPr>
          <w:rFonts w:ascii="Arial" w:cs="Arial" w:eastAsia="Arial" w:hAnsi="Arial"/>
          <w:sz w:val="11"/>
          <w:szCs w:val="11"/>
          <w:color w:val="auto"/>
        </w:rPr>
        <w:t>expenses certified by Westpac NZ to have been sustained or incurred as a consequence of the prepayment.</w:t>
      </w:r>
    </w:p>
    <w:p>
      <w:pPr>
        <w:spacing w:after="0" w:line="107" w:lineRule="exact"/>
        <w:rPr>
          <w:sz w:val="20"/>
          <w:szCs w:val="20"/>
          <w:color w:val="auto"/>
        </w:rPr>
      </w:pPr>
    </w:p>
    <w:p>
      <w:pPr>
        <w:sectPr>
          <w:pgSz w:w="11900" w:h="16838" w:orient="portrait"/>
          <w:cols w:equalWidth="0" w:num="2">
            <w:col w:w="104" w:space="640"/>
            <w:col w:w="9720"/>
          </w:cols>
          <w:pgMar w:left="656" w:top="255" w:right="779" w:bottom="1440" w:gutter="0" w:footer="0" w:header="0"/>
          <w:type w:val="continuous"/>
        </w:sectPr>
      </w:pPr>
    </w:p>
    <w:p>
      <w:pPr>
        <w:spacing w:after="0" w:line="7" w:lineRule="exact"/>
        <w:rPr>
          <w:sz w:val="20"/>
          <w:szCs w:val="20"/>
          <w:color w:val="auto"/>
        </w:rPr>
      </w:pPr>
    </w:p>
    <w:p>
      <w:pPr>
        <w:ind w:left="4"/>
        <w:spacing w:after="0"/>
        <w:rPr>
          <w:sz w:val="20"/>
          <w:szCs w:val="20"/>
          <w:color w:val="auto"/>
        </w:rPr>
      </w:pPr>
      <w:r>
        <w:rPr>
          <w:rFonts w:ascii="Arial" w:cs="Arial" w:eastAsia="Arial" w:hAnsi="Arial"/>
          <w:sz w:val="11"/>
          <w:szCs w:val="11"/>
          <w:b w:val="1"/>
          <w:bCs w:val="1"/>
          <w:color w:val="auto"/>
        </w:rPr>
        <w:t>c)</w:t>
      </w:r>
    </w:p>
    <w:p>
      <w:pPr>
        <w:spacing w:after="0" w:line="20" w:lineRule="exact"/>
        <w:rPr>
          <w:sz w:val="20"/>
          <w:szCs w:val="20"/>
          <w:color w:val="auto"/>
        </w:rPr>
      </w:pPr>
      <w:r>
        <w:rPr>
          <w:sz w:val="20"/>
          <w:szCs w:val="20"/>
          <w:color w:val="auto"/>
        </w:rPr>
        <w:br w:type="column"/>
      </w:r>
    </w:p>
    <w:p>
      <w:pPr>
        <w:ind w:left="560"/>
        <w:spacing w:after="0"/>
        <w:rPr>
          <w:sz w:val="20"/>
          <w:szCs w:val="20"/>
          <w:color w:val="auto"/>
        </w:rPr>
      </w:pPr>
      <w:r>
        <w:rPr>
          <w:rFonts w:ascii="Arial" w:cs="Arial" w:eastAsia="Arial" w:hAnsi="Arial"/>
          <w:sz w:val="11"/>
          <w:szCs w:val="11"/>
          <w:b w:val="1"/>
          <w:bCs w:val="1"/>
          <w:color w:val="auto"/>
        </w:rPr>
        <w:t>interest ceases</w:t>
      </w:r>
    </w:p>
    <w:p>
      <w:pPr>
        <w:spacing w:after="0"/>
        <w:rPr>
          <w:sz w:val="20"/>
          <w:szCs w:val="20"/>
          <w:color w:val="auto"/>
        </w:rPr>
      </w:pPr>
      <w:r>
        <w:rPr>
          <w:rFonts w:ascii="Arial" w:cs="Arial" w:eastAsia="Arial" w:hAnsi="Arial"/>
          <w:sz w:val="10"/>
          <w:szCs w:val="10"/>
          <w:color w:val="auto"/>
        </w:rPr>
        <w:t>Interest on any amount prepaid will cease to accrue from the date of the prepayment.</w:t>
      </w:r>
    </w:p>
    <w:p>
      <w:pPr>
        <w:spacing w:after="0" w:line="125" w:lineRule="exact"/>
        <w:rPr>
          <w:sz w:val="20"/>
          <w:szCs w:val="20"/>
          <w:color w:val="auto"/>
        </w:rPr>
      </w:pPr>
    </w:p>
    <w:p>
      <w:pPr>
        <w:sectPr>
          <w:pgSz w:w="11900" w:h="16838" w:orient="portrait"/>
          <w:cols w:equalWidth="0" w:num="2">
            <w:col w:w="104" w:space="640"/>
            <w:col w:w="9720"/>
          </w:cols>
          <w:pgMar w:left="656" w:top="255" w:right="779" w:bottom="1440" w:gutter="0" w:footer="0" w:header="0"/>
          <w:type w:val="continuous"/>
        </w:sectPr>
      </w:pPr>
    </w:p>
    <w:p>
      <w:pPr>
        <w:ind w:left="4"/>
        <w:spacing w:after="0"/>
        <w:rPr>
          <w:sz w:val="20"/>
          <w:szCs w:val="20"/>
          <w:color w:val="auto"/>
        </w:rPr>
      </w:pPr>
      <w:r>
        <w:rPr>
          <w:rFonts w:ascii="Arial" w:cs="Arial" w:eastAsia="Arial" w:hAnsi="Arial"/>
          <w:sz w:val="10"/>
          <w:szCs w:val="10"/>
          <w:b w:val="1"/>
          <w:bCs w:val="1"/>
          <w:color w:val="auto"/>
        </w:rPr>
        <w:t>d)</w:t>
      </w:r>
    </w:p>
    <w:p>
      <w:pPr>
        <w:spacing w:after="0" w:line="20" w:lineRule="exact"/>
        <w:rPr>
          <w:sz w:val="20"/>
          <w:szCs w:val="20"/>
          <w:color w:val="auto"/>
        </w:rPr>
      </w:pPr>
      <w:r>
        <w:rPr>
          <w:sz w:val="20"/>
          <w:szCs w:val="20"/>
          <w:color w:val="auto"/>
        </w:rPr>
        <w:br w:type="column"/>
      </w:r>
    </w:p>
    <w:p>
      <w:pPr>
        <w:ind w:left="1180"/>
        <w:spacing w:after="0"/>
        <w:rPr>
          <w:sz w:val="20"/>
          <w:szCs w:val="20"/>
          <w:color w:val="auto"/>
        </w:rPr>
      </w:pPr>
      <w:r>
        <w:rPr>
          <w:rFonts w:ascii="Arial" w:cs="Arial" w:eastAsia="Arial" w:hAnsi="Arial"/>
          <w:sz w:val="11"/>
          <w:szCs w:val="11"/>
          <w:b w:val="1"/>
          <w:bCs w:val="1"/>
          <w:color w:val="auto"/>
        </w:rPr>
        <w:t>redrawing</w:t>
      </w:r>
    </w:p>
    <w:p>
      <w:pPr>
        <w:spacing w:after="0" w:line="3" w:lineRule="exact"/>
        <w:rPr>
          <w:sz w:val="20"/>
          <w:szCs w:val="20"/>
          <w:color w:val="auto"/>
        </w:rPr>
      </w:pPr>
    </w:p>
    <w:p>
      <w:pPr>
        <w:spacing w:after="0"/>
        <w:rPr>
          <w:sz w:val="20"/>
          <w:szCs w:val="20"/>
          <w:color w:val="auto"/>
        </w:rPr>
      </w:pPr>
      <w:r>
        <w:rPr>
          <w:rFonts w:ascii="Arial" w:cs="Arial" w:eastAsia="Arial" w:hAnsi="Arial"/>
          <w:sz w:val="10"/>
          <w:szCs w:val="10"/>
          <w:color w:val="auto"/>
        </w:rPr>
        <w:t>Any amount prepaid will be available for redrawing.</w:t>
      </w:r>
    </w:p>
    <w:p>
      <w:pPr>
        <w:spacing w:after="0" w:line="116" w:lineRule="exact"/>
        <w:rPr>
          <w:sz w:val="20"/>
          <w:szCs w:val="20"/>
          <w:color w:val="auto"/>
        </w:rPr>
      </w:pPr>
    </w:p>
    <w:p>
      <w:pPr>
        <w:sectPr>
          <w:pgSz w:w="11900" w:h="16838" w:orient="portrait"/>
          <w:cols w:equalWidth="0" w:num="2">
            <w:col w:w="104" w:space="640"/>
            <w:col w:w="9720"/>
          </w:cols>
          <w:pgMar w:left="656" w:top="255" w:right="779" w:bottom="1440" w:gutter="0" w:footer="0" w:header="0"/>
          <w:type w:val="continuous"/>
        </w:sectPr>
      </w:pPr>
    </w:p>
    <w:p>
      <w:pPr>
        <w:ind w:left="4"/>
        <w:spacing w:after="0"/>
        <w:rPr>
          <w:sz w:val="20"/>
          <w:szCs w:val="20"/>
          <w:color w:val="auto"/>
        </w:rPr>
      </w:pPr>
      <w:r>
        <w:rPr>
          <w:rFonts w:ascii="Arial" w:cs="Arial" w:eastAsia="Arial" w:hAnsi="Arial"/>
          <w:sz w:val="10"/>
          <w:szCs w:val="10"/>
          <w:b w:val="1"/>
          <w:bCs w:val="1"/>
          <w:color w:val="auto"/>
        </w:rPr>
        <w:t>5.3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0"/>
          <w:szCs w:val="10"/>
          <w:b w:val="1"/>
          <w:bCs w:val="1"/>
          <w:color w:val="auto"/>
        </w:rPr>
        <w:t>Payment</w:t>
      </w:r>
    </w:p>
    <w:p>
      <w:pPr>
        <w:spacing w:after="0" w:line="14" w:lineRule="exact"/>
        <w:rPr>
          <w:sz w:val="20"/>
          <w:szCs w:val="20"/>
          <w:color w:val="auto"/>
        </w:rPr>
      </w:pPr>
    </w:p>
    <w:p>
      <w:pPr>
        <w:sectPr>
          <w:pgSz w:w="11900" w:h="16838" w:orient="portrait"/>
          <w:cols w:equalWidth="0" w:num="2">
            <w:col w:w="2004" w:space="720"/>
            <w:col w:w="7740"/>
          </w:cols>
          <w:pgMar w:left="656" w:top="255" w:right="779" w:bottom="1440" w:gutter="0" w:footer="0" w:header="0"/>
          <w:type w:val="continuous"/>
        </w:sectPr>
      </w:pPr>
    </w:p>
    <w:tbl>
      <w:tblPr>
        <w:tblLayout w:type="fixed"/>
        <w:tblInd w:w="4" w:type="dxa"/>
        <w:tblCellMar>
          <w:top w:w="0" w:type="dxa"/>
          <w:left w:w="0" w:type="dxa"/>
          <w:bottom w:w="0" w:type="dxa"/>
          <w:right w:w="0" w:type="dxa"/>
        </w:tblCellMar>
      </w:tblPr>
      <w:tr>
        <w:trPr>
          <w:trHeight w:val="126"/>
        </w:trPr>
        <w:tc>
          <w:tcPr>
            <w:tcW w:w="280" w:type="dxa"/>
            <w:vAlign w:val="bottom"/>
          </w:tcPr>
          <w:p>
            <w:pPr>
              <w:spacing w:after="0"/>
              <w:rPr>
                <w:sz w:val="10"/>
                <w:szCs w:val="10"/>
                <w:color w:val="auto"/>
              </w:rPr>
            </w:pPr>
          </w:p>
        </w:tc>
        <w:tc>
          <w:tcPr>
            <w:tcW w:w="10120" w:type="dxa"/>
            <w:vAlign w:val="bottom"/>
          </w:tcPr>
          <w:p>
            <w:pPr>
              <w:ind w:left="120"/>
              <w:spacing w:after="0"/>
              <w:rPr>
                <w:sz w:val="20"/>
                <w:szCs w:val="20"/>
                <w:color w:val="auto"/>
              </w:rPr>
            </w:pPr>
            <w:r>
              <w:rPr>
                <w:rFonts w:ascii="Arial" w:cs="Arial" w:eastAsia="Arial" w:hAnsi="Arial"/>
                <w:sz w:val="11"/>
                <w:szCs w:val="11"/>
                <w:color w:val="auto"/>
                <w:w w:val="99"/>
              </w:rPr>
              <w:t>The Borrower must not later than 3.00 p.m. on the due date for payment of interest or any other Outstanding Moneys, pay to Westpac NZ an amount equal to the amount due in cleared funds in Dollars to the</w:t>
            </w:r>
          </w:p>
        </w:tc>
      </w:tr>
      <w:tr>
        <w:trPr>
          <w:trHeight w:val="130"/>
        </w:trPr>
        <w:tc>
          <w:tcPr>
            <w:tcW w:w="280" w:type="dxa"/>
            <w:vAlign w:val="bottom"/>
          </w:tcPr>
          <w:p>
            <w:pPr>
              <w:spacing w:after="0"/>
              <w:rPr>
                <w:sz w:val="11"/>
                <w:szCs w:val="11"/>
                <w:color w:val="auto"/>
              </w:rPr>
            </w:pPr>
          </w:p>
        </w:tc>
        <w:tc>
          <w:tcPr>
            <w:tcW w:w="10120" w:type="dxa"/>
            <w:vAlign w:val="bottom"/>
          </w:tcPr>
          <w:p>
            <w:pPr>
              <w:ind w:left="120"/>
              <w:spacing w:after="0"/>
              <w:rPr>
                <w:sz w:val="20"/>
                <w:szCs w:val="20"/>
                <w:color w:val="auto"/>
              </w:rPr>
            </w:pPr>
            <w:r>
              <w:rPr>
                <w:rFonts w:ascii="Arial" w:cs="Arial" w:eastAsia="Arial" w:hAnsi="Arial"/>
                <w:sz w:val="11"/>
                <w:szCs w:val="11"/>
                <w:color w:val="auto"/>
              </w:rPr>
              <w:t>account and/or in the manner Westpac NZ may from time to time advise.</w:t>
            </w:r>
          </w:p>
        </w:tc>
      </w:tr>
      <w:tr>
        <w:trPr>
          <w:trHeight w:val="221"/>
        </w:trPr>
        <w:tc>
          <w:tcPr>
            <w:tcW w:w="280" w:type="dxa"/>
            <w:vAlign w:val="bottom"/>
          </w:tcPr>
          <w:p>
            <w:pPr>
              <w:spacing w:after="0"/>
              <w:rPr>
                <w:sz w:val="19"/>
                <w:szCs w:val="19"/>
                <w:color w:val="auto"/>
              </w:rPr>
            </w:pPr>
          </w:p>
        </w:tc>
        <w:tc>
          <w:tcPr>
            <w:tcW w:w="10120" w:type="dxa"/>
            <w:vAlign w:val="bottom"/>
          </w:tcPr>
          <w:p>
            <w:pPr>
              <w:ind w:left="120"/>
              <w:spacing w:after="0"/>
              <w:rPr>
                <w:sz w:val="20"/>
                <w:szCs w:val="20"/>
                <w:color w:val="auto"/>
              </w:rPr>
            </w:pPr>
            <w:r>
              <w:rPr>
                <w:rFonts w:ascii="Arial" w:cs="Arial" w:eastAsia="Arial" w:hAnsi="Arial"/>
                <w:sz w:val="11"/>
                <w:szCs w:val="11"/>
                <w:color w:val="auto"/>
                <w:w w:val="97"/>
              </w:rPr>
              <w:t>Amounts due and payable by the Borrower will be debited from the Westpac NZ account nominated by the Borrower. If the Borrower does not nominate an account, Westpac NZ may, at any time, debit from any</w:t>
            </w:r>
          </w:p>
        </w:tc>
      </w:tr>
      <w:tr>
        <w:trPr>
          <w:trHeight w:val="130"/>
        </w:trPr>
        <w:tc>
          <w:tcPr>
            <w:tcW w:w="280" w:type="dxa"/>
            <w:vAlign w:val="bottom"/>
          </w:tcPr>
          <w:p>
            <w:pPr>
              <w:spacing w:after="0"/>
              <w:rPr>
                <w:sz w:val="11"/>
                <w:szCs w:val="11"/>
                <w:color w:val="auto"/>
              </w:rPr>
            </w:pPr>
          </w:p>
        </w:tc>
        <w:tc>
          <w:tcPr>
            <w:tcW w:w="10120" w:type="dxa"/>
            <w:vAlign w:val="bottom"/>
          </w:tcPr>
          <w:p>
            <w:pPr>
              <w:ind w:left="120"/>
              <w:spacing w:after="0"/>
              <w:rPr>
                <w:sz w:val="20"/>
                <w:szCs w:val="20"/>
                <w:color w:val="auto"/>
              </w:rPr>
            </w:pPr>
            <w:r>
              <w:rPr>
                <w:rFonts w:ascii="Arial" w:cs="Arial" w:eastAsia="Arial" w:hAnsi="Arial"/>
                <w:sz w:val="11"/>
                <w:szCs w:val="11"/>
                <w:color w:val="auto"/>
              </w:rPr>
              <w:t>account of the Borrower with Westpac NZ any amounts due and payable by the Borrower.</w:t>
            </w:r>
          </w:p>
        </w:tc>
      </w:tr>
      <w:tr>
        <w:trPr>
          <w:trHeight w:val="239"/>
        </w:trPr>
        <w:tc>
          <w:tcPr>
            <w:tcW w:w="280" w:type="dxa"/>
            <w:vAlign w:val="bottom"/>
          </w:tcPr>
          <w:p>
            <w:pPr>
              <w:jc w:val="right"/>
              <w:ind w:right="86"/>
              <w:spacing w:after="0"/>
              <w:rPr>
                <w:sz w:val="20"/>
                <w:szCs w:val="20"/>
                <w:color w:val="auto"/>
              </w:rPr>
            </w:pPr>
            <w:r>
              <w:rPr>
                <w:rFonts w:ascii="Arial" w:cs="Arial" w:eastAsia="Arial" w:hAnsi="Arial"/>
                <w:sz w:val="11"/>
                <w:szCs w:val="11"/>
                <w:b w:val="1"/>
                <w:bCs w:val="1"/>
                <w:color w:val="auto"/>
                <w:w w:val="78"/>
              </w:rPr>
              <w:t>5.4</w:t>
            </w:r>
          </w:p>
        </w:tc>
        <w:tc>
          <w:tcPr>
            <w:tcW w:w="10120" w:type="dxa"/>
            <w:vAlign w:val="bottom"/>
          </w:tcPr>
          <w:p>
            <w:pPr>
              <w:ind w:left="1660"/>
              <w:spacing w:after="0"/>
              <w:rPr>
                <w:sz w:val="20"/>
                <w:szCs w:val="20"/>
                <w:color w:val="auto"/>
              </w:rPr>
            </w:pPr>
            <w:r>
              <w:rPr>
                <w:rFonts w:ascii="Arial" w:cs="Arial" w:eastAsia="Arial" w:hAnsi="Arial"/>
                <w:sz w:val="11"/>
                <w:szCs w:val="11"/>
                <w:b w:val="1"/>
                <w:bCs w:val="1"/>
                <w:color w:val="auto"/>
              </w:rPr>
              <w:t>Banking Days</w:t>
            </w:r>
          </w:p>
        </w:tc>
      </w:tr>
      <w:tr>
        <w:trPr>
          <w:trHeight w:val="130"/>
        </w:trPr>
        <w:tc>
          <w:tcPr>
            <w:tcW w:w="280" w:type="dxa"/>
            <w:vAlign w:val="bottom"/>
          </w:tcPr>
          <w:p>
            <w:pPr>
              <w:spacing w:after="0"/>
              <w:rPr>
                <w:sz w:val="11"/>
                <w:szCs w:val="11"/>
                <w:color w:val="auto"/>
              </w:rPr>
            </w:pPr>
          </w:p>
        </w:tc>
        <w:tc>
          <w:tcPr>
            <w:tcW w:w="10120" w:type="dxa"/>
            <w:vAlign w:val="bottom"/>
          </w:tcPr>
          <w:p>
            <w:pPr>
              <w:ind w:left="120"/>
              <w:spacing w:after="0"/>
              <w:rPr>
                <w:sz w:val="20"/>
                <w:szCs w:val="20"/>
                <w:color w:val="auto"/>
              </w:rPr>
            </w:pPr>
            <w:r>
              <w:rPr>
                <w:rFonts w:ascii="Arial" w:cs="Arial" w:eastAsia="Arial" w:hAnsi="Arial"/>
                <w:sz w:val="11"/>
                <w:szCs w:val="11"/>
                <w:color w:val="auto"/>
              </w:rPr>
              <w:t>If any payment by the Borrower falls due on a day which is not a Banking Day it must be made on the following Banking Day.</w:t>
            </w:r>
          </w:p>
        </w:tc>
      </w:tr>
    </w:tbl>
    <w:p>
      <w:pPr>
        <w:spacing w:after="0" w:line="101" w:lineRule="exact"/>
        <w:rPr>
          <w:sz w:val="20"/>
          <w:szCs w:val="20"/>
          <w:color w:val="auto"/>
        </w:rPr>
      </w:pPr>
    </w:p>
    <w:p>
      <w:pPr>
        <w:ind w:left="544" w:hanging="544"/>
        <w:spacing w:after="0"/>
        <w:tabs>
          <w:tab w:leader="none" w:pos="544" w:val="left"/>
        </w:tabs>
        <w:numPr>
          <w:ilvl w:val="0"/>
          <w:numId w:val="101"/>
        </w:numPr>
        <w:rPr>
          <w:rFonts w:ascii="Arial" w:cs="Arial" w:eastAsia="Arial" w:hAnsi="Arial"/>
          <w:sz w:val="11"/>
          <w:szCs w:val="11"/>
          <w:b w:val="1"/>
          <w:bCs w:val="1"/>
          <w:color w:val="auto"/>
        </w:rPr>
      </w:pPr>
      <w:r>
        <w:rPr>
          <w:rFonts w:ascii="Arial" w:cs="Arial" w:eastAsia="Arial" w:hAnsi="Arial"/>
          <w:sz w:val="11"/>
          <w:szCs w:val="11"/>
          <w:b w:val="1"/>
          <w:bCs w:val="1"/>
          <w:color w:val="auto"/>
        </w:rPr>
        <w:t>fees, charges, expenses and review entitlement</w:t>
      </w:r>
    </w:p>
    <w:p>
      <w:pPr>
        <w:spacing w:after="0" w:line="261" w:lineRule="exact"/>
        <w:rPr>
          <w:sz w:val="20"/>
          <w:szCs w:val="20"/>
          <w:color w:val="auto"/>
        </w:rPr>
      </w:pPr>
    </w:p>
    <w:p>
      <w:pPr>
        <w:ind w:left="4"/>
        <w:spacing w:after="0"/>
        <w:tabs>
          <w:tab w:leader="none" w:pos="843" w:val="left"/>
        </w:tabs>
        <w:rPr>
          <w:sz w:val="20"/>
          <w:szCs w:val="20"/>
          <w:color w:val="auto"/>
        </w:rPr>
      </w:pPr>
      <w:r>
        <w:rPr>
          <w:rFonts w:ascii="Arial" w:cs="Arial" w:eastAsia="Arial" w:hAnsi="Arial"/>
          <w:sz w:val="11"/>
          <w:szCs w:val="11"/>
          <w:b w:val="1"/>
          <w:bCs w:val="1"/>
          <w:color w:val="auto"/>
        </w:rPr>
        <w:t>6.1</w:t>
      </w:r>
      <w:r>
        <w:rPr>
          <w:sz w:val="20"/>
          <w:szCs w:val="20"/>
          <w:color w:val="auto"/>
        </w:rPr>
        <w:tab/>
      </w:r>
      <w:r>
        <w:rPr>
          <w:rFonts w:ascii="Arial" w:cs="Arial" w:eastAsia="Arial" w:hAnsi="Arial"/>
          <w:sz w:val="10"/>
          <w:szCs w:val="10"/>
          <w:b w:val="1"/>
          <w:bCs w:val="1"/>
          <w:color w:val="auto"/>
        </w:rPr>
        <w:t>Fees, Charges and Expenses Payable</w:t>
      </w:r>
    </w:p>
    <w:p>
      <w:pPr>
        <w:spacing w:after="0" w:line="2" w:lineRule="exact"/>
        <w:rPr>
          <w:sz w:val="20"/>
          <w:szCs w:val="20"/>
          <w:color w:val="auto"/>
        </w:rPr>
      </w:pPr>
    </w:p>
    <w:p>
      <w:pPr>
        <w:ind w:left="404"/>
        <w:spacing w:after="0"/>
        <w:rPr>
          <w:sz w:val="20"/>
          <w:szCs w:val="20"/>
          <w:color w:val="auto"/>
        </w:rPr>
      </w:pPr>
      <w:r>
        <w:rPr>
          <w:rFonts w:ascii="Arial" w:cs="Arial" w:eastAsia="Arial" w:hAnsi="Arial"/>
          <w:sz w:val="11"/>
          <w:szCs w:val="11"/>
          <w:color w:val="auto"/>
        </w:rPr>
        <w:t>The Borrower must pay to Westpac NZ the following:</w:t>
      </w:r>
    </w:p>
    <w:p>
      <w:pPr>
        <w:ind w:left="1144" w:hanging="1144"/>
        <w:spacing w:after="0" w:line="222" w:lineRule="auto"/>
        <w:tabs>
          <w:tab w:leader="none" w:pos="1144" w:val="left"/>
        </w:tabs>
        <w:numPr>
          <w:ilvl w:val="0"/>
          <w:numId w:val="102"/>
        </w:numPr>
        <w:rPr>
          <w:rFonts w:ascii="Arial" w:cs="Arial" w:eastAsia="Arial" w:hAnsi="Arial"/>
          <w:sz w:val="11"/>
          <w:szCs w:val="11"/>
          <w:b w:val="1"/>
          <w:bCs w:val="1"/>
          <w:color w:val="auto"/>
        </w:rPr>
      </w:pPr>
      <w:r>
        <w:rPr>
          <w:rFonts w:ascii="Arial" w:cs="Arial" w:eastAsia="Arial" w:hAnsi="Arial"/>
          <w:sz w:val="11"/>
          <w:szCs w:val="11"/>
          <w:b w:val="1"/>
          <w:bCs w:val="1"/>
          <w:color w:val="auto"/>
        </w:rPr>
        <w:t>establishment fee</w:t>
      </w:r>
    </w:p>
    <w:p>
      <w:pPr>
        <w:ind w:left="744"/>
        <w:spacing w:after="0"/>
        <w:rPr>
          <w:sz w:val="20"/>
          <w:szCs w:val="20"/>
          <w:color w:val="auto"/>
        </w:rPr>
      </w:pPr>
      <w:r>
        <w:rPr>
          <w:rFonts w:ascii="Arial" w:cs="Arial" w:eastAsia="Arial" w:hAnsi="Arial"/>
          <w:sz w:val="11"/>
          <w:szCs w:val="11"/>
          <w:color w:val="auto"/>
        </w:rPr>
        <w:t>A non-refundable establishment fee of $75,000 payable in one sum on or before execution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272415</wp:posOffset>
            </wp:positionV>
            <wp:extent cx="6768465"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768465" cy="42545"/>
                    </a:xfrm>
                    <a:prstGeom prst="rect">
                      <a:avLst/>
                    </a:prstGeom>
                    <a:noFill/>
                  </pic:spPr>
                </pic:pic>
              </a:graphicData>
            </a:graphic>
          </wp:anchor>
        </w:drawing>
      </w:r>
    </w:p>
    <w:p>
      <w:pPr>
        <w:sectPr>
          <w:pgSz w:w="11900" w:h="16838" w:orient="portrait"/>
          <w:cols w:equalWidth="0" w:num="1">
            <w:col w:w="10464"/>
          </w:cols>
          <w:pgMar w:left="656" w:top="255" w:right="779" w:bottom="1440" w:gutter="0" w:footer="0" w:header="0"/>
          <w:type w:val="continuous"/>
        </w:sectPr>
      </w:pPr>
    </w:p>
    <w:bookmarkStart w:id="161" w:name="page162"/>
    <w:bookmarkEnd w:id="161"/>
    <w:p>
      <w:pPr>
        <w:ind w:left="1124" w:hanging="1124"/>
        <w:spacing w:after="0"/>
        <w:tabs>
          <w:tab w:leader="none" w:pos="1124" w:val="left"/>
        </w:tabs>
        <w:numPr>
          <w:ilvl w:val="0"/>
          <w:numId w:val="103"/>
        </w:numPr>
        <w:rPr>
          <w:rFonts w:ascii="Arial" w:cs="Arial" w:eastAsia="Arial" w:hAnsi="Arial"/>
          <w:sz w:val="11"/>
          <w:szCs w:val="11"/>
          <w:b w:val="1"/>
          <w:bCs w:val="1"/>
          <w:color w:val="auto"/>
        </w:rPr>
      </w:pPr>
      <w:r>
        <w:rPr>
          <w:rFonts w:ascii="Arial" w:cs="Arial" w:eastAsia="Arial" w:hAnsi="Arial"/>
          <w:sz w:val="11"/>
          <w:szCs w:val="11"/>
          <w:b w:val="1"/>
          <w:bCs w:val="1"/>
          <w:color w:val="auto"/>
        </w:rPr>
        <w:t>line of credit charge</w:t>
      </w:r>
    </w:p>
    <w:p>
      <w:pPr>
        <w:spacing w:after="0" w:line="3" w:lineRule="exact"/>
        <w:rPr>
          <w:sz w:val="20"/>
          <w:szCs w:val="20"/>
          <w:color w:val="auto"/>
        </w:rPr>
      </w:pPr>
    </w:p>
    <w:p>
      <w:pPr>
        <w:ind w:left="744" w:right="340"/>
        <w:spacing w:after="0" w:line="234" w:lineRule="auto"/>
        <w:rPr>
          <w:sz w:val="20"/>
          <w:szCs w:val="20"/>
          <w:color w:val="auto"/>
        </w:rPr>
      </w:pPr>
      <w:r>
        <w:rPr>
          <w:rFonts w:ascii="Arial" w:cs="Arial" w:eastAsia="Arial" w:hAnsi="Arial"/>
          <w:sz w:val="11"/>
          <w:szCs w:val="11"/>
          <w:color w:val="auto"/>
        </w:rPr>
        <w:t>A line of credit charge payable in arrears with the first charge being in respect of the period from the Commencement Date to the last Banking Day of the month in which that date occurs and thereafter monthly on the last Banking Day of each month through to the Termination Date and calculated at 0.40% per annum on the amount of the Loan.</w:t>
      </w:r>
    </w:p>
    <w:p>
      <w:pPr>
        <w:sectPr>
          <w:pgSz w:w="11900" w:h="16838" w:orient="portrait"/>
          <w:cols w:equalWidth="0" w:num="1">
            <w:col w:w="10624"/>
          </w:cols>
          <w:pgMar w:left="656" w:top="246" w:right="619" w:bottom="1440" w:gutter="0" w:footer="0" w:header="0"/>
        </w:sectPr>
      </w:pPr>
    </w:p>
    <w:p>
      <w:pPr>
        <w:spacing w:after="0" w:line="102" w:lineRule="exact"/>
        <w:rPr>
          <w:sz w:val="20"/>
          <w:szCs w:val="20"/>
          <w:color w:val="auto"/>
        </w:rPr>
      </w:pPr>
    </w:p>
    <w:p>
      <w:pPr>
        <w:ind w:left="4"/>
        <w:spacing w:after="0"/>
        <w:rPr>
          <w:sz w:val="20"/>
          <w:szCs w:val="20"/>
          <w:color w:val="auto"/>
        </w:rPr>
      </w:pPr>
      <w:r>
        <w:rPr>
          <w:rFonts w:ascii="Arial" w:cs="Arial" w:eastAsia="Arial" w:hAnsi="Arial"/>
          <w:sz w:val="11"/>
          <w:szCs w:val="11"/>
          <w:b w:val="1"/>
          <w:bCs w:val="1"/>
          <w:color w:val="auto"/>
        </w:rPr>
        <w:t>c)</w:t>
      </w:r>
    </w:p>
    <w:p>
      <w:pPr>
        <w:spacing w:after="0" w:line="20" w:lineRule="exact"/>
        <w:rPr>
          <w:sz w:val="20"/>
          <w:szCs w:val="20"/>
          <w:color w:val="auto"/>
        </w:rPr>
      </w:pPr>
      <w:r>
        <w:rPr>
          <w:sz w:val="20"/>
          <w:szCs w:val="20"/>
          <w:color w:val="auto"/>
        </w:rPr>
        <w:br w:type="column"/>
      </w:r>
    </w:p>
    <w:p>
      <w:pPr>
        <w:spacing w:after="0" w:line="82" w:lineRule="exact"/>
        <w:rPr>
          <w:sz w:val="20"/>
          <w:szCs w:val="20"/>
          <w:color w:val="auto"/>
        </w:rPr>
      </w:pPr>
    </w:p>
    <w:p>
      <w:pPr>
        <w:ind w:left="1120"/>
        <w:spacing w:after="0"/>
        <w:rPr>
          <w:sz w:val="20"/>
          <w:szCs w:val="20"/>
          <w:color w:val="auto"/>
        </w:rPr>
      </w:pPr>
      <w:r>
        <w:rPr>
          <w:rFonts w:ascii="Arial" w:cs="Arial" w:eastAsia="Arial" w:hAnsi="Arial"/>
          <w:sz w:val="11"/>
          <w:szCs w:val="11"/>
          <w:b w:val="1"/>
          <w:bCs w:val="1"/>
          <w:color w:val="auto"/>
        </w:rPr>
        <w:t>expenses</w:t>
      </w:r>
    </w:p>
    <w:p>
      <w:pPr>
        <w:spacing w:after="0" w:line="3" w:lineRule="exact"/>
        <w:rPr>
          <w:sz w:val="20"/>
          <w:szCs w:val="20"/>
          <w:color w:val="auto"/>
        </w:rPr>
      </w:pPr>
    </w:p>
    <w:p>
      <w:pPr>
        <w:spacing w:after="0"/>
        <w:rPr>
          <w:sz w:val="20"/>
          <w:szCs w:val="20"/>
          <w:color w:val="auto"/>
        </w:rPr>
      </w:pPr>
      <w:r>
        <w:rPr>
          <w:rFonts w:ascii="Arial" w:cs="Arial" w:eastAsia="Arial" w:hAnsi="Arial"/>
          <w:sz w:val="10"/>
          <w:szCs w:val="10"/>
          <w:color w:val="auto"/>
        </w:rPr>
        <w:t>The expenses of Westpac NZ and each Officer in relation to:</w:t>
      </w:r>
    </w:p>
    <w:p>
      <w:pPr>
        <w:spacing w:after="0" w:line="2" w:lineRule="exact"/>
        <w:rPr>
          <w:sz w:val="20"/>
          <w:szCs w:val="20"/>
          <w:color w:val="auto"/>
        </w:rPr>
      </w:pPr>
    </w:p>
    <w:p>
      <w:pPr>
        <w:spacing w:after="0"/>
        <w:rPr>
          <w:sz w:val="20"/>
          <w:szCs w:val="20"/>
          <w:color w:val="auto"/>
        </w:rPr>
      </w:pPr>
      <w:r>
        <w:rPr>
          <w:rFonts w:ascii="Arial" w:cs="Arial" w:eastAsia="Arial" w:hAnsi="Arial"/>
          <w:sz w:val="11"/>
          <w:szCs w:val="11"/>
          <w:color w:val="auto"/>
        </w:rPr>
        <w:t>i)</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rPr>
          <w:sz w:val="20"/>
          <w:szCs w:val="20"/>
          <w:color w:val="auto"/>
        </w:rPr>
      </w:pPr>
      <w:r>
        <w:rPr>
          <w:rFonts w:ascii="Arial" w:cs="Arial" w:eastAsia="Arial" w:hAnsi="Arial"/>
          <w:sz w:val="11"/>
          <w:szCs w:val="11"/>
          <w:color w:val="auto"/>
        </w:rPr>
        <w:t>the</w:t>
      </w:r>
    </w:p>
    <w:p>
      <w:pPr>
        <w:spacing w:after="0"/>
        <w:rPr>
          <w:sz w:val="20"/>
          <w:szCs w:val="20"/>
          <w:color w:val="auto"/>
        </w:rPr>
      </w:pPr>
      <w:r>
        <w:rPr>
          <w:rFonts w:ascii="Arial" w:cs="Arial" w:eastAsia="Arial" w:hAnsi="Arial"/>
          <w:sz w:val="10"/>
          <w:szCs w:val="10"/>
          <w:color w:val="auto"/>
        </w:rPr>
        <w:t>Outstanding</w:t>
      </w:r>
    </w:p>
    <w:p>
      <w:pPr>
        <w:spacing w:after="0" w:line="2" w:lineRule="exact"/>
        <w:rPr>
          <w:sz w:val="20"/>
          <w:szCs w:val="20"/>
          <w:color w:val="auto"/>
        </w:rPr>
      </w:pPr>
    </w:p>
    <w:p>
      <w:pPr>
        <w:spacing w:after="0"/>
        <w:rPr>
          <w:sz w:val="20"/>
          <w:szCs w:val="20"/>
          <w:color w:val="auto"/>
        </w:rPr>
      </w:pPr>
      <w:r>
        <w:rPr>
          <w:rFonts w:ascii="Arial" w:cs="Arial" w:eastAsia="Arial" w:hAnsi="Arial"/>
          <w:sz w:val="11"/>
          <w:szCs w:val="11"/>
          <w:color w:val="auto"/>
        </w:rPr>
        <w:t>Moneys;</w:t>
      </w:r>
    </w:p>
    <w:p>
      <w:pPr>
        <w:spacing w:after="0" w:line="1" w:lineRule="exact"/>
        <w:rPr>
          <w:sz w:val="20"/>
          <w:szCs w:val="20"/>
          <w:color w:val="auto"/>
        </w:rPr>
      </w:pPr>
    </w:p>
    <w:p>
      <w:pPr>
        <w:sectPr>
          <w:pgSz w:w="11900" w:h="16838" w:orient="portrait"/>
          <w:cols w:equalWidth="0" w:num="3">
            <w:col w:w="104" w:space="640"/>
            <w:col w:w="7460" w:space="720"/>
            <w:col w:w="1700"/>
          </w:cols>
          <w:pgMar w:left="656" w:top="246" w:right="619" w:bottom="1440" w:gutter="0" w:footer="0" w:header="0"/>
          <w:type w:val="continuous"/>
        </w:sectPr>
      </w:pPr>
    </w:p>
    <w:p>
      <w:pPr>
        <w:ind w:left="744"/>
        <w:spacing w:after="0" w:line="204" w:lineRule="auto"/>
        <w:tabs>
          <w:tab w:leader="none" w:pos="1183" w:val="left"/>
        </w:tabs>
        <w:rPr>
          <w:sz w:val="20"/>
          <w:szCs w:val="20"/>
          <w:color w:val="auto"/>
        </w:rPr>
      </w:pPr>
      <w:r>
        <w:rPr>
          <w:rFonts w:ascii="Arial" w:cs="Arial" w:eastAsia="Arial" w:hAnsi="Arial"/>
          <w:sz w:val="11"/>
          <w:szCs w:val="11"/>
          <w:color w:val="auto"/>
        </w:rPr>
        <w:t>ii)</w:t>
      </w:r>
      <w:r>
        <w:rPr>
          <w:sz w:val="20"/>
          <w:szCs w:val="20"/>
          <w:color w:val="auto"/>
        </w:rPr>
        <w:tab/>
      </w:r>
      <w:r>
        <w:rPr>
          <w:rFonts w:ascii="Arial" w:cs="Arial" w:eastAsia="Arial" w:hAnsi="Arial"/>
          <w:sz w:val="11"/>
          <w:szCs w:val="11"/>
          <w:color w:val="auto"/>
        </w:rPr>
        <w:t>the preparation, execution and completion of each Bank Document, and any subsequent consent, approval, waiver, amendment or release;</w:t>
      </w:r>
    </w:p>
    <w:p>
      <w:pPr>
        <w:ind w:left="1204" w:hanging="456"/>
        <w:spacing w:after="0" w:line="222" w:lineRule="auto"/>
        <w:tabs>
          <w:tab w:leader="none" w:pos="1204" w:val="left"/>
        </w:tabs>
        <w:numPr>
          <w:ilvl w:val="0"/>
          <w:numId w:val="104"/>
        </w:numPr>
        <w:rPr>
          <w:rFonts w:ascii="Arial" w:cs="Arial" w:eastAsia="Arial" w:hAnsi="Arial"/>
          <w:sz w:val="11"/>
          <w:szCs w:val="11"/>
          <w:color w:val="auto"/>
        </w:rPr>
      </w:pPr>
      <w:r>
        <w:rPr>
          <w:rFonts w:ascii="Arial" w:cs="Arial" w:eastAsia="Arial" w:hAnsi="Arial"/>
          <w:sz w:val="11"/>
          <w:szCs w:val="11"/>
          <w:color w:val="auto"/>
        </w:rPr>
        <w:t>any contemplated, attempted or actual enforcement of any Bank Document or the actual or contemplated, attempted or actual exercise or defence of any Power; and</w:t>
      </w:r>
    </w:p>
    <w:p>
      <w:pPr>
        <w:ind w:left="744"/>
        <w:spacing w:after="0"/>
        <w:tabs>
          <w:tab w:leader="none" w:pos="2583" w:val="left"/>
        </w:tabs>
        <w:rPr>
          <w:sz w:val="20"/>
          <w:szCs w:val="20"/>
          <w:color w:val="auto"/>
        </w:rPr>
      </w:pPr>
      <w:r>
        <w:rPr>
          <w:rFonts w:ascii="Arial" w:cs="Arial" w:eastAsia="Arial" w:hAnsi="Arial"/>
          <w:sz w:val="11"/>
          <w:szCs w:val="11"/>
          <w:color w:val="auto"/>
        </w:rPr>
        <w:t>iv)</w:t>
      </w:r>
      <w:r>
        <w:rPr>
          <w:sz w:val="20"/>
          <w:szCs w:val="20"/>
          <w:color w:val="auto"/>
        </w:rPr>
        <w:tab/>
      </w:r>
      <w:r>
        <w:rPr>
          <w:rFonts w:ascii="Arial" w:cs="Arial" w:eastAsia="Arial" w:hAnsi="Arial"/>
          <w:sz w:val="11"/>
          <w:szCs w:val="11"/>
          <w:color w:val="auto"/>
        </w:rPr>
        <w:t>any enquiry by a Governmental Agency concerning the Borrower or related to a Bank Document.</w:t>
      </w:r>
    </w:p>
    <w:p>
      <w:pPr>
        <w:ind w:left="744" w:right="220"/>
        <w:spacing w:after="0" w:line="222" w:lineRule="auto"/>
        <w:rPr>
          <w:sz w:val="20"/>
          <w:szCs w:val="20"/>
          <w:color w:val="auto"/>
        </w:rPr>
      </w:pPr>
      <w:r>
        <w:rPr>
          <w:rFonts w:ascii="Arial" w:cs="Arial" w:eastAsia="Arial" w:hAnsi="Arial"/>
          <w:sz w:val="11"/>
          <w:szCs w:val="11"/>
          <w:color w:val="auto"/>
        </w:rPr>
        <w:t>This includes expenses incurred in retaining consultants to evaluate matters of concern to Westpac NZ. It also includes administrative time and costs including the time of Officers and other employees of Westpac NZ (whose time and costs are to be charged at reasonable rates).</w:t>
      </w:r>
    </w:p>
    <w:p>
      <w:pPr>
        <w:ind w:left="744"/>
        <w:spacing w:after="0" w:line="222" w:lineRule="auto"/>
        <w:rPr>
          <w:sz w:val="20"/>
          <w:szCs w:val="20"/>
          <w:color w:val="auto"/>
        </w:rPr>
      </w:pPr>
      <w:r>
        <w:rPr>
          <w:rFonts w:ascii="Arial" w:cs="Arial" w:eastAsia="Arial" w:hAnsi="Arial"/>
          <w:sz w:val="11"/>
          <w:szCs w:val="11"/>
          <w:color w:val="auto"/>
        </w:rPr>
        <w:t>It will include, in each case, legal fees and expenses on a full indemnity basis plus goods and services tax on those amounts.</w:t>
      </w:r>
    </w:p>
    <w:p>
      <w:pPr>
        <w:ind w:left="744"/>
        <w:spacing w:after="0"/>
        <w:rPr>
          <w:sz w:val="20"/>
          <w:szCs w:val="20"/>
          <w:color w:val="auto"/>
        </w:rPr>
      </w:pPr>
      <w:r>
        <w:rPr>
          <w:rFonts w:ascii="Arial" w:cs="Arial" w:eastAsia="Arial" w:hAnsi="Arial"/>
          <w:sz w:val="11"/>
          <w:szCs w:val="11"/>
          <w:color w:val="auto"/>
        </w:rPr>
        <w:t>All these expenses are payable on demand.</w:t>
      </w:r>
    </w:p>
    <w:p>
      <w:pPr>
        <w:spacing w:after="0" w:line="105" w:lineRule="exact"/>
        <w:rPr>
          <w:sz w:val="20"/>
          <w:szCs w:val="20"/>
          <w:color w:val="auto"/>
        </w:rPr>
      </w:pPr>
    </w:p>
    <w:p>
      <w:pPr>
        <w:ind w:left="1084" w:hanging="1084"/>
        <w:spacing w:after="0"/>
        <w:tabs>
          <w:tab w:leader="none" w:pos="1084" w:val="left"/>
        </w:tabs>
        <w:numPr>
          <w:ilvl w:val="0"/>
          <w:numId w:val="105"/>
        </w:numPr>
        <w:rPr>
          <w:rFonts w:ascii="Arial" w:cs="Arial" w:eastAsia="Arial" w:hAnsi="Arial"/>
          <w:sz w:val="11"/>
          <w:szCs w:val="11"/>
          <w:b w:val="1"/>
          <w:bCs w:val="1"/>
          <w:color w:val="auto"/>
        </w:rPr>
      </w:pPr>
      <w:r>
        <w:rPr>
          <w:rFonts w:ascii="Arial" w:cs="Arial" w:eastAsia="Arial" w:hAnsi="Arial"/>
          <w:sz w:val="11"/>
          <w:szCs w:val="11"/>
          <w:b w:val="1"/>
          <w:bCs w:val="1"/>
          <w:color w:val="auto"/>
        </w:rPr>
        <w:t>government charges</w:t>
      </w:r>
    </w:p>
    <w:p>
      <w:pPr>
        <w:spacing w:after="0" w:line="3" w:lineRule="exact"/>
        <w:rPr>
          <w:sz w:val="20"/>
          <w:szCs w:val="20"/>
          <w:color w:val="auto"/>
        </w:rPr>
      </w:pPr>
    </w:p>
    <w:p>
      <w:pPr>
        <w:ind w:left="744"/>
        <w:spacing w:after="0"/>
        <w:rPr>
          <w:sz w:val="20"/>
          <w:szCs w:val="20"/>
          <w:color w:val="auto"/>
        </w:rPr>
      </w:pPr>
      <w:r>
        <w:rPr>
          <w:rFonts w:ascii="Arial" w:cs="Arial" w:eastAsia="Arial" w:hAnsi="Arial"/>
          <w:sz w:val="11"/>
          <w:szCs w:val="11"/>
          <w:color w:val="auto"/>
        </w:rPr>
        <w:t>Any government duties, taxes and charges on the Bank Documents and payments and receipts under them.</w:t>
      </w:r>
    </w:p>
    <w:p>
      <w:pPr>
        <w:spacing w:after="0" w:line="105" w:lineRule="exact"/>
        <w:rPr>
          <w:sz w:val="20"/>
          <w:szCs w:val="20"/>
          <w:color w:val="auto"/>
        </w:rPr>
      </w:pPr>
    </w:p>
    <w:p>
      <w:pPr>
        <w:ind w:left="4"/>
        <w:spacing w:after="0"/>
        <w:tabs>
          <w:tab w:leader="none" w:pos="1603" w:val="left"/>
        </w:tabs>
        <w:rPr>
          <w:sz w:val="20"/>
          <w:szCs w:val="20"/>
          <w:color w:val="auto"/>
        </w:rPr>
      </w:pPr>
      <w:r>
        <w:rPr>
          <w:rFonts w:ascii="Arial" w:cs="Arial" w:eastAsia="Arial" w:hAnsi="Arial"/>
          <w:sz w:val="11"/>
          <w:szCs w:val="11"/>
          <w:b w:val="1"/>
          <w:bCs w:val="1"/>
          <w:color w:val="auto"/>
        </w:rPr>
        <w:t>6.2</w:t>
      </w:r>
      <w:r>
        <w:rPr>
          <w:sz w:val="20"/>
          <w:szCs w:val="20"/>
          <w:color w:val="auto"/>
        </w:rPr>
        <w:tab/>
      </w:r>
      <w:r>
        <w:rPr>
          <w:rFonts w:ascii="Arial" w:cs="Arial" w:eastAsia="Arial" w:hAnsi="Arial"/>
          <w:sz w:val="10"/>
          <w:szCs w:val="10"/>
          <w:b w:val="1"/>
          <w:bCs w:val="1"/>
          <w:color w:val="auto"/>
        </w:rPr>
        <w:t>Review of margin</w:t>
      </w:r>
    </w:p>
    <w:p>
      <w:pPr>
        <w:spacing w:after="0" w:line="12" w:lineRule="exact"/>
        <w:rPr>
          <w:sz w:val="20"/>
          <w:szCs w:val="20"/>
          <w:color w:val="auto"/>
        </w:rPr>
      </w:pPr>
    </w:p>
    <w:p>
      <w:pPr>
        <w:ind w:left="404"/>
        <w:spacing w:after="0"/>
        <w:rPr>
          <w:sz w:val="20"/>
          <w:szCs w:val="20"/>
          <w:color w:val="auto"/>
        </w:rPr>
      </w:pPr>
      <w:r>
        <w:rPr>
          <w:rFonts w:ascii="Arial" w:cs="Arial" w:eastAsia="Arial" w:hAnsi="Arial"/>
          <w:sz w:val="11"/>
          <w:szCs w:val="11"/>
          <w:color w:val="auto"/>
        </w:rPr>
        <w:t>Westpac NZ may, by 3 Banking Days' notice to the Borrower, increase or decrease the Margin provided no increase will take effect within 12 months of the Commencement Date.</w:t>
      </w:r>
    </w:p>
    <w:p>
      <w:pPr>
        <w:spacing w:after="0" w:line="222" w:lineRule="exact"/>
        <w:rPr>
          <w:sz w:val="20"/>
          <w:szCs w:val="20"/>
          <w:color w:val="auto"/>
        </w:rPr>
      </w:pPr>
    </w:p>
    <w:p>
      <w:pPr>
        <w:ind w:left="1124" w:hanging="1124"/>
        <w:spacing w:after="0"/>
        <w:tabs>
          <w:tab w:leader="none" w:pos="1124" w:val="left"/>
        </w:tabs>
        <w:numPr>
          <w:ilvl w:val="0"/>
          <w:numId w:val="106"/>
        </w:numPr>
        <w:rPr>
          <w:rFonts w:ascii="Arial" w:cs="Arial" w:eastAsia="Arial" w:hAnsi="Arial"/>
          <w:sz w:val="11"/>
          <w:szCs w:val="11"/>
          <w:b w:val="1"/>
          <w:bCs w:val="1"/>
          <w:color w:val="auto"/>
        </w:rPr>
      </w:pPr>
      <w:r>
        <w:rPr>
          <w:rFonts w:ascii="Arial" w:cs="Arial" w:eastAsia="Arial" w:hAnsi="Arial"/>
          <w:sz w:val="11"/>
          <w:szCs w:val="11"/>
          <w:b w:val="1"/>
          <w:bCs w:val="1"/>
          <w:color w:val="auto"/>
        </w:rPr>
        <w:t>interest on arrears</w:t>
      </w:r>
    </w:p>
    <w:p>
      <w:pPr>
        <w:spacing w:after="0" w:line="270" w:lineRule="exact"/>
        <w:rPr>
          <w:sz w:val="20"/>
          <w:szCs w:val="20"/>
          <w:color w:val="auto"/>
        </w:rPr>
      </w:pPr>
    </w:p>
    <w:tbl>
      <w:tblPr>
        <w:tblLayout w:type="fixed"/>
        <w:tblInd w:w="4" w:type="dxa"/>
        <w:tblCellMar>
          <w:top w:w="0" w:type="dxa"/>
          <w:left w:w="0" w:type="dxa"/>
          <w:bottom w:w="0" w:type="dxa"/>
          <w:right w:w="0" w:type="dxa"/>
        </w:tblCellMar>
      </w:tblPr>
      <w:tr>
        <w:trPr>
          <w:trHeight w:val="129"/>
        </w:trPr>
        <w:tc>
          <w:tcPr>
            <w:tcW w:w="280" w:type="dxa"/>
            <w:vAlign w:val="bottom"/>
          </w:tcPr>
          <w:p>
            <w:pPr>
              <w:jc w:val="right"/>
              <w:ind w:right="86"/>
              <w:spacing w:after="0"/>
              <w:rPr>
                <w:sz w:val="20"/>
                <w:szCs w:val="20"/>
                <w:color w:val="auto"/>
              </w:rPr>
            </w:pPr>
            <w:r>
              <w:rPr>
                <w:rFonts w:ascii="Arial" w:cs="Arial" w:eastAsia="Arial" w:hAnsi="Arial"/>
                <w:sz w:val="11"/>
                <w:szCs w:val="11"/>
                <w:b w:val="1"/>
                <w:bCs w:val="1"/>
                <w:color w:val="auto"/>
                <w:w w:val="78"/>
              </w:rPr>
              <w:t>7.1</w:t>
            </w:r>
          </w:p>
        </w:tc>
        <w:tc>
          <w:tcPr>
            <w:tcW w:w="10160" w:type="dxa"/>
            <w:vAlign w:val="bottom"/>
          </w:tcPr>
          <w:p>
            <w:pPr>
              <w:ind w:left="960"/>
              <w:spacing w:after="0"/>
              <w:rPr>
                <w:sz w:val="20"/>
                <w:szCs w:val="20"/>
                <w:color w:val="auto"/>
              </w:rPr>
            </w:pPr>
            <w:r>
              <w:rPr>
                <w:rFonts w:ascii="Arial" w:cs="Arial" w:eastAsia="Arial" w:hAnsi="Arial"/>
                <w:sz w:val="11"/>
                <w:szCs w:val="11"/>
                <w:b w:val="1"/>
                <w:bCs w:val="1"/>
                <w:color w:val="auto"/>
              </w:rPr>
              <w:t>Default Interest Payable</w:t>
            </w:r>
          </w:p>
        </w:tc>
      </w:tr>
      <w:tr>
        <w:trPr>
          <w:trHeight w:val="130"/>
        </w:trPr>
        <w:tc>
          <w:tcPr>
            <w:tcW w:w="280" w:type="dxa"/>
            <w:vAlign w:val="bottom"/>
          </w:tcPr>
          <w:p>
            <w:pPr>
              <w:spacing w:after="0"/>
              <w:rPr>
                <w:sz w:val="11"/>
                <w:szCs w:val="11"/>
                <w:color w:val="auto"/>
              </w:rPr>
            </w:pPr>
          </w:p>
        </w:tc>
        <w:tc>
          <w:tcPr>
            <w:tcW w:w="10160" w:type="dxa"/>
            <w:vAlign w:val="bottom"/>
          </w:tcPr>
          <w:p>
            <w:pPr>
              <w:ind w:left="120"/>
              <w:spacing w:after="0"/>
              <w:rPr>
                <w:sz w:val="20"/>
                <w:szCs w:val="20"/>
                <w:color w:val="auto"/>
              </w:rPr>
            </w:pPr>
            <w:r>
              <w:rPr>
                <w:rFonts w:ascii="Arial" w:cs="Arial" w:eastAsia="Arial" w:hAnsi="Arial"/>
                <w:sz w:val="11"/>
                <w:szCs w:val="11"/>
                <w:color w:val="auto"/>
                <w:w w:val="98"/>
              </w:rPr>
              <w:t>If the Borrower does not pay any sum payable on the due date, it must pay interest on that overdue sum at the Default Rate from the due date until the Borrower remedies the default and pays all default interest.</w:t>
            </w:r>
          </w:p>
        </w:tc>
      </w:tr>
      <w:tr>
        <w:trPr>
          <w:trHeight w:val="239"/>
        </w:trPr>
        <w:tc>
          <w:tcPr>
            <w:tcW w:w="280" w:type="dxa"/>
            <w:vAlign w:val="bottom"/>
          </w:tcPr>
          <w:p>
            <w:pPr>
              <w:jc w:val="right"/>
              <w:ind w:right="86"/>
              <w:spacing w:after="0"/>
              <w:rPr>
                <w:sz w:val="20"/>
                <w:szCs w:val="20"/>
                <w:color w:val="auto"/>
              </w:rPr>
            </w:pPr>
            <w:r>
              <w:rPr>
                <w:rFonts w:ascii="Arial" w:cs="Arial" w:eastAsia="Arial" w:hAnsi="Arial"/>
                <w:sz w:val="11"/>
                <w:szCs w:val="11"/>
                <w:b w:val="1"/>
                <w:bCs w:val="1"/>
                <w:color w:val="auto"/>
                <w:w w:val="78"/>
              </w:rPr>
              <w:t>7.2</w:t>
            </w:r>
          </w:p>
        </w:tc>
        <w:tc>
          <w:tcPr>
            <w:tcW w:w="10160" w:type="dxa"/>
            <w:vAlign w:val="bottom"/>
          </w:tcPr>
          <w:p>
            <w:pPr>
              <w:ind w:left="760"/>
              <w:spacing w:after="0"/>
              <w:rPr>
                <w:sz w:val="20"/>
                <w:szCs w:val="20"/>
                <w:color w:val="auto"/>
              </w:rPr>
            </w:pPr>
            <w:r>
              <w:rPr>
                <w:rFonts w:ascii="Arial" w:cs="Arial" w:eastAsia="Arial" w:hAnsi="Arial"/>
                <w:sz w:val="11"/>
                <w:szCs w:val="11"/>
                <w:b w:val="1"/>
                <w:bCs w:val="1"/>
                <w:color w:val="auto"/>
              </w:rPr>
              <w:t>Default in Payment of Interest</w:t>
            </w:r>
          </w:p>
        </w:tc>
      </w:tr>
    </w:tbl>
    <w:p>
      <w:pPr>
        <w:ind w:left="404"/>
        <w:spacing w:after="0" w:line="222" w:lineRule="auto"/>
        <w:rPr>
          <w:sz w:val="20"/>
          <w:szCs w:val="20"/>
          <w:color w:val="auto"/>
        </w:rPr>
      </w:pPr>
      <w:r>
        <w:rPr>
          <w:rFonts w:ascii="Arial" w:cs="Arial" w:eastAsia="Arial" w:hAnsi="Arial"/>
          <w:sz w:val="11"/>
          <w:szCs w:val="11"/>
          <w:color w:val="auto"/>
        </w:rPr>
        <w:t>If the Borrower does not pay any sum on or before 14 days after the date on which payment was due, then the following rules apply:</w:t>
      </w:r>
    </w:p>
    <w:p>
      <w:pPr>
        <w:ind w:left="764" w:hanging="367"/>
        <w:spacing w:after="0" w:line="222" w:lineRule="auto"/>
        <w:tabs>
          <w:tab w:leader="none" w:pos="764" w:val="left"/>
        </w:tabs>
        <w:numPr>
          <w:ilvl w:val="1"/>
          <w:numId w:val="107"/>
        </w:numPr>
        <w:rPr>
          <w:rFonts w:ascii="Arial" w:cs="Arial" w:eastAsia="Arial" w:hAnsi="Arial"/>
          <w:sz w:val="11"/>
          <w:szCs w:val="11"/>
          <w:color w:val="auto"/>
        </w:rPr>
      </w:pPr>
      <w:r>
        <w:rPr>
          <w:rFonts w:ascii="Arial" w:cs="Arial" w:eastAsia="Arial" w:hAnsi="Arial"/>
          <w:sz w:val="11"/>
          <w:szCs w:val="11"/>
          <w:color w:val="auto"/>
        </w:rPr>
        <w:t>Interest on all amounts on which interest is payable will be calculated at the Default Rate;</w:t>
      </w:r>
    </w:p>
    <w:p>
      <w:pPr>
        <w:ind w:left="1224" w:hanging="827"/>
        <w:spacing w:after="0" w:line="222" w:lineRule="auto"/>
        <w:tabs>
          <w:tab w:leader="none" w:pos="1224" w:val="left"/>
        </w:tabs>
        <w:numPr>
          <w:ilvl w:val="1"/>
          <w:numId w:val="107"/>
        </w:numPr>
        <w:rPr>
          <w:rFonts w:ascii="Arial" w:cs="Arial" w:eastAsia="Arial" w:hAnsi="Arial"/>
          <w:sz w:val="11"/>
          <w:szCs w:val="11"/>
          <w:color w:val="auto"/>
        </w:rPr>
      </w:pPr>
      <w:r>
        <w:rPr>
          <w:rFonts w:ascii="Arial" w:cs="Arial" w:eastAsia="Arial" w:hAnsi="Arial"/>
          <w:sz w:val="11"/>
          <w:szCs w:val="11"/>
          <w:color w:val="auto"/>
        </w:rPr>
        <w:t>Interest at the Default Rate:</w:t>
      </w:r>
    </w:p>
    <w:p>
      <w:pPr>
        <w:ind w:left="1124" w:right="420" w:hanging="376"/>
        <w:spacing w:after="0" w:line="222" w:lineRule="auto"/>
        <w:tabs>
          <w:tab w:leader="none" w:pos="1124" w:val="left"/>
        </w:tabs>
        <w:numPr>
          <w:ilvl w:val="2"/>
          <w:numId w:val="107"/>
        </w:numPr>
        <w:rPr>
          <w:rFonts w:ascii="Arial" w:cs="Arial" w:eastAsia="Arial" w:hAnsi="Arial"/>
          <w:sz w:val="11"/>
          <w:szCs w:val="11"/>
          <w:color w:val="auto"/>
        </w:rPr>
      </w:pPr>
      <w:r>
        <w:rPr>
          <w:rFonts w:ascii="Arial" w:cs="Arial" w:eastAsia="Arial" w:hAnsi="Arial"/>
          <w:sz w:val="11"/>
          <w:szCs w:val="11"/>
          <w:color w:val="auto"/>
        </w:rPr>
        <w:t>will accrue during the period beginning on the date the last payment was due and paid by the Borrower and ending on the date the Borrower remedies the default and pays all default interest. Where no payments have been made by the Borrower, the period begins on the date of drawdown;</w:t>
      </w:r>
    </w:p>
    <w:p>
      <w:pPr>
        <w:ind w:left="1144" w:right="160" w:hanging="396"/>
        <w:spacing w:after="0" w:line="222" w:lineRule="auto"/>
        <w:tabs>
          <w:tab w:leader="none" w:pos="1144" w:val="left"/>
        </w:tabs>
        <w:numPr>
          <w:ilvl w:val="2"/>
          <w:numId w:val="107"/>
        </w:numPr>
        <w:rPr>
          <w:rFonts w:ascii="Arial" w:cs="Arial" w:eastAsia="Arial" w:hAnsi="Arial"/>
          <w:sz w:val="11"/>
          <w:szCs w:val="11"/>
          <w:color w:val="auto"/>
        </w:rPr>
      </w:pPr>
      <w:r>
        <w:rPr>
          <w:rFonts w:ascii="Arial" w:cs="Arial" w:eastAsia="Arial" w:hAnsi="Arial"/>
          <w:sz w:val="11"/>
          <w:szCs w:val="11"/>
          <w:color w:val="auto"/>
        </w:rPr>
        <w:t>will be calculated on a daily basis by reference to successive periods of durations selected by Westpac NZ from time to time. Each period will begin on the last day of the previous period except for the first period which will begin on the due date;</w:t>
      </w:r>
    </w:p>
    <w:p>
      <w:pPr>
        <w:ind w:left="1164" w:right="100" w:hanging="416"/>
        <w:spacing w:after="0" w:line="234" w:lineRule="auto"/>
        <w:tabs>
          <w:tab w:leader="none" w:pos="1164" w:val="left"/>
        </w:tabs>
        <w:numPr>
          <w:ilvl w:val="2"/>
          <w:numId w:val="107"/>
        </w:numPr>
        <w:rPr>
          <w:rFonts w:ascii="Arial" w:cs="Arial" w:eastAsia="Arial" w:hAnsi="Arial"/>
          <w:sz w:val="11"/>
          <w:szCs w:val="11"/>
          <w:color w:val="auto"/>
        </w:rPr>
      </w:pPr>
      <w:r>
        <w:rPr>
          <w:rFonts w:ascii="Arial" w:cs="Arial" w:eastAsia="Arial" w:hAnsi="Arial"/>
          <w:sz w:val="11"/>
          <w:szCs w:val="11"/>
          <w:color w:val="auto"/>
        </w:rPr>
        <w:t>will be payable on the last day of each period and on the date of receipt of the overdue sum by Westpac NZ. Any interest which is not paid when due will be added to the overdue sum and will itself bear interest under this clause.</w:t>
      </w:r>
    </w:p>
    <w:p>
      <w:pPr>
        <w:spacing w:after="0" w:line="101" w:lineRule="exact"/>
        <w:rPr>
          <w:rFonts w:ascii="Arial" w:cs="Arial" w:eastAsia="Arial" w:hAnsi="Arial"/>
          <w:sz w:val="11"/>
          <w:szCs w:val="11"/>
          <w:color w:val="auto"/>
        </w:rPr>
      </w:pPr>
    </w:p>
    <w:p>
      <w:pPr>
        <w:ind w:left="1464" w:hanging="1464"/>
        <w:spacing w:after="0"/>
        <w:tabs>
          <w:tab w:leader="none" w:pos="1464" w:val="left"/>
        </w:tabs>
        <w:numPr>
          <w:ilvl w:val="0"/>
          <w:numId w:val="108"/>
        </w:numPr>
        <w:rPr>
          <w:rFonts w:ascii="Arial" w:cs="Arial" w:eastAsia="Arial" w:hAnsi="Arial"/>
          <w:sz w:val="11"/>
          <w:szCs w:val="11"/>
          <w:b w:val="1"/>
          <w:bCs w:val="1"/>
          <w:color w:val="auto"/>
        </w:rPr>
      </w:pPr>
      <w:r>
        <w:rPr>
          <w:rFonts w:ascii="Arial" w:cs="Arial" w:eastAsia="Arial" w:hAnsi="Arial"/>
          <w:sz w:val="11"/>
          <w:szCs w:val="11"/>
          <w:b w:val="1"/>
          <w:bCs w:val="1"/>
          <w:color w:val="auto"/>
        </w:rPr>
        <w:t>undertakings</w:t>
      </w:r>
    </w:p>
    <w:p>
      <w:pPr>
        <w:spacing w:after="0" w:line="261" w:lineRule="exact"/>
        <w:rPr>
          <w:sz w:val="20"/>
          <w:szCs w:val="20"/>
          <w:color w:val="auto"/>
        </w:rPr>
      </w:pPr>
    </w:p>
    <w:p>
      <w:pPr>
        <w:ind w:left="4"/>
        <w:spacing w:after="0"/>
        <w:tabs>
          <w:tab w:leader="none" w:pos="1343" w:val="left"/>
        </w:tabs>
        <w:rPr>
          <w:sz w:val="20"/>
          <w:szCs w:val="20"/>
          <w:color w:val="auto"/>
        </w:rPr>
      </w:pPr>
      <w:r>
        <w:rPr>
          <w:rFonts w:ascii="Arial" w:cs="Arial" w:eastAsia="Arial" w:hAnsi="Arial"/>
          <w:sz w:val="11"/>
          <w:szCs w:val="11"/>
          <w:b w:val="1"/>
          <w:bCs w:val="1"/>
          <w:color w:val="auto"/>
        </w:rPr>
        <w:t>8.1</w:t>
      </w:r>
      <w:r>
        <w:rPr>
          <w:sz w:val="20"/>
          <w:szCs w:val="20"/>
          <w:color w:val="auto"/>
        </w:rPr>
        <w:tab/>
      </w:r>
      <w:r>
        <w:rPr>
          <w:rFonts w:ascii="Arial" w:cs="Arial" w:eastAsia="Arial" w:hAnsi="Arial"/>
          <w:sz w:val="10"/>
          <w:szCs w:val="10"/>
          <w:b w:val="1"/>
          <w:bCs w:val="1"/>
          <w:color w:val="auto"/>
        </w:rPr>
        <w:t>General undertakings</w:t>
      </w:r>
    </w:p>
    <w:p>
      <w:pPr>
        <w:spacing w:after="0" w:line="12" w:lineRule="exact"/>
        <w:rPr>
          <w:sz w:val="20"/>
          <w:szCs w:val="20"/>
          <w:color w:val="auto"/>
        </w:rPr>
      </w:pPr>
    </w:p>
    <w:p>
      <w:pPr>
        <w:ind w:left="404"/>
        <w:spacing w:after="0"/>
        <w:rPr>
          <w:sz w:val="20"/>
          <w:szCs w:val="20"/>
          <w:color w:val="auto"/>
        </w:rPr>
      </w:pPr>
      <w:r>
        <w:rPr>
          <w:rFonts w:ascii="Arial" w:cs="Arial" w:eastAsia="Arial" w:hAnsi="Arial"/>
          <w:sz w:val="11"/>
          <w:szCs w:val="11"/>
          <w:color w:val="auto"/>
        </w:rPr>
        <w:t>The Borrower and the Charging Group (where applicable) undertake to Westpac NZ as follows, except to the extent that Westpac NZ agrees otherwise:</w:t>
      </w:r>
    </w:p>
    <w:p>
      <w:pPr>
        <w:spacing w:after="0" w:line="105" w:lineRule="exact"/>
        <w:rPr>
          <w:sz w:val="20"/>
          <w:szCs w:val="20"/>
          <w:color w:val="auto"/>
        </w:rPr>
      </w:pPr>
    </w:p>
    <w:p>
      <w:pPr>
        <w:ind w:left="644" w:hanging="644"/>
        <w:spacing w:after="0"/>
        <w:tabs>
          <w:tab w:leader="none" w:pos="644" w:val="left"/>
        </w:tabs>
        <w:numPr>
          <w:ilvl w:val="0"/>
          <w:numId w:val="109"/>
        </w:numPr>
        <w:rPr>
          <w:rFonts w:ascii="Arial" w:cs="Arial" w:eastAsia="Arial" w:hAnsi="Arial"/>
          <w:sz w:val="11"/>
          <w:szCs w:val="11"/>
          <w:b w:val="1"/>
          <w:bCs w:val="1"/>
          <w:color w:val="auto"/>
        </w:rPr>
      </w:pPr>
      <w:r>
        <w:rPr>
          <w:rFonts w:ascii="Arial" w:cs="Arial" w:eastAsia="Arial" w:hAnsi="Arial"/>
          <w:sz w:val="11"/>
          <w:szCs w:val="11"/>
          <w:b w:val="1"/>
          <w:bCs w:val="1"/>
          <w:color w:val="auto"/>
        </w:rPr>
        <w:t>Personal Property Securities Act 1999</w:t>
      </w:r>
    </w:p>
    <w:p>
      <w:pPr>
        <w:spacing w:after="0" w:line="3" w:lineRule="exact"/>
        <w:rPr>
          <w:sz w:val="20"/>
          <w:szCs w:val="20"/>
          <w:color w:val="auto"/>
        </w:rPr>
      </w:pPr>
    </w:p>
    <w:p>
      <w:pPr>
        <w:ind w:left="744" w:right="200"/>
        <w:spacing w:after="0" w:line="230" w:lineRule="auto"/>
        <w:rPr>
          <w:sz w:val="20"/>
          <w:szCs w:val="20"/>
          <w:color w:val="auto"/>
        </w:rPr>
      </w:pPr>
      <w:r>
        <w:rPr>
          <w:rFonts w:ascii="Arial" w:cs="Arial" w:eastAsia="Arial" w:hAnsi="Arial"/>
          <w:sz w:val="11"/>
          <w:szCs w:val="11"/>
          <w:color w:val="auto"/>
        </w:rPr>
        <w:t>Whenever Westpac NZ asks it to do anything to better secure any property which secures or is intended to secure financial accommodation from Westpac NZ (including, without limitation, the Loan), the Borrower must do it (or procure that it is done) immediately at its own cost. This may include signing and delivering documents and anything else that Westpac NZ requires to ensure that Westpac NZ has perfected security interest(s) under the Personal Property Securities Act 1999 ("PPSA").</w:t>
      </w:r>
    </w:p>
    <w:p>
      <w:pPr>
        <w:spacing w:after="0" w:line="104" w:lineRule="exact"/>
        <w:rPr>
          <w:sz w:val="20"/>
          <w:szCs w:val="20"/>
          <w:color w:val="auto"/>
        </w:rPr>
      </w:pPr>
    </w:p>
    <w:p>
      <w:pPr>
        <w:ind w:left="744"/>
        <w:spacing w:after="0"/>
        <w:rPr>
          <w:sz w:val="20"/>
          <w:szCs w:val="20"/>
          <w:color w:val="auto"/>
        </w:rPr>
      </w:pPr>
      <w:r>
        <w:rPr>
          <w:rFonts w:ascii="Arial" w:cs="Arial" w:eastAsia="Arial" w:hAnsi="Arial"/>
          <w:sz w:val="11"/>
          <w:szCs w:val="11"/>
          <w:color w:val="auto"/>
        </w:rPr>
        <w:t>The Borrower waives any rights to receive a copy of a verification statement under the PPSA and agrees, to the extent permitted by law, that in respect of any arrangement between the Borrower and</w:t>
      </w:r>
    </w:p>
    <w:p>
      <w:pPr>
        <w:ind w:left="744"/>
        <w:spacing w:after="0" w:line="222" w:lineRule="auto"/>
        <w:rPr>
          <w:sz w:val="20"/>
          <w:szCs w:val="20"/>
          <w:color w:val="auto"/>
        </w:rPr>
      </w:pPr>
      <w:r>
        <w:rPr>
          <w:rFonts w:ascii="Arial" w:cs="Arial" w:eastAsia="Arial" w:hAnsi="Arial"/>
          <w:sz w:val="11"/>
          <w:szCs w:val="11"/>
          <w:color w:val="auto"/>
        </w:rPr>
        <w:t>Westpac NZ:</w:t>
      </w:r>
    </w:p>
    <w:tbl>
      <w:tblPr>
        <w:tblLayout w:type="fixed"/>
        <w:tblInd w:w="4" w:type="dxa"/>
        <w:tblCellMar>
          <w:top w:w="0" w:type="dxa"/>
          <w:left w:w="0" w:type="dxa"/>
          <w:bottom w:w="0" w:type="dxa"/>
          <w:right w:w="0" w:type="dxa"/>
        </w:tblCellMar>
      </w:tblPr>
      <w:tr>
        <w:trPr>
          <w:trHeight w:val="117"/>
        </w:trPr>
        <w:tc>
          <w:tcPr>
            <w:tcW w:w="1020" w:type="dxa"/>
            <w:vAlign w:val="bottom"/>
          </w:tcPr>
          <w:p>
            <w:pPr>
              <w:ind w:left="740"/>
              <w:spacing w:after="0" w:line="117" w:lineRule="exact"/>
              <w:rPr>
                <w:sz w:val="20"/>
                <w:szCs w:val="20"/>
                <w:color w:val="auto"/>
              </w:rPr>
            </w:pPr>
            <w:r>
              <w:rPr>
                <w:rFonts w:ascii="Arial" w:cs="Arial" w:eastAsia="Arial" w:hAnsi="Arial"/>
                <w:sz w:val="11"/>
                <w:szCs w:val="11"/>
                <w:color w:val="auto"/>
              </w:rPr>
              <w:t>i)</w:t>
            </w:r>
          </w:p>
        </w:tc>
        <w:tc>
          <w:tcPr>
            <w:tcW w:w="9600" w:type="dxa"/>
            <w:vAlign w:val="bottom"/>
          </w:tcPr>
          <w:p>
            <w:pPr>
              <w:ind w:left="4460"/>
              <w:spacing w:after="0" w:line="117" w:lineRule="exact"/>
              <w:rPr>
                <w:sz w:val="20"/>
                <w:szCs w:val="20"/>
                <w:color w:val="auto"/>
              </w:rPr>
            </w:pPr>
            <w:r>
              <w:rPr>
                <w:rFonts w:ascii="Arial" w:cs="Arial" w:eastAsia="Arial" w:hAnsi="Arial"/>
                <w:sz w:val="11"/>
                <w:szCs w:val="11"/>
                <w:color w:val="auto"/>
              </w:rPr>
              <w:t>sections 114(1)(a), 133 and 134 of the PPSA shall not</w:t>
            </w:r>
          </w:p>
        </w:tc>
      </w:tr>
      <w:tr>
        <w:trPr>
          <w:trHeight w:val="117"/>
        </w:trPr>
        <w:tc>
          <w:tcPr>
            <w:tcW w:w="1020" w:type="dxa"/>
            <w:vAlign w:val="bottom"/>
          </w:tcPr>
          <w:p>
            <w:pPr>
              <w:spacing w:after="0"/>
              <w:rPr>
                <w:sz w:val="10"/>
                <w:szCs w:val="10"/>
                <w:color w:val="auto"/>
              </w:rPr>
            </w:pPr>
          </w:p>
        </w:tc>
        <w:tc>
          <w:tcPr>
            <w:tcW w:w="9600" w:type="dxa"/>
            <w:vAlign w:val="bottom"/>
          </w:tcPr>
          <w:p>
            <w:pPr>
              <w:ind w:left="4460"/>
              <w:spacing w:after="0" w:line="117" w:lineRule="exact"/>
              <w:rPr>
                <w:sz w:val="20"/>
                <w:szCs w:val="20"/>
                <w:color w:val="auto"/>
              </w:rPr>
            </w:pPr>
            <w:r>
              <w:rPr>
                <w:rFonts w:ascii="Arial" w:cs="Arial" w:eastAsia="Arial" w:hAnsi="Arial"/>
                <w:sz w:val="11"/>
                <w:szCs w:val="11"/>
                <w:color w:val="auto"/>
              </w:rPr>
              <w:t>apply;</w:t>
            </w:r>
          </w:p>
        </w:tc>
      </w:tr>
      <w:tr>
        <w:trPr>
          <w:trHeight w:val="130"/>
        </w:trPr>
        <w:tc>
          <w:tcPr>
            <w:tcW w:w="1020" w:type="dxa"/>
            <w:vAlign w:val="bottom"/>
          </w:tcPr>
          <w:p>
            <w:pPr>
              <w:ind w:left="740"/>
              <w:spacing w:after="0"/>
              <w:rPr>
                <w:sz w:val="20"/>
                <w:szCs w:val="20"/>
                <w:color w:val="auto"/>
              </w:rPr>
            </w:pPr>
            <w:r>
              <w:rPr>
                <w:rFonts w:ascii="Arial" w:cs="Arial" w:eastAsia="Arial" w:hAnsi="Arial"/>
                <w:sz w:val="11"/>
                <w:szCs w:val="11"/>
                <w:color w:val="auto"/>
              </w:rPr>
              <w:t>ii)</w:t>
            </w:r>
          </w:p>
        </w:tc>
        <w:tc>
          <w:tcPr>
            <w:tcW w:w="9600" w:type="dxa"/>
            <w:vAlign w:val="bottom"/>
          </w:tcPr>
          <w:p>
            <w:pPr>
              <w:ind w:left="200"/>
              <w:spacing w:after="0"/>
              <w:rPr>
                <w:sz w:val="20"/>
                <w:szCs w:val="20"/>
                <w:color w:val="auto"/>
              </w:rPr>
            </w:pPr>
            <w:r>
              <w:rPr>
                <w:rFonts w:ascii="Arial" w:cs="Arial" w:eastAsia="Arial" w:hAnsi="Arial"/>
                <w:sz w:val="11"/>
                <w:szCs w:val="11"/>
                <w:color w:val="auto"/>
              </w:rPr>
              <w:t>the Borrower shall have none of the rights referred to in paragraphs (c) to (e) and (h) to (j) of section 107(2) of the PPSA; and</w:t>
            </w:r>
          </w:p>
        </w:tc>
      </w:tr>
      <w:tr>
        <w:trPr>
          <w:trHeight w:val="452"/>
        </w:trPr>
        <w:tc>
          <w:tcPr>
            <w:tcW w:w="1020" w:type="dxa"/>
            <w:vAlign w:val="bottom"/>
            <w:tcBorders>
              <w:bottom w:val="single" w:sz="8" w:color="9A9A9A"/>
            </w:tcBorders>
          </w:tcPr>
          <w:p>
            <w:pPr>
              <w:spacing w:after="0"/>
              <w:rPr>
                <w:sz w:val="24"/>
                <w:szCs w:val="24"/>
                <w:color w:val="auto"/>
              </w:rPr>
            </w:pPr>
          </w:p>
        </w:tc>
        <w:tc>
          <w:tcPr>
            <w:tcW w:w="9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6722745</wp:posOffset>
            </wp:positionH>
            <wp:positionV relativeFrom="paragraph">
              <wp:posOffset>-29210</wp:posOffset>
            </wp:positionV>
            <wp:extent cx="31115"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31115" cy="42545"/>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-29210</wp:posOffset>
            </wp:positionV>
            <wp:extent cx="31115"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31115" cy="42545"/>
                    </a:xfrm>
                    <a:prstGeom prst="rect">
                      <a:avLst/>
                    </a:prstGeom>
                    <a:noFill/>
                  </pic:spPr>
                </pic:pic>
              </a:graphicData>
            </a:graphic>
          </wp:anchor>
        </w:drawing>
      </w:r>
    </w:p>
    <w:p>
      <w:pPr>
        <w:sectPr>
          <w:pgSz w:w="11900" w:h="16838" w:orient="portrait"/>
          <w:cols w:equalWidth="0" w:num="1">
            <w:col w:w="10624"/>
          </w:cols>
          <w:pgMar w:left="656" w:top="246" w:right="619" w:bottom="1440" w:gutter="0" w:footer="0" w:header="0"/>
          <w:type w:val="continuous"/>
        </w:sectPr>
      </w:pPr>
    </w:p>
    <w:bookmarkStart w:id="162" w:name="page163"/>
    <w:bookmarkEnd w:id="162"/>
    <w:p>
      <w:pPr>
        <w:ind w:left="1184" w:hanging="436"/>
        <w:spacing w:after="0"/>
        <w:tabs>
          <w:tab w:leader="none" w:pos="1184" w:val="left"/>
        </w:tabs>
        <w:numPr>
          <w:ilvl w:val="0"/>
          <w:numId w:val="110"/>
        </w:numPr>
        <w:rPr>
          <w:rFonts w:ascii="Arial" w:cs="Arial" w:eastAsia="Arial" w:hAnsi="Arial"/>
          <w:sz w:val="11"/>
          <w:szCs w:val="11"/>
          <w:color w:val="auto"/>
        </w:rPr>
      </w:pPr>
      <w:r>
        <w:rPr>
          <w:rFonts w:ascii="Arial" w:cs="Arial" w:eastAsia="Arial" w:hAnsi="Arial"/>
          <w:sz w:val="11"/>
          <w:szCs w:val="11"/>
          <w:color w:val="auto"/>
        </w:rPr>
        <w:t>where Westpac NZ has rights in addition to those in Part 9 of the PPSA, those rights shall continue to apply and, in particular, shall not be limited by section 109 of the PPSA.</w:t>
      </w:r>
    </w:p>
    <w:p>
      <w:pPr>
        <w:spacing w:after="0" w:line="108" w:lineRule="exact"/>
        <w:rPr>
          <w:sz w:val="20"/>
          <w:szCs w:val="20"/>
          <w:color w:val="auto"/>
        </w:rPr>
      </w:pPr>
    </w:p>
    <w:p>
      <w:pPr>
        <w:ind w:left="744" w:right="360"/>
        <w:spacing w:after="0" w:line="234" w:lineRule="auto"/>
        <w:rPr>
          <w:sz w:val="20"/>
          <w:szCs w:val="20"/>
          <w:color w:val="auto"/>
        </w:rPr>
      </w:pPr>
      <w:r>
        <w:rPr>
          <w:rFonts w:ascii="Arial" w:cs="Arial" w:eastAsia="Arial" w:hAnsi="Arial"/>
          <w:sz w:val="11"/>
          <w:szCs w:val="11"/>
          <w:color w:val="auto"/>
        </w:rPr>
        <w:t>The Borrower must, immediately upon request by Westpac NZ, procure from any person considered by Westpac NZ to be relevant to its security position such agreements and waivers (including as equivalent to those above) as Westpac NZ may at any time require.</w:t>
      </w:r>
    </w:p>
    <w:p>
      <w:pPr>
        <w:spacing w:after="0" w:line="102" w:lineRule="exact"/>
        <w:rPr>
          <w:sz w:val="20"/>
          <w:szCs w:val="20"/>
          <w:color w:val="auto"/>
        </w:rPr>
      </w:pPr>
    </w:p>
    <w:p>
      <w:pPr>
        <w:ind w:left="1324" w:hanging="1324"/>
        <w:spacing w:after="0"/>
        <w:tabs>
          <w:tab w:leader="none" w:pos="1324" w:val="left"/>
        </w:tabs>
        <w:numPr>
          <w:ilvl w:val="0"/>
          <w:numId w:val="111"/>
        </w:numPr>
        <w:rPr>
          <w:rFonts w:ascii="Arial" w:cs="Arial" w:eastAsia="Arial" w:hAnsi="Arial"/>
          <w:sz w:val="11"/>
          <w:szCs w:val="11"/>
          <w:b w:val="1"/>
          <w:bCs w:val="1"/>
          <w:color w:val="auto"/>
        </w:rPr>
      </w:pPr>
      <w:r>
        <w:rPr>
          <w:rFonts w:ascii="Arial" w:cs="Arial" w:eastAsia="Arial" w:hAnsi="Arial"/>
          <w:sz w:val="11"/>
          <w:szCs w:val="11"/>
          <w:b w:val="1"/>
          <w:bCs w:val="1"/>
          <w:color w:val="auto"/>
        </w:rPr>
        <w:t>project invoices</w:t>
      </w:r>
    </w:p>
    <w:p>
      <w:pPr>
        <w:spacing w:after="0" w:line="3" w:lineRule="exact"/>
        <w:rPr>
          <w:sz w:val="20"/>
          <w:szCs w:val="20"/>
          <w:color w:val="auto"/>
        </w:rPr>
      </w:pPr>
    </w:p>
    <w:p>
      <w:pPr>
        <w:ind w:left="744" w:right="180"/>
        <w:spacing w:after="0" w:line="234" w:lineRule="auto"/>
        <w:rPr>
          <w:sz w:val="20"/>
          <w:szCs w:val="20"/>
          <w:color w:val="auto"/>
        </w:rPr>
      </w:pPr>
      <w:r>
        <w:rPr>
          <w:rFonts w:ascii="Arial" w:cs="Arial" w:eastAsia="Arial" w:hAnsi="Arial"/>
          <w:sz w:val="11"/>
          <w:szCs w:val="11"/>
          <w:color w:val="auto"/>
        </w:rPr>
        <w:t>It must ensure that, until such time as the Development has been completed, it promptly provides to Westpac NZ (and in any event within 7 days after being requested by Westpac NZ) copies of project invoices and the Quantity Surveyor's monthly report, which are to be acceptable to Westpac NZ in its absolute discretion.</w:t>
      </w:r>
    </w:p>
    <w:p>
      <w:pPr>
        <w:spacing w:after="0" w:line="102" w:lineRule="exact"/>
        <w:rPr>
          <w:sz w:val="20"/>
          <w:szCs w:val="20"/>
          <w:color w:val="auto"/>
        </w:rPr>
      </w:pPr>
    </w:p>
    <w:p>
      <w:pPr>
        <w:ind w:left="4"/>
        <w:spacing w:after="0"/>
        <w:tabs>
          <w:tab w:leader="none" w:pos="1903" w:val="left"/>
        </w:tabs>
        <w:rPr>
          <w:sz w:val="20"/>
          <w:szCs w:val="20"/>
          <w:color w:val="auto"/>
        </w:rPr>
      </w:pPr>
      <w:r>
        <w:rPr>
          <w:rFonts w:ascii="Arial" w:cs="Arial" w:eastAsia="Arial" w:hAnsi="Arial"/>
          <w:sz w:val="11"/>
          <w:szCs w:val="11"/>
          <w:b w:val="1"/>
          <w:bCs w:val="1"/>
          <w:color w:val="auto"/>
        </w:rPr>
        <w:t>c)</w:t>
      </w:r>
      <w:r>
        <w:rPr>
          <w:sz w:val="20"/>
          <w:szCs w:val="20"/>
          <w:color w:val="auto"/>
        </w:rPr>
        <w:tab/>
      </w:r>
      <w:r>
        <w:rPr>
          <w:rFonts w:ascii="Arial" w:cs="Arial" w:eastAsia="Arial" w:hAnsi="Arial"/>
          <w:sz w:val="11"/>
          <w:szCs w:val="11"/>
          <w:b w:val="1"/>
          <w:bCs w:val="1"/>
          <w:color w:val="auto"/>
        </w:rPr>
        <w:t>valuation</w:t>
      </w:r>
    </w:p>
    <w:p>
      <w:pPr>
        <w:spacing w:after="0" w:line="12" w:lineRule="exact"/>
        <w:rPr>
          <w:sz w:val="20"/>
          <w:szCs w:val="20"/>
          <w:color w:val="auto"/>
        </w:rPr>
      </w:pPr>
    </w:p>
    <w:p>
      <w:pPr>
        <w:ind w:left="744" w:right="240"/>
        <w:spacing w:after="0" w:line="234" w:lineRule="auto"/>
        <w:rPr>
          <w:sz w:val="20"/>
          <w:szCs w:val="20"/>
          <w:color w:val="auto"/>
        </w:rPr>
      </w:pPr>
      <w:r>
        <w:rPr>
          <w:rFonts w:ascii="Arial" w:cs="Arial" w:eastAsia="Arial" w:hAnsi="Arial"/>
          <w:sz w:val="11"/>
          <w:szCs w:val="11"/>
          <w:color w:val="auto"/>
        </w:rPr>
        <w:t>It must ensure that, within 45 days of a written request being made by Westpac NZ, Westpac NZ is provided with up-to-date valuations for all assets of the Group secured to Westpac NZ (including the leasehold interests in the cinemas). The valuations must be:</w:t>
      </w:r>
    </w:p>
    <w:p>
      <w:pPr>
        <w:sectPr>
          <w:pgSz w:w="11900" w:h="16838" w:orient="portrait"/>
          <w:cols w:equalWidth="0" w:num="1">
            <w:col w:w="10504"/>
          </w:cols>
          <w:pgMar w:left="656" w:top="258" w:right="739" w:bottom="1440" w:gutter="0" w:footer="0" w:header="0"/>
        </w:sectPr>
      </w:pPr>
    </w:p>
    <w:p>
      <w:pPr>
        <w:ind w:left="744"/>
        <w:spacing w:after="0"/>
        <w:rPr>
          <w:sz w:val="20"/>
          <w:szCs w:val="20"/>
          <w:color w:val="auto"/>
        </w:rPr>
      </w:pPr>
      <w:r>
        <w:rPr>
          <w:rFonts w:ascii="Arial" w:cs="Arial" w:eastAsia="Arial" w:hAnsi="Arial"/>
          <w:sz w:val="10"/>
          <w:szCs w:val="10"/>
          <w:color w:val="auto"/>
        </w:rPr>
        <w:t>i)</w:t>
      </w:r>
    </w:p>
    <w:p>
      <w:pPr>
        <w:spacing w:after="0" w:line="20" w:lineRule="exact"/>
        <w:rPr>
          <w:sz w:val="20"/>
          <w:szCs w:val="20"/>
          <w:color w:val="auto"/>
        </w:rPr>
      </w:pPr>
      <w:r>
        <w:rPr>
          <w:sz w:val="20"/>
          <w:szCs w:val="20"/>
          <w:color w:val="auto"/>
        </w:rPr>
        <w:br w:type="column"/>
      </w:r>
    </w:p>
    <w:p>
      <w:pPr>
        <w:spacing w:after="0" w:line="218" w:lineRule="auto"/>
        <w:rPr>
          <w:sz w:val="20"/>
          <w:szCs w:val="20"/>
          <w:color w:val="auto"/>
        </w:rPr>
      </w:pPr>
      <w:r>
        <w:rPr>
          <w:rFonts w:ascii="Arial" w:cs="Arial" w:eastAsia="Arial" w:hAnsi="Arial"/>
          <w:sz w:val="10"/>
          <w:szCs w:val="10"/>
          <w:color w:val="auto"/>
        </w:rPr>
        <w:t>addressed</w:t>
      </w:r>
    </w:p>
    <w:p>
      <w:pPr>
        <w:spacing w:after="0" w:line="222" w:lineRule="auto"/>
        <w:rPr>
          <w:sz w:val="20"/>
          <w:szCs w:val="20"/>
          <w:color w:val="auto"/>
        </w:rPr>
      </w:pPr>
      <w:r>
        <w:rPr>
          <w:rFonts w:ascii="Arial" w:cs="Arial" w:eastAsia="Arial" w:hAnsi="Arial"/>
          <w:sz w:val="11"/>
          <w:szCs w:val="11"/>
          <w:color w:val="auto"/>
        </w:rPr>
        <w:t>to</w:t>
      </w:r>
    </w:p>
    <w:p>
      <w:pPr>
        <w:spacing w:after="0" w:line="222" w:lineRule="auto"/>
        <w:rPr>
          <w:sz w:val="20"/>
          <w:szCs w:val="20"/>
          <w:color w:val="auto"/>
        </w:rPr>
      </w:pPr>
      <w:r>
        <w:rPr>
          <w:rFonts w:ascii="Arial" w:cs="Arial" w:eastAsia="Arial" w:hAnsi="Arial"/>
          <w:sz w:val="11"/>
          <w:szCs w:val="11"/>
          <w:color w:val="auto"/>
        </w:rPr>
        <w:t>Westpac</w:t>
      </w:r>
    </w:p>
    <w:p>
      <w:pPr>
        <w:spacing w:after="0"/>
        <w:rPr>
          <w:sz w:val="20"/>
          <w:szCs w:val="20"/>
          <w:color w:val="auto"/>
        </w:rPr>
      </w:pPr>
      <w:r>
        <w:rPr>
          <w:rFonts w:ascii="Arial" w:cs="Arial" w:eastAsia="Arial" w:hAnsi="Arial"/>
          <w:sz w:val="11"/>
          <w:szCs w:val="11"/>
          <w:color w:val="auto"/>
        </w:rPr>
        <w:t>NZ;</w:t>
      </w:r>
    </w:p>
    <w:p>
      <w:pPr>
        <w:spacing w:after="0" w:line="1" w:lineRule="exact"/>
        <w:rPr>
          <w:sz w:val="20"/>
          <w:szCs w:val="20"/>
          <w:color w:val="auto"/>
        </w:rPr>
      </w:pPr>
    </w:p>
    <w:p>
      <w:pPr>
        <w:sectPr>
          <w:pgSz w:w="11900" w:h="16838" w:orient="portrait"/>
          <w:cols w:equalWidth="0" w:num="2">
            <w:col w:w="8024" w:space="720"/>
            <w:col w:w="1760"/>
          </w:cols>
          <w:pgMar w:left="656" w:top="258" w:right="739" w:bottom="1440" w:gutter="0" w:footer="0" w:header="0"/>
          <w:type w:val="continuous"/>
        </w:sectPr>
      </w:pPr>
    </w:p>
    <w:p>
      <w:pPr>
        <w:spacing w:after="0" w:line="2" w:lineRule="exact"/>
        <w:rPr>
          <w:sz w:val="20"/>
          <w:szCs w:val="20"/>
          <w:color w:val="auto"/>
        </w:rPr>
      </w:pPr>
    </w:p>
    <w:p>
      <w:pPr>
        <w:ind w:left="744"/>
        <w:spacing w:after="0"/>
        <w:rPr>
          <w:sz w:val="20"/>
          <w:szCs w:val="20"/>
          <w:color w:val="auto"/>
        </w:rPr>
      </w:pPr>
      <w:r>
        <w:rPr>
          <w:rFonts w:ascii="Arial" w:cs="Arial" w:eastAsia="Arial" w:hAnsi="Arial"/>
          <w:sz w:val="10"/>
          <w:szCs w:val="10"/>
          <w:color w:val="auto"/>
        </w:rPr>
        <w:t>ii)</w:t>
      </w:r>
    </w:p>
    <w:p>
      <w:pPr>
        <w:spacing w:after="0" w:line="20" w:lineRule="exact"/>
        <w:rPr>
          <w:sz w:val="20"/>
          <w:szCs w:val="20"/>
          <w:color w:val="auto"/>
        </w:rPr>
      </w:pPr>
      <w:r>
        <w:rPr>
          <w:sz w:val="20"/>
          <w:szCs w:val="20"/>
          <w:color w:val="auto"/>
        </w:rPr>
        <w:br w:type="column"/>
      </w:r>
    </w:p>
    <w:p>
      <w:pPr>
        <w:spacing w:after="0" w:line="224" w:lineRule="auto"/>
        <w:rPr>
          <w:sz w:val="20"/>
          <w:szCs w:val="20"/>
          <w:color w:val="auto"/>
        </w:rPr>
      </w:pPr>
      <w:r>
        <w:rPr>
          <w:rFonts w:ascii="Arial" w:cs="Arial" w:eastAsia="Arial" w:hAnsi="Arial"/>
          <w:sz w:val="10"/>
          <w:szCs w:val="10"/>
          <w:color w:val="auto"/>
        </w:rPr>
        <w:t>provided by a registered valuer acceptable to</w:t>
      </w:r>
    </w:p>
    <w:p>
      <w:pPr>
        <w:spacing w:after="0"/>
        <w:rPr>
          <w:sz w:val="20"/>
          <w:szCs w:val="20"/>
          <w:color w:val="auto"/>
        </w:rPr>
      </w:pPr>
      <w:r>
        <w:rPr>
          <w:rFonts w:ascii="Arial" w:cs="Arial" w:eastAsia="Arial" w:hAnsi="Arial"/>
          <w:sz w:val="11"/>
          <w:szCs w:val="11"/>
          <w:color w:val="auto"/>
        </w:rPr>
        <w:t>Westpac NZ;</w:t>
      </w:r>
    </w:p>
    <w:p>
      <w:pPr>
        <w:spacing w:after="0" w:line="1" w:lineRule="exact"/>
        <w:rPr>
          <w:sz w:val="20"/>
          <w:szCs w:val="20"/>
          <w:color w:val="auto"/>
        </w:rPr>
      </w:pPr>
    </w:p>
    <w:p>
      <w:pPr>
        <w:sectPr>
          <w:pgSz w:w="11900" w:h="16838" w:orient="portrait"/>
          <w:cols w:equalWidth="0" w:num="2">
            <w:col w:w="4964" w:space="720"/>
            <w:col w:w="4820"/>
          </w:cols>
          <w:pgMar w:left="656" w:top="258" w:right="739" w:bottom="1440" w:gutter="0" w:footer="0" w:header="0"/>
          <w:type w:val="continuous"/>
        </w:sectPr>
      </w:pPr>
    </w:p>
    <w:p>
      <w:pPr>
        <w:ind w:left="744"/>
        <w:spacing w:after="0" w:line="204" w:lineRule="auto"/>
        <w:tabs>
          <w:tab w:leader="none" w:pos="7203" w:val="left"/>
        </w:tabs>
        <w:rPr>
          <w:sz w:val="20"/>
          <w:szCs w:val="20"/>
          <w:color w:val="auto"/>
        </w:rPr>
      </w:pPr>
      <w:r>
        <w:rPr>
          <w:rFonts w:ascii="Arial" w:cs="Arial" w:eastAsia="Arial" w:hAnsi="Arial"/>
          <w:sz w:val="11"/>
          <w:szCs w:val="11"/>
          <w:color w:val="auto"/>
        </w:rPr>
        <w:t>iii)</w:t>
      </w:r>
      <w:r>
        <w:rPr>
          <w:sz w:val="20"/>
          <w:szCs w:val="20"/>
          <w:color w:val="auto"/>
        </w:rPr>
        <w:tab/>
      </w:r>
      <w:r>
        <w:rPr>
          <w:rFonts w:ascii="Arial" w:cs="Arial" w:eastAsia="Arial" w:hAnsi="Arial"/>
          <w:sz w:val="11"/>
          <w:szCs w:val="11"/>
          <w:color w:val="auto"/>
        </w:rPr>
        <w:t>in a format</w:t>
      </w:r>
    </w:p>
    <w:p>
      <w:pPr>
        <w:ind w:left="7224"/>
        <w:spacing w:after="0" w:line="222" w:lineRule="auto"/>
        <w:rPr>
          <w:sz w:val="20"/>
          <w:szCs w:val="20"/>
          <w:color w:val="auto"/>
        </w:rPr>
      </w:pPr>
      <w:r>
        <w:rPr>
          <w:rFonts w:ascii="Arial" w:cs="Arial" w:eastAsia="Arial" w:hAnsi="Arial"/>
          <w:sz w:val="11"/>
          <w:szCs w:val="11"/>
          <w:color w:val="auto"/>
        </w:rPr>
        <w:t>acceptable</w:t>
      </w:r>
    </w:p>
    <w:p>
      <w:pPr>
        <w:ind w:left="7224"/>
        <w:spacing w:after="0" w:line="222" w:lineRule="auto"/>
        <w:rPr>
          <w:sz w:val="20"/>
          <w:szCs w:val="20"/>
          <w:color w:val="auto"/>
        </w:rPr>
      </w:pPr>
      <w:r>
        <w:rPr>
          <w:rFonts w:ascii="Arial" w:cs="Arial" w:eastAsia="Arial" w:hAnsi="Arial"/>
          <w:sz w:val="11"/>
          <w:szCs w:val="11"/>
          <w:color w:val="auto"/>
        </w:rPr>
        <w:t>to</w:t>
      </w:r>
    </w:p>
    <w:p>
      <w:pPr>
        <w:ind w:left="7224"/>
        <w:spacing w:after="0" w:line="222" w:lineRule="auto"/>
        <w:rPr>
          <w:sz w:val="20"/>
          <w:szCs w:val="20"/>
          <w:color w:val="auto"/>
        </w:rPr>
      </w:pPr>
      <w:r>
        <w:rPr>
          <w:rFonts w:ascii="Arial" w:cs="Arial" w:eastAsia="Arial" w:hAnsi="Arial"/>
          <w:sz w:val="11"/>
          <w:szCs w:val="11"/>
          <w:color w:val="auto"/>
        </w:rPr>
        <w:t>Westpac</w:t>
      </w:r>
    </w:p>
    <w:p>
      <w:pPr>
        <w:ind w:left="7224"/>
        <w:spacing w:after="0" w:line="223" w:lineRule="auto"/>
        <w:rPr>
          <w:sz w:val="20"/>
          <w:szCs w:val="20"/>
          <w:color w:val="auto"/>
        </w:rPr>
      </w:pPr>
      <w:r>
        <w:rPr>
          <w:rFonts w:ascii="Arial" w:cs="Arial" w:eastAsia="Arial" w:hAnsi="Arial"/>
          <w:sz w:val="11"/>
          <w:szCs w:val="11"/>
          <w:color w:val="auto"/>
        </w:rPr>
        <w:t>NZ; and</w:t>
      </w:r>
    </w:p>
    <w:p>
      <w:pPr>
        <w:ind w:left="744"/>
        <w:spacing w:after="0"/>
        <w:tabs>
          <w:tab w:leader="none" w:pos="5123" w:val="left"/>
        </w:tabs>
        <w:rPr>
          <w:sz w:val="20"/>
          <w:szCs w:val="20"/>
          <w:color w:val="auto"/>
        </w:rPr>
      </w:pPr>
      <w:r>
        <w:rPr>
          <w:rFonts w:ascii="Arial" w:cs="Arial" w:eastAsia="Arial" w:hAnsi="Arial"/>
          <w:sz w:val="10"/>
          <w:szCs w:val="10"/>
          <w:color w:val="auto"/>
        </w:rPr>
        <w:t>iv)</w:t>
      </w:r>
      <w:r>
        <w:rPr>
          <w:sz w:val="20"/>
          <w:szCs w:val="20"/>
          <w:color w:val="auto"/>
        </w:rPr>
        <w:tab/>
      </w:r>
      <w:r>
        <w:rPr>
          <w:rFonts w:ascii="Arial" w:cs="Arial" w:eastAsia="Arial" w:hAnsi="Arial"/>
          <w:sz w:val="10"/>
          <w:szCs w:val="10"/>
          <w:color w:val="auto"/>
        </w:rPr>
        <w:t>satisfactory to Westpac NZ in its absolute discretion in all respects.</w:t>
      </w:r>
    </w:p>
    <w:p>
      <w:pPr>
        <w:sectPr>
          <w:pgSz w:w="11900" w:h="16838" w:orient="portrait"/>
          <w:cols w:equalWidth="0" w:num="1">
            <w:col w:w="10504"/>
          </w:cols>
          <w:pgMar w:left="656" w:top="258" w:right="739" w:bottom="1440" w:gutter="0" w:footer="0" w:header="0"/>
          <w:type w:val="continuous"/>
        </w:sectPr>
      </w:pPr>
    </w:p>
    <w:p>
      <w:pPr>
        <w:spacing w:after="0" w:line="5" w:lineRule="exact"/>
        <w:rPr>
          <w:sz w:val="20"/>
          <w:szCs w:val="20"/>
          <w:color w:val="auto"/>
        </w:rPr>
      </w:pPr>
    </w:p>
    <w:p>
      <w:pPr>
        <w:ind w:left="744"/>
        <w:spacing w:after="0"/>
        <w:rPr>
          <w:sz w:val="20"/>
          <w:szCs w:val="20"/>
          <w:color w:val="auto"/>
        </w:rPr>
      </w:pPr>
      <w:r>
        <w:rPr>
          <w:rFonts w:ascii="Arial" w:cs="Arial" w:eastAsia="Arial" w:hAnsi="Arial"/>
          <w:sz w:val="11"/>
          <w:szCs w:val="11"/>
          <w:color w:val="auto"/>
        </w:rPr>
        <w:t>Westpac NZ will not request such valuations more than once per year unless, in Westpac NZ's reasonable opinion, there has been a material change in the value of the Group's assets.</w:t>
      </w:r>
    </w:p>
    <w:p>
      <w:pPr>
        <w:spacing w:after="0" w:line="101" w:lineRule="exact"/>
        <w:rPr>
          <w:sz w:val="20"/>
          <w:szCs w:val="20"/>
          <w:color w:val="auto"/>
        </w:rPr>
      </w:pPr>
    </w:p>
    <w:p>
      <w:pPr>
        <w:ind w:left="924" w:hanging="924"/>
        <w:spacing w:after="0"/>
        <w:tabs>
          <w:tab w:leader="none" w:pos="924" w:val="left"/>
        </w:tabs>
        <w:numPr>
          <w:ilvl w:val="0"/>
          <w:numId w:val="112"/>
        </w:numPr>
        <w:rPr>
          <w:rFonts w:ascii="Arial" w:cs="Arial" w:eastAsia="Arial" w:hAnsi="Arial"/>
          <w:sz w:val="11"/>
          <w:szCs w:val="11"/>
          <w:b w:val="1"/>
          <w:bCs w:val="1"/>
          <w:color w:val="auto"/>
        </w:rPr>
      </w:pPr>
      <w:r>
        <w:rPr>
          <w:rFonts w:ascii="Arial" w:cs="Arial" w:eastAsia="Arial" w:hAnsi="Arial"/>
          <w:sz w:val="11"/>
          <w:szCs w:val="11"/>
          <w:b w:val="1"/>
          <w:bCs w:val="1"/>
          <w:color w:val="auto"/>
        </w:rPr>
        <w:t>reporting and information</w:t>
      </w:r>
    </w:p>
    <w:p>
      <w:pPr>
        <w:spacing w:after="0" w:line="120" w:lineRule="exact"/>
        <w:rPr>
          <w:sz w:val="20"/>
          <w:szCs w:val="20"/>
          <w:color w:val="auto"/>
        </w:rPr>
      </w:pPr>
    </w:p>
    <w:p>
      <w:pPr>
        <w:ind w:left="1124" w:right="20" w:hanging="376"/>
        <w:spacing w:after="0" w:line="222" w:lineRule="auto"/>
        <w:tabs>
          <w:tab w:leader="none" w:pos="1124" w:val="left"/>
        </w:tabs>
        <w:numPr>
          <w:ilvl w:val="0"/>
          <w:numId w:val="113"/>
        </w:numPr>
        <w:rPr>
          <w:rFonts w:ascii="Arial" w:cs="Arial" w:eastAsia="Arial" w:hAnsi="Arial"/>
          <w:sz w:val="11"/>
          <w:szCs w:val="11"/>
          <w:color w:val="auto"/>
        </w:rPr>
      </w:pPr>
      <w:r>
        <w:rPr>
          <w:rFonts w:ascii="Arial" w:cs="Arial" w:eastAsia="Arial" w:hAnsi="Arial"/>
          <w:sz w:val="11"/>
          <w:szCs w:val="11"/>
          <w:color w:val="auto"/>
        </w:rPr>
        <w:t>as soon as practicable (and in any event not later than 120 days) after the close of each financial year copies of the Group's consolidated balance sheet and profit and loss account for that financial year all of which must be audited unless Westpac NZ agrees otherwise;</w:t>
      </w:r>
    </w:p>
    <w:p>
      <w:pPr>
        <w:ind w:left="1144" w:right="280" w:hanging="396"/>
        <w:spacing w:after="0" w:line="222" w:lineRule="auto"/>
        <w:tabs>
          <w:tab w:leader="none" w:pos="1144" w:val="left"/>
        </w:tabs>
        <w:numPr>
          <w:ilvl w:val="0"/>
          <w:numId w:val="113"/>
        </w:numPr>
        <w:rPr>
          <w:rFonts w:ascii="Arial" w:cs="Arial" w:eastAsia="Arial" w:hAnsi="Arial"/>
          <w:sz w:val="11"/>
          <w:szCs w:val="11"/>
          <w:color w:val="auto"/>
        </w:rPr>
      </w:pPr>
      <w:r>
        <w:rPr>
          <w:rFonts w:ascii="Arial" w:cs="Arial" w:eastAsia="Arial" w:hAnsi="Arial"/>
          <w:sz w:val="11"/>
          <w:szCs w:val="11"/>
          <w:color w:val="auto"/>
        </w:rPr>
        <w:t>as soon as practicable (and in any event not later than 45 days) after the close of each financial quarter copies of the Group's unaudited management accounts (showing performance against budget for each asset) for that financial quarter;</w:t>
      </w:r>
    </w:p>
    <w:p>
      <w:pPr>
        <w:ind w:left="1164" w:right="340" w:hanging="416"/>
        <w:spacing w:after="0" w:line="222" w:lineRule="auto"/>
        <w:tabs>
          <w:tab w:leader="none" w:pos="1164" w:val="left"/>
        </w:tabs>
        <w:numPr>
          <w:ilvl w:val="0"/>
          <w:numId w:val="113"/>
        </w:numPr>
        <w:rPr>
          <w:rFonts w:ascii="Arial" w:cs="Arial" w:eastAsia="Arial" w:hAnsi="Arial"/>
          <w:sz w:val="11"/>
          <w:szCs w:val="11"/>
          <w:color w:val="auto"/>
        </w:rPr>
      </w:pPr>
      <w:r>
        <w:rPr>
          <w:rFonts w:ascii="Arial" w:cs="Arial" w:eastAsia="Arial" w:hAnsi="Arial"/>
          <w:sz w:val="11"/>
          <w:szCs w:val="11"/>
          <w:color w:val="auto"/>
        </w:rPr>
        <w:t>prior to the start of each financial year, the Group's financial budget for that financial year, which is to show forecast expenditure on capital items and repairs and maintenance for each asset secured to Westpac NZ together with a brief commentary on such expenditure;</w:t>
      </w:r>
    </w:p>
    <w:p>
      <w:pPr>
        <w:ind w:left="1164" w:right="240" w:hanging="416"/>
        <w:spacing w:after="0" w:line="222" w:lineRule="auto"/>
        <w:tabs>
          <w:tab w:leader="none" w:pos="1164" w:val="left"/>
        </w:tabs>
        <w:numPr>
          <w:ilvl w:val="0"/>
          <w:numId w:val="113"/>
        </w:numPr>
        <w:rPr>
          <w:rFonts w:ascii="Arial" w:cs="Arial" w:eastAsia="Arial" w:hAnsi="Arial"/>
          <w:sz w:val="11"/>
          <w:szCs w:val="11"/>
          <w:color w:val="auto"/>
        </w:rPr>
      </w:pPr>
      <w:r>
        <w:rPr>
          <w:rFonts w:ascii="Arial" w:cs="Arial" w:eastAsia="Arial" w:hAnsi="Arial"/>
          <w:sz w:val="11"/>
          <w:szCs w:val="11"/>
          <w:color w:val="auto"/>
        </w:rPr>
        <w:t>at the same time the information required by paragraph 8.1(d)(i) is provided to Westpac NZ, a commentary on the Group's capital expenditure and repairs and maintenance undertaken by the Group for that financial year in respect of each asset secured to Westpac NZ; and</w:t>
      </w:r>
    </w:p>
    <w:p>
      <w:pPr>
        <w:ind w:left="1144" w:right="400" w:hanging="396"/>
        <w:spacing w:after="0" w:line="234" w:lineRule="auto"/>
        <w:tabs>
          <w:tab w:leader="none" w:pos="1144" w:val="left"/>
        </w:tabs>
        <w:numPr>
          <w:ilvl w:val="0"/>
          <w:numId w:val="113"/>
        </w:numPr>
        <w:rPr>
          <w:rFonts w:ascii="Arial" w:cs="Arial" w:eastAsia="Arial" w:hAnsi="Arial"/>
          <w:sz w:val="11"/>
          <w:szCs w:val="11"/>
          <w:color w:val="auto"/>
        </w:rPr>
      </w:pPr>
      <w:r>
        <w:rPr>
          <w:rFonts w:ascii="Arial" w:cs="Arial" w:eastAsia="Arial" w:hAnsi="Arial"/>
          <w:sz w:val="11"/>
          <w:szCs w:val="11"/>
          <w:color w:val="auto"/>
        </w:rPr>
        <w:t>promptly (and in any event within 7 days after request by Westpac NZ) any other information in relation to the Group's assets, financial condition or business which Westpac NZ reasonably requests.</w:t>
      </w:r>
    </w:p>
    <w:p>
      <w:pPr>
        <w:sectPr>
          <w:pgSz w:w="11900" w:h="16838" w:orient="portrait"/>
          <w:cols w:equalWidth="0" w:num="1">
            <w:col w:w="10504"/>
          </w:cols>
          <w:pgMar w:left="656" w:top="258" w:right="739" w:bottom="1440" w:gutter="0" w:footer="0" w:header="0"/>
          <w:type w:val="continuous"/>
        </w:sectPr>
      </w:pPr>
    </w:p>
    <w:p>
      <w:pPr>
        <w:spacing w:after="0" w:line="102" w:lineRule="exact"/>
        <w:rPr>
          <w:sz w:val="20"/>
          <w:szCs w:val="20"/>
          <w:color w:val="auto"/>
        </w:rPr>
      </w:pPr>
    </w:p>
    <w:p>
      <w:pPr>
        <w:ind w:left="4"/>
        <w:spacing w:after="0"/>
        <w:rPr>
          <w:sz w:val="20"/>
          <w:szCs w:val="20"/>
          <w:color w:val="auto"/>
        </w:rPr>
      </w:pPr>
      <w:r>
        <w:rPr>
          <w:rFonts w:ascii="Arial" w:cs="Arial" w:eastAsia="Arial" w:hAnsi="Arial"/>
          <w:sz w:val="11"/>
          <w:szCs w:val="11"/>
          <w:b w:val="1"/>
          <w:bCs w:val="1"/>
          <w:color w:val="auto"/>
        </w:rPr>
        <w:t>e)</w:t>
      </w:r>
    </w:p>
    <w:p>
      <w:pPr>
        <w:spacing w:after="0" w:line="20" w:lineRule="exact"/>
        <w:rPr>
          <w:sz w:val="20"/>
          <w:szCs w:val="20"/>
          <w:color w:val="auto"/>
        </w:rPr>
      </w:pPr>
      <w:r>
        <w:rPr>
          <w:sz w:val="20"/>
          <w:szCs w:val="20"/>
          <w:color w:val="auto"/>
        </w:rPr>
        <w:br w:type="column"/>
      </w:r>
    </w:p>
    <w:p>
      <w:pPr>
        <w:spacing w:after="0" w:line="82" w:lineRule="exact"/>
        <w:rPr>
          <w:sz w:val="20"/>
          <w:szCs w:val="20"/>
          <w:color w:val="auto"/>
        </w:rPr>
      </w:pPr>
    </w:p>
    <w:p>
      <w:pPr>
        <w:ind w:left="220"/>
        <w:spacing w:after="0"/>
        <w:rPr>
          <w:sz w:val="20"/>
          <w:szCs w:val="20"/>
          <w:color w:val="auto"/>
        </w:rPr>
      </w:pPr>
      <w:r>
        <w:rPr>
          <w:rFonts w:ascii="Arial" w:cs="Arial" w:eastAsia="Arial" w:hAnsi="Arial"/>
          <w:sz w:val="11"/>
          <w:szCs w:val="11"/>
          <w:b w:val="1"/>
          <w:bCs w:val="1"/>
          <w:color w:val="auto"/>
        </w:rPr>
        <w:t>accounting standards</w:t>
      </w:r>
    </w:p>
    <w:p>
      <w:pPr>
        <w:spacing w:after="0" w:line="227" w:lineRule="auto"/>
        <w:rPr>
          <w:sz w:val="20"/>
          <w:szCs w:val="20"/>
          <w:color w:val="auto"/>
        </w:rPr>
      </w:pPr>
      <w:r>
        <w:rPr>
          <w:rFonts w:ascii="Arial" w:cs="Arial" w:eastAsia="Arial" w:hAnsi="Arial"/>
          <w:sz w:val="11"/>
          <w:szCs w:val="11"/>
          <w:color w:val="auto"/>
        </w:rPr>
        <w:t>It must ensure that the financial statements of the Group, at any time delivered to Westpac NZ:</w:t>
      </w:r>
    </w:p>
    <w:p>
      <w:pPr>
        <w:spacing w:after="0"/>
        <w:tabs>
          <w:tab w:leader="none" w:pos="4720" w:val="left"/>
        </w:tabs>
        <w:rPr>
          <w:sz w:val="20"/>
          <w:szCs w:val="20"/>
          <w:color w:val="auto"/>
        </w:rPr>
      </w:pPr>
      <w:r>
        <w:rPr>
          <w:rFonts w:ascii="Arial" w:cs="Arial" w:eastAsia="Arial" w:hAnsi="Arial"/>
          <w:sz w:val="10"/>
          <w:szCs w:val="10"/>
          <w:color w:val="auto"/>
        </w:rPr>
        <w:t>i)</w:t>
      </w:r>
      <w:r>
        <w:rPr>
          <w:sz w:val="20"/>
          <w:szCs w:val="20"/>
          <w:color w:val="auto"/>
        </w:rPr>
        <w:tab/>
      </w:r>
      <w:r>
        <w:rPr>
          <w:rFonts w:ascii="Arial" w:cs="Arial" w:eastAsia="Arial" w:hAnsi="Arial"/>
          <w:sz w:val="10"/>
          <w:szCs w:val="10"/>
          <w:color w:val="auto"/>
        </w:rPr>
        <w:t>are prepared in accordance with current accounting</w:t>
      </w:r>
    </w:p>
    <w:p>
      <w:pPr>
        <w:spacing w:after="0" w:line="2" w:lineRule="exact"/>
        <w:rPr>
          <w:sz w:val="20"/>
          <w:szCs w:val="20"/>
          <w:color w:val="auto"/>
        </w:rPr>
      </w:pPr>
    </w:p>
    <w:p>
      <w:pPr>
        <w:ind w:left="4740"/>
        <w:spacing w:after="0"/>
        <w:rPr>
          <w:sz w:val="20"/>
          <w:szCs w:val="20"/>
          <w:color w:val="auto"/>
        </w:rPr>
      </w:pPr>
      <w:r>
        <w:rPr>
          <w:rFonts w:ascii="Arial" w:cs="Arial" w:eastAsia="Arial" w:hAnsi="Arial"/>
          <w:sz w:val="11"/>
          <w:szCs w:val="11"/>
          <w:color w:val="auto"/>
        </w:rPr>
        <w:t>practice;</w:t>
      </w:r>
    </w:p>
    <w:p>
      <w:pPr>
        <w:spacing w:after="0" w:line="1" w:lineRule="exact"/>
        <w:rPr>
          <w:sz w:val="20"/>
          <w:szCs w:val="20"/>
          <w:color w:val="auto"/>
        </w:rPr>
      </w:pPr>
    </w:p>
    <w:p>
      <w:pPr>
        <w:sectPr>
          <w:pgSz w:w="11900" w:h="16838" w:orient="portrait"/>
          <w:cols w:equalWidth="0" w:num="2">
            <w:col w:w="104" w:space="640"/>
            <w:col w:w="9760"/>
          </w:cols>
          <w:pgMar w:left="656" w:top="258" w:right="739" w:bottom="1440" w:gutter="0" w:footer="0" w:header="0"/>
          <w:type w:val="continuous"/>
        </w:sectPr>
      </w:pPr>
    </w:p>
    <w:p>
      <w:pPr>
        <w:ind w:left="1204" w:hanging="456"/>
        <w:spacing w:after="0" w:line="204" w:lineRule="auto"/>
        <w:tabs>
          <w:tab w:leader="none" w:pos="1204" w:val="left"/>
        </w:tabs>
        <w:numPr>
          <w:ilvl w:val="0"/>
          <w:numId w:val="114"/>
        </w:numPr>
        <w:rPr>
          <w:rFonts w:ascii="Arial" w:cs="Arial" w:eastAsia="Arial" w:hAnsi="Arial"/>
          <w:sz w:val="11"/>
          <w:szCs w:val="11"/>
          <w:color w:val="auto"/>
        </w:rPr>
      </w:pPr>
      <w:r>
        <w:rPr>
          <w:rFonts w:ascii="Arial" w:cs="Arial" w:eastAsia="Arial" w:hAnsi="Arial"/>
          <w:sz w:val="11"/>
          <w:szCs w:val="11"/>
          <w:color w:val="auto"/>
        </w:rPr>
        <w:t>give a true and fair view of the Group's financial position and operations as at the date, and for the period to which the financial statements relate;</w:t>
      </w:r>
    </w:p>
    <w:p>
      <w:pPr>
        <w:ind w:left="744"/>
        <w:spacing w:after="0" w:line="222" w:lineRule="auto"/>
        <w:tabs>
          <w:tab w:leader="none" w:pos="3123" w:val="left"/>
        </w:tabs>
        <w:rPr>
          <w:sz w:val="20"/>
          <w:szCs w:val="20"/>
          <w:color w:val="auto"/>
        </w:rPr>
      </w:pPr>
      <w:r>
        <w:rPr>
          <w:rFonts w:ascii="Arial" w:cs="Arial" w:eastAsia="Arial" w:hAnsi="Arial"/>
          <w:sz w:val="11"/>
          <w:szCs w:val="11"/>
          <w:color w:val="auto"/>
        </w:rPr>
        <w:t>iii)</w:t>
      </w:r>
      <w:r>
        <w:rPr>
          <w:sz w:val="20"/>
          <w:szCs w:val="20"/>
          <w:color w:val="auto"/>
        </w:rPr>
        <w:tab/>
      </w:r>
      <w:r>
        <w:rPr>
          <w:rFonts w:ascii="Arial" w:cs="Arial" w:eastAsia="Arial" w:hAnsi="Arial"/>
          <w:sz w:val="11"/>
          <w:szCs w:val="11"/>
          <w:color w:val="auto"/>
        </w:rPr>
        <w:t>together with the notes to them, disclose all liabilities (actual or contingent) of the Group; and</w:t>
      </w:r>
    </w:p>
    <w:p>
      <w:pPr>
        <w:ind w:left="1264" w:hanging="516"/>
        <w:spacing w:after="0"/>
        <w:tabs>
          <w:tab w:leader="none" w:pos="1264" w:val="left"/>
        </w:tabs>
        <w:numPr>
          <w:ilvl w:val="1"/>
          <w:numId w:val="115"/>
        </w:numPr>
        <w:rPr>
          <w:rFonts w:ascii="Arial" w:cs="Arial" w:eastAsia="Arial" w:hAnsi="Arial"/>
          <w:sz w:val="11"/>
          <w:szCs w:val="11"/>
          <w:color w:val="auto"/>
        </w:rPr>
      </w:pPr>
      <w:r>
        <w:rPr>
          <w:rFonts w:ascii="Arial" w:cs="Arial" w:eastAsia="Arial" w:hAnsi="Arial"/>
          <w:sz w:val="11"/>
          <w:szCs w:val="11"/>
          <w:color w:val="auto"/>
        </w:rPr>
        <w:t>are prepared and delivered to all relevant persons within the period in which they are required by law or under any agreement to be delivered.</w:t>
      </w:r>
    </w:p>
    <w:p>
      <w:pPr>
        <w:spacing w:after="0" w:line="104" w:lineRule="exact"/>
        <w:rPr>
          <w:rFonts w:ascii="Arial" w:cs="Arial" w:eastAsia="Arial" w:hAnsi="Arial"/>
          <w:sz w:val="11"/>
          <w:szCs w:val="11"/>
          <w:color w:val="auto"/>
        </w:rPr>
      </w:pPr>
    </w:p>
    <w:p>
      <w:pPr>
        <w:ind w:left="1424" w:hanging="1424"/>
        <w:spacing w:after="0"/>
        <w:tabs>
          <w:tab w:leader="none" w:pos="1424" w:val="left"/>
        </w:tabs>
        <w:numPr>
          <w:ilvl w:val="0"/>
          <w:numId w:val="116"/>
        </w:numPr>
        <w:rPr>
          <w:rFonts w:ascii="Arial" w:cs="Arial" w:eastAsia="Arial" w:hAnsi="Arial"/>
          <w:sz w:val="11"/>
          <w:szCs w:val="11"/>
          <w:b w:val="1"/>
          <w:bCs w:val="1"/>
          <w:color w:val="auto"/>
        </w:rPr>
      </w:pPr>
      <w:r>
        <w:rPr>
          <w:rFonts w:ascii="Arial" w:cs="Arial" w:eastAsia="Arial" w:hAnsi="Arial"/>
          <w:sz w:val="11"/>
          <w:szCs w:val="11"/>
          <w:b w:val="1"/>
          <w:bCs w:val="1"/>
          <w:color w:val="auto"/>
        </w:rPr>
        <w:t>insurance</w:t>
      </w:r>
    </w:p>
    <w:p>
      <w:pPr>
        <w:spacing w:after="0" w:line="3" w:lineRule="exact"/>
        <w:rPr>
          <w:sz w:val="20"/>
          <w:szCs w:val="20"/>
          <w:color w:val="auto"/>
        </w:rPr>
      </w:pPr>
    </w:p>
    <w:p>
      <w:pPr>
        <w:ind w:left="744" w:right="20"/>
        <w:spacing w:after="0" w:line="230" w:lineRule="auto"/>
        <w:rPr>
          <w:sz w:val="20"/>
          <w:szCs w:val="20"/>
          <w:color w:val="auto"/>
        </w:rPr>
      </w:pPr>
      <w:r>
        <w:rPr>
          <w:rFonts w:ascii="Arial" w:cs="Arial" w:eastAsia="Arial" w:hAnsi="Arial"/>
          <w:sz w:val="11"/>
          <w:szCs w:val="11"/>
          <w:color w:val="auto"/>
        </w:rPr>
        <w:t>It must ensure that insurance is maintained in respect of the Land for full replacement value (or as agreed by Westpac NZ). It must also take out contractor's all risk insurance during the construction of any improvements. Westpac NZ's interest as mortgagee must be noted on all insurance policies. Copies of such policies are to be provided to Westpac NZ and are to be satisfactory to Westpac NZ in all respects in its absolute discretion.</w:t>
      </w:r>
    </w:p>
    <w:p>
      <w:pPr>
        <w:spacing w:after="0" w:line="102" w:lineRule="exact"/>
        <w:rPr>
          <w:sz w:val="20"/>
          <w:szCs w:val="20"/>
          <w:color w:val="auto"/>
        </w:rPr>
      </w:pPr>
    </w:p>
    <w:p>
      <w:pPr>
        <w:ind w:left="1084" w:hanging="1084"/>
        <w:spacing w:after="0"/>
        <w:tabs>
          <w:tab w:leader="none" w:pos="1084" w:val="left"/>
        </w:tabs>
        <w:numPr>
          <w:ilvl w:val="0"/>
          <w:numId w:val="117"/>
        </w:numPr>
        <w:rPr>
          <w:rFonts w:ascii="Arial" w:cs="Arial" w:eastAsia="Arial" w:hAnsi="Arial"/>
          <w:sz w:val="11"/>
          <w:szCs w:val="11"/>
          <w:b w:val="1"/>
          <w:bCs w:val="1"/>
          <w:color w:val="auto"/>
        </w:rPr>
      </w:pPr>
      <w:r>
        <w:rPr>
          <w:rFonts w:ascii="Arial" w:cs="Arial" w:eastAsia="Arial" w:hAnsi="Arial"/>
          <w:sz w:val="11"/>
          <w:szCs w:val="11"/>
          <w:b w:val="1"/>
          <w:bCs w:val="1"/>
          <w:color w:val="auto"/>
        </w:rPr>
        <w:t>acquisition of assets</w:t>
      </w:r>
    </w:p>
    <w:p>
      <w:pPr>
        <w:ind w:left="744"/>
        <w:spacing w:after="0" w:line="227" w:lineRule="auto"/>
        <w:rPr>
          <w:sz w:val="20"/>
          <w:szCs w:val="20"/>
          <w:color w:val="auto"/>
        </w:rPr>
      </w:pPr>
      <w:r>
        <w:rPr>
          <w:rFonts w:ascii="Arial" w:cs="Arial" w:eastAsia="Arial" w:hAnsi="Arial"/>
          <w:sz w:val="11"/>
          <w:szCs w:val="11"/>
          <w:color w:val="auto"/>
        </w:rPr>
        <w:t>It must, if it uses any part of the Loan to finance the acquisition of an asset in New Zealand in excess of</w:t>
      </w:r>
    </w:p>
    <w:p>
      <w:pPr>
        <w:ind w:left="744"/>
        <w:spacing w:after="0"/>
        <w:rPr>
          <w:sz w:val="20"/>
          <w:szCs w:val="20"/>
          <w:color w:val="auto"/>
        </w:rPr>
      </w:pPr>
      <w:r>
        <w:rPr>
          <w:rFonts w:ascii="Arial" w:cs="Arial" w:eastAsia="Arial" w:hAnsi="Arial"/>
          <w:sz w:val="11"/>
          <w:szCs w:val="11"/>
          <w:color w:val="auto"/>
        </w:rPr>
        <w:t>$5,000,000, provide to Westpac NZ details of such assets and any other documents or information in respect of such asset which Westpac NZ reasonably requests.</w:t>
      </w:r>
    </w:p>
    <w:p>
      <w:pPr>
        <w:spacing w:after="0" w:line="105" w:lineRule="exact"/>
        <w:rPr>
          <w:sz w:val="20"/>
          <w:szCs w:val="20"/>
          <w:color w:val="auto"/>
        </w:rPr>
      </w:pPr>
    </w:p>
    <w:p>
      <w:pPr>
        <w:ind w:left="644" w:hanging="644"/>
        <w:spacing w:after="0"/>
        <w:tabs>
          <w:tab w:leader="none" w:pos="644" w:val="left"/>
        </w:tabs>
        <w:numPr>
          <w:ilvl w:val="0"/>
          <w:numId w:val="118"/>
        </w:numPr>
        <w:rPr>
          <w:rFonts w:ascii="Arial" w:cs="Arial" w:eastAsia="Arial" w:hAnsi="Arial"/>
          <w:sz w:val="11"/>
          <w:szCs w:val="11"/>
          <w:b w:val="1"/>
          <w:bCs w:val="1"/>
          <w:color w:val="auto"/>
        </w:rPr>
      </w:pPr>
      <w:r>
        <w:rPr>
          <w:rFonts w:ascii="Arial" w:cs="Arial" w:eastAsia="Arial" w:hAnsi="Arial"/>
          <w:sz w:val="11"/>
          <w:szCs w:val="11"/>
          <w:b w:val="1"/>
          <w:bCs w:val="1"/>
          <w:color w:val="auto"/>
        </w:rPr>
        <w:t>consent required to structure/acquisition</w:t>
      </w:r>
    </w:p>
    <w:p>
      <w:pPr>
        <w:spacing w:after="0" w:line="12" w:lineRule="exact"/>
        <w:rPr>
          <w:sz w:val="20"/>
          <w:szCs w:val="20"/>
          <w:color w:val="auto"/>
        </w:rPr>
      </w:pPr>
    </w:p>
    <w:p>
      <w:pPr>
        <w:ind w:left="744" w:right="80"/>
        <w:spacing w:after="0" w:line="234" w:lineRule="auto"/>
        <w:rPr>
          <w:sz w:val="20"/>
          <w:szCs w:val="20"/>
          <w:color w:val="auto"/>
        </w:rPr>
      </w:pPr>
      <w:r>
        <w:rPr>
          <w:rFonts w:ascii="Arial" w:cs="Arial" w:eastAsia="Arial" w:hAnsi="Arial"/>
          <w:sz w:val="11"/>
          <w:szCs w:val="11"/>
          <w:color w:val="auto"/>
        </w:rPr>
        <w:t>No member of the Charging Group can enter into a joint venture, make a material acquisition or provide advances outside the Charging Group (either to related or unrelated parties) without Westpac NZ's prior written consent.</w:t>
      </w:r>
    </w:p>
    <w:p>
      <w:pPr>
        <w:spacing w:after="0" w:line="102" w:lineRule="exact"/>
        <w:rPr>
          <w:sz w:val="20"/>
          <w:szCs w:val="20"/>
          <w:color w:val="auto"/>
        </w:rPr>
      </w:pPr>
    </w:p>
    <w:p>
      <w:pPr>
        <w:ind w:left="1424" w:hanging="1424"/>
        <w:spacing w:after="0"/>
        <w:tabs>
          <w:tab w:leader="none" w:pos="1424" w:val="left"/>
        </w:tabs>
        <w:numPr>
          <w:ilvl w:val="0"/>
          <w:numId w:val="119"/>
        </w:numPr>
        <w:rPr>
          <w:rFonts w:ascii="Arial" w:cs="Arial" w:eastAsia="Arial" w:hAnsi="Arial"/>
          <w:sz w:val="11"/>
          <w:szCs w:val="11"/>
          <w:b w:val="1"/>
          <w:bCs w:val="1"/>
          <w:color w:val="auto"/>
        </w:rPr>
      </w:pPr>
      <w:r>
        <w:rPr>
          <w:rFonts w:ascii="Arial" w:cs="Arial" w:eastAsia="Arial" w:hAnsi="Arial"/>
          <w:sz w:val="11"/>
          <w:szCs w:val="11"/>
          <w:b w:val="1"/>
          <w:bCs w:val="1"/>
          <w:color w:val="auto"/>
        </w:rPr>
        <w:t>payments</w:t>
      </w:r>
    </w:p>
    <w:p>
      <w:pPr>
        <w:spacing w:after="0" w:line="3" w:lineRule="exact"/>
        <w:rPr>
          <w:sz w:val="20"/>
          <w:szCs w:val="20"/>
          <w:color w:val="auto"/>
        </w:rPr>
      </w:pPr>
    </w:p>
    <w:p>
      <w:pPr>
        <w:ind w:left="744"/>
        <w:spacing w:after="0" w:line="234" w:lineRule="auto"/>
        <w:rPr>
          <w:sz w:val="20"/>
          <w:szCs w:val="20"/>
          <w:color w:val="auto"/>
        </w:rPr>
      </w:pPr>
      <w:r>
        <w:rPr>
          <w:rFonts w:ascii="Arial" w:cs="Arial" w:eastAsia="Arial" w:hAnsi="Arial"/>
          <w:sz w:val="11"/>
          <w:szCs w:val="11"/>
          <w:color w:val="auto"/>
        </w:rPr>
        <w:t>No member of the Charging Group can make any payments (including but not limited to capital reductions, dividends, repayment of loans, interest payments and management fees) to associated or related parties unless Westpac NZ is satisfied that all covenants contained in the Agreement are and will continue to be met following such payment being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270510</wp:posOffset>
            </wp:positionV>
            <wp:extent cx="6768465"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768465" cy="42545"/>
                    </a:xfrm>
                    <a:prstGeom prst="rect">
                      <a:avLst/>
                    </a:prstGeom>
                    <a:noFill/>
                  </pic:spPr>
                </pic:pic>
              </a:graphicData>
            </a:graphic>
          </wp:anchor>
        </w:drawing>
      </w:r>
    </w:p>
    <w:p>
      <w:pPr>
        <w:sectPr>
          <w:pgSz w:w="11900" w:h="16838" w:orient="portrait"/>
          <w:cols w:equalWidth="0" w:num="1">
            <w:col w:w="10504"/>
          </w:cols>
          <w:pgMar w:left="656" w:top="258" w:right="739" w:bottom="1440" w:gutter="0" w:footer="0" w:header="0"/>
          <w:type w:val="continuous"/>
        </w:sectPr>
      </w:pPr>
    </w:p>
    <w:bookmarkStart w:id="163" w:name="page164"/>
    <w:bookmarkEnd w:id="163"/>
    <w:p>
      <w:pPr>
        <w:ind w:left="4"/>
        <w:spacing w:after="0"/>
        <w:rPr>
          <w:sz w:val="20"/>
          <w:szCs w:val="20"/>
          <w:color w:val="auto"/>
        </w:rPr>
      </w:pPr>
      <w:r>
        <w:rPr>
          <w:rFonts w:ascii="Arial" w:cs="Arial" w:eastAsia="Arial" w:hAnsi="Arial"/>
          <w:sz w:val="10"/>
          <w:szCs w:val="10"/>
          <w:b w:val="1"/>
          <w:bCs w:val="1"/>
          <w:color w:val="auto"/>
        </w:rPr>
        <w:t>8.2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0"/>
          <w:szCs w:val="10"/>
          <w:b w:val="1"/>
          <w:bCs w:val="1"/>
          <w:color w:val="auto"/>
        </w:rPr>
        <w:t>Financial Covenants</w:t>
      </w:r>
    </w:p>
    <w:p>
      <w:pPr>
        <w:spacing w:after="0" w:line="25" w:lineRule="exact"/>
        <w:rPr>
          <w:sz w:val="20"/>
          <w:szCs w:val="20"/>
          <w:color w:val="auto"/>
        </w:rPr>
      </w:pPr>
    </w:p>
    <w:p>
      <w:pPr>
        <w:sectPr>
          <w:pgSz w:w="11900" w:h="16838" w:orient="portrait"/>
          <w:cols w:equalWidth="0" w:num="2">
            <w:col w:w="704" w:space="720"/>
            <w:col w:w="9100"/>
          </w:cols>
          <w:pgMar w:left="656" w:top="246" w:right="719" w:bottom="1440" w:gutter="0" w:footer="0" w:header="0"/>
        </w:sectPr>
      </w:pPr>
    </w:p>
    <w:p>
      <w:pPr>
        <w:spacing w:after="0" w:line="103" w:lineRule="exact"/>
        <w:rPr>
          <w:sz w:val="20"/>
          <w:szCs w:val="20"/>
          <w:color w:val="auto"/>
        </w:rPr>
      </w:pPr>
    </w:p>
    <w:p>
      <w:pPr>
        <w:ind w:left="4"/>
        <w:spacing w:after="0"/>
        <w:rPr>
          <w:sz w:val="20"/>
          <w:szCs w:val="20"/>
          <w:color w:val="auto"/>
        </w:rPr>
      </w:pPr>
      <w:r>
        <w:rPr>
          <w:rFonts w:ascii="Arial" w:cs="Arial" w:eastAsia="Arial" w:hAnsi="Arial"/>
          <w:sz w:val="11"/>
          <w:szCs w:val="11"/>
          <w:b w:val="1"/>
          <w:bCs w:val="1"/>
          <w:color w:val="auto"/>
        </w:rPr>
        <w:t>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0"/>
          <w:szCs w:val="10"/>
          <w:color w:val="auto"/>
        </w:rPr>
        <w:t>The Borrower undertakes to Westpac NZ as follows, except to the extent that Westpac NZ agrees otherwise:</w:t>
      </w:r>
    </w:p>
    <w:p>
      <w:pPr>
        <w:ind w:left="1240"/>
        <w:spacing w:after="0"/>
        <w:rPr>
          <w:sz w:val="20"/>
          <w:szCs w:val="20"/>
          <w:color w:val="auto"/>
        </w:rPr>
      </w:pPr>
      <w:r>
        <w:rPr>
          <w:rFonts w:ascii="Arial" w:cs="Arial" w:eastAsia="Arial" w:hAnsi="Arial"/>
          <w:sz w:val="11"/>
          <w:szCs w:val="11"/>
          <w:b w:val="1"/>
          <w:bCs w:val="1"/>
          <w:color w:val="auto"/>
        </w:rPr>
        <w:t>equity ratio</w:t>
      </w:r>
    </w:p>
    <w:p>
      <w:pPr>
        <w:spacing w:after="0" w:line="3" w:lineRule="exact"/>
        <w:rPr>
          <w:sz w:val="20"/>
          <w:szCs w:val="20"/>
          <w:color w:val="auto"/>
        </w:rPr>
      </w:pPr>
    </w:p>
    <w:p>
      <w:pPr>
        <w:sectPr>
          <w:pgSz w:w="11900" w:h="16838" w:orient="portrait"/>
          <w:cols w:equalWidth="0" w:num="2">
            <w:col w:w="104" w:space="300"/>
            <w:col w:w="10120"/>
          </w:cols>
          <w:pgMar w:left="656" w:top="246" w:right="719" w:bottom="1440" w:gutter="0" w:footer="0" w:header="0"/>
          <w:type w:val="continuous"/>
        </w:sectPr>
      </w:pPr>
    </w:p>
    <w:p>
      <w:pPr>
        <w:ind w:left="744"/>
        <w:spacing w:after="0" w:line="226" w:lineRule="auto"/>
        <w:rPr>
          <w:sz w:val="20"/>
          <w:szCs w:val="20"/>
          <w:color w:val="auto"/>
        </w:rPr>
      </w:pPr>
      <w:r>
        <w:rPr>
          <w:rFonts w:ascii="Arial" w:cs="Arial" w:eastAsia="Arial" w:hAnsi="Arial"/>
          <w:sz w:val="11"/>
          <w:szCs w:val="11"/>
          <w:color w:val="auto"/>
        </w:rPr>
        <w:t>It must ensure that the Group maintains, at all times, Shareholders Funds of not less than 40% of Adjusted Tangible Assets. Shareholders Funds is the Group's Adjusted Tangible Assets less Adjusted Total Liabilities. Adjusted Tangible Assets is the aggregate of the consolidated book values of all of the Group's assets excluding assets of an intangible nature, advances to shareholders, investments in related and associate companies and future asset revaluations (except as individually approved by Westpac NZ). Adjusted Total Liabilities is the aggregate of the consolidated book values of all of the Group's liabilities excluding only advances from shareholders. This covenant will be tested quarterly for compliance and will be determined by Westpac NZ in its absolute discretion.</w:t>
      </w:r>
    </w:p>
    <w:p>
      <w:pPr>
        <w:sectPr>
          <w:pgSz w:w="11900" w:h="16838" w:orient="portrait"/>
          <w:cols w:equalWidth="0" w:num="1">
            <w:col w:w="10524"/>
          </w:cols>
          <w:pgMar w:left="656" w:top="246" w:right="719" w:bottom="1440" w:gutter="0" w:footer="0" w:header="0"/>
          <w:type w:val="continuous"/>
        </w:sectPr>
      </w:pPr>
    </w:p>
    <w:p>
      <w:pPr>
        <w:spacing w:after="0" w:line="102" w:lineRule="exact"/>
        <w:rPr>
          <w:sz w:val="20"/>
          <w:szCs w:val="20"/>
          <w:color w:val="auto"/>
        </w:rPr>
      </w:pPr>
    </w:p>
    <w:p>
      <w:pPr>
        <w:ind w:left="4"/>
        <w:spacing w:after="0"/>
        <w:rPr>
          <w:sz w:val="20"/>
          <w:szCs w:val="20"/>
          <w:color w:val="auto"/>
        </w:rPr>
      </w:pPr>
      <w:r>
        <w:rPr>
          <w:rFonts w:ascii="Arial" w:cs="Arial" w:eastAsia="Arial" w:hAnsi="Arial"/>
          <w:sz w:val="10"/>
          <w:szCs w:val="10"/>
          <w:b w:val="1"/>
          <w:bCs w:val="1"/>
          <w:color w:val="auto"/>
        </w:rPr>
        <w:t>b)</w:t>
      </w:r>
    </w:p>
    <w:p>
      <w:pPr>
        <w:spacing w:after="0" w:line="20" w:lineRule="exact"/>
        <w:rPr>
          <w:sz w:val="20"/>
          <w:szCs w:val="20"/>
          <w:color w:val="auto"/>
        </w:rPr>
      </w:pPr>
      <w:r>
        <w:rPr>
          <w:sz w:val="20"/>
          <w:szCs w:val="20"/>
          <w:color w:val="auto"/>
        </w:rPr>
        <w:br w:type="column"/>
      </w:r>
    </w:p>
    <w:p>
      <w:pPr>
        <w:spacing w:after="0" w:line="82" w:lineRule="exact"/>
        <w:rPr>
          <w:sz w:val="20"/>
          <w:szCs w:val="20"/>
          <w:color w:val="auto"/>
        </w:rPr>
      </w:pPr>
    </w:p>
    <w:p>
      <w:pPr>
        <w:ind w:left="420"/>
        <w:spacing w:after="0"/>
        <w:rPr>
          <w:sz w:val="20"/>
          <w:szCs w:val="20"/>
          <w:color w:val="auto"/>
        </w:rPr>
      </w:pPr>
      <w:r>
        <w:rPr>
          <w:rFonts w:ascii="Arial" w:cs="Arial" w:eastAsia="Arial" w:hAnsi="Arial"/>
          <w:sz w:val="11"/>
          <w:szCs w:val="11"/>
          <w:b w:val="1"/>
          <w:bCs w:val="1"/>
          <w:color w:val="auto"/>
        </w:rPr>
        <w:t>interest cover ratio</w:t>
      </w:r>
    </w:p>
    <w:p>
      <w:pPr>
        <w:spacing w:after="0" w:line="3" w:lineRule="exact"/>
        <w:rPr>
          <w:sz w:val="20"/>
          <w:szCs w:val="20"/>
          <w:color w:val="auto"/>
        </w:rPr>
      </w:pPr>
    </w:p>
    <w:p>
      <w:pPr>
        <w:spacing w:after="0"/>
        <w:rPr>
          <w:sz w:val="20"/>
          <w:szCs w:val="20"/>
          <w:color w:val="auto"/>
        </w:rPr>
      </w:pPr>
      <w:r>
        <w:rPr>
          <w:rFonts w:ascii="Arial" w:cs="Arial" w:eastAsia="Arial" w:hAnsi="Arial"/>
          <w:sz w:val="10"/>
          <w:szCs w:val="10"/>
          <w:color w:val="auto"/>
        </w:rPr>
        <w:t>It must ensure that the Group's Earnings for each 12 month period are not less than 2.0 times its Funding Costs for that 12 month period. Earnings is the Group's net profit before Funding Costs, income</w:t>
      </w:r>
    </w:p>
    <w:p>
      <w:pPr>
        <w:spacing w:after="0" w:line="2" w:lineRule="exact"/>
        <w:rPr>
          <w:sz w:val="20"/>
          <w:szCs w:val="20"/>
          <w:color w:val="auto"/>
        </w:rPr>
      </w:pPr>
    </w:p>
    <w:p>
      <w:pPr>
        <w:spacing w:after="0"/>
        <w:rPr>
          <w:sz w:val="20"/>
          <w:szCs w:val="20"/>
          <w:color w:val="auto"/>
        </w:rPr>
      </w:pPr>
      <w:r>
        <w:rPr>
          <w:rFonts w:ascii="Arial" w:cs="Arial" w:eastAsia="Arial" w:hAnsi="Arial"/>
          <w:sz w:val="10"/>
          <w:szCs w:val="10"/>
          <w:color w:val="auto"/>
        </w:rPr>
        <w:t>Tax, Extraordinaries and management costs (on the basis that management costs are accrued only and not paid externally) and amortisation of goodwill for the relevant financial quarter. Funding Costs</w:t>
      </w:r>
    </w:p>
    <w:p>
      <w:pPr>
        <w:spacing w:after="0" w:line="2" w:lineRule="exact"/>
        <w:rPr>
          <w:sz w:val="20"/>
          <w:szCs w:val="20"/>
          <w:color w:val="auto"/>
        </w:rPr>
      </w:pPr>
    </w:p>
    <w:p>
      <w:pPr>
        <w:spacing w:after="0"/>
        <w:rPr>
          <w:sz w:val="20"/>
          <w:szCs w:val="20"/>
          <w:color w:val="auto"/>
        </w:rPr>
      </w:pPr>
      <w:r>
        <w:rPr>
          <w:rFonts w:ascii="Arial" w:cs="Arial" w:eastAsia="Arial" w:hAnsi="Arial"/>
          <w:sz w:val="10"/>
          <w:szCs w:val="10"/>
          <w:color w:val="auto"/>
        </w:rPr>
        <w:t>comprise all interest, charges and fees related to all funding other than interest on shareholder/related party advances provided such interest is capitalised and not paid outside the Group. Extraordinaries</w:t>
      </w:r>
    </w:p>
    <w:p>
      <w:pPr>
        <w:spacing w:after="0" w:line="2" w:lineRule="exact"/>
        <w:rPr>
          <w:sz w:val="20"/>
          <w:szCs w:val="20"/>
          <w:color w:val="auto"/>
        </w:rPr>
      </w:pPr>
    </w:p>
    <w:p>
      <w:pPr>
        <w:spacing w:after="0"/>
        <w:rPr>
          <w:sz w:val="20"/>
          <w:szCs w:val="20"/>
          <w:color w:val="auto"/>
        </w:rPr>
      </w:pPr>
      <w:r>
        <w:rPr>
          <w:rFonts w:ascii="Arial" w:cs="Arial" w:eastAsia="Arial" w:hAnsi="Arial"/>
          <w:sz w:val="11"/>
          <w:szCs w:val="11"/>
          <w:color w:val="auto"/>
        </w:rPr>
        <w:t>are items that are not expected to occur frequently and are distinct from the Group's ordinary operations.</w:t>
      </w:r>
    </w:p>
    <w:p>
      <w:pPr>
        <w:spacing w:after="0" w:line="200" w:lineRule="exact"/>
        <w:rPr>
          <w:sz w:val="20"/>
          <w:szCs w:val="20"/>
          <w:color w:val="auto"/>
        </w:rPr>
      </w:pPr>
    </w:p>
    <w:p>
      <w:pPr>
        <w:sectPr>
          <w:pgSz w:w="11900" w:h="16838" w:orient="portrait"/>
          <w:cols w:equalWidth="0" w:num="2">
            <w:col w:w="104" w:space="640"/>
            <w:col w:w="9780"/>
          </w:cols>
          <w:pgMar w:left="656" w:top="246" w:right="719" w:bottom="1440" w:gutter="0" w:footer="0" w:header="0"/>
          <w:type w:val="continuous"/>
        </w:sectPr>
      </w:pPr>
    </w:p>
    <w:p>
      <w:pPr>
        <w:spacing w:after="0" w:line="31" w:lineRule="exact"/>
        <w:rPr>
          <w:sz w:val="20"/>
          <w:szCs w:val="20"/>
          <w:color w:val="auto"/>
        </w:rPr>
      </w:pPr>
    </w:p>
    <w:p>
      <w:pPr>
        <w:ind w:left="844" w:hanging="844"/>
        <w:spacing w:after="0"/>
        <w:tabs>
          <w:tab w:leader="none" w:pos="844" w:val="left"/>
        </w:tabs>
        <w:numPr>
          <w:ilvl w:val="0"/>
          <w:numId w:val="120"/>
        </w:numPr>
        <w:rPr>
          <w:rFonts w:ascii="Arial" w:cs="Arial" w:eastAsia="Arial" w:hAnsi="Arial"/>
          <w:sz w:val="11"/>
          <w:szCs w:val="11"/>
          <w:b w:val="1"/>
          <w:bCs w:val="1"/>
          <w:color w:val="auto"/>
        </w:rPr>
      </w:pPr>
      <w:r>
        <w:rPr>
          <w:rFonts w:ascii="Arial" w:cs="Arial" w:eastAsia="Arial" w:hAnsi="Arial"/>
          <w:sz w:val="11"/>
          <w:szCs w:val="11"/>
          <w:b w:val="1"/>
          <w:bCs w:val="1"/>
          <w:color w:val="auto"/>
        </w:rPr>
        <w:t>deductions from payments</w:t>
      </w:r>
    </w:p>
    <w:p>
      <w:pPr>
        <w:spacing w:after="0" w:line="261" w:lineRule="exact"/>
        <w:rPr>
          <w:sz w:val="20"/>
          <w:szCs w:val="20"/>
          <w:color w:val="auto"/>
        </w:rPr>
      </w:pPr>
    </w:p>
    <w:p>
      <w:pPr>
        <w:ind w:left="4"/>
        <w:spacing w:after="0"/>
        <w:tabs>
          <w:tab w:leader="none" w:pos="783" w:val="left"/>
        </w:tabs>
        <w:rPr>
          <w:sz w:val="20"/>
          <w:szCs w:val="20"/>
          <w:color w:val="auto"/>
        </w:rPr>
      </w:pPr>
      <w:r>
        <w:rPr>
          <w:rFonts w:ascii="Arial" w:cs="Arial" w:eastAsia="Arial" w:hAnsi="Arial"/>
          <w:sz w:val="11"/>
          <w:szCs w:val="11"/>
          <w:b w:val="1"/>
          <w:bCs w:val="1"/>
          <w:color w:val="auto"/>
        </w:rPr>
        <w:t>9.1</w:t>
      </w:r>
      <w:r>
        <w:rPr>
          <w:sz w:val="20"/>
          <w:szCs w:val="20"/>
          <w:color w:val="auto"/>
        </w:rPr>
        <w:tab/>
      </w:r>
      <w:r>
        <w:rPr>
          <w:rFonts w:ascii="Arial" w:cs="Arial" w:eastAsia="Arial" w:hAnsi="Arial"/>
          <w:sz w:val="10"/>
          <w:szCs w:val="10"/>
          <w:b w:val="1"/>
          <w:bCs w:val="1"/>
          <w:color w:val="auto"/>
        </w:rPr>
        <w:t>Gross-Up of Borrower's Withholding Tax</w:t>
      </w:r>
    </w:p>
    <w:p>
      <w:pPr>
        <w:spacing w:after="0" w:line="3" w:lineRule="exact"/>
        <w:rPr>
          <w:sz w:val="20"/>
          <w:szCs w:val="20"/>
          <w:color w:val="auto"/>
        </w:rPr>
      </w:pPr>
    </w:p>
    <w:p>
      <w:pPr>
        <w:ind w:left="404" w:right="120"/>
        <w:spacing w:after="0" w:line="222" w:lineRule="auto"/>
        <w:rPr>
          <w:sz w:val="20"/>
          <w:szCs w:val="20"/>
          <w:color w:val="auto"/>
        </w:rPr>
      </w:pPr>
      <w:r>
        <w:rPr>
          <w:rFonts w:ascii="Arial" w:cs="Arial" w:eastAsia="Arial" w:hAnsi="Arial"/>
          <w:sz w:val="11"/>
          <w:szCs w:val="11"/>
          <w:color w:val="auto"/>
        </w:rPr>
        <w:t>The Borrower must not make any payment subject to any condition, restriction or claim it may have against Westpac NZ. The Borrower may only make a withholding or deduction from money it pays to Westpac NZ under this Agreement if that withholding or deduction is required by law. If the law requires the Borrower to make a withholding or deduction then the following rules apply:</w:t>
      </w:r>
    </w:p>
    <w:p>
      <w:pPr>
        <w:ind w:left="524" w:hanging="524"/>
        <w:spacing w:after="0" w:line="222" w:lineRule="auto"/>
        <w:tabs>
          <w:tab w:leader="none" w:pos="524" w:val="left"/>
        </w:tabs>
        <w:numPr>
          <w:ilvl w:val="0"/>
          <w:numId w:val="121"/>
        </w:numPr>
        <w:rPr>
          <w:rFonts w:ascii="Arial" w:cs="Arial" w:eastAsia="Arial" w:hAnsi="Arial"/>
          <w:sz w:val="11"/>
          <w:szCs w:val="11"/>
          <w:color w:val="auto"/>
        </w:rPr>
      </w:pPr>
      <w:r>
        <w:rPr>
          <w:rFonts w:ascii="Arial" w:cs="Arial" w:eastAsia="Arial" w:hAnsi="Arial"/>
          <w:sz w:val="11"/>
          <w:szCs w:val="11"/>
          <w:color w:val="auto"/>
        </w:rPr>
        <w:t>the Borrower must make sure that the withholding or deduction is for not more than the minimum amount required by that law;</w:t>
      </w:r>
    </w:p>
    <w:p>
      <w:pPr>
        <w:ind w:left="464" w:hanging="464"/>
        <w:spacing w:after="0" w:line="222" w:lineRule="auto"/>
        <w:tabs>
          <w:tab w:leader="none" w:pos="464" w:val="left"/>
        </w:tabs>
        <w:numPr>
          <w:ilvl w:val="0"/>
          <w:numId w:val="121"/>
        </w:numPr>
        <w:rPr>
          <w:rFonts w:ascii="Arial" w:cs="Arial" w:eastAsia="Arial" w:hAnsi="Arial"/>
          <w:sz w:val="11"/>
          <w:szCs w:val="11"/>
          <w:color w:val="auto"/>
        </w:rPr>
      </w:pPr>
      <w:r>
        <w:rPr>
          <w:rFonts w:ascii="Arial" w:cs="Arial" w:eastAsia="Arial" w:hAnsi="Arial"/>
          <w:sz w:val="11"/>
          <w:szCs w:val="11"/>
          <w:color w:val="auto"/>
        </w:rPr>
        <w:t>the Borrower must make sure that the withholding or deduction is paid to the relevant revenue or Governmental Agency by the due date for payment;</w:t>
      </w:r>
    </w:p>
    <w:p>
      <w:pPr>
        <w:ind w:left="364" w:hanging="364"/>
        <w:spacing w:after="0" w:line="222" w:lineRule="auto"/>
        <w:tabs>
          <w:tab w:leader="none" w:pos="364" w:val="left"/>
        </w:tabs>
        <w:numPr>
          <w:ilvl w:val="0"/>
          <w:numId w:val="121"/>
        </w:numPr>
        <w:rPr>
          <w:rFonts w:ascii="Arial" w:cs="Arial" w:eastAsia="Arial" w:hAnsi="Arial"/>
          <w:sz w:val="11"/>
          <w:szCs w:val="11"/>
          <w:color w:val="auto"/>
        </w:rPr>
      </w:pPr>
      <w:r>
        <w:rPr>
          <w:rFonts w:ascii="Arial" w:cs="Arial" w:eastAsia="Arial" w:hAnsi="Arial"/>
          <w:sz w:val="11"/>
          <w:szCs w:val="11"/>
          <w:color w:val="auto"/>
        </w:rPr>
        <w:t>the Borrower must send Westpac NZ, within 30 days of the withholding or deduction, a receipt showing that the withholding or deduction has been paid to the relevant revenue or Governmental Agency;</w:t>
      </w:r>
    </w:p>
    <w:p>
      <w:pPr>
        <w:ind w:left="424" w:hanging="424"/>
        <w:spacing w:after="0"/>
        <w:tabs>
          <w:tab w:leader="none" w:pos="424" w:val="left"/>
        </w:tabs>
        <w:numPr>
          <w:ilvl w:val="0"/>
          <w:numId w:val="121"/>
        </w:numPr>
        <w:rPr>
          <w:rFonts w:ascii="Arial" w:cs="Arial" w:eastAsia="Arial" w:hAnsi="Arial"/>
          <w:sz w:val="11"/>
          <w:szCs w:val="11"/>
          <w:color w:val="auto"/>
        </w:rPr>
      </w:pPr>
      <w:r>
        <w:rPr>
          <w:rFonts w:ascii="Arial" w:cs="Arial" w:eastAsia="Arial" w:hAnsi="Arial"/>
          <w:sz w:val="11"/>
          <w:szCs w:val="11"/>
          <w:color w:val="auto"/>
        </w:rPr>
        <w:t>the Borrower must increase the amount it pays to Westpac NZ so that Westpac NZ receives the amount it would have received had there been no withholding or deduction.</w:t>
      </w:r>
    </w:p>
    <w:p>
      <w:pPr>
        <w:spacing w:after="0" w:line="114" w:lineRule="exact"/>
        <w:rPr>
          <w:sz w:val="20"/>
          <w:szCs w:val="20"/>
          <w:color w:val="auto"/>
        </w:rPr>
      </w:pPr>
    </w:p>
    <w:tbl>
      <w:tblPr>
        <w:tblLayout w:type="fixed"/>
        <w:tblInd w:w="4" w:type="dxa"/>
        <w:tblCellMar>
          <w:top w:w="0" w:type="dxa"/>
          <w:left w:w="0" w:type="dxa"/>
          <w:bottom w:w="0" w:type="dxa"/>
          <w:right w:w="0" w:type="dxa"/>
        </w:tblCellMar>
      </w:tblPr>
      <w:tr>
        <w:trPr>
          <w:trHeight w:val="129"/>
        </w:trPr>
        <w:tc>
          <w:tcPr>
            <w:tcW w:w="280" w:type="dxa"/>
            <w:vAlign w:val="bottom"/>
          </w:tcPr>
          <w:p>
            <w:pPr>
              <w:jc w:val="right"/>
              <w:ind w:right="86"/>
              <w:spacing w:after="0"/>
              <w:rPr>
                <w:sz w:val="20"/>
                <w:szCs w:val="20"/>
                <w:color w:val="auto"/>
              </w:rPr>
            </w:pPr>
            <w:r>
              <w:rPr>
                <w:rFonts w:ascii="Arial" w:cs="Arial" w:eastAsia="Arial" w:hAnsi="Arial"/>
                <w:sz w:val="11"/>
                <w:szCs w:val="11"/>
                <w:b w:val="1"/>
                <w:bCs w:val="1"/>
                <w:color w:val="auto"/>
                <w:w w:val="78"/>
              </w:rPr>
              <w:t>9.2</w:t>
            </w:r>
          </w:p>
        </w:tc>
        <w:tc>
          <w:tcPr>
            <w:tcW w:w="10020" w:type="dxa"/>
            <w:vAlign w:val="bottom"/>
          </w:tcPr>
          <w:p>
            <w:pPr>
              <w:ind w:left="480"/>
              <w:spacing w:after="0"/>
              <w:rPr>
                <w:sz w:val="20"/>
                <w:szCs w:val="20"/>
                <w:color w:val="auto"/>
              </w:rPr>
            </w:pPr>
            <w:r>
              <w:rPr>
                <w:rFonts w:ascii="Arial" w:cs="Arial" w:eastAsia="Arial" w:hAnsi="Arial"/>
                <w:sz w:val="11"/>
                <w:szCs w:val="11"/>
                <w:b w:val="1"/>
                <w:bCs w:val="1"/>
                <w:color w:val="auto"/>
              </w:rPr>
              <w:t>Gross-Up for Westpac NZ's Withholding Tax</w:t>
            </w:r>
          </w:p>
        </w:tc>
      </w:tr>
      <w:tr>
        <w:trPr>
          <w:trHeight w:val="117"/>
        </w:trPr>
        <w:tc>
          <w:tcPr>
            <w:tcW w:w="280" w:type="dxa"/>
            <w:vAlign w:val="bottom"/>
          </w:tcPr>
          <w:p>
            <w:pPr>
              <w:spacing w:after="0"/>
              <w:rPr>
                <w:sz w:val="10"/>
                <w:szCs w:val="10"/>
                <w:color w:val="auto"/>
              </w:rPr>
            </w:pPr>
          </w:p>
        </w:tc>
        <w:tc>
          <w:tcPr>
            <w:tcW w:w="10020" w:type="dxa"/>
            <w:vAlign w:val="bottom"/>
          </w:tcPr>
          <w:p>
            <w:pPr>
              <w:ind w:left="120"/>
              <w:spacing w:after="0" w:line="117" w:lineRule="exact"/>
              <w:rPr>
                <w:sz w:val="20"/>
                <w:szCs w:val="20"/>
                <w:color w:val="auto"/>
              </w:rPr>
            </w:pPr>
            <w:r>
              <w:rPr>
                <w:rFonts w:ascii="Arial" w:cs="Arial" w:eastAsia="Arial" w:hAnsi="Arial"/>
                <w:sz w:val="11"/>
                <w:szCs w:val="11"/>
                <w:color w:val="auto"/>
                <w:w w:val="98"/>
              </w:rPr>
              <w:t>If the law requires Westpac NZ to make a deduction or withholding from any amount received or receivable by it under this Agreement or any other Bank Document (including any sum received or receivable</w:t>
            </w:r>
          </w:p>
        </w:tc>
      </w:tr>
      <w:tr>
        <w:trPr>
          <w:trHeight w:val="117"/>
        </w:trPr>
        <w:tc>
          <w:tcPr>
            <w:tcW w:w="280" w:type="dxa"/>
            <w:vAlign w:val="bottom"/>
          </w:tcPr>
          <w:p>
            <w:pPr>
              <w:spacing w:after="0"/>
              <w:rPr>
                <w:sz w:val="10"/>
                <w:szCs w:val="10"/>
                <w:color w:val="auto"/>
              </w:rPr>
            </w:pPr>
          </w:p>
        </w:tc>
        <w:tc>
          <w:tcPr>
            <w:tcW w:w="10020" w:type="dxa"/>
            <w:vAlign w:val="bottom"/>
          </w:tcPr>
          <w:p>
            <w:pPr>
              <w:ind w:left="120"/>
              <w:spacing w:after="0" w:line="117" w:lineRule="exact"/>
              <w:rPr>
                <w:sz w:val="20"/>
                <w:szCs w:val="20"/>
                <w:color w:val="auto"/>
              </w:rPr>
            </w:pPr>
            <w:r>
              <w:rPr>
                <w:rFonts w:ascii="Arial" w:cs="Arial" w:eastAsia="Arial" w:hAnsi="Arial"/>
                <w:sz w:val="11"/>
                <w:szCs w:val="11"/>
                <w:color w:val="auto"/>
                <w:w w:val="97"/>
              </w:rPr>
              <w:t>under this clause 9.2, and excluding any Tax on its overall net income) then the Borrower must increase the amount it pays to Westpac NZ so that Westpac NZ receives the amount it would have received had</w:t>
            </w:r>
          </w:p>
        </w:tc>
      </w:tr>
      <w:tr>
        <w:trPr>
          <w:trHeight w:val="130"/>
        </w:trPr>
        <w:tc>
          <w:tcPr>
            <w:tcW w:w="280" w:type="dxa"/>
            <w:vAlign w:val="bottom"/>
          </w:tcPr>
          <w:p>
            <w:pPr>
              <w:spacing w:after="0"/>
              <w:rPr>
                <w:sz w:val="11"/>
                <w:szCs w:val="11"/>
                <w:color w:val="auto"/>
              </w:rPr>
            </w:pPr>
          </w:p>
        </w:tc>
        <w:tc>
          <w:tcPr>
            <w:tcW w:w="10020" w:type="dxa"/>
            <w:vAlign w:val="bottom"/>
          </w:tcPr>
          <w:p>
            <w:pPr>
              <w:ind w:left="120"/>
              <w:spacing w:after="0"/>
              <w:rPr>
                <w:sz w:val="20"/>
                <w:szCs w:val="20"/>
                <w:color w:val="auto"/>
              </w:rPr>
            </w:pPr>
            <w:r>
              <w:rPr>
                <w:rFonts w:ascii="Arial" w:cs="Arial" w:eastAsia="Arial" w:hAnsi="Arial"/>
                <w:sz w:val="11"/>
                <w:szCs w:val="11"/>
                <w:color w:val="auto"/>
              </w:rPr>
              <w:t>there been no withholding or deduction.</w:t>
            </w:r>
          </w:p>
        </w:tc>
      </w:tr>
      <w:tr>
        <w:trPr>
          <w:trHeight w:val="248"/>
        </w:trPr>
        <w:tc>
          <w:tcPr>
            <w:tcW w:w="280" w:type="dxa"/>
            <w:vAlign w:val="bottom"/>
          </w:tcPr>
          <w:p>
            <w:pPr>
              <w:jc w:val="right"/>
              <w:ind w:right="86"/>
              <w:spacing w:after="0"/>
              <w:rPr>
                <w:sz w:val="20"/>
                <w:szCs w:val="20"/>
                <w:color w:val="auto"/>
              </w:rPr>
            </w:pPr>
            <w:r>
              <w:rPr>
                <w:rFonts w:ascii="Arial" w:cs="Arial" w:eastAsia="Arial" w:hAnsi="Arial"/>
                <w:sz w:val="11"/>
                <w:szCs w:val="11"/>
                <w:b w:val="1"/>
                <w:bCs w:val="1"/>
                <w:color w:val="auto"/>
                <w:w w:val="78"/>
              </w:rPr>
              <w:t>9.3</w:t>
            </w:r>
          </w:p>
        </w:tc>
        <w:tc>
          <w:tcPr>
            <w:tcW w:w="10020" w:type="dxa"/>
            <w:vAlign w:val="bottom"/>
          </w:tcPr>
          <w:p>
            <w:pPr>
              <w:ind w:left="780"/>
              <w:spacing w:after="0"/>
              <w:rPr>
                <w:sz w:val="20"/>
                <w:szCs w:val="20"/>
                <w:color w:val="auto"/>
              </w:rPr>
            </w:pPr>
            <w:r>
              <w:rPr>
                <w:rFonts w:ascii="Arial" w:cs="Arial" w:eastAsia="Arial" w:hAnsi="Arial"/>
                <w:sz w:val="11"/>
                <w:szCs w:val="11"/>
                <w:b w:val="1"/>
                <w:bCs w:val="1"/>
                <w:color w:val="auto"/>
              </w:rPr>
              <w:t>Indemnity for Tax on Funding</w:t>
            </w:r>
          </w:p>
        </w:tc>
      </w:tr>
    </w:tbl>
    <w:p>
      <w:pPr>
        <w:ind w:left="404"/>
        <w:spacing w:after="0" w:line="222" w:lineRule="auto"/>
        <w:rPr>
          <w:sz w:val="20"/>
          <w:szCs w:val="20"/>
          <w:color w:val="auto"/>
        </w:rPr>
      </w:pPr>
      <w:r>
        <w:rPr>
          <w:rFonts w:ascii="Arial" w:cs="Arial" w:eastAsia="Arial" w:hAnsi="Arial"/>
          <w:sz w:val="11"/>
          <w:szCs w:val="11"/>
          <w:color w:val="auto"/>
        </w:rPr>
        <w:t>If:</w:t>
      </w:r>
    </w:p>
    <w:p>
      <w:pPr>
        <w:ind w:left="364" w:right="260" w:hanging="364"/>
        <w:spacing w:after="0" w:line="222" w:lineRule="auto"/>
        <w:tabs>
          <w:tab w:leader="none" w:pos="364" w:val="left"/>
        </w:tabs>
        <w:numPr>
          <w:ilvl w:val="0"/>
          <w:numId w:val="122"/>
        </w:numPr>
        <w:rPr>
          <w:rFonts w:ascii="Arial" w:cs="Arial" w:eastAsia="Arial" w:hAnsi="Arial"/>
          <w:sz w:val="11"/>
          <w:szCs w:val="11"/>
          <w:color w:val="auto"/>
        </w:rPr>
      </w:pPr>
      <w:r>
        <w:rPr>
          <w:rFonts w:ascii="Arial" w:cs="Arial" w:eastAsia="Arial" w:hAnsi="Arial"/>
          <w:sz w:val="11"/>
          <w:szCs w:val="11"/>
          <w:color w:val="auto"/>
        </w:rPr>
        <w:t>Westpac NZ (or any person on its behalf) is required by law to make a deduction or withholding for, or on account of, Tax or on any other account from an amount paid or payable to a person from whom it has borrowed or obtained moneys to enable it to fund the Loan or any other payment by it under this Agreement or any other Bank Document; and</w:t>
      </w:r>
    </w:p>
    <w:p>
      <w:pPr>
        <w:ind w:left="504" w:hanging="504"/>
        <w:spacing w:after="0" w:line="222" w:lineRule="auto"/>
        <w:tabs>
          <w:tab w:leader="none" w:pos="504" w:val="left"/>
        </w:tabs>
        <w:numPr>
          <w:ilvl w:val="0"/>
          <w:numId w:val="122"/>
        </w:numPr>
        <w:rPr>
          <w:rFonts w:ascii="Arial" w:cs="Arial" w:eastAsia="Arial" w:hAnsi="Arial"/>
          <w:sz w:val="11"/>
          <w:szCs w:val="11"/>
          <w:color w:val="auto"/>
        </w:rPr>
      </w:pPr>
      <w:r>
        <w:rPr>
          <w:rFonts w:ascii="Arial" w:cs="Arial" w:eastAsia="Arial" w:hAnsi="Arial"/>
          <w:sz w:val="11"/>
          <w:szCs w:val="11"/>
          <w:color w:val="auto"/>
        </w:rPr>
        <w:t>as a result Westpac NZ is required to increase its payment, or makes an additional payment, to that person or to a taxation authority,</w:t>
      </w:r>
    </w:p>
    <w:p>
      <w:pPr>
        <w:ind w:left="404" w:right="260"/>
        <w:spacing w:after="0" w:line="234" w:lineRule="auto"/>
        <w:rPr>
          <w:sz w:val="20"/>
          <w:szCs w:val="20"/>
          <w:color w:val="auto"/>
        </w:rPr>
      </w:pPr>
      <w:r>
        <w:rPr>
          <w:rFonts w:ascii="Arial" w:cs="Arial" w:eastAsia="Arial" w:hAnsi="Arial"/>
          <w:sz w:val="11"/>
          <w:szCs w:val="11"/>
          <w:color w:val="auto"/>
        </w:rPr>
        <w:t>then the Borrower will indemnify and hold Westpac NZ harmless against that increased or additional payment and must, on demand by Westpac NZ, pay to Westpac NZ the amount which, after receiving that amount and making that increased or additional payment, will place Westpac NZ in the same position in which it would have been had no increased or additional payment been made.</w:t>
      </w:r>
    </w:p>
    <w:p>
      <w:pPr>
        <w:spacing w:after="0" w:line="102" w:lineRule="exact"/>
        <w:rPr>
          <w:sz w:val="20"/>
          <w:szCs w:val="20"/>
          <w:color w:val="auto"/>
        </w:rPr>
      </w:pPr>
    </w:p>
    <w:p>
      <w:pPr>
        <w:ind w:left="4"/>
        <w:spacing w:after="0"/>
        <w:tabs>
          <w:tab w:leader="none" w:pos="2463" w:val="left"/>
        </w:tabs>
        <w:rPr>
          <w:sz w:val="20"/>
          <w:szCs w:val="20"/>
          <w:color w:val="auto"/>
        </w:rPr>
      </w:pPr>
      <w:r>
        <w:rPr>
          <w:rFonts w:ascii="Arial" w:cs="Arial" w:eastAsia="Arial" w:hAnsi="Arial"/>
          <w:sz w:val="11"/>
          <w:szCs w:val="11"/>
          <w:b w:val="1"/>
          <w:bCs w:val="1"/>
          <w:color w:val="auto"/>
        </w:rPr>
        <w:t>9.4</w:t>
      </w:r>
      <w:r>
        <w:rPr>
          <w:sz w:val="20"/>
          <w:szCs w:val="20"/>
          <w:color w:val="auto"/>
        </w:rPr>
        <w:tab/>
      </w:r>
      <w:r>
        <w:rPr>
          <w:rFonts w:ascii="Arial" w:cs="Arial" w:eastAsia="Arial" w:hAnsi="Arial"/>
          <w:sz w:val="10"/>
          <w:szCs w:val="10"/>
          <w:b w:val="1"/>
          <w:bCs w:val="1"/>
          <w:color w:val="auto"/>
        </w:rPr>
        <w:t>Tax Credit</w:t>
      </w:r>
    </w:p>
    <w:p>
      <w:pPr>
        <w:spacing w:after="0" w:line="2" w:lineRule="exact"/>
        <w:rPr>
          <w:sz w:val="20"/>
          <w:szCs w:val="20"/>
          <w:color w:val="auto"/>
        </w:rPr>
      </w:pPr>
    </w:p>
    <w:p>
      <w:pPr>
        <w:ind w:left="404"/>
        <w:spacing w:after="0"/>
        <w:rPr>
          <w:sz w:val="20"/>
          <w:szCs w:val="20"/>
          <w:color w:val="auto"/>
        </w:rPr>
      </w:pPr>
      <w:r>
        <w:rPr>
          <w:rFonts w:ascii="Arial" w:cs="Arial" w:eastAsia="Arial" w:hAnsi="Arial"/>
          <w:sz w:val="11"/>
          <w:szCs w:val="11"/>
          <w:color w:val="auto"/>
        </w:rPr>
        <w:t>If Westpac NZ receives the benefit of a Tax credit, refund or allowance resulting from an increased amount paid by the Borrower under this clause then the following rules apply:</w:t>
      </w:r>
    </w:p>
    <w:p>
      <w:pPr>
        <w:ind w:left="404" w:hanging="404"/>
        <w:spacing w:after="0" w:line="222" w:lineRule="auto"/>
        <w:tabs>
          <w:tab w:leader="none" w:pos="404" w:val="left"/>
        </w:tabs>
        <w:numPr>
          <w:ilvl w:val="0"/>
          <w:numId w:val="123"/>
        </w:numPr>
        <w:rPr>
          <w:rFonts w:ascii="Arial" w:cs="Arial" w:eastAsia="Arial" w:hAnsi="Arial"/>
          <w:sz w:val="11"/>
          <w:szCs w:val="11"/>
          <w:color w:val="auto"/>
        </w:rPr>
      </w:pPr>
      <w:r>
        <w:rPr>
          <w:rFonts w:ascii="Arial" w:cs="Arial" w:eastAsia="Arial" w:hAnsi="Arial"/>
          <w:sz w:val="11"/>
          <w:szCs w:val="11"/>
          <w:color w:val="auto"/>
        </w:rPr>
        <w:t>Westpac NZ will provide the Borrower with that part of the Tax credit, refund or allowance that Westpac NZ determines was obtained as a result of the increased amount the Borrower paid;</w:t>
      </w:r>
    </w:p>
    <w:p>
      <w:pPr>
        <w:ind w:left="384" w:hanging="384"/>
        <w:spacing w:after="0" w:line="222" w:lineRule="auto"/>
        <w:tabs>
          <w:tab w:leader="none" w:pos="384" w:val="left"/>
        </w:tabs>
        <w:numPr>
          <w:ilvl w:val="0"/>
          <w:numId w:val="123"/>
        </w:numPr>
        <w:rPr>
          <w:rFonts w:ascii="Arial" w:cs="Arial" w:eastAsia="Arial" w:hAnsi="Arial"/>
          <w:sz w:val="11"/>
          <w:szCs w:val="11"/>
          <w:color w:val="auto"/>
        </w:rPr>
      </w:pPr>
      <w:r>
        <w:rPr>
          <w:rFonts w:ascii="Arial" w:cs="Arial" w:eastAsia="Arial" w:hAnsi="Arial"/>
          <w:sz w:val="11"/>
          <w:szCs w:val="11"/>
          <w:color w:val="auto"/>
        </w:rPr>
        <w:t>the amount determined by Westpac NZ will be calculated so Westpac NZ is in no better or worse position than it would have been had no amount been paid by the Borrower under this clause;</w:t>
      </w:r>
    </w:p>
    <w:p>
      <w:pPr>
        <w:ind w:left="524" w:hanging="524"/>
        <w:spacing w:after="0" w:line="222" w:lineRule="auto"/>
        <w:tabs>
          <w:tab w:leader="none" w:pos="524" w:val="left"/>
        </w:tabs>
        <w:numPr>
          <w:ilvl w:val="0"/>
          <w:numId w:val="123"/>
        </w:numPr>
        <w:rPr>
          <w:rFonts w:ascii="Arial" w:cs="Arial" w:eastAsia="Arial" w:hAnsi="Arial"/>
          <w:sz w:val="11"/>
          <w:szCs w:val="11"/>
          <w:color w:val="auto"/>
        </w:rPr>
      </w:pPr>
      <w:r>
        <w:rPr>
          <w:rFonts w:ascii="Arial" w:cs="Arial" w:eastAsia="Arial" w:hAnsi="Arial"/>
          <w:sz w:val="11"/>
          <w:szCs w:val="11"/>
          <w:color w:val="auto"/>
        </w:rPr>
        <w:t>Westpac NZ is under no obligation to disclose any information relating to the calculation of its Tax liability or benefits;</w:t>
      </w:r>
    </w:p>
    <w:p>
      <w:pPr>
        <w:ind w:left="384" w:hanging="384"/>
        <w:spacing w:after="0"/>
        <w:tabs>
          <w:tab w:leader="none" w:pos="384" w:val="left"/>
        </w:tabs>
        <w:numPr>
          <w:ilvl w:val="0"/>
          <w:numId w:val="123"/>
        </w:numPr>
        <w:rPr>
          <w:rFonts w:ascii="Arial" w:cs="Arial" w:eastAsia="Arial" w:hAnsi="Arial"/>
          <w:sz w:val="11"/>
          <w:szCs w:val="11"/>
          <w:color w:val="auto"/>
        </w:rPr>
      </w:pPr>
      <w:r>
        <w:rPr>
          <w:rFonts w:ascii="Arial" w:cs="Arial" w:eastAsia="Arial" w:hAnsi="Arial"/>
          <w:sz w:val="11"/>
          <w:szCs w:val="11"/>
          <w:color w:val="auto"/>
        </w:rPr>
        <w:t>this clause does not interfere with Westpac NZ's right to arrange its Tax affairs as it wishes and, in particular, Westpac NZ may apply Tax credits, refunds and allowances available to it as it likes.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272415</wp:posOffset>
            </wp:positionV>
            <wp:extent cx="6768465"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768465" cy="42545"/>
                    </a:xfrm>
                    <a:prstGeom prst="rect">
                      <a:avLst/>
                    </a:prstGeom>
                    <a:noFill/>
                  </pic:spPr>
                </pic:pic>
              </a:graphicData>
            </a:graphic>
          </wp:anchor>
        </w:drawing>
      </w:r>
    </w:p>
    <w:p>
      <w:pPr>
        <w:sectPr>
          <w:pgSz w:w="11900" w:h="16838" w:orient="portrait"/>
          <w:cols w:equalWidth="0" w:num="1">
            <w:col w:w="10524"/>
          </w:cols>
          <w:pgMar w:left="656" w:top="246" w:right="719" w:bottom="1440" w:gutter="0" w:footer="0" w:header="0"/>
          <w:type w:val="continuous"/>
        </w:sectPr>
      </w:pPr>
    </w:p>
    <w:bookmarkStart w:id="164" w:name="page165"/>
    <w:bookmarkEnd w:id="164"/>
    <w:p>
      <w:pPr>
        <w:ind w:left="4"/>
        <w:spacing w:after="0"/>
        <w:tabs>
          <w:tab w:leader="none" w:pos="1683" w:val="left"/>
        </w:tabs>
        <w:rPr>
          <w:sz w:val="20"/>
          <w:szCs w:val="20"/>
          <w:color w:val="auto"/>
        </w:rPr>
      </w:pPr>
      <w:r>
        <w:rPr>
          <w:rFonts w:ascii="Arial" w:cs="Arial" w:eastAsia="Arial" w:hAnsi="Arial"/>
          <w:sz w:val="11"/>
          <w:szCs w:val="11"/>
          <w:b w:val="1"/>
          <w:bCs w:val="1"/>
          <w:color w:val="auto"/>
        </w:rPr>
        <w:t>10.</w:t>
      </w:r>
      <w:r>
        <w:rPr>
          <w:sz w:val="20"/>
          <w:szCs w:val="20"/>
          <w:color w:val="auto"/>
        </w:rPr>
        <w:tab/>
      </w:r>
      <w:r>
        <w:rPr>
          <w:rFonts w:ascii="Arial" w:cs="Arial" w:eastAsia="Arial" w:hAnsi="Arial"/>
          <w:sz w:val="11"/>
          <w:szCs w:val="11"/>
          <w:b w:val="1"/>
          <w:bCs w:val="1"/>
          <w:color w:val="auto"/>
        </w:rPr>
        <w:t>events of default</w:t>
      </w:r>
    </w:p>
    <w:p>
      <w:pPr>
        <w:spacing w:after="0" w:line="264" w:lineRule="exact"/>
        <w:rPr>
          <w:sz w:val="20"/>
          <w:szCs w:val="20"/>
          <w:color w:val="auto"/>
        </w:rPr>
      </w:pPr>
    </w:p>
    <w:p>
      <w:pPr>
        <w:ind w:left="404"/>
        <w:spacing w:after="0"/>
        <w:rPr>
          <w:sz w:val="20"/>
          <w:szCs w:val="20"/>
          <w:color w:val="auto"/>
        </w:rPr>
      </w:pPr>
      <w:r>
        <w:rPr>
          <w:rFonts w:ascii="Arial" w:cs="Arial" w:eastAsia="Arial" w:hAnsi="Arial"/>
          <w:sz w:val="11"/>
          <w:szCs w:val="11"/>
          <w:color w:val="auto"/>
        </w:rPr>
        <w:t>At any time after an Event of Default and without prejudice to any other remedies, Westpac NZ may immediately by notice to the Borrower terminate the Loan with the consequences set out in clause 2.2.</w:t>
      </w:r>
    </w:p>
    <w:p>
      <w:pPr>
        <w:spacing w:after="0" w:line="231" w:lineRule="exact"/>
        <w:rPr>
          <w:sz w:val="20"/>
          <w:szCs w:val="20"/>
          <w:color w:val="auto"/>
        </w:rPr>
      </w:pPr>
    </w:p>
    <w:p>
      <w:pPr>
        <w:ind w:left="1244" w:hanging="1244"/>
        <w:spacing w:after="0"/>
        <w:tabs>
          <w:tab w:leader="none" w:pos="1244" w:val="left"/>
        </w:tabs>
        <w:numPr>
          <w:ilvl w:val="0"/>
          <w:numId w:val="124"/>
        </w:numPr>
        <w:rPr>
          <w:rFonts w:ascii="Arial" w:cs="Arial" w:eastAsia="Arial" w:hAnsi="Arial"/>
          <w:sz w:val="11"/>
          <w:szCs w:val="11"/>
          <w:b w:val="1"/>
          <w:bCs w:val="1"/>
          <w:color w:val="auto"/>
        </w:rPr>
      </w:pPr>
      <w:r>
        <w:rPr>
          <w:rFonts w:ascii="Arial" w:cs="Arial" w:eastAsia="Arial" w:hAnsi="Arial"/>
          <w:sz w:val="11"/>
          <w:szCs w:val="11"/>
          <w:b w:val="1"/>
          <w:bCs w:val="1"/>
          <w:color w:val="auto"/>
        </w:rPr>
        <w:t>change in circumstances</w:t>
      </w:r>
    </w:p>
    <w:p>
      <w:pPr>
        <w:spacing w:after="0" w:line="261" w:lineRule="exact"/>
        <w:rPr>
          <w:sz w:val="20"/>
          <w:szCs w:val="20"/>
          <w:color w:val="auto"/>
        </w:rPr>
      </w:pPr>
    </w:p>
    <w:p>
      <w:pPr>
        <w:ind w:left="4"/>
        <w:spacing w:after="0"/>
        <w:tabs>
          <w:tab w:leader="none" w:pos="2223" w:val="left"/>
        </w:tabs>
        <w:rPr>
          <w:sz w:val="20"/>
          <w:szCs w:val="20"/>
          <w:color w:val="auto"/>
        </w:rPr>
      </w:pPr>
      <w:r>
        <w:rPr>
          <w:rFonts w:ascii="Arial" w:cs="Arial" w:eastAsia="Arial" w:hAnsi="Arial"/>
          <w:sz w:val="11"/>
          <w:szCs w:val="11"/>
          <w:b w:val="1"/>
          <w:bCs w:val="1"/>
          <w:color w:val="auto"/>
        </w:rPr>
        <w:t>11.1</w:t>
      </w:r>
      <w:r>
        <w:rPr>
          <w:sz w:val="20"/>
          <w:szCs w:val="20"/>
          <w:color w:val="auto"/>
        </w:rPr>
        <w:tab/>
      </w:r>
      <w:r>
        <w:rPr>
          <w:rFonts w:ascii="Arial" w:cs="Arial" w:eastAsia="Arial" w:hAnsi="Arial"/>
          <w:sz w:val="10"/>
          <w:szCs w:val="10"/>
          <w:b w:val="1"/>
          <w:bCs w:val="1"/>
          <w:color w:val="auto"/>
        </w:rPr>
        <w:t>Increased Costs</w:t>
      </w:r>
    </w:p>
    <w:p>
      <w:pPr>
        <w:spacing w:after="0" w:line="2" w:lineRule="exact"/>
        <w:rPr>
          <w:sz w:val="20"/>
          <w:szCs w:val="20"/>
          <w:color w:val="auto"/>
        </w:rPr>
      </w:pPr>
    </w:p>
    <w:p>
      <w:pPr>
        <w:ind w:left="404"/>
        <w:spacing w:after="0"/>
        <w:rPr>
          <w:sz w:val="20"/>
          <w:szCs w:val="20"/>
          <w:color w:val="auto"/>
        </w:rPr>
      </w:pPr>
      <w:r>
        <w:rPr>
          <w:rFonts w:ascii="Arial" w:cs="Arial" w:eastAsia="Arial" w:hAnsi="Arial"/>
          <w:sz w:val="11"/>
          <w:szCs w:val="11"/>
          <w:color w:val="auto"/>
        </w:rPr>
        <w:t>If as a result of:</w:t>
      </w:r>
    </w:p>
    <w:p>
      <w:pPr>
        <w:ind w:left="644" w:hanging="644"/>
        <w:spacing w:after="0" w:line="222" w:lineRule="auto"/>
        <w:tabs>
          <w:tab w:leader="none" w:pos="644" w:val="left"/>
        </w:tabs>
        <w:numPr>
          <w:ilvl w:val="0"/>
          <w:numId w:val="125"/>
        </w:numPr>
        <w:rPr>
          <w:rFonts w:ascii="Arial" w:cs="Arial" w:eastAsia="Arial" w:hAnsi="Arial"/>
          <w:sz w:val="11"/>
          <w:szCs w:val="11"/>
          <w:color w:val="auto"/>
        </w:rPr>
      </w:pPr>
      <w:r>
        <w:rPr>
          <w:rFonts w:ascii="Arial" w:cs="Arial" w:eastAsia="Arial" w:hAnsi="Arial"/>
          <w:sz w:val="11"/>
          <w:szCs w:val="11"/>
          <w:color w:val="auto"/>
        </w:rPr>
        <w:t>Westpac NZ complying with any law; or</w:t>
      </w:r>
    </w:p>
    <w:p>
      <w:pPr>
        <w:ind w:left="484" w:hanging="484"/>
        <w:spacing w:after="0" w:line="222" w:lineRule="auto"/>
        <w:tabs>
          <w:tab w:leader="none" w:pos="484" w:val="left"/>
        </w:tabs>
        <w:numPr>
          <w:ilvl w:val="0"/>
          <w:numId w:val="125"/>
        </w:numPr>
        <w:rPr>
          <w:rFonts w:ascii="Arial" w:cs="Arial" w:eastAsia="Arial" w:hAnsi="Arial"/>
          <w:sz w:val="11"/>
          <w:szCs w:val="11"/>
          <w:color w:val="auto"/>
        </w:rPr>
      </w:pPr>
      <w:r>
        <w:rPr>
          <w:rFonts w:ascii="Arial" w:cs="Arial" w:eastAsia="Arial" w:hAnsi="Arial"/>
          <w:sz w:val="11"/>
          <w:szCs w:val="11"/>
          <w:color w:val="auto"/>
        </w:rPr>
        <w:t>any change in or introduction of any law or change in the interpretation or application of any law by any Governmental Agency or court which:</w:t>
      </w:r>
    </w:p>
    <w:p>
      <w:pPr>
        <w:ind w:left="1124" w:hanging="376"/>
        <w:spacing w:after="0" w:line="222" w:lineRule="auto"/>
        <w:tabs>
          <w:tab w:leader="none" w:pos="1124" w:val="left"/>
        </w:tabs>
        <w:numPr>
          <w:ilvl w:val="1"/>
          <w:numId w:val="125"/>
        </w:numPr>
        <w:rPr>
          <w:rFonts w:ascii="Arial" w:cs="Arial" w:eastAsia="Arial" w:hAnsi="Arial"/>
          <w:sz w:val="11"/>
          <w:szCs w:val="11"/>
          <w:color w:val="auto"/>
        </w:rPr>
      </w:pPr>
      <w:r>
        <w:rPr>
          <w:rFonts w:ascii="Arial" w:cs="Arial" w:eastAsia="Arial" w:hAnsi="Arial"/>
          <w:sz w:val="11"/>
          <w:szCs w:val="11"/>
          <w:color w:val="auto"/>
        </w:rPr>
        <w:t>imposes, modifies or deems applicable any reserve, capital adequacy, prudential deposit, liquidity or similar requirement against assets of, or deposits with any branch of Westpac NZ;</w:t>
      </w:r>
    </w:p>
    <w:p>
      <w:pPr>
        <w:ind w:left="1284" w:hanging="536"/>
        <w:spacing w:after="0" w:line="222" w:lineRule="auto"/>
        <w:tabs>
          <w:tab w:leader="none" w:pos="1284" w:val="left"/>
        </w:tabs>
        <w:numPr>
          <w:ilvl w:val="1"/>
          <w:numId w:val="125"/>
        </w:numPr>
        <w:rPr>
          <w:rFonts w:ascii="Arial" w:cs="Arial" w:eastAsia="Arial" w:hAnsi="Arial"/>
          <w:sz w:val="11"/>
          <w:szCs w:val="11"/>
          <w:color w:val="auto"/>
        </w:rPr>
      </w:pPr>
      <w:r>
        <w:rPr>
          <w:rFonts w:ascii="Arial" w:cs="Arial" w:eastAsia="Arial" w:hAnsi="Arial"/>
          <w:sz w:val="11"/>
          <w:szCs w:val="11"/>
          <w:color w:val="auto"/>
        </w:rPr>
        <w:t>imposes on Westpac NZ any other requirement with respect to this Agreement or any other Bank Document; or</w:t>
      </w:r>
    </w:p>
    <w:p>
      <w:pPr>
        <w:ind w:left="1224" w:hanging="476"/>
        <w:spacing w:after="0"/>
        <w:tabs>
          <w:tab w:leader="none" w:pos="1224" w:val="left"/>
        </w:tabs>
        <w:numPr>
          <w:ilvl w:val="1"/>
          <w:numId w:val="125"/>
        </w:numPr>
        <w:rPr>
          <w:rFonts w:ascii="Arial" w:cs="Arial" w:eastAsia="Arial" w:hAnsi="Arial"/>
          <w:sz w:val="11"/>
          <w:szCs w:val="11"/>
          <w:color w:val="auto"/>
        </w:rPr>
      </w:pPr>
      <w:r>
        <w:rPr>
          <w:rFonts w:ascii="Arial" w:cs="Arial" w:eastAsia="Arial" w:hAnsi="Arial"/>
          <w:sz w:val="11"/>
          <w:szCs w:val="11"/>
          <w:color w:val="auto"/>
        </w:rPr>
        <w:t>changes the risk weighting for capital adequacy purposes of the Loan;</w:t>
      </w:r>
    </w:p>
    <w:p>
      <w:pPr>
        <w:spacing w:after="0" w:line="117" w:lineRule="exact"/>
        <w:rPr>
          <w:sz w:val="20"/>
          <w:szCs w:val="20"/>
          <w:color w:val="auto"/>
        </w:rPr>
      </w:pPr>
    </w:p>
    <w:p>
      <w:pPr>
        <w:ind w:left="404"/>
        <w:spacing w:after="0"/>
        <w:rPr>
          <w:sz w:val="20"/>
          <w:szCs w:val="20"/>
          <w:color w:val="auto"/>
        </w:rPr>
      </w:pPr>
      <w:r>
        <w:rPr>
          <w:rFonts w:ascii="Arial" w:cs="Arial" w:eastAsia="Arial" w:hAnsi="Arial"/>
          <w:sz w:val="11"/>
          <w:szCs w:val="11"/>
          <w:color w:val="auto"/>
        </w:rPr>
        <w:t>any of the following occur:</w:t>
      </w:r>
    </w:p>
    <w:p>
      <w:pPr>
        <w:spacing w:after="0" w:line="107" w:lineRule="exact"/>
        <w:rPr>
          <w:sz w:val="20"/>
          <w:szCs w:val="20"/>
          <w:color w:val="auto"/>
        </w:rPr>
      </w:pPr>
    </w:p>
    <w:p>
      <w:pPr>
        <w:ind w:left="744" w:hanging="347"/>
        <w:spacing w:after="0"/>
        <w:tabs>
          <w:tab w:leader="none" w:pos="744" w:val="left"/>
        </w:tabs>
        <w:numPr>
          <w:ilvl w:val="1"/>
          <w:numId w:val="126"/>
        </w:numPr>
        <w:rPr>
          <w:rFonts w:ascii="Arial" w:cs="Arial" w:eastAsia="Arial" w:hAnsi="Arial"/>
          <w:sz w:val="11"/>
          <w:szCs w:val="11"/>
          <w:color w:val="auto"/>
        </w:rPr>
      </w:pPr>
      <w:r>
        <w:rPr>
          <w:rFonts w:ascii="Arial" w:cs="Arial" w:eastAsia="Arial" w:hAnsi="Arial"/>
          <w:sz w:val="11"/>
          <w:szCs w:val="11"/>
          <w:color w:val="auto"/>
        </w:rPr>
        <w:t>the cost to Westpac NZ of making, funding or maintaining the Loan is increased; or</w:t>
      </w:r>
    </w:p>
    <w:p>
      <w:pPr>
        <w:ind w:left="504" w:hanging="504"/>
        <w:spacing w:after="0" w:line="222" w:lineRule="auto"/>
        <w:tabs>
          <w:tab w:leader="none" w:pos="504" w:val="left"/>
        </w:tabs>
        <w:numPr>
          <w:ilvl w:val="0"/>
          <w:numId w:val="127"/>
        </w:numPr>
        <w:rPr>
          <w:rFonts w:ascii="Arial" w:cs="Arial" w:eastAsia="Arial" w:hAnsi="Arial"/>
          <w:sz w:val="11"/>
          <w:szCs w:val="11"/>
          <w:color w:val="auto"/>
        </w:rPr>
      </w:pPr>
      <w:r>
        <w:rPr>
          <w:rFonts w:ascii="Arial" w:cs="Arial" w:eastAsia="Arial" w:hAnsi="Arial"/>
          <w:sz w:val="11"/>
          <w:szCs w:val="11"/>
          <w:color w:val="auto"/>
        </w:rPr>
        <w:t>the moneys payable to Westpac NZ or the effective return to Westpac NZ under or in connection with this Agreement is reduced; or</w:t>
      </w:r>
    </w:p>
    <w:p>
      <w:pPr>
        <w:ind w:left="424" w:hanging="424"/>
        <w:spacing w:after="0" w:line="222" w:lineRule="auto"/>
        <w:tabs>
          <w:tab w:leader="none" w:pos="424" w:val="left"/>
        </w:tabs>
        <w:numPr>
          <w:ilvl w:val="0"/>
          <w:numId w:val="127"/>
        </w:numPr>
        <w:rPr>
          <w:rFonts w:ascii="Arial" w:cs="Arial" w:eastAsia="Arial" w:hAnsi="Arial"/>
          <w:sz w:val="11"/>
          <w:szCs w:val="11"/>
          <w:color w:val="auto"/>
        </w:rPr>
      </w:pPr>
      <w:r>
        <w:rPr>
          <w:rFonts w:ascii="Arial" w:cs="Arial" w:eastAsia="Arial" w:hAnsi="Arial"/>
          <w:sz w:val="11"/>
          <w:szCs w:val="11"/>
          <w:color w:val="auto"/>
        </w:rPr>
        <w:t>Westpac NZ makes any payment or foregoes any interest or other return on, or calculated by reference to, any sum received or receivable by it under any Bank Document; or</w:t>
      </w:r>
    </w:p>
    <w:p>
      <w:pPr>
        <w:ind w:left="344" w:hanging="344"/>
        <w:spacing w:after="0"/>
        <w:tabs>
          <w:tab w:leader="none" w:pos="344" w:val="left"/>
        </w:tabs>
        <w:numPr>
          <w:ilvl w:val="0"/>
          <w:numId w:val="127"/>
        </w:numPr>
        <w:rPr>
          <w:rFonts w:ascii="Arial" w:cs="Arial" w:eastAsia="Arial" w:hAnsi="Arial"/>
          <w:sz w:val="11"/>
          <w:szCs w:val="11"/>
          <w:color w:val="auto"/>
        </w:rPr>
      </w:pPr>
      <w:r>
        <w:rPr>
          <w:rFonts w:ascii="Arial" w:cs="Arial" w:eastAsia="Arial" w:hAnsi="Arial"/>
          <w:sz w:val="11"/>
          <w:szCs w:val="11"/>
          <w:color w:val="auto"/>
        </w:rPr>
        <w:t>Westpac NZ is unable to obtain the rate of return on capital (including any notional return on capital calculated on a risk adjusted basis) which it would have received at the date of this Agreement;</w:t>
      </w:r>
    </w:p>
    <w:p>
      <w:pPr>
        <w:spacing w:after="0" w:line="108" w:lineRule="exact"/>
        <w:rPr>
          <w:sz w:val="20"/>
          <w:szCs w:val="20"/>
          <w:color w:val="auto"/>
        </w:rPr>
      </w:pPr>
    </w:p>
    <w:p>
      <w:pPr>
        <w:ind w:left="404"/>
        <w:spacing w:after="0"/>
        <w:rPr>
          <w:sz w:val="20"/>
          <w:szCs w:val="20"/>
          <w:color w:val="auto"/>
        </w:rPr>
      </w:pPr>
      <w:r>
        <w:rPr>
          <w:rFonts w:ascii="Arial" w:cs="Arial" w:eastAsia="Arial" w:hAnsi="Arial"/>
          <w:sz w:val="11"/>
          <w:szCs w:val="11"/>
          <w:color w:val="auto"/>
        </w:rPr>
        <w:t>then:</w:t>
      </w:r>
    </w:p>
    <w:p>
      <w:pPr>
        <w:spacing w:after="0" w:line="107" w:lineRule="exact"/>
        <w:rPr>
          <w:sz w:val="20"/>
          <w:szCs w:val="20"/>
          <w:color w:val="auto"/>
        </w:rPr>
      </w:pPr>
    </w:p>
    <w:p>
      <w:pPr>
        <w:ind w:left="404" w:hanging="404"/>
        <w:spacing w:after="0"/>
        <w:tabs>
          <w:tab w:leader="none" w:pos="404" w:val="left"/>
        </w:tabs>
        <w:numPr>
          <w:ilvl w:val="0"/>
          <w:numId w:val="128"/>
        </w:numPr>
        <w:rPr>
          <w:rFonts w:ascii="Arial" w:cs="Arial" w:eastAsia="Arial" w:hAnsi="Arial"/>
          <w:sz w:val="11"/>
          <w:szCs w:val="11"/>
          <w:color w:val="auto"/>
        </w:rPr>
      </w:pPr>
      <w:r>
        <w:rPr>
          <w:rFonts w:ascii="Arial" w:cs="Arial" w:eastAsia="Arial" w:hAnsi="Arial"/>
          <w:sz w:val="11"/>
          <w:szCs w:val="11"/>
          <w:color w:val="auto"/>
        </w:rPr>
        <w:t>Westpac NZ will use its best efforts promptly to notify the Borrower in writing of those events, provided that failure to do so will not affect Westpac NZ's rights under this clause; and</w:t>
      </w:r>
    </w:p>
    <w:p>
      <w:pPr>
        <w:ind w:left="364" w:right="220" w:hanging="364"/>
        <w:spacing w:after="0" w:line="234" w:lineRule="auto"/>
        <w:tabs>
          <w:tab w:leader="none" w:pos="364" w:val="left"/>
        </w:tabs>
        <w:numPr>
          <w:ilvl w:val="0"/>
          <w:numId w:val="128"/>
        </w:numPr>
        <w:rPr>
          <w:rFonts w:ascii="Arial" w:cs="Arial" w:eastAsia="Arial" w:hAnsi="Arial"/>
          <w:sz w:val="11"/>
          <w:szCs w:val="11"/>
          <w:color w:val="auto"/>
        </w:rPr>
      </w:pPr>
      <w:r>
        <w:rPr>
          <w:rFonts w:ascii="Arial" w:cs="Arial" w:eastAsia="Arial" w:hAnsi="Arial"/>
          <w:sz w:val="11"/>
          <w:szCs w:val="11"/>
          <w:color w:val="auto"/>
        </w:rPr>
        <w:t>the Borrower must pay on demand, from time to time, for the account of Westpac NZ, the amount certified by an Officer which will compensate Westpac NZ for its increased cost, reduction, payment or foregone interest or other return.</w:t>
      </w:r>
    </w:p>
    <w:p>
      <w:pPr>
        <w:spacing w:after="0" w:line="102" w:lineRule="exact"/>
        <w:rPr>
          <w:sz w:val="20"/>
          <w:szCs w:val="20"/>
          <w:color w:val="auto"/>
        </w:rPr>
      </w:pPr>
    </w:p>
    <w:p>
      <w:pPr>
        <w:ind w:left="4"/>
        <w:spacing w:after="0"/>
        <w:tabs>
          <w:tab w:leader="none" w:pos="1703" w:val="left"/>
        </w:tabs>
        <w:rPr>
          <w:sz w:val="20"/>
          <w:szCs w:val="20"/>
          <w:color w:val="auto"/>
        </w:rPr>
      </w:pPr>
      <w:r>
        <w:rPr>
          <w:rFonts w:ascii="Arial" w:cs="Arial" w:eastAsia="Arial" w:hAnsi="Arial"/>
          <w:sz w:val="11"/>
          <w:szCs w:val="11"/>
          <w:b w:val="1"/>
          <w:bCs w:val="1"/>
          <w:color w:val="auto"/>
        </w:rPr>
        <w:t>11.2</w:t>
      </w:r>
      <w:r>
        <w:rPr>
          <w:sz w:val="20"/>
          <w:szCs w:val="20"/>
          <w:color w:val="auto"/>
        </w:rPr>
        <w:tab/>
      </w:r>
      <w:r>
        <w:rPr>
          <w:rFonts w:ascii="Arial" w:cs="Arial" w:eastAsia="Arial" w:hAnsi="Arial"/>
          <w:sz w:val="10"/>
          <w:szCs w:val="10"/>
          <w:b w:val="1"/>
          <w:bCs w:val="1"/>
          <w:color w:val="auto"/>
        </w:rPr>
        <w:t>Survival of Obligations</w:t>
      </w:r>
    </w:p>
    <w:p>
      <w:pPr>
        <w:spacing w:after="0" w:line="12" w:lineRule="exact"/>
        <w:rPr>
          <w:sz w:val="20"/>
          <w:szCs w:val="20"/>
          <w:color w:val="auto"/>
        </w:rPr>
      </w:pPr>
    </w:p>
    <w:p>
      <w:pPr>
        <w:ind w:left="404"/>
        <w:spacing w:after="0"/>
        <w:rPr>
          <w:sz w:val="20"/>
          <w:szCs w:val="20"/>
          <w:color w:val="auto"/>
        </w:rPr>
      </w:pPr>
      <w:r>
        <w:rPr>
          <w:rFonts w:ascii="Arial" w:cs="Arial" w:eastAsia="Arial" w:hAnsi="Arial"/>
          <w:sz w:val="11"/>
          <w:szCs w:val="11"/>
          <w:color w:val="auto"/>
        </w:rPr>
        <w:t>The obligations of the Borrower under clause 11.1 will survive termination of the Loan and payment or repayment of all Outstanding Moneys.</w:t>
      </w:r>
    </w:p>
    <w:p>
      <w:pPr>
        <w:spacing w:after="0" w:line="105" w:lineRule="exact"/>
        <w:rPr>
          <w:sz w:val="20"/>
          <w:szCs w:val="20"/>
          <w:color w:val="auto"/>
        </w:rPr>
      </w:pPr>
    </w:p>
    <w:p>
      <w:pPr>
        <w:ind w:left="4"/>
        <w:spacing w:after="0"/>
        <w:tabs>
          <w:tab w:leader="none" w:pos="1703" w:val="left"/>
        </w:tabs>
        <w:rPr>
          <w:sz w:val="20"/>
          <w:szCs w:val="20"/>
          <w:color w:val="auto"/>
        </w:rPr>
      </w:pPr>
      <w:r>
        <w:rPr>
          <w:rFonts w:ascii="Arial" w:cs="Arial" w:eastAsia="Arial" w:hAnsi="Arial"/>
          <w:sz w:val="11"/>
          <w:szCs w:val="11"/>
          <w:b w:val="1"/>
          <w:bCs w:val="1"/>
          <w:color w:val="auto"/>
        </w:rPr>
        <w:t>11.3</w:t>
      </w:r>
      <w:r>
        <w:rPr>
          <w:sz w:val="20"/>
          <w:szCs w:val="20"/>
          <w:color w:val="auto"/>
        </w:rPr>
        <w:tab/>
      </w:r>
      <w:r>
        <w:rPr>
          <w:rFonts w:ascii="Arial" w:cs="Arial" w:eastAsia="Arial" w:hAnsi="Arial"/>
          <w:sz w:val="10"/>
          <w:szCs w:val="10"/>
          <w:b w:val="1"/>
          <w:bCs w:val="1"/>
          <w:color w:val="auto"/>
        </w:rPr>
        <w:t>Re-negotiation of Loan</w:t>
      </w:r>
    </w:p>
    <w:p>
      <w:pPr>
        <w:spacing w:after="0" w:line="12" w:lineRule="exact"/>
        <w:rPr>
          <w:sz w:val="20"/>
          <w:szCs w:val="20"/>
          <w:color w:val="auto"/>
        </w:rPr>
      </w:pPr>
    </w:p>
    <w:p>
      <w:pPr>
        <w:ind w:left="404" w:right="280"/>
        <w:spacing w:after="0" w:line="230" w:lineRule="auto"/>
        <w:rPr>
          <w:sz w:val="20"/>
          <w:szCs w:val="20"/>
          <w:color w:val="auto"/>
        </w:rPr>
      </w:pPr>
      <w:r>
        <w:rPr>
          <w:rFonts w:ascii="Arial" w:cs="Arial" w:eastAsia="Arial" w:hAnsi="Arial"/>
          <w:sz w:val="11"/>
          <w:szCs w:val="11"/>
          <w:color w:val="auto"/>
        </w:rPr>
        <w:t>If an additional amount is required to be paid under clause 11.1 then, without limiting the Borrower's obligations under this Agreement, Westpac NZ will, at the request of the Borrower given within 30 days of notice from Westpac NZ, consult with the Borrower with a view to renegotiating the terms of the Loan in order to mitigate or avoid any additional amounts payable under clause 11.1 provided that nothing in this clause will require Westpac NZ to act to its detriment.</w:t>
      </w:r>
    </w:p>
    <w:p>
      <w:pPr>
        <w:spacing w:after="0" w:line="102" w:lineRule="exact"/>
        <w:rPr>
          <w:sz w:val="20"/>
          <w:szCs w:val="20"/>
          <w:color w:val="auto"/>
        </w:rPr>
      </w:pPr>
    </w:p>
    <w:p>
      <w:pPr>
        <w:ind w:left="4"/>
        <w:spacing w:after="0"/>
        <w:tabs>
          <w:tab w:leader="none" w:pos="3523" w:val="left"/>
        </w:tabs>
        <w:rPr>
          <w:sz w:val="20"/>
          <w:szCs w:val="20"/>
          <w:color w:val="auto"/>
        </w:rPr>
      </w:pPr>
      <w:r>
        <w:rPr>
          <w:rFonts w:ascii="Arial" w:cs="Arial" w:eastAsia="Arial" w:hAnsi="Arial"/>
          <w:sz w:val="11"/>
          <w:szCs w:val="11"/>
          <w:b w:val="1"/>
          <w:bCs w:val="1"/>
          <w:color w:val="auto"/>
        </w:rPr>
        <w:t>11.4</w:t>
      </w:r>
      <w:r>
        <w:rPr>
          <w:sz w:val="20"/>
          <w:szCs w:val="20"/>
          <w:color w:val="auto"/>
        </w:rPr>
        <w:tab/>
      </w:r>
      <w:r>
        <w:rPr>
          <w:rFonts w:ascii="Arial" w:cs="Arial" w:eastAsia="Arial" w:hAnsi="Arial"/>
          <w:sz w:val="10"/>
          <w:szCs w:val="10"/>
          <w:b w:val="1"/>
          <w:bCs w:val="1"/>
          <w:color w:val="auto"/>
        </w:rPr>
        <w:t>Illegality</w:t>
      </w:r>
    </w:p>
    <w:p>
      <w:pPr>
        <w:spacing w:after="0" w:line="2" w:lineRule="exact"/>
        <w:rPr>
          <w:sz w:val="20"/>
          <w:szCs w:val="20"/>
          <w:color w:val="auto"/>
        </w:rPr>
      </w:pPr>
    </w:p>
    <w:p>
      <w:pPr>
        <w:ind w:left="404"/>
        <w:spacing w:after="0"/>
        <w:rPr>
          <w:sz w:val="20"/>
          <w:szCs w:val="20"/>
          <w:color w:val="auto"/>
        </w:rPr>
      </w:pPr>
      <w:r>
        <w:rPr>
          <w:rFonts w:ascii="Arial" w:cs="Arial" w:eastAsia="Arial" w:hAnsi="Arial"/>
          <w:sz w:val="11"/>
          <w:szCs w:val="11"/>
          <w:color w:val="auto"/>
        </w:rPr>
        <w:t>If as a result of:</w:t>
      </w:r>
    </w:p>
    <w:p>
      <w:pPr>
        <w:ind w:left="964" w:hanging="567"/>
        <w:spacing w:after="0" w:line="222" w:lineRule="auto"/>
        <w:tabs>
          <w:tab w:leader="none" w:pos="964" w:val="left"/>
        </w:tabs>
        <w:numPr>
          <w:ilvl w:val="0"/>
          <w:numId w:val="129"/>
        </w:numPr>
        <w:rPr>
          <w:rFonts w:ascii="Arial" w:cs="Arial" w:eastAsia="Arial" w:hAnsi="Arial"/>
          <w:sz w:val="11"/>
          <w:szCs w:val="11"/>
          <w:color w:val="auto"/>
        </w:rPr>
      </w:pPr>
      <w:r>
        <w:rPr>
          <w:rFonts w:ascii="Arial" w:cs="Arial" w:eastAsia="Arial" w:hAnsi="Arial"/>
          <w:sz w:val="11"/>
          <w:szCs w:val="11"/>
          <w:color w:val="auto"/>
        </w:rPr>
        <w:t>the introduction or amendment of any law; or</w:t>
      </w:r>
    </w:p>
    <w:p>
      <w:pPr>
        <w:ind w:left="724" w:hanging="327"/>
        <w:spacing w:after="0"/>
        <w:tabs>
          <w:tab w:leader="none" w:pos="724" w:val="left"/>
        </w:tabs>
        <w:numPr>
          <w:ilvl w:val="0"/>
          <w:numId w:val="129"/>
        </w:numPr>
        <w:rPr>
          <w:rFonts w:ascii="Arial" w:cs="Arial" w:eastAsia="Arial" w:hAnsi="Arial"/>
          <w:sz w:val="11"/>
          <w:szCs w:val="11"/>
          <w:color w:val="auto"/>
        </w:rPr>
      </w:pPr>
      <w:r>
        <w:rPr>
          <w:rFonts w:ascii="Arial" w:cs="Arial" w:eastAsia="Arial" w:hAnsi="Arial"/>
          <w:sz w:val="11"/>
          <w:szCs w:val="11"/>
          <w:color w:val="auto"/>
        </w:rPr>
        <w:t>any other circumstance affecting any interbank market or any relevant foreign exchange market generally;</w:t>
      </w:r>
    </w:p>
    <w:p>
      <w:pPr>
        <w:spacing w:after="0" w:line="117" w:lineRule="exact"/>
        <w:rPr>
          <w:sz w:val="20"/>
          <w:szCs w:val="20"/>
          <w:color w:val="auto"/>
        </w:rPr>
      </w:pPr>
    </w:p>
    <w:p>
      <w:pPr>
        <w:jc w:val="both"/>
        <w:ind w:left="404" w:right="200"/>
        <w:spacing w:after="0" w:line="275" w:lineRule="auto"/>
        <w:rPr>
          <w:sz w:val="20"/>
          <w:szCs w:val="20"/>
          <w:color w:val="auto"/>
        </w:rPr>
      </w:pPr>
      <w:r>
        <w:rPr>
          <w:rFonts w:ascii="Arial" w:cs="Arial" w:eastAsia="Arial" w:hAnsi="Arial"/>
          <w:sz w:val="10"/>
          <w:szCs w:val="10"/>
          <w:color w:val="auto"/>
        </w:rPr>
        <w:t>it is unlawful, impracticable or impossible for Westpac NZ to make, fund or allow to remain outstanding the Loan or to comply with its obligations or exercise its rights under this Agreement, then Westpac NZ will as soon as practicable give written notice to the Borrower and Westpac NZ will be entitled, to terminate the Loan, with effect from the date Westpac NZ specifies and with the consequences set out in clause 2.2.</w:t>
      </w:r>
    </w:p>
    <w:p>
      <w:pPr>
        <w:spacing w:after="0" w:line="202" w:lineRule="exact"/>
        <w:rPr>
          <w:sz w:val="20"/>
          <w:szCs w:val="20"/>
          <w:color w:val="auto"/>
        </w:rPr>
      </w:pPr>
    </w:p>
    <w:tbl>
      <w:tblPr>
        <w:tblLayout w:type="fixed"/>
        <w:tblInd w:w="4" w:type="dxa"/>
        <w:tblCellMar>
          <w:top w:w="0" w:type="dxa"/>
          <w:left w:w="0" w:type="dxa"/>
          <w:bottom w:w="0" w:type="dxa"/>
          <w:right w:w="0" w:type="dxa"/>
        </w:tblCellMar>
      </w:tblPr>
      <w:tr>
        <w:trPr>
          <w:trHeight w:val="142"/>
        </w:trPr>
        <w:tc>
          <w:tcPr>
            <w:tcW w:w="1120" w:type="dxa"/>
            <w:vAlign w:val="bottom"/>
          </w:tcPr>
          <w:p>
            <w:pPr>
              <w:spacing w:after="0"/>
              <w:rPr>
                <w:sz w:val="20"/>
                <w:szCs w:val="20"/>
                <w:color w:val="auto"/>
              </w:rPr>
            </w:pPr>
            <w:r>
              <w:rPr>
                <w:rFonts w:ascii="Arial" w:cs="Arial" w:eastAsia="Arial" w:hAnsi="Arial"/>
                <w:sz w:val="11"/>
                <w:szCs w:val="11"/>
                <w:b w:val="1"/>
                <w:bCs w:val="1"/>
                <w:color w:val="auto"/>
              </w:rPr>
              <w:t>12.</w:t>
            </w:r>
          </w:p>
        </w:tc>
        <w:tc>
          <w:tcPr>
            <w:tcW w:w="1920" w:type="dxa"/>
            <w:vAlign w:val="bottom"/>
          </w:tcPr>
          <w:p>
            <w:pPr>
              <w:ind w:left="1420"/>
              <w:spacing w:after="0"/>
              <w:rPr>
                <w:sz w:val="20"/>
                <w:szCs w:val="20"/>
                <w:color w:val="auto"/>
              </w:rPr>
            </w:pPr>
            <w:r>
              <w:rPr>
                <w:rFonts w:ascii="Arial" w:cs="Arial" w:eastAsia="Arial" w:hAnsi="Arial"/>
                <w:sz w:val="11"/>
                <w:szCs w:val="11"/>
                <w:b w:val="1"/>
                <w:bCs w:val="1"/>
                <w:color w:val="auto"/>
                <w:w w:val="92"/>
              </w:rPr>
              <w:t>indemnity</w:t>
            </w:r>
          </w:p>
        </w:tc>
      </w:tr>
      <w:tr>
        <w:trPr>
          <w:trHeight w:val="384"/>
        </w:trPr>
        <w:tc>
          <w:tcPr>
            <w:tcW w:w="1120" w:type="dxa"/>
            <w:vAlign w:val="bottom"/>
          </w:tcPr>
          <w:p>
            <w:pPr>
              <w:spacing w:after="0"/>
              <w:rPr>
                <w:sz w:val="20"/>
                <w:szCs w:val="20"/>
                <w:color w:val="auto"/>
              </w:rPr>
            </w:pPr>
            <w:r>
              <w:rPr>
                <w:rFonts w:ascii="Arial" w:cs="Arial" w:eastAsia="Arial" w:hAnsi="Arial"/>
                <w:sz w:val="11"/>
                <w:szCs w:val="11"/>
                <w:b w:val="1"/>
                <w:bCs w:val="1"/>
                <w:color w:val="auto"/>
              </w:rPr>
              <w:t>12.1</w:t>
            </w:r>
          </w:p>
        </w:tc>
        <w:tc>
          <w:tcPr>
            <w:tcW w:w="1920" w:type="dxa"/>
            <w:vAlign w:val="bottom"/>
          </w:tcPr>
          <w:p>
            <w:pPr>
              <w:ind w:left="920"/>
              <w:spacing w:after="0"/>
              <w:rPr>
                <w:sz w:val="20"/>
                <w:szCs w:val="20"/>
                <w:color w:val="auto"/>
              </w:rPr>
            </w:pPr>
            <w:r>
              <w:rPr>
                <w:rFonts w:ascii="Arial" w:cs="Arial" w:eastAsia="Arial" w:hAnsi="Arial"/>
                <w:sz w:val="11"/>
                <w:szCs w:val="11"/>
                <w:b w:val="1"/>
                <w:bCs w:val="1"/>
                <w:color w:val="auto"/>
              </w:rPr>
              <w:t>General Indemnity</w:t>
            </w:r>
          </w:p>
        </w:tc>
      </w:tr>
    </w:tbl>
    <w:p>
      <w:pPr>
        <w:ind w:left="404"/>
        <w:spacing w:after="0" w:line="222" w:lineRule="auto"/>
        <w:rPr>
          <w:sz w:val="20"/>
          <w:szCs w:val="20"/>
          <w:color w:val="auto"/>
        </w:rPr>
      </w:pPr>
      <w:r>
        <w:rPr>
          <w:rFonts w:ascii="Arial" w:cs="Arial" w:eastAsia="Arial" w:hAnsi="Arial"/>
          <w:sz w:val="11"/>
          <w:szCs w:val="11"/>
          <w:color w:val="auto"/>
        </w:rPr>
        <w:t>The Borrower agrees to indemnify Westpac NZ, every Officer and every employee of Westpac NZ upon demand from against any loss, cost, expense, charge, damage, claim or liability which Westpac NZ, an</w:t>
      </w:r>
    </w:p>
    <w:p>
      <w:pPr>
        <w:ind w:left="404"/>
        <w:spacing w:after="0" w:line="222" w:lineRule="auto"/>
        <w:rPr>
          <w:sz w:val="20"/>
          <w:szCs w:val="20"/>
          <w:color w:val="auto"/>
        </w:rPr>
      </w:pPr>
      <w:r>
        <w:rPr>
          <w:rFonts w:ascii="Arial" w:cs="Arial" w:eastAsia="Arial" w:hAnsi="Arial"/>
          <w:sz w:val="11"/>
          <w:szCs w:val="11"/>
          <w:color w:val="auto"/>
        </w:rPr>
        <w:t>Officer or an employee of Westpac NZ may suffer or incur as a direct or indirect consequence of:</w:t>
      </w:r>
    </w:p>
    <w:tbl>
      <w:tblPr>
        <w:tblLayout w:type="fixed"/>
        <w:tblInd w:w="4" w:type="dxa"/>
        <w:tblCellMar>
          <w:top w:w="0" w:type="dxa"/>
          <w:left w:w="0" w:type="dxa"/>
          <w:bottom w:w="0" w:type="dxa"/>
          <w:right w:w="0" w:type="dxa"/>
        </w:tblCellMar>
      </w:tblPr>
      <w:tr>
        <w:trPr>
          <w:trHeight w:val="117"/>
        </w:trPr>
        <w:tc>
          <w:tcPr>
            <w:tcW w:w="1040" w:type="dxa"/>
            <w:vAlign w:val="bottom"/>
          </w:tcPr>
          <w:p>
            <w:pPr>
              <w:spacing w:after="0" w:line="117" w:lineRule="exact"/>
              <w:rPr>
                <w:sz w:val="20"/>
                <w:szCs w:val="20"/>
                <w:color w:val="auto"/>
              </w:rPr>
            </w:pPr>
            <w:r>
              <w:rPr>
                <w:rFonts w:ascii="Arial" w:cs="Arial" w:eastAsia="Arial" w:hAnsi="Arial"/>
                <w:sz w:val="11"/>
                <w:szCs w:val="11"/>
                <w:color w:val="auto"/>
              </w:rPr>
              <w:t>a)</w:t>
            </w:r>
          </w:p>
        </w:tc>
        <w:tc>
          <w:tcPr>
            <w:tcW w:w="9580" w:type="dxa"/>
            <w:vAlign w:val="bottom"/>
          </w:tcPr>
          <w:p>
            <w:pPr>
              <w:ind w:left="5540"/>
              <w:spacing w:after="0" w:line="117" w:lineRule="exact"/>
              <w:rPr>
                <w:sz w:val="20"/>
                <w:szCs w:val="20"/>
                <w:color w:val="auto"/>
              </w:rPr>
            </w:pPr>
            <w:r>
              <w:rPr>
                <w:rFonts w:ascii="Arial" w:cs="Arial" w:eastAsia="Arial" w:hAnsi="Arial"/>
                <w:sz w:val="11"/>
                <w:szCs w:val="11"/>
                <w:color w:val="auto"/>
              </w:rPr>
              <w:t>an Event of</w:t>
            </w:r>
          </w:p>
        </w:tc>
      </w:tr>
      <w:tr>
        <w:trPr>
          <w:trHeight w:val="117"/>
        </w:trPr>
        <w:tc>
          <w:tcPr>
            <w:tcW w:w="1040" w:type="dxa"/>
            <w:vAlign w:val="bottom"/>
          </w:tcPr>
          <w:p>
            <w:pPr>
              <w:spacing w:after="0"/>
              <w:rPr>
                <w:sz w:val="10"/>
                <w:szCs w:val="10"/>
                <w:color w:val="auto"/>
              </w:rPr>
            </w:pPr>
          </w:p>
        </w:tc>
        <w:tc>
          <w:tcPr>
            <w:tcW w:w="9580" w:type="dxa"/>
            <w:vAlign w:val="bottom"/>
          </w:tcPr>
          <w:p>
            <w:pPr>
              <w:ind w:left="5540"/>
              <w:spacing w:after="0" w:line="117" w:lineRule="exact"/>
              <w:rPr>
                <w:sz w:val="20"/>
                <w:szCs w:val="20"/>
                <w:color w:val="auto"/>
              </w:rPr>
            </w:pPr>
            <w:r>
              <w:rPr>
                <w:rFonts w:ascii="Arial" w:cs="Arial" w:eastAsia="Arial" w:hAnsi="Arial"/>
                <w:sz w:val="11"/>
                <w:szCs w:val="11"/>
                <w:color w:val="auto"/>
              </w:rPr>
              <w:t>Default or</w:t>
            </w:r>
          </w:p>
        </w:tc>
      </w:tr>
      <w:tr>
        <w:trPr>
          <w:trHeight w:val="117"/>
        </w:trPr>
        <w:tc>
          <w:tcPr>
            <w:tcW w:w="1040" w:type="dxa"/>
            <w:vAlign w:val="bottom"/>
          </w:tcPr>
          <w:p>
            <w:pPr>
              <w:spacing w:after="0"/>
              <w:rPr>
                <w:sz w:val="10"/>
                <w:szCs w:val="10"/>
                <w:color w:val="auto"/>
              </w:rPr>
            </w:pPr>
          </w:p>
        </w:tc>
        <w:tc>
          <w:tcPr>
            <w:tcW w:w="9580" w:type="dxa"/>
            <w:vAlign w:val="bottom"/>
          </w:tcPr>
          <w:p>
            <w:pPr>
              <w:ind w:left="5540"/>
              <w:spacing w:after="0" w:line="117" w:lineRule="exact"/>
              <w:rPr>
                <w:sz w:val="20"/>
                <w:szCs w:val="20"/>
                <w:color w:val="auto"/>
              </w:rPr>
            </w:pPr>
            <w:r>
              <w:rPr>
                <w:rFonts w:ascii="Arial" w:cs="Arial" w:eastAsia="Arial" w:hAnsi="Arial"/>
                <w:sz w:val="11"/>
                <w:szCs w:val="11"/>
                <w:color w:val="auto"/>
              </w:rPr>
              <w:t>Potential Event</w:t>
            </w:r>
          </w:p>
        </w:tc>
      </w:tr>
      <w:tr>
        <w:trPr>
          <w:trHeight w:val="117"/>
        </w:trPr>
        <w:tc>
          <w:tcPr>
            <w:tcW w:w="1040" w:type="dxa"/>
            <w:vAlign w:val="bottom"/>
          </w:tcPr>
          <w:p>
            <w:pPr>
              <w:spacing w:after="0"/>
              <w:rPr>
                <w:sz w:val="10"/>
                <w:szCs w:val="10"/>
                <w:color w:val="auto"/>
              </w:rPr>
            </w:pPr>
          </w:p>
        </w:tc>
        <w:tc>
          <w:tcPr>
            <w:tcW w:w="9580" w:type="dxa"/>
            <w:vAlign w:val="bottom"/>
          </w:tcPr>
          <w:p>
            <w:pPr>
              <w:ind w:left="5540"/>
              <w:spacing w:after="0" w:line="117" w:lineRule="exact"/>
              <w:rPr>
                <w:sz w:val="20"/>
                <w:szCs w:val="20"/>
                <w:color w:val="auto"/>
              </w:rPr>
            </w:pPr>
            <w:r>
              <w:rPr>
                <w:rFonts w:ascii="Arial" w:cs="Arial" w:eastAsia="Arial" w:hAnsi="Arial"/>
                <w:sz w:val="11"/>
                <w:szCs w:val="11"/>
                <w:color w:val="auto"/>
              </w:rPr>
              <w:t>of Default;</w:t>
            </w:r>
          </w:p>
        </w:tc>
      </w:tr>
      <w:tr>
        <w:trPr>
          <w:trHeight w:val="117"/>
        </w:trPr>
        <w:tc>
          <w:tcPr>
            <w:tcW w:w="1040" w:type="dxa"/>
            <w:vAlign w:val="bottom"/>
          </w:tcPr>
          <w:p>
            <w:pPr>
              <w:ind w:left="400"/>
              <w:spacing w:after="0" w:line="117" w:lineRule="exact"/>
              <w:rPr>
                <w:sz w:val="20"/>
                <w:szCs w:val="20"/>
                <w:color w:val="auto"/>
              </w:rPr>
            </w:pPr>
            <w:r>
              <w:rPr>
                <w:rFonts w:ascii="Arial" w:cs="Arial" w:eastAsia="Arial" w:hAnsi="Arial"/>
                <w:sz w:val="11"/>
                <w:szCs w:val="11"/>
                <w:color w:val="auto"/>
              </w:rPr>
              <w:t>b)</w:t>
            </w:r>
          </w:p>
        </w:tc>
        <w:tc>
          <w:tcPr>
            <w:tcW w:w="9580" w:type="dxa"/>
            <w:vAlign w:val="bottom"/>
          </w:tcPr>
          <w:p>
            <w:pPr>
              <w:ind w:left="560"/>
              <w:spacing w:after="0" w:line="117" w:lineRule="exact"/>
              <w:rPr>
                <w:sz w:val="20"/>
                <w:szCs w:val="20"/>
                <w:color w:val="auto"/>
              </w:rPr>
            </w:pPr>
            <w:r>
              <w:rPr>
                <w:rFonts w:ascii="Arial" w:cs="Arial" w:eastAsia="Arial" w:hAnsi="Arial"/>
                <w:sz w:val="11"/>
                <w:szCs w:val="11"/>
                <w:color w:val="auto"/>
              </w:rPr>
              <w:t>the exercise, contemplated exercise or attempted exercise of any Power or the failure to exercise any Power;</w:t>
            </w:r>
          </w:p>
        </w:tc>
      </w:tr>
      <w:tr>
        <w:trPr>
          <w:trHeight w:val="130"/>
        </w:trPr>
        <w:tc>
          <w:tcPr>
            <w:tcW w:w="1040" w:type="dxa"/>
            <w:vAlign w:val="bottom"/>
          </w:tcPr>
          <w:p>
            <w:pPr>
              <w:ind w:left="400"/>
              <w:spacing w:after="0"/>
              <w:rPr>
                <w:sz w:val="20"/>
                <w:szCs w:val="20"/>
                <w:color w:val="auto"/>
              </w:rPr>
            </w:pPr>
            <w:r>
              <w:rPr>
                <w:rFonts w:ascii="Arial" w:cs="Arial" w:eastAsia="Arial" w:hAnsi="Arial"/>
                <w:sz w:val="11"/>
                <w:szCs w:val="11"/>
                <w:color w:val="auto"/>
              </w:rPr>
              <w:t>c)</w:t>
            </w:r>
          </w:p>
        </w:tc>
        <w:tc>
          <w:tcPr>
            <w:tcW w:w="9580" w:type="dxa"/>
            <w:vAlign w:val="bottom"/>
          </w:tcPr>
          <w:p>
            <w:pPr>
              <w:ind w:left="1480"/>
              <w:spacing w:after="0"/>
              <w:rPr>
                <w:sz w:val="20"/>
                <w:szCs w:val="20"/>
                <w:color w:val="auto"/>
              </w:rPr>
            </w:pPr>
            <w:r>
              <w:rPr>
                <w:rFonts w:ascii="Arial" w:cs="Arial" w:eastAsia="Arial" w:hAnsi="Arial"/>
                <w:sz w:val="11"/>
                <w:szCs w:val="11"/>
                <w:color w:val="auto"/>
              </w:rPr>
              <w:t>the receipt of any amount to be paid under any Bank Document on a date other than the due date; or</w:t>
            </w:r>
          </w:p>
        </w:tc>
      </w:tr>
      <w:tr>
        <w:trPr>
          <w:trHeight w:val="452"/>
        </w:trPr>
        <w:tc>
          <w:tcPr>
            <w:tcW w:w="1040" w:type="dxa"/>
            <w:vAlign w:val="bottom"/>
            <w:tcBorders>
              <w:bottom w:val="single" w:sz="8" w:color="9A9A9A"/>
            </w:tcBorders>
          </w:tcPr>
          <w:p>
            <w:pPr>
              <w:spacing w:after="0"/>
              <w:rPr>
                <w:sz w:val="24"/>
                <w:szCs w:val="24"/>
                <w:color w:val="auto"/>
              </w:rPr>
            </w:pPr>
          </w:p>
        </w:tc>
        <w:tc>
          <w:tcPr>
            <w:tcW w:w="95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6722745</wp:posOffset>
            </wp:positionH>
            <wp:positionV relativeFrom="paragraph">
              <wp:posOffset>-29210</wp:posOffset>
            </wp:positionV>
            <wp:extent cx="31115"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31115" cy="42545"/>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-29210</wp:posOffset>
            </wp:positionV>
            <wp:extent cx="31115"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31115" cy="42545"/>
                    </a:xfrm>
                    <a:prstGeom prst="rect">
                      <a:avLst/>
                    </a:prstGeom>
                    <a:noFill/>
                  </pic:spPr>
                </pic:pic>
              </a:graphicData>
            </a:graphic>
          </wp:anchor>
        </w:drawing>
      </w:r>
    </w:p>
    <w:p>
      <w:pPr>
        <w:sectPr>
          <w:pgSz w:w="11900" w:h="16838" w:orient="portrait"/>
          <w:cols w:equalWidth="0" w:num="1">
            <w:col w:w="10624"/>
          </w:cols>
          <w:pgMar w:left="656" w:top="255" w:right="619" w:bottom="1440" w:gutter="0" w:footer="0" w:header="0"/>
        </w:sectPr>
      </w:pPr>
    </w:p>
    <w:bookmarkStart w:id="165" w:name="page166"/>
    <w:bookmarkEnd w:id="165"/>
    <w:p>
      <w:pPr>
        <w:ind w:left="424" w:hanging="424"/>
        <w:spacing w:after="0"/>
        <w:tabs>
          <w:tab w:leader="none" w:pos="424" w:val="left"/>
        </w:tabs>
        <w:numPr>
          <w:ilvl w:val="0"/>
          <w:numId w:val="130"/>
        </w:numPr>
        <w:rPr>
          <w:rFonts w:ascii="Arial" w:cs="Arial" w:eastAsia="Arial" w:hAnsi="Arial"/>
          <w:sz w:val="11"/>
          <w:szCs w:val="11"/>
          <w:color w:val="auto"/>
        </w:rPr>
      </w:pPr>
      <w:r>
        <w:rPr>
          <w:rFonts w:ascii="Arial" w:cs="Arial" w:eastAsia="Arial" w:hAnsi="Arial"/>
          <w:sz w:val="11"/>
          <w:szCs w:val="11"/>
          <w:color w:val="auto"/>
        </w:rPr>
        <w:t>the Loan requested under clause 3 not being made for any reason (excluding default by Westpac NZ) on the date notified by the Borrower to Westpac NZ as the drawdown date.</w:t>
      </w:r>
    </w:p>
    <w:p>
      <w:pPr>
        <w:spacing w:after="0" w:line="105" w:lineRule="exact"/>
        <w:rPr>
          <w:sz w:val="20"/>
          <w:szCs w:val="20"/>
          <w:color w:val="auto"/>
        </w:rPr>
      </w:pPr>
    </w:p>
    <w:p>
      <w:pPr>
        <w:ind w:left="4"/>
        <w:spacing w:after="0"/>
        <w:tabs>
          <w:tab w:leader="none" w:pos="3183" w:val="left"/>
        </w:tabs>
        <w:rPr>
          <w:sz w:val="20"/>
          <w:szCs w:val="20"/>
          <w:color w:val="auto"/>
        </w:rPr>
      </w:pPr>
      <w:r>
        <w:rPr>
          <w:rFonts w:ascii="Arial" w:cs="Arial" w:eastAsia="Arial" w:hAnsi="Arial"/>
          <w:sz w:val="11"/>
          <w:szCs w:val="11"/>
          <w:b w:val="1"/>
          <w:bCs w:val="1"/>
          <w:color w:val="auto"/>
        </w:rPr>
        <w:t>12.2</w:t>
      </w:r>
      <w:r>
        <w:rPr>
          <w:sz w:val="20"/>
          <w:szCs w:val="20"/>
          <w:color w:val="auto"/>
        </w:rPr>
        <w:tab/>
      </w:r>
      <w:r>
        <w:rPr>
          <w:rFonts w:ascii="Arial" w:cs="Arial" w:eastAsia="Arial" w:hAnsi="Arial"/>
          <w:sz w:val="10"/>
          <w:szCs w:val="10"/>
          <w:b w:val="1"/>
          <w:bCs w:val="1"/>
          <w:color w:val="auto"/>
        </w:rPr>
        <w:t>Examples</w:t>
      </w:r>
    </w:p>
    <w:p>
      <w:pPr>
        <w:spacing w:after="0" w:line="2" w:lineRule="exact"/>
        <w:rPr>
          <w:sz w:val="20"/>
          <w:szCs w:val="20"/>
          <w:color w:val="auto"/>
        </w:rPr>
      </w:pPr>
    </w:p>
    <w:p>
      <w:pPr>
        <w:ind w:left="404"/>
        <w:spacing w:after="0"/>
        <w:rPr>
          <w:sz w:val="20"/>
          <w:szCs w:val="20"/>
          <w:color w:val="auto"/>
        </w:rPr>
      </w:pPr>
      <w:r>
        <w:rPr>
          <w:rFonts w:ascii="Arial" w:cs="Arial" w:eastAsia="Arial" w:hAnsi="Arial"/>
          <w:sz w:val="11"/>
          <w:szCs w:val="11"/>
          <w:color w:val="auto"/>
        </w:rPr>
        <w:t>Without limitation, the indemnity in clause 12.1 will extend to:</w:t>
      </w:r>
    </w:p>
    <w:p>
      <w:pPr>
        <w:ind w:left="384" w:hanging="384"/>
        <w:spacing w:after="0" w:line="222" w:lineRule="auto"/>
        <w:tabs>
          <w:tab w:leader="none" w:pos="384" w:val="left"/>
        </w:tabs>
        <w:numPr>
          <w:ilvl w:val="0"/>
          <w:numId w:val="131"/>
        </w:numPr>
        <w:rPr>
          <w:rFonts w:ascii="Arial" w:cs="Arial" w:eastAsia="Arial" w:hAnsi="Arial"/>
          <w:sz w:val="11"/>
          <w:szCs w:val="11"/>
          <w:color w:val="auto"/>
        </w:rPr>
      </w:pPr>
      <w:r>
        <w:rPr>
          <w:rFonts w:ascii="Arial" w:cs="Arial" w:eastAsia="Arial" w:hAnsi="Arial"/>
          <w:sz w:val="11"/>
          <w:szCs w:val="11"/>
          <w:color w:val="auto"/>
        </w:rPr>
        <w:t>any losses, costs, penalties and expenses incurred by reason of the liquidation or re-employment of deposits or other funds acquired or contracted for by Westpac NZ (including loss of margin); and</w:t>
      </w:r>
    </w:p>
    <w:p>
      <w:pPr>
        <w:ind w:left="764" w:hanging="367"/>
        <w:spacing w:after="0" w:line="222" w:lineRule="auto"/>
        <w:tabs>
          <w:tab w:leader="none" w:pos="764" w:val="left"/>
        </w:tabs>
        <w:numPr>
          <w:ilvl w:val="1"/>
          <w:numId w:val="131"/>
        </w:numPr>
        <w:rPr>
          <w:rFonts w:ascii="Arial" w:cs="Arial" w:eastAsia="Arial" w:hAnsi="Arial"/>
          <w:sz w:val="11"/>
          <w:szCs w:val="11"/>
          <w:color w:val="auto"/>
        </w:rPr>
      </w:pPr>
      <w:r>
        <w:rPr>
          <w:rFonts w:ascii="Arial" w:cs="Arial" w:eastAsia="Arial" w:hAnsi="Arial"/>
          <w:sz w:val="11"/>
          <w:szCs w:val="11"/>
          <w:color w:val="auto"/>
        </w:rPr>
        <w:t>any losses, costs, penalties and expenses which may be incurred by Westpac NZ in:</w:t>
      </w:r>
    </w:p>
    <w:p>
      <w:pPr>
        <w:ind w:left="1204" w:hanging="456"/>
        <w:spacing w:after="0" w:line="222" w:lineRule="auto"/>
        <w:tabs>
          <w:tab w:leader="none" w:pos="1204" w:val="left"/>
        </w:tabs>
        <w:numPr>
          <w:ilvl w:val="2"/>
          <w:numId w:val="131"/>
        </w:numPr>
        <w:rPr>
          <w:rFonts w:ascii="Arial" w:cs="Arial" w:eastAsia="Arial" w:hAnsi="Arial"/>
          <w:sz w:val="11"/>
          <w:szCs w:val="11"/>
          <w:color w:val="auto"/>
        </w:rPr>
      </w:pPr>
      <w:r>
        <w:rPr>
          <w:rFonts w:ascii="Arial" w:cs="Arial" w:eastAsia="Arial" w:hAnsi="Arial"/>
          <w:sz w:val="11"/>
          <w:szCs w:val="11"/>
          <w:color w:val="auto"/>
        </w:rPr>
        <w:t>terminating any options or forward rate agreements or interest or currency swap contracts entered into in connection with the Loan; or</w:t>
      </w:r>
    </w:p>
    <w:p>
      <w:pPr>
        <w:ind w:left="1224" w:hanging="476"/>
        <w:spacing w:after="0"/>
        <w:tabs>
          <w:tab w:leader="none" w:pos="1224" w:val="left"/>
        </w:tabs>
        <w:numPr>
          <w:ilvl w:val="2"/>
          <w:numId w:val="131"/>
        </w:numPr>
        <w:rPr>
          <w:rFonts w:ascii="Arial" w:cs="Arial" w:eastAsia="Arial" w:hAnsi="Arial"/>
          <w:sz w:val="11"/>
          <w:szCs w:val="11"/>
          <w:color w:val="auto"/>
        </w:rPr>
      </w:pPr>
      <w:r>
        <w:rPr>
          <w:rFonts w:ascii="Arial" w:cs="Arial" w:eastAsia="Arial" w:hAnsi="Arial"/>
          <w:sz w:val="11"/>
          <w:szCs w:val="11"/>
          <w:color w:val="auto"/>
        </w:rPr>
        <w:t>in entering into any new contracts which it deems appropriate to protect the return it would otherwise have expected under this Agreement.</w:t>
      </w:r>
    </w:p>
    <w:p>
      <w:pPr>
        <w:spacing w:after="0" w:line="105" w:lineRule="exact"/>
        <w:rPr>
          <w:sz w:val="20"/>
          <w:szCs w:val="20"/>
          <w:color w:val="auto"/>
        </w:rPr>
      </w:pPr>
    </w:p>
    <w:p>
      <w:pPr>
        <w:ind w:left="4"/>
        <w:spacing w:after="0"/>
        <w:tabs>
          <w:tab w:leader="none" w:pos="1923" w:val="left"/>
        </w:tabs>
        <w:rPr>
          <w:sz w:val="20"/>
          <w:szCs w:val="20"/>
          <w:color w:val="auto"/>
        </w:rPr>
      </w:pPr>
      <w:r>
        <w:rPr>
          <w:rFonts w:ascii="Arial" w:cs="Arial" w:eastAsia="Arial" w:hAnsi="Arial"/>
          <w:sz w:val="11"/>
          <w:szCs w:val="11"/>
          <w:b w:val="1"/>
          <w:bCs w:val="1"/>
          <w:color w:val="auto"/>
        </w:rPr>
        <w:t>12.3</w:t>
      </w:r>
      <w:r>
        <w:rPr>
          <w:sz w:val="20"/>
          <w:szCs w:val="20"/>
          <w:color w:val="auto"/>
        </w:rPr>
        <w:tab/>
      </w:r>
      <w:r>
        <w:rPr>
          <w:rFonts w:ascii="Arial" w:cs="Arial" w:eastAsia="Arial" w:hAnsi="Arial"/>
          <w:sz w:val="10"/>
          <w:szCs w:val="10"/>
          <w:b w:val="1"/>
          <w:bCs w:val="1"/>
          <w:color w:val="auto"/>
        </w:rPr>
        <w:t>Currency Indemnity</w:t>
      </w:r>
    </w:p>
    <w:p>
      <w:pPr>
        <w:spacing w:after="0" w:line="11" w:lineRule="exact"/>
        <w:rPr>
          <w:sz w:val="20"/>
          <w:szCs w:val="20"/>
          <w:color w:val="auto"/>
        </w:rPr>
      </w:pPr>
    </w:p>
    <w:p>
      <w:pPr>
        <w:ind w:left="404"/>
        <w:spacing w:after="0"/>
        <w:rPr>
          <w:sz w:val="20"/>
          <w:szCs w:val="20"/>
          <w:color w:val="auto"/>
        </w:rPr>
      </w:pPr>
      <w:r>
        <w:rPr>
          <w:rFonts w:ascii="Arial" w:cs="Arial" w:eastAsia="Arial" w:hAnsi="Arial"/>
          <w:sz w:val="11"/>
          <w:szCs w:val="11"/>
          <w:color w:val="auto"/>
        </w:rPr>
        <w:t>If for any reason:</w:t>
      </w:r>
    </w:p>
    <w:p>
      <w:pPr>
        <w:ind w:left="364" w:hanging="364"/>
        <w:spacing w:after="0" w:line="222" w:lineRule="auto"/>
        <w:tabs>
          <w:tab w:leader="none" w:pos="364" w:val="left"/>
        </w:tabs>
        <w:numPr>
          <w:ilvl w:val="0"/>
          <w:numId w:val="132"/>
        </w:numPr>
        <w:rPr>
          <w:rFonts w:ascii="Arial" w:cs="Arial" w:eastAsia="Arial" w:hAnsi="Arial"/>
          <w:sz w:val="11"/>
          <w:szCs w:val="11"/>
          <w:color w:val="auto"/>
        </w:rPr>
      </w:pPr>
      <w:r>
        <w:rPr>
          <w:rFonts w:ascii="Arial" w:cs="Arial" w:eastAsia="Arial" w:hAnsi="Arial"/>
          <w:sz w:val="11"/>
          <w:szCs w:val="11"/>
          <w:color w:val="auto"/>
        </w:rPr>
        <w:t>Westpac NZ receives or recovers an amount under a Bank Document in a currency other than the currency in which it should have been paid and, after Westpac NZ has converted that other currency to the correct currency there is not enough to pay off the full amount then due under the Bank Document; or</w:t>
      </w:r>
    </w:p>
    <w:p>
      <w:pPr>
        <w:ind w:left="364" w:right="80" w:hanging="364"/>
        <w:spacing w:after="0" w:line="222" w:lineRule="auto"/>
        <w:tabs>
          <w:tab w:leader="none" w:pos="364" w:val="left"/>
        </w:tabs>
        <w:numPr>
          <w:ilvl w:val="0"/>
          <w:numId w:val="132"/>
        </w:numPr>
        <w:rPr>
          <w:rFonts w:ascii="Arial" w:cs="Arial" w:eastAsia="Arial" w:hAnsi="Arial"/>
          <w:sz w:val="11"/>
          <w:szCs w:val="11"/>
          <w:color w:val="auto"/>
        </w:rPr>
      </w:pPr>
      <w:r>
        <w:rPr>
          <w:rFonts w:ascii="Arial" w:cs="Arial" w:eastAsia="Arial" w:hAnsi="Arial"/>
          <w:sz w:val="11"/>
          <w:szCs w:val="11"/>
          <w:color w:val="auto"/>
        </w:rPr>
        <w:t>Westpac NZ obtains any judgment or court order against the Borrower in a currency other than the currency in which the Outstanding Moneys are due, and Westpac NZ incurs any loss from the conversion of any amount actually received by it from that other currency to the correct currency,</w:t>
      </w:r>
    </w:p>
    <w:p>
      <w:pPr>
        <w:ind w:left="404"/>
        <w:spacing w:after="0"/>
        <w:rPr>
          <w:rFonts w:ascii="Arial" w:cs="Arial" w:eastAsia="Arial" w:hAnsi="Arial"/>
          <w:sz w:val="11"/>
          <w:szCs w:val="11"/>
          <w:color w:val="auto"/>
        </w:rPr>
      </w:pPr>
      <w:r>
        <w:rPr>
          <w:rFonts w:ascii="Arial" w:cs="Arial" w:eastAsia="Arial" w:hAnsi="Arial"/>
          <w:sz w:val="11"/>
          <w:szCs w:val="11"/>
          <w:color w:val="auto"/>
        </w:rPr>
        <w:t>then, as a separate and independent indemnity obligation, the Borrower must pay Westpac NZ the full amount of any shortfall or of any such loss incurred by Westpac NZ.</w:t>
      </w:r>
    </w:p>
    <w:p>
      <w:pPr>
        <w:spacing w:after="0" w:line="105" w:lineRule="exact"/>
        <w:rPr>
          <w:sz w:val="20"/>
          <w:szCs w:val="20"/>
          <w:color w:val="auto"/>
        </w:rPr>
      </w:pPr>
    </w:p>
    <w:p>
      <w:pPr>
        <w:ind w:left="4"/>
        <w:spacing w:after="0"/>
        <w:tabs>
          <w:tab w:leader="none" w:pos="1503" w:val="left"/>
        </w:tabs>
        <w:rPr>
          <w:sz w:val="20"/>
          <w:szCs w:val="20"/>
          <w:color w:val="auto"/>
        </w:rPr>
      </w:pPr>
      <w:r>
        <w:rPr>
          <w:rFonts w:ascii="Arial" w:cs="Arial" w:eastAsia="Arial" w:hAnsi="Arial"/>
          <w:sz w:val="11"/>
          <w:szCs w:val="11"/>
          <w:b w:val="1"/>
          <w:bCs w:val="1"/>
          <w:color w:val="auto"/>
        </w:rPr>
        <w:t>12.4</w:t>
      </w:r>
      <w:r>
        <w:rPr>
          <w:sz w:val="20"/>
          <w:szCs w:val="20"/>
          <w:color w:val="auto"/>
        </w:rPr>
        <w:tab/>
      </w:r>
      <w:r>
        <w:rPr>
          <w:rFonts w:ascii="Arial" w:cs="Arial" w:eastAsia="Arial" w:hAnsi="Arial"/>
          <w:sz w:val="10"/>
          <w:szCs w:val="10"/>
          <w:b w:val="1"/>
          <w:bCs w:val="1"/>
          <w:color w:val="auto"/>
        </w:rPr>
        <w:t>Unconditional Indemnities</w:t>
      </w:r>
    </w:p>
    <w:p>
      <w:pPr>
        <w:spacing w:after="0" w:line="3" w:lineRule="exact"/>
        <w:rPr>
          <w:sz w:val="20"/>
          <w:szCs w:val="20"/>
          <w:color w:val="auto"/>
        </w:rPr>
      </w:pPr>
    </w:p>
    <w:p>
      <w:pPr>
        <w:ind w:left="404" w:right="160"/>
        <w:spacing w:after="0" w:line="234" w:lineRule="auto"/>
        <w:rPr>
          <w:sz w:val="20"/>
          <w:szCs w:val="20"/>
          <w:color w:val="auto"/>
        </w:rPr>
      </w:pPr>
      <w:r>
        <w:rPr>
          <w:rFonts w:ascii="Arial" w:cs="Arial" w:eastAsia="Arial" w:hAnsi="Arial"/>
          <w:sz w:val="11"/>
          <w:szCs w:val="11"/>
          <w:color w:val="auto"/>
        </w:rPr>
        <w:t>The indemnities in this clause 12 are unconditional and irrevocable and will survive termination of the Loan and payment of all Outstanding Moneys and the release of any Security and will not be discharged or impaired by any act, omission, matter or thing which might discharge them but for this provision.</w:t>
      </w:r>
    </w:p>
    <w:p>
      <w:pPr>
        <w:spacing w:after="0" w:line="228" w:lineRule="exact"/>
        <w:rPr>
          <w:sz w:val="20"/>
          <w:szCs w:val="20"/>
          <w:color w:val="auto"/>
        </w:rPr>
      </w:pPr>
    </w:p>
    <w:p>
      <w:pPr>
        <w:ind w:left="1304" w:hanging="1304"/>
        <w:spacing w:after="0"/>
        <w:tabs>
          <w:tab w:leader="none" w:pos="1304" w:val="left"/>
        </w:tabs>
        <w:numPr>
          <w:ilvl w:val="0"/>
          <w:numId w:val="133"/>
        </w:numPr>
        <w:rPr>
          <w:rFonts w:ascii="Arial" w:cs="Arial" w:eastAsia="Arial" w:hAnsi="Arial"/>
          <w:sz w:val="11"/>
          <w:szCs w:val="11"/>
          <w:b w:val="1"/>
          <w:bCs w:val="1"/>
          <w:color w:val="auto"/>
        </w:rPr>
      </w:pPr>
      <w:r>
        <w:rPr>
          <w:rFonts w:ascii="Arial" w:cs="Arial" w:eastAsia="Arial" w:hAnsi="Arial"/>
          <w:sz w:val="11"/>
          <w:szCs w:val="11"/>
          <w:b w:val="1"/>
          <w:bCs w:val="1"/>
          <w:color w:val="auto"/>
        </w:rPr>
        <w:t>Set off and combination</w:t>
      </w:r>
    </w:p>
    <w:p>
      <w:pPr>
        <w:spacing w:after="0" w:line="261" w:lineRule="exact"/>
        <w:rPr>
          <w:sz w:val="20"/>
          <w:szCs w:val="20"/>
          <w:color w:val="auto"/>
        </w:rPr>
      </w:pPr>
    </w:p>
    <w:tbl>
      <w:tblPr>
        <w:tblLayout w:type="fixed"/>
        <w:tblInd w:w="4" w:type="dxa"/>
        <w:tblCellMar>
          <w:top w:w="0" w:type="dxa"/>
          <w:left w:w="0" w:type="dxa"/>
          <w:bottom w:w="0" w:type="dxa"/>
          <w:right w:w="0" w:type="dxa"/>
        </w:tblCellMar>
      </w:tblPr>
      <w:tr>
        <w:trPr>
          <w:trHeight w:val="138"/>
        </w:trPr>
        <w:tc>
          <w:tcPr>
            <w:tcW w:w="300" w:type="dxa"/>
            <w:vAlign w:val="bottom"/>
          </w:tcPr>
          <w:p>
            <w:pPr>
              <w:jc w:val="right"/>
              <w:ind w:right="46"/>
              <w:spacing w:after="0"/>
              <w:rPr>
                <w:sz w:val="20"/>
                <w:szCs w:val="20"/>
                <w:color w:val="auto"/>
              </w:rPr>
            </w:pPr>
            <w:r>
              <w:rPr>
                <w:rFonts w:ascii="Arial" w:cs="Arial" w:eastAsia="Arial" w:hAnsi="Arial"/>
                <w:sz w:val="11"/>
                <w:szCs w:val="11"/>
                <w:b w:val="1"/>
                <w:bCs w:val="1"/>
                <w:color w:val="auto"/>
                <w:w w:val="83"/>
              </w:rPr>
              <w:t>13.1</w:t>
            </w:r>
          </w:p>
        </w:tc>
        <w:tc>
          <w:tcPr>
            <w:tcW w:w="10220" w:type="dxa"/>
            <w:vAlign w:val="bottom"/>
          </w:tcPr>
          <w:p>
            <w:pPr>
              <w:ind w:left="3720"/>
              <w:spacing w:after="0"/>
              <w:rPr>
                <w:sz w:val="20"/>
                <w:szCs w:val="20"/>
                <w:color w:val="auto"/>
              </w:rPr>
            </w:pPr>
            <w:r>
              <w:rPr>
                <w:rFonts w:ascii="Arial" w:cs="Arial" w:eastAsia="Arial" w:hAnsi="Arial"/>
                <w:sz w:val="11"/>
                <w:szCs w:val="11"/>
                <w:b w:val="1"/>
                <w:bCs w:val="1"/>
                <w:color w:val="auto"/>
              </w:rPr>
              <w:t>Set Off</w:t>
            </w:r>
          </w:p>
        </w:tc>
      </w:tr>
      <w:tr>
        <w:trPr>
          <w:trHeight w:val="117"/>
        </w:trPr>
        <w:tc>
          <w:tcPr>
            <w:tcW w:w="300" w:type="dxa"/>
            <w:vAlign w:val="bottom"/>
          </w:tcPr>
          <w:p>
            <w:pPr>
              <w:spacing w:after="0"/>
              <w:rPr>
                <w:sz w:val="10"/>
                <w:szCs w:val="10"/>
                <w:color w:val="auto"/>
              </w:rPr>
            </w:pPr>
          </w:p>
        </w:tc>
        <w:tc>
          <w:tcPr>
            <w:tcW w:w="10220" w:type="dxa"/>
            <w:vAlign w:val="bottom"/>
          </w:tcPr>
          <w:p>
            <w:pPr>
              <w:ind w:left="100"/>
              <w:spacing w:after="0" w:line="117" w:lineRule="exact"/>
              <w:rPr>
                <w:sz w:val="20"/>
                <w:szCs w:val="20"/>
                <w:color w:val="auto"/>
              </w:rPr>
            </w:pPr>
            <w:r>
              <w:rPr>
                <w:rFonts w:ascii="Arial" w:cs="Arial" w:eastAsia="Arial" w:hAnsi="Arial"/>
                <w:sz w:val="11"/>
                <w:szCs w:val="11"/>
                <w:color w:val="auto"/>
                <w:w w:val="98"/>
              </w:rPr>
              <w:t>If the Borrower has any money in any account with Westpac NZ, then Westpac NZ can use it to pay amounts the Borrower owes under this Agreement but need not do so. If the Borrower is in default, Westpac NZ</w:t>
            </w:r>
          </w:p>
        </w:tc>
      </w:tr>
      <w:tr>
        <w:trPr>
          <w:trHeight w:val="117"/>
        </w:trPr>
        <w:tc>
          <w:tcPr>
            <w:tcW w:w="300" w:type="dxa"/>
            <w:vAlign w:val="bottom"/>
          </w:tcPr>
          <w:p>
            <w:pPr>
              <w:spacing w:after="0"/>
              <w:rPr>
                <w:sz w:val="10"/>
                <w:szCs w:val="10"/>
                <w:color w:val="auto"/>
              </w:rPr>
            </w:pPr>
          </w:p>
        </w:tc>
        <w:tc>
          <w:tcPr>
            <w:tcW w:w="10220" w:type="dxa"/>
            <w:vAlign w:val="bottom"/>
          </w:tcPr>
          <w:p>
            <w:pPr>
              <w:ind w:left="100"/>
              <w:spacing w:after="0" w:line="117" w:lineRule="exact"/>
              <w:rPr>
                <w:sz w:val="20"/>
                <w:szCs w:val="20"/>
                <w:color w:val="auto"/>
              </w:rPr>
            </w:pPr>
            <w:r>
              <w:rPr>
                <w:rFonts w:ascii="Arial" w:cs="Arial" w:eastAsia="Arial" w:hAnsi="Arial"/>
                <w:sz w:val="11"/>
                <w:szCs w:val="11"/>
                <w:color w:val="auto"/>
              </w:rPr>
              <w:t>can use money which has not yet matured due and convert money in the account of the Borrower in foreign currencies. To the maximum extent allowed by law, the Borrower gives up any right to set off any</w:t>
            </w:r>
          </w:p>
        </w:tc>
      </w:tr>
      <w:tr>
        <w:trPr>
          <w:trHeight w:val="130"/>
        </w:trPr>
        <w:tc>
          <w:tcPr>
            <w:tcW w:w="300" w:type="dxa"/>
            <w:vAlign w:val="bottom"/>
          </w:tcPr>
          <w:p>
            <w:pPr>
              <w:spacing w:after="0"/>
              <w:rPr>
                <w:sz w:val="11"/>
                <w:szCs w:val="11"/>
                <w:color w:val="auto"/>
              </w:rPr>
            </w:pPr>
          </w:p>
        </w:tc>
        <w:tc>
          <w:tcPr>
            <w:tcW w:w="10220" w:type="dxa"/>
            <w:vAlign w:val="bottom"/>
          </w:tcPr>
          <w:p>
            <w:pPr>
              <w:ind w:left="100"/>
              <w:spacing w:after="0"/>
              <w:rPr>
                <w:sz w:val="20"/>
                <w:szCs w:val="20"/>
                <w:color w:val="auto"/>
              </w:rPr>
            </w:pPr>
            <w:r>
              <w:rPr>
                <w:rFonts w:ascii="Arial" w:cs="Arial" w:eastAsia="Arial" w:hAnsi="Arial"/>
                <w:sz w:val="11"/>
                <w:szCs w:val="11"/>
                <w:color w:val="auto"/>
              </w:rPr>
              <w:t>amounts Westpac NZ owes it against the Outstanding Moneys.</w:t>
            </w:r>
          </w:p>
        </w:tc>
      </w:tr>
    </w:tbl>
    <w:p>
      <w:pPr>
        <w:spacing w:after="0" w:line="101" w:lineRule="exact"/>
        <w:rPr>
          <w:sz w:val="20"/>
          <w:szCs w:val="20"/>
          <w:color w:val="auto"/>
        </w:rPr>
      </w:pPr>
    </w:p>
    <w:tbl>
      <w:tblPr>
        <w:tblLayout w:type="fixed"/>
        <w:tblInd w:w="4" w:type="dxa"/>
        <w:tblCellMar>
          <w:top w:w="0" w:type="dxa"/>
          <w:left w:w="0" w:type="dxa"/>
          <w:bottom w:w="0" w:type="dxa"/>
          <w:right w:w="0" w:type="dxa"/>
        </w:tblCellMar>
      </w:tblPr>
      <w:tr>
        <w:trPr>
          <w:trHeight w:val="129"/>
        </w:trPr>
        <w:tc>
          <w:tcPr>
            <w:tcW w:w="300" w:type="dxa"/>
            <w:vAlign w:val="bottom"/>
          </w:tcPr>
          <w:p>
            <w:pPr>
              <w:jc w:val="right"/>
              <w:ind w:right="46"/>
              <w:spacing w:after="0"/>
              <w:rPr>
                <w:sz w:val="20"/>
                <w:szCs w:val="20"/>
                <w:color w:val="auto"/>
              </w:rPr>
            </w:pPr>
            <w:r>
              <w:rPr>
                <w:rFonts w:ascii="Arial" w:cs="Arial" w:eastAsia="Arial" w:hAnsi="Arial"/>
                <w:sz w:val="11"/>
                <w:szCs w:val="11"/>
                <w:b w:val="1"/>
                <w:bCs w:val="1"/>
                <w:color w:val="auto"/>
                <w:w w:val="83"/>
              </w:rPr>
              <w:t>13.2</w:t>
            </w:r>
          </w:p>
        </w:tc>
        <w:tc>
          <w:tcPr>
            <w:tcW w:w="10120" w:type="dxa"/>
            <w:vAlign w:val="bottom"/>
          </w:tcPr>
          <w:p>
            <w:pPr>
              <w:ind w:left="1560"/>
              <w:spacing w:after="0"/>
              <w:rPr>
                <w:sz w:val="20"/>
                <w:szCs w:val="20"/>
                <w:color w:val="auto"/>
              </w:rPr>
            </w:pPr>
            <w:r>
              <w:rPr>
                <w:rFonts w:ascii="Arial" w:cs="Arial" w:eastAsia="Arial" w:hAnsi="Arial"/>
                <w:sz w:val="11"/>
                <w:szCs w:val="11"/>
                <w:b w:val="1"/>
                <w:bCs w:val="1"/>
                <w:color w:val="auto"/>
              </w:rPr>
              <w:t>Contingent Amounts</w:t>
            </w:r>
          </w:p>
        </w:tc>
      </w:tr>
      <w:tr>
        <w:trPr>
          <w:trHeight w:val="117"/>
        </w:trPr>
        <w:tc>
          <w:tcPr>
            <w:tcW w:w="300" w:type="dxa"/>
            <w:vAlign w:val="bottom"/>
          </w:tcPr>
          <w:p>
            <w:pPr>
              <w:spacing w:after="0"/>
              <w:rPr>
                <w:sz w:val="10"/>
                <w:szCs w:val="10"/>
                <w:color w:val="auto"/>
              </w:rPr>
            </w:pPr>
          </w:p>
        </w:tc>
        <w:tc>
          <w:tcPr>
            <w:tcW w:w="10120" w:type="dxa"/>
            <w:vAlign w:val="bottom"/>
          </w:tcPr>
          <w:p>
            <w:pPr>
              <w:ind w:left="100"/>
              <w:spacing w:after="0" w:line="117" w:lineRule="exact"/>
              <w:rPr>
                <w:sz w:val="20"/>
                <w:szCs w:val="20"/>
                <w:color w:val="auto"/>
              </w:rPr>
            </w:pPr>
            <w:r>
              <w:rPr>
                <w:rFonts w:ascii="Arial" w:cs="Arial" w:eastAsia="Arial" w:hAnsi="Arial"/>
                <w:sz w:val="11"/>
                <w:szCs w:val="11"/>
                <w:color w:val="auto"/>
                <w:w w:val="98"/>
              </w:rPr>
              <w:t>If at any time an amount is contingently due from the Borrower or an amount due is not quantified, Westpac NZ may retain and withhold repayment of any money in any account of the Borrower and the payment</w:t>
            </w:r>
          </w:p>
        </w:tc>
      </w:tr>
      <w:tr>
        <w:trPr>
          <w:trHeight w:val="117"/>
        </w:trPr>
        <w:tc>
          <w:tcPr>
            <w:tcW w:w="300" w:type="dxa"/>
            <w:vAlign w:val="bottom"/>
          </w:tcPr>
          <w:p>
            <w:pPr>
              <w:spacing w:after="0"/>
              <w:rPr>
                <w:sz w:val="10"/>
                <w:szCs w:val="10"/>
                <w:color w:val="auto"/>
              </w:rPr>
            </w:pPr>
          </w:p>
        </w:tc>
        <w:tc>
          <w:tcPr>
            <w:tcW w:w="10120" w:type="dxa"/>
            <w:vAlign w:val="bottom"/>
          </w:tcPr>
          <w:p>
            <w:pPr>
              <w:ind w:left="100"/>
              <w:spacing w:after="0" w:line="117" w:lineRule="exact"/>
              <w:rPr>
                <w:sz w:val="20"/>
                <w:szCs w:val="20"/>
                <w:color w:val="auto"/>
              </w:rPr>
            </w:pPr>
            <w:r>
              <w:rPr>
                <w:rFonts w:ascii="Arial" w:cs="Arial" w:eastAsia="Arial" w:hAnsi="Arial"/>
                <w:sz w:val="11"/>
                <w:szCs w:val="11"/>
                <w:color w:val="auto"/>
                <w:w w:val="99"/>
              </w:rPr>
              <w:t>of interest or other moneys pending that amount becoming due and/or being quantified and may set off the maximum liability which may at any time be or become owing to Westpac NZ by the Borrower and in</w:t>
            </w:r>
          </w:p>
        </w:tc>
      </w:tr>
      <w:tr>
        <w:trPr>
          <w:trHeight w:val="130"/>
        </w:trPr>
        <w:tc>
          <w:tcPr>
            <w:tcW w:w="300" w:type="dxa"/>
            <w:vAlign w:val="bottom"/>
          </w:tcPr>
          <w:p>
            <w:pPr>
              <w:spacing w:after="0"/>
              <w:rPr>
                <w:sz w:val="11"/>
                <w:szCs w:val="11"/>
                <w:color w:val="auto"/>
              </w:rPr>
            </w:pPr>
          </w:p>
        </w:tc>
        <w:tc>
          <w:tcPr>
            <w:tcW w:w="10120" w:type="dxa"/>
            <w:vAlign w:val="bottom"/>
          </w:tcPr>
          <w:p>
            <w:pPr>
              <w:ind w:left="100"/>
              <w:spacing w:after="0"/>
              <w:rPr>
                <w:sz w:val="20"/>
                <w:szCs w:val="20"/>
                <w:color w:val="auto"/>
              </w:rPr>
            </w:pPr>
            <w:r>
              <w:rPr>
                <w:rFonts w:ascii="Arial" w:cs="Arial" w:eastAsia="Arial" w:hAnsi="Arial"/>
                <w:sz w:val="11"/>
                <w:szCs w:val="11"/>
                <w:color w:val="auto"/>
              </w:rPr>
              <w:t>each case without prior notice or demand.</w:t>
            </w:r>
          </w:p>
        </w:tc>
      </w:tr>
      <w:tr>
        <w:trPr>
          <w:trHeight w:val="248"/>
        </w:trPr>
        <w:tc>
          <w:tcPr>
            <w:tcW w:w="300" w:type="dxa"/>
            <w:vAlign w:val="bottom"/>
          </w:tcPr>
          <w:p>
            <w:pPr>
              <w:jc w:val="right"/>
              <w:ind w:right="46"/>
              <w:spacing w:after="0"/>
              <w:rPr>
                <w:sz w:val="20"/>
                <w:szCs w:val="20"/>
                <w:color w:val="auto"/>
              </w:rPr>
            </w:pPr>
            <w:r>
              <w:rPr>
                <w:rFonts w:ascii="Arial" w:cs="Arial" w:eastAsia="Arial" w:hAnsi="Arial"/>
                <w:sz w:val="11"/>
                <w:szCs w:val="11"/>
                <w:b w:val="1"/>
                <w:bCs w:val="1"/>
                <w:color w:val="auto"/>
                <w:w w:val="83"/>
              </w:rPr>
              <w:t>13.3</w:t>
            </w:r>
          </w:p>
        </w:tc>
        <w:tc>
          <w:tcPr>
            <w:tcW w:w="10120" w:type="dxa"/>
            <w:vAlign w:val="bottom"/>
          </w:tcPr>
          <w:p>
            <w:pPr>
              <w:ind w:left="2360"/>
              <w:spacing w:after="0"/>
              <w:rPr>
                <w:sz w:val="20"/>
                <w:szCs w:val="20"/>
                <w:color w:val="auto"/>
              </w:rPr>
            </w:pPr>
            <w:r>
              <w:rPr>
                <w:rFonts w:ascii="Arial" w:cs="Arial" w:eastAsia="Arial" w:hAnsi="Arial"/>
                <w:sz w:val="11"/>
                <w:szCs w:val="11"/>
                <w:b w:val="1"/>
                <w:bCs w:val="1"/>
                <w:color w:val="auto"/>
              </w:rPr>
              <w:t>Combination</w:t>
            </w:r>
          </w:p>
        </w:tc>
      </w:tr>
    </w:tbl>
    <w:p>
      <w:pPr>
        <w:ind w:left="404"/>
        <w:spacing w:after="0" w:line="222" w:lineRule="auto"/>
        <w:rPr>
          <w:sz w:val="20"/>
          <w:szCs w:val="20"/>
          <w:color w:val="auto"/>
        </w:rPr>
      </w:pPr>
      <w:r>
        <w:rPr>
          <w:rFonts w:ascii="Arial" w:cs="Arial" w:eastAsia="Arial" w:hAnsi="Arial"/>
          <w:sz w:val="11"/>
          <w:szCs w:val="11"/>
          <w:color w:val="auto"/>
        </w:rPr>
        <w:t>Subject to any applicable Bank Document, where the Borrower has two or more accounts with Westpac NZ:</w:t>
      </w:r>
    </w:p>
    <w:p>
      <w:pPr>
        <w:ind w:left="364" w:hanging="364"/>
        <w:spacing w:after="0" w:line="222" w:lineRule="auto"/>
        <w:tabs>
          <w:tab w:leader="none" w:pos="364" w:val="left"/>
        </w:tabs>
        <w:numPr>
          <w:ilvl w:val="0"/>
          <w:numId w:val="134"/>
        </w:numPr>
        <w:rPr>
          <w:rFonts w:ascii="Arial" w:cs="Arial" w:eastAsia="Arial" w:hAnsi="Arial"/>
          <w:sz w:val="11"/>
          <w:szCs w:val="11"/>
          <w:color w:val="auto"/>
        </w:rPr>
      </w:pPr>
      <w:r>
        <w:rPr>
          <w:rFonts w:ascii="Arial" w:cs="Arial" w:eastAsia="Arial" w:hAnsi="Arial"/>
          <w:sz w:val="11"/>
          <w:szCs w:val="11"/>
          <w:color w:val="auto"/>
        </w:rPr>
        <w:t>Westpac NZ may at any time combine any two or more of those accounts.  It may do so without notice and whether or not it has allowed a set-off for a calculation of interest between any of those accounts;</w:t>
      </w:r>
    </w:p>
    <w:p>
      <w:pPr>
        <w:ind w:left="364" w:right="500" w:hanging="364"/>
        <w:spacing w:after="0" w:line="222" w:lineRule="auto"/>
        <w:tabs>
          <w:tab w:leader="none" w:pos="364" w:val="left"/>
        </w:tabs>
        <w:numPr>
          <w:ilvl w:val="0"/>
          <w:numId w:val="134"/>
        </w:numPr>
        <w:rPr>
          <w:rFonts w:ascii="Arial" w:cs="Arial" w:eastAsia="Arial" w:hAnsi="Arial"/>
          <w:sz w:val="11"/>
          <w:szCs w:val="11"/>
          <w:color w:val="auto"/>
        </w:rPr>
      </w:pPr>
      <w:r>
        <w:rPr>
          <w:rFonts w:ascii="Arial" w:cs="Arial" w:eastAsia="Arial" w:hAnsi="Arial"/>
          <w:sz w:val="11"/>
          <w:szCs w:val="11"/>
          <w:color w:val="auto"/>
        </w:rPr>
        <w:t>Westpac NZ may at any time combine any two or more of those accounts even where one or more of the combined accounts are in different currencies and may effect currency exchanges appropriate to implement that combination; and</w:t>
      </w:r>
    </w:p>
    <w:p>
      <w:pPr>
        <w:ind w:left="424" w:hanging="424"/>
        <w:spacing w:after="0"/>
        <w:tabs>
          <w:tab w:leader="none" w:pos="424" w:val="left"/>
        </w:tabs>
        <w:numPr>
          <w:ilvl w:val="0"/>
          <w:numId w:val="134"/>
        </w:numPr>
        <w:rPr>
          <w:rFonts w:ascii="Arial" w:cs="Arial" w:eastAsia="Arial" w:hAnsi="Arial"/>
          <w:sz w:val="11"/>
          <w:szCs w:val="11"/>
          <w:color w:val="auto"/>
        </w:rPr>
      </w:pPr>
      <w:r>
        <w:rPr>
          <w:rFonts w:ascii="Arial" w:cs="Arial" w:eastAsia="Arial" w:hAnsi="Arial"/>
          <w:sz w:val="11"/>
          <w:szCs w:val="11"/>
          <w:color w:val="auto"/>
        </w:rPr>
        <w:t>if Westpac NZ combines two or more accounts, it may decline to pay cheques and it may otherwise act as if the combined accounts had always been one account.</w:t>
      </w:r>
    </w:p>
    <w:p>
      <w:pPr>
        <w:spacing w:after="0" w:line="105" w:lineRule="exact"/>
        <w:rPr>
          <w:sz w:val="20"/>
          <w:szCs w:val="20"/>
          <w:color w:val="auto"/>
        </w:rPr>
      </w:pPr>
    </w:p>
    <w:p>
      <w:pPr>
        <w:ind w:left="4"/>
        <w:spacing w:after="0"/>
        <w:tabs>
          <w:tab w:leader="none" w:pos="1983" w:val="left"/>
        </w:tabs>
        <w:rPr>
          <w:sz w:val="20"/>
          <w:szCs w:val="20"/>
          <w:color w:val="auto"/>
        </w:rPr>
      </w:pPr>
      <w:r>
        <w:rPr>
          <w:rFonts w:ascii="Arial" w:cs="Arial" w:eastAsia="Arial" w:hAnsi="Arial"/>
          <w:sz w:val="11"/>
          <w:szCs w:val="11"/>
          <w:b w:val="1"/>
          <w:bCs w:val="1"/>
          <w:color w:val="auto"/>
        </w:rPr>
        <w:t>13.4</w:t>
      </w:r>
      <w:r>
        <w:rPr>
          <w:sz w:val="20"/>
          <w:szCs w:val="20"/>
          <w:color w:val="auto"/>
        </w:rPr>
        <w:tab/>
      </w:r>
      <w:r>
        <w:rPr>
          <w:rFonts w:ascii="Arial" w:cs="Arial" w:eastAsia="Arial" w:hAnsi="Arial"/>
          <w:sz w:val="10"/>
          <w:szCs w:val="10"/>
          <w:b w:val="1"/>
          <w:bCs w:val="1"/>
          <w:color w:val="auto"/>
        </w:rPr>
        <w:t>Contractual Rights</w:t>
      </w:r>
    </w:p>
    <w:p>
      <w:pPr>
        <w:spacing w:after="0" w:line="12" w:lineRule="exact"/>
        <w:rPr>
          <w:sz w:val="20"/>
          <w:szCs w:val="20"/>
          <w:color w:val="auto"/>
        </w:rPr>
      </w:pPr>
    </w:p>
    <w:p>
      <w:pPr>
        <w:ind w:left="404" w:right="100"/>
        <w:spacing w:after="0" w:line="234" w:lineRule="auto"/>
        <w:rPr>
          <w:sz w:val="20"/>
          <w:szCs w:val="20"/>
          <w:color w:val="auto"/>
        </w:rPr>
      </w:pPr>
      <w:r>
        <w:rPr>
          <w:rFonts w:ascii="Arial" w:cs="Arial" w:eastAsia="Arial" w:hAnsi="Arial"/>
          <w:sz w:val="11"/>
          <w:szCs w:val="11"/>
          <w:color w:val="auto"/>
        </w:rPr>
        <w:t>Westpac NZ's rights under this clause are contractual rights affecting the terms upon which a credit balance is held and the creation of those rights does not constitute the creation of a security interest in respect of that credit balance.</w:t>
      </w:r>
    </w:p>
    <w:p>
      <w:pPr>
        <w:spacing w:after="0" w:line="102" w:lineRule="exact"/>
        <w:rPr>
          <w:sz w:val="20"/>
          <w:szCs w:val="20"/>
          <w:color w:val="auto"/>
        </w:rPr>
      </w:pPr>
    </w:p>
    <w:p>
      <w:pPr>
        <w:ind w:left="4"/>
        <w:spacing w:after="0"/>
        <w:tabs>
          <w:tab w:leader="none" w:pos="1523" w:val="left"/>
        </w:tabs>
        <w:rPr>
          <w:sz w:val="20"/>
          <w:szCs w:val="20"/>
          <w:color w:val="auto"/>
        </w:rPr>
      </w:pPr>
      <w:r>
        <w:rPr>
          <w:rFonts w:ascii="Arial" w:cs="Arial" w:eastAsia="Arial" w:hAnsi="Arial"/>
          <w:sz w:val="11"/>
          <w:szCs w:val="11"/>
          <w:b w:val="1"/>
          <w:bCs w:val="1"/>
          <w:color w:val="auto"/>
        </w:rPr>
        <w:t>13.5</w:t>
      </w:r>
      <w:r>
        <w:rPr>
          <w:sz w:val="20"/>
          <w:szCs w:val="20"/>
          <w:color w:val="auto"/>
        </w:rPr>
        <w:tab/>
      </w:r>
      <w:r>
        <w:rPr>
          <w:rFonts w:ascii="Arial" w:cs="Arial" w:eastAsia="Arial" w:hAnsi="Arial"/>
          <w:sz w:val="10"/>
          <w:szCs w:val="10"/>
          <w:b w:val="1"/>
          <w:bCs w:val="1"/>
          <w:color w:val="auto"/>
        </w:rPr>
        <w:t>Deposits with Westpac NZ</w:t>
      </w:r>
    </w:p>
    <w:p>
      <w:pPr>
        <w:spacing w:after="0" w:line="12" w:lineRule="exact"/>
        <w:rPr>
          <w:sz w:val="20"/>
          <w:szCs w:val="20"/>
          <w:color w:val="auto"/>
        </w:rPr>
      </w:pPr>
    </w:p>
    <w:p>
      <w:pPr>
        <w:ind w:left="404" w:right="120"/>
        <w:spacing w:after="0" w:line="222" w:lineRule="auto"/>
        <w:rPr>
          <w:sz w:val="20"/>
          <w:szCs w:val="20"/>
          <w:color w:val="auto"/>
        </w:rPr>
      </w:pPr>
      <w:r>
        <w:rPr>
          <w:rFonts w:ascii="Arial" w:cs="Arial" w:eastAsia="Arial" w:hAnsi="Arial"/>
          <w:sz w:val="11"/>
          <w:szCs w:val="11"/>
          <w:color w:val="auto"/>
        </w:rPr>
        <w:t>Any moneys which, pursuant to a Bank Document, are deposited at any time by the Borrower with Westpac NZ (or withheld by Westpac NZ from a payment to the Borrower and retained on deposit with it) must, unless otherwise provided, be held on the following basis:</w:t>
      </w:r>
    </w:p>
    <w:p>
      <w:pPr>
        <w:ind w:left="444" w:hanging="444"/>
        <w:spacing w:after="0" w:line="222" w:lineRule="auto"/>
        <w:tabs>
          <w:tab w:leader="none" w:pos="444" w:val="left"/>
        </w:tabs>
        <w:numPr>
          <w:ilvl w:val="0"/>
          <w:numId w:val="135"/>
        </w:numPr>
        <w:rPr>
          <w:rFonts w:ascii="Arial" w:cs="Arial" w:eastAsia="Arial" w:hAnsi="Arial"/>
          <w:sz w:val="11"/>
          <w:szCs w:val="11"/>
          <w:color w:val="auto"/>
        </w:rPr>
      </w:pPr>
      <w:r>
        <w:rPr>
          <w:rFonts w:ascii="Arial" w:cs="Arial" w:eastAsia="Arial" w:hAnsi="Arial"/>
          <w:sz w:val="11"/>
          <w:szCs w:val="11"/>
          <w:color w:val="auto"/>
        </w:rPr>
        <w:t>each deposit and all rights of the Borrower relating to it must be incapable of assignment by the Borrower or of being the subject of a security interest except:</w:t>
      </w:r>
    </w:p>
    <w:p>
      <w:pPr>
        <w:ind w:left="1364" w:hanging="616"/>
        <w:spacing w:after="0" w:line="222" w:lineRule="auto"/>
        <w:tabs>
          <w:tab w:leader="none" w:pos="1364" w:val="left"/>
        </w:tabs>
        <w:numPr>
          <w:ilvl w:val="1"/>
          <w:numId w:val="135"/>
        </w:numPr>
        <w:rPr>
          <w:rFonts w:ascii="Arial" w:cs="Arial" w:eastAsia="Arial" w:hAnsi="Arial"/>
          <w:sz w:val="11"/>
          <w:szCs w:val="11"/>
          <w:color w:val="auto"/>
        </w:rPr>
      </w:pPr>
      <w:r>
        <w:rPr>
          <w:rFonts w:ascii="Arial" w:cs="Arial" w:eastAsia="Arial" w:hAnsi="Arial"/>
          <w:sz w:val="11"/>
          <w:szCs w:val="11"/>
          <w:color w:val="auto"/>
        </w:rPr>
        <w:t>in favour of Westpac NZ; or</w:t>
      </w:r>
    </w:p>
    <w:p>
      <w:pPr>
        <w:ind w:left="1264" w:hanging="516"/>
        <w:spacing w:after="0" w:line="222" w:lineRule="auto"/>
        <w:tabs>
          <w:tab w:leader="none" w:pos="1264" w:val="left"/>
        </w:tabs>
        <w:numPr>
          <w:ilvl w:val="1"/>
          <w:numId w:val="135"/>
        </w:numPr>
        <w:rPr>
          <w:rFonts w:ascii="Arial" w:cs="Arial" w:eastAsia="Arial" w:hAnsi="Arial"/>
          <w:sz w:val="11"/>
          <w:szCs w:val="11"/>
          <w:color w:val="auto"/>
        </w:rPr>
      </w:pPr>
      <w:r>
        <w:rPr>
          <w:rFonts w:ascii="Arial" w:cs="Arial" w:eastAsia="Arial" w:hAnsi="Arial"/>
          <w:sz w:val="11"/>
          <w:szCs w:val="11"/>
          <w:color w:val="auto"/>
        </w:rPr>
        <w:t>with the prior written consent of Westpac NZ; and</w:t>
      </w:r>
    </w:p>
    <w:p>
      <w:pPr>
        <w:ind w:left="364" w:right="380" w:hanging="364"/>
        <w:spacing w:after="0" w:line="234" w:lineRule="auto"/>
        <w:tabs>
          <w:tab w:leader="none" w:pos="364" w:val="left"/>
        </w:tabs>
        <w:numPr>
          <w:ilvl w:val="0"/>
          <w:numId w:val="135"/>
        </w:numPr>
        <w:rPr>
          <w:rFonts w:ascii="Arial" w:cs="Arial" w:eastAsia="Arial" w:hAnsi="Arial"/>
          <w:sz w:val="11"/>
          <w:szCs w:val="11"/>
          <w:color w:val="auto"/>
        </w:rPr>
      </w:pPr>
      <w:r>
        <w:rPr>
          <w:rFonts w:ascii="Arial" w:cs="Arial" w:eastAsia="Arial" w:hAnsi="Arial"/>
          <w:sz w:val="11"/>
          <w:szCs w:val="11"/>
          <w:color w:val="auto"/>
        </w:rPr>
        <w:t>the Borrower must have no right to withdraw any moneys from a deposit until all obligations of the Borrower under the Bank Documents (present and future, direct and contingent) have been performed and complied with, except: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270510</wp:posOffset>
            </wp:positionV>
            <wp:extent cx="6768465"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768465" cy="42545"/>
                    </a:xfrm>
                    <a:prstGeom prst="rect">
                      <a:avLst/>
                    </a:prstGeom>
                    <a:noFill/>
                  </pic:spPr>
                </pic:pic>
              </a:graphicData>
            </a:graphic>
          </wp:anchor>
        </w:drawing>
      </w:r>
    </w:p>
    <w:p>
      <w:pPr>
        <w:sectPr>
          <w:pgSz w:w="11900" w:h="16838" w:orient="portrait"/>
          <w:cols w:equalWidth="0" w:num="1">
            <w:col w:w="10524"/>
          </w:cols>
          <w:pgMar w:left="656" w:top="258" w:right="719" w:bottom="1440" w:gutter="0" w:footer="0" w:header="0"/>
        </w:sectPr>
      </w:pPr>
    </w:p>
    <w:bookmarkStart w:id="166" w:name="page167"/>
    <w:bookmarkEnd w:id="166"/>
    <w:p>
      <w:pPr>
        <w:ind w:left="1044" w:hanging="296"/>
        <w:spacing w:after="0"/>
        <w:tabs>
          <w:tab w:leader="none" w:pos="1044" w:val="left"/>
        </w:tabs>
        <w:numPr>
          <w:ilvl w:val="0"/>
          <w:numId w:val="136"/>
        </w:numPr>
        <w:rPr>
          <w:rFonts w:ascii="Arial" w:cs="Arial" w:eastAsia="Arial" w:hAnsi="Arial"/>
          <w:sz w:val="11"/>
          <w:szCs w:val="11"/>
          <w:color w:val="auto"/>
        </w:rPr>
      </w:pPr>
      <w:r>
        <w:rPr>
          <w:rFonts w:ascii="Arial" w:cs="Arial" w:eastAsia="Arial" w:hAnsi="Arial"/>
          <w:sz w:val="11"/>
          <w:szCs w:val="11"/>
          <w:color w:val="auto"/>
        </w:rPr>
        <w:t>as expressly permitted by the terms of any Bank Documents under which that deposit was made;</w:t>
      </w:r>
    </w:p>
    <w:p>
      <w:pPr>
        <w:ind w:left="1144" w:hanging="396"/>
        <w:spacing w:after="0" w:line="222" w:lineRule="auto"/>
        <w:tabs>
          <w:tab w:leader="none" w:pos="1144" w:val="left"/>
        </w:tabs>
        <w:numPr>
          <w:ilvl w:val="0"/>
          <w:numId w:val="136"/>
        </w:numPr>
        <w:rPr>
          <w:rFonts w:ascii="Arial" w:cs="Arial" w:eastAsia="Arial" w:hAnsi="Arial"/>
          <w:sz w:val="11"/>
          <w:szCs w:val="11"/>
          <w:color w:val="auto"/>
        </w:rPr>
      </w:pPr>
      <w:r>
        <w:rPr>
          <w:rFonts w:ascii="Arial" w:cs="Arial" w:eastAsia="Arial" w:hAnsi="Arial"/>
          <w:sz w:val="11"/>
          <w:szCs w:val="11"/>
          <w:color w:val="auto"/>
        </w:rPr>
        <w:t>for the purpose of complying with its obligations under the Bank Documents; or</w:t>
      </w:r>
    </w:p>
    <w:p>
      <w:pPr>
        <w:ind w:left="1384" w:hanging="636"/>
        <w:spacing w:after="0"/>
        <w:tabs>
          <w:tab w:leader="none" w:pos="1384" w:val="left"/>
        </w:tabs>
        <w:numPr>
          <w:ilvl w:val="0"/>
          <w:numId w:val="136"/>
        </w:numPr>
        <w:rPr>
          <w:rFonts w:ascii="Arial" w:cs="Arial" w:eastAsia="Arial" w:hAnsi="Arial"/>
          <w:sz w:val="11"/>
          <w:szCs w:val="11"/>
          <w:color w:val="auto"/>
        </w:rPr>
      </w:pPr>
      <w:r>
        <w:rPr>
          <w:rFonts w:ascii="Arial" w:cs="Arial" w:eastAsia="Arial" w:hAnsi="Arial"/>
          <w:sz w:val="11"/>
          <w:szCs w:val="11"/>
          <w:color w:val="auto"/>
        </w:rPr>
        <w:t>with the prior written consent of Westpac NZ.</w:t>
      </w:r>
    </w:p>
    <w:p>
      <w:pPr>
        <w:spacing w:after="0" w:line="105" w:lineRule="exact"/>
        <w:rPr>
          <w:sz w:val="20"/>
          <w:szCs w:val="20"/>
          <w:color w:val="auto"/>
        </w:rPr>
      </w:pPr>
    </w:p>
    <w:p>
      <w:pPr>
        <w:ind w:left="4"/>
        <w:spacing w:after="0"/>
        <w:tabs>
          <w:tab w:leader="none" w:pos="3783" w:val="left"/>
        </w:tabs>
        <w:rPr>
          <w:sz w:val="20"/>
          <w:szCs w:val="20"/>
          <w:color w:val="auto"/>
        </w:rPr>
      </w:pPr>
      <w:r>
        <w:rPr>
          <w:rFonts w:ascii="Arial" w:cs="Arial" w:eastAsia="Arial" w:hAnsi="Arial"/>
          <w:sz w:val="11"/>
          <w:szCs w:val="11"/>
          <w:b w:val="1"/>
          <w:bCs w:val="1"/>
          <w:color w:val="auto"/>
        </w:rPr>
        <w:t>13.6</w:t>
      </w:r>
      <w:r>
        <w:rPr>
          <w:sz w:val="20"/>
          <w:szCs w:val="20"/>
          <w:color w:val="auto"/>
        </w:rPr>
        <w:tab/>
      </w:r>
      <w:r>
        <w:rPr>
          <w:rFonts w:ascii="Arial" w:cs="Arial" w:eastAsia="Arial" w:hAnsi="Arial"/>
          <w:sz w:val="10"/>
          <w:szCs w:val="10"/>
          <w:b w:val="1"/>
          <w:bCs w:val="1"/>
          <w:color w:val="auto"/>
        </w:rPr>
        <w:t>Interest</w:t>
      </w:r>
    </w:p>
    <w:p>
      <w:pPr>
        <w:spacing w:after="0" w:line="12" w:lineRule="exact"/>
        <w:rPr>
          <w:sz w:val="20"/>
          <w:szCs w:val="20"/>
          <w:color w:val="auto"/>
        </w:rPr>
      </w:pPr>
    </w:p>
    <w:p>
      <w:pPr>
        <w:ind w:left="404" w:right="40"/>
        <w:spacing w:after="0" w:line="228" w:lineRule="auto"/>
        <w:rPr>
          <w:sz w:val="20"/>
          <w:szCs w:val="20"/>
          <w:color w:val="auto"/>
        </w:rPr>
      </w:pPr>
      <w:r>
        <w:rPr>
          <w:rFonts w:ascii="Arial" w:cs="Arial" w:eastAsia="Arial" w:hAnsi="Arial"/>
          <w:sz w:val="11"/>
          <w:szCs w:val="11"/>
          <w:color w:val="auto"/>
        </w:rPr>
        <w:t>Each amount deposited with Westpac NZ under clause 13.5 will (unless otherwise agreed) bear interest calculated by reference to successive deposit periods of a duration agreed by Westpac NZ and the Borrower (or, in the absence of agreement, as Westpac NZ may nominate). The rate of interest applicable to a deposit period will be as agreed by Westpac NZ and the Borrower (or, in the absence of agreement, as Westpac NZ certifies as applicable to deposits of similar size and maturity placed with it by customers). As long as no Event of Default or Potential Event of Default has occurred (in which case interest is to be added to the deposit) and subject to clause 13.1, that interest is to be paid to the Borrower as it may direct.</w:t>
      </w:r>
    </w:p>
    <w:p>
      <w:pPr>
        <w:spacing w:after="0" w:line="219" w:lineRule="exact"/>
        <w:rPr>
          <w:sz w:val="20"/>
          <w:szCs w:val="20"/>
          <w:color w:val="auto"/>
        </w:rPr>
      </w:pPr>
    </w:p>
    <w:p>
      <w:pPr>
        <w:ind w:left="1424" w:hanging="1424"/>
        <w:spacing w:after="0"/>
        <w:tabs>
          <w:tab w:leader="none" w:pos="1424" w:val="left"/>
        </w:tabs>
        <w:numPr>
          <w:ilvl w:val="0"/>
          <w:numId w:val="137"/>
        </w:numPr>
        <w:rPr>
          <w:rFonts w:ascii="Arial" w:cs="Arial" w:eastAsia="Arial" w:hAnsi="Arial"/>
          <w:sz w:val="11"/>
          <w:szCs w:val="11"/>
          <w:b w:val="1"/>
          <w:bCs w:val="1"/>
          <w:color w:val="auto"/>
        </w:rPr>
      </w:pPr>
      <w:r>
        <w:rPr>
          <w:rFonts w:ascii="Arial" w:cs="Arial" w:eastAsia="Arial" w:hAnsi="Arial"/>
          <w:sz w:val="11"/>
          <w:szCs w:val="11"/>
          <w:b w:val="1"/>
          <w:bCs w:val="1"/>
          <w:color w:val="auto"/>
        </w:rPr>
        <w:t>protection of officers</w:t>
      </w:r>
    </w:p>
    <w:p>
      <w:pPr>
        <w:spacing w:after="0" w:line="264" w:lineRule="exact"/>
        <w:rPr>
          <w:sz w:val="20"/>
          <w:szCs w:val="20"/>
          <w:color w:val="auto"/>
        </w:rPr>
      </w:pPr>
    </w:p>
    <w:p>
      <w:pPr>
        <w:ind w:left="404"/>
        <w:spacing w:after="0" w:line="230" w:lineRule="auto"/>
        <w:rPr>
          <w:sz w:val="20"/>
          <w:szCs w:val="20"/>
          <w:color w:val="auto"/>
        </w:rPr>
      </w:pPr>
      <w:r>
        <w:rPr>
          <w:rFonts w:ascii="Arial" w:cs="Arial" w:eastAsia="Arial" w:hAnsi="Arial"/>
          <w:sz w:val="11"/>
          <w:szCs w:val="11"/>
          <w:color w:val="auto"/>
        </w:rPr>
        <w:t>To the extent permitted by law, neither Westpac NZ nor any Officer or Attorney will be liable in respect of any conduct, (including but not limited to the agreement to provide the Loan), omission, delay, negligence or breach of duty in the exercise or failure to exercise a Power or for any loss (including consequential loss) which results. However, Westpac NZ and any Officer or Attorney will be liable where liability arises from its own fraud or wilful misconduct.</w:t>
      </w:r>
    </w:p>
    <w:p>
      <w:pPr>
        <w:spacing w:after="0" w:line="228" w:lineRule="exact"/>
        <w:rPr>
          <w:sz w:val="20"/>
          <w:szCs w:val="20"/>
          <w:color w:val="auto"/>
        </w:rPr>
      </w:pPr>
    </w:p>
    <w:p>
      <w:pPr>
        <w:ind w:left="1184" w:hanging="1184"/>
        <w:spacing w:after="0"/>
        <w:tabs>
          <w:tab w:leader="none" w:pos="1184" w:val="left"/>
        </w:tabs>
        <w:numPr>
          <w:ilvl w:val="0"/>
          <w:numId w:val="138"/>
        </w:numPr>
        <w:rPr>
          <w:rFonts w:ascii="Arial" w:cs="Arial" w:eastAsia="Arial" w:hAnsi="Arial"/>
          <w:sz w:val="11"/>
          <w:szCs w:val="11"/>
          <w:b w:val="1"/>
          <w:bCs w:val="1"/>
          <w:color w:val="auto"/>
        </w:rPr>
      </w:pPr>
      <w:r>
        <w:rPr>
          <w:rFonts w:ascii="Arial" w:cs="Arial" w:eastAsia="Arial" w:hAnsi="Arial"/>
          <w:sz w:val="11"/>
          <w:szCs w:val="11"/>
          <w:b w:val="1"/>
          <w:bCs w:val="1"/>
          <w:color w:val="auto"/>
        </w:rPr>
        <w:t>no reliance on Westpac NZ</w:t>
      </w:r>
    </w:p>
    <w:p>
      <w:pPr>
        <w:spacing w:after="0" w:line="254" w:lineRule="exact"/>
        <w:rPr>
          <w:sz w:val="20"/>
          <w:szCs w:val="20"/>
          <w:color w:val="auto"/>
        </w:rPr>
      </w:pPr>
    </w:p>
    <w:p>
      <w:pPr>
        <w:ind w:left="404"/>
        <w:spacing w:after="0"/>
        <w:rPr>
          <w:sz w:val="20"/>
          <w:szCs w:val="20"/>
          <w:color w:val="auto"/>
        </w:rPr>
      </w:pPr>
      <w:r>
        <w:rPr>
          <w:rFonts w:ascii="Arial" w:cs="Arial" w:eastAsia="Arial" w:hAnsi="Arial"/>
          <w:sz w:val="11"/>
          <w:szCs w:val="11"/>
          <w:color w:val="auto"/>
        </w:rPr>
        <w:t>The Borrower confirms that:</w:t>
      </w:r>
    </w:p>
    <w:p>
      <w:pPr>
        <w:ind w:left="364" w:right="440" w:hanging="364"/>
        <w:spacing w:after="0" w:line="222" w:lineRule="auto"/>
        <w:tabs>
          <w:tab w:leader="none" w:pos="364" w:val="left"/>
        </w:tabs>
        <w:numPr>
          <w:ilvl w:val="0"/>
          <w:numId w:val="139"/>
        </w:numPr>
        <w:rPr>
          <w:rFonts w:ascii="Arial" w:cs="Arial" w:eastAsia="Arial" w:hAnsi="Arial"/>
          <w:sz w:val="11"/>
          <w:szCs w:val="11"/>
          <w:color w:val="auto"/>
        </w:rPr>
      </w:pPr>
      <w:r>
        <w:rPr>
          <w:rFonts w:ascii="Arial" w:cs="Arial" w:eastAsia="Arial" w:hAnsi="Arial"/>
          <w:sz w:val="11"/>
          <w:szCs w:val="11"/>
          <w:color w:val="auto"/>
        </w:rPr>
        <w:t>it has not entered into any Bank Document in reliance on, or as a result of any conduct of any kind of or on behalf of Westpac NZ or any Related Company of Westpac NZ (including any advice, warranty, representation or undertaking); and</w:t>
      </w:r>
    </w:p>
    <w:p>
      <w:pPr>
        <w:ind w:left="504" w:hanging="504"/>
        <w:spacing w:after="0" w:line="222" w:lineRule="auto"/>
        <w:tabs>
          <w:tab w:leader="none" w:pos="504" w:val="left"/>
        </w:tabs>
        <w:numPr>
          <w:ilvl w:val="0"/>
          <w:numId w:val="139"/>
        </w:numPr>
        <w:rPr>
          <w:rFonts w:ascii="Arial" w:cs="Arial" w:eastAsia="Arial" w:hAnsi="Arial"/>
          <w:sz w:val="11"/>
          <w:szCs w:val="11"/>
          <w:color w:val="auto"/>
        </w:rPr>
      </w:pPr>
      <w:r>
        <w:rPr>
          <w:rFonts w:ascii="Arial" w:cs="Arial" w:eastAsia="Arial" w:hAnsi="Arial"/>
          <w:sz w:val="11"/>
          <w:szCs w:val="11"/>
          <w:color w:val="auto"/>
        </w:rPr>
        <w:t>neither Westpac NZ nor any Related Company of Westpac NZ is obliged to do anything (including disclose anything or give advice),</w:t>
      </w:r>
    </w:p>
    <w:p>
      <w:pPr>
        <w:ind w:left="404"/>
        <w:spacing w:after="0"/>
        <w:rPr>
          <w:sz w:val="20"/>
          <w:szCs w:val="20"/>
          <w:color w:val="auto"/>
        </w:rPr>
      </w:pPr>
      <w:r>
        <w:rPr>
          <w:rFonts w:ascii="Arial" w:cs="Arial" w:eastAsia="Arial" w:hAnsi="Arial"/>
          <w:sz w:val="11"/>
          <w:szCs w:val="11"/>
          <w:color w:val="auto"/>
        </w:rPr>
        <w:t>except as expressly set out in the Bank Documents or in writing signed by or on behalf of Westpac NZ or any Related Company of Westpac NZ.</w:t>
      </w:r>
    </w:p>
    <w:p>
      <w:pPr>
        <w:spacing w:after="0" w:line="231" w:lineRule="exact"/>
        <w:rPr>
          <w:sz w:val="20"/>
          <w:szCs w:val="20"/>
          <w:color w:val="auto"/>
        </w:rPr>
      </w:pPr>
    </w:p>
    <w:tbl>
      <w:tblPr>
        <w:tblLayout w:type="fixed"/>
        <w:tblInd w:w="4" w:type="dxa"/>
        <w:tblCellMar>
          <w:top w:w="0" w:type="dxa"/>
          <w:left w:w="0" w:type="dxa"/>
          <w:bottom w:w="0" w:type="dxa"/>
          <w:right w:w="0" w:type="dxa"/>
        </w:tblCellMar>
      </w:tblPr>
      <w:tr>
        <w:trPr>
          <w:trHeight w:val="142"/>
        </w:trPr>
        <w:tc>
          <w:tcPr>
            <w:tcW w:w="300" w:type="dxa"/>
            <w:vAlign w:val="bottom"/>
          </w:tcPr>
          <w:p>
            <w:pPr>
              <w:spacing w:after="0"/>
              <w:rPr>
                <w:sz w:val="20"/>
                <w:szCs w:val="20"/>
                <w:color w:val="auto"/>
              </w:rPr>
            </w:pPr>
            <w:r>
              <w:rPr>
                <w:rFonts w:ascii="Arial" w:cs="Arial" w:eastAsia="Arial" w:hAnsi="Arial"/>
                <w:sz w:val="11"/>
                <w:szCs w:val="11"/>
                <w:b w:val="1"/>
                <w:bCs w:val="1"/>
                <w:color w:val="auto"/>
              </w:rPr>
              <w:t>16.</w:t>
            </w:r>
          </w:p>
        </w:tc>
        <w:tc>
          <w:tcPr>
            <w:tcW w:w="10180" w:type="dxa"/>
            <w:vAlign w:val="bottom"/>
          </w:tcPr>
          <w:p>
            <w:pPr>
              <w:ind w:left="1940"/>
              <w:spacing w:after="0"/>
              <w:rPr>
                <w:sz w:val="20"/>
                <w:szCs w:val="20"/>
                <w:color w:val="auto"/>
              </w:rPr>
            </w:pPr>
            <w:r>
              <w:rPr>
                <w:rFonts w:ascii="Arial" w:cs="Arial" w:eastAsia="Arial" w:hAnsi="Arial"/>
                <w:sz w:val="11"/>
                <w:szCs w:val="11"/>
                <w:b w:val="1"/>
                <w:bCs w:val="1"/>
                <w:color w:val="auto"/>
              </w:rPr>
              <w:t>assignment</w:t>
            </w:r>
          </w:p>
        </w:tc>
      </w:tr>
      <w:tr>
        <w:trPr>
          <w:trHeight w:val="366"/>
        </w:trPr>
        <w:tc>
          <w:tcPr>
            <w:tcW w:w="300" w:type="dxa"/>
            <w:vAlign w:val="bottom"/>
          </w:tcPr>
          <w:p>
            <w:pPr>
              <w:spacing w:after="0"/>
              <w:rPr>
                <w:sz w:val="20"/>
                <w:szCs w:val="20"/>
                <w:color w:val="auto"/>
              </w:rPr>
            </w:pPr>
            <w:r>
              <w:rPr>
                <w:rFonts w:ascii="Arial" w:cs="Arial" w:eastAsia="Arial" w:hAnsi="Arial"/>
                <w:sz w:val="11"/>
                <w:szCs w:val="11"/>
                <w:b w:val="1"/>
                <w:bCs w:val="1"/>
                <w:color w:val="auto"/>
              </w:rPr>
              <w:t>16.1</w:t>
            </w:r>
          </w:p>
        </w:tc>
        <w:tc>
          <w:tcPr>
            <w:tcW w:w="10180" w:type="dxa"/>
            <w:vAlign w:val="bottom"/>
          </w:tcPr>
          <w:p>
            <w:pPr>
              <w:jc w:val="right"/>
              <w:ind w:right="7546"/>
              <w:spacing w:after="0"/>
              <w:rPr>
                <w:sz w:val="20"/>
                <w:szCs w:val="20"/>
                <w:color w:val="auto"/>
              </w:rPr>
            </w:pPr>
            <w:r>
              <w:rPr>
                <w:rFonts w:ascii="Arial" w:cs="Arial" w:eastAsia="Arial" w:hAnsi="Arial"/>
                <w:sz w:val="11"/>
                <w:szCs w:val="11"/>
                <w:b w:val="1"/>
                <w:bCs w:val="1"/>
                <w:color w:val="auto"/>
              </w:rPr>
              <w:t>Westpac NZ may assign</w:t>
            </w:r>
          </w:p>
        </w:tc>
      </w:tr>
      <w:tr>
        <w:trPr>
          <w:trHeight w:val="117"/>
        </w:trPr>
        <w:tc>
          <w:tcPr>
            <w:tcW w:w="300" w:type="dxa"/>
            <w:vAlign w:val="bottom"/>
          </w:tcPr>
          <w:p>
            <w:pPr>
              <w:spacing w:after="0"/>
              <w:rPr>
                <w:sz w:val="10"/>
                <w:szCs w:val="10"/>
                <w:color w:val="auto"/>
              </w:rPr>
            </w:pPr>
          </w:p>
        </w:tc>
        <w:tc>
          <w:tcPr>
            <w:tcW w:w="10180" w:type="dxa"/>
            <w:vAlign w:val="bottom"/>
          </w:tcPr>
          <w:p>
            <w:pPr>
              <w:ind w:left="100"/>
              <w:spacing w:after="0" w:line="117" w:lineRule="exact"/>
              <w:rPr>
                <w:sz w:val="20"/>
                <w:szCs w:val="20"/>
                <w:color w:val="auto"/>
              </w:rPr>
            </w:pPr>
            <w:r>
              <w:rPr>
                <w:rFonts w:ascii="Arial" w:cs="Arial" w:eastAsia="Arial" w:hAnsi="Arial"/>
                <w:sz w:val="11"/>
                <w:szCs w:val="11"/>
                <w:color w:val="auto"/>
                <w:w w:val="98"/>
              </w:rPr>
              <w:t>Westpac NZ can transfer this Agreement and all or part of the Outstanding Moneys to someone else. If it does, this Agreement and any transferred Bank Document will apply to the transferee as if it was Westpac</w:t>
            </w:r>
          </w:p>
        </w:tc>
      </w:tr>
      <w:tr>
        <w:trPr>
          <w:trHeight w:val="117"/>
        </w:trPr>
        <w:tc>
          <w:tcPr>
            <w:tcW w:w="300" w:type="dxa"/>
            <w:vAlign w:val="bottom"/>
          </w:tcPr>
          <w:p>
            <w:pPr>
              <w:spacing w:after="0"/>
              <w:rPr>
                <w:sz w:val="10"/>
                <w:szCs w:val="10"/>
                <w:color w:val="auto"/>
              </w:rPr>
            </w:pPr>
          </w:p>
        </w:tc>
        <w:tc>
          <w:tcPr>
            <w:tcW w:w="10180" w:type="dxa"/>
            <w:vAlign w:val="bottom"/>
          </w:tcPr>
          <w:p>
            <w:pPr>
              <w:ind w:left="100"/>
              <w:spacing w:after="0" w:line="117" w:lineRule="exact"/>
              <w:rPr>
                <w:sz w:val="20"/>
                <w:szCs w:val="20"/>
                <w:color w:val="auto"/>
              </w:rPr>
            </w:pPr>
            <w:r>
              <w:rPr>
                <w:rFonts w:ascii="Arial" w:cs="Arial" w:eastAsia="Arial" w:hAnsi="Arial"/>
                <w:sz w:val="11"/>
                <w:szCs w:val="11"/>
                <w:color w:val="auto"/>
                <w:w w:val="99"/>
              </w:rPr>
              <w:t>NZ. To the maximum extent allowed by law, any transfer will be free of any set off, equity or cross claim which the Borrower would have had against Westpac NZ or the transferee of any Bank Document but for</w:t>
            </w:r>
          </w:p>
        </w:tc>
      </w:tr>
      <w:tr>
        <w:trPr>
          <w:trHeight w:val="130"/>
        </w:trPr>
        <w:tc>
          <w:tcPr>
            <w:tcW w:w="300" w:type="dxa"/>
            <w:vAlign w:val="bottom"/>
          </w:tcPr>
          <w:p>
            <w:pPr>
              <w:spacing w:after="0"/>
              <w:rPr>
                <w:sz w:val="11"/>
                <w:szCs w:val="11"/>
                <w:color w:val="auto"/>
              </w:rPr>
            </w:pPr>
          </w:p>
        </w:tc>
        <w:tc>
          <w:tcPr>
            <w:tcW w:w="10180" w:type="dxa"/>
            <w:vAlign w:val="bottom"/>
          </w:tcPr>
          <w:p>
            <w:pPr>
              <w:ind w:left="100"/>
              <w:spacing w:after="0"/>
              <w:rPr>
                <w:sz w:val="20"/>
                <w:szCs w:val="20"/>
                <w:color w:val="auto"/>
              </w:rPr>
            </w:pPr>
            <w:r>
              <w:rPr>
                <w:rFonts w:ascii="Arial" w:cs="Arial" w:eastAsia="Arial" w:hAnsi="Arial"/>
                <w:sz w:val="11"/>
                <w:szCs w:val="11"/>
                <w:color w:val="auto"/>
              </w:rPr>
              <w:t>this clause.</w:t>
            </w:r>
          </w:p>
        </w:tc>
      </w:tr>
      <w:tr>
        <w:trPr>
          <w:trHeight w:val="239"/>
        </w:trPr>
        <w:tc>
          <w:tcPr>
            <w:tcW w:w="300" w:type="dxa"/>
            <w:vAlign w:val="bottom"/>
          </w:tcPr>
          <w:p>
            <w:pPr>
              <w:spacing w:after="0"/>
              <w:rPr>
                <w:sz w:val="20"/>
                <w:szCs w:val="20"/>
                <w:color w:val="auto"/>
              </w:rPr>
            </w:pPr>
            <w:r>
              <w:rPr>
                <w:rFonts w:ascii="Arial" w:cs="Arial" w:eastAsia="Arial" w:hAnsi="Arial"/>
                <w:sz w:val="11"/>
                <w:szCs w:val="11"/>
                <w:b w:val="1"/>
                <w:bCs w:val="1"/>
                <w:color w:val="auto"/>
              </w:rPr>
              <w:t>16.2</w:t>
            </w:r>
          </w:p>
        </w:tc>
        <w:tc>
          <w:tcPr>
            <w:tcW w:w="10180" w:type="dxa"/>
            <w:vAlign w:val="bottom"/>
          </w:tcPr>
          <w:p>
            <w:pPr>
              <w:jc w:val="right"/>
              <w:ind w:right="7546"/>
              <w:spacing w:after="0"/>
              <w:rPr>
                <w:sz w:val="20"/>
                <w:szCs w:val="20"/>
                <w:color w:val="auto"/>
              </w:rPr>
            </w:pPr>
            <w:r>
              <w:rPr>
                <w:rFonts w:ascii="Arial" w:cs="Arial" w:eastAsia="Arial" w:hAnsi="Arial"/>
                <w:sz w:val="11"/>
                <w:szCs w:val="11"/>
                <w:b w:val="1"/>
                <w:bCs w:val="1"/>
                <w:color w:val="auto"/>
              </w:rPr>
              <w:t>Borrower may not assign</w:t>
            </w:r>
          </w:p>
        </w:tc>
      </w:tr>
      <w:tr>
        <w:trPr>
          <w:trHeight w:val="130"/>
        </w:trPr>
        <w:tc>
          <w:tcPr>
            <w:tcW w:w="300" w:type="dxa"/>
            <w:vAlign w:val="bottom"/>
          </w:tcPr>
          <w:p>
            <w:pPr>
              <w:spacing w:after="0"/>
              <w:rPr>
                <w:sz w:val="11"/>
                <w:szCs w:val="11"/>
                <w:color w:val="auto"/>
              </w:rPr>
            </w:pPr>
          </w:p>
        </w:tc>
        <w:tc>
          <w:tcPr>
            <w:tcW w:w="10180" w:type="dxa"/>
            <w:vAlign w:val="bottom"/>
          </w:tcPr>
          <w:p>
            <w:pPr>
              <w:ind w:left="100"/>
              <w:spacing w:after="0"/>
              <w:rPr>
                <w:sz w:val="20"/>
                <w:szCs w:val="20"/>
                <w:color w:val="auto"/>
              </w:rPr>
            </w:pPr>
            <w:r>
              <w:rPr>
                <w:rFonts w:ascii="Arial" w:cs="Arial" w:eastAsia="Arial" w:hAnsi="Arial"/>
                <w:sz w:val="11"/>
                <w:szCs w:val="11"/>
                <w:color w:val="auto"/>
              </w:rPr>
              <w:t>The Borrower may not assign or otherwise transfer or grant any Security Interest over any of its rights and obligations under this Agreement or any other Bank document.</w:t>
            </w:r>
          </w:p>
        </w:tc>
      </w:tr>
      <w:tr>
        <w:trPr>
          <w:trHeight w:val="230"/>
        </w:trPr>
        <w:tc>
          <w:tcPr>
            <w:tcW w:w="300" w:type="dxa"/>
            <w:vAlign w:val="bottom"/>
          </w:tcPr>
          <w:p>
            <w:pPr>
              <w:spacing w:after="0"/>
              <w:rPr>
                <w:sz w:val="20"/>
                <w:szCs w:val="20"/>
                <w:color w:val="auto"/>
              </w:rPr>
            </w:pPr>
            <w:r>
              <w:rPr>
                <w:rFonts w:ascii="Arial" w:cs="Arial" w:eastAsia="Arial" w:hAnsi="Arial"/>
                <w:sz w:val="11"/>
                <w:szCs w:val="11"/>
                <w:b w:val="1"/>
                <w:bCs w:val="1"/>
                <w:color w:val="auto"/>
              </w:rPr>
              <w:t>16.3</w:t>
            </w:r>
          </w:p>
        </w:tc>
        <w:tc>
          <w:tcPr>
            <w:tcW w:w="10180" w:type="dxa"/>
            <w:vAlign w:val="bottom"/>
          </w:tcPr>
          <w:p>
            <w:pPr>
              <w:jc w:val="right"/>
              <w:ind w:right="7546"/>
              <w:spacing w:after="0"/>
              <w:rPr>
                <w:sz w:val="20"/>
                <w:szCs w:val="20"/>
                <w:color w:val="auto"/>
              </w:rPr>
            </w:pPr>
            <w:r>
              <w:rPr>
                <w:rFonts w:ascii="Arial" w:cs="Arial" w:eastAsia="Arial" w:hAnsi="Arial"/>
                <w:sz w:val="11"/>
                <w:szCs w:val="11"/>
                <w:b w:val="1"/>
                <w:bCs w:val="1"/>
                <w:color w:val="auto"/>
              </w:rPr>
              <w:t>disclosure of information</w:t>
            </w:r>
          </w:p>
        </w:tc>
      </w:tr>
      <w:tr>
        <w:trPr>
          <w:trHeight w:val="117"/>
        </w:trPr>
        <w:tc>
          <w:tcPr>
            <w:tcW w:w="300" w:type="dxa"/>
            <w:vAlign w:val="bottom"/>
          </w:tcPr>
          <w:p>
            <w:pPr>
              <w:spacing w:after="0"/>
              <w:rPr>
                <w:sz w:val="10"/>
                <w:szCs w:val="10"/>
                <w:color w:val="auto"/>
              </w:rPr>
            </w:pPr>
          </w:p>
        </w:tc>
        <w:tc>
          <w:tcPr>
            <w:tcW w:w="10180" w:type="dxa"/>
            <w:vAlign w:val="bottom"/>
          </w:tcPr>
          <w:p>
            <w:pPr>
              <w:ind w:left="100"/>
              <w:spacing w:after="0" w:line="117" w:lineRule="exact"/>
              <w:rPr>
                <w:sz w:val="20"/>
                <w:szCs w:val="20"/>
                <w:color w:val="auto"/>
              </w:rPr>
            </w:pPr>
            <w:r>
              <w:rPr>
                <w:rFonts w:ascii="Arial" w:cs="Arial" w:eastAsia="Arial" w:hAnsi="Arial"/>
                <w:sz w:val="11"/>
                <w:szCs w:val="11"/>
                <w:color w:val="auto"/>
                <w:w w:val="98"/>
              </w:rPr>
              <w:t>Westpac NZ may disclose to a Related Company, potential assignee or transferee of its rights or obligations under any Bank Document or any other relevant party any information about the Borrower as Westpac</w:t>
            </w:r>
          </w:p>
        </w:tc>
      </w:tr>
      <w:tr>
        <w:trPr>
          <w:trHeight w:val="117"/>
        </w:trPr>
        <w:tc>
          <w:tcPr>
            <w:tcW w:w="300" w:type="dxa"/>
            <w:vAlign w:val="bottom"/>
          </w:tcPr>
          <w:p>
            <w:pPr>
              <w:spacing w:after="0"/>
              <w:rPr>
                <w:sz w:val="10"/>
                <w:szCs w:val="10"/>
                <w:color w:val="auto"/>
              </w:rPr>
            </w:pPr>
          </w:p>
        </w:tc>
        <w:tc>
          <w:tcPr>
            <w:tcW w:w="10180" w:type="dxa"/>
            <w:vAlign w:val="bottom"/>
          </w:tcPr>
          <w:p>
            <w:pPr>
              <w:ind w:left="100"/>
              <w:spacing w:after="0" w:line="117" w:lineRule="exact"/>
              <w:rPr>
                <w:sz w:val="20"/>
                <w:szCs w:val="20"/>
                <w:color w:val="auto"/>
              </w:rPr>
            </w:pPr>
            <w:r>
              <w:rPr>
                <w:rFonts w:ascii="Arial" w:cs="Arial" w:eastAsia="Arial" w:hAnsi="Arial"/>
                <w:sz w:val="11"/>
                <w:szCs w:val="11"/>
                <w:color w:val="auto"/>
              </w:rPr>
              <w:t>NZ considers appropriate. However, before disclosing to any potential assignee or transferee Westpac NZ will, in relation to information which is not publicly available:</w:t>
            </w:r>
          </w:p>
        </w:tc>
      </w:tr>
      <w:tr>
        <w:trPr>
          <w:trHeight w:val="117"/>
        </w:trPr>
        <w:tc>
          <w:tcPr>
            <w:tcW w:w="300" w:type="dxa"/>
            <w:vAlign w:val="bottom"/>
          </w:tcPr>
          <w:p>
            <w:pPr>
              <w:spacing w:after="0" w:line="117" w:lineRule="exact"/>
              <w:rPr>
                <w:sz w:val="20"/>
                <w:szCs w:val="20"/>
                <w:color w:val="auto"/>
              </w:rPr>
            </w:pPr>
            <w:r>
              <w:rPr>
                <w:rFonts w:ascii="Arial" w:cs="Arial" w:eastAsia="Arial" w:hAnsi="Arial"/>
                <w:sz w:val="11"/>
                <w:szCs w:val="11"/>
                <w:color w:val="auto"/>
              </w:rPr>
              <w:t>a)</w:t>
            </w:r>
          </w:p>
        </w:tc>
        <w:tc>
          <w:tcPr>
            <w:tcW w:w="10180" w:type="dxa"/>
            <w:vAlign w:val="bottom"/>
          </w:tcPr>
          <w:p>
            <w:pPr>
              <w:ind w:left="7140"/>
              <w:spacing w:after="0" w:line="117" w:lineRule="exact"/>
              <w:rPr>
                <w:sz w:val="20"/>
                <w:szCs w:val="20"/>
                <w:color w:val="auto"/>
              </w:rPr>
            </w:pPr>
            <w:r>
              <w:rPr>
                <w:rFonts w:ascii="Arial" w:cs="Arial" w:eastAsia="Arial" w:hAnsi="Arial"/>
                <w:sz w:val="11"/>
                <w:szCs w:val="11"/>
                <w:color w:val="auto"/>
              </w:rPr>
              <w:t>advise</w:t>
            </w:r>
          </w:p>
        </w:tc>
      </w:tr>
      <w:tr>
        <w:trPr>
          <w:trHeight w:val="117"/>
        </w:trPr>
        <w:tc>
          <w:tcPr>
            <w:tcW w:w="300" w:type="dxa"/>
            <w:vAlign w:val="bottom"/>
          </w:tcPr>
          <w:p>
            <w:pPr>
              <w:spacing w:after="0"/>
              <w:rPr>
                <w:sz w:val="10"/>
                <w:szCs w:val="10"/>
                <w:color w:val="auto"/>
              </w:rPr>
            </w:pPr>
          </w:p>
        </w:tc>
        <w:tc>
          <w:tcPr>
            <w:tcW w:w="10180" w:type="dxa"/>
            <w:vAlign w:val="bottom"/>
          </w:tcPr>
          <w:p>
            <w:pPr>
              <w:ind w:left="7140"/>
              <w:spacing w:after="0" w:line="117" w:lineRule="exact"/>
              <w:rPr>
                <w:sz w:val="20"/>
                <w:szCs w:val="20"/>
                <w:color w:val="auto"/>
              </w:rPr>
            </w:pPr>
            <w:r>
              <w:rPr>
                <w:rFonts w:ascii="Arial" w:cs="Arial" w:eastAsia="Arial" w:hAnsi="Arial"/>
                <w:sz w:val="11"/>
                <w:szCs w:val="11"/>
                <w:color w:val="auto"/>
              </w:rPr>
              <w:t>the</w:t>
            </w:r>
          </w:p>
        </w:tc>
      </w:tr>
      <w:tr>
        <w:trPr>
          <w:trHeight w:val="117"/>
        </w:trPr>
        <w:tc>
          <w:tcPr>
            <w:tcW w:w="300" w:type="dxa"/>
            <w:vAlign w:val="bottom"/>
          </w:tcPr>
          <w:p>
            <w:pPr>
              <w:spacing w:after="0"/>
              <w:rPr>
                <w:sz w:val="10"/>
                <w:szCs w:val="10"/>
                <w:color w:val="auto"/>
              </w:rPr>
            </w:pPr>
          </w:p>
        </w:tc>
        <w:tc>
          <w:tcPr>
            <w:tcW w:w="10180" w:type="dxa"/>
            <w:vAlign w:val="bottom"/>
          </w:tcPr>
          <w:p>
            <w:pPr>
              <w:ind w:left="7140"/>
              <w:spacing w:after="0" w:line="117" w:lineRule="exact"/>
              <w:rPr>
                <w:sz w:val="20"/>
                <w:szCs w:val="20"/>
                <w:color w:val="auto"/>
              </w:rPr>
            </w:pPr>
            <w:r>
              <w:rPr>
                <w:rFonts w:ascii="Arial" w:cs="Arial" w:eastAsia="Arial" w:hAnsi="Arial"/>
                <w:sz w:val="11"/>
                <w:szCs w:val="11"/>
                <w:color w:val="auto"/>
              </w:rPr>
              <w:t>Borrower</w:t>
            </w:r>
          </w:p>
        </w:tc>
      </w:tr>
      <w:tr>
        <w:trPr>
          <w:trHeight w:val="117"/>
        </w:trPr>
        <w:tc>
          <w:tcPr>
            <w:tcW w:w="300" w:type="dxa"/>
            <w:vAlign w:val="bottom"/>
          </w:tcPr>
          <w:p>
            <w:pPr>
              <w:spacing w:after="0"/>
              <w:rPr>
                <w:sz w:val="10"/>
                <w:szCs w:val="10"/>
                <w:color w:val="auto"/>
              </w:rPr>
            </w:pPr>
          </w:p>
        </w:tc>
        <w:tc>
          <w:tcPr>
            <w:tcW w:w="10180" w:type="dxa"/>
            <w:vAlign w:val="bottom"/>
          </w:tcPr>
          <w:p>
            <w:pPr>
              <w:ind w:left="7140"/>
              <w:spacing w:after="0" w:line="117" w:lineRule="exact"/>
              <w:rPr>
                <w:sz w:val="20"/>
                <w:szCs w:val="20"/>
                <w:color w:val="auto"/>
              </w:rPr>
            </w:pPr>
            <w:r>
              <w:rPr>
                <w:rFonts w:ascii="Arial" w:cs="Arial" w:eastAsia="Arial" w:hAnsi="Arial"/>
                <w:sz w:val="11"/>
                <w:szCs w:val="11"/>
                <w:color w:val="auto"/>
              </w:rPr>
              <w:t>of its</w:t>
            </w:r>
          </w:p>
        </w:tc>
      </w:tr>
      <w:tr>
        <w:trPr>
          <w:trHeight w:val="117"/>
        </w:trPr>
        <w:tc>
          <w:tcPr>
            <w:tcW w:w="300" w:type="dxa"/>
            <w:vAlign w:val="bottom"/>
          </w:tcPr>
          <w:p>
            <w:pPr>
              <w:spacing w:after="0"/>
              <w:rPr>
                <w:sz w:val="10"/>
                <w:szCs w:val="10"/>
                <w:color w:val="auto"/>
              </w:rPr>
            </w:pPr>
          </w:p>
        </w:tc>
        <w:tc>
          <w:tcPr>
            <w:tcW w:w="10180" w:type="dxa"/>
            <w:vAlign w:val="bottom"/>
          </w:tcPr>
          <w:p>
            <w:pPr>
              <w:ind w:left="7140"/>
              <w:spacing w:after="0" w:line="117" w:lineRule="exact"/>
              <w:rPr>
                <w:sz w:val="20"/>
                <w:szCs w:val="20"/>
                <w:color w:val="auto"/>
              </w:rPr>
            </w:pPr>
            <w:r>
              <w:rPr>
                <w:rFonts w:ascii="Arial" w:cs="Arial" w:eastAsia="Arial" w:hAnsi="Arial"/>
                <w:sz w:val="11"/>
                <w:szCs w:val="11"/>
                <w:color w:val="auto"/>
              </w:rPr>
              <w:t>intention;</w:t>
            </w:r>
          </w:p>
        </w:tc>
      </w:tr>
      <w:tr>
        <w:trPr>
          <w:trHeight w:val="117"/>
        </w:trPr>
        <w:tc>
          <w:tcPr>
            <w:tcW w:w="300" w:type="dxa"/>
            <w:vAlign w:val="bottom"/>
          </w:tcPr>
          <w:p>
            <w:pPr>
              <w:spacing w:after="0"/>
              <w:rPr>
                <w:sz w:val="10"/>
                <w:szCs w:val="10"/>
                <w:color w:val="auto"/>
              </w:rPr>
            </w:pPr>
          </w:p>
        </w:tc>
        <w:tc>
          <w:tcPr>
            <w:tcW w:w="10180" w:type="dxa"/>
            <w:vAlign w:val="bottom"/>
          </w:tcPr>
          <w:p>
            <w:pPr>
              <w:ind w:left="7140"/>
              <w:spacing w:after="0" w:line="117" w:lineRule="exact"/>
              <w:rPr>
                <w:sz w:val="20"/>
                <w:szCs w:val="20"/>
                <w:color w:val="auto"/>
              </w:rPr>
            </w:pPr>
            <w:r>
              <w:rPr>
                <w:rFonts w:ascii="Arial" w:cs="Arial" w:eastAsia="Arial" w:hAnsi="Arial"/>
                <w:sz w:val="11"/>
                <w:szCs w:val="11"/>
                <w:color w:val="auto"/>
              </w:rPr>
              <w:t>and</w:t>
            </w:r>
          </w:p>
        </w:tc>
      </w:tr>
    </w:tbl>
    <w:p>
      <w:pPr>
        <w:ind w:left="504" w:hanging="504"/>
        <w:spacing w:after="0"/>
        <w:tabs>
          <w:tab w:leader="none" w:pos="504" w:val="left"/>
        </w:tabs>
        <w:numPr>
          <w:ilvl w:val="0"/>
          <w:numId w:val="140"/>
        </w:numPr>
        <w:rPr>
          <w:rFonts w:ascii="Arial" w:cs="Arial" w:eastAsia="Arial" w:hAnsi="Arial"/>
          <w:sz w:val="11"/>
          <w:szCs w:val="11"/>
          <w:color w:val="auto"/>
        </w:rPr>
      </w:pPr>
      <w:r>
        <w:rPr>
          <w:rFonts w:ascii="Arial" w:cs="Arial" w:eastAsia="Arial" w:hAnsi="Arial"/>
          <w:sz w:val="11"/>
          <w:szCs w:val="11"/>
          <w:color w:val="auto"/>
        </w:rPr>
        <w:t>require an undertaking protecting the confidentiality of that information from any potential assignee or transferee or other relevant party.</w:t>
      </w:r>
    </w:p>
    <w:p>
      <w:pPr>
        <w:spacing w:after="0" w:line="231" w:lineRule="exact"/>
        <w:rPr>
          <w:sz w:val="20"/>
          <w:szCs w:val="20"/>
          <w:color w:val="auto"/>
        </w:rPr>
      </w:pPr>
    </w:p>
    <w:p>
      <w:pPr>
        <w:ind w:left="1364" w:hanging="1364"/>
        <w:spacing w:after="0"/>
        <w:tabs>
          <w:tab w:leader="none" w:pos="1364" w:val="left"/>
        </w:tabs>
        <w:numPr>
          <w:ilvl w:val="0"/>
          <w:numId w:val="141"/>
        </w:numPr>
        <w:rPr>
          <w:rFonts w:ascii="Arial" w:cs="Arial" w:eastAsia="Arial" w:hAnsi="Arial"/>
          <w:sz w:val="11"/>
          <w:szCs w:val="11"/>
          <w:b w:val="1"/>
          <w:bCs w:val="1"/>
          <w:color w:val="auto"/>
        </w:rPr>
      </w:pPr>
      <w:r>
        <w:rPr>
          <w:rFonts w:ascii="Arial" w:cs="Arial" w:eastAsia="Arial" w:hAnsi="Arial"/>
          <w:sz w:val="11"/>
          <w:szCs w:val="11"/>
          <w:b w:val="1"/>
          <w:bCs w:val="1"/>
          <w:color w:val="auto"/>
        </w:rPr>
        <w:t>counterpart execution</w:t>
      </w:r>
    </w:p>
    <w:p>
      <w:pPr>
        <w:spacing w:after="0" w:line="264" w:lineRule="exact"/>
        <w:rPr>
          <w:sz w:val="20"/>
          <w:szCs w:val="20"/>
          <w:color w:val="auto"/>
        </w:rPr>
      </w:pPr>
    </w:p>
    <w:p>
      <w:pPr>
        <w:ind w:left="404" w:right="120"/>
        <w:spacing w:after="0" w:line="234" w:lineRule="auto"/>
        <w:rPr>
          <w:sz w:val="20"/>
          <w:szCs w:val="20"/>
          <w:color w:val="auto"/>
        </w:rPr>
      </w:pPr>
      <w:r>
        <w:rPr>
          <w:rFonts w:ascii="Arial" w:cs="Arial" w:eastAsia="Arial" w:hAnsi="Arial"/>
          <w:sz w:val="11"/>
          <w:szCs w:val="11"/>
          <w:color w:val="auto"/>
        </w:rPr>
        <w:t>This Agreement may be executed in two or more counterparts, all of which will be deemed to constitute the same instrument. Westpac NZ may accept as an original a facsimile copy of this Agreement executed by the Borrower and a facsimile copy, when taken with a counterpart executed by Westpac NZ, will be deemed to be one original copy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270510</wp:posOffset>
            </wp:positionV>
            <wp:extent cx="6768465"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768465" cy="42545"/>
                    </a:xfrm>
                    <a:prstGeom prst="rect">
                      <a:avLst/>
                    </a:prstGeom>
                    <a:noFill/>
                  </pic:spPr>
                </pic:pic>
              </a:graphicData>
            </a:graphic>
          </wp:anchor>
        </w:drawing>
      </w:r>
    </w:p>
    <w:p>
      <w:pPr>
        <w:sectPr>
          <w:pgSz w:w="11900" w:h="16838" w:orient="portrait"/>
          <w:cols w:equalWidth="0" w:num="1">
            <w:col w:w="10504"/>
          </w:cols>
          <w:pgMar w:left="656" w:top="258" w:right="739" w:bottom="1440" w:gutter="0" w:footer="0" w:header="0"/>
        </w:sectPr>
      </w:pPr>
    </w:p>
    <w:bookmarkStart w:id="167" w:name="page168"/>
    <w:bookmarkEnd w:id="167"/>
    <w:p>
      <w:pPr>
        <w:ind w:left="4"/>
        <w:spacing w:after="0"/>
        <w:rPr>
          <w:sz w:val="20"/>
          <w:szCs w:val="20"/>
          <w:color w:val="auto"/>
        </w:rPr>
      </w:pPr>
      <w:r>
        <w:rPr>
          <w:rFonts w:ascii="Arial" w:cs="Arial" w:eastAsia="Arial" w:hAnsi="Arial"/>
          <w:sz w:val="11"/>
          <w:szCs w:val="11"/>
          <w:color w:val="auto"/>
        </w:rPr>
        <w:t>- 10 -</w:t>
      </w:r>
    </w:p>
    <w:p>
      <w:pPr>
        <w:ind w:left="4"/>
        <w:spacing w:after="0"/>
        <w:rPr>
          <w:sz w:val="20"/>
          <w:szCs w:val="20"/>
          <w:color w:val="auto"/>
        </w:rPr>
      </w:pPr>
      <w:r>
        <w:rPr>
          <w:rFonts w:ascii="Arial" w:cs="Arial" w:eastAsia="Arial" w:hAnsi="Arial"/>
          <w:sz w:val="11"/>
          <w:szCs w:val="11"/>
          <w:color w:val="auto"/>
        </w:rPr>
        <w:t>- 10 -</w:t>
      </w:r>
    </w:p>
    <w:p>
      <w:pPr>
        <w:spacing w:after="0" w:line="258" w:lineRule="exact"/>
        <w:rPr>
          <w:sz w:val="20"/>
          <w:szCs w:val="20"/>
          <w:color w:val="auto"/>
        </w:rPr>
      </w:pPr>
    </w:p>
    <w:p>
      <w:pPr>
        <w:ind w:left="1364" w:hanging="1364"/>
        <w:spacing w:after="0"/>
        <w:tabs>
          <w:tab w:leader="none" w:pos="1364" w:val="left"/>
        </w:tabs>
        <w:numPr>
          <w:ilvl w:val="0"/>
          <w:numId w:val="142"/>
        </w:numPr>
        <w:rPr>
          <w:rFonts w:ascii="Arial" w:cs="Arial" w:eastAsia="Arial" w:hAnsi="Arial"/>
          <w:sz w:val="11"/>
          <w:szCs w:val="11"/>
          <w:b w:val="1"/>
          <w:bCs w:val="1"/>
          <w:color w:val="auto"/>
        </w:rPr>
      </w:pPr>
      <w:r>
        <w:rPr>
          <w:rFonts w:ascii="Arial" w:cs="Arial" w:eastAsia="Arial" w:hAnsi="Arial"/>
          <w:sz w:val="11"/>
          <w:szCs w:val="11"/>
          <w:b w:val="1"/>
          <w:bCs w:val="1"/>
          <w:color w:val="auto"/>
        </w:rPr>
        <w:t>anti-money laundering</w:t>
      </w:r>
    </w:p>
    <w:p>
      <w:pPr>
        <w:spacing w:after="0" w:line="264" w:lineRule="exact"/>
        <w:rPr>
          <w:sz w:val="20"/>
          <w:szCs w:val="20"/>
          <w:color w:val="auto"/>
        </w:rPr>
      </w:pPr>
    </w:p>
    <w:p>
      <w:pPr>
        <w:ind w:left="404"/>
        <w:spacing w:after="0" w:line="222" w:lineRule="auto"/>
        <w:rPr>
          <w:sz w:val="20"/>
          <w:szCs w:val="20"/>
          <w:color w:val="auto"/>
        </w:rPr>
      </w:pPr>
      <w:r>
        <w:rPr>
          <w:rFonts w:ascii="Arial" w:cs="Arial" w:eastAsia="Arial" w:hAnsi="Arial"/>
          <w:sz w:val="11"/>
          <w:szCs w:val="11"/>
          <w:color w:val="auto"/>
        </w:rPr>
        <w:t>The Borrower agrees to provide all information to Westpac NZ which Westpac NZ requires in order to manage its anti-money-laundering and countering terrorism financing obligations, to manage its economic and trade sanctions risks or to comply with any laws, rules or regulations in New Zealand or any other country. The Borrower agrees that Westpac NZ may refuse to establish a business relationship with the Borrower, may be required to delay, defer, stop or refuse to process any transaction, or may terminate its business relationship with the Borrower at any time and without notice, if the Borrower fails to provide this information to Westpac NZ in the manner and timeframe specified by Westpac NZ. The Borrower agrees that Westpac NZ may delay, defer, stop or refuse to process any transaction without incurring any liability if Westpac NZ knows or suspects that:</w:t>
      </w:r>
    </w:p>
    <w:p>
      <w:pPr>
        <w:ind w:left="404"/>
        <w:spacing w:after="0" w:line="223" w:lineRule="auto"/>
        <w:tabs>
          <w:tab w:leader="none" w:pos="2923" w:val="left"/>
        </w:tabs>
        <w:rPr>
          <w:sz w:val="20"/>
          <w:szCs w:val="20"/>
          <w:color w:val="auto"/>
        </w:rPr>
      </w:pPr>
      <w:r>
        <w:rPr>
          <w:rFonts w:ascii="Arial" w:cs="Arial" w:eastAsia="Arial" w:hAnsi="Arial"/>
          <w:sz w:val="11"/>
          <w:szCs w:val="11"/>
          <w:color w:val="auto"/>
        </w:rPr>
        <w:t>a)</w:t>
      </w:r>
      <w:r>
        <w:rPr>
          <w:sz w:val="20"/>
          <w:szCs w:val="20"/>
          <w:color w:val="auto"/>
        </w:rPr>
        <w:tab/>
      </w:r>
      <w:r>
        <w:rPr>
          <w:rFonts w:ascii="Arial" w:cs="Arial" w:eastAsia="Arial" w:hAnsi="Arial"/>
          <w:sz w:val="11"/>
          <w:szCs w:val="11"/>
          <w:color w:val="auto"/>
        </w:rPr>
        <w:t>the transaction will or may breach any laws or regulations in New Zealand or any other country; or</w:t>
      </w:r>
    </w:p>
    <w:p>
      <w:pPr>
        <w:ind w:left="784" w:right="20" w:hanging="387"/>
        <w:spacing w:after="0" w:line="234" w:lineRule="auto"/>
        <w:tabs>
          <w:tab w:leader="none" w:pos="784" w:val="left"/>
        </w:tabs>
        <w:numPr>
          <w:ilvl w:val="0"/>
          <w:numId w:val="143"/>
        </w:numPr>
        <w:rPr>
          <w:rFonts w:ascii="Arial" w:cs="Arial" w:eastAsia="Arial" w:hAnsi="Arial"/>
          <w:sz w:val="11"/>
          <w:szCs w:val="11"/>
          <w:color w:val="auto"/>
        </w:rPr>
      </w:pPr>
      <w:r>
        <w:rPr>
          <w:rFonts w:ascii="Arial" w:cs="Arial" w:eastAsia="Arial" w:hAnsi="Arial"/>
          <w:sz w:val="11"/>
          <w:szCs w:val="11"/>
          <w:color w:val="auto"/>
        </w:rPr>
        <w:t>the transaction involves any person (natural, corporate or governmental) that is itself sanctioned, or is connected, directly or indirectly, to any person (natural, corporate or governmental) that is sanctioned, under economic and trade sanctions imposed by any country.</w:t>
      </w:r>
    </w:p>
    <w:p>
      <w:pPr>
        <w:spacing w:after="0" w:line="105" w:lineRule="exact"/>
        <w:rPr>
          <w:sz w:val="20"/>
          <w:szCs w:val="20"/>
          <w:color w:val="auto"/>
        </w:rPr>
      </w:pPr>
    </w:p>
    <w:p>
      <w:pPr>
        <w:ind w:left="404" w:right="240"/>
        <w:spacing w:after="0" w:line="234" w:lineRule="auto"/>
        <w:rPr>
          <w:sz w:val="20"/>
          <w:szCs w:val="20"/>
          <w:color w:val="auto"/>
        </w:rPr>
      </w:pPr>
      <w:r>
        <w:rPr>
          <w:rFonts w:ascii="Arial" w:cs="Arial" w:eastAsia="Arial" w:hAnsi="Arial"/>
          <w:sz w:val="11"/>
          <w:szCs w:val="11"/>
          <w:color w:val="auto"/>
        </w:rPr>
        <w:t>Unless the Borrower has disclosed to Westpac NZ that the Borrower is acting in a trustee capacity or on behalf of another party, the Borrower warrants that the Borrower is acting solely on the Borrower’s own behalf in entering into this Agreement.</w:t>
      </w:r>
    </w:p>
    <w:p>
      <w:pPr>
        <w:spacing w:after="0" w:line="105" w:lineRule="exact"/>
        <w:rPr>
          <w:sz w:val="20"/>
          <w:szCs w:val="20"/>
          <w:color w:val="auto"/>
        </w:rPr>
      </w:pPr>
    </w:p>
    <w:p>
      <w:pPr>
        <w:jc w:val="both"/>
        <w:ind w:left="404" w:right="280"/>
        <w:spacing w:after="0" w:line="275" w:lineRule="auto"/>
        <w:rPr>
          <w:sz w:val="20"/>
          <w:szCs w:val="20"/>
          <w:color w:val="auto"/>
        </w:rPr>
      </w:pPr>
      <w:r>
        <w:rPr>
          <w:rFonts w:ascii="Arial" w:cs="Arial" w:eastAsia="Arial" w:hAnsi="Arial"/>
          <w:sz w:val="10"/>
          <w:szCs w:val="10"/>
          <w:color w:val="auto"/>
        </w:rPr>
        <w:t>For each transaction conducted under this Agreement, the Borrower represents and warrants to Westpac NZ that, to best of the Borrower’s knowledge, information and belief at the time the transaction takes place, the processing of that transaction by Westpac NZ in accordance with the Borrower’s instructions will not breach any laws or regulations in New Zealand or any other country relevant to the transaction.</w:t>
      </w:r>
    </w:p>
    <w:p>
      <w:pPr>
        <w:spacing w:after="0" w:line="211" w:lineRule="exact"/>
        <w:rPr>
          <w:sz w:val="20"/>
          <w:szCs w:val="20"/>
          <w:color w:val="auto"/>
        </w:rPr>
      </w:pPr>
    </w:p>
    <w:p>
      <w:pPr>
        <w:ind w:left="4"/>
        <w:spacing w:after="0"/>
        <w:tabs>
          <w:tab w:leader="none" w:pos="1983" w:val="left"/>
        </w:tabs>
        <w:rPr>
          <w:sz w:val="20"/>
          <w:szCs w:val="20"/>
          <w:color w:val="auto"/>
        </w:rPr>
      </w:pPr>
      <w:r>
        <w:rPr>
          <w:rFonts w:ascii="Arial" w:cs="Arial" w:eastAsia="Arial" w:hAnsi="Arial"/>
          <w:sz w:val="11"/>
          <w:szCs w:val="11"/>
          <w:b w:val="1"/>
          <w:bCs w:val="1"/>
          <w:color w:val="auto"/>
        </w:rPr>
        <w:t>19.</w:t>
      </w:r>
      <w:r>
        <w:rPr>
          <w:sz w:val="20"/>
          <w:szCs w:val="20"/>
          <w:color w:val="auto"/>
        </w:rPr>
        <w:tab/>
      </w:r>
      <w:r>
        <w:rPr>
          <w:rFonts w:ascii="Arial" w:cs="Arial" w:eastAsia="Arial" w:hAnsi="Arial"/>
          <w:sz w:val="11"/>
          <w:szCs w:val="11"/>
          <w:b w:val="1"/>
          <w:bCs w:val="1"/>
          <w:color w:val="auto"/>
        </w:rPr>
        <w:t>interpretation</w:t>
      </w:r>
    </w:p>
    <w:p>
      <w:pPr>
        <w:spacing w:after="0" w:line="261" w:lineRule="exact"/>
        <w:rPr>
          <w:sz w:val="20"/>
          <w:szCs w:val="20"/>
          <w:color w:val="auto"/>
        </w:rPr>
      </w:pPr>
    </w:p>
    <w:p>
      <w:pPr>
        <w:ind w:left="4"/>
        <w:spacing w:after="0"/>
        <w:tabs>
          <w:tab w:leader="none" w:pos="3003" w:val="left"/>
        </w:tabs>
        <w:rPr>
          <w:sz w:val="20"/>
          <w:szCs w:val="20"/>
          <w:color w:val="auto"/>
        </w:rPr>
      </w:pPr>
      <w:r>
        <w:rPr>
          <w:rFonts w:ascii="Arial" w:cs="Arial" w:eastAsia="Arial" w:hAnsi="Arial"/>
          <w:sz w:val="11"/>
          <w:szCs w:val="11"/>
          <w:b w:val="1"/>
          <w:bCs w:val="1"/>
          <w:color w:val="auto"/>
        </w:rPr>
        <w:t>19.1</w:t>
      </w:r>
      <w:r>
        <w:rPr>
          <w:sz w:val="20"/>
          <w:szCs w:val="20"/>
          <w:color w:val="auto"/>
        </w:rPr>
        <w:tab/>
      </w:r>
      <w:r>
        <w:rPr>
          <w:rFonts w:ascii="Arial" w:cs="Arial" w:eastAsia="Arial" w:hAnsi="Arial"/>
          <w:sz w:val="10"/>
          <w:szCs w:val="10"/>
          <w:b w:val="1"/>
          <w:bCs w:val="1"/>
          <w:color w:val="auto"/>
        </w:rPr>
        <w:t>Definitions</w:t>
      </w:r>
    </w:p>
    <w:p>
      <w:pPr>
        <w:spacing w:after="0" w:line="12" w:lineRule="exact"/>
        <w:rPr>
          <w:sz w:val="20"/>
          <w:szCs w:val="20"/>
          <w:color w:val="auto"/>
        </w:rPr>
      </w:pPr>
    </w:p>
    <w:p>
      <w:pPr>
        <w:ind w:left="404"/>
        <w:spacing w:after="0"/>
        <w:rPr>
          <w:sz w:val="20"/>
          <w:szCs w:val="20"/>
          <w:color w:val="auto"/>
        </w:rPr>
      </w:pPr>
      <w:r>
        <w:rPr>
          <w:rFonts w:ascii="Arial" w:cs="Arial" w:eastAsia="Arial" w:hAnsi="Arial"/>
          <w:sz w:val="11"/>
          <w:szCs w:val="11"/>
          <w:color w:val="auto"/>
        </w:rPr>
        <w:t>The following definitions apply, unless the context requires otherwise:</w:t>
      </w:r>
    </w:p>
    <w:p>
      <w:pPr>
        <w:spacing w:after="0" w:line="117" w:lineRule="exact"/>
        <w:rPr>
          <w:sz w:val="20"/>
          <w:szCs w:val="20"/>
          <w:color w:val="auto"/>
        </w:rPr>
      </w:pPr>
    </w:p>
    <w:p>
      <w:pPr>
        <w:ind w:left="404"/>
        <w:spacing w:after="0"/>
        <w:rPr>
          <w:sz w:val="20"/>
          <w:szCs w:val="20"/>
          <w:color w:val="auto"/>
        </w:rPr>
      </w:pPr>
      <w:r>
        <w:rPr>
          <w:rFonts w:ascii="Arial" w:cs="Arial" w:eastAsia="Arial" w:hAnsi="Arial"/>
          <w:sz w:val="11"/>
          <w:szCs w:val="11"/>
          <w:u w:val="single" w:color="auto"/>
          <w:color w:val="auto"/>
        </w:rPr>
        <w:t>Agreement</w:t>
      </w:r>
      <w:r>
        <w:rPr>
          <w:rFonts w:ascii="Arial" w:cs="Arial" w:eastAsia="Arial" w:hAnsi="Arial"/>
          <w:sz w:val="11"/>
          <w:szCs w:val="11"/>
          <w:color w:val="auto"/>
        </w:rPr>
        <w:t xml:space="preserve"> means this agreement and any variations or additions to it agreed in writing between the parties;</w:t>
      </w:r>
    </w:p>
    <w:p>
      <w:pPr>
        <w:spacing w:after="0" w:line="117" w:lineRule="exact"/>
        <w:rPr>
          <w:sz w:val="20"/>
          <w:szCs w:val="20"/>
          <w:color w:val="auto"/>
        </w:rPr>
      </w:pPr>
    </w:p>
    <w:p>
      <w:pPr>
        <w:ind w:left="404"/>
        <w:spacing w:after="0"/>
        <w:rPr>
          <w:sz w:val="20"/>
          <w:szCs w:val="20"/>
          <w:color w:val="auto"/>
        </w:rPr>
      </w:pPr>
      <w:r>
        <w:rPr>
          <w:rFonts w:ascii="Arial" w:cs="Arial" w:eastAsia="Arial" w:hAnsi="Arial"/>
          <w:sz w:val="11"/>
          <w:szCs w:val="11"/>
          <w:u w:val="single" w:color="auto"/>
          <w:color w:val="auto"/>
        </w:rPr>
        <w:t>Attorney</w:t>
      </w:r>
      <w:r>
        <w:rPr>
          <w:rFonts w:ascii="Arial" w:cs="Arial" w:eastAsia="Arial" w:hAnsi="Arial"/>
          <w:sz w:val="11"/>
          <w:szCs w:val="11"/>
          <w:color w:val="auto"/>
        </w:rPr>
        <w:t xml:space="preserve"> means a person appointed as attorney under any Bank Document;</w:t>
      </w:r>
    </w:p>
    <w:p>
      <w:pPr>
        <w:spacing w:after="0" w:line="117" w:lineRule="exact"/>
        <w:rPr>
          <w:sz w:val="20"/>
          <w:szCs w:val="20"/>
          <w:color w:val="auto"/>
        </w:rPr>
      </w:pPr>
    </w:p>
    <w:p>
      <w:pPr>
        <w:ind w:left="404"/>
        <w:spacing w:after="0"/>
        <w:rPr>
          <w:sz w:val="20"/>
          <w:szCs w:val="20"/>
          <w:color w:val="auto"/>
        </w:rPr>
      </w:pPr>
      <w:r>
        <w:rPr>
          <w:rFonts w:ascii="Arial" w:cs="Arial" w:eastAsia="Arial" w:hAnsi="Arial"/>
          <w:sz w:val="11"/>
          <w:szCs w:val="11"/>
          <w:u w:val="single" w:color="auto"/>
          <w:color w:val="auto"/>
        </w:rPr>
        <w:t>Availability Period</w:t>
      </w:r>
      <w:r>
        <w:rPr>
          <w:rFonts w:ascii="Arial" w:cs="Arial" w:eastAsia="Arial" w:hAnsi="Arial"/>
          <w:sz w:val="11"/>
          <w:szCs w:val="11"/>
          <w:color w:val="auto"/>
        </w:rPr>
        <w:t xml:space="preserve"> means the period beginning on the date that Westpac NZ confirms to the Borrower that the condition precedent in this Agreement has been satisfied and expiring on 30 June 2015;</w:t>
      </w:r>
    </w:p>
    <w:p>
      <w:pPr>
        <w:spacing w:after="0" w:line="107" w:lineRule="exact"/>
        <w:rPr>
          <w:sz w:val="20"/>
          <w:szCs w:val="20"/>
          <w:color w:val="auto"/>
        </w:rPr>
      </w:pPr>
    </w:p>
    <w:p>
      <w:pPr>
        <w:ind w:left="404"/>
        <w:spacing w:after="0"/>
        <w:rPr>
          <w:sz w:val="20"/>
          <w:szCs w:val="20"/>
          <w:color w:val="auto"/>
        </w:rPr>
      </w:pPr>
      <w:r>
        <w:rPr>
          <w:rFonts w:ascii="Arial" w:cs="Arial" w:eastAsia="Arial" w:hAnsi="Arial"/>
          <w:sz w:val="11"/>
          <w:szCs w:val="11"/>
          <w:u w:val="single" w:color="auto"/>
          <w:color w:val="auto"/>
        </w:rPr>
        <w:t>Bank Document</w:t>
      </w:r>
      <w:r>
        <w:rPr>
          <w:rFonts w:ascii="Arial" w:cs="Arial" w:eastAsia="Arial" w:hAnsi="Arial"/>
          <w:sz w:val="11"/>
          <w:szCs w:val="11"/>
          <w:color w:val="auto"/>
        </w:rPr>
        <w:t xml:space="preserve"> means a document or agreement:</w:t>
      </w:r>
    </w:p>
    <w:p>
      <w:pPr>
        <w:ind w:left="484" w:hanging="484"/>
        <w:spacing w:after="0" w:line="222" w:lineRule="auto"/>
        <w:tabs>
          <w:tab w:leader="none" w:pos="484" w:val="left"/>
        </w:tabs>
        <w:numPr>
          <w:ilvl w:val="0"/>
          <w:numId w:val="144"/>
        </w:numPr>
        <w:rPr>
          <w:rFonts w:ascii="Arial" w:cs="Arial" w:eastAsia="Arial" w:hAnsi="Arial"/>
          <w:sz w:val="11"/>
          <w:szCs w:val="11"/>
          <w:color w:val="auto"/>
        </w:rPr>
      </w:pPr>
      <w:r>
        <w:rPr>
          <w:rFonts w:ascii="Arial" w:cs="Arial" w:eastAsia="Arial" w:hAnsi="Arial"/>
          <w:sz w:val="11"/>
          <w:szCs w:val="11"/>
          <w:color w:val="auto"/>
        </w:rPr>
        <w:t>to which Westpac NZ and any one or more of the Borrower and/or any Guarantor are or become parties or purport to be or become parties; or</w:t>
      </w:r>
    </w:p>
    <w:p>
      <w:pPr>
        <w:ind w:left="404" w:right="2860" w:hanging="404"/>
        <w:spacing w:after="0" w:line="275" w:lineRule="auto"/>
        <w:tabs>
          <w:tab w:leader="none" w:pos="456" w:val="left"/>
        </w:tabs>
        <w:numPr>
          <w:ilvl w:val="0"/>
          <w:numId w:val="144"/>
        </w:numPr>
        <w:rPr>
          <w:rFonts w:ascii="Arial" w:cs="Arial" w:eastAsia="Arial" w:hAnsi="Arial"/>
          <w:sz w:val="10"/>
          <w:szCs w:val="10"/>
          <w:color w:val="auto"/>
        </w:rPr>
      </w:pPr>
      <w:r>
        <w:rPr>
          <w:rFonts w:ascii="Arial" w:cs="Arial" w:eastAsia="Arial" w:hAnsi="Arial"/>
          <w:sz w:val="10"/>
          <w:szCs w:val="10"/>
          <w:color w:val="auto"/>
        </w:rPr>
        <w:t>under which obligations arise or are intended to arise from any one or more of the Borrower and/or any Guarantor to, or for the benefit of, Westpac NZ; (in each case whether or not the parties are involved or it arises as a result of an assignment or transfer). It includes this Agreement and any Security;</w:t>
      </w:r>
    </w:p>
    <w:p>
      <w:pPr>
        <w:spacing w:after="0" w:line="88" w:lineRule="exact"/>
        <w:rPr>
          <w:sz w:val="20"/>
          <w:szCs w:val="20"/>
          <w:color w:val="auto"/>
        </w:rPr>
      </w:pPr>
    </w:p>
    <w:p>
      <w:pPr>
        <w:ind w:left="404"/>
        <w:spacing w:after="0" w:line="234" w:lineRule="auto"/>
        <w:rPr>
          <w:sz w:val="20"/>
          <w:szCs w:val="20"/>
          <w:color w:val="auto"/>
        </w:rPr>
      </w:pPr>
      <w:r>
        <w:rPr>
          <w:rFonts w:ascii="Arial" w:cs="Arial" w:eastAsia="Arial" w:hAnsi="Arial"/>
          <w:sz w:val="11"/>
          <w:szCs w:val="11"/>
          <w:u w:val="single" w:color="auto"/>
          <w:color w:val="auto"/>
        </w:rPr>
        <w:t>Banking Day</w:t>
      </w:r>
      <w:r>
        <w:rPr>
          <w:rFonts w:ascii="Arial" w:cs="Arial" w:eastAsia="Arial" w:hAnsi="Arial"/>
          <w:sz w:val="11"/>
          <w:szCs w:val="11"/>
          <w:color w:val="auto"/>
        </w:rPr>
        <w:t xml:space="preserve"> means any day (other than a Saturday or Sunday) on which registered banks are open for business of the nature required by this Agreement in Auckland and, if on that day a transfer of funds is to be made under this Agreement, the city to which the funds are to be transferred;</w:t>
      </w:r>
    </w:p>
    <w:p>
      <w:pPr>
        <w:spacing w:after="0" w:line="114" w:lineRule="exact"/>
        <w:rPr>
          <w:sz w:val="20"/>
          <w:szCs w:val="20"/>
          <w:color w:val="auto"/>
        </w:rPr>
      </w:pPr>
    </w:p>
    <w:p>
      <w:pPr>
        <w:ind w:left="404"/>
        <w:spacing w:after="0"/>
        <w:rPr>
          <w:sz w:val="20"/>
          <w:szCs w:val="20"/>
          <w:color w:val="auto"/>
        </w:rPr>
      </w:pPr>
      <w:r>
        <w:rPr>
          <w:rFonts w:ascii="Arial" w:cs="Arial" w:eastAsia="Arial" w:hAnsi="Arial"/>
          <w:sz w:val="11"/>
          <w:szCs w:val="11"/>
          <w:u w:val="single" w:color="auto"/>
          <w:color w:val="auto"/>
        </w:rPr>
        <w:t>Commencement Date</w:t>
      </w:r>
      <w:r>
        <w:rPr>
          <w:rFonts w:ascii="Arial" w:cs="Arial" w:eastAsia="Arial" w:hAnsi="Arial"/>
          <w:sz w:val="11"/>
          <w:szCs w:val="11"/>
          <w:color w:val="auto"/>
        </w:rPr>
        <w:t xml:space="preserve"> means the date the Loan is first drawn down;</w:t>
      </w:r>
    </w:p>
    <w:p>
      <w:pPr>
        <w:spacing w:after="0" w:line="117" w:lineRule="exact"/>
        <w:rPr>
          <w:sz w:val="20"/>
          <w:szCs w:val="20"/>
          <w:color w:val="auto"/>
        </w:rPr>
      </w:pPr>
    </w:p>
    <w:p>
      <w:pPr>
        <w:ind w:left="404"/>
        <w:spacing w:after="0"/>
        <w:rPr>
          <w:sz w:val="20"/>
          <w:szCs w:val="20"/>
          <w:color w:val="auto"/>
        </w:rPr>
      </w:pPr>
      <w:r>
        <w:rPr>
          <w:rFonts w:ascii="Arial" w:cs="Arial" w:eastAsia="Arial" w:hAnsi="Arial"/>
          <w:sz w:val="11"/>
          <w:szCs w:val="11"/>
          <w:u w:val="single" w:color="auto"/>
          <w:color w:val="auto"/>
        </w:rPr>
        <w:t>Default Rate</w:t>
      </w:r>
      <w:r>
        <w:rPr>
          <w:rFonts w:ascii="Arial" w:cs="Arial" w:eastAsia="Arial" w:hAnsi="Arial"/>
          <w:sz w:val="11"/>
          <w:szCs w:val="11"/>
          <w:color w:val="auto"/>
        </w:rPr>
        <w:t xml:space="preserve"> means the aggregate of Westpac NZ's Indicator Lending Rate from time to time and 7% per annum;</w:t>
      </w:r>
    </w:p>
    <w:p>
      <w:pPr>
        <w:spacing w:after="0" w:line="117" w:lineRule="exact"/>
        <w:rPr>
          <w:sz w:val="20"/>
          <w:szCs w:val="20"/>
          <w:color w:val="auto"/>
        </w:rPr>
      </w:pPr>
    </w:p>
    <w:p>
      <w:pPr>
        <w:ind w:left="404"/>
        <w:spacing w:after="0"/>
        <w:rPr>
          <w:sz w:val="20"/>
          <w:szCs w:val="20"/>
          <w:color w:val="auto"/>
        </w:rPr>
      </w:pPr>
      <w:r>
        <w:rPr>
          <w:rFonts w:ascii="Arial" w:cs="Arial" w:eastAsia="Arial" w:hAnsi="Arial"/>
          <w:sz w:val="11"/>
          <w:szCs w:val="11"/>
          <w:u w:val="single" w:color="auto"/>
          <w:color w:val="auto"/>
        </w:rPr>
        <w:t>Development</w:t>
      </w:r>
      <w:r>
        <w:rPr>
          <w:rFonts w:ascii="Arial" w:cs="Arial" w:eastAsia="Arial" w:hAnsi="Arial"/>
          <w:sz w:val="11"/>
          <w:szCs w:val="11"/>
          <w:color w:val="auto"/>
        </w:rPr>
        <w:t xml:space="preserve"> means the development to be carried out on the land at 200 Wakefield Street, Wellington;</w:t>
      </w:r>
    </w:p>
    <w:p>
      <w:pPr>
        <w:spacing w:after="0" w:line="126" w:lineRule="exact"/>
        <w:rPr>
          <w:sz w:val="20"/>
          <w:szCs w:val="20"/>
          <w:color w:val="auto"/>
        </w:rPr>
      </w:pPr>
    </w:p>
    <w:p>
      <w:pPr>
        <w:ind w:left="404"/>
        <w:spacing w:after="0"/>
        <w:rPr>
          <w:sz w:val="20"/>
          <w:szCs w:val="20"/>
          <w:color w:val="auto"/>
        </w:rPr>
      </w:pPr>
      <w:r>
        <w:rPr>
          <w:rFonts w:ascii="Arial" w:cs="Arial" w:eastAsia="Arial" w:hAnsi="Arial"/>
          <w:sz w:val="11"/>
          <w:szCs w:val="11"/>
          <w:u w:val="single" w:color="auto"/>
          <w:color w:val="auto"/>
        </w:rPr>
        <w:t>Dollar</w:t>
      </w:r>
      <w:r>
        <w:rPr>
          <w:rFonts w:ascii="Arial" w:cs="Arial" w:eastAsia="Arial" w:hAnsi="Arial"/>
          <w:sz w:val="11"/>
          <w:szCs w:val="11"/>
          <w:color w:val="auto"/>
        </w:rPr>
        <w:t xml:space="preserve"> and </w:t>
      </w:r>
      <w:r>
        <w:rPr>
          <w:rFonts w:ascii="Arial" w:cs="Arial" w:eastAsia="Arial" w:hAnsi="Arial"/>
          <w:sz w:val="11"/>
          <w:szCs w:val="11"/>
          <w:u w:val="single" w:color="auto"/>
          <w:color w:val="auto"/>
        </w:rPr>
        <w:t>$</w:t>
      </w:r>
      <w:r>
        <w:rPr>
          <w:rFonts w:ascii="Arial" w:cs="Arial" w:eastAsia="Arial" w:hAnsi="Arial"/>
          <w:sz w:val="11"/>
          <w:szCs w:val="11"/>
          <w:color w:val="auto"/>
        </w:rPr>
        <w:t xml:space="preserve"> means the lawful currency of New Zealand;</w:t>
      </w:r>
    </w:p>
    <w:p>
      <w:pPr>
        <w:spacing w:after="0" w:line="108" w:lineRule="exact"/>
        <w:rPr>
          <w:sz w:val="20"/>
          <w:szCs w:val="20"/>
          <w:color w:val="auto"/>
        </w:rPr>
      </w:pPr>
    </w:p>
    <w:p>
      <w:pPr>
        <w:ind w:left="404" w:right="200"/>
        <w:spacing w:after="0" w:line="234" w:lineRule="auto"/>
        <w:rPr>
          <w:sz w:val="20"/>
          <w:szCs w:val="20"/>
          <w:color w:val="auto"/>
        </w:rPr>
      </w:pPr>
      <w:r>
        <w:rPr>
          <w:rFonts w:ascii="Arial" w:cs="Arial" w:eastAsia="Arial" w:hAnsi="Arial"/>
          <w:sz w:val="11"/>
          <w:szCs w:val="11"/>
          <w:u w:val="single" w:color="auto"/>
          <w:color w:val="auto"/>
        </w:rPr>
        <w:t>Event of Default</w:t>
      </w:r>
      <w:r>
        <w:rPr>
          <w:rFonts w:ascii="Arial" w:cs="Arial" w:eastAsia="Arial" w:hAnsi="Arial"/>
          <w:sz w:val="11"/>
          <w:szCs w:val="11"/>
          <w:color w:val="auto"/>
        </w:rPr>
        <w:t xml:space="preserve"> means any of the events described as such in the General Security Agreement, notwithstanding that the General Security Agreement may be wholly or partially satisfied, released, discharged, avoided, replaced, lost or destroyed from time to time;</w:t>
      </w:r>
    </w:p>
    <w:p>
      <w:pPr>
        <w:spacing w:after="0" w:line="114" w:lineRule="exact"/>
        <w:rPr>
          <w:sz w:val="20"/>
          <w:szCs w:val="20"/>
          <w:color w:val="auto"/>
        </w:rPr>
      </w:pPr>
    </w:p>
    <w:p>
      <w:pPr>
        <w:ind w:left="404"/>
        <w:spacing w:after="0"/>
        <w:rPr>
          <w:sz w:val="20"/>
          <w:szCs w:val="20"/>
          <w:color w:val="auto"/>
        </w:rPr>
      </w:pPr>
      <w:r>
        <w:rPr>
          <w:rFonts w:ascii="Arial" w:cs="Arial" w:eastAsia="Arial" w:hAnsi="Arial"/>
          <w:sz w:val="11"/>
          <w:szCs w:val="11"/>
          <w:u w:val="single" w:color="auto"/>
          <w:color w:val="auto"/>
        </w:rPr>
        <w:t>First Tranche</w:t>
      </w:r>
      <w:r>
        <w:rPr>
          <w:rFonts w:ascii="Arial" w:cs="Arial" w:eastAsia="Arial" w:hAnsi="Arial"/>
          <w:sz w:val="11"/>
          <w:szCs w:val="11"/>
          <w:color w:val="auto"/>
        </w:rPr>
        <w:t xml:space="preserve"> means $35,000,000;</w:t>
      </w:r>
    </w:p>
    <w:p>
      <w:pPr>
        <w:spacing w:after="0" w:line="117" w:lineRule="exact"/>
        <w:rPr>
          <w:sz w:val="20"/>
          <w:szCs w:val="20"/>
          <w:color w:val="auto"/>
        </w:rPr>
      </w:pPr>
    </w:p>
    <w:p>
      <w:pPr>
        <w:ind w:left="404" w:right="100"/>
        <w:spacing w:after="0" w:line="234" w:lineRule="auto"/>
        <w:rPr>
          <w:sz w:val="20"/>
          <w:szCs w:val="20"/>
          <w:color w:val="auto"/>
        </w:rPr>
      </w:pPr>
      <w:r>
        <w:rPr>
          <w:rFonts w:ascii="Arial" w:cs="Arial" w:eastAsia="Arial" w:hAnsi="Arial"/>
          <w:sz w:val="11"/>
          <w:szCs w:val="11"/>
          <w:u w:val="single" w:color="auto"/>
          <w:color w:val="auto"/>
        </w:rPr>
        <w:t>Floating Rate</w:t>
      </w:r>
      <w:r>
        <w:rPr>
          <w:rFonts w:ascii="Arial" w:cs="Arial" w:eastAsia="Arial" w:hAnsi="Arial"/>
          <w:sz w:val="11"/>
          <w:szCs w:val="11"/>
          <w:color w:val="auto"/>
        </w:rPr>
        <w:t xml:space="preserve"> means, for each Floating Rate Period, the aggregate of the Margin and Westpac NZ's 90 day bank bill bid rate (rounded upwards to the nearest first decimal place) for bills of a comparable amount to the amount of the Loan at the relevant time on the first day of that Floating Rate Period.</w:t>
      </w:r>
    </w:p>
    <w:p>
      <w:pPr>
        <w:spacing w:after="0" w:line="95" w:lineRule="exact"/>
        <w:rPr>
          <w:sz w:val="20"/>
          <w:szCs w:val="20"/>
          <w:color w:val="auto"/>
        </w:rPr>
      </w:pPr>
    </w:p>
    <w:p>
      <w:pPr>
        <w:ind w:left="404"/>
        <w:spacing w:after="0"/>
        <w:rPr>
          <w:sz w:val="20"/>
          <w:szCs w:val="20"/>
          <w:color w:val="auto"/>
        </w:rPr>
      </w:pPr>
      <w:r>
        <w:rPr>
          <w:rFonts w:ascii="Arial" w:cs="Arial" w:eastAsia="Arial" w:hAnsi="Arial"/>
          <w:sz w:val="11"/>
          <w:szCs w:val="11"/>
          <w:u w:val="single" w:color="auto"/>
          <w:color w:val="auto"/>
        </w:rPr>
        <w:t>Floating Rate Period</w:t>
      </w:r>
      <w:r>
        <w:rPr>
          <w:rFonts w:ascii="Arial" w:cs="Arial" w:eastAsia="Arial" w:hAnsi="Arial"/>
          <w:sz w:val="11"/>
          <w:szCs w:val="11"/>
          <w:color w:val="auto"/>
        </w:rPr>
        <w:t xml:space="preserve"> means a period of 3 calendar months provided that:</w:t>
      </w:r>
    </w:p>
    <w:p>
      <w:pPr>
        <w:ind w:left="4"/>
        <w:spacing w:after="0"/>
        <w:tabs>
          <w:tab w:leader="none" w:pos="4823" w:val="left"/>
        </w:tabs>
        <w:rPr>
          <w:sz w:val="20"/>
          <w:szCs w:val="20"/>
          <w:color w:val="auto"/>
        </w:rPr>
      </w:pPr>
      <w:r>
        <w:rPr>
          <w:rFonts w:ascii="Arial" w:cs="Arial" w:eastAsia="Arial" w:hAnsi="Arial"/>
          <w:sz w:val="11"/>
          <w:szCs w:val="11"/>
          <w:color w:val="auto"/>
        </w:rPr>
        <w:t>a)</w:t>
      </w:r>
      <w:r>
        <w:rPr>
          <w:sz w:val="20"/>
          <w:szCs w:val="20"/>
          <w:color w:val="auto"/>
        </w:rPr>
        <w:tab/>
      </w:r>
      <w:r>
        <w:rPr>
          <w:rFonts w:ascii="Arial" w:cs="Arial" w:eastAsia="Arial" w:hAnsi="Arial"/>
          <w:sz w:val="11"/>
          <w:szCs w:val="11"/>
          <w:color w:val="auto"/>
        </w:rPr>
        <w:t>the first Floating Rate Period will begin on the Commencement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272415</wp:posOffset>
            </wp:positionV>
            <wp:extent cx="6768465"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768465" cy="42545"/>
                    </a:xfrm>
                    <a:prstGeom prst="rect">
                      <a:avLst/>
                    </a:prstGeom>
                    <a:noFill/>
                  </pic:spPr>
                </pic:pic>
              </a:graphicData>
            </a:graphic>
          </wp:anchor>
        </w:drawing>
      </w:r>
    </w:p>
    <w:p>
      <w:pPr>
        <w:sectPr>
          <w:pgSz w:w="11900" w:h="16838" w:orient="portrait"/>
          <w:cols w:equalWidth="0" w:num="1">
            <w:col w:w="10524"/>
          </w:cols>
          <w:pgMar w:left="656" w:top="123" w:right="719" w:bottom="1440" w:gutter="0" w:footer="0" w:header="0"/>
        </w:sectPr>
      </w:pPr>
    </w:p>
    <w:bookmarkStart w:id="168" w:name="page169"/>
    <w:bookmarkEnd w:id="168"/>
    <w:p>
      <w:pPr>
        <w:ind w:left="4"/>
        <w:spacing w:after="0"/>
        <w:rPr>
          <w:sz w:val="20"/>
          <w:szCs w:val="20"/>
          <w:color w:val="auto"/>
        </w:rPr>
      </w:pPr>
      <w:r>
        <w:rPr>
          <w:rFonts w:ascii="Arial" w:cs="Arial" w:eastAsia="Arial" w:hAnsi="Arial"/>
          <w:sz w:val="11"/>
          <w:szCs w:val="11"/>
          <w:color w:val="auto"/>
        </w:rPr>
        <w:t>- 11 -</w:t>
      </w:r>
    </w:p>
    <w:p>
      <w:pPr>
        <w:ind w:left="4"/>
        <w:spacing w:after="0"/>
        <w:rPr>
          <w:sz w:val="20"/>
          <w:szCs w:val="20"/>
          <w:color w:val="auto"/>
        </w:rPr>
      </w:pPr>
      <w:r>
        <w:rPr>
          <w:rFonts w:ascii="Arial" w:cs="Arial" w:eastAsia="Arial" w:hAnsi="Arial"/>
          <w:sz w:val="11"/>
          <w:szCs w:val="11"/>
          <w:color w:val="auto"/>
        </w:rPr>
        <w:t>- 11 -</w:t>
      </w:r>
    </w:p>
    <w:p>
      <w:pPr>
        <w:spacing w:after="0" w:line="251" w:lineRule="exact"/>
        <w:rPr>
          <w:sz w:val="20"/>
          <w:szCs w:val="20"/>
          <w:color w:val="auto"/>
        </w:rPr>
      </w:pPr>
    </w:p>
    <w:p>
      <w:pPr>
        <w:ind w:left="784" w:hanging="387"/>
        <w:spacing w:after="0"/>
        <w:tabs>
          <w:tab w:leader="none" w:pos="784" w:val="left"/>
        </w:tabs>
        <w:numPr>
          <w:ilvl w:val="1"/>
          <w:numId w:val="145"/>
        </w:numPr>
        <w:rPr>
          <w:rFonts w:ascii="Arial" w:cs="Arial" w:eastAsia="Arial" w:hAnsi="Arial"/>
          <w:sz w:val="11"/>
          <w:szCs w:val="11"/>
          <w:color w:val="auto"/>
        </w:rPr>
      </w:pPr>
      <w:r>
        <w:rPr>
          <w:rFonts w:ascii="Arial" w:cs="Arial" w:eastAsia="Arial" w:hAnsi="Arial"/>
          <w:sz w:val="11"/>
          <w:szCs w:val="11"/>
          <w:color w:val="auto"/>
        </w:rPr>
        <w:t>each subsequent Floating Rate Period will begin at the end of the previous one;</w:t>
      </w:r>
    </w:p>
    <w:p>
      <w:pPr>
        <w:ind w:left="484" w:hanging="484"/>
        <w:spacing w:after="0" w:line="222" w:lineRule="auto"/>
        <w:tabs>
          <w:tab w:leader="none" w:pos="484" w:val="left"/>
        </w:tabs>
        <w:numPr>
          <w:ilvl w:val="0"/>
          <w:numId w:val="146"/>
        </w:numPr>
        <w:rPr>
          <w:rFonts w:ascii="Arial" w:cs="Arial" w:eastAsia="Arial" w:hAnsi="Arial"/>
          <w:sz w:val="11"/>
          <w:szCs w:val="11"/>
          <w:color w:val="auto"/>
        </w:rPr>
      </w:pPr>
      <w:r>
        <w:rPr>
          <w:rFonts w:ascii="Arial" w:cs="Arial" w:eastAsia="Arial" w:hAnsi="Arial"/>
          <w:sz w:val="11"/>
          <w:szCs w:val="11"/>
          <w:color w:val="auto"/>
        </w:rPr>
        <w:t>any Floating Rate Period which would otherwise end on a day which is not a Banking Day will be extended to the next Banking Day;</w:t>
      </w:r>
    </w:p>
    <w:p>
      <w:pPr>
        <w:ind w:left="544" w:hanging="544"/>
        <w:spacing w:after="0"/>
        <w:tabs>
          <w:tab w:leader="none" w:pos="544" w:val="left"/>
        </w:tabs>
        <w:numPr>
          <w:ilvl w:val="0"/>
          <w:numId w:val="146"/>
        </w:numPr>
        <w:rPr>
          <w:rFonts w:ascii="Arial" w:cs="Arial" w:eastAsia="Arial" w:hAnsi="Arial"/>
          <w:sz w:val="11"/>
          <w:szCs w:val="11"/>
          <w:color w:val="auto"/>
        </w:rPr>
      </w:pPr>
      <w:r>
        <w:rPr>
          <w:rFonts w:ascii="Arial" w:cs="Arial" w:eastAsia="Arial" w:hAnsi="Arial"/>
          <w:sz w:val="11"/>
          <w:szCs w:val="11"/>
          <w:color w:val="auto"/>
        </w:rPr>
        <w:t>if any Floating Rate Period would otherwise extend beyond the Termination Date it will end on the Termination Date;</w:t>
      </w:r>
    </w:p>
    <w:p>
      <w:pPr>
        <w:spacing w:after="0" w:line="108" w:lineRule="exact"/>
        <w:rPr>
          <w:sz w:val="20"/>
          <w:szCs w:val="20"/>
          <w:color w:val="auto"/>
        </w:rPr>
      </w:pPr>
    </w:p>
    <w:p>
      <w:pPr>
        <w:ind w:left="404"/>
        <w:spacing w:after="0"/>
        <w:rPr>
          <w:sz w:val="20"/>
          <w:szCs w:val="20"/>
          <w:color w:val="auto"/>
        </w:rPr>
      </w:pPr>
      <w:r>
        <w:rPr>
          <w:rFonts w:ascii="Arial" w:cs="Arial" w:eastAsia="Arial" w:hAnsi="Arial"/>
          <w:sz w:val="11"/>
          <w:szCs w:val="11"/>
          <w:u w:val="single" w:color="auto"/>
          <w:color w:val="auto"/>
        </w:rPr>
        <w:t>General Security Agreement</w:t>
      </w:r>
      <w:r>
        <w:rPr>
          <w:rFonts w:ascii="Arial" w:cs="Arial" w:eastAsia="Arial" w:hAnsi="Arial"/>
          <w:sz w:val="11"/>
          <w:szCs w:val="11"/>
          <w:color w:val="auto"/>
        </w:rPr>
        <w:t xml:space="preserve"> means the general security agreement entered into by the Borrower and Westpac NZ and dated on or about the date of this Agreement;</w:t>
      </w:r>
    </w:p>
    <w:p>
      <w:pPr>
        <w:spacing w:after="0" w:line="117" w:lineRule="exact"/>
        <w:rPr>
          <w:sz w:val="20"/>
          <w:szCs w:val="20"/>
          <w:color w:val="auto"/>
        </w:rPr>
      </w:pPr>
    </w:p>
    <w:p>
      <w:pPr>
        <w:ind w:left="404"/>
        <w:spacing w:after="0" w:line="230" w:lineRule="auto"/>
        <w:rPr>
          <w:sz w:val="20"/>
          <w:szCs w:val="20"/>
          <w:color w:val="auto"/>
        </w:rPr>
      </w:pPr>
      <w:r>
        <w:rPr>
          <w:rFonts w:ascii="Arial" w:cs="Arial" w:eastAsia="Arial" w:hAnsi="Arial"/>
          <w:sz w:val="11"/>
          <w:szCs w:val="11"/>
          <w:u w:val="single" w:color="auto"/>
          <w:color w:val="auto"/>
        </w:rPr>
        <w:t>Governmental Agency</w:t>
      </w:r>
      <w:r>
        <w:rPr>
          <w:rFonts w:ascii="Arial" w:cs="Arial" w:eastAsia="Arial" w:hAnsi="Arial"/>
          <w:sz w:val="11"/>
          <w:szCs w:val="11"/>
          <w:color w:val="auto"/>
        </w:rPr>
        <w:t xml:space="preserve"> means any government or any governmental, semi-governmental or judicial entity or authority including any local government, statutory or self-regulatory organisation established, approved or authorised under law, and any stock exchange, in any case having jurisdiction in relation to the affairs of any party to a Bank Document or to whose control or jurisdiction any party to a Bank Document has consented;</w:t>
      </w:r>
    </w:p>
    <w:p>
      <w:pPr>
        <w:spacing w:after="0" w:line="105" w:lineRule="exact"/>
        <w:rPr>
          <w:sz w:val="20"/>
          <w:szCs w:val="20"/>
          <w:color w:val="auto"/>
        </w:rPr>
      </w:pPr>
    </w:p>
    <w:p>
      <w:pPr>
        <w:ind w:left="404"/>
        <w:spacing w:after="0"/>
        <w:rPr>
          <w:sz w:val="20"/>
          <w:szCs w:val="20"/>
          <w:color w:val="auto"/>
        </w:rPr>
      </w:pPr>
      <w:r>
        <w:rPr>
          <w:rFonts w:ascii="Arial" w:cs="Arial" w:eastAsia="Arial" w:hAnsi="Arial"/>
          <w:sz w:val="11"/>
          <w:szCs w:val="11"/>
          <w:u w:val="single" w:color="auto"/>
          <w:color w:val="auto"/>
        </w:rPr>
        <w:t>Group</w:t>
      </w:r>
      <w:r>
        <w:rPr>
          <w:rFonts w:ascii="Arial" w:cs="Arial" w:eastAsia="Arial" w:hAnsi="Arial"/>
          <w:sz w:val="11"/>
          <w:szCs w:val="11"/>
          <w:color w:val="auto"/>
        </w:rPr>
        <w:t xml:space="preserve"> means Reading New Zealand Limited and its subsidiaries;</w:t>
      </w:r>
    </w:p>
    <w:p>
      <w:pPr>
        <w:spacing w:after="0" w:line="108" w:lineRule="exact"/>
        <w:rPr>
          <w:sz w:val="20"/>
          <w:szCs w:val="20"/>
          <w:color w:val="auto"/>
        </w:rPr>
      </w:pPr>
    </w:p>
    <w:p>
      <w:pPr>
        <w:ind w:left="404" w:right="40"/>
        <w:spacing w:after="0" w:line="199" w:lineRule="auto"/>
        <w:rPr>
          <w:sz w:val="20"/>
          <w:szCs w:val="20"/>
          <w:color w:val="auto"/>
        </w:rPr>
      </w:pPr>
      <w:r>
        <w:rPr>
          <w:rFonts w:ascii="Arial" w:cs="Arial" w:eastAsia="Arial" w:hAnsi="Arial"/>
          <w:sz w:val="11"/>
          <w:szCs w:val="11"/>
          <w:u w:val="single" w:color="auto"/>
          <w:color w:val="auto"/>
        </w:rPr>
        <w:t>Guarantee</w:t>
      </w:r>
      <w:r>
        <w:rPr>
          <w:rFonts w:ascii="Arial" w:cs="Arial" w:eastAsia="Arial" w:hAnsi="Arial"/>
          <w:sz w:val="11"/>
          <w:szCs w:val="11"/>
          <w:color w:val="auto"/>
        </w:rPr>
        <w:t xml:space="preserve"> means any guarantee, indemnity, letter of credit, legally binding letter of comfort or suretyship. It includes any obligation or irrevocable offer to be responsible for a debt (as defined below) or for the insolvency or financial condition of another person. It also includes any other obligation or irrevocable offer to pay a debt or to purchase a debt, to provide funds for the payment or discharge of a debt (whether by the advance of money, the purchase of or subscription for shares, stock or other interests issued by another person, the purchase of assets or services, or otherwise), or to indemnify against the consequences of default in the payment of a debt. For the purposes of this definition </w:t>
      </w:r>
      <w:r>
        <w:rPr>
          <w:rFonts w:ascii="Arial" w:cs="Arial" w:eastAsia="Arial" w:hAnsi="Arial"/>
          <w:sz w:val="11"/>
          <w:szCs w:val="11"/>
          <w:i w:val="1"/>
          <w:iCs w:val="1"/>
          <w:color w:val="auto"/>
        </w:rPr>
        <w:t>debt</w:t>
      </w:r>
      <w:r>
        <w:rPr>
          <w:rFonts w:ascii="Arial" w:cs="Arial" w:eastAsia="Arial" w:hAnsi="Arial"/>
          <w:sz w:val="11"/>
          <w:szCs w:val="11"/>
          <w:color w:val="auto"/>
        </w:rPr>
        <w:t xml:space="preserve"> includes any obligation or indebtedness of another person, present or future, actual, prospective or contingent and any capital or premium on shares, stock or other interests issued by another person;</w:t>
      </w:r>
    </w:p>
    <w:p>
      <w:pPr>
        <w:spacing w:after="0" w:line="106" w:lineRule="exact"/>
        <w:rPr>
          <w:sz w:val="20"/>
          <w:szCs w:val="20"/>
          <w:color w:val="auto"/>
        </w:rPr>
      </w:pPr>
    </w:p>
    <w:p>
      <w:pPr>
        <w:ind w:left="404"/>
        <w:spacing w:after="0"/>
        <w:rPr>
          <w:sz w:val="20"/>
          <w:szCs w:val="20"/>
          <w:color w:val="auto"/>
        </w:rPr>
      </w:pPr>
      <w:r>
        <w:rPr>
          <w:rFonts w:ascii="Arial" w:cs="Arial" w:eastAsia="Arial" w:hAnsi="Arial"/>
          <w:sz w:val="11"/>
          <w:szCs w:val="11"/>
          <w:u w:val="single" w:color="auto"/>
          <w:color w:val="auto"/>
        </w:rPr>
        <w:t>Guarantor</w:t>
      </w:r>
      <w:r>
        <w:rPr>
          <w:rFonts w:ascii="Arial" w:cs="Arial" w:eastAsia="Arial" w:hAnsi="Arial"/>
          <w:sz w:val="11"/>
          <w:szCs w:val="11"/>
          <w:color w:val="auto"/>
        </w:rPr>
        <w:t xml:space="preserve"> means any person who creates or enters into a Guarantee in support of any Outstanding Moneys;</w:t>
      </w:r>
    </w:p>
    <w:p>
      <w:pPr>
        <w:spacing w:after="0" w:line="108" w:lineRule="exact"/>
        <w:rPr>
          <w:sz w:val="20"/>
          <w:szCs w:val="20"/>
          <w:color w:val="auto"/>
        </w:rPr>
      </w:pPr>
    </w:p>
    <w:p>
      <w:pPr>
        <w:ind w:left="404" w:right="120"/>
        <w:spacing w:after="0" w:line="234" w:lineRule="auto"/>
        <w:rPr>
          <w:sz w:val="20"/>
          <w:szCs w:val="20"/>
          <w:color w:val="auto"/>
        </w:rPr>
      </w:pPr>
      <w:r>
        <w:rPr>
          <w:rFonts w:ascii="Arial" w:cs="Arial" w:eastAsia="Arial" w:hAnsi="Arial"/>
          <w:sz w:val="11"/>
          <w:szCs w:val="11"/>
          <w:u w:val="single" w:color="auto"/>
          <w:color w:val="auto"/>
        </w:rPr>
        <w:t>Interest Calculation Date</w:t>
      </w:r>
      <w:r>
        <w:rPr>
          <w:rFonts w:ascii="Arial" w:cs="Arial" w:eastAsia="Arial" w:hAnsi="Arial"/>
          <w:sz w:val="11"/>
          <w:szCs w:val="11"/>
          <w:color w:val="auto"/>
        </w:rPr>
        <w:t xml:space="preserve"> means the date falling on the day in each calendar month which numerically corresponds to the Commencement Date provided that where there is no numerically corresponding day in any calendar month then it will be the first day in the next calendar month;</w:t>
      </w:r>
    </w:p>
    <w:p>
      <w:pPr>
        <w:spacing w:after="0" w:line="104" w:lineRule="exact"/>
        <w:rPr>
          <w:sz w:val="20"/>
          <w:szCs w:val="20"/>
          <w:color w:val="auto"/>
        </w:rPr>
      </w:pPr>
    </w:p>
    <w:p>
      <w:pPr>
        <w:ind w:left="404"/>
        <w:spacing w:after="0"/>
        <w:rPr>
          <w:sz w:val="20"/>
          <w:szCs w:val="20"/>
          <w:color w:val="auto"/>
        </w:rPr>
      </w:pPr>
      <w:r>
        <w:rPr>
          <w:rFonts w:ascii="Arial" w:cs="Arial" w:eastAsia="Arial" w:hAnsi="Arial"/>
          <w:sz w:val="11"/>
          <w:szCs w:val="11"/>
          <w:u w:val="single" w:color="auto"/>
          <w:color w:val="auto"/>
        </w:rPr>
        <w:t>Interest Payment Date</w:t>
      </w:r>
      <w:r>
        <w:rPr>
          <w:rFonts w:ascii="Arial" w:cs="Arial" w:eastAsia="Arial" w:hAnsi="Arial"/>
          <w:sz w:val="11"/>
          <w:szCs w:val="11"/>
          <w:color w:val="auto"/>
        </w:rPr>
        <w:t xml:space="preserve"> means, unless Westpac NZ shall determine otherwise, the date falling on the day after each Interest Calculation Date provided that:</w:t>
      </w:r>
    </w:p>
    <w:p>
      <w:pPr>
        <w:ind w:left="444" w:hanging="444"/>
        <w:spacing w:after="0" w:line="222" w:lineRule="auto"/>
        <w:tabs>
          <w:tab w:leader="none" w:pos="444" w:val="left"/>
        </w:tabs>
        <w:numPr>
          <w:ilvl w:val="0"/>
          <w:numId w:val="147"/>
        </w:numPr>
        <w:rPr>
          <w:rFonts w:ascii="Arial" w:cs="Arial" w:eastAsia="Arial" w:hAnsi="Arial"/>
          <w:sz w:val="11"/>
          <w:szCs w:val="11"/>
          <w:color w:val="auto"/>
        </w:rPr>
      </w:pPr>
      <w:r>
        <w:rPr>
          <w:rFonts w:ascii="Arial" w:cs="Arial" w:eastAsia="Arial" w:hAnsi="Arial"/>
          <w:sz w:val="11"/>
          <w:szCs w:val="11"/>
          <w:color w:val="auto"/>
        </w:rPr>
        <w:t>where the Interest Calculation Date would otherwise fall on a non-Banking Day then the Interest Payment Date shall be the Banking Day after the next Banking Day; and</w:t>
      </w:r>
    </w:p>
    <w:p>
      <w:pPr>
        <w:ind w:left="404" w:right="1180" w:hanging="404"/>
        <w:spacing w:after="0" w:line="450" w:lineRule="auto"/>
        <w:tabs>
          <w:tab w:leader="none" w:pos="402" w:val="left"/>
        </w:tabs>
        <w:numPr>
          <w:ilvl w:val="0"/>
          <w:numId w:val="147"/>
        </w:numPr>
        <w:rPr>
          <w:rFonts w:ascii="Arial" w:cs="Arial" w:eastAsia="Arial" w:hAnsi="Arial"/>
          <w:sz w:val="11"/>
          <w:szCs w:val="11"/>
          <w:color w:val="auto"/>
        </w:rPr>
      </w:pPr>
      <w:r>
        <w:rPr>
          <w:rFonts w:ascii="Arial" w:cs="Arial" w:eastAsia="Arial" w:hAnsi="Arial"/>
          <w:sz w:val="11"/>
          <w:szCs w:val="11"/>
          <w:color w:val="auto"/>
        </w:rPr>
        <w:t xml:space="preserve">where the Interest Calculation Date would otherwise fall on a Banking Day which immediately precedes a non- Banking Day then the Interest Payment Date shall be the next Banking Day; </w:t>
      </w:r>
      <w:r>
        <w:rPr>
          <w:rFonts w:ascii="Arial" w:cs="Arial" w:eastAsia="Arial" w:hAnsi="Arial"/>
          <w:sz w:val="11"/>
          <w:szCs w:val="11"/>
          <w:u w:val="single" w:color="auto"/>
          <w:color w:val="auto"/>
        </w:rPr>
        <w:t>Land</w:t>
      </w:r>
      <w:r>
        <w:rPr>
          <w:rFonts w:ascii="Arial" w:cs="Arial" w:eastAsia="Arial" w:hAnsi="Arial"/>
          <w:sz w:val="11"/>
          <w:szCs w:val="11"/>
          <w:color w:val="auto"/>
        </w:rPr>
        <w:t xml:space="preserve"> means any land mortgaged or charged from time to time by any member of the Charging Group to Westpac NZ, together with all buildings and improvements on such land;</w:t>
      </w:r>
    </w:p>
    <w:p>
      <w:pPr>
        <w:spacing w:after="0" w:line="3" w:lineRule="exact"/>
        <w:rPr>
          <w:rFonts w:ascii="Arial" w:cs="Arial" w:eastAsia="Arial" w:hAnsi="Arial"/>
          <w:sz w:val="11"/>
          <w:szCs w:val="11"/>
          <w:color w:val="auto"/>
        </w:rPr>
      </w:pPr>
    </w:p>
    <w:p>
      <w:pPr>
        <w:ind w:left="404" w:right="4560"/>
        <w:spacing w:after="0" w:line="461" w:lineRule="auto"/>
        <w:rPr>
          <w:rFonts w:ascii="Arial" w:cs="Arial" w:eastAsia="Arial" w:hAnsi="Arial"/>
          <w:sz w:val="11"/>
          <w:szCs w:val="11"/>
          <w:color w:val="auto"/>
        </w:rPr>
      </w:pPr>
      <w:r>
        <w:rPr>
          <w:rFonts w:ascii="Arial" w:cs="Arial" w:eastAsia="Arial" w:hAnsi="Arial"/>
          <w:sz w:val="11"/>
          <w:szCs w:val="11"/>
          <w:u w:val="single" w:color="auto"/>
          <w:color w:val="auto"/>
        </w:rPr>
        <w:t>Letter of Offer</w:t>
      </w:r>
      <w:r>
        <w:rPr>
          <w:rFonts w:ascii="Arial" w:cs="Arial" w:eastAsia="Arial" w:hAnsi="Arial"/>
          <w:sz w:val="11"/>
          <w:szCs w:val="11"/>
          <w:color w:val="auto"/>
        </w:rPr>
        <w:t xml:space="preserve"> means the letter of offer dated 13 April 2015 from Westpac NZ to the Borrower in relation to the Loan; </w:t>
      </w:r>
      <w:r>
        <w:rPr>
          <w:rFonts w:ascii="Arial" w:cs="Arial" w:eastAsia="Arial" w:hAnsi="Arial"/>
          <w:sz w:val="11"/>
          <w:szCs w:val="11"/>
          <w:u w:val="single" w:color="auto"/>
          <w:color w:val="auto"/>
        </w:rPr>
        <w:t>Loan</w:t>
      </w:r>
      <w:r>
        <w:rPr>
          <w:rFonts w:ascii="Arial" w:cs="Arial" w:eastAsia="Arial" w:hAnsi="Arial"/>
          <w:sz w:val="11"/>
          <w:szCs w:val="11"/>
          <w:color w:val="auto"/>
        </w:rPr>
        <w:t xml:space="preserve"> means the sum of $50,000,000 (being the aggregate of the First Tranche and the Second Tranche);</w:t>
      </w:r>
    </w:p>
    <w:p>
      <w:pPr>
        <w:ind w:left="404"/>
        <w:spacing w:after="0"/>
        <w:rPr>
          <w:rFonts w:ascii="Arial" w:cs="Arial" w:eastAsia="Arial" w:hAnsi="Arial"/>
          <w:sz w:val="11"/>
          <w:szCs w:val="11"/>
          <w:color w:val="auto"/>
        </w:rPr>
      </w:pPr>
      <w:r>
        <w:rPr>
          <w:rFonts w:ascii="Arial" w:cs="Arial" w:eastAsia="Arial" w:hAnsi="Arial"/>
          <w:sz w:val="11"/>
          <w:szCs w:val="11"/>
          <w:u w:val="single" w:color="auto"/>
          <w:color w:val="auto"/>
        </w:rPr>
        <w:t>Margin</w:t>
      </w:r>
      <w:r>
        <w:rPr>
          <w:rFonts w:ascii="Arial" w:cs="Arial" w:eastAsia="Arial" w:hAnsi="Arial"/>
          <w:sz w:val="11"/>
          <w:szCs w:val="11"/>
          <w:color w:val="auto"/>
        </w:rPr>
        <w:t xml:space="preserve"> means, subject to clause 6.2, 1.75% per annum;</w:t>
      </w:r>
    </w:p>
    <w:p>
      <w:pPr>
        <w:spacing w:after="0" w:line="106" w:lineRule="exact"/>
        <w:rPr>
          <w:rFonts w:ascii="Arial" w:cs="Arial" w:eastAsia="Arial" w:hAnsi="Arial"/>
          <w:sz w:val="11"/>
          <w:szCs w:val="11"/>
          <w:color w:val="auto"/>
        </w:rPr>
      </w:pPr>
    </w:p>
    <w:p>
      <w:pPr>
        <w:ind w:left="404" w:right="20"/>
        <w:spacing w:after="0" w:line="247" w:lineRule="auto"/>
        <w:rPr>
          <w:rFonts w:ascii="Arial" w:cs="Arial" w:eastAsia="Arial" w:hAnsi="Arial"/>
          <w:sz w:val="11"/>
          <w:szCs w:val="11"/>
          <w:color w:val="auto"/>
        </w:rPr>
      </w:pPr>
      <w:r>
        <w:rPr>
          <w:rFonts w:ascii="Arial" w:cs="Arial" w:eastAsia="Arial" w:hAnsi="Arial"/>
          <w:sz w:val="11"/>
          <w:szCs w:val="11"/>
          <w:u w:val="single" w:color="auto"/>
          <w:color w:val="auto"/>
        </w:rPr>
        <w:t>Officer</w:t>
      </w:r>
      <w:r>
        <w:rPr>
          <w:rFonts w:ascii="Arial" w:cs="Arial" w:eastAsia="Arial" w:hAnsi="Arial"/>
          <w:sz w:val="11"/>
          <w:szCs w:val="11"/>
          <w:color w:val="auto"/>
        </w:rPr>
        <w:t xml:space="preserve"> includes each employee of Westpac NZ whose title includes the word </w:t>
      </w:r>
      <w:r>
        <w:rPr>
          <w:rFonts w:ascii="Arial" w:cs="Arial" w:eastAsia="Arial" w:hAnsi="Arial"/>
          <w:sz w:val="11"/>
          <w:szCs w:val="11"/>
          <w:i w:val="1"/>
          <w:iCs w:val="1"/>
          <w:color w:val="auto"/>
        </w:rPr>
        <w:t>Manager</w:t>
      </w:r>
      <w:r>
        <w:rPr>
          <w:rFonts w:ascii="Arial" w:cs="Arial" w:eastAsia="Arial" w:hAnsi="Arial"/>
          <w:sz w:val="11"/>
          <w:szCs w:val="11"/>
          <w:color w:val="auto"/>
        </w:rPr>
        <w:t xml:space="preserve"> or occupying an office whose title includes the word </w:t>
      </w:r>
      <w:r>
        <w:rPr>
          <w:rFonts w:ascii="Arial" w:cs="Arial" w:eastAsia="Arial" w:hAnsi="Arial"/>
          <w:sz w:val="11"/>
          <w:szCs w:val="11"/>
          <w:i w:val="1"/>
          <w:iCs w:val="1"/>
          <w:color w:val="auto"/>
        </w:rPr>
        <w:t>Manager</w:t>
      </w:r>
      <w:r>
        <w:rPr>
          <w:rFonts w:ascii="Arial" w:cs="Arial" w:eastAsia="Arial" w:hAnsi="Arial"/>
          <w:sz w:val="11"/>
          <w:szCs w:val="11"/>
          <w:color w:val="auto"/>
        </w:rPr>
        <w:t xml:space="preserve"> and any person (who need not be an employee) authorised by Westpac NZ;</w:t>
      </w:r>
    </w:p>
    <w:p>
      <w:pPr>
        <w:spacing w:after="0" w:line="100" w:lineRule="exact"/>
        <w:rPr>
          <w:rFonts w:ascii="Arial" w:cs="Arial" w:eastAsia="Arial" w:hAnsi="Arial"/>
          <w:sz w:val="11"/>
          <w:szCs w:val="11"/>
          <w:color w:val="auto"/>
        </w:rPr>
      </w:pPr>
    </w:p>
    <w:p>
      <w:pPr>
        <w:ind w:left="404" w:right="160"/>
        <w:spacing w:after="0" w:line="234" w:lineRule="auto"/>
        <w:rPr>
          <w:rFonts w:ascii="Arial" w:cs="Arial" w:eastAsia="Arial" w:hAnsi="Arial"/>
          <w:sz w:val="11"/>
          <w:szCs w:val="11"/>
          <w:color w:val="auto"/>
        </w:rPr>
      </w:pPr>
      <w:r>
        <w:rPr>
          <w:rFonts w:ascii="Arial" w:cs="Arial" w:eastAsia="Arial" w:hAnsi="Arial"/>
          <w:sz w:val="11"/>
          <w:szCs w:val="11"/>
          <w:u w:val="single" w:color="auto"/>
          <w:color w:val="auto"/>
        </w:rPr>
        <w:t>Outstanding Moneys</w:t>
      </w:r>
      <w:r>
        <w:rPr>
          <w:rFonts w:ascii="Arial" w:cs="Arial" w:eastAsia="Arial" w:hAnsi="Arial"/>
          <w:sz w:val="11"/>
          <w:szCs w:val="11"/>
          <w:color w:val="auto"/>
        </w:rPr>
        <w:t xml:space="preserve"> means, at any time, the Loan outstanding and all other moneys payable, including contingently payable, by the Borrower under this Agreement including accrued interest (including default interest), fees, costs and other expenses whether or not those sums are then due and owing;</w:t>
      </w:r>
    </w:p>
    <w:p>
      <w:pPr>
        <w:spacing w:after="0" w:line="113" w:lineRule="exact"/>
        <w:rPr>
          <w:rFonts w:ascii="Arial" w:cs="Arial" w:eastAsia="Arial" w:hAnsi="Arial"/>
          <w:sz w:val="11"/>
          <w:szCs w:val="11"/>
          <w:color w:val="auto"/>
        </w:rPr>
      </w:pPr>
    </w:p>
    <w:p>
      <w:pPr>
        <w:jc w:val="both"/>
        <w:ind w:left="404" w:right="1300"/>
        <w:spacing w:after="0" w:line="443" w:lineRule="auto"/>
        <w:rPr>
          <w:rFonts w:ascii="Arial" w:cs="Arial" w:eastAsia="Arial" w:hAnsi="Arial"/>
          <w:sz w:val="11"/>
          <w:szCs w:val="11"/>
          <w:color w:val="auto"/>
        </w:rPr>
      </w:pPr>
      <w:r>
        <w:rPr>
          <w:rFonts w:ascii="Arial" w:cs="Arial" w:eastAsia="Arial" w:hAnsi="Arial"/>
          <w:sz w:val="11"/>
          <w:szCs w:val="11"/>
          <w:u w:val="single" w:color="auto"/>
          <w:color w:val="auto"/>
        </w:rPr>
        <w:t>Potential Event of Default</w:t>
      </w:r>
      <w:r>
        <w:rPr>
          <w:rFonts w:ascii="Arial" w:cs="Arial" w:eastAsia="Arial" w:hAnsi="Arial"/>
          <w:sz w:val="11"/>
          <w:szCs w:val="11"/>
          <w:color w:val="auto"/>
        </w:rPr>
        <w:t xml:space="preserve"> means any event which, with the giving of notice, lapse of time or satisfaction of any condition or happening of any event would constitute an Event of Default; </w:t>
      </w:r>
      <w:r>
        <w:rPr>
          <w:rFonts w:ascii="Arial" w:cs="Arial" w:eastAsia="Arial" w:hAnsi="Arial"/>
          <w:sz w:val="11"/>
          <w:szCs w:val="11"/>
          <w:u w:val="single" w:color="auto"/>
          <w:color w:val="auto"/>
        </w:rPr>
        <w:t>Power</w:t>
      </w:r>
      <w:r>
        <w:rPr>
          <w:rFonts w:ascii="Arial" w:cs="Arial" w:eastAsia="Arial" w:hAnsi="Arial"/>
          <w:sz w:val="11"/>
          <w:szCs w:val="11"/>
          <w:color w:val="auto"/>
        </w:rPr>
        <w:t xml:space="preserve"> means a power, right, authority, discretion or remedy which is conferred on Westpac NZ, an Officer or an Attorney by a Bank Document or by law in relation to a Bank Document; </w:t>
      </w:r>
      <w:r>
        <w:rPr>
          <w:rFonts w:ascii="Arial" w:cs="Arial" w:eastAsia="Arial" w:hAnsi="Arial"/>
          <w:sz w:val="11"/>
          <w:szCs w:val="11"/>
          <w:u w:val="single" w:color="auto"/>
          <w:color w:val="auto"/>
        </w:rPr>
        <w:t>Quantity Surveyor</w:t>
      </w:r>
      <w:r>
        <w:rPr>
          <w:rFonts w:ascii="Arial" w:cs="Arial" w:eastAsia="Arial" w:hAnsi="Arial"/>
          <w:sz w:val="11"/>
          <w:szCs w:val="11"/>
          <w:color w:val="auto"/>
        </w:rPr>
        <w:t xml:space="preserve"> means any quantity surveyor approved in writing by Westpac NZ;</w:t>
      </w:r>
    </w:p>
    <w:p>
      <w:pPr>
        <w:spacing w:after="0" w:line="1" w:lineRule="exact"/>
        <w:rPr>
          <w:rFonts w:ascii="Arial" w:cs="Arial" w:eastAsia="Arial" w:hAnsi="Arial"/>
          <w:sz w:val="11"/>
          <w:szCs w:val="11"/>
          <w:color w:val="auto"/>
        </w:rPr>
      </w:pPr>
    </w:p>
    <w:p>
      <w:pPr>
        <w:ind w:left="404" w:right="360"/>
        <w:spacing w:after="0" w:line="470" w:lineRule="auto"/>
        <w:rPr>
          <w:rFonts w:ascii="Arial" w:cs="Arial" w:eastAsia="Arial" w:hAnsi="Arial"/>
          <w:sz w:val="11"/>
          <w:szCs w:val="11"/>
          <w:color w:val="auto"/>
        </w:rPr>
      </w:pPr>
      <w:r>
        <w:rPr>
          <w:rFonts w:ascii="Arial" w:cs="Arial" w:eastAsia="Arial" w:hAnsi="Arial"/>
          <w:sz w:val="11"/>
          <w:szCs w:val="11"/>
          <w:u w:val="single" w:color="auto"/>
          <w:color w:val="auto"/>
        </w:rPr>
        <w:t>Related Company</w:t>
      </w:r>
      <w:r>
        <w:rPr>
          <w:rFonts w:ascii="Arial" w:cs="Arial" w:eastAsia="Arial" w:hAnsi="Arial"/>
          <w:sz w:val="11"/>
          <w:szCs w:val="11"/>
          <w:color w:val="auto"/>
        </w:rPr>
        <w:t xml:space="preserve"> has the meaning given to that term in the Companies Act 1993 but on the basis that </w:t>
      </w:r>
      <w:r>
        <w:rPr>
          <w:rFonts w:ascii="Arial" w:cs="Arial" w:eastAsia="Arial" w:hAnsi="Arial"/>
          <w:sz w:val="11"/>
          <w:szCs w:val="11"/>
          <w:i w:val="1"/>
          <w:iCs w:val="1"/>
          <w:color w:val="auto"/>
        </w:rPr>
        <w:t>Subsidiary</w:t>
      </w:r>
      <w:r>
        <w:rPr>
          <w:rFonts w:ascii="Arial" w:cs="Arial" w:eastAsia="Arial" w:hAnsi="Arial"/>
          <w:sz w:val="11"/>
          <w:szCs w:val="11"/>
          <w:color w:val="auto"/>
        </w:rPr>
        <w:t xml:space="preserve"> has the meaning given to it in this Agreement and that </w:t>
      </w:r>
      <w:r>
        <w:rPr>
          <w:rFonts w:ascii="Arial" w:cs="Arial" w:eastAsia="Arial" w:hAnsi="Arial"/>
          <w:sz w:val="11"/>
          <w:szCs w:val="11"/>
          <w:i w:val="1"/>
          <w:iCs w:val="1"/>
          <w:color w:val="auto"/>
        </w:rPr>
        <w:t>body corporate</w:t>
      </w:r>
      <w:r>
        <w:rPr>
          <w:rFonts w:ascii="Arial" w:cs="Arial" w:eastAsia="Arial" w:hAnsi="Arial"/>
          <w:sz w:val="11"/>
          <w:szCs w:val="11"/>
          <w:color w:val="auto"/>
        </w:rPr>
        <w:t xml:space="preserve"> includes any entity; </w:t>
      </w:r>
      <w:r>
        <w:rPr>
          <w:rFonts w:ascii="Arial" w:cs="Arial" w:eastAsia="Arial" w:hAnsi="Arial"/>
          <w:sz w:val="11"/>
          <w:szCs w:val="11"/>
          <w:u w:val="single" w:color="auto"/>
          <w:color w:val="auto"/>
        </w:rPr>
        <w:t>Second Tranche</w:t>
      </w:r>
      <w:r>
        <w:rPr>
          <w:rFonts w:ascii="Arial" w:cs="Arial" w:eastAsia="Arial" w:hAnsi="Arial"/>
          <w:sz w:val="11"/>
          <w:szCs w:val="11"/>
          <w:color w:val="auto"/>
        </w:rPr>
        <w:t xml:space="preserve"> means $15,000,000;</w:t>
      </w:r>
    </w:p>
    <w:p>
      <w:pPr>
        <w:ind w:left="404" w:right="320"/>
        <w:spacing w:after="0" w:line="234" w:lineRule="auto"/>
        <w:rPr>
          <w:rFonts w:ascii="Arial" w:cs="Arial" w:eastAsia="Arial" w:hAnsi="Arial"/>
          <w:sz w:val="11"/>
          <w:szCs w:val="11"/>
          <w:color w:val="auto"/>
        </w:rPr>
      </w:pPr>
      <w:r>
        <w:rPr>
          <w:rFonts w:ascii="Arial" w:cs="Arial" w:eastAsia="Arial" w:hAnsi="Arial"/>
          <w:sz w:val="11"/>
          <w:szCs w:val="11"/>
          <w:u w:val="single" w:color="auto"/>
          <w:color w:val="auto"/>
        </w:rPr>
        <w:t>Security</w:t>
      </w:r>
      <w:r>
        <w:rPr>
          <w:rFonts w:ascii="Arial" w:cs="Arial" w:eastAsia="Arial" w:hAnsi="Arial"/>
          <w:sz w:val="11"/>
          <w:szCs w:val="11"/>
          <w:color w:val="auto"/>
        </w:rPr>
        <w:t xml:space="preserve"> means the General Security Agreement and any other security or undertaking provided by the Borrower or any of the Guarantors or procured by the Borrower to be provided to, or for the benefit of, Westpac NZ from time to time in respect of the Borrower's obligations under this Agreement;</w:t>
      </w:r>
    </w:p>
    <w:p>
      <w:pPr>
        <w:spacing w:after="0" w:line="104" w:lineRule="exact"/>
        <w:rPr>
          <w:rFonts w:ascii="Arial" w:cs="Arial" w:eastAsia="Arial" w:hAnsi="Arial"/>
          <w:sz w:val="11"/>
          <w:szCs w:val="11"/>
          <w:color w:val="auto"/>
        </w:rPr>
      </w:pPr>
    </w:p>
    <w:p>
      <w:pPr>
        <w:ind w:left="404"/>
        <w:spacing w:after="0"/>
        <w:rPr>
          <w:rFonts w:ascii="Arial" w:cs="Arial" w:eastAsia="Arial" w:hAnsi="Arial"/>
          <w:sz w:val="11"/>
          <w:szCs w:val="11"/>
          <w:color w:val="auto"/>
        </w:rPr>
      </w:pPr>
      <w:r>
        <w:rPr>
          <w:rFonts w:ascii="Arial" w:cs="Arial" w:eastAsia="Arial" w:hAnsi="Arial"/>
          <w:sz w:val="11"/>
          <w:szCs w:val="11"/>
          <w:u w:val="single" w:color="auto"/>
          <w:color w:val="auto"/>
        </w:rPr>
        <w:t>Subsidiary</w:t>
      </w:r>
      <w:r>
        <w:rPr>
          <w:rFonts w:ascii="Arial" w:cs="Arial" w:eastAsia="Arial" w:hAnsi="Arial"/>
          <w:sz w:val="11"/>
          <w:szCs w:val="11"/>
          <w:color w:val="auto"/>
        </w:rPr>
        <w:t xml:space="preserve"> has the meaning given to it in the Financial Reporting Act 1993;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295275</wp:posOffset>
            </wp:positionV>
            <wp:extent cx="6768465"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768465" cy="42545"/>
                    </a:xfrm>
                    <a:prstGeom prst="rect">
                      <a:avLst/>
                    </a:prstGeom>
                    <a:noFill/>
                  </pic:spPr>
                </pic:pic>
              </a:graphicData>
            </a:graphic>
          </wp:anchor>
        </w:drawing>
      </w:r>
    </w:p>
    <w:p>
      <w:pPr>
        <w:sectPr>
          <w:pgSz w:w="11900" w:h="16838" w:orient="portrait"/>
          <w:cols w:equalWidth="0" w:num="1">
            <w:col w:w="10504"/>
          </w:cols>
          <w:pgMar w:left="656" w:top="122" w:right="739" w:bottom="1440" w:gutter="0" w:footer="0" w:header="0"/>
        </w:sectPr>
      </w:pPr>
    </w:p>
    <w:bookmarkStart w:id="169" w:name="page170"/>
    <w:bookmarkEnd w:id="169"/>
    <w:p>
      <w:pPr>
        <w:ind w:left="404"/>
        <w:spacing w:after="0" w:line="234" w:lineRule="auto"/>
        <w:rPr>
          <w:sz w:val="20"/>
          <w:szCs w:val="20"/>
          <w:color w:val="auto"/>
        </w:rPr>
      </w:pPr>
      <w:r>
        <w:rPr>
          <w:rFonts w:ascii="Arial" w:cs="Arial" w:eastAsia="Arial" w:hAnsi="Arial"/>
          <w:sz w:val="11"/>
          <w:szCs w:val="11"/>
          <w:u w:val="single" w:color="auto"/>
          <w:color w:val="auto"/>
        </w:rPr>
        <w:t>Tax</w:t>
      </w:r>
      <w:r>
        <w:rPr>
          <w:rFonts w:ascii="Arial" w:cs="Arial" w:eastAsia="Arial" w:hAnsi="Arial"/>
          <w:sz w:val="11"/>
          <w:szCs w:val="11"/>
          <w:color w:val="auto"/>
        </w:rPr>
        <w:t xml:space="preserve"> includes any tax, levy, impost, deduction, charge, rate, duty or withholding which is levied or imposed by a Governmental Agency and is required by law to be paid and any related interest, penalty, charge, fee or other amount;</w:t>
      </w:r>
    </w:p>
    <w:p>
      <w:pPr>
        <w:spacing w:after="0" w:line="105" w:lineRule="exact"/>
        <w:rPr>
          <w:sz w:val="20"/>
          <w:szCs w:val="20"/>
          <w:color w:val="auto"/>
        </w:rPr>
      </w:pPr>
    </w:p>
    <w:p>
      <w:pPr>
        <w:ind w:left="404"/>
        <w:spacing w:after="0"/>
        <w:rPr>
          <w:sz w:val="20"/>
          <w:szCs w:val="20"/>
          <w:color w:val="auto"/>
        </w:rPr>
      </w:pPr>
      <w:r>
        <w:rPr>
          <w:rFonts w:ascii="Arial" w:cs="Arial" w:eastAsia="Arial" w:hAnsi="Arial"/>
          <w:sz w:val="11"/>
          <w:szCs w:val="11"/>
          <w:u w:val="single" w:color="auto"/>
          <w:color w:val="auto"/>
        </w:rPr>
        <w:t>Termination Date</w:t>
      </w:r>
      <w:r>
        <w:rPr>
          <w:rFonts w:ascii="Arial" w:cs="Arial" w:eastAsia="Arial" w:hAnsi="Arial"/>
          <w:sz w:val="11"/>
          <w:szCs w:val="11"/>
          <w:color w:val="auto"/>
        </w:rPr>
        <w:t xml:space="preserve"> means 31 March 2018.</w:t>
      </w:r>
    </w:p>
    <w:p>
      <w:pPr>
        <w:spacing w:after="0" w:line="105" w:lineRule="exact"/>
        <w:rPr>
          <w:sz w:val="20"/>
          <w:szCs w:val="20"/>
          <w:color w:val="auto"/>
        </w:rPr>
      </w:pPr>
    </w:p>
    <w:p>
      <w:pPr>
        <w:ind w:left="4"/>
        <w:spacing w:after="0"/>
        <w:tabs>
          <w:tab w:leader="none" w:pos="3723" w:val="left"/>
        </w:tabs>
        <w:rPr>
          <w:sz w:val="20"/>
          <w:szCs w:val="20"/>
          <w:color w:val="auto"/>
        </w:rPr>
      </w:pPr>
      <w:r>
        <w:rPr>
          <w:rFonts w:ascii="Arial" w:cs="Arial" w:eastAsia="Arial" w:hAnsi="Arial"/>
          <w:sz w:val="11"/>
          <w:szCs w:val="11"/>
          <w:b w:val="1"/>
          <w:bCs w:val="1"/>
          <w:color w:val="auto"/>
        </w:rPr>
        <w:t>19.2</w:t>
      </w:r>
      <w:r>
        <w:rPr>
          <w:sz w:val="20"/>
          <w:szCs w:val="20"/>
          <w:color w:val="auto"/>
        </w:rPr>
        <w:tab/>
      </w:r>
      <w:r>
        <w:rPr>
          <w:rFonts w:ascii="Arial" w:cs="Arial" w:eastAsia="Arial" w:hAnsi="Arial"/>
          <w:sz w:val="10"/>
          <w:szCs w:val="10"/>
          <w:b w:val="1"/>
          <w:bCs w:val="1"/>
          <w:color w:val="auto"/>
        </w:rPr>
        <w:t>General</w:t>
      </w:r>
    </w:p>
    <w:p>
      <w:pPr>
        <w:spacing w:after="0" w:line="2" w:lineRule="exact"/>
        <w:rPr>
          <w:sz w:val="20"/>
          <w:szCs w:val="20"/>
          <w:color w:val="auto"/>
        </w:rPr>
      </w:pPr>
    </w:p>
    <w:p>
      <w:pPr>
        <w:ind w:left="404"/>
        <w:spacing w:after="0"/>
        <w:tabs>
          <w:tab w:leader="none" w:pos="2163" w:val="left"/>
          <w:tab w:leader="none" w:pos="3803" w:val="left"/>
        </w:tabs>
        <w:rPr>
          <w:sz w:val="20"/>
          <w:szCs w:val="20"/>
          <w:color w:val="auto"/>
        </w:rPr>
      </w:pPr>
      <w:r>
        <w:rPr>
          <w:rFonts w:ascii="Arial" w:cs="Arial" w:eastAsia="Arial" w:hAnsi="Arial"/>
          <w:sz w:val="11"/>
          <w:szCs w:val="11"/>
          <w:color w:val="auto"/>
        </w:rPr>
        <w:t>Headings are for convenience only.</w:t>
        <w:tab/>
        <w:t>They do not affect interpretation.</w:t>
      </w:r>
      <w:r>
        <w:rPr>
          <w:sz w:val="20"/>
          <w:szCs w:val="20"/>
          <w:color w:val="auto"/>
        </w:rPr>
        <w:tab/>
      </w:r>
      <w:r>
        <w:rPr>
          <w:rFonts w:ascii="Arial" w:cs="Arial" w:eastAsia="Arial" w:hAnsi="Arial"/>
          <w:sz w:val="10"/>
          <w:szCs w:val="10"/>
          <w:color w:val="auto"/>
        </w:rPr>
        <w:t>The following rules apply unless the context requires otherwise:</w:t>
      </w:r>
    </w:p>
    <w:p>
      <w:pPr>
        <w:ind w:left="584" w:hanging="584"/>
        <w:spacing w:after="0" w:line="222" w:lineRule="auto"/>
        <w:tabs>
          <w:tab w:leader="none" w:pos="584" w:val="left"/>
        </w:tabs>
        <w:numPr>
          <w:ilvl w:val="0"/>
          <w:numId w:val="148"/>
        </w:numPr>
        <w:rPr>
          <w:rFonts w:ascii="Arial" w:cs="Arial" w:eastAsia="Arial" w:hAnsi="Arial"/>
          <w:sz w:val="11"/>
          <w:szCs w:val="11"/>
          <w:color w:val="auto"/>
        </w:rPr>
      </w:pPr>
      <w:r>
        <w:rPr>
          <w:rFonts w:ascii="Arial" w:cs="Arial" w:eastAsia="Arial" w:hAnsi="Arial"/>
          <w:sz w:val="11"/>
          <w:szCs w:val="11"/>
          <w:color w:val="auto"/>
        </w:rPr>
        <w:t>Singular includes the plural and the converse;</w:t>
      </w:r>
    </w:p>
    <w:p>
      <w:pPr>
        <w:ind w:left="1164" w:hanging="767"/>
        <w:spacing w:after="0" w:line="222" w:lineRule="auto"/>
        <w:tabs>
          <w:tab w:leader="none" w:pos="1164" w:val="left"/>
        </w:tabs>
        <w:numPr>
          <w:ilvl w:val="1"/>
          <w:numId w:val="148"/>
        </w:numPr>
        <w:rPr>
          <w:rFonts w:ascii="Arial" w:cs="Arial" w:eastAsia="Arial" w:hAnsi="Arial"/>
          <w:sz w:val="11"/>
          <w:szCs w:val="11"/>
          <w:color w:val="auto"/>
        </w:rPr>
      </w:pPr>
      <w:r>
        <w:rPr>
          <w:rFonts w:ascii="Arial" w:cs="Arial" w:eastAsia="Arial" w:hAnsi="Arial"/>
          <w:sz w:val="11"/>
          <w:szCs w:val="11"/>
          <w:color w:val="auto"/>
        </w:rPr>
        <w:t>A gender includes all genders;</w:t>
      </w:r>
    </w:p>
    <w:p>
      <w:pPr>
        <w:ind w:left="724" w:hanging="327"/>
        <w:spacing w:after="0" w:line="222" w:lineRule="auto"/>
        <w:tabs>
          <w:tab w:leader="none" w:pos="724" w:val="left"/>
        </w:tabs>
        <w:numPr>
          <w:ilvl w:val="1"/>
          <w:numId w:val="148"/>
        </w:numPr>
        <w:rPr>
          <w:rFonts w:ascii="Arial" w:cs="Arial" w:eastAsia="Arial" w:hAnsi="Arial"/>
          <w:sz w:val="11"/>
          <w:szCs w:val="11"/>
          <w:color w:val="auto"/>
        </w:rPr>
      </w:pPr>
      <w:r>
        <w:rPr>
          <w:rFonts w:ascii="Arial" w:cs="Arial" w:eastAsia="Arial" w:hAnsi="Arial"/>
          <w:sz w:val="11"/>
          <w:szCs w:val="11"/>
          <w:color w:val="auto"/>
        </w:rPr>
        <w:t>Where a word or phrase is defined, its other grammatical forms have a corresponding meaning;</w:t>
      </w:r>
    </w:p>
    <w:p>
      <w:pPr>
        <w:ind w:left="744" w:hanging="347"/>
        <w:spacing w:after="0" w:line="222" w:lineRule="auto"/>
        <w:tabs>
          <w:tab w:leader="none" w:pos="744" w:val="left"/>
        </w:tabs>
        <w:numPr>
          <w:ilvl w:val="1"/>
          <w:numId w:val="148"/>
        </w:numPr>
        <w:rPr>
          <w:rFonts w:ascii="Arial" w:cs="Arial" w:eastAsia="Arial" w:hAnsi="Arial"/>
          <w:sz w:val="11"/>
          <w:szCs w:val="11"/>
          <w:color w:val="auto"/>
        </w:rPr>
      </w:pPr>
      <w:r>
        <w:rPr>
          <w:rFonts w:ascii="Arial" w:cs="Arial" w:eastAsia="Arial" w:hAnsi="Arial"/>
          <w:sz w:val="11"/>
          <w:szCs w:val="11"/>
          <w:color w:val="auto"/>
        </w:rPr>
        <w:t>Reference to a clause or schedule is a reference to a clause of, or a schedule to, this Agreement;</w:t>
      </w:r>
    </w:p>
    <w:p>
      <w:pPr>
        <w:ind w:left="884" w:hanging="487"/>
        <w:spacing w:after="0" w:line="222" w:lineRule="auto"/>
        <w:tabs>
          <w:tab w:leader="none" w:pos="884" w:val="left"/>
        </w:tabs>
        <w:numPr>
          <w:ilvl w:val="1"/>
          <w:numId w:val="148"/>
        </w:numPr>
        <w:rPr>
          <w:rFonts w:ascii="Arial" w:cs="Arial" w:eastAsia="Arial" w:hAnsi="Arial"/>
          <w:sz w:val="11"/>
          <w:szCs w:val="11"/>
          <w:color w:val="auto"/>
        </w:rPr>
      </w:pPr>
      <w:r>
        <w:rPr>
          <w:rFonts w:ascii="Arial" w:cs="Arial" w:eastAsia="Arial" w:hAnsi="Arial"/>
          <w:sz w:val="11"/>
          <w:szCs w:val="11"/>
          <w:color w:val="auto"/>
        </w:rPr>
        <w:t>An example does not limit what else might be included;</w:t>
      </w:r>
    </w:p>
    <w:p>
      <w:pPr>
        <w:ind w:left="424" w:hanging="424"/>
        <w:spacing w:after="0" w:line="222" w:lineRule="auto"/>
        <w:tabs>
          <w:tab w:leader="none" w:pos="424" w:val="left"/>
        </w:tabs>
        <w:numPr>
          <w:ilvl w:val="0"/>
          <w:numId w:val="149"/>
        </w:numPr>
        <w:rPr>
          <w:rFonts w:ascii="Arial" w:cs="Arial" w:eastAsia="Arial" w:hAnsi="Arial"/>
          <w:sz w:val="11"/>
          <w:szCs w:val="11"/>
          <w:color w:val="auto"/>
        </w:rPr>
      </w:pPr>
      <w:r>
        <w:rPr>
          <w:rFonts w:ascii="Arial" w:cs="Arial" w:eastAsia="Arial" w:hAnsi="Arial"/>
          <w:sz w:val="11"/>
          <w:szCs w:val="11"/>
          <w:color w:val="auto"/>
        </w:rPr>
        <w:t>Reference to a party to this Agreement or another agreement or document includes the party's successors and permitted substitutes or assigns;</w:t>
      </w:r>
    </w:p>
    <w:p>
      <w:pPr>
        <w:ind w:left="384" w:hanging="384"/>
        <w:spacing w:after="0" w:line="222" w:lineRule="auto"/>
        <w:tabs>
          <w:tab w:leader="none" w:pos="384" w:val="left"/>
        </w:tabs>
        <w:numPr>
          <w:ilvl w:val="0"/>
          <w:numId w:val="149"/>
        </w:numPr>
        <w:rPr>
          <w:rFonts w:ascii="Arial" w:cs="Arial" w:eastAsia="Arial" w:hAnsi="Arial"/>
          <w:sz w:val="11"/>
          <w:szCs w:val="11"/>
          <w:color w:val="auto"/>
        </w:rPr>
      </w:pPr>
      <w:r>
        <w:rPr>
          <w:rFonts w:ascii="Arial" w:cs="Arial" w:eastAsia="Arial" w:hAnsi="Arial"/>
          <w:sz w:val="11"/>
          <w:szCs w:val="11"/>
          <w:color w:val="auto"/>
        </w:rPr>
        <w:t>Reference to an agreement or document is to the agreement or document as amended, novated, supplemented or replaced from time to time, except to the extent prohibited by this Agreement;</w:t>
      </w:r>
    </w:p>
    <w:p>
      <w:pPr>
        <w:ind w:left="384" w:hanging="384"/>
        <w:spacing w:after="0" w:line="222" w:lineRule="auto"/>
        <w:tabs>
          <w:tab w:leader="none" w:pos="384" w:val="left"/>
        </w:tabs>
        <w:numPr>
          <w:ilvl w:val="0"/>
          <w:numId w:val="149"/>
        </w:numPr>
        <w:rPr>
          <w:rFonts w:ascii="Arial" w:cs="Arial" w:eastAsia="Arial" w:hAnsi="Arial"/>
          <w:sz w:val="11"/>
          <w:szCs w:val="11"/>
          <w:color w:val="auto"/>
        </w:rPr>
      </w:pPr>
      <w:r>
        <w:rPr>
          <w:rFonts w:ascii="Arial" w:cs="Arial" w:eastAsia="Arial" w:hAnsi="Arial"/>
          <w:sz w:val="11"/>
          <w:szCs w:val="11"/>
          <w:color w:val="auto"/>
        </w:rPr>
        <w:t>Reference to legislation or to a provision of legislation includes a modification or re-enactment of it, a legislative provision substituted for it and a regulation or statutory instrument issued under it;</w:t>
      </w:r>
    </w:p>
    <w:p>
      <w:pPr>
        <w:ind w:left="324" w:hanging="324"/>
        <w:spacing w:after="0"/>
        <w:tabs>
          <w:tab w:leader="none" w:pos="324" w:val="left"/>
        </w:tabs>
        <w:numPr>
          <w:ilvl w:val="0"/>
          <w:numId w:val="149"/>
        </w:numPr>
        <w:rPr>
          <w:rFonts w:ascii="Arial" w:cs="Arial" w:eastAsia="Arial" w:hAnsi="Arial"/>
          <w:sz w:val="10"/>
          <w:szCs w:val="10"/>
          <w:color w:val="auto"/>
        </w:rPr>
      </w:pPr>
      <w:r>
        <w:rPr>
          <w:rFonts w:ascii="Arial" w:cs="Arial" w:eastAsia="Arial" w:hAnsi="Arial"/>
          <w:sz w:val="10"/>
          <w:szCs w:val="10"/>
          <w:color w:val="auto"/>
        </w:rPr>
        <w:t>Reference to an asset includes any real or personal, present or future, tangible or intangible property, right or asset and any right, interest, revenue or benefit in, under or derived from any property right or asset;</w:t>
      </w:r>
    </w:p>
    <w:p>
      <w:pPr>
        <w:spacing w:after="0" w:line="2" w:lineRule="exact"/>
        <w:rPr>
          <w:rFonts w:ascii="Arial" w:cs="Arial" w:eastAsia="Arial" w:hAnsi="Arial"/>
          <w:sz w:val="10"/>
          <w:szCs w:val="10"/>
          <w:color w:val="auto"/>
        </w:rPr>
      </w:pPr>
    </w:p>
    <w:p>
      <w:pPr>
        <w:ind w:left="684" w:hanging="287"/>
        <w:spacing w:after="0" w:line="222" w:lineRule="auto"/>
        <w:tabs>
          <w:tab w:leader="none" w:pos="684" w:val="left"/>
        </w:tabs>
        <w:numPr>
          <w:ilvl w:val="1"/>
          <w:numId w:val="149"/>
        </w:numPr>
        <w:rPr>
          <w:rFonts w:ascii="Arial" w:cs="Arial" w:eastAsia="Arial" w:hAnsi="Arial"/>
          <w:sz w:val="11"/>
          <w:szCs w:val="11"/>
          <w:color w:val="auto"/>
        </w:rPr>
      </w:pPr>
      <w:r>
        <w:rPr>
          <w:rFonts w:ascii="Arial" w:cs="Arial" w:eastAsia="Arial" w:hAnsi="Arial"/>
          <w:sz w:val="11"/>
          <w:szCs w:val="11"/>
          <w:color w:val="auto"/>
        </w:rPr>
        <w:t>An Event of Default is continuing until it has been waived in writing by Westpac NZ;</w:t>
      </w:r>
    </w:p>
    <w:p>
      <w:pPr>
        <w:ind w:left="524" w:hanging="524"/>
        <w:spacing w:after="0" w:line="222" w:lineRule="auto"/>
        <w:tabs>
          <w:tab w:leader="none" w:pos="524" w:val="left"/>
        </w:tabs>
        <w:numPr>
          <w:ilvl w:val="0"/>
          <w:numId w:val="150"/>
        </w:numPr>
        <w:rPr>
          <w:rFonts w:ascii="Arial" w:cs="Arial" w:eastAsia="Arial" w:hAnsi="Arial"/>
          <w:sz w:val="11"/>
          <w:szCs w:val="11"/>
          <w:color w:val="auto"/>
        </w:rPr>
      </w:pPr>
      <w:r>
        <w:rPr>
          <w:rFonts w:ascii="Arial" w:cs="Arial" w:eastAsia="Arial" w:hAnsi="Arial"/>
          <w:sz w:val="11"/>
          <w:szCs w:val="11"/>
          <w:color w:val="auto"/>
        </w:rPr>
        <w:t>Reference to cleared funds means funds which are freely transferable and immediately available for disbursement;</w:t>
      </w:r>
    </w:p>
    <w:p>
      <w:pPr>
        <w:ind w:left="324" w:right="320" w:hanging="324"/>
        <w:spacing w:after="0" w:line="222" w:lineRule="auto"/>
        <w:tabs>
          <w:tab w:leader="none" w:pos="324" w:val="left"/>
        </w:tabs>
        <w:numPr>
          <w:ilvl w:val="0"/>
          <w:numId w:val="150"/>
        </w:numPr>
        <w:rPr>
          <w:rFonts w:ascii="Arial" w:cs="Arial" w:eastAsia="Arial" w:hAnsi="Arial"/>
          <w:sz w:val="11"/>
          <w:szCs w:val="11"/>
          <w:color w:val="auto"/>
        </w:rPr>
      </w:pPr>
      <w:r>
        <w:rPr>
          <w:rFonts w:ascii="Arial" w:cs="Arial" w:eastAsia="Arial" w:hAnsi="Arial"/>
          <w:sz w:val="11"/>
          <w:szCs w:val="11"/>
          <w:color w:val="auto"/>
        </w:rPr>
        <w:t>Reference to a law includes present or future common or customary law and any statute, statutory instrument, subordinate legislation, regulation, by-law, order or other legislative measure or any judgment or judicial or administrative order or determination or decision, in any jurisdiction;</w:t>
      </w:r>
    </w:p>
    <w:p>
      <w:pPr>
        <w:ind w:left="404" w:right="300" w:hanging="404"/>
        <w:spacing w:after="0" w:line="222" w:lineRule="auto"/>
        <w:tabs>
          <w:tab w:leader="none" w:pos="404" w:val="left"/>
        </w:tabs>
        <w:numPr>
          <w:ilvl w:val="0"/>
          <w:numId w:val="150"/>
        </w:numPr>
        <w:rPr>
          <w:rFonts w:ascii="Arial" w:cs="Arial" w:eastAsia="Arial" w:hAnsi="Arial"/>
          <w:sz w:val="11"/>
          <w:szCs w:val="11"/>
          <w:color w:val="auto"/>
        </w:rPr>
      </w:pPr>
      <w:r>
        <w:rPr>
          <w:rFonts w:ascii="Arial" w:cs="Arial" w:eastAsia="Arial" w:hAnsi="Arial"/>
          <w:sz w:val="11"/>
          <w:szCs w:val="11"/>
          <w:color w:val="auto"/>
        </w:rPr>
        <w:t>Reference to a person includes a natural person, company, corporation, trust, partnership, firm, joint venture or Governmental Agency, in each case whether or not having separate legal personality, and any association of entities;</w:t>
      </w:r>
    </w:p>
    <w:p>
      <w:pPr>
        <w:ind w:left="364" w:right="40" w:hanging="364"/>
        <w:spacing w:after="0" w:line="222" w:lineRule="auto"/>
        <w:tabs>
          <w:tab w:leader="none" w:pos="364" w:val="left"/>
        </w:tabs>
        <w:numPr>
          <w:ilvl w:val="0"/>
          <w:numId w:val="150"/>
        </w:numPr>
        <w:rPr>
          <w:rFonts w:ascii="Arial" w:cs="Arial" w:eastAsia="Arial" w:hAnsi="Arial"/>
          <w:sz w:val="11"/>
          <w:szCs w:val="11"/>
          <w:color w:val="auto"/>
        </w:rPr>
      </w:pPr>
      <w:r>
        <w:rPr>
          <w:rFonts w:ascii="Arial" w:cs="Arial" w:eastAsia="Arial" w:hAnsi="Arial"/>
          <w:sz w:val="11"/>
          <w:szCs w:val="11"/>
          <w:color w:val="auto"/>
        </w:rPr>
        <w:t>Reference to a security interest includes a mortgage, charge (fixed or floating or otherwise), encumbrance, lien, pledge, trust, financial lease, sale and lease back, sale and repurchase, title retention (other than in respect of goods purchased in the ordinary course of trading), charge or similar interest imposed by law, and a preferential arrangement of any kind, the practical effect of which is to secure a creditor;</w:t>
      </w:r>
    </w:p>
    <w:p>
      <w:pPr>
        <w:ind w:left="364" w:hanging="364"/>
        <w:spacing w:after="0"/>
        <w:tabs>
          <w:tab w:leader="none" w:pos="364" w:val="left"/>
        </w:tabs>
        <w:numPr>
          <w:ilvl w:val="0"/>
          <w:numId w:val="150"/>
        </w:numPr>
        <w:rPr>
          <w:rFonts w:ascii="Arial" w:cs="Arial" w:eastAsia="Arial" w:hAnsi="Arial"/>
          <w:sz w:val="10"/>
          <w:szCs w:val="10"/>
          <w:color w:val="auto"/>
        </w:rPr>
      </w:pPr>
      <w:r>
        <w:rPr>
          <w:rFonts w:ascii="Arial" w:cs="Arial" w:eastAsia="Arial" w:hAnsi="Arial"/>
          <w:sz w:val="10"/>
          <w:szCs w:val="10"/>
          <w:color w:val="auto"/>
        </w:rPr>
        <w:t>Reference to Tax on overall net income of Westpac NZ means tax imposed by the jurisdiction in which Westpac NZ's lending branch is located on all or part of its net income, profits or gains(whether worldwide, or</w:t>
      </w:r>
    </w:p>
    <w:p>
      <w:pPr>
        <w:ind w:left="364"/>
        <w:spacing w:after="0" w:line="226" w:lineRule="auto"/>
        <w:rPr>
          <w:sz w:val="20"/>
          <w:szCs w:val="20"/>
          <w:color w:val="auto"/>
        </w:rPr>
      </w:pPr>
      <w:r>
        <w:rPr>
          <w:rFonts w:ascii="Arial" w:cs="Arial" w:eastAsia="Arial" w:hAnsi="Arial"/>
          <w:sz w:val="11"/>
          <w:szCs w:val="11"/>
          <w:color w:val="auto"/>
        </w:rPr>
        <w:t>only insofar as such net income, profits or gains are considered to arise in or relate to a particular jurisdiction, or otherwise);</w:t>
      </w:r>
    </w:p>
    <w:p>
      <w:pPr>
        <w:ind w:left="744" w:right="4600" w:hanging="347"/>
        <w:spacing w:after="0" w:line="222" w:lineRule="auto"/>
        <w:tabs>
          <w:tab w:leader="none" w:pos="708" w:val="left"/>
        </w:tabs>
        <w:numPr>
          <w:ilvl w:val="1"/>
          <w:numId w:val="151"/>
        </w:numPr>
        <w:rPr>
          <w:rFonts w:ascii="Arial" w:cs="Arial" w:eastAsia="Arial" w:hAnsi="Arial"/>
          <w:sz w:val="11"/>
          <w:szCs w:val="11"/>
          <w:color w:val="auto"/>
        </w:rPr>
      </w:pPr>
      <w:r>
        <w:rPr>
          <w:rFonts w:ascii="Arial" w:cs="Arial" w:eastAsia="Arial" w:hAnsi="Arial"/>
          <w:sz w:val="11"/>
          <w:szCs w:val="11"/>
          <w:color w:val="auto"/>
        </w:rPr>
        <w:t xml:space="preserve">Reference to </w:t>
      </w:r>
      <w:r>
        <w:rPr>
          <w:rFonts w:ascii="Arial" w:cs="Arial" w:eastAsia="Arial" w:hAnsi="Arial"/>
          <w:sz w:val="11"/>
          <w:szCs w:val="11"/>
          <w:i w:val="1"/>
          <w:iCs w:val="1"/>
          <w:color w:val="auto"/>
        </w:rPr>
        <w:t>writing</w:t>
      </w:r>
      <w:r>
        <w:rPr>
          <w:rFonts w:ascii="Arial" w:cs="Arial" w:eastAsia="Arial" w:hAnsi="Arial"/>
          <w:sz w:val="11"/>
          <w:szCs w:val="11"/>
          <w:color w:val="auto"/>
        </w:rPr>
        <w:t xml:space="preserve"> includes a facsimile transmission and any means of reproducing words in a tangible and permanently visible form;</w:t>
      </w:r>
    </w:p>
    <w:p>
      <w:pPr>
        <w:ind w:left="364" w:hanging="364"/>
        <w:spacing w:after="0" w:line="234" w:lineRule="auto"/>
        <w:tabs>
          <w:tab w:leader="none" w:pos="364" w:val="left"/>
        </w:tabs>
        <w:numPr>
          <w:ilvl w:val="0"/>
          <w:numId w:val="152"/>
        </w:numPr>
        <w:rPr>
          <w:rFonts w:ascii="Arial" w:cs="Arial" w:eastAsia="Arial" w:hAnsi="Arial"/>
          <w:sz w:val="11"/>
          <w:szCs w:val="11"/>
          <w:color w:val="auto"/>
        </w:rPr>
      </w:pPr>
      <w:r>
        <w:rPr>
          <w:rFonts w:ascii="Arial" w:cs="Arial" w:eastAsia="Arial" w:hAnsi="Arial"/>
          <w:sz w:val="11"/>
          <w:szCs w:val="11"/>
          <w:color w:val="auto"/>
        </w:rPr>
        <w:t>References to the Guarantor are references to each of them severally as well as to any two or more of them jointly, and the obligations and agreements on their part in this Agreement will bind every two or more of them jointly and each of them severally.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327660</wp:posOffset>
            </wp:positionV>
            <wp:extent cx="6768465"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768465" cy="42545"/>
                    </a:xfrm>
                    <a:prstGeom prst="rect">
                      <a:avLst/>
                    </a:prstGeom>
                    <a:noFill/>
                  </pic:spPr>
                </pic:pic>
              </a:graphicData>
            </a:graphic>
          </wp:anchor>
        </w:drawing>
      </w:r>
    </w:p>
    <w:p>
      <w:pPr>
        <w:sectPr>
          <w:pgSz w:w="11900" w:h="16838" w:orient="portrait"/>
          <w:cols w:equalWidth="0" w:num="1">
            <w:col w:w="10504"/>
          </w:cols>
          <w:pgMar w:left="656" w:top="528" w:right="739" w:bottom="1440" w:gutter="0" w:footer="0" w:header="0"/>
        </w:sectPr>
      </w:pPr>
    </w:p>
    <w:bookmarkStart w:id="170" w:name="page171"/>
    <w:bookmarkEnd w:id="170"/>
    <w:p>
      <w:pPr>
        <w:spacing w:after="0"/>
        <w:rPr>
          <w:sz w:val="20"/>
          <w:szCs w:val="20"/>
          <w:color w:val="auto"/>
        </w:rPr>
      </w:pPr>
      <w:r>
        <w:rPr>
          <w:rFonts w:ascii="Arial" w:cs="Arial" w:eastAsia="Arial" w:hAnsi="Arial"/>
          <w:sz w:val="12"/>
          <w:szCs w:val="12"/>
          <w:b w:val="1"/>
          <w:bCs w:val="1"/>
          <w:color w:val="auto"/>
        </w:rPr>
        <w:t>EXHIBIT 10.11</w:t>
      </w:r>
    </w:p>
    <w:p>
      <w:pPr>
        <w:spacing w:after="0" w:line="107" w:lineRule="exact"/>
        <w:rPr>
          <w:sz w:val="20"/>
          <w:szCs w:val="20"/>
          <w:color w:val="auto"/>
        </w:rPr>
      </w:pPr>
    </w:p>
    <w:p>
      <w:pPr>
        <w:ind w:left="2340"/>
        <w:spacing w:after="0"/>
        <w:rPr>
          <w:sz w:val="20"/>
          <w:szCs w:val="20"/>
          <w:color w:val="auto"/>
        </w:rPr>
      </w:pPr>
      <w:r>
        <w:rPr>
          <w:rFonts w:ascii="Arial" w:cs="Arial" w:eastAsia="Arial" w:hAnsi="Arial"/>
          <w:sz w:val="16"/>
          <w:szCs w:val="16"/>
          <w:b w:val="1"/>
          <w:bCs w:val="1"/>
          <w:color w:val="464646"/>
        </w:rPr>
        <w:t xml:space="preserve">Loan </w:t>
      </w:r>
      <w:r>
        <w:rPr>
          <w:rFonts w:ascii="Arial" w:cs="Arial" w:eastAsia="Arial" w:hAnsi="Arial"/>
          <w:sz w:val="16"/>
          <w:szCs w:val="16"/>
          <w:color w:val="464646"/>
        </w:rPr>
        <w:t>Agreement</w:t>
      </w:r>
    </w:p>
    <w:p>
      <w:pPr>
        <w:spacing w:after="0" w:line="200" w:lineRule="exact"/>
        <w:rPr>
          <w:sz w:val="20"/>
          <w:szCs w:val="20"/>
          <w:color w:val="auto"/>
        </w:rPr>
      </w:pPr>
    </w:p>
    <w:p>
      <w:pPr>
        <w:spacing w:after="0" w:line="301" w:lineRule="exact"/>
        <w:rPr>
          <w:sz w:val="20"/>
          <w:szCs w:val="20"/>
          <w:color w:val="auto"/>
        </w:rPr>
      </w:pPr>
    </w:p>
    <w:p>
      <w:pPr>
        <w:ind w:left="80" w:right="640"/>
        <w:spacing w:after="0" w:line="233" w:lineRule="auto"/>
        <w:rPr>
          <w:sz w:val="20"/>
          <w:szCs w:val="20"/>
          <w:color w:val="auto"/>
        </w:rPr>
      </w:pPr>
      <w:r>
        <w:rPr>
          <w:rFonts w:ascii="Arial" w:cs="Arial" w:eastAsia="Arial" w:hAnsi="Arial"/>
          <w:sz w:val="13"/>
          <w:szCs w:val="13"/>
          <w:color w:val="2F2F2F"/>
        </w:rPr>
        <w:t xml:space="preserve">THIS LOAN AGREEMENT (the </w:t>
      </w:r>
      <w:r>
        <w:rPr>
          <w:rFonts w:ascii="Arial" w:cs="Arial" w:eastAsia="Arial" w:hAnsi="Arial"/>
          <w:sz w:val="13"/>
          <w:szCs w:val="13"/>
          <w:color w:val="464646"/>
        </w:rPr>
        <w:t>"Agreement")</w:t>
      </w:r>
      <w:r>
        <w:rPr>
          <w:rFonts w:ascii="Arial" w:cs="Arial" w:eastAsia="Arial" w:hAnsi="Arial"/>
          <w:sz w:val="13"/>
          <w:szCs w:val="13"/>
          <w:color w:val="2F2F2F"/>
        </w:rPr>
        <w:t xml:space="preserve"> is made as of the 26th day of June, 2014, between Santander Bank, N A., with a place of business at 195 Montague Street, Brooklyn, New York 11201 (hereinafter referred to as "Lender") and Sutton Hill Properties, LLC, a Nevada limited liability company, with a principal place of business at 6100 Center Drive, Suite 900, Los Angeles, California 90045, Attention: Andrzej Matyczynski (hereinafter referred to as "Borrower").</w:t>
      </w:r>
    </w:p>
    <w:p>
      <w:pPr>
        <w:spacing w:after="0" w:line="141" w:lineRule="exact"/>
        <w:rPr>
          <w:sz w:val="20"/>
          <w:szCs w:val="20"/>
          <w:color w:val="auto"/>
        </w:rPr>
      </w:pPr>
    </w:p>
    <w:p>
      <w:pPr>
        <w:ind w:left="20"/>
        <w:spacing w:after="0"/>
        <w:rPr>
          <w:sz w:val="20"/>
          <w:szCs w:val="20"/>
          <w:color w:val="auto"/>
        </w:rPr>
      </w:pPr>
      <w:r>
        <w:rPr>
          <w:rFonts w:ascii="Arial" w:cs="Arial" w:eastAsia="Arial" w:hAnsi="Arial"/>
          <w:sz w:val="13"/>
          <w:szCs w:val="13"/>
          <w:color w:val="2F2F2F"/>
        </w:rPr>
        <w:t>WI TN E S S E T H:</w:t>
      </w:r>
    </w:p>
    <w:p>
      <w:pPr>
        <w:spacing w:after="0" w:line="157" w:lineRule="exact"/>
        <w:rPr>
          <w:sz w:val="20"/>
          <w:szCs w:val="20"/>
          <w:color w:val="auto"/>
        </w:rPr>
      </w:pPr>
    </w:p>
    <w:p>
      <w:pPr>
        <w:ind w:left="80" w:right="160"/>
        <w:spacing w:after="0" w:line="244" w:lineRule="auto"/>
        <w:rPr>
          <w:sz w:val="20"/>
          <w:szCs w:val="20"/>
          <w:color w:val="auto"/>
        </w:rPr>
      </w:pPr>
      <w:r>
        <w:rPr>
          <w:rFonts w:ascii="Arial" w:cs="Arial" w:eastAsia="Arial" w:hAnsi="Arial"/>
          <w:sz w:val="12"/>
          <w:szCs w:val="12"/>
          <w:color w:val="2F2F2F"/>
        </w:rPr>
        <w:t>WHEREAS, Lender is the holder of that certain Amended and Restated Mortgage, Assignment of Leases and Rents, Security Agreement and Fixture Filing dated as of June 28, 2012, made by the Borrower, as borrower, in favor of lender, as Lender</w:t>
      </w:r>
      <w:r>
        <w:rPr>
          <w:rFonts w:ascii="Arial" w:cs="Arial" w:eastAsia="Arial" w:hAnsi="Arial"/>
          <w:sz w:val="12"/>
          <w:szCs w:val="12"/>
          <w:color w:val="565656"/>
        </w:rPr>
        <w:t>,</w:t>
      </w:r>
      <w:r>
        <w:rPr>
          <w:rFonts w:ascii="Arial" w:cs="Arial" w:eastAsia="Arial" w:hAnsi="Arial"/>
          <w:sz w:val="12"/>
          <w:szCs w:val="12"/>
          <w:color w:val="2F2F2F"/>
        </w:rPr>
        <w:t xml:space="preserve"> in the principal amount of $15,000,000.00, and recorded on July 20, 2012 in the Register's Office of the City and State of New York as CRFN 2012000288512 (together with all extensions, renewals, modifications, substitutions and amendments thereof the "First Mortgage") which secures that certain Second Amended and Restated Promissory Note in the original principal amount of $15,000,000.00 made by Borrower to the order of Lender (together with all extensions, renewals, modifications, substitutions and amendments thereof, the "First Note"; the First Note, the First Mortgage and any of the loan documents which secure and evidence the indebtedness pursuant to the First Note shall hereinafter be referred to as the "First Mortgage Loan Documents");</w:t>
      </w:r>
    </w:p>
    <w:p>
      <w:pPr>
        <w:spacing w:after="0" w:line="104" w:lineRule="exact"/>
        <w:rPr>
          <w:sz w:val="20"/>
          <w:szCs w:val="20"/>
          <w:color w:val="auto"/>
        </w:rPr>
      </w:pPr>
    </w:p>
    <w:p>
      <w:pPr>
        <w:ind w:left="60" w:right="220"/>
        <w:spacing w:after="0" w:line="249" w:lineRule="auto"/>
        <w:rPr>
          <w:sz w:val="20"/>
          <w:szCs w:val="20"/>
          <w:color w:val="auto"/>
        </w:rPr>
      </w:pPr>
      <w:r>
        <w:rPr>
          <w:rFonts w:ascii="Arial" w:cs="Arial" w:eastAsia="Arial" w:hAnsi="Arial"/>
          <w:sz w:val="12"/>
          <w:szCs w:val="12"/>
          <w:color w:val="2F2F2F"/>
        </w:rPr>
        <w:t xml:space="preserve">WHEREAS, the Borrower desires to borrow and the Lender desires to lend to the Borrower, for Borrower' s use, as more particularly set forth herein (the "Loan") in connection with its ownership of the real property located at 1001-1007 Third Avenue, New York, New York 10022 (the </w:t>
      </w:r>
      <w:r>
        <w:rPr>
          <w:rFonts w:ascii="Arial" w:cs="Arial" w:eastAsia="Arial" w:hAnsi="Arial"/>
          <w:sz w:val="12"/>
          <w:szCs w:val="12"/>
          <w:color w:val="464646"/>
        </w:rPr>
        <w:t>"Property"),</w:t>
      </w:r>
      <w:r>
        <w:rPr>
          <w:rFonts w:ascii="Arial" w:cs="Arial" w:eastAsia="Arial" w:hAnsi="Arial"/>
          <w:sz w:val="12"/>
          <w:szCs w:val="12"/>
          <w:color w:val="2F2F2F"/>
        </w:rPr>
        <w:t xml:space="preserve"> the principal amount of Six Million and 001100 Dollars (US</w:t>
      </w:r>
    </w:p>
    <w:p>
      <w:pPr>
        <w:spacing w:after="0" w:line="1" w:lineRule="exact"/>
        <w:rPr>
          <w:sz w:val="20"/>
          <w:szCs w:val="20"/>
          <w:color w:val="auto"/>
        </w:rPr>
      </w:pPr>
    </w:p>
    <w:p>
      <w:pPr>
        <w:ind w:left="60" w:right="320" w:firstLine="5"/>
        <w:spacing w:after="0" w:line="234" w:lineRule="auto"/>
        <w:rPr>
          <w:sz w:val="20"/>
          <w:szCs w:val="20"/>
          <w:color w:val="auto"/>
        </w:rPr>
      </w:pPr>
      <w:r>
        <w:rPr>
          <w:rFonts w:ascii="Arial" w:cs="Arial" w:eastAsia="Arial" w:hAnsi="Arial"/>
          <w:sz w:val="13"/>
          <w:szCs w:val="13"/>
          <w:color w:val="2F2F2F"/>
        </w:rPr>
        <w:t xml:space="preserve">$6,000,000.00), subject and pursuant to the terms of this Agreement and of that certain Promissory Note in like amount of even date herewith executed and delivered by the Borrower (the </w:t>
      </w:r>
      <w:r>
        <w:rPr>
          <w:rFonts w:ascii="Arial" w:cs="Arial" w:eastAsia="Arial" w:hAnsi="Arial"/>
          <w:sz w:val="13"/>
          <w:szCs w:val="13"/>
          <w:color w:val="565656"/>
        </w:rPr>
        <w:t>"</w:t>
      </w:r>
      <w:r>
        <w:rPr>
          <w:rFonts w:ascii="Arial" w:cs="Arial" w:eastAsia="Arial" w:hAnsi="Arial"/>
          <w:sz w:val="13"/>
          <w:szCs w:val="13"/>
          <w:color w:val="2F2F2F"/>
        </w:rPr>
        <w:t xml:space="preserve">Note") </w:t>
      </w:r>
      <w:r>
        <w:rPr>
          <w:rFonts w:ascii="Arial" w:cs="Arial" w:eastAsia="Arial" w:hAnsi="Arial"/>
          <w:sz w:val="13"/>
          <w:szCs w:val="13"/>
          <w:color w:val="565656"/>
        </w:rPr>
        <w:t>;</w:t>
      </w:r>
    </w:p>
    <w:p>
      <w:pPr>
        <w:spacing w:after="0" w:line="124" w:lineRule="exact"/>
        <w:rPr>
          <w:sz w:val="20"/>
          <w:szCs w:val="20"/>
          <w:color w:val="auto"/>
        </w:rPr>
      </w:pPr>
    </w:p>
    <w:p>
      <w:pPr>
        <w:jc w:val="both"/>
        <w:ind w:left="60" w:right="380"/>
        <w:spacing w:after="0" w:line="283" w:lineRule="auto"/>
        <w:rPr>
          <w:sz w:val="20"/>
          <w:szCs w:val="20"/>
          <w:color w:val="auto"/>
        </w:rPr>
      </w:pPr>
      <w:r>
        <w:rPr>
          <w:rFonts w:ascii="Arial" w:cs="Arial" w:eastAsia="Arial" w:hAnsi="Arial"/>
          <w:sz w:val="12"/>
          <w:szCs w:val="12"/>
          <w:color w:val="2F2F2F"/>
        </w:rPr>
        <w:t xml:space="preserve">WHEREAS, the Note will be secured by, among other things </w:t>
      </w:r>
      <w:r>
        <w:rPr>
          <w:rFonts w:ascii="Arial" w:cs="Arial" w:eastAsia="Arial" w:hAnsi="Arial"/>
          <w:sz w:val="12"/>
          <w:szCs w:val="12"/>
          <w:color w:val="565656"/>
        </w:rPr>
        <w:t>,</w:t>
      </w:r>
      <w:r>
        <w:rPr>
          <w:rFonts w:ascii="Arial" w:cs="Arial" w:eastAsia="Arial" w:hAnsi="Arial"/>
          <w:sz w:val="12"/>
          <w:szCs w:val="12"/>
          <w:color w:val="2F2F2F"/>
        </w:rPr>
        <w:t xml:space="preserve"> a Mortgage, Assignment of Leases and Rents, Security Agreement and Fixture Filing by and between Borrower and Lender (together with all extensions, renewals, modifications, substitutions and amendments thereof, the "Security Instrument") which upon recording will encumber the Property.</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3"/>
          <w:szCs w:val="13"/>
          <w:color w:val="2F2F2F"/>
        </w:rPr>
        <w:t>Capitalized terms used but not otherwise defined herein shall have the meanings ascribed thereto in the Note.</w:t>
      </w:r>
    </w:p>
    <w:p>
      <w:pPr>
        <w:spacing w:after="0" w:line="202" w:lineRule="exact"/>
        <w:rPr>
          <w:sz w:val="20"/>
          <w:szCs w:val="20"/>
          <w:color w:val="auto"/>
        </w:rPr>
      </w:pPr>
    </w:p>
    <w:tbl>
      <w:tblPr>
        <w:tblLayout w:type="fixed"/>
        <w:tblInd w:w="20" w:type="dxa"/>
        <w:tblCellMar>
          <w:top w:w="0" w:type="dxa"/>
          <w:left w:w="0" w:type="dxa"/>
          <w:bottom w:w="0" w:type="dxa"/>
          <w:right w:w="0" w:type="dxa"/>
        </w:tblCellMar>
      </w:tblPr>
      <w:tr>
        <w:trPr>
          <w:trHeight w:val="166"/>
        </w:trPr>
        <w:tc>
          <w:tcPr>
            <w:tcW w:w="4260" w:type="dxa"/>
            <w:vAlign w:val="bottom"/>
          </w:tcPr>
          <w:p>
            <w:pPr>
              <w:ind w:left="480"/>
              <w:spacing w:after="0"/>
              <w:rPr>
                <w:sz w:val="20"/>
                <w:szCs w:val="20"/>
                <w:color w:val="auto"/>
              </w:rPr>
            </w:pPr>
            <w:r>
              <w:rPr>
                <w:rFonts w:ascii="Arial" w:cs="Arial" w:eastAsia="Arial" w:hAnsi="Arial"/>
                <w:sz w:val="13"/>
                <w:szCs w:val="13"/>
                <w:color w:val="2F2F2F"/>
                <w:w w:val="99"/>
              </w:rPr>
              <w:t xml:space="preserve">NOW, THEREFORE, the parties hereto </w:t>
            </w:r>
            <w:r>
              <w:rPr>
                <w:rFonts w:ascii="Arial" w:cs="Arial" w:eastAsia="Arial" w:hAnsi="Arial"/>
                <w:sz w:val="13"/>
                <w:szCs w:val="13"/>
                <w:color w:val="464646"/>
                <w:w w:val="99"/>
              </w:rPr>
              <w:t>agree</w:t>
            </w:r>
            <w:r>
              <w:rPr>
                <w:rFonts w:ascii="Arial" w:cs="Arial" w:eastAsia="Arial" w:hAnsi="Arial"/>
                <w:sz w:val="13"/>
                <w:szCs w:val="13"/>
                <w:color w:val="2F2F2F"/>
                <w:w w:val="99"/>
              </w:rPr>
              <w:t xml:space="preserve"> as follows: Article I.</w:t>
            </w:r>
          </w:p>
        </w:tc>
        <w:tc>
          <w:tcPr>
            <w:tcW w:w="5740" w:type="dxa"/>
            <w:vAlign w:val="bottom"/>
          </w:tcPr>
          <w:p>
            <w:pPr>
              <w:ind w:left="240"/>
              <w:spacing w:after="0"/>
              <w:rPr>
                <w:sz w:val="20"/>
                <w:szCs w:val="20"/>
                <w:color w:val="auto"/>
              </w:rPr>
            </w:pPr>
            <w:r>
              <w:rPr>
                <w:rFonts w:ascii="Arial" w:cs="Arial" w:eastAsia="Arial" w:hAnsi="Arial"/>
                <w:sz w:val="13"/>
                <w:szCs w:val="13"/>
                <w:color w:val="2F2F2F"/>
              </w:rPr>
              <w:t xml:space="preserve">THE </w:t>
            </w:r>
            <w:r>
              <w:rPr>
                <w:rFonts w:ascii="Arial" w:cs="Arial" w:eastAsia="Arial" w:hAnsi="Arial"/>
                <w:sz w:val="13"/>
                <w:szCs w:val="13"/>
                <w:color w:val="464646"/>
              </w:rPr>
              <w:t>ADVANCE</w:t>
            </w:r>
          </w:p>
        </w:tc>
      </w:tr>
      <w:tr>
        <w:trPr>
          <w:trHeight w:val="198"/>
        </w:trPr>
        <w:tc>
          <w:tcPr>
            <w:tcW w:w="4260" w:type="dxa"/>
            <w:vAlign w:val="bottom"/>
          </w:tcPr>
          <w:p>
            <w:pPr>
              <w:ind w:left="20"/>
              <w:spacing w:after="0"/>
              <w:rPr>
                <w:sz w:val="20"/>
                <w:szCs w:val="20"/>
                <w:color w:val="auto"/>
              </w:rPr>
            </w:pPr>
            <w:r>
              <w:rPr>
                <w:rFonts w:ascii="Arial" w:cs="Arial" w:eastAsia="Arial" w:hAnsi="Arial"/>
                <w:sz w:val="13"/>
                <w:szCs w:val="13"/>
                <w:color w:val="2F2F2F"/>
                <w:w w:val="92"/>
              </w:rPr>
              <w:t>Section 1.01</w:t>
            </w:r>
            <w:r>
              <w:rPr>
                <w:rFonts w:ascii="Arial" w:cs="Arial" w:eastAsia="Arial" w:hAnsi="Arial"/>
                <w:sz w:val="13"/>
                <w:szCs w:val="13"/>
                <w:color w:val="464646"/>
                <w:w w:val="92"/>
              </w:rPr>
              <w:t>Advances.</w:t>
            </w:r>
          </w:p>
        </w:tc>
        <w:tc>
          <w:tcPr>
            <w:tcW w:w="5740" w:type="dxa"/>
            <w:vAlign w:val="bottom"/>
          </w:tcPr>
          <w:p>
            <w:pPr>
              <w:spacing w:after="0"/>
              <w:rPr>
                <w:sz w:val="17"/>
                <w:szCs w:val="17"/>
                <w:color w:val="auto"/>
              </w:rPr>
            </w:pPr>
          </w:p>
        </w:tc>
      </w:tr>
      <w:tr>
        <w:trPr>
          <w:trHeight w:val="987"/>
        </w:trPr>
        <w:tc>
          <w:tcPr>
            <w:tcW w:w="4260" w:type="dxa"/>
            <w:vAlign w:val="bottom"/>
            <w:tcBorders>
              <w:bottom w:val="single" w:sz="8" w:color="9A9A9A"/>
            </w:tcBorders>
          </w:tcPr>
          <w:p>
            <w:pPr>
              <w:spacing w:after="0"/>
              <w:rPr>
                <w:sz w:val="24"/>
                <w:szCs w:val="24"/>
                <w:color w:val="auto"/>
              </w:rPr>
            </w:pPr>
          </w:p>
        </w:tc>
        <w:tc>
          <w:tcPr>
            <w:tcW w:w="57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6348730</wp:posOffset>
            </wp:positionH>
            <wp:positionV relativeFrom="paragraph">
              <wp:posOffset>-29210</wp:posOffset>
            </wp:positionV>
            <wp:extent cx="31115"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31115" cy="425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-29210</wp:posOffset>
            </wp:positionV>
            <wp:extent cx="31115"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31115" cy="42545"/>
                    </a:xfrm>
                    <a:prstGeom prst="rect">
                      <a:avLst/>
                    </a:prstGeom>
                    <a:noFill/>
                  </pic:spPr>
                </pic:pic>
              </a:graphicData>
            </a:graphic>
          </wp:anchor>
        </w:drawing>
      </w:r>
    </w:p>
    <w:p>
      <w:pPr>
        <w:sectPr>
          <w:pgSz w:w="11900" w:h="16838" w:orient="portrait"/>
          <w:cols w:equalWidth="0" w:num="1">
            <w:col w:w="10020"/>
          </w:cols>
          <w:pgMar w:left="1120" w:top="343" w:right="759" w:bottom="1440" w:gutter="0" w:footer="0" w:header="0"/>
        </w:sectPr>
      </w:pPr>
    </w:p>
    <w:bookmarkStart w:id="171" w:name="page172"/>
    <w:bookmarkEnd w:id="171"/>
    <w:p>
      <w:pPr>
        <w:jc w:val="both"/>
        <w:ind w:left="31" w:right="40"/>
        <w:spacing w:after="0" w:line="235" w:lineRule="auto"/>
        <w:rPr>
          <w:sz w:val="20"/>
          <w:szCs w:val="20"/>
          <w:color w:val="auto"/>
        </w:rPr>
      </w:pPr>
      <w:r>
        <w:rPr>
          <w:rFonts w:ascii="Arial" w:cs="Arial" w:eastAsia="Arial" w:hAnsi="Arial"/>
          <w:sz w:val="13"/>
          <w:szCs w:val="13"/>
          <w:color w:val="2F2F2F"/>
        </w:rPr>
        <w:t xml:space="preserve">The Lender agrees, upon the terms, and subject to the conditions hereof, to make </w:t>
      </w:r>
      <w:r>
        <w:rPr>
          <w:rFonts w:ascii="Arial" w:cs="Arial" w:eastAsia="Arial" w:hAnsi="Arial"/>
          <w:sz w:val="13"/>
          <w:szCs w:val="13"/>
          <w:color w:val="444444"/>
        </w:rPr>
        <w:t>a</w:t>
      </w:r>
      <w:r>
        <w:rPr>
          <w:rFonts w:ascii="Arial" w:cs="Arial" w:eastAsia="Arial" w:hAnsi="Arial"/>
          <w:sz w:val="13"/>
          <w:szCs w:val="13"/>
          <w:color w:val="2F2F2F"/>
        </w:rPr>
        <w:t xml:space="preserve"> one time advance of the proceeds of the Loan (the </w:t>
      </w:r>
      <w:r>
        <w:rPr>
          <w:rFonts w:ascii="Arial" w:cs="Arial" w:eastAsia="Arial" w:hAnsi="Arial"/>
          <w:sz w:val="13"/>
          <w:szCs w:val="13"/>
          <w:b w:val="1"/>
          <w:bCs w:val="1"/>
          <w:color w:val="2F2F2F"/>
        </w:rPr>
        <w:t>"Advance")</w:t>
      </w:r>
      <w:r>
        <w:rPr>
          <w:rFonts w:ascii="Arial" w:cs="Arial" w:eastAsia="Arial" w:hAnsi="Arial"/>
          <w:sz w:val="13"/>
          <w:szCs w:val="13"/>
          <w:color w:val="2F2F2F"/>
        </w:rPr>
        <w:t xml:space="preserve"> to the Borrower in an amount not to </w:t>
      </w:r>
      <w:r>
        <w:rPr>
          <w:rFonts w:ascii="Arial" w:cs="Arial" w:eastAsia="Arial" w:hAnsi="Arial"/>
          <w:sz w:val="13"/>
          <w:szCs w:val="13"/>
          <w:color w:val="444444"/>
        </w:rPr>
        <w:t xml:space="preserve">exceed </w:t>
      </w:r>
      <w:r>
        <w:rPr>
          <w:rFonts w:ascii="Arial" w:cs="Arial" w:eastAsia="Arial" w:hAnsi="Arial"/>
          <w:sz w:val="13"/>
          <w:szCs w:val="13"/>
          <w:color w:val="2F2F2F"/>
        </w:rPr>
        <w:t>the aggregate principal amount $6,000,000.00. The Loan (including principal and accrued and unpaid interest) shall be due and payable on July 1, 2016 (the</w:t>
      </w:r>
      <w:r>
        <w:rPr>
          <w:rFonts w:ascii="Arial" w:cs="Arial" w:eastAsia="Arial" w:hAnsi="Arial"/>
          <w:sz w:val="13"/>
          <w:szCs w:val="13"/>
          <w:color w:val="444444"/>
        </w:rPr>
        <w:t xml:space="preserve"> </w:t>
      </w:r>
      <w:r>
        <w:rPr>
          <w:rFonts w:ascii="Arial" w:cs="Arial" w:eastAsia="Arial" w:hAnsi="Arial"/>
          <w:sz w:val="13"/>
          <w:szCs w:val="13"/>
          <w:b w:val="1"/>
          <w:bCs w:val="1"/>
          <w:color w:val="2F2F2F"/>
        </w:rPr>
        <w:t>"Maturity Date").</w:t>
      </w:r>
      <w:r>
        <w:rPr>
          <w:rFonts w:ascii="Arial" w:cs="Arial" w:eastAsia="Arial" w:hAnsi="Arial"/>
          <w:sz w:val="13"/>
          <w:szCs w:val="13"/>
          <w:color w:val="444444"/>
        </w:rPr>
        <w:t xml:space="preserve"> </w:t>
      </w:r>
      <w:r>
        <w:rPr>
          <w:rFonts w:ascii="Arial" w:cs="Arial" w:eastAsia="Arial" w:hAnsi="Arial"/>
          <w:sz w:val="13"/>
          <w:szCs w:val="13"/>
          <w:color w:val="2F2F2F"/>
        </w:rPr>
        <w:t>Interest on the Advance shall accrue and be payable in accordance with the terms of the Note.</w:t>
      </w:r>
    </w:p>
    <w:p>
      <w:pPr>
        <w:spacing w:after="0" w:line="112" w:lineRule="exact"/>
        <w:rPr>
          <w:sz w:val="20"/>
          <w:szCs w:val="20"/>
          <w:color w:val="auto"/>
        </w:rPr>
      </w:pPr>
    </w:p>
    <w:p>
      <w:pPr>
        <w:ind w:left="31"/>
        <w:spacing w:after="0"/>
        <w:tabs>
          <w:tab w:leader="none" w:pos="891" w:val="left"/>
        </w:tabs>
        <w:rPr>
          <w:sz w:val="20"/>
          <w:szCs w:val="20"/>
          <w:color w:val="auto"/>
        </w:rPr>
      </w:pPr>
      <w:r>
        <w:rPr>
          <w:rFonts w:ascii="Arial" w:cs="Arial" w:eastAsia="Arial" w:hAnsi="Arial"/>
          <w:sz w:val="14"/>
          <w:szCs w:val="14"/>
          <w:color w:val="2F2F2F"/>
        </w:rPr>
        <w:t>Section 1.02</w:t>
      </w:r>
      <w:r>
        <w:rPr>
          <w:sz w:val="20"/>
          <w:szCs w:val="20"/>
          <w:color w:val="auto"/>
        </w:rPr>
        <w:tab/>
      </w:r>
      <w:r>
        <w:rPr>
          <w:rFonts w:ascii="Arial" w:cs="Arial" w:eastAsia="Arial" w:hAnsi="Arial"/>
          <w:sz w:val="12"/>
          <w:szCs w:val="12"/>
          <w:b w:val="1"/>
          <w:bCs w:val="1"/>
          <w:u w:val="single" w:color="auto"/>
          <w:color w:val="444444"/>
        </w:rPr>
        <w:t>Manner of Borrowing.</w:t>
      </w:r>
    </w:p>
    <w:p>
      <w:pPr>
        <w:spacing w:after="0" w:line="211" w:lineRule="exact"/>
        <w:rPr>
          <w:sz w:val="20"/>
          <w:szCs w:val="20"/>
          <w:color w:val="auto"/>
        </w:rPr>
      </w:pPr>
    </w:p>
    <w:p>
      <w:pPr>
        <w:ind w:left="11"/>
        <w:spacing w:after="0"/>
        <w:rPr>
          <w:sz w:val="20"/>
          <w:szCs w:val="20"/>
          <w:color w:val="auto"/>
        </w:rPr>
      </w:pPr>
      <w:r>
        <w:rPr>
          <w:rFonts w:ascii="Arial" w:cs="Arial" w:eastAsia="Arial" w:hAnsi="Arial"/>
          <w:sz w:val="13"/>
          <w:szCs w:val="13"/>
          <w:color w:val="2F2F2F"/>
        </w:rPr>
        <w:t>When the Borrower desires to obtain the Advance, it shall give the Lender at least thirty</w:t>
      </w:r>
    </w:p>
    <w:p>
      <w:pPr>
        <w:spacing w:after="0" w:line="16" w:lineRule="exact"/>
        <w:rPr>
          <w:sz w:val="20"/>
          <w:szCs w:val="20"/>
          <w:color w:val="auto"/>
        </w:rPr>
      </w:pPr>
    </w:p>
    <w:p>
      <w:pPr>
        <w:jc w:val="both"/>
        <w:ind w:left="31" w:right="120" w:hanging="4"/>
        <w:spacing w:after="0" w:line="218" w:lineRule="auto"/>
        <w:tabs>
          <w:tab w:leader="none" w:pos="460" w:val="left"/>
        </w:tabs>
        <w:numPr>
          <w:ilvl w:val="0"/>
          <w:numId w:val="153"/>
        </w:numPr>
        <w:rPr>
          <w:rFonts w:ascii="Arial" w:cs="Arial" w:eastAsia="Arial" w:hAnsi="Arial"/>
          <w:sz w:val="14"/>
          <w:szCs w:val="14"/>
          <w:color w:val="2F2F2F"/>
        </w:rPr>
      </w:pPr>
      <w:r>
        <w:rPr>
          <w:rFonts w:ascii="Arial" w:cs="Arial" w:eastAsia="Arial" w:hAnsi="Arial"/>
          <w:sz w:val="13"/>
          <w:szCs w:val="13"/>
          <w:color w:val="2F2F2F"/>
        </w:rPr>
        <w:t xml:space="preserve">days' prior written notice (a </w:t>
      </w:r>
      <w:r>
        <w:rPr>
          <w:rFonts w:ascii="Arial" w:cs="Arial" w:eastAsia="Arial" w:hAnsi="Arial"/>
          <w:sz w:val="13"/>
          <w:szCs w:val="13"/>
          <w:b w:val="1"/>
          <w:bCs w:val="1"/>
          <w:color w:val="2F2F2F"/>
        </w:rPr>
        <w:t>"Notice to Borrow Funds")</w:t>
      </w:r>
      <w:r>
        <w:rPr>
          <w:rFonts w:ascii="Arial" w:cs="Arial" w:eastAsia="Arial" w:hAnsi="Arial"/>
          <w:sz w:val="13"/>
          <w:szCs w:val="13"/>
          <w:color w:val="2F2F2F"/>
        </w:rPr>
        <w:t xml:space="preserve"> in the manner hereinafter specified in this Agreement, which Notice to Borrow Funds shall state that it is irrevocable and specify the proposed date of borrowing and the amount thereof and shall constitute the Borrower's affirmation that all representations and warranties contained herein are true and correct and that the Advance shall be subject to all of the Conditions (as hereinafter defined and set forth in this Agreement). The Advance shall be in a whole number and in the minimum amount of</w:t>
      </w:r>
    </w:p>
    <w:p>
      <w:pPr>
        <w:spacing w:after="0" w:line="2" w:lineRule="exact"/>
        <w:rPr>
          <w:rFonts w:ascii="Arial" w:cs="Arial" w:eastAsia="Arial" w:hAnsi="Arial"/>
          <w:sz w:val="14"/>
          <w:szCs w:val="14"/>
          <w:color w:val="2F2F2F"/>
        </w:rPr>
      </w:pPr>
    </w:p>
    <w:p>
      <w:pPr>
        <w:ind w:left="31"/>
        <w:spacing w:after="0"/>
        <w:rPr>
          <w:rFonts w:ascii="Arial" w:cs="Arial" w:eastAsia="Arial" w:hAnsi="Arial"/>
          <w:sz w:val="14"/>
          <w:szCs w:val="14"/>
          <w:color w:val="2F2F2F"/>
        </w:rPr>
      </w:pPr>
      <w:r>
        <w:rPr>
          <w:rFonts w:ascii="Arial" w:cs="Arial" w:eastAsia="Arial" w:hAnsi="Arial"/>
          <w:sz w:val="13"/>
          <w:szCs w:val="13"/>
          <w:color w:val="2F2F2F"/>
        </w:rPr>
        <w:t>$200,000.00. The Notice to Borrow Funds to be given pursuant to this Section shall be accepted</w:t>
      </w:r>
    </w:p>
    <w:p>
      <w:pPr>
        <w:spacing w:after="0" w:line="3" w:lineRule="exact"/>
        <w:rPr>
          <w:rFonts w:ascii="Arial" w:cs="Arial" w:eastAsia="Arial" w:hAnsi="Arial"/>
          <w:sz w:val="14"/>
          <w:szCs w:val="14"/>
          <w:color w:val="2F2F2F"/>
        </w:rPr>
      </w:pPr>
    </w:p>
    <w:p>
      <w:pPr>
        <w:ind w:left="11" w:right="180" w:firstLine="5"/>
        <w:spacing w:after="0" w:line="233" w:lineRule="auto"/>
        <w:rPr>
          <w:rFonts w:ascii="Arial" w:cs="Arial" w:eastAsia="Arial" w:hAnsi="Arial"/>
          <w:sz w:val="14"/>
          <w:szCs w:val="14"/>
          <w:color w:val="2F2F2F"/>
        </w:rPr>
      </w:pPr>
      <w:r>
        <w:rPr>
          <w:rFonts w:ascii="Arial" w:cs="Arial" w:eastAsia="Arial" w:hAnsi="Arial"/>
          <w:sz w:val="13"/>
          <w:szCs w:val="13"/>
          <w:color w:val="2F2F2F"/>
        </w:rPr>
        <w:t xml:space="preserve">only from those persons authorized to execute same pursuant to a resolution or consent of the Borrower's Manager, a certified copy of which shall be delivered to Lender prior to any </w:t>
      </w:r>
      <w:r>
        <w:rPr>
          <w:rFonts w:ascii="Arial" w:cs="Arial" w:eastAsia="Arial" w:hAnsi="Arial"/>
          <w:sz w:val="13"/>
          <w:szCs w:val="13"/>
          <w:color w:val="444444"/>
        </w:rPr>
        <w:t xml:space="preserve">request </w:t>
      </w:r>
      <w:r>
        <w:rPr>
          <w:rFonts w:ascii="Arial" w:cs="Arial" w:eastAsia="Arial" w:hAnsi="Arial"/>
          <w:sz w:val="13"/>
          <w:szCs w:val="13"/>
          <w:color w:val="2F2F2F"/>
        </w:rPr>
        <w:t>for an Advance which shall include specimen-signatures of all parties</w:t>
      </w:r>
      <w:r>
        <w:rPr>
          <w:rFonts w:ascii="Arial" w:cs="Arial" w:eastAsia="Arial" w:hAnsi="Arial"/>
          <w:sz w:val="13"/>
          <w:szCs w:val="13"/>
          <w:color w:val="444444"/>
        </w:rPr>
        <w:t xml:space="preserve"> authorized to </w:t>
      </w:r>
      <w:r>
        <w:rPr>
          <w:rFonts w:ascii="Arial" w:cs="Arial" w:eastAsia="Arial" w:hAnsi="Arial"/>
          <w:sz w:val="13"/>
          <w:szCs w:val="13"/>
          <w:color w:val="2F2F2F"/>
        </w:rPr>
        <w:t>execute Notices to Borrow Funds.</w:t>
      </w:r>
    </w:p>
    <w:p>
      <w:pPr>
        <w:spacing w:after="0" w:line="132" w:lineRule="exact"/>
        <w:rPr>
          <w:sz w:val="20"/>
          <w:szCs w:val="20"/>
          <w:color w:val="auto"/>
        </w:rPr>
      </w:pPr>
    </w:p>
    <w:p>
      <w:pPr>
        <w:ind w:left="11" w:right="140"/>
        <w:spacing w:after="0" w:line="293" w:lineRule="auto"/>
        <w:rPr>
          <w:sz w:val="20"/>
          <w:szCs w:val="20"/>
          <w:color w:val="auto"/>
        </w:rPr>
      </w:pPr>
      <w:r>
        <w:rPr>
          <w:rFonts w:ascii="Arial" w:cs="Arial" w:eastAsia="Arial" w:hAnsi="Arial"/>
          <w:sz w:val="11"/>
          <w:szCs w:val="11"/>
          <w:color w:val="2F2F2F"/>
        </w:rPr>
        <w:t>The failure of the Lender to make the Advance on the date set forth in the Notice to Borrower Funds shall not subject the Lender to any damages whatsoever provided the Advance is made within a reasonable time after the later to occur of the date set forth in the Notice to Borrower Funds or the date all Conditions to the Advance are satisfied; it being expressly acknowledged by the Borrower that such condition is deemed a material inducement to the Lender for entering into the arrangement manifested by this Loan Agreement and the Note.</w:t>
      </w:r>
    </w:p>
    <w:p>
      <w:pPr>
        <w:spacing w:after="0" w:line="255" w:lineRule="exact"/>
        <w:rPr>
          <w:sz w:val="20"/>
          <w:szCs w:val="20"/>
          <w:color w:val="auto"/>
        </w:rPr>
      </w:pPr>
    </w:p>
    <w:p>
      <w:pPr>
        <w:ind w:left="11"/>
        <w:spacing w:after="0"/>
        <w:tabs>
          <w:tab w:leader="none" w:pos="771" w:val="left"/>
        </w:tabs>
        <w:rPr>
          <w:sz w:val="20"/>
          <w:szCs w:val="20"/>
          <w:color w:val="auto"/>
        </w:rPr>
      </w:pPr>
      <w:r>
        <w:rPr>
          <w:rFonts w:ascii="Arial" w:cs="Arial" w:eastAsia="Arial" w:hAnsi="Arial"/>
          <w:sz w:val="14"/>
          <w:szCs w:val="14"/>
          <w:b w:val="1"/>
          <w:bCs w:val="1"/>
          <w:color w:val="2F2F2F"/>
        </w:rPr>
        <w:t>Article II.</w:t>
      </w:r>
      <w:r>
        <w:rPr>
          <w:sz w:val="20"/>
          <w:szCs w:val="20"/>
          <w:color w:val="auto"/>
        </w:rPr>
        <w:tab/>
      </w:r>
      <w:r>
        <w:rPr>
          <w:rFonts w:ascii="Arial" w:cs="Arial" w:eastAsia="Arial" w:hAnsi="Arial"/>
          <w:sz w:val="13"/>
          <w:szCs w:val="13"/>
          <w:b w:val="1"/>
          <w:bCs w:val="1"/>
          <w:color w:val="2F2F2F"/>
        </w:rPr>
        <w:t>REPRESENTATIONS AND COVENANTS</w:t>
      </w:r>
    </w:p>
    <w:p>
      <w:pPr>
        <w:spacing w:after="0" w:line="154" w:lineRule="exact"/>
        <w:rPr>
          <w:sz w:val="20"/>
          <w:szCs w:val="20"/>
          <w:color w:val="auto"/>
        </w:rPr>
      </w:pPr>
    </w:p>
    <w:p>
      <w:pPr>
        <w:ind w:left="31"/>
        <w:spacing w:after="0"/>
        <w:tabs>
          <w:tab w:leader="none" w:pos="891" w:val="left"/>
        </w:tabs>
        <w:rPr>
          <w:sz w:val="20"/>
          <w:szCs w:val="20"/>
          <w:color w:val="auto"/>
        </w:rPr>
      </w:pPr>
      <w:r>
        <w:rPr>
          <w:rFonts w:ascii="Arial" w:cs="Arial" w:eastAsia="Arial" w:hAnsi="Arial"/>
          <w:sz w:val="14"/>
          <w:szCs w:val="14"/>
          <w:color w:val="2F2F2F"/>
        </w:rPr>
        <w:t>Section 2.01</w:t>
      </w:r>
      <w:r>
        <w:rPr>
          <w:sz w:val="20"/>
          <w:szCs w:val="20"/>
          <w:color w:val="auto"/>
        </w:rPr>
        <w:tab/>
      </w:r>
      <w:r>
        <w:rPr>
          <w:rFonts w:ascii="Arial" w:cs="Arial" w:eastAsia="Arial" w:hAnsi="Arial"/>
          <w:sz w:val="12"/>
          <w:szCs w:val="12"/>
          <w:b w:val="1"/>
          <w:bCs w:val="1"/>
          <w:color w:val="2F2F2F"/>
        </w:rPr>
        <w:t>Representations.</w:t>
      </w:r>
    </w:p>
    <w:p>
      <w:pPr>
        <w:spacing w:after="0" w:line="202" w:lineRule="exact"/>
        <w:rPr>
          <w:sz w:val="20"/>
          <w:szCs w:val="20"/>
          <w:color w:val="auto"/>
        </w:rPr>
      </w:pPr>
    </w:p>
    <w:p>
      <w:pPr>
        <w:ind w:left="11"/>
        <w:spacing w:after="0"/>
        <w:rPr>
          <w:sz w:val="20"/>
          <w:szCs w:val="20"/>
          <w:color w:val="auto"/>
        </w:rPr>
      </w:pPr>
      <w:r>
        <w:rPr>
          <w:rFonts w:ascii="Arial" w:cs="Arial" w:eastAsia="Arial" w:hAnsi="Arial"/>
          <w:sz w:val="13"/>
          <w:szCs w:val="13"/>
          <w:color w:val="2F2F2F"/>
        </w:rPr>
        <w:t xml:space="preserve">The Borrower represents and warrants to the </w:t>
      </w:r>
      <w:r>
        <w:rPr>
          <w:rFonts w:ascii="Arial" w:cs="Arial" w:eastAsia="Arial" w:hAnsi="Arial"/>
          <w:sz w:val="13"/>
          <w:szCs w:val="13"/>
          <w:color w:val="444444"/>
        </w:rPr>
        <w:t>Lender</w:t>
      </w:r>
      <w:r>
        <w:rPr>
          <w:rFonts w:ascii="Arial" w:cs="Arial" w:eastAsia="Arial" w:hAnsi="Arial"/>
          <w:sz w:val="13"/>
          <w:szCs w:val="13"/>
          <w:color w:val="2F2F2F"/>
        </w:rPr>
        <w:t xml:space="preserve"> that on the date hereof:</w:t>
      </w:r>
    </w:p>
    <w:p>
      <w:pPr>
        <w:spacing w:after="0" w:line="157" w:lineRule="exact"/>
        <w:rPr>
          <w:sz w:val="20"/>
          <w:szCs w:val="20"/>
          <w:color w:val="auto"/>
        </w:rPr>
      </w:pPr>
    </w:p>
    <w:p>
      <w:pPr>
        <w:ind w:left="-9" w:right="460" w:firstLine="36"/>
        <w:spacing w:after="0" w:line="232" w:lineRule="auto"/>
        <w:tabs>
          <w:tab w:leader="none" w:pos="388" w:val="left"/>
        </w:tabs>
        <w:numPr>
          <w:ilvl w:val="1"/>
          <w:numId w:val="154"/>
        </w:numPr>
        <w:rPr>
          <w:rFonts w:ascii="Arial" w:cs="Arial" w:eastAsia="Arial" w:hAnsi="Arial"/>
          <w:sz w:val="14"/>
          <w:szCs w:val="14"/>
          <w:color w:val="2F2F2F"/>
        </w:rPr>
      </w:pPr>
      <w:r>
        <w:rPr>
          <w:rFonts w:ascii="Arial" w:cs="Arial" w:eastAsia="Arial" w:hAnsi="Arial"/>
          <w:sz w:val="13"/>
          <w:szCs w:val="13"/>
          <w:color w:val="2F2F2F"/>
        </w:rPr>
        <w:t xml:space="preserve">The Borrower has the power and authority to execute, deliver and perform this Agreement, and each of the other documents </w:t>
      </w:r>
      <w:r>
        <w:rPr>
          <w:rFonts w:ascii="Arial" w:cs="Arial" w:eastAsia="Arial" w:hAnsi="Arial"/>
          <w:sz w:val="13"/>
          <w:szCs w:val="13"/>
          <w:color w:val="444444"/>
        </w:rPr>
        <w:t>executed</w:t>
      </w:r>
      <w:r>
        <w:rPr>
          <w:rFonts w:ascii="Arial" w:cs="Arial" w:eastAsia="Arial" w:hAnsi="Arial"/>
          <w:sz w:val="13"/>
          <w:szCs w:val="13"/>
          <w:color w:val="2F2F2F"/>
        </w:rPr>
        <w:t xml:space="preserve"> in connection therewith</w:t>
      </w:r>
      <w:r>
        <w:rPr>
          <w:rFonts w:ascii="Arial" w:cs="Arial" w:eastAsia="Arial" w:hAnsi="Arial"/>
          <w:sz w:val="13"/>
          <w:szCs w:val="13"/>
          <w:color w:val="565656"/>
        </w:rPr>
        <w:t>,</w:t>
      </w:r>
      <w:r>
        <w:rPr>
          <w:rFonts w:ascii="Arial" w:cs="Arial" w:eastAsia="Arial" w:hAnsi="Arial"/>
          <w:sz w:val="13"/>
          <w:szCs w:val="13"/>
          <w:color w:val="2F2F2F"/>
        </w:rPr>
        <w:t xml:space="preserve"> to own its properties and to carry on its business as now conducted;</w:t>
      </w:r>
    </w:p>
    <w:p>
      <w:pPr>
        <w:spacing w:after="0" w:line="123" w:lineRule="exact"/>
        <w:rPr>
          <w:rFonts w:ascii="Arial" w:cs="Arial" w:eastAsia="Arial" w:hAnsi="Arial"/>
          <w:sz w:val="14"/>
          <w:szCs w:val="14"/>
          <w:color w:val="2F2F2F"/>
        </w:rPr>
      </w:pPr>
    </w:p>
    <w:p>
      <w:pPr>
        <w:ind w:left="1391" w:hanging="1355"/>
        <w:spacing w:after="0"/>
        <w:tabs>
          <w:tab w:leader="none" w:pos="1391" w:val="left"/>
        </w:tabs>
        <w:numPr>
          <w:ilvl w:val="1"/>
          <w:numId w:val="154"/>
        </w:numPr>
        <w:rPr>
          <w:rFonts w:ascii="Arial" w:cs="Arial" w:eastAsia="Arial" w:hAnsi="Arial"/>
          <w:sz w:val="14"/>
          <w:szCs w:val="14"/>
          <w:color w:val="2F2F2F"/>
        </w:rPr>
      </w:pPr>
      <w:r>
        <w:rPr>
          <w:rFonts w:ascii="Arial" w:cs="Arial" w:eastAsia="Arial" w:hAnsi="Arial"/>
          <w:sz w:val="13"/>
          <w:szCs w:val="13"/>
          <w:color w:val="2F2F2F"/>
        </w:rPr>
        <w:t>The execution, delivery and performance of the Nate and this Agreement</w:t>
      </w:r>
    </w:p>
    <w:p>
      <w:pPr>
        <w:spacing w:after="0" w:line="11" w:lineRule="exact"/>
        <w:rPr>
          <w:rFonts w:ascii="Arial" w:cs="Arial" w:eastAsia="Arial" w:hAnsi="Arial"/>
          <w:sz w:val="14"/>
          <w:szCs w:val="14"/>
          <w:color w:val="2F2F2F"/>
        </w:rPr>
      </w:pPr>
    </w:p>
    <w:p>
      <w:pPr>
        <w:ind w:left="-9" w:firstLine="9"/>
        <w:spacing w:after="0" w:line="227" w:lineRule="auto"/>
        <w:tabs>
          <w:tab w:leader="none" w:pos="157" w:val="left"/>
        </w:tabs>
        <w:numPr>
          <w:ilvl w:val="0"/>
          <w:numId w:val="155"/>
        </w:numPr>
        <w:rPr>
          <w:rFonts w:ascii="Arial" w:cs="Arial" w:eastAsia="Arial" w:hAnsi="Arial"/>
          <w:sz w:val="13"/>
          <w:szCs w:val="13"/>
          <w:color w:val="2F2F2F"/>
        </w:rPr>
      </w:pPr>
      <w:r>
        <w:rPr>
          <w:rFonts w:ascii="Arial" w:cs="Arial" w:eastAsia="Arial" w:hAnsi="Arial"/>
          <w:sz w:val="13"/>
          <w:szCs w:val="13"/>
          <w:color w:val="2F2F2F"/>
        </w:rPr>
        <w:t>have been duly authorized by all requisite action of the Borrower; (ii) to Borrower's knowledge do not violate any provision of law</w:t>
      </w:r>
      <w:r>
        <w:rPr>
          <w:rFonts w:ascii="Arial" w:cs="Arial" w:eastAsia="Arial" w:hAnsi="Arial"/>
          <w:sz w:val="13"/>
          <w:szCs w:val="13"/>
          <w:color w:val="565656"/>
        </w:rPr>
        <w:t>,</w:t>
      </w:r>
      <w:r>
        <w:rPr>
          <w:rFonts w:ascii="Arial" w:cs="Arial" w:eastAsia="Arial" w:hAnsi="Arial"/>
          <w:sz w:val="13"/>
          <w:szCs w:val="13"/>
          <w:color w:val="2F2F2F"/>
        </w:rPr>
        <w:t xml:space="preserve"> (iii) do not violate the Borrower's Certificate of Formation or its Operating Agreement; any order of any court or other agency, or any agreement to which the Borrower is a party or by which the Borrower is bound; and (iv) will not be in conflict with, result in a breach of or constitute (with due notice or lapse of time or both) a default under any such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-50165</wp:posOffset>
            </wp:positionH>
            <wp:positionV relativeFrom="paragraph">
              <wp:posOffset>301625</wp:posOffset>
            </wp:positionV>
            <wp:extent cx="638556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385560" cy="42545"/>
                    </a:xfrm>
                    <a:prstGeom prst="rect">
                      <a:avLst/>
                    </a:prstGeom>
                    <a:noFill/>
                  </pic:spPr>
                </pic:pic>
              </a:graphicData>
            </a:graphic>
          </wp:anchor>
        </w:drawing>
      </w:r>
    </w:p>
    <w:p>
      <w:pPr>
        <w:sectPr>
          <w:pgSz w:w="11900" w:h="16838" w:orient="portrait"/>
          <w:cols w:equalWidth="0" w:num="1">
            <w:col w:w="9791"/>
          </w:cols>
          <w:pgMar w:left="1209" w:top="152" w:right="899" w:bottom="1440" w:gutter="0" w:footer="0" w:header="0"/>
        </w:sectPr>
      </w:pPr>
    </w:p>
    <w:bookmarkStart w:id="172" w:name="page173"/>
    <w:bookmarkEnd w:id="172"/>
    <w:p>
      <w:pPr>
        <w:ind w:left="40" w:right="120" w:firstLine="8"/>
        <w:spacing w:after="0" w:line="228" w:lineRule="auto"/>
        <w:tabs>
          <w:tab w:leader="none" w:pos="361" w:val="left"/>
        </w:tabs>
        <w:numPr>
          <w:ilvl w:val="0"/>
          <w:numId w:val="156"/>
        </w:numPr>
        <w:rPr>
          <w:rFonts w:ascii="Arial" w:cs="Arial" w:eastAsia="Arial" w:hAnsi="Arial"/>
          <w:sz w:val="14"/>
          <w:szCs w:val="14"/>
          <w:color w:val="2F2F2F"/>
        </w:rPr>
      </w:pPr>
      <w:r>
        <w:rPr>
          <w:rFonts w:ascii="Arial" w:cs="Arial" w:eastAsia="Arial" w:hAnsi="Arial"/>
          <w:sz w:val="13"/>
          <w:szCs w:val="13"/>
          <w:color w:val="2F2F2F"/>
        </w:rPr>
        <w:t>There are no actions, suits</w:t>
      </w:r>
      <w:r>
        <w:rPr>
          <w:rFonts w:ascii="Arial" w:cs="Arial" w:eastAsia="Arial" w:hAnsi="Arial"/>
          <w:sz w:val="13"/>
          <w:szCs w:val="13"/>
          <w:color w:val="494949"/>
        </w:rPr>
        <w:t>,</w:t>
      </w:r>
      <w:r>
        <w:rPr>
          <w:rFonts w:ascii="Arial" w:cs="Arial" w:eastAsia="Arial" w:hAnsi="Arial"/>
          <w:sz w:val="13"/>
          <w:szCs w:val="13"/>
          <w:color w:val="2F2F2F"/>
        </w:rPr>
        <w:t xml:space="preserve"> or proceedings before or by any federal </w:t>
      </w:r>
      <w:r>
        <w:rPr>
          <w:rFonts w:ascii="Arial" w:cs="Arial" w:eastAsia="Arial" w:hAnsi="Arial"/>
          <w:sz w:val="13"/>
          <w:szCs w:val="13"/>
          <w:color w:val="494949"/>
        </w:rPr>
        <w:t>,</w:t>
      </w:r>
      <w:r>
        <w:rPr>
          <w:rFonts w:ascii="Arial" w:cs="Arial" w:eastAsia="Arial" w:hAnsi="Arial"/>
          <w:sz w:val="13"/>
          <w:szCs w:val="13"/>
          <w:color w:val="2F2F2F"/>
        </w:rPr>
        <w:t xml:space="preserve"> state, municipal or other governmental department, commission </w:t>
      </w:r>
      <w:r>
        <w:rPr>
          <w:rFonts w:ascii="Arial" w:cs="Arial" w:eastAsia="Arial" w:hAnsi="Arial"/>
          <w:sz w:val="13"/>
          <w:szCs w:val="13"/>
          <w:color w:val="494949"/>
        </w:rPr>
        <w:t>,</w:t>
      </w:r>
      <w:r>
        <w:rPr>
          <w:rFonts w:ascii="Arial" w:cs="Arial" w:eastAsia="Arial" w:hAnsi="Arial"/>
          <w:sz w:val="13"/>
          <w:szCs w:val="13"/>
          <w:color w:val="2F2F2F"/>
        </w:rPr>
        <w:t xml:space="preserve"> board, bureau, agency or instrumentality pending against the Borrower which if determined adversely to the Borrower, would have a material adverse effect on the business, properties, operations or conditions </w:t>
      </w:r>
      <w:r>
        <w:rPr>
          <w:rFonts w:ascii="Arial" w:cs="Arial" w:eastAsia="Arial" w:hAnsi="Arial"/>
          <w:sz w:val="13"/>
          <w:szCs w:val="13"/>
          <w:color w:val="494949"/>
        </w:rPr>
        <w:t>,</w:t>
      </w:r>
      <w:r>
        <w:rPr>
          <w:rFonts w:ascii="Arial" w:cs="Arial" w:eastAsia="Arial" w:hAnsi="Arial"/>
          <w:sz w:val="13"/>
          <w:szCs w:val="13"/>
          <w:color w:val="2F2F2F"/>
        </w:rPr>
        <w:t xml:space="preserve"> financial or otherwise, of the Borrower;</w:t>
      </w:r>
    </w:p>
    <w:p>
      <w:pPr>
        <w:spacing w:after="0" w:line="122" w:lineRule="exact"/>
        <w:rPr>
          <w:rFonts w:ascii="Arial" w:cs="Arial" w:eastAsia="Arial" w:hAnsi="Arial"/>
          <w:sz w:val="14"/>
          <w:szCs w:val="14"/>
          <w:color w:val="2F2F2F"/>
        </w:rPr>
      </w:pPr>
    </w:p>
    <w:p>
      <w:pPr>
        <w:ind w:left="40" w:right="20" w:firstLine="11"/>
        <w:spacing w:after="0" w:line="232" w:lineRule="auto"/>
        <w:tabs>
          <w:tab w:leader="none" w:pos="394" w:val="left"/>
        </w:tabs>
        <w:numPr>
          <w:ilvl w:val="0"/>
          <w:numId w:val="156"/>
        </w:numPr>
        <w:rPr>
          <w:rFonts w:ascii="Arial" w:cs="Arial" w:eastAsia="Arial" w:hAnsi="Arial"/>
          <w:sz w:val="14"/>
          <w:szCs w:val="14"/>
          <w:color w:val="2F2F2F"/>
        </w:rPr>
      </w:pPr>
      <w:r>
        <w:rPr>
          <w:rFonts w:ascii="Arial" w:cs="Arial" w:eastAsia="Arial" w:hAnsi="Arial"/>
          <w:sz w:val="13"/>
          <w:szCs w:val="13"/>
          <w:color w:val="2F2F2F"/>
        </w:rPr>
        <w:t xml:space="preserve">No Event of Default has occurred under this Agreement and no default has occurred under any of the other Loan Documents beyond the expiration of any applicable notice, grace or cure period </w:t>
      </w:r>
      <w:r>
        <w:rPr>
          <w:rFonts w:ascii="Arial" w:cs="Arial" w:eastAsia="Arial" w:hAnsi="Arial"/>
          <w:sz w:val="13"/>
          <w:szCs w:val="13"/>
          <w:color w:val="494949"/>
        </w:rPr>
        <w:t>;</w:t>
      </w:r>
    </w:p>
    <w:p>
      <w:pPr>
        <w:spacing w:after="0" w:line="123" w:lineRule="exact"/>
        <w:rPr>
          <w:rFonts w:ascii="Arial" w:cs="Arial" w:eastAsia="Arial" w:hAnsi="Arial"/>
          <w:sz w:val="14"/>
          <w:szCs w:val="14"/>
          <w:color w:val="2F2F2F"/>
        </w:rPr>
      </w:pPr>
    </w:p>
    <w:p>
      <w:pPr>
        <w:ind w:left="40" w:right="200" w:firstLine="11"/>
        <w:spacing w:after="0" w:line="232" w:lineRule="auto"/>
        <w:tabs>
          <w:tab w:leader="none" w:pos="397" w:val="left"/>
        </w:tabs>
        <w:numPr>
          <w:ilvl w:val="0"/>
          <w:numId w:val="156"/>
        </w:numPr>
        <w:rPr>
          <w:rFonts w:ascii="Arial" w:cs="Arial" w:eastAsia="Arial" w:hAnsi="Arial"/>
          <w:sz w:val="14"/>
          <w:szCs w:val="14"/>
          <w:color w:val="2F2F2F"/>
        </w:rPr>
      </w:pPr>
      <w:r>
        <w:rPr>
          <w:rFonts w:ascii="Arial" w:cs="Arial" w:eastAsia="Arial" w:hAnsi="Arial"/>
          <w:sz w:val="13"/>
          <w:szCs w:val="13"/>
          <w:color w:val="2F2F2F"/>
        </w:rPr>
        <w:t>The Borrower makes no claim that the terms of the Note, including without limitation the interest rate thereon, is usurious nor that there exists any offset, deduction or defense with respect to the Borrower's obligations under the Loan Documents;</w:t>
      </w:r>
    </w:p>
    <w:p>
      <w:pPr>
        <w:spacing w:after="0" w:line="123" w:lineRule="exact"/>
        <w:rPr>
          <w:rFonts w:ascii="Arial" w:cs="Arial" w:eastAsia="Arial" w:hAnsi="Arial"/>
          <w:sz w:val="14"/>
          <w:szCs w:val="14"/>
          <w:color w:val="2F2F2F"/>
        </w:rPr>
      </w:pPr>
    </w:p>
    <w:p>
      <w:pPr>
        <w:ind w:left="220" w:hanging="163"/>
        <w:spacing w:after="0"/>
        <w:tabs>
          <w:tab w:leader="none" w:pos="220" w:val="left"/>
        </w:tabs>
        <w:numPr>
          <w:ilvl w:val="0"/>
          <w:numId w:val="156"/>
        </w:numPr>
        <w:rPr>
          <w:rFonts w:ascii="Arial" w:cs="Arial" w:eastAsia="Arial" w:hAnsi="Arial"/>
          <w:sz w:val="13"/>
          <w:szCs w:val="13"/>
          <w:color w:val="2F2F2F"/>
        </w:rPr>
      </w:pPr>
      <w:r>
        <w:rPr>
          <w:rFonts w:ascii="Arial" w:cs="Arial" w:eastAsia="Arial" w:hAnsi="Arial"/>
          <w:sz w:val="13"/>
          <w:szCs w:val="13"/>
          <w:color w:val="2F2F2F"/>
        </w:rPr>
        <w:t>The Property is free and clear of any liens, charges or encumbrances other than the First Mortgage;</w:t>
      </w:r>
    </w:p>
    <w:p>
      <w:pPr>
        <w:spacing w:after="0" w:line="138" w:lineRule="exact"/>
        <w:rPr>
          <w:rFonts w:ascii="Arial" w:cs="Arial" w:eastAsia="Arial" w:hAnsi="Arial"/>
          <w:sz w:val="13"/>
          <w:szCs w:val="13"/>
          <w:color w:val="2F2F2F"/>
        </w:rPr>
      </w:pPr>
    </w:p>
    <w:p>
      <w:pPr>
        <w:ind w:left="400" w:hanging="349"/>
        <w:spacing w:after="0"/>
        <w:tabs>
          <w:tab w:leader="none" w:pos="400" w:val="left"/>
        </w:tabs>
        <w:numPr>
          <w:ilvl w:val="0"/>
          <w:numId w:val="156"/>
        </w:numPr>
        <w:rPr>
          <w:rFonts w:ascii="Arial" w:cs="Arial" w:eastAsia="Arial" w:hAnsi="Arial"/>
          <w:sz w:val="14"/>
          <w:szCs w:val="14"/>
          <w:color w:val="2F2F2F"/>
        </w:rPr>
      </w:pPr>
      <w:r>
        <w:rPr>
          <w:rFonts w:ascii="Arial" w:cs="Arial" w:eastAsia="Arial" w:hAnsi="Arial"/>
          <w:sz w:val="13"/>
          <w:szCs w:val="13"/>
          <w:color w:val="2F2F2F"/>
        </w:rPr>
        <w:t xml:space="preserve">To Borrower's knowledge </w:t>
      </w:r>
      <w:r>
        <w:rPr>
          <w:rFonts w:ascii="Arial" w:cs="Arial" w:eastAsia="Arial" w:hAnsi="Arial"/>
          <w:sz w:val="13"/>
          <w:szCs w:val="13"/>
          <w:color w:val="494949"/>
        </w:rPr>
        <w:t>,</w:t>
      </w:r>
      <w:r>
        <w:rPr>
          <w:rFonts w:ascii="Arial" w:cs="Arial" w:eastAsia="Arial" w:hAnsi="Arial"/>
          <w:sz w:val="13"/>
          <w:szCs w:val="13"/>
          <w:color w:val="2F2F2F"/>
        </w:rPr>
        <w:t xml:space="preserve"> there are no outstanding judgments against the Borrower which have not been paid;</w:t>
      </w:r>
    </w:p>
    <w:p>
      <w:pPr>
        <w:spacing w:after="0" w:line="127" w:lineRule="exact"/>
        <w:rPr>
          <w:rFonts w:ascii="Arial" w:cs="Arial" w:eastAsia="Arial" w:hAnsi="Arial"/>
          <w:sz w:val="14"/>
          <w:szCs w:val="14"/>
          <w:color w:val="2F2F2F"/>
        </w:rPr>
      </w:pPr>
    </w:p>
    <w:p>
      <w:pPr>
        <w:ind w:left="20" w:right="60" w:firstLine="25"/>
        <w:spacing w:after="0" w:line="232" w:lineRule="auto"/>
        <w:tabs>
          <w:tab w:leader="none" w:pos="350" w:val="left"/>
        </w:tabs>
        <w:numPr>
          <w:ilvl w:val="0"/>
          <w:numId w:val="156"/>
        </w:numPr>
        <w:rPr>
          <w:rFonts w:ascii="Arial" w:cs="Arial" w:eastAsia="Arial" w:hAnsi="Arial"/>
          <w:sz w:val="14"/>
          <w:szCs w:val="14"/>
          <w:color w:val="2F2F2F"/>
        </w:rPr>
      </w:pPr>
      <w:r>
        <w:rPr>
          <w:rFonts w:ascii="Arial" w:cs="Arial" w:eastAsia="Arial" w:hAnsi="Arial"/>
          <w:sz w:val="13"/>
          <w:szCs w:val="13"/>
          <w:color w:val="2F2F2F"/>
        </w:rPr>
        <w:t>The most recent Financial Statements heretofore delivered to the Lender are complete and correct and since the date thereof there has not occurred any material adverse change in the financial condition or operations of the Borrower, Guarantor or the Property from that shown on said Financial Statements;</w:t>
      </w:r>
    </w:p>
    <w:p>
      <w:pPr>
        <w:spacing w:after="0" w:line="132" w:lineRule="exact"/>
        <w:rPr>
          <w:rFonts w:ascii="Arial" w:cs="Arial" w:eastAsia="Arial" w:hAnsi="Arial"/>
          <w:sz w:val="14"/>
          <w:szCs w:val="14"/>
          <w:color w:val="2F2F2F"/>
        </w:rPr>
      </w:pPr>
    </w:p>
    <w:p>
      <w:pPr>
        <w:ind w:left="400" w:hanging="343"/>
        <w:spacing w:after="0"/>
        <w:tabs>
          <w:tab w:leader="none" w:pos="400" w:val="left"/>
        </w:tabs>
        <w:numPr>
          <w:ilvl w:val="0"/>
          <w:numId w:val="156"/>
        </w:numPr>
        <w:rPr>
          <w:rFonts w:ascii="Arial" w:cs="Arial" w:eastAsia="Arial" w:hAnsi="Arial"/>
          <w:sz w:val="14"/>
          <w:szCs w:val="14"/>
          <w:color w:val="2F2F2F"/>
        </w:rPr>
      </w:pPr>
      <w:r>
        <w:rPr>
          <w:rFonts w:ascii="Arial" w:cs="Arial" w:eastAsia="Arial" w:hAnsi="Arial"/>
          <w:sz w:val="13"/>
          <w:szCs w:val="13"/>
          <w:color w:val="2F2F2F"/>
        </w:rPr>
        <w:t xml:space="preserve">Borrower has no knowledge of any impediments to the full and complete perfom1ance by the Borrower hereunder or under any of the Loan Documents </w:t>
      </w:r>
      <w:r>
        <w:rPr>
          <w:rFonts w:ascii="Arial" w:cs="Arial" w:eastAsia="Arial" w:hAnsi="Arial"/>
          <w:sz w:val="13"/>
          <w:szCs w:val="13"/>
          <w:color w:val="494949"/>
        </w:rPr>
        <w:t>;</w:t>
      </w:r>
    </w:p>
    <w:p>
      <w:pPr>
        <w:spacing w:after="0" w:line="105" w:lineRule="exact"/>
        <w:rPr>
          <w:sz w:val="20"/>
          <w:szCs w:val="20"/>
          <w:color w:val="auto"/>
        </w:rPr>
      </w:pPr>
    </w:p>
    <w:p>
      <w:pPr>
        <w:ind w:left="20" w:right="40" w:firstLine="37"/>
        <w:spacing w:after="0" w:line="248" w:lineRule="auto"/>
        <w:tabs>
          <w:tab w:leader="none" w:pos="355" w:val="left"/>
        </w:tabs>
        <w:numPr>
          <w:ilvl w:val="0"/>
          <w:numId w:val="157"/>
        </w:numPr>
        <w:rPr>
          <w:rFonts w:ascii="Arial" w:cs="Arial" w:eastAsia="Arial" w:hAnsi="Arial"/>
          <w:sz w:val="13"/>
          <w:szCs w:val="13"/>
          <w:i w:val="1"/>
          <w:iCs w:val="1"/>
          <w:color w:val="161616"/>
        </w:rPr>
      </w:pPr>
      <w:r>
        <w:rPr>
          <w:rFonts w:ascii="Arial" w:cs="Arial" w:eastAsia="Arial" w:hAnsi="Arial"/>
          <w:sz w:val="13"/>
          <w:szCs w:val="13"/>
          <w:color w:val="2F2F2F"/>
        </w:rPr>
        <w:t xml:space="preserve">Neither the Borrower nor any person or entity acting or purporting to act on the Borrower's behalf has dealt with any broker in connection with the making of this loan, except as set forth </w:t>
      </w:r>
      <w:r>
        <w:rPr>
          <w:rFonts w:ascii="Arial" w:cs="Arial" w:eastAsia="Arial" w:hAnsi="Arial"/>
          <w:sz w:val="12"/>
          <w:szCs w:val="12"/>
          <w:color w:val="2F2F2F"/>
        </w:rPr>
        <w:t>in</w:t>
      </w:r>
      <w:r>
        <w:rPr>
          <w:rFonts w:ascii="Arial" w:cs="Arial" w:eastAsia="Arial" w:hAnsi="Arial"/>
          <w:sz w:val="13"/>
          <w:szCs w:val="13"/>
          <w:color w:val="2F2F2F"/>
        </w:rPr>
        <w:t xml:space="preserve"> the, commitment letter of Santander Bank, N.A. addressed to Borrower and dated as of June 11</w:t>
      </w:r>
      <w:r>
        <w:rPr>
          <w:rFonts w:ascii="Arial" w:cs="Arial" w:eastAsia="Arial" w:hAnsi="Arial"/>
          <w:sz w:val="13"/>
          <w:szCs w:val="13"/>
          <w:color w:val="494949"/>
        </w:rPr>
        <w:t>,</w:t>
      </w:r>
      <w:r>
        <w:rPr>
          <w:rFonts w:ascii="Arial" w:cs="Arial" w:eastAsia="Arial" w:hAnsi="Arial"/>
          <w:sz w:val="13"/>
          <w:szCs w:val="13"/>
          <w:color w:val="2F2F2F"/>
        </w:rPr>
        <w:t xml:space="preserve"> 2014, as amended by letter agreement, if any. Borrower hereby indemnifies Lender, and agrees to hold Lender harmless, from and against all loss, liability, damage and expense, including reasonable attorneys' fees and expenses, suffered or incurred by Lender by reason of a breach of this representation. This provision will survive the closing and the repayment of the Note;</w:t>
      </w:r>
    </w:p>
    <w:p>
      <w:pPr>
        <w:spacing w:after="0" w:line="106" w:lineRule="exact"/>
        <w:rPr>
          <w:sz w:val="20"/>
          <w:szCs w:val="20"/>
          <w:color w:val="auto"/>
        </w:rPr>
      </w:pPr>
    </w:p>
    <w:p>
      <w:pPr>
        <w:ind w:left="20" w:right="260" w:firstLine="28"/>
        <w:spacing w:after="0" w:line="232" w:lineRule="auto"/>
        <w:tabs>
          <w:tab w:leader="none" w:pos="426" w:val="left"/>
        </w:tabs>
        <w:numPr>
          <w:ilvl w:val="0"/>
          <w:numId w:val="158"/>
        </w:numPr>
        <w:rPr>
          <w:rFonts w:ascii="Arial" w:cs="Arial" w:eastAsia="Arial" w:hAnsi="Arial"/>
          <w:sz w:val="14"/>
          <w:szCs w:val="14"/>
          <w:color w:val="2F2F2F"/>
        </w:rPr>
      </w:pPr>
      <w:r>
        <w:rPr>
          <w:rFonts w:ascii="Arial" w:cs="Arial" w:eastAsia="Arial" w:hAnsi="Arial"/>
          <w:sz w:val="13"/>
          <w:szCs w:val="13"/>
          <w:color w:val="2F2F2F"/>
        </w:rPr>
        <w:t>The Borrower is a limited liability company duly organized and validly existing under the laws of the State of Nevada and duly authorized to do business in the State of New York pursuant to the laws of the State of New York; and</w:t>
      </w:r>
    </w:p>
    <w:p>
      <w:pPr>
        <w:spacing w:after="0" w:line="123" w:lineRule="exact"/>
        <w:rPr>
          <w:rFonts w:ascii="Arial" w:cs="Arial" w:eastAsia="Arial" w:hAnsi="Arial"/>
          <w:sz w:val="14"/>
          <w:szCs w:val="14"/>
          <w:color w:val="2F2F2F"/>
        </w:rPr>
      </w:pPr>
    </w:p>
    <w:p>
      <w:pPr>
        <w:ind w:left="20" w:firstLine="40"/>
        <w:spacing w:after="0" w:line="232" w:lineRule="auto"/>
        <w:tabs>
          <w:tab w:leader="none" w:pos="448" w:val="left"/>
        </w:tabs>
        <w:numPr>
          <w:ilvl w:val="1"/>
          <w:numId w:val="158"/>
        </w:numPr>
        <w:rPr>
          <w:rFonts w:ascii="Arial" w:cs="Arial" w:eastAsia="Arial" w:hAnsi="Arial"/>
          <w:sz w:val="14"/>
          <w:szCs w:val="14"/>
          <w:color w:val="2F2F2F"/>
        </w:rPr>
      </w:pPr>
      <w:r>
        <w:rPr>
          <w:rFonts w:ascii="Arial" w:cs="Arial" w:eastAsia="Arial" w:hAnsi="Arial"/>
          <w:sz w:val="13"/>
          <w:szCs w:val="13"/>
          <w:color w:val="2F2F2F"/>
        </w:rPr>
        <w:t>That the funds received by the Borrower from the Advance requested hereunder and pursuant to the Note will be expended exclusively in connection with the acquisition of floor area rights and/or air rights related to future development of the Property as same will be more particularly described in the Security Instrument.</w:t>
      </w:r>
    </w:p>
    <w:p>
      <w:pPr>
        <w:spacing w:after="0" w:line="319" w:lineRule="exact"/>
        <w:rPr>
          <w:sz w:val="20"/>
          <w:szCs w:val="20"/>
          <w:color w:val="auto"/>
        </w:rPr>
      </w:pPr>
    </w:p>
    <w:p>
      <w:pPr>
        <w:spacing w:after="0"/>
        <w:tabs>
          <w:tab w:leader="none" w:pos="1120" w:val="left"/>
        </w:tabs>
        <w:rPr>
          <w:sz w:val="20"/>
          <w:szCs w:val="20"/>
          <w:color w:val="auto"/>
        </w:rPr>
      </w:pPr>
      <w:r>
        <w:rPr>
          <w:rFonts w:ascii="Arial" w:cs="Arial" w:eastAsia="Arial" w:hAnsi="Arial"/>
          <w:sz w:val="14"/>
          <w:szCs w:val="14"/>
          <w:color w:val="2F2F2F"/>
        </w:rPr>
        <w:t>Section 2</w:t>
      </w:r>
      <w:r>
        <w:rPr>
          <w:rFonts w:ascii="Arial" w:cs="Arial" w:eastAsia="Arial" w:hAnsi="Arial"/>
          <w:sz w:val="14"/>
          <w:szCs w:val="14"/>
          <w:color w:val="161616"/>
        </w:rPr>
        <w:t>.</w:t>
      </w:r>
      <w:r>
        <w:rPr>
          <w:rFonts w:ascii="Arial" w:cs="Arial" w:eastAsia="Arial" w:hAnsi="Arial"/>
          <w:sz w:val="14"/>
          <w:szCs w:val="14"/>
          <w:color w:val="2F2F2F"/>
        </w:rPr>
        <w:t>02</w:t>
      </w:r>
      <w:r>
        <w:rPr>
          <w:sz w:val="20"/>
          <w:szCs w:val="20"/>
          <w:color w:val="auto"/>
        </w:rPr>
        <w:tab/>
      </w:r>
      <w:r>
        <w:rPr>
          <w:rFonts w:ascii="Arial" w:cs="Arial" w:eastAsia="Arial" w:hAnsi="Arial"/>
          <w:sz w:val="12"/>
          <w:szCs w:val="12"/>
          <w:b w:val="1"/>
          <w:bCs w:val="1"/>
          <w:color w:val="2F2F2F"/>
        </w:rPr>
        <w:t>C</w:t>
      </w:r>
      <w:r>
        <w:rPr>
          <w:rFonts w:ascii="Arial" w:cs="Arial" w:eastAsia="Arial" w:hAnsi="Arial"/>
          <w:sz w:val="12"/>
          <w:szCs w:val="12"/>
          <w:b w:val="1"/>
          <w:bCs w:val="1"/>
          <w:color w:val="494949"/>
        </w:rPr>
        <w:t>e</w:t>
      </w:r>
      <w:r>
        <w:rPr>
          <w:rFonts w:ascii="Arial" w:cs="Arial" w:eastAsia="Arial" w:hAnsi="Arial"/>
          <w:sz w:val="12"/>
          <w:szCs w:val="12"/>
          <w:b w:val="1"/>
          <w:bCs w:val="1"/>
          <w:color w:val="2F2F2F"/>
        </w:rPr>
        <w:t>rtain Co</w:t>
      </w:r>
      <w:r>
        <w:rPr>
          <w:rFonts w:ascii="Arial" w:cs="Arial" w:eastAsia="Arial" w:hAnsi="Arial"/>
          <w:sz w:val="12"/>
          <w:szCs w:val="12"/>
          <w:b w:val="1"/>
          <w:bCs w:val="1"/>
          <w:color w:val="494949"/>
        </w:rPr>
        <w:t>v</w:t>
      </w:r>
      <w:r>
        <w:rPr>
          <w:rFonts w:ascii="Arial" w:cs="Arial" w:eastAsia="Arial" w:hAnsi="Arial"/>
          <w:sz w:val="12"/>
          <w:szCs w:val="12"/>
          <w:b w:val="1"/>
          <w:bCs w:val="1"/>
          <w:color w:val="2F2F2F"/>
        </w:rPr>
        <w:t>enants</w:t>
      </w:r>
      <w:r>
        <w:rPr>
          <w:rFonts w:ascii="Arial" w:cs="Arial" w:eastAsia="Arial" w:hAnsi="Arial"/>
          <w:sz w:val="12"/>
          <w:szCs w:val="12"/>
          <w:b w:val="1"/>
          <w:bCs w:val="1"/>
          <w:color w:val="494949"/>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327660</wp:posOffset>
            </wp:positionV>
            <wp:extent cx="638556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385560" cy="42545"/>
                    </a:xfrm>
                    <a:prstGeom prst="rect">
                      <a:avLst/>
                    </a:prstGeom>
                    <a:noFill/>
                  </pic:spPr>
                </pic:pic>
              </a:graphicData>
            </a:graphic>
          </wp:anchor>
        </w:drawing>
      </w:r>
    </w:p>
    <w:p>
      <w:pPr>
        <w:sectPr>
          <w:pgSz w:w="11900" w:h="16838" w:orient="portrait"/>
          <w:cols w:equalWidth="0" w:num="1">
            <w:col w:w="9820"/>
          </w:cols>
          <w:pgMar w:left="1200" w:top="128" w:right="879" w:bottom="1440" w:gutter="0" w:footer="0" w:header="0"/>
        </w:sectPr>
      </w:pPr>
    </w:p>
    <w:bookmarkStart w:id="173" w:name="page174"/>
    <w:bookmarkEnd w:id="173"/>
    <w:p>
      <w:pPr>
        <w:ind w:left="107"/>
        <w:spacing w:after="0"/>
        <w:rPr>
          <w:sz w:val="20"/>
          <w:szCs w:val="20"/>
          <w:color w:val="auto"/>
        </w:rPr>
      </w:pPr>
      <w:r>
        <w:rPr>
          <w:rFonts w:ascii="Arial" w:cs="Arial" w:eastAsia="Arial" w:hAnsi="Arial"/>
          <w:sz w:val="13"/>
          <w:szCs w:val="13"/>
          <w:color w:val="2F2F2F"/>
        </w:rPr>
        <w:t xml:space="preserve">The Borrower covenants and </w:t>
      </w:r>
      <w:r>
        <w:rPr>
          <w:rFonts w:ascii="Arial" w:cs="Arial" w:eastAsia="Arial" w:hAnsi="Arial"/>
          <w:sz w:val="13"/>
          <w:szCs w:val="13"/>
          <w:color w:val="464646"/>
        </w:rPr>
        <w:t>agrees</w:t>
      </w:r>
      <w:r>
        <w:rPr>
          <w:rFonts w:ascii="Arial" w:cs="Arial" w:eastAsia="Arial" w:hAnsi="Arial"/>
          <w:sz w:val="13"/>
          <w:szCs w:val="13"/>
          <w:color w:val="2F2F2F"/>
        </w:rPr>
        <w:t xml:space="preserve"> that so long as this Agreement shall remain in effect, Borrower shall:</w:t>
      </w:r>
    </w:p>
    <w:p>
      <w:pPr>
        <w:spacing w:after="0" w:line="139" w:lineRule="exact"/>
        <w:rPr>
          <w:sz w:val="20"/>
          <w:szCs w:val="20"/>
          <w:color w:val="auto"/>
        </w:rPr>
      </w:pPr>
    </w:p>
    <w:p>
      <w:pPr>
        <w:ind w:left="547" w:hanging="439"/>
        <w:spacing w:after="0"/>
        <w:tabs>
          <w:tab w:leader="none" w:pos="547" w:val="left"/>
        </w:tabs>
        <w:numPr>
          <w:ilvl w:val="3"/>
          <w:numId w:val="159"/>
        </w:numPr>
        <w:rPr>
          <w:rFonts w:ascii="Arial" w:cs="Arial" w:eastAsia="Arial" w:hAnsi="Arial"/>
          <w:sz w:val="14"/>
          <w:szCs w:val="14"/>
          <w:color w:val="2F2F2F"/>
        </w:rPr>
      </w:pPr>
      <w:r>
        <w:rPr>
          <w:rFonts w:ascii="Arial" w:cs="Arial" w:eastAsia="Arial" w:hAnsi="Arial"/>
          <w:sz w:val="13"/>
          <w:szCs w:val="13"/>
          <w:color w:val="2F2F2F"/>
        </w:rPr>
        <w:t>Pay all sums due and owing under the Note pursuant to its terms;</w:t>
      </w:r>
    </w:p>
    <w:p>
      <w:pPr>
        <w:spacing w:after="0" w:line="136" w:lineRule="exact"/>
        <w:rPr>
          <w:rFonts w:ascii="Arial" w:cs="Arial" w:eastAsia="Arial" w:hAnsi="Arial"/>
          <w:sz w:val="14"/>
          <w:szCs w:val="14"/>
          <w:color w:val="2F2F2F"/>
        </w:rPr>
      </w:pPr>
    </w:p>
    <w:p>
      <w:pPr>
        <w:ind w:left="487" w:hanging="379"/>
        <w:spacing w:after="0"/>
        <w:tabs>
          <w:tab w:leader="none" w:pos="487" w:val="left"/>
        </w:tabs>
        <w:numPr>
          <w:ilvl w:val="3"/>
          <w:numId w:val="159"/>
        </w:numPr>
        <w:rPr>
          <w:rFonts w:ascii="Arial" w:cs="Arial" w:eastAsia="Arial" w:hAnsi="Arial"/>
          <w:sz w:val="14"/>
          <w:szCs w:val="14"/>
          <w:color w:val="2F2F2F"/>
        </w:rPr>
      </w:pPr>
      <w:r>
        <w:rPr>
          <w:rFonts w:ascii="Arial" w:cs="Arial" w:eastAsia="Arial" w:hAnsi="Arial"/>
          <w:sz w:val="13"/>
          <w:szCs w:val="13"/>
          <w:color w:val="2F2F2F"/>
        </w:rPr>
        <w:t>Do or cause to be done all things necessary to preserve and keep in full force and effect its existence under the laws of its state of formation;</w:t>
      </w:r>
    </w:p>
    <w:p>
      <w:pPr>
        <w:spacing w:after="0" w:line="127" w:lineRule="exact"/>
        <w:rPr>
          <w:rFonts w:ascii="Arial" w:cs="Arial" w:eastAsia="Arial" w:hAnsi="Arial"/>
          <w:sz w:val="14"/>
          <w:szCs w:val="14"/>
          <w:color w:val="2F2F2F"/>
        </w:rPr>
      </w:pPr>
    </w:p>
    <w:p>
      <w:pPr>
        <w:ind w:left="387" w:right="20" w:hanging="288"/>
        <w:spacing w:after="0" w:line="227" w:lineRule="auto"/>
        <w:tabs>
          <w:tab w:leader="none" w:pos="387" w:val="left"/>
        </w:tabs>
        <w:numPr>
          <w:ilvl w:val="3"/>
          <w:numId w:val="159"/>
        </w:numPr>
        <w:rPr>
          <w:rFonts w:ascii="Arial" w:cs="Arial" w:eastAsia="Arial" w:hAnsi="Arial"/>
          <w:sz w:val="14"/>
          <w:szCs w:val="14"/>
          <w:color w:val="2F2F2F"/>
        </w:rPr>
      </w:pPr>
      <w:r>
        <w:rPr>
          <w:rFonts w:ascii="Arial" w:cs="Arial" w:eastAsia="Arial" w:hAnsi="Arial"/>
          <w:sz w:val="13"/>
          <w:szCs w:val="13"/>
          <w:color w:val="2F2F2F"/>
        </w:rPr>
        <w:t>Give prompt notice to the Lender of (i) any proceedings of which the Borrower has notice instituted by or against the Borrower, and (ii) any other action, event or condition of any nature which in either case the management of the Borrower reasonably believes could have, lead to or result in a material adverse effect upon the business, assets or financial condition of the Borrower;</w:t>
      </w:r>
    </w:p>
    <w:p>
      <w:pPr>
        <w:spacing w:after="0" w:line="105" w:lineRule="exact"/>
        <w:rPr>
          <w:rFonts w:ascii="Arial" w:cs="Arial" w:eastAsia="Arial" w:hAnsi="Arial"/>
          <w:sz w:val="14"/>
          <w:szCs w:val="14"/>
          <w:color w:val="2F2F2F"/>
        </w:rPr>
      </w:pPr>
    </w:p>
    <w:p>
      <w:pPr>
        <w:ind w:left="407" w:right="40" w:hanging="317"/>
        <w:spacing w:after="0" w:line="227" w:lineRule="auto"/>
        <w:tabs>
          <w:tab w:leader="none" w:pos="407" w:val="left"/>
        </w:tabs>
        <w:numPr>
          <w:ilvl w:val="2"/>
          <w:numId w:val="160"/>
        </w:numPr>
        <w:rPr>
          <w:rFonts w:ascii="Arial" w:cs="Arial" w:eastAsia="Arial" w:hAnsi="Arial"/>
          <w:sz w:val="14"/>
          <w:szCs w:val="14"/>
          <w:color w:val="2F2F2F"/>
        </w:rPr>
      </w:pPr>
      <w:r>
        <w:rPr>
          <w:rFonts w:ascii="Arial" w:cs="Arial" w:eastAsia="Arial" w:hAnsi="Arial"/>
          <w:sz w:val="13"/>
          <w:szCs w:val="13"/>
          <w:color w:val="2F2F2F"/>
        </w:rPr>
        <w:t xml:space="preserve">Refrain from mortgaging </w:t>
      </w:r>
      <w:r>
        <w:rPr>
          <w:rFonts w:ascii="Arial" w:cs="Arial" w:eastAsia="Arial" w:hAnsi="Arial"/>
          <w:sz w:val="13"/>
          <w:szCs w:val="13"/>
          <w:color w:val="545454"/>
        </w:rPr>
        <w:t>,</w:t>
      </w:r>
      <w:r>
        <w:rPr>
          <w:rFonts w:ascii="Arial" w:cs="Arial" w:eastAsia="Arial" w:hAnsi="Arial"/>
          <w:sz w:val="13"/>
          <w:szCs w:val="13"/>
          <w:color w:val="2F2F2F"/>
        </w:rPr>
        <w:t xml:space="preserve"> pledging, granting or permitting any </w:t>
      </w:r>
      <w:r>
        <w:rPr>
          <w:rFonts w:ascii="Arial" w:cs="Arial" w:eastAsia="Arial" w:hAnsi="Arial"/>
          <w:sz w:val="13"/>
          <w:szCs w:val="13"/>
          <w:color w:val="464646"/>
        </w:rPr>
        <w:t>security</w:t>
      </w:r>
      <w:r>
        <w:rPr>
          <w:rFonts w:ascii="Arial" w:cs="Arial" w:eastAsia="Arial" w:hAnsi="Arial"/>
          <w:sz w:val="13"/>
          <w:szCs w:val="13"/>
          <w:color w:val="2F2F2F"/>
        </w:rPr>
        <w:t xml:space="preserve"> interest, lien or encumbrance of any nature in any amount to exist with respect to any of the Borrower's property including without limitation the Property, except where such security interest, lien or encumbrance is for the benefit of the Lender or has otherwise been approved by the Lender;</w:t>
      </w:r>
    </w:p>
    <w:p>
      <w:pPr>
        <w:spacing w:after="0" w:line="101" w:lineRule="exact"/>
        <w:rPr>
          <w:rFonts w:ascii="Arial" w:cs="Arial" w:eastAsia="Arial" w:hAnsi="Arial"/>
          <w:sz w:val="14"/>
          <w:szCs w:val="14"/>
          <w:color w:val="2F2F2F"/>
        </w:rPr>
      </w:pPr>
    </w:p>
    <w:p>
      <w:pPr>
        <w:ind w:left="507" w:hanging="417"/>
        <w:spacing w:after="0"/>
        <w:tabs>
          <w:tab w:leader="none" w:pos="507" w:val="left"/>
        </w:tabs>
        <w:numPr>
          <w:ilvl w:val="2"/>
          <w:numId w:val="160"/>
        </w:numPr>
        <w:rPr>
          <w:rFonts w:ascii="Arial" w:cs="Arial" w:eastAsia="Arial" w:hAnsi="Arial"/>
          <w:sz w:val="14"/>
          <w:szCs w:val="14"/>
          <w:color w:val="2F2F2F"/>
        </w:rPr>
      </w:pPr>
      <w:r>
        <w:rPr>
          <w:rFonts w:ascii="Arial" w:cs="Arial" w:eastAsia="Arial" w:hAnsi="Arial"/>
          <w:sz w:val="13"/>
          <w:szCs w:val="13"/>
          <w:color w:val="2F2F2F"/>
        </w:rPr>
        <w:t xml:space="preserve">Provide to Lender all of the deliverables as and when required pursuant to Section 2.04 herein (collectively, the </w:t>
      </w:r>
      <w:r>
        <w:rPr>
          <w:rFonts w:ascii="Arial" w:cs="Arial" w:eastAsia="Arial" w:hAnsi="Arial"/>
          <w:sz w:val="13"/>
          <w:szCs w:val="13"/>
          <w:b w:val="1"/>
          <w:bCs w:val="1"/>
          <w:color w:val="464646"/>
        </w:rPr>
        <w:t>"Financial</w:t>
      </w:r>
      <w:r>
        <w:rPr>
          <w:rFonts w:ascii="Arial" w:cs="Arial" w:eastAsia="Arial" w:hAnsi="Arial"/>
          <w:sz w:val="13"/>
          <w:szCs w:val="13"/>
          <w:color w:val="2F2F2F"/>
        </w:rPr>
        <w:t xml:space="preserve"> </w:t>
      </w:r>
      <w:r>
        <w:rPr>
          <w:rFonts w:ascii="Arial" w:cs="Arial" w:eastAsia="Arial" w:hAnsi="Arial"/>
          <w:sz w:val="13"/>
          <w:szCs w:val="13"/>
          <w:b w:val="1"/>
          <w:bCs w:val="1"/>
          <w:color w:val="2F2F2F"/>
        </w:rPr>
        <w:t>Statements");</w:t>
      </w:r>
    </w:p>
    <w:p>
      <w:pPr>
        <w:spacing w:after="0" w:line="122" w:lineRule="exact"/>
        <w:rPr>
          <w:rFonts w:ascii="Arial" w:cs="Arial" w:eastAsia="Arial" w:hAnsi="Arial"/>
          <w:sz w:val="14"/>
          <w:szCs w:val="14"/>
          <w:color w:val="2F2F2F"/>
        </w:rPr>
      </w:pPr>
    </w:p>
    <w:p>
      <w:pPr>
        <w:ind w:left="387" w:hanging="315"/>
        <w:spacing w:after="0" w:line="227" w:lineRule="auto"/>
        <w:tabs>
          <w:tab w:leader="none" w:pos="387" w:val="left"/>
        </w:tabs>
        <w:numPr>
          <w:ilvl w:val="1"/>
          <w:numId w:val="161"/>
        </w:numPr>
        <w:rPr>
          <w:rFonts w:ascii="Arial" w:cs="Arial" w:eastAsia="Arial" w:hAnsi="Arial"/>
          <w:sz w:val="14"/>
          <w:szCs w:val="14"/>
          <w:color w:val="2F2F2F"/>
        </w:rPr>
      </w:pPr>
      <w:r>
        <w:rPr>
          <w:rFonts w:ascii="Arial" w:cs="Arial" w:eastAsia="Arial" w:hAnsi="Arial"/>
          <w:sz w:val="13"/>
          <w:szCs w:val="13"/>
          <w:color w:val="2F2F2F"/>
        </w:rPr>
        <w:t>Perform all of the Borrower's obligations under the First Mortgage encumbering the Property including without limitation, payment of all sums due thereunder, in a timely manner. Upon the maturity (by acceleration or otherwise, or upon prepayment thereof) of the First Mortgage held by Lender (or its assignee) covering the Property, or upon prepayment thereof, all amounts due hereunder shall simultaneously become due and payable;</w:t>
      </w:r>
    </w:p>
    <w:p>
      <w:pPr>
        <w:spacing w:after="0" w:line="114" w:lineRule="exact"/>
        <w:rPr>
          <w:rFonts w:ascii="Arial" w:cs="Arial" w:eastAsia="Arial" w:hAnsi="Arial"/>
          <w:sz w:val="14"/>
          <w:szCs w:val="14"/>
          <w:color w:val="2F2F2F"/>
        </w:rPr>
      </w:pPr>
    </w:p>
    <w:p>
      <w:pPr>
        <w:ind w:left="467" w:hanging="395"/>
        <w:spacing w:after="0"/>
        <w:tabs>
          <w:tab w:leader="none" w:pos="467" w:val="left"/>
        </w:tabs>
        <w:numPr>
          <w:ilvl w:val="1"/>
          <w:numId w:val="161"/>
        </w:numPr>
        <w:rPr>
          <w:rFonts w:ascii="Arial" w:cs="Arial" w:eastAsia="Arial" w:hAnsi="Arial"/>
          <w:sz w:val="14"/>
          <w:szCs w:val="14"/>
          <w:color w:val="2F2F2F"/>
        </w:rPr>
      </w:pPr>
      <w:r>
        <w:rPr>
          <w:rFonts w:ascii="Arial" w:cs="Arial" w:eastAsia="Arial" w:hAnsi="Arial"/>
          <w:sz w:val="13"/>
          <w:szCs w:val="13"/>
          <w:color w:val="2F2F2F"/>
        </w:rPr>
        <w:t>Not incur any additional indebtedness except, in the ordinary course of business, with customary time payment arrangements with vendors and suppliers; and</w:t>
      </w:r>
    </w:p>
    <w:p>
      <w:pPr>
        <w:spacing w:after="0" w:line="118" w:lineRule="exact"/>
        <w:rPr>
          <w:rFonts w:ascii="Arial" w:cs="Arial" w:eastAsia="Arial" w:hAnsi="Arial"/>
          <w:sz w:val="14"/>
          <w:szCs w:val="14"/>
          <w:color w:val="2F2F2F"/>
        </w:rPr>
      </w:pPr>
    </w:p>
    <w:p>
      <w:pPr>
        <w:ind w:left="367" w:right="120" w:hanging="367"/>
        <w:spacing w:after="0" w:line="227" w:lineRule="auto"/>
        <w:tabs>
          <w:tab w:leader="none" w:pos="367" w:val="left"/>
        </w:tabs>
        <w:numPr>
          <w:ilvl w:val="0"/>
          <w:numId w:val="162"/>
        </w:numPr>
        <w:rPr>
          <w:rFonts w:ascii="Arial" w:cs="Arial" w:eastAsia="Arial" w:hAnsi="Arial"/>
          <w:sz w:val="14"/>
          <w:szCs w:val="14"/>
          <w:color w:val="2F2F2F"/>
        </w:rPr>
      </w:pPr>
      <w:r>
        <w:rPr>
          <w:rFonts w:ascii="Arial" w:cs="Arial" w:eastAsia="Arial" w:hAnsi="Arial"/>
          <w:sz w:val="13"/>
          <w:szCs w:val="13"/>
          <w:color w:val="2F2F2F"/>
        </w:rPr>
        <w:t>Pay all sums that may be necessary to be paid in order to enforce the Note and to enforce and/or to record the Security Instrument and any agreement or any other documentation executed and delivered in connection with this Agreement, whether such sums be in the nature of recording fees, mortgage tax or any other expense in connection with such recording.</w:t>
      </w:r>
    </w:p>
    <w:p>
      <w:pPr>
        <w:spacing w:after="0" w:line="112" w:lineRule="exact"/>
        <w:rPr>
          <w:sz w:val="20"/>
          <w:szCs w:val="20"/>
          <w:color w:val="auto"/>
        </w:rPr>
      </w:pPr>
    </w:p>
    <w:p>
      <w:pPr>
        <w:ind w:left="7"/>
        <w:spacing w:after="0"/>
        <w:tabs>
          <w:tab w:leader="none" w:pos="787" w:val="left"/>
        </w:tabs>
        <w:rPr>
          <w:sz w:val="20"/>
          <w:szCs w:val="20"/>
          <w:color w:val="auto"/>
        </w:rPr>
      </w:pPr>
      <w:r>
        <w:rPr>
          <w:rFonts w:ascii="Arial" w:cs="Arial" w:eastAsia="Arial" w:hAnsi="Arial"/>
          <w:sz w:val="14"/>
          <w:szCs w:val="14"/>
          <w:color w:val="2F2F2F"/>
        </w:rPr>
        <w:t>Section 2.03</w:t>
      </w:r>
      <w:r>
        <w:rPr>
          <w:sz w:val="20"/>
          <w:szCs w:val="20"/>
          <w:color w:val="auto"/>
        </w:rPr>
        <w:tab/>
      </w:r>
      <w:r>
        <w:rPr>
          <w:rFonts w:ascii="Arial" w:cs="Arial" w:eastAsia="Arial" w:hAnsi="Arial"/>
          <w:sz w:val="12"/>
          <w:szCs w:val="12"/>
          <w:b w:val="1"/>
          <w:bCs w:val="1"/>
          <w:color w:val="2F2F2F"/>
        </w:rPr>
        <w:t>Negative Pledge Covenants.</w:t>
      </w:r>
    </w:p>
    <w:p>
      <w:pPr>
        <w:spacing w:after="0" w:line="202" w:lineRule="exact"/>
        <w:rPr>
          <w:sz w:val="20"/>
          <w:szCs w:val="20"/>
          <w:color w:val="auto"/>
        </w:rPr>
      </w:pPr>
    </w:p>
    <w:p>
      <w:pPr>
        <w:ind w:left="67"/>
        <w:spacing w:after="0"/>
        <w:rPr>
          <w:sz w:val="20"/>
          <w:szCs w:val="20"/>
          <w:color w:val="auto"/>
        </w:rPr>
      </w:pPr>
      <w:r>
        <w:rPr>
          <w:rFonts w:ascii="Arial" w:cs="Arial" w:eastAsia="Arial" w:hAnsi="Arial"/>
          <w:sz w:val="12"/>
          <w:szCs w:val="12"/>
          <w:color w:val="2F2F2F"/>
        </w:rPr>
        <w:t>The Borrower pledges, covenants and agrees that so long as this Agreement shall remain in effect it shall not, without the prior written consent of the Lender, do any of the following:</w:t>
      </w:r>
    </w:p>
    <w:p>
      <w:pPr>
        <w:spacing w:after="0" w:line="150" w:lineRule="exact"/>
        <w:rPr>
          <w:sz w:val="20"/>
          <w:szCs w:val="20"/>
          <w:color w:val="auto"/>
        </w:rPr>
      </w:pPr>
    </w:p>
    <w:p>
      <w:pPr>
        <w:ind w:left="67" w:right="140" w:firstLine="32"/>
        <w:spacing w:after="0" w:line="232" w:lineRule="auto"/>
        <w:tabs>
          <w:tab w:leader="none" w:pos="519" w:val="left"/>
        </w:tabs>
        <w:numPr>
          <w:ilvl w:val="0"/>
          <w:numId w:val="163"/>
        </w:numPr>
        <w:rPr>
          <w:rFonts w:ascii="Arial" w:cs="Arial" w:eastAsia="Arial" w:hAnsi="Arial"/>
          <w:sz w:val="14"/>
          <w:szCs w:val="14"/>
          <w:color w:val="2F2F2F"/>
        </w:rPr>
      </w:pPr>
      <w:r>
        <w:rPr>
          <w:rFonts w:ascii="Arial" w:cs="Arial" w:eastAsia="Arial" w:hAnsi="Arial"/>
          <w:sz w:val="13"/>
          <w:szCs w:val="13"/>
          <w:color w:val="2F2F2F"/>
        </w:rPr>
        <w:t>Except as otherwise permitted in the Security Instrument and the First Mortgage, sell, transfer or otherwise convey, either voluntarily or involuntarily, all or any portion of the Property or any interest or estate therein;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wp:posOffset>
            </wp:positionH>
            <wp:positionV relativeFrom="paragraph">
              <wp:posOffset>278130</wp:posOffset>
            </wp:positionV>
            <wp:extent cx="631698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316980" cy="42545"/>
                    </a:xfrm>
                    <a:prstGeom prst="rect">
                      <a:avLst/>
                    </a:prstGeom>
                    <a:noFill/>
                  </pic:spPr>
                </pic:pic>
              </a:graphicData>
            </a:graphic>
          </wp:anchor>
        </w:drawing>
      </w:r>
    </w:p>
    <w:p>
      <w:pPr>
        <w:sectPr>
          <w:pgSz w:w="11900" w:h="16838" w:orient="portrait"/>
          <w:cols w:equalWidth="0" w:num="1">
            <w:col w:w="9847"/>
          </w:cols>
          <w:pgMar w:left="1113" w:top="219" w:right="939" w:bottom="1440" w:gutter="0" w:footer="0" w:header="0"/>
        </w:sectPr>
      </w:pPr>
    </w:p>
    <w:bookmarkStart w:id="174" w:name="page175"/>
    <w:bookmarkEnd w:id="174"/>
    <w:p>
      <w:pPr>
        <w:ind w:left="280" w:right="200" w:firstLine="32"/>
        <w:spacing w:after="0" w:line="285" w:lineRule="auto"/>
        <w:tabs>
          <w:tab w:leader="none" w:pos="668" w:val="left"/>
        </w:tabs>
        <w:numPr>
          <w:ilvl w:val="1"/>
          <w:numId w:val="164"/>
        </w:numPr>
        <w:rPr>
          <w:rFonts w:ascii="Arial" w:cs="Arial" w:eastAsia="Arial" w:hAnsi="Arial"/>
          <w:sz w:val="13"/>
          <w:szCs w:val="13"/>
          <w:color w:val="2F2F2F"/>
        </w:rPr>
      </w:pPr>
      <w:r>
        <w:rPr>
          <w:rFonts w:ascii="Arial" w:cs="Arial" w:eastAsia="Arial" w:hAnsi="Arial"/>
          <w:sz w:val="13"/>
          <w:szCs w:val="13"/>
          <w:color w:val="2F2F2F"/>
        </w:rPr>
        <w:t xml:space="preserve">Grant or suffer to exist any mortgage, pledge, lien, secured interest, hypothecation or other encumbrances upon the Property including any personal prope1iy owned by the Borrower now or hereafter placed in or attached </w:t>
      </w:r>
      <w:r>
        <w:rPr>
          <w:rFonts w:ascii="Arial" w:cs="Arial" w:eastAsia="Arial" w:hAnsi="Arial"/>
          <w:sz w:val="13"/>
          <w:szCs w:val="13"/>
          <w:i w:val="1"/>
          <w:iCs w:val="1"/>
          <w:color w:val="2F2F2F"/>
        </w:rPr>
        <w:t>to</w:t>
      </w:r>
      <w:r>
        <w:rPr>
          <w:rFonts w:ascii="Arial" w:cs="Arial" w:eastAsia="Arial" w:hAnsi="Arial"/>
          <w:sz w:val="13"/>
          <w:szCs w:val="13"/>
          <w:color w:val="2F2F2F"/>
        </w:rPr>
        <w:t xml:space="preserve"> and necessarily used in connection with the Property except as maybe approved by Lender; or</w:t>
      </w:r>
    </w:p>
    <w:p>
      <w:pPr>
        <w:spacing w:after="0" w:line="99" w:lineRule="exact"/>
        <w:rPr>
          <w:rFonts w:ascii="Arial" w:cs="Arial" w:eastAsia="Arial" w:hAnsi="Arial"/>
          <w:sz w:val="13"/>
          <w:szCs w:val="13"/>
          <w:color w:val="2F2F2F"/>
        </w:rPr>
      </w:pPr>
    </w:p>
    <w:p>
      <w:pPr>
        <w:ind w:left="660" w:hanging="348"/>
        <w:spacing w:after="0"/>
        <w:tabs>
          <w:tab w:leader="none" w:pos="660" w:val="left"/>
        </w:tabs>
        <w:numPr>
          <w:ilvl w:val="1"/>
          <w:numId w:val="164"/>
        </w:numPr>
        <w:rPr>
          <w:rFonts w:ascii="Arial" w:cs="Arial" w:eastAsia="Arial" w:hAnsi="Arial"/>
          <w:sz w:val="14"/>
          <w:szCs w:val="14"/>
          <w:color w:val="2F2F2F"/>
        </w:rPr>
      </w:pPr>
      <w:r>
        <w:rPr>
          <w:rFonts w:ascii="Arial" w:cs="Arial" w:eastAsia="Arial" w:hAnsi="Arial"/>
          <w:sz w:val="13"/>
          <w:szCs w:val="13"/>
          <w:color w:val="2F2F2F"/>
        </w:rPr>
        <w:t>Except for the Master Lease, enter into any leasing arrangement of any kind in respect of all or substantially all of the Property;</w:t>
      </w:r>
    </w:p>
    <w:p>
      <w:pPr>
        <w:spacing w:after="0" w:line="127" w:lineRule="exact"/>
        <w:rPr>
          <w:rFonts w:ascii="Arial" w:cs="Arial" w:eastAsia="Arial" w:hAnsi="Arial"/>
          <w:sz w:val="14"/>
          <w:szCs w:val="14"/>
          <w:color w:val="2F2F2F"/>
        </w:rPr>
      </w:pPr>
    </w:p>
    <w:p>
      <w:pPr>
        <w:ind w:left="660" w:hanging="357"/>
        <w:spacing w:after="0"/>
        <w:tabs>
          <w:tab w:leader="none" w:pos="660" w:val="left"/>
        </w:tabs>
        <w:numPr>
          <w:ilvl w:val="1"/>
          <w:numId w:val="164"/>
        </w:numPr>
        <w:rPr>
          <w:rFonts w:ascii="Arial" w:cs="Arial" w:eastAsia="Arial" w:hAnsi="Arial"/>
          <w:sz w:val="14"/>
          <w:szCs w:val="14"/>
          <w:color w:val="2F2F2F"/>
        </w:rPr>
      </w:pPr>
      <w:r>
        <w:rPr>
          <w:rFonts w:ascii="Arial" w:cs="Arial" w:eastAsia="Arial" w:hAnsi="Arial"/>
          <w:sz w:val="13"/>
          <w:szCs w:val="13"/>
          <w:color w:val="2F2F2F"/>
        </w:rPr>
        <w:t>Reduce the rent payable by the tenant pursuant to the Master Lease or enter into any amendments or modifications of the Master Lease;</w:t>
      </w:r>
    </w:p>
    <w:p>
      <w:pPr>
        <w:spacing w:after="0" w:line="127" w:lineRule="exact"/>
        <w:rPr>
          <w:rFonts w:ascii="Arial" w:cs="Arial" w:eastAsia="Arial" w:hAnsi="Arial"/>
          <w:sz w:val="14"/>
          <w:szCs w:val="14"/>
          <w:color w:val="2F2F2F"/>
        </w:rPr>
      </w:pPr>
    </w:p>
    <w:p>
      <w:pPr>
        <w:ind w:left="260" w:firstLine="43"/>
        <w:spacing w:after="0" w:line="232" w:lineRule="auto"/>
        <w:tabs>
          <w:tab w:leader="none" w:pos="665" w:val="left"/>
        </w:tabs>
        <w:numPr>
          <w:ilvl w:val="1"/>
          <w:numId w:val="164"/>
        </w:numPr>
        <w:rPr>
          <w:rFonts w:ascii="Arial" w:cs="Arial" w:eastAsia="Arial" w:hAnsi="Arial"/>
          <w:sz w:val="14"/>
          <w:szCs w:val="14"/>
          <w:color w:val="2F2F2F"/>
        </w:rPr>
      </w:pPr>
      <w:r>
        <w:rPr>
          <w:rFonts w:ascii="Arial" w:cs="Arial" w:eastAsia="Arial" w:hAnsi="Arial"/>
          <w:sz w:val="13"/>
          <w:szCs w:val="13"/>
          <w:color w:val="2F2F2F"/>
        </w:rPr>
        <w:t>Suffer or permit any mechanics' or other statutory lien which is filed against the Property to remain undischarged or not bonded for a period exceeding sixty (60) days beyond the filing date thereof; or</w:t>
      </w:r>
    </w:p>
    <w:p>
      <w:pPr>
        <w:spacing w:after="0" w:line="123" w:lineRule="exact"/>
        <w:rPr>
          <w:rFonts w:ascii="Arial" w:cs="Arial" w:eastAsia="Arial" w:hAnsi="Arial"/>
          <w:sz w:val="14"/>
          <w:szCs w:val="14"/>
          <w:color w:val="2F2F2F"/>
        </w:rPr>
      </w:pPr>
    </w:p>
    <w:p>
      <w:pPr>
        <w:ind w:left="240" w:right="40" w:firstLine="45"/>
        <w:spacing w:after="0" w:line="224" w:lineRule="auto"/>
        <w:tabs>
          <w:tab w:leader="none" w:pos="644" w:val="left"/>
        </w:tabs>
        <w:numPr>
          <w:ilvl w:val="0"/>
          <w:numId w:val="165"/>
        </w:numPr>
        <w:rPr>
          <w:rFonts w:ascii="Arial" w:cs="Arial" w:eastAsia="Arial" w:hAnsi="Arial"/>
          <w:sz w:val="14"/>
          <w:szCs w:val="14"/>
          <w:color w:val="2F2F2F"/>
        </w:rPr>
      </w:pPr>
      <w:r>
        <w:rPr>
          <w:rFonts w:ascii="Arial" w:cs="Arial" w:eastAsia="Arial" w:hAnsi="Arial"/>
          <w:sz w:val="13"/>
          <w:szCs w:val="13"/>
          <w:color w:val="2F2F2F"/>
        </w:rPr>
        <w:t xml:space="preserve">Grant or suffer to exist any </w:t>
      </w:r>
      <w:r>
        <w:rPr>
          <w:rFonts w:ascii="Arial" w:cs="Arial" w:eastAsia="Arial" w:hAnsi="Arial"/>
          <w:sz w:val="13"/>
          <w:szCs w:val="13"/>
          <w:color w:val="444444"/>
        </w:rPr>
        <w:t>indebtedness</w:t>
      </w:r>
      <w:r>
        <w:rPr>
          <w:rFonts w:ascii="Arial" w:cs="Arial" w:eastAsia="Arial" w:hAnsi="Arial"/>
          <w:sz w:val="13"/>
          <w:szCs w:val="13"/>
          <w:color w:val="2F2F2F"/>
        </w:rPr>
        <w:t xml:space="preserve"> (secured or unsecured), other than indebtedness owing to Lender, or grant or suffer to exist any Lien on or with respect to any deposit accounts (other than any Lien in favor of the Lender), whether now owned or hereafter </w:t>
      </w:r>
      <w:r>
        <w:rPr>
          <w:rFonts w:ascii="Arial" w:cs="Arial" w:eastAsia="Arial" w:hAnsi="Arial"/>
          <w:sz w:val="13"/>
          <w:szCs w:val="13"/>
          <w:color w:val="444444"/>
        </w:rPr>
        <w:t>acquired</w:t>
      </w:r>
      <w:r>
        <w:rPr>
          <w:rFonts w:ascii="Arial" w:cs="Arial" w:eastAsia="Arial" w:hAnsi="Arial"/>
          <w:sz w:val="13"/>
          <w:szCs w:val="13"/>
          <w:color w:val="2F2F2F"/>
        </w:rPr>
        <w:t xml:space="preserve"> by the Borrower, or pledge; assign or transfer any rights to any deposit accounts, </w:t>
      </w:r>
      <w:r>
        <w:rPr>
          <w:rFonts w:ascii="Arial" w:cs="Arial" w:eastAsia="Arial" w:hAnsi="Arial"/>
          <w:sz w:val="13"/>
          <w:szCs w:val="13"/>
          <w:color w:val="444444"/>
        </w:rPr>
        <w:t xml:space="preserve">except </w:t>
      </w:r>
      <w:r>
        <w:rPr>
          <w:rFonts w:ascii="Arial" w:cs="Arial" w:eastAsia="Arial" w:hAnsi="Arial"/>
          <w:sz w:val="13"/>
          <w:szCs w:val="13"/>
          <w:color w:val="2F2F2F"/>
        </w:rPr>
        <w:t>as may be approved in writing by Lender.</w:t>
      </w:r>
      <w:r>
        <w:rPr>
          <w:rFonts w:ascii="Arial" w:cs="Arial" w:eastAsia="Arial" w:hAnsi="Arial"/>
          <w:sz w:val="13"/>
          <w:szCs w:val="13"/>
          <w:color w:val="444444"/>
        </w:rPr>
        <w:t xml:space="preserve"> </w:t>
      </w:r>
      <w:r>
        <w:rPr>
          <w:rFonts w:ascii="Arial" w:cs="Arial" w:eastAsia="Arial" w:hAnsi="Arial"/>
          <w:sz w:val="13"/>
          <w:szCs w:val="13"/>
          <w:b w:val="1"/>
          <w:bCs w:val="1"/>
          <w:color w:val="2F2F2F"/>
        </w:rPr>
        <w:t>"Lien"</w:t>
      </w:r>
      <w:r>
        <w:rPr>
          <w:rFonts w:ascii="Arial" w:cs="Arial" w:eastAsia="Arial" w:hAnsi="Arial"/>
          <w:sz w:val="13"/>
          <w:szCs w:val="13"/>
          <w:color w:val="444444"/>
        </w:rPr>
        <w:t xml:space="preserve"> </w:t>
      </w:r>
      <w:r>
        <w:rPr>
          <w:rFonts w:ascii="Arial" w:cs="Arial" w:eastAsia="Arial" w:hAnsi="Arial"/>
          <w:sz w:val="13"/>
          <w:szCs w:val="13"/>
          <w:color w:val="2F2F2F"/>
        </w:rPr>
        <w:t>means any mortgage, pledge, hypothecation, assignment, deposit arrangement, encumbrance, lien (statutory or other), or</w:t>
      </w:r>
      <w:r>
        <w:rPr>
          <w:rFonts w:ascii="Arial" w:cs="Arial" w:eastAsia="Arial" w:hAnsi="Arial"/>
          <w:sz w:val="13"/>
          <w:szCs w:val="13"/>
          <w:color w:val="444444"/>
        </w:rPr>
        <w:t xml:space="preserve"> </w:t>
      </w:r>
      <w:r>
        <w:rPr>
          <w:rFonts w:ascii="Arial" w:cs="Arial" w:eastAsia="Arial" w:hAnsi="Arial"/>
          <w:sz w:val="13"/>
          <w:szCs w:val="13"/>
          <w:color w:val="2F2F2F"/>
        </w:rPr>
        <w:t>preference, priority of other security agreement or preferential arrangement of any kind or nature whatsoever.</w:t>
      </w:r>
    </w:p>
    <w:p>
      <w:pPr>
        <w:spacing w:after="0" w:line="221" w:lineRule="exact"/>
        <w:rPr>
          <w:sz w:val="20"/>
          <w:szCs w:val="20"/>
          <w:color w:val="auto"/>
        </w:rPr>
      </w:pPr>
    </w:p>
    <w:p>
      <w:pPr>
        <w:ind w:left="180"/>
        <w:spacing w:after="0"/>
        <w:rPr>
          <w:sz w:val="20"/>
          <w:szCs w:val="20"/>
          <w:color w:val="auto"/>
        </w:rPr>
      </w:pPr>
      <w:r>
        <w:rPr>
          <w:rFonts w:ascii="Arial" w:cs="Arial" w:eastAsia="Arial" w:hAnsi="Arial"/>
          <w:sz w:val="14"/>
          <w:szCs w:val="14"/>
          <w:color w:val="2F2F2F"/>
        </w:rPr>
        <w:t xml:space="preserve">Section 2.04 </w:t>
      </w:r>
      <w:r>
        <w:rPr>
          <w:rFonts w:ascii="Arial" w:cs="Arial" w:eastAsia="Arial" w:hAnsi="Arial"/>
          <w:sz w:val="14"/>
          <w:szCs w:val="14"/>
          <w:b w:val="1"/>
          <w:bCs w:val="1"/>
          <w:color w:val="444444"/>
        </w:rPr>
        <w:t>Books and Records.</w:t>
      </w:r>
      <w:r>
        <w:rPr>
          <w:rFonts w:ascii="Arial" w:cs="Arial" w:eastAsia="Arial" w:hAnsi="Arial"/>
          <w:sz w:val="14"/>
          <w:szCs w:val="14"/>
          <w:color w:val="2F2F2F"/>
        </w:rPr>
        <w:t xml:space="preserve"> </w:t>
      </w:r>
      <w:r>
        <w:rPr>
          <w:rFonts w:ascii="Arial" w:cs="Arial" w:eastAsia="Arial" w:hAnsi="Arial"/>
          <w:sz w:val="9"/>
          <w:szCs w:val="9"/>
          <w:b w:val="1"/>
          <w:bCs w:val="1"/>
          <w:color w:val="444444"/>
        </w:rPr>
        <w:t>1</w:t>
      </w:r>
    </w:p>
    <w:p>
      <w:pPr>
        <w:spacing w:after="0" w:line="139" w:lineRule="exact"/>
        <w:rPr>
          <w:sz w:val="20"/>
          <w:szCs w:val="20"/>
          <w:color w:val="auto"/>
        </w:rPr>
      </w:pPr>
    </w:p>
    <w:p>
      <w:pPr>
        <w:ind w:left="560" w:right="20" w:hanging="329"/>
        <w:spacing w:after="0" w:line="239" w:lineRule="auto"/>
        <w:tabs>
          <w:tab w:leader="none" w:pos="560" w:val="left"/>
        </w:tabs>
        <w:numPr>
          <w:ilvl w:val="0"/>
          <w:numId w:val="166"/>
        </w:numPr>
        <w:rPr>
          <w:rFonts w:ascii="Arial" w:cs="Arial" w:eastAsia="Arial" w:hAnsi="Arial"/>
          <w:sz w:val="13"/>
          <w:szCs w:val="13"/>
          <w:color w:val="2F2F2F"/>
        </w:rPr>
      </w:pPr>
      <w:r>
        <w:rPr>
          <w:rFonts w:ascii="Arial" w:cs="Arial" w:eastAsia="Arial" w:hAnsi="Arial"/>
          <w:sz w:val="12"/>
          <w:szCs w:val="12"/>
          <w:color w:val="2F2F2F"/>
        </w:rPr>
        <w:t>Borrower shall keep accurate books and records of account in accordance with generally accepted accounting principles in which full, true and correct entries shall be promptly made with respect to Borrower</w:t>
      </w:r>
      <w:r>
        <w:rPr>
          <w:rFonts w:ascii="Arial" w:cs="Arial" w:eastAsia="Arial" w:hAnsi="Arial"/>
          <w:sz w:val="12"/>
          <w:szCs w:val="12"/>
          <w:color w:val="525252"/>
        </w:rPr>
        <w:t>,</w:t>
      </w:r>
      <w:r>
        <w:rPr>
          <w:rFonts w:ascii="Arial" w:cs="Arial" w:eastAsia="Arial" w:hAnsi="Arial"/>
          <w:sz w:val="12"/>
          <w:szCs w:val="12"/>
          <w:color w:val="2F2F2F"/>
        </w:rPr>
        <w:t xml:space="preserve"> the Property and the operation thereof, and will permit all such books and records (including without limitation all contracts, statements, invoices, bills </w:t>
      </w:r>
      <w:r>
        <w:rPr>
          <w:rFonts w:ascii="Arial" w:cs="Arial" w:eastAsia="Arial" w:hAnsi="Arial"/>
          <w:sz w:val="12"/>
          <w:szCs w:val="12"/>
          <w:color w:val="444444"/>
        </w:rPr>
        <w:t>and</w:t>
      </w:r>
      <w:r>
        <w:rPr>
          <w:rFonts w:ascii="Arial" w:cs="Arial" w:eastAsia="Arial" w:hAnsi="Arial"/>
          <w:sz w:val="12"/>
          <w:szCs w:val="12"/>
          <w:color w:val="2F2F2F"/>
        </w:rPr>
        <w:t xml:space="preserve"> claims for labor, materials and services supplied for the construction, repair or operation to Borrower of the Improvements) to be inspected or audited and copies made by Lender and its representatives during normal business hours and at any other reasonable times on at least forty eight </w:t>
      </w:r>
      <w:r>
        <w:rPr>
          <w:rFonts w:ascii="Arial" w:cs="Arial" w:eastAsia="Arial" w:hAnsi="Arial"/>
          <w:sz w:val="12"/>
          <w:szCs w:val="12"/>
          <w:color w:val="444444"/>
        </w:rPr>
        <w:t>(</w:t>
      </w:r>
      <w:r>
        <w:rPr>
          <w:rFonts w:ascii="Arial" w:cs="Arial" w:eastAsia="Arial" w:hAnsi="Arial"/>
          <w:sz w:val="12"/>
          <w:szCs w:val="12"/>
          <w:color w:val="2F2F2F"/>
        </w:rPr>
        <w:t>48) hours advance notice. Borrower represents that its chief executive office is as set forth in the introductory paragraph of this Agreement and that all books and records pertaining to the Property are maintained at the Property or at its chief executive office. Borrower will furnish, or cause to be furnished, to Lender on or before ninety (90) calendar days following the end of each calendar year the following items, each certified by Borrower as being true and correct, in such format and in such detail as Lender or its servicer may reasonably request:</w:t>
      </w:r>
    </w:p>
    <w:p>
      <w:pPr>
        <w:spacing w:after="0" w:line="8" w:lineRule="exact"/>
        <w:rPr>
          <w:rFonts w:ascii="Arial" w:cs="Arial" w:eastAsia="Arial" w:hAnsi="Arial"/>
          <w:sz w:val="13"/>
          <w:szCs w:val="13"/>
          <w:color w:val="2F2F2F"/>
        </w:rPr>
      </w:pPr>
    </w:p>
    <w:p>
      <w:pPr>
        <w:ind w:left="1180" w:hanging="517"/>
        <w:spacing w:after="0" w:line="227" w:lineRule="auto"/>
        <w:tabs>
          <w:tab w:leader="none" w:pos="1180" w:val="left"/>
        </w:tabs>
        <w:numPr>
          <w:ilvl w:val="1"/>
          <w:numId w:val="166"/>
        </w:numPr>
        <w:rPr>
          <w:rFonts w:ascii="Arial" w:cs="Arial" w:eastAsia="Arial" w:hAnsi="Arial"/>
          <w:sz w:val="14"/>
          <w:szCs w:val="14"/>
          <w:color w:val="2F2F2F"/>
        </w:rPr>
      </w:pPr>
      <w:r>
        <w:rPr>
          <w:rFonts w:ascii="Arial" w:cs="Arial" w:eastAsia="Arial" w:hAnsi="Arial"/>
          <w:sz w:val="13"/>
          <w:szCs w:val="13"/>
          <w:color w:val="2F2F2F"/>
        </w:rPr>
        <w:t>a written statement (rent roll) dated as of the last day of each such calendar year identifying each of the Leases by the term, space occupied, rental required to be paid (including percentage rents and tenant sales), security deposit paid</w:t>
      </w:r>
      <w:r>
        <w:rPr>
          <w:rFonts w:ascii="Arial" w:cs="Arial" w:eastAsia="Arial" w:hAnsi="Arial"/>
          <w:sz w:val="13"/>
          <w:szCs w:val="13"/>
          <w:color w:val="525252"/>
        </w:rPr>
        <w:t>,</w:t>
      </w:r>
      <w:r>
        <w:rPr>
          <w:rFonts w:ascii="Arial" w:cs="Arial" w:eastAsia="Arial" w:hAnsi="Arial"/>
          <w:sz w:val="13"/>
          <w:szCs w:val="13"/>
          <w:color w:val="2F2F2F"/>
        </w:rPr>
        <w:t xml:space="preserve"> any rental concessions, all rent escalations, any rents paid more than one </w:t>
      </w:r>
      <w:r>
        <w:rPr>
          <w:rFonts w:ascii="Arial" w:cs="Arial" w:eastAsia="Arial" w:hAnsi="Arial"/>
          <w:sz w:val="13"/>
          <w:szCs w:val="13"/>
          <w:color w:val="444444"/>
        </w:rPr>
        <w:t>(1)</w:t>
      </w:r>
      <w:r>
        <w:rPr>
          <w:rFonts w:ascii="Arial" w:cs="Arial" w:eastAsia="Arial" w:hAnsi="Arial"/>
          <w:sz w:val="13"/>
          <w:szCs w:val="13"/>
          <w:color w:val="2F2F2F"/>
        </w:rPr>
        <w:t xml:space="preserve"> month in advance, any special provisions or inducements granted to tenants, any</w:t>
      </w:r>
    </w:p>
    <w:p>
      <w:pPr>
        <w:spacing w:after="0" w:line="215" w:lineRule="exact"/>
        <w:rPr>
          <w:sz w:val="20"/>
          <w:szCs w:val="20"/>
          <w:color w:val="auto"/>
        </w:rPr>
      </w:pPr>
    </w:p>
    <w:p>
      <w:pPr>
        <w:spacing w:after="0"/>
        <w:rPr>
          <w:sz w:val="20"/>
          <w:szCs w:val="20"/>
          <w:color w:val="auto"/>
        </w:rPr>
      </w:pPr>
      <w:r>
        <w:rPr>
          <w:rFonts w:ascii="Arial" w:cs="Arial" w:eastAsia="Arial" w:hAnsi="Arial"/>
          <w:sz w:val="12"/>
          <w:szCs w:val="12"/>
          <w:color w:val="444444"/>
        </w:rPr>
        <w:t xml:space="preserve">2.04 </w:t>
      </w:r>
      <w:r>
        <w:rPr>
          <w:rFonts w:ascii="Arial" w:cs="Arial" w:eastAsia="Arial" w:hAnsi="Arial"/>
          <w:sz w:val="12"/>
          <w:szCs w:val="12"/>
          <w:color w:val="2F2F2F"/>
        </w:rPr>
        <w:t>same as Section 3.8 of the Mortgage</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4"/>
          <w:szCs w:val="14"/>
          <w:color w:val="auto"/>
        </w:rPr>
        <w:t>taxes, maintenance and other common charges paid by tenants, all vacancies and identifying any defaults or payment delinquencies thereunder;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203200</wp:posOffset>
            </wp:positionV>
            <wp:extent cx="631698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316980" cy="42545"/>
                    </a:xfrm>
                    <a:prstGeom prst="rect">
                      <a:avLst/>
                    </a:prstGeom>
                    <a:noFill/>
                  </pic:spPr>
                </pic:pic>
              </a:graphicData>
            </a:graphic>
          </wp:anchor>
        </w:drawing>
      </w:r>
    </w:p>
    <w:p>
      <w:pPr>
        <w:sectPr>
          <w:pgSz w:w="11900" w:h="16838" w:orient="portrait"/>
          <w:cols w:equalWidth="0" w:num="1">
            <w:col w:w="9920"/>
          </w:cols>
          <w:pgMar w:left="900" w:top="116" w:right="1079" w:bottom="1440" w:gutter="0" w:footer="0" w:header="0"/>
        </w:sectPr>
      </w:pPr>
    </w:p>
    <w:bookmarkStart w:id="175" w:name="page176"/>
    <w:bookmarkEnd w:id="175"/>
    <w:p>
      <w:pPr>
        <w:ind w:left="463" w:right="260" w:hanging="463"/>
        <w:spacing w:after="0" w:line="273" w:lineRule="auto"/>
        <w:tabs>
          <w:tab w:leader="none" w:pos="463" w:val="left"/>
        </w:tabs>
        <w:numPr>
          <w:ilvl w:val="0"/>
          <w:numId w:val="167"/>
        </w:numPr>
        <w:rPr>
          <w:rFonts w:ascii="Arial" w:cs="Arial" w:eastAsia="Arial" w:hAnsi="Arial"/>
          <w:sz w:val="14"/>
          <w:szCs w:val="14"/>
          <w:color w:val="auto"/>
        </w:rPr>
      </w:pPr>
      <w:r>
        <w:rPr>
          <w:rFonts w:ascii="Arial" w:cs="Arial" w:eastAsia="Arial" w:hAnsi="Arial"/>
          <w:sz w:val="14"/>
          <w:szCs w:val="14"/>
          <w:color w:val="auto"/>
        </w:rPr>
        <w:t>year-to-date operating statements prepared for each calendar quarter during each such reporting period detailing the total revenues received, total expenses incurred, total cost of all capital improvements, total debt service and total cash flow; and</w:t>
      </w:r>
    </w:p>
    <w:p>
      <w:pPr>
        <w:spacing w:after="0" w:line="111" w:lineRule="exact"/>
        <w:rPr>
          <w:rFonts w:ascii="Arial" w:cs="Arial" w:eastAsia="Arial" w:hAnsi="Arial"/>
          <w:sz w:val="14"/>
          <w:szCs w:val="14"/>
          <w:color w:val="auto"/>
        </w:rPr>
      </w:pPr>
    </w:p>
    <w:p>
      <w:pPr>
        <w:ind w:left="703" w:hanging="703"/>
        <w:spacing w:after="0"/>
        <w:tabs>
          <w:tab w:leader="none" w:pos="703" w:val="left"/>
        </w:tabs>
        <w:numPr>
          <w:ilvl w:val="0"/>
          <w:numId w:val="167"/>
        </w:numPr>
        <w:rPr>
          <w:rFonts w:ascii="Arial" w:cs="Arial" w:eastAsia="Arial" w:hAnsi="Arial"/>
          <w:sz w:val="14"/>
          <w:szCs w:val="14"/>
          <w:color w:val="auto"/>
        </w:rPr>
      </w:pPr>
      <w:r>
        <w:rPr>
          <w:rFonts w:ascii="Arial" w:cs="Arial" w:eastAsia="Arial" w:hAnsi="Arial"/>
          <w:sz w:val="14"/>
          <w:szCs w:val="14"/>
          <w:color w:val="auto"/>
        </w:rPr>
        <w:t>a current personal financial statement of each Guarantor, if applicable, in a form satisfactory to Lender.</w:t>
      </w:r>
    </w:p>
    <w:p>
      <w:pPr>
        <w:spacing w:after="0" w:line="127" w:lineRule="exact"/>
        <w:rPr>
          <w:rFonts w:ascii="Arial" w:cs="Arial" w:eastAsia="Arial" w:hAnsi="Arial"/>
          <w:sz w:val="14"/>
          <w:szCs w:val="14"/>
          <w:color w:val="auto"/>
        </w:rPr>
      </w:pPr>
    </w:p>
    <w:p>
      <w:pPr>
        <w:ind w:left="63" w:right="80" w:firstLine="864"/>
        <w:spacing w:after="0" w:line="215" w:lineRule="auto"/>
        <w:tabs>
          <w:tab w:leader="none" w:pos="1493" w:val="left"/>
        </w:tabs>
        <w:numPr>
          <w:ilvl w:val="2"/>
          <w:numId w:val="167"/>
        </w:numPr>
        <w:rPr>
          <w:rFonts w:ascii="Arial" w:cs="Arial" w:eastAsia="Arial" w:hAnsi="Arial"/>
          <w:sz w:val="14"/>
          <w:szCs w:val="14"/>
          <w:color w:val="auto"/>
        </w:rPr>
      </w:pPr>
      <w:r>
        <w:rPr>
          <w:rFonts w:ascii="Arial" w:cs="Arial" w:eastAsia="Arial" w:hAnsi="Arial"/>
          <w:sz w:val="14"/>
          <w:szCs w:val="14"/>
          <w:color w:val="auto"/>
        </w:rPr>
        <w:t>Within ninety (90) calendar days following the end of each calendar year, Borrower shall furnish a statement of the financial affairs and condition of the Borrower and the Property including a statement of profit and loss for the Property in such format and in such detail as Lender or its servicer may reasonably request, and setting forth the financial condition and the income and expenses for the Property for the immediately preceding calendar year prepared and audited by an independent certified public accountant. Borrower shall deliver to Lender copies of all income tax returns, requests for extension and other similar items contemporaneously with its delivery of same to the Internal Revenue Service.</w:t>
      </w:r>
    </w:p>
    <w:p>
      <w:pPr>
        <w:spacing w:after="0" w:line="107" w:lineRule="exact"/>
        <w:rPr>
          <w:rFonts w:ascii="Arial" w:cs="Arial" w:eastAsia="Arial" w:hAnsi="Arial"/>
          <w:sz w:val="14"/>
          <w:szCs w:val="14"/>
          <w:color w:val="auto"/>
        </w:rPr>
      </w:pPr>
    </w:p>
    <w:p>
      <w:pPr>
        <w:ind w:left="63" w:right="60" w:firstLine="864"/>
        <w:spacing w:after="0" w:line="264" w:lineRule="auto"/>
        <w:tabs>
          <w:tab w:leader="none" w:pos="1488" w:val="left"/>
        </w:tabs>
        <w:numPr>
          <w:ilvl w:val="2"/>
          <w:numId w:val="167"/>
        </w:numPr>
        <w:rPr>
          <w:rFonts w:ascii="Arial" w:cs="Arial" w:eastAsia="Arial" w:hAnsi="Arial"/>
          <w:sz w:val="13"/>
          <w:szCs w:val="13"/>
          <w:color w:val="auto"/>
        </w:rPr>
      </w:pPr>
      <w:r>
        <w:rPr>
          <w:rFonts w:ascii="Arial" w:cs="Arial" w:eastAsia="Arial" w:hAnsi="Arial"/>
          <w:sz w:val="13"/>
          <w:szCs w:val="13"/>
          <w:color w:val="auto"/>
        </w:rPr>
        <w:t>Borrower will permit representatives appointed by Lender, including independent accountants, agents, attorneys, appraisers and any other persons, to visit and inspect on at least twenty-four hours advance notice during its normal business hours and at any other reasonable times any of the Property or Borrower's chief executive office and to make photographs thereof, and to write down and record any information such representatives obtain, and shall permit Lender or its representatives to investigate and verify the accuracy of the information furnished to Lender under or in connection with this Agreement or any of the Loan Documents and to discuss all such matters with its officers, employees and representatives. Borrower will furnish to Lender at Borrower's expense all</w:t>
      </w:r>
    </w:p>
    <w:p>
      <w:pPr>
        <w:ind w:left="63"/>
        <w:spacing w:after="0" w:line="265" w:lineRule="auto"/>
        <w:rPr>
          <w:rFonts w:ascii="Arial" w:cs="Arial" w:eastAsia="Arial" w:hAnsi="Arial"/>
          <w:sz w:val="13"/>
          <w:szCs w:val="13"/>
          <w:color w:val="auto"/>
        </w:rPr>
      </w:pPr>
      <w:r>
        <w:rPr>
          <w:rFonts w:ascii="Arial" w:cs="Arial" w:eastAsia="Arial" w:hAnsi="Arial"/>
          <w:sz w:val="13"/>
          <w:szCs w:val="13"/>
          <w:color w:val="auto"/>
        </w:rPr>
        <w:t>evidence which Lender may from time to time reasonably request as to the accuracy and validity of or compliance with all representations and warranties made by Borrower in the Loan Documents and satisfaction of all conditions contained therein. Any inspection or audit of the Property or the books and records of Borrower, or the procuring of documents and financial and other information, by or on behalf of Lender, shall be at Borrower's expense and shall be for Lender's protection only, and shall not constitute any assumption of responsibility or liability by Lender to Borrower or anyone else with regard to the condition, construction, maintenance or operation of the Property, nor Lender's approval of any certification given to Lender nor relieve Borrower of any of Borrower's obligations. Lender may divulge to any Investor (as hereinafter defined) all such information, and furnish to such Investor copies of any such reports, financial statements, certificates, and documents obtained under any provision of this Agreement, or related agreements and documents, provided that such information shall be provided on a confidential basis.</w:t>
      </w:r>
    </w:p>
    <w:p>
      <w:pPr>
        <w:spacing w:after="0" w:line="111" w:lineRule="exact"/>
        <w:rPr>
          <w:rFonts w:ascii="Arial" w:cs="Arial" w:eastAsia="Arial" w:hAnsi="Arial"/>
          <w:sz w:val="13"/>
          <w:szCs w:val="13"/>
          <w:color w:val="auto"/>
        </w:rPr>
      </w:pPr>
    </w:p>
    <w:p>
      <w:pPr>
        <w:ind w:left="63" w:right="200" w:firstLine="852"/>
        <w:spacing w:after="0" w:line="233" w:lineRule="auto"/>
        <w:tabs>
          <w:tab w:leader="none" w:pos="1482" w:val="left"/>
        </w:tabs>
        <w:numPr>
          <w:ilvl w:val="1"/>
          <w:numId w:val="167"/>
        </w:numPr>
        <w:rPr>
          <w:rFonts w:ascii="Arial" w:cs="Arial" w:eastAsia="Arial" w:hAnsi="Arial"/>
          <w:sz w:val="14"/>
          <w:szCs w:val="14"/>
          <w:color w:val="auto"/>
        </w:rPr>
      </w:pPr>
      <w:r>
        <w:rPr>
          <w:rFonts w:ascii="Arial" w:cs="Arial" w:eastAsia="Arial" w:hAnsi="Arial"/>
          <w:sz w:val="14"/>
          <w:szCs w:val="14"/>
          <w:color w:val="auto"/>
        </w:rPr>
        <w:t xml:space="preserve">Without limiting Lender's other rights and remedies under this Agreement and the other Loan Documents, in the event that any statement or document required to be delivered to Lender pursuant to this Section 2.04 is not delivered within thirty (30) days of the date when the same is due </w:t>
      </w:r>
      <w:r>
        <w:rPr>
          <w:rFonts w:ascii="Arial" w:cs="Arial" w:eastAsia="Arial" w:hAnsi="Arial"/>
          <w:sz w:val="13"/>
          <w:szCs w:val="13"/>
          <w:b w:val="1"/>
          <w:bCs w:val="1"/>
          <w:color w:val="auto"/>
        </w:rPr>
        <w:t>"Delinquent</w:t>
      </w:r>
      <w:r>
        <w:rPr>
          <w:rFonts w:ascii="Arial" w:cs="Arial" w:eastAsia="Arial" w:hAnsi="Arial"/>
          <w:sz w:val="14"/>
          <w:szCs w:val="14"/>
          <w:color w:val="auto"/>
        </w:rPr>
        <w:t xml:space="preserve"> </w:t>
      </w:r>
      <w:r>
        <w:rPr>
          <w:rFonts w:ascii="Arial" w:cs="Arial" w:eastAsia="Arial" w:hAnsi="Arial"/>
          <w:sz w:val="13"/>
          <w:szCs w:val="13"/>
          <w:b w:val="1"/>
          <w:bCs w:val="1"/>
          <w:color w:val="auto"/>
        </w:rPr>
        <w:t xml:space="preserve">Reports") </w:t>
      </w:r>
      <w:r>
        <w:rPr>
          <w:rFonts w:ascii="Arial" w:cs="Arial" w:eastAsia="Arial" w:hAnsi="Arial"/>
          <w:sz w:val="14"/>
          <w:szCs w:val="14"/>
          <w:color w:val="auto"/>
        </w:rPr>
        <w:t>upon fifteen (15) days notice to Borrower,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270510</wp:posOffset>
            </wp:positionV>
            <wp:extent cx="631698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316980" cy="42545"/>
                    </a:xfrm>
                    <a:prstGeom prst="rect">
                      <a:avLst/>
                    </a:prstGeom>
                    <a:noFill/>
                  </pic:spPr>
                </pic:pic>
              </a:graphicData>
            </a:graphic>
          </wp:anchor>
        </w:drawing>
      </w:r>
    </w:p>
    <w:p>
      <w:pPr>
        <w:sectPr>
          <w:pgSz w:w="11900" w:h="16838" w:orient="portrait"/>
          <w:cols w:equalWidth="0" w:num="1">
            <w:col w:w="9743"/>
          </w:cols>
          <w:pgMar w:left="1077" w:top="260" w:right="1079" w:bottom="1440" w:gutter="0" w:footer="0" w:header="0"/>
        </w:sectPr>
      </w:pPr>
    </w:p>
    <w:bookmarkStart w:id="176" w:name="page177"/>
    <w:bookmarkEnd w:id="176"/>
    <w:p>
      <w:pPr>
        <w:ind w:left="80" w:right="60" w:firstLine="5"/>
        <w:spacing w:after="0" w:line="246" w:lineRule="auto"/>
        <w:rPr>
          <w:sz w:val="20"/>
          <w:szCs w:val="20"/>
          <w:color w:val="auto"/>
        </w:rPr>
      </w:pPr>
      <w:r>
        <w:rPr>
          <w:rFonts w:ascii="Arial" w:cs="Arial" w:eastAsia="Arial" w:hAnsi="Arial"/>
          <w:sz w:val="14"/>
          <w:szCs w:val="14"/>
          <w:color w:val="auto"/>
        </w:rPr>
        <w:t>Interest Rate (as defined in the Note) shall be increased by adding one quarter percent (0.25%) per annum (i.e. 25 basis points) to the Interest Rate until such time as all Delinquent Reports, in form and substance reasonably satisfactory to Lender, have been delivered to Lender.</w:t>
      </w:r>
    </w:p>
    <w:p>
      <w:pPr>
        <w:spacing w:after="0" w:line="122" w:lineRule="exact"/>
        <w:rPr>
          <w:sz w:val="20"/>
          <w:szCs w:val="20"/>
          <w:color w:val="auto"/>
        </w:rPr>
      </w:pPr>
    </w:p>
    <w:p>
      <w:pPr>
        <w:ind w:left="80"/>
        <w:spacing w:after="0"/>
        <w:tabs>
          <w:tab w:leader="none" w:pos="840" w:val="left"/>
        </w:tabs>
        <w:rPr>
          <w:sz w:val="20"/>
          <w:szCs w:val="20"/>
          <w:color w:val="auto"/>
        </w:rPr>
      </w:pPr>
      <w:r>
        <w:rPr>
          <w:rFonts w:ascii="Arial" w:cs="Arial" w:eastAsia="Arial" w:hAnsi="Arial"/>
          <w:sz w:val="14"/>
          <w:szCs w:val="14"/>
          <w:b w:val="1"/>
          <w:bCs w:val="1"/>
          <w:color w:val="auto"/>
        </w:rPr>
        <w:t>Article III.</w:t>
      </w:r>
      <w:r>
        <w:rPr>
          <w:sz w:val="20"/>
          <w:szCs w:val="20"/>
          <w:color w:val="auto"/>
        </w:rPr>
        <w:tab/>
      </w:r>
      <w:r>
        <w:rPr>
          <w:rFonts w:ascii="Arial" w:cs="Arial" w:eastAsia="Arial" w:hAnsi="Arial"/>
          <w:sz w:val="13"/>
          <w:szCs w:val="13"/>
          <w:b w:val="1"/>
          <w:bCs w:val="1"/>
          <w:color w:val="auto"/>
        </w:rPr>
        <w:t>CONDITIONS TO ADVANCE</w:t>
      </w:r>
    </w:p>
    <w:p>
      <w:pPr>
        <w:spacing w:after="0" w:line="135" w:lineRule="exact"/>
        <w:rPr>
          <w:sz w:val="20"/>
          <w:szCs w:val="20"/>
          <w:color w:val="auto"/>
        </w:rPr>
      </w:pPr>
    </w:p>
    <w:p>
      <w:pPr>
        <w:ind w:left="360"/>
        <w:spacing w:after="0"/>
        <w:tabs>
          <w:tab w:leader="none" w:pos="1420" w:val="left"/>
        </w:tabs>
        <w:rPr>
          <w:sz w:val="20"/>
          <w:szCs w:val="20"/>
          <w:color w:val="auto"/>
        </w:rPr>
      </w:pPr>
      <w:r>
        <w:rPr>
          <w:rFonts w:ascii="Arial" w:cs="Arial" w:eastAsia="Arial" w:hAnsi="Arial"/>
          <w:sz w:val="14"/>
          <w:szCs w:val="14"/>
          <w:color w:val="auto"/>
        </w:rPr>
        <w:t>Section 3.01</w:t>
      </w:r>
      <w:r>
        <w:rPr>
          <w:sz w:val="20"/>
          <w:szCs w:val="20"/>
          <w:color w:val="auto"/>
        </w:rPr>
        <w:tab/>
      </w:r>
      <w:r>
        <w:rPr>
          <w:rFonts w:ascii="Arial" w:cs="Arial" w:eastAsia="Arial" w:hAnsi="Arial"/>
          <w:sz w:val="13"/>
          <w:szCs w:val="13"/>
          <w:color w:val="auto"/>
        </w:rPr>
        <w:t>Conditions</w:t>
      </w:r>
    </w:p>
    <w:p>
      <w:pPr>
        <w:spacing w:after="0" w:line="28" w:lineRule="exact"/>
        <w:rPr>
          <w:sz w:val="20"/>
          <w:szCs w:val="20"/>
          <w:color w:val="auto"/>
        </w:rPr>
      </w:pPr>
    </w:p>
    <w:p>
      <w:pPr>
        <w:ind w:left="80" w:right="40" w:firstLine="438"/>
        <w:spacing w:after="0" w:line="236" w:lineRule="auto"/>
        <w:rPr>
          <w:sz w:val="20"/>
          <w:szCs w:val="20"/>
          <w:color w:val="auto"/>
        </w:rPr>
      </w:pPr>
      <w:r>
        <w:rPr>
          <w:rFonts w:ascii="Arial" w:cs="Arial" w:eastAsia="Arial" w:hAnsi="Arial"/>
          <w:sz w:val="14"/>
          <w:szCs w:val="14"/>
          <w:color w:val="auto"/>
        </w:rPr>
        <w:t xml:space="preserve">The obligation of the Lender to make the Advance is subject to the satisfaction of all of the following conditions precedent (the </w:t>
      </w:r>
      <w:r>
        <w:rPr>
          <w:rFonts w:ascii="Arial" w:cs="Arial" w:eastAsia="Arial" w:hAnsi="Arial"/>
          <w:sz w:val="13"/>
          <w:szCs w:val="13"/>
          <w:b w:val="1"/>
          <w:bCs w:val="1"/>
          <w:color w:val="auto"/>
        </w:rPr>
        <w:t>"Conditions")</w:t>
      </w:r>
      <w:r>
        <w:rPr>
          <w:rFonts w:ascii="Arial" w:cs="Arial" w:eastAsia="Arial" w:hAnsi="Arial"/>
          <w:sz w:val="14"/>
          <w:szCs w:val="14"/>
          <w:color w:val="auto"/>
        </w:rPr>
        <w:t xml:space="preserve"> (each of which is deemed material and none of which may be waived except by an instrument executed by the Lender):</w:t>
      </w:r>
    </w:p>
    <w:p>
      <w:pPr>
        <w:spacing w:after="0" w:line="107" w:lineRule="exact"/>
        <w:rPr>
          <w:sz w:val="20"/>
          <w:szCs w:val="20"/>
          <w:color w:val="auto"/>
        </w:rPr>
      </w:pPr>
    </w:p>
    <w:p>
      <w:pPr>
        <w:ind w:left="1420" w:hanging="979"/>
        <w:spacing w:after="0"/>
        <w:tabs>
          <w:tab w:leader="none" w:pos="1420" w:val="left"/>
        </w:tabs>
        <w:numPr>
          <w:ilvl w:val="1"/>
          <w:numId w:val="168"/>
        </w:numPr>
        <w:rPr>
          <w:rFonts w:ascii="Arial" w:cs="Arial" w:eastAsia="Arial" w:hAnsi="Arial"/>
          <w:sz w:val="14"/>
          <w:szCs w:val="14"/>
          <w:color w:val="auto"/>
        </w:rPr>
      </w:pPr>
      <w:r>
        <w:rPr>
          <w:rFonts w:ascii="Arial" w:cs="Arial" w:eastAsia="Arial" w:hAnsi="Arial"/>
          <w:sz w:val="14"/>
          <w:szCs w:val="14"/>
          <w:color w:val="auto"/>
        </w:rPr>
        <w:t>The Lender shall have received:</w:t>
      </w:r>
    </w:p>
    <w:p>
      <w:pPr>
        <w:spacing w:after="0" w:line="145" w:lineRule="exact"/>
        <w:rPr>
          <w:rFonts w:ascii="Arial" w:cs="Arial" w:eastAsia="Arial" w:hAnsi="Arial"/>
          <w:sz w:val="14"/>
          <w:szCs w:val="14"/>
          <w:color w:val="auto"/>
        </w:rPr>
      </w:pPr>
    </w:p>
    <w:p>
      <w:pPr>
        <w:ind w:left="740" w:hanging="731"/>
        <w:spacing w:after="0"/>
        <w:tabs>
          <w:tab w:leader="none" w:pos="740" w:val="left"/>
        </w:tabs>
        <w:numPr>
          <w:ilvl w:val="0"/>
          <w:numId w:val="169"/>
        </w:numPr>
        <w:rPr>
          <w:rFonts w:ascii="Arial" w:cs="Arial" w:eastAsia="Arial" w:hAnsi="Arial"/>
          <w:sz w:val="14"/>
          <w:szCs w:val="14"/>
          <w:color w:val="auto"/>
        </w:rPr>
      </w:pPr>
      <w:r>
        <w:rPr>
          <w:rFonts w:ascii="Arial" w:cs="Arial" w:eastAsia="Arial" w:hAnsi="Arial"/>
          <w:sz w:val="14"/>
          <w:szCs w:val="14"/>
          <w:color w:val="auto"/>
        </w:rPr>
        <w:t>the irrevocable Notice to Borrow Funds;</w:t>
      </w:r>
    </w:p>
    <w:p>
      <w:pPr>
        <w:spacing w:after="0" w:line="127" w:lineRule="exact"/>
        <w:rPr>
          <w:sz w:val="20"/>
          <w:szCs w:val="20"/>
          <w:color w:val="auto"/>
        </w:rPr>
      </w:pPr>
    </w:p>
    <w:p>
      <w:pPr>
        <w:ind w:left="400" w:hanging="386"/>
        <w:spacing w:after="0"/>
        <w:rPr>
          <w:sz w:val="20"/>
          <w:szCs w:val="20"/>
          <w:color w:val="auto"/>
        </w:rPr>
      </w:pPr>
      <w:r>
        <w:rPr>
          <w:rFonts w:ascii="Arial" w:cs="Arial" w:eastAsia="Arial" w:hAnsi="Arial"/>
          <w:sz w:val="14"/>
          <w:szCs w:val="14"/>
          <w:color w:val="auto"/>
        </w:rPr>
        <w:t>(2)acertified copy of the resolutions or consent adopted by the members</w:t>
      </w:r>
      <w:r>
        <w:rPr>
          <w:sz w:val="20"/>
          <w:szCs w:val="20"/>
          <w:color w:val="auto"/>
        </w:rPr>
        <w:t xml:space="preserve"> </w:t>
      </w:r>
      <w:r>
        <w:rPr>
          <w:rFonts w:ascii="Arial" w:cs="Arial" w:eastAsia="Arial" w:hAnsi="Arial"/>
          <w:sz w:val="14"/>
          <w:szCs w:val="14"/>
          <w:color w:val="auto"/>
        </w:rPr>
        <w:t>of Borrower, in form and substance reasonably satisfactory to Lender authorizing the execution, delivery and performance of the Security Instrument and all of the other related Loan Documents required at the time of the Advance, including, but not limited to the Notice to Borrow Funds;</w:t>
      </w:r>
    </w:p>
    <w:p>
      <w:pPr>
        <w:spacing w:after="0" w:line="245" w:lineRule="exact"/>
        <w:rPr>
          <w:sz w:val="20"/>
          <w:szCs w:val="20"/>
          <w:color w:val="auto"/>
        </w:rPr>
      </w:pPr>
    </w:p>
    <w:p>
      <w:pPr>
        <w:ind w:left="640" w:hanging="631"/>
        <w:spacing w:after="0"/>
        <w:tabs>
          <w:tab w:leader="none" w:pos="640" w:val="left"/>
        </w:tabs>
        <w:numPr>
          <w:ilvl w:val="0"/>
          <w:numId w:val="170"/>
        </w:numPr>
        <w:rPr>
          <w:rFonts w:ascii="Arial" w:cs="Arial" w:eastAsia="Arial" w:hAnsi="Arial"/>
          <w:sz w:val="14"/>
          <w:szCs w:val="14"/>
          <w:color w:val="auto"/>
        </w:rPr>
      </w:pPr>
      <w:r>
        <w:rPr>
          <w:rFonts w:ascii="Arial" w:cs="Arial" w:eastAsia="Arial" w:hAnsi="Arial"/>
          <w:sz w:val="14"/>
          <w:szCs w:val="14"/>
          <w:color w:val="auto"/>
        </w:rPr>
        <w:t>copies of the most recent year end Financial Statements;</w:t>
      </w:r>
    </w:p>
    <w:p>
      <w:pPr>
        <w:spacing w:after="0" w:line="127" w:lineRule="exact"/>
        <w:rPr>
          <w:rFonts w:ascii="Arial" w:cs="Arial" w:eastAsia="Arial" w:hAnsi="Arial"/>
          <w:sz w:val="14"/>
          <w:szCs w:val="14"/>
          <w:color w:val="auto"/>
        </w:rPr>
      </w:pPr>
    </w:p>
    <w:p>
      <w:pPr>
        <w:ind w:left="460" w:right="20" w:hanging="451"/>
        <w:spacing w:after="0" w:line="224" w:lineRule="auto"/>
        <w:tabs>
          <w:tab w:leader="none" w:pos="460" w:val="left"/>
        </w:tabs>
        <w:numPr>
          <w:ilvl w:val="0"/>
          <w:numId w:val="170"/>
        </w:numPr>
        <w:rPr>
          <w:rFonts w:ascii="Arial" w:cs="Arial" w:eastAsia="Arial" w:hAnsi="Arial"/>
          <w:sz w:val="14"/>
          <w:szCs w:val="14"/>
          <w:color w:val="auto"/>
        </w:rPr>
      </w:pPr>
      <w:r>
        <w:rPr>
          <w:rFonts w:ascii="Arial" w:cs="Arial" w:eastAsia="Arial" w:hAnsi="Arial"/>
          <w:sz w:val="14"/>
          <w:szCs w:val="14"/>
          <w:color w:val="auto"/>
        </w:rPr>
        <w:t>a certificate from Borrower that all the representations and warranties set forth herein shall be true and correct on and as of such time with the same effect as though such representations and warranties have been made on and as of such time, except to the extent such representations and warranties expressly relate to an earlier date; and</w:t>
      </w:r>
    </w:p>
    <w:p>
      <w:pPr>
        <w:spacing w:after="0" w:line="107" w:lineRule="exact"/>
        <w:rPr>
          <w:rFonts w:ascii="Arial" w:cs="Arial" w:eastAsia="Arial" w:hAnsi="Arial"/>
          <w:sz w:val="14"/>
          <w:szCs w:val="14"/>
          <w:color w:val="auto"/>
        </w:rPr>
      </w:pPr>
    </w:p>
    <w:p>
      <w:pPr>
        <w:ind w:left="460" w:right="160" w:hanging="451"/>
        <w:spacing w:after="0" w:line="257" w:lineRule="auto"/>
        <w:tabs>
          <w:tab w:leader="none" w:pos="460" w:val="left"/>
        </w:tabs>
        <w:numPr>
          <w:ilvl w:val="0"/>
          <w:numId w:val="170"/>
        </w:numPr>
        <w:rPr>
          <w:rFonts w:ascii="Arial" w:cs="Arial" w:eastAsia="Arial" w:hAnsi="Arial"/>
          <w:sz w:val="14"/>
          <w:szCs w:val="14"/>
          <w:color w:val="auto"/>
        </w:rPr>
      </w:pPr>
      <w:r>
        <w:rPr>
          <w:rFonts w:ascii="Arial" w:cs="Arial" w:eastAsia="Arial" w:hAnsi="Arial"/>
          <w:sz w:val="14"/>
          <w:szCs w:val="14"/>
          <w:color w:val="auto"/>
        </w:rPr>
        <w:t>a certificate of Borrower, stating no proceedings exist affecting Borrower or the Property that could have a Material Adverse Effect on Borrower, the Loan, the First Mortgage or the Property, and (B) a Certificate from the Guarantors, to the effect that no proceedings exist affecting any Guarantor which could have a material adverse effect on such Guarantor, in each case, which have not been disclosed to Lender in writing.</w:t>
      </w:r>
    </w:p>
    <w:p>
      <w:pPr>
        <w:spacing w:after="0" w:line="104" w:lineRule="exact"/>
        <w:rPr>
          <w:rFonts w:ascii="Arial" w:cs="Arial" w:eastAsia="Arial" w:hAnsi="Arial"/>
          <w:sz w:val="14"/>
          <w:szCs w:val="14"/>
          <w:color w:val="auto"/>
        </w:rPr>
      </w:pPr>
    </w:p>
    <w:p>
      <w:pPr>
        <w:ind w:right="140" w:firstLine="441"/>
        <w:spacing w:after="0" w:line="257" w:lineRule="auto"/>
        <w:tabs>
          <w:tab w:leader="none" w:pos="1499" w:val="left"/>
        </w:tabs>
        <w:numPr>
          <w:ilvl w:val="1"/>
          <w:numId w:val="170"/>
        </w:numPr>
        <w:rPr>
          <w:rFonts w:ascii="Arial" w:cs="Arial" w:eastAsia="Arial" w:hAnsi="Arial"/>
          <w:sz w:val="13"/>
          <w:szCs w:val="13"/>
          <w:color w:val="auto"/>
        </w:rPr>
      </w:pPr>
      <w:r>
        <w:rPr>
          <w:rFonts w:ascii="Arial" w:cs="Arial" w:eastAsia="Arial" w:hAnsi="Arial"/>
          <w:sz w:val="13"/>
          <w:szCs w:val="13"/>
          <w:color w:val="auto"/>
        </w:rPr>
        <w:t xml:space="preserve">Borrower shall be in compliance with all the terms and provisions set forth herein on its part to be observed or performed and no </w:t>
      </w:r>
      <w:r>
        <w:rPr>
          <w:rFonts w:ascii="Arial" w:cs="Arial" w:eastAsia="Arial" w:hAnsi="Arial"/>
          <w:sz w:val="12"/>
          <w:szCs w:val="12"/>
          <w:b w:val="1"/>
          <w:bCs w:val="1"/>
          <w:color w:val="auto"/>
        </w:rPr>
        <w:t>"Event of</w:t>
      </w:r>
      <w:r>
        <w:rPr>
          <w:rFonts w:ascii="Arial" w:cs="Arial" w:eastAsia="Arial" w:hAnsi="Arial"/>
          <w:sz w:val="13"/>
          <w:szCs w:val="13"/>
          <w:color w:val="auto"/>
        </w:rPr>
        <w:t xml:space="preserve"> </w:t>
      </w:r>
      <w:r>
        <w:rPr>
          <w:rFonts w:ascii="Arial" w:cs="Arial" w:eastAsia="Arial" w:hAnsi="Arial"/>
          <w:sz w:val="12"/>
          <w:szCs w:val="12"/>
          <w:b w:val="1"/>
          <w:bCs w:val="1"/>
          <w:color w:val="auto"/>
        </w:rPr>
        <w:t xml:space="preserve">Default" </w:t>
      </w:r>
      <w:r>
        <w:rPr>
          <w:rFonts w:ascii="Arial" w:cs="Arial" w:eastAsia="Arial" w:hAnsi="Arial"/>
          <w:sz w:val="13"/>
          <w:szCs w:val="13"/>
          <w:color w:val="auto"/>
        </w:rPr>
        <w:t>(as hereinafter defined), nor any event which upon notice or lapse of time or both would constitute an Event of Default, shall have occurred and be continuing</w:t>
      </w:r>
      <w:r>
        <w:rPr>
          <w:rFonts w:ascii="Arial" w:cs="Arial" w:eastAsia="Arial" w:hAnsi="Arial"/>
          <w:sz w:val="12"/>
          <w:szCs w:val="12"/>
          <w:b w:val="1"/>
          <w:bCs w:val="1"/>
          <w:color w:val="auto"/>
        </w:rPr>
        <w:t xml:space="preserve"> </w:t>
      </w:r>
      <w:r>
        <w:rPr>
          <w:rFonts w:ascii="Arial" w:cs="Arial" w:eastAsia="Arial" w:hAnsi="Arial"/>
          <w:sz w:val="13"/>
          <w:szCs w:val="13"/>
          <w:color w:val="auto"/>
        </w:rPr>
        <w:t>either at the time of the Advance or as a result of such borrowing, including but not limited to compliance with all financial reporting requirements set forth herein</w:t>
      </w:r>
    </w:p>
    <w:p>
      <w:pPr>
        <w:spacing w:after="0" w:line="87" w:lineRule="exact"/>
        <w:rPr>
          <w:rFonts w:ascii="Arial" w:cs="Arial" w:eastAsia="Arial" w:hAnsi="Arial"/>
          <w:sz w:val="13"/>
          <w:szCs w:val="13"/>
          <w:color w:val="auto"/>
        </w:rPr>
      </w:pPr>
    </w:p>
    <w:p>
      <w:pPr>
        <w:ind w:left="1520" w:hanging="1079"/>
        <w:spacing w:after="0"/>
        <w:tabs>
          <w:tab w:leader="none" w:pos="1520" w:val="left"/>
        </w:tabs>
        <w:numPr>
          <w:ilvl w:val="1"/>
          <w:numId w:val="170"/>
        </w:numPr>
        <w:rPr>
          <w:rFonts w:ascii="Arial" w:cs="Arial" w:eastAsia="Arial" w:hAnsi="Arial"/>
          <w:sz w:val="13"/>
          <w:szCs w:val="13"/>
          <w:color w:val="auto"/>
        </w:rPr>
      </w:pPr>
      <w:r>
        <w:rPr>
          <w:rFonts w:ascii="Arial" w:cs="Arial" w:eastAsia="Arial" w:hAnsi="Arial"/>
          <w:sz w:val="13"/>
          <w:szCs w:val="13"/>
          <w:color w:val="auto"/>
        </w:rPr>
        <w:t>Borrower shall be in compliance with all the terms and provisions set forth in the First Mortgage Loan Documents on its part to be observed</w:t>
      </w:r>
    </w:p>
    <w:p>
      <w:pPr>
        <w:spacing w:after="0" w:line="6"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4"/>
          <w:szCs w:val="14"/>
          <w:color w:val="auto"/>
        </w:rPr>
        <w:t>or performed and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93980</wp:posOffset>
            </wp:positionH>
            <wp:positionV relativeFrom="paragraph">
              <wp:posOffset>275590</wp:posOffset>
            </wp:positionV>
            <wp:extent cx="621411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214110" cy="42545"/>
                    </a:xfrm>
                    <a:prstGeom prst="rect">
                      <a:avLst/>
                    </a:prstGeom>
                    <a:noFill/>
                  </pic:spPr>
                </pic:pic>
              </a:graphicData>
            </a:graphic>
          </wp:anchor>
        </w:drawing>
      </w:r>
    </w:p>
    <w:p>
      <w:pPr>
        <w:sectPr>
          <w:pgSz w:w="11900" w:h="16838" w:orient="portrait"/>
          <w:cols w:equalWidth="0" w:num="1">
            <w:col w:w="9800"/>
          </w:cols>
          <w:pgMar w:left="1080" w:top="152" w:right="1019" w:bottom="1440" w:gutter="0" w:footer="0" w:header="0"/>
        </w:sectPr>
      </w:pPr>
    </w:p>
    <w:bookmarkStart w:id="177" w:name="page178"/>
    <w:bookmarkEnd w:id="177"/>
    <w:p>
      <w:pPr>
        <w:ind w:left="160" w:right="60" w:firstLine="5"/>
        <w:spacing w:after="0" w:line="235" w:lineRule="auto"/>
        <w:rPr>
          <w:sz w:val="20"/>
          <w:szCs w:val="20"/>
          <w:color w:val="auto"/>
        </w:rPr>
      </w:pPr>
      <w:r>
        <w:rPr>
          <w:rFonts w:ascii="Arial" w:cs="Arial" w:eastAsia="Arial" w:hAnsi="Arial"/>
          <w:sz w:val="14"/>
          <w:szCs w:val="14"/>
          <w:b w:val="1"/>
          <w:bCs w:val="1"/>
          <w:color w:val="auto"/>
        </w:rPr>
        <w:t xml:space="preserve">"Event of Default" </w:t>
      </w:r>
      <w:r>
        <w:rPr>
          <w:rFonts w:ascii="Arial" w:cs="Arial" w:eastAsia="Arial" w:hAnsi="Arial"/>
          <w:sz w:val="14"/>
          <w:szCs w:val="14"/>
          <w:color w:val="auto"/>
        </w:rPr>
        <w:t>(as defined in the First Mortgage Loan Documents), nor any event which upon notice or lapse of time or both would constitute an Event of</w:t>
      </w:r>
      <w:r>
        <w:rPr>
          <w:rFonts w:ascii="Arial" w:cs="Arial" w:eastAsia="Arial" w:hAnsi="Arial"/>
          <w:sz w:val="14"/>
          <w:szCs w:val="14"/>
          <w:b w:val="1"/>
          <w:bCs w:val="1"/>
          <w:color w:val="auto"/>
        </w:rPr>
        <w:t xml:space="preserve"> </w:t>
      </w:r>
      <w:r>
        <w:rPr>
          <w:rFonts w:ascii="Arial" w:cs="Arial" w:eastAsia="Arial" w:hAnsi="Arial"/>
          <w:sz w:val="14"/>
          <w:szCs w:val="14"/>
          <w:color w:val="auto"/>
        </w:rPr>
        <w:t>Default pursuant to the First Mortgage Loan Documents, shall have occurred and be continuing either at the time of the Advance or as a result of such borrowing, including but not limited to compliance with all financial reporting requirements set forth therein;</w:t>
      </w:r>
    </w:p>
    <w:p>
      <w:pPr>
        <w:spacing w:after="0" w:line="108" w:lineRule="exact"/>
        <w:rPr>
          <w:sz w:val="20"/>
          <w:szCs w:val="20"/>
          <w:color w:val="auto"/>
        </w:rPr>
      </w:pPr>
    </w:p>
    <w:p>
      <w:pPr>
        <w:ind w:left="-200" w:firstLine="437"/>
        <w:spacing w:after="0" w:line="211" w:lineRule="auto"/>
        <w:tabs>
          <w:tab w:leader="none" w:pos="1192" w:val="left"/>
        </w:tabs>
        <w:numPr>
          <w:ilvl w:val="0"/>
          <w:numId w:val="171"/>
        </w:numPr>
        <w:rPr>
          <w:rFonts w:ascii="Arial" w:cs="Arial" w:eastAsia="Arial" w:hAnsi="Arial"/>
          <w:sz w:val="14"/>
          <w:szCs w:val="14"/>
          <w:color w:val="auto"/>
        </w:rPr>
      </w:pPr>
      <w:r>
        <w:rPr>
          <w:rFonts w:ascii="Arial" w:cs="Arial" w:eastAsia="Arial" w:hAnsi="Arial"/>
          <w:sz w:val="14"/>
          <w:szCs w:val="14"/>
          <w:color w:val="auto"/>
        </w:rPr>
        <w:t xml:space="preserve">Lender's computation that the Borrower shall maintain a Debt Yield of no less than 11% during the term of the Loan. In the event that Lender shall at any time determine that the Debt Yield is less than </w:t>
      </w:r>
      <w:r>
        <w:rPr>
          <w:rFonts w:ascii="Arial" w:cs="Arial" w:eastAsia="Arial" w:hAnsi="Arial"/>
          <w:sz w:val="12"/>
          <w:szCs w:val="12"/>
          <w:b w:val="1"/>
          <w:bCs w:val="1"/>
          <w:color w:val="auto"/>
        </w:rPr>
        <w:t>11%,</w:t>
      </w:r>
      <w:r>
        <w:rPr>
          <w:rFonts w:ascii="Arial" w:cs="Arial" w:eastAsia="Arial" w:hAnsi="Arial"/>
          <w:sz w:val="14"/>
          <w:szCs w:val="14"/>
          <w:color w:val="auto"/>
        </w:rPr>
        <w:t xml:space="preserve"> Borrower shall within thirty (30) days of notice and demand by Lender, either reduce the Loan amount (by the payment of principal) or pledge such additional collateral as may be acceptable to Lender in order to maintain the required Debt Yield. Borrower's failure to either reduce the Loan balance as necessary or satisfy Lender's demand for additional collateral acceptable to it within thirty (30) days of notice having been given by Lender, shall be considered an Event of Default hereunder. "Debt Yield" shall mean, as of any date, the quotient (expressed as a percentage) obtained by dividing (i) the net operating income for the twelve (12) month period ending with the most recently completed calendar month by (b) the outstanding principal balance of the Note and the First Note as of such date. Lender's calculation of the Debt Yield, and all component calculations, shall be conclusive and binding on Borrower absent manifest error;</w:t>
      </w:r>
    </w:p>
    <w:p>
      <w:pPr>
        <w:spacing w:after="0" w:line="101" w:lineRule="exact"/>
        <w:rPr>
          <w:rFonts w:ascii="Arial" w:cs="Arial" w:eastAsia="Arial" w:hAnsi="Arial"/>
          <w:sz w:val="14"/>
          <w:szCs w:val="14"/>
          <w:color w:val="auto"/>
        </w:rPr>
      </w:pPr>
    </w:p>
    <w:p>
      <w:pPr>
        <w:ind w:left="-200" w:right="80" w:firstLine="437"/>
        <w:spacing w:after="0" w:line="215" w:lineRule="auto"/>
        <w:tabs>
          <w:tab w:leader="none" w:pos="1137" w:val="left"/>
        </w:tabs>
        <w:numPr>
          <w:ilvl w:val="0"/>
          <w:numId w:val="171"/>
        </w:numPr>
        <w:rPr>
          <w:rFonts w:ascii="Arial" w:cs="Arial" w:eastAsia="Arial" w:hAnsi="Arial"/>
          <w:sz w:val="14"/>
          <w:szCs w:val="14"/>
          <w:color w:val="auto"/>
        </w:rPr>
      </w:pPr>
      <w:r>
        <w:rPr>
          <w:rFonts w:ascii="Arial" w:cs="Arial" w:eastAsia="Arial" w:hAnsi="Arial"/>
          <w:sz w:val="14"/>
          <w:szCs w:val="14"/>
          <w:color w:val="auto"/>
        </w:rPr>
        <w:t xml:space="preserve">Immediately prior to the Advance, Lender shall cause title company to file and record the Security Instrument substantially in form attached hereto as </w:t>
      </w:r>
      <w:r>
        <w:rPr>
          <w:rFonts w:ascii="Arial" w:cs="Arial" w:eastAsia="Arial" w:hAnsi="Arial"/>
          <w:sz w:val="14"/>
          <w:szCs w:val="14"/>
          <w:b w:val="1"/>
          <w:bCs w:val="1"/>
          <w:color w:val="auto"/>
        </w:rPr>
        <w:t>Exhibit A</w:t>
      </w:r>
      <w:r>
        <w:rPr>
          <w:rFonts w:ascii="Arial" w:cs="Arial" w:eastAsia="Arial" w:hAnsi="Arial"/>
          <w:sz w:val="14"/>
          <w:szCs w:val="14"/>
          <w:color w:val="auto"/>
        </w:rPr>
        <w:t xml:space="preserve"> and related certificates for the Property in the appropriate recording office in New York County. The Borrower shall (i) pay any and all expenses of the Lender incurred in connection with the foregoing matters, including, without limitation, the costs of any title insurance, recording fees, mortgage recording tax, survey, environmental reports and the reasonable fees and expenses of the Lender's counsel and (ii) deliver any documents reasonably requested by the Lender or the title company in connection with effectuating the foregoing matters;</w:t>
      </w:r>
    </w:p>
    <w:p>
      <w:pPr>
        <w:spacing w:after="0" w:line="103" w:lineRule="exact"/>
        <w:rPr>
          <w:rFonts w:ascii="Arial" w:cs="Arial" w:eastAsia="Arial" w:hAnsi="Arial"/>
          <w:sz w:val="14"/>
          <w:szCs w:val="14"/>
          <w:color w:val="auto"/>
        </w:rPr>
      </w:pPr>
    </w:p>
    <w:p>
      <w:pPr>
        <w:jc w:val="both"/>
        <w:ind w:left="-200" w:right="400" w:firstLine="437"/>
        <w:spacing w:after="0" w:line="254" w:lineRule="auto"/>
        <w:tabs>
          <w:tab w:leader="none" w:pos="1161" w:val="left"/>
        </w:tabs>
        <w:numPr>
          <w:ilvl w:val="0"/>
          <w:numId w:val="171"/>
        </w:numPr>
        <w:rPr>
          <w:rFonts w:ascii="Arial" w:cs="Arial" w:eastAsia="Arial" w:hAnsi="Arial"/>
          <w:sz w:val="14"/>
          <w:szCs w:val="14"/>
          <w:color w:val="auto"/>
        </w:rPr>
      </w:pPr>
      <w:r>
        <w:rPr>
          <w:rFonts w:ascii="Arial" w:cs="Arial" w:eastAsia="Arial" w:hAnsi="Arial"/>
          <w:sz w:val="14"/>
          <w:szCs w:val="14"/>
          <w:color w:val="auto"/>
        </w:rPr>
        <w:t xml:space="preserve">Lender shall have received a NY ALTA (1992) loan policy of title insurance (the </w:t>
      </w:r>
      <w:r>
        <w:rPr>
          <w:rFonts w:ascii="Arial" w:cs="Arial" w:eastAsia="Arial" w:hAnsi="Arial"/>
          <w:sz w:val="14"/>
          <w:szCs w:val="14"/>
          <w:b w:val="1"/>
          <w:bCs w:val="1"/>
          <w:color w:val="auto"/>
        </w:rPr>
        <w:t>"Loan Title Policy")</w:t>
      </w:r>
      <w:r>
        <w:rPr>
          <w:rFonts w:ascii="Arial" w:cs="Arial" w:eastAsia="Arial" w:hAnsi="Arial"/>
          <w:sz w:val="14"/>
          <w:szCs w:val="14"/>
          <w:color w:val="auto"/>
        </w:rPr>
        <w:t xml:space="preserve"> in the amount of the Advance, substantially in the form attached hereto as </w:t>
      </w:r>
      <w:r>
        <w:rPr>
          <w:rFonts w:ascii="Arial" w:cs="Arial" w:eastAsia="Arial" w:hAnsi="Arial"/>
          <w:sz w:val="14"/>
          <w:szCs w:val="14"/>
          <w:b w:val="1"/>
          <w:bCs w:val="1"/>
          <w:u w:val="single" w:color="auto"/>
          <w:color w:val="auto"/>
        </w:rPr>
        <w:t>Exhibit B</w:t>
      </w:r>
      <w:r>
        <w:rPr>
          <w:rFonts w:ascii="Arial" w:cs="Arial" w:eastAsia="Arial" w:hAnsi="Arial"/>
          <w:sz w:val="14"/>
          <w:szCs w:val="14"/>
          <w:color w:val="auto"/>
        </w:rPr>
        <w:t xml:space="preserve"> issued by the title company to Lender, insuring the Security Instrument as a valid and subsisting second mortgage lien on the Property subject only to standard and customary permitted exceptions, including the lien of the First Mortgage. The Loan Title Policy shall contain such affirmative insurance and endorsements as Lender shall reasonably require;</w:t>
      </w:r>
    </w:p>
    <w:p>
      <w:pPr>
        <w:spacing w:after="0" w:line="106" w:lineRule="exact"/>
        <w:rPr>
          <w:rFonts w:ascii="Arial" w:cs="Arial" w:eastAsia="Arial" w:hAnsi="Arial"/>
          <w:sz w:val="14"/>
          <w:szCs w:val="14"/>
          <w:color w:val="auto"/>
        </w:rPr>
      </w:pPr>
    </w:p>
    <w:p>
      <w:pPr>
        <w:ind w:left="-200" w:right="280" w:firstLine="437"/>
        <w:spacing w:after="0" w:line="246" w:lineRule="auto"/>
        <w:tabs>
          <w:tab w:leader="none" w:pos="1177" w:val="left"/>
        </w:tabs>
        <w:numPr>
          <w:ilvl w:val="0"/>
          <w:numId w:val="171"/>
        </w:numPr>
        <w:rPr>
          <w:rFonts w:ascii="Arial" w:cs="Arial" w:eastAsia="Arial" w:hAnsi="Arial"/>
          <w:sz w:val="14"/>
          <w:szCs w:val="14"/>
          <w:color w:val="auto"/>
        </w:rPr>
      </w:pPr>
      <w:r>
        <w:rPr>
          <w:rFonts w:ascii="Arial" w:cs="Arial" w:eastAsia="Arial" w:hAnsi="Arial"/>
          <w:sz w:val="14"/>
          <w:szCs w:val="14"/>
          <w:color w:val="auto"/>
        </w:rPr>
        <w:t>opinion(s) of counsel as to the authority, due execution, and enforceability of the Security Instrument and related Loan Documents in form substantially similar to the opinion given in connection with this Agreement or otherwise reasonably acceptable to the Bank;</w:t>
      </w:r>
    </w:p>
    <w:p>
      <w:pPr>
        <w:spacing w:after="0" w:line="102" w:lineRule="exact"/>
        <w:rPr>
          <w:rFonts w:ascii="Arial" w:cs="Arial" w:eastAsia="Arial" w:hAnsi="Arial"/>
          <w:sz w:val="14"/>
          <w:szCs w:val="14"/>
          <w:color w:val="auto"/>
        </w:rPr>
      </w:pPr>
    </w:p>
    <w:p>
      <w:pPr>
        <w:ind w:left="-200" w:right="20" w:firstLine="437"/>
        <w:spacing w:after="0" w:line="246" w:lineRule="auto"/>
        <w:tabs>
          <w:tab w:leader="none" w:pos="1182" w:val="left"/>
        </w:tabs>
        <w:numPr>
          <w:ilvl w:val="0"/>
          <w:numId w:val="171"/>
        </w:numPr>
        <w:rPr>
          <w:rFonts w:ascii="Arial" w:cs="Arial" w:eastAsia="Arial" w:hAnsi="Arial"/>
          <w:sz w:val="14"/>
          <w:szCs w:val="14"/>
          <w:color w:val="auto"/>
        </w:rPr>
      </w:pPr>
      <w:r>
        <w:rPr>
          <w:rFonts w:ascii="Arial" w:cs="Arial" w:eastAsia="Arial" w:hAnsi="Arial"/>
          <w:sz w:val="14"/>
          <w:szCs w:val="14"/>
          <w:color w:val="auto"/>
        </w:rPr>
        <w:t>a certificate from Borrower and other evidence satisfactory to Lender in its reasonable discretion, including but not limited to, an agreement of purchase and sale in connection with the acquisition of floor area rights and/or air rights and/or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267335</wp:posOffset>
            </wp:positionV>
            <wp:extent cx="6311265"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311265" cy="42545"/>
                    </a:xfrm>
                    <a:prstGeom prst="rect">
                      <a:avLst/>
                    </a:prstGeom>
                    <a:noFill/>
                  </pic:spPr>
                </pic:pic>
              </a:graphicData>
            </a:graphic>
          </wp:anchor>
        </w:drawing>
      </w:r>
    </w:p>
    <w:p>
      <w:pPr>
        <w:sectPr>
          <w:pgSz w:w="11900" w:h="16838" w:orient="portrait"/>
          <w:cols w:equalWidth="0" w:num="1">
            <w:col w:w="9440"/>
          </w:cols>
          <w:pgMar w:left="1440" w:top="148" w:right="1019" w:bottom="1440" w:gutter="0" w:footer="0" w:header="0"/>
        </w:sectPr>
      </w:pPr>
    </w:p>
    <w:bookmarkStart w:id="178" w:name="page179"/>
    <w:bookmarkEnd w:id="178"/>
    <w:p>
      <w:pPr>
        <w:ind w:left="440"/>
        <w:spacing w:after="0"/>
        <w:rPr>
          <w:sz w:val="20"/>
          <w:szCs w:val="20"/>
          <w:color w:val="auto"/>
        </w:rPr>
      </w:pPr>
      <w:r>
        <w:rPr>
          <w:rFonts w:ascii="Arial" w:cs="Arial" w:eastAsia="Arial" w:hAnsi="Arial"/>
          <w:sz w:val="14"/>
          <w:szCs w:val="14"/>
          <w:color w:val="auto"/>
        </w:rPr>
        <w:t>development or zoning rights that will benefit the Property as same will be more particularly described in the Security Instrument;</w:t>
      </w:r>
    </w:p>
    <w:p>
      <w:pPr>
        <w:spacing w:after="0" w:line="127" w:lineRule="exact"/>
        <w:rPr>
          <w:sz w:val="20"/>
          <w:szCs w:val="20"/>
          <w:color w:val="auto"/>
        </w:rPr>
      </w:pPr>
    </w:p>
    <w:p>
      <w:pPr>
        <w:ind w:left="-80" w:firstLine="441"/>
        <w:spacing w:after="0" w:line="219" w:lineRule="auto"/>
        <w:tabs>
          <w:tab w:leader="none" w:pos="1417" w:val="left"/>
        </w:tabs>
        <w:numPr>
          <w:ilvl w:val="0"/>
          <w:numId w:val="172"/>
        </w:numPr>
        <w:rPr>
          <w:rFonts w:ascii="Arial" w:cs="Arial" w:eastAsia="Arial" w:hAnsi="Arial"/>
          <w:sz w:val="14"/>
          <w:szCs w:val="14"/>
          <w:color w:val="auto"/>
        </w:rPr>
      </w:pPr>
      <w:r>
        <w:rPr>
          <w:rFonts w:ascii="Arial" w:cs="Arial" w:eastAsia="Arial" w:hAnsi="Arial"/>
          <w:sz w:val="14"/>
          <w:szCs w:val="14"/>
          <w:color w:val="auto"/>
        </w:rPr>
        <w:t>payment to Lender of a standby fee equal to one quarter of one percent (0.25%) of the Unused Portion on the first anniversary of the Loan and every anniversary thereafter until the Loan is paid in full, provided, however, Borrower shall pay Lender a pro rata portion of such standby fee if the Loan is paid in full prior to any given one year anniversary of the Loan. The Unused Portion shall mean the difference, if any, between the maximum aggregate principal amount that may be advanced under the Note and the Advance ; and</w:t>
      </w:r>
    </w:p>
    <w:p>
      <w:pPr>
        <w:spacing w:after="0" w:line="105" w:lineRule="exact"/>
        <w:rPr>
          <w:rFonts w:ascii="Arial" w:cs="Arial" w:eastAsia="Arial" w:hAnsi="Arial"/>
          <w:sz w:val="14"/>
          <w:szCs w:val="14"/>
          <w:color w:val="auto"/>
        </w:rPr>
      </w:pPr>
    </w:p>
    <w:p>
      <w:pPr>
        <w:ind w:left="-80" w:right="440" w:firstLine="441"/>
        <w:spacing w:after="0" w:line="224" w:lineRule="auto"/>
        <w:tabs>
          <w:tab w:leader="none" w:pos="1407" w:val="left"/>
        </w:tabs>
        <w:numPr>
          <w:ilvl w:val="0"/>
          <w:numId w:val="172"/>
        </w:numPr>
        <w:rPr>
          <w:rFonts w:ascii="Arial" w:cs="Arial" w:eastAsia="Arial" w:hAnsi="Arial"/>
          <w:sz w:val="14"/>
          <w:szCs w:val="14"/>
          <w:color w:val="auto"/>
        </w:rPr>
      </w:pPr>
      <w:r>
        <w:rPr>
          <w:rFonts w:ascii="Arial" w:cs="Arial" w:eastAsia="Arial" w:hAnsi="Arial"/>
          <w:sz w:val="14"/>
          <w:szCs w:val="14"/>
          <w:color w:val="auto"/>
        </w:rPr>
        <w:t>payment of all of Lender's expenses in connection with the review and Borrower's compliance with the Conditions including but not limited to Lender's reasonable attorneys' fees and expenses.</w:t>
      </w:r>
    </w:p>
    <w:p>
      <w:pPr>
        <w:sectPr>
          <w:pgSz w:w="11900" w:h="16838" w:orient="portrait"/>
          <w:cols w:equalWidth="0" w:num="1">
            <w:col w:w="9740"/>
          </w:cols>
          <w:pgMar w:left="1160" w:top="158" w:right="999" w:bottom="1440" w:gutter="0" w:footer="0" w:header="0"/>
        </w:sectPr>
      </w:pPr>
    </w:p>
    <w:p>
      <w:pPr>
        <w:spacing w:after="0" w:line="9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Article </w:t>
      </w:r>
      <w:r>
        <w:rPr>
          <w:rFonts w:ascii="Arial" w:cs="Arial" w:eastAsia="Arial" w:hAnsi="Arial"/>
          <w:sz w:val="13"/>
          <w:szCs w:val="13"/>
          <w:color w:val="auto"/>
        </w:rPr>
        <w:t>IV.</w:t>
      </w:r>
    </w:p>
    <w:p>
      <w:pPr>
        <w:spacing w:after="0" w:line="20" w:lineRule="exact"/>
        <w:rPr>
          <w:sz w:val="20"/>
          <w:szCs w:val="20"/>
          <w:color w:val="auto"/>
        </w:rPr>
      </w:pPr>
      <w:r>
        <w:rPr>
          <w:sz w:val="20"/>
          <w:szCs w:val="20"/>
          <w:color w:val="auto"/>
        </w:rPr>
        <w:br w:type="column"/>
      </w:r>
    </w:p>
    <w:p>
      <w:pPr>
        <w:spacing w:after="0" w:line="8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DEFAULT</w:t>
      </w:r>
    </w:p>
    <w:p>
      <w:pPr>
        <w:spacing w:after="0" w:line="157" w:lineRule="exact"/>
        <w:rPr>
          <w:sz w:val="20"/>
          <w:szCs w:val="20"/>
          <w:color w:val="auto"/>
        </w:rPr>
      </w:pPr>
    </w:p>
    <w:p>
      <w:pPr>
        <w:sectPr>
          <w:pgSz w:w="11900" w:h="16838" w:orient="portrait"/>
          <w:cols w:equalWidth="0" w:num="2">
            <w:col w:w="620" w:space="500"/>
            <w:col w:w="8620"/>
          </w:cols>
          <w:pgMar w:left="1160" w:top="158" w:right="999" w:bottom="1440" w:gutter="0" w:footer="0" w:header="0"/>
          <w:type w:val="continuous"/>
        </w:sectPr>
      </w:pPr>
    </w:p>
    <w:p>
      <w:pPr>
        <w:spacing w:after="0" w:line="4" w:lineRule="exact"/>
        <w:rPr>
          <w:sz w:val="20"/>
          <w:szCs w:val="20"/>
          <w:color w:val="auto"/>
        </w:rPr>
      </w:pPr>
    </w:p>
    <w:p>
      <w:pPr>
        <w:jc w:val="center"/>
        <w:ind w:left="280"/>
        <w:spacing w:after="0"/>
        <w:rPr>
          <w:sz w:val="20"/>
          <w:szCs w:val="20"/>
          <w:color w:val="auto"/>
        </w:rPr>
      </w:pPr>
      <w:r>
        <w:rPr>
          <w:rFonts w:ascii="Arial" w:cs="Arial" w:eastAsia="Arial" w:hAnsi="Arial"/>
          <w:sz w:val="12"/>
          <w:szCs w:val="12"/>
          <w:color w:val="auto"/>
        </w:rPr>
        <w:t>Section 4.01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b w:val="1"/>
          <w:bCs w:val="1"/>
          <w:color w:val="auto"/>
        </w:rPr>
        <w:t>Events of Default.</w:t>
      </w:r>
    </w:p>
    <w:p>
      <w:pPr>
        <w:spacing w:after="0" w:line="204" w:lineRule="exact"/>
        <w:rPr>
          <w:sz w:val="20"/>
          <w:szCs w:val="20"/>
          <w:color w:val="auto"/>
        </w:rPr>
      </w:pPr>
    </w:p>
    <w:p>
      <w:pPr>
        <w:sectPr>
          <w:pgSz w:w="11900" w:h="16838" w:orient="portrait"/>
          <w:cols w:equalWidth="0" w:num="2">
            <w:col w:w="980" w:space="380"/>
            <w:col w:w="8380"/>
          </w:cols>
          <w:pgMar w:left="1160" w:top="158" w:right="999" w:bottom="1440" w:gutter="0" w:footer="0" w:header="0"/>
          <w:type w:val="continuous"/>
        </w:sectPr>
      </w:pPr>
    </w:p>
    <w:p>
      <w:pPr>
        <w:spacing w:after="0" w:line="27" w:lineRule="exact"/>
        <w:rPr>
          <w:sz w:val="20"/>
          <w:szCs w:val="20"/>
          <w:color w:val="auto"/>
        </w:rPr>
      </w:pPr>
    </w:p>
    <w:p>
      <w:pPr>
        <w:ind w:left="440"/>
        <w:spacing w:after="0"/>
        <w:rPr>
          <w:sz w:val="20"/>
          <w:szCs w:val="20"/>
          <w:color w:val="auto"/>
        </w:rPr>
      </w:pPr>
      <w:r>
        <w:rPr>
          <w:rFonts w:ascii="Arial" w:cs="Arial" w:eastAsia="Arial" w:hAnsi="Arial"/>
          <w:sz w:val="14"/>
          <w:szCs w:val="14"/>
          <w:color w:val="auto"/>
        </w:rPr>
        <w:t xml:space="preserve">Each of the following shall constitute an </w:t>
      </w:r>
      <w:r>
        <w:rPr>
          <w:rFonts w:ascii="Arial" w:cs="Arial" w:eastAsia="Arial" w:hAnsi="Arial"/>
          <w:sz w:val="14"/>
          <w:szCs w:val="14"/>
          <w:b w:val="1"/>
          <w:bCs w:val="1"/>
          <w:color w:val="auto"/>
        </w:rPr>
        <w:t>"Event of Default"</w:t>
      </w:r>
      <w:r>
        <w:rPr>
          <w:rFonts w:ascii="Arial" w:cs="Arial" w:eastAsia="Arial" w:hAnsi="Arial"/>
          <w:sz w:val="14"/>
          <w:szCs w:val="14"/>
          <w:color w:val="auto"/>
        </w:rPr>
        <w:t xml:space="preserve"> under this Agreement:</w:t>
      </w:r>
    </w:p>
    <w:p>
      <w:pPr>
        <w:spacing w:after="0" w:line="149" w:lineRule="exact"/>
        <w:rPr>
          <w:sz w:val="20"/>
          <w:szCs w:val="20"/>
          <w:color w:val="auto"/>
        </w:rPr>
      </w:pPr>
    </w:p>
    <w:p>
      <w:pPr>
        <w:jc w:val="both"/>
        <w:ind w:left="-80" w:right="320" w:firstLine="873"/>
        <w:spacing w:after="0" w:line="225" w:lineRule="auto"/>
        <w:tabs>
          <w:tab w:leader="none" w:pos="1403" w:val="left"/>
        </w:tabs>
        <w:numPr>
          <w:ilvl w:val="0"/>
          <w:numId w:val="173"/>
        </w:numPr>
        <w:rPr>
          <w:rFonts w:ascii="Arial" w:cs="Arial" w:eastAsia="Arial" w:hAnsi="Arial"/>
          <w:sz w:val="14"/>
          <w:szCs w:val="14"/>
          <w:color w:val="auto"/>
        </w:rPr>
      </w:pPr>
      <w:r>
        <w:rPr>
          <w:rFonts w:ascii="Arial" w:cs="Arial" w:eastAsia="Arial" w:hAnsi="Arial"/>
          <w:sz w:val="14"/>
          <w:szCs w:val="14"/>
          <w:color w:val="auto"/>
        </w:rPr>
        <w:t>if any representation or warranty of Borrower or of its members, general partners, principals, affiliates, agents or employees, or of any Guarantor made herein or in the Environmental Indemnity or in any Loan Document, in any guaranty, or in any certificate, report, financial statement or other instrument or document furnished to Lender shall have been false or misleading in any material respect when made;</w:t>
      </w:r>
    </w:p>
    <w:p>
      <w:pPr>
        <w:spacing w:after="0" w:line="114" w:lineRule="exact"/>
        <w:rPr>
          <w:rFonts w:ascii="Arial" w:cs="Arial" w:eastAsia="Arial" w:hAnsi="Arial"/>
          <w:sz w:val="14"/>
          <w:szCs w:val="14"/>
          <w:color w:val="auto"/>
        </w:rPr>
      </w:pPr>
    </w:p>
    <w:p>
      <w:pPr>
        <w:jc w:val="both"/>
        <w:ind w:left="-80" w:right="100" w:firstLine="861"/>
        <w:spacing w:after="0" w:line="252" w:lineRule="auto"/>
        <w:tabs>
          <w:tab w:leader="none" w:pos="1400" w:val="left"/>
        </w:tabs>
        <w:numPr>
          <w:ilvl w:val="0"/>
          <w:numId w:val="173"/>
        </w:numPr>
        <w:rPr>
          <w:rFonts w:ascii="Arial" w:cs="Arial" w:eastAsia="Arial" w:hAnsi="Arial"/>
          <w:sz w:val="14"/>
          <w:szCs w:val="14"/>
          <w:color w:val="auto"/>
        </w:rPr>
      </w:pPr>
      <w:r>
        <w:rPr>
          <w:rFonts w:ascii="Arial" w:cs="Arial" w:eastAsia="Arial" w:hAnsi="Arial"/>
          <w:sz w:val="14"/>
          <w:szCs w:val="14"/>
          <w:color w:val="auto"/>
        </w:rPr>
        <w:t>The failure to make any payment of principal or interest under the Note on or before the tenth (10</w:t>
      </w:r>
      <w:r>
        <w:rPr>
          <w:rFonts w:ascii="Arial" w:cs="Arial" w:eastAsia="Arial" w:hAnsi="Arial"/>
          <w:sz w:val="8"/>
          <w:szCs w:val="8"/>
          <w:color w:val="auto"/>
        </w:rPr>
        <w:t>1</w:t>
      </w:r>
      <w:r>
        <w:rPr>
          <w:rFonts w:ascii="Arial" w:cs="Arial" w:eastAsia="Arial" w:hAnsi="Arial"/>
          <w:sz w:val="13"/>
          <w:szCs w:val="13"/>
          <w:color w:val="auto"/>
        </w:rPr>
        <w:t>h)</w:t>
      </w:r>
      <w:r>
        <w:rPr>
          <w:rFonts w:ascii="Arial" w:cs="Arial" w:eastAsia="Arial" w:hAnsi="Arial"/>
          <w:sz w:val="14"/>
          <w:szCs w:val="14"/>
          <w:color w:val="auto"/>
        </w:rPr>
        <w:t xml:space="preserve"> calendar day after the day on which the same is due (without regard to any applicable cure and/or notice period) or if the entire Debt is not paid on or before the Maturity Date, along with applicable prepayment premiums, if any</w:t>
      </w:r>
    </w:p>
    <w:p>
      <w:pPr>
        <w:spacing w:after="0" w:line="123" w:lineRule="exact"/>
        <w:rPr>
          <w:rFonts w:ascii="Arial" w:cs="Arial" w:eastAsia="Arial" w:hAnsi="Arial"/>
          <w:sz w:val="14"/>
          <w:szCs w:val="14"/>
          <w:color w:val="auto"/>
        </w:rPr>
      </w:pPr>
    </w:p>
    <w:p>
      <w:pPr>
        <w:ind w:left="-80" w:right="180" w:firstLine="873"/>
        <w:spacing w:after="0" w:line="237" w:lineRule="auto"/>
        <w:tabs>
          <w:tab w:leader="none" w:pos="1407" w:val="left"/>
        </w:tabs>
        <w:numPr>
          <w:ilvl w:val="0"/>
          <w:numId w:val="173"/>
        </w:numPr>
        <w:rPr>
          <w:rFonts w:ascii="Arial" w:cs="Arial" w:eastAsia="Arial" w:hAnsi="Arial"/>
          <w:sz w:val="14"/>
          <w:szCs w:val="14"/>
          <w:color w:val="auto"/>
        </w:rPr>
      </w:pPr>
      <w:r>
        <w:rPr>
          <w:rFonts w:ascii="Arial" w:cs="Arial" w:eastAsia="Arial" w:hAnsi="Arial"/>
          <w:sz w:val="14"/>
          <w:szCs w:val="14"/>
          <w:color w:val="auto"/>
        </w:rPr>
        <w:t xml:space="preserve">if Borrower, or its general partner, member or manager, if applicable, violates or does not comply with any of the provisions of Section 3.3, </w:t>
      </w:r>
      <w:r>
        <w:rPr>
          <w:rFonts w:ascii="Arial" w:cs="Arial" w:eastAsia="Arial" w:hAnsi="Arial"/>
          <w:sz w:val="14"/>
          <w:szCs w:val="14"/>
          <w:u w:val="single" w:color="auto"/>
          <w:color w:val="auto"/>
        </w:rPr>
        <w:t>Section</w:t>
      </w:r>
      <w:r>
        <w:rPr>
          <w:rFonts w:ascii="Arial" w:cs="Arial" w:eastAsia="Arial" w:hAnsi="Arial"/>
          <w:sz w:val="14"/>
          <w:szCs w:val="14"/>
          <w:color w:val="auto"/>
        </w:rPr>
        <w:t xml:space="preserve"> </w:t>
      </w:r>
      <w:r>
        <w:rPr>
          <w:rFonts w:ascii="Arial" w:cs="Arial" w:eastAsia="Arial" w:hAnsi="Arial"/>
          <w:sz w:val="14"/>
          <w:szCs w:val="14"/>
          <w:u w:val="single" w:color="auto"/>
          <w:color w:val="auto"/>
        </w:rPr>
        <w:t>4.3,</w:t>
      </w:r>
      <w:r>
        <w:rPr>
          <w:rFonts w:ascii="Arial" w:cs="Arial" w:eastAsia="Arial" w:hAnsi="Arial"/>
          <w:sz w:val="14"/>
          <w:szCs w:val="14"/>
          <w:color w:val="auto"/>
        </w:rPr>
        <w:t xml:space="preserve"> or Article 8 hereof, or </w:t>
      </w:r>
      <w:r>
        <w:rPr>
          <w:rFonts w:ascii="Arial" w:cs="Arial" w:eastAsia="Arial" w:hAnsi="Arial"/>
          <w:sz w:val="14"/>
          <w:szCs w:val="14"/>
          <w:u w:val="single" w:color="auto"/>
          <w:color w:val="auto"/>
        </w:rPr>
        <w:t>Article 19</w:t>
      </w:r>
      <w:r>
        <w:rPr>
          <w:rFonts w:ascii="Arial" w:cs="Arial" w:eastAsia="Arial" w:hAnsi="Arial"/>
          <w:sz w:val="14"/>
          <w:szCs w:val="14"/>
          <w:color w:val="auto"/>
        </w:rPr>
        <w:t xml:space="preserve"> of the Note, or fails to deliver any of the reports required by Section</w:t>
      </w:r>
    </w:p>
    <w:p>
      <w:pPr>
        <w:spacing w:after="0" w:line="96" w:lineRule="exact"/>
        <w:rPr>
          <w:rFonts w:ascii="Arial" w:cs="Arial" w:eastAsia="Arial" w:hAnsi="Arial"/>
          <w:sz w:val="14"/>
          <w:szCs w:val="14"/>
          <w:color w:val="auto"/>
        </w:rPr>
      </w:pPr>
    </w:p>
    <w:p>
      <w:pPr>
        <w:ind w:left="-80" w:right="80" w:firstLine="861"/>
        <w:spacing w:after="0" w:line="237" w:lineRule="auto"/>
        <w:tabs>
          <w:tab w:leader="none" w:pos="1398" w:val="left"/>
        </w:tabs>
        <w:numPr>
          <w:ilvl w:val="0"/>
          <w:numId w:val="173"/>
        </w:numPr>
        <w:rPr>
          <w:rFonts w:ascii="Arial" w:cs="Arial" w:eastAsia="Arial" w:hAnsi="Arial"/>
          <w:sz w:val="14"/>
          <w:szCs w:val="14"/>
          <w:color w:val="auto"/>
        </w:rPr>
      </w:pPr>
      <w:r>
        <w:rPr>
          <w:rFonts w:ascii="Arial" w:cs="Arial" w:eastAsia="Arial" w:hAnsi="Arial"/>
          <w:sz w:val="14"/>
          <w:szCs w:val="14"/>
          <w:color w:val="auto"/>
        </w:rPr>
        <w:t>if Borrower or any Guarantor shall make an assignment for the benefit of creditors or if Borrower or any Guarantor shall admit in writing its inability to pay, or Borrower's or any Guarantor's failure to pay its debts as they become due;</w:t>
      </w:r>
    </w:p>
    <w:p>
      <w:pPr>
        <w:spacing w:after="0" w:line="105" w:lineRule="exact"/>
        <w:rPr>
          <w:rFonts w:ascii="Arial" w:cs="Arial" w:eastAsia="Arial" w:hAnsi="Arial"/>
          <w:sz w:val="14"/>
          <w:szCs w:val="14"/>
          <w:color w:val="auto"/>
        </w:rPr>
      </w:pPr>
    </w:p>
    <w:p>
      <w:pPr>
        <w:ind w:left="-80" w:right="60" w:firstLine="873"/>
        <w:spacing w:after="0" w:line="236" w:lineRule="auto"/>
        <w:tabs>
          <w:tab w:leader="none" w:pos="1382" w:val="left"/>
        </w:tabs>
        <w:numPr>
          <w:ilvl w:val="0"/>
          <w:numId w:val="173"/>
        </w:numPr>
        <w:rPr>
          <w:rFonts w:ascii="Arial" w:cs="Arial" w:eastAsia="Arial" w:hAnsi="Arial"/>
          <w:sz w:val="13"/>
          <w:szCs w:val="13"/>
          <w:color w:val="auto"/>
        </w:rPr>
      </w:pPr>
      <w:r>
        <w:rPr>
          <w:rFonts w:ascii="Arial" w:cs="Arial" w:eastAsia="Arial" w:hAnsi="Arial"/>
          <w:sz w:val="13"/>
          <w:szCs w:val="13"/>
          <w:color w:val="auto"/>
        </w:rPr>
        <w:t>if (i) Borrower or any member or manager of Borrower, or any Guarantor shall commence any case, proceeding or other action (A) under any existing or future law of any jurisdiction, domestic or foreign, relating to bankruptcy, insolvency, reorganization, conservatorship or relief of debtors, seeking to have an order for relief entered with respect to it, or seeking to adjudicate it a bankrupt or insolvent, or seeking reorganization, arrangement, adjustment, winding-up, liquidation, dissolution, composition or other relief with respect to it or its debts, or (B) seeking appointment of a receiver, trustee, custodian, conservator or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271780</wp:posOffset>
            </wp:positionV>
            <wp:extent cx="6322695"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322695" cy="42545"/>
                    </a:xfrm>
                    <a:prstGeom prst="rect">
                      <a:avLst/>
                    </a:prstGeom>
                    <a:noFill/>
                  </pic:spPr>
                </pic:pic>
              </a:graphicData>
            </a:graphic>
          </wp:anchor>
        </w:drawing>
      </w:r>
    </w:p>
    <w:p>
      <w:pPr>
        <w:sectPr>
          <w:pgSz w:w="11900" w:h="16838" w:orient="portrait"/>
          <w:cols w:equalWidth="0" w:num="1">
            <w:col w:w="9740"/>
          </w:cols>
          <w:pgMar w:left="1160" w:top="158" w:right="999" w:bottom="1440" w:gutter="0" w:footer="0" w:header="0"/>
          <w:type w:val="continuous"/>
        </w:sectPr>
      </w:pPr>
    </w:p>
    <w:bookmarkStart w:id="179" w:name="page180"/>
    <w:bookmarkEnd w:id="179"/>
    <w:p>
      <w:pPr>
        <w:ind w:left="20" w:right="420" w:firstLine="5"/>
        <w:spacing w:after="0" w:line="225" w:lineRule="auto"/>
        <w:rPr>
          <w:sz w:val="20"/>
          <w:szCs w:val="20"/>
          <w:color w:val="auto"/>
        </w:rPr>
      </w:pPr>
      <w:r>
        <w:rPr>
          <w:rFonts w:ascii="Arial" w:cs="Arial" w:eastAsia="Arial" w:hAnsi="Arial"/>
          <w:sz w:val="14"/>
          <w:szCs w:val="14"/>
          <w:color w:val="auto"/>
        </w:rPr>
        <w:t>similar official for it or for all or any substantial part of its assets, or Borrower or any member or manager of Borrower, or any Guarantor shall make a general assignment for the benefit of its creditors; or (ii) there shall be commenced against Borrower or any member or manager of Borrower, or any Guarantor any case, proceeding or other action of a nature referred to in clause</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4"/>
          <w:szCs w:val="14"/>
          <w:color w:val="auto"/>
        </w:rPr>
        <w:t>(i) above which (A) results in the entry of an order for relief or any such adjudication or</w:t>
      </w:r>
    </w:p>
    <w:p>
      <w:pPr>
        <w:spacing w:after="0" w:line="1" w:lineRule="exact"/>
        <w:rPr>
          <w:sz w:val="20"/>
          <w:szCs w:val="20"/>
          <w:color w:val="auto"/>
        </w:rPr>
      </w:pPr>
    </w:p>
    <w:p>
      <w:pPr>
        <w:ind w:firstLine="5"/>
        <w:spacing w:after="0" w:line="266" w:lineRule="auto"/>
        <w:rPr>
          <w:sz w:val="20"/>
          <w:szCs w:val="20"/>
          <w:color w:val="auto"/>
        </w:rPr>
      </w:pPr>
      <w:r>
        <w:rPr>
          <w:rFonts w:ascii="Arial" w:cs="Arial" w:eastAsia="Arial" w:hAnsi="Arial"/>
          <w:sz w:val="13"/>
          <w:szCs w:val="13"/>
          <w:color w:val="auto"/>
        </w:rPr>
        <w:t>appointment or (B) remains undismissed, undischarged or unbonded for a period of ninety (90) calendar days; or (iii) there shall be commenced against Borrower or any member or manager of Borrower or any Guarantor any case, proceeding or other action seeking issuance of a warrant of attachment, execution, distraint or similar process against all or any substantial part of its assets which results in the entry of any order for any such relief which shall not have been vacated, discharged, or stayed or bonded pending appeal within ninety (90) calendar days from the entry thereof; or (iv) Borrower or any member or manager of Borrower, or any Guarantor shall take any action in furtherance of, or indicating its consent to, approval of, or acquiescence in, any of the acts set forth in clause (i), (ii) or (iii) above; or (v) Borrower or any member or manager of Borrower, or any Guarantor shall generally not, or shall be unable to, or shall admit in writing its inability to, pay its debts as they become due;</w:t>
      </w:r>
    </w:p>
    <w:p>
      <w:pPr>
        <w:spacing w:after="0" w:line="102" w:lineRule="exact"/>
        <w:rPr>
          <w:sz w:val="20"/>
          <w:szCs w:val="20"/>
          <w:color w:val="auto"/>
        </w:rPr>
      </w:pPr>
    </w:p>
    <w:p>
      <w:pPr>
        <w:ind w:right="160" w:firstLine="878"/>
        <w:spacing w:after="0" w:line="219" w:lineRule="auto"/>
        <w:tabs>
          <w:tab w:leader="none" w:pos="1164" w:val="left"/>
        </w:tabs>
        <w:numPr>
          <w:ilvl w:val="1"/>
          <w:numId w:val="174"/>
        </w:numPr>
        <w:rPr>
          <w:rFonts w:ascii="Arial" w:cs="Arial" w:eastAsia="Arial" w:hAnsi="Arial"/>
          <w:sz w:val="14"/>
          <w:szCs w:val="14"/>
          <w:color w:val="auto"/>
        </w:rPr>
      </w:pPr>
      <w:r>
        <w:rPr>
          <w:rFonts w:ascii="Arial" w:cs="Arial" w:eastAsia="Arial" w:hAnsi="Arial"/>
          <w:sz w:val="14"/>
          <w:szCs w:val="14"/>
          <w:color w:val="auto"/>
        </w:rPr>
        <w:t xml:space="preserve">The occurrence of any materially adverse change in the financial condition of the Borrower or any Guarantor (for purposes of this Agreement, a </w:t>
      </w:r>
      <w:r>
        <w:rPr>
          <w:rFonts w:ascii="Arial" w:cs="Arial" w:eastAsia="Arial" w:hAnsi="Arial"/>
          <w:sz w:val="13"/>
          <w:szCs w:val="13"/>
          <w:b w:val="1"/>
          <w:bCs w:val="1"/>
          <w:color w:val="auto"/>
        </w:rPr>
        <w:t xml:space="preserve">"materially adverse change" </w:t>
      </w:r>
      <w:r>
        <w:rPr>
          <w:rFonts w:ascii="Arial" w:cs="Arial" w:eastAsia="Arial" w:hAnsi="Arial"/>
          <w:sz w:val="14"/>
          <w:szCs w:val="14"/>
          <w:color w:val="auto"/>
        </w:rPr>
        <w:t>shall mean one which in the determination of the Lender that, in its sole judgment, impairs the ability of the Borrower or any Guarantor</w:t>
      </w:r>
      <w:r>
        <w:rPr>
          <w:rFonts w:ascii="Arial" w:cs="Arial" w:eastAsia="Arial" w:hAnsi="Arial"/>
          <w:sz w:val="13"/>
          <w:szCs w:val="13"/>
          <w:b w:val="1"/>
          <w:bCs w:val="1"/>
          <w:color w:val="auto"/>
        </w:rPr>
        <w:t xml:space="preserve"> </w:t>
      </w:r>
      <w:r>
        <w:rPr>
          <w:rFonts w:ascii="Arial" w:cs="Arial" w:eastAsia="Arial" w:hAnsi="Arial"/>
          <w:sz w:val="14"/>
          <w:szCs w:val="14"/>
          <w:color w:val="auto"/>
        </w:rPr>
        <w:t>with respect to (i) maintaining and/or operating the Property, (ii) paying all real estate and, related taxes and charges and (iii) meeting all of its financial obligations to the Lender and all other creditors);</w:t>
      </w:r>
    </w:p>
    <w:p>
      <w:pPr>
        <w:spacing w:after="0" w:line="114" w:lineRule="exact"/>
        <w:rPr>
          <w:rFonts w:ascii="Arial" w:cs="Arial" w:eastAsia="Arial" w:hAnsi="Arial"/>
          <w:sz w:val="14"/>
          <w:szCs w:val="14"/>
          <w:color w:val="auto"/>
        </w:rPr>
      </w:pPr>
    </w:p>
    <w:p>
      <w:pPr>
        <w:ind w:left="-60" w:right="120" w:firstLine="861"/>
        <w:spacing w:after="0" w:line="257" w:lineRule="auto"/>
        <w:tabs>
          <w:tab w:leader="none" w:pos="1429" w:val="left"/>
        </w:tabs>
        <w:numPr>
          <w:ilvl w:val="0"/>
          <w:numId w:val="175"/>
        </w:numPr>
        <w:rPr>
          <w:rFonts w:ascii="Arial" w:cs="Arial" w:eastAsia="Arial" w:hAnsi="Arial"/>
          <w:sz w:val="14"/>
          <w:szCs w:val="14"/>
          <w:color w:val="auto"/>
        </w:rPr>
      </w:pPr>
      <w:r>
        <w:rPr>
          <w:rFonts w:ascii="Arial" w:cs="Arial" w:eastAsia="Arial" w:hAnsi="Arial"/>
          <w:sz w:val="14"/>
          <w:szCs w:val="14"/>
          <w:color w:val="auto"/>
        </w:rPr>
        <w:t>The occurrence of any default beyond the expiration of any applicable notice, grace or cure period under (i) any mortgage(s) now or hereafter covering the Property, giving rise to a right to accelerate payment thereof regardless of whether such mortgage(s) is/are held by Lender or a third party or (ii) any other agreement (loan or otherwise) between Lender and Borrower now existing or hereafter made;</w:t>
      </w:r>
    </w:p>
    <w:p>
      <w:pPr>
        <w:spacing w:after="0" w:line="104" w:lineRule="exact"/>
        <w:rPr>
          <w:rFonts w:ascii="Arial" w:cs="Arial" w:eastAsia="Arial" w:hAnsi="Arial"/>
          <w:sz w:val="14"/>
          <w:szCs w:val="14"/>
          <w:color w:val="auto"/>
        </w:rPr>
      </w:pPr>
    </w:p>
    <w:p>
      <w:pPr>
        <w:ind w:left="-60" w:right="140" w:firstLine="861"/>
        <w:spacing w:after="0" w:line="236" w:lineRule="auto"/>
        <w:tabs>
          <w:tab w:leader="none" w:pos="1429" w:val="left"/>
        </w:tabs>
        <w:numPr>
          <w:ilvl w:val="0"/>
          <w:numId w:val="175"/>
        </w:numPr>
        <w:rPr>
          <w:rFonts w:ascii="Arial" w:cs="Arial" w:eastAsia="Arial" w:hAnsi="Arial"/>
          <w:sz w:val="14"/>
          <w:szCs w:val="14"/>
          <w:color w:val="auto"/>
        </w:rPr>
      </w:pPr>
      <w:r>
        <w:rPr>
          <w:rFonts w:ascii="Arial" w:cs="Arial" w:eastAsia="Arial" w:hAnsi="Arial"/>
          <w:sz w:val="14"/>
          <w:szCs w:val="14"/>
          <w:color w:val="auto"/>
        </w:rPr>
        <w:t>The failure to perform any of the other covenants, terms or agreements on the part of the Borrower to be performed hereunder or under any of the other Loan Documents beyond any applicable notice and cure period;</w:t>
      </w:r>
    </w:p>
    <w:p>
      <w:pPr>
        <w:spacing w:after="0" w:line="97" w:lineRule="exact"/>
        <w:rPr>
          <w:rFonts w:ascii="Arial" w:cs="Arial" w:eastAsia="Arial" w:hAnsi="Arial"/>
          <w:sz w:val="14"/>
          <w:szCs w:val="14"/>
          <w:color w:val="auto"/>
        </w:rPr>
      </w:pPr>
    </w:p>
    <w:p>
      <w:pPr>
        <w:ind w:left="-60" w:right="100" w:firstLine="861"/>
        <w:spacing w:after="0" w:line="246" w:lineRule="auto"/>
        <w:tabs>
          <w:tab w:leader="none" w:pos="1426" w:val="left"/>
        </w:tabs>
        <w:numPr>
          <w:ilvl w:val="0"/>
          <w:numId w:val="175"/>
        </w:numPr>
        <w:rPr>
          <w:rFonts w:ascii="Arial" w:cs="Arial" w:eastAsia="Arial" w:hAnsi="Arial"/>
          <w:sz w:val="14"/>
          <w:szCs w:val="14"/>
          <w:color w:val="auto"/>
        </w:rPr>
      </w:pPr>
      <w:r>
        <w:rPr>
          <w:rFonts w:ascii="Arial" w:cs="Arial" w:eastAsia="Arial" w:hAnsi="Arial"/>
          <w:sz w:val="14"/>
          <w:szCs w:val="14"/>
          <w:color w:val="auto"/>
        </w:rPr>
        <w:t>if any federal tax lien is filed against Borrower, any general partner, member or manager of Borrower, any Guarantor or the Property and same is not discharged of record within forty-five (45) calendar days after Borrower becomes aware of such filing;; or</w:t>
      </w:r>
    </w:p>
    <w:p>
      <w:pPr>
        <w:spacing w:after="0" w:line="93" w:lineRule="exact"/>
        <w:rPr>
          <w:sz w:val="20"/>
          <w:szCs w:val="20"/>
          <w:color w:val="auto"/>
        </w:rPr>
      </w:pPr>
    </w:p>
    <w:p>
      <w:pPr>
        <w:ind w:right="360" w:firstLine="878"/>
        <w:spacing w:after="0" w:line="246" w:lineRule="auto"/>
        <w:tabs>
          <w:tab w:leader="none" w:pos="1060" w:val="left"/>
        </w:tabs>
        <w:numPr>
          <w:ilvl w:val="0"/>
          <w:numId w:val="176"/>
        </w:numPr>
        <w:rPr>
          <w:rFonts w:ascii="Arial" w:cs="Arial" w:eastAsia="Arial" w:hAnsi="Arial"/>
          <w:sz w:val="14"/>
          <w:szCs w:val="14"/>
          <w:color w:val="auto"/>
        </w:rPr>
      </w:pPr>
      <w:r>
        <w:rPr>
          <w:rFonts w:ascii="Arial" w:cs="Arial" w:eastAsia="Arial" w:hAnsi="Arial"/>
          <w:sz w:val="14"/>
          <w:szCs w:val="14"/>
          <w:color w:val="auto"/>
        </w:rPr>
        <w:t>Any "Event of Default" (as defined in the First Mortgage Loan Documents) or any event which upon notice or lapse of time or both would constitute an Event of Default occurs pursuant to the First Mortgage Loan Documents.</w:t>
      </w:r>
    </w:p>
    <w:p>
      <w:pPr>
        <w:spacing w:after="0" w:line="102" w:lineRule="exact"/>
        <w:rPr>
          <w:sz w:val="20"/>
          <w:szCs w:val="20"/>
          <w:color w:val="auto"/>
        </w:rPr>
      </w:pPr>
    </w:p>
    <w:p>
      <w:pPr>
        <w:ind w:left="280"/>
        <w:spacing w:after="0"/>
        <w:tabs>
          <w:tab w:leader="none" w:pos="1340" w:val="left"/>
        </w:tabs>
        <w:rPr>
          <w:sz w:val="20"/>
          <w:szCs w:val="20"/>
          <w:color w:val="auto"/>
        </w:rPr>
      </w:pPr>
      <w:r>
        <w:rPr>
          <w:rFonts w:ascii="Arial" w:cs="Arial" w:eastAsia="Arial" w:hAnsi="Arial"/>
          <w:sz w:val="14"/>
          <w:szCs w:val="14"/>
          <w:color w:val="auto"/>
        </w:rPr>
        <w:t>Section 4.02</w:t>
      </w:r>
      <w:r>
        <w:rPr>
          <w:sz w:val="20"/>
          <w:szCs w:val="20"/>
          <w:color w:val="auto"/>
        </w:rPr>
        <w:tab/>
      </w:r>
      <w:r>
        <w:rPr>
          <w:rFonts w:ascii="Arial" w:cs="Arial" w:eastAsia="Arial" w:hAnsi="Arial"/>
          <w:sz w:val="12"/>
          <w:szCs w:val="12"/>
          <w:b w:val="1"/>
          <w:bCs w:val="1"/>
          <w:color w:val="auto"/>
        </w:rPr>
        <w:t>Effect of Default.</w:t>
      </w:r>
    </w:p>
    <w:p>
      <w:pPr>
        <w:spacing w:after="0" w:line="145" w:lineRule="exact"/>
        <w:rPr>
          <w:sz w:val="20"/>
          <w:szCs w:val="20"/>
          <w:color w:val="auto"/>
        </w:rPr>
      </w:pPr>
    </w:p>
    <w:p>
      <w:pPr>
        <w:ind w:left="-60" w:right="60" w:firstLine="861"/>
        <w:spacing w:after="0" w:line="246" w:lineRule="auto"/>
        <w:tabs>
          <w:tab w:leader="none" w:pos="1422" w:val="left"/>
        </w:tabs>
        <w:numPr>
          <w:ilvl w:val="0"/>
          <w:numId w:val="177"/>
        </w:numPr>
        <w:rPr>
          <w:rFonts w:ascii="Arial" w:cs="Arial" w:eastAsia="Arial" w:hAnsi="Arial"/>
          <w:sz w:val="14"/>
          <w:szCs w:val="14"/>
          <w:color w:val="auto"/>
        </w:rPr>
      </w:pPr>
      <w:r>
        <w:rPr>
          <w:rFonts w:ascii="Arial" w:cs="Arial" w:eastAsia="Arial" w:hAnsi="Arial"/>
          <w:sz w:val="14"/>
          <w:szCs w:val="14"/>
          <w:color w:val="auto"/>
        </w:rPr>
        <w:t>Upon the occurrence of an Event of Default, the Lender, in its sole and absolute discretion, may (1) temporarily suspend the extension of credit and refuse to honor any request for an Advance, (2) demand the prepayment of the Advance, (3) pursue any other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-69215</wp:posOffset>
            </wp:positionH>
            <wp:positionV relativeFrom="paragraph">
              <wp:posOffset>267335</wp:posOffset>
            </wp:positionV>
            <wp:extent cx="6379845"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379845" cy="42545"/>
                    </a:xfrm>
                    <a:prstGeom prst="rect">
                      <a:avLst/>
                    </a:prstGeom>
                    <a:noFill/>
                  </pic:spPr>
                </pic:pic>
              </a:graphicData>
            </a:graphic>
          </wp:anchor>
        </w:drawing>
      </w:r>
    </w:p>
    <w:p>
      <w:pPr>
        <w:sectPr>
          <w:pgSz w:w="11900" w:h="16838" w:orient="portrait"/>
          <w:cols w:equalWidth="0" w:num="1">
            <w:col w:w="9740"/>
          </w:cols>
          <w:pgMar w:left="1140" w:top="161" w:right="1019" w:bottom="1440" w:gutter="0" w:footer="0" w:header="0"/>
        </w:sectPr>
      </w:pPr>
    </w:p>
    <w:bookmarkStart w:id="180" w:name="page181"/>
    <w:bookmarkEnd w:id="180"/>
    <w:p>
      <w:pPr>
        <w:ind w:firstLine="2"/>
        <w:spacing w:after="0" w:line="216" w:lineRule="auto"/>
        <w:rPr>
          <w:sz w:val="20"/>
          <w:szCs w:val="20"/>
          <w:color w:val="auto"/>
        </w:rPr>
      </w:pPr>
      <w:r>
        <w:rPr>
          <w:rFonts w:ascii="Arial" w:cs="Arial" w:eastAsia="Arial" w:hAnsi="Arial"/>
          <w:sz w:val="14"/>
          <w:szCs w:val="14"/>
          <w:color w:val="auto"/>
        </w:rPr>
        <w:t>or remedies available to the Lender under this Agreement or the other Loan Documents, (4) terminate this Agreement and any obligation hereunder to make the Advance by declaring the loan to be immediately due and payable and/or exercising such of the other remedies provided for in the Loan Documents as the Lender may elect. The costs and expenses of Lender incurred in carrying out any or all of the above and enforcing the terms of this Agreement or the Note, including reasonable attorneys' fees, shall be at Borrower's expense.</w:t>
      </w:r>
    </w:p>
    <w:p>
      <w:pPr>
        <w:spacing w:after="0" w:line="105" w:lineRule="exact"/>
        <w:rPr>
          <w:sz w:val="20"/>
          <w:szCs w:val="20"/>
          <w:color w:val="auto"/>
        </w:rPr>
      </w:pPr>
    </w:p>
    <w:p>
      <w:pPr>
        <w:ind w:left="-60" w:right="160" w:firstLine="845"/>
        <w:spacing w:after="0" w:line="225" w:lineRule="auto"/>
        <w:tabs>
          <w:tab w:leader="none" w:pos="1496" w:val="left"/>
        </w:tabs>
        <w:numPr>
          <w:ilvl w:val="0"/>
          <w:numId w:val="178"/>
        </w:numPr>
        <w:rPr>
          <w:rFonts w:ascii="Arial" w:cs="Arial" w:eastAsia="Arial" w:hAnsi="Arial"/>
          <w:sz w:val="14"/>
          <w:szCs w:val="14"/>
          <w:color w:val="auto"/>
        </w:rPr>
      </w:pPr>
      <w:r>
        <w:rPr>
          <w:rFonts w:ascii="Arial" w:cs="Arial" w:eastAsia="Arial" w:hAnsi="Arial"/>
          <w:sz w:val="14"/>
          <w:szCs w:val="14"/>
          <w:color w:val="auto"/>
        </w:rPr>
        <w:t>Without limiting any remedy otherwise available to the Lender, the Borrower shall pay a late charge, to the extent permitted by law, of five ($.05) cents per each dollar ($1.00) of each payment received and accepted by the Lender more than ten (10) days after the date it is due, to cover the extra expense involved in handling such delinquent payment.</w:t>
      </w:r>
    </w:p>
    <w:p>
      <w:pPr>
        <w:spacing w:after="0" w:line="114" w:lineRule="exact"/>
        <w:rPr>
          <w:rFonts w:ascii="Arial" w:cs="Arial" w:eastAsia="Arial" w:hAnsi="Arial"/>
          <w:sz w:val="14"/>
          <w:szCs w:val="14"/>
          <w:color w:val="auto"/>
        </w:rPr>
      </w:pPr>
    </w:p>
    <w:p>
      <w:pPr>
        <w:ind w:left="-60" w:right="60" w:firstLine="845"/>
        <w:spacing w:after="0" w:line="210" w:lineRule="auto"/>
        <w:tabs>
          <w:tab w:leader="none" w:pos="1502" w:val="left"/>
        </w:tabs>
        <w:numPr>
          <w:ilvl w:val="0"/>
          <w:numId w:val="178"/>
        </w:numPr>
        <w:rPr>
          <w:rFonts w:ascii="Arial" w:cs="Arial" w:eastAsia="Arial" w:hAnsi="Arial"/>
          <w:sz w:val="14"/>
          <w:szCs w:val="14"/>
          <w:color w:val="auto"/>
        </w:rPr>
      </w:pPr>
      <w:r>
        <w:rPr>
          <w:rFonts w:ascii="Arial" w:cs="Arial" w:eastAsia="Arial" w:hAnsi="Arial"/>
          <w:sz w:val="14"/>
          <w:szCs w:val="14"/>
          <w:color w:val="auto"/>
        </w:rPr>
        <w:t xml:space="preserve">Anything to the contrary herein notwithstanding, Lender shall give written notice to Borrower with respect to any non-monetary defaults hereunder and Borrower shall have a period of thirty (30) days from the date of such notice to cure the default, if Borrower or any Guarantor, as the case may be, shall continue to be in default under any other term, covenant or condition of this Agreement or any Loan Documents for thirty (30) calendar days after notice from Lender;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if such default cannot reasonably be cured within such thirty (30) calendar day period and Borrower (or such Guarantor as the case may be) shall have commenced to cure such default within such thirty (30) calendar day period and thereafter diligently and</w:t>
      </w:r>
    </w:p>
    <w:p>
      <w:pPr>
        <w:spacing w:after="0" w:line="1" w:lineRule="exact"/>
        <w:rPr>
          <w:rFonts w:ascii="Arial" w:cs="Arial" w:eastAsia="Arial" w:hAnsi="Arial"/>
          <w:sz w:val="14"/>
          <w:szCs w:val="14"/>
          <w:color w:val="auto"/>
        </w:rPr>
      </w:pPr>
    </w:p>
    <w:p>
      <w:pPr>
        <w:spacing w:after="0" w:line="228" w:lineRule="auto"/>
        <w:rPr>
          <w:rFonts w:ascii="Arial" w:cs="Arial" w:eastAsia="Arial" w:hAnsi="Arial"/>
          <w:sz w:val="14"/>
          <w:szCs w:val="14"/>
          <w:color w:val="auto"/>
        </w:rPr>
      </w:pPr>
      <w:r>
        <w:rPr>
          <w:rFonts w:ascii="Arial" w:cs="Arial" w:eastAsia="Arial" w:hAnsi="Arial"/>
          <w:sz w:val="14"/>
          <w:szCs w:val="14"/>
          <w:color w:val="auto"/>
        </w:rPr>
        <w:t>expeditiously proceeds to cure the same, such thirty (30) calendar day period shall be extended ·</w:t>
      </w:r>
    </w:p>
    <w:p>
      <w:pPr>
        <w:ind w:right="40" w:hanging="3"/>
        <w:spacing w:after="0" w:line="222" w:lineRule="auto"/>
        <w:rPr>
          <w:rFonts w:ascii="Arial" w:cs="Arial" w:eastAsia="Arial" w:hAnsi="Arial"/>
          <w:sz w:val="14"/>
          <w:szCs w:val="14"/>
          <w:color w:val="auto"/>
        </w:rPr>
      </w:pPr>
      <w:r>
        <w:rPr>
          <w:rFonts w:ascii="Arial" w:cs="Arial" w:eastAsia="Arial" w:hAnsi="Arial"/>
          <w:sz w:val="14"/>
          <w:szCs w:val="14"/>
          <w:color w:val="auto"/>
        </w:rPr>
        <w:t>for so long as it shall require Borrower (or such Guarantor as the case may be) in the exercise of due diligence to cure such default, it being agreed that no such extension shall be for a period in excess of sixty (60) calendar days after the notice from Lender referred to above.</w:t>
      </w:r>
    </w:p>
    <w:p>
      <w:pPr>
        <w:spacing w:after="0" w:line="104" w:lineRule="exact"/>
        <w:rPr>
          <w:rFonts w:ascii="Arial" w:cs="Arial" w:eastAsia="Arial" w:hAnsi="Arial"/>
          <w:sz w:val="14"/>
          <w:szCs w:val="14"/>
          <w:color w:val="auto"/>
        </w:rPr>
      </w:pPr>
    </w:p>
    <w:p>
      <w:pPr>
        <w:ind w:left="-60" w:right="320" w:firstLine="845"/>
        <w:spacing w:after="0" w:line="275" w:lineRule="auto"/>
        <w:tabs>
          <w:tab w:leader="none" w:pos="1496" w:val="left"/>
        </w:tabs>
        <w:numPr>
          <w:ilvl w:val="0"/>
          <w:numId w:val="178"/>
        </w:numPr>
        <w:rPr>
          <w:rFonts w:ascii="Arial" w:cs="Arial" w:eastAsia="Arial" w:hAnsi="Arial"/>
          <w:sz w:val="12"/>
          <w:szCs w:val="12"/>
          <w:color w:val="auto"/>
        </w:rPr>
      </w:pPr>
      <w:r>
        <w:rPr>
          <w:rFonts w:ascii="Arial" w:cs="Arial" w:eastAsia="Arial" w:hAnsi="Arial"/>
          <w:sz w:val="12"/>
          <w:szCs w:val="12"/>
          <w:color w:val="auto"/>
        </w:rPr>
        <w:t>If the Borrower fails to observe or perform any of the covenants or agreements on the part of the Borrower to be performed hereunder, then the Lender may, but shall not be obligated to, perform the same and all necessary and all reasonable costs incurred by the Lender in performing the Borrower's covenants and agreements, including reasonable counsel fees, shall be repaid by the Borrower upon demand, together with interest thereon at the default rate under the Note.</w:t>
      </w:r>
    </w:p>
    <w:p>
      <w:pPr>
        <w:spacing w:after="0" w:line="89" w:lineRule="exact"/>
        <w:rPr>
          <w:sz w:val="20"/>
          <w:szCs w:val="20"/>
          <w:color w:val="auto"/>
        </w:rPr>
      </w:pPr>
    </w:p>
    <w:p>
      <w:pPr>
        <w:ind w:left="280"/>
        <w:spacing w:after="0"/>
        <w:tabs>
          <w:tab w:leader="none" w:pos="1340" w:val="left"/>
        </w:tabs>
        <w:rPr>
          <w:sz w:val="20"/>
          <w:szCs w:val="20"/>
          <w:color w:val="auto"/>
        </w:rPr>
      </w:pPr>
      <w:r>
        <w:rPr>
          <w:rFonts w:ascii="Arial" w:cs="Arial" w:eastAsia="Arial" w:hAnsi="Arial"/>
          <w:sz w:val="14"/>
          <w:szCs w:val="14"/>
          <w:color w:val="auto"/>
        </w:rPr>
        <w:t>Section 4.03</w:t>
      </w:r>
      <w:r>
        <w:rPr>
          <w:sz w:val="20"/>
          <w:szCs w:val="20"/>
          <w:color w:val="auto"/>
        </w:rPr>
        <w:tab/>
      </w:r>
      <w:r>
        <w:rPr>
          <w:rFonts w:ascii="Arial" w:cs="Arial" w:eastAsia="Arial" w:hAnsi="Arial"/>
          <w:sz w:val="12"/>
          <w:szCs w:val="12"/>
          <w:b w:val="1"/>
          <w:bCs w:val="1"/>
          <w:color w:val="auto"/>
        </w:rPr>
        <w:t>No Waiver.</w:t>
      </w:r>
    </w:p>
    <w:p>
      <w:pPr>
        <w:spacing w:after="0" w:line="140" w:lineRule="exact"/>
        <w:rPr>
          <w:sz w:val="20"/>
          <w:szCs w:val="20"/>
          <w:color w:val="auto"/>
        </w:rPr>
      </w:pPr>
    </w:p>
    <w:p>
      <w:pPr>
        <w:ind w:right="60" w:firstLine="868"/>
        <w:spacing w:after="0" w:line="227" w:lineRule="auto"/>
        <w:tabs>
          <w:tab w:leader="none" w:pos="1047" w:val="left"/>
        </w:tabs>
        <w:numPr>
          <w:ilvl w:val="0"/>
          <w:numId w:val="179"/>
        </w:numPr>
        <w:rPr>
          <w:rFonts w:ascii="Arial" w:cs="Arial" w:eastAsia="Arial" w:hAnsi="Arial"/>
          <w:sz w:val="13"/>
          <w:szCs w:val="13"/>
          <w:color w:val="auto"/>
        </w:rPr>
      </w:pPr>
      <w:r>
        <w:rPr>
          <w:rFonts w:ascii="Arial" w:cs="Arial" w:eastAsia="Arial" w:hAnsi="Arial"/>
          <w:sz w:val="13"/>
          <w:szCs w:val="13"/>
          <w:color w:val="auto"/>
        </w:rPr>
        <w:t>Any failure of the Lender to exercise its option to declare the loan immediately due and payable, or any forbearance by the Lender before or after any exercise of such option, or any forbearance to exercise any other remedy of the Lender, or any withdrawal or abandonment of the Lender of any of its rights in any one circumstance, shall not be construed as a waiver of any option, power, remedy or right of the Lender hereunder except to the extent, if any, the action of the Lender constitutes an express waiver with respect to such one circumstance. The rights and remedies of the Lender expressed and contained in this Agreement and in the Loan Documents are cumulative and none of them shall be deemed to be exclusive of any other or of any right or remedy the Lender may not or hereafter have in law or in equity. The election of any one or more remedies shall not be deemed to be an election of remedies under any statute, rule, regulation or other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272415</wp:posOffset>
            </wp:positionV>
            <wp:extent cx="638556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385560" cy="42545"/>
                    </a:xfrm>
                    <a:prstGeom prst="rect">
                      <a:avLst/>
                    </a:prstGeom>
                    <a:noFill/>
                  </pic:spPr>
                </pic:pic>
              </a:graphicData>
            </a:graphic>
          </wp:anchor>
        </w:drawing>
      </w:r>
    </w:p>
    <w:p>
      <w:pPr>
        <w:sectPr>
          <w:pgSz w:w="11900" w:h="16838" w:orient="portrait"/>
          <w:cols w:equalWidth="0" w:num="1">
            <w:col w:w="9700"/>
          </w:cols>
          <w:pgMar w:left="1120" w:top="158" w:right="1079" w:bottom="1440" w:gutter="0" w:footer="0" w:header="0"/>
        </w:sectPr>
      </w:pPr>
    </w:p>
    <w:bookmarkStart w:id="181" w:name="page182"/>
    <w:bookmarkEnd w:id="181"/>
    <w:p>
      <w:pPr>
        <w:jc w:val="both"/>
        <w:ind w:left="980" w:firstLine="878"/>
        <w:spacing w:after="0" w:line="219" w:lineRule="auto"/>
        <w:tabs>
          <w:tab w:leader="none" w:pos="2059" w:val="left"/>
        </w:tabs>
        <w:numPr>
          <w:ilvl w:val="0"/>
          <w:numId w:val="180"/>
        </w:numPr>
        <w:rPr>
          <w:rFonts w:ascii="Arial" w:cs="Arial" w:eastAsia="Arial" w:hAnsi="Arial"/>
          <w:sz w:val="14"/>
          <w:szCs w:val="14"/>
          <w:color w:val="auto"/>
        </w:rPr>
      </w:pPr>
      <w:r>
        <w:rPr>
          <w:rFonts w:ascii="Arial" w:cs="Arial" w:eastAsia="Arial" w:hAnsi="Arial"/>
          <w:sz w:val="14"/>
          <w:szCs w:val="14"/>
          <w:color w:val="auto"/>
        </w:rPr>
        <w:t>The obligations of the Borrower (and the rights and remedies of the Lender against the Borrower) hereunder shall in no way be modified, abrogated, terminated or adversely affected by (i) any forbearance by the Lender in collecting any sums due, or (ii) the granting of any extension of time to perform any obligation hereunder or (iii) any impairment of the collateral, if any, which may now or hereafter be assigned or delivered to Lender to secure payment of the amounts due under the Note or hereunder, by reason of any act, failure to act or negligence of the Lender.</w:t>
      </w:r>
    </w:p>
    <w:p>
      <w:pPr>
        <w:spacing w:after="0" w:line="116" w:lineRule="exact"/>
        <w:rPr>
          <w:sz w:val="20"/>
          <w:szCs w:val="20"/>
          <w:color w:val="auto"/>
        </w:rPr>
      </w:pPr>
    </w:p>
    <w:p>
      <w:pPr>
        <w:ind w:left="980"/>
        <w:spacing w:after="0"/>
        <w:tabs>
          <w:tab w:leader="none" w:pos="1980" w:val="left"/>
        </w:tabs>
        <w:rPr>
          <w:sz w:val="20"/>
          <w:szCs w:val="20"/>
          <w:color w:val="auto"/>
        </w:rPr>
      </w:pPr>
      <w:r>
        <w:rPr>
          <w:rFonts w:ascii="Arial" w:cs="Arial" w:eastAsia="Arial" w:hAnsi="Arial"/>
          <w:sz w:val="14"/>
          <w:szCs w:val="14"/>
          <w:b w:val="1"/>
          <w:bCs w:val="1"/>
          <w:color w:val="auto"/>
        </w:rPr>
        <w:t>Article V.</w:t>
      </w:r>
      <w:r>
        <w:rPr>
          <w:sz w:val="20"/>
          <w:szCs w:val="20"/>
          <w:color w:val="auto"/>
        </w:rPr>
        <w:tab/>
      </w:r>
      <w:r>
        <w:rPr>
          <w:rFonts w:ascii="Arial" w:cs="Arial" w:eastAsia="Arial" w:hAnsi="Arial"/>
          <w:sz w:val="14"/>
          <w:szCs w:val="14"/>
          <w:b w:val="1"/>
          <w:bCs w:val="1"/>
          <w:color w:val="auto"/>
        </w:rPr>
        <w:t>MISCELLANEOUS</w:t>
      </w:r>
    </w:p>
    <w:p>
      <w:pPr>
        <w:spacing w:after="0" w:line="135" w:lineRule="exact"/>
        <w:rPr>
          <w:sz w:val="20"/>
          <w:szCs w:val="20"/>
          <w:color w:val="auto"/>
        </w:rPr>
      </w:pPr>
    </w:p>
    <w:p>
      <w:pPr>
        <w:ind w:left="1260"/>
        <w:spacing w:after="0"/>
        <w:tabs>
          <w:tab w:leader="none" w:pos="2300" w:val="left"/>
        </w:tabs>
        <w:rPr>
          <w:sz w:val="20"/>
          <w:szCs w:val="20"/>
          <w:color w:val="auto"/>
        </w:rPr>
      </w:pPr>
      <w:r>
        <w:rPr>
          <w:rFonts w:ascii="Arial" w:cs="Arial" w:eastAsia="Arial" w:hAnsi="Arial"/>
          <w:sz w:val="14"/>
          <w:szCs w:val="14"/>
          <w:color w:val="auto"/>
        </w:rPr>
        <w:t>Section 5.01</w:t>
      </w:r>
      <w:r>
        <w:rPr>
          <w:sz w:val="20"/>
          <w:szCs w:val="20"/>
          <w:color w:val="auto"/>
        </w:rPr>
        <w:tab/>
      </w:r>
      <w:r>
        <w:rPr>
          <w:rFonts w:ascii="Arial" w:cs="Arial" w:eastAsia="Arial" w:hAnsi="Arial"/>
          <w:sz w:val="10"/>
          <w:szCs w:val="10"/>
          <w:b w:val="1"/>
          <w:bCs w:val="1"/>
          <w:color w:val="auto"/>
        </w:rPr>
        <w:t>Notices.</w:t>
      </w:r>
    </w:p>
    <w:p>
      <w:pPr>
        <w:spacing w:after="0" w:line="181" w:lineRule="exact"/>
        <w:rPr>
          <w:sz w:val="20"/>
          <w:szCs w:val="20"/>
          <w:color w:val="auto"/>
        </w:rPr>
      </w:pPr>
    </w:p>
    <w:p>
      <w:pPr>
        <w:ind w:left="980" w:right="140" w:firstLine="435"/>
        <w:spacing w:after="0" w:line="243" w:lineRule="auto"/>
        <w:rPr>
          <w:sz w:val="20"/>
          <w:szCs w:val="20"/>
          <w:color w:val="auto"/>
        </w:rPr>
      </w:pPr>
      <w:r>
        <w:rPr>
          <w:rFonts w:ascii="Arial" w:cs="Arial" w:eastAsia="Arial" w:hAnsi="Arial"/>
          <w:sz w:val="13"/>
          <w:szCs w:val="13"/>
          <w:color w:val="auto"/>
        </w:rPr>
        <w:t>All notices to be given hereunder shall be delivered by hand, or sent to the party to be notified via certified mail, return receipt requested or sent by a nationally recognized overnight courier which provides evidence of receipt and shall be deemed given when delivered by hand or one (1) day after delivery to such nationally recognized overnight courier or three (3) days after being posted with the United States Postal Service addressed to the parties as follows:</w:t>
      </w:r>
    </w:p>
    <w:p>
      <w:pPr>
        <w:spacing w:after="0" w:line="122" w:lineRule="exact"/>
        <w:rPr>
          <w:sz w:val="20"/>
          <w:szCs w:val="20"/>
          <w:color w:val="auto"/>
        </w:rPr>
      </w:pPr>
    </w:p>
    <w:p>
      <w:pPr>
        <w:ind w:left="980"/>
        <w:spacing w:after="0"/>
        <w:tabs>
          <w:tab w:leader="none" w:pos="2820" w:val="left"/>
        </w:tabs>
        <w:rPr>
          <w:sz w:val="20"/>
          <w:szCs w:val="20"/>
          <w:color w:val="auto"/>
        </w:rPr>
      </w:pPr>
      <w:r>
        <w:rPr>
          <w:rFonts w:ascii="Arial" w:cs="Arial" w:eastAsia="Arial" w:hAnsi="Arial"/>
          <w:sz w:val="14"/>
          <w:szCs w:val="14"/>
          <w:color w:val="auto"/>
        </w:rPr>
        <w:t>If to the Lender at:</w:t>
      </w:r>
      <w:r>
        <w:rPr>
          <w:sz w:val="20"/>
          <w:szCs w:val="20"/>
          <w:color w:val="auto"/>
        </w:rPr>
        <w:tab/>
      </w:r>
      <w:r>
        <w:rPr>
          <w:rFonts w:ascii="Arial" w:cs="Arial" w:eastAsia="Arial" w:hAnsi="Arial"/>
          <w:sz w:val="13"/>
          <w:szCs w:val="13"/>
          <w:color w:val="auto"/>
        </w:rPr>
        <w:t>Santander Bank, N.A.</w:t>
      </w:r>
    </w:p>
    <w:p>
      <w:pPr>
        <w:spacing w:after="0" w:line="13" w:lineRule="exact"/>
        <w:rPr>
          <w:sz w:val="20"/>
          <w:szCs w:val="20"/>
          <w:color w:val="auto"/>
        </w:rPr>
      </w:pPr>
    </w:p>
    <w:p>
      <w:pPr>
        <w:ind w:left="2720"/>
        <w:spacing w:after="0"/>
        <w:rPr>
          <w:sz w:val="20"/>
          <w:szCs w:val="20"/>
          <w:color w:val="auto"/>
        </w:rPr>
      </w:pPr>
      <w:r>
        <w:rPr>
          <w:rFonts w:ascii="Arial" w:cs="Arial" w:eastAsia="Arial" w:hAnsi="Arial"/>
          <w:sz w:val="14"/>
          <w:szCs w:val="14"/>
          <w:color w:val="auto"/>
        </w:rPr>
        <w:t>195 Montague Street</w:t>
      </w:r>
    </w:p>
    <w:p>
      <w:pPr>
        <w:spacing w:after="0" w:line="9" w:lineRule="exact"/>
        <w:rPr>
          <w:sz w:val="20"/>
          <w:szCs w:val="20"/>
          <w:color w:val="auto"/>
        </w:rPr>
      </w:pPr>
    </w:p>
    <w:p>
      <w:pPr>
        <w:ind w:left="2720"/>
        <w:spacing w:after="0"/>
        <w:rPr>
          <w:sz w:val="20"/>
          <w:szCs w:val="20"/>
          <w:color w:val="auto"/>
        </w:rPr>
      </w:pPr>
      <w:r>
        <w:rPr>
          <w:rFonts w:ascii="Arial" w:cs="Arial" w:eastAsia="Arial" w:hAnsi="Arial"/>
          <w:sz w:val="14"/>
          <w:szCs w:val="14"/>
          <w:color w:val="auto"/>
        </w:rPr>
        <w:t>Brooklyn, New York 11201 Attn: Elizabeth Bae</w:t>
      </w:r>
    </w:p>
    <w:p>
      <w:pPr>
        <w:spacing w:after="0" w:line="152" w:lineRule="exact"/>
        <w:rPr>
          <w:sz w:val="20"/>
          <w:szCs w:val="20"/>
          <w:color w:val="auto"/>
        </w:rPr>
      </w:pPr>
    </w:p>
    <w:p>
      <w:pPr>
        <w:ind w:left="980"/>
        <w:spacing w:after="0"/>
        <w:tabs>
          <w:tab w:leader="none" w:pos="2760" w:val="left"/>
        </w:tabs>
        <w:rPr>
          <w:sz w:val="20"/>
          <w:szCs w:val="20"/>
          <w:color w:val="auto"/>
        </w:rPr>
      </w:pPr>
      <w:r>
        <w:rPr>
          <w:rFonts w:ascii="Arial" w:cs="Arial" w:eastAsia="Arial" w:hAnsi="Arial"/>
          <w:sz w:val="14"/>
          <w:szCs w:val="14"/>
          <w:color w:val="auto"/>
        </w:rPr>
        <w:t>With a copy to:</w:t>
      </w:r>
      <w:r>
        <w:rPr>
          <w:sz w:val="20"/>
          <w:szCs w:val="20"/>
          <w:color w:val="auto"/>
        </w:rPr>
        <w:tab/>
      </w:r>
      <w:r>
        <w:rPr>
          <w:rFonts w:ascii="Arial" w:cs="Arial" w:eastAsia="Arial" w:hAnsi="Arial"/>
          <w:sz w:val="13"/>
          <w:szCs w:val="13"/>
          <w:color w:val="auto"/>
        </w:rPr>
        <w:t xml:space="preserve">Windels Marx Lane </w:t>
      </w:r>
      <w:r>
        <w:rPr>
          <w:rFonts w:ascii="Arial" w:cs="Arial" w:eastAsia="Arial" w:hAnsi="Arial"/>
          <w:sz w:val="11"/>
          <w:szCs w:val="11"/>
          <w:color w:val="auto"/>
        </w:rPr>
        <w:t>&amp;</w:t>
      </w:r>
      <w:r>
        <w:rPr>
          <w:rFonts w:ascii="Arial" w:cs="Arial" w:eastAsia="Arial" w:hAnsi="Arial"/>
          <w:sz w:val="13"/>
          <w:szCs w:val="13"/>
          <w:color w:val="auto"/>
        </w:rPr>
        <w:t xml:space="preserve"> Mittendorf, LLP</w:t>
      </w:r>
    </w:p>
    <w:p>
      <w:pPr>
        <w:spacing w:after="0" w:line="5" w:lineRule="exact"/>
        <w:rPr>
          <w:sz w:val="20"/>
          <w:szCs w:val="20"/>
          <w:color w:val="auto"/>
        </w:rPr>
      </w:pPr>
    </w:p>
    <w:p>
      <w:pPr>
        <w:ind w:left="2720"/>
        <w:spacing w:after="0"/>
        <w:rPr>
          <w:sz w:val="20"/>
          <w:szCs w:val="20"/>
          <w:color w:val="auto"/>
        </w:rPr>
      </w:pPr>
      <w:r>
        <w:rPr>
          <w:rFonts w:ascii="Arial" w:cs="Arial" w:eastAsia="Arial" w:hAnsi="Arial"/>
          <w:sz w:val="14"/>
          <w:szCs w:val="14"/>
          <w:color w:val="auto"/>
        </w:rPr>
        <w:t>156 West 56th Street</w:t>
      </w:r>
    </w:p>
    <w:p>
      <w:pPr>
        <w:ind w:left="2700"/>
        <w:spacing w:after="0"/>
        <w:rPr>
          <w:sz w:val="20"/>
          <w:szCs w:val="20"/>
          <w:color w:val="auto"/>
        </w:rPr>
      </w:pPr>
      <w:r>
        <w:rPr>
          <w:rFonts w:ascii="Arial" w:cs="Arial" w:eastAsia="Arial" w:hAnsi="Arial"/>
          <w:sz w:val="14"/>
          <w:szCs w:val="14"/>
          <w:color w:val="auto"/>
        </w:rPr>
        <w:t>New York, New York 10019 Attention: Michele Arbeeny, Esq.</w:t>
      </w:r>
    </w:p>
    <w:p>
      <w:pPr>
        <w:spacing w:after="0" w:line="151" w:lineRule="exact"/>
        <w:rPr>
          <w:sz w:val="20"/>
          <w:szCs w:val="20"/>
          <w:color w:val="auto"/>
        </w:rPr>
      </w:pPr>
    </w:p>
    <w:p>
      <w:pPr>
        <w:ind w:left="980"/>
        <w:spacing w:after="0"/>
        <w:tabs>
          <w:tab w:leader="none" w:pos="2860" w:val="left"/>
        </w:tabs>
        <w:rPr>
          <w:sz w:val="20"/>
          <w:szCs w:val="20"/>
          <w:color w:val="auto"/>
        </w:rPr>
      </w:pPr>
      <w:r>
        <w:rPr>
          <w:rFonts w:ascii="Arial" w:cs="Arial" w:eastAsia="Arial" w:hAnsi="Arial"/>
          <w:sz w:val="14"/>
          <w:szCs w:val="14"/>
          <w:color w:val="auto"/>
        </w:rPr>
        <w:t>If to the Borrower at:</w:t>
      </w:r>
      <w:r>
        <w:rPr>
          <w:sz w:val="20"/>
          <w:szCs w:val="20"/>
          <w:color w:val="auto"/>
        </w:rPr>
        <w:tab/>
      </w:r>
      <w:r>
        <w:rPr>
          <w:rFonts w:ascii="Arial" w:cs="Arial" w:eastAsia="Arial" w:hAnsi="Arial"/>
          <w:sz w:val="13"/>
          <w:szCs w:val="13"/>
          <w:color w:val="auto"/>
        </w:rPr>
        <w:t>Sutton Hill Properties, LLC</w:t>
      </w:r>
    </w:p>
    <w:p>
      <w:pPr>
        <w:spacing w:after="0" w:line="13" w:lineRule="exact"/>
        <w:rPr>
          <w:sz w:val="20"/>
          <w:szCs w:val="20"/>
          <w:color w:val="auto"/>
        </w:rPr>
      </w:pPr>
    </w:p>
    <w:p>
      <w:pPr>
        <w:ind w:left="2720"/>
        <w:spacing w:after="0"/>
        <w:rPr>
          <w:sz w:val="20"/>
          <w:szCs w:val="20"/>
          <w:color w:val="auto"/>
        </w:rPr>
      </w:pPr>
      <w:r>
        <w:rPr>
          <w:rFonts w:ascii="Arial" w:cs="Arial" w:eastAsia="Arial" w:hAnsi="Arial"/>
          <w:sz w:val="14"/>
          <w:szCs w:val="14"/>
          <w:color w:val="auto"/>
        </w:rPr>
        <w:t>6100 Center Drive</w:t>
      </w:r>
    </w:p>
    <w:p>
      <w:pPr>
        <w:spacing w:after="0" w:line="1" w:lineRule="exact"/>
        <w:rPr>
          <w:sz w:val="20"/>
          <w:szCs w:val="20"/>
          <w:color w:val="auto"/>
        </w:rPr>
      </w:pPr>
    </w:p>
    <w:p>
      <w:pPr>
        <w:ind w:left="2720"/>
        <w:spacing w:after="0"/>
        <w:rPr>
          <w:sz w:val="20"/>
          <w:szCs w:val="20"/>
          <w:color w:val="auto"/>
        </w:rPr>
      </w:pPr>
      <w:r>
        <w:rPr>
          <w:rFonts w:ascii="Arial" w:cs="Arial" w:eastAsia="Arial" w:hAnsi="Arial"/>
          <w:sz w:val="14"/>
          <w:szCs w:val="14"/>
          <w:color w:val="auto"/>
        </w:rPr>
        <w:t>Suite 900</w:t>
      </w:r>
    </w:p>
    <w:p>
      <w:pPr>
        <w:spacing w:after="0" w:line="1" w:lineRule="exact"/>
        <w:rPr>
          <w:sz w:val="20"/>
          <w:szCs w:val="20"/>
          <w:color w:val="auto"/>
        </w:rPr>
      </w:pPr>
    </w:p>
    <w:p>
      <w:pPr>
        <w:ind w:left="2720"/>
        <w:spacing w:after="0"/>
        <w:rPr>
          <w:sz w:val="20"/>
          <w:szCs w:val="20"/>
          <w:color w:val="auto"/>
        </w:rPr>
      </w:pPr>
      <w:r>
        <w:rPr>
          <w:rFonts w:ascii="Arial" w:cs="Arial" w:eastAsia="Arial" w:hAnsi="Arial"/>
          <w:sz w:val="14"/>
          <w:szCs w:val="14"/>
          <w:color w:val="auto"/>
        </w:rPr>
        <w:t>Los Angeles, California 90045 Attention: Andrzej Matyczynski</w:t>
      </w:r>
    </w:p>
    <w:p>
      <w:pPr>
        <w:spacing w:after="0" w:line="151" w:lineRule="exact"/>
        <w:rPr>
          <w:sz w:val="20"/>
          <w:szCs w:val="20"/>
          <w:color w:val="auto"/>
        </w:rPr>
      </w:pPr>
    </w:p>
    <w:p>
      <w:pPr>
        <w:spacing w:after="0"/>
        <w:tabs>
          <w:tab w:leader="none" w:pos="2160" w:val="left"/>
        </w:tabs>
        <w:rPr>
          <w:sz w:val="20"/>
          <w:szCs w:val="20"/>
          <w:color w:val="auto"/>
        </w:rPr>
      </w:pPr>
      <w:r>
        <w:rPr>
          <w:rFonts w:ascii="Arial" w:cs="Arial" w:eastAsia="Arial" w:hAnsi="Arial"/>
          <w:sz w:val="14"/>
          <w:szCs w:val="14"/>
          <w:color w:val="auto"/>
        </w:rPr>
        <w:t>to:</w:t>
      </w:r>
      <w:r>
        <w:rPr>
          <w:sz w:val="20"/>
          <w:szCs w:val="20"/>
          <w:color w:val="auto"/>
        </w:rPr>
        <w:tab/>
      </w:r>
      <w:r>
        <w:rPr>
          <w:rFonts w:ascii="Arial" w:cs="Arial" w:eastAsia="Arial" w:hAnsi="Arial"/>
          <w:sz w:val="14"/>
          <w:szCs w:val="14"/>
          <w:color w:val="auto"/>
        </w:rPr>
        <w:t xml:space="preserve">Marcus Rosenberg </w:t>
      </w:r>
      <w:r>
        <w:rPr>
          <w:rFonts w:ascii="Arial" w:cs="Arial" w:eastAsia="Arial" w:hAnsi="Arial"/>
          <w:sz w:val="12"/>
          <w:szCs w:val="12"/>
          <w:color w:val="auto"/>
        </w:rPr>
        <w:t>&amp;</w:t>
      </w:r>
      <w:r>
        <w:rPr>
          <w:rFonts w:ascii="Arial" w:cs="Arial" w:eastAsia="Arial" w:hAnsi="Arial"/>
          <w:sz w:val="14"/>
          <w:szCs w:val="14"/>
          <w:color w:val="auto"/>
        </w:rPr>
        <w:t xml:space="preserve"> Diamond LLP 488 Madison Avenue</w:t>
      </w:r>
    </w:p>
    <w:p>
      <w:pPr>
        <w:spacing w:after="0" w:line="13" w:lineRule="exact"/>
        <w:rPr>
          <w:sz w:val="20"/>
          <w:szCs w:val="20"/>
          <w:color w:val="auto"/>
        </w:rPr>
      </w:pPr>
    </w:p>
    <w:p>
      <w:pPr>
        <w:ind w:left="2700"/>
        <w:spacing w:after="0"/>
        <w:rPr>
          <w:sz w:val="20"/>
          <w:szCs w:val="20"/>
          <w:color w:val="auto"/>
        </w:rPr>
      </w:pPr>
      <w:r>
        <w:rPr>
          <w:rFonts w:ascii="Arial" w:cs="Arial" w:eastAsia="Arial" w:hAnsi="Arial"/>
          <w:sz w:val="14"/>
          <w:szCs w:val="14"/>
          <w:color w:val="auto"/>
        </w:rPr>
        <w:t>New York, New York 10022 Attention: Jeffrey M. Diamond, Esq.</w:t>
      </w:r>
    </w:p>
    <w:p>
      <w:pPr>
        <w:spacing w:after="0" w:line="124" w:lineRule="exact"/>
        <w:rPr>
          <w:sz w:val="20"/>
          <w:szCs w:val="20"/>
          <w:color w:val="auto"/>
        </w:rPr>
      </w:pPr>
    </w:p>
    <w:p>
      <w:pPr>
        <w:ind w:left="1260"/>
        <w:spacing w:after="0"/>
        <w:tabs>
          <w:tab w:leader="none" w:pos="2280" w:val="left"/>
        </w:tabs>
        <w:rPr>
          <w:sz w:val="20"/>
          <w:szCs w:val="20"/>
          <w:color w:val="auto"/>
        </w:rPr>
      </w:pPr>
      <w:r>
        <w:rPr>
          <w:rFonts w:ascii="Arial" w:cs="Arial" w:eastAsia="Arial" w:hAnsi="Arial"/>
          <w:sz w:val="14"/>
          <w:szCs w:val="14"/>
          <w:color w:val="auto"/>
        </w:rPr>
        <w:t>Section 5.02</w:t>
      </w:r>
      <w:r>
        <w:rPr>
          <w:sz w:val="20"/>
          <w:szCs w:val="20"/>
          <w:color w:val="auto"/>
        </w:rPr>
        <w:tab/>
      </w:r>
      <w:r>
        <w:rPr>
          <w:rFonts w:ascii="Arial" w:cs="Arial" w:eastAsia="Arial" w:hAnsi="Arial"/>
          <w:sz w:val="10"/>
          <w:szCs w:val="10"/>
          <w:b w:val="1"/>
          <w:bCs w:val="1"/>
          <w:color w:val="auto"/>
        </w:rPr>
        <w:t>Successors and Assigns.</w:t>
      </w:r>
    </w:p>
    <w:p>
      <w:pPr>
        <w:spacing w:after="0" w:line="199" w:lineRule="exact"/>
        <w:rPr>
          <w:sz w:val="20"/>
          <w:szCs w:val="20"/>
          <w:color w:val="auto"/>
        </w:rPr>
      </w:pPr>
    </w:p>
    <w:p>
      <w:pPr>
        <w:ind w:left="980" w:right="680" w:firstLine="432"/>
        <w:spacing w:after="0" w:line="273" w:lineRule="auto"/>
        <w:rPr>
          <w:sz w:val="20"/>
          <w:szCs w:val="20"/>
          <w:color w:val="auto"/>
        </w:rPr>
      </w:pPr>
      <w:r>
        <w:rPr>
          <w:rFonts w:ascii="Arial" w:cs="Arial" w:eastAsia="Arial" w:hAnsi="Arial"/>
          <w:sz w:val="14"/>
          <w:szCs w:val="14"/>
          <w:color w:val="auto"/>
        </w:rPr>
        <w:t>The terms Borrower and Lender, shall include the named Borrower and the named under and their respective legal representatives, successors and any permitted assigns.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567055</wp:posOffset>
            </wp:positionH>
            <wp:positionV relativeFrom="paragraph">
              <wp:posOffset>793115</wp:posOffset>
            </wp:positionV>
            <wp:extent cx="638556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385560" cy="42545"/>
                    </a:xfrm>
                    <a:prstGeom prst="rect">
                      <a:avLst/>
                    </a:prstGeom>
                    <a:noFill/>
                  </pic:spPr>
                </pic:pic>
              </a:graphicData>
            </a:graphic>
          </wp:anchor>
        </w:drawing>
      </w:r>
    </w:p>
    <w:p>
      <w:pPr>
        <w:sectPr>
          <w:pgSz w:w="11900" w:h="16838" w:orient="portrait"/>
          <w:cols w:equalWidth="0" w:num="1">
            <w:col w:w="10760"/>
          </w:cols>
          <w:pgMar w:left="200" w:top="162" w:right="939" w:bottom="1440" w:gutter="0" w:footer="0" w:header="0"/>
        </w:sectPr>
      </w:pPr>
    </w:p>
    <w:bookmarkStart w:id="182" w:name="page183"/>
    <w:bookmarkEnd w:id="182"/>
    <w:p>
      <w:pPr>
        <w:ind w:left="280"/>
        <w:spacing w:after="0"/>
        <w:tabs>
          <w:tab w:leader="none" w:pos="1320" w:val="left"/>
        </w:tabs>
        <w:rPr>
          <w:sz w:val="20"/>
          <w:szCs w:val="20"/>
          <w:color w:val="auto"/>
        </w:rPr>
      </w:pPr>
      <w:r>
        <w:rPr>
          <w:rFonts w:ascii="Arial" w:cs="Arial" w:eastAsia="Arial" w:hAnsi="Arial"/>
          <w:sz w:val="14"/>
          <w:szCs w:val="14"/>
          <w:color w:val="auto"/>
        </w:rPr>
        <w:t>Section 5.03</w:t>
      </w:r>
      <w:r>
        <w:rPr>
          <w:sz w:val="20"/>
          <w:szCs w:val="20"/>
          <w:color w:val="auto"/>
        </w:rPr>
        <w:tab/>
      </w:r>
      <w:r>
        <w:rPr>
          <w:rFonts w:ascii="Arial" w:cs="Arial" w:eastAsia="Arial" w:hAnsi="Arial"/>
          <w:sz w:val="12"/>
          <w:szCs w:val="12"/>
          <w:b w:val="1"/>
          <w:bCs w:val="1"/>
          <w:color w:val="auto"/>
        </w:rPr>
        <w:t>Severability.</w:t>
      </w:r>
    </w:p>
    <w:p>
      <w:pPr>
        <w:spacing w:after="0" w:line="203" w:lineRule="exact"/>
        <w:rPr>
          <w:sz w:val="20"/>
          <w:szCs w:val="20"/>
          <w:color w:val="auto"/>
        </w:rPr>
      </w:pPr>
    </w:p>
    <w:p>
      <w:pPr>
        <w:ind w:right="280" w:firstLine="426"/>
        <w:spacing w:after="0" w:line="242" w:lineRule="auto"/>
        <w:rPr>
          <w:sz w:val="20"/>
          <w:szCs w:val="20"/>
          <w:color w:val="auto"/>
        </w:rPr>
      </w:pPr>
      <w:r>
        <w:rPr>
          <w:rFonts w:ascii="Arial" w:cs="Arial" w:eastAsia="Arial" w:hAnsi="Arial"/>
          <w:sz w:val="13"/>
          <w:szCs w:val="13"/>
          <w:color w:val="auto"/>
        </w:rPr>
        <w:t>If any one or more of the provisions contained in this Agreement or in any of the Loan Documents shall for any reason be held to be invalid, illegal or unenforceable in any respect, such invalidity, illegality or enforceability shall not affect any other provision of this Agreement or of the Note or any Loan Document.</w:t>
      </w:r>
    </w:p>
    <w:p>
      <w:pPr>
        <w:spacing w:after="0" w:line="110" w:lineRule="exact"/>
        <w:rPr>
          <w:sz w:val="20"/>
          <w:szCs w:val="20"/>
          <w:color w:val="auto"/>
        </w:rPr>
      </w:pPr>
    </w:p>
    <w:p>
      <w:pPr>
        <w:ind w:left="280"/>
        <w:spacing w:after="0"/>
        <w:tabs>
          <w:tab w:leader="none" w:pos="1300" w:val="left"/>
        </w:tabs>
        <w:rPr>
          <w:sz w:val="20"/>
          <w:szCs w:val="20"/>
          <w:color w:val="auto"/>
        </w:rPr>
      </w:pPr>
      <w:r>
        <w:rPr>
          <w:rFonts w:ascii="Arial" w:cs="Arial" w:eastAsia="Arial" w:hAnsi="Arial"/>
          <w:sz w:val="13"/>
          <w:szCs w:val="13"/>
          <w:color w:val="auto"/>
        </w:rPr>
        <w:t>Section 5.04</w:t>
      </w:r>
      <w:r>
        <w:rPr>
          <w:sz w:val="20"/>
          <w:szCs w:val="20"/>
          <w:color w:val="auto"/>
        </w:rPr>
        <w:tab/>
      </w:r>
      <w:r>
        <w:rPr>
          <w:rFonts w:ascii="Arial" w:cs="Arial" w:eastAsia="Arial" w:hAnsi="Arial"/>
          <w:sz w:val="12"/>
          <w:szCs w:val="12"/>
          <w:b w:val="1"/>
          <w:bCs w:val="1"/>
          <w:color w:val="auto"/>
        </w:rPr>
        <w:t>Expenses of Lender.</w:t>
      </w:r>
    </w:p>
    <w:p>
      <w:pPr>
        <w:spacing w:after="0" w:line="222" w:lineRule="exact"/>
        <w:rPr>
          <w:sz w:val="20"/>
          <w:szCs w:val="20"/>
          <w:color w:val="auto"/>
        </w:rPr>
      </w:pPr>
    </w:p>
    <w:p>
      <w:pPr>
        <w:ind w:firstLine="432"/>
        <w:spacing w:after="0" w:line="242" w:lineRule="auto"/>
        <w:rPr>
          <w:sz w:val="20"/>
          <w:szCs w:val="20"/>
          <w:color w:val="auto"/>
        </w:rPr>
      </w:pPr>
      <w:r>
        <w:rPr>
          <w:rFonts w:ascii="Arial" w:cs="Arial" w:eastAsia="Arial" w:hAnsi="Arial"/>
          <w:sz w:val="13"/>
          <w:szCs w:val="13"/>
          <w:color w:val="auto"/>
        </w:rPr>
        <w:t>The Borrower shall pay all out-of-pocket expenses, including but not limited to, reasonable counsel fees incurred by the Lender in connection with the preparation execution and delivery of this Agreement and the enforcement or amendment of any of its rights or provisions hereunder.</w:t>
      </w:r>
    </w:p>
    <w:p>
      <w:pPr>
        <w:spacing w:after="0" w:line="101" w:lineRule="exact"/>
        <w:rPr>
          <w:sz w:val="20"/>
          <w:szCs w:val="20"/>
          <w:color w:val="auto"/>
        </w:rPr>
      </w:pPr>
    </w:p>
    <w:p>
      <w:pPr>
        <w:ind w:left="260"/>
        <w:spacing w:after="0"/>
        <w:tabs>
          <w:tab w:leader="none" w:pos="1300" w:val="left"/>
        </w:tabs>
        <w:rPr>
          <w:sz w:val="20"/>
          <w:szCs w:val="20"/>
          <w:color w:val="auto"/>
        </w:rPr>
      </w:pPr>
      <w:r>
        <w:rPr>
          <w:rFonts w:ascii="Arial" w:cs="Arial" w:eastAsia="Arial" w:hAnsi="Arial"/>
          <w:sz w:val="13"/>
          <w:szCs w:val="13"/>
          <w:color w:val="auto"/>
        </w:rPr>
        <w:t>Section 5.05</w:t>
      </w:r>
      <w:r>
        <w:rPr>
          <w:sz w:val="20"/>
          <w:szCs w:val="20"/>
          <w:color w:val="auto"/>
        </w:rPr>
        <w:tab/>
      </w:r>
      <w:r>
        <w:rPr>
          <w:rFonts w:ascii="Arial" w:cs="Arial" w:eastAsia="Arial" w:hAnsi="Arial"/>
          <w:sz w:val="12"/>
          <w:szCs w:val="12"/>
          <w:b w:val="1"/>
          <w:bCs w:val="1"/>
          <w:color w:val="auto"/>
        </w:rPr>
        <w:t>Indemnity.</w:t>
      </w:r>
    </w:p>
    <w:p>
      <w:pPr>
        <w:spacing w:after="0" w:line="285" w:lineRule="exact"/>
        <w:rPr>
          <w:sz w:val="20"/>
          <w:szCs w:val="20"/>
          <w:color w:val="auto"/>
        </w:rPr>
      </w:pPr>
    </w:p>
    <w:p>
      <w:pPr>
        <w:ind w:right="100" w:firstLine="429"/>
        <w:spacing w:after="0" w:line="233" w:lineRule="auto"/>
        <w:rPr>
          <w:sz w:val="20"/>
          <w:szCs w:val="20"/>
          <w:color w:val="auto"/>
        </w:rPr>
      </w:pPr>
      <w:r>
        <w:rPr>
          <w:rFonts w:ascii="Arial" w:cs="Arial" w:eastAsia="Arial" w:hAnsi="Arial"/>
          <w:sz w:val="13"/>
          <w:szCs w:val="13"/>
          <w:color w:val="auto"/>
        </w:rPr>
        <w:t>The Borrower shall indemnify and hold harmless the Lender from and against any and all liabilities, obligations, losses, damages, penalties, claims, actions, suits, proceedings, judgments, costs, expenses and disbursements, including but not limited to, counsel fees in any way relating to or arising out of the failure of the Borrower to perform in full its obligations under this Agreement or under any of the Loan Documents.</w:t>
      </w:r>
    </w:p>
    <w:p>
      <w:pPr>
        <w:spacing w:after="0" w:line="112" w:lineRule="exact"/>
        <w:rPr>
          <w:sz w:val="20"/>
          <w:szCs w:val="20"/>
          <w:color w:val="auto"/>
        </w:rPr>
      </w:pPr>
    </w:p>
    <w:p>
      <w:pPr>
        <w:ind w:left="260"/>
        <w:spacing w:after="0"/>
        <w:tabs>
          <w:tab w:leader="none" w:pos="1300" w:val="left"/>
        </w:tabs>
        <w:rPr>
          <w:sz w:val="20"/>
          <w:szCs w:val="20"/>
          <w:color w:val="auto"/>
        </w:rPr>
      </w:pPr>
      <w:r>
        <w:rPr>
          <w:rFonts w:ascii="Arial" w:cs="Arial" w:eastAsia="Arial" w:hAnsi="Arial"/>
          <w:sz w:val="13"/>
          <w:szCs w:val="13"/>
          <w:color w:val="auto"/>
        </w:rPr>
        <w:t>Section 5.06</w:t>
      </w:r>
      <w:r>
        <w:rPr>
          <w:sz w:val="20"/>
          <w:szCs w:val="20"/>
          <w:color w:val="auto"/>
        </w:rPr>
        <w:tab/>
      </w:r>
      <w:r>
        <w:rPr>
          <w:rFonts w:ascii="Arial" w:cs="Arial" w:eastAsia="Arial" w:hAnsi="Arial"/>
          <w:sz w:val="12"/>
          <w:szCs w:val="12"/>
          <w:b w:val="1"/>
          <w:bCs w:val="1"/>
          <w:color w:val="auto"/>
        </w:rPr>
        <w:t>Applicable Law.</w:t>
      </w:r>
    </w:p>
    <w:p>
      <w:pPr>
        <w:spacing w:after="0" w:line="213" w:lineRule="exact"/>
        <w:rPr>
          <w:sz w:val="20"/>
          <w:szCs w:val="20"/>
          <w:color w:val="auto"/>
        </w:rPr>
      </w:pPr>
    </w:p>
    <w:p>
      <w:pPr>
        <w:ind w:left="440"/>
        <w:spacing w:after="0"/>
        <w:rPr>
          <w:sz w:val="20"/>
          <w:szCs w:val="20"/>
          <w:color w:val="auto"/>
        </w:rPr>
      </w:pPr>
      <w:r>
        <w:rPr>
          <w:rFonts w:ascii="Arial" w:cs="Arial" w:eastAsia="Arial" w:hAnsi="Arial"/>
          <w:sz w:val="13"/>
          <w:szCs w:val="13"/>
          <w:color w:val="auto"/>
        </w:rPr>
        <w:t>This Agreement shall be governed by and construed in accordance with the laws of the State of New York without regard to conflict of laws principles.</w:t>
      </w:r>
    </w:p>
    <w:p>
      <w:pPr>
        <w:spacing w:after="0" w:line="127" w:lineRule="exact"/>
        <w:rPr>
          <w:sz w:val="20"/>
          <w:szCs w:val="20"/>
          <w:color w:val="auto"/>
        </w:rPr>
      </w:pPr>
    </w:p>
    <w:p>
      <w:pPr>
        <w:ind w:left="260"/>
        <w:spacing w:after="0"/>
        <w:tabs>
          <w:tab w:leader="none" w:pos="1300" w:val="left"/>
        </w:tabs>
        <w:rPr>
          <w:sz w:val="20"/>
          <w:szCs w:val="20"/>
          <w:color w:val="auto"/>
        </w:rPr>
      </w:pPr>
      <w:r>
        <w:rPr>
          <w:rFonts w:ascii="Arial" w:cs="Arial" w:eastAsia="Arial" w:hAnsi="Arial"/>
          <w:sz w:val="13"/>
          <w:szCs w:val="13"/>
          <w:color w:val="auto"/>
        </w:rPr>
        <w:t>Section 5.07</w:t>
      </w:r>
      <w:r>
        <w:rPr>
          <w:sz w:val="20"/>
          <w:szCs w:val="20"/>
          <w:color w:val="auto"/>
        </w:rPr>
        <w:tab/>
      </w:r>
      <w:r>
        <w:rPr>
          <w:rFonts w:ascii="Arial" w:cs="Arial" w:eastAsia="Arial" w:hAnsi="Arial"/>
          <w:sz w:val="12"/>
          <w:szCs w:val="12"/>
          <w:b w:val="1"/>
          <w:bCs w:val="1"/>
          <w:color w:val="auto"/>
        </w:rPr>
        <w:t>Jurisdiction.</w:t>
      </w:r>
    </w:p>
    <w:p>
      <w:pPr>
        <w:spacing w:after="0" w:line="213" w:lineRule="exact"/>
        <w:rPr>
          <w:sz w:val="20"/>
          <w:szCs w:val="20"/>
          <w:color w:val="auto"/>
        </w:rPr>
      </w:pPr>
    </w:p>
    <w:p>
      <w:pPr>
        <w:ind w:right="240" w:firstLine="429"/>
        <w:spacing w:after="0" w:line="242" w:lineRule="auto"/>
        <w:rPr>
          <w:sz w:val="20"/>
          <w:szCs w:val="20"/>
          <w:color w:val="auto"/>
        </w:rPr>
      </w:pPr>
      <w:r>
        <w:rPr>
          <w:rFonts w:ascii="Arial" w:cs="Arial" w:eastAsia="Arial" w:hAnsi="Arial"/>
          <w:sz w:val="13"/>
          <w:szCs w:val="13"/>
          <w:color w:val="auto"/>
        </w:rPr>
        <w:t>ANY ACTION ORPROCEEDING IN CONNECTION WITH THIS AGREEMENT MAY BE BROUGHT IN A COURT OF RECORD OF THE STATE OF NEW YORK, COUNTY OF NEW YORK, THE PARTIES HEREBY CONSENTING TO THE JURISDICTION THEREOF.</w:t>
      </w:r>
    </w:p>
    <w:p>
      <w:pPr>
        <w:spacing w:after="0" w:line="264" w:lineRule="exact"/>
        <w:rPr>
          <w:sz w:val="20"/>
          <w:szCs w:val="20"/>
          <w:color w:val="auto"/>
        </w:rPr>
      </w:pPr>
    </w:p>
    <w:p>
      <w:pPr>
        <w:ind w:left="280"/>
        <w:spacing w:after="0"/>
        <w:tabs>
          <w:tab w:leader="none" w:pos="1300" w:val="left"/>
        </w:tabs>
        <w:rPr>
          <w:sz w:val="20"/>
          <w:szCs w:val="20"/>
          <w:color w:val="auto"/>
        </w:rPr>
      </w:pPr>
      <w:r>
        <w:rPr>
          <w:rFonts w:ascii="Arial" w:cs="Arial" w:eastAsia="Arial" w:hAnsi="Arial"/>
          <w:sz w:val="13"/>
          <w:szCs w:val="13"/>
          <w:color w:val="auto"/>
        </w:rPr>
        <w:t>Section 5.08</w:t>
      </w:r>
      <w:r>
        <w:rPr>
          <w:sz w:val="20"/>
          <w:szCs w:val="20"/>
          <w:color w:val="auto"/>
        </w:rPr>
        <w:tab/>
      </w:r>
      <w:r>
        <w:rPr>
          <w:rFonts w:ascii="Arial" w:cs="Arial" w:eastAsia="Arial" w:hAnsi="Arial"/>
          <w:sz w:val="12"/>
          <w:szCs w:val="12"/>
          <w:b w:val="1"/>
          <w:bCs w:val="1"/>
          <w:color w:val="auto"/>
        </w:rPr>
        <w:t>Waiver of Certain Defenses.</w:t>
      </w:r>
    </w:p>
    <w:p>
      <w:pPr>
        <w:spacing w:after="0" w:line="213" w:lineRule="exact"/>
        <w:rPr>
          <w:sz w:val="20"/>
          <w:szCs w:val="20"/>
          <w:color w:val="auto"/>
        </w:rPr>
      </w:pPr>
    </w:p>
    <w:p>
      <w:pPr>
        <w:ind w:right="40" w:firstLine="432"/>
        <w:spacing w:after="0" w:line="229" w:lineRule="auto"/>
        <w:rPr>
          <w:sz w:val="20"/>
          <w:szCs w:val="20"/>
          <w:color w:val="auto"/>
        </w:rPr>
      </w:pPr>
      <w:r>
        <w:rPr>
          <w:rFonts w:ascii="Arial" w:cs="Arial" w:eastAsia="Arial" w:hAnsi="Arial"/>
          <w:sz w:val="13"/>
          <w:szCs w:val="13"/>
          <w:color w:val="auto"/>
        </w:rPr>
        <w:t>IN ANY ACTION OR PROCEEDING IN CONNECTION WITH THIS AGREEMENT, OR ANY OTHER LOAN DOCUMENT, THE BORROWER WAIVES ANY CLAIM THAT NEW YORK IS AN INCONVENIENT FORUM AND FURTHER WAlVES THE RIGHT TO INTERPOSE ANY DEFENSE BASED UPON ANY STATUTE OF LIMITATIONS OR ANY CLAIM OF LACHES AND ANY SET-OFF OR COUNTERCLAIM OF ANY NATURE OR DESCRIPTION EXCEPT FOR ANY COUNTERCLAIMS DEEMED COMPULSORY UNDER APPLICABLE COURT RULES OR STATUTES.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280"/>
        <w:spacing w:after="0"/>
        <w:tabs>
          <w:tab w:leader="none" w:pos="1300" w:val="left"/>
        </w:tabs>
        <w:rPr>
          <w:sz w:val="20"/>
          <w:szCs w:val="20"/>
          <w:color w:val="auto"/>
        </w:rPr>
      </w:pPr>
      <w:r>
        <w:rPr>
          <w:rFonts w:ascii="Arial" w:cs="Arial" w:eastAsia="Arial" w:hAnsi="Arial"/>
          <w:sz w:val="13"/>
          <w:szCs w:val="13"/>
          <w:color w:val="auto"/>
        </w:rPr>
        <w:t>Section 5.09</w:t>
      </w:r>
      <w:r>
        <w:rPr>
          <w:sz w:val="20"/>
          <w:szCs w:val="20"/>
          <w:color w:val="auto"/>
        </w:rPr>
        <w:tab/>
      </w:r>
      <w:r>
        <w:rPr>
          <w:rFonts w:ascii="Arial" w:cs="Arial" w:eastAsia="Arial" w:hAnsi="Arial"/>
          <w:sz w:val="12"/>
          <w:szCs w:val="12"/>
          <w:b w:val="1"/>
          <w:bCs w:val="1"/>
          <w:color w:val="auto"/>
        </w:rPr>
        <w:t>Waiver of Jury Trial and Waiver of Certain Damages.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wp:posOffset>
            </wp:positionH>
            <wp:positionV relativeFrom="paragraph">
              <wp:posOffset>215265</wp:posOffset>
            </wp:positionV>
            <wp:extent cx="638556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385560" cy="42545"/>
                    </a:xfrm>
                    <a:prstGeom prst="rect">
                      <a:avLst/>
                    </a:prstGeom>
                    <a:noFill/>
                  </pic:spPr>
                </pic:pic>
              </a:graphicData>
            </a:graphic>
          </wp:anchor>
        </w:drawing>
      </w:r>
    </w:p>
    <w:p>
      <w:pPr>
        <w:sectPr>
          <w:pgSz w:w="11900" w:h="16838" w:orient="portrait"/>
          <w:cols w:equalWidth="0" w:num="1">
            <w:col w:w="9780"/>
          </w:cols>
          <w:pgMar w:left="1180" w:top="126" w:right="939" w:bottom="1440" w:gutter="0" w:footer="0" w:header="0"/>
        </w:sectPr>
      </w:pPr>
    </w:p>
    <w:bookmarkStart w:id="183" w:name="page184"/>
    <w:bookmarkEnd w:id="183"/>
    <w:p>
      <w:pPr>
        <w:ind w:left="180" w:right="180" w:firstLine="436"/>
        <w:spacing w:after="0" w:line="233" w:lineRule="auto"/>
        <w:rPr>
          <w:sz w:val="20"/>
          <w:szCs w:val="20"/>
          <w:color w:val="auto"/>
        </w:rPr>
      </w:pPr>
      <w:r>
        <w:rPr>
          <w:rFonts w:ascii="Arial" w:cs="Arial" w:eastAsia="Arial" w:hAnsi="Arial"/>
          <w:sz w:val="14"/>
          <w:szCs w:val="14"/>
          <w:color w:val="auto"/>
        </w:rPr>
        <w:t>IN ANY ACTION OR PROCEEDING IN CONNECTION WITH THIS AGREEMENT OR ANY OTHER LOAN DOCUMENT, THE LENDER AND BORROWER MUTUALLY WAIVE, TO THE FULLEST EXTENT PERMITTED BY LAW, TRIAL BY JURY AND BORROWER HEREBY WAlVES, TO THE FULLEST EXTENT PERMITTED BY LAW, ANY CLAIM FOR CONSEQUENTIAL, PUNITIVE OR SPECIAL DAMAGES.</w:t>
      </w:r>
    </w:p>
    <w:p>
      <w:pPr>
        <w:spacing w:after="0" w:line="108" w:lineRule="exact"/>
        <w:rPr>
          <w:sz w:val="20"/>
          <w:szCs w:val="20"/>
          <w:color w:val="auto"/>
        </w:rPr>
      </w:pPr>
    </w:p>
    <w:p>
      <w:pPr>
        <w:ind w:left="440"/>
        <w:spacing w:after="0"/>
        <w:tabs>
          <w:tab w:leader="none" w:pos="1500" w:val="left"/>
        </w:tabs>
        <w:rPr>
          <w:sz w:val="20"/>
          <w:szCs w:val="20"/>
          <w:color w:val="auto"/>
        </w:rPr>
      </w:pPr>
      <w:r>
        <w:rPr>
          <w:rFonts w:ascii="Arial" w:cs="Arial" w:eastAsia="Arial" w:hAnsi="Arial"/>
          <w:sz w:val="14"/>
          <w:szCs w:val="14"/>
          <w:color w:val="auto"/>
        </w:rPr>
        <w:t>Section 5.10</w:t>
      </w:r>
      <w:r>
        <w:rPr>
          <w:sz w:val="20"/>
          <w:szCs w:val="20"/>
          <w:color w:val="auto"/>
        </w:rPr>
        <w:tab/>
      </w:r>
      <w:r>
        <w:rPr>
          <w:rFonts w:ascii="Arial" w:cs="Arial" w:eastAsia="Arial" w:hAnsi="Arial"/>
          <w:sz w:val="12"/>
          <w:szCs w:val="12"/>
          <w:b w:val="1"/>
          <w:bCs w:val="1"/>
          <w:color w:val="auto"/>
        </w:rPr>
        <w:t>Joint and Several Liability.</w:t>
      </w:r>
    </w:p>
    <w:p>
      <w:pPr>
        <w:spacing w:after="0" w:line="190" w:lineRule="exact"/>
        <w:rPr>
          <w:sz w:val="20"/>
          <w:szCs w:val="20"/>
          <w:color w:val="auto"/>
        </w:rPr>
      </w:pPr>
    </w:p>
    <w:p>
      <w:pPr>
        <w:ind w:left="160" w:right="220" w:firstLine="436"/>
        <w:spacing w:after="0" w:line="224" w:lineRule="auto"/>
        <w:rPr>
          <w:sz w:val="20"/>
          <w:szCs w:val="20"/>
          <w:color w:val="auto"/>
        </w:rPr>
      </w:pPr>
      <w:r>
        <w:rPr>
          <w:rFonts w:ascii="Arial" w:cs="Arial" w:eastAsia="Arial" w:hAnsi="Arial"/>
          <w:sz w:val="14"/>
          <w:szCs w:val="14"/>
          <w:color w:val="auto"/>
        </w:rPr>
        <w:t>If this Agreement is executed by more than one person or entity, all representations, warranties, obligations and covenants made by the Borrower hereunder shall be deemed to have been made by each of such persons and entities and the obligations and duties of such parties hereunder shall be deemed to be joint and several in all respects.</w:t>
      </w:r>
    </w:p>
    <w:p>
      <w:pPr>
        <w:spacing w:after="0" w:line="108" w:lineRule="exact"/>
        <w:rPr>
          <w:sz w:val="20"/>
          <w:szCs w:val="20"/>
          <w:color w:val="auto"/>
        </w:rPr>
      </w:pPr>
    </w:p>
    <w:p>
      <w:pPr>
        <w:ind w:left="440"/>
        <w:spacing w:after="0"/>
        <w:tabs>
          <w:tab w:leader="none" w:pos="1480" w:val="left"/>
        </w:tabs>
        <w:rPr>
          <w:sz w:val="20"/>
          <w:szCs w:val="20"/>
          <w:color w:val="auto"/>
        </w:rPr>
      </w:pPr>
      <w:r>
        <w:rPr>
          <w:rFonts w:ascii="Arial" w:cs="Arial" w:eastAsia="Arial" w:hAnsi="Arial"/>
          <w:sz w:val="14"/>
          <w:szCs w:val="14"/>
          <w:color w:val="auto"/>
        </w:rPr>
        <w:t>Section 5.11</w:t>
      </w:r>
      <w:r>
        <w:rPr>
          <w:sz w:val="20"/>
          <w:szCs w:val="20"/>
          <w:color w:val="auto"/>
        </w:rPr>
        <w:tab/>
      </w:r>
      <w:r>
        <w:rPr>
          <w:rFonts w:ascii="Arial" w:cs="Arial" w:eastAsia="Arial" w:hAnsi="Arial"/>
          <w:sz w:val="12"/>
          <w:szCs w:val="12"/>
          <w:b w:val="1"/>
          <w:bCs w:val="1"/>
          <w:color w:val="auto"/>
        </w:rPr>
        <w:t>Origination Fee.</w:t>
      </w:r>
    </w:p>
    <w:p>
      <w:pPr>
        <w:spacing w:after="0" w:line="145" w:lineRule="exact"/>
        <w:rPr>
          <w:sz w:val="20"/>
          <w:szCs w:val="20"/>
          <w:color w:val="auto"/>
        </w:rPr>
      </w:pPr>
    </w:p>
    <w:p>
      <w:pPr>
        <w:ind w:left="180" w:right="60" w:firstLine="433"/>
        <w:spacing w:after="0" w:line="273" w:lineRule="auto"/>
        <w:rPr>
          <w:sz w:val="20"/>
          <w:szCs w:val="20"/>
          <w:color w:val="auto"/>
        </w:rPr>
      </w:pPr>
      <w:r>
        <w:rPr>
          <w:rFonts w:ascii="Arial" w:cs="Arial" w:eastAsia="Arial" w:hAnsi="Arial"/>
          <w:sz w:val="14"/>
          <w:szCs w:val="14"/>
          <w:color w:val="auto"/>
        </w:rPr>
        <w:t>This Agreement shall not become effective unless Lender has received, (a) payment of Borrower to Lender of the origination fee to Lender and (b) payment by Borrower of legal fees and expenses incurred by Lender to the Lender's counsel.</w:t>
      </w:r>
    </w:p>
    <w:p>
      <w:pPr>
        <w:spacing w:after="0" w:line="93" w:lineRule="exact"/>
        <w:rPr>
          <w:sz w:val="20"/>
          <w:szCs w:val="20"/>
          <w:color w:val="auto"/>
        </w:rPr>
      </w:pPr>
    </w:p>
    <w:p>
      <w:pPr>
        <w:ind w:left="440"/>
        <w:spacing w:after="0"/>
        <w:tabs>
          <w:tab w:leader="none" w:pos="1500" w:val="left"/>
        </w:tabs>
        <w:rPr>
          <w:sz w:val="20"/>
          <w:szCs w:val="20"/>
          <w:color w:val="auto"/>
        </w:rPr>
      </w:pPr>
      <w:r>
        <w:rPr>
          <w:rFonts w:ascii="Arial" w:cs="Arial" w:eastAsia="Arial" w:hAnsi="Arial"/>
          <w:sz w:val="14"/>
          <w:szCs w:val="14"/>
          <w:color w:val="auto"/>
        </w:rPr>
        <w:t>Section 5.12</w:t>
      </w:r>
      <w:r>
        <w:rPr>
          <w:sz w:val="20"/>
          <w:szCs w:val="20"/>
          <w:color w:val="auto"/>
        </w:rPr>
        <w:tab/>
      </w:r>
      <w:r>
        <w:rPr>
          <w:rFonts w:ascii="Arial" w:cs="Arial" w:eastAsia="Arial" w:hAnsi="Arial"/>
          <w:sz w:val="12"/>
          <w:szCs w:val="12"/>
          <w:b w:val="1"/>
          <w:bCs w:val="1"/>
          <w:color w:val="auto"/>
        </w:rPr>
        <w:t>Counterparts.</w:t>
      </w:r>
    </w:p>
    <w:p>
      <w:pPr>
        <w:spacing w:after="0" w:line="190" w:lineRule="exact"/>
        <w:rPr>
          <w:sz w:val="20"/>
          <w:szCs w:val="20"/>
          <w:color w:val="auto"/>
        </w:rPr>
      </w:pPr>
    </w:p>
    <w:p>
      <w:pPr>
        <w:ind w:left="160" w:firstLine="433"/>
        <w:spacing w:after="0" w:line="243" w:lineRule="auto"/>
        <w:rPr>
          <w:sz w:val="20"/>
          <w:szCs w:val="20"/>
          <w:color w:val="auto"/>
        </w:rPr>
      </w:pPr>
      <w:r>
        <w:rPr>
          <w:rFonts w:ascii="Arial" w:cs="Arial" w:eastAsia="Arial" w:hAnsi="Arial"/>
          <w:sz w:val="13"/>
          <w:szCs w:val="13"/>
          <w:color w:val="auto"/>
        </w:rPr>
        <w:t>This Agreement may be executed in any number of counterparts, each of which shall be deemed to be an original, but all of which, when taken together, shall constitute one and the same instrument and shall become effective when copies hereof, when taken together, bear the signatures of each of the parties hereto and it shall not be necessary in making proof of this instrument to produce or account for more than one of such fully executed counterparts.</w:t>
      </w:r>
    </w:p>
    <w:p>
      <w:pPr>
        <w:spacing w:after="0" w:line="104" w:lineRule="exact"/>
        <w:rPr>
          <w:sz w:val="20"/>
          <w:szCs w:val="20"/>
          <w:color w:val="auto"/>
        </w:rPr>
      </w:pPr>
    </w:p>
    <w:p>
      <w:pPr>
        <w:ind w:left="440"/>
        <w:spacing w:after="0"/>
        <w:tabs>
          <w:tab w:leader="none" w:pos="1500" w:val="left"/>
        </w:tabs>
        <w:rPr>
          <w:sz w:val="20"/>
          <w:szCs w:val="20"/>
          <w:color w:val="auto"/>
        </w:rPr>
      </w:pPr>
      <w:r>
        <w:rPr>
          <w:rFonts w:ascii="Arial" w:cs="Arial" w:eastAsia="Arial" w:hAnsi="Arial"/>
          <w:sz w:val="14"/>
          <w:szCs w:val="14"/>
          <w:color w:val="auto"/>
        </w:rPr>
        <w:t>Section 5.13</w:t>
      </w:r>
      <w:r>
        <w:rPr>
          <w:sz w:val="20"/>
          <w:szCs w:val="20"/>
          <w:color w:val="auto"/>
        </w:rPr>
        <w:tab/>
      </w:r>
      <w:r>
        <w:rPr>
          <w:rFonts w:ascii="Arial" w:cs="Arial" w:eastAsia="Arial" w:hAnsi="Arial"/>
          <w:sz w:val="12"/>
          <w:szCs w:val="12"/>
          <w:b w:val="1"/>
          <w:bCs w:val="1"/>
          <w:color w:val="auto"/>
        </w:rPr>
        <w:t>Satisfaction of Note.</w:t>
      </w:r>
    </w:p>
    <w:p>
      <w:pPr>
        <w:spacing w:after="0" w:line="190" w:lineRule="exact"/>
        <w:rPr>
          <w:sz w:val="20"/>
          <w:szCs w:val="20"/>
          <w:color w:val="auto"/>
        </w:rPr>
      </w:pPr>
    </w:p>
    <w:p>
      <w:pPr>
        <w:ind w:left="160" w:right="140" w:firstLine="433"/>
        <w:spacing w:after="0" w:line="286" w:lineRule="auto"/>
        <w:rPr>
          <w:sz w:val="20"/>
          <w:szCs w:val="20"/>
          <w:color w:val="auto"/>
        </w:rPr>
      </w:pPr>
      <w:r>
        <w:rPr>
          <w:rFonts w:ascii="Arial" w:cs="Arial" w:eastAsia="Arial" w:hAnsi="Arial"/>
          <w:sz w:val="13"/>
          <w:szCs w:val="13"/>
          <w:color w:val="auto"/>
        </w:rPr>
        <w:t>At such time as the First Mortgage or any other mortgage(s) covering the Property, whether held by Lender or another lending institution, becomes due and payable, whether upon the maturity thereof or by acceleration or otherwise, or upon prepayment thereof, the Borrower shall also be required to immediately repay to Lender all amounts outstanding under the Note and this Agreement and if the Advance is not outstanding at such time, no advance shall be available hereunder.</w:t>
      </w:r>
    </w:p>
    <w:p>
      <w:pPr>
        <w:spacing w:after="0" w:line="96" w:lineRule="exact"/>
        <w:rPr>
          <w:sz w:val="20"/>
          <w:szCs w:val="20"/>
          <w:color w:val="auto"/>
        </w:rPr>
      </w:pPr>
    </w:p>
    <w:p>
      <w:pPr>
        <w:ind w:left="440"/>
        <w:spacing w:after="0"/>
        <w:tabs>
          <w:tab w:leader="none" w:pos="1500" w:val="left"/>
        </w:tabs>
        <w:rPr>
          <w:sz w:val="20"/>
          <w:szCs w:val="20"/>
          <w:color w:val="auto"/>
        </w:rPr>
      </w:pPr>
      <w:r>
        <w:rPr>
          <w:rFonts w:ascii="Arial" w:cs="Arial" w:eastAsia="Arial" w:hAnsi="Arial"/>
          <w:sz w:val="14"/>
          <w:szCs w:val="14"/>
          <w:color w:val="auto"/>
        </w:rPr>
        <w:t>Section 5.14</w:t>
      </w:r>
      <w:r>
        <w:rPr>
          <w:sz w:val="20"/>
          <w:szCs w:val="20"/>
          <w:color w:val="auto"/>
        </w:rPr>
        <w:tab/>
      </w:r>
      <w:r>
        <w:rPr>
          <w:rFonts w:ascii="Arial" w:cs="Arial" w:eastAsia="Arial" w:hAnsi="Arial"/>
          <w:sz w:val="12"/>
          <w:szCs w:val="12"/>
          <w:b w:val="1"/>
          <w:bCs w:val="1"/>
          <w:color w:val="auto"/>
        </w:rPr>
        <w:t>Authorization.</w:t>
      </w:r>
    </w:p>
    <w:p>
      <w:pPr>
        <w:spacing w:after="0" w:line="208" w:lineRule="exact"/>
        <w:rPr>
          <w:sz w:val="20"/>
          <w:szCs w:val="20"/>
          <w:color w:val="auto"/>
        </w:rPr>
      </w:pPr>
    </w:p>
    <w:p>
      <w:pPr>
        <w:ind w:left="600"/>
        <w:spacing w:after="0"/>
        <w:rPr>
          <w:sz w:val="20"/>
          <w:szCs w:val="20"/>
          <w:color w:val="auto"/>
        </w:rPr>
      </w:pPr>
      <w:r>
        <w:rPr>
          <w:rFonts w:ascii="Arial" w:cs="Arial" w:eastAsia="Arial" w:hAnsi="Arial"/>
          <w:sz w:val="14"/>
          <w:szCs w:val="14"/>
          <w:color w:val="auto"/>
        </w:rPr>
        <w:t>The execution and delivery of this Agreement and the Note referred to herein have been duly authorized by the members of Borrower.</w:t>
      </w:r>
    </w:p>
    <w:p>
      <w:pPr>
        <w:spacing w:after="0" w:line="181" w:lineRule="exact"/>
        <w:rPr>
          <w:sz w:val="20"/>
          <w:szCs w:val="20"/>
          <w:color w:val="auto"/>
        </w:rPr>
      </w:pPr>
    </w:p>
    <w:p>
      <w:pPr>
        <w:ind w:left="440"/>
        <w:spacing w:after="0"/>
        <w:tabs>
          <w:tab w:leader="none" w:pos="1300" w:val="left"/>
        </w:tabs>
        <w:rPr>
          <w:sz w:val="20"/>
          <w:szCs w:val="20"/>
          <w:color w:val="auto"/>
        </w:rPr>
      </w:pPr>
      <w:r>
        <w:rPr>
          <w:rFonts w:ascii="Arial" w:cs="Arial" w:eastAsia="Arial" w:hAnsi="Arial"/>
          <w:sz w:val="14"/>
          <w:szCs w:val="14"/>
          <w:color w:val="auto"/>
        </w:rPr>
        <w:t>Section 5.15</w:t>
      </w:r>
      <w:r>
        <w:rPr>
          <w:sz w:val="20"/>
          <w:szCs w:val="20"/>
          <w:color w:val="auto"/>
        </w:rPr>
        <w:tab/>
      </w:r>
      <w:r>
        <w:rPr>
          <w:rFonts w:ascii="Arial" w:cs="Arial" w:eastAsia="Arial" w:hAnsi="Arial"/>
          <w:sz w:val="12"/>
          <w:szCs w:val="12"/>
          <w:b w:val="1"/>
          <w:bCs w:val="1"/>
          <w:color w:val="auto"/>
        </w:rPr>
        <w:t>Cooperation</w:t>
      </w:r>
    </w:p>
    <w:p>
      <w:pPr>
        <w:spacing w:after="0" w:line="127" w:lineRule="exact"/>
        <w:rPr>
          <w:sz w:val="20"/>
          <w:szCs w:val="20"/>
          <w:color w:val="auto"/>
        </w:rPr>
      </w:pPr>
    </w:p>
    <w:p>
      <w:pPr>
        <w:jc w:val="both"/>
        <w:ind w:firstLine="444"/>
        <w:spacing w:after="0" w:line="233" w:lineRule="auto"/>
        <w:rPr>
          <w:sz w:val="20"/>
          <w:szCs w:val="20"/>
          <w:color w:val="auto"/>
        </w:rPr>
      </w:pPr>
      <w:r>
        <w:rPr>
          <w:rFonts w:ascii="Arial" w:cs="Arial" w:eastAsia="Arial" w:hAnsi="Arial"/>
          <w:sz w:val="14"/>
          <w:szCs w:val="14"/>
          <w:color w:val="auto"/>
        </w:rPr>
        <w:t>In the event Borrower determines that it would be beneficial to have the proceeds of the Loan in the form of multiple advances, Lender agrees to reasonably cooperate with Borrower with respect to the modification of the Loan Documents to provide for multiple advances subject to Borrowers payment of all costs and expenses in connection with any such modification.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wp:posOffset>
            </wp:positionH>
            <wp:positionV relativeFrom="paragraph">
              <wp:posOffset>190500</wp:posOffset>
            </wp:positionV>
            <wp:extent cx="638556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385560" cy="42545"/>
                    </a:xfrm>
                    <a:prstGeom prst="rect">
                      <a:avLst/>
                    </a:prstGeom>
                    <a:noFill/>
                  </pic:spPr>
                </pic:pic>
              </a:graphicData>
            </a:graphic>
          </wp:anchor>
        </w:drawing>
      </w:r>
    </w:p>
    <w:p>
      <w:pPr>
        <w:sectPr>
          <w:pgSz w:w="11900" w:h="16838" w:orient="portrait"/>
          <w:cols w:equalWidth="0" w:num="1">
            <w:col w:w="9840"/>
          </w:cols>
          <w:pgMar w:left="1180" w:top="161" w:right="879" w:bottom="1440" w:gutter="0" w:footer="0" w:header="0"/>
        </w:sectPr>
      </w:pPr>
    </w:p>
    <w:bookmarkStart w:id="184" w:name="page185"/>
    <w:bookmarkEnd w:id="184"/>
    <w:p>
      <w:pPr>
        <w:jc w:val="right"/>
        <w:spacing w:after="0"/>
        <w:rPr>
          <w:sz w:val="20"/>
          <w:szCs w:val="20"/>
          <w:color w:val="auto"/>
        </w:rPr>
      </w:pPr>
      <w:r>
        <w:rPr>
          <w:rFonts w:ascii="Arial" w:cs="Arial" w:eastAsia="Arial" w:hAnsi="Arial"/>
          <w:sz w:val="14"/>
          <w:szCs w:val="14"/>
          <w:b w:val="1"/>
          <w:bCs w:val="1"/>
          <w:color w:val="auto"/>
        </w:rPr>
        <w:t>EXHIBIT 10.19</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Separation and Release Agreement</w:t>
      </w:r>
    </w:p>
    <w:p>
      <w:pPr>
        <w:spacing w:after="0" w:line="145" w:lineRule="exact"/>
        <w:rPr>
          <w:sz w:val="20"/>
          <w:szCs w:val="20"/>
          <w:color w:val="auto"/>
        </w:rPr>
      </w:pPr>
    </w:p>
    <w:p>
      <w:pPr>
        <w:jc w:val="both"/>
        <w:ind w:right="20" w:firstLine="432"/>
        <w:spacing w:after="0" w:line="260" w:lineRule="auto"/>
        <w:rPr>
          <w:sz w:val="20"/>
          <w:szCs w:val="20"/>
          <w:color w:val="auto"/>
        </w:rPr>
      </w:pPr>
      <w:r>
        <w:rPr>
          <w:rFonts w:ascii="Arial" w:cs="Arial" w:eastAsia="Arial" w:hAnsi="Arial"/>
          <w:sz w:val="14"/>
          <w:szCs w:val="14"/>
          <w:color w:val="auto"/>
        </w:rPr>
        <w:t>This Separation and Release Agreement (this “</w:t>
      </w:r>
      <w:r>
        <w:rPr>
          <w:rFonts w:ascii="Arial" w:cs="Arial" w:eastAsia="Arial" w:hAnsi="Arial"/>
          <w:sz w:val="14"/>
          <w:szCs w:val="14"/>
          <w:b w:val="1"/>
          <w:bCs w:val="1"/>
          <w:color w:val="auto"/>
        </w:rPr>
        <w:t>Agreement</w:t>
      </w:r>
      <w:r>
        <w:rPr>
          <w:rFonts w:ascii="Arial" w:cs="Arial" w:eastAsia="Arial" w:hAnsi="Arial"/>
          <w:sz w:val="14"/>
          <w:szCs w:val="14"/>
          <w:color w:val="auto"/>
        </w:rPr>
        <w:t>”) dated as of May 30, 2014, will be effective as of the lapse of the Revocation Period set forth in Section 9 hereof (the “</w:t>
      </w:r>
      <w:r>
        <w:rPr>
          <w:rFonts w:ascii="Arial" w:cs="Arial" w:eastAsia="Arial" w:hAnsi="Arial"/>
          <w:sz w:val="14"/>
          <w:szCs w:val="14"/>
          <w:b w:val="1"/>
          <w:bCs w:val="1"/>
          <w:color w:val="auto"/>
        </w:rPr>
        <w:t>Effective Date</w:t>
      </w:r>
      <w:r>
        <w:rPr>
          <w:rFonts w:ascii="Arial" w:cs="Arial" w:eastAsia="Arial" w:hAnsi="Arial"/>
          <w:sz w:val="14"/>
          <w:szCs w:val="14"/>
          <w:color w:val="auto"/>
        </w:rPr>
        <w:t>”), and is made and entered into by and between Andrzej Matyczynski (“</w:t>
      </w:r>
      <w:r>
        <w:rPr>
          <w:rFonts w:ascii="Arial" w:cs="Arial" w:eastAsia="Arial" w:hAnsi="Arial"/>
          <w:sz w:val="14"/>
          <w:szCs w:val="14"/>
          <w:b w:val="1"/>
          <w:bCs w:val="1"/>
          <w:color w:val="auto"/>
        </w:rPr>
        <w:t>Executive</w:t>
      </w:r>
      <w:r>
        <w:rPr>
          <w:rFonts w:ascii="Arial" w:cs="Arial" w:eastAsia="Arial" w:hAnsi="Arial"/>
          <w:sz w:val="14"/>
          <w:szCs w:val="14"/>
          <w:color w:val="auto"/>
        </w:rPr>
        <w:t>” or “</w:t>
      </w:r>
      <w:r>
        <w:rPr>
          <w:rFonts w:ascii="Arial" w:cs="Arial" w:eastAsia="Arial" w:hAnsi="Arial"/>
          <w:sz w:val="14"/>
          <w:szCs w:val="14"/>
          <w:b w:val="1"/>
          <w:bCs w:val="1"/>
          <w:color w:val="auto"/>
        </w:rPr>
        <w:t>you</w:t>
      </w:r>
      <w:r>
        <w:rPr>
          <w:rFonts w:ascii="Arial" w:cs="Arial" w:eastAsia="Arial" w:hAnsi="Arial"/>
          <w:sz w:val="14"/>
          <w:szCs w:val="14"/>
          <w:color w:val="auto"/>
        </w:rPr>
        <w:t>”) and Reading International, Inc., a Nevada corporation (“</w:t>
      </w:r>
      <w:r>
        <w:rPr>
          <w:rFonts w:ascii="Arial" w:cs="Arial" w:eastAsia="Arial" w:hAnsi="Arial"/>
          <w:sz w:val="14"/>
          <w:szCs w:val="14"/>
          <w:b w:val="1"/>
          <w:bCs w:val="1"/>
          <w:color w:val="auto"/>
        </w:rPr>
        <w:t>Reading</w:t>
      </w:r>
      <w:r>
        <w:rPr>
          <w:rFonts w:ascii="Arial" w:cs="Arial" w:eastAsia="Arial" w:hAnsi="Arial"/>
          <w:sz w:val="14"/>
          <w:szCs w:val="14"/>
          <w:color w:val="auto"/>
        </w:rPr>
        <w:t>” or the “</w:t>
      </w:r>
      <w:r>
        <w:rPr>
          <w:rFonts w:ascii="Arial" w:cs="Arial" w:eastAsia="Arial" w:hAnsi="Arial"/>
          <w:sz w:val="14"/>
          <w:szCs w:val="14"/>
          <w:b w:val="1"/>
          <w:bCs w:val="1"/>
          <w:color w:val="auto"/>
        </w:rPr>
        <w:t>Company</w:t>
      </w:r>
      <w:r>
        <w:rPr>
          <w:rFonts w:ascii="Arial" w:cs="Arial" w:eastAsia="Arial" w:hAnsi="Arial"/>
          <w:sz w:val="14"/>
          <w:szCs w:val="14"/>
          <w:color w:val="auto"/>
        </w:rPr>
        <w:t>”).</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4"/>
          <w:szCs w:val="14"/>
          <w:u w:val="single" w:color="auto"/>
          <w:color w:val="auto"/>
        </w:rPr>
        <w:t>RECITALS</w:t>
      </w:r>
      <w:r>
        <w:rPr>
          <w:rFonts w:ascii="Arial" w:cs="Arial" w:eastAsia="Arial" w:hAnsi="Arial"/>
          <w:sz w:val="14"/>
          <w:szCs w:val="14"/>
          <w:color w:val="auto"/>
        </w:rPr>
        <w:t>:</w:t>
      </w:r>
    </w:p>
    <w:p>
      <w:pPr>
        <w:spacing w:after="0" w:line="145" w:lineRule="exact"/>
        <w:rPr>
          <w:sz w:val="20"/>
          <w:szCs w:val="20"/>
          <w:color w:val="auto"/>
        </w:rPr>
      </w:pPr>
    </w:p>
    <w:p>
      <w:pPr>
        <w:jc w:val="both"/>
        <w:ind w:right="20" w:firstLine="432"/>
        <w:spacing w:after="0" w:line="273" w:lineRule="auto"/>
        <w:rPr>
          <w:sz w:val="20"/>
          <w:szCs w:val="20"/>
          <w:color w:val="auto"/>
        </w:rPr>
      </w:pPr>
      <w:r>
        <w:rPr>
          <w:rFonts w:ascii="Arial" w:cs="Arial" w:eastAsia="Arial" w:hAnsi="Arial"/>
          <w:sz w:val="14"/>
          <w:szCs w:val="14"/>
          <w:color w:val="auto"/>
        </w:rPr>
        <w:t>WHEREAS, Executive has been employed by Reading and certain affiliates as its Chief Financial Officer (“CFO”), Treasurer and Corporate Secretary pursuant to the terms of an employment agreement dated October 28, 1999 (the “</w:t>
      </w:r>
      <w:r>
        <w:rPr>
          <w:rFonts w:ascii="Arial" w:cs="Arial" w:eastAsia="Arial" w:hAnsi="Arial"/>
          <w:sz w:val="14"/>
          <w:szCs w:val="14"/>
          <w:b w:val="1"/>
          <w:bCs w:val="1"/>
          <w:color w:val="auto"/>
        </w:rPr>
        <w:t>Employment Agreement</w:t>
      </w:r>
      <w:r>
        <w:rPr>
          <w:rFonts w:ascii="Arial" w:cs="Arial" w:eastAsia="Arial" w:hAnsi="Arial"/>
          <w:sz w:val="14"/>
          <w:szCs w:val="14"/>
          <w:color w:val="auto"/>
        </w:rPr>
        <w:t>”);</w:t>
      </w:r>
    </w:p>
    <w:p>
      <w:pPr>
        <w:spacing w:after="0" w:line="102" w:lineRule="exact"/>
        <w:rPr>
          <w:sz w:val="20"/>
          <w:szCs w:val="20"/>
          <w:color w:val="auto"/>
        </w:rPr>
      </w:pPr>
    </w:p>
    <w:p>
      <w:pPr>
        <w:ind w:left="420" w:right="1740"/>
        <w:spacing w:after="0" w:line="488" w:lineRule="auto"/>
        <w:rPr>
          <w:sz w:val="20"/>
          <w:szCs w:val="20"/>
          <w:color w:val="auto"/>
        </w:rPr>
      </w:pPr>
      <w:r>
        <w:rPr>
          <w:rFonts w:ascii="Arial" w:cs="Arial" w:eastAsia="Arial" w:hAnsi="Arial"/>
          <w:sz w:val="13"/>
          <w:szCs w:val="13"/>
          <w:color w:val="auto"/>
        </w:rPr>
        <w:t>WHEREAS, you and the Company desire an appropriate strategy for you to retire and amicably end your career with the Company; NOW, THEREFORE, in consideration of the mutual covenants hereinafter set forth, the parties hereto agree as follows:</w:t>
      </w:r>
    </w:p>
    <w:p>
      <w:pPr>
        <w:spacing w:after="0" w:line="1" w:lineRule="exact"/>
        <w:rPr>
          <w:sz w:val="20"/>
          <w:szCs w:val="20"/>
          <w:color w:val="auto"/>
        </w:rPr>
      </w:pPr>
    </w:p>
    <w:p>
      <w:pPr>
        <w:jc w:val="both"/>
        <w:ind w:right="20" w:firstLine="429"/>
        <w:spacing w:after="0" w:line="272" w:lineRule="auto"/>
        <w:tabs>
          <w:tab w:leader="none" w:pos="576" w:val="left"/>
        </w:tabs>
        <w:numPr>
          <w:ilvl w:val="0"/>
          <w:numId w:val="181"/>
        </w:numPr>
        <w:rPr>
          <w:rFonts w:ascii="Arial" w:cs="Arial" w:eastAsia="Arial" w:hAnsi="Arial"/>
          <w:sz w:val="13"/>
          <w:szCs w:val="13"/>
          <w:color w:val="010000"/>
        </w:rPr>
      </w:pPr>
      <w:r>
        <w:rPr>
          <w:rFonts w:ascii="Arial" w:cs="Arial" w:eastAsia="Arial" w:hAnsi="Arial"/>
          <w:sz w:val="13"/>
          <w:szCs w:val="13"/>
          <w:b w:val="1"/>
          <w:bCs w:val="1"/>
          <w:color w:val="auto"/>
        </w:rPr>
        <w:t>Resignation as Chief Financial Officer</w:t>
      </w:r>
      <w:r>
        <w:rPr>
          <w:rFonts w:ascii="Arial" w:cs="Arial" w:eastAsia="Arial" w:hAnsi="Arial"/>
          <w:sz w:val="13"/>
          <w:szCs w:val="13"/>
          <w:color w:val="auto"/>
        </w:rPr>
        <w:t>. Effective immediately upon request of the Company’s Chief Executive Officer (“</w:t>
      </w:r>
      <w:r>
        <w:rPr>
          <w:rFonts w:ascii="Arial" w:cs="Arial" w:eastAsia="Arial" w:hAnsi="Arial"/>
          <w:sz w:val="13"/>
          <w:szCs w:val="13"/>
          <w:b w:val="1"/>
          <w:bCs w:val="1"/>
          <w:color w:val="auto"/>
        </w:rPr>
        <w:t>CEO</w:t>
      </w:r>
      <w:r>
        <w:rPr>
          <w:rFonts w:ascii="Arial" w:cs="Arial" w:eastAsia="Arial" w:hAnsi="Arial"/>
          <w:sz w:val="13"/>
          <w:szCs w:val="13"/>
          <w:color w:val="auto"/>
        </w:rPr>
        <w:t>”) (the “</w:t>
      </w:r>
      <w:r>
        <w:rPr>
          <w:rFonts w:ascii="Arial" w:cs="Arial" w:eastAsia="Arial" w:hAnsi="Arial"/>
          <w:sz w:val="13"/>
          <w:szCs w:val="13"/>
          <w:b w:val="1"/>
          <w:bCs w:val="1"/>
          <w:color w:val="auto"/>
        </w:rPr>
        <w:t>Resignation Date</w:t>
      </w:r>
      <w:r>
        <w:rPr>
          <w:rFonts w:ascii="Arial" w:cs="Arial" w:eastAsia="Arial" w:hAnsi="Arial"/>
          <w:sz w:val="13"/>
          <w:szCs w:val="13"/>
          <w:color w:val="auto"/>
        </w:rPr>
        <w:t>”),</w:t>
      </w:r>
      <w:r>
        <w:rPr>
          <w:rFonts w:ascii="Arial" w:cs="Arial" w:eastAsia="Arial" w:hAnsi="Arial"/>
          <w:sz w:val="13"/>
          <w:szCs w:val="13"/>
          <w:b w:val="1"/>
          <w:bCs w:val="1"/>
          <w:color w:val="auto"/>
        </w:rPr>
        <w:t xml:space="preserve"> </w:t>
      </w:r>
      <w:r>
        <w:rPr>
          <w:rFonts w:ascii="Arial" w:cs="Arial" w:eastAsia="Arial" w:hAnsi="Arial"/>
          <w:sz w:val="13"/>
          <w:szCs w:val="13"/>
          <w:color w:val="auto"/>
        </w:rPr>
        <w:t>you will resign as the Company’s Chief Financial Officer, Treasurer and Corporate Secretary and from any and all other positions that you hold as an officer, director and/or manager of the Company and its various direct and indirect subsidiaries. Your status as a corporate officer, director, manager or any fiduciary position (including as a fiduciary of any employee benefit plans sponsored by the Company or any affiliate) with the Company and all affiliates will end on the applicable Resignation Date and you hereby agree to submit your written resignation from any such offices and positions upon request on or after the Resignation Date, effective as of the Resignation Date. You acknowledge and agree that your Resignation Date may differ from office to office and from position to position.</w:t>
      </w:r>
    </w:p>
    <w:p>
      <w:pPr>
        <w:spacing w:after="0" w:line="100" w:lineRule="exact"/>
        <w:rPr>
          <w:rFonts w:ascii="Arial" w:cs="Arial" w:eastAsia="Arial" w:hAnsi="Arial"/>
          <w:sz w:val="13"/>
          <w:szCs w:val="13"/>
          <w:color w:val="010000"/>
        </w:rPr>
      </w:pPr>
    </w:p>
    <w:p>
      <w:pPr>
        <w:jc w:val="both"/>
        <w:ind w:right="20" w:firstLine="429"/>
        <w:spacing w:after="0" w:line="268" w:lineRule="auto"/>
        <w:tabs>
          <w:tab w:leader="none" w:pos="576" w:val="left"/>
        </w:tabs>
        <w:numPr>
          <w:ilvl w:val="0"/>
          <w:numId w:val="181"/>
        </w:numPr>
        <w:rPr>
          <w:rFonts w:ascii="Arial" w:cs="Arial" w:eastAsia="Arial" w:hAnsi="Arial"/>
          <w:sz w:val="13"/>
          <w:szCs w:val="13"/>
          <w:color w:val="010000"/>
        </w:rPr>
      </w:pPr>
      <w:r>
        <w:rPr>
          <w:rFonts w:ascii="Arial" w:cs="Arial" w:eastAsia="Arial" w:hAnsi="Arial"/>
          <w:sz w:val="13"/>
          <w:szCs w:val="13"/>
          <w:b w:val="1"/>
          <w:bCs w:val="1"/>
          <w:color w:val="auto"/>
        </w:rPr>
        <w:t xml:space="preserve">Transition Period Services. </w:t>
      </w:r>
      <w:r>
        <w:rPr>
          <w:rFonts w:ascii="Arial" w:cs="Arial" w:eastAsia="Arial" w:hAnsi="Arial"/>
          <w:sz w:val="13"/>
          <w:szCs w:val="13"/>
          <w:color w:val="auto"/>
        </w:rPr>
        <w:t>Commencing on the date of this Agreement and continuing through the Retirement Date (defined below), Executive Agrees to</w:t>
      </w:r>
      <w:r>
        <w:rPr>
          <w:rFonts w:ascii="Arial" w:cs="Arial" w:eastAsia="Arial" w:hAnsi="Arial"/>
          <w:sz w:val="13"/>
          <w:szCs w:val="13"/>
          <w:b w:val="1"/>
          <w:bCs w:val="1"/>
          <w:color w:val="auto"/>
        </w:rPr>
        <w:t xml:space="preserve"> </w:t>
      </w:r>
      <w:r>
        <w:rPr>
          <w:rFonts w:ascii="Arial" w:cs="Arial" w:eastAsia="Arial" w:hAnsi="Arial"/>
          <w:sz w:val="13"/>
          <w:szCs w:val="13"/>
          <w:color w:val="auto"/>
        </w:rPr>
        <w:t>continue to serve as the Company’s CFO and Principal Financial Officer for Securities Exchange Act reporting purposes until a successor CFO and/or Principal Financial Officer is appointed and to provide such advice and transition assistance to the Company as the CEO of the Company may reasonably designate from time to time, including to continue to perform the duties of the CFO and Principal Financial Officer during the Transition Period on an “at will” basis (hereinafter, the “</w:t>
      </w:r>
      <w:r>
        <w:rPr>
          <w:rFonts w:ascii="Arial" w:cs="Arial" w:eastAsia="Arial" w:hAnsi="Arial"/>
          <w:sz w:val="13"/>
          <w:szCs w:val="13"/>
          <w:b w:val="1"/>
          <w:bCs w:val="1"/>
          <w:color w:val="auto"/>
        </w:rPr>
        <w:t>Services</w:t>
      </w:r>
      <w:r>
        <w:rPr>
          <w:rFonts w:ascii="Arial" w:cs="Arial" w:eastAsia="Arial" w:hAnsi="Arial"/>
          <w:sz w:val="13"/>
          <w:szCs w:val="13"/>
          <w:color w:val="auto"/>
        </w:rPr>
        <w:t>”). Executive hereby agrees to execute as CFO and Principal Financial Officer all appropriate filings to be made by the Company under the Securities Exchange Act during the period prior to the effective date of the appointment of a successor CFO. The period between the date of this Agreement and the Retirement Date is hereinafter referred to as the “</w:t>
      </w:r>
      <w:r>
        <w:rPr>
          <w:rFonts w:ascii="Arial" w:cs="Arial" w:eastAsia="Arial" w:hAnsi="Arial"/>
          <w:sz w:val="13"/>
          <w:szCs w:val="13"/>
          <w:b w:val="1"/>
          <w:bCs w:val="1"/>
          <w:color w:val="auto"/>
        </w:rPr>
        <w:t>Transition Period</w:t>
      </w:r>
      <w:r>
        <w:rPr>
          <w:rFonts w:ascii="Arial" w:cs="Arial" w:eastAsia="Arial" w:hAnsi="Arial"/>
          <w:sz w:val="13"/>
          <w:szCs w:val="13"/>
          <w:color w:val="auto"/>
        </w:rPr>
        <w:t>.” During the Transition Period, Executive’s duties will be substantially the same as present, but may be limited from time to time by the CEO. During the Transition Period, you agree to spend sufficient time on Company matters to perform the duties of the CFO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111760</wp:posOffset>
            </wp:positionV>
            <wp:extent cx="6231255"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231255" cy="42545"/>
                    </a:xfrm>
                    <a:prstGeom prst="rect">
                      <a:avLst/>
                    </a:prstGeom>
                    <a:noFill/>
                  </pic:spPr>
                </pic:pic>
              </a:graphicData>
            </a:graphic>
          </wp:anchor>
        </w:drawing>
      </w:r>
    </w:p>
    <w:p>
      <w:pPr>
        <w:sectPr>
          <w:pgSz w:w="11900" w:h="16838" w:orient="portrait"/>
          <w:cols w:equalWidth="0" w:num="1">
            <w:col w:w="9760"/>
          </w:cols>
          <w:pgMar w:left="1080" w:top="122" w:right="1059" w:bottom="1440" w:gutter="0" w:footer="0" w:header="0"/>
        </w:sectPr>
      </w:pPr>
    </w:p>
    <w:bookmarkStart w:id="185" w:name="page186"/>
    <w:bookmarkEnd w:id="185"/>
    <w:p>
      <w:pPr>
        <w:jc w:val="both"/>
        <w:ind w:left="60"/>
        <w:spacing w:after="0" w:line="264" w:lineRule="auto"/>
        <w:rPr>
          <w:sz w:val="20"/>
          <w:szCs w:val="20"/>
          <w:color w:val="auto"/>
        </w:rPr>
      </w:pPr>
      <w:r>
        <w:rPr>
          <w:rFonts w:ascii="Arial" w:cs="Arial" w:eastAsia="Arial" w:hAnsi="Arial"/>
          <w:sz w:val="13"/>
          <w:szCs w:val="13"/>
          <w:color w:val="auto"/>
        </w:rPr>
        <w:t>Principal Financial Officer until a new CFO is appointed and to facilitate an orderly transition of responsibilities to the new CFO and, after a new CFO is appointed, to continue to make yourself available as needed, up to a full time basis, to attend to Company matters as requested from time to time. Unless otherwise specified by the CEO, services will be performed at the Company’s executive headquarters building, in space provided by the Company. The Company will provide for parking during the Transition Period. It is anticipated that, unless otherwise agreed, Executive will be available at the Company’s executive headquarters building Monday through Thursday of each week. On each Friday during the Transition Period, Executive may provide Services remotely. In providing the Services during the Transition Period, you will continue to be an employee of the Company but will not have the authority to speak on behalf of or bind the Company except as authorized by the CEO of the Company or as required to discharge your duties in connection with providing the Services and performing the duties of the CFO and Principal Financial Officer. All compensation under this Agreement, including any compensation attributable to the Services, will be subject to tax withholding by the Company. The Company may terminate this Agreement immediately and without prior notice if Executive refuses to or is unable to perform the Services or is in breach of any material provision of this Agreement. Termination due to Executive’s wrongful refusal to perform any services, material breach of this Agreement or for criminal misconduct involving any felony, or any misdemeanor involving moral turpitude or a criminal violation of federal or state securities laws is referred to herein as “</w:t>
      </w:r>
      <w:r>
        <w:rPr>
          <w:rFonts w:ascii="Arial" w:cs="Arial" w:eastAsia="Arial" w:hAnsi="Arial"/>
          <w:sz w:val="13"/>
          <w:szCs w:val="13"/>
          <w:b w:val="1"/>
          <w:bCs w:val="1"/>
          <w:color w:val="auto"/>
        </w:rPr>
        <w:t>Termination for Cause</w:t>
      </w:r>
      <w:r>
        <w:rPr>
          <w:rFonts w:ascii="Arial" w:cs="Arial" w:eastAsia="Arial" w:hAnsi="Arial"/>
          <w:sz w:val="13"/>
          <w:szCs w:val="13"/>
          <w:color w:val="auto"/>
        </w:rPr>
        <w:t>”). Executive’s “</w:t>
      </w:r>
      <w:r>
        <w:rPr>
          <w:rFonts w:ascii="Arial" w:cs="Arial" w:eastAsia="Arial" w:hAnsi="Arial"/>
          <w:sz w:val="13"/>
          <w:szCs w:val="13"/>
          <w:b w:val="1"/>
          <w:bCs w:val="1"/>
          <w:color w:val="auto"/>
        </w:rPr>
        <w:t>Retirement Date</w:t>
      </w:r>
      <w:r>
        <w:rPr>
          <w:rFonts w:ascii="Arial" w:cs="Arial" w:eastAsia="Arial" w:hAnsi="Arial"/>
          <w:sz w:val="13"/>
          <w:szCs w:val="13"/>
          <w:color w:val="auto"/>
        </w:rPr>
        <w:t>” will be the last day Services are provided during the period starting on the date of this Agreement and ending on September 1, 2014, or such earlier termination date.</w:t>
      </w:r>
    </w:p>
    <w:p>
      <w:pPr>
        <w:spacing w:after="0" w:line="110" w:lineRule="exact"/>
        <w:rPr>
          <w:sz w:val="20"/>
          <w:szCs w:val="20"/>
          <w:color w:val="auto"/>
        </w:rPr>
      </w:pPr>
    </w:p>
    <w:p>
      <w:pPr>
        <w:jc w:val="both"/>
        <w:ind w:left="-360" w:firstLine="429"/>
        <w:spacing w:after="0" w:line="264" w:lineRule="auto"/>
        <w:tabs>
          <w:tab w:leader="none" w:pos="216" w:val="left"/>
        </w:tabs>
        <w:numPr>
          <w:ilvl w:val="0"/>
          <w:numId w:val="182"/>
        </w:numPr>
        <w:rPr>
          <w:rFonts w:ascii="Arial" w:cs="Arial" w:eastAsia="Arial" w:hAnsi="Arial"/>
          <w:sz w:val="13"/>
          <w:szCs w:val="13"/>
          <w:color w:val="010000"/>
        </w:rPr>
      </w:pPr>
      <w:r>
        <w:rPr>
          <w:rFonts w:ascii="Arial" w:cs="Arial" w:eastAsia="Arial" w:hAnsi="Arial"/>
          <w:sz w:val="13"/>
          <w:szCs w:val="13"/>
          <w:b w:val="1"/>
          <w:bCs w:val="1"/>
          <w:color w:val="auto"/>
        </w:rPr>
        <w:t>Restrictive Covenants</w:t>
      </w:r>
      <w:r>
        <w:rPr>
          <w:rFonts w:ascii="Arial" w:cs="Arial" w:eastAsia="Arial" w:hAnsi="Arial"/>
          <w:sz w:val="13"/>
          <w:szCs w:val="13"/>
          <w:color w:val="auto"/>
        </w:rPr>
        <w:t>. Due to Executive’s position with and relationship to the Company and its affiliates, Executive has had, and/or shall have, access to</w:t>
      </w:r>
      <w:r>
        <w:rPr>
          <w:rFonts w:ascii="Arial" w:cs="Arial" w:eastAsia="Arial" w:hAnsi="Arial"/>
          <w:sz w:val="13"/>
          <w:szCs w:val="13"/>
          <w:b w:val="1"/>
          <w:bCs w:val="1"/>
          <w:color w:val="auto"/>
        </w:rPr>
        <w:t xml:space="preserve"> </w:t>
      </w:r>
      <w:r>
        <w:rPr>
          <w:rFonts w:ascii="Arial" w:cs="Arial" w:eastAsia="Arial" w:hAnsi="Arial"/>
          <w:sz w:val="13"/>
          <w:szCs w:val="13"/>
          <w:color w:val="auto"/>
        </w:rPr>
        <w:t>confidential or proprietary data or information of the Company and/or any affiliates of Company. This confidential information includes, but is not limited to, the Company’s human resources and Executive-related information, strategic business plans, budgets, financial performance and financial statements, operational information, business and employment contracts, compensation information, and other information that the Company treats as confidential or proprietary. Executive agrees he will not disclose or use the Company’s confidential or proprietary information. Executive further agrees that the terms of any and all Company policies regarding trade secrets, confidential or proprietary information will continue to apply to him after the Retirement Date. Executive understands that the Company may seek from a court of competent jurisdiction an injunction to prohibit such disclosure. For so long as Executive is employed by the Company, and for a period of one year after the Retirement Date, Executive shall not directly or indirectly, either alone or in concert with others, solicit or entice any employee of the Company or any of its affiliates, or any independent contractor of the Company or any of its affiliates, which independent contractor is primarily engaged in business related to the Company or any of its affiliates, to leave or cease providing services to the Company or affiliate or to work for anyone in competition with the Company or its affiliates, except for any individual whose employment or business relations with the Company and/or any of its affiliates ceased at least six months prior to Executive’s solicitation or enticement of the individual. The provisions of this Section 3 and the Company policies that relate to trade secrets, confidential and proprietary information and non-solicitation of employees will survive the termination of your employment and are incorporated in this Section 3 by reference (the “</w:t>
      </w:r>
      <w:r>
        <w:rPr>
          <w:rFonts w:ascii="Arial" w:cs="Arial" w:eastAsia="Arial" w:hAnsi="Arial"/>
          <w:sz w:val="13"/>
          <w:szCs w:val="13"/>
          <w:b w:val="1"/>
          <w:bCs w:val="1"/>
          <w:color w:val="auto"/>
        </w:rPr>
        <w:t>Restrictive</w:t>
      </w:r>
      <w:r>
        <w:rPr>
          <w:rFonts w:ascii="Arial" w:cs="Arial" w:eastAsia="Arial" w:hAnsi="Arial"/>
          <w:sz w:val="13"/>
          <w:szCs w:val="13"/>
          <w:color w:val="auto"/>
        </w:rPr>
        <w:t xml:space="preserve"> </w:t>
      </w:r>
      <w:r>
        <w:rPr>
          <w:rFonts w:ascii="Arial" w:cs="Arial" w:eastAsia="Arial" w:hAnsi="Arial"/>
          <w:sz w:val="13"/>
          <w:szCs w:val="13"/>
          <w:b w:val="1"/>
          <w:bCs w:val="1"/>
          <w:color w:val="auto"/>
        </w:rPr>
        <w:t>Covenants</w:t>
      </w:r>
      <w:r>
        <w:rPr>
          <w:rFonts w:ascii="Arial" w:cs="Arial" w:eastAsia="Arial" w:hAnsi="Arial"/>
          <w:sz w:val="13"/>
          <w:szCs w:val="13"/>
          <w:color w:val="auto"/>
        </w:rPr>
        <w:t>”). Payments to you under Section 4.1 and Section 4.2 will be conditioned on your continued compliance with</w:t>
      </w:r>
    </w:p>
    <w:p>
      <w:pPr>
        <w:spacing w:after="0" w:line="116"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-242570</wp:posOffset>
            </wp:positionH>
            <wp:positionV relativeFrom="paragraph">
              <wp:posOffset>42545</wp:posOffset>
            </wp:positionV>
            <wp:extent cx="6231255"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231255" cy="42545"/>
                    </a:xfrm>
                    <a:prstGeom prst="rect">
                      <a:avLst/>
                    </a:prstGeom>
                    <a:noFill/>
                  </pic:spPr>
                </pic:pic>
              </a:graphicData>
            </a:graphic>
          </wp:anchor>
        </w:drawing>
      </w:r>
    </w:p>
    <w:p>
      <w:pPr>
        <w:sectPr>
          <w:pgSz w:w="11900" w:h="16838" w:orient="portrait"/>
          <w:cols w:equalWidth="0" w:num="1">
            <w:col w:w="9400"/>
          </w:cols>
          <w:pgMar w:left="1440" w:top="126" w:right="1059" w:bottom="1440" w:gutter="0" w:footer="0" w:header="0"/>
        </w:sectPr>
      </w:pPr>
    </w:p>
    <w:bookmarkStart w:id="186" w:name="page187"/>
    <w:bookmarkEnd w:id="186"/>
    <w:p>
      <w:pPr>
        <w:jc w:val="both"/>
        <w:ind w:left="60" w:right="20"/>
        <w:spacing w:after="0" w:line="257" w:lineRule="auto"/>
        <w:rPr>
          <w:sz w:val="20"/>
          <w:szCs w:val="20"/>
          <w:color w:val="auto"/>
        </w:rPr>
      </w:pPr>
      <w:r>
        <w:rPr>
          <w:rFonts w:ascii="Arial" w:cs="Arial" w:eastAsia="Arial" w:hAnsi="Arial"/>
          <w:sz w:val="14"/>
          <w:szCs w:val="14"/>
          <w:color w:val="auto"/>
        </w:rPr>
        <w:t>the provisions of the Restrictive Covenants and the provisions of this Agreement. In the event of any violation by you of the Restrictive Covenants or the provisions of this Agreement, no further payments will be made under Section 4.1 and no additional vesting will occur under Section 4.2. Your right to any unpaid payments under Section 4.1 and any unvested equity awards under Section 4.2 will be forfeited.</w:t>
      </w:r>
    </w:p>
    <w:p>
      <w:pPr>
        <w:spacing w:after="0" w:line="109" w:lineRule="exact"/>
        <w:rPr>
          <w:sz w:val="20"/>
          <w:szCs w:val="20"/>
          <w:color w:val="auto"/>
        </w:rPr>
      </w:pPr>
    </w:p>
    <w:p>
      <w:pPr>
        <w:ind w:left="-360" w:right="20" w:firstLine="429"/>
        <w:spacing w:after="0" w:line="279" w:lineRule="auto"/>
        <w:tabs>
          <w:tab w:leader="none" w:pos="234" w:val="left"/>
        </w:tabs>
        <w:numPr>
          <w:ilvl w:val="0"/>
          <w:numId w:val="183"/>
        </w:numPr>
        <w:rPr>
          <w:rFonts w:ascii="Arial" w:cs="Arial" w:eastAsia="Arial" w:hAnsi="Arial"/>
          <w:sz w:val="14"/>
          <w:szCs w:val="14"/>
          <w:color w:val="010000"/>
        </w:rPr>
      </w:pPr>
      <w:r>
        <w:rPr>
          <w:rFonts w:ascii="Arial" w:cs="Arial" w:eastAsia="Arial" w:hAnsi="Arial"/>
          <w:sz w:val="14"/>
          <w:szCs w:val="14"/>
          <w:b w:val="1"/>
          <w:bCs w:val="1"/>
          <w:color w:val="auto"/>
        </w:rPr>
        <w:t>Compensation</w:t>
      </w:r>
      <w:r>
        <w:rPr>
          <w:rFonts w:ascii="Arial" w:cs="Arial" w:eastAsia="Arial" w:hAnsi="Arial"/>
          <w:sz w:val="14"/>
          <w:szCs w:val="14"/>
          <w:color w:val="auto"/>
        </w:rPr>
        <w:t>. In exchange for your Services, the restrictive covenant obligations described above, the Release provided below and satisfaction of all</w:t>
      </w:r>
      <w:r>
        <w:rPr>
          <w:rFonts w:ascii="Arial" w:cs="Arial" w:eastAsia="Arial" w:hAnsi="Arial"/>
          <w:sz w:val="14"/>
          <w:szCs w:val="14"/>
          <w:b w:val="1"/>
          <w:bCs w:val="1"/>
          <w:color w:val="auto"/>
        </w:rPr>
        <w:t xml:space="preserve"> </w:t>
      </w:r>
      <w:r>
        <w:rPr>
          <w:rFonts w:ascii="Arial" w:cs="Arial" w:eastAsia="Arial" w:hAnsi="Arial"/>
          <w:sz w:val="14"/>
          <w:szCs w:val="14"/>
          <w:color w:val="auto"/>
        </w:rPr>
        <w:t>contractual obligations under the terms of the Employment Agreement, you will receive the following compensation and benefit treatment:</w:t>
      </w:r>
    </w:p>
    <w:p>
      <w:pPr>
        <w:spacing w:after="0" w:line="94" w:lineRule="exact"/>
        <w:rPr>
          <w:sz w:val="20"/>
          <w:szCs w:val="20"/>
          <w:color w:val="auto"/>
        </w:rPr>
      </w:pPr>
    </w:p>
    <w:p>
      <w:pPr>
        <w:ind w:left="500"/>
        <w:spacing w:after="0"/>
        <w:rPr>
          <w:sz w:val="20"/>
          <w:szCs w:val="20"/>
          <w:color w:val="auto"/>
        </w:rPr>
      </w:pPr>
      <w:r>
        <w:rPr>
          <w:rFonts w:ascii="Arial" w:cs="Arial" w:eastAsia="Arial" w:hAnsi="Arial"/>
          <w:sz w:val="14"/>
          <w:szCs w:val="14"/>
          <w:color w:val="010000"/>
        </w:rPr>
        <w:t xml:space="preserve">4.1 </w:t>
      </w:r>
      <w:r>
        <w:rPr>
          <w:rFonts w:ascii="Arial" w:cs="Arial" w:eastAsia="Arial" w:hAnsi="Arial"/>
          <w:sz w:val="14"/>
          <w:szCs w:val="14"/>
          <w:b w:val="1"/>
          <w:bCs w:val="1"/>
          <w:color w:val="000000"/>
        </w:rPr>
        <w:t>Payments</w:t>
      </w:r>
      <w:r>
        <w:rPr>
          <w:rFonts w:ascii="Arial" w:cs="Arial" w:eastAsia="Arial" w:hAnsi="Arial"/>
          <w:sz w:val="14"/>
          <w:szCs w:val="14"/>
          <w:color w:val="000000"/>
        </w:rPr>
        <w:t>.</w:t>
      </w:r>
    </w:p>
    <w:p>
      <w:pPr>
        <w:spacing w:after="0" w:line="149" w:lineRule="exact"/>
        <w:rPr>
          <w:sz w:val="20"/>
          <w:szCs w:val="20"/>
          <w:color w:val="auto"/>
        </w:rPr>
      </w:pPr>
    </w:p>
    <w:p>
      <w:pPr>
        <w:jc w:val="both"/>
        <w:ind w:left="-360" w:firstLine="1294"/>
        <w:spacing w:after="0" w:line="267" w:lineRule="auto"/>
        <w:tabs>
          <w:tab w:leader="none" w:pos="1151" w:val="left"/>
        </w:tabs>
        <w:numPr>
          <w:ilvl w:val="0"/>
          <w:numId w:val="184"/>
        </w:numPr>
        <w:rPr>
          <w:rFonts w:ascii="Arial" w:cs="Arial" w:eastAsia="Arial" w:hAnsi="Arial"/>
          <w:sz w:val="13"/>
          <w:szCs w:val="13"/>
          <w:color w:val="010000"/>
        </w:rPr>
      </w:pPr>
      <w:r>
        <w:rPr>
          <w:rFonts w:ascii="Arial" w:cs="Arial" w:eastAsia="Arial" w:hAnsi="Arial"/>
          <w:sz w:val="13"/>
          <w:szCs w:val="13"/>
          <w:i w:val="1"/>
          <w:iCs w:val="1"/>
          <w:color w:val="auto"/>
        </w:rPr>
        <w:t>Base Salary; Accrued Obligations</w:t>
      </w:r>
      <w:r>
        <w:rPr>
          <w:rFonts w:ascii="Arial" w:cs="Arial" w:eastAsia="Arial" w:hAnsi="Arial"/>
          <w:sz w:val="13"/>
          <w:szCs w:val="13"/>
          <w:color w:val="auto"/>
        </w:rPr>
        <w:t>. As consideration for your agreement to provide Services under Section 2 and your agreement to the</w:t>
      </w:r>
      <w:r>
        <w:rPr>
          <w:rFonts w:ascii="Arial" w:cs="Arial" w:eastAsia="Arial" w:hAnsi="Arial"/>
          <w:sz w:val="13"/>
          <w:szCs w:val="13"/>
          <w:i w:val="1"/>
          <w:iCs w:val="1"/>
          <w:color w:val="auto"/>
        </w:rPr>
        <w:t xml:space="preserve"> </w:t>
      </w:r>
      <w:r>
        <w:rPr>
          <w:rFonts w:ascii="Arial" w:cs="Arial" w:eastAsia="Arial" w:hAnsi="Arial"/>
          <w:sz w:val="13"/>
          <w:szCs w:val="13"/>
          <w:color w:val="auto"/>
        </w:rPr>
        <w:t>Restrictive Covenants under Section 3, you will continue to receive your current base salary and employee benefits during the Transition Period. You will continue be paid through the end of the Transition Period or earlier termination of the Agreement. On the Retirement Date, you will receive payment in respect of your accrued and unused vacation, accrued but unpaid base salary through the Retirement Date and reimbursement of unreimbursed business expenses for which substantiation has been submitted in accordance with the Company’s policies and procedures (collectively, the “</w:t>
      </w:r>
      <w:r>
        <w:rPr>
          <w:rFonts w:ascii="Arial" w:cs="Arial" w:eastAsia="Arial" w:hAnsi="Arial"/>
          <w:sz w:val="13"/>
          <w:szCs w:val="13"/>
          <w:b w:val="1"/>
          <w:bCs w:val="1"/>
          <w:color w:val="auto"/>
        </w:rPr>
        <w:t>Accrued Obligations</w:t>
      </w:r>
      <w:r>
        <w:rPr>
          <w:rFonts w:ascii="Arial" w:cs="Arial" w:eastAsia="Arial" w:hAnsi="Arial"/>
          <w:sz w:val="13"/>
          <w:szCs w:val="13"/>
          <w:color w:val="auto"/>
        </w:rPr>
        <w:t>”). You acknowledge and agree that as of the date of this Agreement, you have 200 hours of accrued and unused vacation. The amount of accrued and unused vacation will be adjusted for additional accruals and vacation time taken during the Transition Period. You acknowledge and agree that you will consult with the CEO regarding scheduling any vacation time during the Transition Period to accommodate the Company’s requirements and to not unduly interfere with the performance of the Services.</w:t>
      </w:r>
    </w:p>
    <w:p>
      <w:pPr>
        <w:spacing w:after="0" w:line="110" w:lineRule="exact"/>
        <w:rPr>
          <w:rFonts w:ascii="Arial" w:cs="Arial" w:eastAsia="Arial" w:hAnsi="Arial"/>
          <w:sz w:val="13"/>
          <w:szCs w:val="13"/>
          <w:color w:val="010000"/>
        </w:rPr>
      </w:pPr>
    </w:p>
    <w:p>
      <w:pPr>
        <w:jc w:val="both"/>
        <w:ind w:left="-360" w:firstLine="1294"/>
        <w:spacing w:after="0" w:line="257" w:lineRule="auto"/>
        <w:tabs>
          <w:tab w:leader="none" w:pos="1141" w:val="left"/>
        </w:tabs>
        <w:numPr>
          <w:ilvl w:val="0"/>
          <w:numId w:val="184"/>
        </w:numPr>
        <w:rPr>
          <w:rFonts w:ascii="Arial" w:cs="Arial" w:eastAsia="Arial" w:hAnsi="Arial"/>
          <w:sz w:val="14"/>
          <w:szCs w:val="14"/>
          <w:color w:val="010000"/>
        </w:rPr>
      </w:pPr>
      <w:r>
        <w:rPr>
          <w:rFonts w:ascii="Arial" w:cs="Arial" w:eastAsia="Arial" w:hAnsi="Arial"/>
          <w:sz w:val="14"/>
          <w:szCs w:val="14"/>
          <w:i w:val="1"/>
          <w:iCs w:val="1"/>
          <w:color w:val="auto"/>
        </w:rPr>
        <w:t xml:space="preserve">COBRA. </w:t>
      </w:r>
      <w:r>
        <w:rPr>
          <w:rFonts w:ascii="Arial" w:cs="Arial" w:eastAsia="Arial" w:hAnsi="Arial"/>
          <w:sz w:val="14"/>
          <w:szCs w:val="14"/>
          <w:color w:val="auto"/>
        </w:rPr>
        <w:t>You will be offered the opportunity to receive continuation coverage for yourself and your eligible dependents under the Company’s</w:t>
      </w:r>
      <w:r>
        <w:rPr>
          <w:rFonts w:ascii="Arial" w:cs="Arial" w:eastAsia="Arial" w:hAnsi="Arial"/>
          <w:sz w:val="14"/>
          <w:szCs w:val="14"/>
          <w:i w:val="1"/>
          <w:iCs w:val="1"/>
          <w:color w:val="auto"/>
        </w:rPr>
        <w:t xml:space="preserve"> </w:t>
      </w:r>
      <w:r>
        <w:rPr>
          <w:rFonts w:ascii="Arial" w:cs="Arial" w:eastAsia="Arial" w:hAnsi="Arial"/>
          <w:sz w:val="14"/>
          <w:szCs w:val="14"/>
          <w:color w:val="auto"/>
        </w:rPr>
        <w:t>medical and dental plans pursuant to the provisions of the Consolidated Omnibus Budget Reconciliation Act of 1985, as amended (“</w:t>
      </w:r>
      <w:r>
        <w:rPr>
          <w:rFonts w:ascii="Arial" w:cs="Arial" w:eastAsia="Arial" w:hAnsi="Arial"/>
          <w:sz w:val="14"/>
          <w:szCs w:val="14"/>
          <w:b w:val="1"/>
          <w:bCs w:val="1"/>
          <w:color w:val="auto"/>
        </w:rPr>
        <w:t>COBRA</w:t>
      </w:r>
      <w:r>
        <w:rPr>
          <w:rFonts w:ascii="Arial" w:cs="Arial" w:eastAsia="Arial" w:hAnsi="Arial"/>
          <w:sz w:val="14"/>
          <w:szCs w:val="14"/>
          <w:color w:val="auto"/>
        </w:rPr>
        <w:t>”) following the Retirement Date, provided you timely elect and pay for such coverage.</w:t>
      </w:r>
    </w:p>
    <w:p>
      <w:pPr>
        <w:spacing w:after="0" w:line="113" w:lineRule="exact"/>
        <w:rPr>
          <w:rFonts w:ascii="Arial" w:cs="Arial" w:eastAsia="Arial" w:hAnsi="Arial"/>
          <w:sz w:val="14"/>
          <w:szCs w:val="14"/>
          <w:color w:val="010000"/>
        </w:rPr>
      </w:pPr>
    </w:p>
    <w:p>
      <w:pPr>
        <w:jc w:val="both"/>
        <w:ind w:left="-360" w:right="20" w:firstLine="1294"/>
        <w:spacing w:after="0" w:line="269" w:lineRule="auto"/>
        <w:tabs>
          <w:tab w:leader="none" w:pos="1133" w:val="left"/>
        </w:tabs>
        <w:numPr>
          <w:ilvl w:val="0"/>
          <w:numId w:val="184"/>
        </w:numPr>
        <w:rPr>
          <w:rFonts w:ascii="Arial" w:cs="Arial" w:eastAsia="Arial" w:hAnsi="Arial"/>
          <w:sz w:val="13"/>
          <w:szCs w:val="13"/>
          <w:color w:val="010000"/>
        </w:rPr>
      </w:pPr>
      <w:r>
        <w:rPr>
          <w:rFonts w:ascii="Arial" w:cs="Arial" w:eastAsia="Arial" w:hAnsi="Arial"/>
          <w:sz w:val="13"/>
          <w:szCs w:val="13"/>
          <w:i w:val="1"/>
          <w:iCs w:val="1"/>
          <w:color w:val="auto"/>
        </w:rPr>
        <w:t xml:space="preserve">Severance Pay. </w:t>
      </w:r>
      <w:r>
        <w:rPr>
          <w:rFonts w:ascii="Arial" w:cs="Arial" w:eastAsia="Arial" w:hAnsi="Arial"/>
          <w:sz w:val="13"/>
          <w:szCs w:val="13"/>
          <w:color w:val="auto"/>
        </w:rPr>
        <w:t>No later than the eighth (8</w:t>
      </w:r>
      <w:r>
        <w:rPr>
          <w:rFonts w:ascii="Arial" w:cs="Arial" w:eastAsia="Arial" w:hAnsi="Arial"/>
          <w:sz w:val="7"/>
          <w:szCs w:val="7"/>
          <w:color w:val="auto"/>
        </w:rPr>
        <w:t>th</w:t>
      </w:r>
      <w:r>
        <w:rPr>
          <w:rFonts w:ascii="Arial" w:cs="Arial" w:eastAsia="Arial" w:hAnsi="Arial"/>
          <w:sz w:val="13"/>
          <w:szCs w:val="13"/>
          <w:color w:val="auto"/>
        </w:rPr>
        <w:t>) day following the Retirement Date, provided that there has not been a Termination for Cause and</w:t>
      </w:r>
      <w:r>
        <w:rPr>
          <w:rFonts w:ascii="Arial" w:cs="Arial" w:eastAsia="Arial" w:hAnsi="Arial"/>
          <w:sz w:val="13"/>
          <w:szCs w:val="13"/>
          <w:i w:val="1"/>
          <w:iCs w:val="1"/>
          <w:color w:val="auto"/>
        </w:rPr>
        <w:t xml:space="preserve"> </w:t>
      </w:r>
      <w:r>
        <w:rPr>
          <w:rFonts w:ascii="Arial" w:cs="Arial" w:eastAsia="Arial" w:hAnsi="Arial"/>
          <w:sz w:val="13"/>
          <w:szCs w:val="13"/>
          <w:color w:val="auto"/>
        </w:rPr>
        <w:t>that the executed Reaffirmation Agreement described in Section 7.6 has been delivered to the Company without revocation, you will be entitled to a lump sum payment of severance in an amount equal to $244,500.00, which is comprised of a “leaving bonus” equivalent to six months of your annual base salary in the amount of $154,500, an additional “leaving bonus” in the amount of $50,000 and an additional payment of $40,000 (collectively, the “</w:t>
      </w:r>
      <w:r>
        <w:rPr>
          <w:rFonts w:ascii="Arial" w:cs="Arial" w:eastAsia="Arial" w:hAnsi="Arial"/>
          <w:sz w:val="13"/>
          <w:szCs w:val="13"/>
          <w:b w:val="1"/>
          <w:bCs w:val="1"/>
          <w:color w:val="auto"/>
        </w:rPr>
        <w:t>Severance Pay</w:t>
      </w:r>
      <w:r>
        <w:rPr>
          <w:rFonts w:ascii="Arial" w:cs="Arial" w:eastAsia="Arial" w:hAnsi="Arial"/>
          <w:sz w:val="13"/>
          <w:szCs w:val="13"/>
          <w:color w:val="auto"/>
        </w:rPr>
        <w:t>”). The Severance Pay will be subject to applicable tax withholding and will be further reduced by $33,000, representing an offset for repayment of the outstanding loan (which loan was grandfathered under Section 13(k) of the Securities Exchange Act as amended by the Sarbanes-Oxley Act of 2002) to Executive from the Company (the “</w:t>
      </w:r>
      <w:r>
        <w:rPr>
          <w:rFonts w:ascii="Arial" w:cs="Arial" w:eastAsia="Arial" w:hAnsi="Arial"/>
          <w:sz w:val="13"/>
          <w:szCs w:val="13"/>
          <w:b w:val="1"/>
          <w:bCs w:val="1"/>
          <w:color w:val="auto"/>
        </w:rPr>
        <w:t>Loan</w:t>
      </w:r>
      <w:r>
        <w:rPr>
          <w:rFonts w:ascii="Arial" w:cs="Arial" w:eastAsia="Arial" w:hAnsi="Arial"/>
          <w:sz w:val="13"/>
          <w:szCs w:val="13"/>
          <w:color w:val="auto"/>
        </w:rPr>
        <w:t xml:space="preserve"> </w:t>
      </w:r>
      <w:r>
        <w:rPr>
          <w:rFonts w:ascii="Arial" w:cs="Arial" w:eastAsia="Arial" w:hAnsi="Arial"/>
          <w:sz w:val="13"/>
          <w:szCs w:val="13"/>
          <w:b w:val="1"/>
          <w:bCs w:val="1"/>
          <w:color w:val="auto"/>
        </w:rPr>
        <w:t>Offset</w:t>
      </w:r>
      <w:r>
        <w:rPr>
          <w:rFonts w:ascii="Arial" w:cs="Arial" w:eastAsia="Arial" w:hAnsi="Arial"/>
          <w:sz w:val="13"/>
          <w:szCs w:val="13"/>
          <w:color w:val="auto"/>
        </w:rPr>
        <w:t>”). Executive acknowledges and agrees that payment of the Severance Pay, reduced by the Loan Offset, satisfies any and all “leaving</w:t>
      </w:r>
    </w:p>
    <w:p>
      <w:pPr>
        <w:spacing w:after="0" w:line="106" w:lineRule="exact"/>
        <w:rPr>
          <w:sz w:val="20"/>
          <w:szCs w:val="20"/>
          <w:color w:val="auto"/>
        </w:rPr>
      </w:pPr>
    </w:p>
    <w:p>
      <w:pPr>
        <w:ind w:left="5120"/>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-242570</wp:posOffset>
            </wp:positionH>
            <wp:positionV relativeFrom="paragraph">
              <wp:posOffset>42545</wp:posOffset>
            </wp:positionV>
            <wp:extent cx="6231255"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231255" cy="42545"/>
                    </a:xfrm>
                    <a:prstGeom prst="rect">
                      <a:avLst/>
                    </a:prstGeom>
                    <a:noFill/>
                  </pic:spPr>
                </pic:pic>
              </a:graphicData>
            </a:graphic>
          </wp:anchor>
        </w:drawing>
      </w:r>
    </w:p>
    <w:p>
      <w:pPr>
        <w:sectPr>
          <w:pgSz w:w="11900" w:h="16838" w:orient="portrait"/>
          <w:cols w:equalWidth="0" w:num="1">
            <w:col w:w="9400"/>
          </w:cols>
          <w:pgMar w:left="1440" w:top="126" w:right="1059" w:bottom="1440" w:gutter="0" w:footer="0" w:header="0"/>
        </w:sectPr>
      </w:pPr>
    </w:p>
    <w:bookmarkStart w:id="187" w:name="page188"/>
    <w:bookmarkEnd w:id="187"/>
    <w:p>
      <w:pPr>
        <w:ind w:left="1300"/>
        <w:spacing w:after="0"/>
        <w:rPr>
          <w:sz w:val="20"/>
          <w:szCs w:val="20"/>
          <w:color w:val="auto"/>
        </w:rPr>
      </w:pPr>
      <w:r>
        <w:rPr>
          <w:rFonts w:ascii="Arial" w:cs="Arial" w:eastAsia="Arial" w:hAnsi="Arial"/>
          <w:sz w:val="14"/>
          <w:szCs w:val="14"/>
          <w:color w:val="auto"/>
        </w:rPr>
        <w:t>bonus” obligations under the Employment Agreement and is in excess of the amount Executive otherwise would be entitled to.</w:t>
      </w:r>
    </w:p>
    <w:p>
      <w:pPr>
        <w:spacing w:after="0" w:line="145" w:lineRule="exact"/>
        <w:rPr>
          <w:sz w:val="20"/>
          <w:szCs w:val="20"/>
          <w:color w:val="auto"/>
        </w:rPr>
      </w:pPr>
    </w:p>
    <w:p>
      <w:pPr>
        <w:jc w:val="both"/>
        <w:ind w:right="20" w:firstLine="1294"/>
        <w:spacing w:after="0" w:line="245" w:lineRule="auto"/>
        <w:tabs>
          <w:tab w:leader="none" w:pos="1510" w:val="left"/>
        </w:tabs>
        <w:numPr>
          <w:ilvl w:val="0"/>
          <w:numId w:val="185"/>
        </w:numPr>
        <w:rPr>
          <w:rFonts w:ascii="Arial" w:cs="Arial" w:eastAsia="Arial" w:hAnsi="Arial"/>
          <w:sz w:val="14"/>
          <w:szCs w:val="14"/>
          <w:color w:val="010000"/>
        </w:rPr>
      </w:pPr>
      <w:r>
        <w:rPr>
          <w:rFonts w:ascii="Arial" w:cs="Arial" w:eastAsia="Arial" w:hAnsi="Arial"/>
          <w:sz w:val="14"/>
          <w:szCs w:val="14"/>
          <w:i w:val="1"/>
          <w:iCs w:val="1"/>
          <w:color w:val="auto"/>
        </w:rPr>
        <w:t>Deferred Compensation Plan</w:t>
      </w:r>
      <w:r>
        <w:rPr>
          <w:rFonts w:ascii="Arial" w:cs="Arial" w:eastAsia="Arial" w:hAnsi="Arial"/>
          <w:sz w:val="14"/>
          <w:szCs w:val="14"/>
          <w:color w:val="auto"/>
        </w:rPr>
        <w:t>. Reference is made to that certain Non-Qualified Deferred Compensation Plan between the Company and the</w:t>
      </w:r>
      <w:r>
        <w:rPr>
          <w:rFonts w:ascii="Arial" w:cs="Arial" w:eastAsia="Arial" w:hAnsi="Arial"/>
          <w:sz w:val="14"/>
          <w:szCs w:val="14"/>
          <w:i w:val="1"/>
          <w:iCs w:val="1"/>
          <w:color w:val="auto"/>
        </w:rPr>
        <w:t xml:space="preserve"> </w:t>
      </w:r>
      <w:r>
        <w:rPr>
          <w:rFonts w:ascii="Arial" w:cs="Arial" w:eastAsia="Arial" w:hAnsi="Arial"/>
          <w:sz w:val="14"/>
          <w:szCs w:val="14"/>
          <w:color w:val="auto"/>
        </w:rPr>
        <w:t>Executive dated as of October 19, 2012 (the “</w:t>
      </w:r>
      <w:r>
        <w:rPr>
          <w:rFonts w:ascii="Arial" w:cs="Arial" w:eastAsia="Arial" w:hAnsi="Arial"/>
          <w:sz w:val="14"/>
          <w:szCs w:val="14"/>
          <w:b w:val="1"/>
          <w:bCs w:val="1"/>
          <w:color w:val="auto"/>
        </w:rPr>
        <w:t>Deferred Compensation Plan</w:t>
      </w:r>
      <w:r>
        <w:rPr>
          <w:rFonts w:ascii="Arial" w:cs="Arial" w:eastAsia="Arial" w:hAnsi="Arial"/>
          <w:sz w:val="14"/>
          <w:szCs w:val="14"/>
          <w:color w:val="auto"/>
        </w:rPr>
        <w:t>”). Provided that there has not been a termination “For Cause” as defined in the Deferred Compensation Plan, Executive will continue to be eligible to receive the benefits of the Deferred Compensation Plan according to its terms. If, in the determination of the Board, Executive has satisfactorily performed the Services and all of Executive’s other obligations under this Agreement, and provided that there has been no Termination for Cause under this Agreement and that the executed Reaffirmation Agreement described in Section 7.6 has been delivered to the Company without revocation, the Board of Directors will authorize an allocation under the Deferred Compensation Plan for the 2014 plan year and will make a corresponding contribution to the grantor trust in the amount of $50,000 (representing a pro-rata amount of the annual allocation and contribution for 2014 through the Retirement Date). The timing and the amount of the distribution under the Deferred Compensation Plan of Executive’s vested benefit will be determined according to the terms of the Deferred Compensation Plan.</w:t>
      </w:r>
    </w:p>
    <w:p>
      <w:pPr>
        <w:spacing w:after="0" w:line="120" w:lineRule="exact"/>
        <w:rPr>
          <w:sz w:val="20"/>
          <w:szCs w:val="20"/>
          <w:color w:val="auto"/>
        </w:rPr>
      </w:pPr>
    </w:p>
    <w:p>
      <w:pPr>
        <w:jc w:val="both"/>
        <w:ind w:right="20" w:firstLine="865"/>
        <w:spacing w:after="0" w:line="279" w:lineRule="auto"/>
        <w:rPr>
          <w:sz w:val="20"/>
          <w:szCs w:val="20"/>
          <w:color w:val="auto"/>
        </w:rPr>
      </w:pPr>
      <w:r>
        <w:rPr>
          <w:rFonts w:ascii="Arial" w:cs="Arial" w:eastAsia="Arial" w:hAnsi="Arial"/>
          <w:sz w:val="14"/>
          <w:szCs w:val="14"/>
          <w:color w:val="010000"/>
        </w:rPr>
        <w:t xml:space="preserve">4.2 </w:t>
      </w:r>
      <w:r>
        <w:rPr>
          <w:rFonts w:ascii="Arial" w:cs="Arial" w:eastAsia="Arial" w:hAnsi="Arial"/>
          <w:sz w:val="14"/>
          <w:szCs w:val="14"/>
          <w:b w:val="1"/>
          <w:bCs w:val="1"/>
          <w:color w:val="000000"/>
        </w:rPr>
        <w:t>Equity Awards</w:t>
      </w:r>
      <w:r>
        <w:rPr>
          <w:rFonts w:ascii="Arial" w:cs="Arial" w:eastAsia="Arial" w:hAnsi="Arial"/>
          <w:sz w:val="14"/>
          <w:szCs w:val="14"/>
          <w:color w:val="000000"/>
        </w:rPr>
        <w:t>. All unvested stock options, restricted stock or other equity compensation granted to Executive prior to the Resignation Date will</w:t>
      </w:r>
      <w:r>
        <w:rPr>
          <w:rFonts w:ascii="Arial" w:cs="Arial" w:eastAsia="Arial" w:hAnsi="Arial"/>
          <w:sz w:val="14"/>
          <w:szCs w:val="14"/>
          <w:color w:val="010000"/>
        </w:rPr>
        <w:t xml:space="preserve"> </w:t>
      </w:r>
      <w:r>
        <w:rPr>
          <w:rFonts w:ascii="Arial" w:cs="Arial" w:eastAsia="Arial" w:hAnsi="Arial"/>
          <w:sz w:val="14"/>
          <w:szCs w:val="14"/>
          <w:color w:val="000000"/>
        </w:rPr>
        <w:t>continue to vest through the Retirement Date.</w:t>
      </w:r>
    </w:p>
    <w:p>
      <w:pPr>
        <w:spacing w:after="0" w:line="94" w:lineRule="exact"/>
        <w:rPr>
          <w:sz w:val="20"/>
          <w:szCs w:val="20"/>
          <w:color w:val="auto"/>
        </w:rPr>
      </w:pPr>
    </w:p>
    <w:p>
      <w:pPr>
        <w:jc w:val="both"/>
        <w:ind w:firstLine="865"/>
        <w:spacing w:after="0" w:line="275" w:lineRule="auto"/>
        <w:rPr>
          <w:sz w:val="20"/>
          <w:szCs w:val="20"/>
          <w:color w:val="auto"/>
        </w:rPr>
      </w:pPr>
      <w:r>
        <w:rPr>
          <w:rFonts w:ascii="Arial" w:cs="Arial" w:eastAsia="Arial" w:hAnsi="Arial"/>
          <w:sz w:val="13"/>
          <w:szCs w:val="13"/>
          <w:color w:val="010000"/>
        </w:rPr>
        <w:t xml:space="preserve">4.3 </w:t>
      </w:r>
      <w:r>
        <w:rPr>
          <w:rFonts w:ascii="Arial" w:cs="Arial" w:eastAsia="Arial" w:hAnsi="Arial"/>
          <w:sz w:val="13"/>
          <w:szCs w:val="13"/>
          <w:color w:val="000000"/>
        </w:rPr>
        <w:t>O</w:t>
      </w:r>
      <w:r>
        <w:rPr>
          <w:rFonts w:ascii="Arial" w:cs="Arial" w:eastAsia="Arial" w:hAnsi="Arial"/>
          <w:sz w:val="13"/>
          <w:szCs w:val="13"/>
          <w:b w:val="1"/>
          <w:bCs w:val="1"/>
          <w:color w:val="000000"/>
        </w:rPr>
        <w:t>ther Compensation Matters.</w:t>
      </w:r>
      <w:r>
        <w:rPr>
          <w:rFonts w:ascii="Arial" w:cs="Arial" w:eastAsia="Arial" w:hAnsi="Arial"/>
          <w:sz w:val="13"/>
          <w:szCs w:val="13"/>
          <w:color w:val="010000"/>
        </w:rPr>
        <w:t xml:space="preserve"> </w:t>
      </w:r>
      <w:r>
        <w:rPr>
          <w:rFonts w:ascii="Arial" w:cs="Arial" w:eastAsia="Arial" w:hAnsi="Arial"/>
          <w:sz w:val="13"/>
          <w:szCs w:val="13"/>
          <w:color w:val="000000"/>
        </w:rPr>
        <w:t>Notwithstanding anything to the contrary contained in this Agreement (including the Release set forth in Section 7</w:t>
      </w:r>
      <w:r>
        <w:rPr>
          <w:rFonts w:ascii="Arial" w:cs="Arial" w:eastAsia="Arial" w:hAnsi="Arial"/>
          <w:sz w:val="13"/>
          <w:szCs w:val="13"/>
          <w:color w:val="010000"/>
        </w:rPr>
        <w:t xml:space="preserve"> </w:t>
      </w:r>
      <w:r>
        <w:rPr>
          <w:rFonts w:ascii="Arial" w:cs="Arial" w:eastAsia="Arial" w:hAnsi="Arial"/>
          <w:sz w:val="13"/>
          <w:szCs w:val="13"/>
          <w:color w:val="000000"/>
        </w:rPr>
        <w:t>hereof), you hereby acknowledge that, in connection with your Resignation and Retirement when you cease to be an employee of the Company, you will not be entitled to receive from the Company or an affiliate (i) any additional severance pay or benefits except as provided in Section 4.1 and Section 4.2, or (ii) any retiree termination welfare benefits (other than health care continuation coverage that you may be entitled to elect pursuant to Section 4980B of the Code), in each case including, but not limited to any severance pay or benefits pursuant to the Employment Agreement. Your participation in all Company perquisites will cease as of the Retirement Date.</w:t>
      </w:r>
    </w:p>
    <w:p>
      <w:pPr>
        <w:spacing w:after="0" w:line="98" w:lineRule="exact"/>
        <w:rPr>
          <w:sz w:val="20"/>
          <w:szCs w:val="20"/>
          <w:color w:val="auto"/>
        </w:rPr>
      </w:pPr>
    </w:p>
    <w:p>
      <w:pPr>
        <w:jc w:val="both"/>
        <w:ind w:firstLine="429"/>
        <w:spacing w:after="0" w:line="251" w:lineRule="auto"/>
        <w:tabs>
          <w:tab w:leader="none" w:pos="594" w:val="left"/>
        </w:tabs>
        <w:numPr>
          <w:ilvl w:val="0"/>
          <w:numId w:val="186"/>
        </w:numPr>
        <w:rPr>
          <w:rFonts w:ascii="Arial" w:cs="Arial" w:eastAsia="Arial" w:hAnsi="Arial"/>
          <w:sz w:val="14"/>
          <w:szCs w:val="14"/>
          <w:color w:val="010000"/>
        </w:rPr>
      </w:pPr>
      <w:r>
        <w:rPr>
          <w:rFonts w:ascii="Arial" w:cs="Arial" w:eastAsia="Arial" w:hAnsi="Arial"/>
          <w:sz w:val="14"/>
          <w:szCs w:val="14"/>
          <w:b w:val="1"/>
          <w:bCs w:val="1"/>
          <w:color w:val="auto"/>
        </w:rPr>
        <w:t xml:space="preserve">Nondisparagement. </w:t>
      </w:r>
      <w:r>
        <w:rPr>
          <w:rFonts w:ascii="Arial" w:cs="Arial" w:eastAsia="Arial" w:hAnsi="Arial"/>
          <w:sz w:val="14"/>
          <w:szCs w:val="14"/>
          <w:color w:val="auto"/>
        </w:rPr>
        <w:t>The Executive agrees to refrain from making any false or misleading statements or comments about the Company and any of its</w:t>
      </w:r>
      <w:r>
        <w:rPr>
          <w:rFonts w:ascii="Arial" w:cs="Arial" w:eastAsia="Arial" w:hAnsi="Arial"/>
          <w:sz w:val="14"/>
          <w:szCs w:val="14"/>
          <w:b w:val="1"/>
          <w:bCs w:val="1"/>
          <w:color w:val="auto"/>
        </w:rPr>
        <w:t xml:space="preserve"> </w:t>
      </w:r>
      <w:r>
        <w:rPr>
          <w:rFonts w:ascii="Arial" w:cs="Arial" w:eastAsia="Arial" w:hAnsi="Arial"/>
          <w:sz w:val="14"/>
          <w:szCs w:val="14"/>
          <w:color w:val="auto"/>
        </w:rPr>
        <w:t>respective affiliates, their officers, directors, personnel, or any of their products and services. The Executive agrees to refrain from making any disparaging remarks to any person (other than comments to Executive’s immediate family members or advisers that are made on a confidential basis and are not repeated or published by such persons) about the Company and any of its respective affiliates, their officers, directors, their respective personnel, and their respective products and services; except to the extent otherwise required by applicable law.</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42545</wp:posOffset>
            </wp:positionV>
            <wp:extent cx="6231255"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231255" cy="42545"/>
                    </a:xfrm>
                    <a:prstGeom prst="rect">
                      <a:avLst/>
                    </a:prstGeom>
                    <a:noFill/>
                  </pic:spPr>
                </pic:pic>
              </a:graphicData>
            </a:graphic>
          </wp:anchor>
        </w:drawing>
      </w:r>
    </w:p>
    <w:p>
      <w:pPr>
        <w:sectPr>
          <w:pgSz w:w="11900" w:h="16838" w:orient="portrait"/>
          <w:cols w:equalWidth="0" w:num="1">
            <w:col w:w="9760"/>
          </w:cols>
          <w:pgMar w:left="1080" w:top="126" w:right="1059" w:bottom="1440" w:gutter="0" w:footer="0" w:header="0"/>
        </w:sectPr>
      </w:pPr>
    </w:p>
    <w:bookmarkStart w:id="188" w:name="page189"/>
    <w:bookmarkEnd w:id="188"/>
    <w:p>
      <w:pPr>
        <w:jc w:val="both"/>
        <w:ind w:firstLine="429"/>
        <w:spacing w:after="0" w:line="246" w:lineRule="auto"/>
        <w:tabs>
          <w:tab w:leader="none" w:pos="576" w:val="left"/>
        </w:tabs>
        <w:numPr>
          <w:ilvl w:val="0"/>
          <w:numId w:val="187"/>
        </w:numPr>
        <w:rPr>
          <w:rFonts w:ascii="Arial" w:cs="Arial" w:eastAsia="Arial" w:hAnsi="Arial"/>
          <w:sz w:val="14"/>
          <w:szCs w:val="14"/>
          <w:color w:val="010000"/>
        </w:rPr>
      </w:pPr>
      <w:r>
        <w:rPr>
          <w:rFonts w:ascii="Arial" w:cs="Arial" w:eastAsia="Arial" w:hAnsi="Arial"/>
          <w:sz w:val="14"/>
          <w:szCs w:val="14"/>
          <w:b w:val="1"/>
          <w:bCs w:val="1"/>
          <w:color w:val="auto"/>
        </w:rPr>
        <w:t>Cooperation</w:t>
      </w:r>
      <w:r>
        <w:rPr>
          <w:rFonts w:ascii="Arial" w:cs="Arial" w:eastAsia="Arial" w:hAnsi="Arial"/>
          <w:sz w:val="14"/>
          <w:szCs w:val="14"/>
          <w:color w:val="auto"/>
        </w:rPr>
        <w:t>. In order to ensure a smooth transition from Executive’s employment with Company, Executive agrees to provide reasonable assistance to and</w:t>
      </w:r>
      <w:r>
        <w:rPr>
          <w:rFonts w:ascii="Arial" w:cs="Arial" w:eastAsia="Arial" w:hAnsi="Arial"/>
          <w:sz w:val="14"/>
          <w:szCs w:val="14"/>
          <w:b w:val="1"/>
          <w:bCs w:val="1"/>
          <w:color w:val="auto"/>
        </w:rPr>
        <w:t xml:space="preserve"> </w:t>
      </w:r>
      <w:r>
        <w:rPr>
          <w:rFonts w:ascii="Arial" w:cs="Arial" w:eastAsia="Arial" w:hAnsi="Arial"/>
          <w:sz w:val="14"/>
          <w:szCs w:val="14"/>
          <w:color w:val="auto"/>
        </w:rPr>
        <w:t>cooperation with Company following the Retirement Date in connection with any Company matters for which Executive had knowledge or responsibility while employed by Company. If Company is involved in any legal action or investigation after Executive’s Retirement Date relating to events which occurred during Executive’s employment (including without limitation, the Malulani Investments Limited, Starn O’Toole, the Blumenfeld Enterprises Inc. and the Urquhart matters) Executive will cooperate with the Company to the fullest extent reasonably possible (taking into consideration Executive’s schedule and other commitments) in the preparation, prosecution, or defense of the Company’s case, including, but not limited to, required travel, appearances and testimony, the execution of affidavits or documents or providing information requested by the Company. Company will reimburse Executive for reasonable pre-approved out-of-pocket expenses and reasonable pre-approved compensation (if Executive is no longer receiving Base Salary or severance payments), based on an hourly rate of $200 per hour, for time related to such assistance.</w:t>
      </w:r>
    </w:p>
    <w:p>
      <w:pPr>
        <w:spacing w:after="0" w:line="117" w:lineRule="exact"/>
        <w:rPr>
          <w:rFonts w:ascii="Arial" w:cs="Arial" w:eastAsia="Arial" w:hAnsi="Arial"/>
          <w:sz w:val="14"/>
          <w:szCs w:val="14"/>
          <w:color w:val="010000"/>
        </w:rPr>
      </w:pPr>
    </w:p>
    <w:p>
      <w:pPr>
        <w:jc w:val="both"/>
        <w:ind w:firstLine="429"/>
        <w:spacing w:after="0" w:line="275" w:lineRule="auto"/>
        <w:tabs>
          <w:tab w:leader="none" w:pos="576" w:val="left"/>
        </w:tabs>
        <w:numPr>
          <w:ilvl w:val="0"/>
          <w:numId w:val="187"/>
        </w:numPr>
        <w:rPr>
          <w:rFonts w:ascii="Arial" w:cs="Arial" w:eastAsia="Arial" w:hAnsi="Arial"/>
          <w:sz w:val="13"/>
          <w:szCs w:val="13"/>
          <w:color w:val="010000"/>
        </w:rPr>
      </w:pPr>
      <w:r>
        <w:rPr>
          <w:rFonts w:ascii="Arial" w:cs="Arial" w:eastAsia="Arial" w:hAnsi="Arial"/>
          <w:sz w:val="13"/>
          <w:szCs w:val="13"/>
          <w:b w:val="1"/>
          <w:bCs w:val="1"/>
          <w:color w:val="auto"/>
        </w:rPr>
        <w:t xml:space="preserve">Release. </w:t>
      </w:r>
      <w:r>
        <w:rPr>
          <w:rFonts w:ascii="Arial" w:cs="Arial" w:eastAsia="Arial" w:hAnsi="Arial"/>
          <w:sz w:val="13"/>
          <w:szCs w:val="13"/>
          <w:color w:val="auto"/>
        </w:rPr>
        <w:t>You hereby acknowledge that the Company’s obligations under Section 4 hereof are in excess of any payments or benefits to which you are entitled</w:t>
      </w:r>
      <w:r>
        <w:rPr>
          <w:rFonts w:ascii="Arial" w:cs="Arial" w:eastAsia="Arial" w:hAnsi="Arial"/>
          <w:sz w:val="13"/>
          <w:szCs w:val="13"/>
          <w:b w:val="1"/>
          <w:bCs w:val="1"/>
          <w:color w:val="auto"/>
        </w:rPr>
        <w:t xml:space="preserve"> </w:t>
      </w:r>
      <w:r>
        <w:rPr>
          <w:rFonts w:ascii="Arial" w:cs="Arial" w:eastAsia="Arial" w:hAnsi="Arial"/>
          <w:sz w:val="13"/>
          <w:szCs w:val="13"/>
          <w:color w:val="auto"/>
        </w:rPr>
        <w:t>under law, contract or otherwise and are contingent upon your timely execution of, and failure to revoke this Agreement, including the release of claims set forth in this Section 7 (the “</w:t>
      </w:r>
      <w:r>
        <w:rPr>
          <w:rFonts w:ascii="Arial" w:cs="Arial" w:eastAsia="Arial" w:hAnsi="Arial"/>
          <w:sz w:val="13"/>
          <w:szCs w:val="13"/>
          <w:b w:val="1"/>
          <w:bCs w:val="1"/>
          <w:color w:val="auto"/>
        </w:rPr>
        <w:t>Release</w:t>
      </w:r>
      <w:r>
        <w:rPr>
          <w:rFonts w:ascii="Arial" w:cs="Arial" w:eastAsia="Arial" w:hAnsi="Arial"/>
          <w:sz w:val="13"/>
          <w:szCs w:val="13"/>
          <w:color w:val="auto"/>
        </w:rPr>
        <w:t>”). In the event that you do not timely execute the Agreement or if you timely revoke the Agreement as described below, the Company will have no obligations to you under this Agreement. For purposes of this Section 7, “</w:t>
      </w:r>
      <w:r>
        <w:rPr>
          <w:rFonts w:ascii="Arial" w:cs="Arial" w:eastAsia="Arial" w:hAnsi="Arial"/>
          <w:sz w:val="13"/>
          <w:szCs w:val="13"/>
          <w:b w:val="1"/>
          <w:bCs w:val="1"/>
          <w:color w:val="auto"/>
        </w:rPr>
        <w:t>Released Parties</w:t>
      </w:r>
      <w:r>
        <w:rPr>
          <w:rFonts w:ascii="Arial" w:cs="Arial" w:eastAsia="Arial" w:hAnsi="Arial"/>
          <w:sz w:val="13"/>
          <w:szCs w:val="13"/>
          <w:color w:val="auto"/>
        </w:rPr>
        <w:t>” include the Company and its affiliated companies and their officers, directors, shareholders, employees, agents, representatives, plans, trusts, administrators, fiduciaries, insurance companies, successors, and assigns.</w:t>
      </w:r>
    </w:p>
    <w:p>
      <w:pPr>
        <w:spacing w:after="0" w:line="102" w:lineRule="exact"/>
        <w:rPr>
          <w:sz w:val="20"/>
          <w:szCs w:val="20"/>
          <w:color w:val="auto"/>
        </w:rPr>
      </w:pPr>
    </w:p>
    <w:p>
      <w:pPr>
        <w:jc w:val="both"/>
        <w:ind w:firstLine="865"/>
        <w:spacing w:after="0" w:line="249" w:lineRule="auto"/>
        <w:rPr>
          <w:sz w:val="20"/>
          <w:szCs w:val="20"/>
          <w:color w:val="auto"/>
        </w:rPr>
      </w:pPr>
      <w:r>
        <w:rPr>
          <w:rFonts w:ascii="Arial" w:cs="Arial" w:eastAsia="Arial" w:hAnsi="Arial"/>
          <w:sz w:val="14"/>
          <w:szCs w:val="14"/>
          <w:color w:val="010000"/>
        </w:rPr>
        <w:t xml:space="preserve">7.1 </w:t>
      </w:r>
      <w:r>
        <w:rPr>
          <w:rFonts w:ascii="Arial" w:cs="Arial" w:eastAsia="Arial" w:hAnsi="Arial"/>
          <w:sz w:val="14"/>
          <w:szCs w:val="14"/>
          <w:color w:val="000000"/>
        </w:rPr>
        <w:t>You, on behalf of yourself and your personal and legal representatives, heirs, executors, successors and assigns, hereby acknowledge full and</w:t>
      </w:r>
      <w:r>
        <w:rPr>
          <w:rFonts w:ascii="Arial" w:cs="Arial" w:eastAsia="Arial" w:hAnsi="Arial"/>
          <w:sz w:val="14"/>
          <w:szCs w:val="14"/>
          <w:color w:val="010000"/>
        </w:rPr>
        <w:t xml:space="preserve"> </w:t>
      </w:r>
      <w:r>
        <w:rPr>
          <w:rFonts w:ascii="Arial" w:cs="Arial" w:eastAsia="Arial" w:hAnsi="Arial"/>
          <w:sz w:val="14"/>
          <w:szCs w:val="14"/>
          <w:color w:val="000000"/>
        </w:rPr>
        <w:t>complete satisfaction of, and fully and forever waive, release, and discharge the Released Parties from any and all claims, causes of action, demands, liabilities, damages, obligations, and debts (collectively referenced as “</w:t>
      </w:r>
      <w:r>
        <w:rPr>
          <w:rFonts w:ascii="Arial" w:cs="Arial" w:eastAsia="Arial" w:hAnsi="Arial"/>
          <w:sz w:val="14"/>
          <w:szCs w:val="14"/>
          <w:b w:val="1"/>
          <w:bCs w:val="1"/>
          <w:color w:val="000000"/>
        </w:rPr>
        <w:t>Claims</w:t>
      </w:r>
      <w:r>
        <w:rPr>
          <w:rFonts w:ascii="Arial" w:cs="Arial" w:eastAsia="Arial" w:hAnsi="Arial"/>
          <w:sz w:val="14"/>
          <w:szCs w:val="14"/>
          <w:color w:val="000000"/>
        </w:rPr>
        <w:t>”), of every kind and nature, whether known or unknown, suspected or unsuspected, that you hold as of the date you sign this Agreement, or at any time previously held against any Released Party, arising out of any matter whatsoever (with the exception of breach of this Agreement). This release specifically includes, but is not limited to, any and all Claims:</w:t>
      </w:r>
    </w:p>
    <w:p>
      <w:pPr>
        <w:spacing w:after="0" w:line="120" w:lineRule="exact"/>
        <w:rPr>
          <w:sz w:val="20"/>
          <w:szCs w:val="20"/>
          <w:color w:val="auto"/>
        </w:rPr>
      </w:pPr>
    </w:p>
    <w:p>
      <w:pPr>
        <w:ind w:firstLine="1294"/>
        <w:spacing w:after="0" w:line="273" w:lineRule="auto"/>
        <w:tabs>
          <w:tab w:leader="none" w:pos="1493" w:val="left"/>
        </w:tabs>
        <w:numPr>
          <w:ilvl w:val="0"/>
          <w:numId w:val="188"/>
        </w:numPr>
        <w:rPr>
          <w:rFonts w:ascii="Arial" w:cs="Arial" w:eastAsia="Arial" w:hAnsi="Arial"/>
          <w:sz w:val="14"/>
          <w:szCs w:val="14"/>
          <w:color w:val="010000"/>
        </w:rPr>
      </w:pPr>
      <w:r>
        <w:rPr>
          <w:rFonts w:ascii="Arial" w:cs="Arial" w:eastAsia="Arial" w:hAnsi="Arial"/>
          <w:sz w:val="14"/>
          <w:szCs w:val="14"/>
          <w:color w:val="auto"/>
        </w:rPr>
        <w:t>Arising out of or in any way related to your employment with or separation of employment from the Company, or any contract or agreement between you and the Company or the termination thereof;</w:t>
      </w:r>
    </w:p>
    <w:p>
      <w:pPr>
        <w:spacing w:after="0" w:line="102" w:lineRule="exact"/>
        <w:rPr>
          <w:rFonts w:ascii="Arial" w:cs="Arial" w:eastAsia="Arial" w:hAnsi="Arial"/>
          <w:sz w:val="14"/>
          <w:szCs w:val="14"/>
          <w:color w:val="010000"/>
        </w:rPr>
      </w:pPr>
    </w:p>
    <w:p>
      <w:pPr>
        <w:jc w:val="both"/>
        <w:ind w:right="20" w:firstLine="1294"/>
        <w:spacing w:after="0" w:line="249" w:lineRule="auto"/>
        <w:tabs>
          <w:tab w:leader="none" w:pos="1501" w:val="left"/>
        </w:tabs>
        <w:numPr>
          <w:ilvl w:val="0"/>
          <w:numId w:val="188"/>
        </w:numPr>
        <w:rPr>
          <w:rFonts w:ascii="Arial" w:cs="Arial" w:eastAsia="Arial" w:hAnsi="Arial"/>
          <w:sz w:val="14"/>
          <w:szCs w:val="14"/>
          <w:color w:val="010000"/>
        </w:rPr>
      </w:pPr>
      <w:r>
        <w:rPr>
          <w:rFonts w:ascii="Arial" w:cs="Arial" w:eastAsia="Arial" w:hAnsi="Arial"/>
          <w:sz w:val="14"/>
          <w:szCs w:val="14"/>
          <w:color w:val="auto"/>
        </w:rPr>
        <w:t>Arising out of or in any way related to any treatment of Executive by any of the Released Parties, which shall include, without limitation, any treatment or decisions with respect to hiring, placement, promotion, discipline, work hours, demotion, transfer, termination, compensation, performance review, or training; (iv) any statements or alleged statements by the Company or any of the Released Parties regarding Executive, whether oral or in writing; (v) any damages or injury that Executive may have suffered, including without limitation, emotional or physical injury, compensatory damages, or lost wages; or (vi) employment discrimination, which shall include, without limitation, any individual or class</w:t>
      </w:r>
    </w:p>
    <w:p>
      <w:pPr>
        <w:spacing w:after="0" w:line="120" w:lineRule="exact"/>
        <w:rPr>
          <w:sz w:val="20"/>
          <w:szCs w:val="20"/>
          <w:color w:val="auto"/>
        </w:rPr>
      </w:pPr>
    </w:p>
    <w:p>
      <w:pPr>
        <w:ind w:left="5480"/>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42545</wp:posOffset>
            </wp:positionV>
            <wp:extent cx="6231255"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231255" cy="42545"/>
                    </a:xfrm>
                    <a:prstGeom prst="rect">
                      <a:avLst/>
                    </a:prstGeom>
                    <a:noFill/>
                  </pic:spPr>
                </pic:pic>
              </a:graphicData>
            </a:graphic>
          </wp:anchor>
        </w:drawing>
      </w:r>
    </w:p>
    <w:p>
      <w:pPr>
        <w:sectPr>
          <w:pgSz w:w="11900" w:h="16838" w:orient="portrait"/>
          <w:cols w:equalWidth="0" w:num="1">
            <w:col w:w="9760"/>
          </w:cols>
          <w:pgMar w:left="1080" w:top="122" w:right="1059" w:bottom="1440" w:gutter="0" w:footer="0" w:header="0"/>
        </w:sectPr>
      </w:pPr>
    </w:p>
    <w:bookmarkStart w:id="189" w:name="page190"/>
    <w:bookmarkEnd w:id="189"/>
    <w:p>
      <w:pPr>
        <w:ind w:left="1300" w:right="20"/>
        <w:spacing w:after="0" w:line="273" w:lineRule="auto"/>
        <w:rPr>
          <w:sz w:val="20"/>
          <w:szCs w:val="20"/>
          <w:color w:val="auto"/>
        </w:rPr>
      </w:pPr>
      <w:r>
        <w:rPr>
          <w:rFonts w:ascii="Arial" w:cs="Arial" w:eastAsia="Arial" w:hAnsi="Arial"/>
          <w:sz w:val="14"/>
          <w:szCs w:val="14"/>
          <w:color w:val="auto"/>
        </w:rPr>
        <w:t>claims of discrimination on the basis of age, disability, sex, race, religion, national origin, citizenship status, marital status, sexual preference, or any other basis whatsoever.</w:t>
      </w:r>
    </w:p>
    <w:p>
      <w:pPr>
        <w:spacing w:after="0" w:line="102" w:lineRule="exact"/>
        <w:rPr>
          <w:sz w:val="20"/>
          <w:szCs w:val="20"/>
          <w:color w:val="auto"/>
        </w:rPr>
      </w:pPr>
    </w:p>
    <w:p>
      <w:pPr>
        <w:jc w:val="both"/>
        <w:ind w:firstLine="1294"/>
        <w:spacing w:after="0" w:line="266" w:lineRule="auto"/>
        <w:tabs>
          <w:tab w:leader="none" w:pos="1493" w:val="left"/>
        </w:tabs>
        <w:numPr>
          <w:ilvl w:val="0"/>
          <w:numId w:val="189"/>
        </w:numPr>
        <w:rPr>
          <w:rFonts w:ascii="Arial" w:cs="Arial" w:eastAsia="Arial" w:hAnsi="Arial"/>
          <w:sz w:val="13"/>
          <w:szCs w:val="13"/>
          <w:color w:val="010000"/>
        </w:rPr>
      </w:pPr>
      <w:r>
        <w:rPr>
          <w:rFonts w:ascii="Arial" w:cs="Arial" w:eastAsia="Arial" w:hAnsi="Arial"/>
          <w:sz w:val="13"/>
          <w:szCs w:val="13"/>
          <w:color w:val="auto"/>
        </w:rPr>
        <w:t>Arising under or based on the Equal Pay Act of 1963 (EPA); Title VII of the Civil Rights Act of 1964, as amended (Title VII); Section 1981 of the Civil Rights Act of 1866 (42 U.S.C. §1981); the Civil Rights Act of 1991 (42 U.S.C. §1981a); the Americans with Disabilities Act of 1990, as amended (ADA); the Family and Medical Leave Act of 1993, as amended (FMLA); the Genetic Information Nondiscrimination Act of 2008 (GINA); the National Labor Relations Act (NLRA); the Worker Adjustment and Retraining Notification Act of 1988 (WARN); the Uniform Services Employment and Reemployment Rights Act (USERRA); the Rehabilitation Act of 1973; the Occupational Safety and Health Act (OSHA); the Employee Retirement Income Security Act of 1974 (ERISA) (except claims for vested benefits, if any, to which you are legally entitled); the False Claims Act; Title VIII of the Corporate and Criminal Fraud and Accountability Act, as amended (18 U.S.C. §1514A) (Sarbanes-Oxley Act); the federal Whistleblower Protection Act and any state whistleblower protection statute(s); the California Fair Employment and Housing Act or any other federal, state or local law relating to employment or discrimination in employment or any other fair employment practices statute(s) of any state, in all cases arising out of or relating to your employment by Reading or investment in Reading or your services as an officer or employee of Reading or its subsidiaries, or otherwise relating to the termination of such employment or services.</w:t>
      </w:r>
    </w:p>
    <w:p>
      <w:pPr>
        <w:spacing w:after="0" w:line="108" w:lineRule="exact"/>
        <w:rPr>
          <w:rFonts w:ascii="Arial" w:cs="Arial" w:eastAsia="Arial" w:hAnsi="Arial"/>
          <w:sz w:val="13"/>
          <w:szCs w:val="13"/>
          <w:color w:val="010000"/>
        </w:rPr>
      </w:pPr>
    </w:p>
    <w:p>
      <w:pPr>
        <w:jc w:val="both"/>
        <w:ind w:right="20" w:firstLine="1294"/>
        <w:spacing w:after="0" w:line="248" w:lineRule="auto"/>
        <w:tabs>
          <w:tab w:leader="none" w:pos="1510" w:val="left"/>
        </w:tabs>
        <w:numPr>
          <w:ilvl w:val="0"/>
          <w:numId w:val="189"/>
        </w:numPr>
        <w:rPr>
          <w:rFonts w:ascii="Arial" w:cs="Arial" w:eastAsia="Arial" w:hAnsi="Arial"/>
          <w:sz w:val="14"/>
          <w:szCs w:val="14"/>
          <w:color w:val="010000"/>
        </w:rPr>
      </w:pPr>
      <w:r>
        <w:rPr>
          <w:rFonts w:ascii="Arial" w:cs="Arial" w:eastAsia="Arial" w:hAnsi="Arial"/>
          <w:sz w:val="14"/>
          <w:szCs w:val="14"/>
          <w:color w:val="auto"/>
        </w:rPr>
        <w:t>Arising under or based on any other federal, state, county or local law, statute, ordinance, decision, order, policy or regulation prohibiting employment discrimination; providing for the payment of wages or benefits (including overtime and workers’ compensation); or otherwise creating rights or claims for employees, including, but not limited to, any and all claims alleging breach of public policy; the implied obligation of good faith and fair dealing; or any express, implied, oral or written contract, handbook, manual, policy statement or employment practice, including, but not limited to, the Employment Agreement; or alleging misrepresentation; defamation; libel; slander; interference with contractual relations; intentional or negligent infliction of emotional distress; invasion of privacy; assault; battery; fraud; negligence; harassment; retaliation; or wrongful discharge; and</w:t>
      </w:r>
    </w:p>
    <w:p>
      <w:pPr>
        <w:spacing w:after="0" w:line="114" w:lineRule="exact"/>
        <w:rPr>
          <w:rFonts w:ascii="Arial" w:cs="Arial" w:eastAsia="Arial" w:hAnsi="Arial"/>
          <w:sz w:val="14"/>
          <w:szCs w:val="14"/>
          <w:color w:val="010000"/>
        </w:rPr>
      </w:pPr>
    </w:p>
    <w:p>
      <w:pPr>
        <w:ind w:right="20" w:firstLine="1294"/>
        <w:spacing w:after="0" w:line="279" w:lineRule="auto"/>
        <w:tabs>
          <w:tab w:leader="none" w:pos="1520" w:val="left"/>
        </w:tabs>
        <w:numPr>
          <w:ilvl w:val="0"/>
          <w:numId w:val="189"/>
        </w:numPr>
        <w:rPr>
          <w:rFonts w:ascii="Arial" w:cs="Arial" w:eastAsia="Arial" w:hAnsi="Arial"/>
          <w:sz w:val="14"/>
          <w:szCs w:val="14"/>
          <w:color w:val="010000"/>
        </w:rPr>
      </w:pPr>
      <w:r>
        <w:rPr>
          <w:rFonts w:ascii="Arial" w:cs="Arial" w:eastAsia="Arial" w:hAnsi="Arial"/>
          <w:sz w:val="14"/>
          <w:szCs w:val="14"/>
          <w:color w:val="auto"/>
        </w:rPr>
        <w:t>Arising under or based on the Age Discrimination in Employment Act of 1967 (“</w:t>
      </w:r>
      <w:r>
        <w:rPr>
          <w:rFonts w:ascii="Arial" w:cs="Arial" w:eastAsia="Arial" w:hAnsi="Arial"/>
          <w:sz w:val="14"/>
          <w:szCs w:val="14"/>
          <w:b w:val="1"/>
          <w:bCs w:val="1"/>
          <w:color w:val="auto"/>
        </w:rPr>
        <w:t>ADEA</w:t>
      </w:r>
      <w:r>
        <w:rPr>
          <w:rFonts w:ascii="Arial" w:cs="Arial" w:eastAsia="Arial" w:hAnsi="Arial"/>
          <w:sz w:val="14"/>
          <w:szCs w:val="14"/>
          <w:color w:val="auto"/>
        </w:rPr>
        <w:t>”), as amended by the Older Workers Benefit Protection Act (“</w:t>
      </w:r>
      <w:r>
        <w:rPr>
          <w:rFonts w:ascii="Arial" w:cs="Arial" w:eastAsia="Arial" w:hAnsi="Arial"/>
          <w:sz w:val="14"/>
          <w:szCs w:val="14"/>
          <w:b w:val="1"/>
          <w:bCs w:val="1"/>
          <w:color w:val="auto"/>
        </w:rPr>
        <w:t>OWBPA</w:t>
      </w:r>
      <w:r>
        <w:rPr>
          <w:rFonts w:ascii="Arial" w:cs="Arial" w:eastAsia="Arial" w:hAnsi="Arial"/>
          <w:sz w:val="14"/>
          <w:szCs w:val="14"/>
          <w:color w:val="auto"/>
        </w:rPr>
        <w:t>”), and alleging a violation thereof by any Released Party, at any time prior to the date you sign this Agreement.</w:t>
      </w:r>
    </w:p>
    <w:p>
      <w:pPr>
        <w:spacing w:after="0" w:line="98" w:lineRule="exact"/>
        <w:rPr>
          <w:sz w:val="20"/>
          <w:szCs w:val="20"/>
          <w:color w:val="auto"/>
        </w:rPr>
      </w:pPr>
    </w:p>
    <w:p>
      <w:pPr>
        <w:ind w:firstLine="865"/>
        <w:spacing w:after="0" w:line="313" w:lineRule="auto"/>
        <w:rPr>
          <w:sz w:val="20"/>
          <w:szCs w:val="20"/>
          <w:color w:val="auto"/>
        </w:rPr>
      </w:pPr>
      <w:r>
        <w:rPr>
          <w:rFonts w:ascii="Arial" w:cs="Arial" w:eastAsia="Arial" w:hAnsi="Arial"/>
          <w:sz w:val="13"/>
          <w:szCs w:val="13"/>
          <w:color w:val="010000"/>
        </w:rPr>
        <w:t xml:space="preserve">7.2 </w:t>
      </w:r>
      <w:r>
        <w:rPr>
          <w:rFonts w:ascii="Arial" w:cs="Arial" w:eastAsia="Arial" w:hAnsi="Arial"/>
          <w:sz w:val="13"/>
          <w:szCs w:val="13"/>
          <w:color w:val="000000"/>
        </w:rPr>
        <w:t>You agree that, except as set forth in this Agreement, you are not entitled to any payment or benefits from any of the Released Parties, including, but</w:t>
      </w:r>
      <w:r>
        <w:rPr>
          <w:rFonts w:ascii="Arial" w:cs="Arial" w:eastAsia="Arial" w:hAnsi="Arial"/>
          <w:sz w:val="13"/>
          <w:szCs w:val="13"/>
          <w:color w:val="010000"/>
        </w:rPr>
        <w:t xml:space="preserve"> </w:t>
      </w:r>
      <w:r>
        <w:rPr>
          <w:rFonts w:ascii="Arial" w:cs="Arial" w:eastAsia="Arial" w:hAnsi="Arial"/>
          <w:sz w:val="13"/>
          <w:szCs w:val="13"/>
          <w:color w:val="000000"/>
        </w:rPr>
        <w:t>not limited to, any payments or benefits under any plan, program or agreement with any Released Party, including, but not limited to, the Employment Agreement.</w:t>
      </w:r>
    </w:p>
    <w:p>
      <w:pPr>
        <w:spacing w:after="0" w:line="78" w:lineRule="exact"/>
        <w:rPr>
          <w:sz w:val="20"/>
          <w:szCs w:val="20"/>
          <w:color w:val="auto"/>
        </w:rPr>
      </w:pPr>
    </w:p>
    <w:p>
      <w:pPr>
        <w:ind w:right="20" w:firstLine="865"/>
        <w:spacing w:after="0" w:line="273" w:lineRule="auto"/>
        <w:rPr>
          <w:sz w:val="20"/>
          <w:szCs w:val="20"/>
          <w:color w:val="auto"/>
        </w:rPr>
      </w:pPr>
      <w:r>
        <w:rPr>
          <w:rFonts w:ascii="Arial" w:cs="Arial" w:eastAsia="Arial" w:hAnsi="Arial"/>
          <w:sz w:val="14"/>
          <w:szCs w:val="14"/>
          <w:color w:val="010000"/>
        </w:rPr>
        <w:t xml:space="preserve">7.3 </w:t>
      </w:r>
      <w:r>
        <w:rPr>
          <w:rFonts w:ascii="Arial" w:cs="Arial" w:eastAsia="Arial" w:hAnsi="Arial"/>
          <w:sz w:val="14"/>
          <w:szCs w:val="14"/>
          <w:color w:val="000000"/>
        </w:rPr>
        <w:t>You agree that, this Agreement extinguishes all claims and charges that you could have raised against any of the Released Parties,</w:t>
      </w:r>
      <w:r>
        <w:rPr>
          <w:rFonts w:ascii="Arial" w:cs="Arial" w:eastAsia="Arial" w:hAnsi="Arial"/>
          <w:sz w:val="14"/>
          <w:szCs w:val="14"/>
          <w:color w:val="010000"/>
        </w:rPr>
        <w:t xml:space="preserve"> </w:t>
      </w:r>
      <w:r>
        <w:rPr>
          <w:rFonts w:ascii="Arial" w:cs="Arial" w:eastAsia="Arial" w:hAnsi="Arial"/>
          <w:sz w:val="14"/>
          <w:szCs w:val="14"/>
          <w:u w:val="single" w:color="auto"/>
          <w:color w:val="000000"/>
        </w:rPr>
        <w:t>whether known to you or not</w:t>
      </w:r>
      <w:r>
        <w:rPr>
          <w:rFonts w:ascii="Arial" w:cs="Arial" w:eastAsia="Arial" w:hAnsi="Arial"/>
          <w:sz w:val="14"/>
          <w:szCs w:val="14"/>
          <w:color w:val="000000"/>
        </w:rPr>
        <w:t>. You expressly waive all rights and benefits under Section 1542 of the California Civil Code and any</w:t>
      </w:r>
    </w:p>
    <w:p>
      <w:pPr>
        <w:spacing w:after="0" w:line="102" w:lineRule="exact"/>
        <w:rPr>
          <w:sz w:val="20"/>
          <w:szCs w:val="20"/>
          <w:color w:val="auto"/>
        </w:rPr>
      </w:pPr>
    </w:p>
    <w:p>
      <w:pPr>
        <w:ind w:left="5280"/>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42545</wp:posOffset>
            </wp:positionV>
            <wp:extent cx="6231255"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231255" cy="42545"/>
                    </a:xfrm>
                    <a:prstGeom prst="rect">
                      <a:avLst/>
                    </a:prstGeom>
                    <a:noFill/>
                  </pic:spPr>
                </pic:pic>
              </a:graphicData>
            </a:graphic>
          </wp:anchor>
        </w:drawing>
      </w:r>
    </w:p>
    <w:p>
      <w:pPr>
        <w:sectPr>
          <w:pgSz w:w="11900" w:h="16838" w:orient="portrait"/>
          <w:cols w:equalWidth="0" w:num="1">
            <w:col w:w="9760"/>
          </w:cols>
          <w:pgMar w:left="1080" w:top="126" w:right="1059" w:bottom="1440" w:gutter="0" w:footer="0" w:header="0"/>
        </w:sectPr>
      </w:pPr>
    </w:p>
    <w:bookmarkStart w:id="190" w:name="page191"/>
    <w:bookmarkEnd w:id="190"/>
    <w:p>
      <w:pPr>
        <w:ind w:left="860"/>
        <w:spacing w:after="0"/>
        <w:rPr>
          <w:sz w:val="20"/>
          <w:szCs w:val="20"/>
          <w:color w:val="auto"/>
        </w:rPr>
      </w:pPr>
      <w:r>
        <w:rPr>
          <w:rFonts w:ascii="Arial" w:cs="Arial" w:eastAsia="Arial" w:hAnsi="Arial"/>
          <w:sz w:val="14"/>
          <w:szCs w:val="14"/>
          <w:color w:val="auto"/>
        </w:rPr>
        <w:t>similar law of any state or territory of the United States. Section 1542 of the California Civil Code provides as follows:</w:t>
      </w:r>
    </w:p>
    <w:p>
      <w:pPr>
        <w:spacing w:after="0" w:line="141" w:lineRule="exact"/>
        <w:rPr>
          <w:sz w:val="20"/>
          <w:szCs w:val="20"/>
          <w:color w:val="auto"/>
        </w:rPr>
      </w:pPr>
    </w:p>
    <w:p>
      <w:pPr>
        <w:ind w:left="920" w:right="700"/>
        <w:spacing w:after="0" w:line="319" w:lineRule="auto"/>
        <w:rPr>
          <w:sz w:val="20"/>
          <w:szCs w:val="20"/>
          <w:color w:val="auto"/>
        </w:rPr>
      </w:pPr>
      <w:r>
        <w:rPr>
          <w:rFonts w:ascii="Arial" w:cs="Arial" w:eastAsia="Arial" w:hAnsi="Arial"/>
          <w:sz w:val="13"/>
          <w:szCs w:val="13"/>
          <w:b w:val="1"/>
          <w:bCs w:val="1"/>
          <w:color w:val="auto"/>
        </w:rPr>
        <w:t>“A general release does not extend to claims which the creditor does not know or suspect to exist in his or her favor at the time of executing the release, which if known by him or her must have materially affected his or her settlement with the debtor.”</w:t>
      </w:r>
    </w:p>
    <w:p>
      <w:pPr>
        <w:spacing w:after="0" w:line="75" w:lineRule="exact"/>
        <w:rPr>
          <w:sz w:val="20"/>
          <w:szCs w:val="20"/>
          <w:color w:val="auto"/>
        </w:rPr>
      </w:pPr>
    </w:p>
    <w:p>
      <w:pPr>
        <w:ind w:left="860"/>
        <w:spacing w:after="0"/>
        <w:rPr>
          <w:sz w:val="20"/>
          <w:szCs w:val="20"/>
          <w:color w:val="auto"/>
        </w:rPr>
      </w:pPr>
      <w:r>
        <w:rPr>
          <w:rFonts w:ascii="Arial" w:cs="Arial" w:eastAsia="Arial" w:hAnsi="Arial"/>
          <w:sz w:val="14"/>
          <w:szCs w:val="14"/>
          <w:color w:val="010000"/>
        </w:rPr>
        <w:t xml:space="preserve">7.4 </w:t>
      </w:r>
      <w:r>
        <w:rPr>
          <w:rFonts w:ascii="Arial" w:cs="Arial" w:eastAsia="Arial" w:hAnsi="Arial"/>
          <w:sz w:val="14"/>
          <w:szCs w:val="14"/>
          <w:color w:val="000000"/>
        </w:rPr>
        <w:t>You hereby represent that you know of no claim that you have that has not been released by this Section 7.</w:t>
      </w:r>
    </w:p>
    <w:p>
      <w:pPr>
        <w:spacing w:after="0" w:line="145" w:lineRule="exact"/>
        <w:rPr>
          <w:sz w:val="20"/>
          <w:szCs w:val="20"/>
          <w:color w:val="auto"/>
        </w:rPr>
      </w:pPr>
    </w:p>
    <w:p>
      <w:pPr>
        <w:jc w:val="both"/>
        <w:ind w:firstLine="865"/>
        <w:spacing w:after="0" w:line="248" w:lineRule="auto"/>
        <w:rPr>
          <w:sz w:val="20"/>
          <w:szCs w:val="20"/>
          <w:color w:val="auto"/>
        </w:rPr>
      </w:pPr>
      <w:r>
        <w:rPr>
          <w:rFonts w:ascii="Arial" w:cs="Arial" w:eastAsia="Arial" w:hAnsi="Arial"/>
          <w:sz w:val="14"/>
          <w:szCs w:val="14"/>
          <w:color w:val="010000"/>
        </w:rPr>
        <w:t xml:space="preserve">7.5 </w:t>
      </w:r>
      <w:r>
        <w:rPr>
          <w:rFonts w:ascii="Arial" w:cs="Arial" w:eastAsia="Arial" w:hAnsi="Arial"/>
          <w:sz w:val="14"/>
          <w:szCs w:val="14"/>
          <w:color w:val="000000"/>
        </w:rPr>
        <w:t>Nothing contained in this Release will (i) release any claim that cannot be waived under applicable law, (ii) release your rights to any benefits under</w:t>
      </w:r>
      <w:r>
        <w:rPr>
          <w:rFonts w:ascii="Arial" w:cs="Arial" w:eastAsia="Arial" w:hAnsi="Arial"/>
          <w:sz w:val="14"/>
          <w:szCs w:val="14"/>
          <w:color w:val="010000"/>
        </w:rPr>
        <w:t xml:space="preserve"> </w:t>
      </w:r>
      <w:r>
        <w:rPr>
          <w:rFonts w:ascii="Arial" w:cs="Arial" w:eastAsia="Arial" w:hAnsi="Arial"/>
          <w:sz w:val="14"/>
          <w:szCs w:val="14"/>
          <w:color w:val="000000"/>
        </w:rPr>
        <w:t>any employee welfare benefit plan of the Company, the 401(k) Plan or with respect to the right to elect health care continuation under COBRA, (iii) release any entitlement to or with respect to indemnification which you may have pursuant to agreement, the Company’s bylaws, any policy of insurance maintained by the Company or otherwise under law, or (iv) be construed to release your rights under this Agreement or be construed to prohibit or restrict you in any manner from bringing appropriate proceedings to enforce this Agreement. You acknowledge that your execution of this Agreement terminates any claims you previously held to any and all compensation and employee benefits, other than those specifically identified in this Agreement.</w:t>
      </w:r>
    </w:p>
    <w:p>
      <w:pPr>
        <w:spacing w:after="0" w:line="119" w:lineRule="exact"/>
        <w:rPr>
          <w:sz w:val="20"/>
          <w:szCs w:val="20"/>
          <w:color w:val="auto"/>
        </w:rPr>
      </w:pPr>
    </w:p>
    <w:p>
      <w:pPr>
        <w:jc w:val="both"/>
        <w:ind w:firstLine="865"/>
        <w:spacing w:after="0" w:line="273" w:lineRule="auto"/>
        <w:rPr>
          <w:sz w:val="20"/>
          <w:szCs w:val="20"/>
          <w:color w:val="auto"/>
        </w:rPr>
      </w:pPr>
      <w:r>
        <w:rPr>
          <w:rFonts w:ascii="Arial" w:cs="Arial" w:eastAsia="Arial" w:hAnsi="Arial"/>
          <w:sz w:val="13"/>
          <w:szCs w:val="13"/>
          <w:color w:val="010000"/>
        </w:rPr>
        <w:t xml:space="preserve">7.6 </w:t>
      </w:r>
      <w:r>
        <w:rPr>
          <w:rFonts w:ascii="Arial" w:cs="Arial" w:eastAsia="Arial" w:hAnsi="Arial"/>
          <w:sz w:val="13"/>
          <w:szCs w:val="13"/>
          <w:color w:val="000000"/>
        </w:rPr>
        <w:t>By signing this Agreement, you represent that you have not commenced or joined in any claim, charge, action or proceeding whatsoever against any</w:t>
      </w:r>
      <w:r>
        <w:rPr>
          <w:rFonts w:ascii="Arial" w:cs="Arial" w:eastAsia="Arial" w:hAnsi="Arial"/>
          <w:sz w:val="13"/>
          <w:szCs w:val="13"/>
          <w:color w:val="010000"/>
        </w:rPr>
        <w:t xml:space="preserve"> </w:t>
      </w:r>
      <w:r>
        <w:rPr>
          <w:rFonts w:ascii="Arial" w:cs="Arial" w:eastAsia="Arial" w:hAnsi="Arial"/>
          <w:sz w:val="13"/>
          <w:szCs w:val="13"/>
          <w:color w:val="000000"/>
        </w:rPr>
        <w:t>of the Released Parties arising out of or relating to any of the matters set forth in this Section 7. You further represent that you will not be entitled to any personal recovery in any action or proceeding that may be commenced on your behalf arising out of the matters released hereby. As a condition to continued receipt of payments under Section 4 after the Retirement Date, you hereby agree to reaffirm the release terms of this Section 7 applicable to the period between execution of this Agreement and the Retirement Date by executing a reaffirmation agreement (the “</w:t>
      </w:r>
      <w:r>
        <w:rPr>
          <w:rFonts w:ascii="Arial" w:cs="Arial" w:eastAsia="Arial" w:hAnsi="Arial"/>
          <w:sz w:val="13"/>
          <w:szCs w:val="13"/>
          <w:b w:val="1"/>
          <w:bCs w:val="1"/>
          <w:color w:val="000000"/>
        </w:rPr>
        <w:t>Reaffirmation Agreement</w:t>
      </w:r>
      <w:r>
        <w:rPr>
          <w:rFonts w:ascii="Arial" w:cs="Arial" w:eastAsia="Arial" w:hAnsi="Arial"/>
          <w:sz w:val="13"/>
          <w:szCs w:val="13"/>
          <w:color w:val="000000"/>
        </w:rPr>
        <w:t xml:space="preserve">”) substantially in the form attached hereto as </w:t>
      </w:r>
      <w:r>
        <w:rPr>
          <w:rFonts w:ascii="Arial" w:cs="Arial" w:eastAsia="Arial" w:hAnsi="Arial"/>
          <w:sz w:val="13"/>
          <w:szCs w:val="13"/>
          <w:u w:val="single" w:color="auto"/>
          <w:color w:val="000000"/>
        </w:rPr>
        <w:t>Schedule A</w:t>
      </w:r>
      <w:r>
        <w:rPr>
          <w:rFonts w:ascii="Arial" w:cs="Arial" w:eastAsia="Arial" w:hAnsi="Arial"/>
          <w:sz w:val="13"/>
          <w:szCs w:val="13"/>
          <w:color w:val="000000"/>
        </w:rPr>
        <w:t>.</w:t>
      </w:r>
    </w:p>
    <w:p>
      <w:pPr>
        <w:spacing w:after="0" w:line="100" w:lineRule="exact"/>
        <w:rPr>
          <w:sz w:val="20"/>
          <w:szCs w:val="20"/>
          <w:color w:val="auto"/>
        </w:rPr>
      </w:pPr>
    </w:p>
    <w:p>
      <w:pPr>
        <w:ind w:left="580" w:hanging="151"/>
        <w:spacing w:after="0"/>
        <w:tabs>
          <w:tab w:leader="none" w:pos="580" w:val="left"/>
        </w:tabs>
        <w:numPr>
          <w:ilvl w:val="0"/>
          <w:numId w:val="190"/>
        </w:numPr>
        <w:rPr>
          <w:rFonts w:ascii="Arial" w:cs="Arial" w:eastAsia="Arial" w:hAnsi="Arial"/>
          <w:sz w:val="14"/>
          <w:szCs w:val="14"/>
          <w:color w:val="010000"/>
        </w:rPr>
      </w:pPr>
      <w:r>
        <w:rPr>
          <w:rFonts w:ascii="Arial" w:cs="Arial" w:eastAsia="Arial" w:hAnsi="Arial"/>
          <w:sz w:val="14"/>
          <w:szCs w:val="14"/>
          <w:b w:val="1"/>
          <w:bCs w:val="1"/>
          <w:color w:val="auto"/>
        </w:rPr>
        <w:t>General Provisions</w:t>
      </w:r>
      <w:r>
        <w:rPr>
          <w:rFonts w:ascii="Arial" w:cs="Arial" w:eastAsia="Arial" w:hAnsi="Arial"/>
          <w:sz w:val="14"/>
          <w:szCs w:val="14"/>
          <w:color w:val="auto"/>
        </w:rPr>
        <w:t>.</w:t>
      </w:r>
    </w:p>
    <w:p>
      <w:pPr>
        <w:spacing w:after="0" w:line="145" w:lineRule="exact"/>
        <w:rPr>
          <w:sz w:val="20"/>
          <w:szCs w:val="20"/>
          <w:color w:val="auto"/>
        </w:rPr>
      </w:pPr>
    </w:p>
    <w:p>
      <w:pPr>
        <w:jc w:val="both"/>
        <w:ind w:right="20" w:firstLine="865"/>
        <w:spacing w:after="0" w:line="251" w:lineRule="auto"/>
        <w:rPr>
          <w:sz w:val="20"/>
          <w:szCs w:val="20"/>
          <w:color w:val="auto"/>
        </w:rPr>
      </w:pPr>
      <w:r>
        <w:rPr>
          <w:rFonts w:ascii="Arial" w:cs="Arial" w:eastAsia="Arial" w:hAnsi="Arial"/>
          <w:sz w:val="14"/>
          <w:szCs w:val="14"/>
          <w:color w:val="010000"/>
        </w:rPr>
        <w:t xml:space="preserve">8.1 </w:t>
      </w:r>
      <w:r>
        <w:rPr>
          <w:rFonts w:ascii="Arial" w:cs="Arial" w:eastAsia="Arial" w:hAnsi="Arial"/>
          <w:sz w:val="14"/>
          <w:szCs w:val="14"/>
          <w:b w:val="1"/>
          <w:bCs w:val="1"/>
          <w:u w:val="single" w:color="auto"/>
          <w:color w:val="000000"/>
        </w:rPr>
        <w:t>Severability</w:t>
      </w:r>
      <w:r>
        <w:rPr>
          <w:rFonts w:ascii="Arial" w:cs="Arial" w:eastAsia="Arial" w:hAnsi="Arial"/>
          <w:sz w:val="14"/>
          <w:szCs w:val="14"/>
          <w:b w:val="1"/>
          <w:bCs w:val="1"/>
          <w:color w:val="000000"/>
        </w:rPr>
        <w:t>.</w:t>
      </w:r>
      <w:r>
        <w:rPr>
          <w:rFonts w:ascii="Arial" w:cs="Arial" w:eastAsia="Arial" w:hAnsi="Arial"/>
          <w:sz w:val="14"/>
          <w:szCs w:val="14"/>
          <w:color w:val="010000"/>
        </w:rPr>
        <w:t xml:space="preserve"> </w:t>
      </w:r>
      <w:r>
        <w:rPr>
          <w:rFonts w:ascii="Arial" w:cs="Arial" w:eastAsia="Arial" w:hAnsi="Arial"/>
          <w:sz w:val="14"/>
          <w:szCs w:val="14"/>
          <w:color w:val="000000"/>
        </w:rPr>
        <w:t>It is the desire and intent of the parties that the provisions of this Agreement will be enforced to the fullest extent permissible. In the</w:t>
      </w:r>
      <w:r>
        <w:rPr>
          <w:rFonts w:ascii="Arial" w:cs="Arial" w:eastAsia="Arial" w:hAnsi="Arial"/>
          <w:sz w:val="14"/>
          <w:szCs w:val="14"/>
          <w:color w:val="010000"/>
        </w:rPr>
        <w:t xml:space="preserve"> </w:t>
      </w:r>
      <w:r>
        <w:rPr>
          <w:rFonts w:ascii="Arial" w:cs="Arial" w:eastAsia="Arial" w:hAnsi="Arial"/>
          <w:sz w:val="14"/>
          <w:szCs w:val="14"/>
          <w:color w:val="000000"/>
        </w:rPr>
        <w:t>event that any one or more of the provisions of this Agreement will be held to be invalid, illegal or unenforceable, the validity, legality and enforceability of the remainder of this Agreement will remain valid and enforceable and continue in full force and effect to the fullest extent consistent with law. Moreover, if any one or more of the provisions contained in this Agreement is held to be excessively broad as to duration, scope, activity or subject, such provisions will be construed by limiting and reducing them so as to be enforceable to the maximum extent compatible with applicable law.</w:t>
      </w:r>
    </w:p>
    <w:p>
      <w:pPr>
        <w:spacing w:after="0" w:line="113" w:lineRule="exact"/>
        <w:rPr>
          <w:sz w:val="20"/>
          <w:szCs w:val="20"/>
          <w:color w:val="auto"/>
        </w:rPr>
      </w:pPr>
    </w:p>
    <w:p>
      <w:pPr>
        <w:ind w:left="860"/>
        <w:spacing w:after="0"/>
        <w:rPr>
          <w:sz w:val="20"/>
          <w:szCs w:val="20"/>
          <w:color w:val="auto"/>
        </w:rPr>
      </w:pPr>
      <w:r>
        <w:rPr>
          <w:rFonts w:ascii="Arial" w:cs="Arial" w:eastAsia="Arial" w:hAnsi="Arial"/>
          <w:sz w:val="14"/>
          <w:szCs w:val="14"/>
          <w:color w:val="010000"/>
        </w:rPr>
        <w:t xml:space="preserve">8.2 </w:t>
      </w:r>
      <w:r>
        <w:rPr>
          <w:rFonts w:ascii="Arial" w:cs="Arial" w:eastAsia="Arial" w:hAnsi="Arial"/>
          <w:sz w:val="14"/>
          <w:szCs w:val="14"/>
          <w:b w:val="1"/>
          <w:bCs w:val="1"/>
          <w:u w:val="single" w:color="auto"/>
          <w:color w:val="000000"/>
        </w:rPr>
        <w:t>No Admission</w:t>
      </w:r>
      <w:r>
        <w:rPr>
          <w:rFonts w:ascii="Arial" w:cs="Arial" w:eastAsia="Arial" w:hAnsi="Arial"/>
          <w:sz w:val="14"/>
          <w:szCs w:val="14"/>
          <w:color w:val="000000"/>
        </w:rPr>
        <w:t>. By entering into this Agreement, the parties do not admit to, and expressly deny, any wrongdoing.</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42545</wp:posOffset>
            </wp:positionV>
            <wp:extent cx="6231255"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231255" cy="42545"/>
                    </a:xfrm>
                    <a:prstGeom prst="rect">
                      <a:avLst/>
                    </a:prstGeom>
                    <a:noFill/>
                  </pic:spPr>
                </pic:pic>
              </a:graphicData>
            </a:graphic>
          </wp:anchor>
        </w:drawing>
      </w:r>
    </w:p>
    <w:p>
      <w:pPr>
        <w:sectPr>
          <w:pgSz w:w="11900" w:h="16838" w:orient="portrait"/>
          <w:cols w:equalWidth="0" w:num="1">
            <w:col w:w="9760"/>
          </w:cols>
          <w:pgMar w:left="1080" w:top="126" w:right="1059" w:bottom="1440" w:gutter="0" w:footer="0" w:header="0"/>
        </w:sectPr>
      </w:pPr>
    </w:p>
    <w:bookmarkStart w:id="191" w:name="page192"/>
    <w:bookmarkEnd w:id="191"/>
    <w:p>
      <w:pPr>
        <w:jc w:val="both"/>
        <w:ind w:right="20" w:firstLine="865"/>
        <w:spacing w:after="0" w:line="251" w:lineRule="auto"/>
        <w:rPr>
          <w:sz w:val="20"/>
          <w:szCs w:val="20"/>
          <w:color w:val="auto"/>
        </w:rPr>
      </w:pPr>
      <w:r>
        <w:rPr>
          <w:rFonts w:ascii="Arial" w:cs="Arial" w:eastAsia="Arial" w:hAnsi="Arial"/>
          <w:sz w:val="14"/>
          <w:szCs w:val="14"/>
          <w:color w:val="010000"/>
        </w:rPr>
        <w:t xml:space="preserve">8.3 </w:t>
      </w:r>
      <w:r>
        <w:rPr>
          <w:rFonts w:ascii="Arial" w:cs="Arial" w:eastAsia="Arial" w:hAnsi="Arial"/>
          <w:sz w:val="14"/>
          <w:szCs w:val="14"/>
          <w:b w:val="1"/>
          <w:bCs w:val="1"/>
          <w:u w:val="single" w:color="auto"/>
          <w:color w:val="000000"/>
        </w:rPr>
        <w:t>Return of Property</w:t>
      </w:r>
      <w:r>
        <w:rPr>
          <w:rFonts w:ascii="Arial" w:cs="Arial" w:eastAsia="Arial" w:hAnsi="Arial"/>
          <w:sz w:val="14"/>
          <w:szCs w:val="14"/>
          <w:b w:val="1"/>
          <w:bCs w:val="1"/>
          <w:color w:val="000000"/>
        </w:rPr>
        <w:t>.</w:t>
      </w:r>
      <w:r>
        <w:rPr>
          <w:rFonts w:ascii="Arial" w:cs="Arial" w:eastAsia="Arial" w:hAnsi="Arial"/>
          <w:sz w:val="14"/>
          <w:szCs w:val="14"/>
          <w:color w:val="010000"/>
        </w:rPr>
        <w:t xml:space="preserve"> </w:t>
      </w:r>
      <w:r>
        <w:rPr>
          <w:rFonts w:ascii="Arial" w:cs="Arial" w:eastAsia="Arial" w:hAnsi="Arial"/>
          <w:sz w:val="14"/>
          <w:szCs w:val="14"/>
          <w:color w:val="000000"/>
        </w:rPr>
        <w:t>You agree to return to the Company, on or prior to the Retirement Date, all files, records, documents, reports, computers and</w:t>
      </w:r>
      <w:r>
        <w:rPr>
          <w:rFonts w:ascii="Arial" w:cs="Arial" w:eastAsia="Arial" w:hAnsi="Arial"/>
          <w:sz w:val="14"/>
          <w:szCs w:val="14"/>
          <w:color w:val="010000"/>
        </w:rPr>
        <w:t xml:space="preserve"> </w:t>
      </w:r>
      <w:r>
        <w:rPr>
          <w:rFonts w:ascii="Arial" w:cs="Arial" w:eastAsia="Arial" w:hAnsi="Arial"/>
          <w:sz w:val="14"/>
          <w:szCs w:val="14"/>
          <w:color w:val="000000"/>
        </w:rPr>
        <w:t>other property of the Company in your possession or control, including, but not limited to, any documents or other materials containing Confidential Information, and you further agree that you will not keep, transfer or use any copies or excerpts of the foregoing items. Executive will be permitted to copy and remove any electronic files on the computer or cell phone that contain his personal information (but not any Confidential Information or proprietary Company information or data), including contact information.</w:t>
      </w:r>
    </w:p>
    <w:p>
      <w:pPr>
        <w:spacing w:after="0" w:line="113" w:lineRule="exact"/>
        <w:rPr>
          <w:sz w:val="20"/>
          <w:szCs w:val="20"/>
          <w:color w:val="auto"/>
        </w:rPr>
      </w:pPr>
    </w:p>
    <w:p>
      <w:pPr>
        <w:jc w:val="both"/>
        <w:ind w:firstLine="865"/>
        <w:spacing w:after="0" w:line="254" w:lineRule="auto"/>
        <w:rPr>
          <w:sz w:val="20"/>
          <w:szCs w:val="20"/>
          <w:color w:val="auto"/>
        </w:rPr>
      </w:pPr>
      <w:r>
        <w:rPr>
          <w:rFonts w:ascii="Arial" w:cs="Arial" w:eastAsia="Arial" w:hAnsi="Arial"/>
          <w:sz w:val="14"/>
          <w:szCs w:val="14"/>
          <w:color w:val="010000"/>
        </w:rPr>
        <w:t xml:space="preserve">8.4 </w:t>
      </w:r>
      <w:r>
        <w:rPr>
          <w:rFonts w:ascii="Arial" w:cs="Arial" w:eastAsia="Arial" w:hAnsi="Arial"/>
          <w:sz w:val="14"/>
          <w:szCs w:val="14"/>
          <w:b w:val="1"/>
          <w:bCs w:val="1"/>
          <w:u w:val="single" w:color="auto"/>
          <w:color w:val="000000"/>
        </w:rPr>
        <w:t>Notices</w:t>
      </w:r>
      <w:r>
        <w:rPr>
          <w:rFonts w:ascii="Arial" w:cs="Arial" w:eastAsia="Arial" w:hAnsi="Arial"/>
          <w:sz w:val="14"/>
          <w:szCs w:val="14"/>
          <w:color w:val="000000"/>
        </w:rPr>
        <w:t>. Any and all notices, requests, demands and other communications provided for by this Agreement will be in writing and will be effective</w:t>
      </w:r>
      <w:r>
        <w:rPr>
          <w:rFonts w:ascii="Arial" w:cs="Arial" w:eastAsia="Arial" w:hAnsi="Arial"/>
          <w:sz w:val="14"/>
          <w:szCs w:val="14"/>
          <w:color w:val="010000"/>
        </w:rPr>
        <w:t xml:space="preserve"> </w:t>
      </w:r>
      <w:r>
        <w:rPr>
          <w:rFonts w:ascii="Arial" w:cs="Arial" w:eastAsia="Arial" w:hAnsi="Arial"/>
          <w:sz w:val="14"/>
          <w:szCs w:val="14"/>
          <w:color w:val="000000"/>
        </w:rPr>
        <w:t>when delivered in person, consigned to a reputable national or international courier service (including Federal Express), and addressed to you at your last known address on the books of the Company or, in the case of the Company, at the Company’s principal place of business, attention of the President of the Company, or to such other address as either party may specify by notice to the other actually received.</w:t>
      </w:r>
    </w:p>
    <w:p>
      <w:pPr>
        <w:spacing w:after="0" w:line="111" w:lineRule="exact"/>
        <w:rPr>
          <w:sz w:val="20"/>
          <w:szCs w:val="20"/>
          <w:color w:val="auto"/>
        </w:rPr>
      </w:pPr>
    </w:p>
    <w:p>
      <w:pPr>
        <w:jc w:val="both"/>
        <w:ind w:right="20" w:firstLine="865"/>
        <w:spacing w:after="0" w:line="260" w:lineRule="auto"/>
        <w:rPr>
          <w:sz w:val="20"/>
          <w:szCs w:val="20"/>
          <w:color w:val="auto"/>
        </w:rPr>
      </w:pPr>
      <w:r>
        <w:rPr>
          <w:rFonts w:ascii="Arial" w:cs="Arial" w:eastAsia="Arial" w:hAnsi="Arial"/>
          <w:sz w:val="14"/>
          <w:szCs w:val="14"/>
          <w:color w:val="010000"/>
        </w:rPr>
        <w:t xml:space="preserve">8.5 </w:t>
      </w:r>
      <w:r>
        <w:rPr>
          <w:rFonts w:ascii="Arial" w:cs="Arial" w:eastAsia="Arial" w:hAnsi="Arial"/>
          <w:sz w:val="14"/>
          <w:szCs w:val="14"/>
          <w:b w:val="1"/>
          <w:bCs w:val="1"/>
          <w:u w:val="single" w:color="auto"/>
          <w:color w:val="000000"/>
        </w:rPr>
        <w:t>Successors and Assigns</w:t>
      </w:r>
      <w:r>
        <w:rPr>
          <w:rFonts w:ascii="Arial" w:cs="Arial" w:eastAsia="Arial" w:hAnsi="Arial"/>
          <w:sz w:val="14"/>
          <w:szCs w:val="14"/>
          <w:b w:val="1"/>
          <w:bCs w:val="1"/>
          <w:color w:val="000000"/>
        </w:rPr>
        <w:t>.</w:t>
      </w:r>
      <w:r>
        <w:rPr>
          <w:rFonts w:ascii="Arial" w:cs="Arial" w:eastAsia="Arial" w:hAnsi="Arial"/>
          <w:sz w:val="14"/>
          <w:szCs w:val="14"/>
          <w:color w:val="010000"/>
        </w:rPr>
        <w:t xml:space="preserve"> </w:t>
      </w:r>
      <w:r>
        <w:rPr>
          <w:rFonts w:ascii="Arial" w:cs="Arial" w:eastAsia="Arial" w:hAnsi="Arial"/>
          <w:sz w:val="14"/>
          <w:szCs w:val="14"/>
          <w:color w:val="000000"/>
        </w:rPr>
        <w:t>This Agreement is personal to you and, without the prior written consent of the Company, will not be assignable by you</w:t>
      </w:r>
      <w:r>
        <w:rPr>
          <w:rFonts w:ascii="Arial" w:cs="Arial" w:eastAsia="Arial" w:hAnsi="Arial"/>
          <w:sz w:val="14"/>
          <w:szCs w:val="14"/>
          <w:color w:val="010000"/>
        </w:rPr>
        <w:t xml:space="preserve"> </w:t>
      </w:r>
      <w:r>
        <w:rPr>
          <w:rFonts w:ascii="Arial" w:cs="Arial" w:eastAsia="Arial" w:hAnsi="Arial"/>
          <w:sz w:val="14"/>
          <w:szCs w:val="14"/>
          <w:color w:val="000000"/>
        </w:rPr>
        <w:t>otherwise than by will or the laws of descent and distribution. This Agreement will inure to the benefit of and be enforceable by your legal representatives. This Agreement will inure to the benefit of and be binding upon the Company and its successors and assigns.</w:t>
      </w:r>
    </w:p>
    <w:p>
      <w:pPr>
        <w:spacing w:after="0" w:line="107" w:lineRule="exact"/>
        <w:rPr>
          <w:sz w:val="20"/>
          <w:szCs w:val="20"/>
          <w:color w:val="auto"/>
        </w:rPr>
      </w:pPr>
    </w:p>
    <w:p>
      <w:pPr>
        <w:jc w:val="both"/>
        <w:ind w:right="20" w:firstLine="865"/>
        <w:spacing w:after="0" w:line="289" w:lineRule="auto"/>
        <w:rPr>
          <w:sz w:val="20"/>
          <w:szCs w:val="20"/>
          <w:color w:val="auto"/>
        </w:rPr>
      </w:pPr>
      <w:r>
        <w:rPr>
          <w:rFonts w:ascii="Arial" w:cs="Arial" w:eastAsia="Arial" w:hAnsi="Arial"/>
          <w:sz w:val="13"/>
          <w:szCs w:val="13"/>
          <w:color w:val="010000"/>
        </w:rPr>
        <w:t xml:space="preserve">8.6 </w:t>
      </w:r>
      <w:r>
        <w:rPr>
          <w:rFonts w:ascii="Arial" w:cs="Arial" w:eastAsia="Arial" w:hAnsi="Arial"/>
          <w:sz w:val="13"/>
          <w:szCs w:val="13"/>
          <w:b w:val="1"/>
          <w:bCs w:val="1"/>
          <w:u w:val="single" w:color="auto"/>
          <w:color w:val="000000"/>
        </w:rPr>
        <w:t>Governing Law; Captions; Amendment</w:t>
      </w:r>
      <w:r>
        <w:rPr>
          <w:rFonts w:ascii="Arial" w:cs="Arial" w:eastAsia="Arial" w:hAnsi="Arial"/>
          <w:sz w:val="13"/>
          <w:szCs w:val="13"/>
          <w:b w:val="1"/>
          <w:bCs w:val="1"/>
          <w:color w:val="000000"/>
        </w:rPr>
        <w:t>.</w:t>
      </w:r>
      <w:r>
        <w:rPr>
          <w:rFonts w:ascii="Arial" w:cs="Arial" w:eastAsia="Arial" w:hAnsi="Arial"/>
          <w:sz w:val="13"/>
          <w:szCs w:val="13"/>
          <w:color w:val="010000"/>
        </w:rPr>
        <w:t xml:space="preserve"> </w:t>
      </w:r>
      <w:r>
        <w:rPr>
          <w:rFonts w:ascii="Arial" w:cs="Arial" w:eastAsia="Arial" w:hAnsi="Arial"/>
          <w:sz w:val="13"/>
          <w:szCs w:val="13"/>
          <w:color w:val="000000"/>
        </w:rPr>
        <w:t>This Agreement will be governed by, and construed in accordance with, the laws of the State of</w:t>
      </w:r>
      <w:r>
        <w:rPr>
          <w:rFonts w:ascii="Arial" w:cs="Arial" w:eastAsia="Arial" w:hAnsi="Arial"/>
          <w:sz w:val="13"/>
          <w:szCs w:val="13"/>
          <w:color w:val="010000"/>
        </w:rPr>
        <w:t xml:space="preserve"> </w:t>
      </w:r>
      <w:r>
        <w:rPr>
          <w:rFonts w:ascii="Arial" w:cs="Arial" w:eastAsia="Arial" w:hAnsi="Arial"/>
          <w:sz w:val="13"/>
          <w:szCs w:val="13"/>
          <w:color w:val="000000"/>
        </w:rPr>
        <w:t>California, without reference to principles of conflict of laws. The captions of this Agreement are not part of the provisions hereof and will have no force or effect. This Agreement may not be amended or modified except by a written agreement executed by the parties hereto or their respective successors and legal representatives.</w:t>
      </w:r>
    </w:p>
    <w:p>
      <w:pPr>
        <w:spacing w:after="0" w:line="90" w:lineRule="exact"/>
        <w:rPr>
          <w:sz w:val="20"/>
          <w:szCs w:val="20"/>
          <w:color w:val="auto"/>
        </w:rPr>
      </w:pPr>
    </w:p>
    <w:p>
      <w:pPr>
        <w:jc w:val="both"/>
        <w:ind w:firstLine="865"/>
        <w:spacing w:after="0" w:line="266" w:lineRule="auto"/>
        <w:rPr>
          <w:sz w:val="20"/>
          <w:szCs w:val="20"/>
          <w:color w:val="auto"/>
        </w:rPr>
      </w:pPr>
      <w:r>
        <w:rPr>
          <w:rFonts w:ascii="Arial" w:cs="Arial" w:eastAsia="Arial" w:hAnsi="Arial"/>
          <w:sz w:val="13"/>
          <w:szCs w:val="13"/>
          <w:color w:val="010000"/>
        </w:rPr>
        <w:t xml:space="preserve">8.7 </w:t>
      </w:r>
      <w:r>
        <w:rPr>
          <w:rFonts w:ascii="Arial" w:cs="Arial" w:eastAsia="Arial" w:hAnsi="Arial"/>
          <w:sz w:val="13"/>
          <w:szCs w:val="13"/>
          <w:b w:val="1"/>
          <w:bCs w:val="1"/>
          <w:u w:val="single" w:color="auto"/>
          <w:color w:val="000000"/>
        </w:rPr>
        <w:t>Code Section 409A Compliance</w:t>
      </w:r>
      <w:r>
        <w:rPr>
          <w:rFonts w:ascii="Arial" w:cs="Arial" w:eastAsia="Arial" w:hAnsi="Arial"/>
          <w:sz w:val="13"/>
          <w:szCs w:val="13"/>
          <w:color w:val="000000"/>
        </w:rPr>
        <w:t>. The Company and you each hereby affirm that it is their mutual view that the provision of payments and benefits</w:t>
      </w:r>
      <w:r>
        <w:rPr>
          <w:rFonts w:ascii="Arial" w:cs="Arial" w:eastAsia="Arial" w:hAnsi="Arial"/>
          <w:sz w:val="13"/>
          <w:szCs w:val="13"/>
          <w:color w:val="010000"/>
        </w:rPr>
        <w:t xml:space="preserve"> </w:t>
      </w:r>
      <w:r>
        <w:rPr>
          <w:rFonts w:ascii="Arial" w:cs="Arial" w:eastAsia="Arial" w:hAnsi="Arial"/>
          <w:sz w:val="13"/>
          <w:szCs w:val="13"/>
          <w:color w:val="000000"/>
        </w:rPr>
        <w:t>described or referenced herein are either exempt from or intended to be in compliance with the requirements of Section 409A of the Code and the Treasury regulations relating thereto (“</w:t>
      </w:r>
      <w:r>
        <w:rPr>
          <w:rFonts w:ascii="Arial" w:cs="Arial" w:eastAsia="Arial" w:hAnsi="Arial"/>
          <w:sz w:val="13"/>
          <w:szCs w:val="13"/>
          <w:b w:val="1"/>
          <w:bCs w:val="1"/>
          <w:color w:val="000000"/>
        </w:rPr>
        <w:t>Section 409A</w:t>
      </w:r>
      <w:r>
        <w:rPr>
          <w:rFonts w:ascii="Arial" w:cs="Arial" w:eastAsia="Arial" w:hAnsi="Arial"/>
          <w:sz w:val="13"/>
          <w:szCs w:val="13"/>
          <w:color w:val="000000"/>
        </w:rPr>
        <w:t>”) and that each party’s tax reporting will be completed in a manner consistent with such view. The Company and you each agree that upon the Retirement Date, you will experience a “separation from service” for purposes of Section 409A. Any payments that qualify for the “short-term deferral” exception or another exception under Section 409A will be paid under the applicable exception. For purposes of the limitations on nonqualified deferred compensation under Section 409A of the Code, each payment of compensation under this Agreement will be treated as a separate payment of compensation. Notwithstanding anything contained herein to the contrary, to the extent required in order to avoid accelerated taxation and/or tax penalties under Section 409A, fee amounts in Section 4.1 that constitute nonqualified deferred compensation and would otherwise be payable pursuant to this Agreement on account of separation from service during the six-month period immediately following the Retirement Date will instead be paid on the first business day after the date that is six months following the Retirement Date (or death, if earlier). Notwithstanding anything to the contrary in this Agreement, all reimbursements and in-</w:t>
      </w:r>
    </w:p>
    <w:p>
      <w:pPr>
        <w:spacing w:after="0" w:line="112" w:lineRule="exact"/>
        <w:rPr>
          <w:sz w:val="20"/>
          <w:szCs w:val="20"/>
          <w:color w:val="auto"/>
        </w:rPr>
      </w:pPr>
    </w:p>
    <w:p>
      <w:pPr>
        <w:ind w:left="5280"/>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42545</wp:posOffset>
            </wp:positionV>
            <wp:extent cx="6231255"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231255" cy="42545"/>
                    </a:xfrm>
                    <a:prstGeom prst="rect">
                      <a:avLst/>
                    </a:prstGeom>
                    <a:noFill/>
                  </pic:spPr>
                </pic:pic>
              </a:graphicData>
            </a:graphic>
          </wp:anchor>
        </w:drawing>
      </w:r>
    </w:p>
    <w:p>
      <w:pPr>
        <w:sectPr>
          <w:pgSz w:w="11900" w:h="16838" w:orient="portrait"/>
          <w:cols w:equalWidth="0" w:num="1">
            <w:col w:w="9760"/>
          </w:cols>
          <w:pgMar w:left="1080" w:top="122" w:right="1059" w:bottom="1440" w:gutter="0" w:footer="0" w:header="0"/>
        </w:sectPr>
      </w:pPr>
    </w:p>
    <w:bookmarkStart w:id="192" w:name="page193"/>
    <w:bookmarkEnd w:id="192"/>
    <w:p>
      <w:pPr>
        <w:jc w:val="both"/>
        <w:ind w:left="860"/>
        <w:spacing w:after="0" w:line="245" w:lineRule="auto"/>
        <w:rPr>
          <w:sz w:val="20"/>
          <w:szCs w:val="20"/>
          <w:color w:val="auto"/>
        </w:rPr>
      </w:pPr>
      <w:r>
        <w:rPr>
          <w:rFonts w:ascii="Arial" w:cs="Arial" w:eastAsia="Arial" w:hAnsi="Arial"/>
          <w:sz w:val="14"/>
          <w:szCs w:val="14"/>
          <w:color w:val="auto"/>
        </w:rPr>
        <w:t>kind benefits provided under this Agreement will be made or provided in accordance with the requirements of Section 409A of the Code, including, where applicable, the requirement that (x) the amount of expenses eligible for reimbursement, or in kind benefits provided, during a calendar year may not affect the expenses eligible for reimbursement, or in kind benefits to be provided, in any other calendar year; (y) the reimbursement of an eligible expense will be made no later than the last day of the calendar year following the year in which the expense is incurred; and (z) the right to reimbursement or in kind benefits is not subject to liquidation or exchange for another benefit. Neither the Company nor its affiliates will be liable in any manner for any federal, state or local income or excise taxes (including but not limited to any taxes under Sections 409A of the Code), or penalties or interest with respect thereto, as a result of the payment of any compensation or benefits hereunder or the inclusion of any such compensation or benefits or the value thereof in your income. You acknowledge and agree that the Company will not be responsible for any additional taxes or penalties resulting from the application of Section 409A.</w:t>
      </w:r>
    </w:p>
    <w:p>
      <w:pPr>
        <w:spacing w:after="0" w:line="120" w:lineRule="exact"/>
        <w:rPr>
          <w:sz w:val="20"/>
          <w:szCs w:val="20"/>
          <w:color w:val="auto"/>
        </w:rPr>
      </w:pPr>
    </w:p>
    <w:p>
      <w:pPr>
        <w:jc w:val="both"/>
        <w:ind w:right="20" w:firstLine="865"/>
        <w:spacing w:after="0" w:line="260" w:lineRule="auto"/>
        <w:rPr>
          <w:sz w:val="20"/>
          <w:szCs w:val="20"/>
          <w:color w:val="auto"/>
        </w:rPr>
      </w:pPr>
      <w:r>
        <w:rPr>
          <w:rFonts w:ascii="Arial" w:cs="Arial" w:eastAsia="Arial" w:hAnsi="Arial"/>
          <w:sz w:val="14"/>
          <w:szCs w:val="14"/>
          <w:color w:val="010000"/>
        </w:rPr>
        <w:t xml:space="preserve">8.8 </w:t>
      </w:r>
      <w:r>
        <w:rPr>
          <w:rFonts w:ascii="Arial" w:cs="Arial" w:eastAsia="Arial" w:hAnsi="Arial"/>
          <w:sz w:val="14"/>
          <w:szCs w:val="14"/>
          <w:b w:val="1"/>
          <w:bCs w:val="1"/>
          <w:u w:val="single" w:color="auto"/>
          <w:color w:val="000000"/>
        </w:rPr>
        <w:t>Withholding</w:t>
      </w:r>
      <w:r>
        <w:rPr>
          <w:rFonts w:ascii="Arial" w:cs="Arial" w:eastAsia="Arial" w:hAnsi="Arial"/>
          <w:sz w:val="14"/>
          <w:szCs w:val="14"/>
          <w:color w:val="000000"/>
        </w:rPr>
        <w:t>. Notwithstanding any other provision of this Agreement, the Company may withhold from amounts payable under this Agreement all</w:t>
      </w:r>
      <w:r>
        <w:rPr>
          <w:rFonts w:ascii="Arial" w:cs="Arial" w:eastAsia="Arial" w:hAnsi="Arial"/>
          <w:sz w:val="14"/>
          <w:szCs w:val="14"/>
          <w:color w:val="010000"/>
        </w:rPr>
        <w:t xml:space="preserve"> </w:t>
      </w:r>
      <w:r>
        <w:rPr>
          <w:rFonts w:ascii="Arial" w:cs="Arial" w:eastAsia="Arial" w:hAnsi="Arial"/>
          <w:sz w:val="14"/>
          <w:szCs w:val="14"/>
          <w:color w:val="000000"/>
        </w:rPr>
        <w:t>amounts that are required or authorized to be withheld, including, but not limited to, federal, state, local and foreign taxes to be withheld by applicable laws or regulations.</w:t>
      </w:r>
    </w:p>
    <w:p>
      <w:pPr>
        <w:spacing w:after="0" w:line="107" w:lineRule="exact"/>
        <w:rPr>
          <w:sz w:val="20"/>
          <w:szCs w:val="20"/>
          <w:color w:val="auto"/>
        </w:rPr>
      </w:pPr>
    </w:p>
    <w:p>
      <w:pPr>
        <w:jc w:val="both"/>
        <w:ind w:firstLine="865"/>
        <w:spacing w:after="0" w:line="260" w:lineRule="auto"/>
        <w:rPr>
          <w:sz w:val="20"/>
          <w:szCs w:val="20"/>
          <w:color w:val="auto"/>
        </w:rPr>
      </w:pPr>
      <w:r>
        <w:rPr>
          <w:rFonts w:ascii="Arial" w:cs="Arial" w:eastAsia="Arial" w:hAnsi="Arial"/>
          <w:sz w:val="14"/>
          <w:szCs w:val="14"/>
          <w:color w:val="010000"/>
        </w:rPr>
        <w:t xml:space="preserve">8.9 </w:t>
      </w:r>
      <w:r>
        <w:rPr>
          <w:rFonts w:ascii="Arial" w:cs="Arial" w:eastAsia="Arial" w:hAnsi="Arial"/>
          <w:sz w:val="14"/>
          <w:szCs w:val="14"/>
          <w:b w:val="1"/>
          <w:bCs w:val="1"/>
          <w:u w:val="single" w:color="auto"/>
          <w:color w:val="000000"/>
        </w:rPr>
        <w:t>Preparation of Agreement</w:t>
      </w:r>
      <w:r>
        <w:rPr>
          <w:rFonts w:ascii="Arial" w:cs="Arial" w:eastAsia="Arial" w:hAnsi="Arial"/>
          <w:sz w:val="14"/>
          <w:szCs w:val="14"/>
          <w:color w:val="000000"/>
        </w:rPr>
        <w:t>. This Agreement will be interpreted in accordance with the plain meaning of its terms and not strictly for or against any</w:t>
      </w:r>
      <w:r>
        <w:rPr>
          <w:rFonts w:ascii="Arial" w:cs="Arial" w:eastAsia="Arial" w:hAnsi="Arial"/>
          <w:sz w:val="14"/>
          <w:szCs w:val="14"/>
          <w:color w:val="010000"/>
        </w:rPr>
        <w:t xml:space="preserve"> </w:t>
      </w:r>
      <w:r>
        <w:rPr>
          <w:rFonts w:ascii="Arial" w:cs="Arial" w:eastAsia="Arial" w:hAnsi="Arial"/>
          <w:sz w:val="14"/>
          <w:szCs w:val="14"/>
          <w:color w:val="000000"/>
        </w:rPr>
        <w:t>of the parties hereto. Regardless of which party initially drafted this Agreement, it will not be construed against any one party, and will be construed and enforced as a mutually-prepared document.</w:t>
      </w:r>
    </w:p>
    <w:p>
      <w:pPr>
        <w:spacing w:after="0" w:line="107" w:lineRule="exact"/>
        <w:rPr>
          <w:sz w:val="20"/>
          <w:szCs w:val="20"/>
          <w:color w:val="auto"/>
        </w:rPr>
      </w:pPr>
    </w:p>
    <w:p>
      <w:pPr>
        <w:jc w:val="both"/>
        <w:ind w:right="20" w:firstLine="865"/>
        <w:spacing w:after="0" w:line="254" w:lineRule="auto"/>
        <w:rPr>
          <w:sz w:val="20"/>
          <w:szCs w:val="20"/>
          <w:color w:val="auto"/>
        </w:rPr>
      </w:pPr>
      <w:r>
        <w:rPr>
          <w:rFonts w:ascii="Arial" w:cs="Arial" w:eastAsia="Arial" w:hAnsi="Arial"/>
          <w:sz w:val="14"/>
          <w:szCs w:val="14"/>
          <w:color w:val="010000"/>
        </w:rPr>
        <w:t xml:space="preserve">8.10 </w:t>
      </w:r>
      <w:r>
        <w:rPr>
          <w:rFonts w:ascii="Arial" w:cs="Arial" w:eastAsia="Arial" w:hAnsi="Arial"/>
          <w:sz w:val="14"/>
          <w:szCs w:val="14"/>
          <w:b w:val="1"/>
          <w:bCs w:val="1"/>
          <w:u w:val="single" w:color="auto"/>
          <w:color w:val="000000"/>
        </w:rPr>
        <w:t>Entire Agreement</w:t>
      </w:r>
      <w:r>
        <w:rPr>
          <w:rFonts w:ascii="Arial" w:cs="Arial" w:eastAsia="Arial" w:hAnsi="Arial"/>
          <w:sz w:val="14"/>
          <w:szCs w:val="14"/>
          <w:color w:val="000000"/>
        </w:rPr>
        <w:t>. This Agreement constitutes the entire agreement between you and the Company with respect to the subjects addressed herein,</w:t>
      </w:r>
      <w:r>
        <w:rPr>
          <w:rFonts w:ascii="Arial" w:cs="Arial" w:eastAsia="Arial" w:hAnsi="Arial"/>
          <w:sz w:val="14"/>
          <w:szCs w:val="14"/>
          <w:color w:val="010000"/>
        </w:rPr>
        <w:t xml:space="preserve"> </w:t>
      </w:r>
      <w:r>
        <w:rPr>
          <w:rFonts w:ascii="Arial" w:cs="Arial" w:eastAsia="Arial" w:hAnsi="Arial"/>
          <w:sz w:val="14"/>
          <w:szCs w:val="14"/>
          <w:color w:val="000000"/>
        </w:rPr>
        <w:t>and together with the Restrictive Covenants that survive, and the Reaffirmation Agreement supersede all prior agreements, understandings and representations, written or oral, with respect to those subjects, including, but not limited to the, Employment Agreement. Without limiting the generality of the foregoing, you acknowledge that the Employment Agreement will be terminated upon the effectiveness of this Agreement.</w:t>
      </w:r>
    </w:p>
    <w:p>
      <w:pPr>
        <w:spacing w:after="0" w:line="111" w:lineRule="exact"/>
        <w:rPr>
          <w:sz w:val="20"/>
          <w:szCs w:val="20"/>
          <w:color w:val="auto"/>
        </w:rPr>
      </w:pPr>
    </w:p>
    <w:p>
      <w:pPr>
        <w:jc w:val="both"/>
        <w:ind w:right="20" w:firstLine="865"/>
        <w:spacing w:after="0" w:line="260" w:lineRule="auto"/>
        <w:rPr>
          <w:sz w:val="20"/>
          <w:szCs w:val="20"/>
          <w:color w:val="auto"/>
        </w:rPr>
      </w:pPr>
      <w:r>
        <w:rPr>
          <w:rFonts w:ascii="Arial" w:cs="Arial" w:eastAsia="Arial" w:hAnsi="Arial"/>
          <w:sz w:val="14"/>
          <w:szCs w:val="14"/>
          <w:color w:val="010000"/>
        </w:rPr>
        <w:t xml:space="preserve">8.11 </w:t>
      </w:r>
      <w:r>
        <w:rPr>
          <w:rFonts w:ascii="Arial" w:cs="Arial" w:eastAsia="Arial" w:hAnsi="Arial"/>
          <w:sz w:val="14"/>
          <w:szCs w:val="14"/>
          <w:b w:val="1"/>
          <w:bCs w:val="1"/>
          <w:u w:val="single" w:color="auto"/>
          <w:color w:val="000000"/>
        </w:rPr>
        <w:t>Legal Fees</w:t>
      </w:r>
      <w:r>
        <w:rPr>
          <w:rFonts w:ascii="Arial" w:cs="Arial" w:eastAsia="Arial" w:hAnsi="Arial"/>
          <w:sz w:val="14"/>
          <w:szCs w:val="14"/>
          <w:color w:val="000000"/>
        </w:rPr>
        <w:t>. The Company will reimburse you for the legal fees, incurred by you in connection with the negotiation and execution of this</w:t>
      </w:r>
      <w:r>
        <w:rPr>
          <w:rFonts w:ascii="Arial" w:cs="Arial" w:eastAsia="Arial" w:hAnsi="Arial"/>
          <w:sz w:val="14"/>
          <w:szCs w:val="14"/>
          <w:color w:val="010000"/>
        </w:rPr>
        <w:t xml:space="preserve"> </w:t>
      </w:r>
      <w:r>
        <w:rPr>
          <w:rFonts w:ascii="Arial" w:cs="Arial" w:eastAsia="Arial" w:hAnsi="Arial"/>
          <w:sz w:val="14"/>
          <w:szCs w:val="14"/>
          <w:color w:val="000000"/>
        </w:rPr>
        <w:t>Agreement, up to a maximum of $5,000. Such reimbursement will be made by the Company within twenty business days of your submission to the Company of an invoice or invoices from counsel, which submission will be made no later than June 15, 2014.</w:t>
      </w:r>
    </w:p>
    <w:p>
      <w:pPr>
        <w:spacing w:after="0" w:line="107" w:lineRule="exact"/>
        <w:rPr>
          <w:sz w:val="20"/>
          <w:szCs w:val="20"/>
          <w:color w:val="auto"/>
        </w:rPr>
      </w:pPr>
    </w:p>
    <w:p>
      <w:pPr>
        <w:jc w:val="both"/>
        <w:ind w:right="20" w:firstLine="865"/>
        <w:spacing w:after="0" w:line="279" w:lineRule="auto"/>
        <w:rPr>
          <w:sz w:val="20"/>
          <w:szCs w:val="20"/>
          <w:color w:val="auto"/>
        </w:rPr>
      </w:pPr>
      <w:r>
        <w:rPr>
          <w:rFonts w:ascii="Arial" w:cs="Arial" w:eastAsia="Arial" w:hAnsi="Arial"/>
          <w:sz w:val="14"/>
          <w:szCs w:val="14"/>
          <w:color w:val="010000"/>
        </w:rPr>
        <w:t xml:space="preserve">8.12 </w:t>
      </w:r>
      <w:r>
        <w:rPr>
          <w:rFonts w:ascii="Arial" w:cs="Arial" w:eastAsia="Arial" w:hAnsi="Arial"/>
          <w:sz w:val="14"/>
          <w:szCs w:val="14"/>
          <w:b w:val="1"/>
          <w:bCs w:val="1"/>
          <w:u w:val="single" w:color="auto"/>
          <w:color w:val="000000"/>
        </w:rPr>
        <w:t>Counterparts</w:t>
      </w:r>
      <w:r>
        <w:rPr>
          <w:rFonts w:ascii="Arial" w:cs="Arial" w:eastAsia="Arial" w:hAnsi="Arial"/>
          <w:sz w:val="14"/>
          <w:szCs w:val="14"/>
          <w:color w:val="000000"/>
        </w:rPr>
        <w:t>. This Agreement may be executed in counterparts, each of which will be deemed an original, and which together will be deemed to</w:t>
      </w:r>
      <w:r>
        <w:rPr>
          <w:rFonts w:ascii="Arial" w:cs="Arial" w:eastAsia="Arial" w:hAnsi="Arial"/>
          <w:sz w:val="14"/>
          <w:szCs w:val="14"/>
          <w:color w:val="010000"/>
        </w:rPr>
        <w:t xml:space="preserve"> </w:t>
      </w:r>
      <w:r>
        <w:rPr>
          <w:rFonts w:ascii="Arial" w:cs="Arial" w:eastAsia="Arial" w:hAnsi="Arial"/>
          <w:sz w:val="14"/>
          <w:szCs w:val="14"/>
          <w:color w:val="000000"/>
        </w:rPr>
        <w:t>be one and the same instrument.</w:t>
      </w:r>
    </w:p>
    <w:p>
      <w:pPr>
        <w:spacing w:after="0" w:line="94" w:lineRule="exact"/>
        <w:rPr>
          <w:sz w:val="20"/>
          <w:szCs w:val="20"/>
          <w:color w:val="auto"/>
        </w:rPr>
      </w:pPr>
    </w:p>
    <w:p>
      <w:pPr>
        <w:jc w:val="both"/>
        <w:ind w:right="20" w:firstLine="429"/>
        <w:spacing w:after="0" w:line="260" w:lineRule="auto"/>
        <w:tabs>
          <w:tab w:leader="none" w:pos="585" w:val="left"/>
        </w:tabs>
        <w:numPr>
          <w:ilvl w:val="0"/>
          <w:numId w:val="191"/>
        </w:numPr>
        <w:rPr>
          <w:rFonts w:ascii="Arial" w:cs="Arial" w:eastAsia="Arial" w:hAnsi="Arial"/>
          <w:sz w:val="14"/>
          <w:szCs w:val="14"/>
          <w:color w:val="010000"/>
        </w:rPr>
      </w:pPr>
      <w:r>
        <w:rPr>
          <w:rFonts w:ascii="Arial" w:cs="Arial" w:eastAsia="Arial" w:hAnsi="Arial"/>
          <w:sz w:val="14"/>
          <w:szCs w:val="14"/>
          <w:b w:val="1"/>
          <w:bCs w:val="1"/>
          <w:color w:val="auto"/>
        </w:rPr>
        <w:t xml:space="preserve">Consultation with Attorney; Voluntary Agreement. </w:t>
      </w:r>
      <w:r>
        <w:rPr>
          <w:rFonts w:ascii="Arial" w:cs="Arial" w:eastAsia="Arial" w:hAnsi="Arial"/>
          <w:sz w:val="14"/>
          <w:szCs w:val="14"/>
          <w:color w:val="auto"/>
        </w:rPr>
        <w:t>You understand and agree that you have the right and have been given the opportunity to review this</w:t>
      </w:r>
      <w:r>
        <w:rPr>
          <w:rFonts w:ascii="Arial" w:cs="Arial" w:eastAsia="Arial" w:hAnsi="Arial"/>
          <w:sz w:val="14"/>
          <w:szCs w:val="14"/>
          <w:b w:val="1"/>
          <w:bCs w:val="1"/>
          <w:color w:val="auto"/>
        </w:rPr>
        <w:t xml:space="preserve"> </w:t>
      </w:r>
      <w:r>
        <w:rPr>
          <w:rFonts w:ascii="Arial" w:cs="Arial" w:eastAsia="Arial" w:hAnsi="Arial"/>
          <w:sz w:val="14"/>
          <w:szCs w:val="14"/>
          <w:color w:val="auto"/>
        </w:rPr>
        <w:t>Agreement and, specifically, the Release set forth in Section 7 above, with an attorney of your choice. You also understand and agree that you are under no obligation to consent to the Release. You</w:t>
      </w:r>
    </w:p>
    <w:p>
      <w:pPr>
        <w:spacing w:after="0" w:line="111" w:lineRule="exact"/>
        <w:rPr>
          <w:sz w:val="20"/>
          <w:szCs w:val="20"/>
          <w:color w:val="auto"/>
        </w:rPr>
      </w:pPr>
    </w:p>
    <w:p>
      <w:pPr>
        <w:jc w:val="center"/>
        <w:ind w:right="-419"/>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42545</wp:posOffset>
            </wp:positionV>
            <wp:extent cx="6231255"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231255" cy="42545"/>
                    </a:xfrm>
                    <a:prstGeom prst="rect">
                      <a:avLst/>
                    </a:prstGeom>
                    <a:noFill/>
                  </pic:spPr>
                </pic:pic>
              </a:graphicData>
            </a:graphic>
          </wp:anchor>
        </w:drawing>
      </w:r>
    </w:p>
    <w:p>
      <w:pPr>
        <w:sectPr>
          <w:pgSz w:w="11900" w:h="16838" w:orient="portrait"/>
          <w:cols w:equalWidth="0" w:num="1">
            <w:col w:w="9760"/>
          </w:cols>
          <w:pgMar w:left="1080" w:top="126" w:right="1059" w:bottom="1440" w:gutter="0" w:footer="0" w:header="0"/>
        </w:sectPr>
      </w:pPr>
    </w:p>
    <w:bookmarkStart w:id="193" w:name="page194"/>
    <w:bookmarkEnd w:id="193"/>
    <w:p>
      <w:pPr>
        <w:jc w:val="both"/>
        <w:ind w:left="420"/>
        <w:spacing w:after="0" w:line="246" w:lineRule="auto"/>
        <w:rPr>
          <w:sz w:val="20"/>
          <w:szCs w:val="20"/>
          <w:color w:val="auto"/>
        </w:rPr>
      </w:pPr>
      <w:r>
        <w:rPr>
          <w:rFonts w:ascii="Arial" w:cs="Arial" w:eastAsia="Arial" w:hAnsi="Arial"/>
          <w:sz w:val="14"/>
          <w:szCs w:val="14"/>
          <w:color w:val="auto"/>
        </w:rPr>
        <w:t>acknowledge that you have read this Agreement and the Release and understand their terms and that you enter into this Agreement freely, voluntarily, and without coercion. You acknowledge that you have been given at least twenty-one (21) days during which to review and consider the provisions of this Agreement and, specifically, the Release set forth in Section 7 above, although you may sign and return it sooner if you so desire. You further acknowledge that you have been advised by the Company that you have the right to revoke this Agreement for a period of seven (7) days after signing it (the “</w:t>
      </w:r>
      <w:r>
        <w:rPr>
          <w:rFonts w:ascii="Arial" w:cs="Arial" w:eastAsia="Arial" w:hAnsi="Arial"/>
          <w:sz w:val="14"/>
          <w:szCs w:val="14"/>
          <w:b w:val="1"/>
          <w:bCs w:val="1"/>
          <w:color w:val="auto"/>
        </w:rPr>
        <w:t>Revocation Period</w:t>
      </w:r>
      <w:r>
        <w:rPr>
          <w:rFonts w:ascii="Arial" w:cs="Arial" w:eastAsia="Arial" w:hAnsi="Arial"/>
          <w:sz w:val="14"/>
          <w:szCs w:val="14"/>
          <w:color w:val="auto"/>
        </w:rPr>
        <w:t>”). You acknowledge and agree that, if you wish to revoke this Agreement, you must do so in a writing, signed by you and received by the Company to the attention of James J. Cotter, Jr., President, no later than 5:00 p.m. Pacific Time on the seventh (7th) day of the Revocation Period. If no such revocation occurs, the General Release and this Agreement will become effective on the eighth (8th) day following your execution of this Agreement. You further acknowledge and agree that, in the event that you revoke this Agreement, it will have no force or effect.</w:t>
      </w:r>
    </w:p>
    <w:p>
      <w:pPr>
        <w:spacing w:after="0" w:line="117" w:lineRule="exact"/>
        <w:rPr>
          <w:sz w:val="20"/>
          <w:szCs w:val="20"/>
          <w:color w:val="auto"/>
        </w:rPr>
      </w:pPr>
    </w:p>
    <w:p>
      <w:pPr>
        <w:jc w:val="both"/>
        <w:ind w:firstLine="429"/>
        <w:spacing w:after="0" w:line="260" w:lineRule="auto"/>
        <w:tabs>
          <w:tab w:leader="none" w:pos="684" w:val="left"/>
        </w:tabs>
        <w:numPr>
          <w:ilvl w:val="0"/>
          <w:numId w:val="192"/>
        </w:numPr>
        <w:rPr>
          <w:rFonts w:ascii="Arial" w:cs="Arial" w:eastAsia="Arial" w:hAnsi="Arial"/>
          <w:sz w:val="14"/>
          <w:szCs w:val="14"/>
          <w:color w:val="010000"/>
        </w:rPr>
      </w:pPr>
      <w:r>
        <w:rPr>
          <w:rFonts w:ascii="Arial" w:cs="Arial" w:eastAsia="Arial" w:hAnsi="Arial"/>
          <w:sz w:val="14"/>
          <w:szCs w:val="14"/>
          <w:b w:val="1"/>
          <w:bCs w:val="1"/>
          <w:color w:val="auto"/>
        </w:rPr>
        <w:t>Other Representations</w:t>
      </w:r>
      <w:r>
        <w:rPr>
          <w:rFonts w:ascii="Arial" w:cs="Arial" w:eastAsia="Arial" w:hAnsi="Arial"/>
          <w:sz w:val="14"/>
          <w:szCs w:val="14"/>
          <w:color w:val="auto"/>
        </w:rPr>
        <w:t>. You agree to execute such documents and take such actions as may be necessary or desirable to further effectuate the</w:t>
      </w:r>
      <w:r>
        <w:rPr>
          <w:rFonts w:ascii="Arial" w:cs="Arial" w:eastAsia="Arial" w:hAnsi="Arial"/>
          <w:sz w:val="14"/>
          <w:szCs w:val="14"/>
          <w:b w:val="1"/>
          <w:bCs w:val="1"/>
          <w:color w:val="auto"/>
        </w:rPr>
        <w:t xml:space="preserve"> </w:t>
      </w:r>
      <w:r>
        <w:rPr>
          <w:rFonts w:ascii="Arial" w:cs="Arial" w:eastAsia="Arial" w:hAnsi="Arial"/>
          <w:sz w:val="14"/>
          <w:szCs w:val="14"/>
          <w:color w:val="auto"/>
        </w:rPr>
        <w:t>foregoing. Executive, by his initials set forth below, acknowledges and agrees that he was given a copy of this Agreement on the 20th day of May, 2014, to review and consider execution of the terms and conditions contained herein.</w:t>
      </w:r>
    </w:p>
    <w:p>
      <w:pPr>
        <w:spacing w:after="0" w:line="111" w:lineRule="exact"/>
        <w:rPr>
          <w:sz w:val="20"/>
          <w:szCs w:val="20"/>
          <w:color w:val="auto"/>
        </w:rPr>
      </w:pPr>
    </w:p>
    <w:p>
      <w:pPr>
        <w:ind w:left="3020"/>
        <w:spacing w:after="0"/>
        <w:rPr>
          <w:sz w:val="20"/>
          <w:szCs w:val="20"/>
          <w:color w:val="auto"/>
        </w:rPr>
      </w:pPr>
      <w:r>
        <w:rPr>
          <w:rFonts w:ascii="Arial" w:cs="Arial" w:eastAsia="Arial" w:hAnsi="Arial"/>
          <w:sz w:val="14"/>
          <w:szCs w:val="14"/>
          <w:color w:val="auto"/>
        </w:rPr>
        <w:t>__</w:t>
      </w:r>
      <w:r>
        <w:rPr>
          <w:rFonts w:ascii="Arial" w:cs="Arial" w:eastAsia="Arial" w:hAnsi="Arial"/>
          <w:sz w:val="14"/>
          <w:szCs w:val="14"/>
          <w:u w:val="single" w:color="auto"/>
          <w:color w:val="auto"/>
        </w:rPr>
        <w:t>/S/ AJM</w:t>
      </w:r>
      <w:r>
        <w:rPr>
          <w:rFonts w:ascii="Arial" w:cs="Arial" w:eastAsia="Arial" w:hAnsi="Arial"/>
          <w:sz w:val="14"/>
          <w:szCs w:val="14"/>
          <w:color w:val="auto"/>
        </w:rPr>
        <w:t>___________</w:t>
      </w:r>
    </w:p>
    <w:p>
      <w:pPr>
        <w:spacing w:after="0" w:line="13" w:lineRule="exact"/>
        <w:rPr>
          <w:sz w:val="20"/>
          <w:szCs w:val="20"/>
          <w:color w:val="auto"/>
        </w:rPr>
      </w:pPr>
    </w:p>
    <w:p>
      <w:pPr>
        <w:ind w:left="3020"/>
        <w:spacing w:after="0"/>
        <w:rPr>
          <w:sz w:val="20"/>
          <w:szCs w:val="20"/>
          <w:color w:val="auto"/>
        </w:rPr>
      </w:pPr>
      <w:r>
        <w:rPr>
          <w:rFonts w:ascii="Arial" w:cs="Arial" w:eastAsia="Arial" w:hAnsi="Arial"/>
          <w:sz w:val="14"/>
          <w:szCs w:val="14"/>
          <w:color w:val="auto"/>
        </w:rPr>
        <w:t>Executive’s Initials</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[Signature page follows]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42545</wp:posOffset>
            </wp:positionV>
            <wp:extent cx="6231255"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231255" cy="42545"/>
                    </a:xfrm>
                    <a:prstGeom prst="rect">
                      <a:avLst/>
                    </a:prstGeom>
                    <a:noFill/>
                  </pic:spPr>
                </pic:pic>
              </a:graphicData>
            </a:graphic>
          </wp:anchor>
        </w:drawing>
      </w:r>
    </w:p>
    <w:p>
      <w:pPr>
        <w:sectPr>
          <w:pgSz w:w="11900" w:h="16838" w:orient="portrait"/>
          <w:cols w:equalWidth="0" w:num="1">
            <w:col w:w="9760"/>
          </w:cols>
          <w:pgMar w:left="1080" w:top="126" w:right="1059" w:bottom="1440" w:gutter="0" w:footer="0" w:header="0"/>
        </w:sectPr>
      </w:pPr>
    </w:p>
    <w:bookmarkStart w:id="194" w:name="page195"/>
    <w:bookmarkEnd w:id="194"/>
    <w:p>
      <w:pPr>
        <w:jc w:val="center"/>
        <w:spacing w:after="0"/>
        <w:rPr>
          <w:sz w:val="20"/>
          <w:szCs w:val="20"/>
          <w:color w:val="auto"/>
        </w:rPr>
      </w:pPr>
      <w:r>
        <w:rPr>
          <w:rFonts w:ascii="Arial" w:cs="Arial" w:eastAsia="Arial" w:hAnsi="Arial"/>
          <w:sz w:val="14"/>
          <w:szCs w:val="14"/>
          <w:b w:val="1"/>
          <w:bCs w:val="1"/>
          <w:u w:val="single" w:color="auto"/>
          <w:color w:val="auto"/>
        </w:rPr>
        <w:t>READ CAREFULLY BEFORE SIGNING</w:t>
      </w:r>
    </w:p>
    <w:p>
      <w:pPr>
        <w:spacing w:after="0" w:line="200" w:lineRule="exact"/>
        <w:rPr>
          <w:sz w:val="20"/>
          <w:szCs w:val="20"/>
          <w:color w:val="auto"/>
        </w:rPr>
      </w:pPr>
    </w:p>
    <w:p>
      <w:pPr>
        <w:spacing w:after="0" w:line="251" w:lineRule="exact"/>
        <w:rPr>
          <w:sz w:val="20"/>
          <w:szCs w:val="20"/>
          <w:color w:val="auto"/>
        </w:rPr>
      </w:pPr>
    </w:p>
    <w:p>
      <w:pPr>
        <w:jc w:val="both"/>
        <w:spacing w:after="0" w:line="251" w:lineRule="auto"/>
        <w:rPr>
          <w:sz w:val="20"/>
          <w:szCs w:val="20"/>
          <w:color w:val="auto"/>
        </w:rPr>
      </w:pPr>
      <w:r>
        <w:rPr>
          <w:rFonts w:ascii="Arial" w:cs="Arial" w:eastAsia="Arial" w:hAnsi="Arial"/>
          <w:sz w:val="14"/>
          <w:szCs w:val="14"/>
          <w:b w:val="1"/>
          <w:bCs w:val="1"/>
          <w:color w:val="auto"/>
        </w:rPr>
        <w:t>THIS SEPARATION AND RELEASE AGREEMENT INCLUDES A RELEASE OF ALL KNOWN AND UNKNOWN CLAIMS AND A WAIVER OF YOUR RIGHTS UNDER THE AGE DISCRIMINATION IN EMPLOYMENT ACT AS WELL AS OTHER FEDERAL, STATE AND LOCAL LAWS PROTECTING EMPLOYEE RIGHTS. IF YOU SIGN THIS AGREEMENT, YOU ARE WAIVING ALL OF YOUR RIGHTS TO ASSERT ANY CLAIMS UNDER THESE LAWS. PLEASE READ THIS AGREEMENT CAREFULLY AND SEEK THE ADVICE OF AN ATTORNEY REGARDING THE LEGAL EFFECT OF SIGNING THIS AGREEMENT.</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4"/>
          <w:szCs w:val="14"/>
          <w:color w:val="auto"/>
        </w:rPr>
        <w:t>IN WITNESS WHEREOF, the parties hereto have executed this Agreement on the day and year written opposite their signature.</w:t>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80" w:type="dxa"/>
            <w:vAlign w:val="bottom"/>
          </w:tcPr>
          <w:p>
            <w:pPr>
              <w:spacing w:after="0"/>
              <w:rPr>
                <w:sz w:val="15"/>
                <w:szCs w:val="15"/>
                <w:color w:val="auto"/>
              </w:rPr>
            </w:pPr>
          </w:p>
        </w:tc>
        <w:tc>
          <w:tcPr>
            <w:tcW w:w="2240" w:type="dxa"/>
            <w:vAlign w:val="bottom"/>
            <w:gridSpan w:val="2"/>
          </w:tcPr>
          <w:p>
            <w:pPr>
              <w:ind w:left="9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i w:val="1"/>
                <w:iCs w:val="1"/>
                <w:color w:val="auto"/>
              </w:rPr>
              <w:t>Executive</w:t>
            </w:r>
            <w:r>
              <w:rPr>
                <w:rFonts w:ascii="Arial" w:cs="Arial" w:eastAsia="Arial" w:hAnsi="Arial"/>
                <w:sz w:val="14"/>
                <w:szCs w:val="14"/>
                <w:color w:val="auto"/>
              </w:rPr>
              <w:t>”</w:t>
            </w:r>
          </w:p>
        </w:tc>
        <w:tc>
          <w:tcPr>
            <w:tcW w:w="9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435"/>
        </w:trPr>
        <w:tc>
          <w:tcPr>
            <w:tcW w:w="2080" w:type="dxa"/>
            <w:vAlign w:val="bottom"/>
          </w:tcPr>
          <w:p>
            <w:pPr>
              <w:spacing w:after="0"/>
              <w:rPr>
                <w:sz w:val="20"/>
                <w:szCs w:val="20"/>
                <w:color w:val="auto"/>
              </w:rPr>
            </w:pPr>
            <w:r>
              <w:rPr>
                <w:rFonts w:ascii="Arial" w:cs="Arial" w:eastAsia="Arial" w:hAnsi="Arial"/>
                <w:sz w:val="14"/>
                <w:szCs w:val="14"/>
                <w:color w:val="auto"/>
              </w:rPr>
              <w:t>Date: May 30, 2014</w:t>
            </w:r>
          </w:p>
        </w:tc>
        <w:tc>
          <w:tcPr>
            <w:tcW w:w="2240" w:type="dxa"/>
            <w:vAlign w:val="bottom"/>
            <w:gridSpan w:val="2"/>
          </w:tcPr>
          <w:p>
            <w:pPr>
              <w:ind w:left="1800"/>
              <w:spacing w:after="0"/>
              <w:rPr>
                <w:sz w:val="20"/>
                <w:szCs w:val="20"/>
                <w:color w:val="auto"/>
              </w:rPr>
            </w:pPr>
            <w:r>
              <w:rPr>
                <w:rFonts w:ascii="Arial" w:cs="Arial" w:eastAsia="Arial" w:hAnsi="Arial"/>
                <w:sz w:val="14"/>
                <w:szCs w:val="14"/>
                <w:color w:val="auto"/>
              </w:rPr>
              <w:t>___/s/</w:t>
            </w:r>
          </w:p>
        </w:tc>
        <w:tc>
          <w:tcPr>
            <w:tcW w:w="1840" w:type="dxa"/>
            <w:vAlign w:val="bottom"/>
            <w:gridSpan w:val="3"/>
          </w:tcPr>
          <w:p>
            <w:pPr>
              <w:jc w:val="right"/>
              <w:spacing w:after="0"/>
              <w:rPr>
                <w:sz w:val="20"/>
                <w:szCs w:val="20"/>
                <w:color w:val="auto"/>
              </w:rPr>
            </w:pPr>
            <w:r>
              <w:rPr>
                <w:rFonts w:ascii="Arial" w:cs="Arial" w:eastAsia="Arial" w:hAnsi="Arial"/>
                <w:sz w:val="14"/>
                <w:szCs w:val="14"/>
                <w:color w:val="auto"/>
                <w:w w:val="95"/>
              </w:rPr>
              <w:t>Andrzej Matyczynski________</w:t>
            </w:r>
          </w:p>
        </w:tc>
      </w:tr>
      <w:tr>
        <w:trPr>
          <w:trHeight w:val="20"/>
        </w:trPr>
        <w:tc>
          <w:tcPr>
            <w:tcW w:w="2080" w:type="dxa"/>
            <w:vAlign w:val="bottom"/>
          </w:tcPr>
          <w:p>
            <w:pPr>
              <w:spacing w:after="0" w:line="20" w:lineRule="exact"/>
              <w:rPr>
                <w:sz w:val="1"/>
                <w:szCs w:val="1"/>
                <w:color w:val="auto"/>
              </w:rPr>
            </w:pPr>
          </w:p>
        </w:tc>
        <w:tc>
          <w:tcPr>
            <w:tcW w:w="2080" w:type="dxa"/>
            <w:vAlign w:val="bottom"/>
            <w:tcBorders>
              <w:right w:val="single" w:sz="8" w:color="auto"/>
            </w:tcBorders>
          </w:tcPr>
          <w:p>
            <w:pPr>
              <w:spacing w:after="0" w:line="20" w:lineRule="exact"/>
              <w:rPr>
                <w:sz w:val="1"/>
                <w:szCs w:val="1"/>
                <w:color w:val="auto"/>
              </w:rPr>
            </w:pPr>
          </w:p>
        </w:tc>
        <w:tc>
          <w:tcPr>
            <w:tcW w:w="1120" w:type="dxa"/>
            <w:vAlign w:val="bottom"/>
            <w:gridSpan w:val="2"/>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75"/>
        </w:trPr>
        <w:tc>
          <w:tcPr>
            <w:tcW w:w="2080" w:type="dxa"/>
            <w:vAlign w:val="bottom"/>
          </w:tcPr>
          <w:p>
            <w:pPr>
              <w:spacing w:after="0"/>
              <w:rPr>
                <w:sz w:val="15"/>
                <w:szCs w:val="15"/>
                <w:color w:val="auto"/>
              </w:rPr>
            </w:pPr>
          </w:p>
        </w:tc>
        <w:tc>
          <w:tcPr>
            <w:tcW w:w="4080" w:type="dxa"/>
            <w:vAlign w:val="bottom"/>
            <w:gridSpan w:val="5"/>
          </w:tcPr>
          <w:p>
            <w:pPr>
              <w:ind w:left="940"/>
              <w:spacing w:after="0"/>
              <w:rPr>
                <w:sz w:val="20"/>
                <w:szCs w:val="20"/>
                <w:color w:val="auto"/>
              </w:rPr>
            </w:pPr>
            <w:r>
              <w:rPr>
                <w:rFonts w:ascii="Arial" w:cs="Arial" w:eastAsia="Arial" w:hAnsi="Arial"/>
                <w:sz w:val="14"/>
                <w:szCs w:val="14"/>
                <w:color w:val="auto"/>
              </w:rPr>
              <w:t>Andrzej Matyczynski, an individual</w:t>
            </w:r>
          </w:p>
        </w:tc>
      </w:tr>
      <w:tr>
        <w:trPr>
          <w:trHeight w:val="592"/>
        </w:trPr>
        <w:tc>
          <w:tcPr>
            <w:tcW w:w="2080" w:type="dxa"/>
            <w:vAlign w:val="bottom"/>
          </w:tcPr>
          <w:p>
            <w:pPr>
              <w:spacing w:after="0"/>
              <w:rPr>
                <w:sz w:val="24"/>
                <w:szCs w:val="24"/>
                <w:color w:val="auto"/>
              </w:rPr>
            </w:pPr>
          </w:p>
        </w:tc>
        <w:tc>
          <w:tcPr>
            <w:tcW w:w="2240" w:type="dxa"/>
            <w:vAlign w:val="bottom"/>
            <w:gridSpan w:val="2"/>
          </w:tcPr>
          <w:p>
            <w:pPr>
              <w:ind w:left="9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i w:val="1"/>
                <w:iCs w:val="1"/>
                <w:color w:val="auto"/>
              </w:rPr>
              <w:t>Compan</w:t>
            </w:r>
            <w:r>
              <w:rPr>
                <w:rFonts w:ascii="Arial" w:cs="Arial" w:eastAsia="Arial" w:hAnsi="Arial"/>
                <w:sz w:val="14"/>
                <w:szCs w:val="14"/>
                <w:color w:val="auto"/>
              </w:rPr>
              <w:t>y”</w:t>
            </w: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82"/>
        </w:trPr>
        <w:tc>
          <w:tcPr>
            <w:tcW w:w="2080" w:type="dxa"/>
            <w:vAlign w:val="bottom"/>
          </w:tcPr>
          <w:p>
            <w:pPr>
              <w:spacing w:after="0"/>
              <w:rPr>
                <w:sz w:val="15"/>
                <w:szCs w:val="15"/>
                <w:color w:val="auto"/>
              </w:rPr>
            </w:pPr>
          </w:p>
        </w:tc>
        <w:tc>
          <w:tcPr>
            <w:tcW w:w="4080" w:type="dxa"/>
            <w:vAlign w:val="bottom"/>
            <w:gridSpan w:val="5"/>
          </w:tcPr>
          <w:p>
            <w:pPr>
              <w:ind w:left="940"/>
              <w:spacing w:after="0"/>
              <w:rPr>
                <w:sz w:val="20"/>
                <w:szCs w:val="20"/>
                <w:color w:val="auto"/>
              </w:rPr>
            </w:pPr>
            <w:r>
              <w:rPr>
                <w:rFonts w:ascii="Arial" w:cs="Arial" w:eastAsia="Arial" w:hAnsi="Arial"/>
                <w:sz w:val="14"/>
                <w:szCs w:val="14"/>
                <w:color w:val="auto"/>
              </w:rPr>
              <w:t>Reading International, Inc.</w:t>
            </w:r>
          </w:p>
        </w:tc>
      </w:tr>
      <w:tr>
        <w:trPr>
          <w:trHeight w:val="435"/>
        </w:trPr>
        <w:tc>
          <w:tcPr>
            <w:tcW w:w="2080" w:type="dxa"/>
            <w:vAlign w:val="bottom"/>
          </w:tcPr>
          <w:p>
            <w:pPr>
              <w:spacing w:after="0"/>
              <w:rPr>
                <w:sz w:val="20"/>
                <w:szCs w:val="20"/>
                <w:color w:val="auto"/>
              </w:rPr>
            </w:pPr>
            <w:r>
              <w:rPr>
                <w:rFonts w:ascii="Arial" w:cs="Arial" w:eastAsia="Arial" w:hAnsi="Arial"/>
                <w:sz w:val="14"/>
                <w:szCs w:val="14"/>
                <w:color w:val="auto"/>
              </w:rPr>
              <w:t>Date: May 30, 2014</w:t>
            </w:r>
          </w:p>
        </w:tc>
        <w:tc>
          <w:tcPr>
            <w:tcW w:w="2240" w:type="dxa"/>
            <w:vAlign w:val="bottom"/>
            <w:gridSpan w:val="2"/>
          </w:tcPr>
          <w:p>
            <w:pPr>
              <w:ind w:left="1800"/>
              <w:spacing w:after="0"/>
              <w:rPr>
                <w:sz w:val="20"/>
                <w:szCs w:val="20"/>
                <w:color w:val="auto"/>
              </w:rPr>
            </w:pPr>
            <w:r>
              <w:rPr>
                <w:rFonts w:ascii="Arial" w:cs="Arial" w:eastAsia="Arial" w:hAnsi="Arial"/>
                <w:sz w:val="14"/>
                <w:szCs w:val="14"/>
                <w:color w:val="auto"/>
                <w:w w:val="98"/>
              </w:rPr>
              <w:t>By:_/s/</w:t>
            </w:r>
          </w:p>
        </w:tc>
        <w:tc>
          <w:tcPr>
            <w:tcW w:w="1840" w:type="dxa"/>
            <w:vAlign w:val="bottom"/>
            <w:gridSpan w:val="3"/>
          </w:tcPr>
          <w:p>
            <w:pPr>
              <w:jc w:val="right"/>
              <w:spacing w:after="0"/>
              <w:rPr>
                <w:sz w:val="20"/>
                <w:szCs w:val="20"/>
                <w:color w:val="auto"/>
              </w:rPr>
            </w:pPr>
            <w:r>
              <w:rPr>
                <w:rFonts w:ascii="Arial" w:cs="Arial" w:eastAsia="Arial" w:hAnsi="Arial"/>
                <w:sz w:val="14"/>
                <w:szCs w:val="14"/>
                <w:color w:val="auto"/>
                <w:w w:val="95"/>
              </w:rPr>
              <w:t>James J. Cotter____________</w:t>
            </w:r>
          </w:p>
        </w:tc>
      </w:tr>
      <w:tr>
        <w:trPr>
          <w:trHeight w:val="20"/>
        </w:trPr>
        <w:tc>
          <w:tcPr>
            <w:tcW w:w="20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120" w:type="dxa"/>
            <w:vAlign w:val="bottom"/>
            <w:gridSpan w:val="2"/>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r>
      <w:tr>
        <w:trPr>
          <w:trHeight w:val="175"/>
        </w:trPr>
        <w:tc>
          <w:tcPr>
            <w:tcW w:w="2080" w:type="dxa"/>
            <w:vAlign w:val="bottom"/>
          </w:tcPr>
          <w:p>
            <w:pPr>
              <w:spacing w:after="0"/>
              <w:rPr>
                <w:sz w:val="15"/>
                <w:szCs w:val="15"/>
                <w:color w:val="auto"/>
              </w:rPr>
            </w:pPr>
          </w:p>
        </w:tc>
        <w:tc>
          <w:tcPr>
            <w:tcW w:w="4080" w:type="dxa"/>
            <w:vAlign w:val="bottom"/>
            <w:gridSpan w:val="5"/>
          </w:tcPr>
          <w:p>
            <w:pPr>
              <w:ind w:left="1160"/>
              <w:spacing w:after="0"/>
              <w:rPr>
                <w:sz w:val="20"/>
                <w:szCs w:val="20"/>
                <w:color w:val="auto"/>
              </w:rPr>
            </w:pPr>
            <w:r>
              <w:rPr>
                <w:rFonts w:ascii="Arial" w:cs="Arial" w:eastAsia="Arial" w:hAnsi="Arial"/>
                <w:sz w:val="14"/>
                <w:szCs w:val="14"/>
                <w:color w:val="auto"/>
              </w:rPr>
              <w:t>James J. Cotter,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42545</wp:posOffset>
            </wp:positionV>
            <wp:extent cx="6231255"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231255" cy="42545"/>
                    </a:xfrm>
                    <a:prstGeom prst="rect">
                      <a:avLst/>
                    </a:prstGeom>
                    <a:noFill/>
                  </pic:spPr>
                </pic:pic>
              </a:graphicData>
            </a:graphic>
          </wp:anchor>
        </w:drawing>
      </w:r>
    </w:p>
    <w:p>
      <w:pPr>
        <w:sectPr>
          <w:pgSz w:w="11900" w:h="16838" w:orient="portrait"/>
          <w:cols w:equalWidth="0" w:num="1">
            <w:col w:w="9740"/>
          </w:cols>
          <w:pgMar w:left="1080" w:top="122" w:right="1079" w:bottom="1440" w:gutter="0" w:footer="0" w:header="0"/>
        </w:sectPr>
      </w:pPr>
    </w:p>
    <w:bookmarkStart w:id="195" w:name="page196"/>
    <w:bookmarkEnd w:id="195"/>
    <w:p>
      <w:pPr>
        <w:spacing w:after="0"/>
        <w:tabs>
          <w:tab w:leader="none" w:pos="4960" w:val="left"/>
        </w:tabs>
        <w:rPr>
          <w:sz w:val="20"/>
          <w:szCs w:val="20"/>
          <w:color w:val="auto"/>
        </w:rPr>
      </w:pPr>
      <w:r>
        <w:rPr>
          <w:rFonts w:ascii="Arial" w:cs="Arial" w:eastAsia="Arial" w:hAnsi="Arial"/>
          <w:sz w:val="12"/>
          <w:szCs w:val="12"/>
          <w:color w:val="383838"/>
        </w:rPr>
        <w:t>Andrzej Matyczynski</w:t>
      </w:r>
      <w:r>
        <w:rPr>
          <w:sz w:val="20"/>
          <w:szCs w:val="20"/>
          <w:color w:val="auto"/>
        </w:rPr>
        <w:tab/>
      </w:r>
      <w:r>
        <w:rPr>
          <w:rFonts w:ascii="Arial" w:cs="Arial" w:eastAsia="Arial" w:hAnsi="Arial"/>
          <w:sz w:val="12"/>
          <w:szCs w:val="12"/>
          <w:b w:val="1"/>
          <w:bCs w:val="1"/>
          <w:color w:val="383838"/>
        </w:rPr>
        <w:t>EXHIBIT 10.20</w:t>
      </w:r>
    </w:p>
    <w:p>
      <w:pPr>
        <w:spacing w:after="0" w:line="235" w:lineRule="exact"/>
        <w:rPr>
          <w:sz w:val="20"/>
          <w:szCs w:val="20"/>
          <w:color w:val="auto"/>
        </w:rPr>
      </w:pPr>
    </w:p>
    <w:p>
      <w:pPr>
        <w:ind w:left="980"/>
        <w:spacing w:after="0"/>
        <w:rPr>
          <w:sz w:val="20"/>
          <w:szCs w:val="20"/>
          <w:color w:val="auto"/>
        </w:rPr>
      </w:pPr>
      <w:r>
        <w:rPr>
          <w:rFonts w:ascii="Arial" w:cs="Arial" w:eastAsia="Arial" w:hAnsi="Arial"/>
          <w:sz w:val="12"/>
          <w:szCs w:val="12"/>
          <w:color w:val="383838"/>
        </w:rPr>
        <w:t>Re: Amendment of Separation and Release Agreement</w:t>
      </w:r>
    </w:p>
    <w:p>
      <w:pPr>
        <w:spacing w:after="0" w:line="123" w:lineRule="exact"/>
        <w:rPr>
          <w:sz w:val="20"/>
          <w:szCs w:val="20"/>
          <w:color w:val="auto"/>
        </w:rPr>
      </w:pPr>
    </w:p>
    <w:p>
      <w:pPr>
        <w:ind w:left="120"/>
        <w:spacing w:after="0"/>
        <w:rPr>
          <w:sz w:val="20"/>
          <w:szCs w:val="20"/>
          <w:color w:val="auto"/>
        </w:rPr>
      </w:pPr>
      <w:r>
        <w:rPr>
          <w:rFonts w:ascii="Arial" w:cs="Arial" w:eastAsia="Arial" w:hAnsi="Arial"/>
          <w:sz w:val="12"/>
          <w:szCs w:val="12"/>
          <w:color w:val="383838"/>
        </w:rPr>
        <w:t>Dear Mr. Matyczynski,</w:t>
      </w:r>
    </w:p>
    <w:p>
      <w:pPr>
        <w:spacing w:after="0" w:line="177" w:lineRule="exact"/>
        <w:rPr>
          <w:sz w:val="20"/>
          <w:szCs w:val="20"/>
          <w:color w:val="auto"/>
        </w:rPr>
      </w:pPr>
    </w:p>
    <w:p>
      <w:pPr>
        <w:ind w:left="120"/>
        <w:spacing w:after="0"/>
        <w:rPr>
          <w:sz w:val="20"/>
          <w:szCs w:val="20"/>
          <w:color w:val="auto"/>
        </w:rPr>
      </w:pPr>
      <w:r>
        <w:rPr>
          <w:rFonts w:ascii="Arial" w:cs="Arial" w:eastAsia="Arial" w:hAnsi="Arial"/>
          <w:sz w:val="12"/>
          <w:szCs w:val="12"/>
          <w:color w:val="383838"/>
        </w:rPr>
        <w:t>Reference is made to that certain Separation and Release Agreement dated as of May 30, 2014 (the "Separation Agreement"). This letter is to confirm the following:</w:t>
      </w:r>
    </w:p>
    <w:p>
      <w:pPr>
        <w:spacing w:after="0" w:line="128" w:lineRule="exact"/>
        <w:rPr>
          <w:sz w:val="20"/>
          <w:szCs w:val="20"/>
          <w:color w:val="auto"/>
        </w:rPr>
      </w:pPr>
    </w:p>
    <w:p>
      <w:pPr>
        <w:ind w:left="540" w:right="20" w:hanging="207"/>
        <w:spacing w:after="0" w:line="314" w:lineRule="auto"/>
        <w:tabs>
          <w:tab w:leader="none" w:pos="489" w:val="left"/>
        </w:tabs>
        <w:numPr>
          <w:ilvl w:val="0"/>
          <w:numId w:val="193"/>
        </w:numPr>
        <w:rPr>
          <w:rFonts w:ascii="Arial" w:cs="Arial" w:eastAsia="Arial" w:hAnsi="Arial"/>
          <w:sz w:val="12"/>
          <w:szCs w:val="12"/>
          <w:color w:val="383838"/>
        </w:rPr>
      </w:pPr>
      <w:r>
        <w:rPr>
          <w:rFonts w:ascii="Arial" w:cs="Arial" w:eastAsia="Arial" w:hAnsi="Arial"/>
          <w:sz w:val="12"/>
          <w:szCs w:val="12"/>
          <w:color w:val="383838"/>
        </w:rPr>
        <w:t xml:space="preserve">The last sentence of Section 2 is hereby deleted in its entirety and replaced with the following: "Executive's </w:t>
      </w:r>
      <w:r>
        <w:rPr>
          <w:rFonts w:ascii="Arial" w:cs="Arial" w:eastAsia="Arial" w:hAnsi="Arial"/>
          <w:sz w:val="12"/>
          <w:szCs w:val="12"/>
          <w:b w:val="1"/>
          <w:bCs w:val="1"/>
          <w:color w:val="383838"/>
        </w:rPr>
        <w:t>"Retirement Date"</w:t>
      </w:r>
      <w:r>
        <w:rPr>
          <w:rFonts w:ascii="Arial" w:cs="Arial" w:eastAsia="Arial" w:hAnsi="Arial"/>
          <w:sz w:val="12"/>
          <w:szCs w:val="12"/>
          <w:color w:val="383838"/>
        </w:rPr>
        <w:t xml:space="preserve"> will be the last day Services are provided during the period starting on the date of this Agreement and ending on December 1, 2014, or such earlier termination date."</w:t>
      </w:r>
    </w:p>
    <w:p>
      <w:pPr>
        <w:spacing w:after="0" w:line="138" w:lineRule="exact"/>
        <w:rPr>
          <w:rFonts w:ascii="Arial" w:cs="Arial" w:eastAsia="Arial" w:hAnsi="Arial"/>
          <w:sz w:val="12"/>
          <w:szCs w:val="12"/>
          <w:color w:val="383838"/>
        </w:rPr>
      </w:pPr>
    </w:p>
    <w:p>
      <w:pPr>
        <w:ind w:left="480" w:hanging="147"/>
        <w:spacing w:after="0"/>
        <w:tabs>
          <w:tab w:leader="none" w:pos="480" w:val="left"/>
        </w:tabs>
        <w:numPr>
          <w:ilvl w:val="0"/>
          <w:numId w:val="193"/>
        </w:numPr>
        <w:rPr>
          <w:rFonts w:ascii="Arial" w:cs="Arial" w:eastAsia="Arial" w:hAnsi="Arial"/>
          <w:sz w:val="12"/>
          <w:szCs w:val="12"/>
          <w:color w:val="383838"/>
        </w:rPr>
      </w:pPr>
      <w:r>
        <w:rPr>
          <w:rFonts w:ascii="Arial" w:cs="Arial" w:eastAsia="Arial" w:hAnsi="Arial"/>
          <w:sz w:val="12"/>
          <w:szCs w:val="12"/>
          <w:color w:val="383838"/>
        </w:rPr>
        <w:t>The third sentence of Section 4.1(d) is modified to delete the reference to $50,000 and to replace it with the figure $68,750.</w:t>
      </w:r>
    </w:p>
    <w:p>
      <w:pPr>
        <w:spacing w:after="0" w:line="195" w:lineRule="exact"/>
        <w:rPr>
          <w:rFonts w:ascii="Arial" w:cs="Arial" w:eastAsia="Arial" w:hAnsi="Arial"/>
          <w:sz w:val="12"/>
          <w:szCs w:val="12"/>
          <w:color w:val="383838"/>
        </w:rPr>
      </w:pPr>
    </w:p>
    <w:p>
      <w:pPr>
        <w:ind w:left="560" w:hanging="235"/>
        <w:spacing w:after="0" w:line="308" w:lineRule="auto"/>
        <w:tabs>
          <w:tab w:leader="none" w:pos="560" w:val="left"/>
        </w:tabs>
        <w:numPr>
          <w:ilvl w:val="0"/>
          <w:numId w:val="193"/>
        </w:numPr>
        <w:rPr>
          <w:rFonts w:ascii="Arial" w:cs="Arial" w:eastAsia="Arial" w:hAnsi="Arial"/>
          <w:sz w:val="12"/>
          <w:szCs w:val="12"/>
          <w:color w:val="383838"/>
        </w:rPr>
      </w:pPr>
      <w:r>
        <w:rPr>
          <w:rFonts w:ascii="Arial" w:cs="Arial" w:eastAsia="Arial" w:hAnsi="Arial"/>
          <w:sz w:val="12"/>
          <w:szCs w:val="12"/>
          <w:color w:val="383838"/>
        </w:rPr>
        <w:t>Except as specifically provided above, the Separation Agreement remains in full force and effect and has not been modified or amended in any respect, and none of the respective rights or obligations of the parties thereunder have been waived or released.</w:t>
      </w:r>
    </w:p>
    <w:p>
      <w:pPr>
        <w:spacing w:after="0" w:line="258" w:lineRule="exact"/>
        <w:rPr>
          <w:sz w:val="20"/>
          <w:szCs w:val="20"/>
          <w:color w:val="auto"/>
        </w:rPr>
      </w:pPr>
    </w:p>
    <w:p>
      <w:pPr>
        <w:ind w:left="120"/>
        <w:spacing w:after="0"/>
        <w:rPr>
          <w:sz w:val="20"/>
          <w:szCs w:val="20"/>
          <w:color w:val="auto"/>
        </w:rPr>
      </w:pPr>
      <w:r>
        <w:rPr>
          <w:rFonts w:ascii="Arial" w:cs="Arial" w:eastAsia="Arial" w:hAnsi="Arial"/>
          <w:sz w:val="12"/>
          <w:szCs w:val="12"/>
          <w:color w:val="383838"/>
        </w:rPr>
        <w:t>If this correctly states our agreement, please sign and return to us. Thank you for your ongoing time and assistance.</w:t>
      </w:r>
    </w:p>
    <w:p>
      <w:pPr>
        <w:spacing w:after="0" w:line="240" w:lineRule="exact"/>
        <w:rPr>
          <w:sz w:val="20"/>
          <w:szCs w:val="20"/>
          <w:color w:val="auto"/>
        </w:rPr>
      </w:pPr>
    </w:p>
    <w:p>
      <w:pPr>
        <w:ind w:left="100"/>
        <w:spacing w:after="0"/>
        <w:rPr>
          <w:sz w:val="20"/>
          <w:szCs w:val="20"/>
          <w:color w:val="auto"/>
        </w:rPr>
      </w:pPr>
      <w:r>
        <w:rPr>
          <w:rFonts w:ascii="Arial" w:cs="Arial" w:eastAsia="Arial" w:hAnsi="Arial"/>
          <w:sz w:val="12"/>
          <w:szCs w:val="12"/>
          <w:color w:val="auto"/>
        </w:rPr>
        <w:t>Very truly yours,</w:t>
      </w:r>
    </w:p>
    <w:p>
      <w:pPr>
        <w:spacing w:after="0" w:line="96" w:lineRule="exact"/>
        <w:rPr>
          <w:sz w:val="20"/>
          <w:szCs w:val="20"/>
          <w:color w:val="auto"/>
        </w:rPr>
      </w:pPr>
    </w:p>
    <w:p>
      <w:pPr>
        <w:ind w:left="100"/>
        <w:spacing w:after="0"/>
        <w:rPr>
          <w:sz w:val="20"/>
          <w:szCs w:val="20"/>
          <w:color w:val="auto"/>
        </w:rPr>
      </w:pPr>
      <w:r>
        <w:rPr>
          <w:rFonts w:ascii="Arial" w:cs="Arial" w:eastAsia="Arial" w:hAnsi="Arial"/>
          <w:sz w:val="12"/>
          <w:szCs w:val="12"/>
          <w:color w:val="auto"/>
        </w:rPr>
        <w:t>/s/ James J. Cotter</w:t>
      </w:r>
    </w:p>
    <w:p>
      <w:pPr>
        <w:spacing w:after="0" w:line="96" w:lineRule="exact"/>
        <w:rPr>
          <w:sz w:val="20"/>
          <w:szCs w:val="20"/>
          <w:color w:val="auto"/>
        </w:rPr>
      </w:pPr>
    </w:p>
    <w:p>
      <w:pPr>
        <w:ind w:left="100"/>
        <w:spacing w:after="0"/>
        <w:rPr>
          <w:sz w:val="20"/>
          <w:szCs w:val="20"/>
          <w:color w:val="auto"/>
        </w:rPr>
      </w:pPr>
      <w:r>
        <w:rPr>
          <w:rFonts w:ascii="Arial" w:cs="Arial" w:eastAsia="Arial" w:hAnsi="Arial"/>
          <w:sz w:val="12"/>
          <w:szCs w:val="12"/>
          <w:color w:val="auto"/>
        </w:rPr>
        <w:t>James J. Cotter, President</w:t>
      </w:r>
    </w:p>
    <w:p>
      <w:pPr>
        <w:spacing w:after="0" w:line="240" w:lineRule="exact"/>
        <w:rPr>
          <w:sz w:val="20"/>
          <w:szCs w:val="20"/>
          <w:color w:val="auto"/>
        </w:rPr>
      </w:pPr>
    </w:p>
    <w:p>
      <w:pPr>
        <w:ind w:left="100"/>
        <w:spacing w:after="0"/>
        <w:rPr>
          <w:sz w:val="20"/>
          <w:szCs w:val="20"/>
          <w:color w:val="auto"/>
        </w:rPr>
      </w:pPr>
      <w:r>
        <w:rPr>
          <w:rFonts w:ascii="Arial" w:cs="Arial" w:eastAsia="Arial" w:hAnsi="Arial"/>
          <w:sz w:val="12"/>
          <w:szCs w:val="12"/>
          <w:color w:val="auto"/>
        </w:rPr>
        <w:t>ACCEPTED AND AGREED as of this 6</w:t>
      </w:r>
      <w:r>
        <w:rPr>
          <w:rFonts w:ascii="Arial" w:cs="Arial" w:eastAsia="Arial" w:hAnsi="Arial"/>
          <w:sz w:val="5"/>
          <w:szCs w:val="5"/>
          <w:color w:val="auto"/>
        </w:rPr>
        <w:t>th</w:t>
      </w:r>
      <w:r>
        <w:rPr>
          <w:rFonts w:ascii="Arial" w:cs="Arial" w:eastAsia="Arial" w:hAnsi="Arial"/>
          <w:sz w:val="12"/>
          <w:szCs w:val="12"/>
          <w:color w:val="auto"/>
        </w:rPr>
        <w:t xml:space="preserve"> day of August, 2014</w:t>
      </w:r>
    </w:p>
    <w:p>
      <w:pPr>
        <w:spacing w:after="0" w:line="96" w:lineRule="exact"/>
        <w:rPr>
          <w:sz w:val="20"/>
          <w:szCs w:val="20"/>
          <w:color w:val="auto"/>
        </w:rPr>
      </w:pPr>
    </w:p>
    <w:p>
      <w:pPr>
        <w:ind w:left="100"/>
        <w:spacing w:after="0"/>
        <w:rPr>
          <w:sz w:val="20"/>
          <w:szCs w:val="20"/>
          <w:color w:val="auto"/>
        </w:rPr>
      </w:pPr>
      <w:r>
        <w:rPr>
          <w:rFonts w:ascii="Arial" w:cs="Arial" w:eastAsia="Arial" w:hAnsi="Arial"/>
          <w:sz w:val="12"/>
          <w:szCs w:val="12"/>
          <w:color w:val="auto"/>
        </w:rPr>
        <w:t>/s/ Andrzej Matyczynski</w:t>
      </w:r>
    </w:p>
    <w:p>
      <w:pPr>
        <w:spacing w:after="0" w:line="96" w:lineRule="exact"/>
        <w:rPr>
          <w:sz w:val="20"/>
          <w:szCs w:val="20"/>
          <w:color w:val="auto"/>
        </w:rPr>
      </w:pPr>
    </w:p>
    <w:p>
      <w:pPr>
        <w:ind w:left="100"/>
        <w:spacing w:after="0"/>
        <w:rPr>
          <w:sz w:val="20"/>
          <w:szCs w:val="20"/>
          <w:color w:val="auto"/>
        </w:rPr>
      </w:pPr>
      <w:r>
        <w:rPr>
          <w:rFonts w:ascii="Arial" w:cs="Arial" w:eastAsia="Arial" w:hAnsi="Arial"/>
          <w:sz w:val="12"/>
          <w:szCs w:val="12"/>
          <w:color w:val="auto"/>
        </w:rPr>
        <w:t>Andrzej Matyczynski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-354965</wp:posOffset>
            </wp:positionH>
            <wp:positionV relativeFrom="paragraph">
              <wp:posOffset>76835</wp:posOffset>
            </wp:positionV>
            <wp:extent cx="6619875"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619875" cy="42545"/>
                    </a:xfrm>
                    <a:prstGeom prst="rect">
                      <a:avLst/>
                    </a:prstGeom>
                    <a:noFill/>
                  </pic:spPr>
                </pic:pic>
              </a:graphicData>
            </a:graphic>
          </wp:anchor>
        </w:drawing>
      </w:r>
    </w:p>
    <w:p>
      <w:pPr>
        <w:sectPr>
          <w:pgSz w:w="11900" w:h="16838" w:orient="portrait"/>
          <w:cols w:equalWidth="0" w:num="1">
            <w:col w:w="9540"/>
          </w:cols>
          <w:pgMar w:left="1040" w:top="127" w:right="1319" w:bottom="1440" w:gutter="0" w:footer="0" w:header="0"/>
        </w:sectPr>
      </w:pPr>
    </w:p>
    <w:bookmarkStart w:id="196" w:name="page197"/>
    <w:bookmarkEnd w:id="196"/>
    <w:p>
      <w:pPr>
        <w:jc w:val="right"/>
        <w:spacing w:after="0"/>
        <w:rPr>
          <w:sz w:val="20"/>
          <w:szCs w:val="20"/>
          <w:color w:val="auto"/>
        </w:rPr>
      </w:pPr>
      <w:r>
        <w:rPr>
          <w:rFonts w:ascii="Arial" w:cs="Arial" w:eastAsia="Arial" w:hAnsi="Arial"/>
          <w:sz w:val="12"/>
          <w:szCs w:val="12"/>
          <w:b w:val="1"/>
          <w:bCs w:val="1"/>
          <w:color w:val="auto"/>
        </w:rPr>
        <w:t>EXHIBIT 10.21</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SECOND AMENDMENT</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TO</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SEPARATION AND RELEASE AGREEMENT</w:t>
      </w:r>
    </w:p>
    <w:p>
      <w:pPr>
        <w:spacing w:after="0" w:line="375" w:lineRule="exact"/>
        <w:rPr>
          <w:sz w:val="20"/>
          <w:szCs w:val="20"/>
          <w:color w:val="auto"/>
        </w:rPr>
      </w:pPr>
    </w:p>
    <w:p>
      <w:pPr>
        <w:ind w:right="60"/>
        <w:spacing w:after="0" w:line="248" w:lineRule="auto"/>
        <w:rPr>
          <w:sz w:val="20"/>
          <w:szCs w:val="20"/>
          <w:color w:val="auto"/>
        </w:rPr>
      </w:pPr>
      <w:r>
        <w:rPr>
          <w:rFonts w:ascii="Arial" w:cs="Arial" w:eastAsia="Arial" w:hAnsi="Arial"/>
          <w:sz w:val="12"/>
          <w:szCs w:val="12"/>
          <w:color w:val="auto"/>
        </w:rPr>
        <w:t>This second amendment (the “Second Amendment”) is entered into as of this 26</w:t>
      </w:r>
      <w:r>
        <w:rPr>
          <w:rFonts w:ascii="Arial" w:cs="Arial" w:eastAsia="Arial" w:hAnsi="Arial"/>
          <w:sz w:val="5"/>
          <w:szCs w:val="5"/>
          <w:color w:val="auto"/>
        </w:rPr>
        <w:t>th</w:t>
      </w:r>
      <w:r>
        <w:rPr>
          <w:rFonts w:ascii="Arial" w:cs="Arial" w:eastAsia="Arial" w:hAnsi="Arial"/>
          <w:sz w:val="12"/>
          <w:szCs w:val="12"/>
          <w:color w:val="auto"/>
        </w:rPr>
        <w:t xml:space="preserve"> day of November, 2014, by and between Reading International, Inc. (the “Company”) and Andrzej Matyczynski (“Executive”) and amends that certain Separation and Release Agreement dated as of May 30, 2014 (the “Initial SRA”), as previously amended by that certain first amendment of Separation and Release Agreement dated effective August 6, 2014 (the “First Amendment” and collectively with the Initial SRA, the “First Amended SRA”).</w:t>
      </w:r>
    </w:p>
    <w:p>
      <w:pPr>
        <w:spacing w:after="0" w:line="347" w:lineRule="exact"/>
        <w:rPr>
          <w:sz w:val="20"/>
          <w:szCs w:val="20"/>
          <w:color w:val="auto"/>
        </w:rPr>
      </w:pPr>
    </w:p>
    <w:p>
      <w:pPr>
        <w:ind w:right="80"/>
        <w:spacing w:after="0" w:line="248" w:lineRule="auto"/>
        <w:rPr>
          <w:sz w:val="20"/>
          <w:szCs w:val="20"/>
          <w:color w:val="auto"/>
        </w:rPr>
      </w:pPr>
      <w:r>
        <w:rPr>
          <w:rFonts w:ascii="Arial" w:cs="Arial" w:eastAsia="Arial" w:hAnsi="Arial"/>
          <w:sz w:val="12"/>
          <w:szCs w:val="12"/>
          <w:color w:val="auto"/>
        </w:rPr>
        <w:t>Any defined terms not specifically defined in this Second Amendment have the same meanings as set forth in the First Amended SRA. Except as specifically amended by this Second Amendment, the First Amended SRA remains in full force and effect and has not been modified or amended in any respect, and none of the respective rights or obligations of the parties thereunder have been waived or released.</w:t>
      </w:r>
    </w:p>
    <w:p>
      <w:pPr>
        <w:spacing w:after="0" w:line="356" w:lineRule="exact"/>
        <w:rPr>
          <w:sz w:val="20"/>
          <w:szCs w:val="20"/>
          <w:color w:val="auto"/>
        </w:rPr>
      </w:pPr>
    </w:p>
    <w:p>
      <w:pPr>
        <w:ind w:left="300" w:right="180" w:hanging="87"/>
        <w:spacing w:after="0" w:line="261" w:lineRule="auto"/>
        <w:tabs>
          <w:tab w:leader="none" w:pos="330" w:val="left"/>
        </w:tabs>
        <w:numPr>
          <w:ilvl w:val="0"/>
          <w:numId w:val="194"/>
        </w:numPr>
        <w:rPr>
          <w:rFonts w:ascii="Arial" w:cs="Arial" w:eastAsia="Arial" w:hAnsi="Arial"/>
          <w:sz w:val="12"/>
          <w:szCs w:val="12"/>
          <w:color w:val="auto"/>
        </w:rPr>
      </w:pPr>
      <w:r>
        <w:rPr>
          <w:rFonts w:ascii="Arial" w:cs="Arial" w:eastAsia="Arial" w:hAnsi="Arial"/>
          <w:sz w:val="12"/>
          <w:szCs w:val="12"/>
          <w:color w:val="auto"/>
        </w:rPr>
        <w:t>Retirement Date: Section 1 of the First Amendment is hereby deleted in its entirety and replaced with the following: “Executive’s “Retirement Date” will be the last day Services are provided during the period starting on the date of this Agreement and ending on June 1, 2015, or such earlier termination date.”</w:t>
      </w:r>
    </w:p>
    <w:p>
      <w:pPr>
        <w:spacing w:after="0" w:line="222" w:lineRule="exact"/>
        <w:rPr>
          <w:sz w:val="20"/>
          <w:szCs w:val="20"/>
          <w:color w:val="auto"/>
        </w:rPr>
      </w:pPr>
    </w:p>
    <w:p>
      <w:pPr>
        <w:ind w:left="300" w:right="160" w:hanging="89"/>
        <w:spacing w:after="0" w:line="243" w:lineRule="auto"/>
        <w:rPr>
          <w:sz w:val="20"/>
          <w:szCs w:val="20"/>
          <w:color w:val="auto"/>
        </w:rPr>
      </w:pPr>
      <w:r>
        <w:rPr>
          <w:rFonts w:ascii="Arial" w:cs="Arial" w:eastAsia="Arial" w:hAnsi="Arial"/>
          <w:sz w:val="12"/>
          <w:szCs w:val="12"/>
          <w:color w:val="auto"/>
        </w:rPr>
        <w:t>2.Deferred Compensation: Section 2 of the First Amendment is hereby deleted in its entirety and replaced with the following: “The third sentence of Section 4.1(d) is amended (i) to replace the amount of $50,000 and the immediately following parenthetical with the amount of $75,000, and (ii) to add the following to the end thereof, “and will authorize an allocation under the Deferred Compensation Plan for the 2015 plan year and will make a corresponding contribution to the grantor trust in the amount of $31,250 (representing a pro-rata mount of the annual allocation and contribution for 2015 through the Retirement Date).”</w:t>
      </w:r>
    </w:p>
    <w:p>
      <w:pPr>
        <w:spacing w:after="0" w:line="243" w:lineRule="exact"/>
        <w:rPr>
          <w:sz w:val="20"/>
          <w:szCs w:val="20"/>
          <w:color w:val="auto"/>
        </w:rPr>
      </w:pPr>
    </w:p>
    <w:p>
      <w:pPr>
        <w:ind w:left="300" w:right="120" w:hanging="89"/>
        <w:spacing w:after="0" w:line="239" w:lineRule="auto"/>
        <w:rPr>
          <w:sz w:val="20"/>
          <w:szCs w:val="20"/>
          <w:color w:val="auto"/>
        </w:rPr>
      </w:pPr>
      <w:r>
        <w:rPr>
          <w:rFonts w:ascii="Arial" w:cs="Arial" w:eastAsia="Arial" w:hAnsi="Arial"/>
          <w:sz w:val="12"/>
          <w:szCs w:val="12"/>
          <w:color w:val="auto"/>
        </w:rPr>
        <w:t>3.Notwithstanding any other provision of the First Amended SRA, it is agreed that Executive may do a majority of his work from his home in Atlanta, Georgia.</w:t>
      </w:r>
      <w:r>
        <w:rPr>
          <w:sz w:val="20"/>
          <w:szCs w:val="20"/>
          <w:color w:val="auto"/>
        </w:rPr>
        <w:t xml:space="preserve"> </w:t>
      </w:r>
      <w:r>
        <w:rPr>
          <w:rFonts w:ascii="Arial" w:cs="Arial" w:eastAsia="Arial" w:hAnsi="Arial"/>
          <w:sz w:val="12"/>
          <w:szCs w:val="12"/>
          <w:color w:val="auto"/>
        </w:rPr>
        <w:t>Executive will only be required to be at the Company’s Los Angeles offices for a total of ten (10) weeks (Monday through Thursday). It is anticipated that the parties will work together to schedule such time in full week blocks, one week in one month, two weeks in the next month, one week in the next month, etc. The Company will promptly reimburse Executive for all reasonable travel expenses (against reasonable documentation), including airfare, hotel and car rental (such travel expenses not to exceed $1,200.00 per weekly trip).</w:t>
      </w:r>
    </w:p>
    <w:p>
      <w:pPr>
        <w:spacing w:after="0" w:line="1" w:lineRule="exact"/>
        <w:rPr>
          <w:sz w:val="20"/>
          <w:szCs w:val="20"/>
          <w:color w:val="auto"/>
        </w:rPr>
      </w:pPr>
    </w:p>
    <w:p>
      <w:pPr>
        <w:spacing w:after="0"/>
        <w:rPr>
          <w:sz w:val="20"/>
          <w:szCs w:val="20"/>
          <w:color w:val="auto"/>
        </w:rPr>
      </w:pPr>
      <w:r>
        <w:rPr>
          <w:rFonts w:ascii="Arial" w:cs="Arial" w:eastAsia="Arial" w:hAnsi="Arial"/>
          <w:sz w:val="12"/>
          <w:szCs w:val="12"/>
          <w:color w:val="auto"/>
        </w:rPr>
        <w:t>In Witness Whereof this Second Amendment is executed and delivered effective of the date first set forth above.</w:t>
      </w:r>
    </w:p>
    <w:p>
      <w:pPr>
        <w:spacing w:after="0" w:line="104" w:lineRule="exact"/>
        <w:rPr>
          <w:sz w:val="20"/>
          <w:szCs w:val="20"/>
          <w:color w:val="auto"/>
        </w:rPr>
      </w:pPr>
    </w:p>
    <w:p>
      <w:pPr>
        <w:spacing w:after="0"/>
        <w:rPr>
          <w:sz w:val="20"/>
          <w:szCs w:val="20"/>
          <w:color w:val="auto"/>
        </w:rPr>
      </w:pPr>
      <w:r>
        <w:rPr>
          <w:rFonts w:ascii="Arial" w:cs="Arial" w:eastAsia="Arial" w:hAnsi="Arial"/>
          <w:sz w:val="12"/>
          <w:szCs w:val="12"/>
          <w:color w:val="auto"/>
        </w:rPr>
        <w:t>Reading International, Inc.</w:t>
      </w:r>
    </w:p>
    <w:p>
      <w:pPr>
        <w:spacing w:after="0" w:line="375" w:lineRule="exact"/>
        <w:rPr>
          <w:sz w:val="20"/>
          <w:szCs w:val="20"/>
          <w:color w:val="auto"/>
        </w:rPr>
      </w:pPr>
    </w:p>
    <w:p>
      <w:pPr>
        <w:spacing w:after="0"/>
        <w:rPr>
          <w:sz w:val="20"/>
          <w:szCs w:val="20"/>
          <w:color w:val="auto"/>
        </w:rPr>
      </w:pPr>
      <w:r>
        <w:rPr>
          <w:rFonts w:ascii="Arial" w:cs="Arial" w:eastAsia="Arial" w:hAnsi="Arial"/>
          <w:sz w:val="12"/>
          <w:szCs w:val="12"/>
          <w:color w:val="auto"/>
        </w:rPr>
        <w:t>By:_</w:t>
      </w:r>
      <w:r>
        <w:rPr>
          <w:rFonts w:ascii="Arial" w:cs="Arial" w:eastAsia="Arial" w:hAnsi="Arial"/>
          <w:sz w:val="12"/>
          <w:szCs w:val="12"/>
          <w:u w:val="single" w:color="auto"/>
          <w:color w:val="auto"/>
        </w:rPr>
        <w:t>/s/ James J. Cotter</w:t>
      </w:r>
      <w:r>
        <w:rPr>
          <w:rFonts w:ascii="Arial" w:cs="Arial" w:eastAsia="Arial" w:hAnsi="Arial"/>
          <w:sz w:val="12"/>
          <w:szCs w:val="12"/>
          <w:color w:val="auto"/>
        </w:rPr>
        <w:t>_______</w:t>
      </w:r>
    </w:p>
    <w:p>
      <w:pPr>
        <w:spacing w:after="0" w:line="114" w:lineRule="exact"/>
        <w:rPr>
          <w:sz w:val="20"/>
          <w:szCs w:val="20"/>
          <w:color w:val="auto"/>
        </w:rPr>
      </w:pPr>
    </w:p>
    <w:p>
      <w:pPr>
        <w:ind w:left="420"/>
        <w:spacing w:after="0"/>
        <w:rPr>
          <w:sz w:val="20"/>
          <w:szCs w:val="20"/>
          <w:color w:val="auto"/>
        </w:rPr>
      </w:pPr>
      <w:r>
        <w:rPr>
          <w:rFonts w:ascii="Arial" w:cs="Arial" w:eastAsia="Arial" w:hAnsi="Arial"/>
          <w:sz w:val="12"/>
          <w:szCs w:val="12"/>
          <w:color w:val="auto"/>
        </w:rPr>
        <w:t>James J. Cotter, Jr.</w:t>
      </w:r>
    </w:p>
    <w:p>
      <w:pPr>
        <w:spacing w:after="0" w:line="114" w:lineRule="exact"/>
        <w:rPr>
          <w:sz w:val="20"/>
          <w:szCs w:val="20"/>
          <w:color w:val="auto"/>
        </w:rPr>
      </w:pPr>
    </w:p>
    <w:p>
      <w:pPr>
        <w:ind w:left="420"/>
        <w:spacing w:after="0"/>
        <w:rPr>
          <w:sz w:val="20"/>
          <w:szCs w:val="20"/>
          <w:color w:val="auto"/>
        </w:rPr>
      </w:pPr>
      <w:r>
        <w:rPr>
          <w:rFonts w:ascii="Arial" w:cs="Arial" w:eastAsia="Arial" w:hAnsi="Arial"/>
          <w:sz w:val="12"/>
          <w:szCs w:val="12"/>
          <w:color w:val="auto"/>
        </w:rPr>
        <w:t>Chief Executive Officer</w:t>
      </w:r>
    </w:p>
    <w:p>
      <w:pPr>
        <w:spacing w:after="0" w:line="375" w:lineRule="exact"/>
        <w:rPr>
          <w:sz w:val="20"/>
          <w:szCs w:val="20"/>
          <w:color w:val="auto"/>
        </w:rPr>
      </w:pPr>
    </w:p>
    <w:p>
      <w:pPr>
        <w:spacing w:after="0"/>
        <w:rPr>
          <w:sz w:val="20"/>
          <w:szCs w:val="20"/>
          <w:color w:val="auto"/>
        </w:rPr>
      </w:pPr>
      <w:r>
        <w:rPr>
          <w:rFonts w:ascii="Arial" w:cs="Arial" w:eastAsia="Arial" w:hAnsi="Arial"/>
          <w:sz w:val="12"/>
          <w:szCs w:val="12"/>
          <w:color w:val="auto"/>
        </w:rPr>
        <w:t>Executive:</w:t>
      </w:r>
    </w:p>
    <w:p>
      <w:pPr>
        <w:spacing w:after="0" w:line="375" w:lineRule="exact"/>
        <w:rPr>
          <w:sz w:val="20"/>
          <w:szCs w:val="20"/>
          <w:color w:val="auto"/>
        </w:rPr>
      </w:pPr>
    </w:p>
    <w:p>
      <w:pPr>
        <w:spacing w:after="0"/>
        <w:rPr>
          <w:sz w:val="20"/>
          <w:szCs w:val="20"/>
          <w:color w:val="auto"/>
        </w:rPr>
      </w:pPr>
      <w:r>
        <w:rPr>
          <w:rFonts w:ascii="Arial" w:cs="Arial" w:eastAsia="Arial" w:hAnsi="Arial"/>
          <w:sz w:val="12"/>
          <w:szCs w:val="12"/>
          <w:color w:val="auto"/>
        </w:rPr>
        <w:t>_</w:t>
      </w:r>
      <w:r>
        <w:rPr>
          <w:rFonts w:ascii="Arial" w:cs="Arial" w:eastAsia="Arial" w:hAnsi="Arial"/>
          <w:sz w:val="12"/>
          <w:szCs w:val="12"/>
          <w:u w:val="single" w:color="auto"/>
          <w:color w:val="auto"/>
        </w:rPr>
        <w:t>_/s/ Andrzej Matyczynski</w:t>
      </w:r>
      <w:r>
        <w:rPr>
          <w:rFonts w:ascii="Arial" w:cs="Arial" w:eastAsia="Arial" w:hAnsi="Arial"/>
          <w:sz w:val="12"/>
          <w:szCs w:val="12"/>
          <w:color w:val="auto"/>
        </w:rPr>
        <w:t>____</w:t>
      </w:r>
    </w:p>
    <w:p>
      <w:pPr>
        <w:spacing w:after="0" w:line="114" w:lineRule="exact"/>
        <w:rPr>
          <w:sz w:val="20"/>
          <w:szCs w:val="20"/>
          <w:color w:val="auto"/>
        </w:rPr>
      </w:pPr>
    </w:p>
    <w:p>
      <w:pPr>
        <w:ind w:left="420"/>
        <w:spacing w:after="0"/>
        <w:rPr>
          <w:sz w:val="20"/>
          <w:szCs w:val="20"/>
          <w:color w:val="auto"/>
        </w:rPr>
      </w:pPr>
      <w:r>
        <w:rPr>
          <w:rFonts w:ascii="Arial" w:cs="Arial" w:eastAsia="Arial" w:hAnsi="Arial"/>
          <w:sz w:val="12"/>
          <w:szCs w:val="12"/>
          <w:color w:val="auto"/>
        </w:rPr>
        <w:t>Andrzej Matyczynski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82550</wp:posOffset>
            </wp:positionV>
            <wp:extent cx="6231255"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231255" cy="42545"/>
                    </a:xfrm>
                    <a:prstGeom prst="rect">
                      <a:avLst/>
                    </a:prstGeom>
                    <a:noFill/>
                  </pic:spPr>
                </pic:pic>
              </a:graphicData>
            </a:graphic>
          </wp:anchor>
        </w:drawing>
      </w:r>
    </w:p>
    <w:p>
      <w:pPr>
        <w:sectPr>
          <w:pgSz w:w="11900" w:h="16838" w:orient="portrait"/>
          <w:cols w:equalWidth="0" w:num="1">
            <w:col w:w="9760"/>
          </w:cols>
          <w:pgMar w:left="1080" w:top="126" w:right="1059" w:bottom="1440" w:gutter="0" w:footer="0" w:header="0"/>
        </w:sectPr>
      </w:pPr>
    </w:p>
    <w:bookmarkStart w:id="197" w:name="page198"/>
    <w:bookmarkEnd w:id="197"/>
    <w:p>
      <w:pPr>
        <w:jc w:val="right"/>
        <w:spacing w:after="0"/>
        <w:rPr>
          <w:sz w:val="20"/>
          <w:szCs w:val="20"/>
          <w:color w:val="auto"/>
        </w:rPr>
      </w:pPr>
      <w:r>
        <w:rPr>
          <w:rFonts w:ascii="Arial" w:cs="Arial" w:eastAsia="Arial" w:hAnsi="Arial"/>
          <w:sz w:val="13"/>
          <w:szCs w:val="13"/>
          <w:b w:val="1"/>
          <w:bCs w:val="1"/>
          <w:color w:val="auto"/>
        </w:rPr>
        <w:t>EXHIBIT 10.22</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THIRD AMENDMENT</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TO</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SEPARATION AND RELEASE AGREEMENT</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both"/>
        <w:spacing w:after="0" w:line="243" w:lineRule="auto"/>
        <w:rPr>
          <w:sz w:val="20"/>
          <w:szCs w:val="20"/>
          <w:color w:val="auto"/>
        </w:rPr>
      </w:pPr>
      <w:r>
        <w:rPr>
          <w:rFonts w:ascii="Arial" w:cs="Arial" w:eastAsia="Arial" w:hAnsi="Arial"/>
          <w:sz w:val="12"/>
          <w:szCs w:val="12"/>
          <w:color w:val="auto"/>
        </w:rPr>
        <w:t>This Third Amendment to Separation Agreement (this “Third Amendment”) is entered into effective as of May 1, 2015, by and between Reading International, Inc. (the “Company”) and Andrzej Matyczynski (“Executive”) and amends that certain Separation and Release Agreement dated as of May 30, 2014 (the “Initial SRA”), as previously amended by that certain First Amendment of Separation and Release Agreement dated effective August 6, 2014 (the “First Amendment”) and that certain Second Amendment to Separation and Release Agreement dated effective November 26, 2014 (collectively with the Initial SRA and the First Amendment, the “Amended SRA”).</w:t>
      </w:r>
    </w:p>
    <w:p>
      <w:pPr>
        <w:spacing w:after="0" w:line="360" w:lineRule="exact"/>
        <w:rPr>
          <w:sz w:val="20"/>
          <w:szCs w:val="20"/>
          <w:color w:val="auto"/>
        </w:rPr>
      </w:pPr>
    </w:p>
    <w:p>
      <w:pPr>
        <w:jc w:val="both"/>
        <w:ind w:right="20"/>
        <w:spacing w:after="0" w:line="248" w:lineRule="auto"/>
        <w:rPr>
          <w:sz w:val="20"/>
          <w:szCs w:val="20"/>
          <w:color w:val="auto"/>
        </w:rPr>
      </w:pPr>
      <w:r>
        <w:rPr>
          <w:rFonts w:ascii="Arial" w:cs="Arial" w:eastAsia="Arial" w:hAnsi="Arial"/>
          <w:sz w:val="12"/>
          <w:szCs w:val="12"/>
          <w:color w:val="auto"/>
        </w:rPr>
        <w:t>Any defined terms not specifically defined in this Third Amendment have the same meanings as set forth in the Amended SRA. Except as specifically amended by this Third Amendment, the Amended SRA remains in full force and effect and has not been modified or amended in any respect, its terms and conditions are incorporated herein by reference, and none of the respective rights or obligations of the parties thereunder has been waived or released.</w:t>
      </w:r>
    </w:p>
    <w:p>
      <w:pPr>
        <w:spacing w:after="0" w:line="347" w:lineRule="exact"/>
        <w:rPr>
          <w:sz w:val="20"/>
          <w:szCs w:val="20"/>
          <w:color w:val="auto"/>
        </w:rPr>
      </w:pPr>
    </w:p>
    <w:p>
      <w:pPr>
        <w:jc w:val="both"/>
        <w:ind w:left="300" w:hanging="89"/>
        <w:spacing w:after="0"/>
        <w:rPr>
          <w:sz w:val="20"/>
          <w:szCs w:val="20"/>
          <w:color w:val="auto"/>
        </w:rPr>
      </w:pPr>
      <w:r>
        <w:rPr>
          <w:rFonts w:ascii="Arial" w:cs="Arial" w:eastAsia="Arial" w:hAnsi="Arial"/>
          <w:sz w:val="12"/>
          <w:szCs w:val="12"/>
          <w:color w:val="auto"/>
        </w:rPr>
        <w:t>1.Retirement Date:</w:t>
      </w:r>
      <w:r>
        <w:rPr>
          <w:sz w:val="20"/>
          <w:szCs w:val="20"/>
          <w:color w:val="auto"/>
        </w:rPr>
        <w:t xml:space="preserve"> </w:t>
      </w:r>
      <w:r>
        <w:rPr>
          <w:rFonts w:ascii="Arial" w:cs="Arial" w:eastAsia="Arial" w:hAnsi="Arial"/>
          <w:sz w:val="12"/>
          <w:szCs w:val="12"/>
          <w:color w:val="auto"/>
        </w:rPr>
        <w:t>Section 1 of the First Amendment is hereby deleted in its entirety and replaced with the following: “Executive’s “Retirement Date” will be the last day Services are provided during the period starting on the date of this Agreement and ending on April 15, 2016, or such earlier termination date (such period, the “Term”). After May 11, 2015, on which date Executive shall cease to serve as the Company’s Chief Financial Officer and Treasurer, Executive shall serve as a financial advisor to the Company principally to assist in the transition of the Company to its new chief financial officer and to provide such additional financial advisory services as the Company may from time to time request. It is understood that these services will be provided as a full time employee of the Company; such services being referred as the “Services” for purposes of this Third Amendment and superseding the prior definition of “Services” as used in the Amended SRA</w:t>
      </w:r>
    </w:p>
    <w:p>
      <w:pPr>
        <w:spacing w:after="0" w:line="244" w:lineRule="exact"/>
        <w:rPr>
          <w:sz w:val="20"/>
          <w:szCs w:val="20"/>
          <w:color w:val="auto"/>
        </w:rPr>
      </w:pPr>
    </w:p>
    <w:p>
      <w:pPr>
        <w:ind w:left="300" w:right="20" w:hanging="89"/>
        <w:spacing w:after="0" w:line="243" w:lineRule="auto"/>
        <w:rPr>
          <w:sz w:val="20"/>
          <w:szCs w:val="20"/>
          <w:color w:val="auto"/>
        </w:rPr>
      </w:pPr>
      <w:r>
        <w:rPr>
          <w:rFonts w:ascii="Arial" w:cs="Arial" w:eastAsia="Arial" w:hAnsi="Arial"/>
          <w:sz w:val="12"/>
          <w:szCs w:val="12"/>
          <w:color w:val="auto"/>
        </w:rPr>
        <w:t>2.Deferred Compensation: Section 2 of the Second Amendment is hereby deleted in its entirety and replaced with the following: “The third sentence of Section 4.1(d) is amended to change the reference to the “2014 plan year” to the “2015 plan year,” to change the reference to “$50,000” to 21,875,” and thereafter to change the reference to “2014” to “2015.” In addition, it is agreed that the Company will make a 2015 contribution to Executive’s Deferred Compensation plan, in the amount of $150,000 ($75,000 more than currently provided for in the Executive’s Deferred Compensation Plan).</w:t>
      </w:r>
    </w:p>
    <w:p>
      <w:pPr>
        <w:spacing w:after="0" w:line="234" w:lineRule="exact"/>
        <w:rPr>
          <w:sz w:val="20"/>
          <w:szCs w:val="20"/>
          <w:color w:val="auto"/>
        </w:rPr>
      </w:pPr>
    </w:p>
    <w:p>
      <w:pPr>
        <w:ind w:left="300" w:right="20" w:hanging="89"/>
        <w:spacing w:after="0" w:line="243" w:lineRule="auto"/>
        <w:rPr>
          <w:sz w:val="20"/>
          <w:szCs w:val="20"/>
          <w:color w:val="auto"/>
        </w:rPr>
      </w:pPr>
      <w:r>
        <w:rPr>
          <w:rFonts w:ascii="Arial" w:cs="Arial" w:eastAsia="Arial" w:hAnsi="Arial"/>
          <w:sz w:val="12"/>
          <w:szCs w:val="12"/>
          <w:color w:val="auto"/>
        </w:rPr>
        <w:t>3.Venue: Notwithstanding any other provision of the Amended SRA, it is agreed that during the Term, Executive may do a majority of his work from his home in Atlanta, Georgia.</w:t>
      </w:r>
      <w:r>
        <w:rPr>
          <w:sz w:val="20"/>
          <w:szCs w:val="20"/>
          <w:color w:val="auto"/>
        </w:rPr>
        <w:t xml:space="preserve"> </w:t>
      </w:r>
      <w:r>
        <w:rPr>
          <w:rFonts w:ascii="Arial" w:cs="Arial" w:eastAsia="Arial" w:hAnsi="Arial"/>
          <w:sz w:val="12"/>
          <w:szCs w:val="12"/>
          <w:color w:val="auto"/>
        </w:rPr>
        <w:t>Executive will only be required to be at the Company’s Los Angeles offices for a total of seventeen (17) weeks (Monday through Thursday) between the date hereof and the Retirement Date. It is anticipated that the parties will work together to schedule such time in full week blocks, one week in one month, two weeks in the next month, one week in the next month, etc. The Company will promptly reimburse Executive for all reasonable travel expenses (against reasonable documentation), including airfare, hotel and car rental (such travel expenses not to exceed $1,500.00 per weekly trip).</w:t>
      </w:r>
    </w:p>
    <w:p>
      <w:pPr>
        <w:spacing w:after="0" w:line="234" w:lineRule="exact"/>
        <w:rPr>
          <w:sz w:val="20"/>
          <w:szCs w:val="20"/>
          <w:color w:val="auto"/>
        </w:rPr>
      </w:pPr>
    </w:p>
    <w:p>
      <w:pPr>
        <w:ind w:left="300" w:hanging="89"/>
        <w:spacing w:after="0" w:line="261" w:lineRule="auto"/>
        <w:rPr>
          <w:sz w:val="20"/>
          <w:szCs w:val="20"/>
          <w:color w:val="auto"/>
        </w:rPr>
      </w:pPr>
      <w:r>
        <w:rPr>
          <w:rFonts w:ascii="Arial" w:cs="Arial" w:eastAsia="Arial" w:hAnsi="Arial"/>
          <w:sz w:val="12"/>
          <w:szCs w:val="12"/>
          <w:color w:val="auto"/>
        </w:rPr>
        <w:t>4.Salary: Section 4.1 of the Original SRA is hereby amended to provide that, effective January 1, 2015 and for the balance of the Term, Executive shall be paid as compensation for the performance of his duties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111125</wp:posOffset>
            </wp:positionV>
            <wp:extent cx="6231255"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231255" cy="42545"/>
                    </a:xfrm>
                    <a:prstGeom prst="rect">
                      <a:avLst/>
                    </a:prstGeom>
                    <a:noFill/>
                  </pic:spPr>
                </pic:pic>
              </a:graphicData>
            </a:graphic>
          </wp:anchor>
        </w:drawing>
      </w:r>
    </w:p>
    <w:p>
      <w:pPr>
        <w:sectPr>
          <w:pgSz w:w="11900" w:h="16838" w:orient="portrait"/>
          <w:cols w:equalWidth="0" w:num="1">
            <w:col w:w="9760"/>
          </w:cols>
          <w:pgMar w:left="1080" w:top="124" w:right="1059" w:bottom="1440" w:gutter="0" w:footer="0" w:header="0"/>
        </w:sectPr>
      </w:pPr>
    </w:p>
    <w:bookmarkStart w:id="198" w:name="page199"/>
    <w:bookmarkEnd w:id="198"/>
    <w:p>
      <w:pPr>
        <w:ind w:left="420"/>
        <w:spacing w:after="0" w:line="261" w:lineRule="auto"/>
        <w:rPr>
          <w:sz w:val="20"/>
          <w:szCs w:val="20"/>
          <w:color w:val="auto"/>
        </w:rPr>
      </w:pPr>
      <w:r>
        <w:rPr>
          <w:rFonts w:ascii="Arial" w:cs="Arial" w:eastAsia="Arial" w:hAnsi="Arial"/>
          <w:sz w:val="12"/>
          <w:szCs w:val="12"/>
          <w:color w:val="auto"/>
        </w:rPr>
        <w:t>hereunder and under the Amended SRA, at a rate of $312,000 per annum, in accordance with the Company’s standard payment practices, prorated for the period January 1, 2016 through and including April 15, 2016.</w:t>
      </w:r>
    </w:p>
    <w:p>
      <w:pPr>
        <w:spacing w:after="0" w:line="339" w:lineRule="exact"/>
        <w:rPr>
          <w:sz w:val="20"/>
          <w:szCs w:val="20"/>
          <w:color w:val="auto"/>
        </w:rPr>
      </w:pPr>
    </w:p>
    <w:p>
      <w:pPr>
        <w:jc w:val="both"/>
        <w:ind w:left="300" w:hanging="89"/>
        <w:spacing w:after="0" w:line="248" w:lineRule="auto"/>
        <w:rPr>
          <w:sz w:val="20"/>
          <w:szCs w:val="20"/>
          <w:color w:val="auto"/>
        </w:rPr>
      </w:pPr>
      <w:r>
        <w:rPr>
          <w:rFonts w:ascii="Arial" w:cs="Arial" w:eastAsia="Arial" w:hAnsi="Arial"/>
          <w:sz w:val="12"/>
          <w:szCs w:val="12"/>
          <w:color w:val="auto"/>
        </w:rPr>
        <w:t>5.Stock Option Vesting: Of the previously granted unvested Class A Stock options, 12,500 shall continue to vest on August 22, 2015. The balance of Executive’s Class A Stock options previously granted, totaling 12,500, shall vest on April 15, 2016, rather than August 22, 2016. As to any Class A Stock options vested as of the Retirement Date, the Executive shall have eighteen (18) months from his Retirement Date to exercise same, rather than three (3) months.</w:t>
      </w:r>
    </w:p>
    <w:p>
      <w:pPr>
        <w:spacing w:after="0" w:line="239" w:lineRule="exact"/>
        <w:rPr>
          <w:sz w:val="20"/>
          <w:szCs w:val="20"/>
          <w:color w:val="auto"/>
        </w:rPr>
      </w:pPr>
    </w:p>
    <w:p>
      <w:pPr>
        <w:jc w:val="both"/>
        <w:ind w:left="300" w:hanging="89"/>
        <w:spacing w:after="0" w:line="243" w:lineRule="auto"/>
        <w:rPr>
          <w:sz w:val="20"/>
          <w:szCs w:val="20"/>
          <w:color w:val="auto"/>
        </w:rPr>
      </w:pPr>
      <w:r>
        <w:rPr>
          <w:rFonts w:ascii="Arial" w:cs="Arial" w:eastAsia="Arial" w:hAnsi="Arial"/>
          <w:sz w:val="12"/>
          <w:szCs w:val="12"/>
          <w:color w:val="auto"/>
        </w:rPr>
        <w:t>6.Release: Executive hereby affirms in all respects his Release of the Released Parties set forth in the Initial SRA as though made on the date hereof, as well as all other terms and conditions of the Amended SRA, including, without limitation, Sections 3, 5 and 6.</w:t>
      </w:r>
    </w:p>
    <w:p>
      <w:pPr>
        <w:spacing w:after="0" w:line="1" w:lineRule="exact"/>
        <w:rPr>
          <w:sz w:val="20"/>
          <w:szCs w:val="20"/>
          <w:color w:val="auto"/>
        </w:rPr>
      </w:pPr>
    </w:p>
    <w:p>
      <w:pPr>
        <w:spacing w:after="0"/>
        <w:rPr>
          <w:sz w:val="20"/>
          <w:szCs w:val="20"/>
          <w:color w:val="auto"/>
        </w:rPr>
      </w:pPr>
      <w:r>
        <w:rPr>
          <w:rFonts w:ascii="Arial" w:cs="Arial" w:eastAsia="Arial" w:hAnsi="Arial"/>
          <w:sz w:val="12"/>
          <w:szCs w:val="12"/>
          <w:color w:val="auto"/>
        </w:rPr>
        <w:t>In Witness Whereof this Third Amendment is executed and delivered effective of the date first set forth above.</w:t>
      </w:r>
    </w:p>
    <w:p>
      <w:pPr>
        <w:spacing w:after="0" w:line="104" w:lineRule="exact"/>
        <w:rPr>
          <w:sz w:val="20"/>
          <w:szCs w:val="20"/>
          <w:color w:val="auto"/>
        </w:rPr>
      </w:pPr>
    </w:p>
    <w:p>
      <w:pPr>
        <w:spacing w:after="0"/>
        <w:rPr>
          <w:sz w:val="20"/>
          <w:szCs w:val="20"/>
          <w:color w:val="auto"/>
        </w:rPr>
      </w:pPr>
      <w:r>
        <w:rPr>
          <w:rFonts w:ascii="Arial" w:cs="Arial" w:eastAsia="Arial" w:hAnsi="Arial"/>
          <w:sz w:val="12"/>
          <w:szCs w:val="12"/>
          <w:color w:val="auto"/>
        </w:rPr>
        <w:t>Reading International, Inc.</w:t>
      </w:r>
    </w:p>
    <w:p>
      <w:pPr>
        <w:spacing w:after="0" w:line="375" w:lineRule="exact"/>
        <w:rPr>
          <w:sz w:val="20"/>
          <w:szCs w:val="20"/>
          <w:color w:val="auto"/>
        </w:rPr>
      </w:pPr>
    </w:p>
    <w:p>
      <w:pPr>
        <w:spacing w:after="0"/>
        <w:rPr>
          <w:sz w:val="20"/>
          <w:szCs w:val="20"/>
          <w:color w:val="auto"/>
        </w:rPr>
      </w:pPr>
      <w:r>
        <w:rPr>
          <w:rFonts w:ascii="Arial" w:cs="Arial" w:eastAsia="Arial" w:hAnsi="Arial"/>
          <w:sz w:val="12"/>
          <w:szCs w:val="12"/>
          <w:color w:val="auto"/>
        </w:rPr>
        <w:t>By:__</w:t>
      </w:r>
      <w:r>
        <w:rPr>
          <w:rFonts w:ascii="Arial" w:cs="Arial" w:eastAsia="Arial" w:hAnsi="Arial"/>
          <w:sz w:val="12"/>
          <w:szCs w:val="12"/>
          <w:u w:val="single" w:color="auto"/>
          <w:color w:val="auto"/>
        </w:rPr>
        <w:t>/s/ James J. Cotter__</w:t>
      </w:r>
      <w:r>
        <w:rPr>
          <w:rFonts w:ascii="Arial" w:cs="Arial" w:eastAsia="Arial" w:hAnsi="Arial"/>
          <w:sz w:val="12"/>
          <w:szCs w:val="12"/>
          <w:color w:val="auto"/>
        </w:rPr>
        <w:t>______</w:t>
      </w:r>
    </w:p>
    <w:p>
      <w:pPr>
        <w:spacing w:after="0" w:line="114" w:lineRule="exact"/>
        <w:rPr>
          <w:sz w:val="20"/>
          <w:szCs w:val="20"/>
          <w:color w:val="auto"/>
        </w:rPr>
      </w:pPr>
    </w:p>
    <w:p>
      <w:pPr>
        <w:ind w:left="420"/>
        <w:spacing w:after="0"/>
        <w:rPr>
          <w:sz w:val="20"/>
          <w:szCs w:val="20"/>
          <w:color w:val="auto"/>
        </w:rPr>
      </w:pPr>
      <w:r>
        <w:rPr>
          <w:rFonts w:ascii="Arial" w:cs="Arial" w:eastAsia="Arial" w:hAnsi="Arial"/>
          <w:sz w:val="12"/>
          <w:szCs w:val="12"/>
          <w:color w:val="auto"/>
        </w:rPr>
        <w:t>James J. Cotter, Jr.</w:t>
      </w:r>
    </w:p>
    <w:p>
      <w:pPr>
        <w:spacing w:after="0" w:line="114" w:lineRule="exact"/>
        <w:rPr>
          <w:sz w:val="20"/>
          <w:szCs w:val="20"/>
          <w:color w:val="auto"/>
        </w:rPr>
      </w:pPr>
    </w:p>
    <w:p>
      <w:pPr>
        <w:ind w:left="420"/>
        <w:spacing w:after="0"/>
        <w:rPr>
          <w:sz w:val="20"/>
          <w:szCs w:val="20"/>
          <w:color w:val="auto"/>
        </w:rPr>
      </w:pPr>
      <w:r>
        <w:rPr>
          <w:rFonts w:ascii="Arial" w:cs="Arial" w:eastAsia="Arial" w:hAnsi="Arial"/>
          <w:sz w:val="12"/>
          <w:szCs w:val="12"/>
          <w:color w:val="auto"/>
        </w:rPr>
        <w:t>Chief Executive Officer</w:t>
      </w:r>
    </w:p>
    <w:p>
      <w:pPr>
        <w:spacing w:after="0" w:line="375" w:lineRule="exact"/>
        <w:rPr>
          <w:sz w:val="20"/>
          <w:szCs w:val="20"/>
          <w:color w:val="auto"/>
        </w:rPr>
      </w:pPr>
    </w:p>
    <w:p>
      <w:pPr>
        <w:spacing w:after="0"/>
        <w:rPr>
          <w:sz w:val="20"/>
          <w:szCs w:val="20"/>
          <w:color w:val="auto"/>
        </w:rPr>
      </w:pPr>
      <w:r>
        <w:rPr>
          <w:rFonts w:ascii="Arial" w:cs="Arial" w:eastAsia="Arial" w:hAnsi="Arial"/>
          <w:sz w:val="12"/>
          <w:szCs w:val="12"/>
          <w:color w:val="auto"/>
        </w:rPr>
        <w:t>Executive:</w:t>
      </w:r>
    </w:p>
    <w:p>
      <w:pPr>
        <w:spacing w:after="0" w:line="375" w:lineRule="exact"/>
        <w:rPr>
          <w:sz w:val="20"/>
          <w:szCs w:val="20"/>
          <w:color w:val="auto"/>
        </w:rPr>
      </w:pPr>
    </w:p>
    <w:p>
      <w:pPr>
        <w:spacing w:after="0"/>
        <w:rPr>
          <w:sz w:val="20"/>
          <w:szCs w:val="20"/>
          <w:color w:val="auto"/>
        </w:rPr>
      </w:pPr>
      <w:r>
        <w:rPr>
          <w:rFonts w:ascii="Arial" w:cs="Arial" w:eastAsia="Arial" w:hAnsi="Arial"/>
          <w:sz w:val="12"/>
          <w:szCs w:val="12"/>
          <w:color w:val="auto"/>
        </w:rPr>
        <w:t>_</w:t>
      </w:r>
      <w:r>
        <w:rPr>
          <w:rFonts w:ascii="Arial" w:cs="Arial" w:eastAsia="Arial" w:hAnsi="Arial"/>
          <w:sz w:val="12"/>
          <w:szCs w:val="12"/>
          <w:u w:val="single" w:color="auto"/>
          <w:color w:val="auto"/>
        </w:rPr>
        <w:t>_/s/ Andrzej Matyczynski__</w:t>
      </w:r>
      <w:r>
        <w:rPr>
          <w:rFonts w:ascii="Arial" w:cs="Arial" w:eastAsia="Arial" w:hAnsi="Arial"/>
          <w:sz w:val="12"/>
          <w:szCs w:val="12"/>
          <w:color w:val="auto"/>
        </w:rPr>
        <w:t>____</w:t>
      </w:r>
    </w:p>
    <w:p>
      <w:pPr>
        <w:spacing w:after="0" w:line="114" w:lineRule="exact"/>
        <w:rPr>
          <w:sz w:val="20"/>
          <w:szCs w:val="20"/>
          <w:color w:val="auto"/>
        </w:rPr>
      </w:pPr>
    </w:p>
    <w:p>
      <w:pPr>
        <w:ind w:left="420"/>
        <w:spacing w:after="0"/>
        <w:rPr>
          <w:sz w:val="20"/>
          <w:szCs w:val="20"/>
          <w:color w:val="auto"/>
        </w:rPr>
      </w:pPr>
      <w:r>
        <w:rPr>
          <w:rFonts w:ascii="Arial" w:cs="Arial" w:eastAsia="Arial" w:hAnsi="Arial"/>
          <w:sz w:val="12"/>
          <w:szCs w:val="12"/>
          <w:color w:val="auto"/>
        </w:rPr>
        <w:t>Andrzej Matycazynski</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110490</wp:posOffset>
            </wp:positionV>
            <wp:extent cx="6231255"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231255" cy="42545"/>
                    </a:xfrm>
                    <a:prstGeom prst="rect">
                      <a:avLst/>
                    </a:prstGeom>
                    <a:noFill/>
                  </pic:spPr>
                </pic:pic>
              </a:graphicData>
            </a:graphic>
          </wp:anchor>
        </w:drawing>
      </w:r>
    </w:p>
    <w:p>
      <w:pPr>
        <w:sectPr>
          <w:pgSz w:w="11900" w:h="16838" w:orient="portrait"/>
          <w:cols w:equalWidth="0" w:num="1">
            <w:col w:w="9740"/>
          </w:cols>
          <w:pgMar w:left="1080" w:top="131" w:right="1079" w:bottom="1440" w:gutter="0" w:footer="0" w:header="0"/>
        </w:sectPr>
      </w:pPr>
    </w:p>
    <w:bookmarkStart w:id="199" w:name="page200"/>
    <w:bookmarkEnd w:id="199"/>
    <w:p>
      <w:pPr>
        <w:jc w:val="right"/>
        <w:spacing w:after="0"/>
        <w:rPr>
          <w:sz w:val="20"/>
          <w:szCs w:val="20"/>
          <w:color w:val="auto"/>
        </w:rPr>
      </w:pPr>
      <w:r>
        <w:rPr>
          <w:rFonts w:ascii="Arial" w:cs="Arial" w:eastAsia="Arial" w:hAnsi="Arial"/>
          <w:sz w:val="14"/>
          <w:szCs w:val="14"/>
          <w:b w:val="1"/>
          <w:bCs w:val="1"/>
          <w:color w:val="auto"/>
        </w:rPr>
        <w:t>EXHIBIT 10.23</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Amended and Restated</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Compensatory Arrangements for Executive and Management Employees</w:t>
      </w:r>
    </w:p>
    <w:p>
      <w:pPr>
        <w:spacing w:after="0" w:line="13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Executive Compensation</w:t>
      </w:r>
    </w:p>
    <w:p>
      <w:pPr>
        <w:spacing w:after="0" w:line="154" w:lineRule="exact"/>
        <w:rPr>
          <w:sz w:val="20"/>
          <w:szCs w:val="20"/>
          <w:color w:val="auto"/>
        </w:rPr>
      </w:pPr>
    </w:p>
    <w:p>
      <w:pPr>
        <w:ind w:right="80"/>
        <w:spacing w:after="0" w:line="255" w:lineRule="auto"/>
        <w:rPr>
          <w:sz w:val="20"/>
          <w:szCs w:val="20"/>
          <w:color w:val="auto"/>
        </w:rPr>
      </w:pPr>
      <w:r>
        <w:rPr>
          <w:rFonts w:ascii="Arial" w:cs="Arial" w:eastAsia="Arial" w:hAnsi="Arial"/>
          <w:sz w:val="12"/>
          <w:szCs w:val="12"/>
          <w:color w:val="auto"/>
        </w:rPr>
        <w:t>From late January to late February 2016, the Compensation and Stock Options Committee (“Compensation Committee”) of Reading International, Inc., (“Reading,” “Registrant” or the “Company”) met five separate times with Willis Towers Watson, an international compensation consulting firm, the Chief Executive Officer, and legal counsel. As part of its engagement Willis Towers Watson reviewed the Company’s compensation paid to executive and management officers by position, in light of each person’s duties and responsibilities. Willis Towers Watson then compared the top executive and management positions at the Company to (i) executive compensation paid by a peer group and (ii) two surveys, the 2015 Towers Watson Data Services Top Management Survey Report and the 2015 Mercer MBD Executive Compensation Survey, in each case, identified by office position and duties performed by the officer. The peer group utilized by Willis Towers Watson included the following companies: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3140" w:type="dxa"/>
            <w:vAlign w:val="bottom"/>
          </w:tcPr>
          <w:p>
            <w:pPr>
              <w:spacing w:after="0"/>
              <w:rPr>
                <w:sz w:val="20"/>
                <w:szCs w:val="20"/>
                <w:color w:val="auto"/>
              </w:rPr>
            </w:pPr>
            <w:r>
              <w:rPr>
                <w:rFonts w:ascii="Arial" w:cs="Arial" w:eastAsia="Arial" w:hAnsi="Arial"/>
                <w:sz w:val="12"/>
                <w:szCs w:val="12"/>
                <w:color w:val="auto"/>
              </w:rPr>
              <w:t>Arcadia Realty Trust</w:t>
            </w:r>
          </w:p>
        </w:tc>
        <w:tc>
          <w:tcPr>
            <w:tcW w:w="3660" w:type="dxa"/>
            <w:vAlign w:val="bottom"/>
          </w:tcPr>
          <w:p>
            <w:pPr>
              <w:ind w:left="1640"/>
              <w:spacing w:after="0"/>
              <w:rPr>
                <w:sz w:val="20"/>
                <w:szCs w:val="20"/>
                <w:color w:val="auto"/>
              </w:rPr>
            </w:pPr>
            <w:r>
              <w:rPr>
                <w:rFonts w:ascii="Arial" w:cs="Arial" w:eastAsia="Arial" w:hAnsi="Arial"/>
                <w:sz w:val="12"/>
                <w:szCs w:val="12"/>
                <w:color w:val="auto"/>
              </w:rPr>
              <w:t>Inland Real Estate Corp.</w:t>
            </w:r>
          </w:p>
        </w:tc>
      </w:tr>
      <w:tr>
        <w:trPr>
          <w:trHeight w:val="153"/>
        </w:trPr>
        <w:tc>
          <w:tcPr>
            <w:tcW w:w="3140" w:type="dxa"/>
            <w:vAlign w:val="bottom"/>
          </w:tcPr>
          <w:p>
            <w:pPr>
              <w:spacing w:after="0"/>
              <w:rPr>
                <w:sz w:val="20"/>
                <w:szCs w:val="20"/>
                <w:color w:val="auto"/>
              </w:rPr>
            </w:pPr>
            <w:r>
              <w:rPr>
                <w:rFonts w:ascii="Arial" w:cs="Arial" w:eastAsia="Arial" w:hAnsi="Arial"/>
                <w:sz w:val="12"/>
                <w:szCs w:val="12"/>
                <w:color w:val="auto"/>
              </w:rPr>
              <w:t>Associated Estates Realty Corp.</w:t>
            </w:r>
          </w:p>
        </w:tc>
        <w:tc>
          <w:tcPr>
            <w:tcW w:w="3660" w:type="dxa"/>
            <w:vAlign w:val="bottom"/>
          </w:tcPr>
          <w:p>
            <w:pPr>
              <w:ind w:left="1640"/>
              <w:spacing w:after="0"/>
              <w:rPr>
                <w:sz w:val="20"/>
                <w:szCs w:val="20"/>
                <w:color w:val="auto"/>
              </w:rPr>
            </w:pPr>
            <w:r>
              <w:rPr>
                <w:rFonts w:ascii="Arial" w:cs="Arial" w:eastAsia="Arial" w:hAnsi="Arial"/>
                <w:sz w:val="12"/>
                <w:szCs w:val="12"/>
                <w:color w:val="auto"/>
              </w:rPr>
              <w:t>Kite Realty Group Trust</w:t>
            </w:r>
          </w:p>
        </w:tc>
      </w:tr>
      <w:tr>
        <w:trPr>
          <w:trHeight w:val="153"/>
        </w:trPr>
        <w:tc>
          <w:tcPr>
            <w:tcW w:w="3140" w:type="dxa"/>
            <w:vAlign w:val="bottom"/>
          </w:tcPr>
          <w:p>
            <w:pPr>
              <w:spacing w:after="0"/>
              <w:rPr>
                <w:sz w:val="20"/>
                <w:szCs w:val="20"/>
                <w:color w:val="auto"/>
              </w:rPr>
            </w:pPr>
            <w:r>
              <w:rPr>
                <w:rFonts w:ascii="Arial" w:cs="Arial" w:eastAsia="Arial" w:hAnsi="Arial"/>
                <w:sz w:val="12"/>
                <w:szCs w:val="12"/>
                <w:color w:val="auto"/>
              </w:rPr>
              <w:t>Carmike Cinemas Inc.</w:t>
            </w:r>
          </w:p>
        </w:tc>
        <w:tc>
          <w:tcPr>
            <w:tcW w:w="3660" w:type="dxa"/>
            <w:vAlign w:val="bottom"/>
          </w:tcPr>
          <w:p>
            <w:pPr>
              <w:ind w:left="1600"/>
              <w:spacing w:after="0"/>
              <w:rPr>
                <w:sz w:val="20"/>
                <w:szCs w:val="20"/>
                <w:color w:val="auto"/>
              </w:rPr>
            </w:pPr>
            <w:r>
              <w:rPr>
                <w:rFonts w:ascii="Arial" w:cs="Arial" w:eastAsia="Arial" w:hAnsi="Arial"/>
                <w:sz w:val="12"/>
                <w:szCs w:val="12"/>
                <w:color w:val="auto"/>
              </w:rPr>
              <w:t>Marcus Corporation.</w:t>
            </w:r>
          </w:p>
        </w:tc>
      </w:tr>
      <w:tr>
        <w:trPr>
          <w:trHeight w:val="162"/>
        </w:trPr>
        <w:tc>
          <w:tcPr>
            <w:tcW w:w="3140" w:type="dxa"/>
            <w:vAlign w:val="bottom"/>
          </w:tcPr>
          <w:p>
            <w:pPr>
              <w:spacing w:after="0"/>
              <w:rPr>
                <w:sz w:val="20"/>
                <w:szCs w:val="20"/>
                <w:color w:val="auto"/>
              </w:rPr>
            </w:pPr>
            <w:r>
              <w:rPr>
                <w:rFonts w:ascii="Arial" w:cs="Arial" w:eastAsia="Arial" w:hAnsi="Arial"/>
                <w:sz w:val="12"/>
                <w:szCs w:val="12"/>
                <w:color w:val="auto"/>
              </w:rPr>
              <w:t>Cedar Realty Trust Inc.</w:t>
            </w:r>
          </w:p>
        </w:tc>
        <w:tc>
          <w:tcPr>
            <w:tcW w:w="3660" w:type="dxa"/>
            <w:vAlign w:val="bottom"/>
          </w:tcPr>
          <w:p>
            <w:pPr>
              <w:ind w:left="1600"/>
              <w:spacing w:after="0"/>
              <w:rPr>
                <w:sz w:val="20"/>
                <w:szCs w:val="20"/>
                <w:color w:val="auto"/>
              </w:rPr>
            </w:pPr>
            <w:r>
              <w:rPr>
                <w:rFonts w:ascii="Arial" w:cs="Arial" w:eastAsia="Arial" w:hAnsi="Arial"/>
                <w:sz w:val="12"/>
                <w:szCs w:val="12"/>
                <w:color w:val="auto"/>
                <w:w w:val="88"/>
              </w:rPr>
              <w:t>Pennsylvania Real Estate Investment Trust</w:t>
            </w:r>
          </w:p>
        </w:tc>
      </w:tr>
      <w:tr>
        <w:trPr>
          <w:trHeight w:val="144"/>
        </w:trPr>
        <w:tc>
          <w:tcPr>
            <w:tcW w:w="3140" w:type="dxa"/>
            <w:vAlign w:val="bottom"/>
          </w:tcPr>
          <w:p>
            <w:pPr>
              <w:spacing w:after="0"/>
              <w:rPr>
                <w:sz w:val="20"/>
                <w:szCs w:val="20"/>
                <w:color w:val="auto"/>
              </w:rPr>
            </w:pPr>
            <w:r>
              <w:rPr>
                <w:rFonts w:ascii="Arial" w:cs="Arial" w:eastAsia="Arial" w:hAnsi="Arial"/>
                <w:sz w:val="12"/>
                <w:szCs w:val="12"/>
                <w:color w:val="auto"/>
              </w:rPr>
              <w:t>Charter Hall Group</w:t>
            </w:r>
          </w:p>
        </w:tc>
        <w:tc>
          <w:tcPr>
            <w:tcW w:w="3660" w:type="dxa"/>
            <w:vAlign w:val="bottom"/>
          </w:tcPr>
          <w:p>
            <w:pPr>
              <w:ind w:left="1600"/>
              <w:spacing w:after="0"/>
              <w:rPr>
                <w:sz w:val="20"/>
                <w:szCs w:val="20"/>
                <w:color w:val="auto"/>
              </w:rPr>
            </w:pPr>
            <w:r>
              <w:rPr>
                <w:rFonts w:ascii="Arial" w:cs="Arial" w:eastAsia="Arial" w:hAnsi="Arial"/>
                <w:sz w:val="12"/>
                <w:szCs w:val="12"/>
                <w:color w:val="auto"/>
              </w:rPr>
              <w:t>Ramco-Gershenson Properties Trust</w:t>
            </w:r>
          </w:p>
        </w:tc>
      </w:tr>
      <w:tr>
        <w:trPr>
          <w:trHeight w:val="162"/>
        </w:trPr>
        <w:tc>
          <w:tcPr>
            <w:tcW w:w="3140" w:type="dxa"/>
            <w:vAlign w:val="bottom"/>
          </w:tcPr>
          <w:p>
            <w:pPr>
              <w:spacing w:after="0"/>
              <w:rPr>
                <w:sz w:val="20"/>
                <w:szCs w:val="20"/>
                <w:color w:val="auto"/>
              </w:rPr>
            </w:pPr>
            <w:r>
              <w:rPr>
                <w:rFonts w:ascii="Arial" w:cs="Arial" w:eastAsia="Arial" w:hAnsi="Arial"/>
                <w:sz w:val="12"/>
                <w:szCs w:val="12"/>
                <w:color w:val="auto"/>
              </w:rPr>
              <w:t>EPR Properties</w:t>
            </w:r>
          </w:p>
        </w:tc>
        <w:tc>
          <w:tcPr>
            <w:tcW w:w="3660" w:type="dxa"/>
            <w:vAlign w:val="bottom"/>
          </w:tcPr>
          <w:p>
            <w:pPr>
              <w:ind w:left="1600"/>
              <w:spacing w:after="0"/>
              <w:rPr>
                <w:sz w:val="20"/>
                <w:szCs w:val="20"/>
                <w:color w:val="auto"/>
              </w:rPr>
            </w:pPr>
            <w:r>
              <w:rPr>
                <w:rFonts w:ascii="Arial" w:cs="Arial" w:eastAsia="Arial" w:hAnsi="Arial"/>
                <w:sz w:val="12"/>
                <w:szCs w:val="12"/>
                <w:color w:val="auto"/>
              </w:rPr>
              <w:t>Urstadt Biddle Properties Inc.</w:t>
            </w:r>
          </w:p>
        </w:tc>
      </w:tr>
      <w:tr>
        <w:trPr>
          <w:trHeight w:val="144"/>
        </w:trPr>
        <w:tc>
          <w:tcPr>
            <w:tcW w:w="3140" w:type="dxa"/>
            <w:vAlign w:val="bottom"/>
          </w:tcPr>
          <w:p>
            <w:pPr>
              <w:spacing w:after="0"/>
              <w:rPr>
                <w:sz w:val="20"/>
                <w:szCs w:val="20"/>
                <w:color w:val="auto"/>
              </w:rPr>
            </w:pPr>
            <w:r>
              <w:rPr>
                <w:rFonts w:ascii="Arial" w:cs="Arial" w:eastAsia="Arial" w:hAnsi="Arial"/>
                <w:sz w:val="12"/>
                <w:szCs w:val="12"/>
                <w:color w:val="auto"/>
              </w:rPr>
              <w:t>Vicinity Centres</w:t>
            </w:r>
          </w:p>
        </w:tc>
        <w:tc>
          <w:tcPr>
            <w:tcW w:w="3660" w:type="dxa"/>
            <w:vAlign w:val="bottom"/>
          </w:tcPr>
          <w:p>
            <w:pPr>
              <w:ind w:left="1600"/>
              <w:spacing w:after="0"/>
              <w:rPr>
                <w:sz w:val="20"/>
                <w:szCs w:val="20"/>
                <w:color w:val="auto"/>
              </w:rPr>
            </w:pPr>
            <w:r>
              <w:rPr>
                <w:rFonts w:ascii="Arial" w:cs="Arial" w:eastAsia="Arial" w:hAnsi="Arial"/>
                <w:sz w:val="12"/>
                <w:szCs w:val="12"/>
                <w:color w:val="auto"/>
              </w:rPr>
              <w:t>Village Roadshow Ltd.</w:t>
            </w:r>
          </w:p>
        </w:tc>
      </w:tr>
      <w:tr>
        <w:trPr>
          <w:trHeight w:val="153"/>
        </w:trPr>
        <w:tc>
          <w:tcPr>
            <w:tcW w:w="3140" w:type="dxa"/>
            <w:vAlign w:val="bottom"/>
          </w:tcPr>
          <w:p>
            <w:pPr>
              <w:spacing w:after="0"/>
              <w:rPr>
                <w:sz w:val="20"/>
                <w:szCs w:val="20"/>
                <w:color w:val="auto"/>
              </w:rPr>
            </w:pPr>
            <w:r>
              <w:rPr>
                <w:rFonts w:ascii="Arial" w:cs="Arial" w:eastAsia="Arial" w:hAnsi="Arial"/>
                <w:sz w:val="12"/>
                <w:szCs w:val="12"/>
                <w:color w:val="auto"/>
              </w:rPr>
              <w:t>IMAX Corporation</w:t>
            </w:r>
          </w:p>
        </w:tc>
        <w:tc>
          <w:tcPr>
            <w:tcW w:w="3660" w:type="dxa"/>
            <w:vAlign w:val="bottom"/>
          </w:tcPr>
          <w:p>
            <w:pPr>
              <w:spacing w:after="0"/>
              <w:rPr>
                <w:sz w:val="13"/>
                <w:szCs w:val="13"/>
                <w:color w:val="auto"/>
              </w:rPr>
            </w:pPr>
          </w:p>
        </w:tc>
      </w:tr>
    </w:tbl>
    <w:p>
      <w:pPr>
        <w:spacing w:after="0" w:line="297" w:lineRule="exact"/>
        <w:rPr>
          <w:sz w:val="20"/>
          <w:szCs w:val="20"/>
          <w:color w:val="auto"/>
        </w:rPr>
      </w:pPr>
    </w:p>
    <w:p>
      <w:pPr>
        <w:ind w:right="200"/>
        <w:spacing w:after="0" w:line="276" w:lineRule="auto"/>
        <w:rPr>
          <w:sz w:val="20"/>
          <w:szCs w:val="20"/>
          <w:color w:val="auto"/>
        </w:rPr>
      </w:pPr>
      <w:r>
        <w:rPr>
          <w:rFonts w:ascii="Arial" w:cs="Arial" w:eastAsia="Arial" w:hAnsi="Arial"/>
          <w:sz w:val="12"/>
          <w:szCs w:val="12"/>
          <w:color w:val="auto"/>
        </w:rPr>
        <w:t>Willis Towers Watson selected the above peer group because (i) the companies included US and Australian based companies reflecting the Company’s geographic operations and/or (ii) the companies were comparable to the Company based on revenue.</w:t>
      </w:r>
    </w:p>
    <w:p>
      <w:pPr>
        <w:spacing w:after="0" w:line="115" w:lineRule="exact"/>
        <w:rPr>
          <w:sz w:val="20"/>
          <w:szCs w:val="20"/>
          <w:color w:val="auto"/>
        </w:rPr>
      </w:pPr>
    </w:p>
    <w:p>
      <w:pPr>
        <w:ind w:right="160"/>
        <w:spacing w:after="0" w:line="263" w:lineRule="auto"/>
        <w:rPr>
          <w:sz w:val="20"/>
          <w:szCs w:val="20"/>
          <w:color w:val="auto"/>
        </w:rPr>
      </w:pPr>
      <w:r>
        <w:rPr>
          <w:rFonts w:ascii="Arial" w:cs="Arial" w:eastAsia="Arial" w:hAnsi="Arial"/>
          <w:sz w:val="12"/>
          <w:szCs w:val="12"/>
          <w:color w:val="auto"/>
        </w:rPr>
        <w:t>The executive pay assessment prepared by Willis Towers Watson measured the executive and management compensation paid by the Company against compensation paid by the peer group companies and the companies listed in the two surveys based on the 25</w:t>
      </w:r>
      <w:r>
        <w:rPr>
          <w:rFonts w:ascii="Arial" w:cs="Arial" w:eastAsia="Arial" w:hAnsi="Arial"/>
          <w:sz w:val="5"/>
          <w:szCs w:val="5"/>
          <w:color w:val="auto"/>
        </w:rPr>
        <w:t>th</w:t>
      </w:r>
      <w:r>
        <w:rPr>
          <w:rFonts w:ascii="Arial" w:cs="Arial" w:eastAsia="Arial" w:hAnsi="Arial"/>
          <w:sz w:val="12"/>
          <w:szCs w:val="12"/>
          <w:color w:val="auto"/>
        </w:rPr>
        <w:t>, 50</w:t>
      </w:r>
      <w:r>
        <w:rPr>
          <w:rFonts w:ascii="Arial" w:cs="Arial" w:eastAsia="Arial" w:hAnsi="Arial"/>
          <w:sz w:val="5"/>
          <w:szCs w:val="5"/>
          <w:color w:val="auto"/>
        </w:rPr>
        <w:t>th</w:t>
      </w:r>
      <w:r>
        <w:rPr>
          <w:rFonts w:ascii="Arial" w:cs="Arial" w:eastAsia="Arial" w:hAnsi="Arial"/>
          <w:sz w:val="12"/>
          <w:szCs w:val="12"/>
          <w:color w:val="auto"/>
        </w:rPr>
        <w:t xml:space="preserve"> and 75</w:t>
      </w:r>
      <w:r>
        <w:rPr>
          <w:rFonts w:ascii="Arial" w:cs="Arial" w:eastAsia="Arial" w:hAnsi="Arial"/>
          <w:sz w:val="5"/>
          <w:szCs w:val="5"/>
          <w:color w:val="auto"/>
        </w:rPr>
        <w:t>th</w:t>
      </w:r>
      <w:r>
        <w:rPr>
          <w:rFonts w:ascii="Arial" w:cs="Arial" w:eastAsia="Arial" w:hAnsi="Arial"/>
          <w:sz w:val="12"/>
          <w:szCs w:val="12"/>
          <w:color w:val="auto"/>
        </w:rPr>
        <w:t xml:space="preserve"> percentile of such peer group and surveyed companies. The 50</w:t>
      </w:r>
      <w:r>
        <w:rPr>
          <w:rFonts w:ascii="Arial" w:cs="Arial" w:eastAsia="Arial" w:hAnsi="Arial"/>
          <w:sz w:val="5"/>
          <w:szCs w:val="5"/>
          <w:color w:val="auto"/>
        </w:rPr>
        <w:t>th</w:t>
      </w:r>
      <w:r>
        <w:rPr>
          <w:rFonts w:ascii="Arial" w:cs="Arial" w:eastAsia="Arial" w:hAnsi="Arial"/>
          <w:sz w:val="12"/>
          <w:szCs w:val="12"/>
          <w:color w:val="auto"/>
        </w:rPr>
        <w:t xml:space="preserve"> percentile was the median compensation paid by such peer group and surveyed companies to executives performing similar responsibilities and duties.</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color w:val="auto"/>
        </w:rPr>
        <w:t>In its report to the Compensation Committee, Willis Towers Watson noted that for Company executive officers:</w:t>
      </w:r>
    </w:p>
    <w:p>
      <w:pPr>
        <w:spacing w:after="0" w:line="150" w:lineRule="exact"/>
        <w:rPr>
          <w:sz w:val="20"/>
          <w:szCs w:val="20"/>
          <w:color w:val="auto"/>
        </w:rPr>
      </w:pPr>
    </w:p>
    <w:p>
      <w:pPr>
        <w:ind w:left="240"/>
        <w:spacing w:after="0"/>
        <w:rPr>
          <w:sz w:val="20"/>
          <w:szCs w:val="20"/>
          <w:color w:val="auto"/>
        </w:rPr>
      </w:pPr>
      <w:r>
        <w:rPr>
          <w:rFonts w:ascii="Arial" w:cs="Arial" w:eastAsia="Arial" w:hAnsi="Arial"/>
          <w:sz w:val="11"/>
          <w:szCs w:val="11"/>
          <w:color w:val="auto"/>
        </w:rPr>
        <w:t>·Base salaries in the aggregate were generally in the competitive zone of the market (1% below the market 50</w:t>
      </w:r>
      <w:r>
        <w:rPr>
          <w:rFonts w:ascii="Arial" w:cs="Arial" w:eastAsia="Arial" w:hAnsi="Arial"/>
          <w:sz w:val="5"/>
          <w:szCs w:val="5"/>
          <w:color w:val="auto"/>
        </w:rPr>
        <w:t>th</w:t>
      </w:r>
      <w:r>
        <w:rPr>
          <w:rFonts w:ascii="Arial" w:cs="Arial" w:eastAsia="Arial" w:hAnsi="Arial"/>
          <w:sz w:val="11"/>
          <w:szCs w:val="11"/>
          <w:color w:val="auto"/>
        </w:rPr>
        <w:t xml:space="preserve"> percentile), with certain notable exceptions on a position by position review;</w:t>
      </w:r>
    </w:p>
    <w:p>
      <w:pPr>
        <w:spacing w:after="0" w:line="162" w:lineRule="exact"/>
        <w:rPr>
          <w:sz w:val="20"/>
          <w:szCs w:val="20"/>
          <w:color w:val="auto"/>
        </w:rPr>
      </w:pPr>
    </w:p>
    <w:p>
      <w:pPr>
        <w:ind w:left="240"/>
        <w:spacing w:after="0"/>
        <w:rPr>
          <w:sz w:val="20"/>
          <w:szCs w:val="20"/>
          <w:color w:val="auto"/>
        </w:rPr>
      </w:pPr>
      <w:r>
        <w:rPr>
          <w:rFonts w:ascii="Arial" w:cs="Arial" w:eastAsia="Arial" w:hAnsi="Arial"/>
          <w:sz w:val="12"/>
          <w:szCs w:val="12"/>
          <w:color w:val="auto"/>
        </w:rPr>
        <w:t>· Total cash compensation  (base salary and cash bonus) in the aggregate was 26% below the 50</w:t>
      </w:r>
      <w:r>
        <w:rPr>
          <w:rFonts w:ascii="Arial" w:cs="Arial" w:eastAsia="Arial" w:hAnsi="Arial"/>
          <w:sz w:val="5"/>
          <w:szCs w:val="5"/>
          <w:color w:val="auto"/>
        </w:rPr>
        <w:t>th</w:t>
      </w:r>
      <w:r>
        <w:rPr>
          <w:rFonts w:ascii="Arial" w:cs="Arial" w:eastAsia="Arial" w:hAnsi="Arial"/>
          <w:sz w:val="12"/>
          <w:szCs w:val="12"/>
          <w:color w:val="auto"/>
        </w:rPr>
        <w:t xml:space="preserve"> percentile; and</w:t>
      </w:r>
    </w:p>
    <w:p>
      <w:pPr>
        <w:spacing w:after="0" w:line="150" w:lineRule="exact"/>
        <w:rPr>
          <w:sz w:val="20"/>
          <w:szCs w:val="20"/>
          <w:color w:val="auto"/>
        </w:rPr>
      </w:pPr>
    </w:p>
    <w:p>
      <w:pPr>
        <w:ind w:left="240"/>
        <w:spacing w:after="0"/>
        <w:rPr>
          <w:sz w:val="20"/>
          <w:szCs w:val="20"/>
          <w:color w:val="auto"/>
        </w:rPr>
      </w:pPr>
      <w:r>
        <w:rPr>
          <w:rFonts w:ascii="Arial" w:cs="Arial" w:eastAsia="Arial" w:hAnsi="Arial"/>
          <w:sz w:val="12"/>
          <w:szCs w:val="12"/>
          <w:color w:val="auto"/>
        </w:rPr>
        <w:t>· Total compensation (base salary, cash bonus and long term incentive awards) in the aggregate was 40% below the 50</w:t>
      </w:r>
      <w:r>
        <w:rPr>
          <w:rFonts w:ascii="Arial" w:cs="Arial" w:eastAsia="Arial" w:hAnsi="Arial"/>
          <w:sz w:val="5"/>
          <w:szCs w:val="5"/>
          <w:color w:val="auto"/>
        </w:rPr>
        <w:t>th</w:t>
      </w:r>
      <w:r>
        <w:rPr>
          <w:rFonts w:ascii="Arial" w:cs="Arial" w:eastAsia="Arial" w:hAnsi="Arial"/>
          <w:sz w:val="12"/>
          <w:szCs w:val="12"/>
          <w:color w:val="auto"/>
        </w:rPr>
        <w:t xml:space="preserve"> percentile.</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The Compensation Committee, recommended, and the Board subsequently adopted, a compensation philosophy for the Company's management team members to:</w:t>
      </w:r>
    </w:p>
    <w:p>
      <w:pPr>
        <w:spacing w:after="0" w:line="141" w:lineRule="exact"/>
        <w:rPr>
          <w:sz w:val="20"/>
          <w:szCs w:val="20"/>
          <w:color w:val="auto"/>
        </w:rPr>
      </w:pPr>
    </w:p>
    <w:p>
      <w:pPr>
        <w:ind w:left="320" w:hanging="107"/>
        <w:spacing w:after="0"/>
        <w:tabs>
          <w:tab w:leader="none" w:pos="320" w:val="left"/>
        </w:tabs>
        <w:numPr>
          <w:ilvl w:val="0"/>
          <w:numId w:val="195"/>
        </w:numPr>
        <w:rPr>
          <w:rFonts w:ascii="Arial" w:cs="Arial" w:eastAsia="Arial" w:hAnsi="Arial"/>
          <w:sz w:val="12"/>
          <w:szCs w:val="12"/>
          <w:color w:val="auto"/>
        </w:rPr>
      </w:pPr>
      <w:r>
        <w:rPr>
          <w:rFonts w:ascii="Arial" w:cs="Arial" w:eastAsia="Arial" w:hAnsi="Arial"/>
          <w:sz w:val="12"/>
          <w:szCs w:val="12"/>
          <w:color w:val="auto"/>
        </w:rPr>
        <w:t>Attract and retain talented and dedicated management team members;</w:t>
      </w:r>
    </w:p>
    <w:p>
      <w:pPr>
        <w:spacing w:after="0" w:line="14" w:lineRule="exact"/>
        <w:rPr>
          <w:rFonts w:ascii="Arial" w:cs="Arial" w:eastAsia="Arial" w:hAnsi="Arial"/>
          <w:sz w:val="12"/>
          <w:szCs w:val="12"/>
          <w:color w:val="auto"/>
        </w:rPr>
      </w:pPr>
    </w:p>
    <w:p>
      <w:pPr>
        <w:ind w:left="320" w:hanging="107"/>
        <w:spacing w:after="0"/>
        <w:tabs>
          <w:tab w:leader="none" w:pos="320" w:val="left"/>
        </w:tabs>
        <w:numPr>
          <w:ilvl w:val="0"/>
          <w:numId w:val="195"/>
        </w:numPr>
        <w:rPr>
          <w:rFonts w:ascii="Arial" w:cs="Arial" w:eastAsia="Arial" w:hAnsi="Arial"/>
          <w:sz w:val="12"/>
          <w:szCs w:val="12"/>
          <w:color w:val="auto"/>
        </w:rPr>
      </w:pPr>
      <w:r>
        <w:rPr>
          <w:rFonts w:ascii="Arial" w:cs="Arial" w:eastAsia="Arial" w:hAnsi="Arial"/>
          <w:sz w:val="12"/>
          <w:szCs w:val="12"/>
          <w:color w:val="auto"/>
        </w:rPr>
        <w:t>Provide overall compensation that is competitive in its industry;</w:t>
      </w:r>
    </w:p>
    <w:p>
      <w:pPr>
        <w:spacing w:after="0" w:line="6" w:lineRule="exact"/>
        <w:rPr>
          <w:rFonts w:ascii="Arial" w:cs="Arial" w:eastAsia="Arial" w:hAnsi="Arial"/>
          <w:sz w:val="12"/>
          <w:szCs w:val="12"/>
          <w:color w:val="auto"/>
        </w:rPr>
      </w:pPr>
    </w:p>
    <w:p>
      <w:pPr>
        <w:ind w:left="280" w:hanging="67"/>
        <w:spacing w:after="0"/>
        <w:tabs>
          <w:tab w:leader="none" w:pos="280" w:val="left"/>
        </w:tabs>
        <w:numPr>
          <w:ilvl w:val="0"/>
          <w:numId w:val="195"/>
        </w:numPr>
        <w:rPr>
          <w:rFonts w:ascii="Arial" w:cs="Arial" w:eastAsia="Arial" w:hAnsi="Arial"/>
          <w:sz w:val="12"/>
          <w:szCs w:val="12"/>
          <w:color w:val="auto"/>
        </w:rPr>
      </w:pPr>
      <w:r>
        <w:rPr>
          <w:rFonts w:ascii="Arial" w:cs="Arial" w:eastAsia="Arial" w:hAnsi="Arial"/>
          <w:sz w:val="12"/>
          <w:szCs w:val="12"/>
          <w:color w:val="auto"/>
        </w:rPr>
        <w:t>Correlate annual cash incentives to the achievement of its business and financial objectives; and</w:t>
      </w:r>
    </w:p>
    <w:p>
      <w:pPr>
        <w:spacing w:after="0" w:line="6" w:lineRule="exact"/>
        <w:rPr>
          <w:rFonts w:ascii="Arial" w:cs="Arial" w:eastAsia="Arial" w:hAnsi="Arial"/>
          <w:sz w:val="12"/>
          <w:szCs w:val="12"/>
          <w:color w:val="auto"/>
        </w:rPr>
      </w:pPr>
    </w:p>
    <w:p>
      <w:pPr>
        <w:ind w:left="280" w:hanging="67"/>
        <w:spacing w:after="0"/>
        <w:tabs>
          <w:tab w:leader="none" w:pos="280" w:val="left"/>
        </w:tabs>
        <w:numPr>
          <w:ilvl w:val="0"/>
          <w:numId w:val="195"/>
        </w:numPr>
        <w:rPr>
          <w:rFonts w:ascii="Arial" w:cs="Arial" w:eastAsia="Arial" w:hAnsi="Arial"/>
          <w:sz w:val="12"/>
          <w:szCs w:val="12"/>
          <w:color w:val="auto"/>
        </w:rPr>
      </w:pPr>
      <w:r>
        <w:rPr>
          <w:rFonts w:ascii="Arial" w:cs="Arial" w:eastAsia="Arial" w:hAnsi="Arial"/>
          <w:sz w:val="12"/>
          <w:szCs w:val="12"/>
          <w:color w:val="auto"/>
        </w:rPr>
        <w:t>Provide management team members with appropriate long-term incentives aligned with stockholder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82550</wp:posOffset>
            </wp:positionV>
            <wp:extent cx="6231255"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231255" cy="42545"/>
                    </a:xfrm>
                    <a:prstGeom prst="rect">
                      <a:avLst/>
                    </a:prstGeom>
                    <a:noFill/>
                  </pic:spPr>
                </pic:pic>
              </a:graphicData>
            </a:graphic>
          </wp:anchor>
        </w:drawing>
      </w:r>
    </w:p>
    <w:p>
      <w:pPr>
        <w:sectPr>
          <w:pgSz w:w="11900" w:h="16838" w:orient="portrait"/>
          <w:cols w:equalWidth="0" w:num="1">
            <w:col w:w="9760"/>
          </w:cols>
          <w:pgMar w:left="1080" w:top="284" w:right="1059" w:bottom="1440" w:gutter="0" w:footer="0" w:header="0"/>
        </w:sectPr>
      </w:pPr>
    </w:p>
    <w:bookmarkStart w:id="200" w:name="page201"/>
    <w:bookmarkEnd w:id="200"/>
    <w:p>
      <w:pPr>
        <w:ind w:right="60"/>
        <w:spacing w:after="0" w:line="276" w:lineRule="auto"/>
        <w:rPr>
          <w:sz w:val="20"/>
          <w:szCs w:val="20"/>
          <w:color w:val="auto"/>
        </w:rPr>
      </w:pPr>
      <w:r>
        <w:rPr>
          <w:rFonts w:ascii="Arial" w:cs="Arial" w:eastAsia="Arial" w:hAnsi="Arial"/>
          <w:sz w:val="12"/>
          <w:szCs w:val="12"/>
          <w:color w:val="auto"/>
        </w:rPr>
        <w:t>As part of the compensation philosophy the Company’s compensation focus will be to (1) drive the Company’s strategic plan on growth, (2) align officer and management performance with the interests of the Company’s stockholders, and (3) encourage retention of officers and management team members.</w:t>
      </w:r>
    </w:p>
    <w:p>
      <w:pPr>
        <w:spacing w:after="0" w:line="43" w:lineRule="exact"/>
        <w:rPr>
          <w:sz w:val="20"/>
          <w:szCs w:val="20"/>
          <w:color w:val="auto"/>
        </w:rPr>
      </w:pPr>
    </w:p>
    <w:p>
      <w:pPr>
        <w:ind w:right="60"/>
        <w:spacing w:after="0" w:line="276" w:lineRule="auto"/>
        <w:rPr>
          <w:sz w:val="20"/>
          <w:szCs w:val="20"/>
          <w:color w:val="auto"/>
        </w:rPr>
      </w:pPr>
      <w:r>
        <w:rPr>
          <w:rFonts w:ascii="Arial" w:cs="Arial" w:eastAsia="Arial" w:hAnsi="Arial"/>
          <w:sz w:val="12"/>
          <w:szCs w:val="12"/>
          <w:color w:val="auto"/>
        </w:rPr>
        <w:t>In furtherance of the compensation policy and as a result of the extensive deliberations, including consideration of the Willis Towers Watson recommendations, the Compensation Committee adopted an executive and management officer compensation structure for 2016 consisting of:</w:t>
      </w:r>
    </w:p>
    <w:p>
      <w:pPr>
        <w:spacing w:after="0" w:line="115" w:lineRule="exact"/>
        <w:rPr>
          <w:sz w:val="20"/>
          <w:szCs w:val="20"/>
          <w:color w:val="auto"/>
        </w:rPr>
      </w:pPr>
    </w:p>
    <w:p>
      <w:pPr>
        <w:ind w:left="220"/>
        <w:spacing w:after="0"/>
        <w:rPr>
          <w:sz w:val="20"/>
          <w:szCs w:val="20"/>
          <w:color w:val="auto"/>
        </w:rPr>
      </w:pPr>
      <w:r>
        <w:rPr>
          <w:rFonts w:ascii="Arial" w:cs="Arial" w:eastAsia="Arial" w:hAnsi="Arial"/>
          <w:sz w:val="12"/>
          <w:szCs w:val="12"/>
          <w:color w:val="auto"/>
        </w:rPr>
        <w:t>· A base salary comparable with job description and industry standard;</w:t>
      </w:r>
    </w:p>
    <w:p>
      <w:pPr>
        <w:spacing w:after="0" w:line="15" w:lineRule="exact"/>
        <w:rPr>
          <w:sz w:val="20"/>
          <w:szCs w:val="20"/>
          <w:color w:val="auto"/>
        </w:rPr>
      </w:pPr>
    </w:p>
    <w:p>
      <w:pPr>
        <w:ind w:left="220" w:right="100"/>
        <w:spacing w:after="0" w:line="255" w:lineRule="auto"/>
        <w:rPr>
          <w:sz w:val="20"/>
          <w:szCs w:val="20"/>
          <w:color w:val="auto"/>
        </w:rPr>
      </w:pPr>
      <w:r>
        <w:rPr>
          <w:rFonts w:ascii="Arial" w:cs="Arial" w:eastAsia="Arial" w:hAnsi="Arial"/>
          <w:sz w:val="12"/>
          <w:szCs w:val="12"/>
          <w:color w:val="auto"/>
        </w:rPr>
        <w:t>·A short term incentive or cash bonus plan based on a combination of factors including individual performance against corporate goals as well as overall corporate and division performance, with a target bonus to be denominated as a percent of base salary with specific goals weightings and pay-out ranges); or · A long term incentive or equity awards in line with job description, performance, and industry standards.</w:t>
      </w:r>
    </w:p>
    <w:p>
      <w:pPr>
        <w:spacing w:after="0" w:line="128" w:lineRule="exact"/>
        <w:rPr>
          <w:sz w:val="20"/>
          <w:szCs w:val="20"/>
          <w:color w:val="auto"/>
        </w:rPr>
      </w:pPr>
    </w:p>
    <w:p>
      <w:pPr>
        <w:ind w:right="120"/>
        <w:spacing w:after="0" w:line="323" w:lineRule="auto"/>
        <w:rPr>
          <w:sz w:val="20"/>
          <w:szCs w:val="20"/>
          <w:color w:val="auto"/>
        </w:rPr>
      </w:pPr>
      <w:r>
        <w:rPr>
          <w:rFonts w:ascii="Arial" w:cs="Arial" w:eastAsia="Arial" w:hAnsi="Arial"/>
          <w:sz w:val="11"/>
          <w:szCs w:val="11"/>
          <w:color w:val="auto"/>
        </w:rPr>
        <w:t>The Compensation Committee's intention is that the compensation structure approved for 2016 will remain in place indefinitely. However, it will review performance and results after the first year and thereafter and evaluate from time to time whether enhancements, changes or other compensation structures are in the Company's and it stockholders best interests.</w:t>
      </w:r>
    </w:p>
    <w:p>
      <w:pPr>
        <w:spacing w:after="0" w:line="92" w:lineRule="exact"/>
        <w:rPr>
          <w:sz w:val="20"/>
          <w:szCs w:val="20"/>
          <w:color w:val="auto"/>
        </w:rPr>
      </w:pPr>
    </w:p>
    <w:p>
      <w:pPr>
        <w:ind w:right="260"/>
        <w:spacing w:after="0" w:line="257" w:lineRule="auto"/>
        <w:rPr>
          <w:sz w:val="20"/>
          <w:szCs w:val="20"/>
          <w:color w:val="auto"/>
        </w:rPr>
      </w:pPr>
      <w:r>
        <w:rPr>
          <w:rFonts w:ascii="Arial" w:cs="Arial" w:eastAsia="Arial" w:hAnsi="Arial"/>
          <w:sz w:val="12"/>
          <w:szCs w:val="12"/>
          <w:color w:val="auto"/>
        </w:rPr>
        <w:t>Reflecting the new approach, the Compensation Committee established (i) annual base salaries at levels that it believed (based heavily on the data provided by Willis Towers Watson) are generally competitive with executives in our peer group and in other comparable publicly-held companies as described in the executive pay assessment prepared by Willis Towers Watson, and (ii) short term incentives in the form of discretionary annual cash bonuses based on the achievement of identified goals and benchmarks. Long-term incentives in the form of employee stock options and restricted stock units will be used as a retention tool and as a means to further align an executive’s long-term interests with those of the Company’s stockholders, with the ultimate objective of affording our executives an appropriate incentive to help drive increases in stockholder value.</w:t>
      </w:r>
    </w:p>
    <w:p>
      <w:pPr>
        <w:spacing w:after="0" w:line="126" w:lineRule="exact"/>
        <w:rPr>
          <w:sz w:val="20"/>
          <w:szCs w:val="20"/>
          <w:color w:val="auto"/>
        </w:rPr>
      </w:pPr>
    </w:p>
    <w:p>
      <w:pPr>
        <w:ind w:right="60"/>
        <w:spacing w:after="0" w:line="263" w:lineRule="auto"/>
        <w:rPr>
          <w:sz w:val="20"/>
          <w:szCs w:val="20"/>
          <w:color w:val="auto"/>
        </w:rPr>
      </w:pPr>
      <w:r>
        <w:rPr>
          <w:rFonts w:ascii="Arial" w:cs="Arial" w:eastAsia="Arial" w:hAnsi="Arial"/>
          <w:sz w:val="12"/>
          <w:szCs w:val="12"/>
          <w:color w:val="auto"/>
        </w:rPr>
        <w:t>The Compensation Committee will evaluate both executive performance and compensation to maintain the Company’s ability to attract and retain highly-qualified executives in key positions and to assure that compensation provided to executives remains competitive when compared to the compensation paid to similarly situated executives of companies with whom we compete for executive talent or that we consider comparable to our company.</w:t>
      </w:r>
    </w:p>
    <w:p>
      <w:pPr>
        <w:spacing w:after="0" w:line="19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Role of Chief Executive Officer in Compensation Decisions</w:t>
      </w:r>
    </w:p>
    <w:p>
      <w:pPr>
        <w:spacing w:after="0" w:line="78" w:lineRule="exact"/>
        <w:rPr>
          <w:sz w:val="20"/>
          <w:szCs w:val="20"/>
          <w:color w:val="auto"/>
        </w:rPr>
      </w:pPr>
    </w:p>
    <w:p>
      <w:pPr>
        <w:spacing w:after="0" w:line="263" w:lineRule="auto"/>
        <w:rPr>
          <w:sz w:val="20"/>
          <w:szCs w:val="20"/>
          <w:color w:val="auto"/>
        </w:rPr>
      </w:pPr>
      <w:r>
        <w:rPr>
          <w:rFonts w:ascii="Arial" w:cs="Arial" w:eastAsia="Arial" w:hAnsi="Arial"/>
          <w:sz w:val="12"/>
          <w:szCs w:val="12"/>
          <w:color w:val="auto"/>
        </w:rPr>
        <w:t>In connection with the implementation of the new compensation structure, the Compensation Committee conducted the thorough review of executive compensation discussed above. The Compensation Committee engaged in extensive discussions with and considered with great weight the recommendations of the Chief Executive Officer as to compensation for executive and management team members other than for the Chief Executive Officer.</w:t>
      </w:r>
    </w:p>
    <w:p>
      <w:pPr>
        <w:spacing w:after="0" w:line="51" w:lineRule="exact"/>
        <w:rPr>
          <w:sz w:val="20"/>
          <w:szCs w:val="20"/>
          <w:color w:val="auto"/>
        </w:rPr>
      </w:pPr>
    </w:p>
    <w:p>
      <w:pPr>
        <w:ind w:right="20"/>
        <w:spacing w:after="0" w:line="283" w:lineRule="auto"/>
        <w:rPr>
          <w:sz w:val="20"/>
          <w:szCs w:val="20"/>
          <w:color w:val="auto"/>
        </w:rPr>
      </w:pPr>
      <w:r>
        <w:rPr>
          <w:rFonts w:ascii="Arial" w:cs="Arial" w:eastAsia="Arial" w:hAnsi="Arial"/>
          <w:sz w:val="11"/>
          <w:szCs w:val="11"/>
          <w:color w:val="auto"/>
        </w:rPr>
        <w:t>In connection with consideration of 2015 performance bonuses for members of management, the Chief Executive Officer prepared and submitted recommendations for each of the executive and management team members, other than her own. In considering these recommendations, the Compensation Committee had the benefit of its extensive deliberations as well as the data provided by Willis Towers Watson. In executive session, the Compensation Committee approved a 2015 performance bonus for the Chief Executive Officer. At the Compensation Committee's February 17, 2016 meeting, it approved recommendations to the Board of Directors (the “Board”) for its February 18, 2016 meeting, at which time the Board approved the same. The Board approval covered certain officers including the five officers set forth below. In addition, our Chief Executive Officer discussed recommendations for other management team members but the Compensation Committee and Board agreed that such positions were within the scope of the Chief Executive Officer's authority and did not require the Compensation Committee or Board approval.</w:t>
      </w:r>
    </w:p>
    <w:p>
      <w:pPr>
        <w:spacing w:after="0" w:line="42" w:lineRule="exact"/>
        <w:rPr>
          <w:sz w:val="20"/>
          <w:szCs w:val="20"/>
          <w:color w:val="auto"/>
        </w:rPr>
      </w:pPr>
    </w:p>
    <w:p>
      <w:pPr>
        <w:ind w:right="260"/>
        <w:spacing w:after="0" w:line="276" w:lineRule="auto"/>
        <w:rPr>
          <w:sz w:val="20"/>
          <w:szCs w:val="20"/>
          <w:color w:val="auto"/>
        </w:rPr>
      </w:pPr>
      <w:r>
        <w:rPr>
          <w:rFonts w:ascii="Arial" w:cs="Arial" w:eastAsia="Arial" w:hAnsi="Arial"/>
          <w:sz w:val="12"/>
          <w:szCs w:val="12"/>
          <w:color w:val="auto"/>
        </w:rPr>
        <w:t>The Compensation Committee expects to perform an annual review of executive compensation, generally in the first quarter of the year following the year in review, with a presentation by the Chief Executive Officer regarding each element of the executive compensation arrangements. At the Compensation Committee’s direction, the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66040</wp:posOffset>
            </wp:positionV>
            <wp:extent cx="6231255"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231255" cy="42545"/>
                    </a:xfrm>
                    <a:prstGeom prst="rect">
                      <a:avLst/>
                    </a:prstGeom>
                    <a:noFill/>
                  </pic:spPr>
                </pic:pic>
              </a:graphicData>
            </a:graphic>
          </wp:anchor>
        </w:drawing>
      </w:r>
    </w:p>
    <w:p>
      <w:pPr>
        <w:sectPr>
          <w:pgSz w:w="11900" w:h="16838" w:orient="portrait"/>
          <w:cols w:equalWidth="0" w:num="1">
            <w:col w:w="9740"/>
          </w:cols>
          <w:pgMar w:left="1080" w:top="203" w:right="1079" w:bottom="1440" w:gutter="0" w:footer="0" w:header="0"/>
        </w:sectPr>
      </w:pPr>
    </w:p>
    <w:bookmarkStart w:id="201" w:name="page202"/>
    <w:bookmarkEnd w:id="201"/>
    <w:p>
      <w:pPr>
        <w:spacing w:after="0"/>
        <w:rPr>
          <w:sz w:val="20"/>
          <w:szCs w:val="20"/>
          <w:color w:val="auto"/>
        </w:rPr>
      </w:pPr>
      <w:r>
        <w:rPr>
          <w:rFonts w:ascii="Arial" w:cs="Arial" w:eastAsia="Arial" w:hAnsi="Arial"/>
          <w:sz w:val="10"/>
          <w:szCs w:val="10"/>
          <w:color w:val="auto"/>
        </w:rPr>
        <w:t>Executive Officer prepared an executive compensation review for each executive officer (other than the Chief Executive Officer), as well as the full executive team, which included recommendations for:</w:t>
      </w:r>
    </w:p>
    <w:p>
      <w:pPr>
        <w:spacing w:after="0" w:line="101" w:lineRule="exact"/>
        <w:rPr>
          <w:sz w:val="20"/>
          <w:szCs w:val="20"/>
          <w:color w:val="auto"/>
        </w:rPr>
      </w:pPr>
    </w:p>
    <w:p>
      <w:pPr>
        <w:ind w:left="600" w:hanging="387"/>
        <w:spacing w:after="0"/>
        <w:tabs>
          <w:tab w:leader="none" w:pos="600" w:val="left"/>
        </w:tabs>
        <w:numPr>
          <w:ilvl w:val="0"/>
          <w:numId w:val="196"/>
        </w:numPr>
        <w:rPr>
          <w:rFonts w:ascii="Arial" w:cs="Arial" w:eastAsia="Arial" w:hAnsi="Arial"/>
          <w:sz w:val="12"/>
          <w:szCs w:val="12"/>
          <w:color w:val="auto"/>
        </w:rPr>
      </w:pPr>
      <w:r>
        <w:rPr>
          <w:rFonts w:ascii="Arial" w:cs="Arial" w:eastAsia="Arial" w:hAnsi="Arial"/>
          <w:sz w:val="12"/>
          <w:szCs w:val="12"/>
          <w:color w:val="auto"/>
        </w:rPr>
        <w:t>2016 Base Salary</w:t>
      </w:r>
    </w:p>
    <w:p>
      <w:pPr>
        <w:spacing w:after="0" w:line="78" w:lineRule="exact"/>
        <w:rPr>
          <w:rFonts w:ascii="Arial" w:cs="Arial" w:eastAsia="Arial" w:hAnsi="Arial"/>
          <w:sz w:val="12"/>
          <w:szCs w:val="12"/>
          <w:color w:val="auto"/>
        </w:rPr>
      </w:pPr>
    </w:p>
    <w:p>
      <w:pPr>
        <w:ind w:left="260" w:hanging="47"/>
        <w:spacing w:after="0"/>
        <w:tabs>
          <w:tab w:leader="none" w:pos="260" w:val="left"/>
        </w:tabs>
        <w:numPr>
          <w:ilvl w:val="0"/>
          <w:numId w:val="196"/>
        </w:numPr>
        <w:rPr>
          <w:rFonts w:ascii="Arial" w:cs="Arial" w:eastAsia="Arial" w:hAnsi="Arial"/>
          <w:sz w:val="12"/>
          <w:szCs w:val="12"/>
          <w:color w:val="auto"/>
        </w:rPr>
      </w:pPr>
      <w:r>
        <w:rPr>
          <w:rFonts w:ascii="Arial" w:cs="Arial" w:eastAsia="Arial" w:hAnsi="Arial"/>
          <w:sz w:val="12"/>
          <w:szCs w:val="12"/>
          <w:color w:val="auto"/>
        </w:rPr>
        <w:t>A proposed year-end short-term incentive in the form of a target cash bonus based on the achievement of certain objectives; and</w:t>
      </w:r>
    </w:p>
    <w:p>
      <w:pPr>
        <w:spacing w:after="0" w:line="78" w:lineRule="exact"/>
        <w:rPr>
          <w:rFonts w:ascii="Arial" w:cs="Arial" w:eastAsia="Arial" w:hAnsi="Arial"/>
          <w:sz w:val="12"/>
          <w:szCs w:val="12"/>
          <w:color w:val="auto"/>
        </w:rPr>
      </w:pPr>
    </w:p>
    <w:p>
      <w:pPr>
        <w:ind w:left="280" w:hanging="67"/>
        <w:spacing w:after="0"/>
        <w:tabs>
          <w:tab w:leader="none" w:pos="280" w:val="left"/>
        </w:tabs>
        <w:numPr>
          <w:ilvl w:val="0"/>
          <w:numId w:val="196"/>
        </w:numPr>
        <w:rPr>
          <w:rFonts w:ascii="Arial" w:cs="Arial" w:eastAsia="Arial" w:hAnsi="Arial"/>
          <w:sz w:val="12"/>
          <w:szCs w:val="12"/>
          <w:color w:val="auto"/>
        </w:rPr>
      </w:pPr>
      <w:r>
        <w:rPr>
          <w:rFonts w:ascii="Arial" w:cs="Arial" w:eastAsia="Arial" w:hAnsi="Arial"/>
          <w:sz w:val="12"/>
          <w:szCs w:val="12"/>
          <w:color w:val="auto"/>
        </w:rPr>
        <w:t>A long-term incentive in the form of stock options and restricted stock units for the year under review.</w:t>
      </w:r>
    </w:p>
    <w:p>
      <w:pPr>
        <w:spacing w:after="0" w:line="150" w:lineRule="exact"/>
        <w:rPr>
          <w:sz w:val="20"/>
          <w:szCs w:val="20"/>
          <w:color w:val="auto"/>
        </w:rPr>
      </w:pPr>
    </w:p>
    <w:p>
      <w:pPr>
        <w:ind w:right="20"/>
        <w:spacing w:after="0" w:line="263" w:lineRule="auto"/>
        <w:rPr>
          <w:sz w:val="20"/>
          <w:szCs w:val="20"/>
          <w:color w:val="auto"/>
        </w:rPr>
      </w:pPr>
      <w:r>
        <w:rPr>
          <w:rFonts w:ascii="Arial" w:cs="Arial" w:eastAsia="Arial" w:hAnsi="Arial"/>
          <w:sz w:val="12"/>
          <w:szCs w:val="12"/>
          <w:color w:val="auto"/>
        </w:rPr>
        <w:t>As part of the compensation review, the Chief Executive Officer may also recommend other changes to an executive’s compensation arrangements such as a change in the executive’s responsibilities or a change in title. The Compensation Committee will evaluate the Chief Executive Officer’s recommendations and, in its discretion, may accept or reject the recommendations, subject to the terms of any written employment agreements.</w:t>
      </w:r>
    </w:p>
    <w:p>
      <w:pPr>
        <w:spacing w:after="0" w:line="123" w:lineRule="exact"/>
        <w:rPr>
          <w:sz w:val="20"/>
          <w:szCs w:val="20"/>
          <w:color w:val="auto"/>
        </w:rPr>
      </w:pPr>
    </w:p>
    <w:p>
      <w:pPr>
        <w:ind w:right="60"/>
        <w:spacing w:after="0" w:line="257" w:lineRule="auto"/>
        <w:rPr>
          <w:sz w:val="20"/>
          <w:szCs w:val="20"/>
          <w:color w:val="auto"/>
        </w:rPr>
      </w:pPr>
      <w:r>
        <w:rPr>
          <w:rFonts w:ascii="Arial" w:cs="Arial" w:eastAsia="Arial" w:hAnsi="Arial"/>
          <w:sz w:val="12"/>
          <w:szCs w:val="12"/>
          <w:color w:val="auto"/>
        </w:rPr>
        <w:t>The Compensation Committee met in executive session without our Chief Executive Officer to consider the Chief Executive Officer’s compensation, including base salary, cash bonus and equity award, if any. Prior to such executive sessions, the Compensation Committee interviewed the Chief Executive Officer to obtain a better understanding of factors contributing to the Chief Executive Officer's compensation. With the exception of these executive sessions of the Compensation Committee, as a rule, our Chief Executive Officer participated in all deliberations of the Compensation Committee relating to executive compensation. However, the Compensation Committee will ask the Chief Executive Officer to be excused for certain deliberations with respect to the compensation recommended for Margaret Cotter, the sister of the Chief Executive Officer.</w:t>
      </w:r>
    </w:p>
    <w:p>
      <w:pPr>
        <w:spacing w:after="0" w:line="126" w:lineRule="exact"/>
        <w:rPr>
          <w:sz w:val="20"/>
          <w:szCs w:val="20"/>
          <w:color w:val="auto"/>
        </w:rPr>
      </w:pPr>
    </w:p>
    <w:p>
      <w:pPr>
        <w:ind w:right="80"/>
        <w:spacing w:after="0" w:line="286" w:lineRule="auto"/>
        <w:rPr>
          <w:sz w:val="20"/>
          <w:szCs w:val="20"/>
          <w:color w:val="auto"/>
        </w:rPr>
      </w:pPr>
      <w:r>
        <w:rPr>
          <w:rFonts w:ascii="Arial" w:cs="Arial" w:eastAsia="Arial" w:hAnsi="Arial"/>
          <w:sz w:val="11"/>
          <w:szCs w:val="11"/>
          <w:color w:val="auto"/>
        </w:rPr>
        <w:t>In conjunction with the year-end annual compensation review, or as soon as practicable after the year-end, our Chief Executive Officer will recommend to the Compensation Committee the Company objectives and other criteria to be utilized for purposes of determining cash bonuses for certain senior executive officers. The Compensation Committee, in its discretion, may revise the Chief Executive Officer’s recommendations. At the end of the year, the Compensation Committee, in consultation with the Chief Executive Officer, will review each performance goal and determine the extent to which the officer achieved such goals. In establishing performance goals, the Compensation Committee expects to consider whether the goals could possibly result in an incentive for any executives to take unwarranted risks in our Company’s business and intend to seek to avoid creating any such incentives.</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Base Salaries</w:t>
      </w:r>
    </w:p>
    <w:p>
      <w:pPr>
        <w:spacing w:after="0" w:line="150" w:lineRule="exact"/>
        <w:rPr>
          <w:sz w:val="20"/>
          <w:szCs w:val="20"/>
          <w:color w:val="auto"/>
        </w:rPr>
      </w:pPr>
    </w:p>
    <w:p>
      <w:pPr>
        <w:ind w:right="100"/>
        <w:spacing w:after="0" w:line="259" w:lineRule="auto"/>
        <w:rPr>
          <w:sz w:val="20"/>
          <w:szCs w:val="20"/>
          <w:color w:val="auto"/>
        </w:rPr>
      </w:pPr>
      <w:r>
        <w:rPr>
          <w:rFonts w:ascii="Arial" w:cs="Arial" w:eastAsia="Arial" w:hAnsi="Arial"/>
          <w:sz w:val="12"/>
          <w:szCs w:val="12"/>
          <w:color w:val="auto"/>
        </w:rPr>
        <w:t>The Compensation Committee reviewed the executive pay assessment prepared by Willis Towers Watson and other factors and engaged in extensive deliberation and then recommended the following 2016 base salaries (the 2015 base salaries are shown for comparison purposes) for the following officers; the Board approved the recommendations of the Compensation Committee on March 10, 2016: the President and Chief Executive Officer, Chief Financial Officer and the persons identified and Named Executive Officers in the Company’s proxy statement dated November 10, 2015 other than our prior Chief Executive Officers James J. Cotter, Sr. and James J. Cotter, Jr:</w:t>
      </w:r>
    </w:p>
    <w:p>
      <w:pPr>
        <w:spacing w:after="0" w:line="121" w:lineRule="exact"/>
        <w:rPr>
          <w:sz w:val="20"/>
          <w:szCs w:val="20"/>
          <w:color w:val="auto"/>
        </w:rPr>
      </w:pPr>
    </w:p>
    <w:tbl>
      <w:tblPr>
        <w:tblLayout w:type="fixed"/>
        <w:tblInd w:w="80" w:type="dxa"/>
        <w:tblCellMar>
          <w:top w:w="0" w:type="dxa"/>
          <w:left w:w="0" w:type="dxa"/>
          <w:bottom w:w="0" w:type="dxa"/>
          <w:right w:w="0" w:type="dxa"/>
        </w:tblCellMar>
      </w:tblPr>
      <w:tr>
        <w:trPr>
          <w:trHeight w:val="144"/>
        </w:trPr>
        <w:tc>
          <w:tcPr>
            <w:tcW w:w="1520" w:type="dxa"/>
            <w:vAlign w:val="bottom"/>
          </w:tcPr>
          <w:p>
            <w:pPr>
              <w:spacing w:after="0"/>
              <w:rPr>
                <w:sz w:val="20"/>
                <w:szCs w:val="20"/>
                <w:color w:val="auto"/>
              </w:rPr>
            </w:pPr>
            <w:r>
              <w:rPr>
                <w:rFonts w:ascii="Arial" w:cs="Arial" w:eastAsia="Arial" w:hAnsi="Arial"/>
                <w:sz w:val="12"/>
                <w:szCs w:val="12"/>
                <w:b w:val="1"/>
                <w:bCs w:val="1"/>
                <w:color w:val="auto"/>
              </w:rPr>
              <w:t>Name</w:t>
            </w:r>
          </w:p>
        </w:tc>
        <w:tc>
          <w:tcPr>
            <w:tcW w:w="2480" w:type="dxa"/>
            <w:vAlign w:val="bottom"/>
          </w:tcPr>
          <w:p>
            <w:pPr>
              <w:ind w:left="320"/>
              <w:spacing w:after="0"/>
              <w:rPr>
                <w:sz w:val="20"/>
                <w:szCs w:val="20"/>
                <w:color w:val="auto"/>
              </w:rPr>
            </w:pPr>
            <w:r>
              <w:rPr>
                <w:rFonts w:ascii="Arial" w:cs="Arial" w:eastAsia="Arial" w:hAnsi="Arial"/>
                <w:sz w:val="12"/>
                <w:szCs w:val="12"/>
                <w:b w:val="1"/>
                <w:bCs w:val="1"/>
                <w:color w:val="auto"/>
              </w:rPr>
              <w:t>Title</w:t>
            </w:r>
          </w:p>
        </w:tc>
        <w:tc>
          <w:tcPr>
            <w:tcW w:w="1540" w:type="dxa"/>
            <w:vAlign w:val="bottom"/>
          </w:tcPr>
          <w:p>
            <w:pPr>
              <w:jc w:val="right"/>
              <w:ind w:right="260"/>
              <w:spacing w:after="0"/>
              <w:rPr>
                <w:sz w:val="20"/>
                <w:szCs w:val="20"/>
                <w:color w:val="auto"/>
              </w:rPr>
            </w:pPr>
            <w:r>
              <w:rPr>
                <w:rFonts w:ascii="Arial" w:cs="Arial" w:eastAsia="Arial" w:hAnsi="Arial"/>
                <w:sz w:val="12"/>
                <w:szCs w:val="12"/>
                <w:b w:val="1"/>
                <w:bCs w:val="1"/>
                <w:color w:val="auto"/>
              </w:rPr>
              <w:t>2016 Base Salary</w:t>
            </w:r>
          </w:p>
        </w:tc>
        <w:tc>
          <w:tcPr>
            <w:tcW w:w="1220" w:type="dxa"/>
            <w:vAlign w:val="bottom"/>
          </w:tcPr>
          <w:p>
            <w:pPr>
              <w:jc w:val="right"/>
              <w:ind w:right="40"/>
              <w:spacing w:after="0"/>
              <w:rPr>
                <w:sz w:val="20"/>
                <w:szCs w:val="20"/>
                <w:color w:val="auto"/>
              </w:rPr>
            </w:pPr>
            <w:r>
              <w:rPr>
                <w:rFonts w:ascii="Arial" w:cs="Arial" w:eastAsia="Arial" w:hAnsi="Arial"/>
                <w:sz w:val="12"/>
                <w:szCs w:val="12"/>
                <w:b w:val="1"/>
                <w:bCs w:val="1"/>
                <w:color w:val="auto"/>
              </w:rPr>
              <w:t>2015 Base Salary</w:t>
            </w:r>
          </w:p>
        </w:tc>
      </w:tr>
      <w:tr>
        <w:trPr>
          <w:trHeight w:val="157"/>
        </w:trPr>
        <w:tc>
          <w:tcPr>
            <w:tcW w:w="152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1540" w:type="dxa"/>
            <w:vAlign w:val="bottom"/>
          </w:tcPr>
          <w:p>
            <w:pPr>
              <w:ind w:left="720"/>
              <w:spacing w:after="0"/>
              <w:rPr>
                <w:sz w:val="20"/>
                <w:szCs w:val="20"/>
                <w:color w:val="auto"/>
              </w:rPr>
            </w:pPr>
            <w:r>
              <w:rPr>
                <w:rFonts w:ascii="Arial" w:cs="Arial" w:eastAsia="Arial" w:hAnsi="Arial"/>
                <w:sz w:val="12"/>
                <w:szCs w:val="12"/>
                <w:b w:val="1"/>
                <w:bCs w:val="1"/>
                <w:color w:val="auto"/>
              </w:rPr>
              <w:t>(4)</w:t>
            </w:r>
          </w:p>
        </w:tc>
        <w:tc>
          <w:tcPr>
            <w:tcW w:w="1220" w:type="dxa"/>
            <w:vAlign w:val="bottom"/>
          </w:tcPr>
          <w:p>
            <w:pPr>
              <w:jc w:val="right"/>
              <w:ind w:right="420"/>
              <w:spacing w:after="0"/>
              <w:rPr>
                <w:sz w:val="20"/>
                <w:szCs w:val="20"/>
                <w:color w:val="auto"/>
              </w:rPr>
            </w:pPr>
            <w:r>
              <w:rPr>
                <w:rFonts w:ascii="Arial" w:cs="Arial" w:eastAsia="Arial" w:hAnsi="Arial"/>
                <w:sz w:val="12"/>
                <w:szCs w:val="12"/>
                <w:b w:val="1"/>
                <w:bCs w:val="1"/>
                <w:color w:val="auto"/>
              </w:rPr>
              <w:t>(4)</w:t>
            </w:r>
          </w:p>
        </w:tc>
      </w:tr>
      <w:tr>
        <w:trPr>
          <w:trHeight w:val="288"/>
        </w:trPr>
        <w:tc>
          <w:tcPr>
            <w:tcW w:w="1520" w:type="dxa"/>
            <w:vAlign w:val="bottom"/>
          </w:tcPr>
          <w:p>
            <w:pPr>
              <w:spacing w:after="0"/>
              <w:rPr>
                <w:sz w:val="20"/>
                <w:szCs w:val="20"/>
                <w:color w:val="auto"/>
              </w:rPr>
            </w:pPr>
            <w:r>
              <w:rPr>
                <w:rFonts w:ascii="Arial" w:cs="Arial" w:eastAsia="Arial" w:hAnsi="Arial"/>
                <w:sz w:val="12"/>
                <w:szCs w:val="12"/>
                <w:color w:val="auto"/>
              </w:rPr>
              <w:t>Ellen Cotter (1)</w:t>
            </w:r>
          </w:p>
        </w:tc>
        <w:tc>
          <w:tcPr>
            <w:tcW w:w="2480" w:type="dxa"/>
            <w:vAlign w:val="bottom"/>
          </w:tcPr>
          <w:p>
            <w:pPr>
              <w:ind w:left="320"/>
              <w:spacing w:after="0"/>
              <w:rPr>
                <w:sz w:val="20"/>
                <w:szCs w:val="20"/>
                <w:color w:val="auto"/>
              </w:rPr>
            </w:pPr>
            <w:r>
              <w:rPr>
                <w:rFonts w:ascii="Arial" w:cs="Arial" w:eastAsia="Arial" w:hAnsi="Arial"/>
                <w:sz w:val="12"/>
                <w:szCs w:val="12"/>
                <w:color w:val="auto"/>
              </w:rPr>
              <w:t>President and Chief Executive Officer</w:t>
            </w:r>
          </w:p>
        </w:tc>
        <w:tc>
          <w:tcPr>
            <w:tcW w:w="1540" w:type="dxa"/>
            <w:vAlign w:val="bottom"/>
          </w:tcPr>
          <w:p>
            <w:pPr>
              <w:jc w:val="right"/>
              <w:ind w:right="180"/>
              <w:spacing w:after="0"/>
              <w:rPr>
                <w:sz w:val="20"/>
                <w:szCs w:val="20"/>
                <w:color w:val="auto"/>
              </w:rPr>
            </w:pPr>
            <w:r>
              <w:rPr>
                <w:rFonts w:ascii="Arial" w:cs="Arial" w:eastAsia="Arial" w:hAnsi="Arial"/>
                <w:sz w:val="12"/>
                <w:szCs w:val="12"/>
                <w:color w:val="auto"/>
              </w:rPr>
              <w:t>$450,000</w:t>
            </w:r>
          </w:p>
        </w:tc>
        <w:tc>
          <w:tcPr>
            <w:tcW w:w="1220" w:type="dxa"/>
            <w:vAlign w:val="bottom"/>
          </w:tcPr>
          <w:p>
            <w:pPr>
              <w:jc w:val="right"/>
              <w:spacing w:after="0"/>
              <w:rPr>
                <w:sz w:val="20"/>
                <w:szCs w:val="20"/>
                <w:color w:val="auto"/>
              </w:rPr>
            </w:pPr>
            <w:r>
              <w:rPr>
                <w:rFonts w:ascii="Arial" w:cs="Arial" w:eastAsia="Arial" w:hAnsi="Arial"/>
                <w:sz w:val="12"/>
                <w:szCs w:val="12"/>
                <w:color w:val="auto"/>
              </w:rPr>
              <w:t>$402,000</w:t>
            </w:r>
          </w:p>
        </w:tc>
      </w:tr>
      <w:tr>
        <w:trPr>
          <w:trHeight w:val="306"/>
        </w:trPr>
        <w:tc>
          <w:tcPr>
            <w:tcW w:w="1520" w:type="dxa"/>
            <w:vAlign w:val="bottom"/>
          </w:tcPr>
          <w:p>
            <w:pPr>
              <w:spacing w:after="0"/>
              <w:rPr>
                <w:sz w:val="20"/>
                <w:szCs w:val="20"/>
                <w:color w:val="auto"/>
              </w:rPr>
            </w:pPr>
            <w:r>
              <w:rPr>
                <w:rFonts w:ascii="Arial" w:cs="Arial" w:eastAsia="Arial" w:hAnsi="Arial"/>
                <w:sz w:val="12"/>
                <w:szCs w:val="12"/>
                <w:color w:val="auto"/>
              </w:rPr>
              <w:t>Devasis Ghose (2)</w:t>
            </w:r>
          </w:p>
        </w:tc>
        <w:tc>
          <w:tcPr>
            <w:tcW w:w="2480" w:type="dxa"/>
            <w:vAlign w:val="bottom"/>
          </w:tcPr>
          <w:p>
            <w:pPr>
              <w:ind w:left="320"/>
              <w:spacing w:after="0"/>
              <w:rPr>
                <w:sz w:val="20"/>
                <w:szCs w:val="20"/>
                <w:color w:val="auto"/>
              </w:rPr>
            </w:pPr>
            <w:r>
              <w:rPr>
                <w:rFonts w:ascii="Arial" w:cs="Arial" w:eastAsia="Arial" w:hAnsi="Arial"/>
                <w:sz w:val="12"/>
                <w:szCs w:val="12"/>
                <w:color w:val="auto"/>
              </w:rPr>
              <w:t>Chief Financial Officer</w:t>
            </w:r>
          </w:p>
        </w:tc>
        <w:tc>
          <w:tcPr>
            <w:tcW w:w="1540" w:type="dxa"/>
            <w:vAlign w:val="bottom"/>
          </w:tcPr>
          <w:p>
            <w:pPr>
              <w:jc w:val="right"/>
              <w:ind w:right="180"/>
              <w:spacing w:after="0"/>
              <w:rPr>
                <w:sz w:val="20"/>
                <w:szCs w:val="20"/>
                <w:color w:val="auto"/>
              </w:rPr>
            </w:pPr>
            <w:r>
              <w:rPr>
                <w:rFonts w:ascii="Arial" w:cs="Arial" w:eastAsia="Arial" w:hAnsi="Arial"/>
                <w:sz w:val="12"/>
                <w:szCs w:val="12"/>
                <w:color w:val="auto"/>
              </w:rPr>
              <w:t>400,000</w:t>
            </w:r>
          </w:p>
        </w:tc>
        <w:tc>
          <w:tcPr>
            <w:tcW w:w="1220" w:type="dxa"/>
            <w:vAlign w:val="bottom"/>
          </w:tcPr>
          <w:p>
            <w:pPr>
              <w:jc w:val="right"/>
              <w:spacing w:after="0"/>
              <w:rPr>
                <w:sz w:val="20"/>
                <w:szCs w:val="20"/>
                <w:color w:val="auto"/>
              </w:rPr>
            </w:pPr>
            <w:r>
              <w:rPr>
                <w:rFonts w:ascii="Arial" w:cs="Arial" w:eastAsia="Arial" w:hAnsi="Arial"/>
                <w:sz w:val="12"/>
                <w:szCs w:val="12"/>
                <w:color w:val="auto"/>
              </w:rPr>
              <w:t>400,000</w:t>
            </w:r>
          </w:p>
        </w:tc>
      </w:tr>
      <w:tr>
        <w:trPr>
          <w:trHeight w:val="306"/>
        </w:trPr>
        <w:tc>
          <w:tcPr>
            <w:tcW w:w="1520" w:type="dxa"/>
            <w:vAlign w:val="bottom"/>
          </w:tcPr>
          <w:p>
            <w:pPr>
              <w:spacing w:after="0"/>
              <w:rPr>
                <w:sz w:val="20"/>
                <w:szCs w:val="20"/>
                <w:color w:val="auto"/>
              </w:rPr>
            </w:pPr>
            <w:r>
              <w:rPr>
                <w:rFonts w:ascii="Arial" w:cs="Arial" w:eastAsia="Arial" w:hAnsi="Arial"/>
                <w:sz w:val="12"/>
                <w:szCs w:val="12"/>
                <w:color w:val="auto"/>
              </w:rPr>
              <w:t>Andrzej Matyczynski (3)</w:t>
            </w:r>
          </w:p>
        </w:tc>
        <w:tc>
          <w:tcPr>
            <w:tcW w:w="2480" w:type="dxa"/>
            <w:vAlign w:val="bottom"/>
          </w:tcPr>
          <w:p>
            <w:pPr>
              <w:ind w:left="320"/>
              <w:spacing w:after="0"/>
              <w:rPr>
                <w:sz w:val="20"/>
                <w:szCs w:val="20"/>
                <w:color w:val="auto"/>
              </w:rPr>
            </w:pPr>
            <w:r>
              <w:rPr>
                <w:rFonts w:ascii="Arial" w:cs="Arial" w:eastAsia="Arial" w:hAnsi="Arial"/>
                <w:sz w:val="12"/>
                <w:szCs w:val="12"/>
                <w:color w:val="auto"/>
              </w:rPr>
              <w:t>EVP Global Operations</w:t>
            </w:r>
          </w:p>
        </w:tc>
        <w:tc>
          <w:tcPr>
            <w:tcW w:w="1540" w:type="dxa"/>
            <w:vAlign w:val="bottom"/>
          </w:tcPr>
          <w:p>
            <w:pPr>
              <w:jc w:val="right"/>
              <w:ind w:right="180"/>
              <w:spacing w:after="0"/>
              <w:rPr>
                <w:sz w:val="20"/>
                <w:szCs w:val="20"/>
                <w:color w:val="auto"/>
              </w:rPr>
            </w:pPr>
            <w:r>
              <w:rPr>
                <w:rFonts w:ascii="Arial" w:cs="Arial" w:eastAsia="Arial" w:hAnsi="Arial"/>
                <w:sz w:val="12"/>
                <w:szCs w:val="12"/>
                <w:color w:val="auto"/>
              </w:rPr>
              <w:t>336,000</w:t>
            </w:r>
          </w:p>
        </w:tc>
        <w:tc>
          <w:tcPr>
            <w:tcW w:w="1220" w:type="dxa"/>
            <w:vAlign w:val="bottom"/>
          </w:tcPr>
          <w:p>
            <w:pPr>
              <w:jc w:val="right"/>
              <w:spacing w:after="0"/>
              <w:rPr>
                <w:sz w:val="20"/>
                <w:szCs w:val="20"/>
                <w:color w:val="auto"/>
              </w:rPr>
            </w:pPr>
            <w:r>
              <w:rPr>
                <w:rFonts w:ascii="Arial" w:cs="Arial" w:eastAsia="Arial" w:hAnsi="Arial"/>
                <w:sz w:val="12"/>
                <w:szCs w:val="12"/>
                <w:color w:val="auto"/>
              </w:rPr>
              <w:t>312,000</w:t>
            </w:r>
          </w:p>
        </w:tc>
      </w:tr>
      <w:tr>
        <w:trPr>
          <w:trHeight w:val="306"/>
        </w:trPr>
        <w:tc>
          <w:tcPr>
            <w:tcW w:w="1520" w:type="dxa"/>
            <w:vAlign w:val="bottom"/>
          </w:tcPr>
          <w:p>
            <w:pPr>
              <w:spacing w:after="0"/>
              <w:rPr>
                <w:sz w:val="20"/>
                <w:szCs w:val="20"/>
                <w:color w:val="auto"/>
              </w:rPr>
            </w:pPr>
            <w:r>
              <w:rPr>
                <w:rFonts w:ascii="Arial" w:cs="Arial" w:eastAsia="Arial" w:hAnsi="Arial"/>
                <w:sz w:val="12"/>
                <w:szCs w:val="12"/>
                <w:color w:val="auto"/>
              </w:rPr>
              <w:t>Robert F. Smerling</w:t>
            </w:r>
          </w:p>
        </w:tc>
        <w:tc>
          <w:tcPr>
            <w:tcW w:w="2480" w:type="dxa"/>
            <w:vAlign w:val="bottom"/>
          </w:tcPr>
          <w:p>
            <w:pPr>
              <w:ind w:left="320"/>
              <w:spacing w:after="0"/>
              <w:rPr>
                <w:sz w:val="20"/>
                <w:szCs w:val="20"/>
                <w:color w:val="auto"/>
              </w:rPr>
            </w:pPr>
            <w:r>
              <w:rPr>
                <w:rFonts w:ascii="Arial" w:cs="Arial" w:eastAsia="Arial" w:hAnsi="Arial"/>
                <w:sz w:val="12"/>
                <w:szCs w:val="12"/>
                <w:color w:val="auto"/>
              </w:rPr>
              <w:t>President, US Cinemas</w:t>
            </w:r>
          </w:p>
        </w:tc>
        <w:tc>
          <w:tcPr>
            <w:tcW w:w="1540" w:type="dxa"/>
            <w:vAlign w:val="bottom"/>
          </w:tcPr>
          <w:p>
            <w:pPr>
              <w:jc w:val="right"/>
              <w:ind w:right="180"/>
              <w:spacing w:after="0"/>
              <w:rPr>
                <w:sz w:val="20"/>
                <w:szCs w:val="20"/>
                <w:color w:val="auto"/>
              </w:rPr>
            </w:pPr>
            <w:r>
              <w:rPr>
                <w:rFonts w:ascii="Arial" w:cs="Arial" w:eastAsia="Arial" w:hAnsi="Arial"/>
                <w:sz w:val="12"/>
                <w:szCs w:val="12"/>
                <w:color w:val="auto"/>
              </w:rPr>
              <w:t>375,000</w:t>
            </w:r>
          </w:p>
        </w:tc>
        <w:tc>
          <w:tcPr>
            <w:tcW w:w="1220" w:type="dxa"/>
            <w:vAlign w:val="bottom"/>
          </w:tcPr>
          <w:p>
            <w:pPr>
              <w:jc w:val="right"/>
              <w:spacing w:after="0"/>
              <w:rPr>
                <w:sz w:val="20"/>
                <w:szCs w:val="20"/>
                <w:color w:val="auto"/>
              </w:rPr>
            </w:pPr>
            <w:r>
              <w:rPr>
                <w:rFonts w:ascii="Arial" w:cs="Arial" w:eastAsia="Arial" w:hAnsi="Arial"/>
                <w:sz w:val="12"/>
                <w:szCs w:val="12"/>
                <w:color w:val="auto"/>
              </w:rPr>
              <w:t>350,000</w:t>
            </w:r>
          </w:p>
        </w:tc>
      </w:tr>
      <w:tr>
        <w:trPr>
          <w:trHeight w:val="306"/>
        </w:trPr>
        <w:tc>
          <w:tcPr>
            <w:tcW w:w="1520" w:type="dxa"/>
            <w:vAlign w:val="bottom"/>
          </w:tcPr>
          <w:p>
            <w:pPr>
              <w:spacing w:after="0"/>
              <w:rPr>
                <w:sz w:val="20"/>
                <w:szCs w:val="20"/>
                <w:color w:val="auto"/>
              </w:rPr>
            </w:pPr>
            <w:r>
              <w:rPr>
                <w:rFonts w:ascii="Arial" w:cs="Arial" w:eastAsia="Arial" w:hAnsi="Arial"/>
                <w:sz w:val="12"/>
                <w:szCs w:val="12"/>
                <w:color w:val="auto"/>
              </w:rPr>
              <w:t>Wayne Smith</w:t>
            </w:r>
          </w:p>
        </w:tc>
        <w:tc>
          <w:tcPr>
            <w:tcW w:w="2480" w:type="dxa"/>
            <w:vAlign w:val="bottom"/>
          </w:tcPr>
          <w:p>
            <w:pPr>
              <w:ind w:left="320"/>
              <w:spacing w:after="0"/>
              <w:rPr>
                <w:sz w:val="20"/>
                <w:szCs w:val="20"/>
                <w:color w:val="auto"/>
              </w:rPr>
            </w:pPr>
            <w:r>
              <w:rPr>
                <w:rFonts w:ascii="Arial" w:cs="Arial" w:eastAsia="Arial" w:hAnsi="Arial"/>
                <w:sz w:val="12"/>
                <w:szCs w:val="12"/>
                <w:color w:val="auto"/>
              </w:rPr>
              <w:t>Managing Director, ANZ</w:t>
            </w:r>
          </w:p>
        </w:tc>
        <w:tc>
          <w:tcPr>
            <w:tcW w:w="1540" w:type="dxa"/>
            <w:vAlign w:val="bottom"/>
          </w:tcPr>
          <w:p>
            <w:pPr>
              <w:ind w:left="700"/>
              <w:spacing w:after="0"/>
              <w:rPr>
                <w:sz w:val="20"/>
                <w:szCs w:val="20"/>
                <w:color w:val="auto"/>
              </w:rPr>
            </w:pPr>
            <w:r>
              <w:rPr>
                <w:rFonts w:ascii="Arial" w:cs="Arial" w:eastAsia="Arial" w:hAnsi="Arial"/>
                <w:sz w:val="12"/>
                <w:szCs w:val="12"/>
                <w:color w:val="auto"/>
              </w:rPr>
              <w:t>A$370,000</w:t>
            </w:r>
          </w:p>
        </w:tc>
        <w:tc>
          <w:tcPr>
            <w:tcW w:w="1220" w:type="dxa"/>
            <w:vAlign w:val="bottom"/>
          </w:tcPr>
          <w:p>
            <w:pPr>
              <w:jc w:val="right"/>
              <w:spacing w:after="0"/>
              <w:rPr>
                <w:sz w:val="20"/>
                <w:szCs w:val="20"/>
                <w:color w:val="auto"/>
              </w:rPr>
            </w:pPr>
            <w:r>
              <w:rPr>
                <w:rFonts w:ascii="Arial" w:cs="Arial" w:eastAsia="Arial" w:hAnsi="Arial"/>
                <w:sz w:val="12"/>
                <w:szCs w:val="12"/>
                <w:color w:val="auto"/>
              </w:rPr>
              <w:t>A$365,360</w:t>
            </w:r>
          </w:p>
        </w:tc>
      </w:tr>
    </w:tbl>
    <w:p>
      <w:pPr>
        <w:spacing w:after="0" w:line="153" w:lineRule="exact"/>
        <w:rPr>
          <w:sz w:val="20"/>
          <w:szCs w:val="20"/>
          <w:color w:val="auto"/>
        </w:rPr>
      </w:pPr>
    </w:p>
    <w:p>
      <w:pPr>
        <w:ind w:left="220"/>
        <w:spacing w:after="0"/>
        <w:rPr>
          <w:sz w:val="20"/>
          <w:szCs w:val="20"/>
          <w:color w:val="auto"/>
        </w:rPr>
      </w:pPr>
      <w:r>
        <w:rPr>
          <w:rFonts w:ascii="Arial" w:cs="Arial" w:eastAsia="Arial" w:hAnsi="Arial"/>
          <w:sz w:val="12"/>
          <w:szCs w:val="12"/>
          <w:color w:val="auto"/>
        </w:rPr>
        <w:t>(1) Ellen M. Cotter was appointed Interim President on June 12, 2015 and President and Chief Executive Officer on January 8,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88265</wp:posOffset>
            </wp:positionV>
            <wp:extent cx="6231255"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231255" cy="42545"/>
                    </a:xfrm>
                    <a:prstGeom prst="rect">
                      <a:avLst/>
                    </a:prstGeom>
                    <a:noFill/>
                  </pic:spPr>
                </pic:pic>
              </a:graphicData>
            </a:graphic>
          </wp:anchor>
        </w:drawing>
      </w:r>
    </w:p>
    <w:p>
      <w:pPr>
        <w:sectPr>
          <w:pgSz w:w="11900" w:h="16838" w:orient="portrait"/>
          <w:cols w:equalWidth="0" w:num="1">
            <w:col w:w="9740"/>
          </w:cols>
          <w:pgMar w:left="1080" w:top="203" w:right="1079" w:bottom="1440" w:gutter="0" w:footer="0" w:header="0"/>
        </w:sectPr>
      </w:pPr>
    </w:p>
    <w:bookmarkStart w:id="202" w:name="page203"/>
    <w:bookmarkEnd w:id="202"/>
    <w:p>
      <w:pPr>
        <w:ind w:left="220"/>
        <w:spacing w:after="0"/>
        <w:rPr>
          <w:sz w:val="20"/>
          <w:szCs w:val="20"/>
          <w:color w:val="auto"/>
        </w:rPr>
      </w:pPr>
      <w:r>
        <w:rPr>
          <w:rFonts w:ascii="Arial" w:cs="Arial" w:eastAsia="Arial" w:hAnsi="Arial"/>
          <w:sz w:val="12"/>
          <w:szCs w:val="12"/>
          <w:color w:val="auto"/>
        </w:rPr>
        <w:t>(2) Devasis Ghose was appointed Chief Financial Officer on May 11, 2015. Mr. Ghose is the only executive officer that is a party to an employment agreement.</w:t>
      </w:r>
    </w:p>
    <w:p>
      <w:pPr>
        <w:spacing w:after="0" w:line="15" w:lineRule="exact"/>
        <w:rPr>
          <w:sz w:val="20"/>
          <w:szCs w:val="20"/>
          <w:color w:val="auto"/>
        </w:rPr>
      </w:pPr>
    </w:p>
    <w:p>
      <w:pPr>
        <w:ind w:left="360" w:right="100" w:hanging="143"/>
        <w:spacing w:after="0" w:line="250" w:lineRule="auto"/>
        <w:rPr>
          <w:sz w:val="20"/>
          <w:szCs w:val="20"/>
          <w:color w:val="auto"/>
        </w:rPr>
      </w:pPr>
      <w:r>
        <w:rPr>
          <w:rFonts w:ascii="Arial" w:cs="Arial" w:eastAsia="Arial" w:hAnsi="Arial"/>
          <w:sz w:val="12"/>
          <w:szCs w:val="12"/>
          <w:color w:val="auto"/>
        </w:rPr>
        <w:t>(3)Andrzej Matyczynski was the Company’s Chief Financial Officer until May 11, 2015 and thereafter he acted as corporate advisor to the Company. He was appointed EVP-Global Operations on March 10, 2016.</w:t>
      </w:r>
    </w:p>
    <w:p>
      <w:pPr>
        <w:spacing w:after="0" w:line="1" w:lineRule="exact"/>
        <w:rPr>
          <w:sz w:val="20"/>
          <w:szCs w:val="20"/>
          <w:color w:val="auto"/>
        </w:rPr>
      </w:pPr>
    </w:p>
    <w:p>
      <w:pPr>
        <w:ind w:left="500" w:hanging="287"/>
        <w:spacing w:after="0"/>
        <w:tabs>
          <w:tab w:leader="none" w:pos="500" w:val="left"/>
        </w:tabs>
        <w:numPr>
          <w:ilvl w:val="0"/>
          <w:numId w:val="197"/>
        </w:numPr>
        <w:rPr>
          <w:rFonts w:ascii="Arial" w:cs="Arial" w:eastAsia="Arial" w:hAnsi="Arial"/>
          <w:sz w:val="12"/>
          <w:szCs w:val="12"/>
          <w:color w:val="auto"/>
        </w:rPr>
      </w:pPr>
      <w:r>
        <w:rPr>
          <w:rFonts w:ascii="Arial" w:cs="Arial" w:eastAsia="Arial" w:hAnsi="Arial"/>
          <w:sz w:val="12"/>
          <w:szCs w:val="12"/>
          <w:color w:val="auto"/>
        </w:rPr>
        <w:t>All dollars are in US dollars except the salary for Wayne Smith is reported in Australian dollars.</w:t>
      </w:r>
    </w:p>
    <w:p>
      <w:pPr>
        <w:spacing w:after="0" w:line="28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Short Term Incentives</w:t>
      </w:r>
    </w:p>
    <w:p>
      <w:pPr>
        <w:spacing w:after="0" w:line="150" w:lineRule="exact"/>
        <w:rPr>
          <w:sz w:val="20"/>
          <w:szCs w:val="20"/>
          <w:color w:val="auto"/>
        </w:rPr>
      </w:pPr>
    </w:p>
    <w:p>
      <w:pPr>
        <w:ind w:right="20"/>
        <w:spacing w:after="0" w:line="279" w:lineRule="auto"/>
        <w:rPr>
          <w:sz w:val="20"/>
          <w:szCs w:val="20"/>
          <w:color w:val="auto"/>
        </w:rPr>
      </w:pPr>
      <w:r>
        <w:rPr>
          <w:rFonts w:ascii="Arial" w:cs="Arial" w:eastAsia="Arial" w:hAnsi="Arial"/>
          <w:sz w:val="11"/>
          <w:szCs w:val="11"/>
          <w:color w:val="auto"/>
        </w:rPr>
        <w:t>The Short Term Incentives authorized by the Compensation Committee and the Board provides the Company’s executive officers and other management team members, who are selected to participate, with an opportunity to earn an annual cash bonus based upon the achievement of certain Company financial goals, division goals and individual goals, established by the Company’s Chief Executive Officer and approved by the Compensation Committee and the Board of Directors (in future years, under the Compensation Committee Charter approved by the Board on March 10, 2016, the Compensation Committee will have full authority to approve these matters). Specifically, a participant in the short term incentive plan will be advised of his or her annual potential target bonus expressed as a percentage of the participant’s base salary and by dollar amount. The participant will be eligible for a short term incentive bonus once the participant achieves goals identified at the beginning of the year for a threshold target, the potential target or potential maximum target bonus opportunity. The bonus will vary depending upon the achievements made by the individual participant, the corporate division and the Company. Corporate goals will include levels of earnings before interest, depreciation, taxes and amortization (“non-GAAP Operating Income”) and property development milestones. Division goals will include levels of division cash flow and division milestones and individual goals will include unique performance goals specific to the individual’s position in the Company. Each of the corporate, division and individual goals carries a different percentage weight in determining the officer’s or other team member’s bonus for the year.</w:t>
      </w:r>
    </w:p>
    <w:p>
      <w:pPr>
        <w:spacing w:after="0" w:line="118" w:lineRule="exact"/>
        <w:rPr>
          <w:sz w:val="20"/>
          <w:szCs w:val="20"/>
          <w:color w:val="auto"/>
        </w:rPr>
      </w:pPr>
    </w:p>
    <w:p>
      <w:pPr>
        <w:ind w:right="40"/>
        <w:spacing w:after="0" w:line="263" w:lineRule="auto"/>
        <w:rPr>
          <w:sz w:val="20"/>
          <w:szCs w:val="20"/>
          <w:color w:val="auto"/>
        </w:rPr>
      </w:pPr>
      <w:r>
        <w:rPr>
          <w:rFonts w:ascii="Arial" w:cs="Arial" w:eastAsia="Arial" w:hAnsi="Arial"/>
          <w:sz w:val="12"/>
          <w:szCs w:val="12"/>
          <w:color w:val="auto"/>
        </w:rPr>
        <w:t>For 2016, executive officers will have an annual bonus opportunity expressed and determined as a percent of their base salary. This approach also was a recommendation of the Willis Towers Watson report to the Compensation Committee and provided points of reference for our Compensation Committee to compare short-term incentive opportunities for our executive and management team to those in peer and competitor companies.</w:t>
      </w:r>
    </w:p>
    <w:p>
      <w:pPr>
        <w:spacing w:after="0" w:line="123" w:lineRule="exact"/>
        <w:rPr>
          <w:sz w:val="20"/>
          <w:szCs w:val="20"/>
          <w:color w:val="auto"/>
        </w:rPr>
      </w:pPr>
    </w:p>
    <w:p>
      <w:pPr>
        <w:spacing w:after="0" w:line="277" w:lineRule="auto"/>
        <w:rPr>
          <w:sz w:val="20"/>
          <w:szCs w:val="20"/>
          <w:color w:val="auto"/>
        </w:rPr>
      </w:pPr>
      <w:r>
        <w:rPr>
          <w:rFonts w:ascii="Arial" w:cs="Arial" w:eastAsia="Arial" w:hAnsi="Arial"/>
          <w:sz w:val="11"/>
          <w:szCs w:val="11"/>
          <w:color w:val="auto"/>
        </w:rPr>
        <w:t>Ms. Ellen Cotter, President and Chief Executive Officer, has a potential target bonus opportunity of 95% of Base Salary, or $427,500 at target based upon Ms. Cotter’s achievement of her performance goals and the Company’s achievement of corporate goals as discussed above. Of that potential target bonus opportunity, a threshold bonus of $213,750 may be achieved based upon Ms. Cotter’s achievement of certain of her performance goals and the Company’s achievement of certain of the corporate goals as discussed above, and a potential maximum target of $641,250 is based on achieving performance goals approved by the Chairman of the Compensation Committee. Ms. Cotter’s aggregate annual bonus opportunity can range from $0 to $641,250. Mr. Devasis Ghose, Chief Financial Officer, has a potential target bonus opportunity of 50% of Base Salary, or $200,000 at target, which is based on achievement of his performance goals and the Company’s achievement of corporate goals, as discussed above. Mr. Ghose’s aggregate annual bonus opportunity can range from $0 to $300,000 (the maximum potential target if additional performance goals are met by Mr. Ghose). Mr. Andrzej Matyczynski, EVP - Global Operations, has a target bonus opportunity of 50% of Base Salary, or $168,000 at target, which is based on achievement of his performance goals, the Company’s achievement of corporate goals and certain divisional goals. Mr. Matyczynski’s aggregate annual bonus opportunity can range from $0 to $252,000 (the maximum potential target if additional performance goals are met by Mr. Matyczynski). Mr. Robert Smerling, President, US Cinemas, has a target bonus opportunity of 30% of base pay, or $112,500 at target, which is based on achievement of his performance goals, the Company’s achievement of corporate goals and certain divisional goals. Mr. Smerling’s aggregate annual bonus opportunity can range from $0 to $168,750 (the maximum potential target if additional performance goals are met by Mr. Smerling). Mr. Wayne Smith, Managing Director, ANZ, has a target bonus opportunity of 40% of Base Salary, or A$148,000 at target, which is based on achievement of his performance goals, the Company’s achievement of corporate goals and certain divisional goals. Mr. Smith’s aggregate annual bonus opportunity can range from A$0 to A$222,000 (the maximum potential target if additional performance goals are met by Mr.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69215</wp:posOffset>
            </wp:positionV>
            <wp:extent cx="6231255"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231255" cy="42545"/>
                    </a:xfrm>
                    <a:prstGeom prst="rect">
                      <a:avLst/>
                    </a:prstGeom>
                    <a:noFill/>
                  </pic:spPr>
                </pic:pic>
              </a:graphicData>
            </a:graphic>
          </wp:anchor>
        </w:drawing>
      </w:r>
    </w:p>
    <w:p>
      <w:pPr>
        <w:sectPr>
          <w:pgSz w:w="11900" w:h="16838" w:orient="portrait"/>
          <w:cols w:equalWidth="0" w:num="1">
            <w:col w:w="9740"/>
          </w:cols>
          <w:pgMar w:left="1080" w:top="131" w:right="1079" w:bottom="1440" w:gutter="0" w:footer="0" w:header="0"/>
        </w:sectPr>
      </w:pPr>
    </w:p>
    <w:bookmarkStart w:id="203" w:name="page204"/>
    <w:bookmarkEnd w:id="203"/>
    <w:p>
      <w:pPr>
        <w:ind w:left="3"/>
        <w:spacing w:after="0" w:line="276" w:lineRule="auto"/>
        <w:rPr>
          <w:sz w:val="20"/>
          <w:szCs w:val="20"/>
          <w:color w:val="auto"/>
        </w:rPr>
      </w:pPr>
      <w:r>
        <w:rPr>
          <w:rFonts w:ascii="Arial" w:cs="Arial" w:eastAsia="Arial" w:hAnsi="Arial"/>
          <w:sz w:val="12"/>
          <w:szCs w:val="12"/>
          <w:color w:val="auto"/>
        </w:rPr>
        <w:t>The positions of other management team members have target bonus opportunities ranging from 20% to 30% of Base Salary based on achievement of certain goals. The highest level of achievement a participant may receive is the maximum potential target which is set at 150% of the participant’s target bonus amount.</w:t>
      </w:r>
    </w:p>
    <w:p>
      <w:pPr>
        <w:spacing w:after="0" w:line="115" w:lineRule="exact"/>
        <w:rPr>
          <w:sz w:val="20"/>
          <w:szCs w:val="20"/>
          <w:color w:val="auto"/>
        </w:rPr>
      </w:pPr>
    </w:p>
    <w:p>
      <w:pPr>
        <w:ind w:left="3"/>
        <w:spacing w:after="0"/>
        <w:rPr>
          <w:sz w:val="20"/>
          <w:szCs w:val="20"/>
          <w:color w:val="auto"/>
        </w:rPr>
      </w:pPr>
      <w:r>
        <w:rPr>
          <w:rFonts w:ascii="Arial" w:cs="Arial" w:eastAsia="Arial" w:hAnsi="Arial"/>
          <w:sz w:val="12"/>
          <w:szCs w:val="12"/>
          <w:b w:val="1"/>
          <w:bCs w:val="1"/>
          <w:i w:val="1"/>
          <w:iCs w:val="1"/>
          <w:color w:val="auto"/>
        </w:rPr>
        <w:t>Long-Term Incentives</w:t>
      </w:r>
    </w:p>
    <w:p>
      <w:pPr>
        <w:spacing w:after="0" w:line="150" w:lineRule="exact"/>
        <w:rPr>
          <w:sz w:val="20"/>
          <w:szCs w:val="20"/>
          <w:color w:val="auto"/>
        </w:rPr>
      </w:pPr>
    </w:p>
    <w:p>
      <w:pPr>
        <w:ind w:left="3" w:right="20"/>
        <w:spacing w:after="0" w:line="263" w:lineRule="auto"/>
        <w:rPr>
          <w:sz w:val="20"/>
          <w:szCs w:val="20"/>
          <w:color w:val="auto"/>
        </w:rPr>
      </w:pPr>
      <w:r>
        <w:rPr>
          <w:rFonts w:ascii="Arial" w:cs="Arial" w:eastAsia="Arial" w:hAnsi="Arial"/>
          <w:sz w:val="12"/>
          <w:szCs w:val="12"/>
          <w:color w:val="auto"/>
        </w:rPr>
        <w:t>Long-Term incentives will utilize the equity-based plan under the Company's 2010 Incentive Stock Plan, as amended (the “2010 Plan”). For 2016, executive and management team participants will receive awards in the following forms: 50% time-based restricted stock units and 50% non-statutory stock options. The grants of restricted stock units and options will vest ratably over a four (4) year period with 1/4</w:t>
      </w:r>
      <w:r>
        <w:rPr>
          <w:rFonts w:ascii="Arial" w:cs="Arial" w:eastAsia="Arial" w:hAnsi="Arial"/>
          <w:sz w:val="5"/>
          <w:szCs w:val="5"/>
          <w:color w:val="auto"/>
        </w:rPr>
        <w:t>th</w:t>
      </w:r>
      <w:r>
        <w:rPr>
          <w:rFonts w:ascii="Arial" w:cs="Arial" w:eastAsia="Arial" w:hAnsi="Arial"/>
          <w:sz w:val="12"/>
          <w:szCs w:val="12"/>
          <w:color w:val="auto"/>
        </w:rPr>
        <w:t xml:space="preserve"> vesting on each anniversary date of the grant date.</w:t>
      </w:r>
    </w:p>
    <w:p>
      <w:pPr>
        <w:spacing w:after="0" w:line="123" w:lineRule="exact"/>
        <w:rPr>
          <w:sz w:val="20"/>
          <w:szCs w:val="20"/>
          <w:color w:val="auto"/>
        </w:rPr>
      </w:pPr>
    </w:p>
    <w:p>
      <w:pPr>
        <w:ind w:left="3"/>
        <w:spacing w:after="0"/>
        <w:rPr>
          <w:sz w:val="20"/>
          <w:szCs w:val="20"/>
          <w:color w:val="auto"/>
        </w:rPr>
      </w:pPr>
      <w:r>
        <w:rPr>
          <w:rFonts w:ascii="Arial" w:cs="Arial" w:eastAsia="Arial" w:hAnsi="Arial"/>
          <w:sz w:val="12"/>
          <w:szCs w:val="12"/>
          <w:color w:val="auto"/>
        </w:rPr>
        <w:t>On March 10, 2016 the following grants were made:</w:t>
      </w:r>
    </w:p>
    <w:p>
      <w:pPr>
        <w:spacing w:after="0" w:line="146" w:lineRule="exact"/>
        <w:rPr>
          <w:sz w:val="20"/>
          <w:szCs w:val="20"/>
          <w:color w:val="auto"/>
        </w:rPr>
      </w:pPr>
    </w:p>
    <w:tbl>
      <w:tblPr>
        <w:tblLayout w:type="fixed"/>
        <w:tblInd w:w="83" w:type="dxa"/>
        <w:tblCellMar>
          <w:top w:w="0" w:type="dxa"/>
          <w:left w:w="0" w:type="dxa"/>
          <w:bottom w:w="0" w:type="dxa"/>
          <w:right w:w="0" w:type="dxa"/>
        </w:tblCellMar>
      </w:tblPr>
      <w:tr>
        <w:trPr>
          <w:trHeight w:val="144"/>
        </w:trPr>
        <w:tc>
          <w:tcPr>
            <w:tcW w:w="1440" w:type="dxa"/>
            <w:vAlign w:val="bottom"/>
          </w:tcPr>
          <w:p>
            <w:pPr>
              <w:spacing w:after="0"/>
              <w:rPr>
                <w:sz w:val="20"/>
                <w:szCs w:val="20"/>
                <w:color w:val="auto"/>
              </w:rPr>
            </w:pPr>
            <w:r>
              <w:rPr>
                <w:rFonts w:ascii="Arial" w:cs="Arial" w:eastAsia="Arial" w:hAnsi="Arial"/>
                <w:sz w:val="12"/>
                <w:szCs w:val="12"/>
                <w:b w:val="1"/>
                <w:bCs w:val="1"/>
                <w:color w:val="auto"/>
              </w:rPr>
              <w:t>Name</w:t>
            </w:r>
          </w:p>
        </w:tc>
        <w:tc>
          <w:tcPr>
            <w:tcW w:w="2120" w:type="dxa"/>
            <w:vAlign w:val="bottom"/>
          </w:tcPr>
          <w:p>
            <w:pPr>
              <w:ind w:left="400"/>
              <w:spacing w:after="0"/>
              <w:rPr>
                <w:sz w:val="20"/>
                <w:szCs w:val="20"/>
                <w:color w:val="auto"/>
              </w:rPr>
            </w:pPr>
            <w:r>
              <w:rPr>
                <w:rFonts w:ascii="Arial" w:cs="Arial" w:eastAsia="Arial" w:hAnsi="Arial"/>
                <w:sz w:val="12"/>
                <w:szCs w:val="12"/>
                <w:b w:val="1"/>
                <w:bCs w:val="1"/>
                <w:color w:val="auto"/>
              </w:rPr>
              <w:t>Title</w:t>
            </w:r>
          </w:p>
        </w:tc>
        <w:tc>
          <w:tcPr>
            <w:tcW w:w="1680" w:type="dxa"/>
            <w:vAlign w:val="bottom"/>
          </w:tcPr>
          <w:p>
            <w:pPr>
              <w:jc w:val="center"/>
              <w:spacing w:after="0"/>
              <w:rPr>
                <w:sz w:val="20"/>
                <w:szCs w:val="20"/>
                <w:color w:val="auto"/>
              </w:rPr>
            </w:pPr>
            <w:r>
              <w:rPr>
                <w:rFonts w:ascii="Arial" w:cs="Arial" w:eastAsia="Arial" w:hAnsi="Arial"/>
                <w:sz w:val="12"/>
                <w:szCs w:val="12"/>
                <w:b w:val="1"/>
                <w:bCs w:val="1"/>
                <w:color w:val="auto"/>
                <w:w w:val="96"/>
              </w:rPr>
              <w:t>Dollar Amount of</w:t>
            </w:r>
          </w:p>
        </w:tc>
        <w:tc>
          <w:tcPr>
            <w:tcW w:w="1520" w:type="dxa"/>
            <w:vAlign w:val="bottom"/>
          </w:tcPr>
          <w:p>
            <w:pPr>
              <w:jc w:val="center"/>
              <w:ind w:left="100"/>
              <w:spacing w:after="0"/>
              <w:rPr>
                <w:sz w:val="20"/>
                <w:szCs w:val="20"/>
                <w:color w:val="auto"/>
              </w:rPr>
            </w:pPr>
            <w:r>
              <w:rPr>
                <w:rFonts w:ascii="Arial" w:cs="Arial" w:eastAsia="Arial" w:hAnsi="Arial"/>
                <w:sz w:val="12"/>
                <w:szCs w:val="12"/>
                <w:b w:val="1"/>
                <w:bCs w:val="1"/>
                <w:color w:val="auto"/>
                <w:w w:val="93"/>
              </w:rPr>
              <w:t>Dollar Amount of Non-</w:t>
            </w:r>
          </w:p>
        </w:tc>
      </w:tr>
      <w:tr>
        <w:trPr>
          <w:trHeight w:val="144"/>
        </w:trPr>
        <w:tc>
          <w:tcPr>
            <w:tcW w:w="144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680" w:type="dxa"/>
            <w:vAlign w:val="bottom"/>
          </w:tcPr>
          <w:p>
            <w:pPr>
              <w:jc w:val="center"/>
              <w:spacing w:after="0"/>
              <w:rPr>
                <w:sz w:val="20"/>
                <w:szCs w:val="20"/>
                <w:color w:val="auto"/>
              </w:rPr>
            </w:pPr>
            <w:r>
              <w:rPr>
                <w:rFonts w:ascii="Arial" w:cs="Arial" w:eastAsia="Arial" w:hAnsi="Arial"/>
                <w:sz w:val="12"/>
                <w:szCs w:val="12"/>
                <w:b w:val="1"/>
                <w:bCs w:val="1"/>
                <w:color w:val="auto"/>
                <w:w w:val="90"/>
              </w:rPr>
              <w:t>Restricted Stock Units</w:t>
            </w:r>
          </w:p>
        </w:tc>
        <w:tc>
          <w:tcPr>
            <w:tcW w:w="1520" w:type="dxa"/>
            <w:vAlign w:val="bottom"/>
          </w:tcPr>
          <w:p>
            <w:pPr>
              <w:jc w:val="center"/>
              <w:ind w:left="100"/>
              <w:spacing w:after="0"/>
              <w:rPr>
                <w:sz w:val="20"/>
                <w:szCs w:val="20"/>
                <w:color w:val="auto"/>
              </w:rPr>
            </w:pPr>
            <w:r>
              <w:rPr>
                <w:rFonts w:ascii="Arial" w:cs="Arial" w:eastAsia="Arial" w:hAnsi="Arial"/>
                <w:sz w:val="12"/>
                <w:szCs w:val="12"/>
                <w:b w:val="1"/>
                <w:bCs w:val="1"/>
                <w:color w:val="auto"/>
                <w:w w:val="90"/>
              </w:rPr>
              <w:t>Statutory Stock Options</w:t>
            </w:r>
          </w:p>
        </w:tc>
      </w:tr>
      <w:tr>
        <w:trPr>
          <w:trHeight w:val="157"/>
        </w:trPr>
        <w:tc>
          <w:tcPr>
            <w:tcW w:w="144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1680" w:type="dxa"/>
            <w:vAlign w:val="bottom"/>
          </w:tcPr>
          <w:p>
            <w:pPr>
              <w:jc w:val="center"/>
              <w:spacing w:after="0"/>
              <w:rPr>
                <w:sz w:val="20"/>
                <w:szCs w:val="20"/>
                <w:color w:val="auto"/>
              </w:rPr>
            </w:pPr>
            <w:r>
              <w:rPr>
                <w:rFonts w:ascii="Arial" w:cs="Arial" w:eastAsia="Arial" w:hAnsi="Arial"/>
                <w:sz w:val="12"/>
                <w:szCs w:val="12"/>
                <w:b w:val="1"/>
                <w:bCs w:val="1"/>
                <w:color w:val="auto"/>
                <w:w w:val="95"/>
              </w:rPr>
              <w:t>(1)</w:t>
            </w:r>
          </w:p>
        </w:tc>
        <w:tc>
          <w:tcPr>
            <w:tcW w:w="1520" w:type="dxa"/>
            <w:vAlign w:val="bottom"/>
          </w:tcPr>
          <w:p>
            <w:pPr>
              <w:jc w:val="center"/>
              <w:ind w:left="120"/>
              <w:spacing w:after="0"/>
              <w:rPr>
                <w:sz w:val="20"/>
                <w:szCs w:val="20"/>
                <w:color w:val="auto"/>
              </w:rPr>
            </w:pPr>
            <w:r>
              <w:rPr>
                <w:rFonts w:ascii="Arial" w:cs="Arial" w:eastAsia="Arial" w:hAnsi="Arial"/>
                <w:sz w:val="12"/>
                <w:szCs w:val="12"/>
                <w:b w:val="1"/>
                <w:bCs w:val="1"/>
                <w:color w:val="auto"/>
                <w:w w:val="95"/>
              </w:rPr>
              <w:t>(1)</w:t>
            </w:r>
          </w:p>
        </w:tc>
      </w:tr>
      <w:tr>
        <w:trPr>
          <w:trHeight w:val="279"/>
        </w:trPr>
        <w:tc>
          <w:tcPr>
            <w:tcW w:w="1440" w:type="dxa"/>
            <w:vAlign w:val="bottom"/>
          </w:tcPr>
          <w:p>
            <w:pPr>
              <w:spacing w:after="0"/>
              <w:rPr>
                <w:sz w:val="20"/>
                <w:szCs w:val="20"/>
                <w:color w:val="auto"/>
              </w:rPr>
            </w:pPr>
            <w:r>
              <w:rPr>
                <w:rFonts w:ascii="Arial" w:cs="Arial" w:eastAsia="Arial" w:hAnsi="Arial"/>
                <w:sz w:val="12"/>
                <w:szCs w:val="12"/>
                <w:color w:val="auto"/>
              </w:rPr>
              <w:t>Ellen Cotter</w:t>
            </w:r>
          </w:p>
        </w:tc>
        <w:tc>
          <w:tcPr>
            <w:tcW w:w="2120" w:type="dxa"/>
            <w:vAlign w:val="bottom"/>
          </w:tcPr>
          <w:p>
            <w:pPr>
              <w:ind w:left="400"/>
              <w:spacing w:after="0"/>
              <w:rPr>
                <w:sz w:val="20"/>
                <w:szCs w:val="20"/>
                <w:color w:val="auto"/>
              </w:rPr>
            </w:pPr>
            <w:r>
              <w:rPr>
                <w:rFonts w:ascii="Arial" w:cs="Arial" w:eastAsia="Arial" w:hAnsi="Arial"/>
                <w:sz w:val="12"/>
                <w:szCs w:val="12"/>
                <w:color w:val="auto"/>
              </w:rPr>
              <w:t>President and Chief Executive</w:t>
            </w:r>
          </w:p>
        </w:tc>
        <w:tc>
          <w:tcPr>
            <w:tcW w:w="1680" w:type="dxa"/>
            <w:vAlign w:val="bottom"/>
          </w:tcPr>
          <w:p>
            <w:pPr>
              <w:jc w:val="right"/>
              <w:ind w:right="160"/>
              <w:spacing w:after="0"/>
              <w:rPr>
                <w:sz w:val="20"/>
                <w:szCs w:val="20"/>
                <w:color w:val="auto"/>
              </w:rPr>
            </w:pPr>
            <w:r>
              <w:rPr>
                <w:rFonts w:ascii="Arial" w:cs="Arial" w:eastAsia="Arial" w:hAnsi="Arial"/>
                <w:sz w:val="12"/>
                <w:szCs w:val="12"/>
                <w:color w:val="auto"/>
              </w:rPr>
              <w:t>$150,000</w:t>
            </w:r>
          </w:p>
        </w:tc>
        <w:tc>
          <w:tcPr>
            <w:tcW w:w="1520" w:type="dxa"/>
            <w:vAlign w:val="bottom"/>
          </w:tcPr>
          <w:p>
            <w:pPr>
              <w:jc w:val="right"/>
              <w:spacing w:after="0"/>
              <w:rPr>
                <w:sz w:val="20"/>
                <w:szCs w:val="20"/>
                <w:color w:val="auto"/>
              </w:rPr>
            </w:pPr>
            <w:r>
              <w:rPr>
                <w:rFonts w:ascii="Arial" w:cs="Arial" w:eastAsia="Arial" w:hAnsi="Arial"/>
                <w:sz w:val="12"/>
                <w:szCs w:val="12"/>
                <w:color w:val="auto"/>
              </w:rPr>
              <w:t>$150,000</w:t>
            </w:r>
          </w:p>
        </w:tc>
      </w:tr>
      <w:tr>
        <w:trPr>
          <w:trHeight w:val="153"/>
        </w:trPr>
        <w:tc>
          <w:tcPr>
            <w:tcW w:w="1440" w:type="dxa"/>
            <w:vAlign w:val="bottom"/>
          </w:tcPr>
          <w:p>
            <w:pPr>
              <w:spacing w:after="0"/>
              <w:rPr>
                <w:sz w:val="13"/>
                <w:szCs w:val="13"/>
                <w:color w:val="auto"/>
              </w:rPr>
            </w:pPr>
          </w:p>
        </w:tc>
        <w:tc>
          <w:tcPr>
            <w:tcW w:w="2120" w:type="dxa"/>
            <w:vAlign w:val="bottom"/>
          </w:tcPr>
          <w:p>
            <w:pPr>
              <w:ind w:left="400"/>
              <w:spacing w:after="0"/>
              <w:rPr>
                <w:sz w:val="20"/>
                <w:szCs w:val="20"/>
                <w:color w:val="auto"/>
              </w:rPr>
            </w:pPr>
            <w:r>
              <w:rPr>
                <w:rFonts w:ascii="Arial" w:cs="Arial" w:eastAsia="Arial" w:hAnsi="Arial"/>
                <w:sz w:val="12"/>
                <w:szCs w:val="12"/>
                <w:color w:val="auto"/>
              </w:rPr>
              <w:t>Officer</w:t>
            </w:r>
          </w:p>
        </w:tc>
        <w:tc>
          <w:tcPr>
            <w:tcW w:w="1680" w:type="dxa"/>
            <w:vAlign w:val="bottom"/>
          </w:tcPr>
          <w:p>
            <w:pPr>
              <w:spacing w:after="0"/>
              <w:rPr>
                <w:sz w:val="13"/>
                <w:szCs w:val="13"/>
                <w:color w:val="auto"/>
              </w:rPr>
            </w:pPr>
          </w:p>
        </w:tc>
        <w:tc>
          <w:tcPr>
            <w:tcW w:w="1520" w:type="dxa"/>
            <w:vAlign w:val="bottom"/>
          </w:tcPr>
          <w:p>
            <w:pPr>
              <w:spacing w:after="0"/>
              <w:rPr>
                <w:sz w:val="13"/>
                <w:szCs w:val="13"/>
                <w:color w:val="auto"/>
              </w:rPr>
            </w:pPr>
          </w:p>
        </w:tc>
      </w:tr>
      <w:tr>
        <w:trPr>
          <w:trHeight w:val="288"/>
        </w:trPr>
        <w:tc>
          <w:tcPr>
            <w:tcW w:w="1440" w:type="dxa"/>
            <w:vAlign w:val="bottom"/>
          </w:tcPr>
          <w:p>
            <w:pPr>
              <w:spacing w:after="0"/>
              <w:rPr>
                <w:sz w:val="20"/>
                <w:szCs w:val="20"/>
                <w:color w:val="auto"/>
              </w:rPr>
            </w:pPr>
            <w:r>
              <w:rPr>
                <w:rFonts w:ascii="Arial" w:cs="Arial" w:eastAsia="Arial" w:hAnsi="Arial"/>
                <w:sz w:val="12"/>
                <w:szCs w:val="12"/>
                <w:color w:val="auto"/>
              </w:rPr>
              <w:t>Devasis Ghose (2)</w:t>
            </w:r>
          </w:p>
        </w:tc>
        <w:tc>
          <w:tcPr>
            <w:tcW w:w="2120" w:type="dxa"/>
            <w:vAlign w:val="bottom"/>
          </w:tcPr>
          <w:p>
            <w:pPr>
              <w:ind w:left="400"/>
              <w:spacing w:after="0"/>
              <w:rPr>
                <w:sz w:val="20"/>
                <w:szCs w:val="20"/>
                <w:color w:val="auto"/>
              </w:rPr>
            </w:pPr>
            <w:r>
              <w:rPr>
                <w:rFonts w:ascii="Arial" w:cs="Arial" w:eastAsia="Arial" w:hAnsi="Arial"/>
                <w:sz w:val="12"/>
                <w:szCs w:val="12"/>
                <w:color w:val="auto"/>
              </w:rPr>
              <w:t>Chief Financial Officer</w:t>
            </w:r>
          </w:p>
        </w:tc>
        <w:tc>
          <w:tcPr>
            <w:tcW w:w="1680" w:type="dxa"/>
            <w:vAlign w:val="bottom"/>
          </w:tcPr>
          <w:p>
            <w:pPr>
              <w:jc w:val="right"/>
              <w:ind w:right="160"/>
              <w:spacing w:after="0"/>
              <w:rPr>
                <w:sz w:val="20"/>
                <w:szCs w:val="20"/>
                <w:color w:val="auto"/>
              </w:rPr>
            </w:pPr>
            <w:r>
              <w:rPr>
                <w:rFonts w:ascii="Arial" w:cs="Arial" w:eastAsia="Arial" w:hAnsi="Arial"/>
                <w:sz w:val="12"/>
                <w:szCs w:val="12"/>
                <w:color w:val="auto"/>
              </w:rPr>
              <w:t>0</w:t>
            </w:r>
          </w:p>
        </w:tc>
        <w:tc>
          <w:tcPr>
            <w:tcW w:w="1520" w:type="dxa"/>
            <w:vAlign w:val="bottom"/>
          </w:tcPr>
          <w:p>
            <w:pPr>
              <w:jc w:val="right"/>
              <w:spacing w:after="0"/>
              <w:rPr>
                <w:sz w:val="20"/>
                <w:szCs w:val="20"/>
                <w:color w:val="auto"/>
              </w:rPr>
            </w:pPr>
            <w:r>
              <w:rPr>
                <w:rFonts w:ascii="Arial" w:cs="Arial" w:eastAsia="Arial" w:hAnsi="Arial"/>
                <w:sz w:val="12"/>
                <w:szCs w:val="12"/>
                <w:color w:val="auto"/>
              </w:rPr>
              <w:t>0</w:t>
            </w:r>
          </w:p>
        </w:tc>
      </w:tr>
      <w:tr>
        <w:trPr>
          <w:trHeight w:val="306"/>
        </w:trPr>
        <w:tc>
          <w:tcPr>
            <w:tcW w:w="1440" w:type="dxa"/>
            <w:vAlign w:val="bottom"/>
          </w:tcPr>
          <w:p>
            <w:pPr>
              <w:spacing w:after="0"/>
              <w:rPr>
                <w:sz w:val="20"/>
                <w:szCs w:val="20"/>
                <w:color w:val="auto"/>
              </w:rPr>
            </w:pPr>
            <w:r>
              <w:rPr>
                <w:rFonts w:ascii="Arial" w:cs="Arial" w:eastAsia="Arial" w:hAnsi="Arial"/>
                <w:sz w:val="12"/>
                <w:szCs w:val="12"/>
                <w:color w:val="auto"/>
              </w:rPr>
              <w:t>Andrzej Matyczynski</w:t>
            </w:r>
          </w:p>
        </w:tc>
        <w:tc>
          <w:tcPr>
            <w:tcW w:w="2120" w:type="dxa"/>
            <w:vAlign w:val="bottom"/>
          </w:tcPr>
          <w:p>
            <w:pPr>
              <w:ind w:left="400"/>
              <w:spacing w:after="0"/>
              <w:rPr>
                <w:sz w:val="20"/>
                <w:szCs w:val="20"/>
                <w:color w:val="auto"/>
              </w:rPr>
            </w:pPr>
            <w:r>
              <w:rPr>
                <w:rFonts w:ascii="Arial" w:cs="Arial" w:eastAsia="Arial" w:hAnsi="Arial"/>
                <w:sz w:val="12"/>
                <w:szCs w:val="12"/>
                <w:color w:val="auto"/>
              </w:rPr>
              <w:t>EVP Global Operations</w:t>
            </w:r>
          </w:p>
        </w:tc>
        <w:tc>
          <w:tcPr>
            <w:tcW w:w="1680" w:type="dxa"/>
            <w:vAlign w:val="bottom"/>
          </w:tcPr>
          <w:p>
            <w:pPr>
              <w:jc w:val="right"/>
              <w:ind w:right="160"/>
              <w:spacing w:after="0"/>
              <w:rPr>
                <w:sz w:val="20"/>
                <w:szCs w:val="20"/>
                <w:color w:val="auto"/>
              </w:rPr>
            </w:pPr>
            <w:r>
              <w:rPr>
                <w:rFonts w:ascii="Arial" w:cs="Arial" w:eastAsia="Arial" w:hAnsi="Arial"/>
                <w:sz w:val="12"/>
                <w:szCs w:val="12"/>
                <w:color w:val="auto"/>
              </w:rPr>
              <w:t>37,500</w:t>
            </w:r>
          </w:p>
        </w:tc>
        <w:tc>
          <w:tcPr>
            <w:tcW w:w="1520" w:type="dxa"/>
            <w:vAlign w:val="bottom"/>
          </w:tcPr>
          <w:p>
            <w:pPr>
              <w:jc w:val="right"/>
              <w:spacing w:after="0"/>
              <w:rPr>
                <w:sz w:val="20"/>
                <w:szCs w:val="20"/>
                <w:color w:val="auto"/>
              </w:rPr>
            </w:pPr>
            <w:r>
              <w:rPr>
                <w:rFonts w:ascii="Arial" w:cs="Arial" w:eastAsia="Arial" w:hAnsi="Arial"/>
                <w:sz w:val="12"/>
                <w:szCs w:val="12"/>
                <w:color w:val="auto"/>
              </w:rPr>
              <w:t>37,500</w:t>
            </w:r>
          </w:p>
        </w:tc>
      </w:tr>
      <w:tr>
        <w:trPr>
          <w:trHeight w:val="306"/>
        </w:trPr>
        <w:tc>
          <w:tcPr>
            <w:tcW w:w="1440" w:type="dxa"/>
            <w:vAlign w:val="bottom"/>
          </w:tcPr>
          <w:p>
            <w:pPr>
              <w:spacing w:after="0"/>
              <w:rPr>
                <w:sz w:val="20"/>
                <w:szCs w:val="20"/>
                <w:color w:val="auto"/>
              </w:rPr>
            </w:pPr>
            <w:r>
              <w:rPr>
                <w:rFonts w:ascii="Arial" w:cs="Arial" w:eastAsia="Arial" w:hAnsi="Arial"/>
                <w:sz w:val="12"/>
                <w:szCs w:val="12"/>
                <w:color w:val="auto"/>
              </w:rPr>
              <w:t>Robert F. Smerling</w:t>
            </w:r>
          </w:p>
        </w:tc>
        <w:tc>
          <w:tcPr>
            <w:tcW w:w="2120" w:type="dxa"/>
            <w:vAlign w:val="bottom"/>
          </w:tcPr>
          <w:p>
            <w:pPr>
              <w:ind w:left="400"/>
              <w:spacing w:after="0"/>
              <w:rPr>
                <w:sz w:val="20"/>
                <w:szCs w:val="20"/>
                <w:color w:val="auto"/>
              </w:rPr>
            </w:pPr>
            <w:r>
              <w:rPr>
                <w:rFonts w:ascii="Arial" w:cs="Arial" w:eastAsia="Arial" w:hAnsi="Arial"/>
                <w:sz w:val="12"/>
                <w:szCs w:val="12"/>
                <w:color w:val="auto"/>
              </w:rPr>
              <w:t>President, US Cinemas</w:t>
            </w:r>
          </w:p>
        </w:tc>
        <w:tc>
          <w:tcPr>
            <w:tcW w:w="1680" w:type="dxa"/>
            <w:vAlign w:val="bottom"/>
          </w:tcPr>
          <w:p>
            <w:pPr>
              <w:jc w:val="right"/>
              <w:ind w:right="160"/>
              <w:spacing w:after="0"/>
              <w:rPr>
                <w:sz w:val="20"/>
                <w:szCs w:val="20"/>
                <w:color w:val="auto"/>
              </w:rPr>
            </w:pPr>
            <w:r>
              <w:rPr>
                <w:rFonts w:ascii="Arial" w:cs="Arial" w:eastAsia="Arial" w:hAnsi="Arial"/>
                <w:sz w:val="12"/>
                <w:szCs w:val="12"/>
                <w:color w:val="auto"/>
              </w:rPr>
              <w:t>50,000</w:t>
            </w:r>
          </w:p>
        </w:tc>
        <w:tc>
          <w:tcPr>
            <w:tcW w:w="1520" w:type="dxa"/>
            <w:vAlign w:val="bottom"/>
          </w:tcPr>
          <w:p>
            <w:pPr>
              <w:jc w:val="right"/>
              <w:spacing w:after="0"/>
              <w:rPr>
                <w:sz w:val="20"/>
                <w:szCs w:val="20"/>
                <w:color w:val="auto"/>
              </w:rPr>
            </w:pPr>
            <w:r>
              <w:rPr>
                <w:rFonts w:ascii="Arial" w:cs="Arial" w:eastAsia="Arial" w:hAnsi="Arial"/>
                <w:sz w:val="12"/>
                <w:szCs w:val="12"/>
                <w:color w:val="auto"/>
              </w:rPr>
              <w:t>50,000</w:t>
            </w:r>
          </w:p>
        </w:tc>
      </w:tr>
      <w:tr>
        <w:trPr>
          <w:trHeight w:val="306"/>
        </w:trPr>
        <w:tc>
          <w:tcPr>
            <w:tcW w:w="1440" w:type="dxa"/>
            <w:vAlign w:val="bottom"/>
          </w:tcPr>
          <w:p>
            <w:pPr>
              <w:spacing w:after="0"/>
              <w:rPr>
                <w:sz w:val="20"/>
                <w:szCs w:val="20"/>
                <w:color w:val="auto"/>
              </w:rPr>
            </w:pPr>
            <w:r>
              <w:rPr>
                <w:rFonts w:ascii="Arial" w:cs="Arial" w:eastAsia="Arial" w:hAnsi="Arial"/>
                <w:sz w:val="12"/>
                <w:szCs w:val="12"/>
                <w:color w:val="auto"/>
              </w:rPr>
              <w:t>Wayne Smith</w:t>
            </w:r>
          </w:p>
        </w:tc>
        <w:tc>
          <w:tcPr>
            <w:tcW w:w="2120" w:type="dxa"/>
            <w:vAlign w:val="bottom"/>
          </w:tcPr>
          <w:p>
            <w:pPr>
              <w:ind w:left="400"/>
              <w:spacing w:after="0"/>
              <w:rPr>
                <w:sz w:val="20"/>
                <w:szCs w:val="20"/>
                <w:color w:val="auto"/>
              </w:rPr>
            </w:pPr>
            <w:r>
              <w:rPr>
                <w:rFonts w:ascii="Arial" w:cs="Arial" w:eastAsia="Arial" w:hAnsi="Arial"/>
                <w:sz w:val="12"/>
                <w:szCs w:val="12"/>
                <w:color w:val="auto"/>
              </w:rPr>
              <w:t>Managing Director, ANZ</w:t>
            </w:r>
          </w:p>
        </w:tc>
        <w:tc>
          <w:tcPr>
            <w:tcW w:w="1680" w:type="dxa"/>
            <w:vAlign w:val="bottom"/>
          </w:tcPr>
          <w:p>
            <w:pPr>
              <w:jc w:val="right"/>
              <w:ind w:right="160"/>
              <w:spacing w:after="0"/>
              <w:rPr>
                <w:sz w:val="20"/>
                <w:szCs w:val="20"/>
                <w:color w:val="auto"/>
              </w:rPr>
            </w:pPr>
            <w:r>
              <w:rPr>
                <w:rFonts w:ascii="Arial" w:cs="Arial" w:eastAsia="Arial" w:hAnsi="Arial"/>
                <w:sz w:val="12"/>
                <w:szCs w:val="12"/>
                <w:color w:val="auto"/>
              </w:rPr>
              <w:t>27,000</w:t>
            </w:r>
          </w:p>
        </w:tc>
        <w:tc>
          <w:tcPr>
            <w:tcW w:w="1520" w:type="dxa"/>
            <w:vAlign w:val="bottom"/>
          </w:tcPr>
          <w:p>
            <w:pPr>
              <w:jc w:val="right"/>
              <w:spacing w:after="0"/>
              <w:rPr>
                <w:sz w:val="20"/>
                <w:szCs w:val="20"/>
                <w:color w:val="auto"/>
              </w:rPr>
            </w:pPr>
            <w:r>
              <w:rPr>
                <w:rFonts w:ascii="Arial" w:cs="Arial" w:eastAsia="Arial" w:hAnsi="Arial"/>
                <w:sz w:val="12"/>
                <w:szCs w:val="12"/>
                <w:color w:val="auto"/>
              </w:rPr>
              <w:t>27,000</w:t>
            </w:r>
          </w:p>
        </w:tc>
      </w:tr>
    </w:tbl>
    <w:p>
      <w:pPr>
        <w:spacing w:after="0" w:line="153" w:lineRule="exact"/>
        <w:rPr>
          <w:sz w:val="20"/>
          <w:szCs w:val="20"/>
          <w:color w:val="auto"/>
        </w:rPr>
      </w:pPr>
    </w:p>
    <w:p>
      <w:pPr>
        <w:ind w:left="163" w:hanging="163"/>
        <w:spacing w:after="0"/>
        <w:tabs>
          <w:tab w:leader="none" w:pos="163" w:val="left"/>
        </w:tabs>
        <w:numPr>
          <w:ilvl w:val="0"/>
          <w:numId w:val="198"/>
        </w:numPr>
        <w:rPr>
          <w:rFonts w:ascii="Arial" w:cs="Arial" w:eastAsia="Arial" w:hAnsi="Arial"/>
          <w:sz w:val="12"/>
          <w:szCs w:val="12"/>
          <w:color w:val="auto"/>
        </w:rPr>
      </w:pPr>
      <w:r>
        <w:rPr>
          <w:rFonts w:ascii="Arial" w:cs="Arial" w:eastAsia="Arial" w:hAnsi="Arial"/>
          <w:sz w:val="12"/>
          <w:szCs w:val="12"/>
          <w:color w:val="auto"/>
        </w:rPr>
        <w:t>The number of shares of stock to be issued will be calculated using the Black Scholes pricing model as of the date of grant of the award.</w:t>
      </w:r>
    </w:p>
    <w:p>
      <w:pPr>
        <w:spacing w:after="0" w:line="150" w:lineRule="exact"/>
        <w:rPr>
          <w:rFonts w:ascii="Arial" w:cs="Arial" w:eastAsia="Arial" w:hAnsi="Arial"/>
          <w:sz w:val="12"/>
          <w:szCs w:val="12"/>
          <w:color w:val="auto"/>
        </w:rPr>
      </w:pPr>
    </w:p>
    <w:p>
      <w:pPr>
        <w:ind w:left="3" w:right="1520" w:hanging="3"/>
        <w:spacing w:after="0" w:line="527" w:lineRule="auto"/>
        <w:tabs>
          <w:tab w:leader="none" w:pos="173" w:val="left"/>
        </w:tabs>
        <w:numPr>
          <w:ilvl w:val="0"/>
          <w:numId w:val="198"/>
        </w:numPr>
        <w:rPr>
          <w:rFonts w:ascii="Arial" w:cs="Arial" w:eastAsia="Arial" w:hAnsi="Arial"/>
          <w:sz w:val="12"/>
          <w:szCs w:val="12"/>
          <w:color w:val="auto"/>
        </w:rPr>
      </w:pPr>
      <w:r>
        <w:rPr>
          <w:rFonts w:ascii="Arial" w:cs="Arial" w:eastAsia="Arial" w:hAnsi="Arial"/>
          <w:sz w:val="12"/>
          <w:szCs w:val="12"/>
          <w:color w:val="auto"/>
        </w:rPr>
        <w:t>Mr. Devasis Ghose was awarded 100,000 non-statutory stock options vesting over a 4 year period on Mr. Ghose’s commencement of employment on May 11, 2015. All long-term incentive awards will be subject to other terms and conditions set forth in the 2010 Plan and award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-25400</wp:posOffset>
            </wp:positionV>
            <wp:extent cx="6231255"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231255" cy="42545"/>
                    </a:xfrm>
                    <a:prstGeom prst="rect">
                      <a:avLst/>
                    </a:prstGeom>
                    <a:noFill/>
                  </pic:spPr>
                </pic:pic>
              </a:graphicData>
            </a:graphic>
          </wp:anchor>
        </w:drawing>
      </w:r>
    </w:p>
    <w:p>
      <w:pPr>
        <w:sectPr>
          <w:pgSz w:w="11900" w:h="16838" w:orient="portrait"/>
          <w:cols w:equalWidth="0" w:num="1">
            <w:col w:w="9583"/>
          </w:cols>
          <w:pgMar w:left="1077" w:top="131" w:right="1239" w:bottom="1440" w:gutter="0" w:footer="0" w:header="0"/>
        </w:sectPr>
      </w:pPr>
    </w:p>
    <w:bookmarkStart w:id="204" w:name="page205"/>
    <w:bookmarkEnd w:id="204"/>
    <w:p>
      <w:pPr>
        <w:jc w:val="right"/>
        <w:spacing w:after="0"/>
        <w:rPr>
          <w:sz w:val="20"/>
          <w:szCs w:val="20"/>
          <w:color w:val="auto"/>
        </w:rPr>
      </w:pPr>
      <w:r>
        <w:rPr>
          <w:rFonts w:ascii="Arial" w:cs="Arial" w:eastAsia="Arial" w:hAnsi="Arial"/>
          <w:sz w:val="12"/>
          <w:szCs w:val="12"/>
          <w:b w:val="1"/>
          <w:bCs w:val="1"/>
          <w:color w:val="444444"/>
        </w:rPr>
        <w:t>Exhibit 10.24</w:t>
      </w:r>
    </w:p>
    <w:p>
      <w:pPr>
        <w:spacing w:after="0" w:line="231" w:lineRule="exact"/>
        <w:rPr>
          <w:sz w:val="20"/>
          <w:szCs w:val="20"/>
          <w:color w:val="auto"/>
        </w:rPr>
      </w:pPr>
    </w:p>
    <w:p>
      <w:pPr>
        <w:ind w:left="1441"/>
        <w:spacing w:after="0"/>
        <w:rPr>
          <w:sz w:val="20"/>
          <w:szCs w:val="20"/>
          <w:color w:val="auto"/>
        </w:rPr>
      </w:pPr>
      <w:r>
        <w:rPr>
          <w:rFonts w:ascii="Arial" w:cs="Arial" w:eastAsia="Arial" w:hAnsi="Arial"/>
          <w:sz w:val="12"/>
          <w:szCs w:val="12"/>
          <w:b w:val="1"/>
          <w:bCs w:val="1"/>
          <w:color w:val="444444"/>
        </w:rPr>
        <w:t>TERMINATION AGREEMENT AND RELEASE</w:t>
      </w:r>
    </w:p>
    <w:p>
      <w:pPr>
        <w:spacing w:after="0" w:line="136" w:lineRule="exact"/>
        <w:rPr>
          <w:sz w:val="20"/>
          <w:szCs w:val="20"/>
          <w:color w:val="auto"/>
        </w:rPr>
      </w:pPr>
    </w:p>
    <w:p>
      <w:pPr>
        <w:ind w:left="61" w:right="60"/>
        <w:spacing w:after="0" w:line="234" w:lineRule="auto"/>
        <w:rPr>
          <w:sz w:val="20"/>
          <w:szCs w:val="20"/>
          <w:color w:val="auto"/>
        </w:rPr>
      </w:pPr>
      <w:r>
        <w:rPr>
          <w:rFonts w:ascii="Arial" w:cs="Arial" w:eastAsia="Arial" w:hAnsi="Arial"/>
          <w:sz w:val="12"/>
          <w:szCs w:val="12"/>
          <w:color w:val="575757"/>
        </w:rPr>
        <w:t xml:space="preserve">This Termination Agreement and </w:t>
      </w:r>
      <w:r>
        <w:rPr>
          <w:rFonts w:ascii="Arial" w:cs="Arial" w:eastAsia="Arial" w:hAnsi="Arial"/>
          <w:sz w:val="12"/>
          <w:szCs w:val="12"/>
          <w:color w:val="444444"/>
        </w:rPr>
        <w:t>Release</w:t>
      </w:r>
      <w:r>
        <w:rPr>
          <w:rFonts w:ascii="Arial" w:cs="Arial" w:eastAsia="Arial" w:hAnsi="Arial"/>
          <w:sz w:val="12"/>
          <w:szCs w:val="12"/>
          <w:color w:val="575757"/>
        </w:rPr>
        <w:t xml:space="preserve"> (this "Agreement") </w:t>
      </w:r>
      <w:r>
        <w:rPr>
          <w:rFonts w:ascii="Arial" w:cs="Arial" w:eastAsia="Arial" w:hAnsi="Arial"/>
          <w:sz w:val="12"/>
          <w:szCs w:val="12"/>
          <w:color w:val="444444"/>
        </w:rPr>
        <w:t>is made</w:t>
      </w:r>
      <w:r>
        <w:rPr>
          <w:rFonts w:ascii="Arial" w:cs="Arial" w:eastAsia="Arial" w:hAnsi="Arial"/>
          <w:sz w:val="12"/>
          <w:szCs w:val="12"/>
          <w:color w:val="575757"/>
        </w:rPr>
        <w:t xml:space="preserve"> as of </w:t>
      </w:r>
      <w:r>
        <w:rPr>
          <w:rFonts w:ascii="Arial" w:cs="Arial" w:eastAsia="Arial" w:hAnsi="Arial"/>
          <w:sz w:val="12"/>
          <w:szCs w:val="12"/>
          <w:color w:val="444444"/>
        </w:rPr>
        <w:t>March 1</w:t>
      </w:r>
      <w:r>
        <w:rPr>
          <w:rFonts w:ascii="Arial" w:cs="Arial" w:eastAsia="Arial" w:hAnsi="Arial"/>
          <w:sz w:val="12"/>
          <w:szCs w:val="12"/>
          <w:color w:val="575757"/>
        </w:rPr>
        <w:t xml:space="preserve">0, 2016, </w:t>
      </w:r>
      <w:r>
        <w:rPr>
          <w:rFonts w:ascii="Arial" w:cs="Arial" w:eastAsia="Arial" w:hAnsi="Arial"/>
          <w:sz w:val="12"/>
          <w:szCs w:val="12"/>
          <w:color w:val="444444"/>
        </w:rPr>
        <w:t>by</w:t>
      </w:r>
      <w:r>
        <w:rPr>
          <w:rFonts w:ascii="Arial" w:cs="Arial" w:eastAsia="Arial" w:hAnsi="Arial"/>
          <w:sz w:val="12"/>
          <w:szCs w:val="12"/>
          <w:color w:val="575757"/>
        </w:rPr>
        <w:t xml:space="preserve"> and </w:t>
      </w:r>
      <w:r>
        <w:rPr>
          <w:rFonts w:ascii="Arial" w:cs="Arial" w:eastAsia="Arial" w:hAnsi="Arial"/>
          <w:sz w:val="12"/>
          <w:szCs w:val="12"/>
          <w:color w:val="444444"/>
        </w:rPr>
        <w:t>between</w:t>
      </w:r>
      <w:r>
        <w:rPr>
          <w:rFonts w:ascii="Arial" w:cs="Arial" w:eastAsia="Arial" w:hAnsi="Arial"/>
          <w:sz w:val="12"/>
          <w:szCs w:val="12"/>
          <w:color w:val="575757"/>
        </w:rPr>
        <w:t xml:space="preserve"> Liberty Theaters</w:t>
      </w:r>
      <w:r>
        <w:rPr>
          <w:rFonts w:ascii="Arial" w:cs="Arial" w:eastAsia="Arial" w:hAnsi="Arial"/>
          <w:sz w:val="12"/>
          <w:szCs w:val="12"/>
          <w:color w:val="858585"/>
        </w:rPr>
        <w:t>,</w:t>
      </w:r>
      <w:r>
        <w:rPr>
          <w:rFonts w:ascii="Arial" w:cs="Arial" w:eastAsia="Arial" w:hAnsi="Arial"/>
          <w:sz w:val="12"/>
          <w:szCs w:val="12"/>
          <w:color w:val="575757"/>
        </w:rPr>
        <w:t xml:space="preserve"> </w:t>
      </w:r>
      <w:r>
        <w:rPr>
          <w:rFonts w:ascii="Arial" w:cs="Arial" w:eastAsia="Arial" w:hAnsi="Arial"/>
          <w:sz w:val="12"/>
          <w:szCs w:val="12"/>
          <w:color w:val="444444"/>
        </w:rPr>
        <w:t>LLC</w:t>
      </w:r>
      <w:r>
        <w:rPr>
          <w:rFonts w:ascii="Arial" w:cs="Arial" w:eastAsia="Arial" w:hAnsi="Arial"/>
          <w:sz w:val="12"/>
          <w:szCs w:val="12"/>
          <w:color w:val="575757"/>
        </w:rPr>
        <w:t xml:space="preserve"> ("LTLLC") and </w:t>
      </w:r>
      <w:r>
        <w:rPr>
          <w:rFonts w:ascii="Arial" w:cs="Arial" w:eastAsia="Arial" w:hAnsi="Arial"/>
          <w:sz w:val="12"/>
          <w:szCs w:val="12"/>
          <w:color w:val="444444"/>
        </w:rPr>
        <w:t>OBI</w:t>
      </w:r>
      <w:r>
        <w:rPr>
          <w:rFonts w:ascii="Arial" w:cs="Arial" w:eastAsia="Arial" w:hAnsi="Arial"/>
          <w:sz w:val="12"/>
          <w:szCs w:val="12"/>
          <w:color w:val="6D6D6D"/>
        </w:rPr>
        <w:t>,</w:t>
      </w:r>
      <w:r>
        <w:rPr>
          <w:rFonts w:ascii="Arial" w:cs="Arial" w:eastAsia="Arial" w:hAnsi="Arial"/>
          <w:sz w:val="12"/>
          <w:szCs w:val="12"/>
          <w:color w:val="575757"/>
        </w:rPr>
        <w:t xml:space="preserve"> LLC </w:t>
      </w:r>
      <w:r>
        <w:rPr>
          <w:rFonts w:ascii="Arial" w:cs="Arial" w:eastAsia="Arial" w:hAnsi="Arial"/>
          <w:sz w:val="12"/>
          <w:szCs w:val="12"/>
          <w:color w:val="444444"/>
        </w:rPr>
        <w:t>("OBI</w:t>
      </w:r>
      <w:r>
        <w:rPr>
          <w:rFonts w:ascii="Arial" w:cs="Arial" w:eastAsia="Arial" w:hAnsi="Arial"/>
          <w:sz w:val="12"/>
          <w:szCs w:val="12"/>
          <w:color w:val="6D6D6D"/>
        </w:rPr>
        <w:t>").</w:t>
      </w:r>
      <w:r>
        <w:rPr>
          <w:rFonts w:ascii="Arial" w:cs="Arial" w:eastAsia="Arial" w:hAnsi="Arial"/>
          <w:sz w:val="12"/>
          <w:szCs w:val="12"/>
          <w:color w:val="575757"/>
        </w:rPr>
        <w:t xml:space="preserve"> Capitalized </w:t>
      </w:r>
      <w:r>
        <w:rPr>
          <w:rFonts w:ascii="Arial" w:cs="Arial" w:eastAsia="Arial" w:hAnsi="Arial"/>
          <w:sz w:val="12"/>
          <w:szCs w:val="12"/>
          <w:color w:val="444444"/>
        </w:rPr>
        <w:t>terms not defined</w:t>
      </w:r>
      <w:r>
        <w:rPr>
          <w:rFonts w:ascii="Arial" w:cs="Arial" w:eastAsia="Arial" w:hAnsi="Arial"/>
          <w:sz w:val="12"/>
          <w:szCs w:val="12"/>
          <w:color w:val="575757"/>
        </w:rPr>
        <w:t xml:space="preserve"> </w:t>
      </w:r>
      <w:r>
        <w:rPr>
          <w:rFonts w:ascii="Arial" w:cs="Arial" w:eastAsia="Arial" w:hAnsi="Arial"/>
          <w:sz w:val="12"/>
          <w:szCs w:val="12"/>
          <w:color w:val="444444"/>
        </w:rPr>
        <w:t xml:space="preserve">in this Agreement </w:t>
      </w:r>
      <w:r>
        <w:rPr>
          <w:rFonts w:ascii="Arial" w:cs="Arial" w:eastAsia="Arial" w:hAnsi="Arial"/>
          <w:sz w:val="12"/>
          <w:szCs w:val="12"/>
          <w:color w:val="6D6D6D"/>
        </w:rPr>
        <w:t>s</w:t>
      </w:r>
      <w:r>
        <w:rPr>
          <w:rFonts w:ascii="Arial" w:cs="Arial" w:eastAsia="Arial" w:hAnsi="Arial"/>
          <w:sz w:val="12"/>
          <w:szCs w:val="12"/>
          <w:color w:val="444444"/>
        </w:rPr>
        <w:t xml:space="preserve">hall have the meaning </w:t>
      </w:r>
      <w:r>
        <w:rPr>
          <w:rFonts w:ascii="Arial" w:cs="Arial" w:eastAsia="Arial" w:hAnsi="Arial"/>
          <w:sz w:val="12"/>
          <w:szCs w:val="12"/>
          <w:color w:val="575757"/>
        </w:rPr>
        <w:t>ascribed to such terms in</w:t>
      </w:r>
      <w:r>
        <w:rPr>
          <w:rFonts w:ascii="Arial" w:cs="Arial" w:eastAsia="Arial" w:hAnsi="Arial"/>
          <w:sz w:val="12"/>
          <w:szCs w:val="12"/>
          <w:color w:val="444444"/>
        </w:rPr>
        <w:t xml:space="preserve"> the Theater Management </w:t>
      </w:r>
      <w:r>
        <w:rPr>
          <w:rFonts w:ascii="Arial" w:cs="Arial" w:eastAsia="Arial" w:hAnsi="Arial"/>
          <w:sz w:val="12"/>
          <w:szCs w:val="12"/>
          <w:color w:val="575757"/>
        </w:rPr>
        <w:t>Agreement</w:t>
      </w:r>
      <w:r>
        <w:rPr>
          <w:rFonts w:ascii="Arial" w:cs="Arial" w:eastAsia="Arial" w:hAnsi="Arial"/>
          <w:sz w:val="12"/>
          <w:szCs w:val="12"/>
          <w:color w:val="444444"/>
        </w:rPr>
        <w:t xml:space="preserve"> (a</w:t>
      </w:r>
      <w:r>
        <w:rPr>
          <w:rFonts w:ascii="Arial" w:cs="Arial" w:eastAsia="Arial" w:hAnsi="Arial"/>
          <w:sz w:val="12"/>
          <w:szCs w:val="12"/>
          <w:color w:val="6D6D6D"/>
        </w:rPr>
        <w:t>s</w:t>
      </w:r>
      <w:r>
        <w:rPr>
          <w:rFonts w:ascii="Arial" w:cs="Arial" w:eastAsia="Arial" w:hAnsi="Arial"/>
          <w:sz w:val="12"/>
          <w:szCs w:val="12"/>
          <w:color w:val="444444"/>
        </w:rPr>
        <w:t xml:space="preserve"> </w:t>
      </w:r>
      <w:r>
        <w:rPr>
          <w:rFonts w:ascii="Arial" w:cs="Arial" w:eastAsia="Arial" w:hAnsi="Arial"/>
          <w:sz w:val="12"/>
          <w:szCs w:val="12"/>
          <w:color w:val="575757"/>
        </w:rPr>
        <w:t>defined</w:t>
      </w:r>
      <w:r>
        <w:rPr>
          <w:rFonts w:ascii="Arial" w:cs="Arial" w:eastAsia="Arial" w:hAnsi="Arial"/>
          <w:sz w:val="12"/>
          <w:szCs w:val="12"/>
          <w:color w:val="444444"/>
        </w:rPr>
        <w:t xml:space="preserve"> herein).</w:t>
      </w:r>
    </w:p>
    <w:p>
      <w:pPr>
        <w:spacing w:after="0" w:line="109" w:lineRule="exact"/>
        <w:rPr>
          <w:sz w:val="20"/>
          <w:szCs w:val="20"/>
          <w:color w:val="auto"/>
        </w:rPr>
      </w:pPr>
    </w:p>
    <w:p>
      <w:pPr>
        <w:ind w:left="61"/>
        <w:spacing w:after="0"/>
        <w:rPr>
          <w:sz w:val="20"/>
          <w:szCs w:val="20"/>
          <w:color w:val="auto"/>
        </w:rPr>
      </w:pPr>
      <w:r>
        <w:rPr>
          <w:rFonts w:ascii="Arial" w:cs="Arial" w:eastAsia="Arial" w:hAnsi="Arial"/>
          <w:sz w:val="11"/>
          <w:szCs w:val="11"/>
          <w:color w:val="444444"/>
        </w:rPr>
        <w:t xml:space="preserve">WHEREA </w:t>
      </w:r>
      <w:r>
        <w:rPr>
          <w:rFonts w:ascii="Arial" w:cs="Arial" w:eastAsia="Arial" w:hAnsi="Arial"/>
          <w:sz w:val="11"/>
          <w:szCs w:val="11"/>
          <w:color w:val="6D6D6D"/>
        </w:rPr>
        <w:t>S,</w:t>
      </w:r>
      <w:r>
        <w:rPr>
          <w:rFonts w:ascii="Arial" w:cs="Arial" w:eastAsia="Arial" w:hAnsi="Arial"/>
          <w:sz w:val="11"/>
          <w:szCs w:val="11"/>
          <w:color w:val="444444"/>
        </w:rPr>
        <w:t xml:space="preserve"> reference is made to that certain </w:t>
      </w:r>
      <w:r>
        <w:rPr>
          <w:rFonts w:ascii="Arial" w:cs="Arial" w:eastAsia="Arial" w:hAnsi="Arial"/>
          <w:sz w:val="11"/>
          <w:szCs w:val="11"/>
          <w:color w:val="575757"/>
        </w:rPr>
        <w:t>Theater</w:t>
      </w:r>
      <w:r>
        <w:rPr>
          <w:rFonts w:ascii="Arial" w:cs="Arial" w:eastAsia="Arial" w:hAnsi="Arial"/>
          <w:sz w:val="11"/>
          <w:szCs w:val="11"/>
          <w:color w:val="444444"/>
        </w:rPr>
        <w:t xml:space="preserve"> Management Agreement </w:t>
      </w:r>
      <w:r>
        <w:rPr>
          <w:rFonts w:ascii="Arial" w:cs="Arial" w:eastAsia="Arial" w:hAnsi="Arial"/>
          <w:sz w:val="11"/>
          <w:szCs w:val="11"/>
          <w:color w:val="575757"/>
        </w:rPr>
        <w:t>(the "Theater</w:t>
      </w:r>
      <w:r>
        <w:rPr>
          <w:rFonts w:ascii="Arial" w:cs="Arial" w:eastAsia="Arial" w:hAnsi="Arial"/>
          <w:sz w:val="11"/>
          <w:szCs w:val="11"/>
          <w:color w:val="444444"/>
        </w:rPr>
        <w:t xml:space="preserve"> </w:t>
      </w:r>
      <w:r>
        <w:rPr>
          <w:rFonts w:ascii="Arial" w:cs="Arial" w:eastAsia="Arial" w:hAnsi="Arial"/>
          <w:sz w:val="11"/>
          <w:szCs w:val="11"/>
          <w:u w:val="single" w:color="auto"/>
          <w:color w:val="444444"/>
        </w:rPr>
        <w:t>Management Agreement"</w:t>
      </w:r>
      <w:r>
        <w:rPr>
          <w:rFonts w:ascii="Arial" w:cs="Arial" w:eastAsia="Arial" w:hAnsi="Arial"/>
          <w:sz w:val="11"/>
          <w:szCs w:val="11"/>
          <w:color w:val="444444"/>
        </w:rPr>
        <w:t xml:space="preserve">) dated effective as of January 1, 2002, by </w:t>
      </w:r>
      <w:r>
        <w:rPr>
          <w:rFonts w:ascii="Arial" w:cs="Arial" w:eastAsia="Arial" w:hAnsi="Arial"/>
          <w:sz w:val="11"/>
          <w:szCs w:val="11"/>
          <w:color w:val="575757"/>
        </w:rPr>
        <w:t>and</w:t>
      </w:r>
      <w:r>
        <w:rPr>
          <w:rFonts w:ascii="Arial" w:cs="Arial" w:eastAsia="Arial" w:hAnsi="Arial"/>
          <w:sz w:val="11"/>
          <w:szCs w:val="11"/>
          <w:color w:val="444444"/>
        </w:rPr>
        <w:t xml:space="preserve"> between </w:t>
      </w:r>
      <w:r>
        <w:rPr>
          <w:rFonts w:ascii="Arial" w:cs="Arial" w:eastAsia="Arial" w:hAnsi="Arial"/>
          <w:sz w:val="11"/>
          <w:szCs w:val="11"/>
          <w:color w:val="575757"/>
        </w:rPr>
        <w:t>Liberty Theaters,</w:t>
      </w:r>
      <w:r>
        <w:rPr>
          <w:rFonts w:ascii="Arial" w:cs="Arial" w:eastAsia="Arial" w:hAnsi="Arial"/>
          <w:sz w:val="11"/>
          <w:szCs w:val="11"/>
          <w:color w:val="444444"/>
        </w:rPr>
        <w:t xml:space="preserve"> Inc</w:t>
      </w:r>
      <w:r>
        <w:rPr>
          <w:rFonts w:ascii="Arial" w:cs="Arial" w:eastAsia="Arial" w:hAnsi="Arial"/>
          <w:sz w:val="11"/>
          <w:szCs w:val="11"/>
          <w:color w:val="6D6D6D"/>
        </w:rPr>
        <w:t>.</w:t>
      </w:r>
    </w:p>
    <w:p>
      <w:pPr>
        <w:spacing w:after="0" w:line="1" w:lineRule="exact"/>
        <w:rPr>
          <w:sz w:val="20"/>
          <w:szCs w:val="20"/>
          <w:color w:val="auto"/>
        </w:rPr>
      </w:pPr>
    </w:p>
    <w:p>
      <w:pPr>
        <w:ind w:left="101"/>
        <w:spacing w:after="0"/>
        <w:rPr>
          <w:sz w:val="20"/>
          <w:szCs w:val="20"/>
          <w:color w:val="auto"/>
        </w:rPr>
      </w:pPr>
      <w:r>
        <w:rPr>
          <w:rFonts w:ascii="Arial" w:cs="Arial" w:eastAsia="Arial" w:hAnsi="Arial"/>
          <w:sz w:val="12"/>
          <w:szCs w:val="12"/>
          <w:color w:val="575757"/>
        </w:rPr>
        <w:t xml:space="preserve">("LTI") </w:t>
      </w:r>
      <w:r>
        <w:rPr>
          <w:rFonts w:ascii="Arial" w:cs="Arial" w:eastAsia="Arial" w:hAnsi="Arial"/>
          <w:sz w:val="12"/>
          <w:szCs w:val="12"/>
          <w:color w:val="444444"/>
        </w:rPr>
        <w:t>and OBI.</w:t>
      </w:r>
    </w:p>
    <w:p>
      <w:pPr>
        <w:spacing w:after="0" w:line="122" w:lineRule="exact"/>
        <w:rPr>
          <w:sz w:val="20"/>
          <w:szCs w:val="20"/>
          <w:color w:val="auto"/>
        </w:rPr>
      </w:pPr>
    </w:p>
    <w:p>
      <w:pPr>
        <w:ind w:left="21"/>
        <w:spacing w:after="0"/>
        <w:rPr>
          <w:sz w:val="20"/>
          <w:szCs w:val="20"/>
          <w:color w:val="auto"/>
        </w:rPr>
      </w:pPr>
      <w:r>
        <w:rPr>
          <w:rFonts w:ascii="Arial" w:cs="Arial" w:eastAsia="Arial" w:hAnsi="Arial"/>
          <w:sz w:val="12"/>
          <w:szCs w:val="12"/>
          <w:color w:val="444444"/>
        </w:rPr>
        <w:t>WHEREAS</w:t>
      </w:r>
      <w:r>
        <w:rPr>
          <w:rFonts w:ascii="Arial" w:cs="Arial" w:eastAsia="Arial" w:hAnsi="Arial"/>
          <w:sz w:val="12"/>
          <w:szCs w:val="12"/>
          <w:color w:val="6D6D6D"/>
        </w:rPr>
        <w:t>,</w:t>
      </w:r>
      <w:r>
        <w:rPr>
          <w:rFonts w:ascii="Arial" w:cs="Arial" w:eastAsia="Arial" w:hAnsi="Arial"/>
          <w:sz w:val="12"/>
          <w:szCs w:val="12"/>
          <w:color w:val="444444"/>
        </w:rPr>
        <w:t xml:space="preserve"> </w:t>
      </w:r>
      <w:r>
        <w:rPr>
          <w:rFonts w:ascii="Arial" w:cs="Arial" w:eastAsia="Arial" w:hAnsi="Arial"/>
          <w:sz w:val="12"/>
          <w:szCs w:val="12"/>
          <w:color w:val="575757"/>
        </w:rPr>
        <w:t>LTI was subsequently</w:t>
      </w:r>
      <w:r>
        <w:rPr>
          <w:rFonts w:ascii="Arial" w:cs="Arial" w:eastAsia="Arial" w:hAnsi="Arial"/>
          <w:sz w:val="12"/>
          <w:szCs w:val="12"/>
          <w:color w:val="444444"/>
        </w:rPr>
        <w:t xml:space="preserve"> merged into LTLLC</w:t>
      </w:r>
      <w:r>
        <w:rPr>
          <w:rFonts w:ascii="Arial" w:cs="Arial" w:eastAsia="Arial" w:hAnsi="Arial"/>
          <w:sz w:val="12"/>
          <w:szCs w:val="12"/>
          <w:color w:val="6D6D6D"/>
        </w:rPr>
        <w:t>.</w:t>
      </w:r>
    </w:p>
    <w:p>
      <w:pPr>
        <w:spacing w:after="0" w:line="150" w:lineRule="exact"/>
        <w:rPr>
          <w:sz w:val="20"/>
          <w:szCs w:val="20"/>
          <w:color w:val="auto"/>
        </w:rPr>
      </w:pPr>
    </w:p>
    <w:p>
      <w:pPr>
        <w:ind w:left="61"/>
        <w:spacing w:after="0"/>
        <w:rPr>
          <w:sz w:val="20"/>
          <w:szCs w:val="20"/>
          <w:color w:val="auto"/>
        </w:rPr>
      </w:pPr>
      <w:r>
        <w:rPr>
          <w:rFonts w:ascii="Arial" w:cs="Arial" w:eastAsia="Arial" w:hAnsi="Arial"/>
          <w:sz w:val="12"/>
          <w:szCs w:val="12"/>
          <w:color w:val="444444"/>
        </w:rPr>
        <w:t xml:space="preserve">WHEREA </w:t>
      </w:r>
      <w:r>
        <w:rPr>
          <w:rFonts w:ascii="Arial" w:cs="Arial" w:eastAsia="Arial" w:hAnsi="Arial"/>
          <w:sz w:val="12"/>
          <w:szCs w:val="12"/>
          <w:color w:val="6D6D6D"/>
        </w:rPr>
        <w:t>S,</w:t>
      </w:r>
      <w:r>
        <w:rPr>
          <w:rFonts w:ascii="Arial" w:cs="Arial" w:eastAsia="Arial" w:hAnsi="Arial"/>
          <w:sz w:val="12"/>
          <w:szCs w:val="12"/>
          <w:color w:val="444444"/>
        </w:rPr>
        <w:t xml:space="preserve"> pursuant </w:t>
      </w:r>
      <w:r>
        <w:rPr>
          <w:rFonts w:ascii="Arial" w:cs="Arial" w:eastAsia="Arial" w:hAnsi="Arial"/>
          <w:sz w:val="12"/>
          <w:szCs w:val="12"/>
          <w:color w:val="575757"/>
        </w:rPr>
        <w:t>to</w:t>
      </w:r>
      <w:r>
        <w:rPr>
          <w:rFonts w:ascii="Arial" w:cs="Arial" w:eastAsia="Arial" w:hAnsi="Arial"/>
          <w:sz w:val="12"/>
          <w:szCs w:val="12"/>
          <w:color w:val="444444"/>
        </w:rPr>
        <w:t xml:space="preserve"> the Theater Management </w:t>
      </w:r>
      <w:r>
        <w:rPr>
          <w:rFonts w:ascii="Arial" w:cs="Arial" w:eastAsia="Arial" w:hAnsi="Arial"/>
          <w:sz w:val="12"/>
          <w:szCs w:val="12"/>
          <w:color w:val="575757"/>
        </w:rPr>
        <w:t>Agreement,</w:t>
      </w:r>
      <w:r>
        <w:rPr>
          <w:rFonts w:ascii="Arial" w:cs="Arial" w:eastAsia="Arial" w:hAnsi="Arial"/>
          <w:sz w:val="12"/>
          <w:szCs w:val="12"/>
          <w:color w:val="444444"/>
        </w:rPr>
        <w:t xml:space="preserve"> OBI provides Management Services to theaters </w:t>
      </w:r>
      <w:r>
        <w:rPr>
          <w:rFonts w:ascii="Arial" w:cs="Arial" w:eastAsia="Arial" w:hAnsi="Arial"/>
          <w:sz w:val="12"/>
          <w:szCs w:val="12"/>
          <w:color w:val="575757"/>
        </w:rPr>
        <w:t>owned</w:t>
      </w:r>
      <w:r>
        <w:rPr>
          <w:rFonts w:ascii="Arial" w:cs="Arial" w:eastAsia="Arial" w:hAnsi="Arial"/>
          <w:sz w:val="12"/>
          <w:szCs w:val="12"/>
          <w:color w:val="444444"/>
        </w:rPr>
        <w:t xml:space="preserve"> by LTLLC and its </w:t>
      </w:r>
      <w:r>
        <w:rPr>
          <w:rFonts w:ascii="Arial" w:cs="Arial" w:eastAsia="Arial" w:hAnsi="Arial"/>
          <w:sz w:val="12"/>
          <w:szCs w:val="12"/>
          <w:color w:val="575757"/>
        </w:rPr>
        <w:t>Operating</w:t>
      </w:r>
      <w:r>
        <w:rPr>
          <w:rFonts w:ascii="Arial" w:cs="Arial" w:eastAsia="Arial" w:hAnsi="Arial"/>
          <w:sz w:val="12"/>
          <w:szCs w:val="12"/>
          <w:color w:val="444444"/>
        </w:rPr>
        <w:t xml:space="preserve"> Subsidiaries.</w:t>
      </w:r>
    </w:p>
    <w:p>
      <w:pPr>
        <w:spacing w:after="0" w:line="114" w:lineRule="exact"/>
        <w:rPr>
          <w:sz w:val="20"/>
          <w:szCs w:val="20"/>
          <w:color w:val="auto"/>
        </w:rPr>
      </w:pPr>
    </w:p>
    <w:p>
      <w:pPr>
        <w:ind w:left="61"/>
        <w:spacing w:after="0"/>
        <w:rPr>
          <w:sz w:val="20"/>
          <w:szCs w:val="20"/>
          <w:color w:val="auto"/>
        </w:rPr>
      </w:pPr>
      <w:r>
        <w:rPr>
          <w:rFonts w:ascii="Arial" w:cs="Arial" w:eastAsia="Arial" w:hAnsi="Arial"/>
          <w:sz w:val="12"/>
          <w:szCs w:val="12"/>
          <w:color w:val="444444"/>
        </w:rPr>
        <w:t xml:space="preserve">WHEREAS, </w:t>
      </w:r>
      <w:r>
        <w:rPr>
          <w:rFonts w:ascii="Arial" w:cs="Arial" w:eastAsia="Arial" w:hAnsi="Arial"/>
          <w:sz w:val="12"/>
          <w:szCs w:val="12"/>
          <w:color w:val="6D6D6D"/>
        </w:rPr>
        <w:t>LTLLC</w:t>
      </w:r>
      <w:r>
        <w:rPr>
          <w:rFonts w:ascii="Arial" w:cs="Arial" w:eastAsia="Arial" w:hAnsi="Arial"/>
          <w:sz w:val="12"/>
          <w:szCs w:val="12"/>
          <w:color w:val="444444"/>
        </w:rPr>
        <w:t xml:space="preserve"> and </w:t>
      </w:r>
      <w:r>
        <w:rPr>
          <w:rFonts w:ascii="Arial" w:cs="Arial" w:eastAsia="Arial" w:hAnsi="Arial"/>
          <w:sz w:val="12"/>
          <w:szCs w:val="12"/>
          <w:color w:val="575757"/>
        </w:rPr>
        <w:t>OBI</w:t>
      </w:r>
      <w:r>
        <w:rPr>
          <w:rFonts w:ascii="Arial" w:cs="Arial" w:eastAsia="Arial" w:hAnsi="Arial"/>
          <w:sz w:val="12"/>
          <w:szCs w:val="12"/>
          <w:color w:val="444444"/>
        </w:rPr>
        <w:t xml:space="preserve"> desire to terminate the Theater Management Agreement as of March 10, 2016 </w:t>
      </w:r>
      <w:r>
        <w:rPr>
          <w:rFonts w:ascii="Arial" w:cs="Arial" w:eastAsia="Arial" w:hAnsi="Arial"/>
          <w:sz w:val="12"/>
          <w:szCs w:val="12"/>
          <w:color w:val="575757"/>
        </w:rPr>
        <w:t>("Termination Date</w:t>
      </w:r>
      <w:r>
        <w:rPr>
          <w:rFonts w:ascii="Arial" w:cs="Arial" w:eastAsia="Arial" w:hAnsi="Arial"/>
          <w:sz w:val="12"/>
          <w:szCs w:val="12"/>
          <w:color w:val="6D6D6D"/>
        </w:rPr>
        <w:t>"</w:t>
      </w:r>
      <w:r>
        <w:rPr>
          <w:rFonts w:ascii="Arial" w:cs="Arial" w:eastAsia="Arial" w:hAnsi="Arial"/>
          <w:sz w:val="12"/>
          <w:szCs w:val="12"/>
          <w:color w:val="444444"/>
        </w:rPr>
        <w:t>).</w:t>
      </w:r>
    </w:p>
    <w:p>
      <w:pPr>
        <w:spacing w:after="0" w:line="132" w:lineRule="exact"/>
        <w:rPr>
          <w:sz w:val="20"/>
          <w:szCs w:val="20"/>
          <w:color w:val="auto"/>
        </w:rPr>
      </w:pPr>
    </w:p>
    <w:p>
      <w:pPr>
        <w:ind w:left="41"/>
        <w:spacing w:after="0"/>
        <w:rPr>
          <w:sz w:val="20"/>
          <w:szCs w:val="20"/>
          <w:color w:val="auto"/>
        </w:rPr>
      </w:pPr>
      <w:r>
        <w:rPr>
          <w:rFonts w:ascii="Arial" w:cs="Arial" w:eastAsia="Arial" w:hAnsi="Arial"/>
          <w:sz w:val="12"/>
          <w:szCs w:val="12"/>
          <w:color w:val="444444"/>
        </w:rPr>
        <w:t>WHEREAS</w:t>
      </w:r>
      <w:r>
        <w:rPr>
          <w:rFonts w:ascii="Arial" w:cs="Arial" w:eastAsia="Arial" w:hAnsi="Arial"/>
          <w:sz w:val="12"/>
          <w:szCs w:val="12"/>
          <w:color w:val="6D6D6D"/>
        </w:rPr>
        <w:t>,</w:t>
      </w:r>
      <w:r>
        <w:rPr>
          <w:rFonts w:ascii="Arial" w:cs="Arial" w:eastAsia="Arial" w:hAnsi="Arial"/>
          <w:sz w:val="12"/>
          <w:szCs w:val="12"/>
          <w:color w:val="444444"/>
        </w:rPr>
        <w:t xml:space="preserve"> LTLLC acknowledges </w:t>
      </w:r>
      <w:r>
        <w:rPr>
          <w:rFonts w:ascii="Arial" w:cs="Arial" w:eastAsia="Arial" w:hAnsi="Arial"/>
          <w:sz w:val="12"/>
          <w:szCs w:val="12"/>
          <w:color w:val="575757"/>
        </w:rPr>
        <w:t>and</w:t>
      </w:r>
      <w:r>
        <w:rPr>
          <w:rFonts w:ascii="Arial" w:cs="Arial" w:eastAsia="Arial" w:hAnsi="Arial"/>
          <w:sz w:val="12"/>
          <w:szCs w:val="12"/>
          <w:color w:val="444444"/>
        </w:rPr>
        <w:t xml:space="preserve"> agrees that </w:t>
      </w:r>
      <w:r>
        <w:rPr>
          <w:rFonts w:ascii="Arial" w:cs="Arial" w:eastAsia="Arial" w:hAnsi="Arial"/>
          <w:sz w:val="12"/>
          <w:szCs w:val="12"/>
          <w:color w:val="575757"/>
        </w:rPr>
        <w:t>OBI</w:t>
      </w:r>
      <w:r>
        <w:rPr>
          <w:rFonts w:ascii="Arial" w:cs="Arial" w:eastAsia="Arial" w:hAnsi="Arial"/>
          <w:sz w:val="12"/>
          <w:szCs w:val="12"/>
          <w:color w:val="444444"/>
        </w:rPr>
        <w:t xml:space="preserve"> has fully </w:t>
      </w:r>
      <w:r>
        <w:rPr>
          <w:rFonts w:ascii="Arial" w:cs="Arial" w:eastAsia="Arial" w:hAnsi="Arial"/>
          <w:sz w:val="12"/>
          <w:szCs w:val="12"/>
          <w:color w:val="575757"/>
        </w:rPr>
        <w:t>and</w:t>
      </w:r>
      <w:r>
        <w:rPr>
          <w:rFonts w:ascii="Arial" w:cs="Arial" w:eastAsia="Arial" w:hAnsi="Arial"/>
          <w:sz w:val="12"/>
          <w:szCs w:val="12"/>
          <w:color w:val="444444"/>
        </w:rPr>
        <w:t xml:space="preserve"> </w:t>
      </w:r>
      <w:r>
        <w:rPr>
          <w:rFonts w:ascii="Arial" w:cs="Arial" w:eastAsia="Arial" w:hAnsi="Arial"/>
          <w:sz w:val="12"/>
          <w:szCs w:val="12"/>
          <w:color w:val="6D6D6D"/>
        </w:rPr>
        <w:t>sa</w:t>
      </w:r>
      <w:r>
        <w:rPr>
          <w:rFonts w:ascii="Arial" w:cs="Arial" w:eastAsia="Arial" w:hAnsi="Arial"/>
          <w:sz w:val="12"/>
          <w:szCs w:val="12"/>
          <w:color w:val="444444"/>
        </w:rPr>
        <w:t xml:space="preserve">tisfactorily performed </w:t>
      </w:r>
      <w:r>
        <w:rPr>
          <w:rFonts w:ascii="Arial" w:cs="Arial" w:eastAsia="Arial" w:hAnsi="Arial"/>
          <w:sz w:val="12"/>
          <w:szCs w:val="12"/>
          <w:color w:val="575757"/>
        </w:rPr>
        <w:t>its obligations</w:t>
      </w:r>
      <w:r>
        <w:rPr>
          <w:rFonts w:ascii="Arial" w:cs="Arial" w:eastAsia="Arial" w:hAnsi="Arial"/>
          <w:sz w:val="12"/>
          <w:szCs w:val="12"/>
          <w:color w:val="444444"/>
        </w:rPr>
        <w:t xml:space="preserve"> under </w:t>
      </w:r>
      <w:r>
        <w:rPr>
          <w:rFonts w:ascii="Arial" w:cs="Arial" w:eastAsia="Arial" w:hAnsi="Arial"/>
          <w:sz w:val="12"/>
          <w:szCs w:val="12"/>
          <w:color w:val="575757"/>
        </w:rPr>
        <w:t>and</w:t>
      </w:r>
      <w:r>
        <w:rPr>
          <w:rFonts w:ascii="Arial" w:cs="Arial" w:eastAsia="Arial" w:hAnsi="Arial"/>
          <w:sz w:val="12"/>
          <w:szCs w:val="12"/>
          <w:color w:val="444444"/>
        </w:rPr>
        <w:t xml:space="preserve"> pursuant to the Theater Management Agreement.</w:t>
      </w:r>
    </w:p>
    <w:p>
      <w:pPr>
        <w:spacing w:after="0" w:line="123" w:lineRule="exact"/>
        <w:rPr>
          <w:sz w:val="20"/>
          <w:szCs w:val="20"/>
          <w:color w:val="auto"/>
        </w:rPr>
      </w:pPr>
    </w:p>
    <w:p>
      <w:pPr>
        <w:ind w:left="41" w:right="100"/>
        <w:spacing w:after="0" w:line="234" w:lineRule="auto"/>
        <w:rPr>
          <w:sz w:val="20"/>
          <w:szCs w:val="20"/>
          <w:color w:val="auto"/>
        </w:rPr>
      </w:pPr>
      <w:r>
        <w:rPr>
          <w:rFonts w:ascii="Arial" w:cs="Arial" w:eastAsia="Arial" w:hAnsi="Arial"/>
          <w:sz w:val="12"/>
          <w:szCs w:val="12"/>
          <w:color w:val="444444"/>
        </w:rPr>
        <w:t xml:space="preserve">WHEREAS, </w:t>
      </w:r>
      <w:r>
        <w:rPr>
          <w:rFonts w:ascii="Arial" w:cs="Arial" w:eastAsia="Arial" w:hAnsi="Arial"/>
          <w:sz w:val="12"/>
          <w:szCs w:val="12"/>
          <w:color w:val="575757"/>
        </w:rPr>
        <w:t>OBI acknowledges and</w:t>
      </w:r>
      <w:r>
        <w:rPr>
          <w:rFonts w:ascii="Arial" w:cs="Arial" w:eastAsia="Arial" w:hAnsi="Arial"/>
          <w:sz w:val="12"/>
          <w:szCs w:val="12"/>
          <w:color w:val="444444"/>
        </w:rPr>
        <w:t xml:space="preserve"> agrees that </w:t>
      </w:r>
      <w:r>
        <w:rPr>
          <w:rFonts w:ascii="Arial" w:cs="Arial" w:eastAsia="Arial" w:hAnsi="Arial"/>
          <w:sz w:val="12"/>
          <w:szCs w:val="12"/>
          <w:color w:val="575757"/>
        </w:rPr>
        <w:t>other</w:t>
      </w:r>
      <w:r>
        <w:rPr>
          <w:rFonts w:ascii="Arial" w:cs="Arial" w:eastAsia="Arial" w:hAnsi="Arial"/>
          <w:sz w:val="12"/>
          <w:szCs w:val="12"/>
          <w:color w:val="444444"/>
        </w:rPr>
        <w:t xml:space="preserve"> than the Final Payment (defined hereafter) LTLLC has fully </w:t>
      </w:r>
      <w:r>
        <w:rPr>
          <w:rFonts w:ascii="Arial" w:cs="Arial" w:eastAsia="Arial" w:hAnsi="Arial"/>
          <w:sz w:val="12"/>
          <w:szCs w:val="12"/>
          <w:color w:val="575757"/>
        </w:rPr>
        <w:t>and satisfactorily</w:t>
      </w:r>
      <w:r>
        <w:rPr>
          <w:rFonts w:ascii="Arial" w:cs="Arial" w:eastAsia="Arial" w:hAnsi="Arial"/>
          <w:sz w:val="12"/>
          <w:szCs w:val="12"/>
          <w:color w:val="444444"/>
        </w:rPr>
        <w:t xml:space="preserve"> performed its </w:t>
      </w:r>
      <w:r>
        <w:rPr>
          <w:rFonts w:ascii="Arial" w:cs="Arial" w:eastAsia="Arial" w:hAnsi="Arial"/>
          <w:sz w:val="12"/>
          <w:szCs w:val="12"/>
          <w:color w:val="575757"/>
        </w:rPr>
        <w:t>obligations</w:t>
      </w:r>
      <w:r>
        <w:rPr>
          <w:rFonts w:ascii="Arial" w:cs="Arial" w:eastAsia="Arial" w:hAnsi="Arial"/>
          <w:sz w:val="12"/>
          <w:szCs w:val="12"/>
          <w:color w:val="444444"/>
        </w:rPr>
        <w:t xml:space="preserve"> under and pursuant to the Theater Management </w:t>
      </w:r>
      <w:r>
        <w:rPr>
          <w:rFonts w:ascii="Arial" w:cs="Arial" w:eastAsia="Arial" w:hAnsi="Arial"/>
          <w:sz w:val="12"/>
          <w:szCs w:val="12"/>
          <w:color w:val="575757"/>
        </w:rPr>
        <w:t>Agreement.</w:t>
      </w:r>
    </w:p>
    <w:p>
      <w:pPr>
        <w:spacing w:after="0" w:line="127" w:lineRule="exact"/>
        <w:rPr>
          <w:sz w:val="20"/>
          <w:szCs w:val="20"/>
          <w:color w:val="auto"/>
        </w:rPr>
      </w:pPr>
    </w:p>
    <w:p>
      <w:pPr>
        <w:ind w:left="21"/>
        <w:spacing w:after="0"/>
        <w:rPr>
          <w:sz w:val="20"/>
          <w:szCs w:val="20"/>
          <w:color w:val="auto"/>
        </w:rPr>
      </w:pPr>
      <w:r>
        <w:rPr>
          <w:rFonts w:ascii="Arial" w:cs="Arial" w:eastAsia="Arial" w:hAnsi="Arial"/>
          <w:sz w:val="12"/>
          <w:szCs w:val="12"/>
          <w:color w:val="444444"/>
        </w:rPr>
        <w:t xml:space="preserve">NOW, </w:t>
      </w:r>
      <w:r>
        <w:rPr>
          <w:rFonts w:ascii="Arial" w:cs="Arial" w:eastAsia="Arial" w:hAnsi="Arial"/>
          <w:sz w:val="12"/>
          <w:szCs w:val="12"/>
          <w:color w:val="575757"/>
        </w:rPr>
        <w:t>THEREFORE,</w:t>
      </w:r>
      <w:r>
        <w:rPr>
          <w:rFonts w:ascii="Arial" w:cs="Arial" w:eastAsia="Arial" w:hAnsi="Arial"/>
          <w:sz w:val="12"/>
          <w:szCs w:val="12"/>
          <w:color w:val="444444"/>
        </w:rPr>
        <w:t xml:space="preserve"> in </w:t>
      </w:r>
      <w:r>
        <w:rPr>
          <w:rFonts w:ascii="Arial" w:cs="Arial" w:eastAsia="Arial" w:hAnsi="Arial"/>
          <w:sz w:val="12"/>
          <w:szCs w:val="12"/>
          <w:color w:val="575757"/>
        </w:rPr>
        <w:t>consideration of the</w:t>
      </w:r>
      <w:r>
        <w:rPr>
          <w:rFonts w:ascii="Arial" w:cs="Arial" w:eastAsia="Arial" w:hAnsi="Arial"/>
          <w:sz w:val="12"/>
          <w:szCs w:val="12"/>
          <w:color w:val="444444"/>
        </w:rPr>
        <w:t xml:space="preserve"> mutual promise</w:t>
      </w:r>
      <w:r>
        <w:rPr>
          <w:rFonts w:ascii="Arial" w:cs="Arial" w:eastAsia="Arial" w:hAnsi="Arial"/>
          <w:sz w:val="12"/>
          <w:szCs w:val="12"/>
          <w:color w:val="6D6D6D"/>
        </w:rPr>
        <w:t>s</w:t>
      </w:r>
      <w:r>
        <w:rPr>
          <w:rFonts w:ascii="Arial" w:cs="Arial" w:eastAsia="Arial" w:hAnsi="Arial"/>
          <w:sz w:val="12"/>
          <w:szCs w:val="12"/>
          <w:color w:val="444444"/>
        </w:rPr>
        <w:t xml:space="preserve"> </w:t>
      </w:r>
      <w:r>
        <w:rPr>
          <w:rFonts w:ascii="Arial" w:cs="Arial" w:eastAsia="Arial" w:hAnsi="Arial"/>
          <w:sz w:val="12"/>
          <w:szCs w:val="12"/>
          <w:color w:val="575757"/>
        </w:rPr>
        <w:t>and covenants contained herein,</w:t>
      </w:r>
    </w:p>
    <w:p>
      <w:pPr>
        <w:spacing w:after="0" w:line="15" w:lineRule="exact"/>
        <w:rPr>
          <w:sz w:val="20"/>
          <w:szCs w:val="20"/>
          <w:color w:val="auto"/>
        </w:rPr>
      </w:pPr>
    </w:p>
    <w:p>
      <w:pPr>
        <w:ind w:left="41"/>
        <w:spacing w:after="0"/>
        <w:rPr>
          <w:sz w:val="20"/>
          <w:szCs w:val="20"/>
          <w:color w:val="auto"/>
        </w:rPr>
      </w:pPr>
      <w:r>
        <w:rPr>
          <w:rFonts w:ascii="Arial" w:cs="Arial" w:eastAsia="Arial" w:hAnsi="Arial"/>
          <w:sz w:val="12"/>
          <w:szCs w:val="12"/>
          <w:color w:val="444444"/>
        </w:rPr>
        <w:t xml:space="preserve">The parties hereto </w:t>
      </w:r>
      <w:r>
        <w:rPr>
          <w:rFonts w:ascii="Arial" w:cs="Arial" w:eastAsia="Arial" w:hAnsi="Arial"/>
          <w:sz w:val="12"/>
          <w:szCs w:val="12"/>
          <w:color w:val="575757"/>
        </w:rPr>
        <w:t>agree</w:t>
      </w:r>
      <w:r>
        <w:rPr>
          <w:rFonts w:ascii="Arial" w:cs="Arial" w:eastAsia="Arial" w:hAnsi="Arial"/>
          <w:sz w:val="12"/>
          <w:szCs w:val="12"/>
          <w:color w:val="444444"/>
        </w:rPr>
        <w:t xml:space="preserve"> as follows:</w:t>
      </w:r>
    </w:p>
    <w:p>
      <w:pPr>
        <w:spacing w:after="0" w:line="141" w:lineRule="exact"/>
        <w:rPr>
          <w:sz w:val="20"/>
          <w:szCs w:val="20"/>
          <w:color w:val="auto"/>
        </w:rPr>
      </w:pPr>
    </w:p>
    <w:p>
      <w:pPr>
        <w:jc w:val="both"/>
        <w:ind w:left="21" w:right="100" w:firstLine="2"/>
        <w:spacing w:after="0" w:line="214" w:lineRule="auto"/>
        <w:tabs>
          <w:tab w:leader="none" w:pos="180" w:val="left"/>
        </w:tabs>
        <w:numPr>
          <w:ilvl w:val="1"/>
          <w:numId w:val="199"/>
        </w:numPr>
        <w:rPr>
          <w:rFonts w:ascii="Arial" w:cs="Arial" w:eastAsia="Arial" w:hAnsi="Arial"/>
          <w:sz w:val="12"/>
          <w:szCs w:val="12"/>
          <w:color w:val="444444"/>
        </w:rPr>
      </w:pPr>
      <w:r>
        <w:rPr>
          <w:rFonts w:ascii="Arial" w:cs="Arial" w:eastAsia="Arial" w:hAnsi="Arial"/>
          <w:sz w:val="12"/>
          <w:szCs w:val="12"/>
          <w:color w:val="575757"/>
        </w:rPr>
        <w:t xml:space="preserve">Effective as of </w:t>
      </w:r>
      <w:r>
        <w:rPr>
          <w:rFonts w:ascii="Arial" w:cs="Arial" w:eastAsia="Arial" w:hAnsi="Arial"/>
          <w:sz w:val="12"/>
          <w:szCs w:val="12"/>
          <w:color w:val="444444"/>
        </w:rPr>
        <w:t>the</w:t>
      </w:r>
      <w:r>
        <w:rPr>
          <w:rFonts w:ascii="Arial" w:cs="Arial" w:eastAsia="Arial" w:hAnsi="Arial"/>
          <w:sz w:val="12"/>
          <w:szCs w:val="12"/>
          <w:color w:val="575757"/>
        </w:rPr>
        <w:t xml:space="preserve"> Termination </w:t>
      </w:r>
      <w:r>
        <w:rPr>
          <w:rFonts w:ascii="Arial" w:cs="Arial" w:eastAsia="Arial" w:hAnsi="Arial"/>
          <w:sz w:val="12"/>
          <w:szCs w:val="12"/>
          <w:color w:val="444444"/>
        </w:rPr>
        <w:t>Date</w:t>
      </w:r>
      <w:r>
        <w:rPr>
          <w:rFonts w:ascii="Arial" w:cs="Arial" w:eastAsia="Arial" w:hAnsi="Arial"/>
          <w:sz w:val="12"/>
          <w:szCs w:val="12"/>
          <w:color w:val="6D6D6D"/>
        </w:rPr>
        <w:t>,</w:t>
      </w:r>
      <w:r>
        <w:rPr>
          <w:rFonts w:ascii="Arial" w:cs="Arial" w:eastAsia="Arial" w:hAnsi="Arial"/>
          <w:sz w:val="12"/>
          <w:szCs w:val="12"/>
          <w:color w:val="575757"/>
        </w:rPr>
        <w:t xml:space="preserve"> </w:t>
      </w:r>
      <w:r>
        <w:rPr>
          <w:rFonts w:ascii="Arial" w:cs="Arial" w:eastAsia="Arial" w:hAnsi="Arial"/>
          <w:sz w:val="12"/>
          <w:szCs w:val="12"/>
          <w:color w:val="444444"/>
        </w:rPr>
        <w:t>the Theater Management</w:t>
      </w:r>
      <w:r>
        <w:rPr>
          <w:rFonts w:ascii="Arial" w:cs="Arial" w:eastAsia="Arial" w:hAnsi="Arial"/>
          <w:sz w:val="12"/>
          <w:szCs w:val="12"/>
          <w:color w:val="575757"/>
        </w:rPr>
        <w:t xml:space="preserve"> Agreement is </w:t>
      </w:r>
      <w:r>
        <w:rPr>
          <w:rFonts w:ascii="Arial" w:cs="Arial" w:eastAsia="Arial" w:hAnsi="Arial"/>
          <w:sz w:val="12"/>
          <w:szCs w:val="12"/>
          <w:color w:val="444444"/>
        </w:rPr>
        <w:t>hereby terminated.</w:t>
      </w:r>
      <w:r>
        <w:rPr>
          <w:rFonts w:ascii="Arial" w:cs="Arial" w:eastAsia="Arial" w:hAnsi="Arial"/>
          <w:sz w:val="12"/>
          <w:szCs w:val="12"/>
          <w:color w:val="575757"/>
        </w:rPr>
        <w:t xml:space="preserve"> On and after </w:t>
      </w:r>
      <w:r>
        <w:rPr>
          <w:rFonts w:ascii="Arial" w:cs="Arial" w:eastAsia="Arial" w:hAnsi="Arial"/>
          <w:sz w:val="12"/>
          <w:szCs w:val="12"/>
          <w:color w:val="444444"/>
        </w:rPr>
        <w:t>the Termination Date</w:t>
      </w:r>
      <w:r>
        <w:rPr>
          <w:rFonts w:ascii="Arial" w:cs="Arial" w:eastAsia="Arial" w:hAnsi="Arial"/>
          <w:sz w:val="12"/>
          <w:szCs w:val="12"/>
          <w:color w:val="6D6D6D"/>
        </w:rPr>
        <w:t>,</w:t>
      </w:r>
      <w:r>
        <w:rPr>
          <w:rFonts w:ascii="Arial" w:cs="Arial" w:eastAsia="Arial" w:hAnsi="Arial"/>
          <w:sz w:val="12"/>
          <w:szCs w:val="12"/>
          <w:color w:val="575757"/>
        </w:rPr>
        <w:t xml:space="preserve"> </w:t>
      </w:r>
      <w:r>
        <w:rPr>
          <w:rFonts w:ascii="Arial" w:cs="Arial" w:eastAsia="Arial" w:hAnsi="Arial"/>
          <w:sz w:val="12"/>
          <w:szCs w:val="12"/>
          <w:color w:val="444444"/>
        </w:rPr>
        <w:t>LTLLC</w:t>
      </w:r>
      <w:r>
        <w:rPr>
          <w:rFonts w:ascii="Arial" w:cs="Arial" w:eastAsia="Arial" w:hAnsi="Arial"/>
          <w:sz w:val="12"/>
          <w:szCs w:val="12"/>
          <w:color w:val="575757"/>
        </w:rPr>
        <w:t xml:space="preserve"> shall </w:t>
      </w:r>
      <w:r>
        <w:rPr>
          <w:rFonts w:ascii="Arial" w:cs="Arial" w:eastAsia="Arial" w:hAnsi="Arial"/>
          <w:sz w:val="12"/>
          <w:szCs w:val="12"/>
          <w:color w:val="444444"/>
        </w:rPr>
        <w:t>have no further</w:t>
      </w:r>
      <w:r>
        <w:rPr>
          <w:rFonts w:ascii="Arial" w:cs="Arial" w:eastAsia="Arial" w:hAnsi="Arial"/>
          <w:sz w:val="12"/>
          <w:szCs w:val="12"/>
          <w:color w:val="575757"/>
        </w:rPr>
        <w:t xml:space="preserve"> obligations </w:t>
      </w:r>
      <w:r>
        <w:rPr>
          <w:rFonts w:ascii="Arial" w:cs="Arial" w:eastAsia="Arial" w:hAnsi="Arial"/>
          <w:sz w:val="12"/>
          <w:szCs w:val="12"/>
          <w:color w:val="444444"/>
        </w:rPr>
        <w:t>to</w:t>
      </w:r>
      <w:r>
        <w:rPr>
          <w:rFonts w:ascii="Arial" w:cs="Arial" w:eastAsia="Arial" w:hAnsi="Arial"/>
          <w:sz w:val="12"/>
          <w:szCs w:val="12"/>
          <w:color w:val="575757"/>
        </w:rPr>
        <w:t xml:space="preserve"> OBI </w:t>
      </w:r>
      <w:r>
        <w:rPr>
          <w:rFonts w:ascii="Arial" w:cs="Arial" w:eastAsia="Arial" w:hAnsi="Arial"/>
          <w:sz w:val="12"/>
          <w:szCs w:val="12"/>
          <w:color w:val="444444"/>
        </w:rPr>
        <w:t>under the</w:t>
      </w:r>
      <w:r>
        <w:rPr>
          <w:rFonts w:ascii="Arial" w:cs="Arial" w:eastAsia="Arial" w:hAnsi="Arial"/>
          <w:sz w:val="12"/>
          <w:szCs w:val="12"/>
          <w:color w:val="575757"/>
        </w:rPr>
        <w:t xml:space="preserve"> </w:t>
      </w:r>
      <w:r>
        <w:rPr>
          <w:rFonts w:ascii="Arial" w:cs="Arial" w:eastAsia="Arial" w:hAnsi="Arial"/>
          <w:sz w:val="12"/>
          <w:szCs w:val="12"/>
          <w:color w:val="444444"/>
        </w:rPr>
        <w:t xml:space="preserve">Theater Management Agreement </w:t>
      </w:r>
      <w:r>
        <w:rPr>
          <w:rFonts w:ascii="Arial" w:cs="Arial" w:eastAsia="Arial" w:hAnsi="Arial"/>
          <w:sz w:val="12"/>
          <w:szCs w:val="12"/>
          <w:color w:val="575757"/>
        </w:rPr>
        <w:t>other</w:t>
      </w:r>
      <w:r>
        <w:rPr>
          <w:rFonts w:ascii="Arial" w:cs="Arial" w:eastAsia="Arial" w:hAnsi="Arial"/>
          <w:sz w:val="12"/>
          <w:szCs w:val="12"/>
          <w:color w:val="444444"/>
        </w:rPr>
        <w:t xml:space="preserve"> than its indemnity </w:t>
      </w:r>
      <w:r>
        <w:rPr>
          <w:rFonts w:ascii="Arial" w:cs="Arial" w:eastAsia="Arial" w:hAnsi="Arial"/>
          <w:sz w:val="12"/>
          <w:szCs w:val="12"/>
          <w:color w:val="575757"/>
        </w:rPr>
        <w:t>obligations set</w:t>
      </w:r>
      <w:r>
        <w:rPr>
          <w:rFonts w:ascii="Arial" w:cs="Arial" w:eastAsia="Arial" w:hAnsi="Arial"/>
          <w:sz w:val="12"/>
          <w:szCs w:val="12"/>
          <w:color w:val="444444"/>
        </w:rPr>
        <w:t xml:space="preserve"> forth in Section 5.1 </w:t>
      </w:r>
      <w:r>
        <w:rPr>
          <w:rFonts w:ascii="Arial" w:cs="Arial" w:eastAsia="Arial" w:hAnsi="Arial"/>
          <w:sz w:val="12"/>
          <w:szCs w:val="12"/>
          <w:color w:val="575757"/>
        </w:rPr>
        <w:t>of</w:t>
      </w:r>
      <w:r>
        <w:rPr>
          <w:rFonts w:ascii="Arial" w:cs="Arial" w:eastAsia="Arial" w:hAnsi="Arial"/>
          <w:sz w:val="12"/>
          <w:szCs w:val="12"/>
          <w:color w:val="444444"/>
        </w:rPr>
        <w:t xml:space="preserve"> the Theater Mana</w:t>
      </w:r>
      <w:r>
        <w:rPr>
          <w:rFonts w:ascii="Arial" w:cs="Arial" w:eastAsia="Arial" w:hAnsi="Arial"/>
          <w:sz w:val="12"/>
          <w:szCs w:val="12"/>
          <w:color w:val="6D6D6D"/>
        </w:rPr>
        <w:t>ge</w:t>
      </w:r>
      <w:r>
        <w:rPr>
          <w:rFonts w:ascii="Arial" w:cs="Arial" w:eastAsia="Arial" w:hAnsi="Arial"/>
          <w:sz w:val="12"/>
          <w:szCs w:val="12"/>
          <w:color w:val="444444"/>
        </w:rPr>
        <w:t xml:space="preserve">ment </w:t>
      </w:r>
      <w:r>
        <w:rPr>
          <w:rFonts w:ascii="Arial" w:cs="Arial" w:eastAsia="Arial" w:hAnsi="Arial"/>
          <w:sz w:val="12"/>
          <w:szCs w:val="12"/>
          <w:color w:val="575757"/>
        </w:rPr>
        <w:t>Agreement, and</w:t>
      </w:r>
      <w:r>
        <w:rPr>
          <w:rFonts w:ascii="Arial" w:cs="Arial" w:eastAsia="Arial" w:hAnsi="Arial"/>
          <w:sz w:val="12"/>
          <w:szCs w:val="12"/>
          <w:color w:val="444444"/>
        </w:rPr>
        <w:t xml:space="preserve"> OBI </w:t>
      </w:r>
      <w:r>
        <w:rPr>
          <w:rFonts w:ascii="Arial" w:cs="Arial" w:eastAsia="Arial" w:hAnsi="Arial"/>
          <w:sz w:val="12"/>
          <w:szCs w:val="12"/>
          <w:color w:val="575757"/>
        </w:rPr>
        <w:t>shall</w:t>
      </w:r>
      <w:r>
        <w:rPr>
          <w:rFonts w:ascii="Arial" w:cs="Arial" w:eastAsia="Arial" w:hAnsi="Arial"/>
          <w:sz w:val="12"/>
          <w:szCs w:val="12"/>
          <w:color w:val="444444"/>
        </w:rPr>
        <w:t xml:space="preserve"> have no further obligation</w:t>
      </w:r>
      <w:r>
        <w:rPr>
          <w:rFonts w:ascii="Arial" w:cs="Arial" w:eastAsia="Arial" w:hAnsi="Arial"/>
          <w:sz w:val="12"/>
          <w:szCs w:val="12"/>
          <w:color w:val="6D6D6D"/>
        </w:rPr>
        <w:t>s</w:t>
      </w:r>
      <w:r>
        <w:rPr>
          <w:rFonts w:ascii="Arial" w:cs="Arial" w:eastAsia="Arial" w:hAnsi="Arial"/>
          <w:sz w:val="12"/>
          <w:szCs w:val="12"/>
          <w:color w:val="444444"/>
        </w:rPr>
        <w:t xml:space="preserve"> to LTLLC under the </w:t>
      </w:r>
      <w:r>
        <w:rPr>
          <w:rFonts w:ascii="Arial" w:cs="Arial" w:eastAsia="Arial" w:hAnsi="Arial"/>
          <w:sz w:val="12"/>
          <w:szCs w:val="12"/>
          <w:color w:val="575757"/>
        </w:rPr>
        <w:t xml:space="preserve">Theater </w:t>
      </w:r>
      <w:r>
        <w:rPr>
          <w:rFonts w:ascii="Arial" w:cs="Arial" w:eastAsia="Arial" w:hAnsi="Arial"/>
          <w:sz w:val="12"/>
          <w:szCs w:val="12"/>
          <w:color w:val="444444"/>
        </w:rPr>
        <w:t>Management</w:t>
      </w:r>
      <w:r>
        <w:rPr>
          <w:rFonts w:ascii="Arial" w:cs="Arial" w:eastAsia="Arial" w:hAnsi="Arial"/>
          <w:sz w:val="12"/>
          <w:szCs w:val="12"/>
          <w:color w:val="575757"/>
        </w:rPr>
        <w:t xml:space="preserve"> Agreement. </w:t>
      </w:r>
      <w:r>
        <w:rPr>
          <w:rFonts w:ascii="Arial" w:cs="Arial" w:eastAsia="Arial" w:hAnsi="Arial"/>
          <w:sz w:val="12"/>
          <w:szCs w:val="12"/>
          <w:color w:val="444444"/>
        </w:rPr>
        <w:t>Any and</w:t>
      </w:r>
      <w:r>
        <w:rPr>
          <w:rFonts w:ascii="Arial" w:cs="Arial" w:eastAsia="Arial" w:hAnsi="Arial"/>
          <w:sz w:val="12"/>
          <w:szCs w:val="12"/>
          <w:color w:val="575757"/>
        </w:rPr>
        <w:t xml:space="preserve"> all amounts owed by </w:t>
      </w:r>
      <w:r>
        <w:rPr>
          <w:rFonts w:ascii="Arial" w:cs="Arial" w:eastAsia="Arial" w:hAnsi="Arial"/>
          <w:sz w:val="12"/>
          <w:szCs w:val="12"/>
          <w:color w:val="444444"/>
        </w:rPr>
        <w:t>L</w:t>
      </w:r>
      <w:r>
        <w:rPr>
          <w:rFonts w:ascii="Arial" w:cs="Arial" w:eastAsia="Arial" w:hAnsi="Arial"/>
          <w:sz w:val="12"/>
          <w:szCs w:val="12"/>
          <w:color w:val="575757"/>
        </w:rPr>
        <w:t xml:space="preserve">TLLC to OBI for </w:t>
      </w:r>
      <w:r>
        <w:rPr>
          <w:rFonts w:ascii="Arial" w:cs="Arial" w:eastAsia="Arial" w:hAnsi="Arial"/>
          <w:sz w:val="12"/>
          <w:szCs w:val="12"/>
          <w:color w:val="444444"/>
        </w:rPr>
        <w:t>Management Services performed by OBI</w:t>
      </w:r>
      <w:r>
        <w:rPr>
          <w:rFonts w:ascii="Arial" w:cs="Arial" w:eastAsia="Arial" w:hAnsi="Arial"/>
          <w:sz w:val="12"/>
          <w:szCs w:val="12"/>
          <w:color w:val="575757"/>
        </w:rPr>
        <w:t xml:space="preserve"> on </w:t>
      </w:r>
      <w:r>
        <w:rPr>
          <w:rFonts w:ascii="Arial" w:cs="Arial" w:eastAsia="Arial" w:hAnsi="Arial"/>
          <w:sz w:val="12"/>
          <w:szCs w:val="12"/>
          <w:color w:val="444444"/>
        </w:rPr>
        <w:t>or prior to the Termination Date</w:t>
      </w:r>
      <w:r>
        <w:rPr>
          <w:rFonts w:ascii="Arial" w:cs="Arial" w:eastAsia="Arial" w:hAnsi="Arial"/>
          <w:sz w:val="12"/>
          <w:szCs w:val="12"/>
          <w:color w:val="858585"/>
        </w:rPr>
        <w:t>,</w:t>
      </w:r>
      <w:r>
        <w:rPr>
          <w:rFonts w:ascii="Arial" w:cs="Arial" w:eastAsia="Arial" w:hAnsi="Arial"/>
          <w:sz w:val="12"/>
          <w:szCs w:val="12"/>
          <w:color w:val="575757"/>
        </w:rPr>
        <w:t xml:space="preserve"> </w:t>
      </w:r>
      <w:r>
        <w:rPr>
          <w:rFonts w:ascii="Arial" w:cs="Arial" w:eastAsia="Arial" w:hAnsi="Arial"/>
          <w:sz w:val="12"/>
          <w:szCs w:val="12"/>
          <w:color w:val="444444"/>
        </w:rPr>
        <w:t>including</w:t>
      </w:r>
      <w:r>
        <w:rPr>
          <w:rFonts w:ascii="Arial" w:cs="Arial" w:eastAsia="Arial" w:hAnsi="Arial"/>
          <w:sz w:val="12"/>
          <w:szCs w:val="12"/>
          <w:color w:val="6D6D6D"/>
        </w:rPr>
        <w:t>,</w:t>
      </w:r>
      <w:r>
        <w:rPr>
          <w:rFonts w:ascii="Arial" w:cs="Arial" w:eastAsia="Arial" w:hAnsi="Arial"/>
          <w:sz w:val="12"/>
          <w:szCs w:val="12"/>
          <w:color w:val="575757"/>
        </w:rPr>
        <w:t xml:space="preserve"> </w:t>
      </w:r>
      <w:r>
        <w:rPr>
          <w:rFonts w:ascii="Arial" w:cs="Arial" w:eastAsia="Arial" w:hAnsi="Arial"/>
          <w:sz w:val="12"/>
          <w:szCs w:val="12"/>
          <w:color w:val="444444"/>
        </w:rPr>
        <w:t>but not limited to</w:t>
      </w:r>
      <w:r>
        <w:rPr>
          <w:rFonts w:ascii="Arial" w:cs="Arial" w:eastAsia="Arial" w:hAnsi="Arial"/>
          <w:sz w:val="12"/>
          <w:szCs w:val="12"/>
          <w:color w:val="6D6D6D"/>
        </w:rPr>
        <w:t>,</w:t>
      </w:r>
      <w:r>
        <w:rPr>
          <w:rFonts w:ascii="Arial" w:cs="Arial" w:eastAsia="Arial" w:hAnsi="Arial"/>
          <w:sz w:val="12"/>
          <w:szCs w:val="12"/>
          <w:color w:val="575757"/>
        </w:rPr>
        <w:t xml:space="preserve"> compensation </w:t>
      </w:r>
      <w:r>
        <w:rPr>
          <w:rFonts w:ascii="Arial" w:cs="Arial" w:eastAsia="Arial" w:hAnsi="Arial"/>
          <w:sz w:val="12"/>
          <w:szCs w:val="12"/>
          <w:color w:val="444444"/>
        </w:rPr>
        <w:t>payable to OBI for</w:t>
      </w:r>
      <w:r>
        <w:rPr>
          <w:rFonts w:ascii="Arial" w:cs="Arial" w:eastAsia="Arial" w:hAnsi="Arial"/>
          <w:sz w:val="12"/>
          <w:szCs w:val="12"/>
          <w:color w:val="575757"/>
        </w:rPr>
        <w:t xml:space="preserve"> 20 </w:t>
      </w:r>
      <w:r>
        <w:rPr>
          <w:rFonts w:ascii="Arial" w:cs="Arial" w:eastAsia="Arial" w:hAnsi="Arial"/>
          <w:sz w:val="12"/>
          <w:szCs w:val="12"/>
          <w:color w:val="444444"/>
        </w:rPr>
        <w:t>15 and incentive</w:t>
      </w:r>
      <w:r>
        <w:rPr>
          <w:rFonts w:ascii="Arial" w:cs="Arial" w:eastAsia="Arial" w:hAnsi="Arial"/>
          <w:sz w:val="12"/>
          <w:szCs w:val="12"/>
          <w:color w:val="575757"/>
        </w:rPr>
        <w:t xml:space="preserve"> compensation for </w:t>
      </w:r>
      <w:r>
        <w:rPr>
          <w:rFonts w:ascii="Arial" w:cs="Arial" w:eastAsia="Arial" w:hAnsi="Arial"/>
          <w:sz w:val="12"/>
          <w:szCs w:val="12"/>
          <w:color w:val="444444"/>
        </w:rPr>
        <w:t>the period between January 1</w:t>
      </w:r>
      <w:r>
        <w:rPr>
          <w:rFonts w:ascii="Arial" w:cs="Arial" w:eastAsia="Arial" w:hAnsi="Arial"/>
          <w:sz w:val="12"/>
          <w:szCs w:val="12"/>
          <w:color w:val="575757"/>
        </w:rPr>
        <w:t xml:space="preserve"> </w:t>
      </w:r>
      <w:r>
        <w:rPr>
          <w:rFonts w:ascii="Arial" w:cs="Arial" w:eastAsia="Arial" w:hAnsi="Arial"/>
          <w:sz w:val="12"/>
          <w:szCs w:val="12"/>
          <w:color w:val="6D6D6D"/>
        </w:rPr>
        <w:t>,</w:t>
      </w:r>
      <w:r>
        <w:rPr>
          <w:rFonts w:ascii="Arial" w:cs="Arial" w:eastAsia="Arial" w:hAnsi="Arial"/>
          <w:sz w:val="12"/>
          <w:szCs w:val="12"/>
          <w:color w:val="575757"/>
        </w:rPr>
        <w:t xml:space="preserve"> 2016 and </w:t>
      </w:r>
      <w:r>
        <w:rPr>
          <w:rFonts w:ascii="Arial" w:cs="Arial" w:eastAsia="Arial" w:hAnsi="Arial"/>
          <w:sz w:val="12"/>
          <w:szCs w:val="12"/>
          <w:color w:val="444444"/>
        </w:rPr>
        <w:t>the</w:t>
      </w:r>
      <w:r>
        <w:rPr>
          <w:rFonts w:ascii="Arial" w:cs="Arial" w:eastAsia="Arial" w:hAnsi="Arial"/>
          <w:sz w:val="12"/>
          <w:szCs w:val="12"/>
          <w:color w:val="575757"/>
        </w:rPr>
        <w:t xml:space="preserve"> Termination </w:t>
      </w:r>
      <w:r>
        <w:rPr>
          <w:rFonts w:ascii="Arial" w:cs="Arial" w:eastAsia="Arial" w:hAnsi="Arial"/>
          <w:sz w:val="12"/>
          <w:szCs w:val="12"/>
          <w:color w:val="444444"/>
        </w:rPr>
        <w:t>Date</w:t>
      </w:r>
      <w:r>
        <w:rPr>
          <w:rFonts w:ascii="Arial" w:cs="Arial" w:eastAsia="Arial" w:hAnsi="Arial"/>
          <w:sz w:val="12"/>
          <w:szCs w:val="12"/>
          <w:color w:val="575757"/>
        </w:rPr>
        <w:t xml:space="preserve"> (collectively, </w:t>
      </w:r>
      <w:r>
        <w:rPr>
          <w:rFonts w:ascii="Arial" w:cs="Arial" w:eastAsia="Arial" w:hAnsi="Arial"/>
          <w:sz w:val="12"/>
          <w:szCs w:val="12"/>
          <w:color w:val="444444"/>
        </w:rPr>
        <w:t>the</w:t>
      </w:r>
      <w:r>
        <w:rPr>
          <w:rFonts w:ascii="Arial" w:cs="Arial" w:eastAsia="Arial" w:hAnsi="Arial"/>
          <w:sz w:val="12"/>
          <w:szCs w:val="12"/>
          <w:color w:val="575757"/>
        </w:rPr>
        <w:t xml:space="preserve"> </w:t>
      </w:r>
      <w:r>
        <w:rPr>
          <w:rFonts w:ascii="Arial" w:cs="Arial" w:eastAsia="Arial" w:hAnsi="Arial"/>
          <w:sz w:val="12"/>
          <w:szCs w:val="12"/>
          <w:color w:val="6D6D6D"/>
        </w:rPr>
        <w:t>"</w:t>
      </w:r>
      <w:r>
        <w:rPr>
          <w:rFonts w:ascii="Arial" w:cs="Arial" w:eastAsia="Arial" w:hAnsi="Arial"/>
          <w:sz w:val="12"/>
          <w:szCs w:val="12"/>
          <w:u w:val="single" w:color="auto"/>
          <w:color w:val="6D6D6D"/>
        </w:rPr>
        <w:t>Fi</w:t>
      </w:r>
      <w:r>
        <w:rPr>
          <w:rFonts w:ascii="Arial" w:cs="Arial" w:eastAsia="Arial" w:hAnsi="Arial"/>
          <w:sz w:val="12"/>
          <w:szCs w:val="12"/>
          <w:u w:val="single" w:color="auto"/>
          <w:color w:val="444444"/>
        </w:rPr>
        <w:t>nal Payment</w:t>
      </w:r>
      <w:r>
        <w:rPr>
          <w:rFonts w:ascii="Arial" w:cs="Arial" w:eastAsia="Arial" w:hAnsi="Arial"/>
          <w:sz w:val="12"/>
          <w:szCs w:val="12"/>
          <w:color w:val="6D6D6D"/>
        </w:rPr>
        <w:t>")</w:t>
      </w:r>
      <w:r>
        <w:rPr>
          <w:rFonts w:ascii="Arial" w:cs="Arial" w:eastAsia="Arial" w:hAnsi="Arial"/>
          <w:sz w:val="12"/>
          <w:szCs w:val="12"/>
          <w:color w:val="575757"/>
        </w:rPr>
        <w:t xml:space="preserve"> </w:t>
      </w:r>
      <w:r>
        <w:rPr>
          <w:rFonts w:ascii="Arial" w:cs="Arial" w:eastAsia="Arial" w:hAnsi="Arial"/>
          <w:sz w:val="12"/>
          <w:szCs w:val="12"/>
          <w:color w:val="444444"/>
        </w:rPr>
        <w:t>under the Theater</w:t>
      </w:r>
      <w:r>
        <w:rPr>
          <w:rFonts w:ascii="Arial" w:cs="Arial" w:eastAsia="Arial" w:hAnsi="Arial"/>
          <w:sz w:val="12"/>
          <w:szCs w:val="12"/>
          <w:color w:val="575757"/>
        </w:rPr>
        <w:t xml:space="preserve"> </w:t>
      </w:r>
      <w:r>
        <w:rPr>
          <w:rFonts w:ascii="Arial" w:cs="Arial" w:eastAsia="Arial" w:hAnsi="Arial"/>
          <w:sz w:val="12"/>
          <w:szCs w:val="12"/>
          <w:color w:val="444444"/>
        </w:rPr>
        <w:t xml:space="preserve">Management Agreement </w:t>
      </w:r>
      <w:r>
        <w:rPr>
          <w:rFonts w:ascii="Arial" w:cs="Arial" w:eastAsia="Arial" w:hAnsi="Arial"/>
          <w:sz w:val="12"/>
          <w:szCs w:val="12"/>
          <w:color w:val="6D6D6D"/>
        </w:rPr>
        <w:t>s</w:t>
      </w:r>
      <w:r>
        <w:rPr>
          <w:rFonts w:ascii="Arial" w:cs="Arial" w:eastAsia="Arial" w:hAnsi="Arial"/>
          <w:sz w:val="12"/>
          <w:szCs w:val="12"/>
          <w:color w:val="444444"/>
        </w:rPr>
        <w:t xml:space="preserve">hall be paid by </w:t>
      </w:r>
      <w:r>
        <w:rPr>
          <w:rFonts w:ascii="Arial" w:cs="Arial" w:eastAsia="Arial" w:hAnsi="Arial"/>
          <w:sz w:val="12"/>
          <w:szCs w:val="12"/>
          <w:color w:val="575757"/>
        </w:rPr>
        <w:t>LTLLC within</w:t>
      </w:r>
      <w:r>
        <w:rPr>
          <w:rFonts w:ascii="Arial" w:cs="Arial" w:eastAsia="Arial" w:hAnsi="Arial"/>
          <w:sz w:val="12"/>
          <w:szCs w:val="12"/>
          <w:color w:val="444444"/>
        </w:rPr>
        <w:t xml:space="preserve"> 15 days </w:t>
      </w:r>
      <w:r>
        <w:rPr>
          <w:rFonts w:ascii="Arial" w:cs="Arial" w:eastAsia="Arial" w:hAnsi="Arial"/>
          <w:sz w:val="12"/>
          <w:szCs w:val="12"/>
          <w:color w:val="575757"/>
        </w:rPr>
        <w:t>of</w:t>
      </w:r>
      <w:r>
        <w:rPr>
          <w:rFonts w:ascii="Arial" w:cs="Arial" w:eastAsia="Arial" w:hAnsi="Arial"/>
          <w:sz w:val="12"/>
          <w:szCs w:val="12"/>
          <w:color w:val="444444"/>
        </w:rPr>
        <w:t xml:space="preserve"> the parties </w:t>
      </w:r>
      <w:r>
        <w:rPr>
          <w:rFonts w:ascii="Arial" w:cs="Arial" w:eastAsia="Arial" w:hAnsi="Arial"/>
          <w:sz w:val="12"/>
          <w:szCs w:val="12"/>
          <w:color w:val="6D6D6D"/>
        </w:rPr>
        <w:t>'</w:t>
      </w:r>
      <w:r>
        <w:rPr>
          <w:rFonts w:ascii="Arial" w:cs="Arial" w:eastAsia="Arial" w:hAnsi="Arial"/>
          <w:sz w:val="12"/>
          <w:szCs w:val="12"/>
          <w:color w:val="444444"/>
        </w:rPr>
        <w:t xml:space="preserve"> mutual </w:t>
      </w:r>
      <w:r>
        <w:rPr>
          <w:rFonts w:ascii="Arial" w:cs="Arial" w:eastAsia="Arial" w:hAnsi="Arial"/>
          <w:sz w:val="12"/>
          <w:szCs w:val="12"/>
          <w:color w:val="575757"/>
        </w:rPr>
        <w:t>agreement (acting</w:t>
      </w:r>
      <w:r>
        <w:rPr>
          <w:rFonts w:ascii="Arial" w:cs="Arial" w:eastAsia="Arial" w:hAnsi="Arial"/>
          <w:sz w:val="12"/>
          <w:szCs w:val="12"/>
          <w:color w:val="444444"/>
        </w:rPr>
        <w:t xml:space="preserve"> in </w:t>
      </w:r>
      <w:r>
        <w:rPr>
          <w:rFonts w:ascii="Arial" w:cs="Arial" w:eastAsia="Arial" w:hAnsi="Arial"/>
          <w:sz w:val="12"/>
          <w:szCs w:val="12"/>
          <w:color w:val="575757"/>
        </w:rPr>
        <w:t>good faith) as</w:t>
      </w:r>
      <w:r>
        <w:rPr>
          <w:rFonts w:ascii="Arial" w:cs="Arial" w:eastAsia="Arial" w:hAnsi="Arial"/>
          <w:sz w:val="12"/>
          <w:szCs w:val="12"/>
          <w:color w:val="444444"/>
        </w:rPr>
        <w:t xml:space="preserve"> to the </w:t>
      </w:r>
      <w:r>
        <w:rPr>
          <w:rFonts w:ascii="Arial" w:cs="Arial" w:eastAsia="Arial" w:hAnsi="Arial"/>
          <w:sz w:val="12"/>
          <w:szCs w:val="12"/>
          <w:color w:val="575757"/>
        </w:rPr>
        <w:t>amount of such</w:t>
      </w:r>
      <w:r>
        <w:rPr>
          <w:rFonts w:ascii="Arial" w:cs="Arial" w:eastAsia="Arial" w:hAnsi="Arial"/>
          <w:sz w:val="12"/>
          <w:szCs w:val="12"/>
          <w:color w:val="444444"/>
        </w:rPr>
        <w:t xml:space="preserve"> Final Payment </w:t>
      </w:r>
      <w:r>
        <w:rPr>
          <w:rFonts w:ascii="Arial" w:cs="Arial" w:eastAsia="Arial" w:hAnsi="Arial"/>
          <w:sz w:val="12"/>
          <w:szCs w:val="12"/>
          <w:color w:val="575757"/>
        </w:rPr>
        <w:t>and</w:t>
      </w:r>
      <w:r>
        <w:rPr>
          <w:rFonts w:ascii="Arial" w:cs="Arial" w:eastAsia="Arial" w:hAnsi="Arial"/>
          <w:sz w:val="12"/>
          <w:szCs w:val="12"/>
          <w:color w:val="858585"/>
        </w:rPr>
        <w:t>,</w:t>
      </w:r>
      <w:r>
        <w:rPr>
          <w:rFonts w:ascii="Arial" w:cs="Arial" w:eastAsia="Arial" w:hAnsi="Arial"/>
          <w:sz w:val="12"/>
          <w:szCs w:val="12"/>
          <w:color w:val="444444"/>
        </w:rPr>
        <w:t xml:space="preserve"> in the ca</w:t>
      </w:r>
      <w:r>
        <w:rPr>
          <w:rFonts w:ascii="Arial" w:cs="Arial" w:eastAsia="Arial" w:hAnsi="Arial"/>
          <w:sz w:val="12"/>
          <w:szCs w:val="12"/>
          <w:color w:val="6D6D6D"/>
        </w:rPr>
        <w:t>se</w:t>
      </w:r>
      <w:r>
        <w:rPr>
          <w:rFonts w:ascii="Arial" w:cs="Arial" w:eastAsia="Arial" w:hAnsi="Arial"/>
          <w:sz w:val="12"/>
          <w:szCs w:val="12"/>
          <w:color w:val="444444"/>
        </w:rPr>
        <w:t xml:space="preserve"> </w:t>
      </w:r>
      <w:r>
        <w:rPr>
          <w:rFonts w:ascii="Arial" w:cs="Arial" w:eastAsia="Arial" w:hAnsi="Arial"/>
          <w:sz w:val="12"/>
          <w:szCs w:val="12"/>
          <w:color w:val="575757"/>
        </w:rPr>
        <w:t>of</w:t>
      </w:r>
      <w:r>
        <w:rPr>
          <w:rFonts w:ascii="Arial" w:cs="Arial" w:eastAsia="Arial" w:hAnsi="Arial"/>
          <w:sz w:val="12"/>
          <w:szCs w:val="12"/>
          <w:color w:val="444444"/>
        </w:rPr>
        <w:t xml:space="preserve"> reimbursement </w:t>
      </w:r>
      <w:r>
        <w:rPr>
          <w:rFonts w:ascii="Arial" w:cs="Arial" w:eastAsia="Arial" w:hAnsi="Arial"/>
          <w:sz w:val="12"/>
          <w:szCs w:val="12"/>
          <w:color w:val="575757"/>
        </w:rPr>
        <w:t>of</w:t>
      </w:r>
      <w:r>
        <w:rPr>
          <w:rFonts w:ascii="Arial" w:cs="Arial" w:eastAsia="Arial" w:hAnsi="Arial"/>
          <w:sz w:val="12"/>
          <w:szCs w:val="12"/>
          <w:color w:val="444444"/>
        </w:rPr>
        <w:t xml:space="preserve"> </w:t>
      </w:r>
      <w:r>
        <w:rPr>
          <w:rFonts w:ascii="Arial" w:cs="Arial" w:eastAsia="Arial" w:hAnsi="Arial"/>
          <w:sz w:val="12"/>
          <w:szCs w:val="12"/>
          <w:color w:val="575757"/>
        </w:rPr>
        <w:t xml:space="preserve">expenses, within 30 </w:t>
      </w:r>
      <w:r>
        <w:rPr>
          <w:rFonts w:ascii="Arial" w:cs="Arial" w:eastAsia="Arial" w:hAnsi="Arial"/>
          <w:sz w:val="12"/>
          <w:szCs w:val="12"/>
          <w:color w:val="444444"/>
        </w:rPr>
        <w:t>days</w:t>
      </w:r>
      <w:r>
        <w:rPr>
          <w:rFonts w:ascii="Arial" w:cs="Arial" w:eastAsia="Arial" w:hAnsi="Arial"/>
          <w:sz w:val="12"/>
          <w:szCs w:val="12"/>
          <w:color w:val="575757"/>
        </w:rPr>
        <w:t xml:space="preserve"> of </w:t>
      </w:r>
      <w:r>
        <w:rPr>
          <w:rFonts w:ascii="Arial" w:cs="Arial" w:eastAsia="Arial" w:hAnsi="Arial"/>
          <w:sz w:val="12"/>
          <w:szCs w:val="12"/>
          <w:color w:val="444444"/>
        </w:rPr>
        <w:t>presentation</w:t>
      </w:r>
      <w:r>
        <w:rPr>
          <w:rFonts w:ascii="Arial" w:cs="Arial" w:eastAsia="Arial" w:hAnsi="Arial"/>
          <w:sz w:val="12"/>
          <w:szCs w:val="12"/>
          <w:color w:val="575757"/>
        </w:rPr>
        <w:t xml:space="preserve"> of appropriate substantiating </w:t>
      </w:r>
      <w:r>
        <w:rPr>
          <w:rFonts w:ascii="Arial" w:cs="Arial" w:eastAsia="Arial" w:hAnsi="Arial"/>
          <w:sz w:val="12"/>
          <w:szCs w:val="12"/>
          <w:color w:val="444444"/>
        </w:rPr>
        <w:t>documentation</w:t>
      </w:r>
      <w:r>
        <w:rPr>
          <w:rFonts w:ascii="Arial" w:cs="Arial" w:eastAsia="Arial" w:hAnsi="Arial"/>
          <w:sz w:val="12"/>
          <w:szCs w:val="12"/>
          <w:color w:val="575757"/>
        </w:rPr>
        <w:t xml:space="preserve"> </w:t>
      </w:r>
      <w:r>
        <w:rPr>
          <w:rFonts w:ascii="Arial" w:cs="Arial" w:eastAsia="Arial" w:hAnsi="Arial"/>
          <w:sz w:val="12"/>
          <w:szCs w:val="12"/>
          <w:color w:val="6D6D6D"/>
        </w:rPr>
        <w:t>.</w:t>
      </w:r>
    </w:p>
    <w:p>
      <w:pPr>
        <w:spacing w:after="0" w:line="108" w:lineRule="exact"/>
        <w:rPr>
          <w:rFonts w:ascii="Arial" w:cs="Arial" w:eastAsia="Arial" w:hAnsi="Arial"/>
          <w:sz w:val="12"/>
          <w:szCs w:val="12"/>
          <w:color w:val="444444"/>
        </w:rPr>
      </w:pPr>
    </w:p>
    <w:p>
      <w:pPr>
        <w:ind w:left="141" w:hanging="118"/>
        <w:spacing w:after="0"/>
        <w:tabs>
          <w:tab w:leader="none" w:pos="141" w:val="left"/>
        </w:tabs>
        <w:numPr>
          <w:ilvl w:val="1"/>
          <w:numId w:val="199"/>
        </w:numPr>
        <w:rPr>
          <w:rFonts w:ascii="Arial" w:cs="Arial" w:eastAsia="Arial" w:hAnsi="Arial"/>
          <w:sz w:val="12"/>
          <w:szCs w:val="12"/>
          <w:color w:val="444444"/>
        </w:rPr>
      </w:pPr>
      <w:r>
        <w:rPr>
          <w:rFonts w:ascii="Arial" w:cs="Arial" w:eastAsia="Arial" w:hAnsi="Arial"/>
          <w:sz w:val="12"/>
          <w:szCs w:val="12"/>
          <w:color w:val="444444"/>
        </w:rPr>
        <w:t>OBI waives its right to receive incentive fees pursuant to Section 4.1(d) of the Theater Management Agreement accrued after the Termination Date.</w:t>
      </w:r>
    </w:p>
    <w:p>
      <w:pPr>
        <w:spacing w:after="0" w:line="132" w:lineRule="exact"/>
        <w:rPr>
          <w:rFonts w:ascii="Arial" w:cs="Arial" w:eastAsia="Arial" w:hAnsi="Arial"/>
          <w:sz w:val="12"/>
          <w:szCs w:val="12"/>
          <w:color w:val="444444"/>
        </w:rPr>
      </w:pPr>
    </w:p>
    <w:p>
      <w:pPr>
        <w:jc w:val="both"/>
        <w:ind w:left="1" w:right="120" w:hanging="1"/>
        <w:spacing w:after="0" w:line="229" w:lineRule="auto"/>
        <w:tabs>
          <w:tab w:leader="none" w:pos="121" w:val="left"/>
        </w:tabs>
        <w:numPr>
          <w:ilvl w:val="0"/>
          <w:numId w:val="200"/>
        </w:numPr>
        <w:rPr>
          <w:rFonts w:ascii="Arial" w:cs="Arial" w:eastAsia="Arial" w:hAnsi="Arial"/>
          <w:sz w:val="11"/>
          <w:szCs w:val="11"/>
          <w:color w:val="444444"/>
        </w:rPr>
      </w:pPr>
      <w:r>
        <w:rPr>
          <w:rFonts w:ascii="Arial" w:cs="Arial" w:eastAsia="Arial" w:hAnsi="Arial"/>
          <w:sz w:val="11"/>
          <w:szCs w:val="11"/>
          <w:color w:val="444444"/>
        </w:rPr>
        <w:t xml:space="preserve">Other than payment of the Final Payment by LTLLC to OBI and except as provided in Section 1, above, with respect to the survival of certain indemnity obligations, OBI does hereby irrevocably, unconditionally, voluntarily, knowingly , fully, finally and completely forever releases and discharges LTLLC and its parent s, subsidiaries, divisions, affiliates (that currently exist or may exist in the future), successors, assigns and predecessors and their present and former owners, stockholders, member s, managers, directors, officers, employees, agents, attorneys, representatives, successors, beneficiaries, heirs and assigns, individually and collectively (the "LTLLC Released Parties") from, against and with respect to any and all actions, accounts, agreements, causes of action, complaints, </w:t>
      </w:r>
      <w:r>
        <w:rPr>
          <w:rFonts w:ascii="Arial" w:cs="Arial" w:eastAsia="Arial" w:hAnsi="Arial"/>
          <w:sz w:val="11"/>
          <w:szCs w:val="11"/>
          <w:color w:val="484848"/>
        </w:rPr>
        <w:t>charges,</w:t>
      </w:r>
      <w:r>
        <w:rPr>
          <w:rFonts w:ascii="Arial" w:cs="Arial" w:eastAsia="Arial" w:hAnsi="Arial"/>
          <w:sz w:val="11"/>
          <w:szCs w:val="11"/>
          <w:color w:val="444444"/>
        </w:rPr>
        <w:t xml:space="preserve"> </w:t>
      </w:r>
      <w:r>
        <w:rPr>
          <w:rFonts w:ascii="Arial" w:cs="Arial" w:eastAsia="Arial" w:hAnsi="Arial"/>
          <w:sz w:val="11"/>
          <w:szCs w:val="11"/>
          <w:color w:val="5D5D5D"/>
        </w:rPr>
        <w:t>claims</w:t>
      </w:r>
      <w:r>
        <w:rPr>
          <w:rFonts w:ascii="Arial" w:cs="Arial" w:eastAsia="Arial" w:hAnsi="Arial"/>
          <w:sz w:val="11"/>
          <w:szCs w:val="11"/>
          <w:color w:val="777777"/>
        </w:rPr>
        <w:t>,</w:t>
      </w:r>
      <w:r>
        <w:rPr>
          <w:rFonts w:ascii="Arial" w:cs="Arial" w:eastAsia="Arial" w:hAnsi="Arial"/>
          <w:sz w:val="11"/>
          <w:szCs w:val="11"/>
          <w:color w:val="444444"/>
        </w:rPr>
        <w:t xml:space="preserve"> </w:t>
      </w:r>
      <w:r>
        <w:rPr>
          <w:rFonts w:ascii="Arial" w:cs="Arial" w:eastAsia="Arial" w:hAnsi="Arial"/>
          <w:sz w:val="11"/>
          <w:szCs w:val="11"/>
          <w:color w:val="484848"/>
        </w:rPr>
        <w:t>covenants</w:t>
      </w:r>
      <w:r>
        <w:rPr>
          <w:rFonts w:ascii="Arial" w:cs="Arial" w:eastAsia="Arial" w:hAnsi="Arial"/>
          <w:sz w:val="11"/>
          <w:szCs w:val="11"/>
          <w:color w:val="777777"/>
        </w:rPr>
        <w:t>,</w:t>
      </w:r>
      <w:r>
        <w:rPr>
          <w:rFonts w:ascii="Arial" w:cs="Arial" w:eastAsia="Arial" w:hAnsi="Arial"/>
          <w:sz w:val="11"/>
          <w:szCs w:val="11"/>
          <w:color w:val="444444"/>
        </w:rPr>
        <w:t xml:space="preserve"> </w:t>
      </w:r>
      <w:r>
        <w:rPr>
          <w:rFonts w:ascii="Arial" w:cs="Arial" w:eastAsia="Arial" w:hAnsi="Arial"/>
          <w:sz w:val="11"/>
          <w:szCs w:val="11"/>
          <w:color w:val="5D5D5D"/>
        </w:rPr>
        <w:t>contracts,</w:t>
      </w:r>
      <w:r>
        <w:rPr>
          <w:rFonts w:ascii="Arial" w:cs="Arial" w:eastAsia="Arial" w:hAnsi="Arial"/>
          <w:sz w:val="11"/>
          <w:szCs w:val="11"/>
          <w:color w:val="444444"/>
        </w:rPr>
        <w:t xml:space="preserve"> </w:t>
      </w:r>
      <w:r>
        <w:rPr>
          <w:rFonts w:ascii="Arial" w:cs="Arial" w:eastAsia="Arial" w:hAnsi="Arial"/>
          <w:sz w:val="11"/>
          <w:szCs w:val="11"/>
          <w:color w:val="484848"/>
        </w:rPr>
        <w:t>costs, damages</w:t>
      </w:r>
      <w:r>
        <w:rPr>
          <w:rFonts w:ascii="Arial" w:cs="Arial" w:eastAsia="Arial" w:hAnsi="Arial"/>
          <w:sz w:val="11"/>
          <w:szCs w:val="11"/>
          <w:color w:val="777777"/>
        </w:rPr>
        <w:t>,</w:t>
      </w:r>
      <w:r>
        <w:rPr>
          <w:rFonts w:ascii="Arial" w:cs="Arial" w:eastAsia="Arial" w:hAnsi="Arial"/>
          <w:sz w:val="11"/>
          <w:szCs w:val="11"/>
          <w:color w:val="444444"/>
        </w:rPr>
        <w:t xml:space="preserve"> </w:t>
      </w:r>
      <w:r>
        <w:rPr>
          <w:rFonts w:ascii="Arial" w:cs="Arial" w:eastAsia="Arial" w:hAnsi="Arial"/>
          <w:sz w:val="11"/>
          <w:szCs w:val="11"/>
          <w:color w:val="484848"/>
        </w:rPr>
        <w:t>demands, debts, defenses</w:t>
      </w:r>
      <w:r>
        <w:rPr>
          <w:rFonts w:ascii="Arial" w:cs="Arial" w:eastAsia="Arial" w:hAnsi="Arial"/>
          <w:sz w:val="11"/>
          <w:szCs w:val="11"/>
          <w:color w:val="777777"/>
        </w:rPr>
        <w:t>,</w:t>
      </w:r>
      <w:r>
        <w:rPr>
          <w:rFonts w:ascii="Arial" w:cs="Arial" w:eastAsia="Arial" w:hAnsi="Arial"/>
          <w:sz w:val="11"/>
          <w:szCs w:val="11"/>
          <w:color w:val="444444"/>
        </w:rPr>
        <w:t xml:space="preserve"> </w:t>
      </w:r>
      <w:r>
        <w:rPr>
          <w:rFonts w:ascii="Arial" w:cs="Arial" w:eastAsia="Arial" w:hAnsi="Arial"/>
          <w:sz w:val="11"/>
          <w:szCs w:val="11"/>
          <w:color w:val="484848"/>
        </w:rPr>
        <w:t>duties,</w:t>
      </w:r>
      <w:r>
        <w:rPr>
          <w:rFonts w:ascii="Arial" w:cs="Arial" w:eastAsia="Arial" w:hAnsi="Arial"/>
          <w:sz w:val="11"/>
          <w:szCs w:val="11"/>
          <w:color w:val="444444"/>
        </w:rPr>
        <w:t xml:space="preserve"> </w:t>
      </w:r>
      <w:r>
        <w:rPr>
          <w:rFonts w:ascii="Arial" w:cs="Arial" w:eastAsia="Arial" w:hAnsi="Arial"/>
          <w:sz w:val="11"/>
          <w:szCs w:val="11"/>
          <w:color w:val="5D5D5D"/>
        </w:rPr>
        <w:t>expenses,</w:t>
      </w:r>
      <w:r>
        <w:rPr>
          <w:rFonts w:ascii="Arial" w:cs="Arial" w:eastAsia="Arial" w:hAnsi="Arial"/>
          <w:sz w:val="11"/>
          <w:szCs w:val="11"/>
          <w:color w:val="444444"/>
        </w:rPr>
        <w:t xml:space="preserve"> </w:t>
      </w:r>
      <w:r>
        <w:rPr>
          <w:rFonts w:ascii="Arial" w:cs="Arial" w:eastAsia="Arial" w:hAnsi="Arial"/>
          <w:sz w:val="11"/>
          <w:szCs w:val="11"/>
          <w:color w:val="484848"/>
        </w:rPr>
        <w:t>executions, fees, injuries, interest, judgments, liabilities</w:t>
      </w:r>
      <w:r>
        <w:rPr>
          <w:rFonts w:ascii="Arial" w:cs="Arial" w:eastAsia="Arial" w:hAnsi="Arial"/>
          <w:sz w:val="11"/>
          <w:szCs w:val="11"/>
          <w:color w:val="777777"/>
        </w:rPr>
        <w:t>,</w:t>
      </w:r>
      <w:r>
        <w:rPr>
          <w:rFonts w:ascii="Arial" w:cs="Arial" w:eastAsia="Arial" w:hAnsi="Arial"/>
          <w:sz w:val="11"/>
          <w:szCs w:val="11"/>
          <w:color w:val="444444"/>
        </w:rPr>
        <w:t xml:space="preserve"> </w:t>
      </w:r>
      <w:r>
        <w:rPr>
          <w:rFonts w:ascii="Arial" w:cs="Arial" w:eastAsia="Arial" w:hAnsi="Arial"/>
          <w:sz w:val="11"/>
          <w:szCs w:val="11"/>
          <w:color w:val="484848"/>
        </w:rPr>
        <w:t>losses, obligations, penalties,</w:t>
      </w:r>
      <w:r>
        <w:rPr>
          <w:rFonts w:ascii="Arial" w:cs="Arial" w:eastAsia="Arial" w:hAnsi="Arial"/>
          <w:sz w:val="11"/>
          <w:szCs w:val="11"/>
          <w:color w:val="444444"/>
        </w:rPr>
        <w:t xml:space="preserve"> </w:t>
      </w:r>
      <w:r>
        <w:rPr>
          <w:rFonts w:ascii="Arial" w:cs="Arial" w:eastAsia="Arial" w:hAnsi="Arial"/>
          <w:sz w:val="11"/>
          <w:szCs w:val="11"/>
          <w:color w:val="484848"/>
        </w:rPr>
        <w:t xml:space="preserve">promises, reimbursements </w:t>
      </w:r>
      <w:r>
        <w:rPr>
          <w:rFonts w:ascii="Arial" w:cs="Arial" w:eastAsia="Arial" w:hAnsi="Arial"/>
          <w:sz w:val="11"/>
          <w:szCs w:val="11"/>
          <w:color w:val="777777"/>
        </w:rPr>
        <w:t>,</w:t>
      </w:r>
      <w:r>
        <w:rPr>
          <w:rFonts w:ascii="Arial" w:cs="Arial" w:eastAsia="Arial" w:hAnsi="Arial"/>
          <w:sz w:val="11"/>
          <w:szCs w:val="11"/>
          <w:color w:val="484848"/>
        </w:rPr>
        <w:t xml:space="preserve"> </w:t>
      </w:r>
      <w:r>
        <w:rPr>
          <w:rFonts w:ascii="Arial" w:cs="Arial" w:eastAsia="Arial" w:hAnsi="Arial"/>
          <w:sz w:val="11"/>
          <w:szCs w:val="11"/>
          <w:color w:val="5D5D5D"/>
        </w:rPr>
        <w:t>remedies, suits, sums of</w:t>
      </w:r>
      <w:r>
        <w:rPr>
          <w:rFonts w:ascii="Arial" w:cs="Arial" w:eastAsia="Arial" w:hAnsi="Arial"/>
          <w:sz w:val="11"/>
          <w:szCs w:val="11"/>
          <w:color w:val="484848"/>
        </w:rPr>
        <w:t xml:space="preserve"> money, and torts </w:t>
      </w:r>
      <w:r>
        <w:rPr>
          <w:rFonts w:ascii="Arial" w:cs="Arial" w:eastAsia="Arial" w:hAnsi="Arial"/>
          <w:sz w:val="11"/>
          <w:szCs w:val="11"/>
          <w:color w:val="5D5D5D"/>
        </w:rPr>
        <w:t>of whatever</w:t>
      </w:r>
      <w:r>
        <w:rPr>
          <w:rFonts w:ascii="Arial" w:cs="Arial" w:eastAsia="Arial" w:hAnsi="Arial"/>
          <w:sz w:val="11"/>
          <w:szCs w:val="11"/>
          <w:color w:val="484848"/>
        </w:rPr>
        <w:t xml:space="preserve"> kind or </w:t>
      </w:r>
      <w:r>
        <w:rPr>
          <w:rFonts w:ascii="Arial" w:cs="Arial" w:eastAsia="Arial" w:hAnsi="Arial"/>
          <w:sz w:val="11"/>
          <w:szCs w:val="11"/>
          <w:color w:val="5D5D5D"/>
        </w:rPr>
        <w:t>character</w:t>
      </w:r>
      <w:r>
        <w:rPr>
          <w:rFonts w:ascii="Arial" w:cs="Arial" w:eastAsia="Arial" w:hAnsi="Arial"/>
          <w:sz w:val="11"/>
          <w:szCs w:val="11"/>
          <w:color w:val="777777"/>
        </w:rPr>
        <w:t>,</w:t>
      </w:r>
      <w:r>
        <w:rPr>
          <w:rFonts w:ascii="Arial" w:cs="Arial" w:eastAsia="Arial" w:hAnsi="Arial"/>
          <w:sz w:val="11"/>
          <w:szCs w:val="11"/>
          <w:color w:val="484848"/>
        </w:rPr>
        <w:t xml:space="preserve"> whether in law, </w:t>
      </w:r>
      <w:r>
        <w:rPr>
          <w:rFonts w:ascii="Arial" w:cs="Arial" w:eastAsia="Arial" w:hAnsi="Arial"/>
          <w:sz w:val="11"/>
          <w:szCs w:val="11"/>
          <w:color w:val="5D5D5D"/>
        </w:rPr>
        <w:t>equity</w:t>
      </w:r>
      <w:r>
        <w:rPr>
          <w:rFonts w:ascii="Arial" w:cs="Arial" w:eastAsia="Arial" w:hAnsi="Arial"/>
          <w:sz w:val="11"/>
          <w:szCs w:val="11"/>
          <w:color w:val="484848"/>
        </w:rPr>
        <w:t xml:space="preserve"> or </w:t>
      </w:r>
      <w:r>
        <w:rPr>
          <w:rFonts w:ascii="Arial" w:cs="Arial" w:eastAsia="Arial" w:hAnsi="Arial"/>
          <w:sz w:val="11"/>
          <w:szCs w:val="11"/>
          <w:color w:val="5D5D5D"/>
        </w:rPr>
        <w:t>otherwise</w:t>
      </w:r>
      <w:r>
        <w:rPr>
          <w:rFonts w:ascii="Arial" w:cs="Arial" w:eastAsia="Arial" w:hAnsi="Arial"/>
          <w:sz w:val="11"/>
          <w:szCs w:val="11"/>
          <w:color w:val="777777"/>
        </w:rPr>
        <w:t>,</w:t>
      </w:r>
      <w:r>
        <w:rPr>
          <w:rFonts w:ascii="Arial" w:cs="Arial" w:eastAsia="Arial" w:hAnsi="Arial"/>
          <w:sz w:val="11"/>
          <w:szCs w:val="11"/>
          <w:color w:val="484848"/>
        </w:rPr>
        <w:t xml:space="preserve"> direct or indirect, fixed </w:t>
      </w:r>
      <w:r>
        <w:rPr>
          <w:rFonts w:ascii="Arial" w:cs="Arial" w:eastAsia="Arial" w:hAnsi="Arial"/>
          <w:sz w:val="11"/>
          <w:szCs w:val="11"/>
          <w:color w:val="5D5D5D"/>
        </w:rPr>
        <w:t>or contingent</w:t>
      </w:r>
      <w:r>
        <w:rPr>
          <w:rFonts w:ascii="Arial" w:cs="Arial" w:eastAsia="Arial" w:hAnsi="Arial"/>
          <w:sz w:val="11"/>
          <w:szCs w:val="11"/>
          <w:color w:val="484848"/>
        </w:rPr>
        <w:t xml:space="preserve"> </w:t>
      </w:r>
      <w:r>
        <w:rPr>
          <w:rFonts w:ascii="Arial" w:cs="Arial" w:eastAsia="Arial" w:hAnsi="Arial"/>
          <w:sz w:val="11"/>
          <w:szCs w:val="11"/>
          <w:color w:val="777777"/>
        </w:rPr>
        <w:t>,</w:t>
      </w:r>
      <w:r>
        <w:rPr>
          <w:rFonts w:ascii="Arial" w:cs="Arial" w:eastAsia="Arial" w:hAnsi="Arial"/>
          <w:sz w:val="11"/>
          <w:szCs w:val="11"/>
          <w:color w:val="484848"/>
        </w:rPr>
        <w:t xml:space="preserve"> foreseeable </w:t>
      </w:r>
      <w:r>
        <w:rPr>
          <w:rFonts w:ascii="Arial" w:cs="Arial" w:eastAsia="Arial" w:hAnsi="Arial"/>
          <w:sz w:val="11"/>
          <w:szCs w:val="11"/>
          <w:color w:val="5D5D5D"/>
        </w:rPr>
        <w:t>or</w:t>
      </w:r>
      <w:r>
        <w:rPr>
          <w:rFonts w:ascii="Arial" w:cs="Arial" w:eastAsia="Arial" w:hAnsi="Arial"/>
          <w:sz w:val="11"/>
          <w:szCs w:val="11"/>
          <w:color w:val="484848"/>
        </w:rPr>
        <w:t xml:space="preserve"> unforeseeable </w:t>
      </w:r>
      <w:r>
        <w:rPr>
          <w:rFonts w:ascii="Arial" w:cs="Arial" w:eastAsia="Arial" w:hAnsi="Arial"/>
          <w:sz w:val="11"/>
          <w:szCs w:val="11"/>
          <w:color w:val="777777"/>
        </w:rPr>
        <w:t>,</w:t>
      </w:r>
      <w:r>
        <w:rPr>
          <w:rFonts w:ascii="Arial" w:cs="Arial" w:eastAsia="Arial" w:hAnsi="Arial"/>
          <w:sz w:val="11"/>
          <w:szCs w:val="11"/>
          <w:color w:val="484848"/>
        </w:rPr>
        <w:t xml:space="preserve"> liquidated or unliquidated, known </w:t>
      </w:r>
      <w:r>
        <w:rPr>
          <w:rFonts w:ascii="Arial" w:cs="Arial" w:eastAsia="Arial" w:hAnsi="Arial"/>
          <w:sz w:val="11"/>
          <w:szCs w:val="11"/>
          <w:color w:val="5D5D5D"/>
        </w:rPr>
        <w:t>or</w:t>
      </w:r>
      <w:r>
        <w:rPr>
          <w:rFonts w:ascii="Arial" w:cs="Arial" w:eastAsia="Arial" w:hAnsi="Arial"/>
          <w:sz w:val="11"/>
          <w:szCs w:val="11"/>
          <w:color w:val="484848"/>
        </w:rPr>
        <w:t xml:space="preserve"> unknown, matured or unmatured, absolute </w:t>
      </w:r>
      <w:r>
        <w:rPr>
          <w:rFonts w:ascii="Arial" w:cs="Arial" w:eastAsia="Arial" w:hAnsi="Arial"/>
          <w:sz w:val="11"/>
          <w:szCs w:val="11"/>
          <w:color w:val="5D5D5D"/>
        </w:rPr>
        <w:t>or</w:t>
      </w:r>
      <w:r>
        <w:rPr>
          <w:rFonts w:ascii="Arial" w:cs="Arial" w:eastAsia="Arial" w:hAnsi="Arial"/>
          <w:sz w:val="11"/>
          <w:szCs w:val="11"/>
          <w:color w:val="484848"/>
        </w:rPr>
        <w:t xml:space="preserve"> contingent </w:t>
      </w:r>
      <w:r>
        <w:rPr>
          <w:rFonts w:ascii="Arial" w:cs="Arial" w:eastAsia="Arial" w:hAnsi="Arial"/>
          <w:sz w:val="11"/>
          <w:szCs w:val="11"/>
          <w:color w:val="777777"/>
        </w:rPr>
        <w:t>,</w:t>
      </w:r>
      <w:r>
        <w:rPr>
          <w:rFonts w:ascii="Arial" w:cs="Arial" w:eastAsia="Arial" w:hAnsi="Arial"/>
          <w:sz w:val="11"/>
          <w:szCs w:val="11"/>
          <w:color w:val="484848"/>
        </w:rPr>
        <w:t xml:space="preserve"> determined or determinable </w:t>
      </w:r>
      <w:r>
        <w:rPr>
          <w:rFonts w:ascii="Arial" w:cs="Arial" w:eastAsia="Arial" w:hAnsi="Arial"/>
          <w:sz w:val="11"/>
          <w:szCs w:val="11"/>
          <w:color w:val="5D5D5D"/>
        </w:rPr>
        <w:t>(excluding,</w:t>
      </w:r>
      <w:r>
        <w:rPr>
          <w:rFonts w:ascii="Arial" w:cs="Arial" w:eastAsia="Arial" w:hAnsi="Arial"/>
          <w:sz w:val="11"/>
          <w:szCs w:val="11"/>
          <w:color w:val="484848"/>
        </w:rPr>
        <w:t xml:space="preserve"> however, for </w:t>
      </w:r>
      <w:r>
        <w:rPr>
          <w:rFonts w:ascii="Arial" w:cs="Arial" w:eastAsia="Arial" w:hAnsi="Arial"/>
          <w:sz w:val="11"/>
          <w:szCs w:val="11"/>
          <w:color w:val="5D5D5D"/>
        </w:rPr>
        <w:t>a claim</w:t>
      </w:r>
      <w:r>
        <w:rPr>
          <w:rFonts w:ascii="Arial" w:cs="Arial" w:eastAsia="Arial" w:hAnsi="Arial"/>
          <w:sz w:val="11"/>
          <w:szCs w:val="11"/>
          <w:color w:val="484848"/>
        </w:rPr>
        <w:t xml:space="preserve"> found by </w:t>
      </w:r>
      <w:r>
        <w:rPr>
          <w:rFonts w:ascii="Arial" w:cs="Arial" w:eastAsia="Arial" w:hAnsi="Arial"/>
          <w:sz w:val="11"/>
          <w:szCs w:val="11"/>
          <w:color w:val="5D5D5D"/>
        </w:rPr>
        <w:t>a</w:t>
      </w:r>
      <w:r>
        <w:rPr>
          <w:rFonts w:ascii="Arial" w:cs="Arial" w:eastAsia="Arial" w:hAnsi="Arial"/>
          <w:sz w:val="11"/>
          <w:szCs w:val="11"/>
          <w:color w:val="484848"/>
        </w:rPr>
        <w:t xml:space="preserve"> court of competent jurisdiction that any LTLLC Released Party has committed fraud </w:t>
      </w:r>
      <w:r>
        <w:rPr>
          <w:rFonts w:ascii="Arial" w:cs="Arial" w:eastAsia="Arial" w:hAnsi="Arial"/>
          <w:sz w:val="11"/>
          <w:szCs w:val="11"/>
          <w:color w:val="5D5D5D"/>
        </w:rPr>
        <w:t>or</w:t>
      </w:r>
      <w:r>
        <w:rPr>
          <w:rFonts w:ascii="Arial" w:cs="Arial" w:eastAsia="Arial" w:hAnsi="Arial"/>
          <w:sz w:val="11"/>
          <w:szCs w:val="11"/>
          <w:color w:val="484848"/>
        </w:rPr>
        <w:t xml:space="preserve"> an intentional act causing material financial damage to OB</w:t>
      </w:r>
      <w:r>
        <w:rPr>
          <w:rFonts w:ascii="Arial" w:cs="Arial" w:eastAsia="Arial" w:hAnsi="Arial"/>
          <w:sz w:val="11"/>
          <w:szCs w:val="11"/>
          <w:color w:val="2D2D2D"/>
        </w:rPr>
        <w:t>I</w:t>
      </w:r>
      <w:r>
        <w:rPr>
          <w:rFonts w:ascii="Arial" w:cs="Arial" w:eastAsia="Arial" w:hAnsi="Arial"/>
          <w:sz w:val="11"/>
          <w:szCs w:val="11"/>
          <w:color w:val="484848"/>
        </w:rPr>
        <w:t xml:space="preserve">), that OBI or anyone </w:t>
      </w:r>
      <w:r>
        <w:rPr>
          <w:rFonts w:ascii="Arial" w:cs="Arial" w:eastAsia="Arial" w:hAnsi="Arial"/>
          <w:sz w:val="11"/>
          <w:szCs w:val="11"/>
          <w:color w:val="5D5D5D"/>
        </w:rPr>
        <w:t>claiming</w:t>
      </w:r>
      <w:r>
        <w:rPr>
          <w:rFonts w:ascii="Arial" w:cs="Arial" w:eastAsia="Arial" w:hAnsi="Arial"/>
          <w:sz w:val="11"/>
          <w:szCs w:val="11"/>
          <w:color w:val="484848"/>
        </w:rPr>
        <w:t xml:space="preserve"> through or under OBI</w:t>
      </w:r>
      <w:r>
        <w:rPr>
          <w:rFonts w:ascii="Arial" w:cs="Arial" w:eastAsia="Arial" w:hAnsi="Arial"/>
          <w:sz w:val="11"/>
          <w:szCs w:val="11"/>
          <w:color w:val="777777"/>
        </w:rPr>
        <w:t>,</w:t>
      </w:r>
      <w:r>
        <w:rPr>
          <w:rFonts w:ascii="Arial" w:cs="Arial" w:eastAsia="Arial" w:hAnsi="Arial"/>
          <w:sz w:val="11"/>
          <w:szCs w:val="11"/>
          <w:color w:val="484848"/>
        </w:rPr>
        <w:t xml:space="preserve"> ever had, now has, or may hereafter have or acquire, against </w:t>
      </w:r>
      <w:r>
        <w:rPr>
          <w:rFonts w:ascii="Arial" w:cs="Arial" w:eastAsia="Arial" w:hAnsi="Arial"/>
          <w:sz w:val="11"/>
          <w:szCs w:val="11"/>
          <w:color w:val="5D5D5D"/>
        </w:rPr>
        <w:t>such</w:t>
      </w:r>
      <w:r>
        <w:rPr>
          <w:rFonts w:ascii="Arial" w:cs="Arial" w:eastAsia="Arial" w:hAnsi="Arial"/>
          <w:sz w:val="11"/>
          <w:szCs w:val="11"/>
          <w:color w:val="484848"/>
        </w:rPr>
        <w:t xml:space="preserve"> LTLLC Released Party that arises out of or in </w:t>
      </w:r>
      <w:r>
        <w:rPr>
          <w:rFonts w:ascii="Arial" w:cs="Arial" w:eastAsia="Arial" w:hAnsi="Arial"/>
          <w:sz w:val="11"/>
          <w:szCs w:val="11"/>
          <w:color w:val="5D5D5D"/>
        </w:rPr>
        <w:t>any</w:t>
      </w:r>
      <w:r>
        <w:rPr>
          <w:rFonts w:ascii="Arial" w:cs="Arial" w:eastAsia="Arial" w:hAnsi="Arial"/>
          <w:sz w:val="11"/>
          <w:szCs w:val="11"/>
          <w:color w:val="484848"/>
        </w:rPr>
        <w:t xml:space="preserve"> way relate</w:t>
      </w:r>
      <w:r>
        <w:rPr>
          <w:rFonts w:ascii="Arial" w:cs="Arial" w:eastAsia="Arial" w:hAnsi="Arial"/>
          <w:sz w:val="11"/>
          <w:szCs w:val="11"/>
          <w:color w:val="777777"/>
        </w:rPr>
        <w:t>,</w:t>
      </w:r>
      <w:r>
        <w:rPr>
          <w:rFonts w:ascii="Arial" w:cs="Arial" w:eastAsia="Arial" w:hAnsi="Arial"/>
          <w:sz w:val="11"/>
          <w:szCs w:val="11"/>
          <w:color w:val="484848"/>
        </w:rPr>
        <w:t xml:space="preserve"> direct</w:t>
      </w:r>
      <w:r>
        <w:rPr>
          <w:rFonts w:ascii="Arial" w:cs="Arial" w:eastAsia="Arial" w:hAnsi="Arial"/>
          <w:sz w:val="11"/>
          <w:szCs w:val="11"/>
          <w:color w:val="2D2D2D"/>
        </w:rPr>
        <w:t>l</w:t>
      </w:r>
      <w:r>
        <w:rPr>
          <w:rFonts w:ascii="Arial" w:cs="Arial" w:eastAsia="Arial" w:hAnsi="Arial"/>
          <w:sz w:val="11"/>
          <w:szCs w:val="11"/>
          <w:color w:val="484848"/>
        </w:rPr>
        <w:t xml:space="preserve">y or indirectly </w:t>
      </w:r>
      <w:r>
        <w:rPr>
          <w:rFonts w:ascii="Arial" w:cs="Arial" w:eastAsia="Arial" w:hAnsi="Arial"/>
          <w:sz w:val="11"/>
          <w:szCs w:val="11"/>
          <w:color w:val="777777"/>
        </w:rPr>
        <w:t>,</w:t>
      </w:r>
      <w:r>
        <w:rPr>
          <w:rFonts w:ascii="Arial" w:cs="Arial" w:eastAsia="Arial" w:hAnsi="Arial"/>
          <w:sz w:val="11"/>
          <w:szCs w:val="11"/>
          <w:color w:val="484848"/>
        </w:rPr>
        <w:t xml:space="preserve"> to any matter, cause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69850</wp:posOffset>
            </wp:positionV>
            <wp:extent cx="6242685"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242685" cy="42545"/>
                    </a:xfrm>
                    <a:prstGeom prst="rect">
                      <a:avLst/>
                    </a:prstGeom>
                    <a:noFill/>
                  </pic:spPr>
                </pic:pic>
              </a:graphicData>
            </a:graphic>
          </wp:anchor>
        </w:drawing>
      </w:r>
    </w:p>
    <w:p>
      <w:pPr>
        <w:sectPr>
          <w:pgSz w:w="11900" w:h="16838" w:orient="portrait"/>
          <w:cols w:equalWidth="0" w:num="1">
            <w:col w:w="9721"/>
          </w:cols>
          <w:pgMar w:left="939" w:top="127" w:right="1239" w:bottom="1440" w:gutter="0" w:footer="0" w:header="0"/>
        </w:sectPr>
      </w:pPr>
    </w:p>
    <w:bookmarkStart w:id="205" w:name="page206"/>
    <w:bookmarkEnd w:id="205"/>
    <w:p>
      <w:pPr>
        <w:jc w:val="both"/>
        <w:ind w:left="60" w:right="40"/>
        <w:spacing w:after="0" w:line="239" w:lineRule="auto"/>
        <w:rPr>
          <w:sz w:val="20"/>
          <w:szCs w:val="20"/>
          <w:color w:val="auto"/>
        </w:rPr>
      </w:pPr>
      <w:r>
        <w:rPr>
          <w:rFonts w:ascii="Arial" w:cs="Arial" w:eastAsia="Arial" w:hAnsi="Arial"/>
          <w:sz w:val="11"/>
          <w:szCs w:val="11"/>
          <w:color w:val="484848"/>
        </w:rPr>
        <w:t xml:space="preserve">thing, act or failure to act whatsoever </w:t>
      </w:r>
      <w:r>
        <w:rPr>
          <w:rFonts w:ascii="Arial" w:cs="Arial" w:eastAsia="Arial" w:hAnsi="Arial"/>
          <w:sz w:val="11"/>
          <w:szCs w:val="11"/>
          <w:color w:val="5D5D5D"/>
        </w:rPr>
        <w:t>occurring</w:t>
      </w:r>
      <w:r>
        <w:rPr>
          <w:rFonts w:ascii="Arial" w:cs="Arial" w:eastAsia="Arial" w:hAnsi="Arial"/>
          <w:sz w:val="11"/>
          <w:szCs w:val="11"/>
          <w:color w:val="484848"/>
        </w:rPr>
        <w:t xml:space="preserve"> at any time on </w:t>
      </w:r>
      <w:r>
        <w:rPr>
          <w:rFonts w:ascii="Arial" w:cs="Arial" w:eastAsia="Arial" w:hAnsi="Arial"/>
          <w:sz w:val="11"/>
          <w:szCs w:val="11"/>
          <w:color w:val="5D5D5D"/>
        </w:rPr>
        <w:t>or</w:t>
      </w:r>
      <w:r>
        <w:rPr>
          <w:rFonts w:ascii="Arial" w:cs="Arial" w:eastAsia="Arial" w:hAnsi="Arial"/>
          <w:sz w:val="11"/>
          <w:szCs w:val="11"/>
          <w:color w:val="484848"/>
        </w:rPr>
        <w:t xml:space="preserve"> prior to the date of this Agreement that relates to the Theater Management Agreement. OBI irrevocab</w:t>
      </w:r>
      <w:r>
        <w:rPr>
          <w:rFonts w:ascii="Arial" w:cs="Arial" w:eastAsia="Arial" w:hAnsi="Arial"/>
          <w:sz w:val="11"/>
          <w:szCs w:val="11"/>
          <w:color w:val="2D2D2D"/>
        </w:rPr>
        <w:t>l</w:t>
      </w:r>
      <w:r>
        <w:rPr>
          <w:rFonts w:ascii="Arial" w:cs="Arial" w:eastAsia="Arial" w:hAnsi="Arial"/>
          <w:sz w:val="11"/>
          <w:szCs w:val="11"/>
          <w:color w:val="5D5D5D"/>
        </w:rPr>
        <w:t>y</w:t>
      </w:r>
      <w:r>
        <w:rPr>
          <w:rFonts w:ascii="Arial" w:cs="Arial" w:eastAsia="Arial" w:hAnsi="Arial"/>
          <w:sz w:val="11"/>
          <w:szCs w:val="11"/>
          <w:color w:val="484848"/>
        </w:rPr>
        <w:t xml:space="preserve"> covenants that it will not, directly </w:t>
      </w:r>
      <w:r>
        <w:rPr>
          <w:rFonts w:ascii="Arial" w:cs="Arial" w:eastAsia="Arial" w:hAnsi="Arial"/>
          <w:sz w:val="11"/>
          <w:szCs w:val="11"/>
          <w:color w:val="5D5D5D"/>
        </w:rPr>
        <w:t>or</w:t>
      </w:r>
      <w:r>
        <w:rPr>
          <w:rFonts w:ascii="Arial" w:cs="Arial" w:eastAsia="Arial" w:hAnsi="Arial"/>
          <w:sz w:val="11"/>
          <w:szCs w:val="11"/>
          <w:color w:val="484848"/>
        </w:rPr>
        <w:t xml:space="preserve"> indirectly, </w:t>
      </w:r>
      <w:r>
        <w:rPr>
          <w:rFonts w:ascii="Arial" w:cs="Arial" w:eastAsia="Arial" w:hAnsi="Arial"/>
          <w:sz w:val="11"/>
          <w:szCs w:val="11"/>
          <w:color w:val="5D5D5D"/>
        </w:rPr>
        <w:t>sue,</w:t>
      </w:r>
      <w:r>
        <w:rPr>
          <w:rFonts w:ascii="Arial" w:cs="Arial" w:eastAsia="Arial" w:hAnsi="Arial"/>
          <w:sz w:val="11"/>
          <w:szCs w:val="11"/>
          <w:color w:val="484848"/>
        </w:rPr>
        <w:t xml:space="preserve"> commence </w:t>
      </w:r>
      <w:r>
        <w:rPr>
          <w:rFonts w:ascii="Arial" w:cs="Arial" w:eastAsia="Arial" w:hAnsi="Arial"/>
          <w:sz w:val="11"/>
          <w:szCs w:val="11"/>
          <w:color w:val="5D5D5D"/>
        </w:rPr>
        <w:t>any</w:t>
      </w:r>
      <w:r>
        <w:rPr>
          <w:rFonts w:ascii="Arial" w:cs="Arial" w:eastAsia="Arial" w:hAnsi="Arial"/>
          <w:sz w:val="11"/>
          <w:szCs w:val="11"/>
          <w:color w:val="484848"/>
        </w:rPr>
        <w:t xml:space="preserve"> proceeding </w:t>
      </w:r>
      <w:r>
        <w:rPr>
          <w:rFonts w:ascii="Arial" w:cs="Arial" w:eastAsia="Arial" w:hAnsi="Arial"/>
          <w:sz w:val="11"/>
          <w:szCs w:val="11"/>
          <w:color w:val="5D5D5D"/>
        </w:rPr>
        <w:t>against,</w:t>
      </w:r>
      <w:r>
        <w:rPr>
          <w:rFonts w:ascii="Arial" w:cs="Arial" w:eastAsia="Arial" w:hAnsi="Arial"/>
          <w:sz w:val="11"/>
          <w:szCs w:val="11"/>
          <w:color w:val="484848"/>
        </w:rPr>
        <w:t xml:space="preserve"> or make any demand upon any LTLLC Released Party in respect of any </w:t>
      </w:r>
      <w:r>
        <w:rPr>
          <w:rFonts w:ascii="Arial" w:cs="Arial" w:eastAsia="Arial" w:hAnsi="Arial"/>
          <w:sz w:val="11"/>
          <w:szCs w:val="11"/>
          <w:color w:val="5D5D5D"/>
        </w:rPr>
        <w:t>of</w:t>
      </w:r>
      <w:r>
        <w:rPr>
          <w:rFonts w:ascii="Arial" w:cs="Arial" w:eastAsia="Arial" w:hAnsi="Arial"/>
          <w:sz w:val="11"/>
          <w:szCs w:val="11"/>
          <w:color w:val="484848"/>
        </w:rPr>
        <w:t xml:space="preserve"> the matters released and discharged pursuant to this Section 3. As a matter </w:t>
      </w:r>
      <w:r>
        <w:rPr>
          <w:rFonts w:ascii="Arial" w:cs="Arial" w:eastAsia="Arial" w:hAnsi="Arial"/>
          <w:sz w:val="11"/>
          <w:szCs w:val="11"/>
          <w:color w:val="5D5D5D"/>
        </w:rPr>
        <w:t>of</w:t>
      </w:r>
      <w:r>
        <w:rPr>
          <w:rFonts w:ascii="Arial" w:cs="Arial" w:eastAsia="Arial" w:hAnsi="Arial"/>
          <w:sz w:val="11"/>
          <w:szCs w:val="11"/>
          <w:color w:val="484848"/>
        </w:rPr>
        <w:t xml:space="preserve"> clarification, this release does not release any </w:t>
      </w:r>
      <w:r>
        <w:rPr>
          <w:rFonts w:ascii="Arial" w:cs="Arial" w:eastAsia="Arial" w:hAnsi="Arial"/>
          <w:sz w:val="11"/>
          <w:szCs w:val="11"/>
          <w:color w:val="5D5D5D"/>
        </w:rPr>
        <w:t>claims</w:t>
      </w:r>
      <w:r>
        <w:rPr>
          <w:rFonts w:ascii="Arial" w:cs="Arial" w:eastAsia="Arial" w:hAnsi="Arial"/>
          <w:sz w:val="11"/>
          <w:szCs w:val="11"/>
          <w:color w:val="484848"/>
        </w:rPr>
        <w:t xml:space="preserve"> that Margaret </w:t>
      </w:r>
      <w:r>
        <w:rPr>
          <w:rFonts w:ascii="Arial" w:cs="Arial" w:eastAsia="Arial" w:hAnsi="Arial"/>
          <w:sz w:val="11"/>
          <w:szCs w:val="11"/>
          <w:color w:val="5D5D5D"/>
        </w:rPr>
        <w:t>Cotter,</w:t>
      </w:r>
      <w:r>
        <w:rPr>
          <w:rFonts w:ascii="Arial" w:cs="Arial" w:eastAsia="Arial" w:hAnsi="Arial"/>
          <w:sz w:val="11"/>
          <w:szCs w:val="11"/>
          <w:color w:val="484848"/>
        </w:rPr>
        <w:t xml:space="preserve"> the </w:t>
      </w:r>
      <w:r>
        <w:rPr>
          <w:rFonts w:ascii="Arial" w:cs="Arial" w:eastAsia="Arial" w:hAnsi="Arial"/>
          <w:sz w:val="11"/>
          <w:szCs w:val="11"/>
          <w:color w:val="5D5D5D"/>
        </w:rPr>
        <w:t>sole</w:t>
      </w:r>
      <w:r>
        <w:rPr>
          <w:rFonts w:ascii="Arial" w:cs="Arial" w:eastAsia="Arial" w:hAnsi="Arial"/>
          <w:sz w:val="11"/>
          <w:szCs w:val="11"/>
          <w:color w:val="484848"/>
        </w:rPr>
        <w:t xml:space="preserve"> member </w:t>
      </w:r>
      <w:r>
        <w:rPr>
          <w:rFonts w:ascii="Arial" w:cs="Arial" w:eastAsia="Arial" w:hAnsi="Arial"/>
          <w:sz w:val="11"/>
          <w:szCs w:val="11"/>
          <w:color w:val="5D5D5D"/>
        </w:rPr>
        <w:t>of</w:t>
      </w:r>
      <w:r>
        <w:rPr>
          <w:rFonts w:ascii="Arial" w:cs="Arial" w:eastAsia="Arial" w:hAnsi="Arial"/>
          <w:sz w:val="11"/>
          <w:szCs w:val="11"/>
          <w:color w:val="484848"/>
        </w:rPr>
        <w:t xml:space="preserve"> LTLLC</w:t>
      </w:r>
      <w:r>
        <w:rPr>
          <w:rFonts w:ascii="Arial" w:cs="Arial" w:eastAsia="Arial" w:hAnsi="Arial"/>
          <w:sz w:val="11"/>
          <w:szCs w:val="11"/>
          <w:color w:val="777777"/>
        </w:rPr>
        <w:t>,</w:t>
      </w:r>
      <w:r>
        <w:rPr>
          <w:rFonts w:ascii="Arial" w:cs="Arial" w:eastAsia="Arial" w:hAnsi="Arial"/>
          <w:sz w:val="11"/>
          <w:szCs w:val="11"/>
          <w:color w:val="484848"/>
        </w:rPr>
        <w:t xml:space="preserve"> may have against LTLLC</w:t>
      </w:r>
      <w:r>
        <w:rPr>
          <w:rFonts w:ascii="Arial" w:cs="Arial" w:eastAsia="Arial" w:hAnsi="Arial"/>
          <w:sz w:val="11"/>
          <w:szCs w:val="11"/>
          <w:color w:val="777777"/>
        </w:rPr>
        <w:t>,</w:t>
      </w:r>
      <w:r>
        <w:rPr>
          <w:rFonts w:ascii="Arial" w:cs="Arial" w:eastAsia="Arial" w:hAnsi="Arial"/>
          <w:sz w:val="11"/>
          <w:szCs w:val="11"/>
          <w:color w:val="484848"/>
        </w:rPr>
        <w:t xml:space="preserve"> </w:t>
      </w:r>
      <w:r>
        <w:rPr>
          <w:rFonts w:ascii="Arial" w:cs="Arial" w:eastAsia="Arial" w:hAnsi="Arial"/>
          <w:sz w:val="11"/>
          <w:szCs w:val="11"/>
          <w:color w:val="5D5D5D"/>
        </w:rPr>
        <w:t>or</w:t>
      </w:r>
      <w:r>
        <w:rPr>
          <w:rFonts w:ascii="Arial" w:cs="Arial" w:eastAsia="Arial" w:hAnsi="Arial"/>
          <w:sz w:val="11"/>
          <w:szCs w:val="11"/>
          <w:color w:val="484848"/>
        </w:rPr>
        <w:t xml:space="preserve"> any of its affiliates, in her </w:t>
      </w:r>
      <w:r>
        <w:rPr>
          <w:rFonts w:ascii="Arial" w:cs="Arial" w:eastAsia="Arial" w:hAnsi="Arial"/>
          <w:sz w:val="11"/>
          <w:szCs w:val="11"/>
          <w:color w:val="2D2D2D"/>
        </w:rPr>
        <w:t>i</w:t>
      </w:r>
      <w:r>
        <w:rPr>
          <w:rFonts w:ascii="Arial" w:cs="Arial" w:eastAsia="Arial" w:hAnsi="Arial"/>
          <w:sz w:val="11"/>
          <w:szCs w:val="11"/>
          <w:color w:val="484848"/>
        </w:rPr>
        <w:t>ndividua</w:t>
      </w:r>
      <w:r>
        <w:rPr>
          <w:rFonts w:ascii="Arial" w:cs="Arial" w:eastAsia="Arial" w:hAnsi="Arial"/>
          <w:sz w:val="11"/>
          <w:szCs w:val="11"/>
          <w:color w:val="2D2D2D"/>
        </w:rPr>
        <w:t>l</w:t>
      </w:r>
      <w:r>
        <w:rPr>
          <w:rFonts w:ascii="Arial" w:cs="Arial" w:eastAsia="Arial" w:hAnsi="Arial"/>
          <w:sz w:val="11"/>
          <w:szCs w:val="11"/>
          <w:color w:val="484848"/>
        </w:rPr>
        <w:t xml:space="preserve"> </w:t>
      </w:r>
      <w:r>
        <w:rPr>
          <w:rFonts w:ascii="Arial" w:cs="Arial" w:eastAsia="Arial" w:hAnsi="Arial"/>
          <w:sz w:val="11"/>
          <w:szCs w:val="11"/>
          <w:color w:val="5D5D5D"/>
        </w:rPr>
        <w:t>capacity</w:t>
      </w:r>
      <w:r>
        <w:rPr>
          <w:rFonts w:ascii="Arial" w:cs="Arial" w:eastAsia="Arial" w:hAnsi="Arial"/>
          <w:sz w:val="11"/>
          <w:szCs w:val="11"/>
          <w:color w:val="484848"/>
        </w:rPr>
        <w:t xml:space="preserve"> as an executive or manager </w:t>
      </w:r>
      <w:r>
        <w:rPr>
          <w:rFonts w:ascii="Arial" w:cs="Arial" w:eastAsia="Arial" w:hAnsi="Arial"/>
          <w:sz w:val="11"/>
          <w:szCs w:val="11"/>
          <w:color w:val="5D5D5D"/>
        </w:rPr>
        <w:t>or</w:t>
      </w:r>
      <w:r>
        <w:rPr>
          <w:rFonts w:ascii="Arial" w:cs="Arial" w:eastAsia="Arial" w:hAnsi="Arial"/>
          <w:sz w:val="11"/>
          <w:szCs w:val="11"/>
          <w:color w:val="484848"/>
        </w:rPr>
        <w:t xml:space="preserve"> LTLLC and/or in her capacity as an </w:t>
      </w:r>
      <w:r>
        <w:rPr>
          <w:rFonts w:ascii="Arial" w:cs="Arial" w:eastAsia="Arial" w:hAnsi="Arial"/>
          <w:sz w:val="11"/>
          <w:szCs w:val="11"/>
          <w:color w:val="5D5D5D"/>
        </w:rPr>
        <w:t>officer,</w:t>
      </w:r>
      <w:r>
        <w:rPr>
          <w:rFonts w:ascii="Arial" w:cs="Arial" w:eastAsia="Arial" w:hAnsi="Arial"/>
          <w:sz w:val="11"/>
          <w:szCs w:val="11"/>
          <w:color w:val="484848"/>
        </w:rPr>
        <w:t xml:space="preserve"> director, and/or </w:t>
      </w:r>
      <w:r>
        <w:rPr>
          <w:rFonts w:ascii="Arial" w:cs="Arial" w:eastAsia="Arial" w:hAnsi="Arial"/>
          <w:sz w:val="11"/>
          <w:szCs w:val="11"/>
          <w:color w:val="5D5D5D"/>
        </w:rPr>
        <w:t>stockholder</w:t>
      </w:r>
      <w:r>
        <w:rPr>
          <w:rFonts w:ascii="Arial" w:cs="Arial" w:eastAsia="Arial" w:hAnsi="Arial"/>
          <w:sz w:val="11"/>
          <w:szCs w:val="11"/>
          <w:color w:val="484848"/>
        </w:rPr>
        <w:t xml:space="preserve"> of Reading International, Inc.</w:t>
      </w:r>
    </w:p>
    <w:p>
      <w:pPr>
        <w:spacing w:after="0" w:line="100" w:lineRule="exact"/>
        <w:rPr>
          <w:sz w:val="20"/>
          <w:szCs w:val="20"/>
          <w:color w:val="auto"/>
        </w:rPr>
      </w:pPr>
    </w:p>
    <w:p>
      <w:pPr>
        <w:jc w:val="both"/>
        <w:ind w:left="80" w:firstLine="2"/>
        <w:spacing w:after="0" w:line="209" w:lineRule="auto"/>
        <w:tabs>
          <w:tab w:leader="none" w:pos="200" w:val="left"/>
        </w:tabs>
        <w:numPr>
          <w:ilvl w:val="1"/>
          <w:numId w:val="201"/>
        </w:numPr>
        <w:rPr>
          <w:rFonts w:ascii="Arial" w:cs="Arial" w:eastAsia="Arial" w:hAnsi="Arial"/>
          <w:sz w:val="12"/>
          <w:szCs w:val="12"/>
          <w:color w:val="484848"/>
        </w:rPr>
      </w:pPr>
      <w:r>
        <w:rPr>
          <w:rFonts w:ascii="Arial" w:cs="Arial" w:eastAsia="Arial" w:hAnsi="Arial"/>
          <w:sz w:val="12"/>
          <w:szCs w:val="12"/>
          <w:color w:val="484848"/>
        </w:rPr>
        <w:t xml:space="preserve">LTLLC does hereby irrevocably </w:t>
      </w:r>
      <w:r>
        <w:rPr>
          <w:rFonts w:ascii="Arial" w:cs="Arial" w:eastAsia="Arial" w:hAnsi="Arial"/>
          <w:sz w:val="12"/>
          <w:szCs w:val="12"/>
          <w:color w:val="777777"/>
        </w:rPr>
        <w:t>,</w:t>
      </w:r>
      <w:r>
        <w:rPr>
          <w:rFonts w:ascii="Arial" w:cs="Arial" w:eastAsia="Arial" w:hAnsi="Arial"/>
          <w:sz w:val="12"/>
          <w:szCs w:val="12"/>
          <w:color w:val="484848"/>
        </w:rPr>
        <w:t xml:space="preserve"> unconditionally, </w:t>
      </w:r>
      <w:r>
        <w:rPr>
          <w:rFonts w:ascii="Arial" w:cs="Arial" w:eastAsia="Arial" w:hAnsi="Arial"/>
          <w:sz w:val="12"/>
          <w:szCs w:val="12"/>
          <w:color w:val="5D5D5D"/>
        </w:rPr>
        <w:t>voluntari</w:t>
      </w:r>
      <w:r>
        <w:rPr>
          <w:rFonts w:ascii="Arial" w:cs="Arial" w:eastAsia="Arial" w:hAnsi="Arial"/>
          <w:sz w:val="12"/>
          <w:szCs w:val="12"/>
          <w:color w:val="2D2D2D"/>
        </w:rPr>
        <w:t>l</w:t>
      </w:r>
      <w:r>
        <w:rPr>
          <w:rFonts w:ascii="Arial" w:cs="Arial" w:eastAsia="Arial" w:hAnsi="Arial"/>
          <w:sz w:val="12"/>
          <w:szCs w:val="12"/>
          <w:color w:val="484848"/>
        </w:rPr>
        <w:t>y</w:t>
      </w:r>
      <w:r>
        <w:rPr>
          <w:rFonts w:ascii="Arial" w:cs="Arial" w:eastAsia="Arial" w:hAnsi="Arial"/>
          <w:sz w:val="12"/>
          <w:szCs w:val="12"/>
          <w:color w:val="777777"/>
        </w:rPr>
        <w:t>,</w:t>
      </w:r>
      <w:r>
        <w:rPr>
          <w:rFonts w:ascii="Arial" w:cs="Arial" w:eastAsia="Arial" w:hAnsi="Arial"/>
          <w:sz w:val="12"/>
          <w:szCs w:val="12"/>
          <w:color w:val="484848"/>
        </w:rPr>
        <w:t xml:space="preserve"> knowingly, fully, finally and comp</w:t>
      </w:r>
      <w:r>
        <w:rPr>
          <w:rFonts w:ascii="Arial" w:cs="Arial" w:eastAsia="Arial" w:hAnsi="Arial"/>
          <w:sz w:val="12"/>
          <w:szCs w:val="12"/>
          <w:color w:val="2D2D2D"/>
        </w:rPr>
        <w:t>l</w:t>
      </w:r>
      <w:r>
        <w:rPr>
          <w:rFonts w:ascii="Arial" w:cs="Arial" w:eastAsia="Arial" w:hAnsi="Arial"/>
          <w:sz w:val="12"/>
          <w:szCs w:val="12"/>
          <w:color w:val="484848"/>
        </w:rPr>
        <w:t xml:space="preserve">etely forever releases and discharges OBI and its parents, subsidiaries, divisions, affiliates (that currently exist </w:t>
      </w:r>
      <w:r>
        <w:rPr>
          <w:rFonts w:ascii="Arial" w:cs="Arial" w:eastAsia="Arial" w:hAnsi="Arial"/>
          <w:sz w:val="12"/>
          <w:szCs w:val="12"/>
          <w:color w:val="5D5D5D"/>
        </w:rPr>
        <w:t>or</w:t>
      </w:r>
      <w:r>
        <w:rPr>
          <w:rFonts w:ascii="Arial" w:cs="Arial" w:eastAsia="Arial" w:hAnsi="Arial"/>
          <w:sz w:val="12"/>
          <w:szCs w:val="12"/>
          <w:color w:val="484848"/>
        </w:rPr>
        <w:t xml:space="preserve"> may exist in </w:t>
      </w:r>
      <w:r>
        <w:rPr>
          <w:rFonts w:ascii="Arial" w:cs="Arial" w:eastAsia="Arial" w:hAnsi="Arial"/>
          <w:sz w:val="12"/>
          <w:szCs w:val="12"/>
          <w:color w:val="5D5D5D"/>
        </w:rPr>
        <w:t>the</w:t>
      </w:r>
      <w:r>
        <w:rPr>
          <w:rFonts w:ascii="Arial" w:cs="Arial" w:eastAsia="Arial" w:hAnsi="Arial"/>
          <w:sz w:val="12"/>
          <w:szCs w:val="12"/>
          <w:color w:val="484848"/>
        </w:rPr>
        <w:t xml:space="preserve"> future), </w:t>
      </w:r>
      <w:r>
        <w:rPr>
          <w:rFonts w:ascii="Arial" w:cs="Arial" w:eastAsia="Arial" w:hAnsi="Arial"/>
          <w:sz w:val="12"/>
          <w:szCs w:val="12"/>
          <w:color w:val="5D5D5D"/>
        </w:rPr>
        <w:t>successors</w:t>
      </w:r>
      <w:r>
        <w:rPr>
          <w:rFonts w:ascii="Arial" w:cs="Arial" w:eastAsia="Arial" w:hAnsi="Arial"/>
          <w:sz w:val="12"/>
          <w:szCs w:val="12"/>
          <w:color w:val="777777"/>
        </w:rPr>
        <w:t>,</w:t>
      </w:r>
      <w:r>
        <w:rPr>
          <w:rFonts w:ascii="Arial" w:cs="Arial" w:eastAsia="Arial" w:hAnsi="Arial"/>
          <w:sz w:val="12"/>
          <w:szCs w:val="12"/>
          <w:color w:val="484848"/>
        </w:rPr>
        <w:t xml:space="preserve"> assigns and predecessors and their present </w:t>
      </w:r>
      <w:r>
        <w:rPr>
          <w:rFonts w:ascii="Arial" w:cs="Arial" w:eastAsia="Arial" w:hAnsi="Arial"/>
          <w:sz w:val="12"/>
          <w:szCs w:val="12"/>
          <w:color w:val="5D5D5D"/>
        </w:rPr>
        <w:t>and</w:t>
      </w:r>
      <w:r>
        <w:rPr>
          <w:rFonts w:ascii="Arial" w:cs="Arial" w:eastAsia="Arial" w:hAnsi="Arial"/>
          <w:sz w:val="12"/>
          <w:szCs w:val="12"/>
          <w:color w:val="484848"/>
        </w:rPr>
        <w:t xml:space="preserve"> former owners</w:t>
      </w:r>
      <w:r>
        <w:rPr>
          <w:rFonts w:ascii="Arial" w:cs="Arial" w:eastAsia="Arial" w:hAnsi="Arial"/>
          <w:sz w:val="12"/>
          <w:szCs w:val="12"/>
          <w:color w:val="777777"/>
        </w:rPr>
        <w:t>,</w:t>
      </w:r>
      <w:r>
        <w:rPr>
          <w:rFonts w:ascii="Arial" w:cs="Arial" w:eastAsia="Arial" w:hAnsi="Arial"/>
          <w:sz w:val="12"/>
          <w:szCs w:val="12"/>
          <w:color w:val="484848"/>
        </w:rPr>
        <w:t xml:space="preserve"> </w:t>
      </w:r>
      <w:r>
        <w:rPr>
          <w:rFonts w:ascii="Arial" w:cs="Arial" w:eastAsia="Arial" w:hAnsi="Arial"/>
          <w:sz w:val="12"/>
          <w:szCs w:val="12"/>
          <w:color w:val="5D5D5D"/>
        </w:rPr>
        <w:t>stockholders</w:t>
      </w:r>
      <w:r>
        <w:rPr>
          <w:rFonts w:ascii="Arial" w:cs="Arial" w:eastAsia="Arial" w:hAnsi="Arial"/>
          <w:sz w:val="12"/>
          <w:szCs w:val="12"/>
          <w:color w:val="777777"/>
        </w:rPr>
        <w:t>,</w:t>
      </w:r>
      <w:r>
        <w:rPr>
          <w:rFonts w:ascii="Arial" w:cs="Arial" w:eastAsia="Arial" w:hAnsi="Arial"/>
          <w:sz w:val="12"/>
          <w:szCs w:val="12"/>
          <w:color w:val="484848"/>
        </w:rPr>
        <w:t xml:space="preserve"> members, managers </w:t>
      </w:r>
      <w:r>
        <w:rPr>
          <w:rFonts w:ascii="Arial" w:cs="Arial" w:eastAsia="Arial" w:hAnsi="Arial"/>
          <w:sz w:val="12"/>
          <w:szCs w:val="12"/>
          <w:color w:val="777777"/>
        </w:rPr>
        <w:t>,</w:t>
      </w:r>
      <w:r>
        <w:rPr>
          <w:rFonts w:ascii="Arial" w:cs="Arial" w:eastAsia="Arial" w:hAnsi="Arial"/>
          <w:sz w:val="12"/>
          <w:szCs w:val="12"/>
          <w:color w:val="484848"/>
        </w:rPr>
        <w:t xml:space="preserve"> directors, officers, employees, agents, attorneys, representatives, </w:t>
      </w:r>
      <w:r>
        <w:rPr>
          <w:rFonts w:ascii="Arial" w:cs="Arial" w:eastAsia="Arial" w:hAnsi="Arial"/>
          <w:sz w:val="12"/>
          <w:szCs w:val="12"/>
          <w:color w:val="5D5D5D"/>
        </w:rPr>
        <w:t>successors,</w:t>
      </w:r>
      <w:r>
        <w:rPr>
          <w:rFonts w:ascii="Arial" w:cs="Arial" w:eastAsia="Arial" w:hAnsi="Arial"/>
          <w:sz w:val="12"/>
          <w:szCs w:val="12"/>
          <w:color w:val="484848"/>
        </w:rPr>
        <w:t xml:space="preserve"> beneficiaries, heirs and assigns</w:t>
      </w:r>
      <w:r>
        <w:rPr>
          <w:rFonts w:ascii="Arial" w:cs="Arial" w:eastAsia="Arial" w:hAnsi="Arial"/>
          <w:sz w:val="12"/>
          <w:szCs w:val="12"/>
          <w:color w:val="777777"/>
        </w:rPr>
        <w:t>,</w:t>
      </w:r>
      <w:r>
        <w:rPr>
          <w:rFonts w:ascii="Arial" w:cs="Arial" w:eastAsia="Arial" w:hAnsi="Arial"/>
          <w:sz w:val="12"/>
          <w:szCs w:val="12"/>
          <w:color w:val="484848"/>
        </w:rPr>
        <w:t xml:space="preserve"> individually and collectively (the </w:t>
      </w:r>
      <w:r>
        <w:rPr>
          <w:rFonts w:ascii="Arial" w:cs="Arial" w:eastAsia="Arial" w:hAnsi="Arial"/>
          <w:sz w:val="12"/>
          <w:szCs w:val="12"/>
          <w:color w:val="5D5D5D"/>
        </w:rPr>
        <w:t>"OBI</w:t>
      </w:r>
      <w:r>
        <w:rPr>
          <w:rFonts w:ascii="Arial" w:cs="Arial" w:eastAsia="Arial" w:hAnsi="Arial"/>
          <w:sz w:val="12"/>
          <w:szCs w:val="12"/>
          <w:color w:val="484848"/>
        </w:rPr>
        <w:t xml:space="preserve"> Released Parties") from, against and </w:t>
      </w:r>
      <w:r>
        <w:rPr>
          <w:rFonts w:ascii="Arial" w:cs="Arial" w:eastAsia="Arial" w:hAnsi="Arial"/>
          <w:sz w:val="12"/>
          <w:szCs w:val="12"/>
          <w:color w:val="5D5D5D"/>
        </w:rPr>
        <w:t>with</w:t>
      </w:r>
      <w:r>
        <w:rPr>
          <w:rFonts w:ascii="Arial" w:cs="Arial" w:eastAsia="Arial" w:hAnsi="Arial"/>
          <w:sz w:val="12"/>
          <w:szCs w:val="12"/>
          <w:color w:val="484848"/>
        </w:rPr>
        <w:t xml:space="preserve"> respect to any and all actions</w:t>
      </w:r>
      <w:r>
        <w:rPr>
          <w:rFonts w:ascii="Arial" w:cs="Arial" w:eastAsia="Arial" w:hAnsi="Arial"/>
          <w:sz w:val="12"/>
          <w:szCs w:val="12"/>
          <w:color w:val="777777"/>
        </w:rPr>
        <w:t>,</w:t>
      </w:r>
      <w:r>
        <w:rPr>
          <w:rFonts w:ascii="Arial" w:cs="Arial" w:eastAsia="Arial" w:hAnsi="Arial"/>
          <w:sz w:val="12"/>
          <w:szCs w:val="12"/>
          <w:color w:val="484848"/>
        </w:rPr>
        <w:t xml:space="preserve"> </w:t>
      </w:r>
      <w:r>
        <w:rPr>
          <w:rFonts w:ascii="Arial" w:cs="Arial" w:eastAsia="Arial" w:hAnsi="Arial"/>
          <w:sz w:val="12"/>
          <w:szCs w:val="12"/>
          <w:color w:val="5D5D5D"/>
        </w:rPr>
        <w:t>accounts,</w:t>
      </w:r>
      <w:r>
        <w:rPr>
          <w:rFonts w:ascii="Arial" w:cs="Arial" w:eastAsia="Arial" w:hAnsi="Arial"/>
          <w:sz w:val="12"/>
          <w:szCs w:val="12"/>
          <w:color w:val="484848"/>
        </w:rPr>
        <w:t xml:space="preserve"> agreements, causes </w:t>
      </w:r>
      <w:r>
        <w:rPr>
          <w:rFonts w:ascii="Arial" w:cs="Arial" w:eastAsia="Arial" w:hAnsi="Arial"/>
          <w:sz w:val="12"/>
          <w:szCs w:val="12"/>
          <w:color w:val="5D5D5D"/>
        </w:rPr>
        <w:t>of</w:t>
      </w:r>
      <w:r>
        <w:rPr>
          <w:rFonts w:ascii="Arial" w:cs="Arial" w:eastAsia="Arial" w:hAnsi="Arial"/>
          <w:sz w:val="12"/>
          <w:szCs w:val="12"/>
          <w:color w:val="484848"/>
        </w:rPr>
        <w:t xml:space="preserve"> action, complaints, </w:t>
      </w:r>
      <w:r>
        <w:rPr>
          <w:rFonts w:ascii="Arial" w:cs="Arial" w:eastAsia="Arial" w:hAnsi="Arial"/>
          <w:sz w:val="12"/>
          <w:szCs w:val="12"/>
          <w:color w:val="5D5D5D"/>
        </w:rPr>
        <w:t>charges,</w:t>
      </w:r>
      <w:r>
        <w:rPr>
          <w:rFonts w:ascii="Arial" w:cs="Arial" w:eastAsia="Arial" w:hAnsi="Arial"/>
          <w:sz w:val="12"/>
          <w:szCs w:val="12"/>
          <w:color w:val="484848"/>
        </w:rPr>
        <w:t xml:space="preserve"> claims</w:t>
      </w:r>
      <w:r>
        <w:rPr>
          <w:rFonts w:ascii="Arial" w:cs="Arial" w:eastAsia="Arial" w:hAnsi="Arial"/>
          <w:sz w:val="12"/>
          <w:szCs w:val="12"/>
          <w:color w:val="777777"/>
        </w:rPr>
        <w:t>,</w:t>
      </w:r>
      <w:r>
        <w:rPr>
          <w:rFonts w:ascii="Arial" w:cs="Arial" w:eastAsia="Arial" w:hAnsi="Arial"/>
          <w:sz w:val="12"/>
          <w:szCs w:val="12"/>
          <w:color w:val="484848"/>
        </w:rPr>
        <w:t xml:space="preserve"> </w:t>
      </w:r>
      <w:r>
        <w:rPr>
          <w:rFonts w:ascii="Arial" w:cs="Arial" w:eastAsia="Arial" w:hAnsi="Arial"/>
          <w:sz w:val="12"/>
          <w:szCs w:val="12"/>
          <w:color w:val="5D5D5D"/>
        </w:rPr>
        <w:t>covenants,</w:t>
      </w:r>
      <w:r>
        <w:rPr>
          <w:rFonts w:ascii="Arial" w:cs="Arial" w:eastAsia="Arial" w:hAnsi="Arial"/>
          <w:sz w:val="12"/>
          <w:szCs w:val="12"/>
          <w:color w:val="484848"/>
        </w:rPr>
        <w:t xml:space="preserve"> contracts</w:t>
      </w:r>
      <w:r>
        <w:rPr>
          <w:rFonts w:ascii="Arial" w:cs="Arial" w:eastAsia="Arial" w:hAnsi="Arial"/>
          <w:sz w:val="12"/>
          <w:szCs w:val="12"/>
          <w:color w:val="777777"/>
        </w:rPr>
        <w:t>,</w:t>
      </w:r>
      <w:r>
        <w:rPr>
          <w:rFonts w:ascii="Arial" w:cs="Arial" w:eastAsia="Arial" w:hAnsi="Arial"/>
          <w:sz w:val="12"/>
          <w:szCs w:val="12"/>
          <w:color w:val="484848"/>
        </w:rPr>
        <w:t xml:space="preserve"> costs, damages, demands</w:t>
      </w:r>
      <w:r>
        <w:rPr>
          <w:rFonts w:ascii="Arial" w:cs="Arial" w:eastAsia="Arial" w:hAnsi="Arial"/>
          <w:sz w:val="12"/>
          <w:szCs w:val="12"/>
          <w:color w:val="777777"/>
        </w:rPr>
        <w:t>,</w:t>
      </w:r>
      <w:r>
        <w:rPr>
          <w:rFonts w:ascii="Arial" w:cs="Arial" w:eastAsia="Arial" w:hAnsi="Arial"/>
          <w:sz w:val="12"/>
          <w:szCs w:val="12"/>
          <w:color w:val="484848"/>
        </w:rPr>
        <w:t xml:space="preserve"> debts</w:t>
      </w:r>
      <w:r>
        <w:rPr>
          <w:rFonts w:ascii="Arial" w:cs="Arial" w:eastAsia="Arial" w:hAnsi="Arial"/>
          <w:sz w:val="12"/>
          <w:szCs w:val="12"/>
          <w:color w:val="777777"/>
        </w:rPr>
        <w:t>,</w:t>
      </w:r>
      <w:r>
        <w:rPr>
          <w:rFonts w:ascii="Arial" w:cs="Arial" w:eastAsia="Arial" w:hAnsi="Arial"/>
          <w:sz w:val="12"/>
          <w:szCs w:val="12"/>
          <w:color w:val="484848"/>
        </w:rPr>
        <w:t xml:space="preserve"> defenses, duties, </w:t>
      </w:r>
      <w:r>
        <w:rPr>
          <w:rFonts w:ascii="Arial" w:cs="Arial" w:eastAsia="Arial" w:hAnsi="Arial"/>
          <w:sz w:val="12"/>
          <w:szCs w:val="12"/>
          <w:color w:val="5D5D5D"/>
        </w:rPr>
        <w:t>expenses</w:t>
      </w:r>
      <w:r>
        <w:rPr>
          <w:rFonts w:ascii="Arial" w:cs="Arial" w:eastAsia="Arial" w:hAnsi="Arial"/>
          <w:sz w:val="12"/>
          <w:szCs w:val="12"/>
          <w:color w:val="8E8E8E"/>
        </w:rPr>
        <w:t>,</w:t>
      </w:r>
      <w:r>
        <w:rPr>
          <w:rFonts w:ascii="Arial" w:cs="Arial" w:eastAsia="Arial" w:hAnsi="Arial"/>
          <w:sz w:val="12"/>
          <w:szCs w:val="12"/>
          <w:color w:val="484848"/>
        </w:rPr>
        <w:t xml:space="preserve"> </w:t>
      </w:r>
      <w:r>
        <w:rPr>
          <w:rFonts w:ascii="Arial" w:cs="Arial" w:eastAsia="Arial" w:hAnsi="Arial"/>
          <w:sz w:val="12"/>
          <w:szCs w:val="12"/>
          <w:color w:val="5D5D5D"/>
        </w:rPr>
        <w:t>executions</w:t>
      </w:r>
      <w:r>
        <w:rPr>
          <w:rFonts w:ascii="Arial" w:cs="Arial" w:eastAsia="Arial" w:hAnsi="Arial"/>
          <w:sz w:val="12"/>
          <w:szCs w:val="12"/>
          <w:color w:val="777777"/>
        </w:rPr>
        <w:t>,</w:t>
      </w:r>
      <w:r>
        <w:rPr>
          <w:rFonts w:ascii="Arial" w:cs="Arial" w:eastAsia="Arial" w:hAnsi="Arial"/>
          <w:sz w:val="12"/>
          <w:szCs w:val="12"/>
          <w:color w:val="484848"/>
        </w:rPr>
        <w:t xml:space="preserve"> fees</w:t>
      </w:r>
      <w:r>
        <w:rPr>
          <w:rFonts w:ascii="Arial" w:cs="Arial" w:eastAsia="Arial" w:hAnsi="Arial"/>
          <w:sz w:val="12"/>
          <w:szCs w:val="12"/>
          <w:color w:val="777777"/>
        </w:rPr>
        <w:t>,</w:t>
      </w:r>
      <w:r>
        <w:rPr>
          <w:rFonts w:ascii="Arial" w:cs="Arial" w:eastAsia="Arial" w:hAnsi="Arial"/>
          <w:sz w:val="12"/>
          <w:szCs w:val="12"/>
          <w:color w:val="484848"/>
        </w:rPr>
        <w:t xml:space="preserve"> injuries</w:t>
      </w:r>
      <w:r>
        <w:rPr>
          <w:rFonts w:ascii="Arial" w:cs="Arial" w:eastAsia="Arial" w:hAnsi="Arial"/>
          <w:sz w:val="12"/>
          <w:szCs w:val="12"/>
          <w:color w:val="777777"/>
        </w:rPr>
        <w:t>,</w:t>
      </w:r>
      <w:r>
        <w:rPr>
          <w:rFonts w:ascii="Arial" w:cs="Arial" w:eastAsia="Arial" w:hAnsi="Arial"/>
          <w:sz w:val="12"/>
          <w:szCs w:val="12"/>
          <w:color w:val="484848"/>
        </w:rPr>
        <w:t xml:space="preserve"> interest, judgments, liabilities, los</w:t>
      </w:r>
      <w:r>
        <w:rPr>
          <w:rFonts w:ascii="Arial" w:cs="Arial" w:eastAsia="Arial" w:hAnsi="Arial"/>
          <w:sz w:val="12"/>
          <w:szCs w:val="12"/>
          <w:color w:val="777777"/>
        </w:rPr>
        <w:t>s</w:t>
      </w:r>
      <w:r>
        <w:rPr>
          <w:rFonts w:ascii="Arial" w:cs="Arial" w:eastAsia="Arial" w:hAnsi="Arial"/>
          <w:sz w:val="12"/>
          <w:szCs w:val="12"/>
          <w:color w:val="5D5D5D"/>
        </w:rPr>
        <w:t>es</w:t>
      </w:r>
      <w:r>
        <w:rPr>
          <w:rFonts w:ascii="Arial" w:cs="Arial" w:eastAsia="Arial" w:hAnsi="Arial"/>
          <w:sz w:val="12"/>
          <w:szCs w:val="12"/>
          <w:color w:val="777777"/>
        </w:rPr>
        <w:t>,</w:t>
      </w:r>
      <w:r>
        <w:rPr>
          <w:rFonts w:ascii="Arial" w:cs="Arial" w:eastAsia="Arial" w:hAnsi="Arial"/>
          <w:sz w:val="12"/>
          <w:szCs w:val="12"/>
          <w:color w:val="484848"/>
        </w:rPr>
        <w:t xml:space="preserve"> </w:t>
      </w:r>
      <w:r>
        <w:rPr>
          <w:rFonts w:ascii="Arial" w:cs="Arial" w:eastAsia="Arial" w:hAnsi="Arial"/>
          <w:sz w:val="12"/>
          <w:szCs w:val="12"/>
          <w:color w:val="5D5D5D"/>
        </w:rPr>
        <w:t>obligations,</w:t>
      </w:r>
      <w:r>
        <w:rPr>
          <w:rFonts w:ascii="Arial" w:cs="Arial" w:eastAsia="Arial" w:hAnsi="Arial"/>
          <w:sz w:val="12"/>
          <w:szCs w:val="12"/>
          <w:color w:val="484848"/>
        </w:rPr>
        <w:t xml:space="preserve"> penalties</w:t>
      </w:r>
      <w:r>
        <w:rPr>
          <w:rFonts w:ascii="Arial" w:cs="Arial" w:eastAsia="Arial" w:hAnsi="Arial"/>
          <w:sz w:val="12"/>
          <w:szCs w:val="12"/>
          <w:color w:val="777777"/>
        </w:rPr>
        <w:t>,</w:t>
      </w:r>
      <w:r>
        <w:rPr>
          <w:rFonts w:ascii="Arial" w:cs="Arial" w:eastAsia="Arial" w:hAnsi="Arial"/>
          <w:sz w:val="12"/>
          <w:szCs w:val="12"/>
          <w:color w:val="484848"/>
        </w:rPr>
        <w:t xml:space="preserve"> promises </w:t>
      </w:r>
      <w:r>
        <w:rPr>
          <w:rFonts w:ascii="Arial" w:cs="Arial" w:eastAsia="Arial" w:hAnsi="Arial"/>
          <w:sz w:val="12"/>
          <w:szCs w:val="12"/>
          <w:color w:val="777777"/>
        </w:rPr>
        <w:t>,</w:t>
      </w:r>
      <w:r>
        <w:rPr>
          <w:rFonts w:ascii="Arial" w:cs="Arial" w:eastAsia="Arial" w:hAnsi="Arial"/>
          <w:sz w:val="12"/>
          <w:szCs w:val="12"/>
          <w:color w:val="484848"/>
        </w:rPr>
        <w:t xml:space="preserve"> reimbursements </w:t>
      </w:r>
      <w:r>
        <w:rPr>
          <w:rFonts w:ascii="Arial" w:cs="Arial" w:eastAsia="Arial" w:hAnsi="Arial"/>
          <w:sz w:val="12"/>
          <w:szCs w:val="12"/>
          <w:color w:val="777777"/>
        </w:rPr>
        <w:t>,</w:t>
      </w:r>
      <w:r>
        <w:rPr>
          <w:rFonts w:ascii="Arial" w:cs="Arial" w:eastAsia="Arial" w:hAnsi="Arial"/>
          <w:sz w:val="12"/>
          <w:szCs w:val="12"/>
          <w:color w:val="484848"/>
        </w:rPr>
        <w:t xml:space="preserve"> </w:t>
      </w:r>
      <w:r>
        <w:rPr>
          <w:rFonts w:ascii="Arial" w:cs="Arial" w:eastAsia="Arial" w:hAnsi="Arial"/>
          <w:sz w:val="12"/>
          <w:szCs w:val="12"/>
          <w:color w:val="5D5D5D"/>
        </w:rPr>
        <w:t>remedies</w:t>
      </w:r>
      <w:r>
        <w:rPr>
          <w:rFonts w:ascii="Arial" w:cs="Arial" w:eastAsia="Arial" w:hAnsi="Arial"/>
          <w:sz w:val="12"/>
          <w:szCs w:val="12"/>
          <w:color w:val="484848"/>
        </w:rPr>
        <w:t xml:space="preserve"> </w:t>
      </w:r>
      <w:r>
        <w:rPr>
          <w:rFonts w:ascii="Arial" w:cs="Arial" w:eastAsia="Arial" w:hAnsi="Arial"/>
          <w:sz w:val="12"/>
          <w:szCs w:val="12"/>
          <w:color w:val="777777"/>
        </w:rPr>
        <w:t>, s</w:t>
      </w:r>
      <w:r>
        <w:rPr>
          <w:rFonts w:ascii="Arial" w:cs="Arial" w:eastAsia="Arial" w:hAnsi="Arial"/>
          <w:sz w:val="12"/>
          <w:szCs w:val="12"/>
          <w:color w:val="484848"/>
        </w:rPr>
        <w:t>uits, sums of money</w:t>
      </w:r>
      <w:r>
        <w:rPr>
          <w:rFonts w:ascii="Arial" w:cs="Arial" w:eastAsia="Arial" w:hAnsi="Arial"/>
          <w:sz w:val="12"/>
          <w:szCs w:val="12"/>
          <w:color w:val="777777"/>
        </w:rPr>
        <w:t>,</w:t>
      </w:r>
      <w:r>
        <w:rPr>
          <w:rFonts w:ascii="Arial" w:cs="Arial" w:eastAsia="Arial" w:hAnsi="Arial"/>
          <w:sz w:val="12"/>
          <w:szCs w:val="12"/>
          <w:color w:val="484848"/>
        </w:rPr>
        <w:t xml:space="preserve"> and torts </w:t>
      </w:r>
      <w:r>
        <w:rPr>
          <w:rFonts w:ascii="Arial" w:cs="Arial" w:eastAsia="Arial" w:hAnsi="Arial"/>
          <w:sz w:val="12"/>
          <w:szCs w:val="12"/>
          <w:color w:val="5D5D5D"/>
        </w:rPr>
        <w:t>of</w:t>
      </w:r>
      <w:r>
        <w:rPr>
          <w:rFonts w:ascii="Arial" w:cs="Arial" w:eastAsia="Arial" w:hAnsi="Arial"/>
          <w:sz w:val="12"/>
          <w:szCs w:val="12"/>
          <w:color w:val="484848"/>
        </w:rPr>
        <w:t xml:space="preserve"> whatever kind </w:t>
      </w:r>
      <w:r>
        <w:rPr>
          <w:rFonts w:ascii="Arial" w:cs="Arial" w:eastAsia="Arial" w:hAnsi="Arial"/>
          <w:sz w:val="12"/>
          <w:szCs w:val="12"/>
          <w:color w:val="5D5D5D"/>
        </w:rPr>
        <w:t>or character</w:t>
      </w:r>
      <w:r>
        <w:rPr>
          <w:rFonts w:ascii="Arial" w:cs="Arial" w:eastAsia="Arial" w:hAnsi="Arial"/>
          <w:sz w:val="12"/>
          <w:szCs w:val="12"/>
          <w:color w:val="777777"/>
        </w:rPr>
        <w:t>,</w:t>
      </w:r>
      <w:r>
        <w:rPr>
          <w:rFonts w:ascii="Arial" w:cs="Arial" w:eastAsia="Arial" w:hAnsi="Arial"/>
          <w:sz w:val="12"/>
          <w:szCs w:val="12"/>
          <w:color w:val="484848"/>
        </w:rPr>
        <w:t xml:space="preserve"> </w:t>
      </w:r>
      <w:r>
        <w:rPr>
          <w:rFonts w:ascii="Arial" w:cs="Arial" w:eastAsia="Arial" w:hAnsi="Arial"/>
          <w:sz w:val="12"/>
          <w:szCs w:val="12"/>
          <w:color w:val="5D5D5D"/>
        </w:rPr>
        <w:t>whether</w:t>
      </w:r>
      <w:r>
        <w:rPr>
          <w:rFonts w:ascii="Arial" w:cs="Arial" w:eastAsia="Arial" w:hAnsi="Arial"/>
          <w:sz w:val="12"/>
          <w:szCs w:val="12"/>
          <w:color w:val="484848"/>
        </w:rPr>
        <w:t xml:space="preserve"> in law</w:t>
      </w:r>
      <w:r>
        <w:rPr>
          <w:rFonts w:ascii="Arial" w:cs="Arial" w:eastAsia="Arial" w:hAnsi="Arial"/>
          <w:sz w:val="12"/>
          <w:szCs w:val="12"/>
          <w:color w:val="777777"/>
        </w:rPr>
        <w:t>,</w:t>
      </w:r>
      <w:r>
        <w:rPr>
          <w:rFonts w:ascii="Arial" w:cs="Arial" w:eastAsia="Arial" w:hAnsi="Arial"/>
          <w:sz w:val="12"/>
          <w:szCs w:val="12"/>
          <w:color w:val="484848"/>
        </w:rPr>
        <w:t xml:space="preserve"> </w:t>
      </w:r>
      <w:r>
        <w:rPr>
          <w:rFonts w:ascii="Arial" w:cs="Arial" w:eastAsia="Arial" w:hAnsi="Arial"/>
          <w:sz w:val="12"/>
          <w:szCs w:val="12"/>
          <w:color w:val="5D5D5D"/>
        </w:rPr>
        <w:t>equity or otherwise</w:t>
      </w:r>
      <w:r>
        <w:rPr>
          <w:rFonts w:ascii="Arial" w:cs="Arial" w:eastAsia="Arial" w:hAnsi="Arial"/>
          <w:sz w:val="12"/>
          <w:szCs w:val="12"/>
          <w:color w:val="484848"/>
        </w:rPr>
        <w:t xml:space="preserve"> </w:t>
      </w:r>
      <w:r>
        <w:rPr>
          <w:rFonts w:ascii="Arial" w:cs="Arial" w:eastAsia="Arial" w:hAnsi="Arial"/>
          <w:sz w:val="12"/>
          <w:szCs w:val="12"/>
          <w:color w:val="777777"/>
        </w:rPr>
        <w:t>,</w:t>
      </w:r>
      <w:r>
        <w:rPr>
          <w:rFonts w:ascii="Arial" w:cs="Arial" w:eastAsia="Arial" w:hAnsi="Arial"/>
          <w:sz w:val="12"/>
          <w:szCs w:val="12"/>
          <w:color w:val="484848"/>
        </w:rPr>
        <w:t xml:space="preserve"> direct or indirect </w:t>
      </w:r>
      <w:r>
        <w:rPr>
          <w:rFonts w:ascii="Arial" w:cs="Arial" w:eastAsia="Arial" w:hAnsi="Arial"/>
          <w:sz w:val="12"/>
          <w:szCs w:val="12"/>
          <w:color w:val="777777"/>
        </w:rPr>
        <w:t>,</w:t>
      </w:r>
      <w:r>
        <w:rPr>
          <w:rFonts w:ascii="Arial" w:cs="Arial" w:eastAsia="Arial" w:hAnsi="Arial"/>
          <w:sz w:val="12"/>
          <w:szCs w:val="12"/>
          <w:color w:val="484848"/>
        </w:rPr>
        <w:t xml:space="preserve"> fixed </w:t>
      </w:r>
      <w:r>
        <w:rPr>
          <w:rFonts w:ascii="Arial" w:cs="Arial" w:eastAsia="Arial" w:hAnsi="Arial"/>
          <w:sz w:val="12"/>
          <w:szCs w:val="12"/>
          <w:color w:val="5D5D5D"/>
        </w:rPr>
        <w:t>or contingent</w:t>
      </w:r>
      <w:r>
        <w:rPr>
          <w:rFonts w:ascii="Arial" w:cs="Arial" w:eastAsia="Arial" w:hAnsi="Arial"/>
          <w:sz w:val="12"/>
          <w:szCs w:val="12"/>
          <w:color w:val="484848"/>
        </w:rPr>
        <w:t xml:space="preserve"> </w:t>
      </w:r>
      <w:r>
        <w:rPr>
          <w:rFonts w:ascii="Arial" w:cs="Arial" w:eastAsia="Arial" w:hAnsi="Arial"/>
          <w:sz w:val="12"/>
          <w:szCs w:val="12"/>
          <w:color w:val="777777"/>
        </w:rPr>
        <w:t>,</w:t>
      </w:r>
      <w:r>
        <w:rPr>
          <w:rFonts w:ascii="Arial" w:cs="Arial" w:eastAsia="Arial" w:hAnsi="Arial"/>
          <w:sz w:val="12"/>
          <w:szCs w:val="12"/>
          <w:color w:val="484848"/>
        </w:rPr>
        <w:t xml:space="preserve"> foreseeable or unforeseeable </w:t>
      </w:r>
      <w:r>
        <w:rPr>
          <w:rFonts w:ascii="Arial" w:cs="Arial" w:eastAsia="Arial" w:hAnsi="Arial"/>
          <w:sz w:val="12"/>
          <w:szCs w:val="12"/>
          <w:color w:val="777777"/>
        </w:rPr>
        <w:t>,</w:t>
      </w:r>
      <w:r>
        <w:rPr>
          <w:rFonts w:ascii="Arial" w:cs="Arial" w:eastAsia="Arial" w:hAnsi="Arial"/>
          <w:sz w:val="12"/>
          <w:szCs w:val="12"/>
          <w:color w:val="484848"/>
        </w:rPr>
        <w:t xml:space="preserve"> liquidated </w:t>
      </w:r>
      <w:r>
        <w:rPr>
          <w:rFonts w:ascii="Arial" w:cs="Arial" w:eastAsia="Arial" w:hAnsi="Arial"/>
          <w:sz w:val="12"/>
          <w:szCs w:val="12"/>
          <w:color w:val="5D5D5D"/>
        </w:rPr>
        <w:t>or</w:t>
      </w:r>
      <w:r>
        <w:rPr>
          <w:rFonts w:ascii="Arial" w:cs="Arial" w:eastAsia="Arial" w:hAnsi="Arial"/>
          <w:sz w:val="12"/>
          <w:szCs w:val="12"/>
          <w:color w:val="484848"/>
        </w:rPr>
        <w:t xml:space="preserve"> unliquidated, known </w:t>
      </w:r>
      <w:r>
        <w:rPr>
          <w:rFonts w:ascii="Arial" w:cs="Arial" w:eastAsia="Arial" w:hAnsi="Arial"/>
          <w:sz w:val="12"/>
          <w:szCs w:val="12"/>
          <w:color w:val="5D5D5D"/>
        </w:rPr>
        <w:t>or</w:t>
      </w:r>
      <w:r>
        <w:rPr>
          <w:rFonts w:ascii="Arial" w:cs="Arial" w:eastAsia="Arial" w:hAnsi="Arial"/>
          <w:sz w:val="12"/>
          <w:szCs w:val="12"/>
          <w:color w:val="484848"/>
        </w:rPr>
        <w:t xml:space="preserve"> unknown </w:t>
      </w:r>
      <w:r>
        <w:rPr>
          <w:rFonts w:ascii="Arial" w:cs="Arial" w:eastAsia="Arial" w:hAnsi="Arial"/>
          <w:sz w:val="12"/>
          <w:szCs w:val="12"/>
          <w:color w:val="777777"/>
        </w:rPr>
        <w:t>,</w:t>
      </w:r>
      <w:r>
        <w:rPr>
          <w:rFonts w:ascii="Arial" w:cs="Arial" w:eastAsia="Arial" w:hAnsi="Arial"/>
          <w:sz w:val="12"/>
          <w:szCs w:val="12"/>
          <w:color w:val="484848"/>
        </w:rPr>
        <w:t xml:space="preserve"> matured </w:t>
      </w:r>
      <w:r>
        <w:rPr>
          <w:rFonts w:ascii="Arial" w:cs="Arial" w:eastAsia="Arial" w:hAnsi="Arial"/>
          <w:sz w:val="12"/>
          <w:szCs w:val="12"/>
          <w:color w:val="5D5D5D"/>
        </w:rPr>
        <w:t>or</w:t>
      </w:r>
      <w:r>
        <w:rPr>
          <w:rFonts w:ascii="Arial" w:cs="Arial" w:eastAsia="Arial" w:hAnsi="Arial"/>
          <w:sz w:val="12"/>
          <w:szCs w:val="12"/>
          <w:color w:val="484848"/>
        </w:rPr>
        <w:t xml:space="preserve"> unmatured</w:t>
      </w:r>
      <w:r>
        <w:rPr>
          <w:rFonts w:ascii="Arial" w:cs="Arial" w:eastAsia="Arial" w:hAnsi="Arial"/>
          <w:sz w:val="12"/>
          <w:szCs w:val="12"/>
          <w:color w:val="777777"/>
        </w:rPr>
        <w:t>,</w:t>
      </w:r>
      <w:r>
        <w:rPr>
          <w:rFonts w:ascii="Arial" w:cs="Arial" w:eastAsia="Arial" w:hAnsi="Arial"/>
          <w:sz w:val="12"/>
          <w:szCs w:val="12"/>
          <w:color w:val="484848"/>
        </w:rPr>
        <w:t xml:space="preserve"> absolute </w:t>
      </w:r>
      <w:r>
        <w:rPr>
          <w:rFonts w:ascii="Arial" w:cs="Arial" w:eastAsia="Arial" w:hAnsi="Arial"/>
          <w:sz w:val="12"/>
          <w:szCs w:val="12"/>
          <w:color w:val="5D5D5D"/>
        </w:rPr>
        <w:t>or contingent</w:t>
      </w:r>
      <w:r>
        <w:rPr>
          <w:rFonts w:ascii="Arial" w:cs="Arial" w:eastAsia="Arial" w:hAnsi="Arial"/>
          <w:sz w:val="12"/>
          <w:szCs w:val="12"/>
          <w:color w:val="484848"/>
        </w:rPr>
        <w:t xml:space="preserve"> </w:t>
      </w:r>
      <w:r>
        <w:rPr>
          <w:rFonts w:ascii="Arial" w:cs="Arial" w:eastAsia="Arial" w:hAnsi="Arial"/>
          <w:sz w:val="12"/>
          <w:szCs w:val="12"/>
          <w:color w:val="777777"/>
        </w:rPr>
        <w:t>,</w:t>
      </w:r>
      <w:r>
        <w:rPr>
          <w:rFonts w:ascii="Arial" w:cs="Arial" w:eastAsia="Arial" w:hAnsi="Arial"/>
          <w:sz w:val="12"/>
          <w:szCs w:val="12"/>
          <w:color w:val="484848"/>
        </w:rPr>
        <w:t xml:space="preserve"> determined or determinable </w:t>
      </w:r>
      <w:r>
        <w:rPr>
          <w:rFonts w:ascii="Arial" w:cs="Arial" w:eastAsia="Arial" w:hAnsi="Arial"/>
          <w:sz w:val="12"/>
          <w:szCs w:val="12"/>
          <w:color w:val="5D5D5D"/>
        </w:rPr>
        <w:t>(excluding,</w:t>
      </w:r>
      <w:r>
        <w:rPr>
          <w:rFonts w:ascii="Arial" w:cs="Arial" w:eastAsia="Arial" w:hAnsi="Arial"/>
          <w:sz w:val="12"/>
          <w:szCs w:val="12"/>
          <w:color w:val="484848"/>
        </w:rPr>
        <w:t xml:space="preserve"> however </w:t>
      </w:r>
      <w:r>
        <w:rPr>
          <w:rFonts w:ascii="Arial" w:cs="Arial" w:eastAsia="Arial" w:hAnsi="Arial"/>
          <w:sz w:val="12"/>
          <w:szCs w:val="12"/>
          <w:color w:val="777777"/>
        </w:rPr>
        <w:t>,</w:t>
      </w:r>
      <w:r>
        <w:rPr>
          <w:rFonts w:ascii="Arial" w:cs="Arial" w:eastAsia="Arial" w:hAnsi="Arial"/>
          <w:sz w:val="12"/>
          <w:szCs w:val="12"/>
          <w:color w:val="484848"/>
        </w:rPr>
        <w:t xml:space="preserve"> for </w:t>
      </w:r>
      <w:r>
        <w:rPr>
          <w:rFonts w:ascii="Arial" w:cs="Arial" w:eastAsia="Arial" w:hAnsi="Arial"/>
          <w:sz w:val="12"/>
          <w:szCs w:val="12"/>
          <w:color w:val="5D5D5D"/>
        </w:rPr>
        <w:t>a</w:t>
      </w:r>
      <w:r>
        <w:rPr>
          <w:rFonts w:ascii="Arial" w:cs="Arial" w:eastAsia="Arial" w:hAnsi="Arial"/>
          <w:sz w:val="12"/>
          <w:szCs w:val="12"/>
          <w:color w:val="484848"/>
        </w:rPr>
        <w:t xml:space="preserve"> claim found by </w:t>
      </w:r>
      <w:r>
        <w:rPr>
          <w:rFonts w:ascii="Arial" w:cs="Arial" w:eastAsia="Arial" w:hAnsi="Arial"/>
          <w:sz w:val="12"/>
          <w:szCs w:val="12"/>
          <w:color w:val="5D5D5D"/>
        </w:rPr>
        <w:t>a court of competent</w:t>
      </w:r>
      <w:r>
        <w:rPr>
          <w:rFonts w:ascii="Arial" w:cs="Arial" w:eastAsia="Arial" w:hAnsi="Arial"/>
          <w:sz w:val="12"/>
          <w:szCs w:val="12"/>
          <w:color w:val="484848"/>
        </w:rPr>
        <w:t xml:space="preserve"> jurisdiction that </w:t>
      </w:r>
      <w:r>
        <w:rPr>
          <w:rFonts w:ascii="Arial" w:cs="Arial" w:eastAsia="Arial" w:hAnsi="Arial"/>
          <w:sz w:val="12"/>
          <w:szCs w:val="12"/>
          <w:color w:val="5D5D5D"/>
        </w:rPr>
        <w:t>any</w:t>
      </w:r>
      <w:r>
        <w:rPr>
          <w:rFonts w:ascii="Arial" w:cs="Arial" w:eastAsia="Arial" w:hAnsi="Arial"/>
          <w:sz w:val="12"/>
          <w:szCs w:val="12"/>
          <w:color w:val="484848"/>
        </w:rPr>
        <w:t xml:space="preserve"> OBI Released Party has </w:t>
      </w:r>
      <w:r>
        <w:rPr>
          <w:rFonts w:ascii="Arial" w:cs="Arial" w:eastAsia="Arial" w:hAnsi="Arial"/>
          <w:sz w:val="12"/>
          <w:szCs w:val="12"/>
          <w:color w:val="5D5D5D"/>
        </w:rPr>
        <w:t>committed</w:t>
      </w:r>
      <w:r>
        <w:rPr>
          <w:rFonts w:ascii="Arial" w:cs="Arial" w:eastAsia="Arial" w:hAnsi="Arial"/>
          <w:sz w:val="12"/>
          <w:szCs w:val="12"/>
          <w:color w:val="484848"/>
        </w:rPr>
        <w:t xml:space="preserve"> fraud </w:t>
      </w:r>
      <w:r>
        <w:rPr>
          <w:rFonts w:ascii="Arial" w:cs="Arial" w:eastAsia="Arial" w:hAnsi="Arial"/>
          <w:sz w:val="12"/>
          <w:szCs w:val="12"/>
          <w:color w:val="5D5D5D"/>
        </w:rPr>
        <w:t>or</w:t>
      </w:r>
      <w:r>
        <w:rPr>
          <w:rFonts w:ascii="Arial" w:cs="Arial" w:eastAsia="Arial" w:hAnsi="Arial"/>
          <w:sz w:val="12"/>
          <w:szCs w:val="12"/>
          <w:color w:val="484848"/>
        </w:rPr>
        <w:t xml:space="preserve"> an intentional act </w:t>
      </w:r>
      <w:r>
        <w:rPr>
          <w:rFonts w:ascii="Arial" w:cs="Arial" w:eastAsia="Arial" w:hAnsi="Arial"/>
          <w:sz w:val="12"/>
          <w:szCs w:val="12"/>
          <w:color w:val="5D5D5D"/>
        </w:rPr>
        <w:t>causing</w:t>
      </w:r>
      <w:r>
        <w:rPr>
          <w:rFonts w:ascii="Arial" w:cs="Arial" w:eastAsia="Arial" w:hAnsi="Arial"/>
          <w:sz w:val="12"/>
          <w:szCs w:val="12"/>
          <w:color w:val="484848"/>
        </w:rPr>
        <w:t xml:space="preserve"> material financial damage to LTLLC)</w:t>
      </w:r>
      <w:r>
        <w:rPr>
          <w:rFonts w:ascii="Arial" w:cs="Arial" w:eastAsia="Arial" w:hAnsi="Arial"/>
          <w:sz w:val="12"/>
          <w:szCs w:val="12"/>
          <w:color w:val="777777"/>
        </w:rPr>
        <w:t>,</w:t>
      </w:r>
      <w:r>
        <w:rPr>
          <w:rFonts w:ascii="Arial" w:cs="Arial" w:eastAsia="Arial" w:hAnsi="Arial"/>
          <w:sz w:val="12"/>
          <w:szCs w:val="12"/>
          <w:color w:val="484848"/>
        </w:rPr>
        <w:t xml:space="preserve"> that LTLLC </w:t>
      </w:r>
      <w:r>
        <w:rPr>
          <w:rFonts w:ascii="Arial" w:cs="Arial" w:eastAsia="Arial" w:hAnsi="Arial"/>
          <w:sz w:val="12"/>
          <w:szCs w:val="12"/>
          <w:color w:val="5D5D5D"/>
        </w:rPr>
        <w:t>or</w:t>
      </w:r>
      <w:r>
        <w:rPr>
          <w:rFonts w:ascii="Arial" w:cs="Arial" w:eastAsia="Arial" w:hAnsi="Arial"/>
          <w:sz w:val="12"/>
          <w:szCs w:val="12"/>
          <w:color w:val="484848"/>
        </w:rPr>
        <w:t xml:space="preserve"> </w:t>
      </w:r>
      <w:r>
        <w:rPr>
          <w:rFonts w:ascii="Arial" w:cs="Arial" w:eastAsia="Arial" w:hAnsi="Arial"/>
          <w:sz w:val="12"/>
          <w:szCs w:val="12"/>
          <w:color w:val="5D5D5D"/>
        </w:rPr>
        <w:t xml:space="preserve">anyone </w:t>
      </w:r>
      <w:r>
        <w:rPr>
          <w:rFonts w:ascii="Arial" w:cs="Arial" w:eastAsia="Arial" w:hAnsi="Arial"/>
          <w:sz w:val="12"/>
          <w:szCs w:val="12"/>
          <w:color w:val="484848"/>
        </w:rPr>
        <w:t>claiming through</w:t>
      </w:r>
      <w:r>
        <w:rPr>
          <w:rFonts w:ascii="Arial" w:cs="Arial" w:eastAsia="Arial" w:hAnsi="Arial"/>
          <w:sz w:val="12"/>
          <w:szCs w:val="12"/>
          <w:color w:val="5D5D5D"/>
        </w:rPr>
        <w:t xml:space="preserve"> or </w:t>
      </w:r>
      <w:r>
        <w:rPr>
          <w:rFonts w:ascii="Arial" w:cs="Arial" w:eastAsia="Arial" w:hAnsi="Arial"/>
          <w:sz w:val="12"/>
          <w:szCs w:val="12"/>
          <w:color w:val="484848"/>
        </w:rPr>
        <w:t>under LTLLC, ever had, now has,</w:t>
      </w:r>
      <w:r>
        <w:rPr>
          <w:rFonts w:ascii="Arial" w:cs="Arial" w:eastAsia="Arial" w:hAnsi="Arial"/>
          <w:sz w:val="12"/>
          <w:szCs w:val="12"/>
          <w:color w:val="5D5D5D"/>
        </w:rPr>
        <w:t xml:space="preserve"> or </w:t>
      </w:r>
      <w:r>
        <w:rPr>
          <w:rFonts w:ascii="Arial" w:cs="Arial" w:eastAsia="Arial" w:hAnsi="Arial"/>
          <w:sz w:val="12"/>
          <w:szCs w:val="12"/>
          <w:color w:val="484848"/>
        </w:rPr>
        <w:t>may hereafter have or</w:t>
      </w:r>
      <w:r>
        <w:rPr>
          <w:rFonts w:ascii="Arial" w:cs="Arial" w:eastAsia="Arial" w:hAnsi="Arial"/>
          <w:sz w:val="12"/>
          <w:szCs w:val="12"/>
          <w:color w:val="5D5D5D"/>
        </w:rPr>
        <w:t xml:space="preserve"> acquire, </w:t>
      </w:r>
      <w:r>
        <w:rPr>
          <w:rFonts w:ascii="Arial" w:cs="Arial" w:eastAsia="Arial" w:hAnsi="Arial"/>
          <w:sz w:val="12"/>
          <w:szCs w:val="12"/>
          <w:color w:val="484848"/>
        </w:rPr>
        <w:t>against</w:t>
      </w:r>
      <w:r>
        <w:rPr>
          <w:rFonts w:ascii="Arial" w:cs="Arial" w:eastAsia="Arial" w:hAnsi="Arial"/>
          <w:sz w:val="12"/>
          <w:szCs w:val="12"/>
          <w:color w:val="5D5D5D"/>
        </w:rPr>
        <w:t xml:space="preserve"> </w:t>
      </w:r>
      <w:r>
        <w:rPr>
          <w:rFonts w:ascii="Arial" w:cs="Arial" w:eastAsia="Arial" w:hAnsi="Arial"/>
          <w:sz w:val="12"/>
          <w:szCs w:val="12"/>
          <w:color w:val="777777"/>
        </w:rPr>
        <w:t>s</w:t>
      </w:r>
      <w:r>
        <w:rPr>
          <w:rFonts w:ascii="Arial" w:cs="Arial" w:eastAsia="Arial" w:hAnsi="Arial"/>
          <w:sz w:val="12"/>
          <w:szCs w:val="12"/>
          <w:color w:val="5D5D5D"/>
        </w:rPr>
        <w:t xml:space="preserve">uch OBI </w:t>
      </w:r>
      <w:r>
        <w:rPr>
          <w:rFonts w:ascii="Arial" w:cs="Arial" w:eastAsia="Arial" w:hAnsi="Arial"/>
          <w:sz w:val="12"/>
          <w:szCs w:val="12"/>
          <w:color w:val="484848"/>
        </w:rPr>
        <w:t>Relea</w:t>
      </w:r>
      <w:r>
        <w:rPr>
          <w:rFonts w:ascii="Arial" w:cs="Arial" w:eastAsia="Arial" w:hAnsi="Arial"/>
          <w:sz w:val="12"/>
          <w:szCs w:val="12"/>
          <w:color w:val="777777"/>
        </w:rPr>
        <w:t>s</w:t>
      </w:r>
      <w:r>
        <w:rPr>
          <w:rFonts w:ascii="Arial" w:cs="Arial" w:eastAsia="Arial" w:hAnsi="Arial"/>
          <w:sz w:val="12"/>
          <w:szCs w:val="12"/>
          <w:color w:val="5D5D5D"/>
        </w:rPr>
        <w:t xml:space="preserve">ed </w:t>
      </w:r>
      <w:r>
        <w:rPr>
          <w:rFonts w:ascii="Arial" w:cs="Arial" w:eastAsia="Arial" w:hAnsi="Arial"/>
          <w:sz w:val="12"/>
          <w:szCs w:val="12"/>
          <w:color w:val="484848"/>
        </w:rPr>
        <w:t>Party that arises</w:t>
      </w:r>
      <w:r>
        <w:rPr>
          <w:rFonts w:ascii="Arial" w:cs="Arial" w:eastAsia="Arial" w:hAnsi="Arial"/>
          <w:sz w:val="12"/>
          <w:szCs w:val="12"/>
          <w:color w:val="5D5D5D"/>
        </w:rPr>
        <w:t xml:space="preserve"> out of or </w:t>
      </w:r>
      <w:r>
        <w:rPr>
          <w:rFonts w:ascii="Arial" w:cs="Arial" w:eastAsia="Arial" w:hAnsi="Arial"/>
          <w:sz w:val="12"/>
          <w:szCs w:val="12"/>
          <w:color w:val="484848"/>
        </w:rPr>
        <w:t>in</w:t>
      </w:r>
      <w:r>
        <w:rPr>
          <w:rFonts w:ascii="Arial" w:cs="Arial" w:eastAsia="Arial" w:hAnsi="Arial"/>
          <w:sz w:val="12"/>
          <w:szCs w:val="12"/>
          <w:color w:val="5D5D5D"/>
        </w:rPr>
        <w:t xml:space="preserve"> any </w:t>
      </w:r>
      <w:r>
        <w:rPr>
          <w:rFonts w:ascii="Arial" w:cs="Arial" w:eastAsia="Arial" w:hAnsi="Arial"/>
          <w:sz w:val="12"/>
          <w:szCs w:val="12"/>
          <w:color w:val="484848"/>
        </w:rPr>
        <w:t>way relate</w:t>
      </w:r>
      <w:r>
        <w:rPr>
          <w:rFonts w:ascii="Arial" w:cs="Arial" w:eastAsia="Arial" w:hAnsi="Arial"/>
          <w:sz w:val="12"/>
          <w:szCs w:val="12"/>
          <w:color w:val="777777"/>
        </w:rPr>
        <w:t>,</w:t>
      </w:r>
      <w:r>
        <w:rPr>
          <w:rFonts w:ascii="Arial" w:cs="Arial" w:eastAsia="Arial" w:hAnsi="Arial"/>
          <w:sz w:val="12"/>
          <w:szCs w:val="12"/>
          <w:color w:val="5D5D5D"/>
        </w:rPr>
        <w:t xml:space="preserve"> </w:t>
      </w:r>
      <w:r>
        <w:rPr>
          <w:rFonts w:ascii="Arial" w:cs="Arial" w:eastAsia="Arial" w:hAnsi="Arial"/>
          <w:sz w:val="12"/>
          <w:szCs w:val="12"/>
          <w:color w:val="484848"/>
        </w:rPr>
        <w:t>directly or indirectly</w:t>
      </w:r>
      <w:r>
        <w:rPr>
          <w:rFonts w:ascii="Arial" w:cs="Arial" w:eastAsia="Arial" w:hAnsi="Arial"/>
          <w:sz w:val="12"/>
          <w:szCs w:val="12"/>
          <w:color w:val="5D5D5D"/>
        </w:rPr>
        <w:t xml:space="preserve"> </w:t>
      </w:r>
      <w:r>
        <w:rPr>
          <w:rFonts w:ascii="Arial" w:cs="Arial" w:eastAsia="Arial" w:hAnsi="Arial"/>
          <w:sz w:val="12"/>
          <w:szCs w:val="12"/>
          <w:color w:val="777777"/>
        </w:rPr>
        <w:t>,</w:t>
      </w:r>
      <w:r>
        <w:rPr>
          <w:rFonts w:ascii="Arial" w:cs="Arial" w:eastAsia="Arial" w:hAnsi="Arial"/>
          <w:sz w:val="12"/>
          <w:szCs w:val="12"/>
          <w:color w:val="5D5D5D"/>
        </w:rPr>
        <w:t xml:space="preserve"> </w:t>
      </w:r>
      <w:r>
        <w:rPr>
          <w:rFonts w:ascii="Arial" w:cs="Arial" w:eastAsia="Arial" w:hAnsi="Arial"/>
          <w:sz w:val="12"/>
          <w:szCs w:val="12"/>
          <w:color w:val="484848"/>
        </w:rPr>
        <w:t>to</w:t>
      </w:r>
      <w:r>
        <w:rPr>
          <w:rFonts w:ascii="Arial" w:cs="Arial" w:eastAsia="Arial" w:hAnsi="Arial"/>
          <w:sz w:val="12"/>
          <w:szCs w:val="12"/>
          <w:color w:val="5D5D5D"/>
        </w:rPr>
        <w:t xml:space="preserve"> any </w:t>
      </w:r>
      <w:r>
        <w:rPr>
          <w:rFonts w:ascii="Arial" w:cs="Arial" w:eastAsia="Arial" w:hAnsi="Arial"/>
          <w:sz w:val="12"/>
          <w:szCs w:val="12"/>
          <w:color w:val="484848"/>
        </w:rPr>
        <w:t>matter</w:t>
      </w:r>
      <w:r>
        <w:rPr>
          <w:rFonts w:ascii="Arial" w:cs="Arial" w:eastAsia="Arial" w:hAnsi="Arial"/>
          <w:sz w:val="12"/>
          <w:szCs w:val="12"/>
          <w:color w:val="777777"/>
        </w:rPr>
        <w:t>,</w:t>
      </w:r>
      <w:r>
        <w:rPr>
          <w:rFonts w:ascii="Arial" w:cs="Arial" w:eastAsia="Arial" w:hAnsi="Arial"/>
          <w:sz w:val="12"/>
          <w:szCs w:val="12"/>
          <w:color w:val="484848"/>
        </w:rPr>
        <w:t xml:space="preserve"> </w:t>
      </w:r>
      <w:r>
        <w:rPr>
          <w:rFonts w:ascii="Arial" w:cs="Arial" w:eastAsia="Arial" w:hAnsi="Arial"/>
          <w:sz w:val="12"/>
          <w:szCs w:val="12"/>
          <w:color w:val="5D5D5D"/>
        </w:rPr>
        <w:t>cau</w:t>
      </w:r>
      <w:r>
        <w:rPr>
          <w:rFonts w:ascii="Arial" w:cs="Arial" w:eastAsia="Arial" w:hAnsi="Arial"/>
          <w:sz w:val="12"/>
          <w:szCs w:val="12"/>
          <w:color w:val="777777"/>
        </w:rPr>
        <w:t>s</w:t>
      </w:r>
      <w:r>
        <w:rPr>
          <w:rFonts w:ascii="Arial" w:cs="Arial" w:eastAsia="Arial" w:hAnsi="Arial"/>
          <w:sz w:val="12"/>
          <w:szCs w:val="12"/>
          <w:color w:val="5D5D5D"/>
        </w:rPr>
        <w:t>e or</w:t>
      </w:r>
      <w:r>
        <w:rPr>
          <w:rFonts w:ascii="Arial" w:cs="Arial" w:eastAsia="Arial" w:hAnsi="Arial"/>
          <w:sz w:val="12"/>
          <w:szCs w:val="12"/>
          <w:color w:val="484848"/>
        </w:rPr>
        <w:t xml:space="preserve"> thing</w:t>
      </w:r>
      <w:r>
        <w:rPr>
          <w:rFonts w:ascii="Arial" w:cs="Arial" w:eastAsia="Arial" w:hAnsi="Arial"/>
          <w:sz w:val="12"/>
          <w:szCs w:val="12"/>
          <w:color w:val="777777"/>
        </w:rPr>
        <w:t>,</w:t>
      </w:r>
      <w:r>
        <w:rPr>
          <w:rFonts w:ascii="Arial" w:cs="Arial" w:eastAsia="Arial" w:hAnsi="Arial"/>
          <w:sz w:val="12"/>
          <w:szCs w:val="12"/>
          <w:color w:val="484848"/>
        </w:rPr>
        <w:t xml:space="preserve"> </w:t>
      </w:r>
      <w:r>
        <w:rPr>
          <w:rFonts w:ascii="Arial" w:cs="Arial" w:eastAsia="Arial" w:hAnsi="Arial"/>
          <w:sz w:val="12"/>
          <w:szCs w:val="12"/>
          <w:color w:val="5D5D5D"/>
        </w:rPr>
        <w:t>act or failure</w:t>
      </w:r>
      <w:r>
        <w:rPr>
          <w:rFonts w:ascii="Arial" w:cs="Arial" w:eastAsia="Arial" w:hAnsi="Arial"/>
          <w:sz w:val="12"/>
          <w:szCs w:val="12"/>
          <w:color w:val="484848"/>
        </w:rPr>
        <w:t xml:space="preserve"> to </w:t>
      </w:r>
      <w:r>
        <w:rPr>
          <w:rFonts w:ascii="Arial" w:cs="Arial" w:eastAsia="Arial" w:hAnsi="Arial"/>
          <w:sz w:val="12"/>
          <w:szCs w:val="12"/>
          <w:color w:val="5D5D5D"/>
        </w:rPr>
        <w:t>act</w:t>
      </w:r>
      <w:r>
        <w:rPr>
          <w:rFonts w:ascii="Arial" w:cs="Arial" w:eastAsia="Arial" w:hAnsi="Arial"/>
          <w:sz w:val="12"/>
          <w:szCs w:val="12"/>
          <w:color w:val="484848"/>
        </w:rPr>
        <w:t xml:space="preserve"> whatsoever occurring </w:t>
      </w:r>
      <w:r>
        <w:rPr>
          <w:rFonts w:ascii="Arial" w:cs="Arial" w:eastAsia="Arial" w:hAnsi="Arial"/>
          <w:sz w:val="12"/>
          <w:szCs w:val="12"/>
          <w:color w:val="5D5D5D"/>
        </w:rPr>
        <w:t>at</w:t>
      </w:r>
      <w:r>
        <w:rPr>
          <w:rFonts w:ascii="Arial" w:cs="Arial" w:eastAsia="Arial" w:hAnsi="Arial"/>
          <w:sz w:val="12"/>
          <w:szCs w:val="12"/>
          <w:color w:val="484848"/>
        </w:rPr>
        <w:t xml:space="preserve"> any time </w:t>
      </w:r>
      <w:r>
        <w:rPr>
          <w:rFonts w:ascii="Arial" w:cs="Arial" w:eastAsia="Arial" w:hAnsi="Arial"/>
          <w:sz w:val="12"/>
          <w:szCs w:val="12"/>
          <w:color w:val="5D5D5D"/>
        </w:rPr>
        <w:t>on or</w:t>
      </w:r>
      <w:r>
        <w:rPr>
          <w:rFonts w:ascii="Arial" w:cs="Arial" w:eastAsia="Arial" w:hAnsi="Arial"/>
          <w:sz w:val="12"/>
          <w:szCs w:val="12"/>
          <w:color w:val="484848"/>
        </w:rPr>
        <w:t xml:space="preserve"> prior to the date of </w:t>
      </w:r>
      <w:r>
        <w:rPr>
          <w:rFonts w:ascii="Arial" w:cs="Arial" w:eastAsia="Arial" w:hAnsi="Arial"/>
          <w:sz w:val="12"/>
          <w:szCs w:val="12"/>
          <w:color w:val="5D5D5D"/>
        </w:rPr>
        <w:t>this</w:t>
      </w:r>
      <w:r>
        <w:rPr>
          <w:rFonts w:ascii="Arial" w:cs="Arial" w:eastAsia="Arial" w:hAnsi="Arial"/>
          <w:sz w:val="12"/>
          <w:szCs w:val="12"/>
          <w:color w:val="484848"/>
        </w:rPr>
        <w:t xml:space="preserve"> Agreement that relates </w:t>
      </w:r>
      <w:r>
        <w:rPr>
          <w:rFonts w:ascii="Arial" w:cs="Arial" w:eastAsia="Arial" w:hAnsi="Arial"/>
          <w:sz w:val="12"/>
          <w:szCs w:val="12"/>
          <w:color w:val="5D5D5D"/>
        </w:rPr>
        <w:t>to</w:t>
      </w:r>
      <w:r>
        <w:rPr>
          <w:rFonts w:ascii="Arial" w:cs="Arial" w:eastAsia="Arial" w:hAnsi="Arial"/>
          <w:sz w:val="12"/>
          <w:szCs w:val="12"/>
          <w:color w:val="484848"/>
        </w:rPr>
        <w:t xml:space="preserve"> the </w:t>
      </w:r>
      <w:r>
        <w:rPr>
          <w:rFonts w:ascii="Arial" w:cs="Arial" w:eastAsia="Arial" w:hAnsi="Arial"/>
          <w:sz w:val="12"/>
          <w:szCs w:val="12"/>
          <w:color w:val="5D5D5D"/>
        </w:rPr>
        <w:t>Theater</w:t>
      </w:r>
      <w:r>
        <w:rPr>
          <w:rFonts w:ascii="Arial" w:cs="Arial" w:eastAsia="Arial" w:hAnsi="Arial"/>
          <w:sz w:val="12"/>
          <w:szCs w:val="12"/>
          <w:color w:val="484848"/>
        </w:rPr>
        <w:t xml:space="preserve"> Management </w:t>
      </w:r>
      <w:r>
        <w:rPr>
          <w:rFonts w:ascii="Arial" w:cs="Arial" w:eastAsia="Arial" w:hAnsi="Arial"/>
          <w:sz w:val="12"/>
          <w:szCs w:val="12"/>
          <w:color w:val="5D5D5D"/>
        </w:rPr>
        <w:t>Agreement.</w:t>
      </w:r>
      <w:r>
        <w:rPr>
          <w:rFonts w:ascii="Arial" w:cs="Arial" w:eastAsia="Arial" w:hAnsi="Arial"/>
          <w:sz w:val="12"/>
          <w:szCs w:val="12"/>
          <w:color w:val="484848"/>
        </w:rPr>
        <w:t xml:space="preserve"> LTLLC irrevocably </w:t>
      </w:r>
      <w:r>
        <w:rPr>
          <w:rFonts w:ascii="Arial" w:cs="Arial" w:eastAsia="Arial" w:hAnsi="Arial"/>
          <w:sz w:val="12"/>
          <w:szCs w:val="12"/>
          <w:color w:val="5D5D5D"/>
        </w:rPr>
        <w:t xml:space="preserve">covenants </w:t>
      </w:r>
      <w:r>
        <w:rPr>
          <w:rFonts w:ascii="Arial" w:cs="Arial" w:eastAsia="Arial" w:hAnsi="Arial"/>
          <w:sz w:val="12"/>
          <w:szCs w:val="12"/>
          <w:color w:val="484848"/>
        </w:rPr>
        <w:t>that</w:t>
      </w:r>
      <w:r>
        <w:rPr>
          <w:rFonts w:ascii="Arial" w:cs="Arial" w:eastAsia="Arial" w:hAnsi="Arial"/>
          <w:sz w:val="12"/>
          <w:szCs w:val="12"/>
          <w:color w:val="5D5D5D"/>
        </w:rPr>
        <w:t xml:space="preserve"> it will </w:t>
      </w:r>
      <w:r>
        <w:rPr>
          <w:rFonts w:ascii="Arial" w:cs="Arial" w:eastAsia="Arial" w:hAnsi="Arial"/>
          <w:sz w:val="12"/>
          <w:szCs w:val="12"/>
          <w:color w:val="484848"/>
        </w:rPr>
        <w:t>not</w:t>
      </w:r>
      <w:r>
        <w:rPr>
          <w:rFonts w:ascii="Arial" w:cs="Arial" w:eastAsia="Arial" w:hAnsi="Arial"/>
          <w:sz w:val="12"/>
          <w:szCs w:val="12"/>
          <w:color w:val="5D5D5D"/>
        </w:rPr>
        <w:t xml:space="preserve"> </w:t>
      </w:r>
      <w:r>
        <w:rPr>
          <w:rFonts w:ascii="Arial" w:cs="Arial" w:eastAsia="Arial" w:hAnsi="Arial"/>
          <w:sz w:val="12"/>
          <w:szCs w:val="12"/>
          <w:color w:val="777777"/>
        </w:rPr>
        <w:t>,</w:t>
      </w:r>
      <w:r>
        <w:rPr>
          <w:rFonts w:ascii="Arial" w:cs="Arial" w:eastAsia="Arial" w:hAnsi="Arial"/>
          <w:sz w:val="12"/>
          <w:szCs w:val="12"/>
          <w:color w:val="5D5D5D"/>
        </w:rPr>
        <w:t xml:space="preserve"> </w:t>
      </w:r>
      <w:r>
        <w:rPr>
          <w:rFonts w:ascii="Arial" w:cs="Arial" w:eastAsia="Arial" w:hAnsi="Arial"/>
          <w:sz w:val="12"/>
          <w:szCs w:val="12"/>
          <w:color w:val="484848"/>
        </w:rPr>
        <w:t>directly</w:t>
      </w:r>
      <w:r>
        <w:rPr>
          <w:rFonts w:ascii="Arial" w:cs="Arial" w:eastAsia="Arial" w:hAnsi="Arial"/>
          <w:sz w:val="12"/>
          <w:szCs w:val="12"/>
          <w:color w:val="5D5D5D"/>
        </w:rPr>
        <w:t xml:space="preserve"> or </w:t>
      </w:r>
      <w:r>
        <w:rPr>
          <w:rFonts w:ascii="Arial" w:cs="Arial" w:eastAsia="Arial" w:hAnsi="Arial"/>
          <w:sz w:val="12"/>
          <w:szCs w:val="12"/>
          <w:color w:val="484848"/>
        </w:rPr>
        <w:t>indirectly</w:t>
      </w:r>
      <w:r>
        <w:rPr>
          <w:rFonts w:ascii="Arial" w:cs="Arial" w:eastAsia="Arial" w:hAnsi="Arial"/>
          <w:sz w:val="12"/>
          <w:szCs w:val="12"/>
          <w:color w:val="777777"/>
        </w:rPr>
        <w:t>, s</w:t>
      </w:r>
      <w:r>
        <w:rPr>
          <w:rFonts w:ascii="Arial" w:cs="Arial" w:eastAsia="Arial" w:hAnsi="Arial"/>
          <w:sz w:val="12"/>
          <w:szCs w:val="12"/>
          <w:color w:val="484848"/>
        </w:rPr>
        <w:t>ue</w:t>
      </w:r>
      <w:r>
        <w:rPr>
          <w:rFonts w:ascii="Arial" w:cs="Arial" w:eastAsia="Arial" w:hAnsi="Arial"/>
          <w:sz w:val="12"/>
          <w:szCs w:val="12"/>
          <w:color w:val="777777"/>
        </w:rPr>
        <w:t>,</w:t>
      </w:r>
      <w:r>
        <w:rPr>
          <w:rFonts w:ascii="Arial" w:cs="Arial" w:eastAsia="Arial" w:hAnsi="Arial"/>
          <w:sz w:val="12"/>
          <w:szCs w:val="12"/>
          <w:color w:val="5D5D5D"/>
        </w:rPr>
        <w:t xml:space="preserve"> commence any </w:t>
      </w:r>
      <w:r>
        <w:rPr>
          <w:rFonts w:ascii="Arial" w:cs="Arial" w:eastAsia="Arial" w:hAnsi="Arial"/>
          <w:sz w:val="12"/>
          <w:szCs w:val="12"/>
          <w:color w:val="484848"/>
        </w:rPr>
        <w:t>proceeding against</w:t>
      </w:r>
      <w:r>
        <w:rPr>
          <w:rFonts w:ascii="Arial" w:cs="Arial" w:eastAsia="Arial" w:hAnsi="Arial"/>
          <w:sz w:val="12"/>
          <w:szCs w:val="12"/>
          <w:color w:val="5D5D5D"/>
        </w:rPr>
        <w:t xml:space="preserve"> </w:t>
      </w:r>
      <w:r>
        <w:rPr>
          <w:rFonts w:ascii="Arial" w:cs="Arial" w:eastAsia="Arial" w:hAnsi="Arial"/>
          <w:sz w:val="12"/>
          <w:szCs w:val="12"/>
          <w:color w:val="777777"/>
        </w:rPr>
        <w:t>,</w:t>
      </w:r>
      <w:r>
        <w:rPr>
          <w:rFonts w:ascii="Arial" w:cs="Arial" w:eastAsia="Arial" w:hAnsi="Arial"/>
          <w:sz w:val="12"/>
          <w:szCs w:val="12"/>
          <w:color w:val="5D5D5D"/>
        </w:rPr>
        <w:t xml:space="preserve"> or </w:t>
      </w:r>
      <w:r>
        <w:rPr>
          <w:rFonts w:ascii="Arial" w:cs="Arial" w:eastAsia="Arial" w:hAnsi="Arial"/>
          <w:sz w:val="12"/>
          <w:szCs w:val="12"/>
          <w:color w:val="484848"/>
        </w:rPr>
        <w:t>make</w:t>
      </w:r>
      <w:r>
        <w:rPr>
          <w:rFonts w:ascii="Arial" w:cs="Arial" w:eastAsia="Arial" w:hAnsi="Arial"/>
          <w:sz w:val="12"/>
          <w:szCs w:val="12"/>
          <w:color w:val="5D5D5D"/>
        </w:rPr>
        <w:t xml:space="preserve"> any </w:t>
      </w:r>
      <w:r>
        <w:rPr>
          <w:rFonts w:ascii="Arial" w:cs="Arial" w:eastAsia="Arial" w:hAnsi="Arial"/>
          <w:sz w:val="12"/>
          <w:szCs w:val="12"/>
          <w:color w:val="484848"/>
        </w:rPr>
        <w:t>demand upon any OBI Released Party in respect</w:t>
      </w:r>
      <w:r>
        <w:rPr>
          <w:rFonts w:ascii="Arial" w:cs="Arial" w:eastAsia="Arial" w:hAnsi="Arial"/>
          <w:sz w:val="12"/>
          <w:szCs w:val="12"/>
          <w:color w:val="5D5D5D"/>
        </w:rPr>
        <w:t xml:space="preserve"> of any of </w:t>
      </w:r>
      <w:r>
        <w:rPr>
          <w:rFonts w:ascii="Arial" w:cs="Arial" w:eastAsia="Arial" w:hAnsi="Arial"/>
          <w:sz w:val="12"/>
          <w:szCs w:val="12"/>
          <w:color w:val="484848"/>
        </w:rPr>
        <w:t>the matters released</w:t>
      </w:r>
      <w:r>
        <w:rPr>
          <w:rFonts w:ascii="Arial" w:cs="Arial" w:eastAsia="Arial" w:hAnsi="Arial"/>
          <w:sz w:val="12"/>
          <w:szCs w:val="12"/>
          <w:color w:val="5D5D5D"/>
        </w:rPr>
        <w:t xml:space="preserve"> and </w:t>
      </w:r>
      <w:r>
        <w:rPr>
          <w:rFonts w:ascii="Arial" w:cs="Arial" w:eastAsia="Arial" w:hAnsi="Arial"/>
          <w:sz w:val="12"/>
          <w:szCs w:val="12"/>
          <w:color w:val="484848"/>
        </w:rPr>
        <w:t>discharged</w:t>
      </w:r>
      <w:r>
        <w:rPr>
          <w:rFonts w:ascii="Arial" w:cs="Arial" w:eastAsia="Arial" w:hAnsi="Arial"/>
          <w:sz w:val="12"/>
          <w:szCs w:val="12"/>
          <w:color w:val="5D5D5D"/>
        </w:rPr>
        <w:t xml:space="preserve"> </w:t>
      </w:r>
      <w:r>
        <w:rPr>
          <w:rFonts w:ascii="Arial" w:cs="Arial" w:eastAsia="Arial" w:hAnsi="Arial"/>
          <w:sz w:val="12"/>
          <w:szCs w:val="12"/>
          <w:color w:val="484848"/>
        </w:rPr>
        <w:t>pursuant to this Section 4.</w:t>
      </w:r>
    </w:p>
    <w:p>
      <w:pPr>
        <w:spacing w:after="0" w:line="119" w:lineRule="exact"/>
        <w:rPr>
          <w:rFonts w:ascii="Arial" w:cs="Arial" w:eastAsia="Arial" w:hAnsi="Arial"/>
          <w:sz w:val="12"/>
          <w:szCs w:val="12"/>
          <w:color w:val="484848"/>
        </w:rPr>
      </w:pPr>
    </w:p>
    <w:p>
      <w:pPr>
        <w:jc w:val="both"/>
        <w:ind w:left="60" w:right="20" w:hanging="1"/>
        <w:spacing w:after="0" w:line="224" w:lineRule="auto"/>
        <w:tabs>
          <w:tab w:leader="none" w:pos="180" w:val="left"/>
        </w:tabs>
        <w:numPr>
          <w:ilvl w:val="0"/>
          <w:numId w:val="202"/>
        </w:numPr>
        <w:rPr>
          <w:rFonts w:ascii="Arial" w:cs="Arial" w:eastAsia="Arial" w:hAnsi="Arial"/>
          <w:sz w:val="12"/>
          <w:szCs w:val="12"/>
          <w:color w:val="5D5D5D"/>
        </w:rPr>
      </w:pPr>
      <w:r>
        <w:rPr>
          <w:rFonts w:ascii="Arial" w:cs="Arial" w:eastAsia="Arial" w:hAnsi="Arial"/>
          <w:sz w:val="12"/>
          <w:szCs w:val="12"/>
          <w:color w:val="5D5D5D"/>
        </w:rPr>
        <w:t xml:space="preserve">OBI and </w:t>
      </w:r>
      <w:r>
        <w:rPr>
          <w:rFonts w:ascii="Arial" w:cs="Arial" w:eastAsia="Arial" w:hAnsi="Arial"/>
          <w:sz w:val="12"/>
          <w:szCs w:val="12"/>
          <w:color w:val="484848"/>
        </w:rPr>
        <w:t>LTLLC</w:t>
      </w:r>
      <w:r>
        <w:rPr>
          <w:rFonts w:ascii="Arial" w:cs="Arial" w:eastAsia="Arial" w:hAnsi="Arial"/>
          <w:sz w:val="12"/>
          <w:szCs w:val="12"/>
          <w:color w:val="5D5D5D"/>
        </w:rPr>
        <w:t xml:space="preserve"> acknowledge and agree </w:t>
      </w:r>
      <w:r>
        <w:rPr>
          <w:rFonts w:ascii="Arial" w:cs="Arial" w:eastAsia="Arial" w:hAnsi="Arial"/>
          <w:sz w:val="12"/>
          <w:szCs w:val="12"/>
          <w:color w:val="484848"/>
        </w:rPr>
        <w:t>that</w:t>
      </w:r>
      <w:r>
        <w:rPr>
          <w:rFonts w:ascii="Arial" w:cs="Arial" w:eastAsia="Arial" w:hAnsi="Arial"/>
          <w:sz w:val="12"/>
          <w:szCs w:val="12"/>
          <w:color w:val="5D5D5D"/>
        </w:rPr>
        <w:t xml:space="preserve"> the </w:t>
      </w:r>
      <w:r>
        <w:rPr>
          <w:rFonts w:ascii="Arial" w:cs="Arial" w:eastAsia="Arial" w:hAnsi="Arial"/>
          <w:sz w:val="12"/>
          <w:szCs w:val="12"/>
          <w:color w:val="484848"/>
        </w:rPr>
        <w:t>Theater Management Agreement</w:t>
      </w:r>
      <w:r>
        <w:rPr>
          <w:rFonts w:ascii="Arial" w:cs="Arial" w:eastAsia="Arial" w:hAnsi="Arial"/>
          <w:sz w:val="12"/>
          <w:szCs w:val="12"/>
          <w:color w:val="5D5D5D"/>
        </w:rPr>
        <w:t xml:space="preserve"> constitutes </w:t>
      </w:r>
      <w:r>
        <w:rPr>
          <w:rFonts w:ascii="Arial" w:cs="Arial" w:eastAsia="Arial" w:hAnsi="Arial"/>
          <w:sz w:val="12"/>
          <w:szCs w:val="12"/>
          <w:color w:val="484848"/>
        </w:rPr>
        <w:t>the</w:t>
      </w:r>
      <w:r>
        <w:rPr>
          <w:rFonts w:ascii="Arial" w:cs="Arial" w:eastAsia="Arial" w:hAnsi="Arial"/>
          <w:sz w:val="12"/>
          <w:szCs w:val="12"/>
          <w:color w:val="5D5D5D"/>
        </w:rPr>
        <w:t xml:space="preserve"> entire </w:t>
      </w:r>
      <w:r>
        <w:rPr>
          <w:rFonts w:ascii="Arial" w:cs="Arial" w:eastAsia="Arial" w:hAnsi="Arial"/>
          <w:sz w:val="12"/>
          <w:szCs w:val="12"/>
          <w:color w:val="484848"/>
        </w:rPr>
        <w:t>understandin</w:t>
      </w:r>
      <w:r>
        <w:rPr>
          <w:rFonts w:ascii="Arial" w:cs="Arial" w:eastAsia="Arial" w:hAnsi="Arial"/>
          <w:sz w:val="12"/>
          <w:szCs w:val="12"/>
          <w:color w:val="777777"/>
        </w:rPr>
        <w:t>g</w:t>
      </w:r>
      <w:r>
        <w:rPr>
          <w:rFonts w:ascii="Arial" w:cs="Arial" w:eastAsia="Arial" w:hAnsi="Arial"/>
          <w:sz w:val="12"/>
          <w:szCs w:val="12"/>
          <w:color w:val="5D5D5D"/>
        </w:rPr>
        <w:t xml:space="preserve"> </w:t>
      </w:r>
      <w:r>
        <w:rPr>
          <w:rFonts w:ascii="Arial" w:cs="Arial" w:eastAsia="Arial" w:hAnsi="Arial"/>
          <w:sz w:val="12"/>
          <w:szCs w:val="12"/>
          <w:color w:val="484848"/>
        </w:rPr>
        <w:t>between OB</w:t>
      </w:r>
      <w:r>
        <w:rPr>
          <w:rFonts w:ascii="Arial" w:cs="Arial" w:eastAsia="Arial" w:hAnsi="Arial"/>
          <w:sz w:val="12"/>
          <w:szCs w:val="12"/>
          <w:color w:val="2D2D2D"/>
        </w:rPr>
        <w:t>I</w:t>
      </w:r>
      <w:r>
        <w:rPr>
          <w:rFonts w:ascii="Arial" w:cs="Arial" w:eastAsia="Arial" w:hAnsi="Arial"/>
          <w:sz w:val="12"/>
          <w:szCs w:val="12"/>
          <w:color w:val="5D5D5D"/>
        </w:rPr>
        <w:t xml:space="preserve"> and </w:t>
      </w:r>
      <w:r>
        <w:rPr>
          <w:rFonts w:ascii="Arial" w:cs="Arial" w:eastAsia="Arial" w:hAnsi="Arial"/>
          <w:sz w:val="12"/>
          <w:szCs w:val="12"/>
          <w:color w:val="484848"/>
        </w:rPr>
        <w:t>LTLLC</w:t>
      </w:r>
      <w:r>
        <w:rPr>
          <w:rFonts w:ascii="Arial" w:cs="Arial" w:eastAsia="Arial" w:hAnsi="Arial"/>
          <w:sz w:val="12"/>
          <w:szCs w:val="12"/>
          <w:color w:val="5D5D5D"/>
        </w:rPr>
        <w:t xml:space="preserve"> with </w:t>
      </w:r>
      <w:r>
        <w:rPr>
          <w:rFonts w:ascii="Arial" w:cs="Arial" w:eastAsia="Arial" w:hAnsi="Arial"/>
          <w:sz w:val="12"/>
          <w:szCs w:val="12"/>
          <w:color w:val="484848"/>
        </w:rPr>
        <w:t>respect to the</w:t>
      </w:r>
      <w:r>
        <w:rPr>
          <w:rFonts w:ascii="Arial" w:cs="Arial" w:eastAsia="Arial" w:hAnsi="Arial"/>
          <w:sz w:val="12"/>
          <w:szCs w:val="12"/>
          <w:color w:val="5D5D5D"/>
        </w:rPr>
        <w:t xml:space="preserve"> subject </w:t>
      </w:r>
      <w:r>
        <w:rPr>
          <w:rFonts w:ascii="Arial" w:cs="Arial" w:eastAsia="Arial" w:hAnsi="Arial"/>
          <w:sz w:val="12"/>
          <w:szCs w:val="12"/>
          <w:color w:val="484848"/>
        </w:rPr>
        <w:t>matter thereof</w:t>
      </w:r>
      <w:r>
        <w:rPr>
          <w:rFonts w:ascii="Arial" w:cs="Arial" w:eastAsia="Arial" w:hAnsi="Arial"/>
          <w:sz w:val="12"/>
          <w:szCs w:val="12"/>
          <w:color w:val="777777"/>
        </w:rPr>
        <w:t>,</w:t>
      </w:r>
      <w:r>
        <w:rPr>
          <w:rFonts w:ascii="Arial" w:cs="Arial" w:eastAsia="Arial" w:hAnsi="Arial"/>
          <w:sz w:val="12"/>
          <w:szCs w:val="12"/>
          <w:color w:val="5D5D5D"/>
        </w:rPr>
        <w:t xml:space="preserve"> </w:t>
      </w:r>
      <w:r>
        <w:rPr>
          <w:rFonts w:ascii="Arial" w:cs="Arial" w:eastAsia="Arial" w:hAnsi="Arial"/>
          <w:sz w:val="12"/>
          <w:szCs w:val="12"/>
          <w:color w:val="484848"/>
        </w:rPr>
        <w:t>that</w:t>
      </w:r>
      <w:r>
        <w:rPr>
          <w:rFonts w:ascii="Arial" w:cs="Arial" w:eastAsia="Arial" w:hAnsi="Arial"/>
          <w:sz w:val="12"/>
          <w:szCs w:val="12"/>
          <w:color w:val="5D5D5D"/>
        </w:rPr>
        <w:t xml:space="preserve"> </w:t>
      </w:r>
      <w:r>
        <w:rPr>
          <w:rFonts w:ascii="Arial" w:cs="Arial" w:eastAsia="Arial" w:hAnsi="Arial"/>
          <w:sz w:val="12"/>
          <w:szCs w:val="12"/>
          <w:color w:val="484848"/>
        </w:rPr>
        <w:t xml:space="preserve">OBI </w:t>
      </w:r>
      <w:r>
        <w:rPr>
          <w:rFonts w:ascii="Arial" w:cs="Arial" w:eastAsia="Arial" w:hAnsi="Arial"/>
          <w:sz w:val="12"/>
          <w:szCs w:val="12"/>
          <w:color w:val="5D5D5D"/>
        </w:rPr>
        <w:t>and</w:t>
      </w:r>
      <w:r>
        <w:rPr>
          <w:rFonts w:ascii="Arial" w:cs="Arial" w:eastAsia="Arial" w:hAnsi="Arial"/>
          <w:sz w:val="12"/>
          <w:szCs w:val="12"/>
          <w:color w:val="484848"/>
        </w:rPr>
        <w:t xml:space="preserve"> LTLLC </w:t>
      </w:r>
      <w:r>
        <w:rPr>
          <w:rFonts w:ascii="Arial" w:cs="Arial" w:eastAsia="Arial" w:hAnsi="Arial"/>
          <w:sz w:val="12"/>
          <w:szCs w:val="12"/>
          <w:color w:val="5D5D5D"/>
        </w:rPr>
        <w:t>have</w:t>
      </w:r>
      <w:r>
        <w:rPr>
          <w:rFonts w:ascii="Arial" w:cs="Arial" w:eastAsia="Arial" w:hAnsi="Arial"/>
          <w:sz w:val="12"/>
          <w:szCs w:val="12"/>
          <w:color w:val="484848"/>
        </w:rPr>
        <w:t xml:space="preserve"> performed </w:t>
      </w:r>
      <w:r>
        <w:rPr>
          <w:rFonts w:ascii="Arial" w:cs="Arial" w:eastAsia="Arial" w:hAnsi="Arial"/>
          <w:sz w:val="12"/>
          <w:szCs w:val="12"/>
          <w:color w:val="5D5D5D"/>
        </w:rPr>
        <w:t>all of</w:t>
      </w:r>
      <w:r>
        <w:rPr>
          <w:rFonts w:ascii="Arial" w:cs="Arial" w:eastAsia="Arial" w:hAnsi="Arial"/>
          <w:sz w:val="12"/>
          <w:szCs w:val="12"/>
          <w:color w:val="484848"/>
        </w:rPr>
        <w:t xml:space="preserve"> their respective </w:t>
      </w:r>
      <w:r>
        <w:rPr>
          <w:rFonts w:ascii="Arial" w:cs="Arial" w:eastAsia="Arial" w:hAnsi="Arial"/>
          <w:sz w:val="12"/>
          <w:szCs w:val="12"/>
          <w:color w:val="5D5D5D"/>
        </w:rPr>
        <w:t>obligations</w:t>
      </w:r>
      <w:r>
        <w:rPr>
          <w:rFonts w:ascii="Arial" w:cs="Arial" w:eastAsia="Arial" w:hAnsi="Arial"/>
          <w:sz w:val="12"/>
          <w:szCs w:val="12"/>
          <w:color w:val="484848"/>
        </w:rPr>
        <w:t xml:space="preserve"> to </w:t>
      </w:r>
      <w:r>
        <w:rPr>
          <w:rFonts w:ascii="Arial" w:cs="Arial" w:eastAsia="Arial" w:hAnsi="Arial"/>
          <w:sz w:val="12"/>
          <w:szCs w:val="12"/>
          <w:color w:val="5D5D5D"/>
        </w:rPr>
        <w:t>each other</w:t>
      </w:r>
      <w:r>
        <w:rPr>
          <w:rFonts w:ascii="Arial" w:cs="Arial" w:eastAsia="Arial" w:hAnsi="Arial"/>
          <w:sz w:val="12"/>
          <w:szCs w:val="12"/>
          <w:color w:val="484848"/>
        </w:rPr>
        <w:t xml:space="preserve"> required under the Theater Management Agreement</w:t>
      </w:r>
      <w:r>
        <w:rPr>
          <w:rFonts w:ascii="Arial" w:cs="Arial" w:eastAsia="Arial" w:hAnsi="Arial"/>
          <w:sz w:val="12"/>
          <w:szCs w:val="12"/>
          <w:color w:val="777777"/>
        </w:rPr>
        <w:t>,</w:t>
      </w:r>
      <w:r>
        <w:rPr>
          <w:rFonts w:ascii="Arial" w:cs="Arial" w:eastAsia="Arial" w:hAnsi="Arial"/>
          <w:sz w:val="12"/>
          <w:szCs w:val="12"/>
          <w:color w:val="484848"/>
        </w:rPr>
        <w:t xml:space="preserve"> </w:t>
      </w:r>
      <w:r>
        <w:rPr>
          <w:rFonts w:ascii="Arial" w:cs="Arial" w:eastAsia="Arial" w:hAnsi="Arial"/>
          <w:sz w:val="12"/>
          <w:szCs w:val="12"/>
          <w:color w:val="5D5D5D"/>
        </w:rPr>
        <w:t>and LTLLC</w:t>
      </w:r>
      <w:r>
        <w:rPr>
          <w:rFonts w:ascii="Arial" w:cs="Arial" w:eastAsia="Arial" w:hAnsi="Arial"/>
          <w:sz w:val="12"/>
          <w:szCs w:val="12"/>
          <w:color w:val="484848"/>
        </w:rPr>
        <w:t xml:space="preserve"> has made </w:t>
      </w:r>
      <w:r>
        <w:rPr>
          <w:rFonts w:ascii="Arial" w:cs="Arial" w:eastAsia="Arial" w:hAnsi="Arial"/>
          <w:sz w:val="12"/>
          <w:szCs w:val="12"/>
          <w:color w:val="5D5D5D"/>
        </w:rPr>
        <w:t>all</w:t>
      </w:r>
      <w:r>
        <w:rPr>
          <w:rFonts w:ascii="Arial" w:cs="Arial" w:eastAsia="Arial" w:hAnsi="Arial"/>
          <w:sz w:val="12"/>
          <w:szCs w:val="12"/>
          <w:color w:val="484848"/>
        </w:rPr>
        <w:t xml:space="preserve"> payment</w:t>
      </w:r>
      <w:r>
        <w:rPr>
          <w:rFonts w:ascii="Arial" w:cs="Arial" w:eastAsia="Arial" w:hAnsi="Arial"/>
          <w:sz w:val="12"/>
          <w:szCs w:val="12"/>
          <w:color w:val="777777"/>
        </w:rPr>
        <w:t>s</w:t>
      </w:r>
      <w:r>
        <w:rPr>
          <w:rFonts w:ascii="Arial" w:cs="Arial" w:eastAsia="Arial" w:hAnsi="Arial"/>
          <w:sz w:val="12"/>
          <w:szCs w:val="12"/>
          <w:color w:val="484848"/>
        </w:rPr>
        <w:t xml:space="preserve"> requir</w:t>
      </w:r>
      <w:r>
        <w:rPr>
          <w:rFonts w:ascii="Arial" w:cs="Arial" w:eastAsia="Arial" w:hAnsi="Arial"/>
          <w:sz w:val="12"/>
          <w:szCs w:val="12"/>
          <w:color w:val="777777"/>
        </w:rPr>
        <w:t>e</w:t>
      </w:r>
      <w:r>
        <w:rPr>
          <w:rFonts w:ascii="Arial" w:cs="Arial" w:eastAsia="Arial" w:hAnsi="Arial"/>
          <w:sz w:val="12"/>
          <w:szCs w:val="12"/>
          <w:color w:val="484848"/>
        </w:rPr>
        <w:t xml:space="preserve">d under the Theater Management </w:t>
      </w:r>
      <w:r>
        <w:rPr>
          <w:rFonts w:ascii="Arial" w:cs="Arial" w:eastAsia="Arial" w:hAnsi="Arial"/>
          <w:sz w:val="12"/>
          <w:szCs w:val="12"/>
          <w:color w:val="5D5D5D"/>
        </w:rPr>
        <w:t>Agreement</w:t>
      </w:r>
      <w:r>
        <w:rPr>
          <w:rFonts w:ascii="Arial" w:cs="Arial" w:eastAsia="Arial" w:hAnsi="Arial"/>
          <w:sz w:val="12"/>
          <w:szCs w:val="12"/>
          <w:color w:val="484848"/>
        </w:rPr>
        <w:t xml:space="preserve"> other than the </w:t>
      </w:r>
      <w:r>
        <w:rPr>
          <w:rFonts w:ascii="Arial" w:cs="Arial" w:eastAsia="Arial" w:hAnsi="Arial"/>
          <w:sz w:val="12"/>
          <w:szCs w:val="12"/>
          <w:color w:val="5D5D5D"/>
        </w:rPr>
        <w:t>Fina</w:t>
      </w:r>
      <w:r>
        <w:rPr>
          <w:rFonts w:ascii="Arial" w:cs="Arial" w:eastAsia="Arial" w:hAnsi="Arial"/>
          <w:sz w:val="12"/>
          <w:szCs w:val="12"/>
          <w:color w:val="2D2D2D"/>
        </w:rPr>
        <w:t>l</w:t>
      </w:r>
      <w:r>
        <w:rPr>
          <w:rFonts w:ascii="Arial" w:cs="Arial" w:eastAsia="Arial" w:hAnsi="Arial"/>
          <w:sz w:val="12"/>
          <w:szCs w:val="12"/>
          <w:color w:val="484848"/>
        </w:rPr>
        <w:t xml:space="preserve"> Payment.</w:t>
      </w:r>
    </w:p>
    <w:p>
      <w:pPr>
        <w:spacing w:after="0" w:line="118" w:lineRule="exact"/>
        <w:rPr>
          <w:rFonts w:ascii="Arial" w:cs="Arial" w:eastAsia="Arial" w:hAnsi="Arial"/>
          <w:sz w:val="12"/>
          <w:szCs w:val="12"/>
          <w:color w:val="5D5D5D"/>
        </w:rPr>
      </w:pPr>
    </w:p>
    <w:p>
      <w:pPr>
        <w:ind w:left="180" w:hanging="121"/>
        <w:spacing w:after="0"/>
        <w:tabs>
          <w:tab w:leader="none" w:pos="180" w:val="left"/>
        </w:tabs>
        <w:numPr>
          <w:ilvl w:val="0"/>
          <w:numId w:val="202"/>
        </w:numPr>
        <w:rPr>
          <w:rFonts w:ascii="Arial" w:cs="Arial" w:eastAsia="Arial" w:hAnsi="Arial"/>
          <w:sz w:val="12"/>
          <w:szCs w:val="12"/>
          <w:color w:val="484848"/>
        </w:rPr>
      </w:pPr>
      <w:r>
        <w:rPr>
          <w:rFonts w:ascii="Arial" w:cs="Arial" w:eastAsia="Arial" w:hAnsi="Arial"/>
          <w:sz w:val="12"/>
          <w:szCs w:val="12"/>
          <w:color w:val="484848"/>
        </w:rPr>
        <w:t>Thi</w:t>
      </w:r>
      <w:r>
        <w:rPr>
          <w:rFonts w:ascii="Arial" w:cs="Arial" w:eastAsia="Arial" w:hAnsi="Arial"/>
          <w:sz w:val="12"/>
          <w:szCs w:val="12"/>
          <w:color w:val="777777"/>
        </w:rPr>
        <w:t>s</w:t>
      </w:r>
      <w:r>
        <w:rPr>
          <w:rFonts w:ascii="Arial" w:cs="Arial" w:eastAsia="Arial" w:hAnsi="Arial"/>
          <w:sz w:val="12"/>
          <w:szCs w:val="12"/>
          <w:color w:val="484848"/>
        </w:rPr>
        <w:t xml:space="preserve"> </w:t>
      </w:r>
      <w:r>
        <w:rPr>
          <w:rFonts w:ascii="Arial" w:cs="Arial" w:eastAsia="Arial" w:hAnsi="Arial"/>
          <w:sz w:val="12"/>
          <w:szCs w:val="12"/>
          <w:color w:val="5D5D5D"/>
        </w:rPr>
        <w:t>Agreement</w:t>
      </w:r>
      <w:r>
        <w:rPr>
          <w:rFonts w:ascii="Arial" w:cs="Arial" w:eastAsia="Arial" w:hAnsi="Arial"/>
          <w:sz w:val="12"/>
          <w:szCs w:val="12"/>
          <w:color w:val="484848"/>
        </w:rPr>
        <w:t xml:space="preserve"> </w:t>
      </w:r>
      <w:r>
        <w:rPr>
          <w:rFonts w:ascii="Arial" w:cs="Arial" w:eastAsia="Arial" w:hAnsi="Arial"/>
          <w:sz w:val="12"/>
          <w:szCs w:val="12"/>
          <w:color w:val="777777"/>
        </w:rPr>
        <w:t>s</w:t>
      </w:r>
      <w:r>
        <w:rPr>
          <w:rFonts w:ascii="Arial" w:cs="Arial" w:eastAsia="Arial" w:hAnsi="Arial"/>
          <w:sz w:val="12"/>
          <w:szCs w:val="12"/>
          <w:color w:val="484848"/>
        </w:rPr>
        <w:t xml:space="preserve">hall be </w:t>
      </w:r>
      <w:r>
        <w:rPr>
          <w:rFonts w:ascii="Arial" w:cs="Arial" w:eastAsia="Arial" w:hAnsi="Arial"/>
          <w:sz w:val="12"/>
          <w:szCs w:val="12"/>
          <w:color w:val="5D5D5D"/>
        </w:rPr>
        <w:t>governed</w:t>
      </w:r>
      <w:r>
        <w:rPr>
          <w:rFonts w:ascii="Arial" w:cs="Arial" w:eastAsia="Arial" w:hAnsi="Arial"/>
          <w:sz w:val="12"/>
          <w:szCs w:val="12"/>
          <w:color w:val="484848"/>
        </w:rPr>
        <w:t xml:space="preserve"> by </w:t>
      </w:r>
      <w:r>
        <w:rPr>
          <w:rFonts w:ascii="Arial" w:cs="Arial" w:eastAsia="Arial" w:hAnsi="Arial"/>
          <w:sz w:val="12"/>
          <w:szCs w:val="12"/>
          <w:color w:val="5D5D5D"/>
        </w:rPr>
        <w:t>and construed</w:t>
      </w:r>
      <w:r>
        <w:rPr>
          <w:rFonts w:ascii="Arial" w:cs="Arial" w:eastAsia="Arial" w:hAnsi="Arial"/>
          <w:sz w:val="12"/>
          <w:szCs w:val="12"/>
          <w:color w:val="484848"/>
        </w:rPr>
        <w:t xml:space="preserve"> in </w:t>
      </w:r>
      <w:r>
        <w:rPr>
          <w:rFonts w:ascii="Arial" w:cs="Arial" w:eastAsia="Arial" w:hAnsi="Arial"/>
          <w:sz w:val="12"/>
          <w:szCs w:val="12"/>
          <w:color w:val="5D5D5D"/>
        </w:rPr>
        <w:t>accordance with</w:t>
      </w:r>
      <w:r>
        <w:rPr>
          <w:rFonts w:ascii="Arial" w:cs="Arial" w:eastAsia="Arial" w:hAnsi="Arial"/>
          <w:sz w:val="12"/>
          <w:szCs w:val="12"/>
          <w:color w:val="484848"/>
        </w:rPr>
        <w:t xml:space="preserve"> the laws </w:t>
      </w:r>
      <w:r>
        <w:rPr>
          <w:rFonts w:ascii="Arial" w:cs="Arial" w:eastAsia="Arial" w:hAnsi="Arial"/>
          <w:sz w:val="12"/>
          <w:szCs w:val="12"/>
          <w:color w:val="5D5D5D"/>
        </w:rPr>
        <w:t>of</w:t>
      </w:r>
      <w:r>
        <w:rPr>
          <w:rFonts w:ascii="Arial" w:cs="Arial" w:eastAsia="Arial" w:hAnsi="Arial"/>
          <w:sz w:val="12"/>
          <w:szCs w:val="12"/>
          <w:color w:val="484848"/>
        </w:rPr>
        <w:t xml:space="preserve"> the State of Nevada without </w:t>
      </w:r>
      <w:r>
        <w:rPr>
          <w:rFonts w:ascii="Arial" w:cs="Arial" w:eastAsia="Arial" w:hAnsi="Arial"/>
          <w:sz w:val="12"/>
          <w:szCs w:val="12"/>
          <w:color w:val="5D5D5D"/>
        </w:rPr>
        <w:t>giving effect</w:t>
      </w:r>
      <w:r>
        <w:rPr>
          <w:rFonts w:ascii="Arial" w:cs="Arial" w:eastAsia="Arial" w:hAnsi="Arial"/>
          <w:sz w:val="12"/>
          <w:szCs w:val="12"/>
          <w:color w:val="484848"/>
        </w:rPr>
        <w:t xml:space="preserve"> to the </w:t>
      </w:r>
      <w:r>
        <w:rPr>
          <w:rFonts w:ascii="Arial" w:cs="Arial" w:eastAsia="Arial" w:hAnsi="Arial"/>
          <w:sz w:val="12"/>
          <w:szCs w:val="12"/>
          <w:color w:val="5D5D5D"/>
        </w:rPr>
        <w:t>confl</w:t>
      </w:r>
      <w:r>
        <w:rPr>
          <w:rFonts w:ascii="Arial" w:cs="Arial" w:eastAsia="Arial" w:hAnsi="Arial"/>
          <w:sz w:val="12"/>
          <w:szCs w:val="12"/>
          <w:color w:val="2D2D2D"/>
        </w:rPr>
        <w:t>i</w:t>
      </w:r>
      <w:r>
        <w:rPr>
          <w:rFonts w:ascii="Arial" w:cs="Arial" w:eastAsia="Arial" w:hAnsi="Arial"/>
          <w:sz w:val="12"/>
          <w:szCs w:val="12"/>
          <w:color w:val="484848"/>
        </w:rPr>
        <w:t xml:space="preserve">ct </w:t>
      </w:r>
      <w:r>
        <w:rPr>
          <w:rFonts w:ascii="Arial" w:cs="Arial" w:eastAsia="Arial" w:hAnsi="Arial"/>
          <w:sz w:val="12"/>
          <w:szCs w:val="12"/>
          <w:color w:val="5D5D5D"/>
        </w:rPr>
        <w:t>of</w:t>
      </w:r>
      <w:r>
        <w:rPr>
          <w:rFonts w:ascii="Arial" w:cs="Arial" w:eastAsia="Arial" w:hAnsi="Arial"/>
          <w:sz w:val="12"/>
          <w:szCs w:val="12"/>
          <w:color w:val="484848"/>
        </w:rPr>
        <w:t xml:space="preserve"> laws principles thereof.</w:t>
      </w:r>
    </w:p>
    <w:p>
      <w:pPr>
        <w:spacing w:after="0" w:line="132" w:lineRule="exact"/>
        <w:rPr>
          <w:rFonts w:ascii="Arial" w:cs="Arial" w:eastAsia="Arial" w:hAnsi="Arial"/>
          <w:sz w:val="12"/>
          <w:szCs w:val="12"/>
          <w:color w:val="484848"/>
        </w:rPr>
      </w:pPr>
    </w:p>
    <w:p>
      <w:pPr>
        <w:ind w:left="180" w:hanging="121"/>
        <w:spacing w:after="0"/>
        <w:tabs>
          <w:tab w:leader="none" w:pos="180" w:val="left"/>
        </w:tabs>
        <w:numPr>
          <w:ilvl w:val="0"/>
          <w:numId w:val="202"/>
        </w:numPr>
        <w:rPr>
          <w:rFonts w:ascii="Arial" w:cs="Arial" w:eastAsia="Arial" w:hAnsi="Arial"/>
          <w:sz w:val="11"/>
          <w:szCs w:val="11"/>
          <w:color w:val="5D5D5D"/>
        </w:rPr>
      </w:pPr>
      <w:r>
        <w:rPr>
          <w:rFonts w:ascii="Arial" w:cs="Arial" w:eastAsia="Arial" w:hAnsi="Arial"/>
          <w:sz w:val="11"/>
          <w:szCs w:val="11"/>
          <w:color w:val="5D5D5D"/>
        </w:rPr>
        <w:t>Thi</w:t>
      </w:r>
      <w:r>
        <w:rPr>
          <w:rFonts w:ascii="Arial" w:cs="Arial" w:eastAsia="Arial" w:hAnsi="Arial"/>
          <w:sz w:val="11"/>
          <w:szCs w:val="11"/>
          <w:color w:val="777777"/>
        </w:rPr>
        <w:t>s</w:t>
      </w:r>
      <w:r>
        <w:rPr>
          <w:rFonts w:ascii="Arial" w:cs="Arial" w:eastAsia="Arial" w:hAnsi="Arial"/>
          <w:sz w:val="11"/>
          <w:szCs w:val="11"/>
          <w:color w:val="5D5D5D"/>
        </w:rPr>
        <w:t xml:space="preserve"> Agreement </w:t>
      </w:r>
      <w:r>
        <w:rPr>
          <w:rFonts w:ascii="Arial" w:cs="Arial" w:eastAsia="Arial" w:hAnsi="Arial"/>
          <w:sz w:val="11"/>
          <w:szCs w:val="11"/>
          <w:color w:val="484848"/>
        </w:rPr>
        <w:t>may be</w:t>
      </w:r>
      <w:r>
        <w:rPr>
          <w:rFonts w:ascii="Arial" w:cs="Arial" w:eastAsia="Arial" w:hAnsi="Arial"/>
          <w:sz w:val="11"/>
          <w:szCs w:val="11"/>
          <w:color w:val="5D5D5D"/>
        </w:rPr>
        <w:t xml:space="preserve"> executed </w:t>
      </w:r>
      <w:r>
        <w:rPr>
          <w:rFonts w:ascii="Arial" w:cs="Arial" w:eastAsia="Arial" w:hAnsi="Arial"/>
          <w:sz w:val="11"/>
          <w:szCs w:val="11"/>
          <w:color w:val="484848"/>
        </w:rPr>
        <w:t>in multiple</w:t>
      </w:r>
      <w:r>
        <w:rPr>
          <w:rFonts w:ascii="Arial" w:cs="Arial" w:eastAsia="Arial" w:hAnsi="Arial"/>
          <w:sz w:val="11"/>
          <w:szCs w:val="11"/>
          <w:color w:val="5D5D5D"/>
        </w:rPr>
        <w:t xml:space="preserve"> counterpart </w:t>
      </w:r>
      <w:r>
        <w:rPr>
          <w:rFonts w:ascii="Arial" w:cs="Arial" w:eastAsia="Arial" w:hAnsi="Arial"/>
          <w:sz w:val="11"/>
          <w:szCs w:val="11"/>
          <w:color w:val="777777"/>
        </w:rPr>
        <w:t>s,</w:t>
      </w:r>
      <w:r>
        <w:rPr>
          <w:rFonts w:ascii="Arial" w:cs="Arial" w:eastAsia="Arial" w:hAnsi="Arial"/>
          <w:sz w:val="11"/>
          <w:szCs w:val="11"/>
          <w:color w:val="5D5D5D"/>
        </w:rPr>
        <w:t xml:space="preserve"> each of which shall be deemed an original </w:t>
      </w:r>
      <w:r>
        <w:rPr>
          <w:rFonts w:ascii="Arial" w:cs="Arial" w:eastAsia="Arial" w:hAnsi="Arial"/>
          <w:sz w:val="11"/>
          <w:szCs w:val="11"/>
          <w:color w:val="484848"/>
        </w:rPr>
        <w:t>document, but</w:t>
      </w:r>
      <w:r>
        <w:rPr>
          <w:rFonts w:ascii="Arial" w:cs="Arial" w:eastAsia="Arial" w:hAnsi="Arial"/>
          <w:sz w:val="11"/>
          <w:szCs w:val="11"/>
          <w:color w:val="5D5D5D"/>
        </w:rPr>
        <w:t xml:space="preserve"> all of which together </w:t>
      </w:r>
      <w:r>
        <w:rPr>
          <w:rFonts w:ascii="Arial" w:cs="Arial" w:eastAsia="Arial" w:hAnsi="Arial"/>
          <w:sz w:val="11"/>
          <w:szCs w:val="11"/>
          <w:color w:val="777777"/>
        </w:rPr>
        <w:t>s</w:t>
      </w:r>
      <w:r>
        <w:rPr>
          <w:rFonts w:ascii="Arial" w:cs="Arial" w:eastAsia="Arial" w:hAnsi="Arial"/>
          <w:sz w:val="11"/>
          <w:szCs w:val="11"/>
          <w:color w:val="484848"/>
        </w:rPr>
        <w:t>hall</w:t>
      </w:r>
      <w:r>
        <w:rPr>
          <w:rFonts w:ascii="Arial" w:cs="Arial" w:eastAsia="Arial" w:hAnsi="Arial"/>
          <w:sz w:val="11"/>
          <w:szCs w:val="11"/>
          <w:color w:val="5D5D5D"/>
        </w:rPr>
        <w:t xml:space="preserve"> con</w:t>
      </w:r>
      <w:r>
        <w:rPr>
          <w:rFonts w:ascii="Arial" w:cs="Arial" w:eastAsia="Arial" w:hAnsi="Arial"/>
          <w:sz w:val="11"/>
          <w:szCs w:val="11"/>
          <w:color w:val="777777"/>
        </w:rPr>
        <w:t>s</w:t>
      </w:r>
      <w:r>
        <w:rPr>
          <w:rFonts w:ascii="Arial" w:cs="Arial" w:eastAsia="Arial" w:hAnsi="Arial"/>
          <w:sz w:val="11"/>
          <w:szCs w:val="11"/>
          <w:color w:val="5D5D5D"/>
        </w:rPr>
        <w:t xml:space="preserve">titute on and the </w:t>
      </w:r>
      <w:r>
        <w:rPr>
          <w:rFonts w:ascii="Arial" w:cs="Arial" w:eastAsia="Arial" w:hAnsi="Arial"/>
          <w:sz w:val="11"/>
          <w:szCs w:val="11"/>
          <w:color w:val="777777"/>
        </w:rPr>
        <w:t>s</w:t>
      </w:r>
      <w:r>
        <w:rPr>
          <w:rFonts w:ascii="Arial" w:cs="Arial" w:eastAsia="Arial" w:hAnsi="Arial"/>
          <w:sz w:val="11"/>
          <w:szCs w:val="11"/>
          <w:color w:val="5D5D5D"/>
        </w:rPr>
        <w:t xml:space="preserve">ame </w:t>
      </w:r>
      <w:r>
        <w:rPr>
          <w:rFonts w:ascii="Arial" w:cs="Arial" w:eastAsia="Arial" w:hAnsi="Arial"/>
          <w:sz w:val="11"/>
          <w:szCs w:val="11"/>
          <w:color w:val="484848"/>
        </w:rPr>
        <w:t>instrument.</w:t>
      </w:r>
    </w:p>
    <w:p>
      <w:pPr>
        <w:spacing w:after="0" w:line="243" w:lineRule="exact"/>
        <w:rPr>
          <w:sz w:val="20"/>
          <w:szCs w:val="20"/>
          <w:color w:val="auto"/>
        </w:rPr>
      </w:pPr>
    </w:p>
    <w:p>
      <w:pPr>
        <w:spacing w:after="0"/>
        <w:rPr>
          <w:sz w:val="20"/>
          <w:szCs w:val="20"/>
          <w:color w:val="auto"/>
        </w:rPr>
      </w:pPr>
      <w:r>
        <w:rPr>
          <w:rFonts w:ascii="Arial" w:cs="Arial" w:eastAsia="Arial" w:hAnsi="Arial"/>
          <w:sz w:val="12"/>
          <w:szCs w:val="12"/>
          <w:color w:val="464646"/>
        </w:rPr>
        <w:t>I</w:t>
      </w:r>
      <w:r>
        <w:rPr>
          <w:rFonts w:ascii="Arial" w:cs="Arial" w:eastAsia="Arial" w:hAnsi="Arial"/>
          <w:sz w:val="12"/>
          <w:szCs w:val="12"/>
          <w:color w:val="797979"/>
        </w:rPr>
        <w:t>N</w:t>
      </w:r>
      <w:r>
        <w:rPr>
          <w:rFonts w:ascii="Arial" w:cs="Arial" w:eastAsia="Arial" w:hAnsi="Arial"/>
          <w:sz w:val="12"/>
          <w:szCs w:val="12"/>
          <w:color w:val="464646"/>
        </w:rPr>
        <w:t xml:space="preserve"> </w:t>
      </w:r>
      <w:r>
        <w:rPr>
          <w:rFonts w:ascii="Arial" w:cs="Arial" w:eastAsia="Arial" w:hAnsi="Arial"/>
          <w:sz w:val="12"/>
          <w:szCs w:val="12"/>
          <w:color w:val="565656"/>
        </w:rPr>
        <w:t>WIT</w:t>
      </w:r>
      <w:r>
        <w:rPr>
          <w:rFonts w:ascii="Arial" w:cs="Arial" w:eastAsia="Arial" w:hAnsi="Arial"/>
          <w:sz w:val="12"/>
          <w:szCs w:val="12"/>
          <w:color w:val="797979"/>
        </w:rPr>
        <w:t>NE</w:t>
      </w:r>
      <w:r>
        <w:rPr>
          <w:rFonts w:ascii="Arial" w:cs="Arial" w:eastAsia="Arial" w:hAnsi="Arial"/>
          <w:sz w:val="12"/>
          <w:szCs w:val="12"/>
          <w:color w:val="565656"/>
        </w:rPr>
        <w:t>SS WHEREOF</w:t>
      </w:r>
      <w:r>
        <w:rPr>
          <w:rFonts w:ascii="Arial" w:cs="Arial" w:eastAsia="Arial" w:hAnsi="Arial"/>
          <w:sz w:val="12"/>
          <w:szCs w:val="12"/>
          <w:color w:val="797979"/>
        </w:rPr>
        <w:t>,</w:t>
      </w:r>
      <w:r>
        <w:rPr>
          <w:rFonts w:ascii="Arial" w:cs="Arial" w:eastAsia="Arial" w:hAnsi="Arial"/>
          <w:sz w:val="12"/>
          <w:szCs w:val="12"/>
          <w:color w:val="464646"/>
        </w:rPr>
        <w:t xml:space="preserve"> </w:t>
      </w:r>
      <w:r>
        <w:rPr>
          <w:rFonts w:ascii="Arial" w:cs="Arial" w:eastAsia="Arial" w:hAnsi="Arial"/>
          <w:sz w:val="12"/>
          <w:szCs w:val="12"/>
          <w:color w:val="565656"/>
        </w:rPr>
        <w:t>the</w:t>
      </w:r>
      <w:r>
        <w:rPr>
          <w:rFonts w:ascii="Arial" w:cs="Arial" w:eastAsia="Arial" w:hAnsi="Arial"/>
          <w:sz w:val="12"/>
          <w:szCs w:val="12"/>
          <w:color w:val="464646"/>
        </w:rPr>
        <w:t xml:space="preserve"> partie</w:t>
      </w:r>
      <w:r>
        <w:rPr>
          <w:rFonts w:ascii="Arial" w:cs="Arial" w:eastAsia="Arial" w:hAnsi="Arial"/>
          <w:sz w:val="12"/>
          <w:szCs w:val="12"/>
          <w:color w:val="676767"/>
        </w:rPr>
        <w:t>s execute</w:t>
      </w:r>
      <w:r>
        <w:rPr>
          <w:rFonts w:ascii="Arial" w:cs="Arial" w:eastAsia="Arial" w:hAnsi="Arial"/>
          <w:sz w:val="12"/>
          <w:szCs w:val="12"/>
          <w:color w:val="464646"/>
        </w:rPr>
        <w:t xml:space="preserve"> </w:t>
      </w:r>
      <w:r>
        <w:rPr>
          <w:rFonts w:ascii="Arial" w:cs="Arial" w:eastAsia="Arial" w:hAnsi="Arial"/>
          <w:sz w:val="12"/>
          <w:szCs w:val="12"/>
          <w:color w:val="565656"/>
        </w:rPr>
        <w:t>this Termination Agreement as of the date first set forth</w:t>
      </w:r>
      <w:r>
        <w:rPr>
          <w:rFonts w:ascii="Arial" w:cs="Arial" w:eastAsia="Arial" w:hAnsi="Arial"/>
          <w:sz w:val="12"/>
          <w:szCs w:val="12"/>
          <w:color w:val="464646"/>
        </w:rPr>
        <w:t xml:space="preserve"> </w:t>
      </w:r>
      <w:r>
        <w:rPr>
          <w:rFonts w:ascii="Arial" w:cs="Arial" w:eastAsia="Arial" w:hAnsi="Arial"/>
          <w:sz w:val="12"/>
          <w:szCs w:val="12"/>
          <w:color w:val="676767"/>
        </w:rPr>
        <w:t>above.</w:t>
      </w:r>
    </w:p>
    <w:p>
      <w:pPr>
        <w:spacing w:after="0" w:line="294" w:lineRule="exact"/>
        <w:rPr>
          <w:sz w:val="20"/>
          <w:szCs w:val="20"/>
          <w:color w:val="auto"/>
        </w:rPr>
      </w:pPr>
    </w:p>
    <w:p>
      <w:pPr>
        <w:ind w:left="140"/>
        <w:spacing w:after="0"/>
        <w:rPr>
          <w:sz w:val="20"/>
          <w:szCs w:val="20"/>
          <w:color w:val="auto"/>
        </w:rPr>
      </w:pPr>
      <w:r>
        <w:rPr>
          <w:rFonts w:ascii="Arial" w:cs="Arial" w:eastAsia="Arial" w:hAnsi="Arial"/>
          <w:sz w:val="12"/>
          <w:szCs w:val="12"/>
          <w:color w:val="565656"/>
        </w:rPr>
        <w:t xml:space="preserve">OBI </w:t>
      </w:r>
      <w:r>
        <w:rPr>
          <w:rFonts w:ascii="Arial" w:cs="Arial" w:eastAsia="Arial" w:hAnsi="Arial"/>
          <w:sz w:val="12"/>
          <w:szCs w:val="12"/>
          <w:color w:val="464646"/>
        </w:rPr>
        <w:t>M</w:t>
      </w:r>
      <w:r>
        <w:rPr>
          <w:rFonts w:ascii="Arial" w:cs="Arial" w:eastAsia="Arial" w:hAnsi="Arial"/>
          <w:sz w:val="12"/>
          <w:szCs w:val="12"/>
          <w:color w:val="565656"/>
        </w:rPr>
        <w:t xml:space="preserve"> </w:t>
      </w:r>
      <w:r>
        <w:rPr>
          <w:rFonts w:ascii="Arial" w:cs="Arial" w:eastAsia="Arial" w:hAnsi="Arial"/>
          <w:sz w:val="12"/>
          <w:szCs w:val="12"/>
          <w:color w:val="676767"/>
        </w:rPr>
        <w:t>ANAGEMENT,</w:t>
      </w:r>
      <w:r>
        <w:rPr>
          <w:rFonts w:ascii="Arial" w:cs="Arial" w:eastAsia="Arial" w:hAnsi="Arial"/>
          <w:sz w:val="12"/>
          <w:szCs w:val="12"/>
          <w:color w:val="565656"/>
        </w:rPr>
        <w:t xml:space="preserve">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9525</wp:posOffset>
            </wp:positionV>
            <wp:extent cx="1692910" cy="50927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692910" cy="509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140"/>
        <w:spacing w:after="0"/>
        <w:rPr>
          <w:sz w:val="20"/>
          <w:szCs w:val="20"/>
          <w:color w:val="auto"/>
        </w:rPr>
      </w:pPr>
      <w:r>
        <w:rPr>
          <w:rFonts w:ascii="Arial" w:cs="Arial" w:eastAsia="Arial" w:hAnsi="Arial"/>
          <w:sz w:val="12"/>
          <w:szCs w:val="12"/>
          <w:color w:val="464646"/>
        </w:rPr>
        <w:t xml:space="preserve">LIBERTY </w:t>
      </w:r>
      <w:r>
        <w:rPr>
          <w:rFonts w:ascii="Arial" w:cs="Arial" w:eastAsia="Arial" w:hAnsi="Arial"/>
          <w:sz w:val="12"/>
          <w:szCs w:val="12"/>
          <w:color w:val="565656"/>
        </w:rPr>
        <w:t>THEATERS,</w:t>
      </w:r>
      <w:r>
        <w:rPr>
          <w:rFonts w:ascii="Arial" w:cs="Arial" w:eastAsia="Arial" w:hAnsi="Arial"/>
          <w:sz w:val="12"/>
          <w:szCs w:val="12"/>
          <w:color w:val="464646"/>
        </w:rPr>
        <w:t xml:space="preserve">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751840</wp:posOffset>
            </wp:positionV>
            <wp:extent cx="6242685"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242685"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9525</wp:posOffset>
            </wp:positionV>
            <wp:extent cx="1618615" cy="51498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618615" cy="514985"/>
                    </a:xfrm>
                    <a:prstGeom prst="rect">
                      <a:avLst/>
                    </a:prstGeom>
                    <a:noFill/>
                  </pic:spPr>
                </pic:pic>
              </a:graphicData>
            </a:graphic>
          </wp:anchor>
        </w:drawing>
      </w:r>
    </w:p>
    <w:p>
      <w:pPr>
        <w:sectPr>
          <w:pgSz w:w="11900" w:h="16838" w:orient="portrait"/>
          <w:cols w:equalWidth="0" w:num="1">
            <w:col w:w="9700"/>
          </w:cols>
          <w:pgMar w:left="880" w:top="122" w:right="1319" w:bottom="1440" w:gutter="0" w:footer="0" w:header="0"/>
        </w:sectPr>
      </w:pPr>
    </w:p>
    <w:bookmarkStart w:id="206" w:name="page207"/>
    <w:bookmarkEnd w:id="206"/>
    <w:p>
      <w:pPr>
        <w:jc w:val="right"/>
        <w:spacing w:after="0"/>
        <w:rPr>
          <w:sz w:val="20"/>
          <w:szCs w:val="20"/>
          <w:color w:val="auto"/>
        </w:rPr>
      </w:pPr>
      <w:r>
        <w:rPr>
          <w:rFonts w:ascii="Arial" w:cs="Arial" w:eastAsia="Arial" w:hAnsi="Arial"/>
          <w:sz w:val="10"/>
          <w:szCs w:val="10"/>
          <w:color w:val="auto"/>
        </w:rPr>
        <w:t>567 Collins Street Melbourne VIC 3000</w:t>
      </w:r>
    </w:p>
    <w:p>
      <w:pPr>
        <w:jc w:val="right"/>
        <w:spacing w:after="0" w:line="225" w:lineRule="auto"/>
        <w:rPr>
          <w:sz w:val="20"/>
          <w:szCs w:val="20"/>
          <w:color w:val="auto"/>
        </w:rPr>
      </w:pPr>
      <w:r>
        <w:rPr>
          <w:rFonts w:ascii="Arial" w:cs="Arial" w:eastAsia="Arial" w:hAnsi="Arial"/>
          <w:sz w:val="10"/>
          <w:szCs w:val="10"/>
          <w:color w:val="auto"/>
        </w:rPr>
        <w:t>GPO Box 9925 Melbourne VIC 3001</w:t>
      </w:r>
    </w:p>
    <w:p>
      <w:pPr>
        <w:jc w:val="right"/>
        <w:spacing w:after="0"/>
        <w:rPr>
          <w:sz w:val="20"/>
          <w:szCs w:val="20"/>
          <w:color w:val="auto"/>
        </w:rPr>
      </w:pPr>
      <w:r>
        <w:rPr>
          <w:rFonts w:ascii="Arial" w:cs="Arial" w:eastAsia="Arial" w:hAnsi="Arial"/>
          <w:sz w:val="10"/>
          <w:szCs w:val="10"/>
          <w:color w:val="auto"/>
        </w:rPr>
        <w:t>Tel +61 3 9672 3000</w:t>
      </w:r>
    </w:p>
    <w:p>
      <w:pPr>
        <w:jc w:val="right"/>
        <w:spacing w:after="0" w:line="229" w:lineRule="auto"/>
        <w:rPr>
          <w:sz w:val="20"/>
          <w:szCs w:val="20"/>
          <w:color w:val="auto"/>
        </w:rPr>
      </w:pPr>
      <w:r>
        <w:rPr>
          <w:rFonts w:ascii="Arial" w:cs="Arial" w:eastAsia="Arial" w:hAnsi="Arial"/>
          <w:sz w:val="10"/>
          <w:szCs w:val="10"/>
          <w:color w:val="auto"/>
        </w:rPr>
        <w:t>Fax +61 3 9672 3010</w:t>
      </w:r>
    </w:p>
    <w:p>
      <w:pPr>
        <w:jc w:val="right"/>
        <w:spacing w:after="0"/>
        <w:rPr>
          <w:sz w:val="20"/>
          <w:szCs w:val="20"/>
          <w:color w:val="auto"/>
        </w:rPr>
      </w:pPr>
      <w:r>
        <w:rPr>
          <w:rFonts w:ascii="Arial" w:cs="Arial" w:eastAsia="Arial" w:hAnsi="Arial"/>
          <w:sz w:val="10"/>
          <w:szCs w:val="10"/>
          <w:b w:val="1"/>
          <w:bCs w:val="1"/>
          <w:color w:val="auto"/>
        </w:rPr>
        <w:t>www.corrs.com.au</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right"/>
        <w:ind w:right="60"/>
        <w:spacing w:after="0"/>
        <w:rPr>
          <w:sz w:val="20"/>
          <w:szCs w:val="20"/>
          <w:color w:val="auto"/>
        </w:rPr>
      </w:pPr>
      <w:r>
        <w:rPr>
          <w:rFonts w:ascii="Arial" w:cs="Arial" w:eastAsia="Arial" w:hAnsi="Arial"/>
          <w:sz w:val="10"/>
          <w:szCs w:val="10"/>
          <w:color w:val="7F7F7F"/>
        </w:rPr>
        <w:t>Sydney Melbourne Brisbane</w:t>
      </w:r>
    </w:p>
    <w:p>
      <w:pPr>
        <w:jc w:val="right"/>
        <w:ind w:right="60"/>
        <w:spacing w:after="0"/>
        <w:rPr>
          <w:sz w:val="20"/>
          <w:szCs w:val="20"/>
          <w:color w:val="auto"/>
        </w:rPr>
      </w:pPr>
      <w:r>
        <w:rPr>
          <w:rFonts w:ascii="Arial" w:cs="Arial" w:eastAsia="Arial" w:hAnsi="Arial"/>
          <w:sz w:val="10"/>
          <w:szCs w:val="10"/>
          <w:color w:val="7F7F7F"/>
        </w:rPr>
        <w:t>Perth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40"/>
        <w:spacing w:after="0"/>
        <w:rPr>
          <w:sz w:val="20"/>
          <w:szCs w:val="20"/>
          <w:color w:val="auto"/>
        </w:rPr>
      </w:pPr>
      <w:r>
        <w:rPr>
          <w:rFonts w:ascii="Arial" w:cs="Arial" w:eastAsia="Arial" w:hAnsi="Arial"/>
          <w:sz w:val="22"/>
          <w:szCs w:val="22"/>
          <w:color w:val="auto"/>
        </w:rPr>
        <w:t>National Australia Bank Limited</w:t>
      </w:r>
    </w:p>
    <w:p>
      <w:pPr>
        <w:spacing w:after="0" w:line="179" w:lineRule="exact"/>
        <w:rPr>
          <w:sz w:val="20"/>
          <w:szCs w:val="20"/>
          <w:color w:val="auto"/>
        </w:rPr>
      </w:pPr>
    </w:p>
    <w:p>
      <w:pPr>
        <w:ind w:left="140"/>
        <w:spacing w:after="0"/>
        <w:rPr>
          <w:sz w:val="20"/>
          <w:szCs w:val="20"/>
          <w:color w:val="auto"/>
        </w:rPr>
      </w:pPr>
      <w:r>
        <w:rPr>
          <w:rFonts w:ascii="Arial" w:cs="Arial" w:eastAsia="Arial" w:hAnsi="Arial"/>
          <w:sz w:val="22"/>
          <w:szCs w:val="22"/>
          <w:color w:val="auto"/>
        </w:rPr>
        <w:t>Reading Entertainment Australia Pty Ltd</w:t>
      </w:r>
    </w:p>
    <w:p>
      <w:pPr>
        <w:spacing w:after="0" w:line="179" w:lineRule="exact"/>
        <w:rPr>
          <w:sz w:val="20"/>
          <w:szCs w:val="20"/>
          <w:color w:val="auto"/>
        </w:rPr>
      </w:pPr>
    </w:p>
    <w:p>
      <w:pPr>
        <w:ind w:left="140"/>
        <w:spacing w:after="0"/>
        <w:rPr>
          <w:sz w:val="20"/>
          <w:szCs w:val="20"/>
          <w:color w:val="auto"/>
        </w:rPr>
      </w:pPr>
      <w:r>
        <w:rPr>
          <w:rFonts w:ascii="Arial" w:cs="Arial" w:eastAsia="Arial" w:hAnsi="Arial"/>
          <w:sz w:val="22"/>
          <w:szCs w:val="22"/>
          <w:color w:val="auto"/>
        </w:rPr>
        <w:t>Each Guarantor</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140"/>
        <w:spacing w:after="0"/>
        <w:rPr>
          <w:sz w:val="20"/>
          <w:szCs w:val="20"/>
          <w:color w:val="auto"/>
        </w:rPr>
      </w:pPr>
      <w:r>
        <w:rPr>
          <w:rFonts w:ascii="Arial" w:cs="Arial" w:eastAsia="Arial" w:hAnsi="Arial"/>
          <w:sz w:val="48"/>
          <w:szCs w:val="48"/>
          <w:color w:val="E65E13"/>
        </w:rPr>
        <w:t>Restatement Deed</w:t>
      </w:r>
    </w:p>
    <w:p>
      <w:pPr>
        <w:ind w:left="140"/>
        <w:spacing w:after="0"/>
        <w:rPr>
          <w:sz w:val="20"/>
          <w:szCs w:val="20"/>
          <w:color w:val="auto"/>
        </w:rPr>
      </w:pPr>
      <w:r>
        <w:rPr>
          <w:rFonts w:ascii="Arial" w:cs="Arial" w:eastAsia="Arial" w:hAnsi="Arial"/>
          <w:sz w:val="13"/>
          <w:szCs w:val="13"/>
          <w:color w:val="A6A6A6"/>
        </w:rPr>
        <w:t>(Corporate Markets Loan &amp; Bank Guarantee Facility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2101850</wp:posOffset>
            </wp:positionV>
            <wp:extent cx="6208395"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208395" cy="42545"/>
                    </a:xfrm>
                    <a:prstGeom prst="rect">
                      <a:avLst/>
                    </a:prstGeom>
                    <a:noFill/>
                  </pic:spPr>
                </pic:pic>
              </a:graphicData>
            </a:graphic>
          </wp:anchor>
        </w:drawing>
      </w:r>
    </w:p>
    <w:p>
      <w:pPr>
        <w:sectPr>
          <w:pgSz w:w="11900" w:h="16838" w:orient="portrait"/>
          <w:cols w:equalWidth="0" w:num="1">
            <w:col w:w="10120"/>
          </w:cols>
          <w:pgMar w:left="1440" w:top="184" w:right="339" w:bottom="1440" w:gutter="0" w:footer="0" w:header="0"/>
        </w:sectPr>
      </w:pPr>
    </w:p>
    <w:bookmarkStart w:id="207" w:name="page208"/>
    <w:bookmarkEnd w:id="207"/>
    <w:p>
      <w:pPr>
        <w:ind w:left="320"/>
        <w:spacing w:after="0"/>
        <w:rPr>
          <w:sz w:val="20"/>
          <w:szCs w:val="20"/>
          <w:color w:val="auto"/>
        </w:rPr>
      </w:pPr>
      <w:r>
        <w:rPr>
          <w:rFonts w:ascii="Arial" w:cs="Arial" w:eastAsia="Arial" w:hAnsi="Arial"/>
          <w:sz w:val="19"/>
          <w:szCs w:val="19"/>
          <w:color w:val="auto"/>
        </w:rPr>
        <w:t>Contents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560" w:type="dxa"/>
            <w:vAlign w:val="bottom"/>
          </w:tcPr>
          <w:p>
            <w:pPr>
              <w:ind w:left="360"/>
              <w:spacing w:after="0"/>
              <w:rPr>
                <w:sz w:val="20"/>
                <w:szCs w:val="20"/>
                <w:color w:val="auto"/>
              </w:rPr>
            </w:pPr>
            <w:r>
              <w:rPr>
                <w:rFonts w:ascii="Arial" w:cs="Arial" w:eastAsia="Arial" w:hAnsi="Arial"/>
                <w:sz w:val="12"/>
                <w:szCs w:val="12"/>
                <w:b w:val="1"/>
                <w:bCs w:val="1"/>
                <w:color w:val="auto"/>
              </w:rPr>
              <w:t>1</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w w:val="99"/>
              </w:rPr>
              <w:t>Definitions</w:t>
            </w:r>
          </w:p>
        </w:tc>
        <w:tc>
          <w:tcPr>
            <w:tcW w:w="560" w:type="dxa"/>
            <w:vAlign w:val="bottom"/>
          </w:tcPr>
          <w:p>
            <w:pPr>
              <w:jc w:val="right"/>
              <w:ind w:right="442"/>
              <w:spacing w:after="0"/>
              <w:rPr>
                <w:sz w:val="20"/>
                <w:szCs w:val="20"/>
                <w:color w:val="auto"/>
              </w:rPr>
            </w:pPr>
            <w:r>
              <w:rPr>
                <w:rFonts w:ascii="Arial" w:cs="Arial" w:eastAsia="Arial" w:hAnsi="Arial"/>
                <w:sz w:val="10"/>
                <w:szCs w:val="10"/>
                <w:b w:val="1"/>
                <w:bCs w:val="1"/>
                <w:color w:val="auto"/>
                <w:w w:val="71"/>
              </w:rPr>
              <w:t>1</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40" w:type="dxa"/>
            <w:vAlign w:val="bottom"/>
          </w:tcPr>
          <w:p>
            <w:pPr>
              <w:spacing w:after="0"/>
              <w:rPr>
                <w:sz w:val="14"/>
                <w:szCs w:val="14"/>
                <w:color w:val="auto"/>
              </w:rPr>
            </w:pPr>
          </w:p>
        </w:tc>
      </w:tr>
      <w:tr>
        <w:trPr>
          <w:trHeight w:val="306"/>
        </w:trPr>
        <w:tc>
          <w:tcPr>
            <w:tcW w:w="560" w:type="dxa"/>
            <w:vAlign w:val="bottom"/>
          </w:tcPr>
          <w:p>
            <w:pPr>
              <w:ind w:left="3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2"/>
                <w:szCs w:val="12"/>
                <w:b w:val="1"/>
                <w:bCs w:val="1"/>
                <w:color w:val="auto"/>
                <w:w w:val="99"/>
              </w:rPr>
              <w:t>Consideration</w:t>
            </w:r>
          </w:p>
        </w:tc>
        <w:tc>
          <w:tcPr>
            <w:tcW w:w="560" w:type="dxa"/>
            <w:vAlign w:val="bottom"/>
          </w:tcPr>
          <w:p>
            <w:pPr>
              <w:jc w:val="center"/>
              <w:ind w:right="202"/>
              <w:spacing w:after="0"/>
              <w:rPr>
                <w:sz w:val="20"/>
                <w:szCs w:val="20"/>
                <w:color w:val="auto"/>
              </w:rPr>
            </w:pPr>
            <w:r>
              <w:rPr>
                <w:rFonts w:ascii="Arial" w:cs="Arial" w:eastAsia="Arial" w:hAnsi="Arial"/>
                <w:sz w:val="12"/>
                <w:szCs w:val="12"/>
                <w:b w:val="1"/>
                <w:bCs w:val="1"/>
                <w:color w:val="auto"/>
                <w:w w:val="89"/>
              </w:rPr>
              <w:t>1</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40" w:type="dxa"/>
            <w:vAlign w:val="bottom"/>
          </w:tcPr>
          <w:p>
            <w:pPr>
              <w:spacing w:after="0"/>
              <w:rPr>
                <w:sz w:val="24"/>
                <w:szCs w:val="24"/>
                <w:color w:val="auto"/>
              </w:rPr>
            </w:pPr>
          </w:p>
        </w:tc>
      </w:tr>
      <w:tr>
        <w:trPr>
          <w:trHeight w:val="306"/>
        </w:trPr>
        <w:tc>
          <w:tcPr>
            <w:tcW w:w="560" w:type="dxa"/>
            <w:vAlign w:val="bottom"/>
          </w:tcPr>
          <w:p>
            <w:pPr>
              <w:ind w:left="360"/>
              <w:spacing w:after="0"/>
              <w:rPr>
                <w:sz w:val="20"/>
                <w:szCs w:val="20"/>
                <w:color w:val="auto"/>
              </w:rPr>
            </w:pPr>
            <w:r>
              <w:rPr>
                <w:rFonts w:ascii="Arial" w:cs="Arial" w:eastAsia="Arial" w:hAnsi="Arial"/>
                <w:sz w:val="12"/>
                <w:szCs w:val="12"/>
                <w:b w:val="1"/>
                <w:bCs w:val="1"/>
                <w:color w:val="auto"/>
              </w:rPr>
              <w:t>3</w:t>
            </w:r>
          </w:p>
        </w:tc>
        <w:tc>
          <w:tcPr>
            <w:tcW w:w="1520" w:type="dxa"/>
            <w:vAlign w:val="bottom"/>
            <w:gridSpan w:val="4"/>
          </w:tcPr>
          <w:p>
            <w:pPr>
              <w:jc w:val="right"/>
              <w:spacing w:after="0"/>
              <w:rPr>
                <w:sz w:val="20"/>
                <w:szCs w:val="20"/>
                <w:color w:val="auto"/>
              </w:rPr>
            </w:pPr>
            <w:r>
              <w:rPr>
                <w:rFonts w:ascii="Arial" w:cs="Arial" w:eastAsia="Arial" w:hAnsi="Arial"/>
                <w:sz w:val="12"/>
                <w:szCs w:val="12"/>
                <w:b w:val="1"/>
                <w:bCs w:val="1"/>
                <w:color w:val="auto"/>
              </w:rPr>
              <w:t>Conditions precedent</w:t>
            </w:r>
          </w:p>
        </w:tc>
        <w:tc>
          <w:tcPr>
            <w:tcW w:w="560" w:type="dxa"/>
            <w:vAlign w:val="bottom"/>
          </w:tcPr>
          <w:p>
            <w:pPr>
              <w:jc w:val="right"/>
              <w:ind w:right="2"/>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40" w:type="dxa"/>
            <w:vAlign w:val="bottom"/>
          </w:tcPr>
          <w:p>
            <w:pPr>
              <w:spacing w:after="0"/>
              <w:rPr>
                <w:sz w:val="24"/>
                <w:szCs w:val="24"/>
                <w:color w:val="auto"/>
              </w:rPr>
            </w:pPr>
          </w:p>
        </w:tc>
      </w:tr>
      <w:tr>
        <w:trPr>
          <w:trHeight w:val="306"/>
        </w:trPr>
        <w:tc>
          <w:tcPr>
            <w:tcW w:w="560" w:type="dxa"/>
            <w:vAlign w:val="bottom"/>
          </w:tcPr>
          <w:p>
            <w:pPr>
              <w:ind w:left="360"/>
              <w:spacing w:after="0"/>
              <w:rPr>
                <w:sz w:val="20"/>
                <w:szCs w:val="20"/>
                <w:color w:val="auto"/>
              </w:rPr>
            </w:pPr>
            <w:r>
              <w:rPr>
                <w:rFonts w:ascii="Arial" w:cs="Arial" w:eastAsia="Arial" w:hAnsi="Arial"/>
                <w:sz w:val="12"/>
                <w:szCs w:val="12"/>
                <w:b w:val="1"/>
                <w:bCs w:val="1"/>
                <w:color w:val="auto"/>
              </w:rPr>
              <w:t>4</w:t>
            </w:r>
          </w:p>
        </w:tc>
        <w:tc>
          <w:tcPr>
            <w:tcW w:w="2080" w:type="dxa"/>
            <w:vAlign w:val="bottom"/>
            <w:gridSpan w:val="5"/>
          </w:tcPr>
          <w:p>
            <w:pPr>
              <w:ind w:left="200"/>
              <w:spacing w:after="0"/>
              <w:rPr>
                <w:sz w:val="20"/>
                <w:szCs w:val="20"/>
                <w:color w:val="auto"/>
              </w:rPr>
            </w:pPr>
            <w:r>
              <w:rPr>
                <w:rFonts w:ascii="Arial" w:cs="Arial" w:eastAsia="Arial" w:hAnsi="Arial"/>
                <w:sz w:val="12"/>
                <w:szCs w:val="12"/>
                <w:b w:val="1"/>
                <w:bCs w:val="1"/>
                <w:color w:val="auto"/>
              </w:rPr>
              <w:t>Variation of Facility Agreement</w:t>
            </w:r>
          </w:p>
        </w:tc>
        <w:tc>
          <w:tcPr>
            <w:tcW w:w="240" w:type="dxa"/>
            <w:vAlign w:val="bottom"/>
          </w:tcPr>
          <w:p>
            <w:pPr>
              <w:spacing w:after="0"/>
              <w:rPr>
                <w:sz w:val="24"/>
                <w:szCs w:val="24"/>
                <w:color w:val="auto"/>
              </w:rPr>
            </w:pPr>
          </w:p>
        </w:tc>
        <w:tc>
          <w:tcPr>
            <w:tcW w:w="220" w:type="dxa"/>
            <w:vAlign w:val="bottom"/>
          </w:tcPr>
          <w:p>
            <w:pPr>
              <w:jc w:val="right"/>
              <w:ind w:right="20"/>
              <w:spacing w:after="0"/>
              <w:rPr>
                <w:sz w:val="20"/>
                <w:szCs w:val="20"/>
                <w:color w:val="auto"/>
              </w:rPr>
            </w:pPr>
            <w:r>
              <w:rPr>
                <w:rFonts w:ascii="Arial" w:cs="Arial" w:eastAsia="Arial" w:hAnsi="Arial"/>
                <w:sz w:val="12"/>
                <w:szCs w:val="12"/>
                <w:b w:val="1"/>
                <w:bCs w:val="1"/>
                <w:color w:val="auto"/>
              </w:rPr>
              <w:t>2</w:t>
            </w:r>
          </w:p>
        </w:tc>
        <w:tc>
          <w:tcPr>
            <w:tcW w:w="6640" w:type="dxa"/>
            <w:vAlign w:val="bottom"/>
          </w:tcPr>
          <w:p>
            <w:pPr>
              <w:spacing w:after="0"/>
              <w:rPr>
                <w:sz w:val="24"/>
                <w:szCs w:val="24"/>
                <w:color w:val="auto"/>
              </w:rPr>
            </w:pPr>
          </w:p>
        </w:tc>
      </w:tr>
      <w:tr>
        <w:trPr>
          <w:trHeight w:val="306"/>
        </w:trPr>
        <w:tc>
          <w:tcPr>
            <w:tcW w:w="560" w:type="dxa"/>
            <w:vAlign w:val="bottom"/>
          </w:tcPr>
          <w:p>
            <w:pPr>
              <w:ind w:left="360"/>
              <w:spacing w:after="0"/>
              <w:rPr>
                <w:sz w:val="20"/>
                <w:szCs w:val="20"/>
                <w:color w:val="auto"/>
              </w:rPr>
            </w:pPr>
            <w:r>
              <w:rPr>
                <w:rFonts w:ascii="Arial" w:cs="Arial" w:eastAsia="Arial" w:hAnsi="Arial"/>
                <w:sz w:val="12"/>
                <w:szCs w:val="12"/>
                <w:b w:val="1"/>
                <w:bCs w:val="1"/>
                <w:color w:val="auto"/>
              </w:rPr>
              <w:t>5</w:t>
            </w:r>
          </w:p>
        </w:tc>
        <w:tc>
          <w:tcPr>
            <w:tcW w:w="300" w:type="dxa"/>
            <w:vAlign w:val="bottom"/>
          </w:tcPr>
          <w:p>
            <w:pPr>
              <w:spacing w:after="0"/>
              <w:rPr>
                <w:sz w:val="24"/>
                <w:szCs w:val="24"/>
                <w:color w:val="auto"/>
              </w:rPr>
            </w:pPr>
          </w:p>
        </w:tc>
        <w:tc>
          <w:tcPr>
            <w:tcW w:w="1220" w:type="dxa"/>
            <w:vAlign w:val="bottom"/>
            <w:gridSpan w:val="3"/>
          </w:tcPr>
          <w:p>
            <w:pPr>
              <w:jc w:val="right"/>
              <w:ind w:right="80"/>
              <w:spacing w:after="0"/>
              <w:rPr>
                <w:sz w:val="20"/>
                <w:szCs w:val="20"/>
                <w:color w:val="auto"/>
              </w:rPr>
            </w:pPr>
            <w:r>
              <w:rPr>
                <w:rFonts w:ascii="Arial" w:cs="Arial" w:eastAsia="Arial" w:hAnsi="Arial"/>
                <w:sz w:val="12"/>
                <w:szCs w:val="12"/>
                <w:b w:val="1"/>
                <w:bCs w:val="1"/>
                <w:color w:val="auto"/>
                <w:w w:val="99"/>
              </w:rPr>
              <w:t>Acknowledgments</w:t>
            </w:r>
          </w:p>
        </w:tc>
        <w:tc>
          <w:tcPr>
            <w:tcW w:w="560" w:type="dxa"/>
            <w:vAlign w:val="bottom"/>
          </w:tcPr>
          <w:p>
            <w:pPr>
              <w:jc w:val="right"/>
              <w:ind w:right="142"/>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40" w:type="dxa"/>
            <w:vAlign w:val="bottom"/>
          </w:tcPr>
          <w:p>
            <w:pPr>
              <w:spacing w:after="0"/>
              <w:rPr>
                <w:sz w:val="24"/>
                <w:szCs w:val="24"/>
                <w:color w:val="auto"/>
              </w:rPr>
            </w:pPr>
          </w:p>
        </w:tc>
      </w:tr>
      <w:tr>
        <w:trPr>
          <w:trHeight w:val="306"/>
        </w:trPr>
        <w:tc>
          <w:tcPr>
            <w:tcW w:w="560" w:type="dxa"/>
            <w:vAlign w:val="bottom"/>
          </w:tcPr>
          <w:p>
            <w:pPr>
              <w:ind w:left="360"/>
              <w:spacing w:after="0"/>
              <w:rPr>
                <w:sz w:val="20"/>
                <w:szCs w:val="20"/>
                <w:color w:val="auto"/>
              </w:rPr>
            </w:pPr>
            <w:r>
              <w:rPr>
                <w:rFonts w:ascii="Arial" w:cs="Arial" w:eastAsia="Arial" w:hAnsi="Arial"/>
                <w:sz w:val="12"/>
                <w:szCs w:val="12"/>
                <w:b w:val="1"/>
                <w:bCs w:val="1"/>
                <w:color w:val="auto"/>
              </w:rPr>
              <w:t>6</w:t>
            </w:r>
          </w:p>
        </w:tc>
        <w:tc>
          <w:tcPr>
            <w:tcW w:w="2080" w:type="dxa"/>
            <w:vAlign w:val="bottom"/>
            <w:gridSpan w:val="5"/>
          </w:tcPr>
          <w:p>
            <w:pPr>
              <w:ind w:left="200"/>
              <w:spacing w:after="0"/>
              <w:rPr>
                <w:sz w:val="20"/>
                <w:szCs w:val="20"/>
                <w:color w:val="auto"/>
              </w:rPr>
            </w:pPr>
            <w:r>
              <w:rPr>
                <w:rFonts w:ascii="Arial" w:cs="Arial" w:eastAsia="Arial" w:hAnsi="Arial"/>
                <w:sz w:val="12"/>
                <w:szCs w:val="12"/>
                <w:b w:val="1"/>
                <w:bCs w:val="1"/>
                <w:color w:val="auto"/>
              </w:rPr>
              <w:t>Warranties and representations</w:t>
            </w:r>
          </w:p>
        </w:tc>
        <w:tc>
          <w:tcPr>
            <w:tcW w:w="24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Arial" w:cs="Arial" w:eastAsia="Arial" w:hAnsi="Arial"/>
                <w:sz w:val="12"/>
                <w:szCs w:val="12"/>
                <w:b w:val="1"/>
                <w:bCs w:val="1"/>
                <w:color w:val="auto"/>
              </w:rPr>
              <w:t>2</w:t>
            </w:r>
          </w:p>
        </w:tc>
        <w:tc>
          <w:tcPr>
            <w:tcW w:w="6640" w:type="dxa"/>
            <w:vAlign w:val="bottom"/>
          </w:tcPr>
          <w:p>
            <w:pPr>
              <w:spacing w:after="0"/>
              <w:rPr>
                <w:sz w:val="24"/>
                <w:szCs w:val="24"/>
                <w:color w:val="auto"/>
              </w:rPr>
            </w:pPr>
          </w:p>
        </w:tc>
      </w:tr>
      <w:tr>
        <w:trPr>
          <w:trHeight w:val="243"/>
        </w:trPr>
        <w:tc>
          <w:tcPr>
            <w:tcW w:w="560" w:type="dxa"/>
            <w:vAlign w:val="bottom"/>
          </w:tcPr>
          <w:p>
            <w:pPr>
              <w:spacing w:after="0"/>
              <w:rPr>
                <w:sz w:val="21"/>
                <w:szCs w:val="21"/>
                <w:color w:val="auto"/>
              </w:rPr>
            </w:pPr>
          </w:p>
        </w:tc>
        <w:tc>
          <w:tcPr>
            <w:tcW w:w="300" w:type="dxa"/>
            <w:vAlign w:val="bottom"/>
          </w:tcPr>
          <w:p>
            <w:pPr>
              <w:jc w:val="right"/>
              <w:spacing w:after="0"/>
              <w:rPr>
                <w:sz w:val="20"/>
                <w:szCs w:val="20"/>
                <w:color w:val="auto"/>
              </w:rPr>
            </w:pPr>
            <w:r>
              <w:rPr>
                <w:rFonts w:ascii="Arial" w:cs="Arial" w:eastAsia="Arial" w:hAnsi="Arial"/>
                <w:sz w:val="12"/>
                <w:szCs w:val="12"/>
                <w:color w:val="auto"/>
              </w:rPr>
              <w:t>6.1</w:t>
            </w: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560" w:type="dxa"/>
            <w:vAlign w:val="bottom"/>
          </w:tcPr>
          <w:p>
            <w:pPr>
              <w:jc w:val="right"/>
              <w:ind w:right="2"/>
              <w:spacing w:after="0"/>
              <w:rPr>
                <w:sz w:val="20"/>
                <w:szCs w:val="20"/>
                <w:color w:val="auto"/>
              </w:rPr>
            </w:pPr>
            <w:r>
              <w:rPr>
                <w:rFonts w:ascii="Arial" w:cs="Arial" w:eastAsia="Arial" w:hAnsi="Arial"/>
                <w:sz w:val="12"/>
                <w:szCs w:val="12"/>
                <w:color w:val="auto"/>
              </w:rPr>
              <w:t>General</w:t>
            </w:r>
          </w:p>
        </w:tc>
        <w:tc>
          <w:tcPr>
            <w:tcW w:w="240" w:type="dxa"/>
            <w:vAlign w:val="bottom"/>
          </w:tcPr>
          <w:p>
            <w:pPr>
              <w:spacing w:after="0"/>
              <w:rPr>
                <w:sz w:val="21"/>
                <w:szCs w:val="21"/>
                <w:color w:val="auto"/>
              </w:rPr>
            </w:pPr>
          </w:p>
        </w:tc>
        <w:tc>
          <w:tcPr>
            <w:tcW w:w="220" w:type="dxa"/>
            <w:vAlign w:val="bottom"/>
          </w:tcPr>
          <w:p>
            <w:pPr>
              <w:jc w:val="right"/>
              <w:spacing w:after="0"/>
              <w:rPr>
                <w:sz w:val="20"/>
                <w:szCs w:val="20"/>
                <w:color w:val="auto"/>
              </w:rPr>
            </w:pPr>
            <w:r>
              <w:rPr>
                <w:rFonts w:ascii="Arial" w:cs="Arial" w:eastAsia="Arial" w:hAnsi="Arial"/>
                <w:sz w:val="12"/>
                <w:szCs w:val="12"/>
                <w:color w:val="auto"/>
              </w:rPr>
              <w:t>2</w:t>
            </w:r>
          </w:p>
        </w:tc>
        <w:tc>
          <w:tcPr>
            <w:tcW w:w="6640" w:type="dxa"/>
            <w:vAlign w:val="bottom"/>
          </w:tcPr>
          <w:p>
            <w:pPr>
              <w:spacing w:after="0"/>
              <w:rPr>
                <w:sz w:val="21"/>
                <w:szCs w:val="21"/>
                <w:color w:val="auto"/>
              </w:rPr>
            </w:pPr>
          </w:p>
        </w:tc>
      </w:tr>
      <w:tr>
        <w:trPr>
          <w:trHeight w:val="162"/>
        </w:trPr>
        <w:tc>
          <w:tcPr>
            <w:tcW w:w="56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2"/>
                <w:szCs w:val="12"/>
                <w:color w:val="auto"/>
              </w:rPr>
              <w:t>6.2</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300" w:type="dxa"/>
            <w:vAlign w:val="bottom"/>
            <w:gridSpan w:val="3"/>
          </w:tcPr>
          <w:p>
            <w:pPr>
              <w:jc w:val="center"/>
              <w:ind w:right="80"/>
              <w:spacing w:after="0"/>
              <w:rPr>
                <w:sz w:val="20"/>
                <w:szCs w:val="20"/>
                <w:color w:val="auto"/>
              </w:rPr>
            </w:pPr>
            <w:r>
              <w:rPr>
                <w:rFonts w:ascii="Arial" w:cs="Arial" w:eastAsia="Arial" w:hAnsi="Arial"/>
                <w:sz w:val="12"/>
                <w:szCs w:val="12"/>
                <w:color w:val="auto"/>
              </w:rPr>
              <w:t>Survival of warranties</w:t>
            </w:r>
          </w:p>
        </w:tc>
        <w:tc>
          <w:tcPr>
            <w:tcW w:w="220" w:type="dxa"/>
            <w:vAlign w:val="bottom"/>
          </w:tcPr>
          <w:p>
            <w:pPr>
              <w:spacing w:after="0"/>
              <w:rPr>
                <w:sz w:val="14"/>
                <w:szCs w:val="14"/>
                <w:color w:val="auto"/>
              </w:rPr>
            </w:pPr>
          </w:p>
        </w:tc>
        <w:tc>
          <w:tcPr>
            <w:tcW w:w="6640" w:type="dxa"/>
            <w:vAlign w:val="bottom"/>
          </w:tcPr>
          <w:p>
            <w:pPr>
              <w:jc w:val="right"/>
              <w:ind w:right="6440"/>
              <w:spacing w:after="0"/>
              <w:rPr>
                <w:sz w:val="20"/>
                <w:szCs w:val="20"/>
                <w:color w:val="auto"/>
              </w:rPr>
            </w:pPr>
            <w:r>
              <w:rPr>
                <w:rFonts w:ascii="Arial" w:cs="Arial" w:eastAsia="Arial" w:hAnsi="Arial"/>
                <w:sz w:val="12"/>
                <w:szCs w:val="12"/>
                <w:color w:val="auto"/>
              </w:rPr>
              <w:t>3</w:t>
            </w:r>
          </w:p>
        </w:tc>
      </w:tr>
      <w:tr>
        <w:trPr>
          <w:trHeight w:val="225"/>
        </w:trPr>
        <w:tc>
          <w:tcPr>
            <w:tcW w:w="560" w:type="dxa"/>
            <w:vAlign w:val="bottom"/>
          </w:tcPr>
          <w:p>
            <w:pPr>
              <w:ind w:left="360"/>
              <w:spacing w:after="0"/>
              <w:rPr>
                <w:sz w:val="20"/>
                <w:szCs w:val="20"/>
                <w:color w:val="auto"/>
              </w:rPr>
            </w:pPr>
            <w:r>
              <w:rPr>
                <w:rFonts w:ascii="Arial" w:cs="Arial" w:eastAsia="Arial" w:hAnsi="Arial"/>
                <w:sz w:val="12"/>
                <w:szCs w:val="12"/>
                <w:b w:val="1"/>
                <w:bCs w:val="1"/>
                <w:color w:val="auto"/>
              </w:rPr>
              <w:t>7</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jc w:val="center"/>
              <w:ind w:left="120"/>
              <w:spacing w:after="0"/>
              <w:rPr>
                <w:sz w:val="20"/>
                <w:szCs w:val="20"/>
                <w:color w:val="auto"/>
              </w:rPr>
            </w:pPr>
            <w:r>
              <w:rPr>
                <w:rFonts w:ascii="Arial" w:cs="Arial" w:eastAsia="Arial" w:hAnsi="Arial"/>
                <w:sz w:val="12"/>
                <w:szCs w:val="12"/>
                <w:b w:val="1"/>
                <w:bCs w:val="1"/>
                <w:color w:val="auto"/>
              </w:rPr>
              <w:t>General</w:t>
            </w:r>
          </w:p>
        </w:tc>
        <w:tc>
          <w:tcPr>
            <w:tcW w:w="500" w:type="dxa"/>
            <w:vAlign w:val="bottom"/>
          </w:tcPr>
          <w:p>
            <w:pPr>
              <w:jc w:val="right"/>
              <w:spacing w:after="0"/>
              <w:rPr>
                <w:sz w:val="20"/>
                <w:szCs w:val="20"/>
                <w:color w:val="auto"/>
              </w:rPr>
            </w:pPr>
            <w:r>
              <w:rPr>
                <w:rFonts w:ascii="Arial" w:cs="Arial" w:eastAsia="Arial" w:hAnsi="Arial"/>
                <w:sz w:val="12"/>
                <w:szCs w:val="12"/>
                <w:b w:val="1"/>
                <w:bCs w:val="1"/>
                <w:color w:val="auto"/>
              </w:rPr>
              <w:t>3</w:t>
            </w: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40" w:type="dxa"/>
            <w:vAlign w:val="bottom"/>
          </w:tcPr>
          <w:p>
            <w:pPr>
              <w:spacing w:after="0"/>
              <w:rPr>
                <w:sz w:val="19"/>
                <w:szCs w:val="19"/>
                <w:color w:val="auto"/>
              </w:rPr>
            </w:pPr>
          </w:p>
        </w:tc>
      </w:tr>
      <w:tr>
        <w:trPr>
          <w:trHeight w:val="243"/>
        </w:trPr>
        <w:tc>
          <w:tcPr>
            <w:tcW w:w="560" w:type="dxa"/>
            <w:vAlign w:val="bottom"/>
          </w:tcPr>
          <w:p>
            <w:pPr>
              <w:spacing w:after="0"/>
              <w:rPr>
                <w:sz w:val="21"/>
                <w:szCs w:val="21"/>
                <w:color w:val="auto"/>
              </w:rPr>
            </w:pPr>
          </w:p>
        </w:tc>
        <w:tc>
          <w:tcPr>
            <w:tcW w:w="300" w:type="dxa"/>
            <w:vAlign w:val="bottom"/>
          </w:tcPr>
          <w:p>
            <w:pPr>
              <w:jc w:val="right"/>
              <w:spacing w:after="0"/>
              <w:rPr>
                <w:sz w:val="20"/>
                <w:szCs w:val="20"/>
                <w:color w:val="auto"/>
              </w:rPr>
            </w:pPr>
            <w:r>
              <w:rPr>
                <w:rFonts w:ascii="Arial" w:cs="Arial" w:eastAsia="Arial" w:hAnsi="Arial"/>
                <w:sz w:val="12"/>
                <w:szCs w:val="12"/>
                <w:color w:val="auto"/>
              </w:rPr>
              <w:t>7.1</w:t>
            </w: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60" w:type="dxa"/>
            <w:vAlign w:val="bottom"/>
            <w:gridSpan w:val="2"/>
          </w:tcPr>
          <w:p>
            <w:pPr>
              <w:jc w:val="center"/>
              <w:ind w:left="160"/>
              <w:spacing w:after="0"/>
              <w:rPr>
                <w:sz w:val="20"/>
                <w:szCs w:val="20"/>
                <w:color w:val="auto"/>
              </w:rPr>
            </w:pPr>
            <w:r>
              <w:rPr>
                <w:rFonts w:ascii="Arial" w:cs="Arial" w:eastAsia="Arial" w:hAnsi="Arial"/>
                <w:sz w:val="12"/>
                <w:szCs w:val="12"/>
                <w:color w:val="auto"/>
              </w:rPr>
              <w:t>Construction</w:t>
            </w:r>
          </w:p>
        </w:tc>
        <w:tc>
          <w:tcPr>
            <w:tcW w:w="240" w:type="dxa"/>
            <w:vAlign w:val="bottom"/>
          </w:tcPr>
          <w:p>
            <w:pPr>
              <w:spacing w:after="0"/>
              <w:rPr>
                <w:sz w:val="21"/>
                <w:szCs w:val="21"/>
                <w:color w:val="auto"/>
              </w:rPr>
            </w:pPr>
          </w:p>
        </w:tc>
        <w:tc>
          <w:tcPr>
            <w:tcW w:w="220" w:type="dxa"/>
            <w:vAlign w:val="bottom"/>
          </w:tcPr>
          <w:p>
            <w:pPr>
              <w:jc w:val="right"/>
              <w:spacing w:after="0"/>
              <w:rPr>
                <w:sz w:val="20"/>
                <w:szCs w:val="20"/>
                <w:color w:val="auto"/>
              </w:rPr>
            </w:pPr>
            <w:r>
              <w:rPr>
                <w:rFonts w:ascii="Arial" w:cs="Arial" w:eastAsia="Arial" w:hAnsi="Arial"/>
                <w:sz w:val="12"/>
                <w:szCs w:val="12"/>
                <w:color w:val="auto"/>
              </w:rPr>
              <w:t>3</w:t>
            </w:r>
          </w:p>
        </w:tc>
        <w:tc>
          <w:tcPr>
            <w:tcW w:w="6640" w:type="dxa"/>
            <w:vAlign w:val="bottom"/>
          </w:tcPr>
          <w:p>
            <w:pPr>
              <w:spacing w:after="0"/>
              <w:rPr>
                <w:sz w:val="21"/>
                <w:szCs w:val="21"/>
                <w:color w:val="auto"/>
              </w:rPr>
            </w:pPr>
          </w:p>
        </w:tc>
      </w:tr>
      <w:tr>
        <w:trPr>
          <w:trHeight w:val="162"/>
        </w:trPr>
        <w:tc>
          <w:tcPr>
            <w:tcW w:w="56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2"/>
                <w:szCs w:val="12"/>
                <w:color w:val="auto"/>
              </w:rPr>
              <w:t>7.2</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300" w:type="dxa"/>
            <w:vAlign w:val="bottom"/>
            <w:gridSpan w:val="3"/>
          </w:tcPr>
          <w:p>
            <w:pPr>
              <w:jc w:val="center"/>
              <w:ind w:right="60"/>
              <w:spacing w:after="0"/>
              <w:rPr>
                <w:sz w:val="20"/>
                <w:szCs w:val="20"/>
                <w:color w:val="auto"/>
              </w:rPr>
            </w:pPr>
            <w:r>
              <w:rPr>
                <w:rFonts w:ascii="Arial" w:cs="Arial" w:eastAsia="Arial" w:hAnsi="Arial"/>
                <w:sz w:val="12"/>
                <w:szCs w:val="12"/>
                <w:color w:val="auto"/>
                <w:w w:val="99"/>
              </w:rPr>
              <w:t>Costs and Expenses</w:t>
            </w:r>
          </w:p>
        </w:tc>
        <w:tc>
          <w:tcPr>
            <w:tcW w:w="220" w:type="dxa"/>
            <w:vAlign w:val="bottom"/>
          </w:tcPr>
          <w:p>
            <w:pPr>
              <w:spacing w:after="0"/>
              <w:rPr>
                <w:sz w:val="14"/>
                <w:szCs w:val="14"/>
                <w:color w:val="auto"/>
              </w:rPr>
            </w:pPr>
          </w:p>
        </w:tc>
        <w:tc>
          <w:tcPr>
            <w:tcW w:w="6640" w:type="dxa"/>
            <w:vAlign w:val="bottom"/>
          </w:tcPr>
          <w:p>
            <w:pPr>
              <w:jc w:val="right"/>
              <w:ind w:right="6460"/>
              <w:spacing w:after="0"/>
              <w:rPr>
                <w:sz w:val="20"/>
                <w:szCs w:val="20"/>
                <w:color w:val="auto"/>
              </w:rPr>
            </w:pPr>
            <w:r>
              <w:rPr>
                <w:rFonts w:ascii="Arial" w:cs="Arial" w:eastAsia="Arial" w:hAnsi="Arial"/>
                <w:sz w:val="12"/>
                <w:szCs w:val="12"/>
                <w:color w:val="auto"/>
              </w:rPr>
              <w:t>4</w:t>
            </w:r>
          </w:p>
        </w:tc>
      </w:tr>
      <w:tr>
        <w:trPr>
          <w:trHeight w:val="171"/>
        </w:trPr>
        <w:tc>
          <w:tcPr>
            <w:tcW w:w="56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2"/>
                <w:szCs w:val="12"/>
                <w:color w:val="auto"/>
              </w:rPr>
              <w:t>7.3</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60" w:type="dxa"/>
            <w:vAlign w:val="bottom"/>
            <w:gridSpan w:val="2"/>
          </w:tcPr>
          <w:p>
            <w:pPr>
              <w:jc w:val="center"/>
              <w:ind w:left="140"/>
              <w:spacing w:after="0"/>
              <w:rPr>
                <w:sz w:val="20"/>
                <w:szCs w:val="20"/>
                <w:color w:val="auto"/>
              </w:rPr>
            </w:pPr>
            <w:r>
              <w:rPr>
                <w:rFonts w:ascii="Arial" w:cs="Arial" w:eastAsia="Arial" w:hAnsi="Arial"/>
                <w:sz w:val="12"/>
                <w:szCs w:val="12"/>
                <w:color w:val="auto"/>
              </w:rPr>
              <w:t>Counterparts</w:t>
            </w:r>
          </w:p>
        </w:tc>
        <w:tc>
          <w:tcPr>
            <w:tcW w:w="24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Arial" w:cs="Arial" w:eastAsia="Arial" w:hAnsi="Arial"/>
                <w:sz w:val="12"/>
                <w:szCs w:val="12"/>
                <w:color w:val="auto"/>
              </w:rPr>
              <w:t>4</w:t>
            </w:r>
          </w:p>
        </w:tc>
        <w:tc>
          <w:tcPr>
            <w:tcW w:w="6640" w:type="dxa"/>
            <w:vAlign w:val="bottom"/>
          </w:tcPr>
          <w:p>
            <w:pPr>
              <w:spacing w:after="0"/>
              <w:rPr>
                <w:sz w:val="14"/>
                <w:szCs w:val="14"/>
                <w:color w:val="auto"/>
              </w:rPr>
            </w:pPr>
          </w:p>
        </w:tc>
      </w:tr>
      <w:tr>
        <w:trPr>
          <w:trHeight w:val="171"/>
        </w:trPr>
        <w:tc>
          <w:tcPr>
            <w:tcW w:w="56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2"/>
                <w:szCs w:val="12"/>
                <w:color w:val="auto"/>
              </w:rPr>
              <w:t>7.4</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300" w:type="dxa"/>
            <w:vAlign w:val="bottom"/>
            <w:gridSpan w:val="3"/>
          </w:tcPr>
          <w:p>
            <w:pPr>
              <w:jc w:val="center"/>
              <w:ind w:right="80"/>
              <w:spacing w:after="0"/>
              <w:rPr>
                <w:sz w:val="20"/>
                <w:szCs w:val="20"/>
                <w:color w:val="auto"/>
              </w:rPr>
            </w:pPr>
            <w:r>
              <w:rPr>
                <w:rFonts w:ascii="Arial" w:cs="Arial" w:eastAsia="Arial" w:hAnsi="Arial"/>
                <w:sz w:val="12"/>
                <w:szCs w:val="12"/>
                <w:color w:val="auto"/>
              </w:rPr>
              <w:t>Entire understanding</w:t>
            </w:r>
          </w:p>
        </w:tc>
        <w:tc>
          <w:tcPr>
            <w:tcW w:w="220" w:type="dxa"/>
            <w:vAlign w:val="bottom"/>
          </w:tcPr>
          <w:p>
            <w:pPr>
              <w:spacing w:after="0"/>
              <w:rPr>
                <w:sz w:val="14"/>
                <w:szCs w:val="14"/>
                <w:color w:val="auto"/>
              </w:rPr>
            </w:pPr>
          </w:p>
        </w:tc>
        <w:tc>
          <w:tcPr>
            <w:tcW w:w="6640" w:type="dxa"/>
            <w:vAlign w:val="bottom"/>
          </w:tcPr>
          <w:p>
            <w:pPr>
              <w:jc w:val="right"/>
              <w:ind w:right="6460"/>
              <w:spacing w:after="0"/>
              <w:rPr>
                <w:sz w:val="20"/>
                <w:szCs w:val="20"/>
                <w:color w:val="auto"/>
              </w:rPr>
            </w:pPr>
            <w:r>
              <w:rPr>
                <w:rFonts w:ascii="Arial" w:cs="Arial" w:eastAsia="Arial" w:hAnsi="Arial"/>
                <w:sz w:val="12"/>
                <w:szCs w:val="12"/>
                <w:color w:val="auto"/>
              </w:rPr>
              <w:t>4</w:t>
            </w:r>
          </w:p>
        </w:tc>
      </w:tr>
      <w:tr>
        <w:trPr>
          <w:trHeight w:val="171"/>
        </w:trPr>
        <w:tc>
          <w:tcPr>
            <w:tcW w:w="56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2"/>
                <w:szCs w:val="12"/>
                <w:color w:val="auto"/>
              </w:rPr>
              <w:t>7.5</w:t>
            </w:r>
          </w:p>
        </w:tc>
        <w:tc>
          <w:tcPr>
            <w:tcW w:w="80" w:type="dxa"/>
            <w:vAlign w:val="bottom"/>
          </w:tcPr>
          <w:p>
            <w:pPr>
              <w:spacing w:after="0"/>
              <w:rPr>
                <w:sz w:val="14"/>
                <w:szCs w:val="14"/>
                <w:color w:val="auto"/>
              </w:rPr>
            </w:pPr>
          </w:p>
        </w:tc>
        <w:tc>
          <w:tcPr>
            <w:tcW w:w="2160" w:type="dxa"/>
            <w:vAlign w:val="bottom"/>
            <w:gridSpan w:val="5"/>
          </w:tcPr>
          <w:p>
            <w:pPr>
              <w:jc w:val="center"/>
              <w:ind w:left="340"/>
              <w:spacing w:after="0"/>
              <w:rPr>
                <w:sz w:val="20"/>
                <w:szCs w:val="20"/>
                <w:color w:val="auto"/>
              </w:rPr>
            </w:pPr>
            <w:r>
              <w:rPr>
                <w:rFonts w:ascii="Arial" w:cs="Arial" w:eastAsia="Arial" w:hAnsi="Arial"/>
                <w:sz w:val="12"/>
                <w:szCs w:val="12"/>
                <w:color w:val="auto"/>
                <w:w w:val="99"/>
              </w:rPr>
              <w:t>Governing law and jurisdiction</w:t>
            </w:r>
          </w:p>
        </w:tc>
        <w:tc>
          <w:tcPr>
            <w:tcW w:w="6640" w:type="dxa"/>
            <w:vAlign w:val="bottom"/>
          </w:tcPr>
          <w:p>
            <w:pPr>
              <w:jc w:val="right"/>
              <w:ind w:right="6160"/>
              <w:spacing w:after="0"/>
              <w:rPr>
                <w:sz w:val="20"/>
                <w:szCs w:val="20"/>
                <w:color w:val="auto"/>
              </w:rPr>
            </w:pPr>
            <w:r>
              <w:rPr>
                <w:rFonts w:ascii="Arial" w:cs="Arial" w:eastAsia="Arial" w:hAnsi="Arial"/>
                <w:sz w:val="12"/>
                <w:szCs w:val="12"/>
                <w:color w:val="auto"/>
              </w:rPr>
              <w:t>5</w:t>
            </w:r>
          </w:p>
        </w:tc>
      </w:tr>
      <w:tr>
        <w:trPr>
          <w:trHeight w:val="225"/>
        </w:trPr>
        <w:tc>
          <w:tcPr>
            <w:tcW w:w="2080" w:type="dxa"/>
            <w:vAlign w:val="bottom"/>
            <w:gridSpan w:val="5"/>
          </w:tcPr>
          <w:p>
            <w:pPr>
              <w:ind w:left="360"/>
              <w:spacing w:after="0"/>
              <w:rPr>
                <w:sz w:val="20"/>
                <w:szCs w:val="20"/>
                <w:color w:val="auto"/>
              </w:rPr>
            </w:pPr>
            <w:r>
              <w:rPr>
                <w:rFonts w:ascii="Arial" w:cs="Arial" w:eastAsia="Arial" w:hAnsi="Arial"/>
                <w:sz w:val="12"/>
                <w:szCs w:val="12"/>
                <w:b w:val="1"/>
                <w:bCs w:val="1"/>
                <w:color w:val="auto"/>
              </w:rPr>
              <w:t>Schedule 1 –Guarantors</w:t>
            </w:r>
          </w:p>
        </w:tc>
        <w:tc>
          <w:tcPr>
            <w:tcW w:w="560" w:type="dxa"/>
            <w:vAlign w:val="bottom"/>
          </w:tcPr>
          <w:p>
            <w:pPr>
              <w:jc w:val="center"/>
              <w:ind w:right="262"/>
              <w:spacing w:after="0"/>
              <w:rPr>
                <w:sz w:val="20"/>
                <w:szCs w:val="20"/>
                <w:color w:val="auto"/>
              </w:rPr>
            </w:pPr>
            <w:r>
              <w:rPr>
                <w:rFonts w:ascii="Arial" w:cs="Arial" w:eastAsia="Arial" w:hAnsi="Arial"/>
                <w:sz w:val="12"/>
                <w:szCs w:val="12"/>
                <w:b w:val="1"/>
                <w:bCs w:val="1"/>
                <w:color w:val="auto"/>
              </w:rPr>
              <w:t>6</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40" w:type="dxa"/>
            <w:vAlign w:val="bottom"/>
          </w:tcPr>
          <w:p>
            <w:pPr>
              <w:spacing w:after="0"/>
              <w:rPr>
                <w:sz w:val="19"/>
                <w:szCs w:val="19"/>
                <w:color w:val="auto"/>
              </w:rPr>
            </w:pPr>
          </w:p>
        </w:tc>
      </w:tr>
      <w:tr>
        <w:trPr>
          <w:trHeight w:val="306"/>
        </w:trPr>
        <w:tc>
          <w:tcPr>
            <w:tcW w:w="940" w:type="dxa"/>
            <w:vAlign w:val="bottom"/>
            <w:gridSpan w:val="3"/>
          </w:tcPr>
          <w:p>
            <w:pPr>
              <w:ind w:left="360"/>
              <w:spacing w:after="0"/>
              <w:rPr>
                <w:sz w:val="20"/>
                <w:szCs w:val="20"/>
                <w:color w:val="auto"/>
              </w:rPr>
            </w:pPr>
            <w:r>
              <w:rPr>
                <w:rFonts w:ascii="Arial" w:cs="Arial" w:eastAsia="Arial" w:hAnsi="Arial"/>
                <w:sz w:val="12"/>
                <w:szCs w:val="12"/>
                <w:b w:val="1"/>
                <w:bCs w:val="1"/>
                <w:color w:val="auto"/>
                <w:w w:val="97"/>
              </w:rPr>
              <w:t>Execution</w:t>
            </w:r>
          </w:p>
        </w:tc>
        <w:tc>
          <w:tcPr>
            <w:tcW w:w="640" w:type="dxa"/>
            <w:vAlign w:val="bottom"/>
          </w:tcPr>
          <w:p>
            <w:pPr>
              <w:jc w:val="right"/>
              <w:ind w:right="100"/>
              <w:spacing w:after="0"/>
              <w:rPr>
                <w:sz w:val="20"/>
                <w:szCs w:val="20"/>
                <w:color w:val="auto"/>
              </w:rPr>
            </w:pPr>
            <w:r>
              <w:rPr>
                <w:rFonts w:ascii="Arial" w:cs="Arial" w:eastAsia="Arial" w:hAnsi="Arial"/>
                <w:sz w:val="12"/>
                <w:szCs w:val="12"/>
                <w:b w:val="1"/>
                <w:bCs w:val="1"/>
                <w:color w:val="auto"/>
              </w:rPr>
              <w:t>8</w:t>
            </w: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40" w:type="dxa"/>
            <w:vAlign w:val="bottom"/>
          </w:tcPr>
          <w:p>
            <w:pPr>
              <w:spacing w:after="0"/>
              <w:rPr>
                <w:sz w:val="24"/>
                <w:szCs w:val="24"/>
                <w:color w:val="auto"/>
              </w:rPr>
            </w:pPr>
          </w:p>
        </w:tc>
      </w:tr>
      <w:tr>
        <w:trPr>
          <w:trHeight w:val="306"/>
        </w:trPr>
        <w:tc>
          <w:tcPr>
            <w:tcW w:w="2640" w:type="dxa"/>
            <w:vAlign w:val="bottom"/>
            <w:gridSpan w:val="6"/>
          </w:tcPr>
          <w:p>
            <w:pPr>
              <w:ind w:left="360"/>
              <w:spacing w:after="0"/>
              <w:rPr>
                <w:sz w:val="20"/>
                <w:szCs w:val="20"/>
                <w:color w:val="auto"/>
              </w:rPr>
            </w:pPr>
            <w:r>
              <w:rPr>
                <w:rFonts w:ascii="Arial" w:cs="Arial" w:eastAsia="Arial" w:hAnsi="Arial"/>
                <w:sz w:val="12"/>
                <w:szCs w:val="12"/>
                <w:b w:val="1"/>
                <w:bCs w:val="1"/>
                <w:color w:val="auto"/>
              </w:rPr>
              <w:t>Annexure A - Restated Document</w:t>
            </w:r>
          </w:p>
        </w:tc>
        <w:tc>
          <w:tcPr>
            <w:tcW w:w="240" w:type="dxa"/>
            <w:vAlign w:val="bottom"/>
          </w:tcPr>
          <w:p>
            <w:pPr>
              <w:jc w:val="right"/>
              <w:spacing w:after="0"/>
              <w:rPr>
                <w:sz w:val="20"/>
                <w:szCs w:val="20"/>
                <w:color w:val="auto"/>
              </w:rPr>
            </w:pPr>
            <w:r>
              <w:rPr>
                <w:rFonts w:ascii="Arial" w:cs="Arial" w:eastAsia="Arial" w:hAnsi="Arial"/>
                <w:sz w:val="12"/>
                <w:szCs w:val="12"/>
                <w:b w:val="1"/>
                <w:bCs w:val="1"/>
                <w:color w:val="auto"/>
              </w:rPr>
              <w:t>17</w:t>
            </w:r>
          </w:p>
        </w:tc>
        <w:tc>
          <w:tcPr>
            <w:tcW w:w="220" w:type="dxa"/>
            <w:vAlign w:val="bottom"/>
          </w:tcPr>
          <w:p>
            <w:pPr>
              <w:spacing w:after="0"/>
              <w:rPr>
                <w:sz w:val="24"/>
                <w:szCs w:val="24"/>
                <w:color w:val="auto"/>
              </w:rPr>
            </w:pPr>
          </w:p>
        </w:tc>
        <w:tc>
          <w:tcPr>
            <w:tcW w:w="6640" w:type="dxa"/>
            <w:vAlign w:val="bottom"/>
          </w:tcPr>
          <w:p>
            <w:pPr>
              <w:spacing w:after="0"/>
              <w:rPr>
                <w:sz w:val="24"/>
                <w:szCs w:val="24"/>
                <w:color w:val="auto"/>
              </w:rPr>
            </w:pPr>
          </w:p>
        </w:tc>
      </w:tr>
      <w:tr>
        <w:trPr>
          <w:trHeight w:val="304"/>
        </w:trPr>
        <w:tc>
          <w:tcPr>
            <w:tcW w:w="5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66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6164580</wp:posOffset>
            </wp:positionH>
            <wp:positionV relativeFrom="paragraph">
              <wp:posOffset>-29210</wp:posOffset>
            </wp:positionV>
            <wp:extent cx="31115"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31115" cy="42545"/>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-29210</wp:posOffset>
            </wp:positionV>
            <wp:extent cx="31115"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31115" cy="42545"/>
                    </a:xfrm>
                    <a:prstGeom prst="rect">
                      <a:avLst/>
                    </a:prstGeom>
                    <a:noFill/>
                  </pic:spPr>
                </pic:pic>
              </a:graphicData>
            </a:graphic>
          </wp:anchor>
        </w:drawing>
      </w:r>
    </w:p>
    <w:p>
      <w:pPr>
        <w:sectPr>
          <w:pgSz w:w="11900" w:h="16838" w:orient="portrait"/>
          <w:cols w:equalWidth="0" w:num="1">
            <w:col w:w="9740"/>
          </w:cols>
          <w:pgMar w:left="1220" w:top="686" w:right="939" w:bottom="1440" w:gutter="0" w:footer="0" w:header="0"/>
        </w:sectPr>
      </w:pPr>
    </w:p>
    <w:bookmarkStart w:id="208" w:name="page209"/>
    <w:bookmarkEnd w:id="208"/>
    <w:p>
      <w:pPr>
        <w:ind w:left="140"/>
        <w:spacing w:after="0"/>
        <w:rPr>
          <w:sz w:val="20"/>
          <w:szCs w:val="20"/>
          <w:color w:val="auto"/>
        </w:rPr>
      </w:pPr>
      <w:r>
        <w:rPr>
          <w:rFonts w:ascii="Arial" w:cs="Arial" w:eastAsia="Arial" w:hAnsi="Arial"/>
          <w:sz w:val="13"/>
          <w:szCs w:val="13"/>
          <w:color w:val="auto"/>
        </w:rPr>
        <w:t>Corrs Chambers Westgarth</w:t>
      </w:r>
    </w:p>
    <w:p>
      <w:pPr>
        <w:spacing w:after="0" w:line="249" w:lineRule="exact"/>
        <w:rPr>
          <w:sz w:val="20"/>
          <w:szCs w:val="20"/>
          <w:color w:val="auto"/>
        </w:rPr>
      </w:pPr>
    </w:p>
    <w:p>
      <w:pPr>
        <w:ind w:left="140"/>
        <w:spacing w:after="0"/>
        <w:rPr>
          <w:sz w:val="20"/>
          <w:szCs w:val="20"/>
          <w:color w:val="auto"/>
        </w:rPr>
      </w:pPr>
      <w:r>
        <w:rPr>
          <w:rFonts w:ascii="Arial" w:cs="Arial" w:eastAsia="Arial" w:hAnsi="Arial"/>
          <w:sz w:val="13"/>
          <w:szCs w:val="13"/>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86995</wp:posOffset>
            </wp:positionV>
            <wp:extent cx="6208395"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208395" cy="42545"/>
                    </a:xfrm>
                    <a:prstGeom prst="rect">
                      <a:avLst/>
                    </a:prstGeom>
                    <a:noFill/>
                  </pic:spPr>
                </pic:pic>
              </a:graphicData>
            </a:graphic>
          </wp:anchor>
        </w:drawing>
      </w:r>
    </w:p>
    <w:p>
      <w:pPr>
        <w:sectPr>
          <w:pgSz w:w="11900" w:h="16838" w:orient="portrait"/>
          <w:cols w:equalWidth="0" w:num="1">
            <w:col w:w="9019"/>
          </w:cols>
          <w:pgMar w:left="1440" w:top="182" w:right="1440" w:bottom="1440" w:gutter="0" w:footer="0" w:header="0"/>
        </w:sectPr>
      </w:pPr>
    </w:p>
    <w:bookmarkStart w:id="209" w:name="page210"/>
    <w:bookmarkEnd w:id="209"/>
    <w:p>
      <w:pPr>
        <w:spacing w:after="0"/>
        <w:rPr>
          <w:sz w:val="20"/>
          <w:szCs w:val="20"/>
          <w:color w:val="auto"/>
        </w:rPr>
      </w:pPr>
      <w:r>
        <w:rPr>
          <w:rFonts w:ascii="Arial" w:cs="Arial" w:eastAsia="Arial" w:hAnsi="Arial"/>
          <w:sz w:val="14"/>
          <w:szCs w:val="14"/>
          <w:color w:val="auto"/>
        </w:rPr>
        <w:t xml:space="preserve">15th </w:t>
      </w:r>
      <w:r>
        <w:rPr>
          <w:rFonts w:ascii="Arial" w:cs="Arial" w:eastAsia="Arial" w:hAnsi="Arial"/>
          <w:sz w:val="12"/>
          <w:szCs w:val="12"/>
          <w:b w:val="1"/>
          <w:bCs w:val="1"/>
          <w:color w:val="auto"/>
        </w:rPr>
        <w:t>December 2015</w:t>
      </w:r>
    </w:p>
    <w:p>
      <w:pPr>
        <w:spacing w:after="0" w:line="356" w:lineRule="exact"/>
        <w:rPr>
          <w:sz w:val="20"/>
          <w:szCs w:val="20"/>
          <w:color w:val="auto"/>
        </w:rPr>
      </w:pPr>
    </w:p>
    <w:p>
      <w:pPr>
        <w:ind w:left="300"/>
        <w:spacing w:after="0"/>
        <w:rPr>
          <w:sz w:val="20"/>
          <w:szCs w:val="20"/>
          <w:color w:val="auto"/>
        </w:rPr>
      </w:pPr>
      <w:r>
        <w:rPr>
          <w:rFonts w:ascii="Arial" w:cs="Arial" w:eastAsia="Arial" w:hAnsi="Arial"/>
          <w:sz w:val="24"/>
          <w:szCs w:val="24"/>
          <w:color w:val="auto"/>
        </w:rPr>
        <w:t>Parties</w:t>
      </w:r>
    </w:p>
    <w:p>
      <w:pPr>
        <w:spacing w:after="0" w:line="208" w:lineRule="exact"/>
        <w:rPr>
          <w:sz w:val="20"/>
          <w:szCs w:val="20"/>
          <w:color w:val="auto"/>
        </w:rPr>
      </w:pPr>
    </w:p>
    <w:p>
      <w:pPr>
        <w:ind w:left="300"/>
        <w:spacing w:after="0"/>
        <w:rPr>
          <w:sz w:val="20"/>
          <w:szCs w:val="20"/>
          <w:color w:val="auto"/>
        </w:rPr>
      </w:pPr>
      <w:r>
        <w:rPr>
          <w:rFonts w:ascii="Arial" w:cs="Arial" w:eastAsia="Arial" w:hAnsi="Arial"/>
          <w:sz w:val="13"/>
          <w:szCs w:val="13"/>
          <w:b w:val="1"/>
          <w:bCs w:val="1"/>
          <w:color w:val="auto"/>
        </w:rPr>
        <w:t xml:space="preserve">National Australia Bank Limited </w:t>
      </w:r>
      <w:r>
        <w:rPr>
          <w:rFonts w:ascii="Arial" w:cs="Arial" w:eastAsia="Arial" w:hAnsi="Arial"/>
          <w:sz w:val="13"/>
          <w:szCs w:val="13"/>
          <w:color w:val="auto"/>
        </w:rPr>
        <w:t>ABN 12 004 044 937 of Pier 3 Level 4, 800 Bourke Street, Docklands, Victoria 3008 (</w:t>
      </w:r>
      <w:r>
        <w:rPr>
          <w:rFonts w:ascii="Arial" w:cs="Arial" w:eastAsia="Arial" w:hAnsi="Arial"/>
          <w:sz w:val="13"/>
          <w:szCs w:val="13"/>
          <w:b w:val="1"/>
          <w:bCs w:val="1"/>
          <w:color w:val="auto"/>
        </w:rPr>
        <w:t>Bank</w:t>
      </w:r>
      <w:r>
        <w:rPr>
          <w:rFonts w:ascii="Arial" w:cs="Arial" w:eastAsia="Arial" w:hAnsi="Arial"/>
          <w:sz w:val="13"/>
          <w:szCs w:val="13"/>
          <w:color w:val="auto"/>
        </w:rPr>
        <w:t>)</w:t>
      </w:r>
    </w:p>
    <w:p>
      <w:pPr>
        <w:spacing w:after="0" w:line="184" w:lineRule="exact"/>
        <w:rPr>
          <w:sz w:val="20"/>
          <w:szCs w:val="20"/>
          <w:color w:val="auto"/>
        </w:rPr>
      </w:pPr>
    </w:p>
    <w:p>
      <w:pPr>
        <w:ind w:left="300"/>
        <w:spacing w:after="0"/>
        <w:rPr>
          <w:sz w:val="20"/>
          <w:szCs w:val="20"/>
          <w:color w:val="auto"/>
        </w:rPr>
      </w:pPr>
      <w:r>
        <w:rPr>
          <w:rFonts w:ascii="Arial" w:cs="Arial" w:eastAsia="Arial" w:hAnsi="Arial"/>
          <w:sz w:val="13"/>
          <w:szCs w:val="13"/>
          <w:b w:val="1"/>
          <w:bCs w:val="1"/>
          <w:color w:val="auto"/>
        </w:rPr>
        <w:t xml:space="preserve">Reading Entertainment Australia Pty Ltd </w:t>
      </w:r>
      <w:r>
        <w:rPr>
          <w:rFonts w:ascii="Arial" w:cs="Arial" w:eastAsia="Arial" w:hAnsi="Arial"/>
          <w:sz w:val="13"/>
          <w:szCs w:val="13"/>
          <w:color w:val="auto"/>
        </w:rPr>
        <w:t>ACN 070 893 908 of 98 York Street, South Melbourne, Victoria 3205 (</w:t>
      </w:r>
      <w:r>
        <w:rPr>
          <w:rFonts w:ascii="Arial" w:cs="Arial" w:eastAsia="Arial" w:hAnsi="Arial"/>
          <w:sz w:val="13"/>
          <w:szCs w:val="13"/>
          <w:b w:val="1"/>
          <w:bCs w:val="1"/>
          <w:color w:val="auto"/>
        </w:rPr>
        <w:t>Borrower)</w:t>
      </w:r>
    </w:p>
    <w:p>
      <w:pPr>
        <w:spacing w:after="0" w:line="187" w:lineRule="exact"/>
        <w:rPr>
          <w:sz w:val="20"/>
          <w:szCs w:val="20"/>
          <w:color w:val="auto"/>
        </w:rPr>
      </w:pPr>
    </w:p>
    <w:p>
      <w:pPr>
        <w:ind w:left="300"/>
        <w:spacing w:after="0"/>
        <w:rPr>
          <w:sz w:val="20"/>
          <w:szCs w:val="20"/>
          <w:color w:val="auto"/>
        </w:rPr>
      </w:pPr>
      <w:r>
        <w:rPr>
          <w:rFonts w:ascii="Arial" w:cs="Arial" w:eastAsia="Arial" w:hAnsi="Arial"/>
          <w:sz w:val="13"/>
          <w:szCs w:val="13"/>
          <w:b w:val="1"/>
          <w:bCs w:val="1"/>
          <w:color w:val="auto"/>
        </w:rPr>
        <w:t xml:space="preserve">Each person listed in schedule 1 </w:t>
      </w:r>
      <w:r>
        <w:rPr>
          <w:rFonts w:ascii="Arial" w:cs="Arial" w:eastAsia="Arial" w:hAnsi="Arial"/>
          <w:sz w:val="13"/>
          <w:szCs w:val="13"/>
          <w:color w:val="auto"/>
        </w:rPr>
        <w:t>(each a</w:t>
      </w:r>
      <w:r>
        <w:rPr>
          <w:rFonts w:ascii="Arial" w:cs="Arial" w:eastAsia="Arial" w:hAnsi="Arial"/>
          <w:sz w:val="13"/>
          <w:szCs w:val="13"/>
          <w:b w:val="1"/>
          <w:bCs w:val="1"/>
          <w:color w:val="auto"/>
        </w:rPr>
        <w:t xml:space="preserve"> Guarantor</w:t>
      </w:r>
      <w:r>
        <w:rPr>
          <w:rFonts w:ascii="Arial" w:cs="Arial" w:eastAsia="Arial" w:hAnsi="Arial"/>
          <w:sz w:val="13"/>
          <w:szCs w:val="13"/>
          <w:color w:val="auto"/>
        </w:rPr>
        <w:t>)</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00"/>
        <w:spacing w:after="0"/>
        <w:rPr>
          <w:sz w:val="20"/>
          <w:szCs w:val="20"/>
          <w:color w:val="auto"/>
        </w:rPr>
      </w:pPr>
      <w:r>
        <w:rPr>
          <w:rFonts w:ascii="Arial" w:cs="Arial" w:eastAsia="Arial" w:hAnsi="Arial"/>
          <w:sz w:val="24"/>
          <w:szCs w:val="24"/>
          <w:color w:val="auto"/>
        </w:rPr>
        <w:t>Agreed terms</w:t>
      </w:r>
    </w:p>
    <w:p>
      <w:pPr>
        <w:spacing w:after="0" w:line="308" w:lineRule="exact"/>
        <w:rPr>
          <w:sz w:val="20"/>
          <w:szCs w:val="20"/>
          <w:color w:val="auto"/>
        </w:rPr>
      </w:pPr>
    </w:p>
    <w:p>
      <w:pPr>
        <w:ind w:left="1440" w:hanging="1148"/>
        <w:spacing w:after="0"/>
        <w:tabs>
          <w:tab w:leader="none" w:pos="1440" w:val="left"/>
        </w:tabs>
        <w:numPr>
          <w:ilvl w:val="0"/>
          <w:numId w:val="203"/>
        </w:numPr>
        <w:rPr>
          <w:rFonts w:ascii="Arial" w:cs="Arial" w:eastAsia="Arial" w:hAnsi="Arial"/>
          <w:sz w:val="19"/>
          <w:szCs w:val="19"/>
          <w:color w:val="auto"/>
        </w:rPr>
      </w:pPr>
      <w:r>
        <w:rPr>
          <w:rFonts w:ascii="Arial" w:cs="Arial" w:eastAsia="Arial" w:hAnsi="Arial"/>
          <w:sz w:val="19"/>
          <w:szCs w:val="19"/>
          <w:color w:val="auto"/>
        </w:rPr>
        <w:t>Definitions</w:t>
      </w:r>
    </w:p>
    <w:p>
      <w:pPr>
        <w:spacing w:after="0" w:line="61" w:lineRule="exact"/>
        <w:rPr>
          <w:sz w:val="20"/>
          <w:szCs w:val="20"/>
          <w:color w:val="auto"/>
        </w:rPr>
      </w:pPr>
    </w:p>
    <w:p>
      <w:pPr>
        <w:ind w:left="800"/>
        <w:spacing w:after="0" w:line="244" w:lineRule="auto"/>
        <w:rPr>
          <w:sz w:val="20"/>
          <w:szCs w:val="20"/>
          <w:color w:val="auto"/>
        </w:rPr>
      </w:pPr>
      <w:r>
        <w:rPr>
          <w:rFonts w:ascii="Arial" w:cs="Arial" w:eastAsia="Arial" w:hAnsi="Arial"/>
          <w:sz w:val="13"/>
          <w:szCs w:val="13"/>
          <w:color w:val="auto"/>
        </w:rPr>
        <w:t>In this document words and expressions which are defined or given a specific meaning in the Facility Agreement but which are not defined or given a specific meaning in this document have the same meaning as in the Facility Agreement. Otherwise, terms have the following meanings.</w:t>
      </w:r>
    </w:p>
    <w:p>
      <w:pPr>
        <w:spacing w:after="0" w:line="184" w:lineRule="exact"/>
        <w:rPr>
          <w:sz w:val="20"/>
          <w:szCs w:val="20"/>
          <w:color w:val="auto"/>
        </w:rPr>
      </w:pPr>
    </w:p>
    <w:p>
      <w:pPr>
        <w:ind w:left="800"/>
        <w:spacing w:after="0"/>
        <w:rPr>
          <w:sz w:val="20"/>
          <w:szCs w:val="20"/>
          <w:color w:val="auto"/>
        </w:rPr>
      </w:pPr>
      <w:r>
        <w:rPr>
          <w:rFonts w:ascii="Arial" w:cs="Arial" w:eastAsia="Arial" w:hAnsi="Arial"/>
          <w:sz w:val="13"/>
          <w:szCs w:val="13"/>
          <w:b w:val="1"/>
          <w:bCs w:val="1"/>
          <w:color w:val="auto"/>
        </w:rPr>
        <w:t>Facility Agreement</w:t>
      </w:r>
    </w:p>
    <w:p>
      <w:pPr>
        <w:spacing w:after="0" w:line="11" w:lineRule="exact"/>
        <w:rPr>
          <w:sz w:val="20"/>
          <w:szCs w:val="20"/>
          <w:color w:val="auto"/>
        </w:rPr>
      </w:pPr>
    </w:p>
    <w:p>
      <w:pPr>
        <w:ind w:left="420" w:right="60"/>
        <w:spacing w:after="0" w:line="244" w:lineRule="auto"/>
        <w:rPr>
          <w:sz w:val="20"/>
          <w:szCs w:val="20"/>
          <w:color w:val="auto"/>
        </w:rPr>
      </w:pPr>
      <w:r>
        <w:rPr>
          <w:rFonts w:ascii="Arial" w:cs="Arial" w:eastAsia="Arial" w:hAnsi="Arial"/>
          <w:sz w:val="13"/>
          <w:szCs w:val="13"/>
          <w:color w:val="auto"/>
        </w:rPr>
        <w:t>The Facility Agreement dated 24 June 2011 between the Bank, the Borrower and the Guarantors, as amended, varied or amended and restated from time to time, including on 14 June 2013 and 27 June 2014.</w:t>
      </w:r>
    </w:p>
    <w:p>
      <w:pPr>
        <w:spacing w:after="0" w:line="193" w:lineRule="exact"/>
        <w:rPr>
          <w:sz w:val="20"/>
          <w:szCs w:val="20"/>
          <w:color w:val="auto"/>
        </w:rPr>
      </w:pPr>
    </w:p>
    <w:p>
      <w:pPr>
        <w:ind w:left="800"/>
        <w:spacing w:after="0"/>
        <w:tabs>
          <w:tab w:leader="none" w:pos="1580" w:val="left"/>
        </w:tabs>
        <w:rPr>
          <w:sz w:val="20"/>
          <w:szCs w:val="20"/>
          <w:color w:val="auto"/>
        </w:rPr>
      </w:pPr>
      <w:r>
        <w:rPr>
          <w:rFonts w:ascii="Arial" w:cs="Arial" w:eastAsia="Arial" w:hAnsi="Arial"/>
          <w:sz w:val="13"/>
          <w:szCs w:val="13"/>
          <w:b w:val="1"/>
          <w:bCs w:val="1"/>
          <w:color w:val="auto"/>
        </w:rPr>
        <w:t>PPSA</w:t>
      </w:r>
      <w:r>
        <w:rPr>
          <w:sz w:val="20"/>
          <w:szCs w:val="20"/>
          <w:color w:val="auto"/>
        </w:rPr>
        <w:tab/>
      </w:r>
      <w:r>
        <w:rPr>
          <w:rFonts w:ascii="Arial" w:cs="Arial" w:eastAsia="Arial" w:hAnsi="Arial"/>
          <w:sz w:val="13"/>
          <w:szCs w:val="13"/>
          <w:color w:val="auto"/>
        </w:rPr>
        <w:t>Personal Property Securities Act (2009) (Cth).</w:t>
      </w:r>
    </w:p>
    <w:p>
      <w:pPr>
        <w:spacing w:after="0" w:line="229" w:lineRule="exact"/>
        <w:rPr>
          <w:sz w:val="20"/>
          <w:szCs w:val="20"/>
          <w:color w:val="auto"/>
        </w:rPr>
      </w:pPr>
    </w:p>
    <w:p>
      <w:pPr>
        <w:ind w:left="800"/>
        <w:spacing w:after="0"/>
        <w:rPr>
          <w:sz w:val="20"/>
          <w:szCs w:val="20"/>
          <w:color w:val="auto"/>
        </w:rPr>
      </w:pPr>
      <w:r>
        <w:rPr>
          <w:rFonts w:ascii="Arial" w:cs="Arial" w:eastAsia="Arial" w:hAnsi="Arial"/>
          <w:sz w:val="13"/>
          <w:szCs w:val="13"/>
          <w:b w:val="1"/>
          <w:bCs w:val="1"/>
          <w:color w:val="auto"/>
        </w:rPr>
        <w:t>Restated Facility Agreement</w:t>
      </w:r>
    </w:p>
    <w:p>
      <w:pPr>
        <w:spacing w:after="0" w:line="20" w:lineRule="exact"/>
        <w:rPr>
          <w:sz w:val="20"/>
          <w:szCs w:val="20"/>
          <w:color w:val="auto"/>
        </w:rPr>
      </w:pPr>
    </w:p>
    <w:p>
      <w:pPr>
        <w:ind w:left="80"/>
        <w:spacing w:after="0"/>
        <w:rPr>
          <w:sz w:val="20"/>
          <w:szCs w:val="20"/>
          <w:color w:val="auto"/>
        </w:rPr>
      </w:pPr>
      <w:r>
        <w:rPr>
          <w:rFonts w:ascii="Arial" w:cs="Arial" w:eastAsia="Arial" w:hAnsi="Arial"/>
          <w:sz w:val="13"/>
          <w:szCs w:val="13"/>
          <w:color w:val="auto"/>
        </w:rPr>
        <w:t>The Facility Agreement as varied and restated by this document.</w:t>
      </w:r>
    </w:p>
    <w:p>
      <w:pPr>
        <w:spacing w:after="0" w:line="195" w:lineRule="exact"/>
        <w:rPr>
          <w:sz w:val="20"/>
          <w:szCs w:val="20"/>
          <w:color w:val="auto"/>
        </w:rPr>
      </w:pPr>
    </w:p>
    <w:p>
      <w:pPr>
        <w:ind w:left="800"/>
        <w:spacing w:after="0"/>
        <w:tabs>
          <w:tab w:leader="none" w:pos="2260" w:val="left"/>
        </w:tabs>
        <w:rPr>
          <w:sz w:val="20"/>
          <w:szCs w:val="20"/>
          <w:color w:val="auto"/>
        </w:rPr>
      </w:pPr>
      <w:r>
        <w:rPr>
          <w:rFonts w:ascii="Arial" w:cs="Arial" w:eastAsia="Arial" w:hAnsi="Arial"/>
          <w:sz w:val="13"/>
          <w:szCs w:val="13"/>
          <w:b w:val="1"/>
          <w:bCs w:val="1"/>
          <w:color w:val="auto"/>
        </w:rPr>
        <w:t>Variation Date</w:t>
      </w:r>
      <w:r>
        <w:rPr>
          <w:sz w:val="20"/>
          <w:szCs w:val="20"/>
          <w:color w:val="auto"/>
        </w:rPr>
        <w:tab/>
      </w:r>
      <w:r>
        <w:rPr>
          <w:rFonts w:ascii="Arial" w:cs="Arial" w:eastAsia="Arial" w:hAnsi="Arial"/>
          <w:sz w:val="13"/>
          <w:szCs w:val="13"/>
          <w:color w:val="auto"/>
        </w:rPr>
        <w:t xml:space="preserve">The date on which Bank notifies the Borrower that the conditions precedent set out in </w:t>
      </w:r>
      <w:r>
        <w:rPr>
          <w:rFonts w:ascii="Arial" w:cs="Arial" w:eastAsia="Arial" w:hAnsi="Arial"/>
          <w:sz w:val="13"/>
          <w:szCs w:val="13"/>
          <w:b w:val="1"/>
          <w:bCs w:val="1"/>
          <w:color w:val="auto"/>
        </w:rPr>
        <w:t>clause 3</w:t>
      </w:r>
      <w:r>
        <w:rPr>
          <w:rFonts w:ascii="Arial" w:cs="Arial" w:eastAsia="Arial" w:hAnsi="Arial"/>
          <w:sz w:val="13"/>
          <w:szCs w:val="13"/>
          <w:color w:val="auto"/>
        </w:rPr>
        <w:t xml:space="preserve"> are satisfied.</w:t>
      </w:r>
    </w:p>
    <w:p>
      <w:pPr>
        <w:spacing w:after="0" w:line="344" w:lineRule="exact"/>
        <w:rPr>
          <w:sz w:val="20"/>
          <w:szCs w:val="20"/>
          <w:color w:val="auto"/>
        </w:rPr>
      </w:pPr>
    </w:p>
    <w:p>
      <w:pPr>
        <w:ind w:left="1220" w:hanging="928"/>
        <w:spacing w:after="0"/>
        <w:tabs>
          <w:tab w:leader="none" w:pos="1220" w:val="left"/>
        </w:tabs>
        <w:numPr>
          <w:ilvl w:val="0"/>
          <w:numId w:val="204"/>
        </w:numPr>
        <w:rPr>
          <w:rFonts w:ascii="Arial" w:cs="Arial" w:eastAsia="Arial" w:hAnsi="Arial"/>
          <w:sz w:val="19"/>
          <w:szCs w:val="19"/>
          <w:color w:val="auto"/>
        </w:rPr>
      </w:pPr>
      <w:r>
        <w:rPr>
          <w:rFonts w:ascii="Arial" w:cs="Arial" w:eastAsia="Arial" w:hAnsi="Arial"/>
          <w:sz w:val="19"/>
          <w:szCs w:val="19"/>
          <w:color w:val="auto"/>
        </w:rPr>
        <w:t>Consideration</w:t>
      </w:r>
    </w:p>
    <w:p>
      <w:pPr>
        <w:spacing w:after="0" w:line="61" w:lineRule="exact"/>
        <w:rPr>
          <w:sz w:val="20"/>
          <w:szCs w:val="20"/>
          <w:color w:val="auto"/>
        </w:rPr>
      </w:pPr>
    </w:p>
    <w:p>
      <w:pPr>
        <w:ind w:left="800" w:right="60"/>
        <w:spacing w:after="0" w:line="244" w:lineRule="auto"/>
        <w:rPr>
          <w:sz w:val="20"/>
          <w:szCs w:val="20"/>
          <w:color w:val="auto"/>
        </w:rPr>
      </w:pPr>
      <w:r>
        <w:rPr>
          <w:rFonts w:ascii="Arial" w:cs="Arial" w:eastAsia="Arial" w:hAnsi="Arial"/>
          <w:sz w:val="13"/>
          <w:szCs w:val="13"/>
          <w:color w:val="auto"/>
        </w:rPr>
        <w:t>Each party has entered into this document in consideration of each other party agreeing to make the acknowledgements contained in this document and to amend the Facility Agreement in accordance with this document and acknowledges receipt of that consideration.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-49530</wp:posOffset>
            </wp:positionH>
            <wp:positionV relativeFrom="paragraph">
              <wp:posOffset>161925</wp:posOffset>
            </wp:positionV>
            <wp:extent cx="6208395"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208395" cy="42545"/>
                    </a:xfrm>
                    <a:prstGeom prst="rect">
                      <a:avLst/>
                    </a:prstGeom>
                    <a:noFill/>
                  </pic:spPr>
                </pic:pic>
              </a:graphicData>
            </a:graphic>
          </wp:anchor>
        </w:drawing>
      </w:r>
    </w:p>
    <w:p>
      <w:pPr>
        <w:sectPr>
          <w:pgSz w:w="11900" w:h="16838" w:orient="portrait"/>
          <w:cols w:equalWidth="0" w:num="1">
            <w:col w:w="9480"/>
          </w:cols>
          <w:pgMar w:left="1280" w:top="243" w:right="1139" w:bottom="1440" w:gutter="0" w:footer="0" w:header="0"/>
        </w:sectPr>
      </w:pPr>
    </w:p>
    <w:bookmarkStart w:id="210" w:name="page211"/>
    <w:bookmarkEnd w:id="210"/>
    <w:p>
      <w:pPr>
        <w:ind w:left="140"/>
        <w:spacing w:after="0"/>
        <w:rPr>
          <w:sz w:val="20"/>
          <w:szCs w:val="20"/>
          <w:color w:val="auto"/>
        </w:rPr>
      </w:pPr>
      <w:r>
        <w:rPr>
          <w:rFonts w:ascii="Arial" w:cs="Arial" w:eastAsia="Arial" w:hAnsi="Arial"/>
          <w:sz w:val="10"/>
          <w:szCs w:val="10"/>
          <w:color w:val="auto"/>
        </w:rPr>
        <w:t>Corrs Chambers Westgarth</w:t>
      </w:r>
    </w:p>
    <w:p>
      <w:pPr>
        <w:spacing w:after="0" w:line="248" w:lineRule="exact"/>
        <w:rPr>
          <w:sz w:val="20"/>
          <w:szCs w:val="20"/>
          <w:color w:val="auto"/>
        </w:rPr>
      </w:pPr>
    </w:p>
    <w:p>
      <w:pPr>
        <w:ind w:left="820" w:hanging="688"/>
        <w:spacing w:after="0"/>
        <w:tabs>
          <w:tab w:leader="none" w:pos="820" w:val="left"/>
        </w:tabs>
        <w:numPr>
          <w:ilvl w:val="0"/>
          <w:numId w:val="205"/>
        </w:numPr>
        <w:rPr>
          <w:rFonts w:ascii="Arial" w:cs="Arial" w:eastAsia="Arial" w:hAnsi="Arial"/>
          <w:sz w:val="19"/>
          <w:szCs w:val="19"/>
          <w:color w:val="auto"/>
        </w:rPr>
      </w:pPr>
      <w:r>
        <w:rPr>
          <w:rFonts w:ascii="Arial" w:cs="Arial" w:eastAsia="Arial" w:hAnsi="Arial"/>
          <w:sz w:val="19"/>
          <w:szCs w:val="19"/>
          <w:color w:val="auto"/>
        </w:rPr>
        <w:t>Conditions precedent</w:t>
      </w:r>
    </w:p>
    <w:p>
      <w:pPr>
        <w:spacing w:after="0" w:line="61" w:lineRule="exact"/>
        <w:rPr>
          <w:sz w:val="20"/>
          <w:szCs w:val="20"/>
          <w:color w:val="auto"/>
        </w:rPr>
      </w:pPr>
    </w:p>
    <w:p>
      <w:pPr>
        <w:ind w:left="640"/>
        <w:spacing w:after="0"/>
        <w:rPr>
          <w:sz w:val="20"/>
          <w:szCs w:val="20"/>
          <w:color w:val="auto"/>
        </w:rPr>
      </w:pPr>
      <w:r>
        <w:rPr>
          <w:rFonts w:ascii="Arial" w:cs="Arial" w:eastAsia="Arial" w:hAnsi="Arial"/>
          <w:sz w:val="13"/>
          <w:szCs w:val="13"/>
          <w:color w:val="auto"/>
        </w:rPr>
        <w:t>The amendments to the Facility Agreement are subject to the conditions precedent that:</w:t>
      </w:r>
    </w:p>
    <w:p>
      <w:pPr>
        <w:spacing w:after="0" w:line="67" w:lineRule="exact"/>
        <w:rPr>
          <w:sz w:val="20"/>
          <w:szCs w:val="20"/>
          <w:color w:val="auto"/>
        </w:rPr>
      </w:pPr>
    </w:p>
    <w:p>
      <w:pPr>
        <w:ind w:left="1020" w:hanging="384"/>
        <w:spacing w:after="0"/>
        <w:tabs>
          <w:tab w:leader="none" w:pos="1020" w:val="left"/>
        </w:tabs>
        <w:numPr>
          <w:ilvl w:val="0"/>
          <w:numId w:val="206"/>
        </w:numPr>
        <w:rPr>
          <w:rFonts w:ascii="Arial" w:cs="Arial" w:eastAsia="Arial" w:hAnsi="Arial"/>
          <w:sz w:val="13"/>
          <w:szCs w:val="13"/>
          <w:color w:val="auto"/>
        </w:rPr>
      </w:pPr>
      <w:r>
        <w:rPr>
          <w:rFonts w:ascii="Arial" w:cs="Arial" w:eastAsia="Arial" w:hAnsi="Arial"/>
          <w:sz w:val="13"/>
          <w:szCs w:val="13"/>
          <w:color w:val="auto"/>
        </w:rPr>
        <w:t>the Bank has received in form and substance satisfactory to the Bank:</w:t>
      </w:r>
    </w:p>
    <w:p>
      <w:pPr>
        <w:spacing w:after="0" w:line="75" w:lineRule="exact"/>
        <w:rPr>
          <w:rFonts w:ascii="Arial" w:cs="Arial" w:eastAsia="Arial" w:hAnsi="Arial"/>
          <w:sz w:val="13"/>
          <w:szCs w:val="13"/>
          <w:color w:val="auto"/>
        </w:rPr>
      </w:pPr>
    </w:p>
    <w:p>
      <w:pPr>
        <w:ind w:left="1860" w:hanging="872"/>
        <w:spacing w:after="0"/>
        <w:tabs>
          <w:tab w:leader="none" w:pos="1860" w:val="left"/>
        </w:tabs>
        <w:numPr>
          <w:ilvl w:val="1"/>
          <w:numId w:val="206"/>
        </w:numPr>
        <w:rPr>
          <w:rFonts w:ascii="Arial" w:cs="Arial" w:eastAsia="Arial" w:hAnsi="Arial"/>
          <w:sz w:val="13"/>
          <w:szCs w:val="13"/>
          <w:color w:val="auto"/>
        </w:rPr>
      </w:pPr>
      <w:r>
        <w:rPr>
          <w:rFonts w:ascii="Arial" w:cs="Arial" w:eastAsia="Arial" w:hAnsi="Arial"/>
          <w:sz w:val="13"/>
          <w:szCs w:val="13"/>
          <w:color w:val="auto"/>
        </w:rPr>
        <w:t>an original copy of this document, duly executed by the Borrower and each Guarantor;</w:t>
      </w:r>
    </w:p>
    <w:p>
      <w:pPr>
        <w:spacing w:after="0" w:line="66" w:lineRule="exact"/>
        <w:rPr>
          <w:rFonts w:ascii="Arial" w:cs="Arial" w:eastAsia="Arial" w:hAnsi="Arial"/>
          <w:sz w:val="13"/>
          <w:szCs w:val="13"/>
          <w:color w:val="auto"/>
        </w:rPr>
      </w:pPr>
    </w:p>
    <w:p>
      <w:pPr>
        <w:ind w:left="1480" w:hanging="492"/>
        <w:spacing w:after="0"/>
        <w:tabs>
          <w:tab w:leader="none" w:pos="1480" w:val="left"/>
        </w:tabs>
        <w:numPr>
          <w:ilvl w:val="1"/>
          <w:numId w:val="206"/>
        </w:numPr>
        <w:rPr>
          <w:rFonts w:ascii="Arial" w:cs="Arial" w:eastAsia="Arial" w:hAnsi="Arial"/>
          <w:sz w:val="13"/>
          <w:szCs w:val="13"/>
          <w:color w:val="auto"/>
        </w:rPr>
      </w:pPr>
      <w:r>
        <w:rPr>
          <w:rFonts w:ascii="Arial" w:cs="Arial" w:eastAsia="Arial" w:hAnsi="Arial"/>
          <w:sz w:val="13"/>
          <w:szCs w:val="13"/>
          <w:color w:val="auto"/>
        </w:rPr>
        <w:t>a non-refundable restructure fee of $30,000; and</w:t>
      </w:r>
    </w:p>
    <w:p>
      <w:pPr>
        <w:spacing w:after="0" w:line="84" w:lineRule="exact"/>
        <w:rPr>
          <w:rFonts w:ascii="Arial" w:cs="Arial" w:eastAsia="Arial" w:hAnsi="Arial"/>
          <w:sz w:val="13"/>
          <w:szCs w:val="13"/>
          <w:color w:val="auto"/>
        </w:rPr>
      </w:pPr>
    </w:p>
    <w:p>
      <w:pPr>
        <w:ind w:left="1900" w:hanging="912"/>
        <w:spacing w:after="0"/>
        <w:tabs>
          <w:tab w:leader="none" w:pos="1900" w:val="left"/>
        </w:tabs>
        <w:numPr>
          <w:ilvl w:val="1"/>
          <w:numId w:val="206"/>
        </w:numPr>
        <w:rPr>
          <w:rFonts w:ascii="Arial" w:cs="Arial" w:eastAsia="Arial" w:hAnsi="Arial"/>
          <w:sz w:val="13"/>
          <w:szCs w:val="13"/>
          <w:color w:val="auto"/>
        </w:rPr>
      </w:pPr>
      <w:r>
        <w:rPr>
          <w:rFonts w:ascii="Arial" w:cs="Arial" w:eastAsia="Arial" w:hAnsi="Arial"/>
          <w:sz w:val="13"/>
          <w:szCs w:val="13"/>
          <w:color w:val="auto"/>
        </w:rPr>
        <w:t>anything which the Bank has reasonably requested that a party provide to it in relation to the Facility Agreement; and</w:t>
      </w:r>
    </w:p>
    <w:p>
      <w:pPr>
        <w:spacing w:after="0" w:line="66" w:lineRule="exact"/>
        <w:rPr>
          <w:rFonts w:ascii="Arial" w:cs="Arial" w:eastAsia="Arial" w:hAnsi="Arial"/>
          <w:sz w:val="13"/>
          <w:szCs w:val="13"/>
          <w:color w:val="auto"/>
        </w:rPr>
      </w:pPr>
    </w:p>
    <w:p>
      <w:pPr>
        <w:ind w:left="1100" w:hanging="464"/>
        <w:spacing w:after="0"/>
        <w:tabs>
          <w:tab w:leader="none" w:pos="1100" w:val="left"/>
        </w:tabs>
        <w:numPr>
          <w:ilvl w:val="0"/>
          <w:numId w:val="206"/>
        </w:numPr>
        <w:rPr>
          <w:rFonts w:ascii="Arial" w:cs="Arial" w:eastAsia="Arial" w:hAnsi="Arial"/>
          <w:sz w:val="13"/>
          <w:szCs w:val="13"/>
          <w:color w:val="auto"/>
        </w:rPr>
      </w:pPr>
      <w:r>
        <w:rPr>
          <w:rFonts w:ascii="Arial" w:cs="Arial" w:eastAsia="Arial" w:hAnsi="Arial"/>
          <w:sz w:val="13"/>
          <w:szCs w:val="13"/>
          <w:color w:val="auto"/>
        </w:rPr>
        <w:t>no Event of Default or Potential Event of Default subsists.</w:t>
      </w:r>
    </w:p>
    <w:p>
      <w:pPr>
        <w:spacing w:after="0" w:line="346" w:lineRule="exact"/>
        <w:rPr>
          <w:sz w:val="20"/>
          <w:szCs w:val="20"/>
          <w:color w:val="auto"/>
        </w:rPr>
      </w:pPr>
    </w:p>
    <w:p>
      <w:pPr>
        <w:ind w:left="660" w:hanging="528"/>
        <w:spacing w:after="0"/>
        <w:tabs>
          <w:tab w:leader="none" w:pos="660" w:val="left"/>
        </w:tabs>
        <w:numPr>
          <w:ilvl w:val="0"/>
          <w:numId w:val="207"/>
        </w:numPr>
        <w:rPr>
          <w:rFonts w:ascii="Arial" w:cs="Arial" w:eastAsia="Arial" w:hAnsi="Arial"/>
          <w:sz w:val="19"/>
          <w:szCs w:val="19"/>
          <w:color w:val="auto"/>
        </w:rPr>
      </w:pPr>
      <w:r>
        <w:rPr>
          <w:rFonts w:ascii="Arial" w:cs="Arial" w:eastAsia="Arial" w:hAnsi="Arial"/>
          <w:sz w:val="19"/>
          <w:szCs w:val="19"/>
          <w:color w:val="auto"/>
        </w:rPr>
        <w:t>Variation of Facility Agreement</w:t>
      </w:r>
    </w:p>
    <w:p>
      <w:pPr>
        <w:spacing w:after="0" w:line="45" w:lineRule="exact"/>
        <w:rPr>
          <w:rFonts w:ascii="Arial" w:cs="Arial" w:eastAsia="Arial" w:hAnsi="Arial"/>
          <w:sz w:val="19"/>
          <w:szCs w:val="19"/>
          <w:color w:val="auto"/>
        </w:rPr>
      </w:pPr>
    </w:p>
    <w:p>
      <w:pPr>
        <w:ind w:left="1780" w:hanging="1144"/>
        <w:spacing w:after="0"/>
        <w:tabs>
          <w:tab w:leader="none" w:pos="1780" w:val="left"/>
        </w:tabs>
        <w:numPr>
          <w:ilvl w:val="1"/>
          <w:numId w:val="207"/>
        </w:numPr>
        <w:rPr>
          <w:rFonts w:ascii="Arial" w:cs="Arial" w:eastAsia="Arial" w:hAnsi="Arial"/>
          <w:sz w:val="13"/>
          <w:szCs w:val="13"/>
          <w:color w:val="auto"/>
        </w:rPr>
      </w:pPr>
      <w:r>
        <w:rPr>
          <w:rFonts w:ascii="Arial" w:cs="Arial" w:eastAsia="Arial" w:hAnsi="Arial"/>
          <w:sz w:val="13"/>
          <w:szCs w:val="13"/>
          <w:color w:val="auto"/>
        </w:rPr>
        <w:t xml:space="preserve">On and from the Variation Date the Facility Agreement is varied and restated in the form of </w:t>
      </w:r>
      <w:r>
        <w:rPr>
          <w:rFonts w:ascii="Arial" w:cs="Arial" w:eastAsia="Arial" w:hAnsi="Arial"/>
          <w:sz w:val="13"/>
          <w:szCs w:val="13"/>
          <w:b w:val="1"/>
          <w:bCs w:val="1"/>
          <w:color w:val="auto"/>
        </w:rPr>
        <w:t>annexure A</w:t>
      </w:r>
      <w:r>
        <w:rPr>
          <w:rFonts w:ascii="Arial" w:cs="Arial" w:eastAsia="Arial" w:hAnsi="Arial"/>
          <w:sz w:val="13"/>
          <w:szCs w:val="13"/>
          <w:color w:val="auto"/>
        </w:rPr>
        <w:t>.</w:t>
      </w:r>
    </w:p>
    <w:p>
      <w:pPr>
        <w:spacing w:after="0" w:line="82" w:lineRule="exact"/>
        <w:rPr>
          <w:rFonts w:ascii="Arial" w:cs="Arial" w:eastAsia="Arial" w:hAnsi="Arial"/>
          <w:sz w:val="13"/>
          <w:szCs w:val="13"/>
          <w:color w:val="auto"/>
        </w:rPr>
      </w:pPr>
    </w:p>
    <w:p>
      <w:pPr>
        <w:ind w:left="1440" w:hanging="804"/>
        <w:spacing w:after="0"/>
        <w:tabs>
          <w:tab w:leader="none" w:pos="1440" w:val="left"/>
        </w:tabs>
        <w:numPr>
          <w:ilvl w:val="1"/>
          <w:numId w:val="207"/>
        </w:numPr>
        <w:rPr>
          <w:rFonts w:ascii="Arial" w:cs="Arial" w:eastAsia="Arial" w:hAnsi="Arial"/>
          <w:sz w:val="13"/>
          <w:szCs w:val="13"/>
          <w:color w:val="auto"/>
        </w:rPr>
      </w:pPr>
      <w:r>
        <w:rPr>
          <w:rFonts w:ascii="Arial" w:cs="Arial" w:eastAsia="Arial" w:hAnsi="Arial"/>
          <w:sz w:val="13"/>
          <w:szCs w:val="13"/>
          <w:color w:val="auto"/>
        </w:rPr>
        <w:t>The Borrower and each Guarantor agree to be bound by the Restated Facility Agreement on and from the Variation Date.</w:t>
      </w:r>
    </w:p>
    <w:p>
      <w:pPr>
        <w:spacing w:after="0" w:line="255" w:lineRule="exact"/>
        <w:rPr>
          <w:sz w:val="20"/>
          <w:szCs w:val="20"/>
          <w:color w:val="auto"/>
        </w:rPr>
      </w:pPr>
    </w:p>
    <w:p>
      <w:pPr>
        <w:ind w:left="880" w:hanging="748"/>
        <w:spacing w:after="0"/>
        <w:tabs>
          <w:tab w:leader="none" w:pos="880" w:val="left"/>
        </w:tabs>
        <w:numPr>
          <w:ilvl w:val="0"/>
          <w:numId w:val="208"/>
        </w:numPr>
        <w:rPr>
          <w:rFonts w:ascii="Arial" w:cs="Arial" w:eastAsia="Arial" w:hAnsi="Arial"/>
          <w:sz w:val="19"/>
          <w:szCs w:val="19"/>
          <w:color w:val="auto"/>
        </w:rPr>
      </w:pPr>
      <w:r>
        <w:rPr>
          <w:rFonts w:ascii="Arial" w:cs="Arial" w:eastAsia="Arial" w:hAnsi="Arial"/>
          <w:sz w:val="19"/>
          <w:szCs w:val="19"/>
          <w:color w:val="auto"/>
        </w:rPr>
        <w:t>Acknowledgments</w:t>
      </w:r>
    </w:p>
    <w:p>
      <w:pPr>
        <w:spacing w:after="0" w:line="61" w:lineRule="exact"/>
        <w:rPr>
          <w:sz w:val="20"/>
          <w:szCs w:val="20"/>
          <w:color w:val="auto"/>
        </w:rPr>
      </w:pPr>
    </w:p>
    <w:p>
      <w:pPr>
        <w:ind w:left="640"/>
        <w:spacing w:after="0"/>
        <w:rPr>
          <w:sz w:val="20"/>
          <w:szCs w:val="20"/>
          <w:color w:val="auto"/>
        </w:rPr>
      </w:pPr>
      <w:r>
        <w:rPr>
          <w:rFonts w:ascii="Arial" w:cs="Arial" w:eastAsia="Arial" w:hAnsi="Arial"/>
          <w:sz w:val="13"/>
          <w:szCs w:val="13"/>
          <w:color w:val="auto"/>
        </w:rPr>
        <w:t>The Borrower and each Guarantor:</w:t>
      </w:r>
    </w:p>
    <w:p>
      <w:pPr>
        <w:spacing w:after="0" w:line="85" w:lineRule="exact"/>
        <w:rPr>
          <w:sz w:val="20"/>
          <w:szCs w:val="20"/>
          <w:color w:val="auto"/>
        </w:rPr>
      </w:pPr>
    </w:p>
    <w:p>
      <w:pPr>
        <w:ind w:left="1240" w:right="540" w:hanging="604"/>
        <w:spacing w:after="0" w:line="244" w:lineRule="auto"/>
        <w:tabs>
          <w:tab w:leader="none" w:pos="1240" w:val="left"/>
        </w:tabs>
        <w:numPr>
          <w:ilvl w:val="0"/>
          <w:numId w:val="209"/>
        </w:numPr>
        <w:rPr>
          <w:rFonts w:ascii="Arial" w:cs="Arial" w:eastAsia="Arial" w:hAnsi="Arial"/>
          <w:sz w:val="13"/>
          <w:szCs w:val="13"/>
          <w:color w:val="auto"/>
        </w:rPr>
      </w:pPr>
      <w:r>
        <w:rPr>
          <w:rFonts w:ascii="Arial" w:cs="Arial" w:eastAsia="Arial" w:hAnsi="Arial"/>
          <w:sz w:val="13"/>
          <w:szCs w:val="13"/>
          <w:color w:val="auto"/>
        </w:rPr>
        <w:t>acknowledge that nothing in this document or any related financing change statement under the PPS Act releases, terminates or otherwise affects any liabilities of the Borrower to the Bank, or affects its liability under any Transaction Document;</w:t>
      </w:r>
    </w:p>
    <w:p>
      <w:pPr>
        <w:spacing w:after="0" w:line="56" w:lineRule="exact"/>
        <w:rPr>
          <w:rFonts w:ascii="Arial" w:cs="Arial" w:eastAsia="Arial" w:hAnsi="Arial"/>
          <w:sz w:val="13"/>
          <w:szCs w:val="13"/>
          <w:color w:val="auto"/>
        </w:rPr>
      </w:pPr>
    </w:p>
    <w:p>
      <w:pPr>
        <w:ind w:left="1320" w:hanging="684"/>
        <w:spacing w:after="0"/>
        <w:tabs>
          <w:tab w:leader="none" w:pos="1320" w:val="left"/>
        </w:tabs>
        <w:numPr>
          <w:ilvl w:val="0"/>
          <w:numId w:val="209"/>
        </w:numPr>
        <w:rPr>
          <w:rFonts w:ascii="Arial" w:cs="Arial" w:eastAsia="Arial" w:hAnsi="Arial"/>
          <w:sz w:val="13"/>
          <w:szCs w:val="13"/>
          <w:color w:val="auto"/>
        </w:rPr>
      </w:pPr>
      <w:r>
        <w:rPr>
          <w:rFonts w:ascii="Arial" w:cs="Arial" w:eastAsia="Arial" w:hAnsi="Arial"/>
          <w:sz w:val="13"/>
          <w:szCs w:val="13"/>
          <w:color w:val="auto"/>
        </w:rPr>
        <w:t>acknowledge that the Bank has agreed to execute this document at the request of the Borrower and each Guarantor;</w:t>
      </w:r>
    </w:p>
    <w:p>
      <w:pPr>
        <w:spacing w:after="0" w:line="66" w:lineRule="exact"/>
        <w:rPr>
          <w:rFonts w:ascii="Arial" w:cs="Arial" w:eastAsia="Arial" w:hAnsi="Arial"/>
          <w:sz w:val="13"/>
          <w:szCs w:val="13"/>
          <w:color w:val="auto"/>
        </w:rPr>
      </w:pPr>
    </w:p>
    <w:p>
      <w:pPr>
        <w:ind w:left="1180" w:hanging="544"/>
        <w:spacing w:after="0" w:line="244" w:lineRule="auto"/>
        <w:tabs>
          <w:tab w:leader="none" w:pos="1180" w:val="left"/>
        </w:tabs>
        <w:numPr>
          <w:ilvl w:val="0"/>
          <w:numId w:val="209"/>
        </w:numPr>
        <w:rPr>
          <w:rFonts w:ascii="Arial" w:cs="Arial" w:eastAsia="Arial" w:hAnsi="Arial"/>
          <w:sz w:val="13"/>
          <w:szCs w:val="13"/>
          <w:color w:val="auto"/>
        </w:rPr>
      </w:pPr>
      <w:r>
        <w:rPr>
          <w:rFonts w:ascii="Arial" w:cs="Arial" w:eastAsia="Arial" w:hAnsi="Arial"/>
          <w:sz w:val="13"/>
          <w:szCs w:val="13"/>
          <w:color w:val="auto"/>
        </w:rPr>
        <w:t>agree to the variation to the Facility Agreement and agrees that each Collateral Security extends to and secures the Borrower’s obligations to the Bank under the Transaction Documents, including the Restated Facility Agreement; and</w:t>
      </w:r>
    </w:p>
    <w:p>
      <w:pPr>
        <w:spacing w:after="0" w:line="56" w:lineRule="exact"/>
        <w:rPr>
          <w:rFonts w:ascii="Arial" w:cs="Arial" w:eastAsia="Arial" w:hAnsi="Arial"/>
          <w:sz w:val="13"/>
          <w:szCs w:val="13"/>
          <w:color w:val="auto"/>
        </w:rPr>
      </w:pPr>
    </w:p>
    <w:p>
      <w:pPr>
        <w:ind w:left="1220" w:right="180" w:hanging="584"/>
        <w:spacing w:after="0" w:line="238" w:lineRule="auto"/>
        <w:tabs>
          <w:tab w:leader="none" w:pos="1220" w:val="left"/>
        </w:tabs>
        <w:numPr>
          <w:ilvl w:val="0"/>
          <w:numId w:val="209"/>
        </w:numPr>
        <w:rPr>
          <w:rFonts w:ascii="Arial" w:cs="Arial" w:eastAsia="Arial" w:hAnsi="Arial"/>
          <w:sz w:val="13"/>
          <w:szCs w:val="13"/>
          <w:color w:val="auto"/>
        </w:rPr>
      </w:pPr>
      <w:r>
        <w:rPr>
          <w:rFonts w:ascii="Arial" w:cs="Arial" w:eastAsia="Arial" w:hAnsi="Arial"/>
          <w:sz w:val="13"/>
          <w:szCs w:val="13"/>
          <w:color w:val="auto"/>
        </w:rPr>
        <w:t>acknowledge that their obligations (as borrower, guarantor, indemnifier, or otherwise) and the Bank’s rights are not affected by anything which might abrogate, prejudice or limit them or the effectiveness of this document, including the failure by any person named as an Original Guarantor to become bound by this document.</w:t>
      </w:r>
    </w:p>
    <w:p>
      <w:pPr>
        <w:spacing w:after="0" w:line="321" w:lineRule="exact"/>
        <w:rPr>
          <w:sz w:val="20"/>
          <w:szCs w:val="20"/>
          <w:color w:val="auto"/>
        </w:rPr>
      </w:pPr>
    </w:p>
    <w:p>
      <w:pPr>
        <w:ind w:left="660" w:hanging="528"/>
        <w:spacing w:after="0"/>
        <w:tabs>
          <w:tab w:leader="none" w:pos="660" w:val="left"/>
        </w:tabs>
        <w:numPr>
          <w:ilvl w:val="0"/>
          <w:numId w:val="210"/>
        </w:numPr>
        <w:rPr>
          <w:rFonts w:ascii="Arial" w:cs="Arial" w:eastAsia="Arial" w:hAnsi="Arial"/>
          <w:sz w:val="19"/>
          <w:szCs w:val="19"/>
          <w:color w:val="auto"/>
        </w:rPr>
      </w:pPr>
      <w:r>
        <w:rPr>
          <w:rFonts w:ascii="Arial" w:cs="Arial" w:eastAsia="Arial" w:hAnsi="Arial"/>
          <w:sz w:val="19"/>
          <w:szCs w:val="19"/>
          <w:color w:val="auto"/>
        </w:rPr>
        <w:t>Warranties and representations</w:t>
      </w:r>
    </w:p>
    <w:p>
      <w:pPr>
        <w:spacing w:after="0" w:line="77" w:lineRule="exact"/>
        <w:rPr>
          <w:sz w:val="20"/>
          <w:szCs w:val="20"/>
          <w:color w:val="auto"/>
        </w:rPr>
      </w:pPr>
    </w:p>
    <w:p>
      <w:pPr>
        <w:ind w:left="140"/>
        <w:spacing w:after="0"/>
        <w:tabs>
          <w:tab w:leader="none" w:pos="2860" w:val="left"/>
        </w:tabs>
        <w:rPr>
          <w:sz w:val="20"/>
          <w:szCs w:val="20"/>
          <w:color w:val="auto"/>
        </w:rPr>
      </w:pPr>
      <w:r>
        <w:rPr>
          <w:rFonts w:ascii="Arial" w:cs="Arial" w:eastAsia="Arial" w:hAnsi="Arial"/>
          <w:sz w:val="14"/>
          <w:szCs w:val="14"/>
          <w:b w:val="1"/>
          <w:bCs w:val="1"/>
          <w:color w:val="auto"/>
        </w:rPr>
        <w:t>6.1</w:t>
      </w:r>
      <w:r>
        <w:rPr>
          <w:sz w:val="20"/>
          <w:szCs w:val="20"/>
          <w:color w:val="auto"/>
        </w:rPr>
        <w:tab/>
      </w:r>
      <w:r>
        <w:rPr>
          <w:rFonts w:ascii="Arial" w:cs="Arial" w:eastAsia="Arial" w:hAnsi="Arial"/>
          <w:sz w:val="13"/>
          <w:szCs w:val="13"/>
          <w:b w:val="1"/>
          <w:bCs w:val="1"/>
          <w:color w:val="auto"/>
        </w:rPr>
        <w:t>General</w:t>
      </w:r>
    </w:p>
    <w:p>
      <w:pPr>
        <w:spacing w:after="0" w:line="75" w:lineRule="exact"/>
        <w:rPr>
          <w:sz w:val="20"/>
          <w:szCs w:val="20"/>
          <w:color w:val="auto"/>
        </w:rPr>
      </w:pPr>
    </w:p>
    <w:p>
      <w:pPr>
        <w:ind w:left="640"/>
        <w:spacing w:after="0"/>
        <w:rPr>
          <w:sz w:val="20"/>
          <w:szCs w:val="20"/>
          <w:color w:val="auto"/>
        </w:rPr>
      </w:pPr>
      <w:r>
        <w:rPr>
          <w:rFonts w:ascii="Arial" w:cs="Arial" w:eastAsia="Arial" w:hAnsi="Arial"/>
          <w:sz w:val="13"/>
          <w:szCs w:val="13"/>
          <w:color w:val="auto"/>
        </w:rPr>
        <w:t>The Borrower and each Guarantor warrant and represent to the Bank that:</w:t>
      </w:r>
    </w:p>
    <w:p>
      <w:pPr>
        <w:spacing w:after="0" w:line="76" w:lineRule="exact"/>
        <w:rPr>
          <w:sz w:val="20"/>
          <w:szCs w:val="20"/>
          <w:color w:val="auto"/>
        </w:rPr>
      </w:pPr>
    </w:p>
    <w:p>
      <w:pPr>
        <w:ind w:left="1140" w:hanging="504"/>
        <w:spacing w:after="0"/>
        <w:tabs>
          <w:tab w:leader="none" w:pos="1140" w:val="left"/>
        </w:tabs>
        <w:numPr>
          <w:ilvl w:val="0"/>
          <w:numId w:val="211"/>
        </w:numPr>
        <w:rPr>
          <w:rFonts w:ascii="Arial" w:cs="Arial" w:eastAsia="Arial" w:hAnsi="Arial"/>
          <w:sz w:val="13"/>
          <w:szCs w:val="13"/>
          <w:color w:val="auto"/>
        </w:rPr>
      </w:pPr>
      <w:r>
        <w:rPr>
          <w:rFonts w:ascii="Arial" w:cs="Arial" w:eastAsia="Arial" w:hAnsi="Arial"/>
          <w:sz w:val="13"/>
          <w:szCs w:val="13"/>
          <w:color w:val="auto"/>
        </w:rPr>
        <w:t>at the time of execution, and at the Variation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173990</wp:posOffset>
            </wp:positionV>
            <wp:extent cx="6208395"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208395" cy="42545"/>
                    </a:xfrm>
                    <a:prstGeom prst="rect">
                      <a:avLst/>
                    </a:prstGeom>
                    <a:noFill/>
                  </pic:spPr>
                </pic:pic>
              </a:graphicData>
            </a:graphic>
          </wp:anchor>
        </w:drawing>
      </w:r>
    </w:p>
    <w:p>
      <w:pPr>
        <w:sectPr>
          <w:pgSz w:w="11900" w:h="16838" w:orient="portrait"/>
          <w:cols w:equalWidth="0" w:num="1">
            <w:col w:w="9260"/>
          </w:cols>
          <w:pgMar w:left="1440" w:top="188" w:right="1199" w:bottom="1440" w:gutter="0" w:footer="0" w:header="0"/>
        </w:sectPr>
      </w:pPr>
    </w:p>
    <w:bookmarkStart w:id="211" w:name="page212"/>
    <w:bookmarkEnd w:id="211"/>
    <w:p>
      <w:pPr>
        <w:ind w:left="140"/>
        <w:spacing w:after="0"/>
        <w:rPr>
          <w:sz w:val="20"/>
          <w:szCs w:val="20"/>
          <w:color w:val="auto"/>
        </w:rPr>
      </w:pPr>
      <w:r>
        <w:rPr>
          <w:rFonts w:ascii="Arial" w:cs="Arial" w:eastAsia="Arial" w:hAnsi="Arial"/>
          <w:sz w:val="10"/>
          <w:szCs w:val="10"/>
          <w:color w:val="auto"/>
        </w:rPr>
        <w:t>Corrs Chambers Westgarth</w:t>
      </w:r>
    </w:p>
    <w:p>
      <w:pPr>
        <w:spacing w:after="0" w:line="258" w:lineRule="exact"/>
        <w:rPr>
          <w:sz w:val="20"/>
          <w:szCs w:val="20"/>
          <w:color w:val="auto"/>
        </w:rPr>
      </w:pPr>
    </w:p>
    <w:p>
      <w:pPr>
        <w:ind w:left="1520" w:hanging="532"/>
        <w:spacing w:after="0" w:line="244" w:lineRule="auto"/>
        <w:tabs>
          <w:tab w:leader="none" w:pos="1520" w:val="left"/>
        </w:tabs>
        <w:numPr>
          <w:ilvl w:val="0"/>
          <w:numId w:val="212"/>
        </w:numPr>
        <w:rPr>
          <w:rFonts w:ascii="Arial" w:cs="Arial" w:eastAsia="Arial" w:hAnsi="Arial"/>
          <w:sz w:val="13"/>
          <w:szCs w:val="13"/>
          <w:color w:val="auto"/>
        </w:rPr>
      </w:pPr>
      <w:r>
        <w:rPr>
          <w:rFonts w:ascii="Arial" w:cs="Arial" w:eastAsia="Arial" w:hAnsi="Arial"/>
          <w:sz w:val="13"/>
          <w:szCs w:val="13"/>
          <w:color w:val="auto"/>
        </w:rPr>
        <w:t>it has capacity unconditionally to execute, deliver and comply with its obligations under this document and the Transaction Documents to which it is a party (including the Restated Facility Agreement);</w:t>
      </w:r>
    </w:p>
    <w:p>
      <w:pPr>
        <w:spacing w:after="0" w:line="56" w:lineRule="exact"/>
        <w:rPr>
          <w:rFonts w:ascii="Arial" w:cs="Arial" w:eastAsia="Arial" w:hAnsi="Arial"/>
          <w:sz w:val="13"/>
          <w:szCs w:val="13"/>
          <w:color w:val="auto"/>
        </w:rPr>
      </w:pPr>
    </w:p>
    <w:p>
      <w:pPr>
        <w:ind w:left="1560" w:right="280" w:hanging="572"/>
        <w:spacing w:after="0" w:line="244" w:lineRule="auto"/>
        <w:tabs>
          <w:tab w:leader="none" w:pos="1560" w:val="left"/>
        </w:tabs>
        <w:numPr>
          <w:ilvl w:val="0"/>
          <w:numId w:val="212"/>
        </w:numPr>
        <w:rPr>
          <w:rFonts w:ascii="Arial" w:cs="Arial" w:eastAsia="Arial" w:hAnsi="Arial"/>
          <w:sz w:val="13"/>
          <w:szCs w:val="13"/>
          <w:color w:val="auto"/>
        </w:rPr>
      </w:pPr>
      <w:r>
        <w:rPr>
          <w:rFonts w:ascii="Arial" w:cs="Arial" w:eastAsia="Arial" w:hAnsi="Arial"/>
          <w:sz w:val="13"/>
          <w:szCs w:val="13"/>
          <w:color w:val="auto"/>
        </w:rPr>
        <w:t>it has taken all necessary action to authorise the unconditional execution and delivery of, and the compliance with, its obligations under this document and the Transaction Documents (including the Restated Facility Agreement);</w:t>
      </w:r>
    </w:p>
    <w:p>
      <w:pPr>
        <w:spacing w:after="0" w:line="56" w:lineRule="exact"/>
        <w:rPr>
          <w:rFonts w:ascii="Arial" w:cs="Arial" w:eastAsia="Arial" w:hAnsi="Arial"/>
          <w:sz w:val="13"/>
          <w:szCs w:val="13"/>
          <w:color w:val="auto"/>
        </w:rPr>
      </w:pPr>
    </w:p>
    <w:p>
      <w:pPr>
        <w:ind w:left="1580" w:right="100" w:hanging="592"/>
        <w:spacing w:after="0" w:line="236" w:lineRule="auto"/>
        <w:tabs>
          <w:tab w:leader="none" w:pos="1580" w:val="left"/>
        </w:tabs>
        <w:numPr>
          <w:ilvl w:val="0"/>
          <w:numId w:val="212"/>
        </w:numPr>
        <w:rPr>
          <w:rFonts w:ascii="Arial" w:cs="Arial" w:eastAsia="Arial" w:hAnsi="Arial"/>
          <w:sz w:val="13"/>
          <w:szCs w:val="13"/>
          <w:color w:val="auto"/>
        </w:rPr>
      </w:pPr>
      <w:r>
        <w:rPr>
          <w:rFonts w:ascii="Arial" w:cs="Arial" w:eastAsia="Arial" w:hAnsi="Arial"/>
          <w:sz w:val="13"/>
          <w:szCs w:val="13"/>
          <w:color w:val="auto"/>
        </w:rPr>
        <w:t>this document and the Transaction Documents to which it is a party (including the Restated Facility Agreement) are its valid and legally binding obligations and are enforceable against it by each other party in accordance with the terms of this document and the Transaction Documents to which it is a party (including the Restated Facility Agreement), subject to principles of equity and rules affecting creditors’ rights generally; and</w:t>
      </w:r>
    </w:p>
    <w:p>
      <w:pPr>
        <w:spacing w:after="0" w:line="60" w:lineRule="exact"/>
        <w:rPr>
          <w:rFonts w:ascii="Arial" w:cs="Arial" w:eastAsia="Arial" w:hAnsi="Arial"/>
          <w:sz w:val="13"/>
          <w:szCs w:val="13"/>
          <w:color w:val="auto"/>
        </w:rPr>
      </w:pPr>
    </w:p>
    <w:p>
      <w:pPr>
        <w:ind w:left="2100" w:right="360" w:hanging="1112"/>
        <w:spacing w:after="0" w:line="244" w:lineRule="auto"/>
        <w:tabs>
          <w:tab w:leader="none" w:pos="2100" w:val="left"/>
        </w:tabs>
        <w:numPr>
          <w:ilvl w:val="0"/>
          <w:numId w:val="212"/>
        </w:numPr>
        <w:rPr>
          <w:rFonts w:ascii="Arial" w:cs="Arial" w:eastAsia="Arial" w:hAnsi="Arial"/>
          <w:sz w:val="13"/>
          <w:szCs w:val="13"/>
          <w:color w:val="auto"/>
        </w:rPr>
      </w:pPr>
      <w:r>
        <w:rPr>
          <w:rFonts w:ascii="Arial" w:cs="Arial" w:eastAsia="Arial" w:hAnsi="Arial"/>
          <w:sz w:val="13"/>
          <w:szCs w:val="13"/>
          <w:color w:val="auto"/>
        </w:rPr>
        <w:t>its unconditional execution and delivery of this document and compliance with its obligations under this document and the Transaction Documents (including the Restated Facility Agreement) do not contravene:</w:t>
      </w:r>
    </w:p>
    <w:p>
      <w:pPr>
        <w:spacing w:after="0" w:line="56" w:lineRule="exact"/>
        <w:rPr>
          <w:rFonts w:ascii="Arial" w:cs="Arial" w:eastAsia="Arial" w:hAnsi="Arial"/>
          <w:sz w:val="13"/>
          <w:szCs w:val="13"/>
          <w:color w:val="auto"/>
        </w:rPr>
      </w:pPr>
    </w:p>
    <w:p>
      <w:pPr>
        <w:ind w:left="1860" w:hanging="539"/>
        <w:spacing w:after="0"/>
        <w:tabs>
          <w:tab w:leader="none" w:pos="1860" w:val="left"/>
        </w:tabs>
        <w:numPr>
          <w:ilvl w:val="1"/>
          <w:numId w:val="212"/>
        </w:numPr>
        <w:rPr>
          <w:rFonts w:ascii="Arial" w:cs="Arial" w:eastAsia="Arial" w:hAnsi="Arial"/>
          <w:sz w:val="13"/>
          <w:szCs w:val="13"/>
          <w:color w:val="auto"/>
        </w:rPr>
      </w:pPr>
      <w:r>
        <w:rPr>
          <w:rFonts w:ascii="Arial" w:cs="Arial" w:eastAsia="Arial" w:hAnsi="Arial"/>
          <w:sz w:val="13"/>
          <w:szCs w:val="13"/>
          <w:color w:val="auto"/>
        </w:rPr>
        <w:t>any law or directive from a government entity;</w:t>
      </w:r>
    </w:p>
    <w:p>
      <w:pPr>
        <w:spacing w:after="0" w:line="84" w:lineRule="exact"/>
        <w:rPr>
          <w:rFonts w:ascii="Arial" w:cs="Arial" w:eastAsia="Arial" w:hAnsi="Arial"/>
          <w:sz w:val="13"/>
          <w:szCs w:val="13"/>
          <w:color w:val="auto"/>
        </w:rPr>
      </w:pPr>
    </w:p>
    <w:p>
      <w:pPr>
        <w:ind w:left="2180" w:hanging="859"/>
        <w:spacing w:after="0"/>
        <w:tabs>
          <w:tab w:leader="none" w:pos="2180" w:val="left"/>
        </w:tabs>
        <w:numPr>
          <w:ilvl w:val="1"/>
          <w:numId w:val="212"/>
        </w:numPr>
        <w:rPr>
          <w:rFonts w:ascii="Arial" w:cs="Arial" w:eastAsia="Arial" w:hAnsi="Arial"/>
          <w:sz w:val="13"/>
          <w:szCs w:val="13"/>
          <w:color w:val="auto"/>
        </w:rPr>
      </w:pPr>
      <w:r>
        <w:rPr>
          <w:rFonts w:ascii="Arial" w:cs="Arial" w:eastAsia="Arial" w:hAnsi="Arial"/>
          <w:sz w:val="13"/>
          <w:szCs w:val="13"/>
          <w:color w:val="auto"/>
        </w:rPr>
        <w:t>its constituent documents;</w:t>
      </w:r>
    </w:p>
    <w:p>
      <w:pPr>
        <w:spacing w:after="0" w:line="75" w:lineRule="exact"/>
        <w:rPr>
          <w:rFonts w:ascii="Arial" w:cs="Arial" w:eastAsia="Arial" w:hAnsi="Arial"/>
          <w:sz w:val="13"/>
          <w:szCs w:val="13"/>
          <w:color w:val="auto"/>
        </w:rPr>
      </w:pPr>
    </w:p>
    <w:p>
      <w:pPr>
        <w:ind w:left="1820" w:hanging="499"/>
        <w:spacing w:after="0"/>
        <w:tabs>
          <w:tab w:leader="none" w:pos="1820" w:val="left"/>
        </w:tabs>
        <w:numPr>
          <w:ilvl w:val="1"/>
          <w:numId w:val="212"/>
        </w:numPr>
        <w:rPr>
          <w:rFonts w:ascii="Arial" w:cs="Arial" w:eastAsia="Arial" w:hAnsi="Arial"/>
          <w:sz w:val="13"/>
          <w:szCs w:val="13"/>
          <w:color w:val="auto"/>
        </w:rPr>
      </w:pPr>
      <w:r>
        <w:rPr>
          <w:rFonts w:ascii="Arial" w:cs="Arial" w:eastAsia="Arial" w:hAnsi="Arial"/>
          <w:sz w:val="13"/>
          <w:szCs w:val="13"/>
          <w:color w:val="auto"/>
        </w:rPr>
        <w:t>any agreement or instrument to which it is a party; or</w:t>
      </w:r>
    </w:p>
    <w:p>
      <w:pPr>
        <w:spacing w:after="0" w:line="84" w:lineRule="exact"/>
        <w:rPr>
          <w:rFonts w:ascii="Arial" w:cs="Arial" w:eastAsia="Arial" w:hAnsi="Arial"/>
          <w:sz w:val="13"/>
          <w:szCs w:val="13"/>
          <w:color w:val="auto"/>
        </w:rPr>
      </w:pPr>
    </w:p>
    <w:p>
      <w:pPr>
        <w:ind w:left="1960" w:hanging="639"/>
        <w:spacing w:after="0"/>
        <w:tabs>
          <w:tab w:leader="none" w:pos="1960" w:val="left"/>
        </w:tabs>
        <w:numPr>
          <w:ilvl w:val="1"/>
          <w:numId w:val="212"/>
        </w:numPr>
        <w:rPr>
          <w:rFonts w:ascii="Arial" w:cs="Arial" w:eastAsia="Arial" w:hAnsi="Arial"/>
          <w:sz w:val="13"/>
          <w:szCs w:val="13"/>
          <w:color w:val="auto"/>
        </w:rPr>
      </w:pPr>
      <w:r>
        <w:rPr>
          <w:rFonts w:ascii="Arial" w:cs="Arial" w:eastAsia="Arial" w:hAnsi="Arial"/>
          <w:sz w:val="13"/>
          <w:szCs w:val="13"/>
          <w:color w:val="auto"/>
        </w:rPr>
        <w:t>any obligation of it to any other person.</w:t>
      </w:r>
    </w:p>
    <w:p>
      <w:pPr>
        <w:spacing w:after="0" w:line="101" w:lineRule="exact"/>
        <w:rPr>
          <w:sz w:val="20"/>
          <w:szCs w:val="20"/>
          <w:color w:val="auto"/>
        </w:rPr>
      </w:pPr>
    </w:p>
    <w:p>
      <w:pPr>
        <w:ind w:left="140"/>
        <w:spacing w:after="0"/>
        <w:tabs>
          <w:tab w:leader="none" w:pos="1420" w:val="left"/>
        </w:tabs>
        <w:rPr>
          <w:sz w:val="20"/>
          <w:szCs w:val="20"/>
          <w:color w:val="auto"/>
        </w:rPr>
      </w:pPr>
      <w:r>
        <w:rPr>
          <w:rFonts w:ascii="Arial" w:cs="Arial" w:eastAsia="Arial" w:hAnsi="Arial"/>
          <w:sz w:val="14"/>
          <w:szCs w:val="14"/>
          <w:b w:val="1"/>
          <w:bCs w:val="1"/>
          <w:color w:val="auto"/>
        </w:rPr>
        <w:t>6.2</w:t>
      </w:r>
      <w:r>
        <w:rPr>
          <w:sz w:val="20"/>
          <w:szCs w:val="20"/>
          <w:color w:val="auto"/>
        </w:rPr>
        <w:tab/>
      </w:r>
      <w:r>
        <w:rPr>
          <w:rFonts w:ascii="Arial" w:cs="Arial" w:eastAsia="Arial" w:hAnsi="Arial"/>
          <w:sz w:val="14"/>
          <w:szCs w:val="14"/>
          <w:b w:val="1"/>
          <w:bCs w:val="1"/>
          <w:color w:val="auto"/>
        </w:rPr>
        <w:t>Survival of warranties</w:t>
      </w:r>
    </w:p>
    <w:p>
      <w:pPr>
        <w:spacing w:after="0" w:line="59" w:lineRule="exact"/>
        <w:rPr>
          <w:sz w:val="20"/>
          <w:szCs w:val="20"/>
          <w:color w:val="auto"/>
        </w:rPr>
      </w:pPr>
    </w:p>
    <w:p>
      <w:pPr>
        <w:ind w:left="640"/>
        <w:spacing w:after="0"/>
        <w:rPr>
          <w:sz w:val="20"/>
          <w:szCs w:val="20"/>
          <w:color w:val="auto"/>
        </w:rPr>
      </w:pPr>
      <w:r>
        <w:rPr>
          <w:rFonts w:ascii="Arial" w:cs="Arial" w:eastAsia="Arial" w:hAnsi="Arial"/>
          <w:sz w:val="13"/>
          <w:szCs w:val="13"/>
          <w:color w:val="auto"/>
        </w:rPr>
        <w:t xml:space="preserve">The warranties and representations in </w:t>
      </w:r>
      <w:r>
        <w:rPr>
          <w:rFonts w:ascii="Arial" w:cs="Arial" w:eastAsia="Arial" w:hAnsi="Arial"/>
          <w:sz w:val="13"/>
          <w:szCs w:val="13"/>
          <w:b w:val="1"/>
          <w:bCs w:val="1"/>
          <w:color w:val="auto"/>
        </w:rPr>
        <w:t>clause 6</w:t>
      </w:r>
      <w:r>
        <w:rPr>
          <w:rFonts w:ascii="Arial" w:cs="Arial" w:eastAsia="Arial" w:hAnsi="Arial"/>
          <w:sz w:val="13"/>
          <w:szCs w:val="13"/>
          <w:color w:val="auto"/>
        </w:rPr>
        <w:t xml:space="preserve"> survive the execution of this document and the variation and restatement of the Facility Agreement.</w:t>
      </w:r>
    </w:p>
    <w:p>
      <w:pPr>
        <w:spacing w:after="0" w:line="335" w:lineRule="exact"/>
        <w:rPr>
          <w:sz w:val="20"/>
          <w:szCs w:val="20"/>
          <w:color w:val="auto"/>
        </w:rPr>
      </w:pPr>
    </w:p>
    <w:p>
      <w:pPr>
        <w:ind w:left="140"/>
        <w:spacing w:after="0"/>
        <w:tabs>
          <w:tab w:leader="none" w:pos="1540" w:val="left"/>
        </w:tabs>
        <w:rPr>
          <w:sz w:val="20"/>
          <w:szCs w:val="20"/>
          <w:color w:val="auto"/>
        </w:rPr>
      </w:pPr>
      <w:r>
        <w:rPr>
          <w:rFonts w:ascii="Arial" w:cs="Arial" w:eastAsia="Arial" w:hAnsi="Arial"/>
          <w:sz w:val="19"/>
          <w:szCs w:val="19"/>
          <w:color w:val="auto"/>
        </w:rPr>
        <w:t>7</w:t>
      </w:r>
      <w:r>
        <w:rPr>
          <w:sz w:val="20"/>
          <w:szCs w:val="20"/>
          <w:color w:val="auto"/>
        </w:rPr>
        <w:tab/>
      </w:r>
      <w:r>
        <w:rPr>
          <w:rFonts w:ascii="Arial" w:cs="Arial" w:eastAsia="Arial" w:hAnsi="Arial"/>
          <w:sz w:val="19"/>
          <w:szCs w:val="19"/>
          <w:color w:val="auto"/>
        </w:rPr>
        <w:t>General</w:t>
      </w:r>
    </w:p>
    <w:p>
      <w:pPr>
        <w:spacing w:after="0" w:line="77" w:lineRule="exact"/>
        <w:rPr>
          <w:sz w:val="20"/>
          <w:szCs w:val="20"/>
          <w:color w:val="auto"/>
        </w:rPr>
      </w:pPr>
    </w:p>
    <w:p>
      <w:pPr>
        <w:ind w:left="140"/>
        <w:spacing w:after="0"/>
        <w:tabs>
          <w:tab w:leader="none" w:pos="2020" w:val="left"/>
        </w:tabs>
        <w:rPr>
          <w:sz w:val="20"/>
          <w:szCs w:val="20"/>
          <w:color w:val="auto"/>
        </w:rPr>
      </w:pPr>
      <w:r>
        <w:rPr>
          <w:rFonts w:ascii="Arial" w:cs="Arial" w:eastAsia="Arial" w:hAnsi="Arial"/>
          <w:sz w:val="14"/>
          <w:szCs w:val="14"/>
          <w:b w:val="1"/>
          <w:bCs w:val="1"/>
          <w:color w:val="auto"/>
        </w:rPr>
        <w:t>7.1</w:t>
      </w:r>
      <w:r>
        <w:rPr>
          <w:sz w:val="20"/>
          <w:szCs w:val="20"/>
          <w:color w:val="auto"/>
        </w:rPr>
        <w:tab/>
      </w:r>
      <w:r>
        <w:rPr>
          <w:rFonts w:ascii="Arial" w:cs="Arial" w:eastAsia="Arial" w:hAnsi="Arial"/>
          <w:sz w:val="14"/>
          <w:szCs w:val="14"/>
          <w:b w:val="1"/>
          <w:bCs w:val="1"/>
          <w:color w:val="auto"/>
        </w:rPr>
        <w:t>Construction</w:t>
      </w:r>
    </w:p>
    <w:p>
      <w:pPr>
        <w:spacing w:after="0" w:line="75" w:lineRule="exact"/>
        <w:rPr>
          <w:sz w:val="20"/>
          <w:szCs w:val="20"/>
          <w:color w:val="auto"/>
        </w:rPr>
      </w:pPr>
    </w:p>
    <w:p>
      <w:pPr>
        <w:ind w:left="640"/>
        <w:spacing w:after="0"/>
        <w:rPr>
          <w:sz w:val="20"/>
          <w:szCs w:val="20"/>
          <w:color w:val="auto"/>
        </w:rPr>
      </w:pPr>
      <w:r>
        <w:rPr>
          <w:rFonts w:ascii="Arial" w:cs="Arial" w:eastAsia="Arial" w:hAnsi="Arial"/>
          <w:sz w:val="13"/>
          <w:szCs w:val="13"/>
          <w:color w:val="auto"/>
        </w:rPr>
        <w:t>Unless expressed to the contrary, in this document:</w:t>
      </w:r>
    </w:p>
    <w:p>
      <w:pPr>
        <w:spacing w:after="0" w:line="85" w:lineRule="exact"/>
        <w:rPr>
          <w:sz w:val="20"/>
          <w:szCs w:val="20"/>
          <w:color w:val="auto"/>
        </w:rPr>
      </w:pPr>
    </w:p>
    <w:p>
      <w:pPr>
        <w:ind w:left="1120" w:hanging="484"/>
        <w:spacing w:after="0"/>
        <w:tabs>
          <w:tab w:leader="none" w:pos="1120" w:val="left"/>
        </w:tabs>
        <w:numPr>
          <w:ilvl w:val="0"/>
          <w:numId w:val="213"/>
        </w:numPr>
        <w:rPr>
          <w:rFonts w:ascii="Arial" w:cs="Arial" w:eastAsia="Arial" w:hAnsi="Arial"/>
          <w:sz w:val="13"/>
          <w:szCs w:val="13"/>
          <w:color w:val="auto"/>
        </w:rPr>
      </w:pPr>
      <w:r>
        <w:rPr>
          <w:rFonts w:ascii="Arial" w:cs="Arial" w:eastAsia="Arial" w:hAnsi="Arial"/>
          <w:sz w:val="13"/>
          <w:szCs w:val="13"/>
          <w:color w:val="auto"/>
        </w:rPr>
        <w:t>words in the singular include the plural and vice versa;</w:t>
      </w:r>
    </w:p>
    <w:p>
      <w:pPr>
        <w:spacing w:after="0" w:line="75" w:lineRule="exact"/>
        <w:rPr>
          <w:rFonts w:ascii="Arial" w:cs="Arial" w:eastAsia="Arial" w:hAnsi="Arial"/>
          <w:sz w:val="13"/>
          <w:szCs w:val="13"/>
          <w:color w:val="auto"/>
        </w:rPr>
      </w:pPr>
    </w:p>
    <w:p>
      <w:pPr>
        <w:ind w:left="1260" w:hanging="624"/>
        <w:spacing w:after="0"/>
        <w:tabs>
          <w:tab w:leader="none" w:pos="1260" w:val="left"/>
        </w:tabs>
        <w:numPr>
          <w:ilvl w:val="0"/>
          <w:numId w:val="213"/>
        </w:numPr>
        <w:rPr>
          <w:rFonts w:ascii="Arial" w:cs="Arial" w:eastAsia="Arial" w:hAnsi="Arial"/>
          <w:sz w:val="13"/>
          <w:szCs w:val="13"/>
          <w:color w:val="auto"/>
        </w:rPr>
      </w:pPr>
      <w:r>
        <w:rPr>
          <w:rFonts w:ascii="Arial" w:cs="Arial" w:eastAsia="Arial" w:hAnsi="Arial"/>
          <w:sz w:val="13"/>
          <w:szCs w:val="13"/>
          <w:color w:val="auto"/>
        </w:rPr>
        <w:t>any gender includes the other genders;</w:t>
      </w:r>
    </w:p>
    <w:p>
      <w:pPr>
        <w:spacing w:after="0" w:line="81" w:lineRule="exact"/>
        <w:rPr>
          <w:sz w:val="20"/>
          <w:szCs w:val="20"/>
          <w:color w:val="auto"/>
        </w:rPr>
      </w:pPr>
    </w:p>
    <w:p>
      <w:pPr>
        <w:ind w:left="640"/>
        <w:spacing w:after="0"/>
        <w:tabs>
          <w:tab w:leader="none" w:pos="2480" w:val="left"/>
        </w:tabs>
        <w:rPr>
          <w:sz w:val="20"/>
          <w:szCs w:val="20"/>
          <w:color w:val="auto"/>
        </w:rPr>
      </w:pPr>
      <w:r>
        <w:rPr>
          <w:rFonts w:ascii="Arial" w:cs="Arial" w:eastAsia="Arial" w:hAnsi="Arial"/>
          <w:sz w:val="13"/>
          <w:szCs w:val="13"/>
          <w:color w:val="auto"/>
        </w:rPr>
        <w:t>(c)</w:t>
      </w:r>
      <w:r>
        <w:rPr>
          <w:sz w:val="20"/>
          <w:szCs w:val="20"/>
          <w:color w:val="auto"/>
        </w:rPr>
        <w:tab/>
      </w:r>
      <w:r>
        <w:rPr>
          <w:rFonts w:ascii="Arial" w:cs="Arial" w:eastAsia="Arial" w:hAnsi="Arial"/>
          <w:sz w:val="13"/>
          <w:szCs w:val="13"/>
          <w:color w:val="auto"/>
        </w:rPr>
        <w:t>if a word or phrase is defined its other grammatical forms have corresponding meanings;</w:t>
      </w:r>
    </w:p>
    <w:p>
      <w:pPr>
        <w:spacing w:after="0" w:line="70" w:lineRule="exact"/>
        <w:rPr>
          <w:sz w:val="20"/>
          <w:szCs w:val="20"/>
          <w:color w:val="auto"/>
        </w:rPr>
      </w:pPr>
    </w:p>
    <w:p>
      <w:pPr>
        <w:ind w:left="1220" w:hanging="584"/>
        <w:spacing w:after="0"/>
        <w:tabs>
          <w:tab w:leader="none" w:pos="1220" w:val="left"/>
        </w:tabs>
        <w:numPr>
          <w:ilvl w:val="0"/>
          <w:numId w:val="214"/>
        </w:numPr>
        <w:rPr>
          <w:rFonts w:ascii="Arial" w:cs="Arial" w:eastAsia="Arial" w:hAnsi="Arial"/>
          <w:sz w:val="13"/>
          <w:szCs w:val="13"/>
          <w:color w:val="auto"/>
        </w:rPr>
      </w:pPr>
      <w:r>
        <w:rPr>
          <w:rFonts w:ascii="Arial" w:cs="Arial" w:eastAsia="Arial" w:hAnsi="Arial"/>
          <w:sz w:val="13"/>
          <w:szCs w:val="13"/>
          <w:color w:val="auto"/>
        </w:rPr>
        <w:t>‘includes’ means includes without limitation;</w:t>
      </w:r>
    </w:p>
    <w:p>
      <w:pPr>
        <w:spacing w:after="0" w:line="84" w:lineRule="exact"/>
        <w:rPr>
          <w:rFonts w:ascii="Arial" w:cs="Arial" w:eastAsia="Arial" w:hAnsi="Arial"/>
          <w:sz w:val="13"/>
          <w:szCs w:val="13"/>
          <w:color w:val="auto"/>
        </w:rPr>
      </w:pPr>
    </w:p>
    <w:p>
      <w:pPr>
        <w:ind w:left="1540" w:right="400" w:hanging="904"/>
        <w:spacing w:after="0" w:line="244" w:lineRule="auto"/>
        <w:tabs>
          <w:tab w:leader="none" w:pos="1540" w:val="left"/>
        </w:tabs>
        <w:numPr>
          <w:ilvl w:val="0"/>
          <w:numId w:val="214"/>
        </w:numPr>
        <w:rPr>
          <w:rFonts w:ascii="Arial" w:cs="Arial" w:eastAsia="Arial" w:hAnsi="Arial"/>
          <w:sz w:val="13"/>
          <w:szCs w:val="13"/>
          <w:color w:val="auto"/>
        </w:rPr>
      </w:pPr>
      <w:r>
        <w:rPr>
          <w:rFonts w:ascii="Arial" w:cs="Arial" w:eastAsia="Arial" w:hAnsi="Arial"/>
          <w:sz w:val="13"/>
          <w:szCs w:val="13"/>
          <w:color w:val="auto"/>
        </w:rPr>
        <w:t>no rule of construction will apply to a clause to the disadvantage of a party merely because that party put forward the clause or would otherwise benefit from it;</w:t>
      </w:r>
    </w:p>
    <w:p>
      <w:pPr>
        <w:spacing w:after="0" w:line="56" w:lineRule="exact"/>
        <w:rPr>
          <w:rFonts w:ascii="Arial" w:cs="Arial" w:eastAsia="Arial" w:hAnsi="Arial"/>
          <w:sz w:val="13"/>
          <w:szCs w:val="13"/>
          <w:color w:val="auto"/>
        </w:rPr>
      </w:pPr>
    </w:p>
    <w:p>
      <w:pPr>
        <w:ind w:left="1820" w:hanging="1184"/>
        <w:spacing w:after="0"/>
        <w:tabs>
          <w:tab w:leader="none" w:pos="1820" w:val="left"/>
        </w:tabs>
        <w:numPr>
          <w:ilvl w:val="0"/>
          <w:numId w:val="214"/>
        </w:numPr>
        <w:rPr>
          <w:rFonts w:ascii="Arial" w:cs="Arial" w:eastAsia="Arial" w:hAnsi="Arial"/>
          <w:sz w:val="13"/>
          <w:szCs w:val="13"/>
          <w:color w:val="auto"/>
        </w:rPr>
      </w:pPr>
      <w:r>
        <w:rPr>
          <w:rFonts w:ascii="Arial" w:cs="Arial" w:eastAsia="Arial" w:hAnsi="Arial"/>
          <w:sz w:val="13"/>
          <w:szCs w:val="13"/>
          <w:color w:val="auto"/>
        </w:rPr>
        <w:t>a reference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173990</wp:posOffset>
            </wp:positionV>
            <wp:extent cx="6208395"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208395" cy="42545"/>
                    </a:xfrm>
                    <a:prstGeom prst="rect">
                      <a:avLst/>
                    </a:prstGeom>
                    <a:noFill/>
                  </pic:spPr>
                </pic:pic>
              </a:graphicData>
            </a:graphic>
          </wp:anchor>
        </w:drawing>
      </w:r>
    </w:p>
    <w:p>
      <w:pPr>
        <w:sectPr>
          <w:pgSz w:w="11900" w:h="16838" w:orient="portrait"/>
          <w:cols w:equalWidth="0" w:num="1">
            <w:col w:w="9320"/>
          </w:cols>
          <w:pgMar w:left="1440" w:top="188" w:right="1139" w:bottom="1440" w:gutter="0" w:footer="0" w:header="0"/>
        </w:sectPr>
      </w:pPr>
    </w:p>
    <w:bookmarkStart w:id="212" w:name="page213"/>
    <w:bookmarkEnd w:id="212"/>
    <w:p>
      <w:pPr>
        <w:ind w:left="140"/>
        <w:spacing w:after="0"/>
        <w:rPr>
          <w:sz w:val="20"/>
          <w:szCs w:val="20"/>
          <w:color w:val="auto"/>
        </w:rPr>
      </w:pPr>
      <w:r>
        <w:rPr>
          <w:rFonts w:ascii="Arial" w:cs="Arial" w:eastAsia="Arial" w:hAnsi="Arial"/>
          <w:sz w:val="10"/>
          <w:szCs w:val="10"/>
          <w:color w:val="auto"/>
        </w:rPr>
        <w:t>Corrs Chambers Westgarth</w:t>
      </w:r>
    </w:p>
    <w:p>
      <w:pPr>
        <w:spacing w:after="0" w:line="258" w:lineRule="exact"/>
        <w:rPr>
          <w:sz w:val="20"/>
          <w:szCs w:val="20"/>
          <w:color w:val="auto"/>
        </w:rPr>
      </w:pPr>
    </w:p>
    <w:p>
      <w:pPr>
        <w:ind w:left="1840" w:right="200" w:hanging="852"/>
        <w:spacing w:after="0" w:line="244" w:lineRule="auto"/>
        <w:tabs>
          <w:tab w:leader="none" w:pos="1840" w:val="left"/>
        </w:tabs>
        <w:numPr>
          <w:ilvl w:val="1"/>
          <w:numId w:val="215"/>
        </w:numPr>
        <w:rPr>
          <w:rFonts w:ascii="Arial" w:cs="Arial" w:eastAsia="Arial" w:hAnsi="Arial"/>
          <w:sz w:val="13"/>
          <w:szCs w:val="13"/>
          <w:color w:val="auto"/>
        </w:rPr>
      </w:pPr>
      <w:r>
        <w:rPr>
          <w:rFonts w:ascii="Arial" w:cs="Arial" w:eastAsia="Arial" w:hAnsi="Arial"/>
          <w:sz w:val="13"/>
          <w:szCs w:val="13"/>
          <w:color w:val="auto"/>
        </w:rPr>
        <w:t>a person includes a partnership, joint venture, unincorporated association, corporation and a government or statutory body or authority;</w:t>
      </w:r>
    </w:p>
    <w:p>
      <w:pPr>
        <w:spacing w:after="0" w:line="56" w:lineRule="exact"/>
        <w:rPr>
          <w:rFonts w:ascii="Arial" w:cs="Arial" w:eastAsia="Arial" w:hAnsi="Arial"/>
          <w:sz w:val="13"/>
          <w:szCs w:val="13"/>
          <w:color w:val="auto"/>
        </w:rPr>
      </w:pPr>
    </w:p>
    <w:p>
      <w:pPr>
        <w:ind w:left="1960" w:hanging="972"/>
        <w:spacing w:after="0"/>
        <w:tabs>
          <w:tab w:leader="none" w:pos="1960" w:val="left"/>
        </w:tabs>
        <w:numPr>
          <w:ilvl w:val="1"/>
          <w:numId w:val="215"/>
        </w:numPr>
        <w:rPr>
          <w:rFonts w:ascii="Arial" w:cs="Arial" w:eastAsia="Arial" w:hAnsi="Arial"/>
          <w:sz w:val="13"/>
          <w:szCs w:val="13"/>
          <w:color w:val="auto"/>
        </w:rPr>
      </w:pPr>
      <w:r>
        <w:rPr>
          <w:rFonts w:ascii="Arial" w:cs="Arial" w:eastAsia="Arial" w:hAnsi="Arial"/>
          <w:sz w:val="13"/>
          <w:szCs w:val="13"/>
          <w:color w:val="auto"/>
        </w:rPr>
        <w:t>a person includes the person’s legal personal representatives, successors, assigns and persons substituted by novation;</w:t>
      </w:r>
    </w:p>
    <w:p>
      <w:pPr>
        <w:spacing w:after="0" w:line="66" w:lineRule="exact"/>
        <w:rPr>
          <w:rFonts w:ascii="Arial" w:cs="Arial" w:eastAsia="Arial" w:hAnsi="Arial"/>
          <w:sz w:val="13"/>
          <w:szCs w:val="13"/>
          <w:color w:val="auto"/>
        </w:rPr>
      </w:pPr>
    </w:p>
    <w:p>
      <w:pPr>
        <w:ind w:left="1540" w:right="460" w:hanging="552"/>
        <w:spacing w:after="0" w:line="244" w:lineRule="auto"/>
        <w:tabs>
          <w:tab w:leader="none" w:pos="1540" w:val="left"/>
        </w:tabs>
        <w:numPr>
          <w:ilvl w:val="1"/>
          <w:numId w:val="215"/>
        </w:numPr>
        <w:rPr>
          <w:rFonts w:ascii="Arial" w:cs="Arial" w:eastAsia="Arial" w:hAnsi="Arial"/>
          <w:sz w:val="13"/>
          <w:szCs w:val="13"/>
          <w:color w:val="auto"/>
        </w:rPr>
      </w:pPr>
      <w:r>
        <w:rPr>
          <w:rFonts w:ascii="Arial" w:cs="Arial" w:eastAsia="Arial" w:hAnsi="Arial"/>
          <w:sz w:val="13"/>
          <w:szCs w:val="13"/>
          <w:color w:val="auto"/>
        </w:rPr>
        <w:t>any legislation includes subordinate legislation under it and includes that legislation and subordinate legislation as modified or replaced;</w:t>
      </w:r>
    </w:p>
    <w:p>
      <w:pPr>
        <w:spacing w:after="0" w:line="56" w:lineRule="exact"/>
        <w:rPr>
          <w:rFonts w:ascii="Arial" w:cs="Arial" w:eastAsia="Arial" w:hAnsi="Arial"/>
          <w:sz w:val="13"/>
          <w:szCs w:val="13"/>
          <w:color w:val="auto"/>
        </w:rPr>
      </w:pPr>
    </w:p>
    <w:p>
      <w:pPr>
        <w:ind w:left="2200" w:right="360" w:hanging="1212"/>
        <w:spacing w:after="0" w:line="244" w:lineRule="auto"/>
        <w:tabs>
          <w:tab w:leader="none" w:pos="2200" w:val="left"/>
        </w:tabs>
        <w:numPr>
          <w:ilvl w:val="1"/>
          <w:numId w:val="215"/>
        </w:numPr>
        <w:rPr>
          <w:rFonts w:ascii="Arial" w:cs="Arial" w:eastAsia="Arial" w:hAnsi="Arial"/>
          <w:sz w:val="13"/>
          <w:szCs w:val="13"/>
          <w:color w:val="auto"/>
        </w:rPr>
      </w:pPr>
      <w:r>
        <w:rPr>
          <w:rFonts w:ascii="Arial" w:cs="Arial" w:eastAsia="Arial" w:hAnsi="Arial"/>
          <w:sz w:val="13"/>
          <w:szCs w:val="13"/>
          <w:color w:val="auto"/>
        </w:rPr>
        <w:t>an obligation includes a warranty or representation and a reference to a failure to comply with an obligation includes a breach of warranty or representation;</w:t>
      </w:r>
    </w:p>
    <w:p>
      <w:pPr>
        <w:spacing w:after="0" w:line="56" w:lineRule="exact"/>
        <w:rPr>
          <w:rFonts w:ascii="Arial" w:cs="Arial" w:eastAsia="Arial" w:hAnsi="Arial"/>
          <w:sz w:val="13"/>
          <w:szCs w:val="13"/>
          <w:color w:val="auto"/>
        </w:rPr>
      </w:pPr>
    </w:p>
    <w:p>
      <w:pPr>
        <w:ind w:left="1460" w:hanging="472"/>
        <w:spacing w:after="0"/>
        <w:tabs>
          <w:tab w:leader="none" w:pos="1460" w:val="left"/>
        </w:tabs>
        <w:numPr>
          <w:ilvl w:val="1"/>
          <w:numId w:val="215"/>
        </w:numPr>
        <w:rPr>
          <w:rFonts w:ascii="Arial" w:cs="Arial" w:eastAsia="Arial" w:hAnsi="Arial"/>
          <w:sz w:val="13"/>
          <w:szCs w:val="13"/>
          <w:color w:val="auto"/>
        </w:rPr>
      </w:pPr>
      <w:r>
        <w:rPr>
          <w:rFonts w:ascii="Arial" w:cs="Arial" w:eastAsia="Arial" w:hAnsi="Arial"/>
          <w:sz w:val="13"/>
          <w:szCs w:val="13"/>
          <w:color w:val="auto"/>
        </w:rPr>
        <w:t>a right includes a benefit, remedy, discretion or power;</w:t>
      </w:r>
    </w:p>
    <w:p>
      <w:pPr>
        <w:spacing w:after="0" w:line="84" w:lineRule="exact"/>
        <w:rPr>
          <w:rFonts w:ascii="Arial" w:cs="Arial" w:eastAsia="Arial" w:hAnsi="Arial"/>
          <w:sz w:val="13"/>
          <w:szCs w:val="13"/>
          <w:color w:val="auto"/>
        </w:rPr>
      </w:pPr>
    </w:p>
    <w:p>
      <w:pPr>
        <w:ind w:left="1780" w:hanging="792"/>
        <w:spacing w:after="0"/>
        <w:tabs>
          <w:tab w:leader="none" w:pos="1780" w:val="left"/>
        </w:tabs>
        <w:numPr>
          <w:ilvl w:val="1"/>
          <w:numId w:val="215"/>
        </w:numPr>
        <w:rPr>
          <w:rFonts w:ascii="Arial" w:cs="Arial" w:eastAsia="Arial" w:hAnsi="Arial"/>
          <w:sz w:val="13"/>
          <w:szCs w:val="13"/>
          <w:color w:val="auto"/>
        </w:rPr>
      </w:pPr>
      <w:r>
        <w:rPr>
          <w:rFonts w:ascii="Arial" w:cs="Arial" w:eastAsia="Arial" w:hAnsi="Arial"/>
          <w:sz w:val="13"/>
          <w:szCs w:val="13"/>
          <w:color w:val="auto"/>
        </w:rPr>
        <w:t>time is to local time in Melbourne;</w:t>
      </w:r>
    </w:p>
    <w:p>
      <w:pPr>
        <w:spacing w:after="0" w:line="75" w:lineRule="exact"/>
        <w:rPr>
          <w:rFonts w:ascii="Arial" w:cs="Arial" w:eastAsia="Arial" w:hAnsi="Arial"/>
          <w:sz w:val="13"/>
          <w:szCs w:val="13"/>
          <w:color w:val="auto"/>
        </w:rPr>
      </w:pPr>
    </w:p>
    <w:p>
      <w:pPr>
        <w:ind w:left="1620" w:hanging="632"/>
        <w:spacing w:after="0"/>
        <w:tabs>
          <w:tab w:leader="none" w:pos="1620" w:val="left"/>
        </w:tabs>
        <w:numPr>
          <w:ilvl w:val="1"/>
          <w:numId w:val="215"/>
        </w:numPr>
        <w:rPr>
          <w:rFonts w:ascii="Arial" w:cs="Arial" w:eastAsia="Arial" w:hAnsi="Arial"/>
          <w:sz w:val="13"/>
          <w:szCs w:val="13"/>
          <w:color w:val="auto"/>
        </w:rPr>
      </w:pPr>
      <w:r>
        <w:rPr>
          <w:rFonts w:ascii="Arial" w:cs="Arial" w:eastAsia="Arial" w:hAnsi="Arial"/>
          <w:sz w:val="13"/>
          <w:szCs w:val="13"/>
          <w:color w:val="auto"/>
        </w:rPr>
        <w:t>‘$’ or ‘dollars’ is a reference to Australian currency;</w:t>
      </w:r>
    </w:p>
    <w:p>
      <w:pPr>
        <w:spacing w:after="0" w:line="84" w:lineRule="exact"/>
        <w:rPr>
          <w:rFonts w:ascii="Arial" w:cs="Arial" w:eastAsia="Arial" w:hAnsi="Arial"/>
          <w:sz w:val="13"/>
          <w:szCs w:val="13"/>
          <w:color w:val="auto"/>
        </w:rPr>
      </w:pPr>
    </w:p>
    <w:p>
      <w:pPr>
        <w:ind w:left="1940" w:right="140" w:hanging="952"/>
        <w:spacing w:after="0" w:line="244" w:lineRule="auto"/>
        <w:tabs>
          <w:tab w:leader="none" w:pos="1940" w:val="left"/>
        </w:tabs>
        <w:numPr>
          <w:ilvl w:val="1"/>
          <w:numId w:val="215"/>
        </w:numPr>
        <w:rPr>
          <w:rFonts w:ascii="Arial" w:cs="Arial" w:eastAsia="Arial" w:hAnsi="Arial"/>
          <w:sz w:val="13"/>
          <w:szCs w:val="13"/>
          <w:color w:val="auto"/>
        </w:rPr>
      </w:pPr>
      <w:r>
        <w:rPr>
          <w:rFonts w:ascii="Arial" w:cs="Arial" w:eastAsia="Arial" w:hAnsi="Arial"/>
          <w:sz w:val="13"/>
          <w:szCs w:val="13"/>
          <w:color w:val="auto"/>
        </w:rPr>
        <w:t>this or any other document includes the document as novated, varied or replaced and despite any change in the identity of the parties;</w:t>
      </w:r>
    </w:p>
    <w:p>
      <w:pPr>
        <w:spacing w:after="0" w:line="56" w:lineRule="exact"/>
        <w:rPr>
          <w:rFonts w:ascii="Arial" w:cs="Arial" w:eastAsia="Arial" w:hAnsi="Arial"/>
          <w:sz w:val="13"/>
          <w:szCs w:val="13"/>
          <w:color w:val="auto"/>
        </w:rPr>
      </w:pPr>
    </w:p>
    <w:p>
      <w:pPr>
        <w:ind w:left="1540" w:right="680" w:hanging="552"/>
        <w:spacing w:after="0" w:line="244" w:lineRule="auto"/>
        <w:tabs>
          <w:tab w:leader="none" w:pos="1540" w:val="left"/>
        </w:tabs>
        <w:numPr>
          <w:ilvl w:val="1"/>
          <w:numId w:val="215"/>
        </w:numPr>
        <w:rPr>
          <w:rFonts w:ascii="Arial" w:cs="Arial" w:eastAsia="Arial" w:hAnsi="Arial"/>
          <w:sz w:val="13"/>
          <w:szCs w:val="13"/>
          <w:color w:val="auto"/>
        </w:rPr>
      </w:pPr>
      <w:r>
        <w:rPr>
          <w:rFonts w:ascii="Arial" w:cs="Arial" w:eastAsia="Arial" w:hAnsi="Arial"/>
          <w:sz w:val="13"/>
          <w:szCs w:val="13"/>
          <w:color w:val="auto"/>
        </w:rPr>
        <w:t>writing includes any mode of representing or reproducing words in tangible and permanently visible form, and includes fax transmissions;</w:t>
      </w:r>
    </w:p>
    <w:p>
      <w:pPr>
        <w:spacing w:after="0" w:line="56" w:lineRule="exact"/>
        <w:rPr>
          <w:rFonts w:ascii="Arial" w:cs="Arial" w:eastAsia="Arial" w:hAnsi="Arial"/>
          <w:sz w:val="13"/>
          <w:szCs w:val="13"/>
          <w:color w:val="auto"/>
        </w:rPr>
      </w:pPr>
    </w:p>
    <w:p>
      <w:pPr>
        <w:ind w:left="1420" w:hanging="432"/>
        <w:spacing w:after="0"/>
        <w:tabs>
          <w:tab w:leader="none" w:pos="1420" w:val="left"/>
        </w:tabs>
        <w:numPr>
          <w:ilvl w:val="1"/>
          <w:numId w:val="215"/>
        </w:numPr>
        <w:rPr>
          <w:rFonts w:ascii="Arial" w:cs="Arial" w:eastAsia="Arial" w:hAnsi="Arial"/>
          <w:sz w:val="13"/>
          <w:szCs w:val="13"/>
          <w:color w:val="auto"/>
        </w:rPr>
      </w:pPr>
      <w:r>
        <w:rPr>
          <w:rFonts w:ascii="Arial" w:cs="Arial" w:eastAsia="Arial" w:hAnsi="Arial"/>
          <w:sz w:val="13"/>
          <w:szCs w:val="13"/>
          <w:color w:val="auto"/>
        </w:rPr>
        <w:t>this document includes all schedules and annexures to it; and</w:t>
      </w:r>
    </w:p>
    <w:p>
      <w:pPr>
        <w:spacing w:after="0" w:line="84" w:lineRule="exact"/>
        <w:rPr>
          <w:rFonts w:ascii="Arial" w:cs="Arial" w:eastAsia="Arial" w:hAnsi="Arial"/>
          <w:sz w:val="13"/>
          <w:szCs w:val="13"/>
          <w:color w:val="auto"/>
        </w:rPr>
      </w:pPr>
    </w:p>
    <w:p>
      <w:pPr>
        <w:ind w:left="1620" w:hanging="632"/>
        <w:spacing w:after="0"/>
        <w:tabs>
          <w:tab w:leader="none" w:pos="1620" w:val="left"/>
        </w:tabs>
        <w:numPr>
          <w:ilvl w:val="1"/>
          <w:numId w:val="215"/>
        </w:numPr>
        <w:rPr>
          <w:rFonts w:ascii="Arial" w:cs="Arial" w:eastAsia="Arial" w:hAnsi="Arial"/>
          <w:sz w:val="13"/>
          <w:szCs w:val="13"/>
          <w:color w:val="auto"/>
        </w:rPr>
      </w:pPr>
      <w:r>
        <w:rPr>
          <w:rFonts w:ascii="Arial" w:cs="Arial" w:eastAsia="Arial" w:hAnsi="Arial"/>
          <w:sz w:val="13"/>
          <w:szCs w:val="13"/>
          <w:color w:val="auto"/>
        </w:rPr>
        <w:t>a clause, schedule or annexure is a reference to a clause, schedule or annexure, as the case may be, of this document; and</w:t>
      </w:r>
    </w:p>
    <w:p>
      <w:pPr>
        <w:spacing w:after="0" w:line="66" w:lineRule="exact"/>
        <w:rPr>
          <w:rFonts w:ascii="Arial" w:cs="Arial" w:eastAsia="Arial" w:hAnsi="Arial"/>
          <w:sz w:val="13"/>
          <w:szCs w:val="13"/>
          <w:color w:val="auto"/>
        </w:rPr>
      </w:pPr>
    </w:p>
    <w:p>
      <w:pPr>
        <w:ind w:left="1240" w:hanging="604"/>
        <w:spacing w:after="0"/>
        <w:tabs>
          <w:tab w:leader="none" w:pos="1240" w:val="left"/>
        </w:tabs>
        <w:numPr>
          <w:ilvl w:val="0"/>
          <w:numId w:val="216"/>
        </w:numPr>
        <w:rPr>
          <w:rFonts w:ascii="Arial" w:cs="Arial" w:eastAsia="Arial" w:hAnsi="Arial"/>
          <w:sz w:val="13"/>
          <w:szCs w:val="13"/>
          <w:color w:val="auto"/>
        </w:rPr>
      </w:pPr>
      <w:r>
        <w:rPr>
          <w:rFonts w:ascii="Arial" w:cs="Arial" w:eastAsia="Arial" w:hAnsi="Arial"/>
          <w:sz w:val="13"/>
          <w:szCs w:val="13"/>
          <w:color w:val="auto"/>
        </w:rPr>
        <w:t>where time is to be calculated by reference to a day or event, that day or the day of that event is excluded.</w:t>
      </w:r>
    </w:p>
    <w:p>
      <w:pPr>
        <w:spacing w:after="0" w:line="74" w:lineRule="exact"/>
        <w:rPr>
          <w:sz w:val="20"/>
          <w:szCs w:val="20"/>
          <w:color w:val="auto"/>
        </w:rPr>
      </w:pPr>
    </w:p>
    <w:p>
      <w:pPr>
        <w:ind w:left="140"/>
        <w:spacing w:after="0"/>
        <w:tabs>
          <w:tab w:leader="none" w:pos="1480" w:val="left"/>
        </w:tabs>
        <w:rPr>
          <w:sz w:val="20"/>
          <w:szCs w:val="20"/>
          <w:color w:val="auto"/>
        </w:rPr>
      </w:pPr>
      <w:r>
        <w:rPr>
          <w:rFonts w:ascii="Arial" w:cs="Arial" w:eastAsia="Arial" w:hAnsi="Arial"/>
          <w:sz w:val="14"/>
          <w:szCs w:val="14"/>
          <w:b w:val="1"/>
          <w:bCs w:val="1"/>
          <w:color w:val="auto"/>
        </w:rPr>
        <w:t>7.2</w:t>
      </w:r>
      <w:r>
        <w:rPr>
          <w:sz w:val="20"/>
          <w:szCs w:val="20"/>
          <w:color w:val="auto"/>
        </w:rPr>
        <w:tab/>
      </w:r>
      <w:r>
        <w:rPr>
          <w:rFonts w:ascii="Arial" w:cs="Arial" w:eastAsia="Arial" w:hAnsi="Arial"/>
          <w:sz w:val="14"/>
          <w:szCs w:val="14"/>
          <w:b w:val="1"/>
          <w:bCs w:val="1"/>
          <w:color w:val="auto"/>
        </w:rPr>
        <w:t>Costs and Expenses</w:t>
      </w:r>
    </w:p>
    <w:p>
      <w:pPr>
        <w:spacing w:after="0" w:line="84" w:lineRule="exact"/>
        <w:rPr>
          <w:sz w:val="20"/>
          <w:szCs w:val="20"/>
          <w:color w:val="auto"/>
        </w:rPr>
      </w:pPr>
    </w:p>
    <w:p>
      <w:pPr>
        <w:ind w:left="640"/>
        <w:spacing w:after="0"/>
        <w:rPr>
          <w:sz w:val="20"/>
          <w:szCs w:val="20"/>
          <w:color w:val="auto"/>
        </w:rPr>
      </w:pPr>
      <w:r>
        <w:rPr>
          <w:rFonts w:ascii="Arial" w:cs="Arial" w:eastAsia="Arial" w:hAnsi="Arial"/>
          <w:sz w:val="13"/>
          <w:szCs w:val="13"/>
          <w:color w:val="auto"/>
        </w:rPr>
        <w:t>The Borrower must on demand pay and if paid by the Bank reimburse to the Bank:</w:t>
      </w:r>
    </w:p>
    <w:p>
      <w:pPr>
        <w:spacing w:after="0" w:line="67" w:lineRule="exact"/>
        <w:rPr>
          <w:sz w:val="20"/>
          <w:szCs w:val="20"/>
          <w:color w:val="auto"/>
        </w:rPr>
      </w:pPr>
    </w:p>
    <w:p>
      <w:pPr>
        <w:ind w:left="1220" w:right="440" w:hanging="584"/>
        <w:spacing w:after="0" w:line="244" w:lineRule="auto"/>
        <w:tabs>
          <w:tab w:leader="none" w:pos="1220" w:val="left"/>
        </w:tabs>
        <w:numPr>
          <w:ilvl w:val="0"/>
          <w:numId w:val="217"/>
        </w:numPr>
        <w:rPr>
          <w:rFonts w:ascii="Arial" w:cs="Arial" w:eastAsia="Arial" w:hAnsi="Arial"/>
          <w:sz w:val="13"/>
          <w:szCs w:val="13"/>
          <w:color w:val="auto"/>
        </w:rPr>
      </w:pPr>
      <w:r>
        <w:rPr>
          <w:rFonts w:ascii="Arial" w:cs="Arial" w:eastAsia="Arial" w:hAnsi="Arial"/>
          <w:sz w:val="13"/>
          <w:szCs w:val="13"/>
          <w:color w:val="auto"/>
        </w:rPr>
        <w:t>the Bank’s reasonable costs and expenses (including legal costs and expenses on a full indemnity basis) relating to the negotiation, preparation, execution, stamping and registration of this document; and</w:t>
      </w:r>
    </w:p>
    <w:p>
      <w:pPr>
        <w:spacing w:after="0" w:line="56" w:lineRule="exact"/>
        <w:rPr>
          <w:rFonts w:ascii="Arial" w:cs="Arial" w:eastAsia="Arial" w:hAnsi="Arial"/>
          <w:sz w:val="13"/>
          <w:szCs w:val="13"/>
          <w:color w:val="auto"/>
        </w:rPr>
      </w:pPr>
    </w:p>
    <w:p>
      <w:pPr>
        <w:ind w:left="1080" w:hanging="444"/>
        <w:spacing w:after="0" w:line="244" w:lineRule="auto"/>
        <w:tabs>
          <w:tab w:leader="none" w:pos="1080" w:val="left"/>
        </w:tabs>
        <w:numPr>
          <w:ilvl w:val="0"/>
          <w:numId w:val="217"/>
        </w:numPr>
        <w:rPr>
          <w:rFonts w:ascii="Arial" w:cs="Arial" w:eastAsia="Arial" w:hAnsi="Arial"/>
          <w:sz w:val="13"/>
          <w:szCs w:val="13"/>
          <w:color w:val="auto"/>
        </w:rPr>
      </w:pPr>
      <w:r>
        <w:rPr>
          <w:rFonts w:ascii="Arial" w:cs="Arial" w:eastAsia="Arial" w:hAnsi="Arial"/>
          <w:sz w:val="13"/>
          <w:szCs w:val="13"/>
          <w:color w:val="auto"/>
        </w:rPr>
        <w:t>any duties and registration or other fees (including fines and penalties relating to such duties and fees) which are payable or are assessed by a relevant government body or other person to be payable in relation to this document or any transaction contemplated by it.</w:t>
      </w:r>
    </w:p>
    <w:p>
      <w:pPr>
        <w:spacing w:after="0" w:line="63" w:lineRule="exact"/>
        <w:rPr>
          <w:sz w:val="20"/>
          <w:szCs w:val="20"/>
          <w:color w:val="auto"/>
        </w:rPr>
      </w:pPr>
    </w:p>
    <w:p>
      <w:pPr>
        <w:ind w:left="140"/>
        <w:spacing w:after="0"/>
        <w:tabs>
          <w:tab w:leader="none" w:pos="2000" w:val="left"/>
        </w:tabs>
        <w:rPr>
          <w:sz w:val="20"/>
          <w:szCs w:val="20"/>
          <w:color w:val="auto"/>
        </w:rPr>
      </w:pPr>
      <w:r>
        <w:rPr>
          <w:rFonts w:ascii="Arial" w:cs="Arial" w:eastAsia="Arial" w:hAnsi="Arial"/>
          <w:sz w:val="14"/>
          <w:szCs w:val="14"/>
          <w:b w:val="1"/>
          <w:bCs w:val="1"/>
          <w:color w:val="auto"/>
        </w:rPr>
        <w:t>7.3</w:t>
      </w:r>
      <w:r>
        <w:rPr>
          <w:sz w:val="20"/>
          <w:szCs w:val="20"/>
          <w:color w:val="auto"/>
        </w:rPr>
        <w:tab/>
      </w:r>
      <w:r>
        <w:rPr>
          <w:rFonts w:ascii="Arial" w:cs="Arial" w:eastAsia="Arial" w:hAnsi="Arial"/>
          <w:sz w:val="14"/>
          <w:szCs w:val="14"/>
          <w:b w:val="1"/>
          <w:bCs w:val="1"/>
          <w:color w:val="auto"/>
        </w:rPr>
        <w:t>Counterparts</w:t>
      </w:r>
    </w:p>
    <w:p>
      <w:pPr>
        <w:spacing w:after="0" w:line="84" w:lineRule="exact"/>
        <w:rPr>
          <w:sz w:val="20"/>
          <w:szCs w:val="20"/>
          <w:color w:val="auto"/>
        </w:rPr>
      </w:pPr>
    </w:p>
    <w:p>
      <w:pPr>
        <w:ind w:left="640"/>
        <w:spacing w:after="0"/>
        <w:rPr>
          <w:sz w:val="20"/>
          <w:szCs w:val="20"/>
          <w:color w:val="auto"/>
        </w:rPr>
      </w:pPr>
      <w:r>
        <w:rPr>
          <w:rFonts w:ascii="Arial" w:cs="Arial" w:eastAsia="Arial" w:hAnsi="Arial"/>
          <w:sz w:val="13"/>
          <w:szCs w:val="13"/>
          <w:color w:val="auto"/>
        </w:rPr>
        <w:t>This document may consist of a number of counterparts and, if so, the counterparts taken together constitute one document.</w:t>
      </w:r>
    </w:p>
    <w:p>
      <w:pPr>
        <w:spacing w:after="0" w:line="74" w:lineRule="exact"/>
        <w:rPr>
          <w:sz w:val="20"/>
          <w:szCs w:val="20"/>
          <w:color w:val="auto"/>
        </w:rPr>
      </w:pPr>
    </w:p>
    <w:p>
      <w:pPr>
        <w:ind w:left="140"/>
        <w:spacing w:after="0"/>
        <w:tabs>
          <w:tab w:leader="none" w:pos="1460" w:val="left"/>
        </w:tabs>
        <w:rPr>
          <w:sz w:val="20"/>
          <w:szCs w:val="20"/>
          <w:color w:val="auto"/>
        </w:rPr>
      </w:pPr>
      <w:r>
        <w:rPr>
          <w:rFonts w:ascii="Arial" w:cs="Arial" w:eastAsia="Arial" w:hAnsi="Arial"/>
          <w:sz w:val="14"/>
          <w:szCs w:val="14"/>
          <w:b w:val="1"/>
          <w:bCs w:val="1"/>
          <w:color w:val="auto"/>
        </w:rPr>
        <w:t>7.4</w:t>
      </w:r>
      <w:r>
        <w:rPr>
          <w:sz w:val="20"/>
          <w:szCs w:val="20"/>
          <w:color w:val="auto"/>
        </w:rPr>
        <w:tab/>
      </w:r>
      <w:r>
        <w:rPr>
          <w:rFonts w:ascii="Arial" w:cs="Arial" w:eastAsia="Arial" w:hAnsi="Arial"/>
          <w:sz w:val="14"/>
          <w:szCs w:val="14"/>
          <w:b w:val="1"/>
          <w:bCs w:val="1"/>
          <w:color w:val="auto"/>
        </w:rPr>
        <w:t>Entire understanding</w:t>
      </w:r>
    </w:p>
    <w:p>
      <w:pPr>
        <w:spacing w:after="0" w:line="75" w:lineRule="exact"/>
        <w:rPr>
          <w:sz w:val="20"/>
          <w:szCs w:val="20"/>
          <w:color w:val="auto"/>
        </w:rPr>
      </w:pPr>
    </w:p>
    <w:p>
      <w:pPr>
        <w:ind w:left="1200" w:hanging="564"/>
        <w:spacing w:after="0"/>
        <w:tabs>
          <w:tab w:leader="none" w:pos="1200" w:val="left"/>
        </w:tabs>
        <w:numPr>
          <w:ilvl w:val="0"/>
          <w:numId w:val="218"/>
        </w:numPr>
        <w:rPr>
          <w:rFonts w:ascii="Arial" w:cs="Arial" w:eastAsia="Arial" w:hAnsi="Arial"/>
          <w:sz w:val="13"/>
          <w:szCs w:val="13"/>
          <w:color w:val="auto"/>
        </w:rPr>
      </w:pPr>
      <w:r>
        <w:rPr>
          <w:rFonts w:ascii="Arial" w:cs="Arial" w:eastAsia="Arial" w:hAnsi="Arial"/>
          <w:sz w:val="13"/>
          <w:szCs w:val="13"/>
          <w:color w:val="auto"/>
        </w:rPr>
        <w:t>This document contains the entire understanding between the parties as to the subject matter of this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168275</wp:posOffset>
            </wp:positionV>
            <wp:extent cx="6208395"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208395" cy="42545"/>
                    </a:xfrm>
                    <a:prstGeom prst="rect">
                      <a:avLst/>
                    </a:prstGeom>
                    <a:noFill/>
                  </pic:spPr>
                </pic:pic>
              </a:graphicData>
            </a:graphic>
          </wp:anchor>
        </w:drawing>
      </w:r>
    </w:p>
    <w:p>
      <w:pPr>
        <w:sectPr>
          <w:pgSz w:w="11900" w:h="16838" w:orient="portrait"/>
          <w:cols w:equalWidth="0" w:num="1">
            <w:col w:w="9320"/>
          </w:cols>
          <w:pgMar w:left="1440" w:top="188" w:right="1139" w:bottom="1440" w:gutter="0" w:footer="0" w:header="0"/>
        </w:sectPr>
      </w:pPr>
    </w:p>
    <w:bookmarkStart w:id="213" w:name="page214"/>
    <w:bookmarkEnd w:id="213"/>
    <w:p>
      <w:pPr>
        <w:ind w:left="140"/>
        <w:spacing w:after="0"/>
        <w:rPr>
          <w:sz w:val="20"/>
          <w:szCs w:val="20"/>
          <w:color w:val="auto"/>
        </w:rPr>
      </w:pPr>
      <w:r>
        <w:rPr>
          <w:rFonts w:ascii="Arial" w:cs="Arial" w:eastAsia="Arial" w:hAnsi="Arial"/>
          <w:sz w:val="10"/>
          <w:szCs w:val="10"/>
          <w:color w:val="auto"/>
        </w:rPr>
        <w:t>Corrs Chambers Westgarth</w:t>
      </w:r>
    </w:p>
    <w:p>
      <w:pPr>
        <w:spacing w:after="0" w:line="258" w:lineRule="exact"/>
        <w:rPr>
          <w:sz w:val="20"/>
          <w:szCs w:val="20"/>
          <w:color w:val="auto"/>
        </w:rPr>
      </w:pPr>
    </w:p>
    <w:p>
      <w:pPr>
        <w:jc w:val="both"/>
        <w:ind w:left="1320" w:right="100" w:hanging="684"/>
        <w:spacing w:after="0" w:line="238" w:lineRule="auto"/>
        <w:tabs>
          <w:tab w:leader="none" w:pos="1320" w:val="left"/>
        </w:tabs>
        <w:numPr>
          <w:ilvl w:val="0"/>
          <w:numId w:val="219"/>
        </w:numPr>
        <w:rPr>
          <w:rFonts w:ascii="Arial" w:cs="Arial" w:eastAsia="Arial" w:hAnsi="Arial"/>
          <w:sz w:val="13"/>
          <w:szCs w:val="13"/>
          <w:color w:val="auto"/>
        </w:rPr>
      </w:pPr>
      <w:r>
        <w:rPr>
          <w:rFonts w:ascii="Arial" w:cs="Arial" w:eastAsia="Arial" w:hAnsi="Arial"/>
          <w:sz w:val="13"/>
          <w:szCs w:val="13"/>
          <w:color w:val="auto"/>
        </w:rPr>
        <w:t>All previous negotiations, understandings, representations, warranties, memoranda or commitments concerning the subject matter of this document are merged in and superseded by this document and are of no effect. No party is liable to any other party in respect of those matters.</w:t>
      </w:r>
    </w:p>
    <w:p>
      <w:pPr>
        <w:spacing w:after="0" w:line="59" w:lineRule="exact"/>
        <w:rPr>
          <w:rFonts w:ascii="Arial" w:cs="Arial" w:eastAsia="Arial" w:hAnsi="Arial"/>
          <w:sz w:val="13"/>
          <w:szCs w:val="13"/>
          <w:color w:val="auto"/>
        </w:rPr>
      </w:pPr>
    </w:p>
    <w:p>
      <w:pPr>
        <w:ind w:left="1020" w:hanging="384"/>
        <w:spacing w:after="0"/>
        <w:tabs>
          <w:tab w:leader="none" w:pos="1020" w:val="left"/>
        </w:tabs>
        <w:numPr>
          <w:ilvl w:val="0"/>
          <w:numId w:val="219"/>
        </w:numPr>
        <w:rPr>
          <w:rFonts w:ascii="Arial" w:cs="Arial" w:eastAsia="Arial" w:hAnsi="Arial"/>
          <w:sz w:val="13"/>
          <w:szCs w:val="13"/>
          <w:color w:val="auto"/>
        </w:rPr>
      </w:pPr>
      <w:r>
        <w:rPr>
          <w:rFonts w:ascii="Arial" w:cs="Arial" w:eastAsia="Arial" w:hAnsi="Arial"/>
          <w:sz w:val="13"/>
          <w:szCs w:val="13"/>
          <w:color w:val="auto"/>
        </w:rPr>
        <w:t>No oral explanation or information provided by any party to another:</w:t>
      </w:r>
    </w:p>
    <w:p>
      <w:pPr>
        <w:spacing w:after="0" w:line="84" w:lineRule="exact"/>
        <w:rPr>
          <w:rFonts w:ascii="Arial" w:cs="Arial" w:eastAsia="Arial" w:hAnsi="Arial"/>
          <w:sz w:val="13"/>
          <w:szCs w:val="13"/>
          <w:color w:val="auto"/>
        </w:rPr>
      </w:pPr>
    </w:p>
    <w:p>
      <w:pPr>
        <w:ind w:left="1360" w:hanging="372"/>
        <w:spacing w:after="0"/>
        <w:tabs>
          <w:tab w:leader="none" w:pos="1360" w:val="left"/>
        </w:tabs>
        <w:numPr>
          <w:ilvl w:val="1"/>
          <w:numId w:val="219"/>
        </w:numPr>
        <w:rPr>
          <w:rFonts w:ascii="Arial" w:cs="Arial" w:eastAsia="Arial" w:hAnsi="Arial"/>
          <w:sz w:val="13"/>
          <w:szCs w:val="13"/>
          <w:color w:val="auto"/>
        </w:rPr>
      </w:pPr>
      <w:r>
        <w:rPr>
          <w:rFonts w:ascii="Arial" w:cs="Arial" w:eastAsia="Arial" w:hAnsi="Arial"/>
          <w:sz w:val="13"/>
          <w:szCs w:val="13"/>
          <w:color w:val="auto"/>
        </w:rPr>
        <w:t>affects the meaning or interpretation of this document; or</w:t>
      </w:r>
    </w:p>
    <w:p>
      <w:pPr>
        <w:spacing w:after="0" w:line="75" w:lineRule="exact"/>
        <w:rPr>
          <w:rFonts w:ascii="Arial" w:cs="Arial" w:eastAsia="Arial" w:hAnsi="Arial"/>
          <w:sz w:val="13"/>
          <w:szCs w:val="13"/>
          <w:color w:val="auto"/>
        </w:rPr>
      </w:pPr>
    </w:p>
    <w:p>
      <w:pPr>
        <w:ind w:left="1980" w:hanging="992"/>
        <w:spacing w:after="0"/>
        <w:tabs>
          <w:tab w:leader="none" w:pos="1980" w:val="left"/>
        </w:tabs>
        <w:numPr>
          <w:ilvl w:val="1"/>
          <w:numId w:val="219"/>
        </w:numPr>
        <w:rPr>
          <w:rFonts w:ascii="Arial" w:cs="Arial" w:eastAsia="Arial" w:hAnsi="Arial"/>
          <w:sz w:val="13"/>
          <w:szCs w:val="13"/>
          <w:color w:val="auto"/>
        </w:rPr>
      </w:pPr>
      <w:r>
        <w:rPr>
          <w:rFonts w:ascii="Arial" w:cs="Arial" w:eastAsia="Arial" w:hAnsi="Arial"/>
          <w:sz w:val="13"/>
          <w:szCs w:val="13"/>
          <w:color w:val="auto"/>
        </w:rPr>
        <w:t>constitutes any collateral agreement, warranty or understanding between any of the parties.</w:t>
      </w:r>
    </w:p>
    <w:p>
      <w:pPr>
        <w:spacing w:after="0" w:line="83" w:lineRule="exact"/>
        <w:rPr>
          <w:sz w:val="20"/>
          <w:szCs w:val="20"/>
          <w:color w:val="auto"/>
        </w:rPr>
      </w:pPr>
    </w:p>
    <w:p>
      <w:pPr>
        <w:ind w:left="140"/>
        <w:spacing w:after="0"/>
        <w:tabs>
          <w:tab w:leader="none" w:pos="1120" w:val="left"/>
        </w:tabs>
        <w:rPr>
          <w:sz w:val="20"/>
          <w:szCs w:val="20"/>
          <w:color w:val="auto"/>
        </w:rPr>
      </w:pPr>
      <w:r>
        <w:rPr>
          <w:rFonts w:ascii="Arial" w:cs="Arial" w:eastAsia="Arial" w:hAnsi="Arial"/>
          <w:sz w:val="14"/>
          <w:szCs w:val="14"/>
          <w:b w:val="1"/>
          <w:bCs w:val="1"/>
          <w:color w:val="auto"/>
        </w:rPr>
        <w:t>7.5</w:t>
      </w:r>
      <w:r>
        <w:rPr>
          <w:sz w:val="20"/>
          <w:szCs w:val="20"/>
          <w:color w:val="auto"/>
        </w:rPr>
        <w:tab/>
      </w:r>
      <w:r>
        <w:rPr>
          <w:rFonts w:ascii="Arial" w:cs="Arial" w:eastAsia="Arial" w:hAnsi="Arial"/>
          <w:sz w:val="14"/>
          <w:szCs w:val="14"/>
          <w:b w:val="1"/>
          <w:bCs w:val="1"/>
          <w:color w:val="auto"/>
        </w:rPr>
        <w:t>Governing law and jurisdiction</w:t>
      </w:r>
    </w:p>
    <w:p>
      <w:pPr>
        <w:spacing w:after="0" w:line="75" w:lineRule="exact"/>
        <w:rPr>
          <w:sz w:val="20"/>
          <w:szCs w:val="20"/>
          <w:color w:val="auto"/>
        </w:rPr>
      </w:pPr>
    </w:p>
    <w:p>
      <w:pPr>
        <w:ind w:left="1240" w:hanging="604"/>
        <w:spacing w:after="0"/>
        <w:tabs>
          <w:tab w:leader="none" w:pos="1240" w:val="left"/>
        </w:tabs>
        <w:numPr>
          <w:ilvl w:val="0"/>
          <w:numId w:val="220"/>
        </w:numPr>
        <w:rPr>
          <w:rFonts w:ascii="Arial" w:cs="Arial" w:eastAsia="Arial" w:hAnsi="Arial"/>
          <w:sz w:val="13"/>
          <w:szCs w:val="13"/>
          <w:color w:val="auto"/>
        </w:rPr>
      </w:pPr>
      <w:r>
        <w:rPr>
          <w:rFonts w:ascii="Arial" w:cs="Arial" w:eastAsia="Arial" w:hAnsi="Arial"/>
          <w:sz w:val="13"/>
          <w:szCs w:val="13"/>
          <w:color w:val="auto"/>
        </w:rPr>
        <w:t>This document is governed by and is to be construed in accordance with the laws applicable in Victoria.</w:t>
      </w:r>
    </w:p>
    <w:p>
      <w:pPr>
        <w:spacing w:after="0" w:line="66" w:lineRule="exact"/>
        <w:rPr>
          <w:rFonts w:ascii="Arial" w:cs="Arial" w:eastAsia="Arial" w:hAnsi="Arial"/>
          <w:sz w:val="13"/>
          <w:szCs w:val="13"/>
          <w:color w:val="auto"/>
        </w:rPr>
      </w:pPr>
    </w:p>
    <w:p>
      <w:pPr>
        <w:jc w:val="both"/>
        <w:ind w:left="1140" w:hanging="504"/>
        <w:spacing w:after="0" w:line="238" w:lineRule="auto"/>
        <w:tabs>
          <w:tab w:leader="none" w:pos="1140" w:val="left"/>
        </w:tabs>
        <w:numPr>
          <w:ilvl w:val="0"/>
          <w:numId w:val="220"/>
        </w:numPr>
        <w:rPr>
          <w:rFonts w:ascii="Arial" w:cs="Arial" w:eastAsia="Arial" w:hAnsi="Arial"/>
          <w:sz w:val="13"/>
          <w:szCs w:val="13"/>
          <w:color w:val="auto"/>
        </w:rPr>
      </w:pPr>
      <w:r>
        <w:rPr>
          <w:rFonts w:ascii="Arial" w:cs="Arial" w:eastAsia="Arial" w:hAnsi="Arial"/>
          <w:sz w:val="13"/>
          <w:szCs w:val="13"/>
          <w:color w:val="auto"/>
        </w:rPr>
        <w:t>Each party irrevocably and unconditionally submits to the non-exclusive jurisdiction of the courts exercising jurisdiction in Victoria and any courts which have jurisdiction to hear appeals from any of those courts and waives any right to object to any proceedings being brought in those courts.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163830</wp:posOffset>
            </wp:positionV>
            <wp:extent cx="624840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248400" cy="42545"/>
                    </a:xfrm>
                    <a:prstGeom prst="rect">
                      <a:avLst/>
                    </a:prstGeom>
                    <a:noFill/>
                  </pic:spPr>
                </pic:pic>
              </a:graphicData>
            </a:graphic>
          </wp:anchor>
        </w:drawing>
      </w:r>
    </w:p>
    <w:p>
      <w:pPr>
        <w:sectPr>
          <w:pgSz w:w="11900" w:h="16838" w:orient="portrait"/>
          <w:cols w:equalWidth="0" w:num="1">
            <w:col w:w="9160"/>
          </w:cols>
          <w:pgMar w:left="1440" w:top="188" w:right="1299" w:bottom="1440" w:gutter="0" w:footer="0" w:header="0"/>
        </w:sectPr>
      </w:pPr>
    </w:p>
    <w:bookmarkStart w:id="214" w:name="page215"/>
    <w:bookmarkEnd w:id="214"/>
    <w:p>
      <w:pPr>
        <w:ind w:left="360"/>
        <w:spacing w:after="0"/>
        <w:rPr>
          <w:sz w:val="20"/>
          <w:szCs w:val="20"/>
          <w:color w:val="auto"/>
        </w:rPr>
      </w:pPr>
      <w:r>
        <w:rPr>
          <w:rFonts w:ascii="Arial" w:cs="Arial" w:eastAsia="Arial" w:hAnsi="Arial"/>
          <w:sz w:val="10"/>
          <w:szCs w:val="10"/>
          <w:color w:val="auto"/>
        </w:rPr>
        <w:t>Corrs Chambers Westgarth</w:t>
      </w:r>
    </w:p>
    <w:p>
      <w:pPr>
        <w:spacing w:after="0" w:line="241" w:lineRule="exact"/>
        <w:rPr>
          <w:sz w:val="20"/>
          <w:szCs w:val="20"/>
          <w:color w:val="auto"/>
        </w:rPr>
      </w:pPr>
    </w:p>
    <w:p>
      <w:pPr>
        <w:ind w:left="360"/>
        <w:spacing w:after="0"/>
        <w:rPr>
          <w:sz w:val="20"/>
          <w:szCs w:val="20"/>
          <w:color w:val="auto"/>
        </w:rPr>
      </w:pPr>
      <w:r>
        <w:rPr>
          <w:rFonts w:ascii="Arial" w:cs="Arial" w:eastAsia="Arial" w:hAnsi="Arial"/>
          <w:sz w:val="24"/>
          <w:szCs w:val="24"/>
          <w:color w:val="auto"/>
        </w:rPr>
        <w:t>Schedule 1</w:t>
      </w:r>
    </w:p>
    <w:p>
      <w:pPr>
        <w:spacing w:after="0" w:line="218" w:lineRule="exact"/>
        <w:rPr>
          <w:sz w:val="20"/>
          <w:szCs w:val="20"/>
          <w:color w:val="auto"/>
        </w:rPr>
      </w:pPr>
    </w:p>
    <w:p>
      <w:pPr>
        <w:ind w:left="360"/>
        <w:spacing w:after="0"/>
        <w:rPr>
          <w:sz w:val="20"/>
          <w:szCs w:val="20"/>
          <w:color w:val="auto"/>
        </w:rPr>
      </w:pPr>
      <w:r>
        <w:rPr>
          <w:rFonts w:ascii="Arial" w:cs="Arial" w:eastAsia="Arial" w:hAnsi="Arial"/>
          <w:sz w:val="19"/>
          <w:szCs w:val="19"/>
          <w:color w:val="auto"/>
        </w:rPr>
        <w:t>Guarantors</w:t>
      </w:r>
    </w:p>
    <w:p>
      <w:pPr>
        <w:spacing w:after="0" w:line="200" w:lineRule="exact"/>
        <w:rPr>
          <w:sz w:val="20"/>
          <w:szCs w:val="20"/>
          <w:color w:val="auto"/>
        </w:rPr>
      </w:pP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00" w:type="dxa"/>
            <w:vAlign w:val="bottom"/>
            <w:tcBorders>
              <w:right w:val="single" w:sz="8" w:color="BFBFBF"/>
            </w:tcBorders>
          </w:tcPr>
          <w:p>
            <w:pPr>
              <w:spacing w:after="0"/>
              <w:rPr>
                <w:sz w:val="21"/>
                <w:szCs w:val="21"/>
                <w:color w:val="auto"/>
              </w:rPr>
            </w:pPr>
          </w:p>
        </w:tc>
        <w:tc>
          <w:tcPr>
            <w:tcW w:w="2140" w:type="dxa"/>
            <w:vAlign w:val="bottom"/>
            <w:tcBorders>
              <w:right w:val="single" w:sz="8" w:color="BFBFBF"/>
            </w:tcBorders>
            <w:shd w:val="clear" w:color="auto" w:fill="FFC000"/>
          </w:tcPr>
          <w:p>
            <w:pPr>
              <w:ind w:left="60"/>
              <w:spacing w:after="0"/>
              <w:rPr>
                <w:sz w:val="20"/>
                <w:szCs w:val="20"/>
                <w:color w:val="auto"/>
              </w:rPr>
            </w:pPr>
            <w:r>
              <w:rPr>
                <w:rFonts w:ascii="Arial" w:cs="Arial" w:eastAsia="Arial" w:hAnsi="Arial"/>
                <w:sz w:val="13"/>
                <w:szCs w:val="13"/>
                <w:b w:val="1"/>
                <w:bCs w:val="1"/>
                <w:color w:val="auto"/>
              </w:rPr>
              <w:t>Name</w:t>
            </w:r>
          </w:p>
        </w:tc>
        <w:tc>
          <w:tcPr>
            <w:tcW w:w="760" w:type="dxa"/>
            <w:vAlign w:val="bottom"/>
            <w:tcBorders>
              <w:right w:val="single" w:sz="8" w:color="BFBFBF"/>
            </w:tcBorders>
            <w:shd w:val="clear" w:color="auto" w:fill="FFC000"/>
          </w:tcPr>
          <w:p>
            <w:pPr>
              <w:ind w:left="40"/>
              <w:spacing w:after="0"/>
              <w:rPr>
                <w:sz w:val="20"/>
                <w:szCs w:val="20"/>
                <w:color w:val="auto"/>
              </w:rPr>
            </w:pPr>
            <w:r>
              <w:rPr>
                <w:rFonts w:ascii="Arial" w:cs="Arial" w:eastAsia="Arial" w:hAnsi="Arial"/>
                <w:sz w:val="13"/>
                <w:szCs w:val="13"/>
                <w:b w:val="1"/>
                <w:bCs w:val="1"/>
                <w:color w:val="auto"/>
              </w:rPr>
              <w:t>ACN</w:t>
            </w:r>
          </w:p>
        </w:tc>
        <w:tc>
          <w:tcPr>
            <w:tcW w:w="2240" w:type="dxa"/>
            <w:vAlign w:val="bottom"/>
            <w:tcBorders>
              <w:right w:val="single" w:sz="8" w:color="BFBFBF"/>
            </w:tcBorders>
            <w:shd w:val="clear" w:color="auto" w:fill="FFC000"/>
          </w:tcPr>
          <w:p>
            <w:pPr>
              <w:ind w:left="40"/>
              <w:spacing w:after="0"/>
              <w:rPr>
                <w:sz w:val="20"/>
                <w:szCs w:val="20"/>
                <w:color w:val="auto"/>
              </w:rPr>
            </w:pPr>
            <w:r>
              <w:rPr>
                <w:rFonts w:ascii="Arial" w:cs="Arial" w:eastAsia="Arial" w:hAnsi="Arial"/>
                <w:sz w:val="13"/>
                <w:szCs w:val="13"/>
                <w:b w:val="1"/>
                <w:bCs w:val="1"/>
                <w:color w:val="auto"/>
              </w:rPr>
              <w:t>Particulars for delivery of notices</w:t>
            </w:r>
          </w:p>
        </w:tc>
        <w:tc>
          <w:tcPr>
            <w:tcW w:w="4360" w:type="dxa"/>
            <w:vAlign w:val="bottom"/>
          </w:tcPr>
          <w:p>
            <w:pPr>
              <w:spacing w:after="0"/>
              <w:rPr>
                <w:sz w:val="21"/>
                <w:szCs w:val="21"/>
                <w:color w:val="auto"/>
              </w:rPr>
            </w:pPr>
          </w:p>
        </w:tc>
      </w:tr>
      <w:tr>
        <w:trPr>
          <w:trHeight w:val="79"/>
        </w:trPr>
        <w:tc>
          <w:tcPr>
            <w:tcW w:w="300" w:type="dxa"/>
            <w:vAlign w:val="bottom"/>
            <w:tcBorders>
              <w:right w:val="single" w:sz="8" w:color="BFBFBF"/>
            </w:tcBorders>
          </w:tcPr>
          <w:p>
            <w:pPr>
              <w:spacing w:after="0"/>
              <w:rPr>
                <w:sz w:val="6"/>
                <w:szCs w:val="6"/>
                <w:color w:val="auto"/>
              </w:rPr>
            </w:pPr>
          </w:p>
        </w:tc>
        <w:tc>
          <w:tcPr>
            <w:tcW w:w="2140" w:type="dxa"/>
            <w:vAlign w:val="bottom"/>
            <w:tcBorders>
              <w:right w:val="single" w:sz="8" w:color="BFBFBF"/>
            </w:tcBorders>
            <w:shd w:val="clear" w:color="auto" w:fill="FFC000"/>
          </w:tcPr>
          <w:p>
            <w:pPr>
              <w:spacing w:after="0"/>
              <w:rPr>
                <w:sz w:val="6"/>
                <w:szCs w:val="6"/>
                <w:color w:val="auto"/>
              </w:rPr>
            </w:pPr>
          </w:p>
        </w:tc>
        <w:tc>
          <w:tcPr>
            <w:tcW w:w="760" w:type="dxa"/>
            <w:vAlign w:val="bottom"/>
            <w:tcBorders>
              <w:right w:val="single" w:sz="8" w:color="BFBFBF"/>
            </w:tcBorders>
            <w:shd w:val="clear" w:color="auto" w:fill="FFC000"/>
          </w:tcPr>
          <w:p>
            <w:pPr>
              <w:spacing w:after="0"/>
              <w:rPr>
                <w:sz w:val="6"/>
                <w:szCs w:val="6"/>
                <w:color w:val="auto"/>
              </w:rPr>
            </w:pPr>
          </w:p>
        </w:tc>
        <w:tc>
          <w:tcPr>
            <w:tcW w:w="2240" w:type="dxa"/>
            <w:vAlign w:val="bottom"/>
            <w:tcBorders>
              <w:right w:val="single" w:sz="8" w:color="BFBFBF"/>
            </w:tcBorders>
            <w:shd w:val="clear" w:color="auto" w:fill="FFC000"/>
          </w:tcPr>
          <w:p>
            <w:pPr>
              <w:spacing w:after="0"/>
              <w:rPr>
                <w:sz w:val="6"/>
                <w:szCs w:val="6"/>
                <w:color w:val="auto"/>
              </w:rPr>
            </w:pPr>
          </w:p>
        </w:tc>
        <w:tc>
          <w:tcPr>
            <w:tcW w:w="4360" w:type="dxa"/>
            <w:vAlign w:val="bottom"/>
          </w:tcPr>
          <w:p>
            <w:pPr>
              <w:spacing w:after="0"/>
              <w:rPr>
                <w:sz w:val="6"/>
                <w:szCs w:val="6"/>
                <w:color w:val="auto"/>
              </w:rPr>
            </w:pPr>
          </w:p>
        </w:tc>
      </w:tr>
      <w:tr>
        <w:trPr>
          <w:trHeight w:val="239"/>
        </w:trPr>
        <w:tc>
          <w:tcPr>
            <w:tcW w:w="300" w:type="dxa"/>
            <w:vAlign w:val="bottom"/>
            <w:tcBorders>
              <w:right w:val="single" w:sz="8" w:color="BFBFBF"/>
            </w:tcBorders>
          </w:tcPr>
          <w:p>
            <w:pPr>
              <w:spacing w:after="0"/>
              <w:rPr>
                <w:sz w:val="20"/>
                <w:szCs w:val="20"/>
                <w:color w:val="auto"/>
              </w:rPr>
            </w:pPr>
          </w:p>
        </w:tc>
        <w:tc>
          <w:tcPr>
            <w:tcW w:w="2140" w:type="dxa"/>
            <w:vAlign w:val="bottom"/>
            <w:tcBorders>
              <w:right w:val="single" w:sz="8" w:color="BFBFBF"/>
            </w:tcBorders>
          </w:tcPr>
          <w:p>
            <w:pPr>
              <w:ind w:left="60"/>
              <w:spacing w:after="0"/>
              <w:rPr>
                <w:sz w:val="20"/>
                <w:szCs w:val="20"/>
                <w:color w:val="auto"/>
              </w:rPr>
            </w:pPr>
            <w:r>
              <w:rPr>
                <w:rFonts w:ascii="Arial" w:cs="Arial" w:eastAsia="Arial" w:hAnsi="Arial"/>
                <w:sz w:val="11"/>
                <w:szCs w:val="11"/>
                <w:color w:val="auto"/>
              </w:rPr>
              <w:t>Reading Entertainment Australia Pty Ltd</w:t>
            </w:r>
          </w:p>
        </w:tc>
        <w:tc>
          <w:tcPr>
            <w:tcW w:w="760" w:type="dxa"/>
            <w:vAlign w:val="bottom"/>
            <w:tcBorders>
              <w:right w:val="single" w:sz="8" w:color="BFBFBF"/>
            </w:tcBorders>
          </w:tcPr>
          <w:p>
            <w:pPr>
              <w:ind w:left="40"/>
              <w:spacing w:after="0"/>
              <w:rPr>
                <w:sz w:val="20"/>
                <w:szCs w:val="20"/>
                <w:color w:val="auto"/>
              </w:rPr>
            </w:pPr>
            <w:r>
              <w:rPr>
                <w:rFonts w:ascii="Arial" w:cs="Arial" w:eastAsia="Arial" w:hAnsi="Arial"/>
                <w:sz w:val="11"/>
                <w:szCs w:val="11"/>
                <w:color w:val="auto"/>
              </w:rPr>
              <w:t>070 893 908</w:t>
            </w:r>
          </w:p>
        </w:tc>
        <w:tc>
          <w:tcPr>
            <w:tcW w:w="2240" w:type="dxa"/>
            <w:vAlign w:val="bottom"/>
            <w:tcBorders>
              <w:right w:val="single" w:sz="8" w:color="BFBFBF"/>
            </w:tcBorders>
          </w:tcPr>
          <w:p>
            <w:pPr>
              <w:ind w:left="40"/>
              <w:spacing w:after="0"/>
              <w:rPr>
                <w:sz w:val="20"/>
                <w:szCs w:val="20"/>
                <w:color w:val="auto"/>
              </w:rPr>
            </w:pPr>
            <w:r>
              <w:rPr>
                <w:rFonts w:ascii="Arial" w:cs="Arial" w:eastAsia="Arial" w:hAnsi="Arial"/>
                <w:sz w:val="11"/>
                <w:szCs w:val="11"/>
                <w:color w:val="auto"/>
              </w:rPr>
              <w:t>Address: 98 York Street, South Melbourne</w:t>
            </w:r>
          </w:p>
        </w:tc>
        <w:tc>
          <w:tcPr>
            <w:tcW w:w="4360" w:type="dxa"/>
            <w:vAlign w:val="bottom"/>
          </w:tcPr>
          <w:p>
            <w:pPr>
              <w:spacing w:after="0"/>
              <w:rPr>
                <w:sz w:val="20"/>
                <w:szCs w:val="20"/>
                <w:color w:val="auto"/>
              </w:rPr>
            </w:pPr>
          </w:p>
        </w:tc>
      </w:tr>
      <w:tr>
        <w:trPr>
          <w:trHeight w:val="135"/>
        </w:trPr>
        <w:tc>
          <w:tcPr>
            <w:tcW w:w="300" w:type="dxa"/>
            <w:vAlign w:val="bottom"/>
            <w:tcBorders>
              <w:right w:val="single" w:sz="8" w:color="BFBFBF"/>
            </w:tcBorders>
          </w:tcPr>
          <w:p>
            <w:pPr>
              <w:spacing w:after="0"/>
              <w:rPr>
                <w:sz w:val="11"/>
                <w:szCs w:val="11"/>
                <w:color w:val="auto"/>
              </w:rPr>
            </w:pPr>
          </w:p>
        </w:tc>
        <w:tc>
          <w:tcPr>
            <w:tcW w:w="2140" w:type="dxa"/>
            <w:vAlign w:val="bottom"/>
            <w:tcBorders>
              <w:right w:val="single" w:sz="8" w:color="BFBFBF"/>
            </w:tcBorders>
          </w:tcPr>
          <w:p>
            <w:pPr>
              <w:spacing w:after="0"/>
              <w:rPr>
                <w:sz w:val="11"/>
                <w:szCs w:val="11"/>
                <w:color w:val="auto"/>
              </w:rPr>
            </w:pPr>
          </w:p>
        </w:tc>
        <w:tc>
          <w:tcPr>
            <w:tcW w:w="760" w:type="dxa"/>
            <w:vAlign w:val="bottom"/>
            <w:tcBorders>
              <w:right w:val="single" w:sz="8" w:color="BFBFBF"/>
            </w:tcBorders>
          </w:tcPr>
          <w:p>
            <w:pPr>
              <w:spacing w:after="0"/>
              <w:rPr>
                <w:sz w:val="11"/>
                <w:szCs w:val="11"/>
                <w:color w:val="auto"/>
              </w:rPr>
            </w:pPr>
          </w:p>
        </w:tc>
        <w:tc>
          <w:tcPr>
            <w:tcW w:w="2240" w:type="dxa"/>
            <w:vAlign w:val="bottom"/>
            <w:tcBorders>
              <w:right w:val="single" w:sz="8" w:color="BFBFBF"/>
            </w:tcBorders>
          </w:tcPr>
          <w:p>
            <w:pPr>
              <w:ind w:left="40"/>
              <w:spacing w:after="0"/>
              <w:rPr>
                <w:sz w:val="20"/>
                <w:szCs w:val="20"/>
                <w:color w:val="auto"/>
              </w:rPr>
            </w:pPr>
            <w:r>
              <w:rPr>
                <w:rFonts w:ascii="Arial" w:cs="Arial" w:eastAsia="Arial" w:hAnsi="Arial"/>
                <w:sz w:val="11"/>
                <w:szCs w:val="11"/>
                <w:color w:val="auto"/>
              </w:rPr>
              <w:t>VIC 3205 Australia</w:t>
            </w:r>
          </w:p>
        </w:tc>
        <w:tc>
          <w:tcPr>
            <w:tcW w:w="4360" w:type="dxa"/>
            <w:vAlign w:val="bottom"/>
          </w:tcPr>
          <w:p>
            <w:pPr>
              <w:spacing w:after="0"/>
              <w:rPr>
                <w:sz w:val="11"/>
                <w:szCs w:val="11"/>
                <w:color w:val="auto"/>
              </w:rPr>
            </w:pPr>
          </w:p>
        </w:tc>
      </w:tr>
      <w:tr>
        <w:trPr>
          <w:trHeight w:val="207"/>
        </w:trPr>
        <w:tc>
          <w:tcPr>
            <w:tcW w:w="300" w:type="dxa"/>
            <w:vAlign w:val="bottom"/>
            <w:tcBorders>
              <w:right w:val="single" w:sz="8" w:color="BFBFBF"/>
            </w:tcBorders>
          </w:tcPr>
          <w:p>
            <w:pPr>
              <w:spacing w:after="0"/>
              <w:rPr>
                <w:sz w:val="18"/>
                <w:szCs w:val="18"/>
                <w:color w:val="auto"/>
              </w:rPr>
            </w:pPr>
          </w:p>
        </w:tc>
        <w:tc>
          <w:tcPr>
            <w:tcW w:w="2140" w:type="dxa"/>
            <w:vAlign w:val="bottom"/>
            <w:tcBorders>
              <w:right w:val="single" w:sz="8" w:color="BFBFBF"/>
            </w:tcBorders>
          </w:tcPr>
          <w:p>
            <w:pPr>
              <w:spacing w:after="0"/>
              <w:rPr>
                <w:sz w:val="18"/>
                <w:szCs w:val="18"/>
                <w:color w:val="auto"/>
              </w:rPr>
            </w:pPr>
          </w:p>
        </w:tc>
        <w:tc>
          <w:tcPr>
            <w:tcW w:w="760" w:type="dxa"/>
            <w:vAlign w:val="bottom"/>
            <w:tcBorders>
              <w:right w:val="single" w:sz="8" w:color="BFBFBF"/>
            </w:tcBorders>
          </w:tcPr>
          <w:p>
            <w:pPr>
              <w:spacing w:after="0"/>
              <w:rPr>
                <w:sz w:val="18"/>
                <w:szCs w:val="18"/>
                <w:color w:val="auto"/>
              </w:rPr>
            </w:pPr>
          </w:p>
        </w:tc>
        <w:tc>
          <w:tcPr>
            <w:tcW w:w="2240" w:type="dxa"/>
            <w:vAlign w:val="bottom"/>
            <w:tcBorders>
              <w:right w:val="single" w:sz="8" w:color="BFBFBF"/>
            </w:tcBorders>
          </w:tcPr>
          <w:p>
            <w:pPr>
              <w:ind w:left="40"/>
              <w:spacing w:after="0"/>
              <w:rPr>
                <w:sz w:val="20"/>
                <w:szCs w:val="20"/>
                <w:color w:val="auto"/>
              </w:rPr>
            </w:pPr>
            <w:r>
              <w:rPr>
                <w:rFonts w:ascii="Arial" w:cs="Arial" w:eastAsia="Arial" w:hAnsi="Arial"/>
                <w:sz w:val="11"/>
                <w:szCs w:val="11"/>
                <w:color w:val="auto"/>
              </w:rPr>
              <w:t>Fax: 03 9685 0999</w:t>
            </w:r>
          </w:p>
        </w:tc>
        <w:tc>
          <w:tcPr>
            <w:tcW w:w="4360" w:type="dxa"/>
            <w:vAlign w:val="bottom"/>
          </w:tcPr>
          <w:p>
            <w:pPr>
              <w:spacing w:after="0"/>
              <w:rPr>
                <w:sz w:val="18"/>
                <w:szCs w:val="18"/>
                <w:color w:val="auto"/>
              </w:rPr>
            </w:pPr>
          </w:p>
        </w:tc>
      </w:tr>
      <w:tr>
        <w:trPr>
          <w:trHeight w:val="243"/>
        </w:trPr>
        <w:tc>
          <w:tcPr>
            <w:tcW w:w="300" w:type="dxa"/>
            <w:vAlign w:val="bottom"/>
            <w:tcBorders>
              <w:right w:val="single" w:sz="8" w:color="BFBFBF"/>
            </w:tcBorders>
          </w:tcPr>
          <w:p>
            <w:pPr>
              <w:spacing w:after="0"/>
              <w:rPr>
                <w:sz w:val="21"/>
                <w:szCs w:val="21"/>
                <w:color w:val="auto"/>
              </w:rPr>
            </w:pPr>
          </w:p>
        </w:tc>
        <w:tc>
          <w:tcPr>
            <w:tcW w:w="2140" w:type="dxa"/>
            <w:vAlign w:val="bottom"/>
            <w:tcBorders>
              <w:right w:val="single" w:sz="8" w:color="BFBFBF"/>
            </w:tcBorders>
          </w:tcPr>
          <w:p>
            <w:pPr>
              <w:spacing w:after="0"/>
              <w:rPr>
                <w:sz w:val="21"/>
                <w:szCs w:val="21"/>
                <w:color w:val="auto"/>
              </w:rPr>
            </w:pPr>
          </w:p>
        </w:tc>
        <w:tc>
          <w:tcPr>
            <w:tcW w:w="760" w:type="dxa"/>
            <w:vAlign w:val="bottom"/>
            <w:tcBorders>
              <w:right w:val="single" w:sz="8" w:color="BFBFBF"/>
            </w:tcBorders>
          </w:tcPr>
          <w:p>
            <w:pPr>
              <w:spacing w:after="0"/>
              <w:rPr>
                <w:sz w:val="21"/>
                <w:szCs w:val="21"/>
                <w:color w:val="auto"/>
              </w:rPr>
            </w:pPr>
          </w:p>
        </w:tc>
        <w:tc>
          <w:tcPr>
            <w:tcW w:w="2240" w:type="dxa"/>
            <w:vAlign w:val="bottom"/>
            <w:tcBorders>
              <w:right w:val="single" w:sz="8" w:color="BFBFBF"/>
            </w:tcBorders>
          </w:tcPr>
          <w:p>
            <w:pPr>
              <w:ind w:left="40"/>
              <w:spacing w:after="0"/>
              <w:rPr>
                <w:sz w:val="20"/>
                <w:szCs w:val="20"/>
                <w:color w:val="auto"/>
              </w:rPr>
            </w:pPr>
            <w:r>
              <w:rPr>
                <w:rFonts w:ascii="Arial" w:cs="Arial" w:eastAsia="Arial" w:hAnsi="Arial"/>
                <w:sz w:val="11"/>
                <w:szCs w:val="11"/>
                <w:color w:val="auto"/>
              </w:rPr>
              <w:t>Attention:  Managing Director, Wayne</w:t>
            </w:r>
          </w:p>
        </w:tc>
        <w:tc>
          <w:tcPr>
            <w:tcW w:w="4360" w:type="dxa"/>
            <w:vAlign w:val="bottom"/>
          </w:tcPr>
          <w:p>
            <w:pPr>
              <w:spacing w:after="0"/>
              <w:rPr>
                <w:sz w:val="21"/>
                <w:szCs w:val="21"/>
                <w:color w:val="auto"/>
              </w:rPr>
            </w:pPr>
          </w:p>
        </w:tc>
      </w:tr>
      <w:tr>
        <w:trPr>
          <w:trHeight w:val="135"/>
        </w:trPr>
        <w:tc>
          <w:tcPr>
            <w:tcW w:w="300" w:type="dxa"/>
            <w:vAlign w:val="bottom"/>
            <w:tcBorders>
              <w:right w:val="single" w:sz="8" w:color="BFBFBF"/>
            </w:tcBorders>
          </w:tcPr>
          <w:p>
            <w:pPr>
              <w:spacing w:after="0"/>
              <w:rPr>
                <w:sz w:val="11"/>
                <w:szCs w:val="11"/>
                <w:color w:val="auto"/>
              </w:rPr>
            </w:pPr>
          </w:p>
        </w:tc>
        <w:tc>
          <w:tcPr>
            <w:tcW w:w="2140" w:type="dxa"/>
            <w:vAlign w:val="bottom"/>
            <w:tcBorders>
              <w:right w:val="single" w:sz="8" w:color="BFBFBF"/>
            </w:tcBorders>
          </w:tcPr>
          <w:p>
            <w:pPr>
              <w:spacing w:after="0"/>
              <w:rPr>
                <w:sz w:val="11"/>
                <w:szCs w:val="11"/>
                <w:color w:val="auto"/>
              </w:rPr>
            </w:pPr>
          </w:p>
        </w:tc>
        <w:tc>
          <w:tcPr>
            <w:tcW w:w="760" w:type="dxa"/>
            <w:vAlign w:val="bottom"/>
            <w:tcBorders>
              <w:right w:val="single" w:sz="8" w:color="BFBFBF"/>
            </w:tcBorders>
          </w:tcPr>
          <w:p>
            <w:pPr>
              <w:spacing w:after="0"/>
              <w:rPr>
                <w:sz w:val="11"/>
                <w:szCs w:val="11"/>
                <w:color w:val="auto"/>
              </w:rPr>
            </w:pPr>
          </w:p>
        </w:tc>
        <w:tc>
          <w:tcPr>
            <w:tcW w:w="2240" w:type="dxa"/>
            <w:vAlign w:val="bottom"/>
            <w:tcBorders>
              <w:right w:val="single" w:sz="8" w:color="BFBFBF"/>
            </w:tcBorders>
          </w:tcPr>
          <w:p>
            <w:pPr>
              <w:ind w:left="40"/>
              <w:spacing w:after="0"/>
              <w:rPr>
                <w:sz w:val="20"/>
                <w:szCs w:val="20"/>
                <w:color w:val="auto"/>
              </w:rPr>
            </w:pPr>
            <w:r>
              <w:rPr>
                <w:rFonts w:ascii="Arial" w:cs="Arial" w:eastAsia="Arial" w:hAnsi="Arial"/>
                <w:sz w:val="11"/>
                <w:szCs w:val="11"/>
                <w:color w:val="auto"/>
              </w:rPr>
              <w:t>Smith</w:t>
            </w:r>
          </w:p>
        </w:tc>
        <w:tc>
          <w:tcPr>
            <w:tcW w:w="4360" w:type="dxa"/>
            <w:vAlign w:val="bottom"/>
          </w:tcPr>
          <w:p>
            <w:pPr>
              <w:spacing w:after="0"/>
              <w:rPr>
                <w:sz w:val="11"/>
                <w:szCs w:val="11"/>
                <w:color w:val="auto"/>
              </w:rPr>
            </w:pPr>
          </w:p>
        </w:tc>
      </w:tr>
      <w:tr>
        <w:trPr>
          <w:trHeight w:val="207"/>
        </w:trPr>
        <w:tc>
          <w:tcPr>
            <w:tcW w:w="300" w:type="dxa"/>
            <w:vAlign w:val="bottom"/>
            <w:tcBorders>
              <w:right w:val="single" w:sz="8" w:color="BFBFBF"/>
            </w:tcBorders>
          </w:tcPr>
          <w:p>
            <w:pPr>
              <w:spacing w:after="0"/>
              <w:rPr>
                <w:sz w:val="18"/>
                <w:szCs w:val="18"/>
                <w:color w:val="auto"/>
              </w:rPr>
            </w:pPr>
          </w:p>
        </w:tc>
        <w:tc>
          <w:tcPr>
            <w:tcW w:w="2140" w:type="dxa"/>
            <w:vAlign w:val="bottom"/>
            <w:tcBorders>
              <w:right w:val="single" w:sz="8" w:color="BFBFBF"/>
            </w:tcBorders>
          </w:tcPr>
          <w:p>
            <w:pPr>
              <w:spacing w:after="0"/>
              <w:rPr>
                <w:sz w:val="18"/>
                <w:szCs w:val="18"/>
                <w:color w:val="auto"/>
              </w:rPr>
            </w:pPr>
          </w:p>
        </w:tc>
        <w:tc>
          <w:tcPr>
            <w:tcW w:w="760" w:type="dxa"/>
            <w:vAlign w:val="bottom"/>
            <w:tcBorders>
              <w:right w:val="single" w:sz="8" w:color="BFBFBF"/>
            </w:tcBorders>
          </w:tcPr>
          <w:p>
            <w:pPr>
              <w:spacing w:after="0"/>
              <w:rPr>
                <w:sz w:val="18"/>
                <w:szCs w:val="18"/>
                <w:color w:val="auto"/>
              </w:rPr>
            </w:pPr>
          </w:p>
        </w:tc>
        <w:tc>
          <w:tcPr>
            <w:tcW w:w="2240" w:type="dxa"/>
            <w:vAlign w:val="bottom"/>
            <w:tcBorders>
              <w:right w:val="single" w:sz="8" w:color="BFBFBF"/>
            </w:tcBorders>
          </w:tcPr>
          <w:p>
            <w:pPr>
              <w:ind w:left="40"/>
              <w:spacing w:after="0"/>
              <w:rPr>
                <w:sz w:val="20"/>
                <w:szCs w:val="20"/>
                <w:color w:val="auto"/>
              </w:rPr>
            </w:pPr>
            <w:r>
              <w:rPr>
                <w:rFonts w:ascii="Arial" w:cs="Arial" w:eastAsia="Arial" w:hAnsi="Arial"/>
                <w:sz w:val="11"/>
                <w:szCs w:val="11"/>
                <w:color w:val="auto"/>
              </w:rPr>
              <w:t>AND TO:</w:t>
            </w:r>
          </w:p>
        </w:tc>
        <w:tc>
          <w:tcPr>
            <w:tcW w:w="4360" w:type="dxa"/>
            <w:vAlign w:val="bottom"/>
          </w:tcPr>
          <w:p>
            <w:pPr>
              <w:spacing w:after="0"/>
              <w:rPr>
                <w:sz w:val="18"/>
                <w:szCs w:val="18"/>
                <w:color w:val="auto"/>
              </w:rPr>
            </w:pPr>
          </w:p>
        </w:tc>
      </w:tr>
      <w:tr>
        <w:trPr>
          <w:trHeight w:val="234"/>
        </w:trPr>
        <w:tc>
          <w:tcPr>
            <w:tcW w:w="300" w:type="dxa"/>
            <w:vAlign w:val="bottom"/>
            <w:tcBorders>
              <w:right w:val="single" w:sz="8" w:color="BFBFBF"/>
            </w:tcBorders>
          </w:tcPr>
          <w:p>
            <w:pPr>
              <w:spacing w:after="0"/>
              <w:rPr>
                <w:sz w:val="20"/>
                <w:szCs w:val="20"/>
                <w:color w:val="auto"/>
              </w:rPr>
            </w:pPr>
          </w:p>
        </w:tc>
        <w:tc>
          <w:tcPr>
            <w:tcW w:w="2140" w:type="dxa"/>
            <w:vAlign w:val="bottom"/>
            <w:tcBorders>
              <w:right w:val="single" w:sz="8" w:color="BFBFBF"/>
            </w:tcBorders>
          </w:tcPr>
          <w:p>
            <w:pPr>
              <w:spacing w:after="0"/>
              <w:rPr>
                <w:sz w:val="20"/>
                <w:szCs w:val="20"/>
                <w:color w:val="auto"/>
              </w:rPr>
            </w:pPr>
          </w:p>
        </w:tc>
        <w:tc>
          <w:tcPr>
            <w:tcW w:w="760" w:type="dxa"/>
            <w:vAlign w:val="bottom"/>
            <w:tcBorders>
              <w:right w:val="single" w:sz="8" w:color="BFBFBF"/>
            </w:tcBorders>
          </w:tcPr>
          <w:p>
            <w:pPr>
              <w:spacing w:after="0"/>
              <w:rPr>
                <w:sz w:val="20"/>
                <w:szCs w:val="20"/>
                <w:color w:val="auto"/>
              </w:rPr>
            </w:pPr>
          </w:p>
        </w:tc>
        <w:tc>
          <w:tcPr>
            <w:tcW w:w="2240" w:type="dxa"/>
            <w:vAlign w:val="bottom"/>
            <w:tcBorders>
              <w:right w:val="single" w:sz="8" w:color="BFBFBF"/>
            </w:tcBorders>
          </w:tcPr>
          <w:p>
            <w:pPr>
              <w:ind w:left="40"/>
              <w:spacing w:after="0"/>
              <w:rPr>
                <w:sz w:val="20"/>
                <w:szCs w:val="20"/>
                <w:color w:val="auto"/>
              </w:rPr>
            </w:pPr>
            <w:r>
              <w:rPr>
                <w:rFonts w:ascii="Arial" w:cs="Arial" w:eastAsia="Arial" w:hAnsi="Arial"/>
                <w:sz w:val="11"/>
                <w:szCs w:val="11"/>
                <w:color w:val="auto"/>
              </w:rPr>
              <w:t>Reading International Inc.</w:t>
            </w:r>
          </w:p>
        </w:tc>
        <w:tc>
          <w:tcPr>
            <w:tcW w:w="4360" w:type="dxa"/>
            <w:vAlign w:val="bottom"/>
          </w:tcPr>
          <w:p>
            <w:pPr>
              <w:spacing w:after="0"/>
              <w:rPr>
                <w:sz w:val="20"/>
                <w:szCs w:val="20"/>
                <w:color w:val="auto"/>
              </w:rPr>
            </w:pPr>
          </w:p>
        </w:tc>
      </w:tr>
      <w:tr>
        <w:trPr>
          <w:trHeight w:val="162"/>
        </w:trPr>
        <w:tc>
          <w:tcPr>
            <w:tcW w:w="300" w:type="dxa"/>
            <w:vAlign w:val="bottom"/>
            <w:tcBorders>
              <w:right w:val="single" w:sz="8" w:color="BFBFBF"/>
            </w:tcBorders>
          </w:tcPr>
          <w:p>
            <w:pPr>
              <w:spacing w:after="0"/>
              <w:rPr>
                <w:sz w:val="14"/>
                <w:szCs w:val="14"/>
                <w:color w:val="auto"/>
              </w:rPr>
            </w:pPr>
          </w:p>
        </w:tc>
        <w:tc>
          <w:tcPr>
            <w:tcW w:w="2140" w:type="dxa"/>
            <w:vAlign w:val="bottom"/>
            <w:tcBorders>
              <w:right w:val="single" w:sz="8" w:color="BFBFBF"/>
            </w:tcBorders>
          </w:tcPr>
          <w:p>
            <w:pPr>
              <w:spacing w:after="0"/>
              <w:rPr>
                <w:sz w:val="14"/>
                <w:szCs w:val="14"/>
                <w:color w:val="auto"/>
              </w:rPr>
            </w:pPr>
          </w:p>
        </w:tc>
        <w:tc>
          <w:tcPr>
            <w:tcW w:w="760" w:type="dxa"/>
            <w:vAlign w:val="bottom"/>
            <w:tcBorders>
              <w:right w:val="single" w:sz="8" w:color="BFBFBF"/>
            </w:tcBorders>
          </w:tcPr>
          <w:p>
            <w:pPr>
              <w:spacing w:after="0"/>
              <w:rPr>
                <w:sz w:val="14"/>
                <w:szCs w:val="14"/>
                <w:color w:val="auto"/>
              </w:rPr>
            </w:pPr>
          </w:p>
        </w:tc>
        <w:tc>
          <w:tcPr>
            <w:tcW w:w="2240" w:type="dxa"/>
            <w:vAlign w:val="bottom"/>
            <w:tcBorders>
              <w:right w:val="single" w:sz="8" w:color="BFBFBF"/>
            </w:tcBorders>
          </w:tcPr>
          <w:p>
            <w:pPr>
              <w:ind w:left="40"/>
              <w:spacing w:after="0"/>
              <w:rPr>
                <w:sz w:val="20"/>
                <w:szCs w:val="20"/>
                <w:color w:val="auto"/>
              </w:rPr>
            </w:pPr>
            <w:r>
              <w:rPr>
                <w:rFonts w:ascii="Arial" w:cs="Arial" w:eastAsia="Arial" w:hAnsi="Arial"/>
                <w:sz w:val="11"/>
                <w:szCs w:val="11"/>
                <w:color w:val="auto"/>
              </w:rPr>
              <w:t>Address: 6100 Center Drive, Suite 900</w:t>
            </w:r>
          </w:p>
        </w:tc>
        <w:tc>
          <w:tcPr>
            <w:tcW w:w="4360" w:type="dxa"/>
            <w:vAlign w:val="bottom"/>
          </w:tcPr>
          <w:p>
            <w:pPr>
              <w:spacing w:after="0"/>
              <w:rPr>
                <w:sz w:val="14"/>
                <w:szCs w:val="14"/>
                <w:color w:val="auto"/>
              </w:rPr>
            </w:pPr>
          </w:p>
        </w:tc>
      </w:tr>
      <w:tr>
        <w:trPr>
          <w:trHeight w:val="135"/>
        </w:trPr>
        <w:tc>
          <w:tcPr>
            <w:tcW w:w="300" w:type="dxa"/>
            <w:vAlign w:val="bottom"/>
            <w:tcBorders>
              <w:right w:val="single" w:sz="8" w:color="BFBFBF"/>
            </w:tcBorders>
          </w:tcPr>
          <w:p>
            <w:pPr>
              <w:spacing w:after="0"/>
              <w:rPr>
                <w:sz w:val="11"/>
                <w:szCs w:val="11"/>
                <w:color w:val="auto"/>
              </w:rPr>
            </w:pPr>
          </w:p>
        </w:tc>
        <w:tc>
          <w:tcPr>
            <w:tcW w:w="2140" w:type="dxa"/>
            <w:vAlign w:val="bottom"/>
            <w:tcBorders>
              <w:right w:val="single" w:sz="8" w:color="BFBFBF"/>
            </w:tcBorders>
          </w:tcPr>
          <w:p>
            <w:pPr>
              <w:spacing w:after="0"/>
              <w:rPr>
                <w:sz w:val="11"/>
                <w:szCs w:val="11"/>
                <w:color w:val="auto"/>
              </w:rPr>
            </w:pPr>
          </w:p>
        </w:tc>
        <w:tc>
          <w:tcPr>
            <w:tcW w:w="760" w:type="dxa"/>
            <w:vAlign w:val="bottom"/>
            <w:tcBorders>
              <w:right w:val="single" w:sz="8" w:color="BFBFBF"/>
            </w:tcBorders>
          </w:tcPr>
          <w:p>
            <w:pPr>
              <w:spacing w:after="0"/>
              <w:rPr>
                <w:sz w:val="11"/>
                <w:szCs w:val="11"/>
                <w:color w:val="auto"/>
              </w:rPr>
            </w:pPr>
          </w:p>
        </w:tc>
        <w:tc>
          <w:tcPr>
            <w:tcW w:w="2240" w:type="dxa"/>
            <w:vAlign w:val="bottom"/>
            <w:tcBorders>
              <w:right w:val="single" w:sz="8" w:color="BFBFBF"/>
            </w:tcBorders>
          </w:tcPr>
          <w:p>
            <w:pPr>
              <w:ind w:left="40"/>
              <w:spacing w:after="0"/>
              <w:rPr>
                <w:sz w:val="20"/>
                <w:szCs w:val="20"/>
                <w:color w:val="auto"/>
              </w:rPr>
            </w:pPr>
            <w:r>
              <w:rPr>
                <w:rFonts w:ascii="Arial" w:cs="Arial" w:eastAsia="Arial" w:hAnsi="Arial"/>
                <w:sz w:val="11"/>
                <w:szCs w:val="11"/>
                <w:color w:val="auto"/>
              </w:rPr>
              <w:t>Los Angeles California 90045</w:t>
            </w:r>
          </w:p>
        </w:tc>
        <w:tc>
          <w:tcPr>
            <w:tcW w:w="4360" w:type="dxa"/>
            <w:vAlign w:val="bottom"/>
          </w:tcPr>
          <w:p>
            <w:pPr>
              <w:spacing w:after="0"/>
              <w:rPr>
                <w:sz w:val="11"/>
                <w:szCs w:val="11"/>
                <w:color w:val="auto"/>
              </w:rPr>
            </w:pPr>
          </w:p>
        </w:tc>
      </w:tr>
      <w:tr>
        <w:trPr>
          <w:trHeight w:val="180"/>
        </w:trPr>
        <w:tc>
          <w:tcPr>
            <w:tcW w:w="300" w:type="dxa"/>
            <w:vAlign w:val="bottom"/>
            <w:tcBorders>
              <w:right w:val="single" w:sz="8" w:color="BFBFBF"/>
            </w:tcBorders>
          </w:tcPr>
          <w:p>
            <w:pPr>
              <w:spacing w:after="0"/>
              <w:rPr>
                <w:sz w:val="15"/>
                <w:szCs w:val="15"/>
                <w:color w:val="auto"/>
              </w:rPr>
            </w:pPr>
          </w:p>
        </w:tc>
        <w:tc>
          <w:tcPr>
            <w:tcW w:w="2140" w:type="dxa"/>
            <w:vAlign w:val="bottom"/>
            <w:tcBorders>
              <w:right w:val="single" w:sz="8" w:color="BFBFBF"/>
            </w:tcBorders>
          </w:tcPr>
          <w:p>
            <w:pPr>
              <w:spacing w:after="0"/>
              <w:rPr>
                <w:sz w:val="15"/>
                <w:szCs w:val="15"/>
                <w:color w:val="auto"/>
              </w:rPr>
            </w:pPr>
          </w:p>
        </w:tc>
        <w:tc>
          <w:tcPr>
            <w:tcW w:w="760" w:type="dxa"/>
            <w:vAlign w:val="bottom"/>
            <w:tcBorders>
              <w:right w:val="single" w:sz="8" w:color="BFBFBF"/>
            </w:tcBorders>
          </w:tcPr>
          <w:p>
            <w:pPr>
              <w:spacing w:after="0"/>
              <w:rPr>
                <w:sz w:val="15"/>
                <w:szCs w:val="15"/>
                <w:color w:val="auto"/>
              </w:rPr>
            </w:pPr>
          </w:p>
        </w:tc>
        <w:tc>
          <w:tcPr>
            <w:tcW w:w="2240" w:type="dxa"/>
            <w:vAlign w:val="bottom"/>
            <w:tcBorders>
              <w:right w:val="single" w:sz="8" w:color="BFBFBF"/>
            </w:tcBorders>
          </w:tcPr>
          <w:p>
            <w:pPr>
              <w:ind w:left="40"/>
              <w:spacing w:after="0"/>
              <w:rPr>
                <w:sz w:val="20"/>
                <w:szCs w:val="20"/>
                <w:color w:val="auto"/>
              </w:rPr>
            </w:pPr>
            <w:r>
              <w:rPr>
                <w:rFonts w:ascii="Arial" w:cs="Arial" w:eastAsia="Arial" w:hAnsi="Arial"/>
                <w:sz w:val="11"/>
                <w:szCs w:val="11"/>
                <w:color w:val="auto"/>
              </w:rPr>
              <w:t>United States of America</w:t>
            </w:r>
          </w:p>
        </w:tc>
        <w:tc>
          <w:tcPr>
            <w:tcW w:w="4360" w:type="dxa"/>
            <w:vAlign w:val="bottom"/>
          </w:tcPr>
          <w:p>
            <w:pPr>
              <w:spacing w:after="0"/>
              <w:rPr>
                <w:sz w:val="15"/>
                <w:szCs w:val="15"/>
                <w:color w:val="auto"/>
              </w:rPr>
            </w:pPr>
          </w:p>
        </w:tc>
      </w:tr>
      <w:tr>
        <w:trPr>
          <w:trHeight w:val="198"/>
        </w:trPr>
        <w:tc>
          <w:tcPr>
            <w:tcW w:w="300" w:type="dxa"/>
            <w:vAlign w:val="bottom"/>
            <w:tcBorders>
              <w:right w:val="single" w:sz="8" w:color="BFBFBF"/>
            </w:tcBorders>
          </w:tcPr>
          <w:p>
            <w:pPr>
              <w:spacing w:after="0"/>
              <w:rPr>
                <w:sz w:val="17"/>
                <w:szCs w:val="17"/>
                <w:color w:val="auto"/>
              </w:rPr>
            </w:pPr>
          </w:p>
        </w:tc>
        <w:tc>
          <w:tcPr>
            <w:tcW w:w="2140" w:type="dxa"/>
            <w:vAlign w:val="bottom"/>
            <w:tcBorders>
              <w:right w:val="single" w:sz="8" w:color="BFBFBF"/>
            </w:tcBorders>
          </w:tcPr>
          <w:p>
            <w:pPr>
              <w:spacing w:after="0"/>
              <w:rPr>
                <w:sz w:val="17"/>
                <w:szCs w:val="17"/>
                <w:color w:val="auto"/>
              </w:rPr>
            </w:pPr>
          </w:p>
        </w:tc>
        <w:tc>
          <w:tcPr>
            <w:tcW w:w="760" w:type="dxa"/>
            <w:vAlign w:val="bottom"/>
            <w:tcBorders>
              <w:right w:val="single" w:sz="8" w:color="BFBFBF"/>
            </w:tcBorders>
          </w:tcPr>
          <w:p>
            <w:pPr>
              <w:spacing w:after="0"/>
              <w:rPr>
                <w:sz w:val="17"/>
                <w:szCs w:val="17"/>
                <w:color w:val="auto"/>
              </w:rPr>
            </w:pPr>
          </w:p>
        </w:tc>
        <w:tc>
          <w:tcPr>
            <w:tcW w:w="2240" w:type="dxa"/>
            <w:vAlign w:val="bottom"/>
            <w:tcBorders>
              <w:right w:val="single" w:sz="8" w:color="BFBFBF"/>
            </w:tcBorders>
          </w:tcPr>
          <w:p>
            <w:pPr>
              <w:ind w:left="40"/>
              <w:spacing w:after="0"/>
              <w:rPr>
                <w:sz w:val="20"/>
                <w:szCs w:val="20"/>
                <w:color w:val="auto"/>
              </w:rPr>
            </w:pPr>
            <w:r>
              <w:rPr>
                <w:rFonts w:ascii="Arial" w:cs="Arial" w:eastAsia="Arial" w:hAnsi="Arial"/>
                <w:sz w:val="11"/>
                <w:szCs w:val="11"/>
                <w:color w:val="auto"/>
              </w:rPr>
              <w:t>Fax: +1 213 235 2229</w:t>
            </w:r>
          </w:p>
        </w:tc>
        <w:tc>
          <w:tcPr>
            <w:tcW w:w="4360" w:type="dxa"/>
            <w:vAlign w:val="bottom"/>
          </w:tcPr>
          <w:p>
            <w:pPr>
              <w:spacing w:after="0"/>
              <w:rPr>
                <w:sz w:val="17"/>
                <w:szCs w:val="17"/>
                <w:color w:val="auto"/>
              </w:rPr>
            </w:pPr>
          </w:p>
        </w:tc>
      </w:tr>
      <w:tr>
        <w:trPr>
          <w:trHeight w:val="162"/>
        </w:trPr>
        <w:tc>
          <w:tcPr>
            <w:tcW w:w="300" w:type="dxa"/>
            <w:vAlign w:val="bottom"/>
            <w:tcBorders>
              <w:right w:val="single" w:sz="8" w:color="BFBFBF"/>
            </w:tcBorders>
          </w:tcPr>
          <w:p>
            <w:pPr>
              <w:spacing w:after="0"/>
              <w:rPr>
                <w:sz w:val="14"/>
                <w:szCs w:val="14"/>
                <w:color w:val="auto"/>
              </w:rPr>
            </w:pPr>
          </w:p>
        </w:tc>
        <w:tc>
          <w:tcPr>
            <w:tcW w:w="2140" w:type="dxa"/>
            <w:vAlign w:val="bottom"/>
            <w:tcBorders>
              <w:right w:val="single" w:sz="8" w:color="BFBFBF"/>
            </w:tcBorders>
          </w:tcPr>
          <w:p>
            <w:pPr>
              <w:spacing w:after="0"/>
              <w:rPr>
                <w:sz w:val="14"/>
                <w:szCs w:val="14"/>
                <w:color w:val="auto"/>
              </w:rPr>
            </w:pPr>
          </w:p>
        </w:tc>
        <w:tc>
          <w:tcPr>
            <w:tcW w:w="760" w:type="dxa"/>
            <w:vAlign w:val="bottom"/>
            <w:tcBorders>
              <w:right w:val="single" w:sz="8" w:color="BFBFBF"/>
            </w:tcBorders>
          </w:tcPr>
          <w:p>
            <w:pPr>
              <w:spacing w:after="0"/>
              <w:rPr>
                <w:sz w:val="14"/>
                <w:szCs w:val="14"/>
                <w:color w:val="auto"/>
              </w:rPr>
            </w:pPr>
          </w:p>
        </w:tc>
        <w:tc>
          <w:tcPr>
            <w:tcW w:w="2240" w:type="dxa"/>
            <w:vAlign w:val="bottom"/>
            <w:tcBorders>
              <w:right w:val="single" w:sz="8" w:color="BFBFBF"/>
            </w:tcBorders>
          </w:tcPr>
          <w:p>
            <w:pPr>
              <w:ind w:left="40"/>
              <w:spacing w:after="0"/>
              <w:rPr>
                <w:sz w:val="20"/>
                <w:szCs w:val="20"/>
                <w:color w:val="auto"/>
              </w:rPr>
            </w:pPr>
            <w:r>
              <w:rPr>
                <w:rFonts w:ascii="Arial" w:cs="Arial" w:eastAsia="Arial" w:hAnsi="Arial"/>
                <w:sz w:val="11"/>
                <w:szCs w:val="11"/>
                <w:color w:val="auto"/>
              </w:rPr>
              <w:t>Attention: Chief Financial Officer, Dev</w:t>
            </w:r>
          </w:p>
        </w:tc>
        <w:tc>
          <w:tcPr>
            <w:tcW w:w="4360" w:type="dxa"/>
            <w:vAlign w:val="bottom"/>
          </w:tcPr>
          <w:p>
            <w:pPr>
              <w:spacing w:after="0"/>
              <w:rPr>
                <w:sz w:val="14"/>
                <w:szCs w:val="14"/>
                <w:color w:val="auto"/>
              </w:rPr>
            </w:pPr>
          </w:p>
        </w:tc>
      </w:tr>
      <w:tr>
        <w:trPr>
          <w:trHeight w:val="135"/>
        </w:trPr>
        <w:tc>
          <w:tcPr>
            <w:tcW w:w="300" w:type="dxa"/>
            <w:vAlign w:val="bottom"/>
            <w:tcBorders>
              <w:right w:val="single" w:sz="8" w:color="BFBFBF"/>
            </w:tcBorders>
          </w:tcPr>
          <w:p>
            <w:pPr>
              <w:spacing w:after="0"/>
              <w:rPr>
                <w:sz w:val="11"/>
                <w:szCs w:val="11"/>
                <w:color w:val="auto"/>
              </w:rPr>
            </w:pPr>
          </w:p>
        </w:tc>
        <w:tc>
          <w:tcPr>
            <w:tcW w:w="2140" w:type="dxa"/>
            <w:vAlign w:val="bottom"/>
            <w:tcBorders>
              <w:right w:val="single" w:sz="8" w:color="BFBFBF"/>
            </w:tcBorders>
          </w:tcPr>
          <w:p>
            <w:pPr>
              <w:spacing w:after="0"/>
              <w:rPr>
                <w:sz w:val="11"/>
                <w:szCs w:val="11"/>
                <w:color w:val="auto"/>
              </w:rPr>
            </w:pPr>
          </w:p>
        </w:tc>
        <w:tc>
          <w:tcPr>
            <w:tcW w:w="760" w:type="dxa"/>
            <w:vAlign w:val="bottom"/>
            <w:tcBorders>
              <w:right w:val="single" w:sz="8" w:color="BFBFBF"/>
            </w:tcBorders>
          </w:tcPr>
          <w:p>
            <w:pPr>
              <w:spacing w:after="0"/>
              <w:rPr>
                <w:sz w:val="11"/>
                <w:szCs w:val="11"/>
                <w:color w:val="auto"/>
              </w:rPr>
            </w:pPr>
          </w:p>
        </w:tc>
        <w:tc>
          <w:tcPr>
            <w:tcW w:w="2240" w:type="dxa"/>
            <w:vAlign w:val="bottom"/>
            <w:tcBorders>
              <w:right w:val="single" w:sz="8" w:color="BFBFBF"/>
            </w:tcBorders>
          </w:tcPr>
          <w:p>
            <w:pPr>
              <w:ind w:left="40"/>
              <w:spacing w:after="0"/>
              <w:rPr>
                <w:sz w:val="20"/>
                <w:szCs w:val="20"/>
                <w:color w:val="auto"/>
              </w:rPr>
            </w:pPr>
            <w:r>
              <w:rPr>
                <w:rFonts w:ascii="Arial" w:cs="Arial" w:eastAsia="Arial" w:hAnsi="Arial"/>
                <w:sz w:val="11"/>
                <w:szCs w:val="11"/>
                <w:color w:val="auto"/>
              </w:rPr>
              <w:t>Ghose</w:t>
            </w:r>
          </w:p>
        </w:tc>
        <w:tc>
          <w:tcPr>
            <w:tcW w:w="4360" w:type="dxa"/>
            <w:vAlign w:val="bottom"/>
          </w:tcPr>
          <w:p>
            <w:pPr>
              <w:spacing w:after="0"/>
              <w:rPr>
                <w:sz w:val="11"/>
                <w:szCs w:val="11"/>
                <w:color w:val="auto"/>
              </w:rPr>
            </w:pPr>
          </w:p>
        </w:tc>
      </w:tr>
      <w:tr>
        <w:trPr>
          <w:trHeight w:val="319"/>
        </w:trPr>
        <w:tc>
          <w:tcPr>
            <w:tcW w:w="300" w:type="dxa"/>
            <w:vAlign w:val="bottom"/>
            <w:tcBorders>
              <w:right w:val="single" w:sz="8" w:color="BFBFBF"/>
            </w:tcBorders>
          </w:tcPr>
          <w:p>
            <w:pPr>
              <w:spacing w:after="0"/>
              <w:rPr>
                <w:sz w:val="24"/>
                <w:szCs w:val="24"/>
                <w:color w:val="auto"/>
              </w:rPr>
            </w:pPr>
          </w:p>
        </w:tc>
        <w:tc>
          <w:tcPr>
            <w:tcW w:w="2140" w:type="dxa"/>
            <w:vAlign w:val="bottom"/>
            <w:tcBorders>
              <w:bottom w:val="single" w:sz="8" w:color="BFBFBF"/>
              <w:right w:val="single" w:sz="8" w:color="BFBFBF"/>
            </w:tcBorders>
          </w:tcPr>
          <w:p>
            <w:pPr>
              <w:spacing w:after="0"/>
              <w:rPr>
                <w:sz w:val="24"/>
                <w:szCs w:val="24"/>
                <w:color w:val="auto"/>
              </w:rPr>
            </w:pPr>
          </w:p>
        </w:tc>
        <w:tc>
          <w:tcPr>
            <w:tcW w:w="760" w:type="dxa"/>
            <w:vAlign w:val="bottom"/>
            <w:tcBorders>
              <w:bottom w:val="single" w:sz="8" w:color="BFBFBF"/>
              <w:right w:val="single" w:sz="8" w:color="BFBFBF"/>
            </w:tcBorders>
          </w:tcPr>
          <w:p>
            <w:pPr>
              <w:spacing w:after="0"/>
              <w:rPr>
                <w:sz w:val="24"/>
                <w:szCs w:val="24"/>
                <w:color w:val="auto"/>
              </w:rPr>
            </w:pPr>
          </w:p>
        </w:tc>
        <w:tc>
          <w:tcPr>
            <w:tcW w:w="2240" w:type="dxa"/>
            <w:vAlign w:val="bottom"/>
            <w:tcBorders>
              <w:bottom w:val="single" w:sz="8" w:color="BFBFBF"/>
              <w:right w:val="single" w:sz="8" w:color="BFBFBF"/>
            </w:tcBorders>
          </w:tcPr>
          <w:p>
            <w:pPr>
              <w:spacing w:after="0"/>
              <w:rPr>
                <w:sz w:val="24"/>
                <w:szCs w:val="24"/>
                <w:color w:val="auto"/>
              </w:rPr>
            </w:pPr>
          </w:p>
        </w:tc>
        <w:tc>
          <w:tcPr>
            <w:tcW w:w="4360" w:type="dxa"/>
            <w:vAlign w:val="bottom"/>
          </w:tcPr>
          <w:p>
            <w:pPr>
              <w:spacing w:after="0"/>
              <w:rPr>
                <w:sz w:val="24"/>
                <w:szCs w:val="24"/>
                <w:color w:val="auto"/>
              </w:rPr>
            </w:pPr>
          </w:p>
        </w:tc>
      </w:tr>
      <w:tr>
        <w:trPr>
          <w:trHeight w:val="228"/>
        </w:trPr>
        <w:tc>
          <w:tcPr>
            <w:tcW w:w="300" w:type="dxa"/>
            <w:vAlign w:val="bottom"/>
            <w:tcBorders>
              <w:right w:val="single" w:sz="8" w:color="BFBFBF"/>
            </w:tcBorders>
          </w:tcPr>
          <w:p>
            <w:pPr>
              <w:spacing w:after="0"/>
              <w:rPr>
                <w:sz w:val="19"/>
                <w:szCs w:val="19"/>
                <w:color w:val="auto"/>
              </w:rPr>
            </w:pPr>
          </w:p>
        </w:tc>
        <w:tc>
          <w:tcPr>
            <w:tcW w:w="2140" w:type="dxa"/>
            <w:vAlign w:val="bottom"/>
            <w:tcBorders>
              <w:right w:val="single" w:sz="8" w:color="BFBFBF"/>
            </w:tcBorders>
          </w:tcPr>
          <w:p>
            <w:pPr>
              <w:ind w:left="60"/>
              <w:spacing w:after="0"/>
              <w:rPr>
                <w:sz w:val="20"/>
                <w:szCs w:val="20"/>
                <w:color w:val="auto"/>
              </w:rPr>
            </w:pPr>
            <w:r>
              <w:rPr>
                <w:rFonts w:ascii="Arial" w:cs="Arial" w:eastAsia="Arial" w:hAnsi="Arial"/>
                <w:sz w:val="11"/>
                <w:szCs w:val="11"/>
                <w:color w:val="auto"/>
              </w:rPr>
              <w:t>Australia Country Cinemas Pty Ltd</w:t>
            </w:r>
          </w:p>
        </w:tc>
        <w:tc>
          <w:tcPr>
            <w:tcW w:w="760" w:type="dxa"/>
            <w:vAlign w:val="bottom"/>
            <w:tcBorders>
              <w:right w:val="single" w:sz="8" w:color="BFBFBF"/>
            </w:tcBorders>
          </w:tcPr>
          <w:p>
            <w:pPr>
              <w:ind w:left="40"/>
              <w:spacing w:after="0"/>
              <w:rPr>
                <w:sz w:val="20"/>
                <w:szCs w:val="20"/>
                <w:color w:val="auto"/>
              </w:rPr>
            </w:pPr>
            <w:r>
              <w:rPr>
                <w:rFonts w:ascii="Arial" w:cs="Arial" w:eastAsia="Arial" w:hAnsi="Arial"/>
                <w:sz w:val="11"/>
                <w:szCs w:val="11"/>
                <w:color w:val="auto"/>
              </w:rPr>
              <w:t>076 276 349</w:t>
            </w:r>
          </w:p>
        </w:tc>
        <w:tc>
          <w:tcPr>
            <w:tcW w:w="2240" w:type="dxa"/>
            <w:vAlign w:val="bottom"/>
            <w:tcBorders>
              <w:right w:val="single" w:sz="8" w:color="BFBFBF"/>
            </w:tcBorders>
          </w:tcPr>
          <w:p>
            <w:pPr>
              <w:ind w:left="40"/>
              <w:spacing w:after="0"/>
              <w:rPr>
                <w:sz w:val="20"/>
                <w:szCs w:val="20"/>
                <w:color w:val="auto"/>
              </w:rPr>
            </w:pPr>
            <w:r>
              <w:rPr>
                <w:rFonts w:ascii="Arial" w:cs="Arial" w:eastAsia="Arial" w:hAnsi="Arial"/>
                <w:sz w:val="11"/>
                <w:szCs w:val="11"/>
                <w:color w:val="auto"/>
              </w:rPr>
              <w:t>Same as for Borrower</w:t>
            </w:r>
          </w:p>
        </w:tc>
        <w:tc>
          <w:tcPr>
            <w:tcW w:w="4360" w:type="dxa"/>
            <w:vAlign w:val="bottom"/>
          </w:tcPr>
          <w:p>
            <w:pPr>
              <w:spacing w:after="0"/>
              <w:rPr>
                <w:sz w:val="19"/>
                <w:szCs w:val="19"/>
                <w:color w:val="auto"/>
              </w:rPr>
            </w:pPr>
          </w:p>
        </w:tc>
      </w:tr>
      <w:tr>
        <w:trPr>
          <w:trHeight w:val="67"/>
        </w:trPr>
        <w:tc>
          <w:tcPr>
            <w:tcW w:w="300" w:type="dxa"/>
            <w:vAlign w:val="bottom"/>
            <w:tcBorders>
              <w:right w:val="single" w:sz="8" w:color="BFBFBF"/>
            </w:tcBorders>
          </w:tcPr>
          <w:p>
            <w:pPr>
              <w:spacing w:after="0"/>
              <w:rPr>
                <w:sz w:val="5"/>
                <w:szCs w:val="5"/>
                <w:color w:val="auto"/>
              </w:rPr>
            </w:pPr>
          </w:p>
        </w:tc>
        <w:tc>
          <w:tcPr>
            <w:tcW w:w="2140" w:type="dxa"/>
            <w:vAlign w:val="bottom"/>
            <w:tcBorders>
              <w:bottom w:val="single" w:sz="8" w:color="BFBFBF"/>
              <w:right w:val="single" w:sz="8" w:color="BFBFBF"/>
            </w:tcBorders>
          </w:tcPr>
          <w:p>
            <w:pPr>
              <w:spacing w:after="0"/>
              <w:rPr>
                <w:sz w:val="5"/>
                <w:szCs w:val="5"/>
                <w:color w:val="auto"/>
              </w:rPr>
            </w:pPr>
          </w:p>
        </w:tc>
        <w:tc>
          <w:tcPr>
            <w:tcW w:w="760" w:type="dxa"/>
            <w:vAlign w:val="bottom"/>
            <w:tcBorders>
              <w:bottom w:val="single" w:sz="8" w:color="BFBFBF"/>
              <w:right w:val="single" w:sz="8" w:color="BFBFBF"/>
            </w:tcBorders>
          </w:tcPr>
          <w:p>
            <w:pPr>
              <w:spacing w:after="0"/>
              <w:rPr>
                <w:sz w:val="5"/>
                <w:szCs w:val="5"/>
                <w:color w:val="auto"/>
              </w:rPr>
            </w:pPr>
          </w:p>
        </w:tc>
        <w:tc>
          <w:tcPr>
            <w:tcW w:w="2240" w:type="dxa"/>
            <w:vAlign w:val="bottom"/>
            <w:tcBorders>
              <w:bottom w:val="single" w:sz="8" w:color="BFBFBF"/>
              <w:right w:val="single" w:sz="8" w:color="BFBFBF"/>
            </w:tcBorders>
          </w:tcPr>
          <w:p>
            <w:pPr>
              <w:spacing w:after="0"/>
              <w:rPr>
                <w:sz w:val="5"/>
                <w:szCs w:val="5"/>
                <w:color w:val="auto"/>
              </w:rPr>
            </w:pPr>
          </w:p>
        </w:tc>
        <w:tc>
          <w:tcPr>
            <w:tcW w:w="4360" w:type="dxa"/>
            <w:vAlign w:val="bottom"/>
          </w:tcPr>
          <w:p>
            <w:pPr>
              <w:spacing w:after="0"/>
              <w:rPr>
                <w:sz w:val="5"/>
                <w:szCs w:val="5"/>
                <w:color w:val="auto"/>
              </w:rPr>
            </w:pPr>
          </w:p>
        </w:tc>
      </w:tr>
      <w:tr>
        <w:trPr>
          <w:trHeight w:val="228"/>
        </w:trPr>
        <w:tc>
          <w:tcPr>
            <w:tcW w:w="300" w:type="dxa"/>
            <w:vAlign w:val="bottom"/>
            <w:tcBorders>
              <w:right w:val="single" w:sz="8" w:color="BFBFBF"/>
            </w:tcBorders>
          </w:tcPr>
          <w:p>
            <w:pPr>
              <w:spacing w:after="0"/>
              <w:rPr>
                <w:sz w:val="19"/>
                <w:szCs w:val="19"/>
                <w:color w:val="auto"/>
              </w:rPr>
            </w:pPr>
          </w:p>
        </w:tc>
        <w:tc>
          <w:tcPr>
            <w:tcW w:w="2140" w:type="dxa"/>
            <w:vAlign w:val="bottom"/>
            <w:tcBorders>
              <w:right w:val="single" w:sz="8" w:color="BFBFBF"/>
            </w:tcBorders>
          </w:tcPr>
          <w:p>
            <w:pPr>
              <w:ind w:left="60"/>
              <w:spacing w:after="0"/>
              <w:rPr>
                <w:sz w:val="20"/>
                <w:szCs w:val="20"/>
                <w:color w:val="auto"/>
              </w:rPr>
            </w:pPr>
            <w:r>
              <w:rPr>
                <w:rFonts w:ascii="Arial" w:cs="Arial" w:eastAsia="Arial" w:hAnsi="Arial"/>
                <w:sz w:val="11"/>
                <w:szCs w:val="11"/>
                <w:color w:val="auto"/>
              </w:rPr>
              <w:t>Australian Equipment Supply Pty Ltd</w:t>
            </w:r>
          </w:p>
        </w:tc>
        <w:tc>
          <w:tcPr>
            <w:tcW w:w="760" w:type="dxa"/>
            <w:vAlign w:val="bottom"/>
            <w:tcBorders>
              <w:right w:val="single" w:sz="8" w:color="BFBFBF"/>
            </w:tcBorders>
          </w:tcPr>
          <w:p>
            <w:pPr>
              <w:ind w:left="40"/>
              <w:spacing w:after="0"/>
              <w:rPr>
                <w:sz w:val="20"/>
                <w:szCs w:val="20"/>
                <w:color w:val="auto"/>
              </w:rPr>
            </w:pPr>
            <w:r>
              <w:rPr>
                <w:rFonts w:ascii="Arial" w:cs="Arial" w:eastAsia="Arial" w:hAnsi="Arial"/>
                <w:sz w:val="11"/>
                <w:szCs w:val="11"/>
                <w:color w:val="auto"/>
              </w:rPr>
              <w:t>122 571 420</w:t>
            </w:r>
          </w:p>
        </w:tc>
        <w:tc>
          <w:tcPr>
            <w:tcW w:w="2240" w:type="dxa"/>
            <w:vAlign w:val="bottom"/>
            <w:tcBorders>
              <w:right w:val="single" w:sz="8" w:color="BFBFBF"/>
            </w:tcBorders>
          </w:tcPr>
          <w:p>
            <w:pPr>
              <w:ind w:left="40"/>
              <w:spacing w:after="0"/>
              <w:rPr>
                <w:sz w:val="20"/>
                <w:szCs w:val="20"/>
                <w:color w:val="auto"/>
              </w:rPr>
            </w:pPr>
            <w:r>
              <w:rPr>
                <w:rFonts w:ascii="Arial" w:cs="Arial" w:eastAsia="Arial" w:hAnsi="Arial"/>
                <w:sz w:val="11"/>
                <w:szCs w:val="11"/>
                <w:color w:val="auto"/>
              </w:rPr>
              <w:t>Same as for Borrower</w:t>
            </w:r>
          </w:p>
        </w:tc>
        <w:tc>
          <w:tcPr>
            <w:tcW w:w="4360" w:type="dxa"/>
            <w:vAlign w:val="bottom"/>
          </w:tcPr>
          <w:p>
            <w:pPr>
              <w:spacing w:after="0"/>
              <w:rPr>
                <w:sz w:val="19"/>
                <w:szCs w:val="19"/>
                <w:color w:val="auto"/>
              </w:rPr>
            </w:pPr>
          </w:p>
        </w:tc>
      </w:tr>
      <w:tr>
        <w:trPr>
          <w:trHeight w:val="67"/>
        </w:trPr>
        <w:tc>
          <w:tcPr>
            <w:tcW w:w="300" w:type="dxa"/>
            <w:vAlign w:val="bottom"/>
            <w:tcBorders>
              <w:right w:val="single" w:sz="8" w:color="BFBFBF"/>
            </w:tcBorders>
          </w:tcPr>
          <w:p>
            <w:pPr>
              <w:spacing w:after="0"/>
              <w:rPr>
                <w:sz w:val="5"/>
                <w:szCs w:val="5"/>
                <w:color w:val="auto"/>
              </w:rPr>
            </w:pPr>
          </w:p>
        </w:tc>
        <w:tc>
          <w:tcPr>
            <w:tcW w:w="2140" w:type="dxa"/>
            <w:vAlign w:val="bottom"/>
            <w:tcBorders>
              <w:bottom w:val="single" w:sz="8" w:color="BFBFBF"/>
              <w:right w:val="single" w:sz="8" w:color="BFBFBF"/>
            </w:tcBorders>
          </w:tcPr>
          <w:p>
            <w:pPr>
              <w:spacing w:after="0"/>
              <w:rPr>
                <w:sz w:val="5"/>
                <w:szCs w:val="5"/>
                <w:color w:val="auto"/>
              </w:rPr>
            </w:pPr>
          </w:p>
        </w:tc>
        <w:tc>
          <w:tcPr>
            <w:tcW w:w="760" w:type="dxa"/>
            <w:vAlign w:val="bottom"/>
            <w:tcBorders>
              <w:bottom w:val="single" w:sz="8" w:color="BFBFBF"/>
              <w:right w:val="single" w:sz="8" w:color="BFBFBF"/>
            </w:tcBorders>
          </w:tcPr>
          <w:p>
            <w:pPr>
              <w:spacing w:after="0"/>
              <w:rPr>
                <w:sz w:val="5"/>
                <w:szCs w:val="5"/>
                <w:color w:val="auto"/>
              </w:rPr>
            </w:pPr>
          </w:p>
        </w:tc>
        <w:tc>
          <w:tcPr>
            <w:tcW w:w="2240" w:type="dxa"/>
            <w:vAlign w:val="bottom"/>
            <w:tcBorders>
              <w:bottom w:val="single" w:sz="8" w:color="BFBFBF"/>
              <w:right w:val="single" w:sz="8" w:color="BFBFBF"/>
            </w:tcBorders>
          </w:tcPr>
          <w:p>
            <w:pPr>
              <w:spacing w:after="0"/>
              <w:rPr>
                <w:sz w:val="5"/>
                <w:szCs w:val="5"/>
                <w:color w:val="auto"/>
              </w:rPr>
            </w:pPr>
          </w:p>
        </w:tc>
        <w:tc>
          <w:tcPr>
            <w:tcW w:w="4360" w:type="dxa"/>
            <w:vAlign w:val="bottom"/>
          </w:tcPr>
          <w:p>
            <w:pPr>
              <w:spacing w:after="0"/>
              <w:rPr>
                <w:sz w:val="5"/>
                <w:szCs w:val="5"/>
                <w:color w:val="auto"/>
              </w:rPr>
            </w:pPr>
          </w:p>
        </w:tc>
      </w:tr>
      <w:tr>
        <w:trPr>
          <w:trHeight w:val="228"/>
        </w:trPr>
        <w:tc>
          <w:tcPr>
            <w:tcW w:w="300" w:type="dxa"/>
            <w:vAlign w:val="bottom"/>
            <w:tcBorders>
              <w:right w:val="single" w:sz="8" w:color="BFBFBF"/>
            </w:tcBorders>
          </w:tcPr>
          <w:p>
            <w:pPr>
              <w:spacing w:after="0"/>
              <w:rPr>
                <w:sz w:val="19"/>
                <w:szCs w:val="19"/>
                <w:color w:val="auto"/>
              </w:rPr>
            </w:pPr>
          </w:p>
        </w:tc>
        <w:tc>
          <w:tcPr>
            <w:tcW w:w="2140" w:type="dxa"/>
            <w:vAlign w:val="bottom"/>
            <w:tcBorders>
              <w:right w:val="single" w:sz="8" w:color="BFBFBF"/>
            </w:tcBorders>
          </w:tcPr>
          <w:p>
            <w:pPr>
              <w:ind w:left="60"/>
              <w:spacing w:after="0"/>
              <w:rPr>
                <w:sz w:val="20"/>
                <w:szCs w:val="20"/>
                <w:color w:val="auto"/>
              </w:rPr>
            </w:pPr>
            <w:r>
              <w:rPr>
                <w:rFonts w:ascii="Arial" w:cs="Arial" w:eastAsia="Arial" w:hAnsi="Arial"/>
                <w:sz w:val="11"/>
                <w:szCs w:val="11"/>
                <w:color w:val="auto"/>
              </w:rPr>
              <w:t>Burwood Developments Pty Ltd</w:t>
            </w:r>
          </w:p>
        </w:tc>
        <w:tc>
          <w:tcPr>
            <w:tcW w:w="760" w:type="dxa"/>
            <w:vAlign w:val="bottom"/>
            <w:tcBorders>
              <w:right w:val="single" w:sz="8" w:color="BFBFBF"/>
            </w:tcBorders>
          </w:tcPr>
          <w:p>
            <w:pPr>
              <w:ind w:left="40"/>
              <w:spacing w:after="0"/>
              <w:rPr>
                <w:sz w:val="20"/>
                <w:szCs w:val="20"/>
                <w:color w:val="auto"/>
              </w:rPr>
            </w:pPr>
            <w:r>
              <w:rPr>
                <w:rFonts w:ascii="Arial" w:cs="Arial" w:eastAsia="Arial" w:hAnsi="Arial"/>
                <w:sz w:val="11"/>
                <w:szCs w:val="11"/>
                <w:color w:val="auto"/>
              </w:rPr>
              <w:t>105 384 905</w:t>
            </w:r>
          </w:p>
        </w:tc>
        <w:tc>
          <w:tcPr>
            <w:tcW w:w="2240" w:type="dxa"/>
            <w:vAlign w:val="bottom"/>
            <w:tcBorders>
              <w:right w:val="single" w:sz="8" w:color="BFBFBF"/>
            </w:tcBorders>
          </w:tcPr>
          <w:p>
            <w:pPr>
              <w:ind w:left="40"/>
              <w:spacing w:after="0"/>
              <w:rPr>
                <w:sz w:val="20"/>
                <w:szCs w:val="20"/>
                <w:color w:val="auto"/>
              </w:rPr>
            </w:pPr>
            <w:r>
              <w:rPr>
                <w:rFonts w:ascii="Arial" w:cs="Arial" w:eastAsia="Arial" w:hAnsi="Arial"/>
                <w:sz w:val="11"/>
                <w:szCs w:val="11"/>
                <w:color w:val="auto"/>
              </w:rPr>
              <w:t>Same as for Borrower</w:t>
            </w:r>
          </w:p>
        </w:tc>
        <w:tc>
          <w:tcPr>
            <w:tcW w:w="4360" w:type="dxa"/>
            <w:vAlign w:val="bottom"/>
          </w:tcPr>
          <w:p>
            <w:pPr>
              <w:spacing w:after="0"/>
              <w:rPr>
                <w:sz w:val="19"/>
                <w:szCs w:val="19"/>
                <w:color w:val="auto"/>
              </w:rPr>
            </w:pPr>
          </w:p>
        </w:tc>
      </w:tr>
      <w:tr>
        <w:trPr>
          <w:trHeight w:val="67"/>
        </w:trPr>
        <w:tc>
          <w:tcPr>
            <w:tcW w:w="300" w:type="dxa"/>
            <w:vAlign w:val="bottom"/>
            <w:tcBorders>
              <w:right w:val="single" w:sz="8" w:color="BFBFBF"/>
            </w:tcBorders>
          </w:tcPr>
          <w:p>
            <w:pPr>
              <w:spacing w:after="0"/>
              <w:rPr>
                <w:sz w:val="5"/>
                <w:szCs w:val="5"/>
                <w:color w:val="auto"/>
              </w:rPr>
            </w:pPr>
          </w:p>
        </w:tc>
        <w:tc>
          <w:tcPr>
            <w:tcW w:w="2140" w:type="dxa"/>
            <w:vAlign w:val="bottom"/>
            <w:tcBorders>
              <w:bottom w:val="single" w:sz="8" w:color="BFBFBF"/>
              <w:right w:val="single" w:sz="8" w:color="BFBFBF"/>
            </w:tcBorders>
          </w:tcPr>
          <w:p>
            <w:pPr>
              <w:spacing w:after="0"/>
              <w:rPr>
                <w:sz w:val="5"/>
                <w:szCs w:val="5"/>
                <w:color w:val="auto"/>
              </w:rPr>
            </w:pPr>
          </w:p>
        </w:tc>
        <w:tc>
          <w:tcPr>
            <w:tcW w:w="760" w:type="dxa"/>
            <w:vAlign w:val="bottom"/>
            <w:tcBorders>
              <w:bottom w:val="single" w:sz="8" w:color="BFBFBF"/>
              <w:right w:val="single" w:sz="8" w:color="BFBFBF"/>
            </w:tcBorders>
          </w:tcPr>
          <w:p>
            <w:pPr>
              <w:spacing w:after="0"/>
              <w:rPr>
                <w:sz w:val="5"/>
                <w:szCs w:val="5"/>
                <w:color w:val="auto"/>
              </w:rPr>
            </w:pPr>
          </w:p>
        </w:tc>
        <w:tc>
          <w:tcPr>
            <w:tcW w:w="2240" w:type="dxa"/>
            <w:vAlign w:val="bottom"/>
            <w:tcBorders>
              <w:bottom w:val="single" w:sz="8" w:color="BFBFBF"/>
              <w:right w:val="single" w:sz="8" w:color="BFBFBF"/>
            </w:tcBorders>
          </w:tcPr>
          <w:p>
            <w:pPr>
              <w:spacing w:after="0"/>
              <w:rPr>
                <w:sz w:val="5"/>
                <w:szCs w:val="5"/>
                <w:color w:val="auto"/>
              </w:rPr>
            </w:pPr>
          </w:p>
        </w:tc>
        <w:tc>
          <w:tcPr>
            <w:tcW w:w="4360" w:type="dxa"/>
            <w:vAlign w:val="bottom"/>
          </w:tcPr>
          <w:p>
            <w:pPr>
              <w:spacing w:after="0"/>
              <w:rPr>
                <w:sz w:val="5"/>
                <w:szCs w:val="5"/>
                <w:color w:val="auto"/>
              </w:rPr>
            </w:pPr>
          </w:p>
        </w:tc>
      </w:tr>
      <w:tr>
        <w:trPr>
          <w:trHeight w:val="228"/>
        </w:trPr>
        <w:tc>
          <w:tcPr>
            <w:tcW w:w="300" w:type="dxa"/>
            <w:vAlign w:val="bottom"/>
            <w:tcBorders>
              <w:right w:val="single" w:sz="8" w:color="BFBFBF"/>
            </w:tcBorders>
          </w:tcPr>
          <w:p>
            <w:pPr>
              <w:spacing w:after="0"/>
              <w:rPr>
                <w:sz w:val="19"/>
                <w:szCs w:val="19"/>
                <w:color w:val="auto"/>
              </w:rPr>
            </w:pPr>
          </w:p>
        </w:tc>
        <w:tc>
          <w:tcPr>
            <w:tcW w:w="2140" w:type="dxa"/>
            <w:vAlign w:val="bottom"/>
            <w:tcBorders>
              <w:right w:val="single" w:sz="8" w:color="BFBFBF"/>
            </w:tcBorders>
          </w:tcPr>
          <w:p>
            <w:pPr>
              <w:ind w:left="60"/>
              <w:spacing w:after="0"/>
              <w:rPr>
                <w:sz w:val="20"/>
                <w:szCs w:val="20"/>
                <w:color w:val="auto"/>
              </w:rPr>
            </w:pPr>
            <w:r>
              <w:rPr>
                <w:rFonts w:ascii="Arial" w:cs="Arial" w:eastAsia="Arial" w:hAnsi="Arial"/>
                <w:sz w:val="11"/>
                <w:szCs w:val="11"/>
                <w:color w:val="auto"/>
              </w:rPr>
              <w:t>Epping Cinemas Pty Ltd</w:t>
            </w:r>
          </w:p>
        </w:tc>
        <w:tc>
          <w:tcPr>
            <w:tcW w:w="760" w:type="dxa"/>
            <w:vAlign w:val="bottom"/>
            <w:tcBorders>
              <w:right w:val="single" w:sz="8" w:color="BFBFBF"/>
            </w:tcBorders>
          </w:tcPr>
          <w:p>
            <w:pPr>
              <w:ind w:left="40"/>
              <w:spacing w:after="0"/>
              <w:rPr>
                <w:sz w:val="20"/>
                <w:szCs w:val="20"/>
                <w:color w:val="auto"/>
              </w:rPr>
            </w:pPr>
            <w:r>
              <w:rPr>
                <w:rFonts w:ascii="Arial" w:cs="Arial" w:eastAsia="Arial" w:hAnsi="Arial"/>
                <w:sz w:val="11"/>
                <w:szCs w:val="11"/>
                <w:color w:val="auto"/>
              </w:rPr>
              <w:t>073 997 172</w:t>
            </w:r>
          </w:p>
        </w:tc>
        <w:tc>
          <w:tcPr>
            <w:tcW w:w="2240" w:type="dxa"/>
            <w:vAlign w:val="bottom"/>
            <w:tcBorders>
              <w:right w:val="single" w:sz="8" w:color="BFBFBF"/>
            </w:tcBorders>
          </w:tcPr>
          <w:p>
            <w:pPr>
              <w:ind w:left="40"/>
              <w:spacing w:after="0"/>
              <w:rPr>
                <w:sz w:val="20"/>
                <w:szCs w:val="20"/>
                <w:color w:val="auto"/>
              </w:rPr>
            </w:pPr>
            <w:r>
              <w:rPr>
                <w:rFonts w:ascii="Arial" w:cs="Arial" w:eastAsia="Arial" w:hAnsi="Arial"/>
                <w:sz w:val="11"/>
                <w:szCs w:val="11"/>
                <w:color w:val="auto"/>
              </w:rPr>
              <w:t>Same as for Borrower</w:t>
            </w:r>
          </w:p>
        </w:tc>
        <w:tc>
          <w:tcPr>
            <w:tcW w:w="4360" w:type="dxa"/>
            <w:vAlign w:val="bottom"/>
          </w:tcPr>
          <w:p>
            <w:pPr>
              <w:spacing w:after="0"/>
              <w:rPr>
                <w:sz w:val="19"/>
                <w:szCs w:val="19"/>
                <w:color w:val="auto"/>
              </w:rPr>
            </w:pPr>
          </w:p>
        </w:tc>
      </w:tr>
      <w:tr>
        <w:trPr>
          <w:trHeight w:val="67"/>
        </w:trPr>
        <w:tc>
          <w:tcPr>
            <w:tcW w:w="300" w:type="dxa"/>
            <w:vAlign w:val="bottom"/>
            <w:tcBorders>
              <w:right w:val="single" w:sz="8" w:color="BFBFBF"/>
            </w:tcBorders>
          </w:tcPr>
          <w:p>
            <w:pPr>
              <w:spacing w:after="0"/>
              <w:rPr>
                <w:sz w:val="5"/>
                <w:szCs w:val="5"/>
                <w:color w:val="auto"/>
              </w:rPr>
            </w:pPr>
          </w:p>
        </w:tc>
        <w:tc>
          <w:tcPr>
            <w:tcW w:w="2140" w:type="dxa"/>
            <w:vAlign w:val="bottom"/>
            <w:tcBorders>
              <w:bottom w:val="single" w:sz="8" w:color="BFBFBF"/>
              <w:right w:val="single" w:sz="8" w:color="BFBFBF"/>
            </w:tcBorders>
          </w:tcPr>
          <w:p>
            <w:pPr>
              <w:spacing w:after="0"/>
              <w:rPr>
                <w:sz w:val="5"/>
                <w:szCs w:val="5"/>
                <w:color w:val="auto"/>
              </w:rPr>
            </w:pPr>
          </w:p>
        </w:tc>
        <w:tc>
          <w:tcPr>
            <w:tcW w:w="760" w:type="dxa"/>
            <w:vAlign w:val="bottom"/>
            <w:tcBorders>
              <w:bottom w:val="single" w:sz="8" w:color="BFBFBF"/>
              <w:right w:val="single" w:sz="8" w:color="BFBFBF"/>
            </w:tcBorders>
          </w:tcPr>
          <w:p>
            <w:pPr>
              <w:spacing w:after="0"/>
              <w:rPr>
                <w:sz w:val="5"/>
                <w:szCs w:val="5"/>
                <w:color w:val="auto"/>
              </w:rPr>
            </w:pPr>
          </w:p>
        </w:tc>
        <w:tc>
          <w:tcPr>
            <w:tcW w:w="2240" w:type="dxa"/>
            <w:vAlign w:val="bottom"/>
            <w:tcBorders>
              <w:bottom w:val="single" w:sz="8" w:color="BFBFBF"/>
              <w:right w:val="single" w:sz="8" w:color="BFBFBF"/>
            </w:tcBorders>
          </w:tcPr>
          <w:p>
            <w:pPr>
              <w:spacing w:after="0"/>
              <w:rPr>
                <w:sz w:val="5"/>
                <w:szCs w:val="5"/>
                <w:color w:val="auto"/>
              </w:rPr>
            </w:pPr>
          </w:p>
        </w:tc>
        <w:tc>
          <w:tcPr>
            <w:tcW w:w="4360" w:type="dxa"/>
            <w:vAlign w:val="bottom"/>
          </w:tcPr>
          <w:p>
            <w:pPr>
              <w:spacing w:after="0"/>
              <w:rPr>
                <w:sz w:val="5"/>
                <w:szCs w:val="5"/>
                <w:color w:val="auto"/>
              </w:rPr>
            </w:pPr>
          </w:p>
        </w:tc>
      </w:tr>
      <w:tr>
        <w:trPr>
          <w:trHeight w:val="228"/>
        </w:trPr>
        <w:tc>
          <w:tcPr>
            <w:tcW w:w="300" w:type="dxa"/>
            <w:vAlign w:val="bottom"/>
            <w:tcBorders>
              <w:right w:val="single" w:sz="8" w:color="BFBFBF"/>
            </w:tcBorders>
          </w:tcPr>
          <w:p>
            <w:pPr>
              <w:spacing w:after="0"/>
              <w:rPr>
                <w:sz w:val="19"/>
                <w:szCs w:val="19"/>
                <w:color w:val="auto"/>
              </w:rPr>
            </w:pPr>
          </w:p>
        </w:tc>
        <w:tc>
          <w:tcPr>
            <w:tcW w:w="2140" w:type="dxa"/>
            <w:vAlign w:val="bottom"/>
            <w:tcBorders>
              <w:right w:val="single" w:sz="8" w:color="BFBFBF"/>
            </w:tcBorders>
          </w:tcPr>
          <w:p>
            <w:pPr>
              <w:ind w:left="60"/>
              <w:spacing w:after="0"/>
              <w:rPr>
                <w:sz w:val="20"/>
                <w:szCs w:val="20"/>
                <w:color w:val="auto"/>
              </w:rPr>
            </w:pPr>
            <w:r>
              <w:rPr>
                <w:rFonts w:ascii="Arial" w:cs="Arial" w:eastAsia="Arial" w:hAnsi="Arial"/>
                <w:sz w:val="11"/>
                <w:szCs w:val="11"/>
                <w:color w:val="auto"/>
              </w:rPr>
              <w:t>Hotel Newmarket Pty Ltd</w:t>
            </w:r>
          </w:p>
        </w:tc>
        <w:tc>
          <w:tcPr>
            <w:tcW w:w="760" w:type="dxa"/>
            <w:vAlign w:val="bottom"/>
            <w:tcBorders>
              <w:right w:val="single" w:sz="8" w:color="BFBFBF"/>
            </w:tcBorders>
          </w:tcPr>
          <w:p>
            <w:pPr>
              <w:ind w:left="40"/>
              <w:spacing w:after="0"/>
              <w:rPr>
                <w:sz w:val="20"/>
                <w:szCs w:val="20"/>
                <w:color w:val="auto"/>
              </w:rPr>
            </w:pPr>
            <w:r>
              <w:rPr>
                <w:rFonts w:ascii="Arial" w:cs="Arial" w:eastAsia="Arial" w:hAnsi="Arial"/>
                <w:sz w:val="11"/>
                <w:szCs w:val="11"/>
                <w:color w:val="auto"/>
              </w:rPr>
              <w:t>094 367 969</w:t>
            </w:r>
          </w:p>
        </w:tc>
        <w:tc>
          <w:tcPr>
            <w:tcW w:w="2240" w:type="dxa"/>
            <w:vAlign w:val="bottom"/>
            <w:tcBorders>
              <w:right w:val="single" w:sz="8" w:color="BFBFBF"/>
            </w:tcBorders>
          </w:tcPr>
          <w:p>
            <w:pPr>
              <w:ind w:left="40"/>
              <w:spacing w:after="0"/>
              <w:rPr>
                <w:sz w:val="20"/>
                <w:szCs w:val="20"/>
                <w:color w:val="auto"/>
              </w:rPr>
            </w:pPr>
            <w:r>
              <w:rPr>
                <w:rFonts w:ascii="Arial" w:cs="Arial" w:eastAsia="Arial" w:hAnsi="Arial"/>
                <w:sz w:val="11"/>
                <w:szCs w:val="11"/>
                <w:color w:val="auto"/>
              </w:rPr>
              <w:t>Same as for Borrower</w:t>
            </w:r>
          </w:p>
        </w:tc>
        <w:tc>
          <w:tcPr>
            <w:tcW w:w="4360" w:type="dxa"/>
            <w:vAlign w:val="bottom"/>
          </w:tcPr>
          <w:p>
            <w:pPr>
              <w:spacing w:after="0"/>
              <w:rPr>
                <w:sz w:val="19"/>
                <w:szCs w:val="19"/>
                <w:color w:val="auto"/>
              </w:rPr>
            </w:pPr>
          </w:p>
        </w:tc>
      </w:tr>
      <w:tr>
        <w:trPr>
          <w:trHeight w:val="67"/>
        </w:trPr>
        <w:tc>
          <w:tcPr>
            <w:tcW w:w="300" w:type="dxa"/>
            <w:vAlign w:val="bottom"/>
            <w:tcBorders>
              <w:right w:val="single" w:sz="8" w:color="BFBFBF"/>
            </w:tcBorders>
          </w:tcPr>
          <w:p>
            <w:pPr>
              <w:spacing w:after="0"/>
              <w:rPr>
                <w:sz w:val="5"/>
                <w:szCs w:val="5"/>
                <w:color w:val="auto"/>
              </w:rPr>
            </w:pPr>
          </w:p>
        </w:tc>
        <w:tc>
          <w:tcPr>
            <w:tcW w:w="2140" w:type="dxa"/>
            <w:vAlign w:val="bottom"/>
            <w:tcBorders>
              <w:bottom w:val="single" w:sz="8" w:color="BFBFBF"/>
              <w:right w:val="single" w:sz="8" w:color="BFBFBF"/>
            </w:tcBorders>
          </w:tcPr>
          <w:p>
            <w:pPr>
              <w:spacing w:after="0"/>
              <w:rPr>
                <w:sz w:val="5"/>
                <w:szCs w:val="5"/>
                <w:color w:val="auto"/>
              </w:rPr>
            </w:pPr>
          </w:p>
        </w:tc>
        <w:tc>
          <w:tcPr>
            <w:tcW w:w="760" w:type="dxa"/>
            <w:vAlign w:val="bottom"/>
            <w:tcBorders>
              <w:bottom w:val="single" w:sz="8" w:color="BFBFBF"/>
              <w:right w:val="single" w:sz="8" w:color="BFBFBF"/>
            </w:tcBorders>
          </w:tcPr>
          <w:p>
            <w:pPr>
              <w:spacing w:after="0"/>
              <w:rPr>
                <w:sz w:val="5"/>
                <w:szCs w:val="5"/>
                <w:color w:val="auto"/>
              </w:rPr>
            </w:pPr>
          </w:p>
        </w:tc>
        <w:tc>
          <w:tcPr>
            <w:tcW w:w="2240" w:type="dxa"/>
            <w:vAlign w:val="bottom"/>
            <w:tcBorders>
              <w:bottom w:val="single" w:sz="8" w:color="BFBFBF"/>
              <w:right w:val="single" w:sz="8" w:color="BFBFBF"/>
            </w:tcBorders>
          </w:tcPr>
          <w:p>
            <w:pPr>
              <w:spacing w:after="0"/>
              <w:rPr>
                <w:sz w:val="5"/>
                <w:szCs w:val="5"/>
                <w:color w:val="auto"/>
              </w:rPr>
            </w:pPr>
          </w:p>
        </w:tc>
        <w:tc>
          <w:tcPr>
            <w:tcW w:w="4360" w:type="dxa"/>
            <w:vAlign w:val="bottom"/>
          </w:tcPr>
          <w:p>
            <w:pPr>
              <w:spacing w:after="0"/>
              <w:rPr>
                <w:sz w:val="5"/>
                <w:szCs w:val="5"/>
                <w:color w:val="auto"/>
              </w:rPr>
            </w:pPr>
          </w:p>
        </w:tc>
      </w:tr>
      <w:tr>
        <w:trPr>
          <w:trHeight w:val="228"/>
        </w:trPr>
        <w:tc>
          <w:tcPr>
            <w:tcW w:w="300" w:type="dxa"/>
            <w:vAlign w:val="bottom"/>
            <w:tcBorders>
              <w:right w:val="single" w:sz="8" w:color="BFBFBF"/>
            </w:tcBorders>
          </w:tcPr>
          <w:p>
            <w:pPr>
              <w:spacing w:after="0"/>
              <w:rPr>
                <w:sz w:val="19"/>
                <w:szCs w:val="19"/>
                <w:color w:val="auto"/>
              </w:rPr>
            </w:pPr>
          </w:p>
        </w:tc>
        <w:tc>
          <w:tcPr>
            <w:tcW w:w="2140" w:type="dxa"/>
            <w:vAlign w:val="bottom"/>
            <w:tcBorders>
              <w:right w:val="single" w:sz="8" w:color="BFBFBF"/>
            </w:tcBorders>
          </w:tcPr>
          <w:p>
            <w:pPr>
              <w:ind w:left="60"/>
              <w:spacing w:after="0"/>
              <w:rPr>
                <w:sz w:val="20"/>
                <w:szCs w:val="20"/>
                <w:color w:val="auto"/>
              </w:rPr>
            </w:pPr>
            <w:r>
              <w:rPr>
                <w:rFonts w:ascii="Arial" w:cs="Arial" w:eastAsia="Arial" w:hAnsi="Arial"/>
                <w:sz w:val="11"/>
                <w:szCs w:val="11"/>
                <w:color w:val="auto"/>
              </w:rPr>
              <w:t>Newmarket Properties Pty Ltd</w:t>
            </w:r>
          </w:p>
        </w:tc>
        <w:tc>
          <w:tcPr>
            <w:tcW w:w="760" w:type="dxa"/>
            <w:vAlign w:val="bottom"/>
            <w:tcBorders>
              <w:right w:val="single" w:sz="8" w:color="BFBFBF"/>
            </w:tcBorders>
          </w:tcPr>
          <w:p>
            <w:pPr>
              <w:ind w:left="40"/>
              <w:spacing w:after="0"/>
              <w:rPr>
                <w:sz w:val="20"/>
                <w:szCs w:val="20"/>
                <w:color w:val="auto"/>
              </w:rPr>
            </w:pPr>
            <w:r>
              <w:rPr>
                <w:rFonts w:ascii="Arial" w:cs="Arial" w:eastAsia="Arial" w:hAnsi="Arial"/>
                <w:sz w:val="11"/>
                <w:szCs w:val="11"/>
                <w:color w:val="auto"/>
              </w:rPr>
              <w:t>105 386 409</w:t>
            </w:r>
          </w:p>
        </w:tc>
        <w:tc>
          <w:tcPr>
            <w:tcW w:w="2240" w:type="dxa"/>
            <w:vAlign w:val="bottom"/>
            <w:tcBorders>
              <w:right w:val="single" w:sz="8" w:color="BFBFBF"/>
            </w:tcBorders>
          </w:tcPr>
          <w:p>
            <w:pPr>
              <w:ind w:left="40"/>
              <w:spacing w:after="0"/>
              <w:rPr>
                <w:sz w:val="20"/>
                <w:szCs w:val="20"/>
                <w:color w:val="auto"/>
              </w:rPr>
            </w:pPr>
            <w:r>
              <w:rPr>
                <w:rFonts w:ascii="Arial" w:cs="Arial" w:eastAsia="Arial" w:hAnsi="Arial"/>
                <w:sz w:val="11"/>
                <w:szCs w:val="11"/>
                <w:color w:val="auto"/>
              </w:rPr>
              <w:t>Same as for Borrower</w:t>
            </w:r>
          </w:p>
        </w:tc>
        <w:tc>
          <w:tcPr>
            <w:tcW w:w="4360" w:type="dxa"/>
            <w:vAlign w:val="bottom"/>
          </w:tcPr>
          <w:p>
            <w:pPr>
              <w:spacing w:after="0"/>
              <w:rPr>
                <w:sz w:val="19"/>
                <w:szCs w:val="19"/>
                <w:color w:val="auto"/>
              </w:rPr>
            </w:pPr>
          </w:p>
        </w:tc>
      </w:tr>
      <w:tr>
        <w:trPr>
          <w:trHeight w:val="67"/>
        </w:trPr>
        <w:tc>
          <w:tcPr>
            <w:tcW w:w="300" w:type="dxa"/>
            <w:vAlign w:val="bottom"/>
            <w:tcBorders>
              <w:right w:val="single" w:sz="8" w:color="BFBFBF"/>
            </w:tcBorders>
          </w:tcPr>
          <w:p>
            <w:pPr>
              <w:spacing w:after="0"/>
              <w:rPr>
                <w:sz w:val="5"/>
                <w:szCs w:val="5"/>
                <w:color w:val="auto"/>
              </w:rPr>
            </w:pPr>
          </w:p>
        </w:tc>
        <w:tc>
          <w:tcPr>
            <w:tcW w:w="2140" w:type="dxa"/>
            <w:vAlign w:val="bottom"/>
            <w:tcBorders>
              <w:bottom w:val="single" w:sz="8" w:color="BFBFBF"/>
              <w:right w:val="single" w:sz="8" w:color="BFBFBF"/>
            </w:tcBorders>
          </w:tcPr>
          <w:p>
            <w:pPr>
              <w:spacing w:after="0"/>
              <w:rPr>
                <w:sz w:val="5"/>
                <w:szCs w:val="5"/>
                <w:color w:val="auto"/>
              </w:rPr>
            </w:pPr>
          </w:p>
        </w:tc>
        <w:tc>
          <w:tcPr>
            <w:tcW w:w="760" w:type="dxa"/>
            <w:vAlign w:val="bottom"/>
            <w:tcBorders>
              <w:bottom w:val="single" w:sz="8" w:color="BFBFBF"/>
              <w:right w:val="single" w:sz="8" w:color="BFBFBF"/>
            </w:tcBorders>
          </w:tcPr>
          <w:p>
            <w:pPr>
              <w:spacing w:after="0"/>
              <w:rPr>
                <w:sz w:val="5"/>
                <w:szCs w:val="5"/>
                <w:color w:val="auto"/>
              </w:rPr>
            </w:pPr>
          </w:p>
        </w:tc>
        <w:tc>
          <w:tcPr>
            <w:tcW w:w="2240" w:type="dxa"/>
            <w:vAlign w:val="bottom"/>
            <w:tcBorders>
              <w:bottom w:val="single" w:sz="8" w:color="BFBFBF"/>
              <w:right w:val="single" w:sz="8" w:color="BFBFBF"/>
            </w:tcBorders>
          </w:tcPr>
          <w:p>
            <w:pPr>
              <w:spacing w:after="0"/>
              <w:rPr>
                <w:sz w:val="5"/>
                <w:szCs w:val="5"/>
                <w:color w:val="auto"/>
              </w:rPr>
            </w:pPr>
          </w:p>
        </w:tc>
        <w:tc>
          <w:tcPr>
            <w:tcW w:w="4360" w:type="dxa"/>
            <w:vAlign w:val="bottom"/>
          </w:tcPr>
          <w:p>
            <w:pPr>
              <w:spacing w:after="0"/>
              <w:rPr>
                <w:sz w:val="5"/>
                <w:szCs w:val="5"/>
                <w:color w:val="auto"/>
              </w:rPr>
            </w:pPr>
          </w:p>
        </w:tc>
      </w:tr>
      <w:tr>
        <w:trPr>
          <w:trHeight w:val="228"/>
        </w:trPr>
        <w:tc>
          <w:tcPr>
            <w:tcW w:w="300" w:type="dxa"/>
            <w:vAlign w:val="bottom"/>
            <w:tcBorders>
              <w:right w:val="single" w:sz="8" w:color="BFBFBF"/>
            </w:tcBorders>
          </w:tcPr>
          <w:p>
            <w:pPr>
              <w:spacing w:after="0"/>
              <w:rPr>
                <w:sz w:val="19"/>
                <w:szCs w:val="19"/>
                <w:color w:val="auto"/>
              </w:rPr>
            </w:pPr>
          </w:p>
        </w:tc>
        <w:tc>
          <w:tcPr>
            <w:tcW w:w="2140" w:type="dxa"/>
            <w:vAlign w:val="bottom"/>
            <w:tcBorders>
              <w:right w:val="single" w:sz="8" w:color="BFBFBF"/>
            </w:tcBorders>
          </w:tcPr>
          <w:p>
            <w:pPr>
              <w:ind w:left="60"/>
              <w:spacing w:after="0"/>
              <w:rPr>
                <w:sz w:val="20"/>
                <w:szCs w:val="20"/>
                <w:color w:val="auto"/>
              </w:rPr>
            </w:pPr>
            <w:r>
              <w:rPr>
                <w:rFonts w:ascii="Arial" w:cs="Arial" w:eastAsia="Arial" w:hAnsi="Arial"/>
                <w:sz w:val="11"/>
                <w:szCs w:val="11"/>
                <w:color w:val="auto"/>
              </w:rPr>
              <w:t>Newmarket Properties No. 2 Pty Ltd</w:t>
            </w:r>
          </w:p>
        </w:tc>
        <w:tc>
          <w:tcPr>
            <w:tcW w:w="760" w:type="dxa"/>
            <w:vAlign w:val="bottom"/>
            <w:tcBorders>
              <w:right w:val="single" w:sz="8" w:color="BFBFBF"/>
            </w:tcBorders>
          </w:tcPr>
          <w:p>
            <w:pPr>
              <w:ind w:left="40"/>
              <w:spacing w:after="0"/>
              <w:rPr>
                <w:sz w:val="20"/>
                <w:szCs w:val="20"/>
                <w:color w:val="auto"/>
              </w:rPr>
            </w:pPr>
            <w:r>
              <w:rPr>
                <w:rFonts w:ascii="Arial" w:cs="Arial" w:eastAsia="Arial" w:hAnsi="Arial"/>
                <w:sz w:val="11"/>
                <w:szCs w:val="11"/>
                <w:color w:val="auto"/>
              </w:rPr>
              <w:t>109 038 806</w:t>
            </w:r>
          </w:p>
        </w:tc>
        <w:tc>
          <w:tcPr>
            <w:tcW w:w="2240" w:type="dxa"/>
            <w:vAlign w:val="bottom"/>
            <w:tcBorders>
              <w:right w:val="single" w:sz="8" w:color="BFBFBF"/>
            </w:tcBorders>
          </w:tcPr>
          <w:p>
            <w:pPr>
              <w:ind w:left="40"/>
              <w:spacing w:after="0"/>
              <w:rPr>
                <w:sz w:val="20"/>
                <w:szCs w:val="20"/>
                <w:color w:val="auto"/>
              </w:rPr>
            </w:pPr>
            <w:r>
              <w:rPr>
                <w:rFonts w:ascii="Arial" w:cs="Arial" w:eastAsia="Arial" w:hAnsi="Arial"/>
                <w:sz w:val="11"/>
                <w:szCs w:val="11"/>
                <w:color w:val="auto"/>
              </w:rPr>
              <w:t>Same as for Borrower</w:t>
            </w:r>
          </w:p>
        </w:tc>
        <w:tc>
          <w:tcPr>
            <w:tcW w:w="4360" w:type="dxa"/>
            <w:vAlign w:val="bottom"/>
          </w:tcPr>
          <w:p>
            <w:pPr>
              <w:spacing w:after="0"/>
              <w:rPr>
                <w:sz w:val="19"/>
                <w:szCs w:val="19"/>
                <w:color w:val="auto"/>
              </w:rPr>
            </w:pPr>
          </w:p>
        </w:tc>
      </w:tr>
      <w:tr>
        <w:trPr>
          <w:trHeight w:val="67"/>
        </w:trPr>
        <w:tc>
          <w:tcPr>
            <w:tcW w:w="300" w:type="dxa"/>
            <w:vAlign w:val="bottom"/>
            <w:tcBorders>
              <w:right w:val="single" w:sz="8" w:color="BFBFBF"/>
            </w:tcBorders>
          </w:tcPr>
          <w:p>
            <w:pPr>
              <w:spacing w:after="0"/>
              <w:rPr>
                <w:sz w:val="5"/>
                <w:szCs w:val="5"/>
                <w:color w:val="auto"/>
              </w:rPr>
            </w:pPr>
          </w:p>
        </w:tc>
        <w:tc>
          <w:tcPr>
            <w:tcW w:w="2140" w:type="dxa"/>
            <w:vAlign w:val="bottom"/>
            <w:tcBorders>
              <w:bottom w:val="single" w:sz="8" w:color="BFBFBF"/>
              <w:right w:val="single" w:sz="8" w:color="BFBFBF"/>
            </w:tcBorders>
          </w:tcPr>
          <w:p>
            <w:pPr>
              <w:spacing w:after="0"/>
              <w:rPr>
                <w:sz w:val="5"/>
                <w:szCs w:val="5"/>
                <w:color w:val="auto"/>
              </w:rPr>
            </w:pPr>
          </w:p>
        </w:tc>
        <w:tc>
          <w:tcPr>
            <w:tcW w:w="760" w:type="dxa"/>
            <w:vAlign w:val="bottom"/>
            <w:tcBorders>
              <w:bottom w:val="single" w:sz="8" w:color="BFBFBF"/>
              <w:right w:val="single" w:sz="8" w:color="BFBFBF"/>
            </w:tcBorders>
          </w:tcPr>
          <w:p>
            <w:pPr>
              <w:spacing w:after="0"/>
              <w:rPr>
                <w:sz w:val="5"/>
                <w:szCs w:val="5"/>
                <w:color w:val="auto"/>
              </w:rPr>
            </w:pPr>
          </w:p>
        </w:tc>
        <w:tc>
          <w:tcPr>
            <w:tcW w:w="2240" w:type="dxa"/>
            <w:vAlign w:val="bottom"/>
            <w:tcBorders>
              <w:bottom w:val="single" w:sz="8" w:color="BFBFBF"/>
              <w:right w:val="single" w:sz="8" w:color="BFBFBF"/>
            </w:tcBorders>
          </w:tcPr>
          <w:p>
            <w:pPr>
              <w:spacing w:after="0"/>
              <w:rPr>
                <w:sz w:val="5"/>
                <w:szCs w:val="5"/>
                <w:color w:val="auto"/>
              </w:rPr>
            </w:pPr>
          </w:p>
        </w:tc>
        <w:tc>
          <w:tcPr>
            <w:tcW w:w="4360" w:type="dxa"/>
            <w:vAlign w:val="bottom"/>
          </w:tcPr>
          <w:p>
            <w:pPr>
              <w:spacing w:after="0"/>
              <w:rPr>
                <w:sz w:val="5"/>
                <w:szCs w:val="5"/>
                <w:color w:val="auto"/>
              </w:rPr>
            </w:pPr>
          </w:p>
        </w:tc>
      </w:tr>
      <w:tr>
        <w:trPr>
          <w:trHeight w:val="228"/>
        </w:trPr>
        <w:tc>
          <w:tcPr>
            <w:tcW w:w="300" w:type="dxa"/>
            <w:vAlign w:val="bottom"/>
            <w:tcBorders>
              <w:right w:val="single" w:sz="8" w:color="BFBFBF"/>
            </w:tcBorders>
          </w:tcPr>
          <w:p>
            <w:pPr>
              <w:spacing w:after="0"/>
              <w:rPr>
                <w:sz w:val="19"/>
                <w:szCs w:val="19"/>
                <w:color w:val="auto"/>
              </w:rPr>
            </w:pPr>
          </w:p>
        </w:tc>
        <w:tc>
          <w:tcPr>
            <w:tcW w:w="2140" w:type="dxa"/>
            <w:vAlign w:val="bottom"/>
            <w:tcBorders>
              <w:right w:val="single" w:sz="8" w:color="BFBFBF"/>
            </w:tcBorders>
          </w:tcPr>
          <w:p>
            <w:pPr>
              <w:ind w:left="60"/>
              <w:spacing w:after="0"/>
              <w:rPr>
                <w:sz w:val="20"/>
                <w:szCs w:val="20"/>
                <w:color w:val="auto"/>
              </w:rPr>
            </w:pPr>
            <w:r>
              <w:rPr>
                <w:rFonts w:ascii="Arial" w:cs="Arial" w:eastAsia="Arial" w:hAnsi="Arial"/>
                <w:sz w:val="11"/>
                <w:szCs w:val="11"/>
                <w:color w:val="auto"/>
              </w:rPr>
              <w:t>Newmarket Properties #3 Pty Ltd</w:t>
            </w:r>
          </w:p>
        </w:tc>
        <w:tc>
          <w:tcPr>
            <w:tcW w:w="760" w:type="dxa"/>
            <w:vAlign w:val="bottom"/>
            <w:tcBorders>
              <w:right w:val="single" w:sz="8" w:color="BFBFBF"/>
            </w:tcBorders>
          </w:tcPr>
          <w:p>
            <w:pPr>
              <w:ind w:left="40"/>
              <w:spacing w:after="0"/>
              <w:rPr>
                <w:sz w:val="20"/>
                <w:szCs w:val="20"/>
                <w:color w:val="auto"/>
              </w:rPr>
            </w:pPr>
            <w:r>
              <w:rPr>
                <w:rFonts w:ascii="Arial" w:cs="Arial" w:eastAsia="Arial" w:hAnsi="Arial"/>
                <w:sz w:val="11"/>
                <w:szCs w:val="11"/>
                <w:color w:val="auto"/>
              </w:rPr>
              <w:t>126 697 505</w:t>
            </w:r>
          </w:p>
        </w:tc>
        <w:tc>
          <w:tcPr>
            <w:tcW w:w="2240" w:type="dxa"/>
            <w:vAlign w:val="bottom"/>
            <w:tcBorders>
              <w:right w:val="single" w:sz="8" w:color="BFBFBF"/>
            </w:tcBorders>
          </w:tcPr>
          <w:p>
            <w:pPr>
              <w:ind w:left="40"/>
              <w:spacing w:after="0"/>
              <w:rPr>
                <w:sz w:val="20"/>
                <w:szCs w:val="20"/>
                <w:color w:val="auto"/>
              </w:rPr>
            </w:pPr>
            <w:r>
              <w:rPr>
                <w:rFonts w:ascii="Arial" w:cs="Arial" w:eastAsia="Arial" w:hAnsi="Arial"/>
                <w:sz w:val="11"/>
                <w:szCs w:val="11"/>
                <w:color w:val="auto"/>
              </w:rPr>
              <w:t>Same as for Borrower</w:t>
            </w:r>
          </w:p>
        </w:tc>
        <w:tc>
          <w:tcPr>
            <w:tcW w:w="4360" w:type="dxa"/>
            <w:vAlign w:val="bottom"/>
          </w:tcPr>
          <w:p>
            <w:pPr>
              <w:spacing w:after="0"/>
              <w:rPr>
                <w:sz w:val="19"/>
                <w:szCs w:val="19"/>
                <w:color w:val="auto"/>
              </w:rPr>
            </w:pPr>
          </w:p>
        </w:tc>
      </w:tr>
      <w:tr>
        <w:trPr>
          <w:trHeight w:val="67"/>
        </w:trPr>
        <w:tc>
          <w:tcPr>
            <w:tcW w:w="300" w:type="dxa"/>
            <w:vAlign w:val="bottom"/>
            <w:tcBorders>
              <w:right w:val="single" w:sz="8" w:color="BFBFBF"/>
            </w:tcBorders>
          </w:tcPr>
          <w:p>
            <w:pPr>
              <w:spacing w:after="0"/>
              <w:rPr>
                <w:sz w:val="5"/>
                <w:szCs w:val="5"/>
                <w:color w:val="auto"/>
              </w:rPr>
            </w:pPr>
          </w:p>
        </w:tc>
        <w:tc>
          <w:tcPr>
            <w:tcW w:w="2140" w:type="dxa"/>
            <w:vAlign w:val="bottom"/>
            <w:tcBorders>
              <w:bottom w:val="single" w:sz="8" w:color="BFBFBF"/>
              <w:right w:val="single" w:sz="8" w:color="BFBFBF"/>
            </w:tcBorders>
          </w:tcPr>
          <w:p>
            <w:pPr>
              <w:spacing w:after="0"/>
              <w:rPr>
                <w:sz w:val="5"/>
                <w:szCs w:val="5"/>
                <w:color w:val="auto"/>
              </w:rPr>
            </w:pPr>
          </w:p>
        </w:tc>
        <w:tc>
          <w:tcPr>
            <w:tcW w:w="760" w:type="dxa"/>
            <w:vAlign w:val="bottom"/>
            <w:tcBorders>
              <w:bottom w:val="single" w:sz="8" w:color="BFBFBF"/>
              <w:right w:val="single" w:sz="8" w:color="BFBFBF"/>
            </w:tcBorders>
          </w:tcPr>
          <w:p>
            <w:pPr>
              <w:spacing w:after="0"/>
              <w:rPr>
                <w:sz w:val="5"/>
                <w:szCs w:val="5"/>
                <w:color w:val="auto"/>
              </w:rPr>
            </w:pPr>
          </w:p>
        </w:tc>
        <w:tc>
          <w:tcPr>
            <w:tcW w:w="2240" w:type="dxa"/>
            <w:vAlign w:val="bottom"/>
            <w:tcBorders>
              <w:bottom w:val="single" w:sz="8" w:color="BFBFBF"/>
              <w:right w:val="single" w:sz="8" w:color="BFBFBF"/>
            </w:tcBorders>
          </w:tcPr>
          <w:p>
            <w:pPr>
              <w:spacing w:after="0"/>
              <w:rPr>
                <w:sz w:val="5"/>
                <w:szCs w:val="5"/>
                <w:color w:val="auto"/>
              </w:rPr>
            </w:pPr>
          </w:p>
        </w:tc>
        <w:tc>
          <w:tcPr>
            <w:tcW w:w="4360" w:type="dxa"/>
            <w:vAlign w:val="bottom"/>
          </w:tcPr>
          <w:p>
            <w:pPr>
              <w:spacing w:after="0"/>
              <w:rPr>
                <w:sz w:val="5"/>
                <w:szCs w:val="5"/>
                <w:color w:val="auto"/>
              </w:rPr>
            </w:pPr>
          </w:p>
        </w:tc>
      </w:tr>
      <w:tr>
        <w:trPr>
          <w:trHeight w:val="228"/>
        </w:trPr>
        <w:tc>
          <w:tcPr>
            <w:tcW w:w="300" w:type="dxa"/>
            <w:vAlign w:val="bottom"/>
            <w:tcBorders>
              <w:right w:val="single" w:sz="8" w:color="BFBFBF"/>
            </w:tcBorders>
          </w:tcPr>
          <w:p>
            <w:pPr>
              <w:spacing w:after="0"/>
              <w:rPr>
                <w:sz w:val="19"/>
                <w:szCs w:val="19"/>
                <w:color w:val="auto"/>
              </w:rPr>
            </w:pPr>
          </w:p>
        </w:tc>
        <w:tc>
          <w:tcPr>
            <w:tcW w:w="2140" w:type="dxa"/>
            <w:vAlign w:val="bottom"/>
            <w:tcBorders>
              <w:right w:val="single" w:sz="8" w:color="BFBFBF"/>
            </w:tcBorders>
          </w:tcPr>
          <w:p>
            <w:pPr>
              <w:ind w:left="60"/>
              <w:spacing w:after="0"/>
              <w:rPr>
                <w:sz w:val="20"/>
                <w:szCs w:val="20"/>
                <w:color w:val="auto"/>
              </w:rPr>
            </w:pPr>
            <w:r>
              <w:rPr>
                <w:rFonts w:ascii="Arial" w:cs="Arial" w:eastAsia="Arial" w:hAnsi="Arial"/>
                <w:sz w:val="11"/>
                <w:szCs w:val="11"/>
                <w:color w:val="auto"/>
              </w:rPr>
              <w:t>Reading Auburn Pty Ltd</w:t>
            </w:r>
          </w:p>
        </w:tc>
        <w:tc>
          <w:tcPr>
            <w:tcW w:w="760" w:type="dxa"/>
            <w:vAlign w:val="bottom"/>
            <w:tcBorders>
              <w:right w:val="single" w:sz="8" w:color="BFBFBF"/>
            </w:tcBorders>
          </w:tcPr>
          <w:p>
            <w:pPr>
              <w:ind w:left="40"/>
              <w:spacing w:after="0"/>
              <w:rPr>
                <w:sz w:val="20"/>
                <w:szCs w:val="20"/>
                <w:color w:val="auto"/>
              </w:rPr>
            </w:pPr>
            <w:r>
              <w:rPr>
                <w:rFonts w:ascii="Arial" w:cs="Arial" w:eastAsia="Arial" w:hAnsi="Arial"/>
                <w:sz w:val="11"/>
                <w:szCs w:val="11"/>
                <w:color w:val="auto"/>
              </w:rPr>
              <w:t>126 697 470</w:t>
            </w:r>
          </w:p>
        </w:tc>
        <w:tc>
          <w:tcPr>
            <w:tcW w:w="2240" w:type="dxa"/>
            <w:vAlign w:val="bottom"/>
            <w:tcBorders>
              <w:right w:val="single" w:sz="8" w:color="BFBFBF"/>
            </w:tcBorders>
          </w:tcPr>
          <w:p>
            <w:pPr>
              <w:ind w:left="40"/>
              <w:spacing w:after="0"/>
              <w:rPr>
                <w:sz w:val="20"/>
                <w:szCs w:val="20"/>
                <w:color w:val="auto"/>
              </w:rPr>
            </w:pPr>
            <w:r>
              <w:rPr>
                <w:rFonts w:ascii="Arial" w:cs="Arial" w:eastAsia="Arial" w:hAnsi="Arial"/>
                <w:sz w:val="11"/>
                <w:szCs w:val="11"/>
                <w:color w:val="auto"/>
              </w:rPr>
              <w:t>Same as for Borrower</w:t>
            </w:r>
          </w:p>
        </w:tc>
        <w:tc>
          <w:tcPr>
            <w:tcW w:w="4360" w:type="dxa"/>
            <w:vAlign w:val="bottom"/>
          </w:tcPr>
          <w:p>
            <w:pPr>
              <w:spacing w:after="0"/>
              <w:rPr>
                <w:sz w:val="19"/>
                <w:szCs w:val="19"/>
                <w:color w:val="auto"/>
              </w:rPr>
            </w:pPr>
          </w:p>
        </w:tc>
      </w:tr>
      <w:tr>
        <w:trPr>
          <w:trHeight w:val="67"/>
        </w:trPr>
        <w:tc>
          <w:tcPr>
            <w:tcW w:w="300" w:type="dxa"/>
            <w:vAlign w:val="bottom"/>
            <w:tcBorders>
              <w:right w:val="single" w:sz="8" w:color="BFBFBF"/>
            </w:tcBorders>
          </w:tcPr>
          <w:p>
            <w:pPr>
              <w:spacing w:after="0"/>
              <w:rPr>
                <w:sz w:val="5"/>
                <w:szCs w:val="5"/>
                <w:color w:val="auto"/>
              </w:rPr>
            </w:pPr>
          </w:p>
        </w:tc>
        <w:tc>
          <w:tcPr>
            <w:tcW w:w="2140" w:type="dxa"/>
            <w:vAlign w:val="bottom"/>
            <w:tcBorders>
              <w:bottom w:val="single" w:sz="8" w:color="BFBFBF"/>
              <w:right w:val="single" w:sz="8" w:color="BFBFBF"/>
            </w:tcBorders>
          </w:tcPr>
          <w:p>
            <w:pPr>
              <w:spacing w:after="0"/>
              <w:rPr>
                <w:sz w:val="5"/>
                <w:szCs w:val="5"/>
                <w:color w:val="auto"/>
              </w:rPr>
            </w:pPr>
          </w:p>
        </w:tc>
        <w:tc>
          <w:tcPr>
            <w:tcW w:w="760" w:type="dxa"/>
            <w:vAlign w:val="bottom"/>
            <w:tcBorders>
              <w:bottom w:val="single" w:sz="8" w:color="BFBFBF"/>
              <w:right w:val="single" w:sz="8" w:color="BFBFBF"/>
            </w:tcBorders>
          </w:tcPr>
          <w:p>
            <w:pPr>
              <w:spacing w:after="0"/>
              <w:rPr>
                <w:sz w:val="5"/>
                <w:szCs w:val="5"/>
                <w:color w:val="auto"/>
              </w:rPr>
            </w:pPr>
          </w:p>
        </w:tc>
        <w:tc>
          <w:tcPr>
            <w:tcW w:w="2240" w:type="dxa"/>
            <w:vAlign w:val="bottom"/>
            <w:tcBorders>
              <w:bottom w:val="single" w:sz="8" w:color="BFBFBF"/>
              <w:right w:val="single" w:sz="8" w:color="BFBFBF"/>
            </w:tcBorders>
          </w:tcPr>
          <w:p>
            <w:pPr>
              <w:spacing w:after="0"/>
              <w:rPr>
                <w:sz w:val="5"/>
                <w:szCs w:val="5"/>
                <w:color w:val="auto"/>
              </w:rPr>
            </w:pPr>
          </w:p>
        </w:tc>
        <w:tc>
          <w:tcPr>
            <w:tcW w:w="4360" w:type="dxa"/>
            <w:vAlign w:val="bottom"/>
          </w:tcPr>
          <w:p>
            <w:pPr>
              <w:spacing w:after="0"/>
              <w:rPr>
                <w:sz w:val="5"/>
                <w:szCs w:val="5"/>
                <w:color w:val="auto"/>
              </w:rPr>
            </w:pPr>
          </w:p>
        </w:tc>
      </w:tr>
      <w:tr>
        <w:trPr>
          <w:trHeight w:val="228"/>
        </w:trPr>
        <w:tc>
          <w:tcPr>
            <w:tcW w:w="300" w:type="dxa"/>
            <w:vAlign w:val="bottom"/>
            <w:tcBorders>
              <w:right w:val="single" w:sz="8" w:color="BFBFBF"/>
            </w:tcBorders>
          </w:tcPr>
          <w:p>
            <w:pPr>
              <w:spacing w:after="0"/>
              <w:rPr>
                <w:sz w:val="19"/>
                <w:szCs w:val="19"/>
                <w:color w:val="auto"/>
              </w:rPr>
            </w:pPr>
          </w:p>
        </w:tc>
        <w:tc>
          <w:tcPr>
            <w:tcW w:w="2140" w:type="dxa"/>
            <w:vAlign w:val="bottom"/>
            <w:tcBorders>
              <w:right w:val="single" w:sz="8" w:color="BFBFBF"/>
            </w:tcBorders>
          </w:tcPr>
          <w:p>
            <w:pPr>
              <w:ind w:left="60"/>
              <w:spacing w:after="0"/>
              <w:rPr>
                <w:sz w:val="20"/>
                <w:szCs w:val="20"/>
                <w:color w:val="auto"/>
              </w:rPr>
            </w:pPr>
            <w:r>
              <w:rPr>
                <w:rFonts w:ascii="Arial" w:cs="Arial" w:eastAsia="Arial" w:hAnsi="Arial"/>
                <w:sz w:val="11"/>
                <w:szCs w:val="11"/>
                <w:color w:val="auto"/>
              </w:rPr>
              <w:t>Reading Australia Leasing (E&amp;R) Pty Ltd</w:t>
            </w:r>
          </w:p>
        </w:tc>
        <w:tc>
          <w:tcPr>
            <w:tcW w:w="760" w:type="dxa"/>
            <w:vAlign w:val="bottom"/>
            <w:tcBorders>
              <w:right w:val="single" w:sz="8" w:color="BFBFBF"/>
            </w:tcBorders>
          </w:tcPr>
          <w:p>
            <w:pPr>
              <w:ind w:left="40"/>
              <w:spacing w:after="0"/>
              <w:rPr>
                <w:sz w:val="20"/>
                <w:szCs w:val="20"/>
                <w:color w:val="auto"/>
              </w:rPr>
            </w:pPr>
            <w:r>
              <w:rPr>
                <w:rFonts w:ascii="Arial" w:cs="Arial" w:eastAsia="Arial" w:hAnsi="Arial"/>
                <w:sz w:val="11"/>
                <w:szCs w:val="11"/>
                <w:color w:val="auto"/>
              </w:rPr>
              <w:t>107 939 211</w:t>
            </w:r>
          </w:p>
        </w:tc>
        <w:tc>
          <w:tcPr>
            <w:tcW w:w="2240" w:type="dxa"/>
            <w:vAlign w:val="bottom"/>
            <w:tcBorders>
              <w:right w:val="single" w:sz="8" w:color="BFBFBF"/>
            </w:tcBorders>
          </w:tcPr>
          <w:p>
            <w:pPr>
              <w:ind w:left="40"/>
              <w:spacing w:after="0"/>
              <w:rPr>
                <w:sz w:val="20"/>
                <w:szCs w:val="20"/>
                <w:color w:val="auto"/>
              </w:rPr>
            </w:pPr>
            <w:r>
              <w:rPr>
                <w:rFonts w:ascii="Arial" w:cs="Arial" w:eastAsia="Arial" w:hAnsi="Arial"/>
                <w:sz w:val="11"/>
                <w:szCs w:val="11"/>
                <w:color w:val="auto"/>
              </w:rPr>
              <w:t>Same as for Borrower</w:t>
            </w:r>
          </w:p>
        </w:tc>
        <w:tc>
          <w:tcPr>
            <w:tcW w:w="4360" w:type="dxa"/>
            <w:vAlign w:val="bottom"/>
          </w:tcPr>
          <w:p>
            <w:pPr>
              <w:spacing w:after="0"/>
              <w:rPr>
                <w:sz w:val="19"/>
                <w:szCs w:val="19"/>
                <w:color w:val="auto"/>
              </w:rPr>
            </w:pPr>
          </w:p>
        </w:tc>
      </w:tr>
      <w:tr>
        <w:trPr>
          <w:trHeight w:val="67"/>
        </w:trPr>
        <w:tc>
          <w:tcPr>
            <w:tcW w:w="300" w:type="dxa"/>
            <w:vAlign w:val="bottom"/>
            <w:tcBorders>
              <w:right w:val="single" w:sz="8" w:color="BFBFBF"/>
            </w:tcBorders>
          </w:tcPr>
          <w:p>
            <w:pPr>
              <w:spacing w:after="0"/>
              <w:rPr>
                <w:sz w:val="5"/>
                <w:szCs w:val="5"/>
                <w:color w:val="auto"/>
              </w:rPr>
            </w:pPr>
          </w:p>
        </w:tc>
        <w:tc>
          <w:tcPr>
            <w:tcW w:w="2140" w:type="dxa"/>
            <w:vAlign w:val="bottom"/>
            <w:tcBorders>
              <w:bottom w:val="single" w:sz="8" w:color="BFBFBF"/>
              <w:right w:val="single" w:sz="8" w:color="BFBFBF"/>
            </w:tcBorders>
          </w:tcPr>
          <w:p>
            <w:pPr>
              <w:spacing w:after="0"/>
              <w:rPr>
                <w:sz w:val="5"/>
                <w:szCs w:val="5"/>
                <w:color w:val="auto"/>
              </w:rPr>
            </w:pPr>
          </w:p>
        </w:tc>
        <w:tc>
          <w:tcPr>
            <w:tcW w:w="760" w:type="dxa"/>
            <w:vAlign w:val="bottom"/>
            <w:tcBorders>
              <w:bottom w:val="single" w:sz="8" w:color="BFBFBF"/>
              <w:right w:val="single" w:sz="8" w:color="BFBFBF"/>
            </w:tcBorders>
          </w:tcPr>
          <w:p>
            <w:pPr>
              <w:spacing w:after="0"/>
              <w:rPr>
                <w:sz w:val="5"/>
                <w:szCs w:val="5"/>
                <w:color w:val="auto"/>
              </w:rPr>
            </w:pPr>
          </w:p>
        </w:tc>
        <w:tc>
          <w:tcPr>
            <w:tcW w:w="2240" w:type="dxa"/>
            <w:vAlign w:val="bottom"/>
            <w:tcBorders>
              <w:bottom w:val="single" w:sz="8" w:color="BFBFBF"/>
              <w:right w:val="single" w:sz="8" w:color="BFBFBF"/>
            </w:tcBorders>
          </w:tcPr>
          <w:p>
            <w:pPr>
              <w:spacing w:after="0"/>
              <w:rPr>
                <w:sz w:val="5"/>
                <w:szCs w:val="5"/>
                <w:color w:val="auto"/>
              </w:rPr>
            </w:pPr>
          </w:p>
        </w:tc>
        <w:tc>
          <w:tcPr>
            <w:tcW w:w="4360" w:type="dxa"/>
            <w:vAlign w:val="bottom"/>
          </w:tcPr>
          <w:p>
            <w:pPr>
              <w:spacing w:after="0"/>
              <w:rPr>
                <w:sz w:val="5"/>
                <w:szCs w:val="5"/>
                <w:color w:val="auto"/>
              </w:rPr>
            </w:pPr>
          </w:p>
        </w:tc>
      </w:tr>
      <w:tr>
        <w:trPr>
          <w:trHeight w:val="228"/>
        </w:trPr>
        <w:tc>
          <w:tcPr>
            <w:tcW w:w="300" w:type="dxa"/>
            <w:vAlign w:val="bottom"/>
            <w:tcBorders>
              <w:right w:val="single" w:sz="8" w:color="BFBFBF"/>
            </w:tcBorders>
          </w:tcPr>
          <w:p>
            <w:pPr>
              <w:spacing w:after="0"/>
              <w:rPr>
                <w:sz w:val="19"/>
                <w:szCs w:val="19"/>
                <w:color w:val="auto"/>
              </w:rPr>
            </w:pPr>
          </w:p>
        </w:tc>
        <w:tc>
          <w:tcPr>
            <w:tcW w:w="2140" w:type="dxa"/>
            <w:vAlign w:val="bottom"/>
            <w:tcBorders>
              <w:right w:val="single" w:sz="8" w:color="BFBFBF"/>
            </w:tcBorders>
          </w:tcPr>
          <w:p>
            <w:pPr>
              <w:ind w:left="60"/>
              <w:spacing w:after="0"/>
              <w:rPr>
                <w:sz w:val="20"/>
                <w:szCs w:val="20"/>
                <w:color w:val="auto"/>
              </w:rPr>
            </w:pPr>
            <w:r>
              <w:rPr>
                <w:rFonts w:ascii="Arial" w:cs="Arial" w:eastAsia="Arial" w:hAnsi="Arial"/>
                <w:sz w:val="11"/>
                <w:szCs w:val="11"/>
                <w:color w:val="auto"/>
              </w:rPr>
              <w:t>Reading Belmont Pty Ltd</w:t>
            </w:r>
          </w:p>
        </w:tc>
        <w:tc>
          <w:tcPr>
            <w:tcW w:w="760" w:type="dxa"/>
            <w:vAlign w:val="bottom"/>
            <w:tcBorders>
              <w:right w:val="single" w:sz="8" w:color="BFBFBF"/>
            </w:tcBorders>
          </w:tcPr>
          <w:p>
            <w:pPr>
              <w:ind w:left="40"/>
              <w:spacing w:after="0"/>
              <w:rPr>
                <w:sz w:val="20"/>
                <w:szCs w:val="20"/>
                <w:color w:val="auto"/>
              </w:rPr>
            </w:pPr>
            <w:r>
              <w:rPr>
                <w:rFonts w:ascii="Arial" w:cs="Arial" w:eastAsia="Arial" w:hAnsi="Arial"/>
                <w:sz w:val="11"/>
                <w:szCs w:val="11"/>
                <w:color w:val="auto"/>
              </w:rPr>
              <w:t>126 697 498</w:t>
            </w:r>
          </w:p>
        </w:tc>
        <w:tc>
          <w:tcPr>
            <w:tcW w:w="2240" w:type="dxa"/>
            <w:vAlign w:val="bottom"/>
            <w:tcBorders>
              <w:right w:val="single" w:sz="8" w:color="BFBFBF"/>
            </w:tcBorders>
          </w:tcPr>
          <w:p>
            <w:pPr>
              <w:ind w:left="40"/>
              <w:spacing w:after="0"/>
              <w:rPr>
                <w:sz w:val="20"/>
                <w:szCs w:val="20"/>
                <w:color w:val="auto"/>
              </w:rPr>
            </w:pPr>
            <w:r>
              <w:rPr>
                <w:rFonts w:ascii="Arial" w:cs="Arial" w:eastAsia="Arial" w:hAnsi="Arial"/>
                <w:sz w:val="11"/>
                <w:szCs w:val="11"/>
                <w:color w:val="auto"/>
              </w:rPr>
              <w:t>Same as for Borrower</w:t>
            </w:r>
          </w:p>
        </w:tc>
        <w:tc>
          <w:tcPr>
            <w:tcW w:w="4360" w:type="dxa"/>
            <w:vAlign w:val="bottom"/>
          </w:tcPr>
          <w:p>
            <w:pPr>
              <w:spacing w:after="0"/>
              <w:rPr>
                <w:sz w:val="19"/>
                <w:szCs w:val="19"/>
                <w:color w:val="auto"/>
              </w:rPr>
            </w:pPr>
          </w:p>
        </w:tc>
      </w:tr>
      <w:tr>
        <w:trPr>
          <w:trHeight w:val="67"/>
        </w:trPr>
        <w:tc>
          <w:tcPr>
            <w:tcW w:w="300" w:type="dxa"/>
            <w:vAlign w:val="bottom"/>
            <w:tcBorders>
              <w:right w:val="single" w:sz="8" w:color="BFBFBF"/>
            </w:tcBorders>
          </w:tcPr>
          <w:p>
            <w:pPr>
              <w:spacing w:after="0"/>
              <w:rPr>
                <w:sz w:val="5"/>
                <w:szCs w:val="5"/>
                <w:color w:val="auto"/>
              </w:rPr>
            </w:pPr>
          </w:p>
        </w:tc>
        <w:tc>
          <w:tcPr>
            <w:tcW w:w="2140" w:type="dxa"/>
            <w:vAlign w:val="bottom"/>
            <w:tcBorders>
              <w:bottom w:val="single" w:sz="8" w:color="BFBFBF"/>
              <w:right w:val="single" w:sz="8" w:color="BFBFBF"/>
            </w:tcBorders>
          </w:tcPr>
          <w:p>
            <w:pPr>
              <w:spacing w:after="0"/>
              <w:rPr>
                <w:sz w:val="5"/>
                <w:szCs w:val="5"/>
                <w:color w:val="auto"/>
              </w:rPr>
            </w:pPr>
          </w:p>
        </w:tc>
        <w:tc>
          <w:tcPr>
            <w:tcW w:w="760" w:type="dxa"/>
            <w:vAlign w:val="bottom"/>
            <w:tcBorders>
              <w:bottom w:val="single" w:sz="8" w:color="BFBFBF"/>
              <w:right w:val="single" w:sz="8" w:color="BFBFBF"/>
            </w:tcBorders>
          </w:tcPr>
          <w:p>
            <w:pPr>
              <w:spacing w:after="0"/>
              <w:rPr>
                <w:sz w:val="5"/>
                <w:szCs w:val="5"/>
                <w:color w:val="auto"/>
              </w:rPr>
            </w:pPr>
          </w:p>
        </w:tc>
        <w:tc>
          <w:tcPr>
            <w:tcW w:w="2240" w:type="dxa"/>
            <w:vAlign w:val="bottom"/>
            <w:tcBorders>
              <w:bottom w:val="single" w:sz="8" w:color="BFBFBF"/>
              <w:right w:val="single" w:sz="8" w:color="BFBFBF"/>
            </w:tcBorders>
          </w:tcPr>
          <w:p>
            <w:pPr>
              <w:spacing w:after="0"/>
              <w:rPr>
                <w:sz w:val="5"/>
                <w:szCs w:val="5"/>
                <w:color w:val="auto"/>
              </w:rPr>
            </w:pPr>
          </w:p>
        </w:tc>
        <w:tc>
          <w:tcPr>
            <w:tcW w:w="4360" w:type="dxa"/>
            <w:vAlign w:val="bottom"/>
          </w:tcPr>
          <w:p>
            <w:pPr>
              <w:spacing w:after="0"/>
              <w:rPr>
                <w:sz w:val="5"/>
                <w:szCs w:val="5"/>
                <w:color w:val="auto"/>
              </w:rPr>
            </w:pPr>
          </w:p>
        </w:tc>
      </w:tr>
      <w:tr>
        <w:trPr>
          <w:trHeight w:val="228"/>
        </w:trPr>
        <w:tc>
          <w:tcPr>
            <w:tcW w:w="300" w:type="dxa"/>
            <w:vAlign w:val="bottom"/>
            <w:tcBorders>
              <w:right w:val="single" w:sz="8" w:color="BFBFBF"/>
            </w:tcBorders>
          </w:tcPr>
          <w:p>
            <w:pPr>
              <w:spacing w:after="0"/>
              <w:rPr>
                <w:sz w:val="19"/>
                <w:szCs w:val="19"/>
                <w:color w:val="auto"/>
              </w:rPr>
            </w:pPr>
          </w:p>
        </w:tc>
        <w:tc>
          <w:tcPr>
            <w:tcW w:w="2140" w:type="dxa"/>
            <w:vAlign w:val="bottom"/>
            <w:tcBorders>
              <w:right w:val="single" w:sz="8" w:color="BFBFBF"/>
            </w:tcBorders>
          </w:tcPr>
          <w:p>
            <w:pPr>
              <w:ind w:left="60"/>
              <w:spacing w:after="0"/>
              <w:rPr>
                <w:sz w:val="20"/>
                <w:szCs w:val="20"/>
                <w:color w:val="auto"/>
              </w:rPr>
            </w:pPr>
            <w:r>
              <w:rPr>
                <w:rFonts w:ascii="Arial" w:cs="Arial" w:eastAsia="Arial" w:hAnsi="Arial"/>
                <w:sz w:val="11"/>
                <w:szCs w:val="11"/>
                <w:color w:val="auto"/>
              </w:rPr>
              <w:t>Reading Bundaberg 2012 Pty Ltd</w:t>
            </w:r>
          </w:p>
        </w:tc>
        <w:tc>
          <w:tcPr>
            <w:tcW w:w="760" w:type="dxa"/>
            <w:vAlign w:val="bottom"/>
            <w:tcBorders>
              <w:right w:val="single" w:sz="8" w:color="BFBFBF"/>
            </w:tcBorders>
          </w:tcPr>
          <w:p>
            <w:pPr>
              <w:ind w:left="40"/>
              <w:spacing w:after="0"/>
              <w:rPr>
                <w:sz w:val="20"/>
                <w:szCs w:val="20"/>
                <w:color w:val="auto"/>
              </w:rPr>
            </w:pPr>
            <w:r>
              <w:rPr>
                <w:rFonts w:ascii="Arial" w:cs="Arial" w:eastAsia="Arial" w:hAnsi="Arial"/>
                <w:sz w:val="11"/>
                <w:szCs w:val="11"/>
                <w:color w:val="auto"/>
              </w:rPr>
              <w:t>122 406 320</w:t>
            </w:r>
          </w:p>
        </w:tc>
        <w:tc>
          <w:tcPr>
            <w:tcW w:w="2240" w:type="dxa"/>
            <w:vAlign w:val="bottom"/>
            <w:tcBorders>
              <w:right w:val="single" w:sz="8" w:color="BFBFBF"/>
            </w:tcBorders>
          </w:tcPr>
          <w:p>
            <w:pPr>
              <w:ind w:left="40"/>
              <w:spacing w:after="0"/>
              <w:rPr>
                <w:sz w:val="20"/>
                <w:szCs w:val="20"/>
                <w:color w:val="auto"/>
              </w:rPr>
            </w:pPr>
            <w:r>
              <w:rPr>
                <w:rFonts w:ascii="Arial" w:cs="Arial" w:eastAsia="Arial" w:hAnsi="Arial"/>
                <w:sz w:val="11"/>
                <w:szCs w:val="11"/>
                <w:color w:val="auto"/>
              </w:rPr>
              <w:t>Same as for Borrower</w:t>
            </w:r>
          </w:p>
        </w:tc>
        <w:tc>
          <w:tcPr>
            <w:tcW w:w="4360" w:type="dxa"/>
            <w:vAlign w:val="bottom"/>
          </w:tcPr>
          <w:p>
            <w:pPr>
              <w:spacing w:after="0"/>
              <w:rPr>
                <w:sz w:val="19"/>
                <w:szCs w:val="19"/>
                <w:color w:val="auto"/>
              </w:rPr>
            </w:pPr>
          </w:p>
        </w:tc>
      </w:tr>
      <w:tr>
        <w:trPr>
          <w:trHeight w:val="67"/>
        </w:trPr>
        <w:tc>
          <w:tcPr>
            <w:tcW w:w="300" w:type="dxa"/>
            <w:vAlign w:val="bottom"/>
            <w:tcBorders>
              <w:right w:val="single" w:sz="8" w:color="BFBFBF"/>
            </w:tcBorders>
          </w:tcPr>
          <w:p>
            <w:pPr>
              <w:spacing w:after="0"/>
              <w:rPr>
                <w:sz w:val="5"/>
                <w:szCs w:val="5"/>
                <w:color w:val="auto"/>
              </w:rPr>
            </w:pPr>
          </w:p>
        </w:tc>
        <w:tc>
          <w:tcPr>
            <w:tcW w:w="2140" w:type="dxa"/>
            <w:vAlign w:val="bottom"/>
            <w:tcBorders>
              <w:bottom w:val="single" w:sz="8" w:color="BFBFBF"/>
              <w:right w:val="single" w:sz="8" w:color="BFBFBF"/>
            </w:tcBorders>
          </w:tcPr>
          <w:p>
            <w:pPr>
              <w:spacing w:after="0"/>
              <w:rPr>
                <w:sz w:val="5"/>
                <w:szCs w:val="5"/>
                <w:color w:val="auto"/>
              </w:rPr>
            </w:pPr>
          </w:p>
        </w:tc>
        <w:tc>
          <w:tcPr>
            <w:tcW w:w="760" w:type="dxa"/>
            <w:vAlign w:val="bottom"/>
            <w:tcBorders>
              <w:bottom w:val="single" w:sz="8" w:color="BFBFBF"/>
              <w:right w:val="single" w:sz="8" w:color="BFBFBF"/>
            </w:tcBorders>
          </w:tcPr>
          <w:p>
            <w:pPr>
              <w:spacing w:after="0"/>
              <w:rPr>
                <w:sz w:val="5"/>
                <w:szCs w:val="5"/>
                <w:color w:val="auto"/>
              </w:rPr>
            </w:pPr>
          </w:p>
        </w:tc>
        <w:tc>
          <w:tcPr>
            <w:tcW w:w="2240" w:type="dxa"/>
            <w:vAlign w:val="bottom"/>
            <w:tcBorders>
              <w:bottom w:val="single" w:sz="8" w:color="BFBFBF"/>
              <w:right w:val="single" w:sz="8" w:color="BFBFBF"/>
            </w:tcBorders>
          </w:tcPr>
          <w:p>
            <w:pPr>
              <w:spacing w:after="0"/>
              <w:rPr>
                <w:sz w:val="5"/>
                <w:szCs w:val="5"/>
                <w:color w:val="auto"/>
              </w:rPr>
            </w:pPr>
          </w:p>
        </w:tc>
        <w:tc>
          <w:tcPr>
            <w:tcW w:w="4360" w:type="dxa"/>
            <w:vAlign w:val="bottom"/>
          </w:tcPr>
          <w:p>
            <w:pPr>
              <w:spacing w:after="0"/>
              <w:rPr>
                <w:sz w:val="5"/>
                <w:szCs w:val="5"/>
                <w:color w:val="auto"/>
              </w:rPr>
            </w:pPr>
          </w:p>
        </w:tc>
      </w:tr>
      <w:tr>
        <w:trPr>
          <w:trHeight w:val="293"/>
        </w:trPr>
        <w:tc>
          <w:tcPr>
            <w:tcW w:w="300" w:type="dxa"/>
            <w:vAlign w:val="bottom"/>
            <w:tcBorders>
              <w:bottom w:val="single" w:sz="8" w:color="9A9A9A"/>
            </w:tcBorders>
          </w:tcPr>
          <w:p>
            <w:pPr>
              <w:spacing w:after="0"/>
              <w:rPr>
                <w:sz w:val="24"/>
                <w:szCs w:val="24"/>
                <w:color w:val="auto"/>
              </w:rPr>
            </w:pPr>
          </w:p>
        </w:tc>
        <w:tc>
          <w:tcPr>
            <w:tcW w:w="214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240" w:type="dxa"/>
            <w:vAlign w:val="bottom"/>
            <w:tcBorders>
              <w:bottom w:val="single" w:sz="8" w:color="9A9A9A"/>
            </w:tcBorders>
          </w:tcPr>
          <w:p>
            <w:pPr>
              <w:spacing w:after="0"/>
              <w:rPr>
                <w:sz w:val="24"/>
                <w:szCs w:val="24"/>
                <w:color w:val="auto"/>
              </w:rPr>
            </w:pPr>
          </w:p>
        </w:tc>
        <w:tc>
          <w:tcPr>
            <w:tcW w:w="4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6204585</wp:posOffset>
            </wp:positionH>
            <wp:positionV relativeFrom="paragraph">
              <wp:posOffset>-29210</wp:posOffset>
            </wp:positionV>
            <wp:extent cx="31115"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31115" cy="42545"/>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-29210</wp:posOffset>
            </wp:positionV>
            <wp:extent cx="31115"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31115" cy="42545"/>
                    </a:xfrm>
                    <a:prstGeom prst="rect">
                      <a:avLst/>
                    </a:prstGeom>
                    <a:noFill/>
                  </pic:spPr>
                </pic:pic>
              </a:graphicData>
            </a:graphic>
          </wp:anchor>
        </w:drawing>
      </w:r>
    </w:p>
    <w:p>
      <w:pPr>
        <w:sectPr>
          <w:pgSz w:w="11900" w:h="16838" w:orient="portrait"/>
          <w:cols w:equalWidth="0" w:num="1">
            <w:col w:w="9800"/>
          </w:cols>
          <w:pgMar w:left="1220" w:top="188" w:right="879" w:bottom="1440" w:gutter="0" w:footer="0" w:header="0"/>
        </w:sectPr>
      </w:pPr>
    </w:p>
    <w:bookmarkStart w:id="215" w:name="page216"/>
    <w:bookmarkEnd w:id="215"/>
    <w:p>
      <w:pPr>
        <w:ind w:left="360"/>
        <w:spacing w:after="0"/>
        <w:rPr>
          <w:sz w:val="20"/>
          <w:szCs w:val="20"/>
          <w:color w:val="auto"/>
        </w:rPr>
      </w:pPr>
      <w:r>
        <w:rPr>
          <w:rFonts w:ascii="Arial" w:cs="Arial" w:eastAsia="Arial" w:hAnsi="Arial"/>
          <w:sz w:val="10"/>
          <w:szCs w:val="10"/>
          <w:color w:val="auto"/>
        </w:rPr>
        <w:t>Corrs Chambers Westgarth</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00" w:type="dxa"/>
            <w:vAlign w:val="bottom"/>
            <w:tcBorders>
              <w:right w:val="single" w:sz="8" w:color="BFBFBF"/>
            </w:tcBorders>
          </w:tcPr>
          <w:p>
            <w:pPr>
              <w:spacing w:after="0"/>
              <w:rPr>
                <w:sz w:val="21"/>
                <w:szCs w:val="21"/>
                <w:color w:val="auto"/>
              </w:rPr>
            </w:pPr>
          </w:p>
        </w:tc>
        <w:tc>
          <w:tcPr>
            <w:tcW w:w="2140" w:type="dxa"/>
            <w:vAlign w:val="bottom"/>
            <w:tcBorders>
              <w:right w:val="single" w:sz="8" w:color="BFBFBF"/>
            </w:tcBorders>
            <w:shd w:val="clear" w:color="auto" w:fill="FFC000"/>
          </w:tcPr>
          <w:p>
            <w:pPr>
              <w:ind w:left="60"/>
              <w:spacing w:after="0"/>
              <w:rPr>
                <w:sz w:val="20"/>
                <w:szCs w:val="20"/>
                <w:color w:val="auto"/>
              </w:rPr>
            </w:pPr>
            <w:r>
              <w:rPr>
                <w:rFonts w:ascii="Arial" w:cs="Arial" w:eastAsia="Arial" w:hAnsi="Arial"/>
                <w:sz w:val="13"/>
                <w:szCs w:val="13"/>
                <w:b w:val="1"/>
                <w:bCs w:val="1"/>
                <w:color w:val="auto"/>
              </w:rPr>
              <w:t>Name</w:t>
            </w:r>
          </w:p>
        </w:tc>
        <w:tc>
          <w:tcPr>
            <w:tcW w:w="760" w:type="dxa"/>
            <w:vAlign w:val="bottom"/>
            <w:tcBorders>
              <w:right w:val="single" w:sz="8" w:color="BFBFBF"/>
            </w:tcBorders>
            <w:shd w:val="clear" w:color="auto" w:fill="FFC000"/>
          </w:tcPr>
          <w:p>
            <w:pPr>
              <w:ind w:left="40"/>
              <w:spacing w:after="0"/>
              <w:rPr>
                <w:sz w:val="20"/>
                <w:szCs w:val="20"/>
                <w:color w:val="auto"/>
              </w:rPr>
            </w:pPr>
            <w:r>
              <w:rPr>
                <w:rFonts w:ascii="Arial" w:cs="Arial" w:eastAsia="Arial" w:hAnsi="Arial"/>
                <w:sz w:val="13"/>
                <w:szCs w:val="13"/>
                <w:b w:val="1"/>
                <w:bCs w:val="1"/>
                <w:color w:val="auto"/>
              </w:rPr>
              <w:t>ACN</w:t>
            </w:r>
          </w:p>
        </w:tc>
        <w:tc>
          <w:tcPr>
            <w:tcW w:w="2240" w:type="dxa"/>
            <w:vAlign w:val="bottom"/>
            <w:tcBorders>
              <w:right w:val="single" w:sz="8" w:color="BFBFBF"/>
            </w:tcBorders>
            <w:shd w:val="clear" w:color="auto" w:fill="FFC000"/>
          </w:tcPr>
          <w:p>
            <w:pPr>
              <w:ind w:left="40"/>
              <w:spacing w:after="0"/>
              <w:rPr>
                <w:sz w:val="20"/>
                <w:szCs w:val="20"/>
                <w:color w:val="auto"/>
              </w:rPr>
            </w:pPr>
            <w:r>
              <w:rPr>
                <w:rFonts w:ascii="Arial" w:cs="Arial" w:eastAsia="Arial" w:hAnsi="Arial"/>
                <w:sz w:val="13"/>
                <w:szCs w:val="13"/>
                <w:b w:val="1"/>
                <w:bCs w:val="1"/>
                <w:color w:val="auto"/>
              </w:rPr>
              <w:t>Particulars for delivery of notices</w:t>
            </w:r>
          </w:p>
        </w:tc>
        <w:tc>
          <w:tcPr>
            <w:tcW w:w="4280" w:type="dxa"/>
            <w:vAlign w:val="bottom"/>
          </w:tcPr>
          <w:p>
            <w:pPr>
              <w:spacing w:after="0"/>
              <w:rPr>
                <w:sz w:val="21"/>
                <w:szCs w:val="21"/>
                <w:color w:val="auto"/>
              </w:rPr>
            </w:pPr>
          </w:p>
        </w:tc>
      </w:tr>
      <w:tr>
        <w:trPr>
          <w:trHeight w:val="79"/>
        </w:trPr>
        <w:tc>
          <w:tcPr>
            <w:tcW w:w="300" w:type="dxa"/>
            <w:vAlign w:val="bottom"/>
            <w:tcBorders>
              <w:right w:val="single" w:sz="8" w:color="BFBFBF"/>
            </w:tcBorders>
          </w:tcPr>
          <w:p>
            <w:pPr>
              <w:spacing w:after="0"/>
              <w:rPr>
                <w:sz w:val="6"/>
                <w:szCs w:val="6"/>
                <w:color w:val="auto"/>
              </w:rPr>
            </w:pPr>
          </w:p>
        </w:tc>
        <w:tc>
          <w:tcPr>
            <w:tcW w:w="2140" w:type="dxa"/>
            <w:vAlign w:val="bottom"/>
            <w:tcBorders>
              <w:right w:val="single" w:sz="8" w:color="BFBFBF"/>
            </w:tcBorders>
            <w:shd w:val="clear" w:color="auto" w:fill="FFC000"/>
          </w:tcPr>
          <w:p>
            <w:pPr>
              <w:spacing w:after="0"/>
              <w:rPr>
                <w:sz w:val="6"/>
                <w:szCs w:val="6"/>
                <w:color w:val="auto"/>
              </w:rPr>
            </w:pPr>
          </w:p>
        </w:tc>
        <w:tc>
          <w:tcPr>
            <w:tcW w:w="760" w:type="dxa"/>
            <w:vAlign w:val="bottom"/>
            <w:tcBorders>
              <w:right w:val="single" w:sz="8" w:color="BFBFBF"/>
            </w:tcBorders>
            <w:shd w:val="clear" w:color="auto" w:fill="FFC000"/>
          </w:tcPr>
          <w:p>
            <w:pPr>
              <w:spacing w:after="0"/>
              <w:rPr>
                <w:sz w:val="6"/>
                <w:szCs w:val="6"/>
                <w:color w:val="auto"/>
              </w:rPr>
            </w:pPr>
          </w:p>
        </w:tc>
        <w:tc>
          <w:tcPr>
            <w:tcW w:w="2240" w:type="dxa"/>
            <w:vAlign w:val="bottom"/>
            <w:tcBorders>
              <w:right w:val="single" w:sz="8" w:color="BFBFBF"/>
            </w:tcBorders>
            <w:shd w:val="clear" w:color="auto" w:fill="FFC000"/>
          </w:tcPr>
          <w:p>
            <w:pPr>
              <w:spacing w:after="0"/>
              <w:rPr>
                <w:sz w:val="6"/>
                <w:szCs w:val="6"/>
                <w:color w:val="auto"/>
              </w:rPr>
            </w:pPr>
          </w:p>
        </w:tc>
        <w:tc>
          <w:tcPr>
            <w:tcW w:w="4280" w:type="dxa"/>
            <w:vAlign w:val="bottom"/>
          </w:tcPr>
          <w:p>
            <w:pPr>
              <w:spacing w:after="0"/>
              <w:rPr>
                <w:sz w:val="6"/>
                <w:szCs w:val="6"/>
                <w:color w:val="auto"/>
              </w:rPr>
            </w:pPr>
          </w:p>
        </w:tc>
      </w:tr>
      <w:tr>
        <w:trPr>
          <w:trHeight w:val="167"/>
        </w:trPr>
        <w:tc>
          <w:tcPr>
            <w:tcW w:w="300" w:type="dxa"/>
            <w:vAlign w:val="bottom"/>
            <w:tcBorders>
              <w:right w:val="single" w:sz="8" w:color="BFBFBF"/>
            </w:tcBorders>
          </w:tcPr>
          <w:p>
            <w:pPr>
              <w:spacing w:after="0"/>
              <w:rPr>
                <w:sz w:val="14"/>
                <w:szCs w:val="14"/>
                <w:color w:val="auto"/>
              </w:rPr>
            </w:pPr>
          </w:p>
        </w:tc>
        <w:tc>
          <w:tcPr>
            <w:tcW w:w="2140" w:type="dxa"/>
            <w:vAlign w:val="bottom"/>
            <w:tcBorders>
              <w:right w:val="single" w:sz="8" w:color="BFBFBF"/>
            </w:tcBorders>
          </w:tcPr>
          <w:p>
            <w:pPr>
              <w:ind w:left="60"/>
              <w:spacing w:after="0"/>
              <w:rPr>
                <w:sz w:val="20"/>
                <w:szCs w:val="20"/>
                <w:color w:val="auto"/>
              </w:rPr>
            </w:pPr>
            <w:r>
              <w:rPr>
                <w:rFonts w:ascii="Arial" w:cs="Arial" w:eastAsia="Arial" w:hAnsi="Arial"/>
                <w:sz w:val="11"/>
                <w:szCs w:val="11"/>
                <w:color w:val="auto"/>
              </w:rPr>
              <w:t>(formerly Reading Moonee Ponds Pty</w:t>
            </w:r>
          </w:p>
        </w:tc>
        <w:tc>
          <w:tcPr>
            <w:tcW w:w="760" w:type="dxa"/>
            <w:vAlign w:val="bottom"/>
            <w:tcBorders>
              <w:right w:val="single" w:sz="8" w:color="BFBFBF"/>
            </w:tcBorders>
          </w:tcPr>
          <w:p>
            <w:pPr>
              <w:spacing w:after="0"/>
              <w:rPr>
                <w:sz w:val="14"/>
                <w:szCs w:val="14"/>
                <w:color w:val="auto"/>
              </w:rPr>
            </w:pPr>
          </w:p>
        </w:tc>
        <w:tc>
          <w:tcPr>
            <w:tcW w:w="2240" w:type="dxa"/>
            <w:vAlign w:val="bottom"/>
            <w:tcBorders>
              <w:right w:val="single" w:sz="8" w:color="BFBFBF"/>
            </w:tcBorders>
          </w:tcPr>
          <w:p>
            <w:pPr>
              <w:spacing w:after="0"/>
              <w:rPr>
                <w:sz w:val="14"/>
                <w:szCs w:val="14"/>
                <w:color w:val="auto"/>
              </w:rPr>
            </w:pPr>
          </w:p>
        </w:tc>
        <w:tc>
          <w:tcPr>
            <w:tcW w:w="4280" w:type="dxa"/>
            <w:vAlign w:val="bottom"/>
          </w:tcPr>
          <w:p>
            <w:pPr>
              <w:spacing w:after="0"/>
              <w:rPr>
                <w:sz w:val="14"/>
                <w:szCs w:val="14"/>
                <w:color w:val="auto"/>
              </w:rPr>
            </w:pPr>
          </w:p>
        </w:tc>
      </w:tr>
      <w:tr>
        <w:trPr>
          <w:trHeight w:val="135"/>
        </w:trPr>
        <w:tc>
          <w:tcPr>
            <w:tcW w:w="300" w:type="dxa"/>
            <w:vAlign w:val="bottom"/>
            <w:tcBorders>
              <w:right w:val="single" w:sz="8" w:color="BFBFBF"/>
            </w:tcBorders>
          </w:tcPr>
          <w:p>
            <w:pPr>
              <w:spacing w:after="0"/>
              <w:rPr>
                <w:sz w:val="11"/>
                <w:szCs w:val="11"/>
                <w:color w:val="auto"/>
              </w:rPr>
            </w:pPr>
          </w:p>
        </w:tc>
        <w:tc>
          <w:tcPr>
            <w:tcW w:w="2140" w:type="dxa"/>
            <w:vAlign w:val="bottom"/>
            <w:tcBorders>
              <w:right w:val="single" w:sz="8" w:color="BFBFBF"/>
            </w:tcBorders>
          </w:tcPr>
          <w:p>
            <w:pPr>
              <w:ind w:left="60"/>
              <w:spacing w:after="0"/>
              <w:rPr>
                <w:sz w:val="20"/>
                <w:szCs w:val="20"/>
                <w:color w:val="auto"/>
              </w:rPr>
            </w:pPr>
            <w:r>
              <w:rPr>
                <w:rFonts w:ascii="Arial" w:cs="Arial" w:eastAsia="Arial" w:hAnsi="Arial"/>
                <w:sz w:val="11"/>
                <w:szCs w:val="11"/>
                <w:color w:val="auto"/>
              </w:rPr>
              <w:t>Ltd)</w:t>
            </w:r>
          </w:p>
        </w:tc>
        <w:tc>
          <w:tcPr>
            <w:tcW w:w="760" w:type="dxa"/>
            <w:vAlign w:val="bottom"/>
            <w:tcBorders>
              <w:right w:val="single" w:sz="8" w:color="BFBFBF"/>
            </w:tcBorders>
          </w:tcPr>
          <w:p>
            <w:pPr>
              <w:spacing w:after="0"/>
              <w:rPr>
                <w:sz w:val="11"/>
                <w:szCs w:val="11"/>
                <w:color w:val="auto"/>
              </w:rPr>
            </w:pPr>
          </w:p>
        </w:tc>
        <w:tc>
          <w:tcPr>
            <w:tcW w:w="2240" w:type="dxa"/>
            <w:vAlign w:val="bottom"/>
            <w:tcBorders>
              <w:right w:val="single" w:sz="8" w:color="BFBFBF"/>
            </w:tcBorders>
          </w:tcPr>
          <w:p>
            <w:pPr>
              <w:spacing w:after="0"/>
              <w:rPr>
                <w:sz w:val="11"/>
                <w:szCs w:val="11"/>
                <w:color w:val="auto"/>
              </w:rPr>
            </w:pPr>
          </w:p>
        </w:tc>
        <w:tc>
          <w:tcPr>
            <w:tcW w:w="4280" w:type="dxa"/>
            <w:vAlign w:val="bottom"/>
          </w:tcPr>
          <w:p>
            <w:pPr>
              <w:spacing w:after="0"/>
              <w:rPr>
                <w:sz w:val="11"/>
                <w:szCs w:val="11"/>
                <w:color w:val="auto"/>
              </w:rPr>
            </w:pPr>
          </w:p>
        </w:tc>
      </w:tr>
      <w:tr>
        <w:trPr>
          <w:trHeight w:val="94"/>
        </w:trPr>
        <w:tc>
          <w:tcPr>
            <w:tcW w:w="300" w:type="dxa"/>
            <w:vAlign w:val="bottom"/>
            <w:tcBorders>
              <w:right w:val="single" w:sz="8" w:color="BFBFBF"/>
            </w:tcBorders>
          </w:tcPr>
          <w:p>
            <w:pPr>
              <w:spacing w:after="0"/>
              <w:rPr>
                <w:sz w:val="8"/>
                <w:szCs w:val="8"/>
                <w:color w:val="auto"/>
              </w:rPr>
            </w:pPr>
          </w:p>
        </w:tc>
        <w:tc>
          <w:tcPr>
            <w:tcW w:w="2140" w:type="dxa"/>
            <w:vAlign w:val="bottom"/>
            <w:tcBorders>
              <w:bottom w:val="single" w:sz="8" w:color="BFBFBF"/>
              <w:right w:val="single" w:sz="8" w:color="BFBFBF"/>
            </w:tcBorders>
          </w:tcPr>
          <w:p>
            <w:pPr>
              <w:spacing w:after="0"/>
              <w:rPr>
                <w:sz w:val="8"/>
                <w:szCs w:val="8"/>
                <w:color w:val="auto"/>
              </w:rPr>
            </w:pPr>
          </w:p>
        </w:tc>
        <w:tc>
          <w:tcPr>
            <w:tcW w:w="760" w:type="dxa"/>
            <w:vAlign w:val="bottom"/>
            <w:tcBorders>
              <w:bottom w:val="single" w:sz="8" w:color="BFBFBF"/>
              <w:right w:val="single" w:sz="8" w:color="BFBFBF"/>
            </w:tcBorders>
          </w:tcPr>
          <w:p>
            <w:pPr>
              <w:spacing w:after="0"/>
              <w:rPr>
                <w:sz w:val="8"/>
                <w:szCs w:val="8"/>
                <w:color w:val="auto"/>
              </w:rPr>
            </w:pPr>
          </w:p>
        </w:tc>
        <w:tc>
          <w:tcPr>
            <w:tcW w:w="2240" w:type="dxa"/>
            <w:vAlign w:val="bottom"/>
            <w:tcBorders>
              <w:bottom w:val="single" w:sz="8" w:color="BFBFBF"/>
              <w:right w:val="single" w:sz="8" w:color="BFBFBF"/>
            </w:tcBorders>
          </w:tcPr>
          <w:p>
            <w:pPr>
              <w:spacing w:after="0"/>
              <w:rPr>
                <w:sz w:val="8"/>
                <w:szCs w:val="8"/>
                <w:color w:val="auto"/>
              </w:rPr>
            </w:pPr>
          </w:p>
        </w:tc>
        <w:tc>
          <w:tcPr>
            <w:tcW w:w="4280" w:type="dxa"/>
            <w:vAlign w:val="bottom"/>
          </w:tcPr>
          <w:p>
            <w:pPr>
              <w:spacing w:after="0"/>
              <w:rPr>
                <w:sz w:val="8"/>
                <w:szCs w:val="8"/>
                <w:color w:val="auto"/>
              </w:rPr>
            </w:pPr>
          </w:p>
        </w:tc>
      </w:tr>
      <w:tr>
        <w:trPr>
          <w:trHeight w:val="228"/>
        </w:trPr>
        <w:tc>
          <w:tcPr>
            <w:tcW w:w="300" w:type="dxa"/>
            <w:vAlign w:val="bottom"/>
            <w:tcBorders>
              <w:right w:val="single" w:sz="8" w:color="BFBFBF"/>
            </w:tcBorders>
          </w:tcPr>
          <w:p>
            <w:pPr>
              <w:spacing w:after="0"/>
              <w:rPr>
                <w:sz w:val="19"/>
                <w:szCs w:val="19"/>
                <w:color w:val="auto"/>
              </w:rPr>
            </w:pPr>
          </w:p>
        </w:tc>
        <w:tc>
          <w:tcPr>
            <w:tcW w:w="2140" w:type="dxa"/>
            <w:vAlign w:val="bottom"/>
            <w:tcBorders>
              <w:right w:val="single" w:sz="8" w:color="BFBFBF"/>
            </w:tcBorders>
          </w:tcPr>
          <w:p>
            <w:pPr>
              <w:ind w:left="60"/>
              <w:spacing w:after="0"/>
              <w:rPr>
                <w:sz w:val="20"/>
                <w:szCs w:val="20"/>
                <w:color w:val="auto"/>
              </w:rPr>
            </w:pPr>
            <w:r>
              <w:rPr>
                <w:rFonts w:ascii="Arial" w:cs="Arial" w:eastAsia="Arial" w:hAnsi="Arial"/>
                <w:sz w:val="11"/>
                <w:szCs w:val="11"/>
                <w:color w:val="auto"/>
              </w:rPr>
              <w:t>Reading Charlestown Pty Ltd</w:t>
            </w:r>
          </w:p>
        </w:tc>
        <w:tc>
          <w:tcPr>
            <w:tcW w:w="760" w:type="dxa"/>
            <w:vAlign w:val="bottom"/>
            <w:tcBorders>
              <w:right w:val="single" w:sz="8" w:color="BFBFBF"/>
            </w:tcBorders>
          </w:tcPr>
          <w:p>
            <w:pPr>
              <w:ind w:left="40"/>
              <w:spacing w:after="0"/>
              <w:rPr>
                <w:sz w:val="20"/>
                <w:szCs w:val="20"/>
                <w:color w:val="auto"/>
              </w:rPr>
            </w:pPr>
            <w:r>
              <w:rPr>
                <w:rFonts w:ascii="Arial" w:cs="Arial" w:eastAsia="Arial" w:hAnsi="Arial"/>
                <w:sz w:val="11"/>
                <w:szCs w:val="11"/>
                <w:color w:val="auto"/>
              </w:rPr>
              <w:t>123 938 483</w:t>
            </w:r>
          </w:p>
        </w:tc>
        <w:tc>
          <w:tcPr>
            <w:tcW w:w="2240" w:type="dxa"/>
            <w:vAlign w:val="bottom"/>
            <w:tcBorders>
              <w:right w:val="single" w:sz="8" w:color="BFBFBF"/>
            </w:tcBorders>
          </w:tcPr>
          <w:p>
            <w:pPr>
              <w:ind w:left="40"/>
              <w:spacing w:after="0"/>
              <w:rPr>
                <w:sz w:val="20"/>
                <w:szCs w:val="20"/>
                <w:color w:val="auto"/>
              </w:rPr>
            </w:pPr>
            <w:r>
              <w:rPr>
                <w:rFonts w:ascii="Arial" w:cs="Arial" w:eastAsia="Arial" w:hAnsi="Arial"/>
                <w:sz w:val="11"/>
                <w:szCs w:val="11"/>
                <w:color w:val="auto"/>
              </w:rPr>
              <w:t>Same as for Borrower</w:t>
            </w:r>
          </w:p>
        </w:tc>
        <w:tc>
          <w:tcPr>
            <w:tcW w:w="4280" w:type="dxa"/>
            <w:vAlign w:val="bottom"/>
          </w:tcPr>
          <w:p>
            <w:pPr>
              <w:spacing w:after="0"/>
              <w:rPr>
                <w:sz w:val="19"/>
                <w:szCs w:val="19"/>
                <w:color w:val="auto"/>
              </w:rPr>
            </w:pPr>
          </w:p>
        </w:tc>
      </w:tr>
      <w:tr>
        <w:trPr>
          <w:trHeight w:val="67"/>
        </w:trPr>
        <w:tc>
          <w:tcPr>
            <w:tcW w:w="300" w:type="dxa"/>
            <w:vAlign w:val="bottom"/>
            <w:tcBorders>
              <w:right w:val="single" w:sz="8" w:color="BFBFBF"/>
            </w:tcBorders>
          </w:tcPr>
          <w:p>
            <w:pPr>
              <w:spacing w:after="0"/>
              <w:rPr>
                <w:sz w:val="5"/>
                <w:szCs w:val="5"/>
                <w:color w:val="auto"/>
              </w:rPr>
            </w:pPr>
          </w:p>
        </w:tc>
        <w:tc>
          <w:tcPr>
            <w:tcW w:w="2140" w:type="dxa"/>
            <w:vAlign w:val="bottom"/>
            <w:tcBorders>
              <w:bottom w:val="single" w:sz="8" w:color="BFBFBF"/>
              <w:right w:val="single" w:sz="8" w:color="BFBFBF"/>
            </w:tcBorders>
          </w:tcPr>
          <w:p>
            <w:pPr>
              <w:spacing w:after="0"/>
              <w:rPr>
                <w:sz w:val="5"/>
                <w:szCs w:val="5"/>
                <w:color w:val="auto"/>
              </w:rPr>
            </w:pPr>
          </w:p>
        </w:tc>
        <w:tc>
          <w:tcPr>
            <w:tcW w:w="760" w:type="dxa"/>
            <w:vAlign w:val="bottom"/>
            <w:tcBorders>
              <w:bottom w:val="single" w:sz="8" w:color="BFBFBF"/>
              <w:right w:val="single" w:sz="8" w:color="BFBFBF"/>
            </w:tcBorders>
          </w:tcPr>
          <w:p>
            <w:pPr>
              <w:spacing w:after="0"/>
              <w:rPr>
                <w:sz w:val="5"/>
                <w:szCs w:val="5"/>
                <w:color w:val="auto"/>
              </w:rPr>
            </w:pPr>
          </w:p>
        </w:tc>
        <w:tc>
          <w:tcPr>
            <w:tcW w:w="2240" w:type="dxa"/>
            <w:vAlign w:val="bottom"/>
            <w:tcBorders>
              <w:bottom w:val="single" w:sz="8" w:color="BFBFBF"/>
              <w:right w:val="single" w:sz="8" w:color="BFBFBF"/>
            </w:tcBorders>
          </w:tcPr>
          <w:p>
            <w:pPr>
              <w:spacing w:after="0"/>
              <w:rPr>
                <w:sz w:val="5"/>
                <w:szCs w:val="5"/>
                <w:color w:val="auto"/>
              </w:rPr>
            </w:pPr>
          </w:p>
        </w:tc>
        <w:tc>
          <w:tcPr>
            <w:tcW w:w="4280" w:type="dxa"/>
            <w:vAlign w:val="bottom"/>
          </w:tcPr>
          <w:p>
            <w:pPr>
              <w:spacing w:after="0"/>
              <w:rPr>
                <w:sz w:val="5"/>
                <w:szCs w:val="5"/>
                <w:color w:val="auto"/>
              </w:rPr>
            </w:pPr>
          </w:p>
        </w:tc>
      </w:tr>
      <w:tr>
        <w:trPr>
          <w:trHeight w:val="228"/>
        </w:trPr>
        <w:tc>
          <w:tcPr>
            <w:tcW w:w="300" w:type="dxa"/>
            <w:vAlign w:val="bottom"/>
            <w:tcBorders>
              <w:right w:val="single" w:sz="8" w:color="BFBFBF"/>
            </w:tcBorders>
          </w:tcPr>
          <w:p>
            <w:pPr>
              <w:spacing w:after="0"/>
              <w:rPr>
                <w:sz w:val="19"/>
                <w:szCs w:val="19"/>
                <w:color w:val="auto"/>
              </w:rPr>
            </w:pPr>
          </w:p>
        </w:tc>
        <w:tc>
          <w:tcPr>
            <w:tcW w:w="2140" w:type="dxa"/>
            <w:vAlign w:val="bottom"/>
            <w:tcBorders>
              <w:right w:val="single" w:sz="8" w:color="BFBFBF"/>
            </w:tcBorders>
          </w:tcPr>
          <w:p>
            <w:pPr>
              <w:ind w:left="60"/>
              <w:spacing w:after="0"/>
              <w:rPr>
                <w:sz w:val="20"/>
                <w:szCs w:val="20"/>
                <w:color w:val="auto"/>
              </w:rPr>
            </w:pPr>
            <w:r>
              <w:rPr>
                <w:rFonts w:ascii="Arial" w:cs="Arial" w:eastAsia="Arial" w:hAnsi="Arial"/>
                <w:sz w:val="11"/>
                <w:szCs w:val="11"/>
                <w:color w:val="auto"/>
              </w:rPr>
              <w:t>Reading Cinemas Pty Ltd</w:t>
            </w:r>
          </w:p>
        </w:tc>
        <w:tc>
          <w:tcPr>
            <w:tcW w:w="760" w:type="dxa"/>
            <w:vAlign w:val="bottom"/>
            <w:tcBorders>
              <w:right w:val="single" w:sz="8" w:color="BFBFBF"/>
            </w:tcBorders>
          </w:tcPr>
          <w:p>
            <w:pPr>
              <w:ind w:left="40"/>
              <w:spacing w:after="0"/>
              <w:rPr>
                <w:sz w:val="20"/>
                <w:szCs w:val="20"/>
                <w:color w:val="auto"/>
              </w:rPr>
            </w:pPr>
            <w:r>
              <w:rPr>
                <w:rFonts w:ascii="Arial" w:cs="Arial" w:eastAsia="Arial" w:hAnsi="Arial"/>
                <w:sz w:val="11"/>
                <w:szCs w:val="11"/>
                <w:color w:val="auto"/>
              </w:rPr>
              <w:t>073 808 643</w:t>
            </w:r>
          </w:p>
        </w:tc>
        <w:tc>
          <w:tcPr>
            <w:tcW w:w="2240" w:type="dxa"/>
            <w:vAlign w:val="bottom"/>
            <w:tcBorders>
              <w:right w:val="single" w:sz="8" w:color="BFBFBF"/>
            </w:tcBorders>
          </w:tcPr>
          <w:p>
            <w:pPr>
              <w:ind w:left="40"/>
              <w:spacing w:after="0"/>
              <w:rPr>
                <w:sz w:val="20"/>
                <w:szCs w:val="20"/>
                <w:color w:val="auto"/>
              </w:rPr>
            </w:pPr>
            <w:r>
              <w:rPr>
                <w:rFonts w:ascii="Arial" w:cs="Arial" w:eastAsia="Arial" w:hAnsi="Arial"/>
                <w:sz w:val="11"/>
                <w:szCs w:val="11"/>
                <w:color w:val="auto"/>
              </w:rPr>
              <w:t>Same as for Borrower</w:t>
            </w:r>
          </w:p>
        </w:tc>
        <w:tc>
          <w:tcPr>
            <w:tcW w:w="4280" w:type="dxa"/>
            <w:vAlign w:val="bottom"/>
          </w:tcPr>
          <w:p>
            <w:pPr>
              <w:spacing w:after="0"/>
              <w:rPr>
                <w:sz w:val="19"/>
                <w:szCs w:val="19"/>
                <w:color w:val="auto"/>
              </w:rPr>
            </w:pPr>
          </w:p>
        </w:tc>
      </w:tr>
      <w:tr>
        <w:trPr>
          <w:trHeight w:val="67"/>
        </w:trPr>
        <w:tc>
          <w:tcPr>
            <w:tcW w:w="300" w:type="dxa"/>
            <w:vAlign w:val="bottom"/>
            <w:tcBorders>
              <w:right w:val="single" w:sz="8" w:color="BFBFBF"/>
            </w:tcBorders>
          </w:tcPr>
          <w:p>
            <w:pPr>
              <w:spacing w:after="0"/>
              <w:rPr>
                <w:sz w:val="5"/>
                <w:szCs w:val="5"/>
                <w:color w:val="auto"/>
              </w:rPr>
            </w:pPr>
          </w:p>
        </w:tc>
        <w:tc>
          <w:tcPr>
            <w:tcW w:w="2140" w:type="dxa"/>
            <w:vAlign w:val="bottom"/>
            <w:tcBorders>
              <w:bottom w:val="single" w:sz="8" w:color="BFBFBF"/>
              <w:right w:val="single" w:sz="8" w:color="BFBFBF"/>
            </w:tcBorders>
          </w:tcPr>
          <w:p>
            <w:pPr>
              <w:spacing w:after="0"/>
              <w:rPr>
                <w:sz w:val="5"/>
                <w:szCs w:val="5"/>
                <w:color w:val="auto"/>
              </w:rPr>
            </w:pPr>
          </w:p>
        </w:tc>
        <w:tc>
          <w:tcPr>
            <w:tcW w:w="760" w:type="dxa"/>
            <w:vAlign w:val="bottom"/>
            <w:tcBorders>
              <w:bottom w:val="single" w:sz="8" w:color="BFBFBF"/>
              <w:right w:val="single" w:sz="8" w:color="BFBFBF"/>
            </w:tcBorders>
          </w:tcPr>
          <w:p>
            <w:pPr>
              <w:spacing w:after="0"/>
              <w:rPr>
                <w:sz w:val="5"/>
                <w:szCs w:val="5"/>
                <w:color w:val="auto"/>
              </w:rPr>
            </w:pPr>
          </w:p>
        </w:tc>
        <w:tc>
          <w:tcPr>
            <w:tcW w:w="2240" w:type="dxa"/>
            <w:vAlign w:val="bottom"/>
            <w:tcBorders>
              <w:bottom w:val="single" w:sz="8" w:color="BFBFBF"/>
              <w:right w:val="single" w:sz="8" w:color="BFBFBF"/>
            </w:tcBorders>
          </w:tcPr>
          <w:p>
            <w:pPr>
              <w:spacing w:after="0"/>
              <w:rPr>
                <w:sz w:val="5"/>
                <w:szCs w:val="5"/>
                <w:color w:val="auto"/>
              </w:rPr>
            </w:pPr>
          </w:p>
        </w:tc>
        <w:tc>
          <w:tcPr>
            <w:tcW w:w="4280" w:type="dxa"/>
            <w:vAlign w:val="bottom"/>
          </w:tcPr>
          <w:p>
            <w:pPr>
              <w:spacing w:after="0"/>
              <w:rPr>
                <w:sz w:val="5"/>
                <w:szCs w:val="5"/>
                <w:color w:val="auto"/>
              </w:rPr>
            </w:pPr>
          </w:p>
        </w:tc>
      </w:tr>
      <w:tr>
        <w:trPr>
          <w:trHeight w:val="228"/>
        </w:trPr>
        <w:tc>
          <w:tcPr>
            <w:tcW w:w="300" w:type="dxa"/>
            <w:vAlign w:val="bottom"/>
            <w:tcBorders>
              <w:right w:val="single" w:sz="8" w:color="BFBFBF"/>
            </w:tcBorders>
          </w:tcPr>
          <w:p>
            <w:pPr>
              <w:spacing w:after="0"/>
              <w:rPr>
                <w:sz w:val="19"/>
                <w:szCs w:val="19"/>
                <w:color w:val="auto"/>
              </w:rPr>
            </w:pPr>
          </w:p>
        </w:tc>
        <w:tc>
          <w:tcPr>
            <w:tcW w:w="2140" w:type="dxa"/>
            <w:vAlign w:val="bottom"/>
            <w:tcBorders>
              <w:right w:val="single" w:sz="8" w:color="BFBFBF"/>
            </w:tcBorders>
          </w:tcPr>
          <w:p>
            <w:pPr>
              <w:ind w:left="60"/>
              <w:spacing w:after="0"/>
              <w:rPr>
                <w:sz w:val="20"/>
                <w:szCs w:val="20"/>
                <w:color w:val="auto"/>
              </w:rPr>
            </w:pPr>
            <w:r>
              <w:rPr>
                <w:rFonts w:ascii="Arial" w:cs="Arial" w:eastAsia="Arial" w:hAnsi="Arial"/>
                <w:sz w:val="11"/>
                <w:szCs w:val="11"/>
                <w:color w:val="auto"/>
              </w:rPr>
              <w:t>Reading Cinemas Management Pty Ltd</w:t>
            </w:r>
          </w:p>
        </w:tc>
        <w:tc>
          <w:tcPr>
            <w:tcW w:w="760" w:type="dxa"/>
            <w:vAlign w:val="bottom"/>
            <w:tcBorders>
              <w:right w:val="single" w:sz="8" w:color="BFBFBF"/>
            </w:tcBorders>
          </w:tcPr>
          <w:p>
            <w:pPr>
              <w:ind w:left="40"/>
              <w:spacing w:after="0"/>
              <w:rPr>
                <w:sz w:val="20"/>
                <w:szCs w:val="20"/>
                <w:color w:val="auto"/>
              </w:rPr>
            </w:pPr>
            <w:r>
              <w:rPr>
                <w:rFonts w:ascii="Arial" w:cs="Arial" w:eastAsia="Arial" w:hAnsi="Arial"/>
                <w:sz w:val="11"/>
                <w:szCs w:val="11"/>
                <w:color w:val="auto"/>
              </w:rPr>
              <w:t>122 406 311</w:t>
            </w:r>
          </w:p>
        </w:tc>
        <w:tc>
          <w:tcPr>
            <w:tcW w:w="2240" w:type="dxa"/>
            <w:vAlign w:val="bottom"/>
            <w:tcBorders>
              <w:right w:val="single" w:sz="8" w:color="BFBFBF"/>
            </w:tcBorders>
          </w:tcPr>
          <w:p>
            <w:pPr>
              <w:ind w:left="40"/>
              <w:spacing w:after="0"/>
              <w:rPr>
                <w:sz w:val="20"/>
                <w:szCs w:val="20"/>
                <w:color w:val="auto"/>
              </w:rPr>
            </w:pPr>
            <w:r>
              <w:rPr>
                <w:rFonts w:ascii="Arial" w:cs="Arial" w:eastAsia="Arial" w:hAnsi="Arial"/>
                <w:sz w:val="11"/>
                <w:szCs w:val="11"/>
                <w:color w:val="auto"/>
              </w:rPr>
              <w:t>Same as for Borrower</w:t>
            </w:r>
          </w:p>
        </w:tc>
        <w:tc>
          <w:tcPr>
            <w:tcW w:w="4280" w:type="dxa"/>
            <w:vAlign w:val="bottom"/>
          </w:tcPr>
          <w:p>
            <w:pPr>
              <w:spacing w:after="0"/>
              <w:rPr>
                <w:sz w:val="19"/>
                <w:szCs w:val="19"/>
                <w:color w:val="auto"/>
              </w:rPr>
            </w:pPr>
          </w:p>
        </w:tc>
      </w:tr>
      <w:tr>
        <w:trPr>
          <w:trHeight w:val="67"/>
        </w:trPr>
        <w:tc>
          <w:tcPr>
            <w:tcW w:w="300" w:type="dxa"/>
            <w:vAlign w:val="bottom"/>
            <w:tcBorders>
              <w:right w:val="single" w:sz="8" w:color="BFBFBF"/>
            </w:tcBorders>
          </w:tcPr>
          <w:p>
            <w:pPr>
              <w:spacing w:after="0"/>
              <w:rPr>
                <w:sz w:val="5"/>
                <w:szCs w:val="5"/>
                <w:color w:val="auto"/>
              </w:rPr>
            </w:pPr>
          </w:p>
        </w:tc>
        <w:tc>
          <w:tcPr>
            <w:tcW w:w="2140" w:type="dxa"/>
            <w:vAlign w:val="bottom"/>
            <w:tcBorders>
              <w:bottom w:val="single" w:sz="8" w:color="BFBFBF"/>
              <w:right w:val="single" w:sz="8" w:color="BFBFBF"/>
            </w:tcBorders>
          </w:tcPr>
          <w:p>
            <w:pPr>
              <w:spacing w:after="0"/>
              <w:rPr>
                <w:sz w:val="5"/>
                <w:szCs w:val="5"/>
                <w:color w:val="auto"/>
              </w:rPr>
            </w:pPr>
          </w:p>
        </w:tc>
        <w:tc>
          <w:tcPr>
            <w:tcW w:w="760" w:type="dxa"/>
            <w:vAlign w:val="bottom"/>
            <w:tcBorders>
              <w:bottom w:val="single" w:sz="8" w:color="BFBFBF"/>
              <w:right w:val="single" w:sz="8" w:color="BFBFBF"/>
            </w:tcBorders>
          </w:tcPr>
          <w:p>
            <w:pPr>
              <w:spacing w:after="0"/>
              <w:rPr>
                <w:sz w:val="5"/>
                <w:szCs w:val="5"/>
                <w:color w:val="auto"/>
              </w:rPr>
            </w:pPr>
          </w:p>
        </w:tc>
        <w:tc>
          <w:tcPr>
            <w:tcW w:w="2240" w:type="dxa"/>
            <w:vAlign w:val="bottom"/>
            <w:tcBorders>
              <w:bottom w:val="single" w:sz="8" w:color="BFBFBF"/>
              <w:right w:val="single" w:sz="8" w:color="BFBFBF"/>
            </w:tcBorders>
          </w:tcPr>
          <w:p>
            <w:pPr>
              <w:spacing w:after="0"/>
              <w:rPr>
                <w:sz w:val="5"/>
                <w:szCs w:val="5"/>
                <w:color w:val="auto"/>
              </w:rPr>
            </w:pPr>
          </w:p>
        </w:tc>
        <w:tc>
          <w:tcPr>
            <w:tcW w:w="4280" w:type="dxa"/>
            <w:vAlign w:val="bottom"/>
          </w:tcPr>
          <w:p>
            <w:pPr>
              <w:spacing w:after="0"/>
              <w:rPr>
                <w:sz w:val="5"/>
                <w:szCs w:val="5"/>
                <w:color w:val="auto"/>
              </w:rPr>
            </w:pPr>
          </w:p>
        </w:tc>
      </w:tr>
      <w:tr>
        <w:trPr>
          <w:trHeight w:val="228"/>
        </w:trPr>
        <w:tc>
          <w:tcPr>
            <w:tcW w:w="300" w:type="dxa"/>
            <w:vAlign w:val="bottom"/>
            <w:tcBorders>
              <w:right w:val="single" w:sz="8" w:color="BFBFBF"/>
            </w:tcBorders>
          </w:tcPr>
          <w:p>
            <w:pPr>
              <w:spacing w:after="0"/>
              <w:rPr>
                <w:sz w:val="19"/>
                <w:szCs w:val="19"/>
                <w:color w:val="auto"/>
              </w:rPr>
            </w:pPr>
          </w:p>
        </w:tc>
        <w:tc>
          <w:tcPr>
            <w:tcW w:w="2140" w:type="dxa"/>
            <w:vAlign w:val="bottom"/>
            <w:tcBorders>
              <w:right w:val="single" w:sz="8" w:color="BFBFBF"/>
            </w:tcBorders>
          </w:tcPr>
          <w:p>
            <w:pPr>
              <w:ind w:left="60"/>
              <w:spacing w:after="0"/>
              <w:rPr>
                <w:sz w:val="20"/>
                <w:szCs w:val="20"/>
                <w:color w:val="auto"/>
              </w:rPr>
            </w:pPr>
            <w:r>
              <w:rPr>
                <w:rFonts w:ascii="Arial" w:cs="Arial" w:eastAsia="Arial" w:hAnsi="Arial"/>
                <w:sz w:val="11"/>
                <w:szCs w:val="11"/>
                <w:color w:val="auto"/>
              </w:rPr>
              <w:t>Reading Colac Pty Ltd</w:t>
            </w:r>
          </w:p>
        </w:tc>
        <w:tc>
          <w:tcPr>
            <w:tcW w:w="760" w:type="dxa"/>
            <w:vAlign w:val="bottom"/>
            <w:tcBorders>
              <w:right w:val="single" w:sz="8" w:color="BFBFBF"/>
            </w:tcBorders>
          </w:tcPr>
          <w:p>
            <w:pPr>
              <w:ind w:left="40"/>
              <w:spacing w:after="0"/>
              <w:rPr>
                <w:sz w:val="20"/>
                <w:szCs w:val="20"/>
                <w:color w:val="auto"/>
              </w:rPr>
            </w:pPr>
            <w:r>
              <w:rPr>
                <w:rFonts w:ascii="Arial" w:cs="Arial" w:eastAsia="Arial" w:hAnsi="Arial"/>
                <w:sz w:val="11"/>
                <w:szCs w:val="11"/>
                <w:color w:val="auto"/>
              </w:rPr>
              <w:t>108 861 061</w:t>
            </w:r>
          </w:p>
        </w:tc>
        <w:tc>
          <w:tcPr>
            <w:tcW w:w="2240" w:type="dxa"/>
            <w:vAlign w:val="bottom"/>
            <w:tcBorders>
              <w:right w:val="single" w:sz="8" w:color="BFBFBF"/>
            </w:tcBorders>
          </w:tcPr>
          <w:p>
            <w:pPr>
              <w:ind w:left="40"/>
              <w:spacing w:after="0"/>
              <w:rPr>
                <w:sz w:val="20"/>
                <w:szCs w:val="20"/>
                <w:color w:val="auto"/>
              </w:rPr>
            </w:pPr>
            <w:r>
              <w:rPr>
                <w:rFonts w:ascii="Arial" w:cs="Arial" w:eastAsia="Arial" w:hAnsi="Arial"/>
                <w:sz w:val="11"/>
                <w:szCs w:val="11"/>
                <w:color w:val="auto"/>
              </w:rPr>
              <w:t>Same as for Borrower</w:t>
            </w:r>
          </w:p>
        </w:tc>
        <w:tc>
          <w:tcPr>
            <w:tcW w:w="4280" w:type="dxa"/>
            <w:vAlign w:val="bottom"/>
          </w:tcPr>
          <w:p>
            <w:pPr>
              <w:spacing w:after="0"/>
              <w:rPr>
                <w:sz w:val="19"/>
                <w:szCs w:val="19"/>
                <w:color w:val="auto"/>
              </w:rPr>
            </w:pPr>
          </w:p>
        </w:tc>
      </w:tr>
      <w:tr>
        <w:trPr>
          <w:trHeight w:val="67"/>
        </w:trPr>
        <w:tc>
          <w:tcPr>
            <w:tcW w:w="300" w:type="dxa"/>
            <w:vAlign w:val="bottom"/>
            <w:tcBorders>
              <w:right w:val="single" w:sz="8" w:color="BFBFBF"/>
            </w:tcBorders>
          </w:tcPr>
          <w:p>
            <w:pPr>
              <w:spacing w:after="0"/>
              <w:rPr>
                <w:sz w:val="5"/>
                <w:szCs w:val="5"/>
                <w:color w:val="auto"/>
              </w:rPr>
            </w:pPr>
          </w:p>
        </w:tc>
        <w:tc>
          <w:tcPr>
            <w:tcW w:w="2140" w:type="dxa"/>
            <w:vAlign w:val="bottom"/>
            <w:tcBorders>
              <w:bottom w:val="single" w:sz="8" w:color="BFBFBF"/>
              <w:right w:val="single" w:sz="8" w:color="BFBFBF"/>
            </w:tcBorders>
          </w:tcPr>
          <w:p>
            <w:pPr>
              <w:spacing w:after="0"/>
              <w:rPr>
                <w:sz w:val="5"/>
                <w:szCs w:val="5"/>
                <w:color w:val="auto"/>
              </w:rPr>
            </w:pPr>
          </w:p>
        </w:tc>
        <w:tc>
          <w:tcPr>
            <w:tcW w:w="760" w:type="dxa"/>
            <w:vAlign w:val="bottom"/>
            <w:tcBorders>
              <w:bottom w:val="single" w:sz="8" w:color="BFBFBF"/>
              <w:right w:val="single" w:sz="8" w:color="BFBFBF"/>
            </w:tcBorders>
          </w:tcPr>
          <w:p>
            <w:pPr>
              <w:spacing w:after="0"/>
              <w:rPr>
                <w:sz w:val="5"/>
                <w:szCs w:val="5"/>
                <w:color w:val="auto"/>
              </w:rPr>
            </w:pPr>
          </w:p>
        </w:tc>
        <w:tc>
          <w:tcPr>
            <w:tcW w:w="2240" w:type="dxa"/>
            <w:vAlign w:val="bottom"/>
            <w:tcBorders>
              <w:bottom w:val="single" w:sz="8" w:color="BFBFBF"/>
              <w:right w:val="single" w:sz="8" w:color="BFBFBF"/>
            </w:tcBorders>
          </w:tcPr>
          <w:p>
            <w:pPr>
              <w:spacing w:after="0"/>
              <w:rPr>
                <w:sz w:val="5"/>
                <w:szCs w:val="5"/>
                <w:color w:val="auto"/>
              </w:rPr>
            </w:pPr>
          </w:p>
        </w:tc>
        <w:tc>
          <w:tcPr>
            <w:tcW w:w="4280" w:type="dxa"/>
            <w:vAlign w:val="bottom"/>
          </w:tcPr>
          <w:p>
            <w:pPr>
              <w:spacing w:after="0"/>
              <w:rPr>
                <w:sz w:val="5"/>
                <w:szCs w:val="5"/>
                <w:color w:val="auto"/>
              </w:rPr>
            </w:pPr>
          </w:p>
        </w:tc>
      </w:tr>
      <w:tr>
        <w:trPr>
          <w:trHeight w:val="228"/>
        </w:trPr>
        <w:tc>
          <w:tcPr>
            <w:tcW w:w="300" w:type="dxa"/>
            <w:vAlign w:val="bottom"/>
            <w:tcBorders>
              <w:right w:val="single" w:sz="8" w:color="BFBFBF"/>
            </w:tcBorders>
          </w:tcPr>
          <w:p>
            <w:pPr>
              <w:spacing w:after="0"/>
              <w:rPr>
                <w:sz w:val="19"/>
                <w:szCs w:val="19"/>
                <w:color w:val="auto"/>
              </w:rPr>
            </w:pPr>
          </w:p>
        </w:tc>
        <w:tc>
          <w:tcPr>
            <w:tcW w:w="2140" w:type="dxa"/>
            <w:vAlign w:val="bottom"/>
            <w:tcBorders>
              <w:right w:val="single" w:sz="8" w:color="BFBFBF"/>
            </w:tcBorders>
          </w:tcPr>
          <w:p>
            <w:pPr>
              <w:ind w:left="60"/>
              <w:spacing w:after="0"/>
              <w:rPr>
                <w:sz w:val="20"/>
                <w:szCs w:val="20"/>
                <w:color w:val="auto"/>
              </w:rPr>
            </w:pPr>
            <w:r>
              <w:rPr>
                <w:rFonts w:ascii="Arial" w:cs="Arial" w:eastAsia="Arial" w:hAnsi="Arial"/>
                <w:sz w:val="11"/>
                <w:szCs w:val="11"/>
                <w:color w:val="auto"/>
              </w:rPr>
              <w:t>Reading Dandenong Pty Ltd</w:t>
            </w:r>
          </w:p>
        </w:tc>
        <w:tc>
          <w:tcPr>
            <w:tcW w:w="760" w:type="dxa"/>
            <w:vAlign w:val="bottom"/>
            <w:tcBorders>
              <w:right w:val="single" w:sz="8" w:color="BFBFBF"/>
            </w:tcBorders>
          </w:tcPr>
          <w:p>
            <w:pPr>
              <w:ind w:left="40"/>
              <w:spacing w:after="0"/>
              <w:rPr>
                <w:sz w:val="20"/>
                <w:szCs w:val="20"/>
                <w:color w:val="auto"/>
              </w:rPr>
            </w:pPr>
            <w:r>
              <w:rPr>
                <w:rFonts w:ascii="Arial" w:cs="Arial" w:eastAsia="Arial" w:hAnsi="Arial"/>
                <w:sz w:val="11"/>
                <w:szCs w:val="11"/>
                <w:color w:val="auto"/>
              </w:rPr>
              <w:t>129 018 739</w:t>
            </w:r>
          </w:p>
        </w:tc>
        <w:tc>
          <w:tcPr>
            <w:tcW w:w="2240" w:type="dxa"/>
            <w:vAlign w:val="bottom"/>
            <w:tcBorders>
              <w:right w:val="single" w:sz="8" w:color="BFBFBF"/>
            </w:tcBorders>
          </w:tcPr>
          <w:p>
            <w:pPr>
              <w:ind w:left="40"/>
              <w:spacing w:after="0"/>
              <w:rPr>
                <w:sz w:val="20"/>
                <w:szCs w:val="20"/>
                <w:color w:val="auto"/>
              </w:rPr>
            </w:pPr>
            <w:r>
              <w:rPr>
                <w:rFonts w:ascii="Arial" w:cs="Arial" w:eastAsia="Arial" w:hAnsi="Arial"/>
                <w:sz w:val="11"/>
                <w:szCs w:val="11"/>
                <w:color w:val="auto"/>
              </w:rPr>
              <w:t>Same as for Borrower</w:t>
            </w:r>
          </w:p>
        </w:tc>
        <w:tc>
          <w:tcPr>
            <w:tcW w:w="4280" w:type="dxa"/>
            <w:vAlign w:val="bottom"/>
          </w:tcPr>
          <w:p>
            <w:pPr>
              <w:spacing w:after="0"/>
              <w:rPr>
                <w:sz w:val="19"/>
                <w:szCs w:val="19"/>
                <w:color w:val="auto"/>
              </w:rPr>
            </w:pPr>
          </w:p>
        </w:tc>
      </w:tr>
      <w:tr>
        <w:trPr>
          <w:trHeight w:val="67"/>
        </w:trPr>
        <w:tc>
          <w:tcPr>
            <w:tcW w:w="300" w:type="dxa"/>
            <w:vAlign w:val="bottom"/>
            <w:tcBorders>
              <w:right w:val="single" w:sz="8" w:color="BFBFBF"/>
            </w:tcBorders>
          </w:tcPr>
          <w:p>
            <w:pPr>
              <w:spacing w:after="0"/>
              <w:rPr>
                <w:sz w:val="5"/>
                <w:szCs w:val="5"/>
                <w:color w:val="auto"/>
              </w:rPr>
            </w:pPr>
          </w:p>
        </w:tc>
        <w:tc>
          <w:tcPr>
            <w:tcW w:w="2140" w:type="dxa"/>
            <w:vAlign w:val="bottom"/>
            <w:tcBorders>
              <w:bottom w:val="single" w:sz="8" w:color="BFBFBF"/>
              <w:right w:val="single" w:sz="8" w:color="BFBFBF"/>
            </w:tcBorders>
          </w:tcPr>
          <w:p>
            <w:pPr>
              <w:spacing w:after="0"/>
              <w:rPr>
                <w:sz w:val="5"/>
                <w:szCs w:val="5"/>
                <w:color w:val="auto"/>
              </w:rPr>
            </w:pPr>
          </w:p>
        </w:tc>
        <w:tc>
          <w:tcPr>
            <w:tcW w:w="760" w:type="dxa"/>
            <w:vAlign w:val="bottom"/>
            <w:tcBorders>
              <w:bottom w:val="single" w:sz="8" w:color="BFBFBF"/>
              <w:right w:val="single" w:sz="8" w:color="BFBFBF"/>
            </w:tcBorders>
          </w:tcPr>
          <w:p>
            <w:pPr>
              <w:spacing w:after="0"/>
              <w:rPr>
                <w:sz w:val="5"/>
                <w:szCs w:val="5"/>
                <w:color w:val="auto"/>
              </w:rPr>
            </w:pPr>
          </w:p>
        </w:tc>
        <w:tc>
          <w:tcPr>
            <w:tcW w:w="2240" w:type="dxa"/>
            <w:vAlign w:val="bottom"/>
            <w:tcBorders>
              <w:bottom w:val="single" w:sz="8" w:color="BFBFBF"/>
              <w:right w:val="single" w:sz="8" w:color="BFBFBF"/>
            </w:tcBorders>
          </w:tcPr>
          <w:p>
            <w:pPr>
              <w:spacing w:after="0"/>
              <w:rPr>
                <w:sz w:val="5"/>
                <w:szCs w:val="5"/>
                <w:color w:val="auto"/>
              </w:rPr>
            </w:pPr>
          </w:p>
        </w:tc>
        <w:tc>
          <w:tcPr>
            <w:tcW w:w="4280" w:type="dxa"/>
            <w:vAlign w:val="bottom"/>
          </w:tcPr>
          <w:p>
            <w:pPr>
              <w:spacing w:after="0"/>
              <w:rPr>
                <w:sz w:val="5"/>
                <w:szCs w:val="5"/>
                <w:color w:val="auto"/>
              </w:rPr>
            </w:pPr>
          </w:p>
        </w:tc>
      </w:tr>
      <w:tr>
        <w:trPr>
          <w:trHeight w:val="228"/>
        </w:trPr>
        <w:tc>
          <w:tcPr>
            <w:tcW w:w="300" w:type="dxa"/>
            <w:vAlign w:val="bottom"/>
            <w:tcBorders>
              <w:right w:val="single" w:sz="8" w:color="BFBFBF"/>
            </w:tcBorders>
          </w:tcPr>
          <w:p>
            <w:pPr>
              <w:spacing w:after="0"/>
              <w:rPr>
                <w:sz w:val="19"/>
                <w:szCs w:val="19"/>
                <w:color w:val="auto"/>
              </w:rPr>
            </w:pPr>
          </w:p>
        </w:tc>
        <w:tc>
          <w:tcPr>
            <w:tcW w:w="2140" w:type="dxa"/>
            <w:vAlign w:val="bottom"/>
            <w:tcBorders>
              <w:right w:val="single" w:sz="8" w:color="BFBFBF"/>
            </w:tcBorders>
          </w:tcPr>
          <w:p>
            <w:pPr>
              <w:ind w:left="60"/>
              <w:spacing w:after="0"/>
              <w:rPr>
                <w:sz w:val="20"/>
                <w:szCs w:val="20"/>
                <w:color w:val="auto"/>
              </w:rPr>
            </w:pPr>
            <w:r>
              <w:rPr>
                <w:rFonts w:ascii="Arial" w:cs="Arial" w:eastAsia="Arial" w:hAnsi="Arial"/>
                <w:sz w:val="11"/>
                <w:szCs w:val="11"/>
                <w:color w:val="auto"/>
              </w:rPr>
              <w:t>Reading Elizabeth Pty Ltd</w:t>
            </w:r>
          </w:p>
        </w:tc>
        <w:tc>
          <w:tcPr>
            <w:tcW w:w="760" w:type="dxa"/>
            <w:vAlign w:val="bottom"/>
            <w:tcBorders>
              <w:right w:val="single" w:sz="8" w:color="BFBFBF"/>
            </w:tcBorders>
          </w:tcPr>
          <w:p>
            <w:pPr>
              <w:ind w:left="40"/>
              <w:spacing w:after="0"/>
              <w:rPr>
                <w:sz w:val="20"/>
                <w:szCs w:val="20"/>
                <w:color w:val="auto"/>
              </w:rPr>
            </w:pPr>
            <w:r>
              <w:rPr>
                <w:rFonts w:ascii="Arial" w:cs="Arial" w:eastAsia="Arial" w:hAnsi="Arial"/>
                <w:sz w:val="11"/>
                <w:szCs w:val="11"/>
                <w:color w:val="auto"/>
              </w:rPr>
              <w:t>114 582 099</w:t>
            </w:r>
          </w:p>
        </w:tc>
        <w:tc>
          <w:tcPr>
            <w:tcW w:w="2240" w:type="dxa"/>
            <w:vAlign w:val="bottom"/>
            <w:tcBorders>
              <w:right w:val="single" w:sz="8" w:color="BFBFBF"/>
            </w:tcBorders>
          </w:tcPr>
          <w:p>
            <w:pPr>
              <w:ind w:left="40"/>
              <w:spacing w:after="0"/>
              <w:rPr>
                <w:sz w:val="20"/>
                <w:szCs w:val="20"/>
                <w:color w:val="auto"/>
              </w:rPr>
            </w:pPr>
            <w:r>
              <w:rPr>
                <w:rFonts w:ascii="Arial" w:cs="Arial" w:eastAsia="Arial" w:hAnsi="Arial"/>
                <w:sz w:val="11"/>
                <w:szCs w:val="11"/>
                <w:color w:val="auto"/>
              </w:rPr>
              <w:t>Same as for Borrower</w:t>
            </w:r>
          </w:p>
        </w:tc>
        <w:tc>
          <w:tcPr>
            <w:tcW w:w="4280" w:type="dxa"/>
            <w:vAlign w:val="bottom"/>
          </w:tcPr>
          <w:p>
            <w:pPr>
              <w:spacing w:after="0"/>
              <w:rPr>
                <w:sz w:val="19"/>
                <w:szCs w:val="19"/>
                <w:color w:val="auto"/>
              </w:rPr>
            </w:pPr>
          </w:p>
        </w:tc>
      </w:tr>
      <w:tr>
        <w:trPr>
          <w:trHeight w:val="67"/>
        </w:trPr>
        <w:tc>
          <w:tcPr>
            <w:tcW w:w="300" w:type="dxa"/>
            <w:vAlign w:val="bottom"/>
            <w:tcBorders>
              <w:right w:val="single" w:sz="8" w:color="BFBFBF"/>
            </w:tcBorders>
          </w:tcPr>
          <w:p>
            <w:pPr>
              <w:spacing w:after="0"/>
              <w:rPr>
                <w:sz w:val="5"/>
                <w:szCs w:val="5"/>
                <w:color w:val="auto"/>
              </w:rPr>
            </w:pPr>
          </w:p>
        </w:tc>
        <w:tc>
          <w:tcPr>
            <w:tcW w:w="2140" w:type="dxa"/>
            <w:vAlign w:val="bottom"/>
            <w:tcBorders>
              <w:bottom w:val="single" w:sz="8" w:color="BFBFBF"/>
              <w:right w:val="single" w:sz="8" w:color="BFBFBF"/>
            </w:tcBorders>
          </w:tcPr>
          <w:p>
            <w:pPr>
              <w:spacing w:after="0"/>
              <w:rPr>
                <w:sz w:val="5"/>
                <w:szCs w:val="5"/>
                <w:color w:val="auto"/>
              </w:rPr>
            </w:pPr>
          </w:p>
        </w:tc>
        <w:tc>
          <w:tcPr>
            <w:tcW w:w="760" w:type="dxa"/>
            <w:vAlign w:val="bottom"/>
            <w:tcBorders>
              <w:bottom w:val="single" w:sz="8" w:color="BFBFBF"/>
              <w:right w:val="single" w:sz="8" w:color="BFBFBF"/>
            </w:tcBorders>
          </w:tcPr>
          <w:p>
            <w:pPr>
              <w:spacing w:after="0"/>
              <w:rPr>
                <w:sz w:val="5"/>
                <w:szCs w:val="5"/>
                <w:color w:val="auto"/>
              </w:rPr>
            </w:pPr>
          </w:p>
        </w:tc>
        <w:tc>
          <w:tcPr>
            <w:tcW w:w="2240" w:type="dxa"/>
            <w:vAlign w:val="bottom"/>
            <w:tcBorders>
              <w:bottom w:val="single" w:sz="8" w:color="BFBFBF"/>
              <w:right w:val="single" w:sz="8" w:color="BFBFBF"/>
            </w:tcBorders>
          </w:tcPr>
          <w:p>
            <w:pPr>
              <w:spacing w:after="0"/>
              <w:rPr>
                <w:sz w:val="5"/>
                <w:szCs w:val="5"/>
                <w:color w:val="auto"/>
              </w:rPr>
            </w:pPr>
          </w:p>
        </w:tc>
        <w:tc>
          <w:tcPr>
            <w:tcW w:w="4280" w:type="dxa"/>
            <w:vAlign w:val="bottom"/>
          </w:tcPr>
          <w:p>
            <w:pPr>
              <w:spacing w:after="0"/>
              <w:rPr>
                <w:sz w:val="5"/>
                <w:szCs w:val="5"/>
                <w:color w:val="auto"/>
              </w:rPr>
            </w:pPr>
          </w:p>
        </w:tc>
      </w:tr>
      <w:tr>
        <w:trPr>
          <w:trHeight w:val="228"/>
        </w:trPr>
        <w:tc>
          <w:tcPr>
            <w:tcW w:w="300" w:type="dxa"/>
            <w:vAlign w:val="bottom"/>
            <w:tcBorders>
              <w:right w:val="single" w:sz="8" w:color="BFBFBF"/>
            </w:tcBorders>
          </w:tcPr>
          <w:p>
            <w:pPr>
              <w:spacing w:after="0"/>
              <w:rPr>
                <w:sz w:val="19"/>
                <w:szCs w:val="19"/>
                <w:color w:val="auto"/>
              </w:rPr>
            </w:pPr>
          </w:p>
        </w:tc>
        <w:tc>
          <w:tcPr>
            <w:tcW w:w="2140" w:type="dxa"/>
            <w:vAlign w:val="bottom"/>
            <w:tcBorders>
              <w:right w:val="single" w:sz="8" w:color="BFBFBF"/>
            </w:tcBorders>
          </w:tcPr>
          <w:p>
            <w:pPr>
              <w:ind w:left="60"/>
              <w:spacing w:after="0"/>
              <w:rPr>
                <w:sz w:val="20"/>
                <w:szCs w:val="20"/>
                <w:color w:val="auto"/>
              </w:rPr>
            </w:pPr>
            <w:r>
              <w:rPr>
                <w:rFonts w:ascii="Arial" w:cs="Arial" w:eastAsia="Arial" w:hAnsi="Arial"/>
                <w:sz w:val="11"/>
                <w:szCs w:val="11"/>
                <w:color w:val="auto"/>
              </w:rPr>
              <w:t>Reading Exhibition Pty Ltd</w:t>
            </w:r>
          </w:p>
        </w:tc>
        <w:tc>
          <w:tcPr>
            <w:tcW w:w="760" w:type="dxa"/>
            <w:vAlign w:val="bottom"/>
            <w:tcBorders>
              <w:right w:val="single" w:sz="8" w:color="BFBFBF"/>
            </w:tcBorders>
          </w:tcPr>
          <w:p>
            <w:pPr>
              <w:ind w:left="40"/>
              <w:spacing w:after="0"/>
              <w:rPr>
                <w:sz w:val="20"/>
                <w:szCs w:val="20"/>
                <w:color w:val="auto"/>
              </w:rPr>
            </w:pPr>
            <w:r>
              <w:rPr>
                <w:rFonts w:ascii="Arial" w:cs="Arial" w:eastAsia="Arial" w:hAnsi="Arial"/>
                <w:sz w:val="11"/>
                <w:szCs w:val="11"/>
                <w:color w:val="auto"/>
              </w:rPr>
              <w:t>103 529 782</w:t>
            </w:r>
          </w:p>
        </w:tc>
        <w:tc>
          <w:tcPr>
            <w:tcW w:w="2240" w:type="dxa"/>
            <w:vAlign w:val="bottom"/>
            <w:tcBorders>
              <w:right w:val="single" w:sz="8" w:color="BFBFBF"/>
            </w:tcBorders>
          </w:tcPr>
          <w:p>
            <w:pPr>
              <w:ind w:left="40"/>
              <w:spacing w:after="0"/>
              <w:rPr>
                <w:sz w:val="20"/>
                <w:szCs w:val="20"/>
                <w:color w:val="auto"/>
              </w:rPr>
            </w:pPr>
            <w:r>
              <w:rPr>
                <w:rFonts w:ascii="Arial" w:cs="Arial" w:eastAsia="Arial" w:hAnsi="Arial"/>
                <w:sz w:val="11"/>
                <w:szCs w:val="11"/>
                <w:color w:val="auto"/>
              </w:rPr>
              <w:t>Same as for Borrower</w:t>
            </w:r>
          </w:p>
        </w:tc>
        <w:tc>
          <w:tcPr>
            <w:tcW w:w="4280" w:type="dxa"/>
            <w:vAlign w:val="bottom"/>
          </w:tcPr>
          <w:p>
            <w:pPr>
              <w:spacing w:after="0"/>
              <w:rPr>
                <w:sz w:val="19"/>
                <w:szCs w:val="19"/>
                <w:color w:val="auto"/>
              </w:rPr>
            </w:pPr>
          </w:p>
        </w:tc>
      </w:tr>
      <w:tr>
        <w:trPr>
          <w:trHeight w:val="67"/>
        </w:trPr>
        <w:tc>
          <w:tcPr>
            <w:tcW w:w="300" w:type="dxa"/>
            <w:vAlign w:val="bottom"/>
            <w:tcBorders>
              <w:right w:val="single" w:sz="8" w:color="BFBFBF"/>
            </w:tcBorders>
          </w:tcPr>
          <w:p>
            <w:pPr>
              <w:spacing w:after="0"/>
              <w:rPr>
                <w:sz w:val="5"/>
                <w:szCs w:val="5"/>
                <w:color w:val="auto"/>
              </w:rPr>
            </w:pPr>
          </w:p>
        </w:tc>
        <w:tc>
          <w:tcPr>
            <w:tcW w:w="2140" w:type="dxa"/>
            <w:vAlign w:val="bottom"/>
            <w:tcBorders>
              <w:bottom w:val="single" w:sz="8" w:color="BFBFBF"/>
              <w:right w:val="single" w:sz="8" w:color="BFBFBF"/>
            </w:tcBorders>
          </w:tcPr>
          <w:p>
            <w:pPr>
              <w:spacing w:after="0"/>
              <w:rPr>
                <w:sz w:val="5"/>
                <w:szCs w:val="5"/>
                <w:color w:val="auto"/>
              </w:rPr>
            </w:pPr>
          </w:p>
        </w:tc>
        <w:tc>
          <w:tcPr>
            <w:tcW w:w="760" w:type="dxa"/>
            <w:vAlign w:val="bottom"/>
            <w:tcBorders>
              <w:bottom w:val="single" w:sz="8" w:color="BFBFBF"/>
              <w:right w:val="single" w:sz="8" w:color="BFBFBF"/>
            </w:tcBorders>
          </w:tcPr>
          <w:p>
            <w:pPr>
              <w:spacing w:after="0"/>
              <w:rPr>
                <w:sz w:val="5"/>
                <w:szCs w:val="5"/>
                <w:color w:val="auto"/>
              </w:rPr>
            </w:pPr>
          </w:p>
        </w:tc>
        <w:tc>
          <w:tcPr>
            <w:tcW w:w="2240" w:type="dxa"/>
            <w:vAlign w:val="bottom"/>
            <w:tcBorders>
              <w:bottom w:val="single" w:sz="8" w:color="BFBFBF"/>
              <w:right w:val="single" w:sz="8" w:color="BFBFBF"/>
            </w:tcBorders>
          </w:tcPr>
          <w:p>
            <w:pPr>
              <w:spacing w:after="0"/>
              <w:rPr>
                <w:sz w:val="5"/>
                <w:szCs w:val="5"/>
                <w:color w:val="auto"/>
              </w:rPr>
            </w:pPr>
          </w:p>
        </w:tc>
        <w:tc>
          <w:tcPr>
            <w:tcW w:w="4280" w:type="dxa"/>
            <w:vAlign w:val="bottom"/>
          </w:tcPr>
          <w:p>
            <w:pPr>
              <w:spacing w:after="0"/>
              <w:rPr>
                <w:sz w:val="5"/>
                <w:szCs w:val="5"/>
                <w:color w:val="auto"/>
              </w:rPr>
            </w:pPr>
          </w:p>
        </w:tc>
      </w:tr>
      <w:tr>
        <w:trPr>
          <w:trHeight w:val="228"/>
        </w:trPr>
        <w:tc>
          <w:tcPr>
            <w:tcW w:w="300" w:type="dxa"/>
            <w:vAlign w:val="bottom"/>
            <w:tcBorders>
              <w:right w:val="single" w:sz="8" w:color="BFBFBF"/>
            </w:tcBorders>
          </w:tcPr>
          <w:p>
            <w:pPr>
              <w:spacing w:after="0"/>
              <w:rPr>
                <w:sz w:val="19"/>
                <w:szCs w:val="19"/>
                <w:color w:val="auto"/>
              </w:rPr>
            </w:pPr>
          </w:p>
        </w:tc>
        <w:tc>
          <w:tcPr>
            <w:tcW w:w="2140" w:type="dxa"/>
            <w:vAlign w:val="bottom"/>
            <w:tcBorders>
              <w:right w:val="single" w:sz="8" w:color="BFBFBF"/>
            </w:tcBorders>
          </w:tcPr>
          <w:p>
            <w:pPr>
              <w:ind w:left="60"/>
              <w:spacing w:after="0"/>
              <w:rPr>
                <w:sz w:val="20"/>
                <w:szCs w:val="20"/>
                <w:color w:val="auto"/>
              </w:rPr>
            </w:pPr>
            <w:r>
              <w:rPr>
                <w:rFonts w:ascii="Arial" w:cs="Arial" w:eastAsia="Arial" w:hAnsi="Arial"/>
                <w:sz w:val="11"/>
                <w:szCs w:val="11"/>
                <w:color w:val="auto"/>
              </w:rPr>
              <w:t>Reading Licences Pty Ltd</w:t>
            </w:r>
          </w:p>
        </w:tc>
        <w:tc>
          <w:tcPr>
            <w:tcW w:w="760" w:type="dxa"/>
            <w:vAlign w:val="bottom"/>
            <w:tcBorders>
              <w:right w:val="single" w:sz="8" w:color="BFBFBF"/>
            </w:tcBorders>
          </w:tcPr>
          <w:p>
            <w:pPr>
              <w:ind w:left="40"/>
              <w:spacing w:after="0"/>
              <w:rPr>
                <w:sz w:val="20"/>
                <w:szCs w:val="20"/>
                <w:color w:val="auto"/>
              </w:rPr>
            </w:pPr>
            <w:r>
              <w:rPr>
                <w:rFonts w:ascii="Arial" w:cs="Arial" w:eastAsia="Arial" w:hAnsi="Arial"/>
                <w:sz w:val="11"/>
                <w:szCs w:val="11"/>
                <w:color w:val="auto"/>
              </w:rPr>
              <w:t>089 544 605</w:t>
            </w:r>
          </w:p>
        </w:tc>
        <w:tc>
          <w:tcPr>
            <w:tcW w:w="2240" w:type="dxa"/>
            <w:vAlign w:val="bottom"/>
            <w:tcBorders>
              <w:right w:val="single" w:sz="8" w:color="BFBFBF"/>
            </w:tcBorders>
          </w:tcPr>
          <w:p>
            <w:pPr>
              <w:ind w:left="40"/>
              <w:spacing w:after="0"/>
              <w:rPr>
                <w:sz w:val="20"/>
                <w:szCs w:val="20"/>
                <w:color w:val="auto"/>
              </w:rPr>
            </w:pPr>
            <w:r>
              <w:rPr>
                <w:rFonts w:ascii="Arial" w:cs="Arial" w:eastAsia="Arial" w:hAnsi="Arial"/>
                <w:sz w:val="11"/>
                <w:szCs w:val="11"/>
                <w:color w:val="auto"/>
              </w:rPr>
              <w:t>Same as for Borrower</w:t>
            </w:r>
          </w:p>
        </w:tc>
        <w:tc>
          <w:tcPr>
            <w:tcW w:w="4280" w:type="dxa"/>
            <w:vAlign w:val="bottom"/>
          </w:tcPr>
          <w:p>
            <w:pPr>
              <w:spacing w:after="0"/>
              <w:rPr>
                <w:sz w:val="19"/>
                <w:szCs w:val="19"/>
                <w:color w:val="auto"/>
              </w:rPr>
            </w:pPr>
          </w:p>
        </w:tc>
      </w:tr>
      <w:tr>
        <w:trPr>
          <w:trHeight w:val="67"/>
        </w:trPr>
        <w:tc>
          <w:tcPr>
            <w:tcW w:w="300" w:type="dxa"/>
            <w:vAlign w:val="bottom"/>
            <w:tcBorders>
              <w:right w:val="single" w:sz="8" w:color="BFBFBF"/>
            </w:tcBorders>
          </w:tcPr>
          <w:p>
            <w:pPr>
              <w:spacing w:after="0"/>
              <w:rPr>
                <w:sz w:val="5"/>
                <w:szCs w:val="5"/>
                <w:color w:val="auto"/>
              </w:rPr>
            </w:pPr>
          </w:p>
        </w:tc>
        <w:tc>
          <w:tcPr>
            <w:tcW w:w="2140" w:type="dxa"/>
            <w:vAlign w:val="bottom"/>
            <w:tcBorders>
              <w:bottom w:val="single" w:sz="8" w:color="BFBFBF"/>
              <w:right w:val="single" w:sz="8" w:color="BFBFBF"/>
            </w:tcBorders>
          </w:tcPr>
          <w:p>
            <w:pPr>
              <w:spacing w:after="0"/>
              <w:rPr>
                <w:sz w:val="5"/>
                <w:szCs w:val="5"/>
                <w:color w:val="auto"/>
              </w:rPr>
            </w:pPr>
          </w:p>
        </w:tc>
        <w:tc>
          <w:tcPr>
            <w:tcW w:w="760" w:type="dxa"/>
            <w:vAlign w:val="bottom"/>
            <w:tcBorders>
              <w:bottom w:val="single" w:sz="8" w:color="BFBFBF"/>
              <w:right w:val="single" w:sz="8" w:color="BFBFBF"/>
            </w:tcBorders>
          </w:tcPr>
          <w:p>
            <w:pPr>
              <w:spacing w:after="0"/>
              <w:rPr>
                <w:sz w:val="5"/>
                <w:szCs w:val="5"/>
                <w:color w:val="auto"/>
              </w:rPr>
            </w:pPr>
          </w:p>
        </w:tc>
        <w:tc>
          <w:tcPr>
            <w:tcW w:w="2240" w:type="dxa"/>
            <w:vAlign w:val="bottom"/>
            <w:tcBorders>
              <w:bottom w:val="single" w:sz="8" w:color="BFBFBF"/>
              <w:right w:val="single" w:sz="8" w:color="BFBFBF"/>
            </w:tcBorders>
          </w:tcPr>
          <w:p>
            <w:pPr>
              <w:spacing w:after="0"/>
              <w:rPr>
                <w:sz w:val="5"/>
                <w:szCs w:val="5"/>
                <w:color w:val="auto"/>
              </w:rPr>
            </w:pPr>
          </w:p>
        </w:tc>
        <w:tc>
          <w:tcPr>
            <w:tcW w:w="4280" w:type="dxa"/>
            <w:vAlign w:val="bottom"/>
          </w:tcPr>
          <w:p>
            <w:pPr>
              <w:spacing w:after="0"/>
              <w:rPr>
                <w:sz w:val="5"/>
                <w:szCs w:val="5"/>
                <w:color w:val="auto"/>
              </w:rPr>
            </w:pPr>
          </w:p>
        </w:tc>
      </w:tr>
      <w:tr>
        <w:trPr>
          <w:trHeight w:val="228"/>
        </w:trPr>
        <w:tc>
          <w:tcPr>
            <w:tcW w:w="300" w:type="dxa"/>
            <w:vAlign w:val="bottom"/>
            <w:tcBorders>
              <w:right w:val="single" w:sz="8" w:color="BFBFBF"/>
            </w:tcBorders>
          </w:tcPr>
          <w:p>
            <w:pPr>
              <w:spacing w:after="0"/>
              <w:rPr>
                <w:sz w:val="19"/>
                <w:szCs w:val="19"/>
                <w:color w:val="auto"/>
              </w:rPr>
            </w:pPr>
          </w:p>
        </w:tc>
        <w:tc>
          <w:tcPr>
            <w:tcW w:w="2140" w:type="dxa"/>
            <w:vAlign w:val="bottom"/>
            <w:tcBorders>
              <w:right w:val="single" w:sz="8" w:color="BFBFBF"/>
            </w:tcBorders>
          </w:tcPr>
          <w:p>
            <w:pPr>
              <w:ind w:left="60"/>
              <w:spacing w:after="0"/>
              <w:rPr>
                <w:sz w:val="20"/>
                <w:szCs w:val="20"/>
                <w:color w:val="auto"/>
              </w:rPr>
            </w:pPr>
            <w:r>
              <w:rPr>
                <w:rFonts w:ascii="Arial" w:cs="Arial" w:eastAsia="Arial" w:hAnsi="Arial"/>
                <w:sz w:val="11"/>
                <w:szCs w:val="11"/>
                <w:color w:val="auto"/>
              </w:rPr>
              <w:t>Reading Maitland Pty Ltd</w:t>
            </w:r>
          </w:p>
        </w:tc>
        <w:tc>
          <w:tcPr>
            <w:tcW w:w="760" w:type="dxa"/>
            <w:vAlign w:val="bottom"/>
            <w:tcBorders>
              <w:right w:val="single" w:sz="8" w:color="BFBFBF"/>
            </w:tcBorders>
          </w:tcPr>
          <w:p>
            <w:pPr>
              <w:ind w:left="40"/>
              <w:spacing w:after="0"/>
              <w:rPr>
                <w:sz w:val="20"/>
                <w:szCs w:val="20"/>
                <w:color w:val="auto"/>
              </w:rPr>
            </w:pPr>
            <w:r>
              <w:rPr>
                <w:rFonts w:ascii="Arial" w:cs="Arial" w:eastAsia="Arial" w:hAnsi="Arial"/>
                <w:sz w:val="11"/>
                <w:szCs w:val="11"/>
                <w:color w:val="auto"/>
              </w:rPr>
              <w:t>126 697 461</w:t>
            </w:r>
          </w:p>
        </w:tc>
        <w:tc>
          <w:tcPr>
            <w:tcW w:w="2240" w:type="dxa"/>
            <w:vAlign w:val="bottom"/>
            <w:tcBorders>
              <w:right w:val="single" w:sz="8" w:color="BFBFBF"/>
            </w:tcBorders>
          </w:tcPr>
          <w:p>
            <w:pPr>
              <w:ind w:left="40"/>
              <w:spacing w:after="0"/>
              <w:rPr>
                <w:sz w:val="20"/>
                <w:szCs w:val="20"/>
                <w:color w:val="auto"/>
              </w:rPr>
            </w:pPr>
            <w:r>
              <w:rPr>
                <w:rFonts w:ascii="Arial" w:cs="Arial" w:eastAsia="Arial" w:hAnsi="Arial"/>
                <w:sz w:val="11"/>
                <w:szCs w:val="11"/>
                <w:color w:val="auto"/>
              </w:rPr>
              <w:t>Same as for Borrower</w:t>
            </w:r>
          </w:p>
        </w:tc>
        <w:tc>
          <w:tcPr>
            <w:tcW w:w="4280" w:type="dxa"/>
            <w:vAlign w:val="bottom"/>
          </w:tcPr>
          <w:p>
            <w:pPr>
              <w:spacing w:after="0"/>
              <w:rPr>
                <w:sz w:val="19"/>
                <w:szCs w:val="19"/>
                <w:color w:val="auto"/>
              </w:rPr>
            </w:pPr>
          </w:p>
        </w:tc>
      </w:tr>
      <w:tr>
        <w:trPr>
          <w:trHeight w:val="67"/>
        </w:trPr>
        <w:tc>
          <w:tcPr>
            <w:tcW w:w="300" w:type="dxa"/>
            <w:vAlign w:val="bottom"/>
            <w:tcBorders>
              <w:right w:val="single" w:sz="8" w:color="BFBFBF"/>
            </w:tcBorders>
          </w:tcPr>
          <w:p>
            <w:pPr>
              <w:spacing w:after="0"/>
              <w:rPr>
                <w:sz w:val="5"/>
                <w:szCs w:val="5"/>
                <w:color w:val="auto"/>
              </w:rPr>
            </w:pPr>
          </w:p>
        </w:tc>
        <w:tc>
          <w:tcPr>
            <w:tcW w:w="2140" w:type="dxa"/>
            <w:vAlign w:val="bottom"/>
            <w:tcBorders>
              <w:bottom w:val="single" w:sz="8" w:color="BFBFBF"/>
              <w:right w:val="single" w:sz="8" w:color="BFBFBF"/>
            </w:tcBorders>
          </w:tcPr>
          <w:p>
            <w:pPr>
              <w:spacing w:after="0"/>
              <w:rPr>
                <w:sz w:val="5"/>
                <w:szCs w:val="5"/>
                <w:color w:val="auto"/>
              </w:rPr>
            </w:pPr>
          </w:p>
        </w:tc>
        <w:tc>
          <w:tcPr>
            <w:tcW w:w="760" w:type="dxa"/>
            <w:vAlign w:val="bottom"/>
            <w:tcBorders>
              <w:bottom w:val="single" w:sz="8" w:color="BFBFBF"/>
              <w:right w:val="single" w:sz="8" w:color="BFBFBF"/>
            </w:tcBorders>
          </w:tcPr>
          <w:p>
            <w:pPr>
              <w:spacing w:after="0"/>
              <w:rPr>
                <w:sz w:val="5"/>
                <w:szCs w:val="5"/>
                <w:color w:val="auto"/>
              </w:rPr>
            </w:pPr>
          </w:p>
        </w:tc>
        <w:tc>
          <w:tcPr>
            <w:tcW w:w="2240" w:type="dxa"/>
            <w:vAlign w:val="bottom"/>
            <w:tcBorders>
              <w:bottom w:val="single" w:sz="8" w:color="BFBFBF"/>
              <w:right w:val="single" w:sz="8" w:color="BFBFBF"/>
            </w:tcBorders>
          </w:tcPr>
          <w:p>
            <w:pPr>
              <w:spacing w:after="0"/>
              <w:rPr>
                <w:sz w:val="5"/>
                <w:szCs w:val="5"/>
                <w:color w:val="auto"/>
              </w:rPr>
            </w:pPr>
          </w:p>
        </w:tc>
        <w:tc>
          <w:tcPr>
            <w:tcW w:w="4280" w:type="dxa"/>
            <w:vAlign w:val="bottom"/>
          </w:tcPr>
          <w:p>
            <w:pPr>
              <w:spacing w:after="0"/>
              <w:rPr>
                <w:sz w:val="5"/>
                <w:szCs w:val="5"/>
                <w:color w:val="auto"/>
              </w:rPr>
            </w:pPr>
          </w:p>
        </w:tc>
      </w:tr>
      <w:tr>
        <w:trPr>
          <w:trHeight w:val="228"/>
        </w:trPr>
        <w:tc>
          <w:tcPr>
            <w:tcW w:w="300" w:type="dxa"/>
            <w:vAlign w:val="bottom"/>
            <w:tcBorders>
              <w:right w:val="single" w:sz="8" w:color="BFBFBF"/>
            </w:tcBorders>
          </w:tcPr>
          <w:p>
            <w:pPr>
              <w:spacing w:after="0"/>
              <w:rPr>
                <w:sz w:val="19"/>
                <w:szCs w:val="19"/>
                <w:color w:val="auto"/>
              </w:rPr>
            </w:pPr>
          </w:p>
        </w:tc>
        <w:tc>
          <w:tcPr>
            <w:tcW w:w="2140" w:type="dxa"/>
            <w:vAlign w:val="bottom"/>
            <w:tcBorders>
              <w:right w:val="single" w:sz="8" w:color="BFBFBF"/>
            </w:tcBorders>
          </w:tcPr>
          <w:p>
            <w:pPr>
              <w:ind w:left="60"/>
              <w:spacing w:after="0"/>
              <w:rPr>
                <w:sz w:val="20"/>
                <w:szCs w:val="20"/>
                <w:color w:val="auto"/>
              </w:rPr>
            </w:pPr>
            <w:r>
              <w:rPr>
                <w:rFonts w:ascii="Arial" w:cs="Arial" w:eastAsia="Arial" w:hAnsi="Arial"/>
                <w:sz w:val="11"/>
                <w:szCs w:val="11"/>
                <w:color w:val="auto"/>
              </w:rPr>
              <w:t>Reading Melton Pty Ltd</w:t>
            </w:r>
          </w:p>
        </w:tc>
        <w:tc>
          <w:tcPr>
            <w:tcW w:w="760" w:type="dxa"/>
            <w:vAlign w:val="bottom"/>
            <w:tcBorders>
              <w:right w:val="single" w:sz="8" w:color="BFBFBF"/>
            </w:tcBorders>
          </w:tcPr>
          <w:p>
            <w:pPr>
              <w:ind w:left="40"/>
              <w:spacing w:after="0"/>
              <w:rPr>
                <w:sz w:val="20"/>
                <w:szCs w:val="20"/>
                <w:color w:val="auto"/>
              </w:rPr>
            </w:pPr>
            <w:r>
              <w:rPr>
                <w:rFonts w:ascii="Arial" w:cs="Arial" w:eastAsia="Arial" w:hAnsi="Arial"/>
                <w:sz w:val="11"/>
                <w:szCs w:val="11"/>
                <w:color w:val="auto"/>
              </w:rPr>
              <w:t>109 074 517</w:t>
            </w:r>
          </w:p>
        </w:tc>
        <w:tc>
          <w:tcPr>
            <w:tcW w:w="2240" w:type="dxa"/>
            <w:vAlign w:val="bottom"/>
            <w:tcBorders>
              <w:right w:val="single" w:sz="8" w:color="BFBFBF"/>
            </w:tcBorders>
          </w:tcPr>
          <w:p>
            <w:pPr>
              <w:ind w:left="40"/>
              <w:spacing w:after="0"/>
              <w:rPr>
                <w:sz w:val="20"/>
                <w:szCs w:val="20"/>
                <w:color w:val="auto"/>
              </w:rPr>
            </w:pPr>
            <w:r>
              <w:rPr>
                <w:rFonts w:ascii="Arial" w:cs="Arial" w:eastAsia="Arial" w:hAnsi="Arial"/>
                <w:sz w:val="11"/>
                <w:szCs w:val="11"/>
                <w:color w:val="auto"/>
              </w:rPr>
              <w:t>Same as for Borrower</w:t>
            </w:r>
          </w:p>
        </w:tc>
        <w:tc>
          <w:tcPr>
            <w:tcW w:w="4280" w:type="dxa"/>
            <w:vAlign w:val="bottom"/>
          </w:tcPr>
          <w:p>
            <w:pPr>
              <w:spacing w:after="0"/>
              <w:rPr>
                <w:sz w:val="19"/>
                <w:szCs w:val="19"/>
                <w:color w:val="auto"/>
              </w:rPr>
            </w:pPr>
          </w:p>
        </w:tc>
      </w:tr>
      <w:tr>
        <w:trPr>
          <w:trHeight w:val="67"/>
        </w:trPr>
        <w:tc>
          <w:tcPr>
            <w:tcW w:w="300" w:type="dxa"/>
            <w:vAlign w:val="bottom"/>
            <w:tcBorders>
              <w:right w:val="single" w:sz="8" w:color="BFBFBF"/>
            </w:tcBorders>
          </w:tcPr>
          <w:p>
            <w:pPr>
              <w:spacing w:after="0"/>
              <w:rPr>
                <w:sz w:val="5"/>
                <w:szCs w:val="5"/>
                <w:color w:val="auto"/>
              </w:rPr>
            </w:pPr>
          </w:p>
        </w:tc>
        <w:tc>
          <w:tcPr>
            <w:tcW w:w="2140" w:type="dxa"/>
            <w:vAlign w:val="bottom"/>
            <w:tcBorders>
              <w:bottom w:val="single" w:sz="8" w:color="BFBFBF"/>
              <w:right w:val="single" w:sz="8" w:color="BFBFBF"/>
            </w:tcBorders>
          </w:tcPr>
          <w:p>
            <w:pPr>
              <w:spacing w:after="0"/>
              <w:rPr>
                <w:sz w:val="5"/>
                <w:szCs w:val="5"/>
                <w:color w:val="auto"/>
              </w:rPr>
            </w:pPr>
          </w:p>
        </w:tc>
        <w:tc>
          <w:tcPr>
            <w:tcW w:w="760" w:type="dxa"/>
            <w:vAlign w:val="bottom"/>
            <w:tcBorders>
              <w:bottom w:val="single" w:sz="8" w:color="BFBFBF"/>
              <w:right w:val="single" w:sz="8" w:color="BFBFBF"/>
            </w:tcBorders>
          </w:tcPr>
          <w:p>
            <w:pPr>
              <w:spacing w:after="0"/>
              <w:rPr>
                <w:sz w:val="5"/>
                <w:szCs w:val="5"/>
                <w:color w:val="auto"/>
              </w:rPr>
            </w:pPr>
          </w:p>
        </w:tc>
        <w:tc>
          <w:tcPr>
            <w:tcW w:w="2240" w:type="dxa"/>
            <w:vAlign w:val="bottom"/>
            <w:tcBorders>
              <w:bottom w:val="single" w:sz="8" w:color="BFBFBF"/>
              <w:right w:val="single" w:sz="8" w:color="BFBFBF"/>
            </w:tcBorders>
          </w:tcPr>
          <w:p>
            <w:pPr>
              <w:spacing w:after="0"/>
              <w:rPr>
                <w:sz w:val="5"/>
                <w:szCs w:val="5"/>
                <w:color w:val="auto"/>
              </w:rPr>
            </w:pPr>
          </w:p>
        </w:tc>
        <w:tc>
          <w:tcPr>
            <w:tcW w:w="4280" w:type="dxa"/>
            <w:vAlign w:val="bottom"/>
          </w:tcPr>
          <w:p>
            <w:pPr>
              <w:spacing w:after="0"/>
              <w:rPr>
                <w:sz w:val="5"/>
                <w:szCs w:val="5"/>
                <w:color w:val="auto"/>
              </w:rPr>
            </w:pPr>
          </w:p>
        </w:tc>
      </w:tr>
      <w:tr>
        <w:trPr>
          <w:trHeight w:val="228"/>
        </w:trPr>
        <w:tc>
          <w:tcPr>
            <w:tcW w:w="300" w:type="dxa"/>
            <w:vAlign w:val="bottom"/>
            <w:tcBorders>
              <w:right w:val="single" w:sz="8" w:color="BFBFBF"/>
            </w:tcBorders>
          </w:tcPr>
          <w:p>
            <w:pPr>
              <w:spacing w:after="0"/>
              <w:rPr>
                <w:sz w:val="19"/>
                <w:szCs w:val="19"/>
                <w:color w:val="auto"/>
              </w:rPr>
            </w:pPr>
          </w:p>
        </w:tc>
        <w:tc>
          <w:tcPr>
            <w:tcW w:w="2140" w:type="dxa"/>
            <w:vAlign w:val="bottom"/>
            <w:tcBorders>
              <w:right w:val="single" w:sz="8" w:color="BFBFBF"/>
            </w:tcBorders>
          </w:tcPr>
          <w:p>
            <w:pPr>
              <w:ind w:left="60"/>
              <w:spacing w:after="0"/>
              <w:rPr>
                <w:sz w:val="20"/>
                <w:szCs w:val="20"/>
                <w:color w:val="auto"/>
              </w:rPr>
            </w:pPr>
            <w:r>
              <w:rPr>
                <w:rFonts w:ascii="Arial" w:cs="Arial" w:eastAsia="Arial" w:hAnsi="Arial"/>
                <w:sz w:val="11"/>
                <w:szCs w:val="11"/>
                <w:color w:val="auto"/>
              </w:rPr>
              <w:t>Reading Properties Pty Ltd</w:t>
            </w:r>
          </w:p>
        </w:tc>
        <w:tc>
          <w:tcPr>
            <w:tcW w:w="760" w:type="dxa"/>
            <w:vAlign w:val="bottom"/>
            <w:tcBorders>
              <w:right w:val="single" w:sz="8" w:color="BFBFBF"/>
            </w:tcBorders>
          </w:tcPr>
          <w:p>
            <w:pPr>
              <w:ind w:left="40"/>
              <w:spacing w:after="0"/>
              <w:rPr>
                <w:sz w:val="20"/>
                <w:szCs w:val="20"/>
                <w:color w:val="auto"/>
              </w:rPr>
            </w:pPr>
            <w:r>
              <w:rPr>
                <w:rFonts w:ascii="Arial" w:cs="Arial" w:eastAsia="Arial" w:hAnsi="Arial"/>
                <w:sz w:val="11"/>
                <w:szCs w:val="11"/>
                <w:color w:val="auto"/>
              </w:rPr>
              <w:t>071 195 429</w:t>
            </w:r>
          </w:p>
        </w:tc>
        <w:tc>
          <w:tcPr>
            <w:tcW w:w="2240" w:type="dxa"/>
            <w:vAlign w:val="bottom"/>
            <w:tcBorders>
              <w:right w:val="single" w:sz="8" w:color="BFBFBF"/>
            </w:tcBorders>
          </w:tcPr>
          <w:p>
            <w:pPr>
              <w:ind w:left="40"/>
              <w:spacing w:after="0"/>
              <w:rPr>
                <w:sz w:val="20"/>
                <w:szCs w:val="20"/>
                <w:color w:val="auto"/>
              </w:rPr>
            </w:pPr>
            <w:r>
              <w:rPr>
                <w:rFonts w:ascii="Arial" w:cs="Arial" w:eastAsia="Arial" w:hAnsi="Arial"/>
                <w:sz w:val="11"/>
                <w:szCs w:val="11"/>
                <w:color w:val="auto"/>
              </w:rPr>
              <w:t>Same as for Borrower</w:t>
            </w:r>
          </w:p>
        </w:tc>
        <w:tc>
          <w:tcPr>
            <w:tcW w:w="4280" w:type="dxa"/>
            <w:vAlign w:val="bottom"/>
          </w:tcPr>
          <w:p>
            <w:pPr>
              <w:spacing w:after="0"/>
              <w:rPr>
                <w:sz w:val="19"/>
                <w:szCs w:val="19"/>
                <w:color w:val="auto"/>
              </w:rPr>
            </w:pPr>
          </w:p>
        </w:tc>
      </w:tr>
      <w:tr>
        <w:trPr>
          <w:trHeight w:val="67"/>
        </w:trPr>
        <w:tc>
          <w:tcPr>
            <w:tcW w:w="300" w:type="dxa"/>
            <w:vAlign w:val="bottom"/>
            <w:tcBorders>
              <w:right w:val="single" w:sz="8" w:color="BFBFBF"/>
            </w:tcBorders>
          </w:tcPr>
          <w:p>
            <w:pPr>
              <w:spacing w:after="0"/>
              <w:rPr>
                <w:sz w:val="5"/>
                <w:szCs w:val="5"/>
                <w:color w:val="auto"/>
              </w:rPr>
            </w:pPr>
          </w:p>
        </w:tc>
        <w:tc>
          <w:tcPr>
            <w:tcW w:w="2140" w:type="dxa"/>
            <w:vAlign w:val="bottom"/>
            <w:tcBorders>
              <w:bottom w:val="single" w:sz="8" w:color="BFBFBF"/>
              <w:right w:val="single" w:sz="8" w:color="BFBFBF"/>
            </w:tcBorders>
          </w:tcPr>
          <w:p>
            <w:pPr>
              <w:spacing w:after="0"/>
              <w:rPr>
                <w:sz w:val="5"/>
                <w:szCs w:val="5"/>
                <w:color w:val="auto"/>
              </w:rPr>
            </w:pPr>
          </w:p>
        </w:tc>
        <w:tc>
          <w:tcPr>
            <w:tcW w:w="760" w:type="dxa"/>
            <w:vAlign w:val="bottom"/>
            <w:tcBorders>
              <w:bottom w:val="single" w:sz="8" w:color="BFBFBF"/>
              <w:right w:val="single" w:sz="8" w:color="BFBFBF"/>
            </w:tcBorders>
          </w:tcPr>
          <w:p>
            <w:pPr>
              <w:spacing w:after="0"/>
              <w:rPr>
                <w:sz w:val="5"/>
                <w:szCs w:val="5"/>
                <w:color w:val="auto"/>
              </w:rPr>
            </w:pPr>
          </w:p>
        </w:tc>
        <w:tc>
          <w:tcPr>
            <w:tcW w:w="2240" w:type="dxa"/>
            <w:vAlign w:val="bottom"/>
            <w:tcBorders>
              <w:bottom w:val="single" w:sz="8" w:color="BFBFBF"/>
              <w:right w:val="single" w:sz="8" w:color="BFBFBF"/>
            </w:tcBorders>
          </w:tcPr>
          <w:p>
            <w:pPr>
              <w:spacing w:after="0"/>
              <w:rPr>
                <w:sz w:val="5"/>
                <w:szCs w:val="5"/>
                <w:color w:val="auto"/>
              </w:rPr>
            </w:pPr>
          </w:p>
        </w:tc>
        <w:tc>
          <w:tcPr>
            <w:tcW w:w="4280" w:type="dxa"/>
            <w:vAlign w:val="bottom"/>
          </w:tcPr>
          <w:p>
            <w:pPr>
              <w:spacing w:after="0"/>
              <w:rPr>
                <w:sz w:val="5"/>
                <w:szCs w:val="5"/>
                <w:color w:val="auto"/>
              </w:rPr>
            </w:pPr>
          </w:p>
        </w:tc>
      </w:tr>
      <w:tr>
        <w:trPr>
          <w:trHeight w:val="228"/>
        </w:trPr>
        <w:tc>
          <w:tcPr>
            <w:tcW w:w="300" w:type="dxa"/>
            <w:vAlign w:val="bottom"/>
            <w:tcBorders>
              <w:right w:val="single" w:sz="8" w:color="BFBFBF"/>
            </w:tcBorders>
          </w:tcPr>
          <w:p>
            <w:pPr>
              <w:spacing w:after="0"/>
              <w:rPr>
                <w:sz w:val="19"/>
                <w:szCs w:val="19"/>
                <w:color w:val="auto"/>
              </w:rPr>
            </w:pPr>
          </w:p>
        </w:tc>
        <w:tc>
          <w:tcPr>
            <w:tcW w:w="2140" w:type="dxa"/>
            <w:vAlign w:val="bottom"/>
            <w:tcBorders>
              <w:right w:val="single" w:sz="8" w:color="BFBFBF"/>
            </w:tcBorders>
          </w:tcPr>
          <w:p>
            <w:pPr>
              <w:ind w:left="60"/>
              <w:spacing w:after="0"/>
              <w:rPr>
                <w:sz w:val="20"/>
                <w:szCs w:val="20"/>
                <w:color w:val="auto"/>
              </w:rPr>
            </w:pPr>
            <w:r>
              <w:rPr>
                <w:rFonts w:ascii="Arial" w:cs="Arial" w:eastAsia="Arial" w:hAnsi="Arial"/>
                <w:sz w:val="11"/>
                <w:szCs w:val="11"/>
                <w:color w:val="auto"/>
              </w:rPr>
              <w:t>Reading Properties Indooroopilly Pty Ltd</w:t>
            </w:r>
          </w:p>
        </w:tc>
        <w:tc>
          <w:tcPr>
            <w:tcW w:w="760" w:type="dxa"/>
            <w:vAlign w:val="bottom"/>
            <w:tcBorders>
              <w:right w:val="single" w:sz="8" w:color="BFBFBF"/>
            </w:tcBorders>
          </w:tcPr>
          <w:p>
            <w:pPr>
              <w:ind w:left="40"/>
              <w:spacing w:after="0"/>
              <w:rPr>
                <w:sz w:val="20"/>
                <w:szCs w:val="20"/>
                <w:color w:val="auto"/>
              </w:rPr>
            </w:pPr>
            <w:r>
              <w:rPr>
                <w:rFonts w:ascii="Arial" w:cs="Arial" w:eastAsia="Arial" w:hAnsi="Arial"/>
                <w:sz w:val="11"/>
                <w:szCs w:val="11"/>
                <w:color w:val="auto"/>
              </w:rPr>
              <w:t>121 284 884</w:t>
            </w:r>
          </w:p>
        </w:tc>
        <w:tc>
          <w:tcPr>
            <w:tcW w:w="2240" w:type="dxa"/>
            <w:vAlign w:val="bottom"/>
            <w:tcBorders>
              <w:right w:val="single" w:sz="8" w:color="BFBFBF"/>
            </w:tcBorders>
          </w:tcPr>
          <w:p>
            <w:pPr>
              <w:ind w:left="40"/>
              <w:spacing w:after="0"/>
              <w:rPr>
                <w:sz w:val="20"/>
                <w:szCs w:val="20"/>
                <w:color w:val="auto"/>
              </w:rPr>
            </w:pPr>
            <w:r>
              <w:rPr>
                <w:rFonts w:ascii="Arial" w:cs="Arial" w:eastAsia="Arial" w:hAnsi="Arial"/>
                <w:sz w:val="11"/>
                <w:szCs w:val="11"/>
                <w:color w:val="auto"/>
              </w:rPr>
              <w:t>Same as for Borrower</w:t>
            </w:r>
          </w:p>
        </w:tc>
        <w:tc>
          <w:tcPr>
            <w:tcW w:w="4280" w:type="dxa"/>
            <w:vAlign w:val="bottom"/>
          </w:tcPr>
          <w:p>
            <w:pPr>
              <w:spacing w:after="0"/>
              <w:rPr>
                <w:sz w:val="19"/>
                <w:szCs w:val="19"/>
                <w:color w:val="auto"/>
              </w:rPr>
            </w:pPr>
          </w:p>
        </w:tc>
      </w:tr>
      <w:tr>
        <w:trPr>
          <w:trHeight w:val="135"/>
        </w:trPr>
        <w:tc>
          <w:tcPr>
            <w:tcW w:w="300" w:type="dxa"/>
            <w:vAlign w:val="bottom"/>
            <w:tcBorders>
              <w:right w:val="single" w:sz="8" w:color="BFBFBF"/>
            </w:tcBorders>
          </w:tcPr>
          <w:p>
            <w:pPr>
              <w:spacing w:after="0"/>
              <w:rPr>
                <w:sz w:val="11"/>
                <w:szCs w:val="11"/>
                <w:color w:val="auto"/>
              </w:rPr>
            </w:pPr>
          </w:p>
        </w:tc>
        <w:tc>
          <w:tcPr>
            <w:tcW w:w="2140" w:type="dxa"/>
            <w:vAlign w:val="bottom"/>
            <w:tcBorders>
              <w:right w:val="single" w:sz="8" w:color="BFBFBF"/>
            </w:tcBorders>
          </w:tcPr>
          <w:p>
            <w:pPr>
              <w:ind w:left="60"/>
              <w:spacing w:after="0"/>
              <w:rPr>
                <w:sz w:val="20"/>
                <w:szCs w:val="20"/>
                <w:color w:val="auto"/>
              </w:rPr>
            </w:pPr>
            <w:r>
              <w:rPr>
                <w:rFonts w:ascii="Arial" w:cs="Arial" w:eastAsia="Arial" w:hAnsi="Arial"/>
                <w:sz w:val="11"/>
                <w:szCs w:val="11"/>
                <w:color w:val="auto"/>
              </w:rPr>
              <w:t>as trustee for The Landplan Property</w:t>
            </w:r>
          </w:p>
        </w:tc>
        <w:tc>
          <w:tcPr>
            <w:tcW w:w="760" w:type="dxa"/>
            <w:vAlign w:val="bottom"/>
            <w:tcBorders>
              <w:right w:val="single" w:sz="8" w:color="BFBFBF"/>
            </w:tcBorders>
          </w:tcPr>
          <w:p>
            <w:pPr>
              <w:spacing w:after="0"/>
              <w:rPr>
                <w:sz w:val="11"/>
                <w:szCs w:val="11"/>
                <w:color w:val="auto"/>
              </w:rPr>
            </w:pPr>
          </w:p>
        </w:tc>
        <w:tc>
          <w:tcPr>
            <w:tcW w:w="2240" w:type="dxa"/>
            <w:vAlign w:val="bottom"/>
            <w:tcBorders>
              <w:right w:val="single" w:sz="8" w:color="BFBFBF"/>
            </w:tcBorders>
          </w:tcPr>
          <w:p>
            <w:pPr>
              <w:spacing w:after="0"/>
              <w:rPr>
                <w:sz w:val="11"/>
                <w:szCs w:val="11"/>
                <w:color w:val="auto"/>
              </w:rPr>
            </w:pPr>
          </w:p>
        </w:tc>
        <w:tc>
          <w:tcPr>
            <w:tcW w:w="4280" w:type="dxa"/>
            <w:vAlign w:val="bottom"/>
          </w:tcPr>
          <w:p>
            <w:pPr>
              <w:spacing w:after="0"/>
              <w:rPr>
                <w:sz w:val="11"/>
                <w:szCs w:val="11"/>
                <w:color w:val="auto"/>
              </w:rPr>
            </w:pPr>
          </w:p>
        </w:tc>
      </w:tr>
      <w:tr>
        <w:trPr>
          <w:trHeight w:val="135"/>
        </w:trPr>
        <w:tc>
          <w:tcPr>
            <w:tcW w:w="300" w:type="dxa"/>
            <w:vAlign w:val="bottom"/>
            <w:tcBorders>
              <w:right w:val="single" w:sz="8" w:color="BFBFBF"/>
            </w:tcBorders>
          </w:tcPr>
          <w:p>
            <w:pPr>
              <w:spacing w:after="0"/>
              <w:rPr>
                <w:sz w:val="11"/>
                <w:szCs w:val="11"/>
                <w:color w:val="auto"/>
              </w:rPr>
            </w:pPr>
          </w:p>
        </w:tc>
        <w:tc>
          <w:tcPr>
            <w:tcW w:w="2140" w:type="dxa"/>
            <w:vAlign w:val="bottom"/>
            <w:tcBorders>
              <w:right w:val="single" w:sz="8" w:color="BFBFBF"/>
            </w:tcBorders>
          </w:tcPr>
          <w:p>
            <w:pPr>
              <w:ind w:left="60"/>
              <w:spacing w:after="0"/>
              <w:rPr>
                <w:sz w:val="20"/>
                <w:szCs w:val="20"/>
                <w:color w:val="auto"/>
              </w:rPr>
            </w:pPr>
            <w:r>
              <w:rPr>
                <w:rFonts w:ascii="Arial" w:cs="Arial" w:eastAsia="Arial" w:hAnsi="Arial"/>
                <w:sz w:val="11"/>
                <w:szCs w:val="11"/>
                <w:color w:val="auto"/>
              </w:rPr>
              <w:t>Partners Discretionary Trust</w:t>
            </w:r>
          </w:p>
        </w:tc>
        <w:tc>
          <w:tcPr>
            <w:tcW w:w="760" w:type="dxa"/>
            <w:vAlign w:val="bottom"/>
            <w:tcBorders>
              <w:right w:val="single" w:sz="8" w:color="BFBFBF"/>
            </w:tcBorders>
          </w:tcPr>
          <w:p>
            <w:pPr>
              <w:spacing w:after="0"/>
              <w:rPr>
                <w:sz w:val="11"/>
                <w:szCs w:val="11"/>
                <w:color w:val="auto"/>
              </w:rPr>
            </w:pPr>
          </w:p>
        </w:tc>
        <w:tc>
          <w:tcPr>
            <w:tcW w:w="2240" w:type="dxa"/>
            <w:vAlign w:val="bottom"/>
            <w:tcBorders>
              <w:right w:val="single" w:sz="8" w:color="BFBFBF"/>
            </w:tcBorders>
          </w:tcPr>
          <w:p>
            <w:pPr>
              <w:spacing w:after="0"/>
              <w:rPr>
                <w:sz w:val="11"/>
                <w:szCs w:val="11"/>
                <w:color w:val="auto"/>
              </w:rPr>
            </w:pPr>
          </w:p>
        </w:tc>
        <w:tc>
          <w:tcPr>
            <w:tcW w:w="4280" w:type="dxa"/>
            <w:vAlign w:val="bottom"/>
          </w:tcPr>
          <w:p>
            <w:pPr>
              <w:spacing w:after="0"/>
              <w:rPr>
                <w:sz w:val="11"/>
                <w:szCs w:val="11"/>
                <w:color w:val="auto"/>
              </w:rPr>
            </w:pPr>
          </w:p>
        </w:tc>
      </w:tr>
      <w:tr>
        <w:trPr>
          <w:trHeight w:val="121"/>
        </w:trPr>
        <w:tc>
          <w:tcPr>
            <w:tcW w:w="300" w:type="dxa"/>
            <w:vAlign w:val="bottom"/>
            <w:tcBorders>
              <w:right w:val="single" w:sz="8" w:color="BFBFBF"/>
            </w:tcBorders>
          </w:tcPr>
          <w:p>
            <w:pPr>
              <w:spacing w:after="0"/>
              <w:rPr>
                <w:sz w:val="10"/>
                <w:szCs w:val="10"/>
                <w:color w:val="auto"/>
              </w:rPr>
            </w:pPr>
          </w:p>
        </w:tc>
        <w:tc>
          <w:tcPr>
            <w:tcW w:w="2140" w:type="dxa"/>
            <w:vAlign w:val="bottom"/>
            <w:tcBorders>
              <w:bottom w:val="single" w:sz="8" w:color="BFBFBF"/>
              <w:right w:val="single" w:sz="8" w:color="BFBFBF"/>
            </w:tcBorders>
          </w:tcPr>
          <w:p>
            <w:pPr>
              <w:spacing w:after="0"/>
              <w:rPr>
                <w:sz w:val="10"/>
                <w:szCs w:val="10"/>
                <w:color w:val="auto"/>
              </w:rPr>
            </w:pPr>
          </w:p>
        </w:tc>
        <w:tc>
          <w:tcPr>
            <w:tcW w:w="760" w:type="dxa"/>
            <w:vAlign w:val="bottom"/>
            <w:tcBorders>
              <w:bottom w:val="single" w:sz="8" w:color="BFBFBF"/>
              <w:right w:val="single" w:sz="8" w:color="BFBFBF"/>
            </w:tcBorders>
          </w:tcPr>
          <w:p>
            <w:pPr>
              <w:spacing w:after="0"/>
              <w:rPr>
                <w:sz w:val="10"/>
                <w:szCs w:val="10"/>
                <w:color w:val="auto"/>
              </w:rPr>
            </w:pPr>
          </w:p>
        </w:tc>
        <w:tc>
          <w:tcPr>
            <w:tcW w:w="2240" w:type="dxa"/>
            <w:vAlign w:val="bottom"/>
            <w:tcBorders>
              <w:bottom w:val="single" w:sz="8" w:color="BFBFBF"/>
              <w:right w:val="single" w:sz="8" w:color="BFBFBF"/>
            </w:tcBorders>
          </w:tcPr>
          <w:p>
            <w:pPr>
              <w:spacing w:after="0"/>
              <w:rPr>
                <w:sz w:val="10"/>
                <w:szCs w:val="10"/>
                <w:color w:val="auto"/>
              </w:rPr>
            </w:pPr>
          </w:p>
        </w:tc>
        <w:tc>
          <w:tcPr>
            <w:tcW w:w="4280" w:type="dxa"/>
            <w:vAlign w:val="bottom"/>
          </w:tcPr>
          <w:p>
            <w:pPr>
              <w:spacing w:after="0"/>
              <w:rPr>
                <w:sz w:val="10"/>
                <w:szCs w:val="10"/>
                <w:color w:val="auto"/>
              </w:rPr>
            </w:pPr>
          </w:p>
        </w:tc>
      </w:tr>
      <w:tr>
        <w:trPr>
          <w:trHeight w:val="228"/>
        </w:trPr>
        <w:tc>
          <w:tcPr>
            <w:tcW w:w="300" w:type="dxa"/>
            <w:vAlign w:val="bottom"/>
            <w:tcBorders>
              <w:right w:val="single" w:sz="8" w:color="BFBFBF"/>
            </w:tcBorders>
          </w:tcPr>
          <w:p>
            <w:pPr>
              <w:spacing w:after="0"/>
              <w:rPr>
                <w:sz w:val="19"/>
                <w:szCs w:val="19"/>
                <w:color w:val="auto"/>
              </w:rPr>
            </w:pPr>
          </w:p>
        </w:tc>
        <w:tc>
          <w:tcPr>
            <w:tcW w:w="2140" w:type="dxa"/>
            <w:vAlign w:val="bottom"/>
            <w:tcBorders>
              <w:right w:val="single" w:sz="8" w:color="BFBFBF"/>
            </w:tcBorders>
          </w:tcPr>
          <w:p>
            <w:pPr>
              <w:ind w:left="60"/>
              <w:spacing w:after="0"/>
              <w:rPr>
                <w:sz w:val="20"/>
                <w:szCs w:val="20"/>
                <w:color w:val="auto"/>
              </w:rPr>
            </w:pPr>
            <w:r>
              <w:rPr>
                <w:rFonts w:ascii="Arial" w:cs="Arial" w:eastAsia="Arial" w:hAnsi="Arial"/>
                <w:sz w:val="11"/>
                <w:szCs w:val="11"/>
                <w:color w:val="auto"/>
              </w:rPr>
              <w:t>Reading Properties Taringa Pty Ltd as</w:t>
            </w:r>
          </w:p>
        </w:tc>
        <w:tc>
          <w:tcPr>
            <w:tcW w:w="760" w:type="dxa"/>
            <w:vAlign w:val="bottom"/>
            <w:tcBorders>
              <w:right w:val="single" w:sz="8" w:color="BFBFBF"/>
            </w:tcBorders>
          </w:tcPr>
          <w:p>
            <w:pPr>
              <w:ind w:left="40"/>
              <w:spacing w:after="0"/>
              <w:rPr>
                <w:sz w:val="20"/>
                <w:szCs w:val="20"/>
                <w:color w:val="auto"/>
              </w:rPr>
            </w:pPr>
            <w:r>
              <w:rPr>
                <w:rFonts w:ascii="Arial" w:cs="Arial" w:eastAsia="Arial" w:hAnsi="Arial"/>
                <w:sz w:val="11"/>
                <w:szCs w:val="11"/>
                <w:color w:val="auto"/>
              </w:rPr>
              <w:t>128 819 483</w:t>
            </w:r>
          </w:p>
        </w:tc>
        <w:tc>
          <w:tcPr>
            <w:tcW w:w="2240" w:type="dxa"/>
            <w:vAlign w:val="bottom"/>
            <w:tcBorders>
              <w:right w:val="single" w:sz="8" w:color="BFBFBF"/>
            </w:tcBorders>
          </w:tcPr>
          <w:p>
            <w:pPr>
              <w:ind w:left="40"/>
              <w:spacing w:after="0"/>
              <w:rPr>
                <w:sz w:val="20"/>
                <w:szCs w:val="20"/>
                <w:color w:val="auto"/>
              </w:rPr>
            </w:pPr>
            <w:r>
              <w:rPr>
                <w:rFonts w:ascii="Arial" w:cs="Arial" w:eastAsia="Arial" w:hAnsi="Arial"/>
                <w:sz w:val="11"/>
                <w:szCs w:val="11"/>
                <w:color w:val="auto"/>
              </w:rPr>
              <w:t>Same as for Borrower</w:t>
            </w:r>
          </w:p>
        </w:tc>
        <w:tc>
          <w:tcPr>
            <w:tcW w:w="4280" w:type="dxa"/>
            <w:vAlign w:val="bottom"/>
          </w:tcPr>
          <w:p>
            <w:pPr>
              <w:spacing w:after="0"/>
              <w:rPr>
                <w:sz w:val="19"/>
                <w:szCs w:val="19"/>
                <w:color w:val="auto"/>
              </w:rPr>
            </w:pPr>
          </w:p>
        </w:tc>
      </w:tr>
      <w:tr>
        <w:trPr>
          <w:trHeight w:val="135"/>
        </w:trPr>
        <w:tc>
          <w:tcPr>
            <w:tcW w:w="300" w:type="dxa"/>
            <w:vAlign w:val="bottom"/>
            <w:tcBorders>
              <w:right w:val="single" w:sz="8" w:color="BFBFBF"/>
            </w:tcBorders>
          </w:tcPr>
          <w:p>
            <w:pPr>
              <w:spacing w:after="0"/>
              <w:rPr>
                <w:sz w:val="11"/>
                <w:szCs w:val="11"/>
                <w:color w:val="auto"/>
              </w:rPr>
            </w:pPr>
          </w:p>
        </w:tc>
        <w:tc>
          <w:tcPr>
            <w:tcW w:w="2140" w:type="dxa"/>
            <w:vAlign w:val="bottom"/>
            <w:tcBorders>
              <w:right w:val="single" w:sz="8" w:color="BFBFBF"/>
            </w:tcBorders>
          </w:tcPr>
          <w:p>
            <w:pPr>
              <w:ind w:left="60"/>
              <w:spacing w:after="0"/>
              <w:rPr>
                <w:sz w:val="20"/>
                <w:szCs w:val="20"/>
                <w:color w:val="auto"/>
              </w:rPr>
            </w:pPr>
            <w:r>
              <w:rPr>
                <w:rFonts w:ascii="Arial" w:cs="Arial" w:eastAsia="Arial" w:hAnsi="Arial"/>
                <w:sz w:val="11"/>
                <w:szCs w:val="11"/>
                <w:color w:val="auto"/>
              </w:rPr>
              <w:t>trustee for the Reading Property</w:t>
            </w:r>
          </w:p>
        </w:tc>
        <w:tc>
          <w:tcPr>
            <w:tcW w:w="760" w:type="dxa"/>
            <w:vAlign w:val="bottom"/>
            <w:tcBorders>
              <w:right w:val="single" w:sz="8" w:color="BFBFBF"/>
            </w:tcBorders>
          </w:tcPr>
          <w:p>
            <w:pPr>
              <w:spacing w:after="0"/>
              <w:rPr>
                <w:sz w:val="11"/>
                <w:szCs w:val="11"/>
                <w:color w:val="auto"/>
              </w:rPr>
            </w:pPr>
          </w:p>
        </w:tc>
        <w:tc>
          <w:tcPr>
            <w:tcW w:w="2240" w:type="dxa"/>
            <w:vAlign w:val="bottom"/>
            <w:tcBorders>
              <w:right w:val="single" w:sz="8" w:color="BFBFBF"/>
            </w:tcBorders>
          </w:tcPr>
          <w:p>
            <w:pPr>
              <w:spacing w:after="0"/>
              <w:rPr>
                <w:sz w:val="11"/>
                <w:szCs w:val="11"/>
                <w:color w:val="auto"/>
              </w:rPr>
            </w:pPr>
          </w:p>
        </w:tc>
        <w:tc>
          <w:tcPr>
            <w:tcW w:w="4280" w:type="dxa"/>
            <w:vAlign w:val="bottom"/>
          </w:tcPr>
          <w:p>
            <w:pPr>
              <w:spacing w:after="0"/>
              <w:rPr>
                <w:sz w:val="11"/>
                <w:szCs w:val="11"/>
                <w:color w:val="auto"/>
              </w:rPr>
            </w:pPr>
          </w:p>
        </w:tc>
      </w:tr>
      <w:tr>
        <w:trPr>
          <w:trHeight w:val="135"/>
        </w:trPr>
        <w:tc>
          <w:tcPr>
            <w:tcW w:w="300" w:type="dxa"/>
            <w:vAlign w:val="bottom"/>
            <w:tcBorders>
              <w:right w:val="single" w:sz="8" w:color="BFBFBF"/>
            </w:tcBorders>
          </w:tcPr>
          <w:p>
            <w:pPr>
              <w:spacing w:after="0"/>
              <w:rPr>
                <w:sz w:val="11"/>
                <w:szCs w:val="11"/>
                <w:color w:val="auto"/>
              </w:rPr>
            </w:pPr>
          </w:p>
        </w:tc>
        <w:tc>
          <w:tcPr>
            <w:tcW w:w="2140" w:type="dxa"/>
            <w:vAlign w:val="bottom"/>
            <w:tcBorders>
              <w:right w:val="single" w:sz="8" w:color="BFBFBF"/>
            </w:tcBorders>
          </w:tcPr>
          <w:p>
            <w:pPr>
              <w:ind w:left="60"/>
              <w:spacing w:after="0"/>
              <w:rPr>
                <w:sz w:val="20"/>
                <w:szCs w:val="20"/>
                <w:color w:val="auto"/>
              </w:rPr>
            </w:pPr>
            <w:r>
              <w:rPr>
                <w:rFonts w:ascii="Arial" w:cs="Arial" w:eastAsia="Arial" w:hAnsi="Arial"/>
                <w:sz w:val="11"/>
                <w:szCs w:val="11"/>
                <w:color w:val="auto"/>
              </w:rPr>
              <w:t>Partners No. 1 Discretionary Trust</w:t>
            </w:r>
          </w:p>
        </w:tc>
        <w:tc>
          <w:tcPr>
            <w:tcW w:w="760" w:type="dxa"/>
            <w:vAlign w:val="bottom"/>
            <w:tcBorders>
              <w:right w:val="single" w:sz="8" w:color="BFBFBF"/>
            </w:tcBorders>
          </w:tcPr>
          <w:p>
            <w:pPr>
              <w:spacing w:after="0"/>
              <w:rPr>
                <w:sz w:val="11"/>
                <w:szCs w:val="11"/>
                <w:color w:val="auto"/>
              </w:rPr>
            </w:pPr>
          </w:p>
        </w:tc>
        <w:tc>
          <w:tcPr>
            <w:tcW w:w="2240" w:type="dxa"/>
            <w:vAlign w:val="bottom"/>
            <w:tcBorders>
              <w:right w:val="single" w:sz="8" w:color="BFBFBF"/>
            </w:tcBorders>
          </w:tcPr>
          <w:p>
            <w:pPr>
              <w:spacing w:after="0"/>
              <w:rPr>
                <w:sz w:val="11"/>
                <w:szCs w:val="11"/>
                <w:color w:val="auto"/>
              </w:rPr>
            </w:pPr>
          </w:p>
        </w:tc>
        <w:tc>
          <w:tcPr>
            <w:tcW w:w="4280" w:type="dxa"/>
            <w:vAlign w:val="bottom"/>
          </w:tcPr>
          <w:p>
            <w:pPr>
              <w:spacing w:after="0"/>
              <w:rPr>
                <w:sz w:val="11"/>
                <w:szCs w:val="11"/>
                <w:color w:val="auto"/>
              </w:rPr>
            </w:pPr>
          </w:p>
        </w:tc>
      </w:tr>
      <w:tr>
        <w:trPr>
          <w:trHeight w:val="121"/>
        </w:trPr>
        <w:tc>
          <w:tcPr>
            <w:tcW w:w="300" w:type="dxa"/>
            <w:vAlign w:val="bottom"/>
            <w:tcBorders>
              <w:right w:val="single" w:sz="8" w:color="BFBFBF"/>
            </w:tcBorders>
          </w:tcPr>
          <w:p>
            <w:pPr>
              <w:spacing w:after="0"/>
              <w:rPr>
                <w:sz w:val="10"/>
                <w:szCs w:val="10"/>
                <w:color w:val="auto"/>
              </w:rPr>
            </w:pPr>
          </w:p>
        </w:tc>
        <w:tc>
          <w:tcPr>
            <w:tcW w:w="2140" w:type="dxa"/>
            <w:vAlign w:val="bottom"/>
            <w:tcBorders>
              <w:bottom w:val="single" w:sz="8" w:color="BFBFBF"/>
              <w:right w:val="single" w:sz="8" w:color="BFBFBF"/>
            </w:tcBorders>
          </w:tcPr>
          <w:p>
            <w:pPr>
              <w:spacing w:after="0"/>
              <w:rPr>
                <w:sz w:val="10"/>
                <w:szCs w:val="10"/>
                <w:color w:val="auto"/>
              </w:rPr>
            </w:pPr>
          </w:p>
        </w:tc>
        <w:tc>
          <w:tcPr>
            <w:tcW w:w="760" w:type="dxa"/>
            <w:vAlign w:val="bottom"/>
            <w:tcBorders>
              <w:bottom w:val="single" w:sz="8" w:color="BFBFBF"/>
              <w:right w:val="single" w:sz="8" w:color="BFBFBF"/>
            </w:tcBorders>
          </w:tcPr>
          <w:p>
            <w:pPr>
              <w:spacing w:after="0"/>
              <w:rPr>
                <w:sz w:val="10"/>
                <w:szCs w:val="10"/>
                <w:color w:val="auto"/>
              </w:rPr>
            </w:pPr>
          </w:p>
        </w:tc>
        <w:tc>
          <w:tcPr>
            <w:tcW w:w="2240" w:type="dxa"/>
            <w:vAlign w:val="bottom"/>
            <w:tcBorders>
              <w:bottom w:val="single" w:sz="8" w:color="BFBFBF"/>
              <w:right w:val="single" w:sz="8" w:color="BFBFBF"/>
            </w:tcBorders>
          </w:tcPr>
          <w:p>
            <w:pPr>
              <w:spacing w:after="0"/>
              <w:rPr>
                <w:sz w:val="10"/>
                <w:szCs w:val="10"/>
                <w:color w:val="auto"/>
              </w:rPr>
            </w:pPr>
          </w:p>
        </w:tc>
        <w:tc>
          <w:tcPr>
            <w:tcW w:w="4280" w:type="dxa"/>
            <w:vAlign w:val="bottom"/>
          </w:tcPr>
          <w:p>
            <w:pPr>
              <w:spacing w:after="0"/>
              <w:rPr>
                <w:sz w:val="10"/>
                <w:szCs w:val="10"/>
                <w:color w:val="auto"/>
              </w:rPr>
            </w:pPr>
          </w:p>
        </w:tc>
      </w:tr>
      <w:tr>
        <w:trPr>
          <w:trHeight w:val="228"/>
        </w:trPr>
        <w:tc>
          <w:tcPr>
            <w:tcW w:w="300" w:type="dxa"/>
            <w:vAlign w:val="bottom"/>
            <w:tcBorders>
              <w:right w:val="single" w:sz="8" w:color="BFBFBF"/>
            </w:tcBorders>
          </w:tcPr>
          <w:p>
            <w:pPr>
              <w:spacing w:after="0"/>
              <w:rPr>
                <w:sz w:val="19"/>
                <w:szCs w:val="19"/>
                <w:color w:val="auto"/>
              </w:rPr>
            </w:pPr>
          </w:p>
        </w:tc>
        <w:tc>
          <w:tcPr>
            <w:tcW w:w="2140" w:type="dxa"/>
            <w:vAlign w:val="bottom"/>
            <w:tcBorders>
              <w:right w:val="single" w:sz="8" w:color="BFBFBF"/>
            </w:tcBorders>
          </w:tcPr>
          <w:p>
            <w:pPr>
              <w:ind w:left="60"/>
              <w:spacing w:after="0"/>
              <w:rPr>
                <w:sz w:val="20"/>
                <w:szCs w:val="20"/>
                <w:color w:val="auto"/>
              </w:rPr>
            </w:pPr>
            <w:r>
              <w:rPr>
                <w:rFonts w:ascii="Arial" w:cs="Arial" w:eastAsia="Arial" w:hAnsi="Arial"/>
                <w:sz w:val="11"/>
                <w:szCs w:val="11"/>
                <w:color w:val="auto"/>
              </w:rPr>
              <w:t>Reading Property Holdings Pty Ltd</w:t>
            </w:r>
          </w:p>
        </w:tc>
        <w:tc>
          <w:tcPr>
            <w:tcW w:w="760" w:type="dxa"/>
            <w:vAlign w:val="bottom"/>
            <w:tcBorders>
              <w:right w:val="single" w:sz="8" w:color="BFBFBF"/>
            </w:tcBorders>
          </w:tcPr>
          <w:p>
            <w:pPr>
              <w:ind w:left="40"/>
              <w:spacing w:after="0"/>
              <w:rPr>
                <w:sz w:val="20"/>
                <w:szCs w:val="20"/>
                <w:color w:val="auto"/>
              </w:rPr>
            </w:pPr>
            <w:r>
              <w:rPr>
                <w:rFonts w:ascii="Arial" w:cs="Arial" w:eastAsia="Arial" w:hAnsi="Arial"/>
                <w:sz w:val="11"/>
                <w:szCs w:val="11"/>
                <w:color w:val="auto"/>
              </w:rPr>
              <w:t>126 289 772</w:t>
            </w:r>
          </w:p>
        </w:tc>
        <w:tc>
          <w:tcPr>
            <w:tcW w:w="2240" w:type="dxa"/>
            <w:vAlign w:val="bottom"/>
            <w:tcBorders>
              <w:right w:val="single" w:sz="8" w:color="BFBFBF"/>
            </w:tcBorders>
          </w:tcPr>
          <w:p>
            <w:pPr>
              <w:ind w:left="40"/>
              <w:spacing w:after="0"/>
              <w:rPr>
                <w:sz w:val="20"/>
                <w:szCs w:val="20"/>
                <w:color w:val="auto"/>
              </w:rPr>
            </w:pPr>
            <w:r>
              <w:rPr>
                <w:rFonts w:ascii="Arial" w:cs="Arial" w:eastAsia="Arial" w:hAnsi="Arial"/>
                <w:sz w:val="11"/>
                <w:szCs w:val="11"/>
                <w:color w:val="auto"/>
              </w:rPr>
              <w:t>Same as for Borrower</w:t>
            </w:r>
          </w:p>
        </w:tc>
        <w:tc>
          <w:tcPr>
            <w:tcW w:w="4280" w:type="dxa"/>
            <w:vAlign w:val="bottom"/>
          </w:tcPr>
          <w:p>
            <w:pPr>
              <w:spacing w:after="0"/>
              <w:rPr>
                <w:sz w:val="19"/>
                <w:szCs w:val="19"/>
                <w:color w:val="auto"/>
              </w:rPr>
            </w:pPr>
          </w:p>
        </w:tc>
      </w:tr>
      <w:tr>
        <w:trPr>
          <w:trHeight w:val="67"/>
        </w:trPr>
        <w:tc>
          <w:tcPr>
            <w:tcW w:w="300" w:type="dxa"/>
            <w:vAlign w:val="bottom"/>
            <w:tcBorders>
              <w:right w:val="single" w:sz="8" w:color="BFBFBF"/>
            </w:tcBorders>
          </w:tcPr>
          <w:p>
            <w:pPr>
              <w:spacing w:after="0"/>
              <w:rPr>
                <w:sz w:val="5"/>
                <w:szCs w:val="5"/>
                <w:color w:val="auto"/>
              </w:rPr>
            </w:pPr>
          </w:p>
        </w:tc>
        <w:tc>
          <w:tcPr>
            <w:tcW w:w="2140" w:type="dxa"/>
            <w:vAlign w:val="bottom"/>
            <w:tcBorders>
              <w:bottom w:val="single" w:sz="8" w:color="BFBFBF"/>
              <w:right w:val="single" w:sz="8" w:color="BFBFBF"/>
            </w:tcBorders>
          </w:tcPr>
          <w:p>
            <w:pPr>
              <w:spacing w:after="0"/>
              <w:rPr>
                <w:sz w:val="5"/>
                <w:szCs w:val="5"/>
                <w:color w:val="auto"/>
              </w:rPr>
            </w:pPr>
          </w:p>
        </w:tc>
        <w:tc>
          <w:tcPr>
            <w:tcW w:w="760" w:type="dxa"/>
            <w:vAlign w:val="bottom"/>
            <w:tcBorders>
              <w:bottom w:val="single" w:sz="8" w:color="BFBFBF"/>
              <w:right w:val="single" w:sz="8" w:color="BFBFBF"/>
            </w:tcBorders>
          </w:tcPr>
          <w:p>
            <w:pPr>
              <w:spacing w:after="0"/>
              <w:rPr>
                <w:sz w:val="5"/>
                <w:szCs w:val="5"/>
                <w:color w:val="auto"/>
              </w:rPr>
            </w:pPr>
          </w:p>
        </w:tc>
        <w:tc>
          <w:tcPr>
            <w:tcW w:w="2240" w:type="dxa"/>
            <w:vAlign w:val="bottom"/>
            <w:tcBorders>
              <w:bottom w:val="single" w:sz="8" w:color="BFBFBF"/>
              <w:right w:val="single" w:sz="8" w:color="BFBFBF"/>
            </w:tcBorders>
          </w:tcPr>
          <w:p>
            <w:pPr>
              <w:spacing w:after="0"/>
              <w:rPr>
                <w:sz w:val="5"/>
                <w:szCs w:val="5"/>
                <w:color w:val="auto"/>
              </w:rPr>
            </w:pPr>
          </w:p>
        </w:tc>
        <w:tc>
          <w:tcPr>
            <w:tcW w:w="4280" w:type="dxa"/>
            <w:vAlign w:val="bottom"/>
          </w:tcPr>
          <w:p>
            <w:pPr>
              <w:spacing w:after="0"/>
              <w:rPr>
                <w:sz w:val="5"/>
                <w:szCs w:val="5"/>
                <w:color w:val="auto"/>
              </w:rPr>
            </w:pPr>
          </w:p>
        </w:tc>
      </w:tr>
      <w:tr>
        <w:trPr>
          <w:trHeight w:val="228"/>
        </w:trPr>
        <w:tc>
          <w:tcPr>
            <w:tcW w:w="300" w:type="dxa"/>
            <w:vAlign w:val="bottom"/>
            <w:tcBorders>
              <w:right w:val="single" w:sz="8" w:color="BFBFBF"/>
            </w:tcBorders>
          </w:tcPr>
          <w:p>
            <w:pPr>
              <w:spacing w:after="0"/>
              <w:rPr>
                <w:sz w:val="19"/>
                <w:szCs w:val="19"/>
                <w:color w:val="auto"/>
              </w:rPr>
            </w:pPr>
          </w:p>
        </w:tc>
        <w:tc>
          <w:tcPr>
            <w:tcW w:w="2140" w:type="dxa"/>
            <w:vAlign w:val="bottom"/>
            <w:tcBorders>
              <w:right w:val="single" w:sz="8" w:color="BFBFBF"/>
            </w:tcBorders>
          </w:tcPr>
          <w:p>
            <w:pPr>
              <w:ind w:left="60"/>
              <w:spacing w:after="0"/>
              <w:rPr>
                <w:sz w:val="20"/>
                <w:szCs w:val="20"/>
                <w:color w:val="auto"/>
              </w:rPr>
            </w:pPr>
            <w:r>
              <w:rPr>
                <w:rFonts w:ascii="Arial" w:cs="Arial" w:eastAsia="Arial" w:hAnsi="Arial"/>
                <w:sz w:val="11"/>
                <w:szCs w:val="11"/>
                <w:color w:val="auto"/>
              </w:rPr>
              <w:t>Reading Rouse Hill Pty Ltd</w:t>
            </w:r>
          </w:p>
        </w:tc>
        <w:tc>
          <w:tcPr>
            <w:tcW w:w="760" w:type="dxa"/>
            <w:vAlign w:val="bottom"/>
            <w:tcBorders>
              <w:right w:val="single" w:sz="8" w:color="BFBFBF"/>
            </w:tcBorders>
          </w:tcPr>
          <w:p>
            <w:pPr>
              <w:ind w:left="40"/>
              <w:spacing w:after="0"/>
              <w:rPr>
                <w:sz w:val="20"/>
                <w:szCs w:val="20"/>
                <w:color w:val="auto"/>
              </w:rPr>
            </w:pPr>
            <w:r>
              <w:rPr>
                <w:rFonts w:ascii="Arial" w:cs="Arial" w:eastAsia="Arial" w:hAnsi="Arial"/>
                <w:sz w:val="11"/>
                <w:szCs w:val="11"/>
                <w:color w:val="auto"/>
              </w:rPr>
              <w:t>123 245 885</w:t>
            </w:r>
          </w:p>
        </w:tc>
        <w:tc>
          <w:tcPr>
            <w:tcW w:w="2240" w:type="dxa"/>
            <w:vAlign w:val="bottom"/>
            <w:tcBorders>
              <w:right w:val="single" w:sz="8" w:color="BFBFBF"/>
            </w:tcBorders>
          </w:tcPr>
          <w:p>
            <w:pPr>
              <w:ind w:left="40"/>
              <w:spacing w:after="0"/>
              <w:rPr>
                <w:sz w:val="20"/>
                <w:szCs w:val="20"/>
                <w:color w:val="auto"/>
              </w:rPr>
            </w:pPr>
            <w:r>
              <w:rPr>
                <w:rFonts w:ascii="Arial" w:cs="Arial" w:eastAsia="Arial" w:hAnsi="Arial"/>
                <w:sz w:val="11"/>
                <w:szCs w:val="11"/>
                <w:color w:val="auto"/>
              </w:rPr>
              <w:t>Same as for Borrower</w:t>
            </w:r>
          </w:p>
        </w:tc>
        <w:tc>
          <w:tcPr>
            <w:tcW w:w="4280" w:type="dxa"/>
            <w:vAlign w:val="bottom"/>
          </w:tcPr>
          <w:p>
            <w:pPr>
              <w:spacing w:after="0"/>
              <w:rPr>
                <w:sz w:val="19"/>
                <w:szCs w:val="19"/>
                <w:color w:val="auto"/>
              </w:rPr>
            </w:pPr>
          </w:p>
        </w:tc>
      </w:tr>
      <w:tr>
        <w:trPr>
          <w:trHeight w:val="67"/>
        </w:trPr>
        <w:tc>
          <w:tcPr>
            <w:tcW w:w="300" w:type="dxa"/>
            <w:vAlign w:val="bottom"/>
            <w:tcBorders>
              <w:right w:val="single" w:sz="8" w:color="BFBFBF"/>
            </w:tcBorders>
          </w:tcPr>
          <w:p>
            <w:pPr>
              <w:spacing w:after="0"/>
              <w:rPr>
                <w:sz w:val="5"/>
                <w:szCs w:val="5"/>
                <w:color w:val="auto"/>
              </w:rPr>
            </w:pPr>
          </w:p>
        </w:tc>
        <w:tc>
          <w:tcPr>
            <w:tcW w:w="2140" w:type="dxa"/>
            <w:vAlign w:val="bottom"/>
            <w:tcBorders>
              <w:bottom w:val="single" w:sz="8" w:color="BFBFBF"/>
              <w:right w:val="single" w:sz="8" w:color="BFBFBF"/>
            </w:tcBorders>
          </w:tcPr>
          <w:p>
            <w:pPr>
              <w:spacing w:after="0"/>
              <w:rPr>
                <w:sz w:val="5"/>
                <w:szCs w:val="5"/>
                <w:color w:val="auto"/>
              </w:rPr>
            </w:pPr>
          </w:p>
        </w:tc>
        <w:tc>
          <w:tcPr>
            <w:tcW w:w="760" w:type="dxa"/>
            <w:vAlign w:val="bottom"/>
            <w:tcBorders>
              <w:bottom w:val="single" w:sz="8" w:color="BFBFBF"/>
              <w:right w:val="single" w:sz="8" w:color="BFBFBF"/>
            </w:tcBorders>
          </w:tcPr>
          <w:p>
            <w:pPr>
              <w:spacing w:after="0"/>
              <w:rPr>
                <w:sz w:val="5"/>
                <w:szCs w:val="5"/>
                <w:color w:val="auto"/>
              </w:rPr>
            </w:pPr>
          </w:p>
        </w:tc>
        <w:tc>
          <w:tcPr>
            <w:tcW w:w="2240" w:type="dxa"/>
            <w:vAlign w:val="bottom"/>
            <w:tcBorders>
              <w:bottom w:val="single" w:sz="8" w:color="BFBFBF"/>
              <w:right w:val="single" w:sz="8" w:color="BFBFBF"/>
            </w:tcBorders>
          </w:tcPr>
          <w:p>
            <w:pPr>
              <w:spacing w:after="0"/>
              <w:rPr>
                <w:sz w:val="5"/>
                <w:szCs w:val="5"/>
                <w:color w:val="auto"/>
              </w:rPr>
            </w:pPr>
          </w:p>
        </w:tc>
        <w:tc>
          <w:tcPr>
            <w:tcW w:w="4280" w:type="dxa"/>
            <w:vAlign w:val="bottom"/>
          </w:tcPr>
          <w:p>
            <w:pPr>
              <w:spacing w:after="0"/>
              <w:rPr>
                <w:sz w:val="5"/>
                <w:szCs w:val="5"/>
                <w:color w:val="auto"/>
              </w:rPr>
            </w:pPr>
          </w:p>
        </w:tc>
      </w:tr>
      <w:tr>
        <w:trPr>
          <w:trHeight w:val="228"/>
        </w:trPr>
        <w:tc>
          <w:tcPr>
            <w:tcW w:w="300" w:type="dxa"/>
            <w:vAlign w:val="bottom"/>
            <w:tcBorders>
              <w:right w:val="single" w:sz="8" w:color="BFBFBF"/>
            </w:tcBorders>
          </w:tcPr>
          <w:p>
            <w:pPr>
              <w:spacing w:after="0"/>
              <w:rPr>
                <w:sz w:val="19"/>
                <w:szCs w:val="19"/>
                <w:color w:val="auto"/>
              </w:rPr>
            </w:pPr>
          </w:p>
        </w:tc>
        <w:tc>
          <w:tcPr>
            <w:tcW w:w="2140" w:type="dxa"/>
            <w:vAlign w:val="bottom"/>
            <w:tcBorders>
              <w:right w:val="single" w:sz="8" w:color="BFBFBF"/>
            </w:tcBorders>
          </w:tcPr>
          <w:p>
            <w:pPr>
              <w:ind w:left="60"/>
              <w:spacing w:after="0"/>
              <w:rPr>
                <w:sz w:val="20"/>
                <w:szCs w:val="20"/>
                <w:color w:val="auto"/>
              </w:rPr>
            </w:pPr>
            <w:r>
              <w:rPr>
                <w:rFonts w:ascii="Arial" w:cs="Arial" w:eastAsia="Arial" w:hAnsi="Arial"/>
                <w:sz w:val="11"/>
                <w:szCs w:val="11"/>
                <w:color w:val="auto"/>
              </w:rPr>
              <w:t>Reading Sunbury Pty Limited</w:t>
            </w:r>
          </w:p>
        </w:tc>
        <w:tc>
          <w:tcPr>
            <w:tcW w:w="760" w:type="dxa"/>
            <w:vAlign w:val="bottom"/>
            <w:tcBorders>
              <w:right w:val="single" w:sz="8" w:color="BFBFBF"/>
            </w:tcBorders>
          </w:tcPr>
          <w:p>
            <w:pPr>
              <w:ind w:left="40"/>
              <w:spacing w:after="0"/>
              <w:rPr>
                <w:sz w:val="20"/>
                <w:szCs w:val="20"/>
                <w:color w:val="auto"/>
              </w:rPr>
            </w:pPr>
            <w:r>
              <w:rPr>
                <w:rFonts w:ascii="Arial" w:cs="Arial" w:eastAsia="Arial" w:hAnsi="Arial"/>
                <w:sz w:val="11"/>
                <w:szCs w:val="11"/>
                <w:color w:val="auto"/>
              </w:rPr>
              <w:t>109 074 571</w:t>
            </w:r>
          </w:p>
        </w:tc>
        <w:tc>
          <w:tcPr>
            <w:tcW w:w="2240" w:type="dxa"/>
            <w:vAlign w:val="bottom"/>
            <w:tcBorders>
              <w:right w:val="single" w:sz="8" w:color="BFBFBF"/>
            </w:tcBorders>
          </w:tcPr>
          <w:p>
            <w:pPr>
              <w:ind w:left="40"/>
              <w:spacing w:after="0"/>
              <w:rPr>
                <w:sz w:val="20"/>
                <w:szCs w:val="20"/>
                <w:color w:val="auto"/>
              </w:rPr>
            </w:pPr>
            <w:r>
              <w:rPr>
                <w:rFonts w:ascii="Arial" w:cs="Arial" w:eastAsia="Arial" w:hAnsi="Arial"/>
                <w:sz w:val="11"/>
                <w:szCs w:val="11"/>
                <w:color w:val="auto"/>
              </w:rPr>
              <w:t>Same as for Borrower</w:t>
            </w:r>
          </w:p>
        </w:tc>
        <w:tc>
          <w:tcPr>
            <w:tcW w:w="4280" w:type="dxa"/>
            <w:vAlign w:val="bottom"/>
          </w:tcPr>
          <w:p>
            <w:pPr>
              <w:spacing w:after="0"/>
              <w:rPr>
                <w:sz w:val="19"/>
                <w:szCs w:val="19"/>
                <w:color w:val="auto"/>
              </w:rPr>
            </w:pPr>
          </w:p>
        </w:tc>
      </w:tr>
      <w:tr>
        <w:trPr>
          <w:trHeight w:val="67"/>
        </w:trPr>
        <w:tc>
          <w:tcPr>
            <w:tcW w:w="300" w:type="dxa"/>
            <w:vAlign w:val="bottom"/>
            <w:tcBorders>
              <w:right w:val="single" w:sz="8" w:color="BFBFBF"/>
            </w:tcBorders>
          </w:tcPr>
          <w:p>
            <w:pPr>
              <w:spacing w:after="0"/>
              <w:rPr>
                <w:sz w:val="5"/>
                <w:szCs w:val="5"/>
                <w:color w:val="auto"/>
              </w:rPr>
            </w:pPr>
          </w:p>
        </w:tc>
        <w:tc>
          <w:tcPr>
            <w:tcW w:w="2140" w:type="dxa"/>
            <w:vAlign w:val="bottom"/>
            <w:tcBorders>
              <w:bottom w:val="single" w:sz="8" w:color="BFBFBF"/>
              <w:right w:val="single" w:sz="8" w:color="BFBFBF"/>
            </w:tcBorders>
          </w:tcPr>
          <w:p>
            <w:pPr>
              <w:spacing w:after="0"/>
              <w:rPr>
                <w:sz w:val="5"/>
                <w:szCs w:val="5"/>
                <w:color w:val="auto"/>
              </w:rPr>
            </w:pPr>
          </w:p>
        </w:tc>
        <w:tc>
          <w:tcPr>
            <w:tcW w:w="760" w:type="dxa"/>
            <w:vAlign w:val="bottom"/>
            <w:tcBorders>
              <w:bottom w:val="single" w:sz="8" w:color="BFBFBF"/>
              <w:right w:val="single" w:sz="8" w:color="BFBFBF"/>
            </w:tcBorders>
          </w:tcPr>
          <w:p>
            <w:pPr>
              <w:spacing w:after="0"/>
              <w:rPr>
                <w:sz w:val="5"/>
                <w:szCs w:val="5"/>
                <w:color w:val="auto"/>
              </w:rPr>
            </w:pPr>
          </w:p>
        </w:tc>
        <w:tc>
          <w:tcPr>
            <w:tcW w:w="2240" w:type="dxa"/>
            <w:vAlign w:val="bottom"/>
            <w:tcBorders>
              <w:bottom w:val="single" w:sz="8" w:color="BFBFBF"/>
              <w:right w:val="single" w:sz="8" w:color="BFBFBF"/>
            </w:tcBorders>
          </w:tcPr>
          <w:p>
            <w:pPr>
              <w:spacing w:after="0"/>
              <w:rPr>
                <w:sz w:val="5"/>
                <w:szCs w:val="5"/>
                <w:color w:val="auto"/>
              </w:rPr>
            </w:pPr>
          </w:p>
        </w:tc>
        <w:tc>
          <w:tcPr>
            <w:tcW w:w="4280" w:type="dxa"/>
            <w:vAlign w:val="bottom"/>
          </w:tcPr>
          <w:p>
            <w:pPr>
              <w:spacing w:after="0"/>
              <w:rPr>
                <w:sz w:val="5"/>
                <w:szCs w:val="5"/>
                <w:color w:val="auto"/>
              </w:rPr>
            </w:pPr>
          </w:p>
        </w:tc>
      </w:tr>
      <w:tr>
        <w:trPr>
          <w:trHeight w:val="228"/>
        </w:trPr>
        <w:tc>
          <w:tcPr>
            <w:tcW w:w="300" w:type="dxa"/>
            <w:vAlign w:val="bottom"/>
            <w:tcBorders>
              <w:right w:val="single" w:sz="8" w:color="BFBFBF"/>
            </w:tcBorders>
          </w:tcPr>
          <w:p>
            <w:pPr>
              <w:spacing w:after="0"/>
              <w:rPr>
                <w:sz w:val="19"/>
                <w:szCs w:val="19"/>
                <w:color w:val="auto"/>
              </w:rPr>
            </w:pPr>
          </w:p>
        </w:tc>
        <w:tc>
          <w:tcPr>
            <w:tcW w:w="2140" w:type="dxa"/>
            <w:vAlign w:val="bottom"/>
            <w:tcBorders>
              <w:right w:val="single" w:sz="8" w:color="BFBFBF"/>
            </w:tcBorders>
          </w:tcPr>
          <w:p>
            <w:pPr>
              <w:ind w:left="60"/>
              <w:spacing w:after="0"/>
              <w:rPr>
                <w:sz w:val="20"/>
                <w:szCs w:val="20"/>
                <w:color w:val="auto"/>
              </w:rPr>
            </w:pPr>
            <w:r>
              <w:rPr>
                <w:rFonts w:ascii="Arial" w:cs="Arial" w:eastAsia="Arial" w:hAnsi="Arial"/>
                <w:sz w:val="11"/>
                <w:szCs w:val="11"/>
                <w:color w:val="auto"/>
              </w:rPr>
              <w:t>Rhodes Peninsula Cinema Pty Ltd</w:t>
            </w:r>
          </w:p>
        </w:tc>
        <w:tc>
          <w:tcPr>
            <w:tcW w:w="760" w:type="dxa"/>
            <w:vAlign w:val="bottom"/>
            <w:tcBorders>
              <w:right w:val="single" w:sz="8" w:color="BFBFBF"/>
            </w:tcBorders>
          </w:tcPr>
          <w:p>
            <w:pPr>
              <w:ind w:left="40"/>
              <w:spacing w:after="0"/>
              <w:rPr>
                <w:sz w:val="20"/>
                <w:szCs w:val="20"/>
                <w:color w:val="auto"/>
              </w:rPr>
            </w:pPr>
            <w:r>
              <w:rPr>
                <w:rFonts w:ascii="Arial" w:cs="Arial" w:eastAsia="Arial" w:hAnsi="Arial"/>
                <w:sz w:val="11"/>
                <w:szCs w:val="11"/>
                <w:color w:val="auto"/>
              </w:rPr>
              <w:t>120 827 812</w:t>
            </w:r>
          </w:p>
        </w:tc>
        <w:tc>
          <w:tcPr>
            <w:tcW w:w="2240" w:type="dxa"/>
            <w:vAlign w:val="bottom"/>
            <w:tcBorders>
              <w:right w:val="single" w:sz="8" w:color="BFBFBF"/>
            </w:tcBorders>
          </w:tcPr>
          <w:p>
            <w:pPr>
              <w:ind w:left="40"/>
              <w:spacing w:after="0"/>
              <w:rPr>
                <w:sz w:val="20"/>
                <w:szCs w:val="20"/>
                <w:color w:val="auto"/>
              </w:rPr>
            </w:pPr>
            <w:r>
              <w:rPr>
                <w:rFonts w:ascii="Arial" w:cs="Arial" w:eastAsia="Arial" w:hAnsi="Arial"/>
                <w:sz w:val="11"/>
                <w:szCs w:val="11"/>
                <w:color w:val="auto"/>
              </w:rPr>
              <w:t>Same as for Borrower</w:t>
            </w:r>
          </w:p>
        </w:tc>
        <w:tc>
          <w:tcPr>
            <w:tcW w:w="4280" w:type="dxa"/>
            <w:vAlign w:val="bottom"/>
          </w:tcPr>
          <w:p>
            <w:pPr>
              <w:spacing w:after="0"/>
              <w:rPr>
                <w:sz w:val="19"/>
                <w:szCs w:val="19"/>
                <w:color w:val="auto"/>
              </w:rPr>
            </w:pPr>
          </w:p>
        </w:tc>
      </w:tr>
      <w:tr>
        <w:trPr>
          <w:trHeight w:val="67"/>
        </w:trPr>
        <w:tc>
          <w:tcPr>
            <w:tcW w:w="300" w:type="dxa"/>
            <w:vAlign w:val="bottom"/>
            <w:tcBorders>
              <w:right w:val="single" w:sz="8" w:color="BFBFBF"/>
            </w:tcBorders>
          </w:tcPr>
          <w:p>
            <w:pPr>
              <w:spacing w:after="0"/>
              <w:rPr>
                <w:sz w:val="5"/>
                <w:szCs w:val="5"/>
                <w:color w:val="auto"/>
              </w:rPr>
            </w:pPr>
          </w:p>
        </w:tc>
        <w:tc>
          <w:tcPr>
            <w:tcW w:w="2140" w:type="dxa"/>
            <w:vAlign w:val="bottom"/>
            <w:tcBorders>
              <w:bottom w:val="single" w:sz="8" w:color="BFBFBF"/>
              <w:right w:val="single" w:sz="8" w:color="BFBFBF"/>
            </w:tcBorders>
          </w:tcPr>
          <w:p>
            <w:pPr>
              <w:spacing w:after="0"/>
              <w:rPr>
                <w:sz w:val="5"/>
                <w:szCs w:val="5"/>
                <w:color w:val="auto"/>
              </w:rPr>
            </w:pPr>
          </w:p>
        </w:tc>
        <w:tc>
          <w:tcPr>
            <w:tcW w:w="760" w:type="dxa"/>
            <w:vAlign w:val="bottom"/>
            <w:tcBorders>
              <w:bottom w:val="single" w:sz="8" w:color="BFBFBF"/>
              <w:right w:val="single" w:sz="8" w:color="BFBFBF"/>
            </w:tcBorders>
          </w:tcPr>
          <w:p>
            <w:pPr>
              <w:spacing w:after="0"/>
              <w:rPr>
                <w:sz w:val="5"/>
                <w:szCs w:val="5"/>
                <w:color w:val="auto"/>
              </w:rPr>
            </w:pPr>
          </w:p>
        </w:tc>
        <w:tc>
          <w:tcPr>
            <w:tcW w:w="2240" w:type="dxa"/>
            <w:vAlign w:val="bottom"/>
            <w:tcBorders>
              <w:bottom w:val="single" w:sz="8" w:color="BFBFBF"/>
              <w:right w:val="single" w:sz="8" w:color="BFBFBF"/>
            </w:tcBorders>
          </w:tcPr>
          <w:p>
            <w:pPr>
              <w:spacing w:after="0"/>
              <w:rPr>
                <w:sz w:val="5"/>
                <w:szCs w:val="5"/>
                <w:color w:val="auto"/>
              </w:rPr>
            </w:pPr>
          </w:p>
        </w:tc>
        <w:tc>
          <w:tcPr>
            <w:tcW w:w="4280" w:type="dxa"/>
            <w:vAlign w:val="bottom"/>
          </w:tcPr>
          <w:p>
            <w:pPr>
              <w:spacing w:after="0"/>
              <w:rPr>
                <w:sz w:val="5"/>
                <w:szCs w:val="5"/>
                <w:color w:val="auto"/>
              </w:rPr>
            </w:pPr>
          </w:p>
        </w:tc>
      </w:tr>
      <w:tr>
        <w:trPr>
          <w:trHeight w:val="228"/>
        </w:trPr>
        <w:tc>
          <w:tcPr>
            <w:tcW w:w="300" w:type="dxa"/>
            <w:vAlign w:val="bottom"/>
            <w:tcBorders>
              <w:right w:val="single" w:sz="8" w:color="BFBFBF"/>
            </w:tcBorders>
          </w:tcPr>
          <w:p>
            <w:pPr>
              <w:spacing w:after="0"/>
              <w:rPr>
                <w:sz w:val="19"/>
                <w:szCs w:val="19"/>
                <w:color w:val="auto"/>
              </w:rPr>
            </w:pPr>
          </w:p>
        </w:tc>
        <w:tc>
          <w:tcPr>
            <w:tcW w:w="2140" w:type="dxa"/>
            <w:vAlign w:val="bottom"/>
            <w:tcBorders>
              <w:right w:val="single" w:sz="8" w:color="BFBFBF"/>
            </w:tcBorders>
          </w:tcPr>
          <w:p>
            <w:pPr>
              <w:ind w:left="60"/>
              <w:spacing w:after="0"/>
              <w:rPr>
                <w:sz w:val="20"/>
                <w:szCs w:val="20"/>
                <w:color w:val="auto"/>
              </w:rPr>
            </w:pPr>
            <w:r>
              <w:rPr>
                <w:rFonts w:ascii="Arial" w:cs="Arial" w:eastAsia="Arial" w:hAnsi="Arial"/>
                <w:sz w:val="11"/>
                <w:szCs w:val="11"/>
                <w:color w:val="auto"/>
              </w:rPr>
              <w:t>Westlakes Cinema Pty Ltd</w:t>
            </w:r>
          </w:p>
        </w:tc>
        <w:tc>
          <w:tcPr>
            <w:tcW w:w="760" w:type="dxa"/>
            <w:vAlign w:val="bottom"/>
            <w:tcBorders>
              <w:right w:val="single" w:sz="8" w:color="BFBFBF"/>
            </w:tcBorders>
          </w:tcPr>
          <w:p>
            <w:pPr>
              <w:ind w:left="40"/>
              <w:spacing w:after="0"/>
              <w:rPr>
                <w:sz w:val="20"/>
                <w:szCs w:val="20"/>
                <w:color w:val="auto"/>
              </w:rPr>
            </w:pPr>
            <w:r>
              <w:rPr>
                <w:rFonts w:ascii="Arial" w:cs="Arial" w:eastAsia="Arial" w:hAnsi="Arial"/>
                <w:sz w:val="11"/>
                <w:szCs w:val="11"/>
                <w:color w:val="auto"/>
              </w:rPr>
              <w:t>108 531 308</w:t>
            </w:r>
          </w:p>
        </w:tc>
        <w:tc>
          <w:tcPr>
            <w:tcW w:w="2240" w:type="dxa"/>
            <w:vAlign w:val="bottom"/>
            <w:tcBorders>
              <w:right w:val="single" w:sz="8" w:color="BFBFBF"/>
            </w:tcBorders>
          </w:tcPr>
          <w:p>
            <w:pPr>
              <w:ind w:left="40"/>
              <w:spacing w:after="0"/>
              <w:rPr>
                <w:sz w:val="20"/>
                <w:szCs w:val="20"/>
                <w:color w:val="auto"/>
              </w:rPr>
            </w:pPr>
            <w:r>
              <w:rPr>
                <w:rFonts w:ascii="Arial" w:cs="Arial" w:eastAsia="Arial" w:hAnsi="Arial"/>
                <w:sz w:val="11"/>
                <w:szCs w:val="11"/>
                <w:color w:val="auto"/>
              </w:rPr>
              <w:t>Same as for Borrower</w:t>
            </w:r>
          </w:p>
        </w:tc>
        <w:tc>
          <w:tcPr>
            <w:tcW w:w="4280" w:type="dxa"/>
            <w:vAlign w:val="bottom"/>
          </w:tcPr>
          <w:p>
            <w:pPr>
              <w:spacing w:after="0"/>
              <w:rPr>
                <w:sz w:val="19"/>
                <w:szCs w:val="19"/>
                <w:color w:val="auto"/>
              </w:rPr>
            </w:pPr>
          </w:p>
        </w:tc>
      </w:tr>
      <w:tr>
        <w:trPr>
          <w:trHeight w:val="67"/>
        </w:trPr>
        <w:tc>
          <w:tcPr>
            <w:tcW w:w="300" w:type="dxa"/>
            <w:vAlign w:val="bottom"/>
            <w:tcBorders>
              <w:right w:val="single" w:sz="8" w:color="BFBFBF"/>
            </w:tcBorders>
          </w:tcPr>
          <w:p>
            <w:pPr>
              <w:spacing w:after="0"/>
              <w:rPr>
                <w:sz w:val="5"/>
                <w:szCs w:val="5"/>
                <w:color w:val="auto"/>
              </w:rPr>
            </w:pPr>
          </w:p>
        </w:tc>
        <w:tc>
          <w:tcPr>
            <w:tcW w:w="2140" w:type="dxa"/>
            <w:vAlign w:val="bottom"/>
            <w:tcBorders>
              <w:bottom w:val="single" w:sz="8" w:color="BFBFBF"/>
              <w:right w:val="single" w:sz="8" w:color="BFBFBF"/>
            </w:tcBorders>
          </w:tcPr>
          <w:p>
            <w:pPr>
              <w:spacing w:after="0"/>
              <w:rPr>
                <w:sz w:val="5"/>
                <w:szCs w:val="5"/>
                <w:color w:val="auto"/>
              </w:rPr>
            </w:pPr>
          </w:p>
        </w:tc>
        <w:tc>
          <w:tcPr>
            <w:tcW w:w="760" w:type="dxa"/>
            <w:vAlign w:val="bottom"/>
            <w:tcBorders>
              <w:bottom w:val="single" w:sz="8" w:color="BFBFBF"/>
              <w:right w:val="single" w:sz="8" w:color="BFBFBF"/>
            </w:tcBorders>
          </w:tcPr>
          <w:p>
            <w:pPr>
              <w:spacing w:after="0"/>
              <w:rPr>
                <w:sz w:val="5"/>
                <w:szCs w:val="5"/>
                <w:color w:val="auto"/>
              </w:rPr>
            </w:pPr>
          </w:p>
        </w:tc>
        <w:tc>
          <w:tcPr>
            <w:tcW w:w="2240" w:type="dxa"/>
            <w:vAlign w:val="bottom"/>
            <w:tcBorders>
              <w:bottom w:val="single" w:sz="8" w:color="BFBFBF"/>
              <w:right w:val="single" w:sz="8" w:color="BFBFBF"/>
            </w:tcBorders>
          </w:tcPr>
          <w:p>
            <w:pPr>
              <w:spacing w:after="0"/>
              <w:rPr>
                <w:sz w:val="5"/>
                <w:szCs w:val="5"/>
                <w:color w:val="auto"/>
              </w:rPr>
            </w:pPr>
          </w:p>
        </w:tc>
        <w:tc>
          <w:tcPr>
            <w:tcW w:w="4280" w:type="dxa"/>
            <w:vAlign w:val="bottom"/>
          </w:tcPr>
          <w:p>
            <w:pPr>
              <w:spacing w:after="0"/>
              <w:rPr>
                <w:sz w:val="5"/>
                <w:szCs w:val="5"/>
                <w:color w:val="auto"/>
              </w:rPr>
            </w:pPr>
          </w:p>
        </w:tc>
      </w:tr>
      <w:tr>
        <w:trPr>
          <w:trHeight w:val="228"/>
        </w:trPr>
        <w:tc>
          <w:tcPr>
            <w:tcW w:w="300" w:type="dxa"/>
            <w:vAlign w:val="bottom"/>
            <w:tcBorders>
              <w:right w:val="single" w:sz="8" w:color="BFBFBF"/>
            </w:tcBorders>
          </w:tcPr>
          <w:p>
            <w:pPr>
              <w:spacing w:after="0"/>
              <w:rPr>
                <w:sz w:val="19"/>
                <w:szCs w:val="19"/>
                <w:color w:val="auto"/>
              </w:rPr>
            </w:pPr>
          </w:p>
        </w:tc>
        <w:tc>
          <w:tcPr>
            <w:tcW w:w="2140" w:type="dxa"/>
            <w:vAlign w:val="bottom"/>
            <w:tcBorders>
              <w:right w:val="single" w:sz="8" w:color="BFBFBF"/>
            </w:tcBorders>
          </w:tcPr>
          <w:p>
            <w:pPr>
              <w:ind w:left="60"/>
              <w:spacing w:after="0"/>
              <w:rPr>
                <w:sz w:val="20"/>
                <w:szCs w:val="20"/>
                <w:color w:val="auto"/>
              </w:rPr>
            </w:pPr>
            <w:r>
              <w:rPr>
                <w:rFonts w:ascii="Arial" w:cs="Arial" w:eastAsia="Arial" w:hAnsi="Arial"/>
                <w:sz w:val="11"/>
                <w:szCs w:val="11"/>
                <w:color w:val="auto"/>
              </w:rPr>
              <w:t>A.C.N. 143 633 096 Pty Ltd</w:t>
            </w:r>
          </w:p>
        </w:tc>
        <w:tc>
          <w:tcPr>
            <w:tcW w:w="760" w:type="dxa"/>
            <w:vAlign w:val="bottom"/>
            <w:tcBorders>
              <w:right w:val="single" w:sz="8" w:color="BFBFBF"/>
            </w:tcBorders>
          </w:tcPr>
          <w:p>
            <w:pPr>
              <w:ind w:left="40"/>
              <w:spacing w:after="0"/>
              <w:rPr>
                <w:sz w:val="20"/>
                <w:szCs w:val="20"/>
                <w:color w:val="auto"/>
              </w:rPr>
            </w:pPr>
            <w:r>
              <w:rPr>
                <w:rFonts w:ascii="Arial" w:cs="Arial" w:eastAsia="Arial" w:hAnsi="Arial"/>
                <w:sz w:val="11"/>
                <w:szCs w:val="11"/>
                <w:color w:val="auto"/>
              </w:rPr>
              <w:t>143 633 096</w:t>
            </w:r>
          </w:p>
        </w:tc>
        <w:tc>
          <w:tcPr>
            <w:tcW w:w="2240" w:type="dxa"/>
            <w:vAlign w:val="bottom"/>
            <w:tcBorders>
              <w:right w:val="single" w:sz="8" w:color="BFBFBF"/>
            </w:tcBorders>
          </w:tcPr>
          <w:p>
            <w:pPr>
              <w:ind w:left="40"/>
              <w:spacing w:after="0"/>
              <w:rPr>
                <w:sz w:val="20"/>
                <w:szCs w:val="20"/>
                <w:color w:val="auto"/>
              </w:rPr>
            </w:pPr>
            <w:r>
              <w:rPr>
                <w:rFonts w:ascii="Arial" w:cs="Arial" w:eastAsia="Arial" w:hAnsi="Arial"/>
                <w:sz w:val="11"/>
                <w:szCs w:val="11"/>
                <w:color w:val="auto"/>
              </w:rPr>
              <w:t>Same as for Borrower</w:t>
            </w:r>
          </w:p>
        </w:tc>
        <w:tc>
          <w:tcPr>
            <w:tcW w:w="4280" w:type="dxa"/>
            <w:vAlign w:val="bottom"/>
          </w:tcPr>
          <w:p>
            <w:pPr>
              <w:spacing w:after="0"/>
              <w:rPr>
                <w:sz w:val="19"/>
                <w:szCs w:val="19"/>
                <w:color w:val="auto"/>
              </w:rPr>
            </w:pPr>
          </w:p>
        </w:tc>
      </w:tr>
      <w:tr>
        <w:trPr>
          <w:trHeight w:val="67"/>
        </w:trPr>
        <w:tc>
          <w:tcPr>
            <w:tcW w:w="300" w:type="dxa"/>
            <w:vAlign w:val="bottom"/>
            <w:tcBorders>
              <w:right w:val="single" w:sz="8" w:color="BFBFBF"/>
            </w:tcBorders>
          </w:tcPr>
          <w:p>
            <w:pPr>
              <w:spacing w:after="0"/>
              <w:rPr>
                <w:sz w:val="5"/>
                <w:szCs w:val="5"/>
                <w:color w:val="auto"/>
              </w:rPr>
            </w:pPr>
          </w:p>
        </w:tc>
        <w:tc>
          <w:tcPr>
            <w:tcW w:w="2140" w:type="dxa"/>
            <w:vAlign w:val="bottom"/>
            <w:tcBorders>
              <w:bottom w:val="single" w:sz="8" w:color="BFBFBF"/>
              <w:right w:val="single" w:sz="8" w:color="BFBFBF"/>
            </w:tcBorders>
          </w:tcPr>
          <w:p>
            <w:pPr>
              <w:spacing w:after="0"/>
              <w:rPr>
                <w:sz w:val="5"/>
                <w:szCs w:val="5"/>
                <w:color w:val="auto"/>
              </w:rPr>
            </w:pPr>
          </w:p>
        </w:tc>
        <w:tc>
          <w:tcPr>
            <w:tcW w:w="760" w:type="dxa"/>
            <w:vAlign w:val="bottom"/>
            <w:tcBorders>
              <w:bottom w:val="single" w:sz="8" w:color="BFBFBF"/>
              <w:right w:val="single" w:sz="8" w:color="BFBFBF"/>
            </w:tcBorders>
          </w:tcPr>
          <w:p>
            <w:pPr>
              <w:spacing w:after="0"/>
              <w:rPr>
                <w:sz w:val="5"/>
                <w:szCs w:val="5"/>
                <w:color w:val="auto"/>
              </w:rPr>
            </w:pPr>
          </w:p>
        </w:tc>
        <w:tc>
          <w:tcPr>
            <w:tcW w:w="2240" w:type="dxa"/>
            <w:vAlign w:val="bottom"/>
            <w:tcBorders>
              <w:bottom w:val="single" w:sz="8" w:color="BFBFBF"/>
              <w:right w:val="single" w:sz="8" w:color="BFBFBF"/>
            </w:tcBorders>
          </w:tcPr>
          <w:p>
            <w:pPr>
              <w:spacing w:after="0"/>
              <w:rPr>
                <w:sz w:val="5"/>
                <w:szCs w:val="5"/>
                <w:color w:val="auto"/>
              </w:rPr>
            </w:pPr>
          </w:p>
        </w:tc>
        <w:tc>
          <w:tcPr>
            <w:tcW w:w="4280" w:type="dxa"/>
            <w:vAlign w:val="bottom"/>
          </w:tcPr>
          <w:p>
            <w:pPr>
              <w:spacing w:after="0"/>
              <w:rPr>
                <w:sz w:val="5"/>
                <w:szCs w:val="5"/>
                <w:color w:val="auto"/>
              </w:rPr>
            </w:pPr>
          </w:p>
        </w:tc>
      </w:tr>
      <w:tr>
        <w:trPr>
          <w:trHeight w:val="942"/>
        </w:trPr>
        <w:tc>
          <w:tcPr>
            <w:tcW w:w="300" w:type="dxa"/>
            <w:vAlign w:val="bottom"/>
            <w:tcBorders>
              <w:bottom w:val="single" w:sz="8" w:color="9A9A9A"/>
            </w:tcBorders>
          </w:tcPr>
          <w:p>
            <w:pPr>
              <w:spacing w:after="0"/>
              <w:rPr>
                <w:sz w:val="24"/>
                <w:szCs w:val="24"/>
                <w:color w:val="auto"/>
              </w:rPr>
            </w:pPr>
          </w:p>
        </w:tc>
        <w:tc>
          <w:tcPr>
            <w:tcW w:w="214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240" w:type="dxa"/>
            <w:vAlign w:val="bottom"/>
            <w:tcBorders>
              <w:bottom w:val="single" w:sz="8" w:color="9A9A9A"/>
            </w:tcBorders>
          </w:tcPr>
          <w:p>
            <w:pPr>
              <w:spacing w:after="0"/>
              <w:rPr>
                <w:sz w:val="24"/>
                <w:szCs w:val="24"/>
                <w:color w:val="auto"/>
              </w:rPr>
            </w:pPr>
          </w:p>
        </w:tc>
        <w:tc>
          <w:tcPr>
            <w:tcW w:w="42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6147435</wp:posOffset>
            </wp:positionH>
            <wp:positionV relativeFrom="paragraph">
              <wp:posOffset>-29210</wp:posOffset>
            </wp:positionV>
            <wp:extent cx="31115"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31115" cy="42545"/>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-29210</wp:posOffset>
            </wp:positionV>
            <wp:extent cx="31115"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31115" cy="42545"/>
                    </a:xfrm>
                    <a:prstGeom prst="rect">
                      <a:avLst/>
                    </a:prstGeom>
                    <a:noFill/>
                  </pic:spPr>
                </pic:pic>
              </a:graphicData>
            </a:graphic>
          </wp:anchor>
        </w:drawing>
      </w:r>
    </w:p>
    <w:p>
      <w:pPr>
        <w:sectPr>
          <w:pgSz w:w="11900" w:h="16838" w:orient="portrait"/>
          <w:cols w:equalWidth="0" w:num="1">
            <w:col w:w="9720"/>
          </w:cols>
          <w:pgMar w:left="1220" w:top="188" w:right="959" w:bottom="1440" w:gutter="0" w:footer="0" w:header="0"/>
        </w:sectPr>
      </w:pPr>
    </w:p>
    <w:bookmarkStart w:id="216" w:name="page217"/>
    <w:bookmarkEnd w:id="216"/>
    <w:p>
      <w:pPr>
        <w:ind w:left="140"/>
        <w:spacing w:after="0"/>
        <w:rPr>
          <w:sz w:val="20"/>
          <w:szCs w:val="20"/>
          <w:color w:val="auto"/>
        </w:rPr>
      </w:pPr>
      <w:r>
        <w:rPr>
          <w:rFonts w:ascii="Arial" w:cs="Arial" w:eastAsia="Arial" w:hAnsi="Arial"/>
          <w:sz w:val="10"/>
          <w:szCs w:val="10"/>
          <w:color w:val="auto"/>
        </w:rPr>
        <w:t>Corrs Chambers Westgarth</w:t>
      </w:r>
    </w:p>
    <w:p>
      <w:pPr>
        <w:spacing w:after="0" w:line="241" w:lineRule="exact"/>
        <w:rPr>
          <w:sz w:val="20"/>
          <w:szCs w:val="20"/>
          <w:color w:val="auto"/>
        </w:rPr>
      </w:pPr>
    </w:p>
    <w:p>
      <w:pPr>
        <w:ind w:left="140"/>
        <w:spacing w:after="0"/>
        <w:rPr>
          <w:sz w:val="20"/>
          <w:szCs w:val="20"/>
          <w:color w:val="auto"/>
        </w:rPr>
      </w:pPr>
      <w:r>
        <w:rPr>
          <w:rFonts w:ascii="Arial" w:cs="Arial" w:eastAsia="Arial" w:hAnsi="Arial"/>
          <w:sz w:val="24"/>
          <w:szCs w:val="24"/>
          <w:color w:val="auto"/>
        </w:rPr>
        <w:t>Annexure A</w:t>
      </w:r>
    </w:p>
    <w:p>
      <w:pPr>
        <w:spacing w:after="0" w:line="218" w:lineRule="exact"/>
        <w:rPr>
          <w:sz w:val="20"/>
          <w:szCs w:val="20"/>
          <w:color w:val="auto"/>
        </w:rPr>
      </w:pPr>
    </w:p>
    <w:p>
      <w:pPr>
        <w:ind w:left="140"/>
        <w:spacing w:after="0"/>
        <w:rPr>
          <w:sz w:val="20"/>
          <w:szCs w:val="20"/>
          <w:color w:val="auto"/>
        </w:rPr>
      </w:pPr>
      <w:r>
        <w:rPr>
          <w:rFonts w:ascii="Arial" w:cs="Arial" w:eastAsia="Arial" w:hAnsi="Arial"/>
          <w:sz w:val="19"/>
          <w:szCs w:val="19"/>
          <w:color w:val="auto"/>
        </w:rPr>
        <w:t>Restated Facility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5060950</wp:posOffset>
            </wp:positionV>
            <wp:extent cx="6299835"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299835" cy="42545"/>
                    </a:xfrm>
                    <a:prstGeom prst="rect">
                      <a:avLst/>
                    </a:prstGeom>
                    <a:noFill/>
                  </pic:spPr>
                </pic:pic>
              </a:graphicData>
            </a:graphic>
          </wp:anchor>
        </w:drawing>
      </w:r>
    </w:p>
    <w:p>
      <w:pPr>
        <w:sectPr>
          <w:pgSz w:w="11900" w:h="16838" w:orient="portrait"/>
          <w:cols w:equalWidth="0" w:num="1">
            <w:col w:w="9019"/>
          </w:cols>
          <w:pgMar w:left="1440" w:top="188" w:right="1440" w:bottom="1440" w:gutter="0" w:footer="0" w:header="0"/>
        </w:sectPr>
      </w:pPr>
    </w:p>
    <w:bookmarkStart w:id="217" w:name="page218"/>
    <w:bookmarkEnd w:id="217"/>
    <w:p>
      <w:pPr>
        <w:jc w:val="right"/>
        <w:spacing w:after="0"/>
        <w:rPr>
          <w:sz w:val="20"/>
          <w:szCs w:val="20"/>
          <w:color w:val="auto"/>
        </w:rPr>
      </w:pPr>
      <w:r>
        <w:rPr>
          <w:rFonts w:ascii="Arial" w:cs="Arial" w:eastAsia="Arial" w:hAnsi="Arial"/>
          <w:sz w:val="10"/>
          <w:szCs w:val="10"/>
          <w:color w:val="auto"/>
        </w:rPr>
        <w:t>567 Collins Street Melbourne VIC 3000</w:t>
      </w:r>
    </w:p>
    <w:p>
      <w:pPr>
        <w:jc w:val="right"/>
        <w:spacing w:after="0" w:line="225" w:lineRule="auto"/>
        <w:rPr>
          <w:sz w:val="20"/>
          <w:szCs w:val="20"/>
          <w:color w:val="auto"/>
        </w:rPr>
      </w:pPr>
      <w:r>
        <w:rPr>
          <w:rFonts w:ascii="Arial" w:cs="Arial" w:eastAsia="Arial" w:hAnsi="Arial"/>
          <w:sz w:val="10"/>
          <w:szCs w:val="10"/>
          <w:color w:val="auto"/>
        </w:rPr>
        <w:t>GPO Box 9925 Melbourne VIC 3001</w:t>
      </w:r>
    </w:p>
    <w:p>
      <w:pPr>
        <w:jc w:val="right"/>
        <w:spacing w:after="0" w:line="226" w:lineRule="auto"/>
        <w:rPr>
          <w:sz w:val="20"/>
          <w:szCs w:val="20"/>
          <w:color w:val="auto"/>
        </w:rPr>
      </w:pPr>
      <w:r>
        <w:rPr>
          <w:rFonts w:ascii="Arial" w:cs="Arial" w:eastAsia="Arial" w:hAnsi="Arial"/>
          <w:sz w:val="10"/>
          <w:szCs w:val="10"/>
          <w:color w:val="auto"/>
        </w:rPr>
        <w:t>Tel +61 3 9672 3000</w:t>
      </w:r>
    </w:p>
    <w:p>
      <w:pPr>
        <w:jc w:val="right"/>
        <w:spacing w:after="0"/>
        <w:rPr>
          <w:sz w:val="20"/>
          <w:szCs w:val="20"/>
          <w:color w:val="auto"/>
        </w:rPr>
      </w:pPr>
      <w:r>
        <w:rPr>
          <w:rFonts w:ascii="Arial" w:cs="Arial" w:eastAsia="Arial" w:hAnsi="Arial"/>
          <w:sz w:val="10"/>
          <w:szCs w:val="10"/>
          <w:color w:val="auto"/>
        </w:rPr>
        <w:t>Fax +61 3 9672 3010</w:t>
      </w:r>
    </w:p>
    <w:p>
      <w:pPr>
        <w:spacing w:after="0" w:line="2" w:lineRule="exact"/>
        <w:rPr>
          <w:sz w:val="20"/>
          <w:szCs w:val="20"/>
          <w:color w:val="auto"/>
        </w:rPr>
      </w:pPr>
    </w:p>
    <w:p>
      <w:pPr>
        <w:jc w:val="right"/>
        <w:spacing w:after="0"/>
        <w:rPr>
          <w:sz w:val="20"/>
          <w:szCs w:val="20"/>
          <w:color w:val="auto"/>
        </w:rPr>
      </w:pPr>
      <w:r>
        <w:rPr>
          <w:rFonts w:ascii="Arial" w:cs="Arial" w:eastAsia="Arial" w:hAnsi="Arial"/>
          <w:sz w:val="10"/>
          <w:szCs w:val="10"/>
          <w:b w:val="1"/>
          <w:bCs w:val="1"/>
          <w:color w:val="auto"/>
        </w:rPr>
        <w:t>www.corrs.com.au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-1905</wp:posOffset>
            </wp:positionV>
            <wp:extent cx="783590" cy="4578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83590" cy="457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right"/>
        <w:ind w:right="80"/>
        <w:spacing w:after="0"/>
        <w:rPr>
          <w:sz w:val="20"/>
          <w:szCs w:val="20"/>
          <w:color w:val="auto"/>
        </w:rPr>
      </w:pPr>
      <w:r>
        <w:rPr>
          <w:rFonts w:ascii="Arial" w:cs="Arial" w:eastAsia="Arial" w:hAnsi="Arial"/>
          <w:sz w:val="10"/>
          <w:szCs w:val="10"/>
          <w:color w:val="7F7F7F"/>
        </w:rPr>
        <w:t>Sydney Melbourne Brisbane</w:t>
      </w:r>
    </w:p>
    <w:p>
      <w:pPr>
        <w:jc w:val="right"/>
        <w:ind w:right="80"/>
        <w:spacing w:after="0"/>
        <w:rPr>
          <w:sz w:val="20"/>
          <w:szCs w:val="20"/>
          <w:color w:val="auto"/>
        </w:rPr>
      </w:pPr>
      <w:r>
        <w:rPr>
          <w:rFonts w:ascii="Arial" w:cs="Arial" w:eastAsia="Arial" w:hAnsi="Arial"/>
          <w:sz w:val="10"/>
          <w:szCs w:val="10"/>
          <w:color w:val="7F7F7F"/>
        </w:rPr>
        <w:t>Perth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140"/>
        <w:spacing w:after="0"/>
        <w:rPr>
          <w:sz w:val="20"/>
          <w:szCs w:val="20"/>
          <w:color w:val="auto"/>
        </w:rPr>
      </w:pPr>
      <w:r>
        <w:rPr>
          <w:rFonts w:ascii="Arial" w:cs="Arial" w:eastAsia="Arial" w:hAnsi="Arial"/>
          <w:sz w:val="13"/>
          <w:szCs w:val="13"/>
          <w:color w:val="auto"/>
        </w:rPr>
        <w:t>Annexure A - Restated Facility Agreement</w:t>
      </w:r>
    </w:p>
    <w:p>
      <w:pPr>
        <w:spacing w:after="0" w:line="126" w:lineRule="exact"/>
        <w:rPr>
          <w:sz w:val="20"/>
          <w:szCs w:val="20"/>
          <w:color w:val="auto"/>
        </w:rPr>
      </w:pPr>
    </w:p>
    <w:p>
      <w:pPr>
        <w:ind w:left="140"/>
        <w:spacing w:after="0"/>
        <w:rPr>
          <w:sz w:val="20"/>
          <w:szCs w:val="20"/>
          <w:color w:val="auto"/>
        </w:rPr>
      </w:pPr>
      <w:r>
        <w:rPr>
          <w:rFonts w:ascii="Arial" w:cs="Arial" w:eastAsia="Arial" w:hAnsi="Arial"/>
          <w:sz w:val="22"/>
          <w:szCs w:val="22"/>
          <w:color w:val="auto"/>
        </w:rPr>
        <w:t>National Australia Bank Limited</w:t>
      </w:r>
    </w:p>
    <w:p>
      <w:pPr>
        <w:spacing w:after="0" w:line="188" w:lineRule="exact"/>
        <w:rPr>
          <w:sz w:val="20"/>
          <w:szCs w:val="20"/>
          <w:color w:val="auto"/>
        </w:rPr>
      </w:pPr>
    </w:p>
    <w:p>
      <w:pPr>
        <w:ind w:left="140"/>
        <w:spacing w:after="0"/>
        <w:rPr>
          <w:sz w:val="20"/>
          <w:szCs w:val="20"/>
          <w:color w:val="auto"/>
        </w:rPr>
      </w:pPr>
      <w:r>
        <w:rPr>
          <w:rFonts w:ascii="Arial" w:cs="Arial" w:eastAsia="Arial" w:hAnsi="Arial"/>
          <w:sz w:val="22"/>
          <w:szCs w:val="22"/>
          <w:color w:val="auto"/>
        </w:rPr>
        <w:t>Reading Entertainment Australia Group</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140"/>
        <w:spacing w:after="0"/>
        <w:rPr>
          <w:sz w:val="20"/>
          <w:szCs w:val="20"/>
          <w:color w:val="auto"/>
        </w:rPr>
      </w:pPr>
      <w:r>
        <w:rPr>
          <w:rFonts w:ascii="Arial" w:cs="Arial" w:eastAsia="Arial" w:hAnsi="Arial"/>
          <w:sz w:val="48"/>
          <w:szCs w:val="48"/>
          <w:color w:val="F77E27"/>
        </w:rPr>
        <w:t>Corporate Markets</w:t>
      </w:r>
    </w:p>
    <w:p>
      <w:pPr>
        <w:ind w:left="140"/>
        <w:spacing w:after="0" w:line="238" w:lineRule="auto"/>
        <w:rPr>
          <w:sz w:val="20"/>
          <w:szCs w:val="20"/>
          <w:color w:val="auto"/>
        </w:rPr>
      </w:pPr>
      <w:r>
        <w:rPr>
          <w:rFonts w:ascii="Arial" w:cs="Arial" w:eastAsia="Arial" w:hAnsi="Arial"/>
          <w:sz w:val="48"/>
          <w:szCs w:val="48"/>
          <w:color w:val="F77E27"/>
        </w:rPr>
        <w:t>Loan &amp; Bank Guarantee Facility</w:t>
      </w:r>
    </w:p>
    <w:p>
      <w:pPr>
        <w:spacing w:after="0" w:line="2" w:lineRule="exact"/>
        <w:rPr>
          <w:sz w:val="20"/>
          <w:szCs w:val="20"/>
          <w:color w:val="auto"/>
        </w:rPr>
      </w:pPr>
    </w:p>
    <w:p>
      <w:pPr>
        <w:ind w:left="140"/>
        <w:spacing w:after="0"/>
        <w:rPr>
          <w:sz w:val="20"/>
          <w:szCs w:val="20"/>
          <w:color w:val="auto"/>
        </w:rPr>
      </w:pPr>
      <w:r>
        <w:rPr>
          <w:rFonts w:ascii="Arial" w:cs="Arial" w:eastAsia="Arial" w:hAnsi="Arial"/>
          <w:sz w:val="48"/>
          <w:szCs w:val="48"/>
          <w:color w:val="F77E27"/>
        </w:rPr>
        <w:t>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1703070</wp:posOffset>
            </wp:positionV>
            <wp:extent cx="6208395"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208395" cy="42545"/>
                    </a:xfrm>
                    <a:prstGeom prst="rect">
                      <a:avLst/>
                    </a:prstGeom>
                    <a:noFill/>
                  </pic:spPr>
                </pic:pic>
              </a:graphicData>
            </a:graphic>
          </wp:anchor>
        </w:drawing>
      </w:r>
    </w:p>
    <w:p>
      <w:pPr>
        <w:sectPr>
          <w:pgSz w:w="11900" w:h="16838" w:orient="portrait"/>
          <w:cols w:equalWidth="0" w:num="1">
            <w:col w:w="9640"/>
          </w:cols>
          <w:pgMar w:left="1440" w:top="193" w:right="819" w:bottom="1440" w:gutter="0" w:footer="0" w:header="0"/>
        </w:sectPr>
      </w:pPr>
    </w:p>
    <w:bookmarkStart w:id="218" w:name="page219"/>
    <w:bookmarkEnd w:id="218"/>
    <w:p>
      <w:pPr>
        <w:ind w:left="360"/>
        <w:spacing w:after="0"/>
        <w:rPr>
          <w:sz w:val="20"/>
          <w:szCs w:val="20"/>
          <w:color w:val="auto"/>
        </w:rPr>
      </w:pPr>
      <w:r>
        <w:rPr>
          <w:rFonts w:ascii="Arial" w:cs="Arial" w:eastAsia="Arial" w:hAnsi="Arial"/>
          <w:sz w:val="19"/>
          <w:szCs w:val="19"/>
          <w:color w:val="auto"/>
        </w:rPr>
        <w:t>Contents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560" w:type="dxa"/>
            <w:vAlign w:val="bottom"/>
          </w:tcPr>
          <w:p>
            <w:pPr>
              <w:jc w:val="right"/>
              <w:ind w:right="80"/>
              <w:spacing w:after="0"/>
              <w:rPr>
                <w:sz w:val="20"/>
                <w:szCs w:val="20"/>
                <w:color w:val="auto"/>
              </w:rPr>
            </w:pPr>
            <w:r>
              <w:rPr>
                <w:rFonts w:ascii="Arial" w:cs="Arial" w:eastAsia="Arial" w:hAnsi="Arial"/>
                <w:sz w:val="12"/>
                <w:szCs w:val="12"/>
                <w:b w:val="1"/>
                <w:bCs w:val="1"/>
                <w:color w:val="auto"/>
              </w:rPr>
              <w:t>1</w:t>
            </w:r>
          </w:p>
        </w:tc>
        <w:tc>
          <w:tcPr>
            <w:tcW w:w="360" w:type="dxa"/>
            <w:vAlign w:val="bottom"/>
          </w:tcPr>
          <w:p>
            <w:pPr>
              <w:spacing w:after="0"/>
              <w:rPr>
                <w:sz w:val="14"/>
                <w:szCs w:val="14"/>
                <w:color w:val="auto"/>
              </w:rPr>
            </w:pPr>
          </w:p>
        </w:tc>
        <w:tc>
          <w:tcPr>
            <w:tcW w:w="940" w:type="dxa"/>
            <w:vAlign w:val="bottom"/>
          </w:tcPr>
          <w:p>
            <w:pPr>
              <w:jc w:val="right"/>
              <w:ind w:right="60"/>
              <w:spacing w:after="0"/>
              <w:rPr>
                <w:sz w:val="20"/>
                <w:szCs w:val="20"/>
                <w:color w:val="auto"/>
              </w:rPr>
            </w:pPr>
            <w:r>
              <w:rPr>
                <w:rFonts w:ascii="Arial" w:cs="Arial" w:eastAsia="Arial" w:hAnsi="Arial"/>
                <w:sz w:val="12"/>
                <w:szCs w:val="12"/>
                <w:b w:val="1"/>
                <w:bCs w:val="1"/>
                <w:color w:val="auto"/>
              </w:rPr>
              <w:t>Interpretation</w:t>
            </w:r>
          </w:p>
        </w:tc>
        <w:tc>
          <w:tcPr>
            <w:tcW w:w="640" w:type="dxa"/>
            <w:vAlign w:val="bottom"/>
          </w:tcPr>
          <w:p>
            <w:pPr>
              <w:ind w:left="320"/>
              <w:spacing w:after="0"/>
              <w:rPr>
                <w:sz w:val="20"/>
                <w:szCs w:val="20"/>
                <w:color w:val="auto"/>
              </w:rPr>
            </w:pPr>
            <w:r>
              <w:rPr>
                <w:rFonts w:ascii="Arial" w:cs="Arial" w:eastAsia="Arial" w:hAnsi="Arial"/>
                <w:sz w:val="12"/>
                <w:szCs w:val="12"/>
                <w:b w:val="1"/>
                <w:bCs w:val="1"/>
                <w:color w:val="auto"/>
              </w:rPr>
              <w:t>1</w:t>
            </w:r>
          </w:p>
        </w:tc>
        <w:tc>
          <w:tcPr>
            <w:tcW w:w="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160" w:type="dxa"/>
            <w:vAlign w:val="bottom"/>
          </w:tcPr>
          <w:p>
            <w:pPr>
              <w:spacing w:after="0"/>
              <w:rPr>
                <w:sz w:val="14"/>
                <w:szCs w:val="14"/>
                <w:color w:val="auto"/>
              </w:rPr>
            </w:pPr>
          </w:p>
        </w:tc>
      </w:tr>
      <w:tr>
        <w:trPr>
          <w:trHeight w:val="243"/>
        </w:trPr>
        <w:tc>
          <w:tcPr>
            <w:tcW w:w="560" w:type="dxa"/>
            <w:vAlign w:val="bottom"/>
          </w:tcPr>
          <w:p>
            <w:pPr>
              <w:spacing w:after="0"/>
              <w:rPr>
                <w:sz w:val="21"/>
                <w:szCs w:val="21"/>
                <w:color w:val="auto"/>
              </w:rPr>
            </w:pPr>
          </w:p>
        </w:tc>
        <w:tc>
          <w:tcPr>
            <w:tcW w:w="360" w:type="dxa"/>
            <w:vAlign w:val="bottom"/>
          </w:tcPr>
          <w:p>
            <w:pPr>
              <w:ind w:left="120"/>
              <w:spacing w:after="0"/>
              <w:rPr>
                <w:sz w:val="20"/>
                <w:szCs w:val="20"/>
                <w:color w:val="auto"/>
              </w:rPr>
            </w:pPr>
            <w:r>
              <w:rPr>
                <w:rFonts w:ascii="Arial" w:cs="Arial" w:eastAsia="Arial" w:hAnsi="Arial"/>
                <w:sz w:val="12"/>
                <w:szCs w:val="12"/>
                <w:color w:val="auto"/>
              </w:rPr>
              <w:t>1.1</w:t>
            </w:r>
          </w:p>
        </w:tc>
        <w:tc>
          <w:tcPr>
            <w:tcW w:w="940" w:type="dxa"/>
            <w:vAlign w:val="bottom"/>
          </w:tcPr>
          <w:p>
            <w:pPr>
              <w:spacing w:after="0"/>
              <w:rPr>
                <w:sz w:val="21"/>
                <w:szCs w:val="21"/>
                <w:color w:val="auto"/>
              </w:rPr>
            </w:pPr>
          </w:p>
        </w:tc>
        <w:tc>
          <w:tcPr>
            <w:tcW w:w="1040" w:type="dxa"/>
            <w:vAlign w:val="bottom"/>
            <w:gridSpan w:val="2"/>
          </w:tcPr>
          <w:p>
            <w:pPr>
              <w:ind w:left="140"/>
              <w:spacing w:after="0"/>
              <w:rPr>
                <w:sz w:val="20"/>
                <w:szCs w:val="20"/>
                <w:color w:val="auto"/>
              </w:rPr>
            </w:pPr>
            <w:r>
              <w:rPr>
                <w:rFonts w:ascii="Arial" w:cs="Arial" w:eastAsia="Arial" w:hAnsi="Arial"/>
                <w:sz w:val="12"/>
                <w:szCs w:val="12"/>
                <w:color w:val="auto"/>
              </w:rPr>
              <w:t>Definitions</w:t>
            </w:r>
          </w:p>
        </w:tc>
        <w:tc>
          <w:tcPr>
            <w:tcW w:w="520" w:type="dxa"/>
            <w:vAlign w:val="bottom"/>
          </w:tcPr>
          <w:p>
            <w:pPr>
              <w:jc w:val="right"/>
              <w:ind w:right="300"/>
              <w:spacing w:after="0"/>
              <w:rPr>
                <w:sz w:val="20"/>
                <w:szCs w:val="20"/>
                <w:color w:val="auto"/>
              </w:rPr>
            </w:pPr>
            <w:r>
              <w:rPr>
                <w:rFonts w:ascii="Arial" w:cs="Arial" w:eastAsia="Arial" w:hAnsi="Arial"/>
                <w:sz w:val="12"/>
                <w:szCs w:val="12"/>
                <w:color w:val="auto"/>
              </w:rPr>
              <w:t>1</w:t>
            </w:r>
          </w:p>
        </w:tc>
        <w:tc>
          <w:tcPr>
            <w:tcW w:w="4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160" w:type="dxa"/>
            <w:vAlign w:val="bottom"/>
          </w:tcPr>
          <w:p>
            <w:pPr>
              <w:spacing w:after="0"/>
              <w:rPr>
                <w:sz w:val="21"/>
                <w:szCs w:val="21"/>
                <w:color w:val="auto"/>
              </w:rPr>
            </w:pPr>
          </w:p>
        </w:tc>
      </w:tr>
      <w:tr>
        <w:trPr>
          <w:trHeight w:val="171"/>
        </w:trPr>
        <w:tc>
          <w:tcPr>
            <w:tcW w:w="560" w:type="dxa"/>
            <w:vAlign w:val="bottom"/>
          </w:tcPr>
          <w:p>
            <w:pPr>
              <w:spacing w:after="0"/>
              <w:rPr>
                <w:sz w:val="14"/>
                <w:szCs w:val="14"/>
                <w:color w:val="auto"/>
              </w:rPr>
            </w:pPr>
          </w:p>
        </w:tc>
        <w:tc>
          <w:tcPr>
            <w:tcW w:w="360" w:type="dxa"/>
            <w:vAlign w:val="bottom"/>
          </w:tcPr>
          <w:p>
            <w:pPr>
              <w:ind w:left="120"/>
              <w:spacing w:after="0"/>
              <w:rPr>
                <w:sz w:val="20"/>
                <w:szCs w:val="20"/>
                <w:color w:val="auto"/>
              </w:rPr>
            </w:pPr>
            <w:r>
              <w:rPr>
                <w:rFonts w:ascii="Arial" w:cs="Arial" w:eastAsia="Arial" w:hAnsi="Arial"/>
                <w:sz w:val="12"/>
                <w:szCs w:val="12"/>
                <w:color w:val="auto"/>
              </w:rPr>
              <w:t>1.2</w:t>
            </w:r>
          </w:p>
        </w:tc>
        <w:tc>
          <w:tcPr>
            <w:tcW w:w="1980" w:type="dxa"/>
            <w:vAlign w:val="bottom"/>
            <w:gridSpan w:val="3"/>
          </w:tcPr>
          <w:p>
            <w:pPr>
              <w:jc w:val="right"/>
              <w:ind w:right="340"/>
              <w:spacing w:after="0"/>
              <w:rPr>
                <w:sz w:val="20"/>
                <w:szCs w:val="20"/>
                <w:color w:val="auto"/>
              </w:rPr>
            </w:pPr>
            <w:r>
              <w:rPr>
                <w:rFonts w:ascii="Arial" w:cs="Arial" w:eastAsia="Arial" w:hAnsi="Arial"/>
                <w:sz w:val="12"/>
                <w:szCs w:val="12"/>
                <w:color w:val="auto"/>
              </w:rPr>
              <w:t>Construction</w:t>
            </w:r>
          </w:p>
        </w:tc>
        <w:tc>
          <w:tcPr>
            <w:tcW w:w="520" w:type="dxa"/>
            <w:vAlign w:val="bottom"/>
          </w:tcPr>
          <w:p>
            <w:pPr>
              <w:jc w:val="right"/>
              <w:ind w:right="300"/>
              <w:spacing w:after="0"/>
              <w:rPr>
                <w:sz w:val="20"/>
                <w:szCs w:val="20"/>
                <w:color w:val="auto"/>
              </w:rPr>
            </w:pPr>
            <w:r>
              <w:rPr>
                <w:rFonts w:ascii="Arial" w:cs="Arial" w:eastAsia="Arial" w:hAnsi="Arial"/>
                <w:sz w:val="12"/>
                <w:szCs w:val="12"/>
                <w:color w:val="auto"/>
              </w:rPr>
              <w:t>18</w:t>
            </w: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160" w:type="dxa"/>
            <w:vAlign w:val="bottom"/>
          </w:tcPr>
          <w:p>
            <w:pPr>
              <w:spacing w:after="0"/>
              <w:rPr>
                <w:sz w:val="14"/>
                <w:szCs w:val="14"/>
                <w:color w:val="auto"/>
              </w:rPr>
            </w:pPr>
          </w:p>
        </w:tc>
      </w:tr>
      <w:tr>
        <w:trPr>
          <w:trHeight w:val="162"/>
        </w:trPr>
        <w:tc>
          <w:tcPr>
            <w:tcW w:w="560" w:type="dxa"/>
            <w:vAlign w:val="bottom"/>
          </w:tcPr>
          <w:p>
            <w:pPr>
              <w:spacing w:after="0"/>
              <w:rPr>
                <w:sz w:val="14"/>
                <w:szCs w:val="14"/>
                <w:color w:val="auto"/>
              </w:rPr>
            </w:pPr>
          </w:p>
        </w:tc>
        <w:tc>
          <w:tcPr>
            <w:tcW w:w="360" w:type="dxa"/>
            <w:vAlign w:val="bottom"/>
          </w:tcPr>
          <w:p>
            <w:pPr>
              <w:ind w:left="120"/>
              <w:spacing w:after="0"/>
              <w:rPr>
                <w:sz w:val="20"/>
                <w:szCs w:val="20"/>
                <w:color w:val="auto"/>
              </w:rPr>
            </w:pPr>
            <w:r>
              <w:rPr>
                <w:rFonts w:ascii="Arial" w:cs="Arial" w:eastAsia="Arial" w:hAnsi="Arial"/>
                <w:sz w:val="12"/>
                <w:szCs w:val="12"/>
                <w:color w:val="auto"/>
              </w:rPr>
              <w:t>1.3</w:t>
            </w:r>
          </w:p>
        </w:tc>
        <w:tc>
          <w:tcPr>
            <w:tcW w:w="9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Headings</w:t>
            </w:r>
          </w:p>
        </w:tc>
        <w:tc>
          <w:tcPr>
            <w:tcW w:w="400" w:type="dxa"/>
            <w:vAlign w:val="bottom"/>
          </w:tcPr>
          <w:p>
            <w:pPr>
              <w:spacing w:after="0"/>
              <w:rPr>
                <w:sz w:val="14"/>
                <w:szCs w:val="14"/>
                <w:color w:val="auto"/>
              </w:rPr>
            </w:pPr>
          </w:p>
        </w:tc>
        <w:tc>
          <w:tcPr>
            <w:tcW w:w="520" w:type="dxa"/>
            <w:vAlign w:val="bottom"/>
          </w:tcPr>
          <w:p>
            <w:pPr>
              <w:jc w:val="right"/>
              <w:ind w:right="320"/>
              <w:spacing w:after="0"/>
              <w:rPr>
                <w:sz w:val="20"/>
                <w:szCs w:val="20"/>
                <w:color w:val="auto"/>
              </w:rPr>
            </w:pPr>
            <w:r>
              <w:rPr>
                <w:rFonts w:ascii="Arial" w:cs="Arial" w:eastAsia="Arial" w:hAnsi="Arial"/>
                <w:sz w:val="12"/>
                <w:szCs w:val="12"/>
                <w:color w:val="auto"/>
                <w:w w:val="89"/>
              </w:rPr>
              <w:t>19</w:t>
            </w: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160" w:type="dxa"/>
            <w:vAlign w:val="bottom"/>
          </w:tcPr>
          <w:p>
            <w:pPr>
              <w:spacing w:after="0"/>
              <w:rPr>
                <w:sz w:val="14"/>
                <w:szCs w:val="14"/>
                <w:color w:val="auto"/>
              </w:rPr>
            </w:pPr>
          </w:p>
        </w:tc>
      </w:tr>
      <w:tr>
        <w:trPr>
          <w:trHeight w:val="180"/>
        </w:trPr>
        <w:tc>
          <w:tcPr>
            <w:tcW w:w="560" w:type="dxa"/>
            <w:vAlign w:val="bottom"/>
          </w:tcPr>
          <w:p>
            <w:pPr>
              <w:spacing w:after="0"/>
              <w:rPr>
                <w:sz w:val="15"/>
                <w:szCs w:val="15"/>
                <w:color w:val="auto"/>
              </w:rPr>
            </w:pPr>
          </w:p>
        </w:tc>
        <w:tc>
          <w:tcPr>
            <w:tcW w:w="360" w:type="dxa"/>
            <w:vAlign w:val="bottom"/>
          </w:tcPr>
          <w:p>
            <w:pPr>
              <w:ind w:left="120"/>
              <w:spacing w:after="0"/>
              <w:rPr>
                <w:sz w:val="20"/>
                <w:szCs w:val="20"/>
                <w:color w:val="auto"/>
              </w:rPr>
            </w:pPr>
            <w:r>
              <w:rPr>
                <w:rFonts w:ascii="Arial" w:cs="Arial" w:eastAsia="Arial" w:hAnsi="Arial"/>
                <w:sz w:val="12"/>
                <w:szCs w:val="12"/>
                <w:color w:val="auto"/>
              </w:rPr>
              <w:t>1.4</w:t>
            </w:r>
          </w:p>
        </w:tc>
        <w:tc>
          <w:tcPr>
            <w:tcW w:w="2940" w:type="dxa"/>
            <w:vAlign w:val="bottom"/>
            <w:gridSpan w:val="5"/>
          </w:tcPr>
          <w:p>
            <w:pPr>
              <w:jc w:val="right"/>
              <w:spacing w:after="0"/>
              <w:rPr>
                <w:sz w:val="20"/>
                <w:szCs w:val="20"/>
                <w:color w:val="auto"/>
              </w:rPr>
            </w:pPr>
            <w:r>
              <w:rPr>
                <w:rFonts w:ascii="Arial" w:cs="Arial" w:eastAsia="Arial" w:hAnsi="Arial"/>
                <w:sz w:val="12"/>
                <w:szCs w:val="12"/>
                <w:color w:val="auto"/>
              </w:rPr>
              <w:t>Corporations Act, GST and Accounting Standards</w:t>
            </w:r>
          </w:p>
        </w:tc>
        <w:tc>
          <w:tcPr>
            <w:tcW w:w="720" w:type="dxa"/>
            <w:vAlign w:val="bottom"/>
          </w:tcPr>
          <w:p>
            <w:pPr>
              <w:jc w:val="right"/>
              <w:ind w:right="100"/>
              <w:spacing w:after="0"/>
              <w:rPr>
                <w:sz w:val="20"/>
                <w:szCs w:val="20"/>
                <w:color w:val="auto"/>
              </w:rPr>
            </w:pPr>
            <w:r>
              <w:rPr>
                <w:rFonts w:ascii="Arial" w:cs="Arial" w:eastAsia="Arial" w:hAnsi="Arial"/>
                <w:sz w:val="12"/>
                <w:szCs w:val="12"/>
                <w:color w:val="auto"/>
              </w:rPr>
              <w:t>19</w:t>
            </w:r>
          </w:p>
        </w:tc>
        <w:tc>
          <w:tcPr>
            <w:tcW w:w="5160" w:type="dxa"/>
            <w:vAlign w:val="bottom"/>
          </w:tcPr>
          <w:p>
            <w:pPr>
              <w:spacing w:after="0"/>
              <w:rPr>
                <w:sz w:val="15"/>
                <w:szCs w:val="15"/>
                <w:color w:val="auto"/>
              </w:rPr>
            </w:pPr>
          </w:p>
        </w:tc>
      </w:tr>
      <w:tr>
        <w:trPr>
          <w:trHeight w:val="162"/>
        </w:trPr>
        <w:tc>
          <w:tcPr>
            <w:tcW w:w="560" w:type="dxa"/>
            <w:vAlign w:val="bottom"/>
          </w:tcPr>
          <w:p>
            <w:pPr>
              <w:spacing w:after="0"/>
              <w:rPr>
                <w:sz w:val="14"/>
                <w:szCs w:val="14"/>
                <w:color w:val="auto"/>
              </w:rPr>
            </w:pPr>
          </w:p>
        </w:tc>
        <w:tc>
          <w:tcPr>
            <w:tcW w:w="360" w:type="dxa"/>
            <w:vAlign w:val="bottom"/>
          </w:tcPr>
          <w:p>
            <w:pPr>
              <w:ind w:left="120"/>
              <w:spacing w:after="0"/>
              <w:rPr>
                <w:sz w:val="20"/>
                <w:szCs w:val="20"/>
                <w:color w:val="auto"/>
              </w:rPr>
            </w:pPr>
            <w:r>
              <w:rPr>
                <w:rFonts w:ascii="Arial" w:cs="Arial" w:eastAsia="Arial" w:hAnsi="Arial"/>
                <w:sz w:val="12"/>
                <w:szCs w:val="12"/>
                <w:color w:val="auto"/>
              </w:rPr>
              <w:t>1.5</w:t>
            </w:r>
          </w:p>
        </w:tc>
        <w:tc>
          <w:tcPr>
            <w:tcW w:w="3660" w:type="dxa"/>
            <w:vAlign w:val="bottom"/>
            <w:gridSpan w:val="6"/>
          </w:tcPr>
          <w:p>
            <w:pPr>
              <w:jc w:val="right"/>
              <w:ind w:right="200"/>
              <w:spacing w:after="0"/>
              <w:rPr>
                <w:sz w:val="20"/>
                <w:szCs w:val="20"/>
                <w:color w:val="auto"/>
              </w:rPr>
            </w:pPr>
            <w:r>
              <w:rPr>
                <w:rFonts w:ascii="Arial" w:cs="Arial" w:eastAsia="Arial" w:hAnsi="Arial"/>
                <w:sz w:val="12"/>
                <w:szCs w:val="12"/>
                <w:color w:val="auto"/>
              </w:rPr>
              <w:t>Subsisting Events of Default and Potential Events of Default</w:t>
            </w:r>
          </w:p>
        </w:tc>
        <w:tc>
          <w:tcPr>
            <w:tcW w:w="5160" w:type="dxa"/>
            <w:vAlign w:val="bottom"/>
          </w:tcPr>
          <w:p>
            <w:pPr>
              <w:jc w:val="right"/>
              <w:ind w:right="4800"/>
              <w:spacing w:after="0"/>
              <w:rPr>
                <w:sz w:val="20"/>
                <w:szCs w:val="20"/>
                <w:color w:val="auto"/>
              </w:rPr>
            </w:pPr>
            <w:r>
              <w:rPr>
                <w:rFonts w:ascii="Arial" w:cs="Arial" w:eastAsia="Arial" w:hAnsi="Arial"/>
                <w:sz w:val="12"/>
                <w:szCs w:val="12"/>
                <w:color w:val="auto"/>
              </w:rPr>
              <w:t>19</w:t>
            </w:r>
          </w:p>
        </w:tc>
      </w:tr>
      <w:tr>
        <w:trPr>
          <w:trHeight w:val="180"/>
        </w:trPr>
        <w:tc>
          <w:tcPr>
            <w:tcW w:w="560" w:type="dxa"/>
            <w:vAlign w:val="bottom"/>
          </w:tcPr>
          <w:p>
            <w:pPr>
              <w:spacing w:after="0"/>
              <w:rPr>
                <w:sz w:val="15"/>
                <w:szCs w:val="15"/>
                <w:color w:val="auto"/>
              </w:rPr>
            </w:pPr>
          </w:p>
        </w:tc>
        <w:tc>
          <w:tcPr>
            <w:tcW w:w="360" w:type="dxa"/>
            <w:vAlign w:val="bottom"/>
          </w:tcPr>
          <w:p>
            <w:pPr>
              <w:ind w:left="120"/>
              <w:spacing w:after="0"/>
              <w:rPr>
                <w:sz w:val="20"/>
                <w:szCs w:val="20"/>
                <w:color w:val="auto"/>
              </w:rPr>
            </w:pPr>
            <w:r>
              <w:rPr>
                <w:rFonts w:ascii="Arial" w:cs="Arial" w:eastAsia="Arial" w:hAnsi="Arial"/>
                <w:sz w:val="12"/>
                <w:szCs w:val="12"/>
                <w:color w:val="auto"/>
              </w:rPr>
              <w:t>1.6</w:t>
            </w:r>
          </w:p>
        </w:tc>
        <w:tc>
          <w:tcPr>
            <w:tcW w:w="9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Not used</w:t>
            </w:r>
          </w:p>
        </w:tc>
        <w:tc>
          <w:tcPr>
            <w:tcW w:w="400" w:type="dxa"/>
            <w:vAlign w:val="bottom"/>
          </w:tcPr>
          <w:p>
            <w:pPr>
              <w:spacing w:after="0"/>
              <w:rPr>
                <w:sz w:val="15"/>
                <w:szCs w:val="15"/>
                <w:color w:val="auto"/>
              </w:rPr>
            </w:pPr>
          </w:p>
        </w:tc>
        <w:tc>
          <w:tcPr>
            <w:tcW w:w="520" w:type="dxa"/>
            <w:vAlign w:val="bottom"/>
          </w:tcPr>
          <w:p>
            <w:pPr>
              <w:jc w:val="right"/>
              <w:ind w:right="320"/>
              <w:spacing w:after="0"/>
              <w:rPr>
                <w:sz w:val="20"/>
                <w:szCs w:val="20"/>
                <w:color w:val="auto"/>
              </w:rPr>
            </w:pPr>
            <w:r>
              <w:rPr>
                <w:rFonts w:ascii="Arial" w:cs="Arial" w:eastAsia="Arial" w:hAnsi="Arial"/>
                <w:sz w:val="12"/>
                <w:szCs w:val="12"/>
                <w:color w:val="auto"/>
                <w:w w:val="89"/>
              </w:rPr>
              <w:t>19</w:t>
            </w: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160" w:type="dxa"/>
            <w:vAlign w:val="bottom"/>
          </w:tcPr>
          <w:p>
            <w:pPr>
              <w:spacing w:after="0"/>
              <w:rPr>
                <w:sz w:val="15"/>
                <w:szCs w:val="15"/>
                <w:color w:val="auto"/>
              </w:rPr>
            </w:pPr>
          </w:p>
        </w:tc>
      </w:tr>
      <w:tr>
        <w:trPr>
          <w:trHeight w:val="162"/>
        </w:trPr>
        <w:tc>
          <w:tcPr>
            <w:tcW w:w="560" w:type="dxa"/>
            <w:vAlign w:val="bottom"/>
          </w:tcPr>
          <w:p>
            <w:pPr>
              <w:spacing w:after="0"/>
              <w:rPr>
                <w:sz w:val="14"/>
                <w:szCs w:val="14"/>
                <w:color w:val="auto"/>
              </w:rPr>
            </w:pPr>
          </w:p>
        </w:tc>
        <w:tc>
          <w:tcPr>
            <w:tcW w:w="360" w:type="dxa"/>
            <w:vAlign w:val="bottom"/>
          </w:tcPr>
          <w:p>
            <w:pPr>
              <w:ind w:left="120"/>
              <w:spacing w:after="0"/>
              <w:rPr>
                <w:sz w:val="20"/>
                <w:szCs w:val="20"/>
                <w:color w:val="auto"/>
              </w:rPr>
            </w:pPr>
            <w:r>
              <w:rPr>
                <w:rFonts w:ascii="Arial" w:cs="Arial" w:eastAsia="Arial" w:hAnsi="Arial"/>
                <w:sz w:val="12"/>
                <w:szCs w:val="12"/>
                <w:color w:val="auto"/>
              </w:rPr>
              <w:t>1.7</w:t>
            </w:r>
          </w:p>
        </w:tc>
        <w:tc>
          <w:tcPr>
            <w:tcW w:w="1980" w:type="dxa"/>
            <w:vAlign w:val="bottom"/>
            <w:gridSpan w:val="3"/>
          </w:tcPr>
          <w:p>
            <w:pPr>
              <w:jc w:val="center"/>
              <w:ind w:left="440"/>
              <w:spacing w:after="0"/>
              <w:rPr>
                <w:sz w:val="20"/>
                <w:szCs w:val="20"/>
                <w:color w:val="auto"/>
              </w:rPr>
            </w:pPr>
            <w:r>
              <w:rPr>
                <w:rFonts w:ascii="Arial" w:cs="Arial" w:eastAsia="Arial" w:hAnsi="Arial"/>
                <w:sz w:val="12"/>
                <w:szCs w:val="12"/>
                <w:color w:val="auto"/>
                <w:w w:val="98"/>
              </w:rPr>
              <w:t>Inconsistency</w:t>
            </w:r>
          </w:p>
        </w:tc>
        <w:tc>
          <w:tcPr>
            <w:tcW w:w="520" w:type="dxa"/>
            <w:vAlign w:val="bottom"/>
          </w:tcPr>
          <w:p>
            <w:pPr>
              <w:jc w:val="right"/>
              <w:ind w:right="280"/>
              <w:spacing w:after="0"/>
              <w:rPr>
                <w:sz w:val="20"/>
                <w:szCs w:val="20"/>
                <w:color w:val="auto"/>
              </w:rPr>
            </w:pPr>
            <w:r>
              <w:rPr>
                <w:rFonts w:ascii="Arial" w:cs="Arial" w:eastAsia="Arial" w:hAnsi="Arial"/>
                <w:sz w:val="12"/>
                <w:szCs w:val="12"/>
                <w:color w:val="auto"/>
              </w:rPr>
              <w:t>19</w:t>
            </w: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160" w:type="dxa"/>
            <w:vAlign w:val="bottom"/>
          </w:tcPr>
          <w:p>
            <w:pPr>
              <w:spacing w:after="0"/>
              <w:rPr>
                <w:sz w:val="14"/>
                <w:szCs w:val="14"/>
                <w:color w:val="auto"/>
              </w:rPr>
            </w:pPr>
          </w:p>
        </w:tc>
      </w:tr>
      <w:tr>
        <w:trPr>
          <w:trHeight w:val="234"/>
        </w:trPr>
        <w:tc>
          <w:tcPr>
            <w:tcW w:w="560" w:type="dxa"/>
            <w:vAlign w:val="bottom"/>
          </w:tcPr>
          <w:p>
            <w:pPr>
              <w:jc w:val="right"/>
              <w:ind w:right="80"/>
              <w:spacing w:after="0"/>
              <w:rPr>
                <w:sz w:val="20"/>
                <w:szCs w:val="20"/>
                <w:color w:val="auto"/>
              </w:rPr>
            </w:pPr>
            <w:r>
              <w:rPr>
                <w:rFonts w:ascii="Arial" w:cs="Arial" w:eastAsia="Arial" w:hAnsi="Arial"/>
                <w:sz w:val="12"/>
                <w:szCs w:val="12"/>
                <w:b w:val="1"/>
                <w:bCs w:val="1"/>
                <w:color w:val="auto"/>
              </w:rPr>
              <w:t>2</w:t>
            </w:r>
          </w:p>
        </w:tc>
        <w:tc>
          <w:tcPr>
            <w:tcW w:w="360" w:type="dxa"/>
            <w:vAlign w:val="bottom"/>
          </w:tcPr>
          <w:p>
            <w:pPr>
              <w:spacing w:after="0"/>
              <w:rPr>
                <w:sz w:val="20"/>
                <w:szCs w:val="20"/>
                <w:color w:val="auto"/>
              </w:rPr>
            </w:pPr>
          </w:p>
        </w:tc>
        <w:tc>
          <w:tcPr>
            <w:tcW w:w="940" w:type="dxa"/>
            <w:vAlign w:val="bottom"/>
          </w:tcPr>
          <w:p>
            <w:pPr>
              <w:jc w:val="right"/>
              <w:ind w:right="60"/>
              <w:spacing w:after="0"/>
              <w:rPr>
                <w:sz w:val="20"/>
                <w:szCs w:val="20"/>
                <w:color w:val="auto"/>
              </w:rPr>
            </w:pPr>
            <w:r>
              <w:rPr>
                <w:rFonts w:ascii="Arial" w:cs="Arial" w:eastAsia="Arial" w:hAnsi="Arial"/>
                <w:sz w:val="12"/>
                <w:szCs w:val="12"/>
                <w:b w:val="1"/>
                <w:bCs w:val="1"/>
                <w:color w:val="auto"/>
                <w:w w:val="99"/>
              </w:rPr>
              <w:t>Consideration</w:t>
            </w:r>
          </w:p>
        </w:tc>
        <w:tc>
          <w:tcPr>
            <w:tcW w:w="640" w:type="dxa"/>
            <w:vAlign w:val="bottom"/>
          </w:tcPr>
          <w:p>
            <w:pPr>
              <w:ind w:left="300"/>
              <w:spacing w:after="0"/>
              <w:rPr>
                <w:sz w:val="20"/>
                <w:szCs w:val="20"/>
                <w:color w:val="auto"/>
              </w:rPr>
            </w:pPr>
            <w:r>
              <w:rPr>
                <w:rFonts w:ascii="Arial" w:cs="Arial" w:eastAsia="Arial" w:hAnsi="Arial"/>
                <w:sz w:val="12"/>
                <w:szCs w:val="12"/>
                <w:b w:val="1"/>
                <w:bCs w:val="1"/>
                <w:color w:val="auto"/>
              </w:rPr>
              <w:t>19</w:t>
            </w:r>
          </w:p>
        </w:tc>
        <w:tc>
          <w:tcPr>
            <w:tcW w:w="4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160" w:type="dxa"/>
            <w:vAlign w:val="bottom"/>
          </w:tcPr>
          <w:p>
            <w:pPr>
              <w:spacing w:after="0"/>
              <w:rPr>
                <w:sz w:val="20"/>
                <w:szCs w:val="20"/>
                <w:color w:val="auto"/>
              </w:rPr>
            </w:pPr>
          </w:p>
        </w:tc>
      </w:tr>
      <w:tr>
        <w:trPr>
          <w:trHeight w:val="252"/>
        </w:trPr>
        <w:tc>
          <w:tcPr>
            <w:tcW w:w="560" w:type="dxa"/>
            <w:vAlign w:val="bottom"/>
          </w:tcPr>
          <w:p>
            <w:pPr>
              <w:jc w:val="right"/>
              <w:ind w:right="8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3"/>
          </w:tcPr>
          <w:p>
            <w:pPr>
              <w:ind w:left="260"/>
              <w:spacing w:after="0"/>
              <w:rPr>
                <w:sz w:val="20"/>
                <w:szCs w:val="20"/>
                <w:color w:val="auto"/>
              </w:rPr>
            </w:pPr>
            <w:r>
              <w:rPr>
                <w:rFonts w:ascii="Arial" w:cs="Arial" w:eastAsia="Arial" w:hAnsi="Arial"/>
                <w:sz w:val="12"/>
                <w:szCs w:val="12"/>
                <w:b w:val="1"/>
                <w:bCs w:val="1"/>
                <w:color w:val="auto"/>
              </w:rPr>
              <w:t>Conditions precedent</w:t>
            </w:r>
          </w:p>
        </w:tc>
        <w:tc>
          <w:tcPr>
            <w:tcW w:w="400" w:type="dxa"/>
            <w:vAlign w:val="bottom"/>
          </w:tcPr>
          <w:p>
            <w:pPr>
              <w:jc w:val="right"/>
              <w:ind w:right="220"/>
              <w:spacing w:after="0"/>
              <w:rPr>
                <w:sz w:val="20"/>
                <w:szCs w:val="20"/>
                <w:color w:val="auto"/>
              </w:rPr>
            </w:pPr>
            <w:r>
              <w:rPr>
                <w:rFonts w:ascii="Arial" w:cs="Arial" w:eastAsia="Arial" w:hAnsi="Arial"/>
                <w:sz w:val="12"/>
                <w:szCs w:val="12"/>
                <w:b w:val="1"/>
                <w:bCs w:val="1"/>
                <w:color w:val="auto"/>
                <w:w w:val="74"/>
              </w:rPr>
              <w:t>20</w:t>
            </w:r>
          </w:p>
        </w:tc>
        <w:tc>
          <w:tcPr>
            <w:tcW w:w="5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160" w:type="dxa"/>
            <w:vAlign w:val="bottom"/>
          </w:tcPr>
          <w:p>
            <w:pPr>
              <w:spacing w:after="0"/>
              <w:rPr>
                <w:sz w:val="21"/>
                <w:szCs w:val="21"/>
                <w:color w:val="auto"/>
              </w:rPr>
            </w:pPr>
          </w:p>
        </w:tc>
      </w:tr>
      <w:tr>
        <w:trPr>
          <w:trHeight w:val="234"/>
        </w:trPr>
        <w:tc>
          <w:tcPr>
            <w:tcW w:w="560" w:type="dxa"/>
            <w:vAlign w:val="bottom"/>
          </w:tcPr>
          <w:p>
            <w:pPr>
              <w:spacing w:after="0"/>
              <w:rPr>
                <w:sz w:val="20"/>
                <w:szCs w:val="20"/>
                <w:color w:val="auto"/>
              </w:rPr>
            </w:pPr>
          </w:p>
        </w:tc>
        <w:tc>
          <w:tcPr>
            <w:tcW w:w="360" w:type="dxa"/>
            <w:vAlign w:val="bottom"/>
          </w:tcPr>
          <w:p>
            <w:pPr>
              <w:ind w:left="120"/>
              <w:spacing w:after="0"/>
              <w:rPr>
                <w:sz w:val="20"/>
                <w:szCs w:val="20"/>
                <w:color w:val="auto"/>
              </w:rPr>
            </w:pPr>
            <w:r>
              <w:rPr>
                <w:rFonts w:ascii="Arial" w:cs="Arial" w:eastAsia="Arial" w:hAnsi="Arial"/>
                <w:sz w:val="12"/>
                <w:szCs w:val="12"/>
                <w:color w:val="auto"/>
              </w:rPr>
              <w:t>3.1</w:t>
            </w:r>
          </w:p>
        </w:tc>
        <w:tc>
          <w:tcPr>
            <w:tcW w:w="9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Not used</w:t>
            </w:r>
          </w:p>
        </w:tc>
        <w:tc>
          <w:tcPr>
            <w:tcW w:w="400" w:type="dxa"/>
            <w:vAlign w:val="bottom"/>
          </w:tcPr>
          <w:p>
            <w:pPr>
              <w:spacing w:after="0"/>
              <w:rPr>
                <w:sz w:val="20"/>
                <w:szCs w:val="20"/>
                <w:color w:val="auto"/>
              </w:rPr>
            </w:pPr>
          </w:p>
        </w:tc>
        <w:tc>
          <w:tcPr>
            <w:tcW w:w="520" w:type="dxa"/>
            <w:vAlign w:val="bottom"/>
          </w:tcPr>
          <w:p>
            <w:pPr>
              <w:jc w:val="right"/>
              <w:ind w:right="320"/>
              <w:spacing w:after="0"/>
              <w:rPr>
                <w:sz w:val="20"/>
                <w:szCs w:val="20"/>
                <w:color w:val="auto"/>
              </w:rPr>
            </w:pPr>
            <w:r>
              <w:rPr>
                <w:rFonts w:ascii="Arial" w:cs="Arial" w:eastAsia="Arial" w:hAnsi="Arial"/>
                <w:sz w:val="12"/>
                <w:szCs w:val="12"/>
                <w:color w:val="auto"/>
                <w:w w:val="89"/>
              </w:rPr>
              <w:t>20</w:t>
            </w:r>
          </w:p>
        </w:tc>
        <w:tc>
          <w:tcPr>
            <w:tcW w:w="4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160" w:type="dxa"/>
            <w:vAlign w:val="bottom"/>
          </w:tcPr>
          <w:p>
            <w:pPr>
              <w:spacing w:after="0"/>
              <w:rPr>
                <w:sz w:val="20"/>
                <w:szCs w:val="20"/>
                <w:color w:val="auto"/>
              </w:rPr>
            </w:pPr>
          </w:p>
        </w:tc>
      </w:tr>
      <w:tr>
        <w:trPr>
          <w:trHeight w:val="162"/>
        </w:trPr>
        <w:tc>
          <w:tcPr>
            <w:tcW w:w="560" w:type="dxa"/>
            <w:vAlign w:val="bottom"/>
          </w:tcPr>
          <w:p>
            <w:pPr>
              <w:spacing w:after="0"/>
              <w:rPr>
                <w:sz w:val="14"/>
                <w:szCs w:val="14"/>
                <w:color w:val="auto"/>
              </w:rPr>
            </w:pPr>
          </w:p>
        </w:tc>
        <w:tc>
          <w:tcPr>
            <w:tcW w:w="360" w:type="dxa"/>
            <w:vAlign w:val="bottom"/>
          </w:tcPr>
          <w:p>
            <w:pPr>
              <w:ind w:left="120"/>
              <w:spacing w:after="0"/>
              <w:rPr>
                <w:sz w:val="20"/>
                <w:szCs w:val="20"/>
                <w:color w:val="auto"/>
              </w:rPr>
            </w:pPr>
            <w:r>
              <w:rPr>
                <w:rFonts w:ascii="Arial" w:cs="Arial" w:eastAsia="Arial" w:hAnsi="Arial"/>
                <w:sz w:val="12"/>
                <w:szCs w:val="12"/>
                <w:color w:val="auto"/>
              </w:rPr>
              <w:t>3.2</w:t>
            </w:r>
          </w:p>
        </w:tc>
        <w:tc>
          <w:tcPr>
            <w:tcW w:w="2940" w:type="dxa"/>
            <w:vAlign w:val="bottom"/>
            <w:gridSpan w:val="5"/>
          </w:tcPr>
          <w:p>
            <w:pPr>
              <w:jc w:val="right"/>
              <w:spacing w:after="0"/>
              <w:rPr>
                <w:sz w:val="20"/>
                <w:szCs w:val="20"/>
                <w:color w:val="auto"/>
              </w:rPr>
            </w:pPr>
            <w:r>
              <w:rPr>
                <w:rFonts w:ascii="Arial" w:cs="Arial" w:eastAsia="Arial" w:hAnsi="Arial"/>
                <w:sz w:val="12"/>
                <w:szCs w:val="12"/>
                <w:color w:val="auto"/>
              </w:rPr>
              <w:t>Conditions precedent to Advances and Drawings</w:t>
            </w:r>
          </w:p>
        </w:tc>
        <w:tc>
          <w:tcPr>
            <w:tcW w:w="720" w:type="dxa"/>
            <w:vAlign w:val="bottom"/>
          </w:tcPr>
          <w:p>
            <w:pPr>
              <w:jc w:val="right"/>
              <w:ind w:right="160"/>
              <w:spacing w:after="0"/>
              <w:rPr>
                <w:sz w:val="20"/>
                <w:szCs w:val="20"/>
                <w:color w:val="auto"/>
              </w:rPr>
            </w:pPr>
            <w:r>
              <w:rPr>
                <w:rFonts w:ascii="Arial" w:cs="Arial" w:eastAsia="Arial" w:hAnsi="Arial"/>
                <w:sz w:val="12"/>
                <w:szCs w:val="12"/>
                <w:color w:val="auto"/>
              </w:rPr>
              <w:t>20</w:t>
            </w:r>
          </w:p>
        </w:tc>
        <w:tc>
          <w:tcPr>
            <w:tcW w:w="5160" w:type="dxa"/>
            <w:vAlign w:val="bottom"/>
          </w:tcPr>
          <w:p>
            <w:pPr>
              <w:spacing w:after="0"/>
              <w:rPr>
                <w:sz w:val="14"/>
                <w:szCs w:val="14"/>
                <w:color w:val="auto"/>
              </w:rPr>
            </w:pPr>
          </w:p>
        </w:tc>
      </w:tr>
      <w:tr>
        <w:trPr>
          <w:trHeight w:val="180"/>
        </w:trPr>
        <w:tc>
          <w:tcPr>
            <w:tcW w:w="560" w:type="dxa"/>
            <w:vAlign w:val="bottom"/>
          </w:tcPr>
          <w:p>
            <w:pPr>
              <w:spacing w:after="0"/>
              <w:rPr>
                <w:sz w:val="15"/>
                <w:szCs w:val="15"/>
                <w:color w:val="auto"/>
              </w:rPr>
            </w:pPr>
          </w:p>
        </w:tc>
        <w:tc>
          <w:tcPr>
            <w:tcW w:w="360" w:type="dxa"/>
            <w:vAlign w:val="bottom"/>
          </w:tcPr>
          <w:p>
            <w:pPr>
              <w:ind w:left="120"/>
              <w:spacing w:after="0"/>
              <w:rPr>
                <w:sz w:val="20"/>
                <w:szCs w:val="20"/>
                <w:color w:val="auto"/>
              </w:rPr>
            </w:pPr>
            <w:r>
              <w:rPr>
                <w:rFonts w:ascii="Arial" w:cs="Arial" w:eastAsia="Arial" w:hAnsi="Arial"/>
                <w:sz w:val="12"/>
                <w:szCs w:val="12"/>
                <w:color w:val="auto"/>
              </w:rPr>
              <w:t>3.3</w:t>
            </w:r>
          </w:p>
        </w:tc>
        <w:tc>
          <w:tcPr>
            <w:tcW w:w="9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Not used</w:t>
            </w:r>
          </w:p>
        </w:tc>
        <w:tc>
          <w:tcPr>
            <w:tcW w:w="400" w:type="dxa"/>
            <w:vAlign w:val="bottom"/>
          </w:tcPr>
          <w:p>
            <w:pPr>
              <w:spacing w:after="0"/>
              <w:rPr>
                <w:sz w:val="15"/>
                <w:szCs w:val="15"/>
                <w:color w:val="auto"/>
              </w:rPr>
            </w:pPr>
          </w:p>
        </w:tc>
        <w:tc>
          <w:tcPr>
            <w:tcW w:w="520" w:type="dxa"/>
            <w:vAlign w:val="bottom"/>
          </w:tcPr>
          <w:p>
            <w:pPr>
              <w:jc w:val="right"/>
              <w:ind w:right="320"/>
              <w:spacing w:after="0"/>
              <w:rPr>
                <w:sz w:val="20"/>
                <w:szCs w:val="20"/>
                <w:color w:val="auto"/>
              </w:rPr>
            </w:pPr>
            <w:r>
              <w:rPr>
                <w:rFonts w:ascii="Arial" w:cs="Arial" w:eastAsia="Arial" w:hAnsi="Arial"/>
                <w:sz w:val="12"/>
                <w:szCs w:val="12"/>
                <w:color w:val="auto"/>
                <w:w w:val="89"/>
              </w:rPr>
              <w:t>20</w:t>
            </w: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160" w:type="dxa"/>
            <w:vAlign w:val="bottom"/>
          </w:tcPr>
          <w:p>
            <w:pPr>
              <w:spacing w:after="0"/>
              <w:rPr>
                <w:sz w:val="15"/>
                <w:szCs w:val="15"/>
                <w:color w:val="auto"/>
              </w:rPr>
            </w:pPr>
          </w:p>
        </w:tc>
      </w:tr>
      <w:tr>
        <w:trPr>
          <w:trHeight w:val="225"/>
        </w:trPr>
        <w:tc>
          <w:tcPr>
            <w:tcW w:w="560" w:type="dxa"/>
            <w:vAlign w:val="bottom"/>
          </w:tcPr>
          <w:p>
            <w:pPr>
              <w:jc w:val="right"/>
              <w:ind w:right="80"/>
              <w:spacing w:after="0"/>
              <w:rPr>
                <w:sz w:val="20"/>
                <w:szCs w:val="20"/>
                <w:color w:val="auto"/>
              </w:rPr>
            </w:pPr>
            <w:r>
              <w:rPr>
                <w:rFonts w:ascii="Arial" w:cs="Arial" w:eastAsia="Arial" w:hAnsi="Arial"/>
                <w:sz w:val="12"/>
                <w:szCs w:val="12"/>
                <w:b w:val="1"/>
                <w:bCs w:val="1"/>
                <w:color w:val="auto"/>
              </w:rPr>
              <w:t>4</w:t>
            </w:r>
          </w:p>
        </w:tc>
        <w:tc>
          <w:tcPr>
            <w:tcW w:w="360" w:type="dxa"/>
            <w:vAlign w:val="bottom"/>
          </w:tcPr>
          <w:p>
            <w:pPr>
              <w:spacing w:after="0"/>
              <w:rPr>
                <w:sz w:val="19"/>
                <w:szCs w:val="19"/>
                <w:color w:val="auto"/>
              </w:rPr>
            </w:pPr>
          </w:p>
        </w:tc>
        <w:tc>
          <w:tcPr>
            <w:tcW w:w="940" w:type="dxa"/>
            <w:vAlign w:val="bottom"/>
          </w:tcPr>
          <w:p>
            <w:pPr>
              <w:jc w:val="right"/>
              <w:ind w:right="280"/>
              <w:spacing w:after="0"/>
              <w:rPr>
                <w:sz w:val="20"/>
                <w:szCs w:val="20"/>
                <w:color w:val="auto"/>
              </w:rPr>
            </w:pPr>
            <w:r>
              <w:rPr>
                <w:rFonts w:ascii="Arial" w:cs="Arial" w:eastAsia="Arial" w:hAnsi="Arial"/>
                <w:sz w:val="12"/>
                <w:szCs w:val="12"/>
                <w:b w:val="1"/>
                <w:bCs w:val="1"/>
                <w:color w:val="auto"/>
              </w:rPr>
              <w:t>Facility</w:t>
            </w:r>
          </w:p>
        </w:tc>
        <w:tc>
          <w:tcPr>
            <w:tcW w:w="640" w:type="dxa"/>
            <w:vAlign w:val="bottom"/>
          </w:tcPr>
          <w:p>
            <w:pPr>
              <w:ind w:left="100"/>
              <w:spacing w:after="0"/>
              <w:rPr>
                <w:sz w:val="20"/>
                <w:szCs w:val="20"/>
                <w:color w:val="auto"/>
              </w:rPr>
            </w:pPr>
            <w:r>
              <w:rPr>
                <w:rFonts w:ascii="Arial" w:cs="Arial" w:eastAsia="Arial" w:hAnsi="Arial"/>
                <w:sz w:val="12"/>
                <w:szCs w:val="12"/>
                <w:b w:val="1"/>
                <w:bCs w:val="1"/>
                <w:color w:val="auto"/>
              </w:rPr>
              <w:t>20</w:t>
            </w:r>
          </w:p>
        </w:tc>
        <w:tc>
          <w:tcPr>
            <w:tcW w:w="4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160" w:type="dxa"/>
            <w:vAlign w:val="bottom"/>
          </w:tcPr>
          <w:p>
            <w:pPr>
              <w:spacing w:after="0"/>
              <w:rPr>
                <w:sz w:val="19"/>
                <w:szCs w:val="19"/>
                <w:color w:val="auto"/>
              </w:rPr>
            </w:pPr>
          </w:p>
        </w:tc>
      </w:tr>
      <w:tr>
        <w:trPr>
          <w:trHeight w:val="234"/>
        </w:trPr>
        <w:tc>
          <w:tcPr>
            <w:tcW w:w="560" w:type="dxa"/>
            <w:vAlign w:val="bottom"/>
          </w:tcPr>
          <w:p>
            <w:pPr>
              <w:spacing w:after="0"/>
              <w:rPr>
                <w:sz w:val="20"/>
                <w:szCs w:val="20"/>
                <w:color w:val="auto"/>
              </w:rPr>
            </w:pPr>
          </w:p>
        </w:tc>
        <w:tc>
          <w:tcPr>
            <w:tcW w:w="360" w:type="dxa"/>
            <w:vAlign w:val="bottom"/>
          </w:tcPr>
          <w:p>
            <w:pPr>
              <w:ind w:left="120"/>
              <w:spacing w:after="0"/>
              <w:rPr>
                <w:sz w:val="20"/>
                <w:szCs w:val="20"/>
                <w:color w:val="auto"/>
              </w:rPr>
            </w:pPr>
            <w:r>
              <w:rPr>
                <w:rFonts w:ascii="Arial" w:cs="Arial" w:eastAsia="Arial" w:hAnsi="Arial"/>
                <w:sz w:val="12"/>
                <w:szCs w:val="12"/>
                <w:color w:val="auto"/>
              </w:rPr>
              <w:t>4.1</w:t>
            </w:r>
          </w:p>
        </w:tc>
        <w:tc>
          <w:tcPr>
            <w:tcW w:w="940" w:type="dxa"/>
            <w:vAlign w:val="bottom"/>
          </w:tcPr>
          <w:p>
            <w:pPr>
              <w:spacing w:after="0"/>
              <w:rPr>
                <w:sz w:val="20"/>
                <w:szCs w:val="20"/>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2"/>
                <w:szCs w:val="12"/>
                <w:color w:val="auto"/>
              </w:rPr>
              <w:t>Nature</w:t>
            </w:r>
          </w:p>
        </w:tc>
        <w:tc>
          <w:tcPr>
            <w:tcW w:w="520" w:type="dxa"/>
            <w:vAlign w:val="bottom"/>
          </w:tcPr>
          <w:p>
            <w:pPr>
              <w:jc w:val="right"/>
              <w:ind w:right="280"/>
              <w:spacing w:after="0"/>
              <w:rPr>
                <w:sz w:val="20"/>
                <w:szCs w:val="20"/>
                <w:color w:val="auto"/>
              </w:rPr>
            </w:pPr>
            <w:r>
              <w:rPr>
                <w:rFonts w:ascii="Arial" w:cs="Arial" w:eastAsia="Arial" w:hAnsi="Arial"/>
                <w:sz w:val="12"/>
                <w:szCs w:val="12"/>
                <w:color w:val="auto"/>
              </w:rPr>
              <w:t>20</w:t>
            </w:r>
          </w:p>
        </w:tc>
        <w:tc>
          <w:tcPr>
            <w:tcW w:w="4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160" w:type="dxa"/>
            <w:vAlign w:val="bottom"/>
          </w:tcPr>
          <w:p>
            <w:pPr>
              <w:spacing w:after="0"/>
              <w:rPr>
                <w:sz w:val="20"/>
                <w:szCs w:val="20"/>
                <w:color w:val="auto"/>
              </w:rPr>
            </w:pPr>
          </w:p>
        </w:tc>
      </w:tr>
      <w:tr>
        <w:trPr>
          <w:trHeight w:val="171"/>
        </w:trPr>
        <w:tc>
          <w:tcPr>
            <w:tcW w:w="560" w:type="dxa"/>
            <w:vAlign w:val="bottom"/>
          </w:tcPr>
          <w:p>
            <w:pPr>
              <w:spacing w:after="0"/>
              <w:rPr>
                <w:sz w:val="14"/>
                <w:szCs w:val="14"/>
                <w:color w:val="auto"/>
              </w:rPr>
            </w:pPr>
          </w:p>
        </w:tc>
        <w:tc>
          <w:tcPr>
            <w:tcW w:w="360" w:type="dxa"/>
            <w:vAlign w:val="bottom"/>
          </w:tcPr>
          <w:p>
            <w:pPr>
              <w:ind w:left="120"/>
              <w:spacing w:after="0"/>
              <w:rPr>
                <w:sz w:val="20"/>
                <w:szCs w:val="20"/>
                <w:color w:val="auto"/>
              </w:rPr>
            </w:pPr>
            <w:r>
              <w:rPr>
                <w:rFonts w:ascii="Arial" w:cs="Arial" w:eastAsia="Arial" w:hAnsi="Arial"/>
                <w:sz w:val="12"/>
                <w:szCs w:val="12"/>
                <w:color w:val="auto"/>
              </w:rPr>
              <w:t>4.2</w:t>
            </w:r>
          </w:p>
        </w:tc>
        <w:tc>
          <w:tcPr>
            <w:tcW w:w="9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Purpose</w:t>
            </w:r>
          </w:p>
        </w:tc>
        <w:tc>
          <w:tcPr>
            <w:tcW w:w="400" w:type="dxa"/>
            <w:vAlign w:val="bottom"/>
          </w:tcPr>
          <w:p>
            <w:pPr>
              <w:spacing w:after="0"/>
              <w:rPr>
                <w:sz w:val="14"/>
                <w:szCs w:val="14"/>
                <w:color w:val="auto"/>
              </w:rPr>
            </w:pPr>
          </w:p>
        </w:tc>
        <w:tc>
          <w:tcPr>
            <w:tcW w:w="520" w:type="dxa"/>
            <w:vAlign w:val="bottom"/>
          </w:tcPr>
          <w:p>
            <w:pPr>
              <w:jc w:val="right"/>
              <w:ind w:right="320"/>
              <w:spacing w:after="0"/>
              <w:rPr>
                <w:sz w:val="20"/>
                <w:szCs w:val="20"/>
                <w:color w:val="auto"/>
              </w:rPr>
            </w:pPr>
            <w:r>
              <w:rPr>
                <w:rFonts w:ascii="Arial" w:cs="Arial" w:eastAsia="Arial" w:hAnsi="Arial"/>
                <w:sz w:val="12"/>
                <w:szCs w:val="12"/>
                <w:color w:val="auto"/>
                <w:w w:val="89"/>
              </w:rPr>
              <w:t>20</w:t>
            </w: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160" w:type="dxa"/>
            <w:vAlign w:val="bottom"/>
          </w:tcPr>
          <w:p>
            <w:pPr>
              <w:spacing w:after="0"/>
              <w:rPr>
                <w:sz w:val="14"/>
                <w:szCs w:val="14"/>
                <w:color w:val="auto"/>
              </w:rPr>
            </w:pPr>
          </w:p>
        </w:tc>
      </w:tr>
      <w:tr>
        <w:trPr>
          <w:trHeight w:val="162"/>
        </w:trPr>
        <w:tc>
          <w:tcPr>
            <w:tcW w:w="560" w:type="dxa"/>
            <w:vAlign w:val="bottom"/>
          </w:tcPr>
          <w:p>
            <w:pPr>
              <w:spacing w:after="0"/>
              <w:rPr>
                <w:sz w:val="14"/>
                <w:szCs w:val="14"/>
                <w:color w:val="auto"/>
              </w:rPr>
            </w:pPr>
          </w:p>
        </w:tc>
        <w:tc>
          <w:tcPr>
            <w:tcW w:w="360" w:type="dxa"/>
            <w:vAlign w:val="bottom"/>
          </w:tcPr>
          <w:p>
            <w:pPr>
              <w:ind w:left="120"/>
              <w:spacing w:after="0"/>
              <w:rPr>
                <w:sz w:val="20"/>
                <w:szCs w:val="20"/>
                <w:color w:val="auto"/>
              </w:rPr>
            </w:pPr>
            <w:r>
              <w:rPr>
                <w:rFonts w:ascii="Arial" w:cs="Arial" w:eastAsia="Arial" w:hAnsi="Arial"/>
                <w:sz w:val="12"/>
                <w:szCs w:val="12"/>
                <w:color w:val="auto"/>
              </w:rPr>
              <w:t>4.3</w:t>
            </w:r>
          </w:p>
        </w:tc>
        <w:tc>
          <w:tcPr>
            <w:tcW w:w="1980" w:type="dxa"/>
            <w:vAlign w:val="bottom"/>
            <w:gridSpan w:val="3"/>
          </w:tcPr>
          <w:p>
            <w:pPr>
              <w:jc w:val="center"/>
              <w:ind w:left="420"/>
              <w:spacing w:after="0"/>
              <w:rPr>
                <w:sz w:val="20"/>
                <w:szCs w:val="20"/>
                <w:color w:val="auto"/>
              </w:rPr>
            </w:pPr>
            <w:r>
              <w:rPr>
                <w:rFonts w:ascii="Arial" w:cs="Arial" w:eastAsia="Arial" w:hAnsi="Arial"/>
                <w:sz w:val="12"/>
                <w:szCs w:val="12"/>
                <w:color w:val="auto"/>
              </w:rPr>
              <w:t>Advances and Drawings</w:t>
            </w:r>
          </w:p>
        </w:tc>
        <w:tc>
          <w:tcPr>
            <w:tcW w:w="520" w:type="dxa"/>
            <w:vAlign w:val="bottom"/>
          </w:tcPr>
          <w:p>
            <w:pPr>
              <w:jc w:val="right"/>
              <w:spacing w:after="0"/>
              <w:rPr>
                <w:sz w:val="20"/>
                <w:szCs w:val="20"/>
                <w:color w:val="auto"/>
              </w:rPr>
            </w:pPr>
            <w:r>
              <w:rPr>
                <w:rFonts w:ascii="Arial" w:cs="Arial" w:eastAsia="Arial" w:hAnsi="Arial"/>
                <w:sz w:val="12"/>
                <w:szCs w:val="12"/>
                <w:color w:val="auto"/>
              </w:rPr>
              <w:t>20</w:t>
            </w: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160" w:type="dxa"/>
            <w:vAlign w:val="bottom"/>
          </w:tcPr>
          <w:p>
            <w:pPr>
              <w:spacing w:after="0"/>
              <w:rPr>
                <w:sz w:val="14"/>
                <w:szCs w:val="14"/>
                <w:color w:val="auto"/>
              </w:rPr>
            </w:pPr>
          </w:p>
        </w:tc>
      </w:tr>
      <w:tr>
        <w:trPr>
          <w:trHeight w:val="180"/>
        </w:trPr>
        <w:tc>
          <w:tcPr>
            <w:tcW w:w="560" w:type="dxa"/>
            <w:vAlign w:val="bottom"/>
          </w:tcPr>
          <w:p>
            <w:pPr>
              <w:spacing w:after="0"/>
              <w:rPr>
                <w:sz w:val="15"/>
                <w:szCs w:val="15"/>
                <w:color w:val="auto"/>
              </w:rPr>
            </w:pPr>
          </w:p>
        </w:tc>
        <w:tc>
          <w:tcPr>
            <w:tcW w:w="360" w:type="dxa"/>
            <w:vAlign w:val="bottom"/>
          </w:tcPr>
          <w:p>
            <w:pPr>
              <w:ind w:left="120"/>
              <w:spacing w:after="0"/>
              <w:rPr>
                <w:sz w:val="20"/>
                <w:szCs w:val="20"/>
                <w:color w:val="auto"/>
              </w:rPr>
            </w:pPr>
            <w:r>
              <w:rPr>
                <w:rFonts w:ascii="Arial" w:cs="Arial" w:eastAsia="Arial" w:hAnsi="Arial"/>
                <w:sz w:val="12"/>
                <w:szCs w:val="12"/>
                <w:color w:val="auto"/>
              </w:rPr>
              <w:t>4.4</w:t>
            </w:r>
          </w:p>
        </w:tc>
        <w:tc>
          <w:tcPr>
            <w:tcW w:w="1980" w:type="dxa"/>
            <w:vAlign w:val="bottom"/>
            <w:gridSpan w:val="3"/>
          </w:tcPr>
          <w:p>
            <w:pPr>
              <w:jc w:val="center"/>
              <w:ind w:left="380"/>
              <w:spacing w:after="0"/>
              <w:rPr>
                <w:sz w:val="20"/>
                <w:szCs w:val="20"/>
                <w:color w:val="auto"/>
              </w:rPr>
            </w:pPr>
            <w:r>
              <w:rPr>
                <w:rFonts w:ascii="Arial" w:cs="Arial" w:eastAsia="Arial" w:hAnsi="Arial"/>
                <w:sz w:val="12"/>
                <w:szCs w:val="12"/>
                <w:color w:val="auto"/>
                <w:w w:val="99"/>
              </w:rPr>
              <w:t>Funding Notices</w:t>
            </w:r>
          </w:p>
        </w:tc>
        <w:tc>
          <w:tcPr>
            <w:tcW w:w="520" w:type="dxa"/>
            <w:vAlign w:val="bottom"/>
          </w:tcPr>
          <w:p>
            <w:pPr>
              <w:jc w:val="right"/>
              <w:ind w:right="240"/>
              <w:spacing w:after="0"/>
              <w:rPr>
                <w:sz w:val="20"/>
                <w:szCs w:val="20"/>
                <w:color w:val="auto"/>
              </w:rPr>
            </w:pPr>
            <w:r>
              <w:rPr>
                <w:rFonts w:ascii="Arial" w:cs="Arial" w:eastAsia="Arial" w:hAnsi="Arial"/>
                <w:sz w:val="12"/>
                <w:szCs w:val="12"/>
                <w:color w:val="auto"/>
              </w:rPr>
              <w:t>21</w:t>
            </w: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160" w:type="dxa"/>
            <w:vAlign w:val="bottom"/>
          </w:tcPr>
          <w:p>
            <w:pPr>
              <w:spacing w:after="0"/>
              <w:rPr>
                <w:sz w:val="15"/>
                <w:szCs w:val="15"/>
                <w:color w:val="auto"/>
              </w:rPr>
            </w:pPr>
          </w:p>
        </w:tc>
      </w:tr>
      <w:tr>
        <w:trPr>
          <w:trHeight w:val="162"/>
        </w:trPr>
        <w:tc>
          <w:tcPr>
            <w:tcW w:w="560" w:type="dxa"/>
            <w:vAlign w:val="bottom"/>
          </w:tcPr>
          <w:p>
            <w:pPr>
              <w:spacing w:after="0"/>
              <w:rPr>
                <w:sz w:val="14"/>
                <w:szCs w:val="14"/>
                <w:color w:val="auto"/>
              </w:rPr>
            </w:pPr>
          </w:p>
        </w:tc>
        <w:tc>
          <w:tcPr>
            <w:tcW w:w="360" w:type="dxa"/>
            <w:vAlign w:val="bottom"/>
          </w:tcPr>
          <w:p>
            <w:pPr>
              <w:ind w:left="120"/>
              <w:spacing w:after="0"/>
              <w:rPr>
                <w:sz w:val="20"/>
                <w:szCs w:val="20"/>
                <w:color w:val="auto"/>
              </w:rPr>
            </w:pPr>
            <w:r>
              <w:rPr>
                <w:rFonts w:ascii="Arial" w:cs="Arial" w:eastAsia="Arial" w:hAnsi="Arial"/>
                <w:sz w:val="12"/>
                <w:szCs w:val="12"/>
                <w:color w:val="auto"/>
              </w:rPr>
              <w:t>4.5</w:t>
            </w:r>
          </w:p>
        </w:tc>
        <w:tc>
          <w:tcPr>
            <w:tcW w:w="9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Not used</w:t>
            </w:r>
          </w:p>
        </w:tc>
        <w:tc>
          <w:tcPr>
            <w:tcW w:w="400" w:type="dxa"/>
            <w:vAlign w:val="bottom"/>
          </w:tcPr>
          <w:p>
            <w:pPr>
              <w:spacing w:after="0"/>
              <w:rPr>
                <w:sz w:val="14"/>
                <w:szCs w:val="14"/>
                <w:color w:val="auto"/>
              </w:rPr>
            </w:pPr>
          </w:p>
        </w:tc>
        <w:tc>
          <w:tcPr>
            <w:tcW w:w="520" w:type="dxa"/>
            <w:vAlign w:val="bottom"/>
          </w:tcPr>
          <w:p>
            <w:pPr>
              <w:jc w:val="right"/>
              <w:ind w:right="320"/>
              <w:spacing w:after="0"/>
              <w:rPr>
                <w:sz w:val="20"/>
                <w:szCs w:val="20"/>
                <w:color w:val="auto"/>
              </w:rPr>
            </w:pPr>
            <w:r>
              <w:rPr>
                <w:rFonts w:ascii="Arial" w:cs="Arial" w:eastAsia="Arial" w:hAnsi="Arial"/>
                <w:sz w:val="12"/>
                <w:szCs w:val="12"/>
                <w:color w:val="auto"/>
                <w:w w:val="89"/>
              </w:rPr>
              <w:t>22</w:t>
            </w: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160" w:type="dxa"/>
            <w:vAlign w:val="bottom"/>
          </w:tcPr>
          <w:p>
            <w:pPr>
              <w:spacing w:after="0"/>
              <w:rPr>
                <w:sz w:val="14"/>
                <w:szCs w:val="14"/>
                <w:color w:val="auto"/>
              </w:rPr>
            </w:pPr>
          </w:p>
        </w:tc>
      </w:tr>
      <w:tr>
        <w:trPr>
          <w:trHeight w:val="180"/>
        </w:trPr>
        <w:tc>
          <w:tcPr>
            <w:tcW w:w="560" w:type="dxa"/>
            <w:vAlign w:val="bottom"/>
          </w:tcPr>
          <w:p>
            <w:pPr>
              <w:spacing w:after="0"/>
              <w:rPr>
                <w:sz w:val="15"/>
                <w:szCs w:val="15"/>
                <w:color w:val="auto"/>
              </w:rPr>
            </w:pPr>
          </w:p>
        </w:tc>
        <w:tc>
          <w:tcPr>
            <w:tcW w:w="360" w:type="dxa"/>
            <w:vAlign w:val="bottom"/>
          </w:tcPr>
          <w:p>
            <w:pPr>
              <w:ind w:left="120"/>
              <w:spacing w:after="0"/>
              <w:rPr>
                <w:sz w:val="20"/>
                <w:szCs w:val="20"/>
                <w:color w:val="auto"/>
              </w:rPr>
            </w:pPr>
            <w:r>
              <w:rPr>
                <w:rFonts w:ascii="Arial" w:cs="Arial" w:eastAsia="Arial" w:hAnsi="Arial"/>
                <w:sz w:val="12"/>
                <w:szCs w:val="12"/>
                <w:color w:val="auto"/>
              </w:rPr>
              <w:t>4.6</w:t>
            </w:r>
          </w:p>
        </w:tc>
        <w:tc>
          <w:tcPr>
            <w:tcW w:w="9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Not used</w:t>
            </w:r>
          </w:p>
        </w:tc>
        <w:tc>
          <w:tcPr>
            <w:tcW w:w="400" w:type="dxa"/>
            <w:vAlign w:val="bottom"/>
          </w:tcPr>
          <w:p>
            <w:pPr>
              <w:spacing w:after="0"/>
              <w:rPr>
                <w:sz w:val="15"/>
                <w:szCs w:val="15"/>
                <w:color w:val="auto"/>
              </w:rPr>
            </w:pPr>
          </w:p>
        </w:tc>
        <w:tc>
          <w:tcPr>
            <w:tcW w:w="520" w:type="dxa"/>
            <w:vAlign w:val="bottom"/>
          </w:tcPr>
          <w:p>
            <w:pPr>
              <w:jc w:val="right"/>
              <w:ind w:right="320"/>
              <w:spacing w:after="0"/>
              <w:rPr>
                <w:sz w:val="20"/>
                <w:szCs w:val="20"/>
                <w:color w:val="auto"/>
              </w:rPr>
            </w:pPr>
            <w:r>
              <w:rPr>
                <w:rFonts w:ascii="Arial" w:cs="Arial" w:eastAsia="Arial" w:hAnsi="Arial"/>
                <w:sz w:val="12"/>
                <w:szCs w:val="12"/>
                <w:color w:val="auto"/>
                <w:w w:val="89"/>
              </w:rPr>
              <w:t>22</w:t>
            </w: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160" w:type="dxa"/>
            <w:vAlign w:val="bottom"/>
          </w:tcPr>
          <w:p>
            <w:pPr>
              <w:spacing w:after="0"/>
              <w:rPr>
                <w:sz w:val="15"/>
                <w:szCs w:val="15"/>
                <w:color w:val="auto"/>
              </w:rPr>
            </w:pPr>
          </w:p>
        </w:tc>
      </w:tr>
      <w:tr>
        <w:trPr>
          <w:trHeight w:val="162"/>
        </w:trPr>
        <w:tc>
          <w:tcPr>
            <w:tcW w:w="560" w:type="dxa"/>
            <w:vAlign w:val="bottom"/>
          </w:tcPr>
          <w:p>
            <w:pPr>
              <w:spacing w:after="0"/>
              <w:rPr>
                <w:sz w:val="14"/>
                <w:szCs w:val="14"/>
                <w:color w:val="auto"/>
              </w:rPr>
            </w:pPr>
          </w:p>
        </w:tc>
        <w:tc>
          <w:tcPr>
            <w:tcW w:w="360" w:type="dxa"/>
            <w:vAlign w:val="bottom"/>
          </w:tcPr>
          <w:p>
            <w:pPr>
              <w:ind w:left="120"/>
              <w:spacing w:after="0"/>
              <w:rPr>
                <w:sz w:val="20"/>
                <w:szCs w:val="20"/>
                <w:color w:val="auto"/>
              </w:rPr>
            </w:pPr>
            <w:r>
              <w:rPr>
                <w:rFonts w:ascii="Arial" w:cs="Arial" w:eastAsia="Arial" w:hAnsi="Arial"/>
                <w:sz w:val="12"/>
                <w:szCs w:val="12"/>
                <w:color w:val="auto"/>
              </w:rPr>
              <w:t>4.7</w:t>
            </w:r>
          </w:p>
        </w:tc>
        <w:tc>
          <w:tcPr>
            <w:tcW w:w="9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Not used</w:t>
            </w:r>
          </w:p>
        </w:tc>
        <w:tc>
          <w:tcPr>
            <w:tcW w:w="400" w:type="dxa"/>
            <w:vAlign w:val="bottom"/>
          </w:tcPr>
          <w:p>
            <w:pPr>
              <w:spacing w:after="0"/>
              <w:rPr>
                <w:sz w:val="14"/>
                <w:szCs w:val="14"/>
                <w:color w:val="auto"/>
              </w:rPr>
            </w:pPr>
          </w:p>
        </w:tc>
        <w:tc>
          <w:tcPr>
            <w:tcW w:w="520" w:type="dxa"/>
            <w:vAlign w:val="bottom"/>
          </w:tcPr>
          <w:p>
            <w:pPr>
              <w:jc w:val="right"/>
              <w:ind w:right="320"/>
              <w:spacing w:after="0"/>
              <w:rPr>
                <w:sz w:val="20"/>
                <w:szCs w:val="20"/>
                <w:color w:val="auto"/>
              </w:rPr>
            </w:pPr>
            <w:r>
              <w:rPr>
                <w:rFonts w:ascii="Arial" w:cs="Arial" w:eastAsia="Arial" w:hAnsi="Arial"/>
                <w:sz w:val="12"/>
                <w:szCs w:val="12"/>
                <w:color w:val="auto"/>
                <w:w w:val="89"/>
              </w:rPr>
              <w:t>22</w:t>
            </w: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160" w:type="dxa"/>
            <w:vAlign w:val="bottom"/>
          </w:tcPr>
          <w:p>
            <w:pPr>
              <w:spacing w:after="0"/>
              <w:rPr>
                <w:sz w:val="14"/>
                <w:szCs w:val="14"/>
                <w:color w:val="auto"/>
              </w:rPr>
            </w:pPr>
          </w:p>
        </w:tc>
      </w:tr>
      <w:tr>
        <w:trPr>
          <w:trHeight w:val="180"/>
        </w:trPr>
        <w:tc>
          <w:tcPr>
            <w:tcW w:w="560" w:type="dxa"/>
            <w:vAlign w:val="bottom"/>
          </w:tcPr>
          <w:p>
            <w:pPr>
              <w:spacing w:after="0"/>
              <w:rPr>
                <w:sz w:val="15"/>
                <w:szCs w:val="15"/>
                <w:color w:val="auto"/>
              </w:rPr>
            </w:pPr>
          </w:p>
        </w:tc>
        <w:tc>
          <w:tcPr>
            <w:tcW w:w="360" w:type="dxa"/>
            <w:vAlign w:val="bottom"/>
          </w:tcPr>
          <w:p>
            <w:pPr>
              <w:ind w:left="120"/>
              <w:spacing w:after="0"/>
              <w:rPr>
                <w:sz w:val="20"/>
                <w:szCs w:val="20"/>
                <w:color w:val="auto"/>
              </w:rPr>
            </w:pPr>
            <w:r>
              <w:rPr>
                <w:rFonts w:ascii="Arial" w:cs="Arial" w:eastAsia="Arial" w:hAnsi="Arial"/>
                <w:sz w:val="12"/>
                <w:szCs w:val="12"/>
                <w:color w:val="auto"/>
              </w:rPr>
              <w:t>4.8</w:t>
            </w:r>
          </w:p>
        </w:tc>
        <w:tc>
          <w:tcPr>
            <w:tcW w:w="1980" w:type="dxa"/>
            <w:vAlign w:val="bottom"/>
            <w:gridSpan w:val="3"/>
          </w:tcPr>
          <w:p>
            <w:pPr>
              <w:jc w:val="center"/>
              <w:ind w:left="420"/>
              <w:spacing w:after="0"/>
              <w:rPr>
                <w:sz w:val="20"/>
                <w:szCs w:val="20"/>
                <w:color w:val="auto"/>
              </w:rPr>
            </w:pPr>
            <w:r>
              <w:rPr>
                <w:rFonts w:ascii="Arial" w:cs="Arial" w:eastAsia="Arial" w:hAnsi="Arial"/>
                <w:sz w:val="12"/>
                <w:szCs w:val="12"/>
                <w:color w:val="auto"/>
              </w:rPr>
              <w:t>Bank Guarantee Facilities</w:t>
            </w:r>
          </w:p>
        </w:tc>
        <w:tc>
          <w:tcPr>
            <w:tcW w:w="520" w:type="dxa"/>
            <w:vAlign w:val="bottom"/>
          </w:tcPr>
          <w:p>
            <w:pPr>
              <w:jc w:val="right"/>
              <w:spacing w:after="0"/>
              <w:rPr>
                <w:sz w:val="20"/>
                <w:szCs w:val="20"/>
                <w:color w:val="auto"/>
              </w:rPr>
            </w:pPr>
            <w:r>
              <w:rPr>
                <w:rFonts w:ascii="Arial" w:cs="Arial" w:eastAsia="Arial" w:hAnsi="Arial"/>
                <w:sz w:val="12"/>
                <w:szCs w:val="12"/>
                <w:color w:val="auto"/>
              </w:rPr>
              <w:t>22</w:t>
            </w: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160" w:type="dxa"/>
            <w:vAlign w:val="bottom"/>
          </w:tcPr>
          <w:p>
            <w:pPr>
              <w:spacing w:after="0"/>
              <w:rPr>
                <w:sz w:val="15"/>
                <w:szCs w:val="15"/>
                <w:color w:val="auto"/>
              </w:rPr>
            </w:pPr>
          </w:p>
        </w:tc>
      </w:tr>
      <w:tr>
        <w:trPr>
          <w:trHeight w:val="162"/>
        </w:trPr>
        <w:tc>
          <w:tcPr>
            <w:tcW w:w="560" w:type="dxa"/>
            <w:vAlign w:val="bottom"/>
          </w:tcPr>
          <w:p>
            <w:pPr>
              <w:spacing w:after="0"/>
              <w:rPr>
                <w:sz w:val="14"/>
                <w:szCs w:val="14"/>
                <w:color w:val="auto"/>
              </w:rPr>
            </w:pPr>
          </w:p>
        </w:tc>
        <w:tc>
          <w:tcPr>
            <w:tcW w:w="360" w:type="dxa"/>
            <w:vAlign w:val="bottom"/>
          </w:tcPr>
          <w:p>
            <w:pPr>
              <w:ind w:left="120"/>
              <w:spacing w:after="0"/>
              <w:rPr>
                <w:sz w:val="20"/>
                <w:szCs w:val="20"/>
                <w:color w:val="auto"/>
              </w:rPr>
            </w:pPr>
            <w:r>
              <w:rPr>
                <w:rFonts w:ascii="Arial" w:cs="Arial" w:eastAsia="Arial" w:hAnsi="Arial"/>
                <w:sz w:val="12"/>
                <w:szCs w:val="12"/>
                <w:color w:val="auto"/>
              </w:rPr>
              <w:t>4.9</w:t>
            </w:r>
          </w:p>
        </w:tc>
        <w:tc>
          <w:tcPr>
            <w:tcW w:w="1580" w:type="dxa"/>
            <w:vAlign w:val="bottom"/>
            <w:gridSpan w:val="2"/>
          </w:tcPr>
          <w:p>
            <w:pPr>
              <w:jc w:val="center"/>
              <w:ind w:left="860"/>
              <w:spacing w:after="0"/>
              <w:rPr>
                <w:sz w:val="20"/>
                <w:szCs w:val="20"/>
                <w:color w:val="auto"/>
              </w:rPr>
            </w:pPr>
            <w:r>
              <w:rPr>
                <w:rFonts w:ascii="Arial" w:cs="Arial" w:eastAsia="Arial" w:hAnsi="Arial"/>
                <w:sz w:val="12"/>
                <w:szCs w:val="12"/>
                <w:color w:val="auto"/>
                <w:w w:val="99"/>
              </w:rPr>
              <w:t>Cancellation</w:t>
            </w:r>
          </w:p>
        </w:tc>
        <w:tc>
          <w:tcPr>
            <w:tcW w:w="400" w:type="dxa"/>
            <w:vAlign w:val="bottom"/>
          </w:tcPr>
          <w:p>
            <w:pPr>
              <w:spacing w:after="0"/>
              <w:rPr>
                <w:sz w:val="14"/>
                <w:szCs w:val="14"/>
                <w:color w:val="auto"/>
              </w:rPr>
            </w:pPr>
          </w:p>
        </w:tc>
        <w:tc>
          <w:tcPr>
            <w:tcW w:w="520" w:type="dxa"/>
            <w:vAlign w:val="bottom"/>
          </w:tcPr>
          <w:p>
            <w:pPr>
              <w:jc w:val="right"/>
              <w:ind w:right="300"/>
              <w:spacing w:after="0"/>
              <w:rPr>
                <w:sz w:val="20"/>
                <w:szCs w:val="20"/>
                <w:color w:val="auto"/>
              </w:rPr>
            </w:pPr>
            <w:r>
              <w:rPr>
                <w:rFonts w:ascii="Arial" w:cs="Arial" w:eastAsia="Arial" w:hAnsi="Arial"/>
                <w:sz w:val="12"/>
                <w:szCs w:val="12"/>
                <w:color w:val="auto"/>
              </w:rPr>
              <w:t>22</w:t>
            </w: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160" w:type="dxa"/>
            <w:vAlign w:val="bottom"/>
          </w:tcPr>
          <w:p>
            <w:pPr>
              <w:spacing w:after="0"/>
              <w:rPr>
                <w:sz w:val="14"/>
                <w:szCs w:val="14"/>
                <w:color w:val="auto"/>
              </w:rPr>
            </w:pPr>
          </w:p>
        </w:tc>
      </w:tr>
      <w:tr>
        <w:trPr>
          <w:trHeight w:val="180"/>
        </w:trPr>
        <w:tc>
          <w:tcPr>
            <w:tcW w:w="560" w:type="dxa"/>
            <w:vAlign w:val="bottom"/>
          </w:tcPr>
          <w:p>
            <w:pPr>
              <w:spacing w:after="0"/>
              <w:rPr>
                <w:sz w:val="15"/>
                <w:szCs w:val="15"/>
                <w:color w:val="auto"/>
              </w:rPr>
            </w:pPr>
          </w:p>
        </w:tc>
        <w:tc>
          <w:tcPr>
            <w:tcW w:w="360" w:type="dxa"/>
            <w:vAlign w:val="bottom"/>
          </w:tcPr>
          <w:p>
            <w:pPr>
              <w:ind w:left="120"/>
              <w:spacing w:after="0"/>
              <w:rPr>
                <w:sz w:val="20"/>
                <w:szCs w:val="20"/>
                <w:color w:val="auto"/>
              </w:rPr>
            </w:pPr>
            <w:r>
              <w:rPr>
                <w:rFonts w:ascii="Arial" w:cs="Arial" w:eastAsia="Arial" w:hAnsi="Arial"/>
                <w:sz w:val="12"/>
                <w:szCs w:val="12"/>
                <w:color w:val="auto"/>
                <w:w w:val="93"/>
              </w:rPr>
              <w:t>4.10</w:t>
            </w:r>
          </w:p>
        </w:tc>
        <w:tc>
          <w:tcPr>
            <w:tcW w:w="940" w:type="dxa"/>
            <w:vAlign w:val="bottom"/>
          </w:tcPr>
          <w:p>
            <w:pPr>
              <w:spacing w:after="0"/>
              <w:rPr>
                <w:sz w:val="15"/>
                <w:szCs w:val="15"/>
                <w:color w:val="auto"/>
              </w:rPr>
            </w:pPr>
          </w:p>
        </w:tc>
        <w:tc>
          <w:tcPr>
            <w:tcW w:w="1040" w:type="dxa"/>
            <w:vAlign w:val="bottom"/>
            <w:gridSpan w:val="2"/>
          </w:tcPr>
          <w:p>
            <w:pPr>
              <w:ind w:left="100"/>
              <w:spacing w:after="0"/>
              <w:rPr>
                <w:sz w:val="20"/>
                <w:szCs w:val="20"/>
                <w:color w:val="auto"/>
              </w:rPr>
            </w:pPr>
            <w:r>
              <w:rPr>
                <w:rFonts w:ascii="Arial" w:cs="Arial" w:eastAsia="Arial" w:hAnsi="Arial"/>
                <w:sz w:val="12"/>
                <w:szCs w:val="12"/>
                <w:color w:val="auto"/>
                <w:w w:val="99"/>
              </w:rPr>
              <w:t>Market disruption</w:t>
            </w:r>
          </w:p>
        </w:tc>
        <w:tc>
          <w:tcPr>
            <w:tcW w:w="960" w:type="dxa"/>
            <w:vAlign w:val="bottom"/>
            <w:gridSpan w:val="2"/>
          </w:tcPr>
          <w:p>
            <w:pPr>
              <w:jc w:val="right"/>
              <w:ind w:right="360"/>
              <w:spacing w:after="0"/>
              <w:rPr>
                <w:sz w:val="20"/>
                <w:szCs w:val="20"/>
                <w:color w:val="auto"/>
              </w:rPr>
            </w:pPr>
            <w:r>
              <w:rPr>
                <w:rFonts w:ascii="Arial" w:cs="Arial" w:eastAsia="Arial" w:hAnsi="Arial"/>
                <w:sz w:val="12"/>
                <w:szCs w:val="12"/>
                <w:color w:val="auto"/>
              </w:rPr>
              <w:t>22</w:t>
            </w:r>
          </w:p>
        </w:tc>
        <w:tc>
          <w:tcPr>
            <w:tcW w:w="720" w:type="dxa"/>
            <w:vAlign w:val="bottom"/>
          </w:tcPr>
          <w:p>
            <w:pPr>
              <w:spacing w:after="0"/>
              <w:rPr>
                <w:sz w:val="15"/>
                <w:szCs w:val="15"/>
                <w:color w:val="auto"/>
              </w:rPr>
            </w:pPr>
          </w:p>
        </w:tc>
        <w:tc>
          <w:tcPr>
            <w:tcW w:w="5160" w:type="dxa"/>
            <w:vAlign w:val="bottom"/>
          </w:tcPr>
          <w:p>
            <w:pPr>
              <w:spacing w:after="0"/>
              <w:rPr>
                <w:sz w:val="15"/>
                <w:szCs w:val="15"/>
                <w:color w:val="auto"/>
              </w:rPr>
            </w:pPr>
          </w:p>
        </w:tc>
      </w:tr>
      <w:tr>
        <w:trPr>
          <w:trHeight w:val="162"/>
        </w:trPr>
        <w:tc>
          <w:tcPr>
            <w:tcW w:w="560" w:type="dxa"/>
            <w:vAlign w:val="bottom"/>
          </w:tcPr>
          <w:p>
            <w:pPr>
              <w:spacing w:after="0"/>
              <w:rPr>
                <w:sz w:val="14"/>
                <w:szCs w:val="14"/>
                <w:color w:val="auto"/>
              </w:rPr>
            </w:pPr>
          </w:p>
        </w:tc>
        <w:tc>
          <w:tcPr>
            <w:tcW w:w="360" w:type="dxa"/>
            <w:vAlign w:val="bottom"/>
          </w:tcPr>
          <w:p>
            <w:pPr>
              <w:ind w:left="120"/>
              <w:spacing w:after="0"/>
              <w:rPr>
                <w:sz w:val="20"/>
                <w:szCs w:val="20"/>
                <w:color w:val="auto"/>
              </w:rPr>
            </w:pPr>
            <w:r>
              <w:rPr>
                <w:rFonts w:ascii="Arial" w:cs="Arial" w:eastAsia="Arial" w:hAnsi="Arial"/>
                <w:sz w:val="12"/>
                <w:szCs w:val="12"/>
                <w:color w:val="auto"/>
                <w:w w:val="93"/>
              </w:rPr>
              <w:t>4.11</w:t>
            </w:r>
          </w:p>
        </w:tc>
        <w:tc>
          <w:tcPr>
            <w:tcW w:w="2940" w:type="dxa"/>
            <w:vAlign w:val="bottom"/>
            <w:gridSpan w:val="5"/>
          </w:tcPr>
          <w:p>
            <w:pPr>
              <w:jc w:val="right"/>
              <w:ind w:right="300"/>
              <w:spacing w:after="0"/>
              <w:rPr>
                <w:sz w:val="20"/>
                <w:szCs w:val="20"/>
                <w:color w:val="auto"/>
              </w:rPr>
            </w:pPr>
            <w:r>
              <w:rPr>
                <w:rFonts w:ascii="Arial" w:cs="Arial" w:eastAsia="Arial" w:hAnsi="Arial"/>
                <w:sz w:val="12"/>
                <w:szCs w:val="12"/>
                <w:color w:val="auto"/>
              </w:rPr>
              <w:t>Alternative basis of interest or funding</w:t>
            </w:r>
          </w:p>
        </w:tc>
        <w:tc>
          <w:tcPr>
            <w:tcW w:w="720" w:type="dxa"/>
            <w:vAlign w:val="bottom"/>
          </w:tcPr>
          <w:p>
            <w:pPr>
              <w:jc w:val="right"/>
              <w:ind w:right="440"/>
              <w:spacing w:after="0"/>
              <w:rPr>
                <w:sz w:val="20"/>
                <w:szCs w:val="20"/>
                <w:color w:val="auto"/>
              </w:rPr>
            </w:pPr>
            <w:r>
              <w:rPr>
                <w:rFonts w:ascii="Arial" w:cs="Arial" w:eastAsia="Arial" w:hAnsi="Arial"/>
                <w:sz w:val="12"/>
                <w:szCs w:val="12"/>
                <w:color w:val="auto"/>
              </w:rPr>
              <w:t>23</w:t>
            </w:r>
          </w:p>
        </w:tc>
        <w:tc>
          <w:tcPr>
            <w:tcW w:w="5160" w:type="dxa"/>
            <w:vAlign w:val="bottom"/>
          </w:tcPr>
          <w:p>
            <w:pPr>
              <w:spacing w:after="0"/>
              <w:rPr>
                <w:sz w:val="14"/>
                <w:szCs w:val="14"/>
                <w:color w:val="auto"/>
              </w:rPr>
            </w:pPr>
          </w:p>
        </w:tc>
      </w:tr>
      <w:tr>
        <w:trPr>
          <w:trHeight w:val="180"/>
        </w:trPr>
        <w:tc>
          <w:tcPr>
            <w:tcW w:w="560" w:type="dxa"/>
            <w:vAlign w:val="bottom"/>
          </w:tcPr>
          <w:p>
            <w:pPr>
              <w:spacing w:after="0"/>
              <w:rPr>
                <w:sz w:val="15"/>
                <w:szCs w:val="15"/>
                <w:color w:val="auto"/>
              </w:rPr>
            </w:pPr>
          </w:p>
        </w:tc>
        <w:tc>
          <w:tcPr>
            <w:tcW w:w="360" w:type="dxa"/>
            <w:vAlign w:val="bottom"/>
          </w:tcPr>
          <w:p>
            <w:pPr>
              <w:ind w:left="120"/>
              <w:spacing w:after="0"/>
              <w:rPr>
                <w:sz w:val="20"/>
                <w:szCs w:val="20"/>
                <w:color w:val="auto"/>
              </w:rPr>
            </w:pPr>
            <w:r>
              <w:rPr>
                <w:rFonts w:ascii="Arial" w:cs="Arial" w:eastAsia="Arial" w:hAnsi="Arial"/>
                <w:sz w:val="12"/>
                <w:szCs w:val="12"/>
                <w:color w:val="auto"/>
                <w:w w:val="93"/>
              </w:rPr>
              <w:t>4.12</w:t>
            </w:r>
          </w:p>
        </w:tc>
        <w:tc>
          <w:tcPr>
            <w:tcW w:w="2500" w:type="dxa"/>
            <w:vAlign w:val="bottom"/>
            <w:gridSpan w:val="4"/>
          </w:tcPr>
          <w:p>
            <w:pPr>
              <w:jc w:val="right"/>
              <w:ind w:right="380"/>
              <w:spacing w:after="0"/>
              <w:rPr>
                <w:sz w:val="20"/>
                <w:szCs w:val="20"/>
                <w:color w:val="auto"/>
              </w:rPr>
            </w:pPr>
            <w:r>
              <w:rPr>
                <w:rFonts w:ascii="Arial" w:cs="Arial" w:eastAsia="Arial" w:hAnsi="Arial"/>
                <w:sz w:val="12"/>
                <w:szCs w:val="12"/>
                <w:color w:val="auto"/>
              </w:rPr>
              <w:t>Pricing Review Events</w:t>
            </w:r>
          </w:p>
        </w:tc>
        <w:tc>
          <w:tcPr>
            <w:tcW w:w="440" w:type="dxa"/>
            <w:vAlign w:val="bottom"/>
          </w:tcPr>
          <w:p>
            <w:pPr>
              <w:jc w:val="right"/>
              <w:ind w:right="240"/>
              <w:spacing w:after="0"/>
              <w:rPr>
                <w:sz w:val="20"/>
                <w:szCs w:val="20"/>
                <w:color w:val="auto"/>
              </w:rPr>
            </w:pPr>
            <w:r>
              <w:rPr>
                <w:rFonts w:ascii="Arial" w:cs="Arial" w:eastAsia="Arial" w:hAnsi="Arial"/>
                <w:sz w:val="12"/>
                <w:szCs w:val="12"/>
                <w:color w:val="auto"/>
                <w:w w:val="89"/>
              </w:rPr>
              <w:t>23</w:t>
            </w:r>
          </w:p>
        </w:tc>
        <w:tc>
          <w:tcPr>
            <w:tcW w:w="720" w:type="dxa"/>
            <w:vAlign w:val="bottom"/>
          </w:tcPr>
          <w:p>
            <w:pPr>
              <w:spacing w:after="0"/>
              <w:rPr>
                <w:sz w:val="15"/>
                <w:szCs w:val="15"/>
                <w:color w:val="auto"/>
              </w:rPr>
            </w:pPr>
          </w:p>
        </w:tc>
        <w:tc>
          <w:tcPr>
            <w:tcW w:w="5160" w:type="dxa"/>
            <w:vAlign w:val="bottom"/>
          </w:tcPr>
          <w:p>
            <w:pPr>
              <w:spacing w:after="0"/>
              <w:rPr>
                <w:sz w:val="15"/>
                <w:szCs w:val="15"/>
                <w:color w:val="auto"/>
              </w:rPr>
            </w:pPr>
          </w:p>
        </w:tc>
      </w:tr>
      <w:tr>
        <w:trPr>
          <w:trHeight w:val="162"/>
        </w:trPr>
        <w:tc>
          <w:tcPr>
            <w:tcW w:w="560" w:type="dxa"/>
            <w:vAlign w:val="bottom"/>
          </w:tcPr>
          <w:p>
            <w:pPr>
              <w:spacing w:after="0"/>
              <w:rPr>
                <w:sz w:val="14"/>
                <w:szCs w:val="14"/>
                <w:color w:val="auto"/>
              </w:rPr>
            </w:pPr>
          </w:p>
        </w:tc>
        <w:tc>
          <w:tcPr>
            <w:tcW w:w="360" w:type="dxa"/>
            <w:vAlign w:val="bottom"/>
          </w:tcPr>
          <w:p>
            <w:pPr>
              <w:ind w:left="120"/>
              <w:spacing w:after="0"/>
              <w:rPr>
                <w:sz w:val="20"/>
                <w:szCs w:val="20"/>
                <w:color w:val="auto"/>
              </w:rPr>
            </w:pPr>
            <w:r>
              <w:rPr>
                <w:rFonts w:ascii="Arial" w:cs="Arial" w:eastAsia="Arial" w:hAnsi="Arial"/>
                <w:sz w:val="12"/>
                <w:szCs w:val="12"/>
                <w:color w:val="auto"/>
                <w:w w:val="93"/>
              </w:rPr>
              <w:t>4.13</w:t>
            </w:r>
          </w:p>
        </w:tc>
        <w:tc>
          <w:tcPr>
            <w:tcW w:w="2500" w:type="dxa"/>
            <w:vAlign w:val="bottom"/>
            <w:gridSpan w:val="4"/>
          </w:tcPr>
          <w:p>
            <w:pPr>
              <w:jc w:val="right"/>
              <w:spacing w:after="0"/>
              <w:rPr>
                <w:sz w:val="20"/>
                <w:szCs w:val="20"/>
                <w:color w:val="auto"/>
              </w:rPr>
            </w:pPr>
            <w:r>
              <w:rPr>
                <w:rFonts w:ascii="Arial" w:cs="Arial" w:eastAsia="Arial" w:hAnsi="Arial"/>
                <w:sz w:val="12"/>
                <w:szCs w:val="12"/>
                <w:color w:val="auto"/>
              </w:rPr>
              <w:t>Consequences of a Pricing Review</w:t>
            </w:r>
          </w:p>
        </w:tc>
        <w:tc>
          <w:tcPr>
            <w:tcW w:w="1160" w:type="dxa"/>
            <w:vAlign w:val="bottom"/>
            <w:gridSpan w:val="2"/>
          </w:tcPr>
          <w:p>
            <w:pPr>
              <w:jc w:val="right"/>
              <w:ind w:right="560"/>
              <w:spacing w:after="0"/>
              <w:rPr>
                <w:sz w:val="20"/>
                <w:szCs w:val="20"/>
                <w:color w:val="auto"/>
              </w:rPr>
            </w:pPr>
            <w:r>
              <w:rPr>
                <w:rFonts w:ascii="Arial" w:cs="Arial" w:eastAsia="Arial" w:hAnsi="Arial"/>
                <w:sz w:val="12"/>
                <w:szCs w:val="12"/>
                <w:color w:val="auto"/>
              </w:rPr>
              <w:t>23</w:t>
            </w:r>
          </w:p>
        </w:tc>
        <w:tc>
          <w:tcPr>
            <w:tcW w:w="5160" w:type="dxa"/>
            <w:vAlign w:val="bottom"/>
          </w:tcPr>
          <w:p>
            <w:pPr>
              <w:spacing w:after="0"/>
              <w:rPr>
                <w:sz w:val="14"/>
                <w:szCs w:val="14"/>
                <w:color w:val="auto"/>
              </w:rPr>
            </w:pPr>
          </w:p>
        </w:tc>
      </w:tr>
      <w:tr>
        <w:trPr>
          <w:trHeight w:val="234"/>
        </w:trPr>
        <w:tc>
          <w:tcPr>
            <w:tcW w:w="560" w:type="dxa"/>
            <w:vAlign w:val="bottom"/>
          </w:tcPr>
          <w:p>
            <w:pPr>
              <w:jc w:val="right"/>
              <w:ind w:right="80"/>
              <w:spacing w:after="0"/>
              <w:rPr>
                <w:sz w:val="20"/>
                <w:szCs w:val="20"/>
                <w:color w:val="auto"/>
              </w:rPr>
            </w:pPr>
            <w:r>
              <w:rPr>
                <w:rFonts w:ascii="Arial" w:cs="Arial" w:eastAsia="Arial" w:hAnsi="Arial"/>
                <w:sz w:val="12"/>
                <w:szCs w:val="12"/>
                <w:b w:val="1"/>
                <w:bCs w:val="1"/>
                <w:color w:val="auto"/>
              </w:rPr>
              <w:t>5</w:t>
            </w:r>
          </w:p>
        </w:tc>
        <w:tc>
          <w:tcPr>
            <w:tcW w:w="360" w:type="dxa"/>
            <w:vAlign w:val="bottom"/>
          </w:tcPr>
          <w:p>
            <w:pPr>
              <w:spacing w:after="0"/>
              <w:rPr>
                <w:sz w:val="20"/>
                <w:szCs w:val="20"/>
                <w:color w:val="auto"/>
              </w:rPr>
            </w:pPr>
          </w:p>
        </w:tc>
        <w:tc>
          <w:tcPr>
            <w:tcW w:w="940" w:type="dxa"/>
            <w:vAlign w:val="bottom"/>
          </w:tcPr>
          <w:p>
            <w:pPr>
              <w:jc w:val="right"/>
              <w:ind w:right="200"/>
              <w:spacing w:after="0"/>
              <w:rPr>
                <w:sz w:val="20"/>
                <w:szCs w:val="20"/>
                <w:color w:val="auto"/>
              </w:rPr>
            </w:pPr>
            <w:r>
              <w:rPr>
                <w:rFonts w:ascii="Arial" w:cs="Arial" w:eastAsia="Arial" w:hAnsi="Arial"/>
                <w:sz w:val="12"/>
                <w:szCs w:val="12"/>
                <w:b w:val="1"/>
                <w:bCs w:val="1"/>
                <w:color w:val="auto"/>
              </w:rPr>
              <w:t>Payments</w:t>
            </w:r>
          </w:p>
        </w:tc>
        <w:tc>
          <w:tcPr>
            <w:tcW w:w="640" w:type="dxa"/>
            <w:vAlign w:val="bottom"/>
          </w:tcPr>
          <w:p>
            <w:pPr>
              <w:jc w:val="right"/>
              <w:ind w:right="280"/>
              <w:spacing w:after="0"/>
              <w:rPr>
                <w:sz w:val="20"/>
                <w:szCs w:val="20"/>
                <w:color w:val="auto"/>
              </w:rPr>
            </w:pPr>
            <w:r>
              <w:rPr>
                <w:rFonts w:ascii="Arial" w:cs="Arial" w:eastAsia="Arial" w:hAnsi="Arial"/>
                <w:sz w:val="12"/>
                <w:szCs w:val="12"/>
                <w:b w:val="1"/>
                <w:bCs w:val="1"/>
                <w:color w:val="auto"/>
              </w:rPr>
              <w:t>24</w:t>
            </w:r>
          </w:p>
        </w:tc>
        <w:tc>
          <w:tcPr>
            <w:tcW w:w="4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160" w:type="dxa"/>
            <w:vAlign w:val="bottom"/>
          </w:tcPr>
          <w:p>
            <w:pPr>
              <w:spacing w:after="0"/>
              <w:rPr>
                <w:sz w:val="20"/>
                <w:szCs w:val="20"/>
                <w:color w:val="auto"/>
              </w:rPr>
            </w:pPr>
          </w:p>
        </w:tc>
      </w:tr>
      <w:tr>
        <w:trPr>
          <w:trHeight w:val="234"/>
        </w:trPr>
        <w:tc>
          <w:tcPr>
            <w:tcW w:w="560" w:type="dxa"/>
            <w:vAlign w:val="bottom"/>
          </w:tcPr>
          <w:p>
            <w:pPr>
              <w:spacing w:after="0"/>
              <w:rPr>
                <w:sz w:val="20"/>
                <w:szCs w:val="20"/>
                <w:color w:val="auto"/>
              </w:rPr>
            </w:pPr>
          </w:p>
        </w:tc>
        <w:tc>
          <w:tcPr>
            <w:tcW w:w="360" w:type="dxa"/>
            <w:vAlign w:val="bottom"/>
          </w:tcPr>
          <w:p>
            <w:pPr>
              <w:ind w:left="120"/>
              <w:spacing w:after="0"/>
              <w:rPr>
                <w:sz w:val="20"/>
                <w:szCs w:val="20"/>
                <w:color w:val="auto"/>
              </w:rPr>
            </w:pPr>
            <w:r>
              <w:rPr>
                <w:rFonts w:ascii="Arial" w:cs="Arial" w:eastAsia="Arial" w:hAnsi="Arial"/>
                <w:sz w:val="12"/>
                <w:szCs w:val="12"/>
                <w:color w:val="auto"/>
              </w:rPr>
              <w:t>5.1</w:t>
            </w:r>
          </w:p>
        </w:tc>
        <w:tc>
          <w:tcPr>
            <w:tcW w:w="9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Not used</w:t>
            </w:r>
          </w:p>
        </w:tc>
        <w:tc>
          <w:tcPr>
            <w:tcW w:w="400" w:type="dxa"/>
            <w:vAlign w:val="bottom"/>
          </w:tcPr>
          <w:p>
            <w:pPr>
              <w:spacing w:after="0"/>
              <w:rPr>
                <w:sz w:val="20"/>
                <w:szCs w:val="20"/>
                <w:color w:val="auto"/>
              </w:rPr>
            </w:pPr>
          </w:p>
        </w:tc>
        <w:tc>
          <w:tcPr>
            <w:tcW w:w="520" w:type="dxa"/>
            <w:vAlign w:val="bottom"/>
          </w:tcPr>
          <w:p>
            <w:pPr>
              <w:jc w:val="right"/>
              <w:ind w:right="320"/>
              <w:spacing w:after="0"/>
              <w:rPr>
                <w:sz w:val="20"/>
                <w:szCs w:val="20"/>
                <w:color w:val="auto"/>
              </w:rPr>
            </w:pPr>
            <w:r>
              <w:rPr>
                <w:rFonts w:ascii="Arial" w:cs="Arial" w:eastAsia="Arial" w:hAnsi="Arial"/>
                <w:sz w:val="12"/>
                <w:szCs w:val="12"/>
                <w:color w:val="auto"/>
                <w:w w:val="89"/>
              </w:rPr>
              <w:t>24</w:t>
            </w:r>
          </w:p>
        </w:tc>
        <w:tc>
          <w:tcPr>
            <w:tcW w:w="4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160" w:type="dxa"/>
            <w:vAlign w:val="bottom"/>
          </w:tcPr>
          <w:p>
            <w:pPr>
              <w:spacing w:after="0"/>
              <w:rPr>
                <w:sz w:val="20"/>
                <w:szCs w:val="20"/>
                <w:color w:val="auto"/>
              </w:rPr>
            </w:pPr>
          </w:p>
        </w:tc>
      </w:tr>
      <w:tr>
        <w:trPr>
          <w:trHeight w:val="162"/>
        </w:trPr>
        <w:tc>
          <w:tcPr>
            <w:tcW w:w="560" w:type="dxa"/>
            <w:vAlign w:val="bottom"/>
          </w:tcPr>
          <w:p>
            <w:pPr>
              <w:spacing w:after="0"/>
              <w:rPr>
                <w:sz w:val="14"/>
                <w:szCs w:val="14"/>
                <w:color w:val="auto"/>
              </w:rPr>
            </w:pPr>
          </w:p>
        </w:tc>
        <w:tc>
          <w:tcPr>
            <w:tcW w:w="360" w:type="dxa"/>
            <w:vAlign w:val="bottom"/>
          </w:tcPr>
          <w:p>
            <w:pPr>
              <w:ind w:left="120"/>
              <w:spacing w:after="0"/>
              <w:rPr>
                <w:sz w:val="20"/>
                <w:szCs w:val="20"/>
                <w:color w:val="auto"/>
              </w:rPr>
            </w:pPr>
            <w:r>
              <w:rPr>
                <w:rFonts w:ascii="Arial" w:cs="Arial" w:eastAsia="Arial" w:hAnsi="Arial"/>
                <w:sz w:val="12"/>
                <w:szCs w:val="12"/>
                <w:color w:val="auto"/>
              </w:rPr>
              <w:t>5.2</w:t>
            </w:r>
          </w:p>
        </w:tc>
        <w:tc>
          <w:tcPr>
            <w:tcW w:w="1980" w:type="dxa"/>
            <w:vAlign w:val="bottom"/>
            <w:gridSpan w:val="3"/>
          </w:tcPr>
          <w:p>
            <w:pPr>
              <w:jc w:val="center"/>
              <w:ind w:left="400"/>
              <w:spacing w:after="0"/>
              <w:rPr>
                <w:sz w:val="20"/>
                <w:szCs w:val="20"/>
                <w:color w:val="auto"/>
              </w:rPr>
            </w:pPr>
            <w:r>
              <w:rPr>
                <w:rFonts w:ascii="Arial" w:cs="Arial" w:eastAsia="Arial" w:hAnsi="Arial"/>
                <w:sz w:val="12"/>
                <w:szCs w:val="12"/>
                <w:color w:val="auto"/>
              </w:rPr>
              <w:t>Voluntary prepayments</w:t>
            </w:r>
          </w:p>
        </w:tc>
        <w:tc>
          <w:tcPr>
            <w:tcW w:w="520" w:type="dxa"/>
            <w:vAlign w:val="bottom"/>
          </w:tcPr>
          <w:p>
            <w:pPr>
              <w:jc w:val="right"/>
              <w:ind w:right="40"/>
              <w:spacing w:after="0"/>
              <w:rPr>
                <w:sz w:val="20"/>
                <w:szCs w:val="20"/>
                <w:color w:val="auto"/>
              </w:rPr>
            </w:pPr>
            <w:r>
              <w:rPr>
                <w:rFonts w:ascii="Arial" w:cs="Arial" w:eastAsia="Arial" w:hAnsi="Arial"/>
                <w:sz w:val="12"/>
                <w:szCs w:val="12"/>
                <w:color w:val="auto"/>
              </w:rPr>
              <w:t>24</w:t>
            </w: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160" w:type="dxa"/>
            <w:vAlign w:val="bottom"/>
          </w:tcPr>
          <w:p>
            <w:pPr>
              <w:spacing w:after="0"/>
              <w:rPr>
                <w:sz w:val="14"/>
                <w:szCs w:val="14"/>
                <w:color w:val="auto"/>
              </w:rPr>
            </w:pPr>
          </w:p>
        </w:tc>
      </w:tr>
      <w:tr>
        <w:trPr>
          <w:trHeight w:val="180"/>
        </w:trPr>
        <w:tc>
          <w:tcPr>
            <w:tcW w:w="560" w:type="dxa"/>
            <w:vAlign w:val="bottom"/>
          </w:tcPr>
          <w:p>
            <w:pPr>
              <w:spacing w:after="0"/>
              <w:rPr>
                <w:sz w:val="15"/>
                <w:szCs w:val="15"/>
                <w:color w:val="auto"/>
              </w:rPr>
            </w:pPr>
          </w:p>
        </w:tc>
        <w:tc>
          <w:tcPr>
            <w:tcW w:w="360" w:type="dxa"/>
            <w:vAlign w:val="bottom"/>
          </w:tcPr>
          <w:p>
            <w:pPr>
              <w:ind w:left="120"/>
              <w:spacing w:after="0"/>
              <w:rPr>
                <w:sz w:val="20"/>
                <w:szCs w:val="20"/>
                <w:color w:val="auto"/>
              </w:rPr>
            </w:pPr>
            <w:r>
              <w:rPr>
                <w:rFonts w:ascii="Arial" w:cs="Arial" w:eastAsia="Arial" w:hAnsi="Arial"/>
                <w:sz w:val="12"/>
                <w:szCs w:val="12"/>
                <w:color w:val="auto"/>
              </w:rPr>
              <w:t>5.3</w:t>
            </w:r>
          </w:p>
        </w:tc>
        <w:tc>
          <w:tcPr>
            <w:tcW w:w="2940" w:type="dxa"/>
            <w:vAlign w:val="bottom"/>
            <w:gridSpan w:val="5"/>
          </w:tcPr>
          <w:p>
            <w:pPr>
              <w:jc w:val="right"/>
              <w:ind w:right="360"/>
              <w:spacing w:after="0"/>
              <w:rPr>
                <w:sz w:val="20"/>
                <w:szCs w:val="20"/>
                <w:color w:val="auto"/>
              </w:rPr>
            </w:pPr>
            <w:r>
              <w:rPr>
                <w:rFonts w:ascii="Arial" w:cs="Arial" w:eastAsia="Arial" w:hAnsi="Arial"/>
                <w:sz w:val="12"/>
                <w:szCs w:val="12"/>
                <w:color w:val="auto"/>
              </w:rPr>
              <w:t>Indemnity in respect of Bank Guarantees</w:t>
            </w:r>
          </w:p>
        </w:tc>
        <w:tc>
          <w:tcPr>
            <w:tcW w:w="720" w:type="dxa"/>
            <w:vAlign w:val="bottom"/>
          </w:tcPr>
          <w:p>
            <w:pPr>
              <w:jc w:val="right"/>
              <w:ind w:right="500"/>
              <w:spacing w:after="0"/>
              <w:rPr>
                <w:sz w:val="20"/>
                <w:szCs w:val="20"/>
                <w:color w:val="auto"/>
              </w:rPr>
            </w:pPr>
            <w:r>
              <w:rPr>
                <w:rFonts w:ascii="Arial" w:cs="Arial" w:eastAsia="Arial" w:hAnsi="Arial"/>
                <w:sz w:val="12"/>
                <w:szCs w:val="12"/>
                <w:color w:val="auto"/>
              </w:rPr>
              <w:t>24</w:t>
            </w:r>
          </w:p>
        </w:tc>
        <w:tc>
          <w:tcPr>
            <w:tcW w:w="5160" w:type="dxa"/>
            <w:vAlign w:val="bottom"/>
          </w:tcPr>
          <w:p>
            <w:pPr>
              <w:spacing w:after="0"/>
              <w:rPr>
                <w:sz w:val="15"/>
                <w:szCs w:val="15"/>
                <w:color w:val="auto"/>
              </w:rPr>
            </w:pPr>
          </w:p>
        </w:tc>
      </w:tr>
      <w:tr>
        <w:trPr>
          <w:trHeight w:val="162"/>
        </w:trPr>
        <w:tc>
          <w:tcPr>
            <w:tcW w:w="560" w:type="dxa"/>
            <w:vAlign w:val="bottom"/>
          </w:tcPr>
          <w:p>
            <w:pPr>
              <w:spacing w:after="0"/>
              <w:rPr>
                <w:sz w:val="14"/>
                <w:szCs w:val="14"/>
                <w:color w:val="auto"/>
              </w:rPr>
            </w:pPr>
          </w:p>
        </w:tc>
        <w:tc>
          <w:tcPr>
            <w:tcW w:w="360" w:type="dxa"/>
            <w:vAlign w:val="bottom"/>
          </w:tcPr>
          <w:p>
            <w:pPr>
              <w:ind w:left="120"/>
              <w:spacing w:after="0"/>
              <w:rPr>
                <w:sz w:val="20"/>
                <w:szCs w:val="20"/>
                <w:color w:val="auto"/>
              </w:rPr>
            </w:pPr>
            <w:r>
              <w:rPr>
                <w:rFonts w:ascii="Arial" w:cs="Arial" w:eastAsia="Arial" w:hAnsi="Arial"/>
                <w:sz w:val="12"/>
                <w:szCs w:val="12"/>
                <w:color w:val="auto"/>
              </w:rPr>
              <w:t>5.4</w:t>
            </w:r>
          </w:p>
        </w:tc>
        <w:tc>
          <w:tcPr>
            <w:tcW w:w="1980" w:type="dxa"/>
            <w:vAlign w:val="bottom"/>
            <w:gridSpan w:val="3"/>
          </w:tcPr>
          <w:p>
            <w:pPr>
              <w:jc w:val="center"/>
              <w:ind w:left="420"/>
              <w:spacing w:after="0"/>
              <w:rPr>
                <w:sz w:val="20"/>
                <w:szCs w:val="20"/>
                <w:color w:val="auto"/>
              </w:rPr>
            </w:pPr>
            <w:r>
              <w:rPr>
                <w:rFonts w:ascii="Arial" w:cs="Arial" w:eastAsia="Arial" w:hAnsi="Arial"/>
                <w:sz w:val="12"/>
                <w:szCs w:val="12"/>
                <w:color w:val="auto"/>
              </w:rPr>
              <w:t>Mandatory prepayments</w:t>
            </w:r>
          </w:p>
        </w:tc>
        <w:tc>
          <w:tcPr>
            <w:tcW w:w="520" w:type="dxa"/>
            <w:vAlign w:val="bottom"/>
          </w:tcPr>
          <w:p>
            <w:pPr>
              <w:jc w:val="right"/>
              <w:spacing w:after="0"/>
              <w:rPr>
                <w:sz w:val="20"/>
                <w:szCs w:val="20"/>
                <w:color w:val="auto"/>
              </w:rPr>
            </w:pPr>
            <w:r>
              <w:rPr>
                <w:rFonts w:ascii="Arial" w:cs="Arial" w:eastAsia="Arial" w:hAnsi="Arial"/>
                <w:sz w:val="12"/>
                <w:szCs w:val="12"/>
                <w:color w:val="auto"/>
              </w:rPr>
              <w:t>26</w:t>
            </w: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160" w:type="dxa"/>
            <w:vAlign w:val="bottom"/>
          </w:tcPr>
          <w:p>
            <w:pPr>
              <w:spacing w:after="0"/>
              <w:rPr>
                <w:sz w:val="14"/>
                <w:szCs w:val="14"/>
                <w:color w:val="auto"/>
              </w:rPr>
            </w:pPr>
          </w:p>
        </w:tc>
      </w:tr>
      <w:tr>
        <w:trPr>
          <w:trHeight w:val="180"/>
        </w:trPr>
        <w:tc>
          <w:tcPr>
            <w:tcW w:w="560" w:type="dxa"/>
            <w:vAlign w:val="bottom"/>
          </w:tcPr>
          <w:p>
            <w:pPr>
              <w:spacing w:after="0"/>
              <w:rPr>
                <w:sz w:val="15"/>
                <w:szCs w:val="15"/>
                <w:color w:val="auto"/>
              </w:rPr>
            </w:pPr>
          </w:p>
        </w:tc>
        <w:tc>
          <w:tcPr>
            <w:tcW w:w="360" w:type="dxa"/>
            <w:vAlign w:val="bottom"/>
          </w:tcPr>
          <w:p>
            <w:pPr>
              <w:ind w:left="120"/>
              <w:spacing w:after="0"/>
              <w:rPr>
                <w:sz w:val="20"/>
                <w:szCs w:val="20"/>
                <w:color w:val="auto"/>
              </w:rPr>
            </w:pPr>
            <w:r>
              <w:rPr>
                <w:rFonts w:ascii="Arial" w:cs="Arial" w:eastAsia="Arial" w:hAnsi="Arial"/>
                <w:sz w:val="12"/>
                <w:szCs w:val="12"/>
                <w:color w:val="auto"/>
              </w:rPr>
              <w:t>5.5</w:t>
            </w:r>
          </w:p>
        </w:tc>
        <w:tc>
          <w:tcPr>
            <w:tcW w:w="9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Repayment</w:t>
            </w:r>
          </w:p>
        </w:tc>
        <w:tc>
          <w:tcPr>
            <w:tcW w:w="400" w:type="dxa"/>
            <w:vAlign w:val="bottom"/>
          </w:tcPr>
          <w:p>
            <w:pPr>
              <w:spacing w:after="0"/>
              <w:rPr>
                <w:sz w:val="15"/>
                <w:szCs w:val="15"/>
                <w:color w:val="auto"/>
              </w:rPr>
            </w:pPr>
          </w:p>
        </w:tc>
        <w:tc>
          <w:tcPr>
            <w:tcW w:w="520" w:type="dxa"/>
            <w:vAlign w:val="bottom"/>
          </w:tcPr>
          <w:p>
            <w:pPr>
              <w:jc w:val="right"/>
              <w:ind w:right="300"/>
              <w:spacing w:after="0"/>
              <w:rPr>
                <w:sz w:val="20"/>
                <w:szCs w:val="20"/>
                <w:color w:val="auto"/>
              </w:rPr>
            </w:pPr>
            <w:r>
              <w:rPr>
                <w:rFonts w:ascii="Arial" w:cs="Arial" w:eastAsia="Arial" w:hAnsi="Arial"/>
                <w:sz w:val="12"/>
                <w:szCs w:val="12"/>
                <w:color w:val="auto"/>
              </w:rPr>
              <w:t>26</w:t>
            </w: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160" w:type="dxa"/>
            <w:vAlign w:val="bottom"/>
          </w:tcPr>
          <w:p>
            <w:pPr>
              <w:spacing w:after="0"/>
              <w:rPr>
                <w:sz w:val="15"/>
                <w:szCs w:val="15"/>
                <w:color w:val="auto"/>
              </w:rPr>
            </w:pPr>
          </w:p>
        </w:tc>
      </w:tr>
      <w:tr>
        <w:trPr>
          <w:trHeight w:val="162"/>
        </w:trPr>
        <w:tc>
          <w:tcPr>
            <w:tcW w:w="560" w:type="dxa"/>
            <w:vAlign w:val="bottom"/>
          </w:tcPr>
          <w:p>
            <w:pPr>
              <w:spacing w:after="0"/>
              <w:rPr>
                <w:sz w:val="14"/>
                <w:szCs w:val="14"/>
                <w:color w:val="auto"/>
              </w:rPr>
            </w:pPr>
          </w:p>
        </w:tc>
        <w:tc>
          <w:tcPr>
            <w:tcW w:w="360" w:type="dxa"/>
            <w:vAlign w:val="bottom"/>
          </w:tcPr>
          <w:p>
            <w:pPr>
              <w:ind w:left="120"/>
              <w:spacing w:after="0"/>
              <w:rPr>
                <w:sz w:val="20"/>
                <w:szCs w:val="20"/>
                <w:color w:val="auto"/>
              </w:rPr>
            </w:pPr>
            <w:r>
              <w:rPr>
                <w:rFonts w:ascii="Arial" w:cs="Arial" w:eastAsia="Arial" w:hAnsi="Arial"/>
                <w:sz w:val="12"/>
                <w:szCs w:val="12"/>
                <w:color w:val="auto"/>
              </w:rPr>
              <w:t>5.6</w:t>
            </w:r>
          </w:p>
        </w:tc>
        <w:tc>
          <w:tcPr>
            <w:tcW w:w="9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Not used</w:t>
            </w:r>
          </w:p>
        </w:tc>
        <w:tc>
          <w:tcPr>
            <w:tcW w:w="400" w:type="dxa"/>
            <w:vAlign w:val="bottom"/>
          </w:tcPr>
          <w:p>
            <w:pPr>
              <w:spacing w:after="0"/>
              <w:rPr>
                <w:sz w:val="14"/>
                <w:szCs w:val="14"/>
                <w:color w:val="auto"/>
              </w:rPr>
            </w:pPr>
          </w:p>
        </w:tc>
        <w:tc>
          <w:tcPr>
            <w:tcW w:w="520" w:type="dxa"/>
            <w:vAlign w:val="bottom"/>
          </w:tcPr>
          <w:p>
            <w:pPr>
              <w:jc w:val="right"/>
              <w:ind w:right="320"/>
              <w:spacing w:after="0"/>
              <w:rPr>
                <w:sz w:val="20"/>
                <w:szCs w:val="20"/>
                <w:color w:val="auto"/>
              </w:rPr>
            </w:pPr>
            <w:r>
              <w:rPr>
                <w:rFonts w:ascii="Arial" w:cs="Arial" w:eastAsia="Arial" w:hAnsi="Arial"/>
                <w:sz w:val="12"/>
                <w:szCs w:val="12"/>
                <w:color w:val="auto"/>
                <w:w w:val="89"/>
              </w:rPr>
              <w:t>27</w:t>
            </w: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160" w:type="dxa"/>
            <w:vAlign w:val="bottom"/>
          </w:tcPr>
          <w:p>
            <w:pPr>
              <w:spacing w:after="0"/>
              <w:rPr>
                <w:sz w:val="14"/>
                <w:szCs w:val="14"/>
                <w:color w:val="auto"/>
              </w:rPr>
            </w:pPr>
          </w:p>
        </w:tc>
      </w:tr>
      <w:tr>
        <w:trPr>
          <w:trHeight w:val="234"/>
        </w:trPr>
        <w:tc>
          <w:tcPr>
            <w:tcW w:w="560" w:type="dxa"/>
            <w:vAlign w:val="bottom"/>
          </w:tcPr>
          <w:p>
            <w:pPr>
              <w:jc w:val="right"/>
              <w:ind w:right="80"/>
              <w:spacing w:after="0"/>
              <w:rPr>
                <w:sz w:val="20"/>
                <w:szCs w:val="20"/>
                <w:color w:val="auto"/>
              </w:rPr>
            </w:pPr>
            <w:r>
              <w:rPr>
                <w:rFonts w:ascii="Arial" w:cs="Arial" w:eastAsia="Arial" w:hAnsi="Arial"/>
                <w:sz w:val="12"/>
                <w:szCs w:val="12"/>
                <w:b w:val="1"/>
                <w:bCs w:val="1"/>
                <w:color w:val="auto"/>
              </w:rPr>
              <w:t>6</w:t>
            </w:r>
          </w:p>
        </w:tc>
        <w:tc>
          <w:tcPr>
            <w:tcW w:w="1300" w:type="dxa"/>
            <w:vAlign w:val="bottom"/>
            <w:gridSpan w:val="2"/>
          </w:tcPr>
          <w:p>
            <w:pPr>
              <w:ind w:left="340"/>
              <w:spacing w:after="0"/>
              <w:rPr>
                <w:sz w:val="20"/>
                <w:szCs w:val="20"/>
                <w:color w:val="auto"/>
              </w:rPr>
            </w:pPr>
            <w:r>
              <w:rPr>
                <w:rFonts w:ascii="Arial" w:cs="Arial" w:eastAsia="Arial" w:hAnsi="Arial"/>
                <w:sz w:val="12"/>
                <w:szCs w:val="12"/>
                <w:b w:val="1"/>
                <w:bCs w:val="1"/>
                <w:color w:val="auto"/>
                <w:w w:val="98"/>
              </w:rPr>
              <w:t>Interest and fees</w:t>
            </w:r>
          </w:p>
        </w:tc>
        <w:tc>
          <w:tcPr>
            <w:tcW w:w="640" w:type="dxa"/>
            <w:vAlign w:val="bottom"/>
          </w:tcPr>
          <w:p>
            <w:pPr>
              <w:jc w:val="right"/>
              <w:ind w:right="20"/>
              <w:spacing w:after="0"/>
              <w:rPr>
                <w:sz w:val="20"/>
                <w:szCs w:val="20"/>
                <w:color w:val="auto"/>
              </w:rPr>
            </w:pPr>
            <w:r>
              <w:rPr>
                <w:rFonts w:ascii="Arial" w:cs="Arial" w:eastAsia="Arial" w:hAnsi="Arial"/>
                <w:sz w:val="12"/>
                <w:szCs w:val="12"/>
                <w:b w:val="1"/>
                <w:bCs w:val="1"/>
                <w:color w:val="auto"/>
              </w:rPr>
              <w:t>27</w:t>
            </w:r>
          </w:p>
        </w:tc>
        <w:tc>
          <w:tcPr>
            <w:tcW w:w="4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160" w:type="dxa"/>
            <w:vAlign w:val="bottom"/>
          </w:tcPr>
          <w:p>
            <w:pPr>
              <w:spacing w:after="0"/>
              <w:rPr>
                <w:sz w:val="20"/>
                <w:szCs w:val="20"/>
                <w:color w:val="auto"/>
              </w:rPr>
            </w:pPr>
          </w:p>
        </w:tc>
      </w:tr>
      <w:tr>
        <w:trPr>
          <w:trHeight w:val="234"/>
        </w:trPr>
        <w:tc>
          <w:tcPr>
            <w:tcW w:w="560" w:type="dxa"/>
            <w:vAlign w:val="bottom"/>
          </w:tcPr>
          <w:p>
            <w:pPr>
              <w:spacing w:after="0"/>
              <w:rPr>
                <w:sz w:val="20"/>
                <w:szCs w:val="20"/>
                <w:color w:val="auto"/>
              </w:rPr>
            </w:pPr>
          </w:p>
        </w:tc>
        <w:tc>
          <w:tcPr>
            <w:tcW w:w="360" w:type="dxa"/>
            <w:vAlign w:val="bottom"/>
          </w:tcPr>
          <w:p>
            <w:pPr>
              <w:ind w:left="120"/>
              <w:spacing w:after="0"/>
              <w:rPr>
                <w:sz w:val="20"/>
                <w:szCs w:val="20"/>
                <w:color w:val="auto"/>
              </w:rPr>
            </w:pPr>
            <w:r>
              <w:rPr>
                <w:rFonts w:ascii="Arial" w:cs="Arial" w:eastAsia="Arial" w:hAnsi="Arial"/>
                <w:sz w:val="12"/>
                <w:szCs w:val="12"/>
                <w:color w:val="auto"/>
              </w:rPr>
              <w:t>6.1</w:t>
            </w:r>
          </w:p>
        </w:tc>
        <w:tc>
          <w:tcPr>
            <w:tcW w:w="1980" w:type="dxa"/>
            <w:vAlign w:val="bottom"/>
            <w:gridSpan w:val="3"/>
          </w:tcPr>
          <w:p>
            <w:pPr>
              <w:jc w:val="center"/>
              <w:ind w:left="400"/>
              <w:spacing w:after="0"/>
              <w:rPr>
                <w:sz w:val="20"/>
                <w:szCs w:val="20"/>
                <w:color w:val="auto"/>
              </w:rPr>
            </w:pPr>
            <w:r>
              <w:rPr>
                <w:rFonts w:ascii="Arial" w:cs="Arial" w:eastAsia="Arial" w:hAnsi="Arial"/>
                <w:sz w:val="12"/>
                <w:szCs w:val="12"/>
                <w:color w:val="auto"/>
                <w:w w:val="99"/>
              </w:rPr>
              <w:t>Pricing Periods</w:t>
            </w:r>
          </w:p>
        </w:tc>
        <w:tc>
          <w:tcPr>
            <w:tcW w:w="520" w:type="dxa"/>
            <w:vAlign w:val="bottom"/>
          </w:tcPr>
          <w:p>
            <w:pPr>
              <w:jc w:val="right"/>
              <w:ind w:right="240"/>
              <w:spacing w:after="0"/>
              <w:rPr>
                <w:sz w:val="20"/>
                <w:szCs w:val="20"/>
                <w:color w:val="auto"/>
              </w:rPr>
            </w:pPr>
            <w:r>
              <w:rPr>
                <w:rFonts w:ascii="Arial" w:cs="Arial" w:eastAsia="Arial" w:hAnsi="Arial"/>
                <w:sz w:val="12"/>
                <w:szCs w:val="12"/>
                <w:color w:val="auto"/>
              </w:rPr>
              <w:t>27</w:t>
            </w:r>
          </w:p>
        </w:tc>
        <w:tc>
          <w:tcPr>
            <w:tcW w:w="4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160" w:type="dxa"/>
            <w:vAlign w:val="bottom"/>
          </w:tcPr>
          <w:p>
            <w:pPr>
              <w:spacing w:after="0"/>
              <w:rPr>
                <w:sz w:val="20"/>
                <w:szCs w:val="20"/>
                <w:color w:val="auto"/>
              </w:rPr>
            </w:pPr>
          </w:p>
        </w:tc>
      </w:tr>
      <w:tr>
        <w:trPr>
          <w:trHeight w:val="162"/>
        </w:trPr>
        <w:tc>
          <w:tcPr>
            <w:tcW w:w="560" w:type="dxa"/>
            <w:vAlign w:val="bottom"/>
          </w:tcPr>
          <w:p>
            <w:pPr>
              <w:spacing w:after="0"/>
              <w:rPr>
                <w:sz w:val="14"/>
                <w:szCs w:val="14"/>
                <w:color w:val="auto"/>
              </w:rPr>
            </w:pPr>
          </w:p>
        </w:tc>
        <w:tc>
          <w:tcPr>
            <w:tcW w:w="360" w:type="dxa"/>
            <w:vAlign w:val="bottom"/>
          </w:tcPr>
          <w:p>
            <w:pPr>
              <w:ind w:left="120"/>
              <w:spacing w:after="0"/>
              <w:rPr>
                <w:sz w:val="20"/>
                <w:szCs w:val="20"/>
                <w:color w:val="auto"/>
              </w:rPr>
            </w:pPr>
            <w:r>
              <w:rPr>
                <w:rFonts w:ascii="Arial" w:cs="Arial" w:eastAsia="Arial" w:hAnsi="Arial"/>
                <w:sz w:val="12"/>
                <w:szCs w:val="12"/>
                <w:color w:val="auto"/>
              </w:rPr>
              <w:t>6.2</w:t>
            </w:r>
          </w:p>
        </w:tc>
        <w:tc>
          <w:tcPr>
            <w:tcW w:w="1980" w:type="dxa"/>
            <w:vAlign w:val="bottom"/>
            <w:gridSpan w:val="3"/>
          </w:tcPr>
          <w:p>
            <w:pPr>
              <w:jc w:val="center"/>
              <w:ind w:left="360"/>
              <w:spacing w:after="0"/>
              <w:rPr>
                <w:sz w:val="20"/>
                <w:szCs w:val="20"/>
                <w:color w:val="auto"/>
              </w:rPr>
            </w:pPr>
            <w:r>
              <w:rPr>
                <w:rFonts w:ascii="Arial" w:cs="Arial" w:eastAsia="Arial" w:hAnsi="Arial"/>
                <w:sz w:val="12"/>
                <w:szCs w:val="12"/>
                <w:color w:val="auto"/>
              </w:rPr>
              <w:t>Payment and rate</w:t>
            </w:r>
          </w:p>
        </w:tc>
        <w:tc>
          <w:tcPr>
            <w:tcW w:w="520" w:type="dxa"/>
            <w:vAlign w:val="bottom"/>
          </w:tcPr>
          <w:p>
            <w:pPr>
              <w:jc w:val="right"/>
              <w:ind w:right="200"/>
              <w:spacing w:after="0"/>
              <w:rPr>
                <w:sz w:val="20"/>
                <w:szCs w:val="20"/>
                <w:color w:val="auto"/>
              </w:rPr>
            </w:pPr>
            <w:r>
              <w:rPr>
                <w:rFonts w:ascii="Arial" w:cs="Arial" w:eastAsia="Arial" w:hAnsi="Arial"/>
                <w:sz w:val="12"/>
                <w:szCs w:val="12"/>
                <w:color w:val="auto"/>
              </w:rPr>
              <w:t>27</w:t>
            </w: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160" w:type="dxa"/>
            <w:vAlign w:val="bottom"/>
          </w:tcPr>
          <w:p>
            <w:pPr>
              <w:spacing w:after="0"/>
              <w:rPr>
                <w:sz w:val="14"/>
                <w:szCs w:val="14"/>
                <w:color w:val="auto"/>
              </w:rPr>
            </w:pPr>
          </w:p>
        </w:tc>
      </w:tr>
      <w:tr>
        <w:trPr>
          <w:trHeight w:val="180"/>
        </w:trPr>
        <w:tc>
          <w:tcPr>
            <w:tcW w:w="560" w:type="dxa"/>
            <w:vAlign w:val="bottom"/>
          </w:tcPr>
          <w:p>
            <w:pPr>
              <w:spacing w:after="0"/>
              <w:rPr>
                <w:sz w:val="15"/>
                <w:szCs w:val="15"/>
                <w:color w:val="auto"/>
              </w:rPr>
            </w:pPr>
          </w:p>
        </w:tc>
        <w:tc>
          <w:tcPr>
            <w:tcW w:w="360" w:type="dxa"/>
            <w:vAlign w:val="bottom"/>
          </w:tcPr>
          <w:p>
            <w:pPr>
              <w:ind w:left="120"/>
              <w:spacing w:after="0"/>
              <w:rPr>
                <w:sz w:val="20"/>
                <w:szCs w:val="20"/>
                <w:color w:val="auto"/>
              </w:rPr>
            </w:pPr>
            <w:r>
              <w:rPr>
                <w:rFonts w:ascii="Arial" w:cs="Arial" w:eastAsia="Arial" w:hAnsi="Arial"/>
                <w:sz w:val="12"/>
                <w:szCs w:val="12"/>
                <w:color w:val="auto"/>
              </w:rPr>
              <w:t>6.3</w:t>
            </w:r>
          </w:p>
        </w:tc>
        <w:tc>
          <w:tcPr>
            <w:tcW w:w="1980" w:type="dxa"/>
            <w:vAlign w:val="bottom"/>
            <w:gridSpan w:val="3"/>
          </w:tcPr>
          <w:p>
            <w:pPr>
              <w:jc w:val="center"/>
              <w:ind w:left="400"/>
              <w:spacing w:after="0"/>
              <w:rPr>
                <w:sz w:val="20"/>
                <w:szCs w:val="20"/>
                <w:color w:val="auto"/>
              </w:rPr>
            </w:pPr>
            <w:r>
              <w:rPr>
                <w:rFonts w:ascii="Arial" w:cs="Arial" w:eastAsia="Arial" w:hAnsi="Arial"/>
                <w:sz w:val="12"/>
                <w:szCs w:val="12"/>
                <w:color w:val="auto"/>
                <w:w w:val="99"/>
              </w:rPr>
              <w:t>Computation of interest</w:t>
            </w:r>
          </w:p>
        </w:tc>
        <w:tc>
          <w:tcPr>
            <w:tcW w:w="520" w:type="dxa"/>
            <w:vAlign w:val="bottom"/>
          </w:tcPr>
          <w:p>
            <w:pPr>
              <w:jc w:val="right"/>
              <w:ind w:right="20"/>
              <w:spacing w:after="0"/>
              <w:rPr>
                <w:sz w:val="20"/>
                <w:szCs w:val="20"/>
                <w:color w:val="auto"/>
              </w:rPr>
            </w:pPr>
            <w:r>
              <w:rPr>
                <w:rFonts w:ascii="Arial" w:cs="Arial" w:eastAsia="Arial" w:hAnsi="Arial"/>
                <w:sz w:val="12"/>
                <w:szCs w:val="12"/>
                <w:color w:val="auto"/>
              </w:rPr>
              <w:t>28</w:t>
            </w: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160" w:type="dxa"/>
            <w:vAlign w:val="bottom"/>
          </w:tcPr>
          <w:p>
            <w:pPr>
              <w:spacing w:after="0"/>
              <w:rPr>
                <w:sz w:val="15"/>
                <w:szCs w:val="15"/>
                <w:color w:val="auto"/>
              </w:rPr>
            </w:pPr>
          </w:p>
        </w:tc>
      </w:tr>
      <w:tr>
        <w:trPr>
          <w:trHeight w:val="162"/>
        </w:trPr>
        <w:tc>
          <w:tcPr>
            <w:tcW w:w="560" w:type="dxa"/>
            <w:vAlign w:val="bottom"/>
          </w:tcPr>
          <w:p>
            <w:pPr>
              <w:spacing w:after="0"/>
              <w:rPr>
                <w:sz w:val="14"/>
                <w:szCs w:val="14"/>
                <w:color w:val="auto"/>
              </w:rPr>
            </w:pPr>
          </w:p>
        </w:tc>
        <w:tc>
          <w:tcPr>
            <w:tcW w:w="360" w:type="dxa"/>
            <w:vAlign w:val="bottom"/>
          </w:tcPr>
          <w:p>
            <w:pPr>
              <w:ind w:left="120"/>
              <w:spacing w:after="0"/>
              <w:rPr>
                <w:sz w:val="20"/>
                <w:szCs w:val="20"/>
                <w:color w:val="auto"/>
              </w:rPr>
            </w:pPr>
            <w:r>
              <w:rPr>
                <w:rFonts w:ascii="Arial" w:cs="Arial" w:eastAsia="Arial" w:hAnsi="Arial"/>
                <w:sz w:val="12"/>
                <w:szCs w:val="12"/>
                <w:color w:val="auto"/>
              </w:rPr>
              <w:t>6.4</w:t>
            </w:r>
          </w:p>
        </w:tc>
        <w:tc>
          <w:tcPr>
            <w:tcW w:w="1980" w:type="dxa"/>
            <w:vAlign w:val="bottom"/>
            <w:gridSpan w:val="3"/>
          </w:tcPr>
          <w:p>
            <w:pPr>
              <w:jc w:val="center"/>
              <w:ind w:left="400"/>
              <w:spacing w:after="0"/>
              <w:rPr>
                <w:sz w:val="20"/>
                <w:szCs w:val="20"/>
                <w:color w:val="auto"/>
              </w:rPr>
            </w:pPr>
            <w:r>
              <w:rPr>
                <w:rFonts w:ascii="Arial" w:cs="Arial" w:eastAsia="Arial" w:hAnsi="Arial"/>
                <w:sz w:val="12"/>
                <w:szCs w:val="12"/>
                <w:color w:val="auto"/>
                <w:w w:val="99"/>
              </w:rPr>
              <w:t>Capitalisation of interest</w:t>
            </w:r>
          </w:p>
        </w:tc>
        <w:tc>
          <w:tcPr>
            <w:tcW w:w="520" w:type="dxa"/>
            <w:vAlign w:val="bottom"/>
          </w:tcPr>
          <w:p>
            <w:pPr>
              <w:jc w:val="right"/>
              <w:spacing w:after="0"/>
              <w:rPr>
                <w:sz w:val="20"/>
                <w:szCs w:val="20"/>
                <w:color w:val="auto"/>
              </w:rPr>
            </w:pPr>
            <w:r>
              <w:rPr>
                <w:rFonts w:ascii="Arial" w:cs="Arial" w:eastAsia="Arial" w:hAnsi="Arial"/>
                <w:sz w:val="12"/>
                <w:szCs w:val="12"/>
                <w:color w:val="auto"/>
              </w:rPr>
              <w:t>28</w:t>
            </w: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160" w:type="dxa"/>
            <w:vAlign w:val="bottom"/>
          </w:tcPr>
          <w:p>
            <w:pPr>
              <w:spacing w:after="0"/>
              <w:rPr>
                <w:sz w:val="14"/>
                <w:szCs w:val="14"/>
                <w:color w:val="auto"/>
              </w:rPr>
            </w:pPr>
          </w:p>
        </w:tc>
      </w:tr>
      <w:tr>
        <w:trPr>
          <w:trHeight w:val="180"/>
        </w:trPr>
        <w:tc>
          <w:tcPr>
            <w:tcW w:w="560" w:type="dxa"/>
            <w:vAlign w:val="bottom"/>
          </w:tcPr>
          <w:p>
            <w:pPr>
              <w:spacing w:after="0"/>
              <w:rPr>
                <w:sz w:val="15"/>
                <w:szCs w:val="15"/>
                <w:color w:val="auto"/>
              </w:rPr>
            </w:pPr>
          </w:p>
        </w:tc>
        <w:tc>
          <w:tcPr>
            <w:tcW w:w="360" w:type="dxa"/>
            <w:vAlign w:val="bottom"/>
          </w:tcPr>
          <w:p>
            <w:pPr>
              <w:ind w:left="120"/>
              <w:spacing w:after="0"/>
              <w:rPr>
                <w:sz w:val="20"/>
                <w:szCs w:val="20"/>
                <w:color w:val="auto"/>
              </w:rPr>
            </w:pPr>
            <w:r>
              <w:rPr>
                <w:rFonts w:ascii="Arial" w:cs="Arial" w:eastAsia="Arial" w:hAnsi="Arial"/>
                <w:sz w:val="12"/>
                <w:szCs w:val="12"/>
                <w:color w:val="auto"/>
              </w:rPr>
              <w:t>6.5</w:t>
            </w:r>
          </w:p>
        </w:tc>
        <w:tc>
          <w:tcPr>
            <w:tcW w:w="9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Merger</w:t>
            </w:r>
          </w:p>
        </w:tc>
        <w:tc>
          <w:tcPr>
            <w:tcW w:w="400" w:type="dxa"/>
            <w:vAlign w:val="bottom"/>
          </w:tcPr>
          <w:p>
            <w:pPr>
              <w:spacing w:after="0"/>
              <w:rPr>
                <w:sz w:val="15"/>
                <w:szCs w:val="15"/>
                <w:color w:val="auto"/>
              </w:rPr>
            </w:pPr>
          </w:p>
        </w:tc>
        <w:tc>
          <w:tcPr>
            <w:tcW w:w="520" w:type="dxa"/>
            <w:vAlign w:val="bottom"/>
          </w:tcPr>
          <w:p>
            <w:pPr>
              <w:jc w:val="right"/>
              <w:ind w:right="300"/>
              <w:spacing w:after="0"/>
              <w:rPr>
                <w:sz w:val="20"/>
                <w:szCs w:val="20"/>
                <w:color w:val="auto"/>
              </w:rPr>
            </w:pPr>
            <w:r>
              <w:rPr>
                <w:rFonts w:ascii="Arial" w:cs="Arial" w:eastAsia="Arial" w:hAnsi="Arial"/>
                <w:sz w:val="12"/>
                <w:szCs w:val="12"/>
                <w:color w:val="auto"/>
              </w:rPr>
              <w:t>28</w:t>
            </w: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160" w:type="dxa"/>
            <w:vAlign w:val="bottom"/>
          </w:tcPr>
          <w:p>
            <w:pPr>
              <w:spacing w:after="0"/>
              <w:rPr>
                <w:sz w:val="15"/>
                <w:szCs w:val="15"/>
                <w:color w:val="auto"/>
              </w:rPr>
            </w:pPr>
          </w:p>
        </w:tc>
      </w:tr>
      <w:tr>
        <w:trPr>
          <w:trHeight w:val="304"/>
        </w:trPr>
        <w:tc>
          <w:tcPr>
            <w:tcW w:w="5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51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6164580</wp:posOffset>
            </wp:positionH>
            <wp:positionV relativeFrom="paragraph">
              <wp:posOffset>-29210</wp:posOffset>
            </wp:positionV>
            <wp:extent cx="31115"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31115" cy="42545"/>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-29210</wp:posOffset>
            </wp:positionV>
            <wp:extent cx="31115"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31115" cy="42545"/>
                    </a:xfrm>
                    <a:prstGeom prst="rect">
                      <a:avLst/>
                    </a:prstGeom>
                    <a:noFill/>
                  </pic:spPr>
                </pic:pic>
              </a:graphicData>
            </a:graphic>
          </wp:anchor>
        </w:drawing>
      </w:r>
    </w:p>
    <w:p>
      <w:pPr>
        <w:sectPr>
          <w:pgSz w:w="11900" w:h="16838" w:orient="portrait"/>
          <w:cols w:equalWidth="0" w:num="1">
            <w:col w:w="9740"/>
          </w:cols>
          <w:pgMar w:left="1220" w:top="992" w:right="939" w:bottom="1440" w:gutter="0" w:footer="0" w:header="0"/>
        </w:sectPr>
      </w:pPr>
    </w:p>
    <w:bookmarkStart w:id="219" w:name="page220"/>
    <w:bookmarkEnd w:id="219"/>
    <w:p>
      <w:pPr>
        <w:ind w:left="140"/>
        <w:spacing w:after="0"/>
        <w:rPr>
          <w:sz w:val="20"/>
          <w:szCs w:val="20"/>
          <w:color w:val="auto"/>
        </w:rPr>
      </w:pPr>
      <w:r>
        <w:rPr>
          <w:rFonts w:ascii="Arial" w:cs="Arial" w:eastAsia="Arial" w:hAnsi="Arial"/>
          <w:sz w:val="10"/>
          <w:szCs w:val="10"/>
          <w:color w:val="auto"/>
        </w:rPr>
        <w:t>Corrs Chambers Westgarth</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140" w:type="dxa"/>
        <w:tblCellMar>
          <w:top w:w="0" w:type="dxa"/>
          <w:left w:w="0" w:type="dxa"/>
          <w:bottom w:w="0" w:type="dxa"/>
          <w:right w:w="0" w:type="dxa"/>
        </w:tblCellMar>
      </w:tblPr>
      <w:tr>
        <w:trPr>
          <w:trHeight w:val="168"/>
        </w:trPr>
        <w:tc>
          <w:tcPr>
            <w:tcW w:w="220" w:type="dxa"/>
            <w:vAlign w:val="bottom"/>
          </w:tcPr>
          <w:p>
            <w:pPr>
              <w:spacing w:after="0"/>
              <w:rPr>
                <w:sz w:val="20"/>
                <w:szCs w:val="20"/>
                <w:color w:val="auto"/>
              </w:rPr>
            </w:pPr>
            <w:r>
              <w:rPr>
                <w:rFonts w:ascii="Arial" w:cs="Arial" w:eastAsia="Arial" w:hAnsi="Arial"/>
                <w:sz w:val="12"/>
                <w:szCs w:val="12"/>
                <w:b w:val="1"/>
                <w:bCs w:val="1"/>
                <w:color w:val="auto"/>
              </w:rPr>
              <w:t>7</w:t>
            </w:r>
          </w:p>
        </w:tc>
        <w:tc>
          <w:tcPr>
            <w:tcW w:w="400" w:type="dxa"/>
            <w:vAlign w:val="bottom"/>
          </w:tcPr>
          <w:p>
            <w:pPr>
              <w:spacing w:after="0"/>
              <w:rPr>
                <w:sz w:val="14"/>
                <w:szCs w:val="14"/>
                <w:color w:val="auto"/>
              </w:rPr>
            </w:pPr>
          </w:p>
        </w:tc>
        <w:tc>
          <w:tcPr>
            <w:tcW w:w="1000" w:type="dxa"/>
            <w:vAlign w:val="bottom"/>
          </w:tcPr>
          <w:p>
            <w:pPr>
              <w:ind w:left="40"/>
              <w:spacing w:after="0"/>
              <w:rPr>
                <w:sz w:val="20"/>
                <w:szCs w:val="20"/>
                <w:color w:val="auto"/>
              </w:rPr>
            </w:pPr>
            <w:r>
              <w:rPr>
                <w:rFonts w:ascii="Arial" w:cs="Arial" w:eastAsia="Arial" w:hAnsi="Arial"/>
                <w:sz w:val="12"/>
                <w:szCs w:val="12"/>
                <w:b w:val="1"/>
                <w:bCs w:val="1"/>
                <w:color w:val="auto"/>
              </w:rPr>
              <w:t>Payments</w:t>
            </w:r>
          </w:p>
        </w:tc>
        <w:tc>
          <w:tcPr>
            <w:tcW w:w="500" w:type="dxa"/>
            <w:vAlign w:val="bottom"/>
          </w:tcPr>
          <w:p>
            <w:pPr>
              <w:jc w:val="right"/>
              <w:ind w:right="260"/>
              <w:spacing w:after="0"/>
              <w:rPr>
                <w:sz w:val="20"/>
                <w:szCs w:val="20"/>
                <w:color w:val="auto"/>
              </w:rPr>
            </w:pPr>
            <w:r>
              <w:rPr>
                <w:rFonts w:ascii="Arial" w:cs="Arial" w:eastAsia="Arial" w:hAnsi="Arial"/>
                <w:sz w:val="12"/>
                <w:szCs w:val="12"/>
                <w:b w:val="1"/>
                <w:bCs w:val="1"/>
                <w:color w:val="auto"/>
              </w:rPr>
              <w:t>29</w:t>
            </w:r>
          </w:p>
        </w:tc>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234"/>
        </w:trPr>
        <w:tc>
          <w:tcPr>
            <w:tcW w:w="220" w:type="dxa"/>
            <w:vAlign w:val="bottom"/>
          </w:tcPr>
          <w:p>
            <w:pPr>
              <w:spacing w:after="0"/>
              <w:rPr>
                <w:sz w:val="20"/>
                <w:szCs w:val="20"/>
                <w:color w:val="auto"/>
              </w:rPr>
            </w:pPr>
          </w:p>
        </w:tc>
        <w:tc>
          <w:tcPr>
            <w:tcW w:w="400" w:type="dxa"/>
            <w:vAlign w:val="bottom"/>
          </w:tcPr>
          <w:p>
            <w:pPr>
              <w:ind w:left="100"/>
              <w:spacing w:after="0"/>
              <w:rPr>
                <w:sz w:val="20"/>
                <w:szCs w:val="20"/>
                <w:color w:val="auto"/>
              </w:rPr>
            </w:pPr>
            <w:r>
              <w:rPr>
                <w:rFonts w:ascii="Arial" w:cs="Arial" w:eastAsia="Arial" w:hAnsi="Arial"/>
                <w:sz w:val="12"/>
                <w:szCs w:val="12"/>
                <w:color w:val="auto"/>
              </w:rPr>
              <w:t>7.1</w:t>
            </w:r>
          </w:p>
        </w:tc>
        <w:tc>
          <w:tcPr>
            <w:tcW w:w="2320" w:type="dxa"/>
            <w:vAlign w:val="bottom"/>
            <w:gridSpan w:val="4"/>
          </w:tcPr>
          <w:p>
            <w:pPr>
              <w:ind w:left="340"/>
              <w:spacing w:after="0"/>
              <w:rPr>
                <w:sz w:val="20"/>
                <w:szCs w:val="20"/>
                <w:color w:val="auto"/>
              </w:rPr>
            </w:pPr>
            <w:r>
              <w:rPr>
                <w:rFonts w:ascii="Arial" w:cs="Arial" w:eastAsia="Arial" w:hAnsi="Arial"/>
                <w:sz w:val="12"/>
                <w:szCs w:val="12"/>
                <w:color w:val="auto"/>
              </w:rPr>
              <w:t>Place, manner and time of payment</w:t>
            </w:r>
          </w:p>
        </w:tc>
        <w:tc>
          <w:tcPr>
            <w:tcW w:w="880" w:type="dxa"/>
            <w:vAlign w:val="bottom"/>
          </w:tcPr>
          <w:p>
            <w:pPr>
              <w:jc w:val="right"/>
              <w:ind w:right="340"/>
              <w:spacing w:after="0"/>
              <w:rPr>
                <w:sz w:val="20"/>
                <w:szCs w:val="20"/>
                <w:color w:val="auto"/>
              </w:rPr>
            </w:pPr>
            <w:r>
              <w:rPr>
                <w:rFonts w:ascii="Arial" w:cs="Arial" w:eastAsia="Arial" w:hAnsi="Arial"/>
                <w:sz w:val="12"/>
                <w:szCs w:val="12"/>
                <w:color w:val="auto"/>
              </w:rPr>
              <w:t>29</w:t>
            </w:r>
          </w:p>
        </w:tc>
        <w:tc>
          <w:tcPr>
            <w:tcW w:w="360" w:type="dxa"/>
            <w:vAlign w:val="bottom"/>
          </w:tcPr>
          <w:p>
            <w:pPr>
              <w:spacing w:after="0"/>
              <w:rPr>
                <w:sz w:val="20"/>
                <w:szCs w:val="20"/>
                <w:color w:val="auto"/>
              </w:rPr>
            </w:pPr>
          </w:p>
        </w:tc>
      </w:tr>
      <w:tr>
        <w:trPr>
          <w:trHeight w:val="171"/>
        </w:trPr>
        <w:tc>
          <w:tcPr>
            <w:tcW w:w="220" w:type="dxa"/>
            <w:vAlign w:val="bottom"/>
          </w:tcPr>
          <w:p>
            <w:pPr>
              <w:spacing w:after="0"/>
              <w:rPr>
                <w:sz w:val="14"/>
                <w:szCs w:val="14"/>
                <w:color w:val="auto"/>
              </w:rPr>
            </w:pPr>
          </w:p>
        </w:tc>
        <w:tc>
          <w:tcPr>
            <w:tcW w:w="400" w:type="dxa"/>
            <w:vAlign w:val="bottom"/>
          </w:tcPr>
          <w:p>
            <w:pPr>
              <w:ind w:left="100"/>
              <w:spacing w:after="0"/>
              <w:rPr>
                <w:sz w:val="20"/>
                <w:szCs w:val="20"/>
                <w:color w:val="auto"/>
              </w:rPr>
            </w:pPr>
            <w:r>
              <w:rPr>
                <w:rFonts w:ascii="Arial" w:cs="Arial" w:eastAsia="Arial" w:hAnsi="Arial"/>
                <w:sz w:val="12"/>
                <w:szCs w:val="12"/>
                <w:color w:val="auto"/>
              </w:rPr>
              <w:t>7.2</w:t>
            </w:r>
          </w:p>
        </w:tc>
        <w:tc>
          <w:tcPr>
            <w:tcW w:w="10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w w:val="97"/>
              </w:rPr>
              <w:t>Gross-up</w:t>
            </w:r>
          </w:p>
        </w:tc>
        <w:tc>
          <w:tcPr>
            <w:tcW w:w="440" w:type="dxa"/>
            <w:vAlign w:val="bottom"/>
          </w:tcPr>
          <w:p>
            <w:pPr>
              <w:spacing w:after="0"/>
              <w:rPr>
                <w:sz w:val="14"/>
                <w:szCs w:val="14"/>
                <w:color w:val="auto"/>
              </w:rPr>
            </w:pPr>
          </w:p>
        </w:tc>
        <w:tc>
          <w:tcPr>
            <w:tcW w:w="380" w:type="dxa"/>
            <w:vAlign w:val="bottom"/>
          </w:tcPr>
          <w:p>
            <w:pPr>
              <w:spacing w:after="0"/>
              <w:rPr>
                <w:sz w:val="20"/>
                <w:szCs w:val="20"/>
                <w:color w:val="auto"/>
              </w:rPr>
            </w:pPr>
            <w:r>
              <w:rPr>
                <w:rFonts w:ascii="Arial" w:cs="Arial" w:eastAsia="Arial" w:hAnsi="Arial"/>
                <w:sz w:val="12"/>
                <w:szCs w:val="12"/>
                <w:color w:val="auto"/>
              </w:rPr>
              <w:t>29</w:t>
            </w: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171"/>
        </w:trPr>
        <w:tc>
          <w:tcPr>
            <w:tcW w:w="220" w:type="dxa"/>
            <w:vAlign w:val="bottom"/>
          </w:tcPr>
          <w:p>
            <w:pPr>
              <w:spacing w:after="0"/>
              <w:rPr>
                <w:sz w:val="14"/>
                <w:szCs w:val="14"/>
                <w:color w:val="auto"/>
              </w:rPr>
            </w:pPr>
          </w:p>
        </w:tc>
        <w:tc>
          <w:tcPr>
            <w:tcW w:w="400" w:type="dxa"/>
            <w:vAlign w:val="bottom"/>
          </w:tcPr>
          <w:p>
            <w:pPr>
              <w:ind w:left="100"/>
              <w:spacing w:after="0"/>
              <w:rPr>
                <w:sz w:val="20"/>
                <w:szCs w:val="20"/>
                <w:color w:val="auto"/>
              </w:rPr>
            </w:pPr>
            <w:r>
              <w:rPr>
                <w:rFonts w:ascii="Arial" w:cs="Arial" w:eastAsia="Arial" w:hAnsi="Arial"/>
                <w:sz w:val="12"/>
                <w:szCs w:val="12"/>
                <w:color w:val="auto"/>
              </w:rPr>
              <w:t>7.3</w:t>
            </w:r>
          </w:p>
        </w:tc>
        <w:tc>
          <w:tcPr>
            <w:tcW w:w="1940" w:type="dxa"/>
            <w:vAlign w:val="bottom"/>
            <w:gridSpan w:val="3"/>
          </w:tcPr>
          <w:p>
            <w:pPr>
              <w:jc w:val="center"/>
              <w:ind w:left="340"/>
              <w:spacing w:after="0"/>
              <w:rPr>
                <w:sz w:val="20"/>
                <w:szCs w:val="20"/>
                <w:color w:val="auto"/>
              </w:rPr>
            </w:pPr>
            <w:r>
              <w:rPr>
                <w:rFonts w:ascii="Arial" w:cs="Arial" w:eastAsia="Arial" w:hAnsi="Arial"/>
                <w:sz w:val="12"/>
                <w:szCs w:val="12"/>
                <w:color w:val="auto"/>
                <w:w w:val="98"/>
              </w:rPr>
              <w:t>Appropriation</w:t>
            </w:r>
          </w:p>
        </w:tc>
        <w:tc>
          <w:tcPr>
            <w:tcW w:w="380" w:type="dxa"/>
            <w:vAlign w:val="bottom"/>
          </w:tcPr>
          <w:p>
            <w:pPr>
              <w:ind w:left="20"/>
              <w:spacing w:after="0"/>
              <w:rPr>
                <w:sz w:val="20"/>
                <w:szCs w:val="20"/>
                <w:color w:val="auto"/>
              </w:rPr>
            </w:pPr>
            <w:r>
              <w:rPr>
                <w:rFonts w:ascii="Arial" w:cs="Arial" w:eastAsia="Arial" w:hAnsi="Arial"/>
                <w:sz w:val="12"/>
                <w:szCs w:val="12"/>
                <w:color w:val="auto"/>
              </w:rPr>
              <w:t>29</w:t>
            </w: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225"/>
        </w:trPr>
        <w:tc>
          <w:tcPr>
            <w:tcW w:w="220" w:type="dxa"/>
            <w:vAlign w:val="bottom"/>
          </w:tcPr>
          <w:p>
            <w:pPr>
              <w:spacing w:after="0"/>
              <w:rPr>
                <w:sz w:val="20"/>
                <w:szCs w:val="20"/>
                <w:color w:val="auto"/>
              </w:rPr>
            </w:pPr>
            <w:r>
              <w:rPr>
                <w:rFonts w:ascii="Arial" w:cs="Arial" w:eastAsia="Arial" w:hAnsi="Arial"/>
                <w:sz w:val="12"/>
                <w:szCs w:val="12"/>
                <w:b w:val="1"/>
                <w:bCs w:val="1"/>
                <w:color w:val="auto"/>
              </w:rPr>
              <w:t>8</w:t>
            </w:r>
          </w:p>
        </w:tc>
        <w:tc>
          <w:tcPr>
            <w:tcW w:w="2340" w:type="dxa"/>
            <w:vAlign w:val="bottom"/>
            <w:gridSpan w:val="4"/>
          </w:tcPr>
          <w:p>
            <w:pPr>
              <w:ind w:left="160"/>
              <w:spacing w:after="0"/>
              <w:rPr>
                <w:sz w:val="20"/>
                <w:szCs w:val="20"/>
                <w:color w:val="auto"/>
              </w:rPr>
            </w:pPr>
            <w:r>
              <w:rPr>
                <w:rFonts w:ascii="Arial" w:cs="Arial" w:eastAsia="Arial" w:hAnsi="Arial"/>
                <w:sz w:val="12"/>
                <w:szCs w:val="12"/>
                <w:b w:val="1"/>
                <w:bCs w:val="1"/>
                <w:color w:val="auto"/>
              </w:rPr>
              <w:t>Representations and warranties</w:t>
            </w:r>
          </w:p>
        </w:tc>
        <w:tc>
          <w:tcPr>
            <w:tcW w:w="380" w:type="dxa"/>
            <w:vAlign w:val="bottom"/>
          </w:tcPr>
          <w:p>
            <w:pPr>
              <w:ind w:left="80"/>
              <w:spacing w:after="0"/>
              <w:rPr>
                <w:sz w:val="20"/>
                <w:szCs w:val="20"/>
                <w:color w:val="auto"/>
              </w:rPr>
            </w:pPr>
            <w:r>
              <w:rPr>
                <w:rFonts w:ascii="Arial" w:cs="Arial" w:eastAsia="Arial" w:hAnsi="Arial"/>
                <w:sz w:val="12"/>
                <w:szCs w:val="12"/>
                <w:b w:val="1"/>
                <w:bCs w:val="1"/>
                <w:color w:val="auto"/>
              </w:rPr>
              <w:t>29</w:t>
            </w:r>
          </w:p>
        </w:tc>
        <w:tc>
          <w:tcPr>
            <w:tcW w:w="88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621"/>
        </w:trPr>
        <w:tc>
          <w:tcPr>
            <w:tcW w:w="220" w:type="dxa"/>
            <w:vAlign w:val="bottom"/>
          </w:tcPr>
          <w:p>
            <w:pPr>
              <w:spacing w:after="0"/>
              <w:rPr>
                <w:sz w:val="20"/>
                <w:szCs w:val="20"/>
                <w:color w:val="auto"/>
              </w:rPr>
            </w:pPr>
            <w:r>
              <w:rPr>
                <w:rFonts w:ascii="Arial" w:cs="Arial" w:eastAsia="Arial" w:hAnsi="Arial"/>
                <w:sz w:val="12"/>
                <w:szCs w:val="12"/>
                <w:b w:val="1"/>
                <w:bCs w:val="1"/>
                <w:color w:val="auto"/>
              </w:rPr>
              <w:t>9</w:t>
            </w:r>
          </w:p>
        </w:tc>
        <w:tc>
          <w:tcPr>
            <w:tcW w:w="1400" w:type="dxa"/>
            <w:vAlign w:val="bottom"/>
            <w:gridSpan w:val="2"/>
          </w:tcPr>
          <w:p>
            <w:pPr>
              <w:ind w:left="260"/>
              <w:spacing w:after="0"/>
              <w:rPr>
                <w:sz w:val="20"/>
                <w:szCs w:val="20"/>
                <w:color w:val="auto"/>
              </w:rPr>
            </w:pPr>
            <w:r>
              <w:rPr>
                <w:rFonts w:ascii="Arial" w:cs="Arial" w:eastAsia="Arial" w:hAnsi="Arial"/>
                <w:sz w:val="12"/>
                <w:szCs w:val="12"/>
                <w:b w:val="1"/>
                <w:bCs w:val="1"/>
                <w:color w:val="auto"/>
                <w:w w:val="99"/>
              </w:rPr>
              <w:t>General obligations</w:t>
            </w:r>
          </w:p>
        </w:tc>
        <w:tc>
          <w:tcPr>
            <w:tcW w:w="940" w:type="dxa"/>
            <w:vAlign w:val="bottom"/>
            <w:gridSpan w:val="2"/>
          </w:tcPr>
          <w:p>
            <w:pPr>
              <w:jc w:val="right"/>
              <w:ind w:right="320"/>
              <w:spacing w:after="0"/>
              <w:rPr>
                <w:sz w:val="20"/>
                <w:szCs w:val="20"/>
                <w:color w:val="auto"/>
              </w:rPr>
            </w:pPr>
            <w:r>
              <w:rPr>
                <w:rFonts w:ascii="Arial" w:cs="Arial" w:eastAsia="Arial" w:hAnsi="Arial"/>
                <w:sz w:val="12"/>
                <w:szCs w:val="12"/>
                <w:b w:val="1"/>
                <w:bCs w:val="1"/>
                <w:color w:val="auto"/>
              </w:rPr>
              <w:t>33</w:t>
            </w: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234"/>
        </w:trPr>
        <w:tc>
          <w:tcPr>
            <w:tcW w:w="220" w:type="dxa"/>
            <w:vAlign w:val="bottom"/>
          </w:tcPr>
          <w:p>
            <w:pPr>
              <w:spacing w:after="0"/>
              <w:rPr>
                <w:sz w:val="20"/>
                <w:szCs w:val="20"/>
                <w:color w:val="auto"/>
              </w:rPr>
            </w:pPr>
          </w:p>
        </w:tc>
        <w:tc>
          <w:tcPr>
            <w:tcW w:w="400" w:type="dxa"/>
            <w:vAlign w:val="bottom"/>
          </w:tcPr>
          <w:p>
            <w:pPr>
              <w:ind w:left="100"/>
              <w:spacing w:after="0"/>
              <w:rPr>
                <w:sz w:val="20"/>
                <w:szCs w:val="20"/>
                <w:color w:val="auto"/>
              </w:rPr>
            </w:pPr>
            <w:r>
              <w:rPr>
                <w:rFonts w:ascii="Arial" w:cs="Arial" w:eastAsia="Arial" w:hAnsi="Arial"/>
                <w:sz w:val="12"/>
                <w:szCs w:val="12"/>
                <w:color w:val="auto"/>
              </w:rPr>
              <w:t>9.1</w:t>
            </w:r>
          </w:p>
        </w:tc>
        <w:tc>
          <w:tcPr>
            <w:tcW w:w="1000" w:type="dxa"/>
            <w:vAlign w:val="bottom"/>
          </w:tcPr>
          <w:p>
            <w:pPr>
              <w:spacing w:after="0"/>
              <w:rPr>
                <w:sz w:val="20"/>
                <w:szCs w:val="20"/>
                <w:color w:val="auto"/>
              </w:rPr>
            </w:pPr>
          </w:p>
        </w:tc>
        <w:tc>
          <w:tcPr>
            <w:tcW w:w="940" w:type="dxa"/>
            <w:vAlign w:val="bottom"/>
            <w:gridSpan w:val="2"/>
          </w:tcPr>
          <w:p>
            <w:pPr>
              <w:jc w:val="center"/>
              <w:ind w:right="60"/>
              <w:spacing w:after="0"/>
              <w:rPr>
                <w:sz w:val="20"/>
                <w:szCs w:val="20"/>
                <w:color w:val="auto"/>
              </w:rPr>
            </w:pPr>
            <w:r>
              <w:rPr>
                <w:rFonts w:ascii="Arial" w:cs="Arial" w:eastAsia="Arial" w:hAnsi="Arial"/>
                <w:sz w:val="12"/>
                <w:szCs w:val="12"/>
                <w:color w:val="auto"/>
                <w:w w:val="97"/>
              </w:rPr>
              <w:t>Fees</w:t>
            </w:r>
          </w:p>
        </w:tc>
        <w:tc>
          <w:tcPr>
            <w:tcW w:w="380" w:type="dxa"/>
            <w:vAlign w:val="bottom"/>
          </w:tcPr>
          <w:p>
            <w:pPr>
              <w:ind w:left="40"/>
              <w:spacing w:after="0"/>
              <w:rPr>
                <w:sz w:val="20"/>
                <w:szCs w:val="20"/>
                <w:color w:val="auto"/>
              </w:rPr>
            </w:pPr>
            <w:r>
              <w:rPr>
                <w:rFonts w:ascii="Arial" w:cs="Arial" w:eastAsia="Arial" w:hAnsi="Arial"/>
                <w:sz w:val="12"/>
                <w:szCs w:val="12"/>
                <w:color w:val="auto"/>
              </w:rPr>
              <w:t>33</w:t>
            </w:r>
          </w:p>
        </w:tc>
        <w:tc>
          <w:tcPr>
            <w:tcW w:w="88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171"/>
        </w:trPr>
        <w:tc>
          <w:tcPr>
            <w:tcW w:w="220" w:type="dxa"/>
            <w:vAlign w:val="bottom"/>
          </w:tcPr>
          <w:p>
            <w:pPr>
              <w:spacing w:after="0"/>
              <w:rPr>
                <w:sz w:val="14"/>
                <w:szCs w:val="14"/>
                <w:color w:val="auto"/>
              </w:rPr>
            </w:pPr>
          </w:p>
        </w:tc>
        <w:tc>
          <w:tcPr>
            <w:tcW w:w="400" w:type="dxa"/>
            <w:vAlign w:val="bottom"/>
          </w:tcPr>
          <w:p>
            <w:pPr>
              <w:ind w:left="100"/>
              <w:spacing w:after="0"/>
              <w:rPr>
                <w:sz w:val="20"/>
                <w:szCs w:val="20"/>
                <w:color w:val="auto"/>
              </w:rPr>
            </w:pPr>
            <w:r>
              <w:rPr>
                <w:rFonts w:ascii="Arial" w:cs="Arial" w:eastAsia="Arial" w:hAnsi="Arial"/>
                <w:sz w:val="12"/>
                <w:szCs w:val="12"/>
                <w:color w:val="auto"/>
              </w:rPr>
              <w:t>9.2</w:t>
            </w:r>
          </w:p>
        </w:tc>
        <w:tc>
          <w:tcPr>
            <w:tcW w:w="10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Records</w:t>
            </w:r>
          </w:p>
        </w:tc>
        <w:tc>
          <w:tcPr>
            <w:tcW w:w="440" w:type="dxa"/>
            <w:vAlign w:val="bottom"/>
          </w:tcPr>
          <w:p>
            <w:pPr>
              <w:spacing w:after="0"/>
              <w:rPr>
                <w:sz w:val="14"/>
                <w:szCs w:val="14"/>
                <w:color w:val="auto"/>
              </w:rPr>
            </w:pPr>
          </w:p>
        </w:tc>
        <w:tc>
          <w:tcPr>
            <w:tcW w:w="380" w:type="dxa"/>
            <w:vAlign w:val="bottom"/>
          </w:tcPr>
          <w:p>
            <w:pPr>
              <w:spacing w:after="0"/>
              <w:rPr>
                <w:sz w:val="20"/>
                <w:szCs w:val="20"/>
                <w:color w:val="auto"/>
              </w:rPr>
            </w:pPr>
            <w:r>
              <w:rPr>
                <w:rFonts w:ascii="Arial" w:cs="Arial" w:eastAsia="Arial" w:hAnsi="Arial"/>
                <w:sz w:val="12"/>
                <w:szCs w:val="12"/>
                <w:color w:val="auto"/>
              </w:rPr>
              <w:t>34</w:t>
            </w: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171"/>
        </w:trPr>
        <w:tc>
          <w:tcPr>
            <w:tcW w:w="220" w:type="dxa"/>
            <w:vAlign w:val="bottom"/>
          </w:tcPr>
          <w:p>
            <w:pPr>
              <w:spacing w:after="0"/>
              <w:rPr>
                <w:sz w:val="14"/>
                <w:szCs w:val="14"/>
                <w:color w:val="auto"/>
              </w:rPr>
            </w:pPr>
          </w:p>
        </w:tc>
        <w:tc>
          <w:tcPr>
            <w:tcW w:w="400" w:type="dxa"/>
            <w:vAlign w:val="bottom"/>
          </w:tcPr>
          <w:p>
            <w:pPr>
              <w:ind w:left="100"/>
              <w:spacing w:after="0"/>
              <w:rPr>
                <w:sz w:val="20"/>
                <w:szCs w:val="20"/>
                <w:color w:val="auto"/>
              </w:rPr>
            </w:pPr>
            <w:r>
              <w:rPr>
                <w:rFonts w:ascii="Arial" w:cs="Arial" w:eastAsia="Arial" w:hAnsi="Arial"/>
                <w:sz w:val="12"/>
                <w:szCs w:val="12"/>
                <w:color w:val="auto"/>
              </w:rPr>
              <w:t>9.3</w:t>
            </w:r>
          </w:p>
        </w:tc>
        <w:tc>
          <w:tcPr>
            <w:tcW w:w="3200" w:type="dxa"/>
            <w:vAlign w:val="bottom"/>
            <w:gridSpan w:val="5"/>
          </w:tcPr>
          <w:p>
            <w:pPr>
              <w:ind w:left="200"/>
              <w:spacing w:after="0"/>
              <w:rPr>
                <w:sz w:val="20"/>
                <w:szCs w:val="20"/>
                <w:color w:val="auto"/>
              </w:rPr>
            </w:pPr>
            <w:r>
              <w:rPr>
                <w:rFonts w:ascii="Arial" w:cs="Arial" w:eastAsia="Arial" w:hAnsi="Arial"/>
                <w:sz w:val="12"/>
                <w:szCs w:val="12"/>
                <w:color w:val="auto"/>
              </w:rPr>
              <w:t>Financial Statements and other financial information</w:t>
            </w:r>
          </w:p>
        </w:tc>
        <w:tc>
          <w:tcPr>
            <w:tcW w:w="360" w:type="dxa"/>
            <w:vAlign w:val="bottom"/>
          </w:tcPr>
          <w:p>
            <w:pPr>
              <w:jc w:val="right"/>
              <w:spacing w:after="0"/>
              <w:rPr>
                <w:sz w:val="20"/>
                <w:szCs w:val="20"/>
                <w:color w:val="auto"/>
              </w:rPr>
            </w:pPr>
            <w:r>
              <w:rPr>
                <w:rFonts w:ascii="Arial" w:cs="Arial" w:eastAsia="Arial" w:hAnsi="Arial"/>
                <w:sz w:val="12"/>
                <w:szCs w:val="12"/>
                <w:color w:val="auto"/>
              </w:rPr>
              <w:t>34</w:t>
            </w:r>
          </w:p>
        </w:tc>
      </w:tr>
      <w:tr>
        <w:trPr>
          <w:trHeight w:val="171"/>
        </w:trPr>
        <w:tc>
          <w:tcPr>
            <w:tcW w:w="220" w:type="dxa"/>
            <w:vAlign w:val="bottom"/>
          </w:tcPr>
          <w:p>
            <w:pPr>
              <w:spacing w:after="0"/>
              <w:rPr>
                <w:sz w:val="14"/>
                <w:szCs w:val="14"/>
                <w:color w:val="auto"/>
              </w:rPr>
            </w:pPr>
          </w:p>
        </w:tc>
        <w:tc>
          <w:tcPr>
            <w:tcW w:w="400" w:type="dxa"/>
            <w:vAlign w:val="bottom"/>
          </w:tcPr>
          <w:p>
            <w:pPr>
              <w:ind w:left="100"/>
              <w:spacing w:after="0"/>
              <w:rPr>
                <w:sz w:val="20"/>
                <w:szCs w:val="20"/>
                <w:color w:val="auto"/>
              </w:rPr>
            </w:pPr>
            <w:r>
              <w:rPr>
                <w:rFonts w:ascii="Arial" w:cs="Arial" w:eastAsia="Arial" w:hAnsi="Arial"/>
                <w:sz w:val="12"/>
                <w:szCs w:val="12"/>
                <w:color w:val="auto"/>
              </w:rPr>
              <w:t>9.4</w:t>
            </w:r>
          </w:p>
        </w:tc>
        <w:tc>
          <w:tcPr>
            <w:tcW w:w="1940" w:type="dxa"/>
            <w:vAlign w:val="bottom"/>
            <w:gridSpan w:val="3"/>
          </w:tcPr>
          <w:p>
            <w:pPr>
              <w:ind w:left="680"/>
              <w:spacing w:after="0"/>
              <w:rPr>
                <w:sz w:val="20"/>
                <w:szCs w:val="20"/>
                <w:color w:val="auto"/>
              </w:rPr>
            </w:pPr>
            <w:r>
              <w:rPr>
                <w:rFonts w:ascii="Arial" w:cs="Arial" w:eastAsia="Arial" w:hAnsi="Arial"/>
                <w:sz w:val="12"/>
                <w:szCs w:val="12"/>
                <w:color w:val="auto"/>
              </w:rPr>
              <w:t>Other information</w:t>
            </w:r>
          </w:p>
        </w:tc>
        <w:tc>
          <w:tcPr>
            <w:tcW w:w="380" w:type="dxa"/>
            <w:vAlign w:val="bottom"/>
          </w:tcPr>
          <w:p>
            <w:pPr>
              <w:ind w:left="100"/>
              <w:spacing w:after="0"/>
              <w:rPr>
                <w:sz w:val="20"/>
                <w:szCs w:val="20"/>
                <w:color w:val="auto"/>
              </w:rPr>
            </w:pPr>
            <w:r>
              <w:rPr>
                <w:rFonts w:ascii="Arial" w:cs="Arial" w:eastAsia="Arial" w:hAnsi="Arial"/>
                <w:sz w:val="12"/>
                <w:szCs w:val="12"/>
                <w:color w:val="auto"/>
              </w:rPr>
              <w:t>35</w:t>
            </w: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171"/>
        </w:trPr>
        <w:tc>
          <w:tcPr>
            <w:tcW w:w="220" w:type="dxa"/>
            <w:vAlign w:val="bottom"/>
          </w:tcPr>
          <w:p>
            <w:pPr>
              <w:spacing w:after="0"/>
              <w:rPr>
                <w:sz w:val="14"/>
                <w:szCs w:val="14"/>
                <w:color w:val="auto"/>
              </w:rPr>
            </w:pPr>
          </w:p>
        </w:tc>
        <w:tc>
          <w:tcPr>
            <w:tcW w:w="400" w:type="dxa"/>
            <w:vAlign w:val="bottom"/>
          </w:tcPr>
          <w:p>
            <w:pPr>
              <w:ind w:left="100"/>
              <w:spacing w:after="0"/>
              <w:rPr>
                <w:sz w:val="20"/>
                <w:szCs w:val="20"/>
                <w:color w:val="auto"/>
              </w:rPr>
            </w:pPr>
            <w:r>
              <w:rPr>
                <w:rFonts w:ascii="Arial" w:cs="Arial" w:eastAsia="Arial" w:hAnsi="Arial"/>
                <w:sz w:val="12"/>
                <w:szCs w:val="12"/>
                <w:color w:val="auto"/>
              </w:rPr>
              <w:t>9.5</w:t>
            </w:r>
          </w:p>
        </w:tc>
        <w:tc>
          <w:tcPr>
            <w:tcW w:w="2320" w:type="dxa"/>
            <w:vAlign w:val="bottom"/>
            <w:gridSpan w:val="4"/>
          </w:tcPr>
          <w:p>
            <w:pPr>
              <w:ind w:left="460"/>
              <w:spacing w:after="0"/>
              <w:rPr>
                <w:sz w:val="20"/>
                <w:szCs w:val="20"/>
                <w:color w:val="auto"/>
              </w:rPr>
            </w:pPr>
            <w:r>
              <w:rPr>
                <w:rFonts w:ascii="Arial" w:cs="Arial" w:eastAsia="Arial" w:hAnsi="Arial"/>
                <w:sz w:val="12"/>
                <w:szCs w:val="12"/>
                <w:color w:val="auto"/>
              </w:rPr>
              <w:t>Other financial undertakings</w:t>
            </w:r>
          </w:p>
        </w:tc>
        <w:tc>
          <w:tcPr>
            <w:tcW w:w="880" w:type="dxa"/>
            <w:vAlign w:val="bottom"/>
          </w:tcPr>
          <w:p>
            <w:pPr>
              <w:jc w:val="right"/>
              <w:ind w:right="620"/>
              <w:spacing w:after="0"/>
              <w:rPr>
                <w:sz w:val="20"/>
                <w:szCs w:val="20"/>
                <w:color w:val="auto"/>
              </w:rPr>
            </w:pPr>
            <w:r>
              <w:rPr>
                <w:rFonts w:ascii="Arial" w:cs="Arial" w:eastAsia="Arial" w:hAnsi="Arial"/>
                <w:sz w:val="12"/>
                <w:szCs w:val="12"/>
                <w:color w:val="auto"/>
              </w:rPr>
              <w:t>36</w:t>
            </w:r>
          </w:p>
        </w:tc>
        <w:tc>
          <w:tcPr>
            <w:tcW w:w="360" w:type="dxa"/>
            <w:vAlign w:val="bottom"/>
          </w:tcPr>
          <w:p>
            <w:pPr>
              <w:spacing w:after="0"/>
              <w:rPr>
                <w:sz w:val="14"/>
                <w:szCs w:val="14"/>
                <w:color w:val="auto"/>
              </w:rPr>
            </w:pPr>
          </w:p>
        </w:tc>
      </w:tr>
      <w:tr>
        <w:trPr>
          <w:trHeight w:val="171"/>
        </w:trPr>
        <w:tc>
          <w:tcPr>
            <w:tcW w:w="220" w:type="dxa"/>
            <w:vAlign w:val="bottom"/>
          </w:tcPr>
          <w:p>
            <w:pPr>
              <w:spacing w:after="0"/>
              <w:rPr>
                <w:sz w:val="14"/>
                <w:szCs w:val="14"/>
                <w:color w:val="auto"/>
              </w:rPr>
            </w:pPr>
          </w:p>
        </w:tc>
        <w:tc>
          <w:tcPr>
            <w:tcW w:w="400" w:type="dxa"/>
            <w:vAlign w:val="bottom"/>
          </w:tcPr>
          <w:p>
            <w:pPr>
              <w:ind w:left="100"/>
              <w:spacing w:after="0"/>
              <w:rPr>
                <w:sz w:val="20"/>
                <w:szCs w:val="20"/>
                <w:color w:val="auto"/>
              </w:rPr>
            </w:pPr>
            <w:r>
              <w:rPr>
                <w:rFonts w:ascii="Arial" w:cs="Arial" w:eastAsia="Arial" w:hAnsi="Arial"/>
                <w:sz w:val="12"/>
                <w:szCs w:val="12"/>
                <w:color w:val="auto"/>
              </w:rPr>
              <w:t>9.6</w:t>
            </w:r>
          </w:p>
        </w:tc>
        <w:tc>
          <w:tcPr>
            <w:tcW w:w="1500" w:type="dxa"/>
            <w:vAlign w:val="bottom"/>
            <w:gridSpan w:val="2"/>
          </w:tcPr>
          <w:p>
            <w:pPr>
              <w:jc w:val="right"/>
              <w:spacing w:after="0"/>
              <w:rPr>
                <w:sz w:val="20"/>
                <w:szCs w:val="20"/>
                <w:color w:val="auto"/>
              </w:rPr>
            </w:pPr>
            <w:r>
              <w:rPr>
                <w:rFonts w:ascii="Arial" w:cs="Arial" w:eastAsia="Arial" w:hAnsi="Arial"/>
                <w:sz w:val="12"/>
                <w:szCs w:val="12"/>
                <w:color w:val="auto"/>
              </w:rPr>
              <w:t>Insurance</w:t>
            </w:r>
          </w:p>
        </w:tc>
        <w:tc>
          <w:tcPr>
            <w:tcW w:w="440" w:type="dxa"/>
            <w:vAlign w:val="bottom"/>
          </w:tcPr>
          <w:p>
            <w:pPr>
              <w:spacing w:after="0"/>
              <w:rPr>
                <w:sz w:val="14"/>
                <w:szCs w:val="14"/>
                <w:color w:val="auto"/>
              </w:rPr>
            </w:pPr>
          </w:p>
        </w:tc>
        <w:tc>
          <w:tcPr>
            <w:tcW w:w="380" w:type="dxa"/>
            <w:vAlign w:val="bottom"/>
          </w:tcPr>
          <w:p>
            <w:pPr>
              <w:spacing w:after="0"/>
              <w:rPr>
                <w:sz w:val="20"/>
                <w:szCs w:val="20"/>
                <w:color w:val="auto"/>
              </w:rPr>
            </w:pPr>
            <w:r>
              <w:rPr>
                <w:rFonts w:ascii="Arial" w:cs="Arial" w:eastAsia="Arial" w:hAnsi="Arial"/>
                <w:sz w:val="12"/>
                <w:szCs w:val="12"/>
                <w:color w:val="auto"/>
              </w:rPr>
              <w:t>39</w:t>
            </w: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171"/>
        </w:trPr>
        <w:tc>
          <w:tcPr>
            <w:tcW w:w="220" w:type="dxa"/>
            <w:vAlign w:val="bottom"/>
          </w:tcPr>
          <w:p>
            <w:pPr>
              <w:spacing w:after="0"/>
              <w:rPr>
                <w:sz w:val="14"/>
                <w:szCs w:val="14"/>
                <w:color w:val="auto"/>
              </w:rPr>
            </w:pPr>
          </w:p>
        </w:tc>
        <w:tc>
          <w:tcPr>
            <w:tcW w:w="400" w:type="dxa"/>
            <w:vAlign w:val="bottom"/>
          </w:tcPr>
          <w:p>
            <w:pPr>
              <w:ind w:left="100"/>
              <w:spacing w:after="0"/>
              <w:rPr>
                <w:sz w:val="20"/>
                <w:szCs w:val="20"/>
                <w:color w:val="auto"/>
              </w:rPr>
            </w:pPr>
            <w:r>
              <w:rPr>
                <w:rFonts w:ascii="Arial" w:cs="Arial" w:eastAsia="Arial" w:hAnsi="Arial"/>
                <w:sz w:val="12"/>
                <w:szCs w:val="12"/>
                <w:color w:val="auto"/>
              </w:rPr>
              <w:t>9.7</w:t>
            </w:r>
          </w:p>
        </w:tc>
        <w:tc>
          <w:tcPr>
            <w:tcW w:w="1940" w:type="dxa"/>
            <w:vAlign w:val="bottom"/>
            <w:gridSpan w:val="3"/>
          </w:tcPr>
          <w:p>
            <w:pPr>
              <w:jc w:val="center"/>
              <w:ind w:left="320"/>
              <w:spacing w:after="0"/>
              <w:rPr>
                <w:sz w:val="20"/>
                <w:szCs w:val="20"/>
                <w:color w:val="auto"/>
              </w:rPr>
            </w:pPr>
            <w:r>
              <w:rPr>
                <w:rFonts w:ascii="Arial" w:cs="Arial" w:eastAsia="Arial" w:hAnsi="Arial"/>
                <w:sz w:val="12"/>
                <w:szCs w:val="12"/>
                <w:color w:val="auto"/>
                <w:w w:val="99"/>
              </w:rPr>
              <w:t>Financial ratios</w:t>
            </w:r>
          </w:p>
        </w:tc>
        <w:tc>
          <w:tcPr>
            <w:tcW w:w="380" w:type="dxa"/>
            <w:vAlign w:val="bottom"/>
          </w:tcPr>
          <w:p>
            <w:pPr>
              <w:ind w:left="60"/>
              <w:spacing w:after="0"/>
              <w:rPr>
                <w:sz w:val="20"/>
                <w:szCs w:val="20"/>
                <w:color w:val="auto"/>
              </w:rPr>
            </w:pPr>
            <w:r>
              <w:rPr>
                <w:rFonts w:ascii="Arial" w:cs="Arial" w:eastAsia="Arial" w:hAnsi="Arial"/>
                <w:sz w:val="12"/>
                <w:szCs w:val="12"/>
                <w:color w:val="auto"/>
              </w:rPr>
              <w:t>39</w:t>
            </w: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171"/>
        </w:trPr>
        <w:tc>
          <w:tcPr>
            <w:tcW w:w="220" w:type="dxa"/>
            <w:vAlign w:val="bottom"/>
          </w:tcPr>
          <w:p>
            <w:pPr>
              <w:spacing w:after="0"/>
              <w:rPr>
                <w:sz w:val="14"/>
                <w:szCs w:val="14"/>
                <w:color w:val="auto"/>
              </w:rPr>
            </w:pPr>
          </w:p>
        </w:tc>
        <w:tc>
          <w:tcPr>
            <w:tcW w:w="400" w:type="dxa"/>
            <w:vAlign w:val="bottom"/>
          </w:tcPr>
          <w:p>
            <w:pPr>
              <w:ind w:left="100"/>
              <w:spacing w:after="0"/>
              <w:rPr>
                <w:sz w:val="20"/>
                <w:szCs w:val="20"/>
                <w:color w:val="auto"/>
              </w:rPr>
            </w:pPr>
            <w:r>
              <w:rPr>
                <w:rFonts w:ascii="Arial" w:cs="Arial" w:eastAsia="Arial" w:hAnsi="Arial"/>
                <w:sz w:val="12"/>
                <w:szCs w:val="12"/>
                <w:color w:val="auto"/>
              </w:rPr>
              <w:t>9.8</w:t>
            </w:r>
          </w:p>
        </w:tc>
        <w:tc>
          <w:tcPr>
            <w:tcW w:w="1940" w:type="dxa"/>
            <w:vAlign w:val="bottom"/>
            <w:gridSpan w:val="3"/>
          </w:tcPr>
          <w:p>
            <w:pPr>
              <w:jc w:val="center"/>
              <w:ind w:left="360"/>
              <w:spacing w:after="0"/>
              <w:rPr>
                <w:sz w:val="20"/>
                <w:szCs w:val="20"/>
                <w:color w:val="auto"/>
              </w:rPr>
            </w:pPr>
            <w:r>
              <w:rPr>
                <w:rFonts w:ascii="Arial" w:cs="Arial" w:eastAsia="Arial" w:hAnsi="Arial"/>
                <w:sz w:val="12"/>
                <w:szCs w:val="12"/>
                <w:color w:val="auto"/>
              </w:rPr>
              <w:t>Environment</w:t>
            </w:r>
          </w:p>
        </w:tc>
        <w:tc>
          <w:tcPr>
            <w:tcW w:w="380" w:type="dxa"/>
            <w:vAlign w:val="bottom"/>
          </w:tcPr>
          <w:p>
            <w:pPr>
              <w:ind w:left="20"/>
              <w:spacing w:after="0"/>
              <w:rPr>
                <w:sz w:val="20"/>
                <w:szCs w:val="20"/>
                <w:color w:val="auto"/>
              </w:rPr>
            </w:pPr>
            <w:r>
              <w:rPr>
                <w:rFonts w:ascii="Arial" w:cs="Arial" w:eastAsia="Arial" w:hAnsi="Arial"/>
                <w:sz w:val="12"/>
                <w:szCs w:val="12"/>
                <w:color w:val="auto"/>
              </w:rPr>
              <w:t>40</w:t>
            </w: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171"/>
        </w:trPr>
        <w:tc>
          <w:tcPr>
            <w:tcW w:w="220" w:type="dxa"/>
            <w:vAlign w:val="bottom"/>
          </w:tcPr>
          <w:p>
            <w:pPr>
              <w:spacing w:after="0"/>
              <w:rPr>
                <w:sz w:val="14"/>
                <w:szCs w:val="14"/>
                <w:color w:val="auto"/>
              </w:rPr>
            </w:pPr>
          </w:p>
        </w:tc>
        <w:tc>
          <w:tcPr>
            <w:tcW w:w="400" w:type="dxa"/>
            <w:vAlign w:val="bottom"/>
          </w:tcPr>
          <w:p>
            <w:pPr>
              <w:ind w:left="100"/>
              <w:spacing w:after="0"/>
              <w:rPr>
                <w:sz w:val="20"/>
                <w:szCs w:val="20"/>
                <w:color w:val="auto"/>
              </w:rPr>
            </w:pPr>
            <w:r>
              <w:rPr>
                <w:rFonts w:ascii="Arial" w:cs="Arial" w:eastAsia="Arial" w:hAnsi="Arial"/>
                <w:sz w:val="12"/>
                <w:szCs w:val="12"/>
                <w:color w:val="auto"/>
              </w:rPr>
              <w:t>9.9</w:t>
            </w:r>
          </w:p>
        </w:tc>
        <w:tc>
          <w:tcPr>
            <w:tcW w:w="1500" w:type="dxa"/>
            <w:vAlign w:val="bottom"/>
            <w:gridSpan w:val="2"/>
          </w:tcPr>
          <w:p>
            <w:pPr>
              <w:jc w:val="right"/>
              <w:spacing w:after="0"/>
              <w:rPr>
                <w:sz w:val="20"/>
                <w:szCs w:val="20"/>
                <w:color w:val="auto"/>
              </w:rPr>
            </w:pPr>
            <w:r>
              <w:rPr>
                <w:rFonts w:ascii="Arial" w:cs="Arial" w:eastAsia="Arial" w:hAnsi="Arial"/>
                <w:sz w:val="12"/>
                <w:szCs w:val="12"/>
                <w:color w:val="auto"/>
              </w:rPr>
              <w:t>No default</w:t>
            </w:r>
          </w:p>
        </w:tc>
        <w:tc>
          <w:tcPr>
            <w:tcW w:w="440" w:type="dxa"/>
            <w:vAlign w:val="bottom"/>
          </w:tcPr>
          <w:p>
            <w:pPr>
              <w:spacing w:after="0"/>
              <w:rPr>
                <w:sz w:val="14"/>
                <w:szCs w:val="14"/>
                <w:color w:val="auto"/>
              </w:rPr>
            </w:pPr>
          </w:p>
        </w:tc>
        <w:tc>
          <w:tcPr>
            <w:tcW w:w="380" w:type="dxa"/>
            <w:vAlign w:val="bottom"/>
          </w:tcPr>
          <w:p>
            <w:pPr>
              <w:spacing w:after="0"/>
              <w:rPr>
                <w:sz w:val="20"/>
                <w:szCs w:val="20"/>
                <w:color w:val="auto"/>
              </w:rPr>
            </w:pPr>
            <w:r>
              <w:rPr>
                <w:rFonts w:ascii="Arial" w:cs="Arial" w:eastAsia="Arial" w:hAnsi="Arial"/>
                <w:sz w:val="12"/>
                <w:szCs w:val="12"/>
                <w:color w:val="auto"/>
              </w:rPr>
              <w:t>42</w:t>
            </w: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171"/>
        </w:trPr>
        <w:tc>
          <w:tcPr>
            <w:tcW w:w="220" w:type="dxa"/>
            <w:vAlign w:val="bottom"/>
          </w:tcPr>
          <w:p>
            <w:pPr>
              <w:spacing w:after="0"/>
              <w:rPr>
                <w:sz w:val="14"/>
                <w:szCs w:val="14"/>
                <w:color w:val="auto"/>
              </w:rPr>
            </w:pPr>
          </w:p>
        </w:tc>
        <w:tc>
          <w:tcPr>
            <w:tcW w:w="400" w:type="dxa"/>
            <w:vAlign w:val="bottom"/>
          </w:tcPr>
          <w:p>
            <w:pPr>
              <w:ind w:left="100"/>
              <w:spacing w:after="0"/>
              <w:rPr>
                <w:sz w:val="20"/>
                <w:szCs w:val="20"/>
                <w:color w:val="auto"/>
              </w:rPr>
            </w:pPr>
            <w:r>
              <w:rPr>
                <w:rFonts w:ascii="Arial" w:cs="Arial" w:eastAsia="Arial" w:hAnsi="Arial"/>
                <w:sz w:val="12"/>
                <w:szCs w:val="12"/>
                <w:color w:val="auto"/>
              </w:rPr>
              <w:t>9.10</w:t>
            </w:r>
          </w:p>
        </w:tc>
        <w:tc>
          <w:tcPr>
            <w:tcW w:w="2320" w:type="dxa"/>
            <w:vAlign w:val="bottom"/>
            <w:gridSpan w:val="4"/>
          </w:tcPr>
          <w:p>
            <w:pPr>
              <w:jc w:val="center"/>
              <w:ind w:left="440"/>
              <w:spacing w:after="0"/>
              <w:rPr>
                <w:sz w:val="20"/>
                <w:szCs w:val="20"/>
                <w:color w:val="auto"/>
              </w:rPr>
            </w:pPr>
            <w:r>
              <w:rPr>
                <w:rFonts w:ascii="Arial" w:cs="Arial" w:eastAsia="Arial" w:hAnsi="Arial"/>
                <w:sz w:val="12"/>
                <w:szCs w:val="12"/>
                <w:color w:val="auto"/>
                <w:w w:val="98"/>
              </w:rPr>
              <w:t>Obligations of Trustees</w:t>
            </w:r>
          </w:p>
        </w:tc>
        <w:tc>
          <w:tcPr>
            <w:tcW w:w="880" w:type="dxa"/>
            <w:vAlign w:val="bottom"/>
          </w:tcPr>
          <w:p>
            <w:pPr>
              <w:jc w:val="right"/>
              <w:ind w:right="540"/>
              <w:spacing w:after="0"/>
              <w:rPr>
                <w:sz w:val="20"/>
                <w:szCs w:val="20"/>
                <w:color w:val="auto"/>
              </w:rPr>
            </w:pPr>
            <w:r>
              <w:rPr>
                <w:rFonts w:ascii="Arial" w:cs="Arial" w:eastAsia="Arial" w:hAnsi="Arial"/>
                <w:sz w:val="12"/>
                <w:szCs w:val="12"/>
                <w:color w:val="auto"/>
              </w:rPr>
              <w:t>42</w:t>
            </w:r>
          </w:p>
        </w:tc>
        <w:tc>
          <w:tcPr>
            <w:tcW w:w="360" w:type="dxa"/>
            <w:vAlign w:val="bottom"/>
          </w:tcPr>
          <w:p>
            <w:pPr>
              <w:spacing w:after="0"/>
              <w:rPr>
                <w:sz w:val="14"/>
                <w:szCs w:val="14"/>
                <w:color w:val="auto"/>
              </w:rPr>
            </w:pPr>
          </w:p>
        </w:tc>
      </w:tr>
      <w:tr>
        <w:trPr>
          <w:trHeight w:val="171"/>
        </w:trPr>
        <w:tc>
          <w:tcPr>
            <w:tcW w:w="220" w:type="dxa"/>
            <w:vAlign w:val="bottom"/>
          </w:tcPr>
          <w:p>
            <w:pPr>
              <w:spacing w:after="0"/>
              <w:rPr>
                <w:sz w:val="14"/>
                <w:szCs w:val="14"/>
                <w:color w:val="auto"/>
              </w:rPr>
            </w:pPr>
          </w:p>
        </w:tc>
        <w:tc>
          <w:tcPr>
            <w:tcW w:w="400" w:type="dxa"/>
            <w:vAlign w:val="bottom"/>
          </w:tcPr>
          <w:p>
            <w:pPr>
              <w:ind w:left="100"/>
              <w:spacing w:after="0"/>
              <w:rPr>
                <w:sz w:val="20"/>
                <w:szCs w:val="20"/>
                <w:color w:val="auto"/>
              </w:rPr>
            </w:pPr>
            <w:r>
              <w:rPr>
                <w:rFonts w:ascii="Arial" w:cs="Arial" w:eastAsia="Arial" w:hAnsi="Arial"/>
                <w:sz w:val="12"/>
                <w:szCs w:val="12"/>
                <w:color w:val="auto"/>
              </w:rPr>
              <w:t>9.11</w:t>
            </w:r>
          </w:p>
        </w:tc>
        <w:tc>
          <w:tcPr>
            <w:tcW w:w="2320" w:type="dxa"/>
            <w:vAlign w:val="bottom"/>
            <w:gridSpan w:val="4"/>
          </w:tcPr>
          <w:p>
            <w:pPr>
              <w:ind w:left="600"/>
              <w:spacing w:after="0"/>
              <w:rPr>
                <w:sz w:val="20"/>
                <w:szCs w:val="20"/>
                <w:color w:val="auto"/>
              </w:rPr>
            </w:pPr>
            <w:r>
              <w:rPr>
                <w:rFonts w:ascii="Arial" w:cs="Arial" w:eastAsia="Arial" w:hAnsi="Arial"/>
                <w:sz w:val="12"/>
                <w:szCs w:val="12"/>
                <w:color w:val="auto"/>
                <w:w w:val="99"/>
              </w:rPr>
              <w:t>Release for Permitted Disposals</w:t>
            </w:r>
          </w:p>
        </w:tc>
        <w:tc>
          <w:tcPr>
            <w:tcW w:w="880" w:type="dxa"/>
            <w:vAlign w:val="bottom"/>
          </w:tcPr>
          <w:p>
            <w:pPr>
              <w:jc w:val="right"/>
              <w:ind w:right="260"/>
              <w:spacing w:after="0"/>
              <w:rPr>
                <w:sz w:val="20"/>
                <w:szCs w:val="20"/>
                <w:color w:val="auto"/>
              </w:rPr>
            </w:pPr>
            <w:r>
              <w:rPr>
                <w:rFonts w:ascii="Arial" w:cs="Arial" w:eastAsia="Arial" w:hAnsi="Arial"/>
                <w:sz w:val="12"/>
                <w:szCs w:val="12"/>
                <w:color w:val="auto"/>
              </w:rPr>
              <w:t>43</w:t>
            </w:r>
          </w:p>
        </w:tc>
        <w:tc>
          <w:tcPr>
            <w:tcW w:w="360" w:type="dxa"/>
            <w:vAlign w:val="bottom"/>
          </w:tcPr>
          <w:p>
            <w:pPr>
              <w:spacing w:after="0"/>
              <w:rPr>
                <w:sz w:val="14"/>
                <w:szCs w:val="14"/>
                <w:color w:val="auto"/>
              </w:rPr>
            </w:pPr>
          </w:p>
        </w:tc>
      </w:tr>
      <w:tr>
        <w:trPr>
          <w:trHeight w:val="225"/>
        </w:trPr>
        <w:tc>
          <w:tcPr>
            <w:tcW w:w="220" w:type="dxa"/>
            <w:vAlign w:val="bottom"/>
          </w:tcPr>
          <w:p>
            <w:pPr>
              <w:spacing w:after="0"/>
              <w:rPr>
                <w:sz w:val="20"/>
                <w:szCs w:val="20"/>
                <w:color w:val="auto"/>
              </w:rPr>
            </w:pPr>
            <w:r>
              <w:rPr>
                <w:rFonts w:ascii="Arial" w:cs="Arial" w:eastAsia="Arial" w:hAnsi="Arial"/>
                <w:sz w:val="12"/>
                <w:szCs w:val="12"/>
                <w:b w:val="1"/>
                <w:bCs w:val="1"/>
                <w:color w:val="auto"/>
              </w:rPr>
              <w:t>10</w:t>
            </w:r>
          </w:p>
        </w:tc>
        <w:tc>
          <w:tcPr>
            <w:tcW w:w="400" w:type="dxa"/>
            <w:vAlign w:val="bottom"/>
          </w:tcPr>
          <w:p>
            <w:pPr>
              <w:spacing w:after="0"/>
              <w:rPr>
                <w:sz w:val="19"/>
                <w:szCs w:val="19"/>
                <w:color w:val="auto"/>
              </w:rPr>
            </w:pPr>
          </w:p>
        </w:tc>
        <w:tc>
          <w:tcPr>
            <w:tcW w:w="1500" w:type="dxa"/>
            <w:vAlign w:val="bottom"/>
            <w:gridSpan w:val="2"/>
          </w:tcPr>
          <w:p>
            <w:pPr>
              <w:ind w:left="240"/>
              <w:spacing w:after="0"/>
              <w:rPr>
                <w:sz w:val="20"/>
                <w:szCs w:val="20"/>
                <w:color w:val="auto"/>
              </w:rPr>
            </w:pPr>
            <w:r>
              <w:rPr>
                <w:rFonts w:ascii="Arial" w:cs="Arial" w:eastAsia="Arial" w:hAnsi="Arial"/>
                <w:sz w:val="12"/>
                <w:szCs w:val="12"/>
                <w:b w:val="1"/>
                <w:bCs w:val="1"/>
                <w:color w:val="auto"/>
              </w:rPr>
              <w:t>Events of Default</w:t>
            </w:r>
          </w:p>
        </w:tc>
        <w:tc>
          <w:tcPr>
            <w:tcW w:w="440" w:type="dxa"/>
            <w:vAlign w:val="bottom"/>
          </w:tcPr>
          <w:p>
            <w:pPr>
              <w:jc w:val="right"/>
              <w:ind w:right="100"/>
              <w:spacing w:after="0"/>
              <w:rPr>
                <w:sz w:val="20"/>
                <w:szCs w:val="20"/>
                <w:color w:val="auto"/>
              </w:rPr>
            </w:pPr>
            <w:r>
              <w:rPr>
                <w:rFonts w:ascii="Arial" w:cs="Arial" w:eastAsia="Arial" w:hAnsi="Arial"/>
                <w:sz w:val="12"/>
                <w:szCs w:val="12"/>
                <w:b w:val="1"/>
                <w:bCs w:val="1"/>
                <w:color w:val="auto"/>
              </w:rPr>
              <w:t>43</w:t>
            </w: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234"/>
        </w:trPr>
        <w:tc>
          <w:tcPr>
            <w:tcW w:w="220" w:type="dxa"/>
            <w:vAlign w:val="bottom"/>
          </w:tcPr>
          <w:p>
            <w:pPr>
              <w:spacing w:after="0"/>
              <w:rPr>
                <w:sz w:val="20"/>
                <w:szCs w:val="20"/>
                <w:color w:val="auto"/>
              </w:rPr>
            </w:pPr>
          </w:p>
        </w:tc>
        <w:tc>
          <w:tcPr>
            <w:tcW w:w="400" w:type="dxa"/>
            <w:vAlign w:val="bottom"/>
          </w:tcPr>
          <w:p>
            <w:pPr>
              <w:ind w:left="100"/>
              <w:spacing w:after="0"/>
              <w:rPr>
                <w:sz w:val="20"/>
                <w:szCs w:val="20"/>
                <w:color w:val="auto"/>
              </w:rPr>
            </w:pPr>
            <w:r>
              <w:rPr>
                <w:rFonts w:ascii="Arial" w:cs="Arial" w:eastAsia="Arial" w:hAnsi="Arial"/>
                <w:sz w:val="12"/>
                <w:szCs w:val="12"/>
                <w:color w:val="auto"/>
              </w:rPr>
              <w:t>10.1</w:t>
            </w:r>
          </w:p>
        </w:tc>
        <w:tc>
          <w:tcPr>
            <w:tcW w:w="10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Nature</w:t>
            </w:r>
          </w:p>
        </w:tc>
        <w:tc>
          <w:tcPr>
            <w:tcW w:w="380" w:type="dxa"/>
            <w:vAlign w:val="bottom"/>
          </w:tcPr>
          <w:p>
            <w:pPr>
              <w:spacing w:after="0"/>
              <w:rPr>
                <w:sz w:val="20"/>
                <w:szCs w:val="20"/>
                <w:color w:val="auto"/>
              </w:rPr>
            </w:pPr>
          </w:p>
        </w:tc>
        <w:tc>
          <w:tcPr>
            <w:tcW w:w="880" w:type="dxa"/>
            <w:vAlign w:val="bottom"/>
          </w:tcPr>
          <w:p>
            <w:pPr>
              <w:jc w:val="right"/>
              <w:ind w:right="640"/>
              <w:spacing w:after="0"/>
              <w:rPr>
                <w:sz w:val="20"/>
                <w:szCs w:val="20"/>
                <w:color w:val="auto"/>
              </w:rPr>
            </w:pPr>
            <w:r>
              <w:rPr>
                <w:rFonts w:ascii="Arial" w:cs="Arial" w:eastAsia="Arial" w:hAnsi="Arial"/>
                <w:sz w:val="12"/>
                <w:szCs w:val="12"/>
                <w:color w:val="auto"/>
              </w:rPr>
              <w:t>43</w:t>
            </w:r>
          </w:p>
        </w:tc>
        <w:tc>
          <w:tcPr>
            <w:tcW w:w="360" w:type="dxa"/>
            <w:vAlign w:val="bottom"/>
          </w:tcPr>
          <w:p>
            <w:pPr>
              <w:spacing w:after="0"/>
              <w:rPr>
                <w:sz w:val="20"/>
                <w:szCs w:val="20"/>
                <w:color w:val="auto"/>
              </w:rPr>
            </w:pPr>
          </w:p>
        </w:tc>
      </w:tr>
      <w:tr>
        <w:trPr>
          <w:trHeight w:val="171"/>
        </w:trPr>
        <w:tc>
          <w:tcPr>
            <w:tcW w:w="220" w:type="dxa"/>
            <w:vAlign w:val="bottom"/>
          </w:tcPr>
          <w:p>
            <w:pPr>
              <w:spacing w:after="0"/>
              <w:rPr>
                <w:sz w:val="14"/>
                <w:szCs w:val="14"/>
                <w:color w:val="auto"/>
              </w:rPr>
            </w:pPr>
          </w:p>
        </w:tc>
        <w:tc>
          <w:tcPr>
            <w:tcW w:w="400" w:type="dxa"/>
            <w:vAlign w:val="bottom"/>
          </w:tcPr>
          <w:p>
            <w:pPr>
              <w:ind w:left="100"/>
              <w:spacing w:after="0"/>
              <w:rPr>
                <w:sz w:val="20"/>
                <w:szCs w:val="20"/>
                <w:color w:val="auto"/>
              </w:rPr>
            </w:pPr>
            <w:r>
              <w:rPr>
                <w:rFonts w:ascii="Arial" w:cs="Arial" w:eastAsia="Arial" w:hAnsi="Arial"/>
                <w:sz w:val="12"/>
                <w:szCs w:val="12"/>
                <w:color w:val="auto"/>
              </w:rPr>
              <w:t>10.2</w:t>
            </w:r>
          </w:p>
        </w:tc>
        <w:tc>
          <w:tcPr>
            <w:tcW w:w="2320" w:type="dxa"/>
            <w:vAlign w:val="bottom"/>
            <w:gridSpan w:val="4"/>
          </w:tcPr>
          <w:p>
            <w:pPr>
              <w:jc w:val="center"/>
              <w:ind w:left="460"/>
              <w:spacing w:after="0"/>
              <w:rPr>
                <w:sz w:val="20"/>
                <w:szCs w:val="20"/>
                <w:color w:val="auto"/>
              </w:rPr>
            </w:pPr>
            <w:r>
              <w:rPr>
                <w:rFonts w:ascii="Arial" w:cs="Arial" w:eastAsia="Arial" w:hAnsi="Arial"/>
                <w:sz w:val="12"/>
                <w:szCs w:val="12"/>
                <w:color w:val="auto"/>
                <w:w w:val="99"/>
              </w:rPr>
              <w:t>Effect of Event of Default</w:t>
            </w:r>
          </w:p>
        </w:tc>
        <w:tc>
          <w:tcPr>
            <w:tcW w:w="880" w:type="dxa"/>
            <w:vAlign w:val="bottom"/>
          </w:tcPr>
          <w:p>
            <w:pPr>
              <w:jc w:val="right"/>
              <w:ind w:right="500"/>
              <w:spacing w:after="0"/>
              <w:rPr>
                <w:sz w:val="20"/>
                <w:szCs w:val="20"/>
                <w:color w:val="auto"/>
              </w:rPr>
            </w:pPr>
            <w:r>
              <w:rPr>
                <w:rFonts w:ascii="Arial" w:cs="Arial" w:eastAsia="Arial" w:hAnsi="Arial"/>
                <w:sz w:val="12"/>
                <w:szCs w:val="12"/>
                <w:color w:val="auto"/>
              </w:rPr>
              <w:t>46</w:t>
            </w:r>
          </w:p>
        </w:tc>
        <w:tc>
          <w:tcPr>
            <w:tcW w:w="360" w:type="dxa"/>
            <w:vAlign w:val="bottom"/>
          </w:tcPr>
          <w:p>
            <w:pPr>
              <w:spacing w:after="0"/>
              <w:rPr>
                <w:sz w:val="14"/>
                <w:szCs w:val="14"/>
                <w:color w:val="auto"/>
              </w:rPr>
            </w:pPr>
          </w:p>
        </w:tc>
      </w:tr>
      <w:tr>
        <w:trPr>
          <w:trHeight w:val="171"/>
        </w:trPr>
        <w:tc>
          <w:tcPr>
            <w:tcW w:w="220" w:type="dxa"/>
            <w:vAlign w:val="bottom"/>
          </w:tcPr>
          <w:p>
            <w:pPr>
              <w:spacing w:after="0"/>
              <w:rPr>
                <w:sz w:val="14"/>
                <w:szCs w:val="14"/>
                <w:color w:val="auto"/>
              </w:rPr>
            </w:pPr>
          </w:p>
        </w:tc>
        <w:tc>
          <w:tcPr>
            <w:tcW w:w="400" w:type="dxa"/>
            <w:vAlign w:val="bottom"/>
          </w:tcPr>
          <w:p>
            <w:pPr>
              <w:ind w:left="100"/>
              <w:spacing w:after="0"/>
              <w:rPr>
                <w:sz w:val="20"/>
                <w:szCs w:val="20"/>
                <w:color w:val="auto"/>
              </w:rPr>
            </w:pPr>
            <w:r>
              <w:rPr>
                <w:rFonts w:ascii="Arial" w:cs="Arial" w:eastAsia="Arial" w:hAnsi="Arial"/>
                <w:sz w:val="12"/>
                <w:szCs w:val="12"/>
                <w:color w:val="auto"/>
              </w:rPr>
              <w:t>10.3</w:t>
            </w:r>
          </w:p>
        </w:tc>
        <w:tc>
          <w:tcPr>
            <w:tcW w:w="3200" w:type="dxa"/>
            <w:vAlign w:val="bottom"/>
            <w:gridSpan w:val="5"/>
          </w:tcPr>
          <w:p>
            <w:pPr>
              <w:jc w:val="right"/>
              <w:ind w:right="140"/>
              <w:spacing w:after="0"/>
              <w:rPr>
                <w:sz w:val="20"/>
                <w:szCs w:val="20"/>
                <w:color w:val="auto"/>
              </w:rPr>
            </w:pPr>
            <w:r>
              <w:rPr>
                <w:rFonts w:ascii="Arial" w:cs="Arial" w:eastAsia="Arial" w:hAnsi="Arial"/>
                <w:sz w:val="12"/>
                <w:szCs w:val="12"/>
                <w:color w:val="auto"/>
              </w:rPr>
              <w:t>Cash Cover Account regarding Bank Guarantees</w:t>
            </w:r>
          </w:p>
        </w:tc>
        <w:tc>
          <w:tcPr>
            <w:tcW w:w="360" w:type="dxa"/>
            <w:vAlign w:val="bottom"/>
          </w:tcPr>
          <w:p>
            <w:pPr>
              <w:jc w:val="right"/>
              <w:spacing w:after="0"/>
              <w:rPr>
                <w:sz w:val="20"/>
                <w:szCs w:val="20"/>
                <w:color w:val="auto"/>
              </w:rPr>
            </w:pPr>
            <w:r>
              <w:rPr>
                <w:rFonts w:ascii="Arial" w:cs="Arial" w:eastAsia="Arial" w:hAnsi="Arial"/>
                <w:sz w:val="12"/>
                <w:szCs w:val="12"/>
                <w:color w:val="auto"/>
              </w:rPr>
              <w:t>47</w:t>
            </w:r>
          </w:p>
        </w:tc>
      </w:tr>
      <w:tr>
        <w:trPr>
          <w:trHeight w:val="171"/>
        </w:trPr>
        <w:tc>
          <w:tcPr>
            <w:tcW w:w="220" w:type="dxa"/>
            <w:vAlign w:val="bottom"/>
          </w:tcPr>
          <w:p>
            <w:pPr>
              <w:spacing w:after="0"/>
              <w:rPr>
                <w:sz w:val="14"/>
                <w:szCs w:val="14"/>
                <w:color w:val="auto"/>
              </w:rPr>
            </w:pPr>
          </w:p>
        </w:tc>
        <w:tc>
          <w:tcPr>
            <w:tcW w:w="400" w:type="dxa"/>
            <w:vAlign w:val="bottom"/>
          </w:tcPr>
          <w:p>
            <w:pPr>
              <w:ind w:left="100"/>
              <w:spacing w:after="0"/>
              <w:rPr>
                <w:sz w:val="20"/>
                <w:szCs w:val="20"/>
                <w:color w:val="auto"/>
              </w:rPr>
            </w:pPr>
            <w:r>
              <w:rPr>
                <w:rFonts w:ascii="Arial" w:cs="Arial" w:eastAsia="Arial" w:hAnsi="Arial"/>
                <w:sz w:val="12"/>
                <w:szCs w:val="12"/>
                <w:color w:val="auto"/>
              </w:rPr>
              <w:t>10.4</w:t>
            </w:r>
          </w:p>
        </w:tc>
        <w:tc>
          <w:tcPr>
            <w:tcW w:w="1000" w:type="dxa"/>
            <w:vAlign w:val="bottom"/>
          </w:tcPr>
          <w:p>
            <w:pPr>
              <w:spacing w:after="0"/>
              <w:rPr>
                <w:sz w:val="14"/>
                <w:szCs w:val="14"/>
                <w:color w:val="auto"/>
              </w:rPr>
            </w:pP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Review Events</w:t>
            </w:r>
          </w:p>
        </w:tc>
        <w:tc>
          <w:tcPr>
            <w:tcW w:w="1260" w:type="dxa"/>
            <w:vAlign w:val="bottom"/>
            <w:gridSpan w:val="2"/>
          </w:tcPr>
          <w:p>
            <w:pPr>
              <w:jc w:val="right"/>
              <w:ind w:right="700"/>
              <w:spacing w:after="0"/>
              <w:rPr>
                <w:sz w:val="20"/>
                <w:szCs w:val="20"/>
                <w:color w:val="auto"/>
              </w:rPr>
            </w:pPr>
            <w:r>
              <w:rPr>
                <w:rFonts w:ascii="Arial" w:cs="Arial" w:eastAsia="Arial" w:hAnsi="Arial"/>
                <w:sz w:val="12"/>
                <w:szCs w:val="12"/>
                <w:color w:val="auto"/>
              </w:rPr>
              <w:t>48</w:t>
            </w:r>
          </w:p>
        </w:tc>
        <w:tc>
          <w:tcPr>
            <w:tcW w:w="360" w:type="dxa"/>
            <w:vAlign w:val="bottom"/>
          </w:tcPr>
          <w:p>
            <w:pPr>
              <w:spacing w:after="0"/>
              <w:rPr>
                <w:sz w:val="14"/>
                <w:szCs w:val="14"/>
                <w:color w:val="auto"/>
              </w:rPr>
            </w:pPr>
          </w:p>
        </w:tc>
      </w:tr>
      <w:tr>
        <w:trPr>
          <w:trHeight w:val="171"/>
        </w:trPr>
        <w:tc>
          <w:tcPr>
            <w:tcW w:w="220" w:type="dxa"/>
            <w:vAlign w:val="bottom"/>
          </w:tcPr>
          <w:p>
            <w:pPr>
              <w:spacing w:after="0"/>
              <w:rPr>
                <w:sz w:val="14"/>
                <w:szCs w:val="14"/>
                <w:color w:val="auto"/>
              </w:rPr>
            </w:pPr>
          </w:p>
        </w:tc>
        <w:tc>
          <w:tcPr>
            <w:tcW w:w="400" w:type="dxa"/>
            <w:vAlign w:val="bottom"/>
          </w:tcPr>
          <w:p>
            <w:pPr>
              <w:ind w:left="100"/>
              <w:spacing w:after="0"/>
              <w:rPr>
                <w:sz w:val="20"/>
                <w:szCs w:val="20"/>
                <w:color w:val="auto"/>
              </w:rPr>
            </w:pPr>
            <w:r>
              <w:rPr>
                <w:rFonts w:ascii="Arial" w:cs="Arial" w:eastAsia="Arial" w:hAnsi="Arial"/>
                <w:sz w:val="12"/>
                <w:szCs w:val="12"/>
                <w:color w:val="auto"/>
              </w:rPr>
              <w:t>10.5</w:t>
            </w:r>
          </w:p>
        </w:tc>
        <w:tc>
          <w:tcPr>
            <w:tcW w:w="1000" w:type="dxa"/>
            <w:vAlign w:val="bottom"/>
          </w:tcPr>
          <w:p>
            <w:pPr>
              <w:spacing w:after="0"/>
              <w:rPr>
                <w:sz w:val="14"/>
                <w:szCs w:val="14"/>
                <w:color w:val="auto"/>
              </w:rPr>
            </w:pP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Reviews</w:t>
            </w:r>
          </w:p>
        </w:tc>
        <w:tc>
          <w:tcPr>
            <w:tcW w:w="380" w:type="dxa"/>
            <w:vAlign w:val="bottom"/>
          </w:tcPr>
          <w:p>
            <w:pPr>
              <w:spacing w:after="0"/>
              <w:rPr>
                <w:sz w:val="14"/>
                <w:szCs w:val="14"/>
                <w:color w:val="auto"/>
              </w:rPr>
            </w:pPr>
          </w:p>
        </w:tc>
        <w:tc>
          <w:tcPr>
            <w:tcW w:w="880" w:type="dxa"/>
            <w:vAlign w:val="bottom"/>
          </w:tcPr>
          <w:p>
            <w:pPr>
              <w:jc w:val="right"/>
              <w:ind w:right="700"/>
              <w:spacing w:after="0"/>
              <w:rPr>
                <w:sz w:val="20"/>
                <w:szCs w:val="20"/>
                <w:color w:val="auto"/>
              </w:rPr>
            </w:pPr>
            <w:r>
              <w:rPr>
                <w:rFonts w:ascii="Arial" w:cs="Arial" w:eastAsia="Arial" w:hAnsi="Arial"/>
                <w:sz w:val="12"/>
                <w:szCs w:val="12"/>
                <w:color w:val="auto"/>
                <w:w w:val="74"/>
              </w:rPr>
              <w:t>48</w:t>
            </w:r>
          </w:p>
        </w:tc>
        <w:tc>
          <w:tcPr>
            <w:tcW w:w="360" w:type="dxa"/>
            <w:vAlign w:val="bottom"/>
          </w:tcPr>
          <w:p>
            <w:pPr>
              <w:spacing w:after="0"/>
              <w:rPr>
                <w:sz w:val="14"/>
                <w:szCs w:val="14"/>
                <w:color w:val="auto"/>
              </w:rPr>
            </w:pPr>
          </w:p>
        </w:tc>
      </w:tr>
      <w:tr>
        <w:trPr>
          <w:trHeight w:val="225"/>
        </w:trPr>
        <w:tc>
          <w:tcPr>
            <w:tcW w:w="220" w:type="dxa"/>
            <w:vAlign w:val="bottom"/>
          </w:tcPr>
          <w:p>
            <w:pPr>
              <w:spacing w:after="0"/>
              <w:rPr>
                <w:sz w:val="20"/>
                <w:szCs w:val="20"/>
                <w:color w:val="auto"/>
              </w:rPr>
            </w:pPr>
            <w:r>
              <w:rPr>
                <w:rFonts w:ascii="Arial" w:cs="Arial" w:eastAsia="Arial" w:hAnsi="Arial"/>
                <w:sz w:val="12"/>
                <w:szCs w:val="12"/>
                <w:b w:val="1"/>
                <w:bCs w:val="1"/>
                <w:color w:val="auto"/>
              </w:rPr>
              <w:t>11</w:t>
            </w:r>
          </w:p>
        </w:tc>
        <w:tc>
          <w:tcPr>
            <w:tcW w:w="400" w:type="dxa"/>
            <w:vAlign w:val="bottom"/>
          </w:tcPr>
          <w:p>
            <w:pPr>
              <w:spacing w:after="0"/>
              <w:rPr>
                <w:sz w:val="19"/>
                <w:szCs w:val="19"/>
                <w:color w:val="auto"/>
              </w:rPr>
            </w:pPr>
          </w:p>
        </w:tc>
        <w:tc>
          <w:tcPr>
            <w:tcW w:w="1500" w:type="dxa"/>
            <w:vAlign w:val="bottom"/>
            <w:gridSpan w:val="2"/>
          </w:tcPr>
          <w:p>
            <w:pPr>
              <w:ind w:left="160"/>
              <w:spacing w:after="0"/>
              <w:rPr>
                <w:sz w:val="20"/>
                <w:szCs w:val="20"/>
                <w:color w:val="auto"/>
              </w:rPr>
            </w:pPr>
            <w:r>
              <w:rPr>
                <w:rFonts w:ascii="Arial" w:cs="Arial" w:eastAsia="Arial" w:hAnsi="Arial"/>
                <w:sz w:val="12"/>
                <w:szCs w:val="12"/>
                <w:b w:val="1"/>
                <w:bCs w:val="1"/>
                <w:color w:val="auto"/>
              </w:rPr>
              <w:t>Costs and expenses</w:t>
            </w:r>
          </w:p>
        </w:tc>
        <w:tc>
          <w:tcPr>
            <w:tcW w:w="440" w:type="dxa"/>
            <w:vAlign w:val="bottom"/>
          </w:tcPr>
          <w:p>
            <w:pPr>
              <w:jc w:val="right"/>
              <w:spacing w:after="0"/>
              <w:rPr>
                <w:sz w:val="20"/>
                <w:szCs w:val="20"/>
                <w:color w:val="auto"/>
              </w:rPr>
            </w:pPr>
            <w:r>
              <w:rPr>
                <w:rFonts w:ascii="Arial" w:cs="Arial" w:eastAsia="Arial" w:hAnsi="Arial"/>
                <w:sz w:val="12"/>
                <w:szCs w:val="12"/>
                <w:b w:val="1"/>
                <w:bCs w:val="1"/>
                <w:color w:val="auto"/>
              </w:rPr>
              <w:t>48</w:t>
            </w: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243"/>
        </w:trPr>
        <w:tc>
          <w:tcPr>
            <w:tcW w:w="220" w:type="dxa"/>
            <w:vAlign w:val="bottom"/>
          </w:tcPr>
          <w:p>
            <w:pPr>
              <w:spacing w:after="0"/>
              <w:rPr>
                <w:sz w:val="21"/>
                <w:szCs w:val="21"/>
                <w:color w:val="auto"/>
              </w:rPr>
            </w:pPr>
          </w:p>
        </w:tc>
        <w:tc>
          <w:tcPr>
            <w:tcW w:w="400" w:type="dxa"/>
            <w:vAlign w:val="bottom"/>
          </w:tcPr>
          <w:p>
            <w:pPr>
              <w:ind w:left="120"/>
              <w:spacing w:after="0"/>
              <w:rPr>
                <w:sz w:val="20"/>
                <w:szCs w:val="20"/>
                <w:color w:val="auto"/>
              </w:rPr>
            </w:pPr>
            <w:r>
              <w:rPr>
                <w:rFonts w:ascii="Arial" w:cs="Arial" w:eastAsia="Arial" w:hAnsi="Arial"/>
                <w:sz w:val="12"/>
                <w:szCs w:val="12"/>
                <w:color w:val="auto"/>
              </w:rPr>
              <w:t>11.1</w:t>
            </w:r>
          </w:p>
        </w:tc>
        <w:tc>
          <w:tcPr>
            <w:tcW w:w="1000" w:type="dxa"/>
            <w:vAlign w:val="bottom"/>
          </w:tcPr>
          <w:p>
            <w:pPr>
              <w:ind w:left="40"/>
              <w:spacing w:after="0"/>
              <w:rPr>
                <w:sz w:val="20"/>
                <w:szCs w:val="20"/>
                <w:color w:val="auto"/>
              </w:rPr>
            </w:pPr>
            <w:r>
              <w:rPr>
                <w:rFonts w:ascii="Arial" w:cs="Arial" w:eastAsia="Arial" w:hAnsi="Arial"/>
                <w:sz w:val="12"/>
                <w:szCs w:val="12"/>
                <w:color w:val="auto"/>
              </w:rPr>
              <w:t>Interpretation</w:t>
            </w:r>
          </w:p>
        </w:tc>
        <w:tc>
          <w:tcPr>
            <w:tcW w:w="5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60" w:type="dxa"/>
            <w:vAlign w:val="bottom"/>
          </w:tcPr>
          <w:p>
            <w:pPr>
              <w:spacing w:after="0"/>
              <w:rPr>
                <w:sz w:val="21"/>
                <w:szCs w:val="21"/>
                <w:color w:val="auto"/>
              </w:rPr>
            </w:pPr>
          </w:p>
        </w:tc>
      </w:tr>
      <w:tr>
        <w:trPr>
          <w:trHeight w:val="162"/>
        </w:trPr>
        <w:tc>
          <w:tcPr>
            <w:tcW w:w="220" w:type="dxa"/>
            <w:vAlign w:val="bottom"/>
          </w:tcPr>
          <w:p>
            <w:pPr>
              <w:spacing w:after="0"/>
              <w:rPr>
                <w:sz w:val="14"/>
                <w:szCs w:val="14"/>
                <w:color w:val="auto"/>
              </w:rPr>
            </w:pPr>
          </w:p>
        </w:tc>
        <w:tc>
          <w:tcPr>
            <w:tcW w:w="400" w:type="dxa"/>
            <w:vAlign w:val="bottom"/>
          </w:tcPr>
          <w:p>
            <w:pPr>
              <w:ind w:left="120"/>
              <w:spacing w:after="0"/>
              <w:rPr>
                <w:sz w:val="20"/>
                <w:szCs w:val="20"/>
                <w:color w:val="auto"/>
              </w:rPr>
            </w:pPr>
            <w:r>
              <w:rPr>
                <w:rFonts w:ascii="Arial" w:cs="Arial" w:eastAsia="Arial" w:hAnsi="Arial"/>
                <w:sz w:val="12"/>
                <w:szCs w:val="12"/>
                <w:color w:val="auto"/>
              </w:rPr>
              <w:t>11.2</w:t>
            </w:r>
          </w:p>
        </w:tc>
        <w:tc>
          <w:tcPr>
            <w:tcW w:w="1000" w:type="dxa"/>
            <w:vAlign w:val="bottom"/>
          </w:tcPr>
          <w:p>
            <w:pPr>
              <w:ind w:left="40"/>
              <w:spacing w:after="0"/>
              <w:rPr>
                <w:sz w:val="20"/>
                <w:szCs w:val="20"/>
                <w:color w:val="auto"/>
              </w:rPr>
            </w:pPr>
            <w:r>
              <w:rPr>
                <w:rFonts w:ascii="Arial" w:cs="Arial" w:eastAsia="Arial" w:hAnsi="Arial"/>
                <w:sz w:val="12"/>
                <w:szCs w:val="12"/>
                <w:color w:val="auto"/>
              </w:rPr>
              <w:t>Nature</w:t>
            </w:r>
          </w:p>
        </w:tc>
        <w:tc>
          <w:tcPr>
            <w:tcW w:w="5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153"/>
        </w:trPr>
        <w:tc>
          <w:tcPr>
            <w:tcW w:w="220" w:type="dxa"/>
            <w:vAlign w:val="bottom"/>
          </w:tcPr>
          <w:p>
            <w:pPr>
              <w:spacing w:after="0"/>
              <w:rPr>
                <w:sz w:val="13"/>
                <w:szCs w:val="13"/>
                <w:color w:val="auto"/>
              </w:rPr>
            </w:pPr>
          </w:p>
        </w:tc>
        <w:tc>
          <w:tcPr>
            <w:tcW w:w="400" w:type="dxa"/>
            <w:vAlign w:val="bottom"/>
          </w:tcPr>
          <w:p>
            <w:pPr>
              <w:ind w:left="120"/>
              <w:spacing w:after="0"/>
              <w:rPr>
                <w:sz w:val="20"/>
                <w:szCs w:val="20"/>
                <w:color w:val="auto"/>
              </w:rPr>
            </w:pPr>
            <w:r>
              <w:rPr>
                <w:rFonts w:ascii="Arial" w:cs="Arial" w:eastAsia="Arial" w:hAnsi="Arial"/>
                <w:sz w:val="12"/>
                <w:szCs w:val="12"/>
                <w:color w:val="auto"/>
              </w:rPr>
              <w:t>11.3</w:t>
            </w:r>
          </w:p>
        </w:tc>
        <w:tc>
          <w:tcPr>
            <w:tcW w:w="1000" w:type="dxa"/>
            <w:vAlign w:val="bottom"/>
          </w:tcPr>
          <w:p>
            <w:pPr>
              <w:ind w:left="40"/>
              <w:spacing w:after="0"/>
              <w:rPr>
                <w:sz w:val="20"/>
                <w:szCs w:val="20"/>
                <w:color w:val="auto"/>
              </w:rPr>
            </w:pPr>
            <w:r>
              <w:rPr>
                <w:rFonts w:ascii="Arial" w:cs="Arial" w:eastAsia="Arial" w:hAnsi="Arial"/>
                <w:sz w:val="12"/>
                <w:szCs w:val="12"/>
                <w:color w:val="auto"/>
              </w:rPr>
              <w:t>Remuneration</w:t>
            </w:r>
          </w:p>
        </w:tc>
        <w:tc>
          <w:tcPr>
            <w:tcW w:w="5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60" w:type="dxa"/>
            <w:vAlign w:val="bottom"/>
          </w:tcPr>
          <w:p>
            <w:pPr>
              <w:spacing w:after="0"/>
              <w:rPr>
                <w:sz w:val="13"/>
                <w:szCs w:val="13"/>
                <w:color w:val="auto"/>
              </w:rPr>
            </w:pPr>
          </w:p>
        </w:tc>
      </w:tr>
      <w:tr>
        <w:trPr>
          <w:trHeight w:val="225"/>
        </w:trPr>
        <w:tc>
          <w:tcPr>
            <w:tcW w:w="220" w:type="dxa"/>
            <w:vAlign w:val="bottom"/>
          </w:tcPr>
          <w:p>
            <w:pPr>
              <w:spacing w:after="0"/>
              <w:rPr>
                <w:sz w:val="20"/>
                <w:szCs w:val="20"/>
                <w:color w:val="auto"/>
              </w:rPr>
            </w:pPr>
            <w:r>
              <w:rPr>
                <w:rFonts w:ascii="Arial" w:cs="Arial" w:eastAsia="Arial" w:hAnsi="Arial"/>
                <w:sz w:val="12"/>
                <w:szCs w:val="12"/>
                <w:b w:val="1"/>
                <w:bCs w:val="1"/>
                <w:color w:val="auto"/>
              </w:rPr>
              <w:t>12</w:t>
            </w:r>
          </w:p>
        </w:tc>
        <w:tc>
          <w:tcPr>
            <w:tcW w:w="400" w:type="dxa"/>
            <w:vAlign w:val="bottom"/>
          </w:tcPr>
          <w:p>
            <w:pPr>
              <w:spacing w:after="0"/>
              <w:rPr>
                <w:sz w:val="19"/>
                <w:szCs w:val="19"/>
                <w:color w:val="auto"/>
              </w:rPr>
            </w:pPr>
          </w:p>
        </w:tc>
        <w:tc>
          <w:tcPr>
            <w:tcW w:w="1500" w:type="dxa"/>
            <w:vAlign w:val="bottom"/>
            <w:gridSpan w:val="2"/>
          </w:tcPr>
          <w:p>
            <w:pPr>
              <w:ind w:left="400"/>
              <w:spacing w:after="0"/>
              <w:rPr>
                <w:sz w:val="20"/>
                <w:szCs w:val="20"/>
                <w:color w:val="auto"/>
              </w:rPr>
            </w:pPr>
            <w:r>
              <w:rPr>
                <w:rFonts w:ascii="Arial" w:cs="Arial" w:eastAsia="Arial" w:hAnsi="Arial"/>
                <w:sz w:val="12"/>
                <w:szCs w:val="12"/>
                <w:b w:val="1"/>
                <w:bCs w:val="1"/>
                <w:color w:val="auto"/>
              </w:rPr>
              <w:t>Indemnities</w:t>
            </w:r>
          </w:p>
        </w:tc>
        <w:tc>
          <w:tcPr>
            <w:tcW w:w="440" w:type="dxa"/>
            <w:vAlign w:val="bottom"/>
          </w:tcPr>
          <w:p>
            <w:pPr>
              <w:jc w:val="right"/>
              <w:ind w:right="240"/>
              <w:spacing w:after="0"/>
              <w:rPr>
                <w:sz w:val="20"/>
                <w:szCs w:val="20"/>
                <w:color w:val="auto"/>
              </w:rPr>
            </w:pPr>
            <w:r>
              <w:rPr>
                <w:rFonts w:ascii="Arial" w:cs="Arial" w:eastAsia="Arial" w:hAnsi="Arial"/>
                <w:sz w:val="12"/>
                <w:szCs w:val="12"/>
                <w:b w:val="1"/>
                <w:bCs w:val="1"/>
                <w:color w:val="auto"/>
                <w:w w:val="89"/>
              </w:rPr>
              <w:t>49</w:t>
            </w: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234"/>
        </w:trPr>
        <w:tc>
          <w:tcPr>
            <w:tcW w:w="220" w:type="dxa"/>
            <w:vAlign w:val="bottom"/>
          </w:tcPr>
          <w:p>
            <w:pPr>
              <w:spacing w:after="0"/>
              <w:rPr>
                <w:sz w:val="20"/>
                <w:szCs w:val="20"/>
                <w:color w:val="auto"/>
              </w:rPr>
            </w:pPr>
          </w:p>
        </w:tc>
        <w:tc>
          <w:tcPr>
            <w:tcW w:w="400" w:type="dxa"/>
            <w:vAlign w:val="bottom"/>
          </w:tcPr>
          <w:p>
            <w:pPr>
              <w:ind w:left="100"/>
              <w:spacing w:after="0"/>
              <w:rPr>
                <w:sz w:val="20"/>
                <w:szCs w:val="20"/>
                <w:color w:val="auto"/>
              </w:rPr>
            </w:pPr>
            <w:r>
              <w:rPr>
                <w:rFonts w:ascii="Arial" w:cs="Arial" w:eastAsia="Arial" w:hAnsi="Arial"/>
                <w:sz w:val="12"/>
                <w:szCs w:val="12"/>
                <w:color w:val="auto"/>
              </w:rPr>
              <w:t>12.1</w:t>
            </w:r>
          </w:p>
        </w:tc>
        <w:tc>
          <w:tcPr>
            <w:tcW w:w="10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Nature</w:t>
            </w:r>
          </w:p>
        </w:tc>
        <w:tc>
          <w:tcPr>
            <w:tcW w:w="380" w:type="dxa"/>
            <w:vAlign w:val="bottom"/>
          </w:tcPr>
          <w:p>
            <w:pPr>
              <w:spacing w:after="0"/>
              <w:rPr>
                <w:sz w:val="20"/>
                <w:szCs w:val="20"/>
                <w:color w:val="auto"/>
              </w:rPr>
            </w:pPr>
          </w:p>
        </w:tc>
        <w:tc>
          <w:tcPr>
            <w:tcW w:w="880" w:type="dxa"/>
            <w:vAlign w:val="bottom"/>
          </w:tcPr>
          <w:p>
            <w:pPr>
              <w:jc w:val="right"/>
              <w:ind w:right="640"/>
              <w:spacing w:after="0"/>
              <w:rPr>
                <w:sz w:val="20"/>
                <w:szCs w:val="20"/>
                <w:color w:val="auto"/>
              </w:rPr>
            </w:pPr>
            <w:r>
              <w:rPr>
                <w:rFonts w:ascii="Arial" w:cs="Arial" w:eastAsia="Arial" w:hAnsi="Arial"/>
                <w:sz w:val="12"/>
                <w:szCs w:val="12"/>
                <w:color w:val="auto"/>
              </w:rPr>
              <w:t>49</w:t>
            </w:r>
          </w:p>
        </w:tc>
        <w:tc>
          <w:tcPr>
            <w:tcW w:w="360" w:type="dxa"/>
            <w:vAlign w:val="bottom"/>
          </w:tcPr>
          <w:p>
            <w:pPr>
              <w:spacing w:after="0"/>
              <w:rPr>
                <w:sz w:val="20"/>
                <w:szCs w:val="20"/>
                <w:color w:val="auto"/>
              </w:rPr>
            </w:pPr>
          </w:p>
        </w:tc>
      </w:tr>
      <w:tr>
        <w:trPr>
          <w:trHeight w:val="162"/>
        </w:trPr>
        <w:tc>
          <w:tcPr>
            <w:tcW w:w="220" w:type="dxa"/>
            <w:vAlign w:val="bottom"/>
          </w:tcPr>
          <w:p>
            <w:pPr>
              <w:spacing w:after="0"/>
              <w:rPr>
                <w:sz w:val="14"/>
                <w:szCs w:val="14"/>
                <w:color w:val="auto"/>
              </w:rPr>
            </w:pPr>
          </w:p>
        </w:tc>
        <w:tc>
          <w:tcPr>
            <w:tcW w:w="400" w:type="dxa"/>
            <w:vAlign w:val="bottom"/>
          </w:tcPr>
          <w:p>
            <w:pPr>
              <w:ind w:left="100"/>
              <w:spacing w:after="0"/>
              <w:rPr>
                <w:sz w:val="20"/>
                <w:szCs w:val="20"/>
                <w:color w:val="auto"/>
              </w:rPr>
            </w:pPr>
            <w:r>
              <w:rPr>
                <w:rFonts w:ascii="Arial" w:cs="Arial" w:eastAsia="Arial" w:hAnsi="Arial"/>
                <w:sz w:val="12"/>
                <w:szCs w:val="12"/>
                <w:color w:val="auto"/>
              </w:rPr>
              <w:t>12.2</w:t>
            </w:r>
          </w:p>
        </w:tc>
        <w:tc>
          <w:tcPr>
            <w:tcW w:w="1000" w:type="dxa"/>
            <w:vAlign w:val="bottom"/>
          </w:tcPr>
          <w:p>
            <w:pPr>
              <w:spacing w:after="0"/>
              <w:rPr>
                <w:sz w:val="14"/>
                <w:szCs w:val="14"/>
                <w:color w:val="auto"/>
              </w:rPr>
            </w:pPr>
          </w:p>
        </w:tc>
        <w:tc>
          <w:tcPr>
            <w:tcW w:w="940" w:type="dxa"/>
            <w:vAlign w:val="bottom"/>
            <w:gridSpan w:val="2"/>
          </w:tcPr>
          <w:p>
            <w:pPr>
              <w:jc w:val="right"/>
              <w:spacing w:after="0"/>
              <w:rPr>
                <w:sz w:val="20"/>
                <w:szCs w:val="20"/>
                <w:color w:val="auto"/>
              </w:rPr>
            </w:pPr>
            <w:r>
              <w:rPr>
                <w:rFonts w:ascii="Arial" w:cs="Arial" w:eastAsia="Arial" w:hAnsi="Arial"/>
                <w:sz w:val="12"/>
                <w:szCs w:val="12"/>
                <w:color w:val="auto"/>
                <w:w w:val="99"/>
              </w:rPr>
              <w:t>Representatives</w:t>
            </w:r>
          </w:p>
        </w:tc>
        <w:tc>
          <w:tcPr>
            <w:tcW w:w="380" w:type="dxa"/>
            <w:vAlign w:val="bottom"/>
          </w:tcPr>
          <w:p>
            <w:pPr>
              <w:spacing w:after="0"/>
              <w:rPr>
                <w:sz w:val="14"/>
                <w:szCs w:val="14"/>
                <w:color w:val="auto"/>
              </w:rPr>
            </w:pPr>
          </w:p>
        </w:tc>
        <w:tc>
          <w:tcPr>
            <w:tcW w:w="880" w:type="dxa"/>
            <w:vAlign w:val="bottom"/>
          </w:tcPr>
          <w:p>
            <w:pPr>
              <w:jc w:val="right"/>
              <w:ind w:right="680"/>
              <w:spacing w:after="0"/>
              <w:rPr>
                <w:sz w:val="20"/>
                <w:szCs w:val="20"/>
                <w:color w:val="auto"/>
              </w:rPr>
            </w:pPr>
            <w:r>
              <w:rPr>
                <w:rFonts w:ascii="Arial" w:cs="Arial" w:eastAsia="Arial" w:hAnsi="Arial"/>
                <w:sz w:val="12"/>
                <w:szCs w:val="12"/>
                <w:color w:val="auto"/>
                <w:w w:val="89"/>
              </w:rPr>
              <w:t>50</w:t>
            </w:r>
          </w:p>
        </w:tc>
        <w:tc>
          <w:tcPr>
            <w:tcW w:w="360" w:type="dxa"/>
            <w:vAlign w:val="bottom"/>
          </w:tcPr>
          <w:p>
            <w:pPr>
              <w:spacing w:after="0"/>
              <w:rPr>
                <w:sz w:val="14"/>
                <w:szCs w:val="14"/>
                <w:color w:val="auto"/>
              </w:rPr>
            </w:pPr>
          </w:p>
        </w:tc>
      </w:tr>
      <w:tr>
        <w:trPr>
          <w:trHeight w:val="171"/>
        </w:trPr>
        <w:tc>
          <w:tcPr>
            <w:tcW w:w="220" w:type="dxa"/>
            <w:vAlign w:val="bottom"/>
          </w:tcPr>
          <w:p>
            <w:pPr>
              <w:spacing w:after="0"/>
              <w:rPr>
                <w:sz w:val="14"/>
                <w:szCs w:val="14"/>
                <w:color w:val="auto"/>
              </w:rPr>
            </w:pPr>
          </w:p>
        </w:tc>
        <w:tc>
          <w:tcPr>
            <w:tcW w:w="400" w:type="dxa"/>
            <w:vAlign w:val="bottom"/>
          </w:tcPr>
          <w:p>
            <w:pPr>
              <w:ind w:left="100"/>
              <w:spacing w:after="0"/>
              <w:rPr>
                <w:sz w:val="20"/>
                <w:szCs w:val="20"/>
                <w:color w:val="auto"/>
              </w:rPr>
            </w:pPr>
            <w:r>
              <w:rPr>
                <w:rFonts w:ascii="Arial" w:cs="Arial" w:eastAsia="Arial" w:hAnsi="Arial"/>
                <w:sz w:val="12"/>
                <w:szCs w:val="12"/>
                <w:color w:val="auto"/>
              </w:rPr>
              <w:t>12.3</w:t>
            </w:r>
          </w:p>
        </w:tc>
        <w:tc>
          <w:tcPr>
            <w:tcW w:w="2320" w:type="dxa"/>
            <w:vAlign w:val="bottom"/>
            <w:gridSpan w:val="4"/>
          </w:tcPr>
          <w:p>
            <w:pPr>
              <w:jc w:val="center"/>
              <w:ind w:left="460"/>
              <w:spacing w:after="0"/>
              <w:rPr>
                <w:sz w:val="20"/>
                <w:szCs w:val="20"/>
                <w:color w:val="auto"/>
              </w:rPr>
            </w:pPr>
            <w:r>
              <w:rPr>
                <w:rFonts w:ascii="Arial" w:cs="Arial" w:eastAsia="Arial" w:hAnsi="Arial"/>
                <w:sz w:val="12"/>
                <w:szCs w:val="12"/>
                <w:color w:val="auto"/>
                <w:w w:val="98"/>
              </w:rPr>
              <w:t>Currency deficiency</w:t>
            </w:r>
          </w:p>
        </w:tc>
        <w:tc>
          <w:tcPr>
            <w:tcW w:w="880" w:type="dxa"/>
            <w:vAlign w:val="bottom"/>
          </w:tcPr>
          <w:p>
            <w:pPr>
              <w:jc w:val="right"/>
              <w:ind w:right="620"/>
              <w:spacing w:after="0"/>
              <w:rPr>
                <w:sz w:val="20"/>
                <w:szCs w:val="20"/>
                <w:color w:val="auto"/>
              </w:rPr>
            </w:pPr>
            <w:r>
              <w:rPr>
                <w:rFonts w:ascii="Arial" w:cs="Arial" w:eastAsia="Arial" w:hAnsi="Arial"/>
                <w:sz w:val="12"/>
                <w:szCs w:val="12"/>
                <w:color w:val="auto"/>
              </w:rPr>
              <w:t>50</w:t>
            </w:r>
          </w:p>
        </w:tc>
        <w:tc>
          <w:tcPr>
            <w:tcW w:w="360" w:type="dxa"/>
            <w:vAlign w:val="bottom"/>
          </w:tcPr>
          <w:p>
            <w:pPr>
              <w:spacing w:after="0"/>
              <w:rPr>
                <w:sz w:val="14"/>
                <w:szCs w:val="14"/>
                <w:color w:val="auto"/>
              </w:rPr>
            </w:pPr>
          </w:p>
        </w:tc>
      </w:tr>
      <w:tr>
        <w:trPr>
          <w:trHeight w:val="171"/>
        </w:trPr>
        <w:tc>
          <w:tcPr>
            <w:tcW w:w="220" w:type="dxa"/>
            <w:vAlign w:val="bottom"/>
          </w:tcPr>
          <w:p>
            <w:pPr>
              <w:spacing w:after="0"/>
              <w:rPr>
                <w:sz w:val="14"/>
                <w:szCs w:val="14"/>
                <w:color w:val="auto"/>
              </w:rPr>
            </w:pPr>
          </w:p>
        </w:tc>
        <w:tc>
          <w:tcPr>
            <w:tcW w:w="400" w:type="dxa"/>
            <w:vAlign w:val="bottom"/>
          </w:tcPr>
          <w:p>
            <w:pPr>
              <w:ind w:left="100"/>
              <w:spacing w:after="0"/>
              <w:rPr>
                <w:sz w:val="20"/>
                <w:szCs w:val="20"/>
                <w:color w:val="auto"/>
              </w:rPr>
            </w:pPr>
            <w:r>
              <w:rPr>
                <w:rFonts w:ascii="Arial" w:cs="Arial" w:eastAsia="Arial" w:hAnsi="Arial"/>
                <w:sz w:val="12"/>
                <w:szCs w:val="12"/>
                <w:color w:val="auto"/>
              </w:rPr>
              <w:t>12.4</w:t>
            </w:r>
          </w:p>
        </w:tc>
        <w:tc>
          <w:tcPr>
            <w:tcW w:w="2320" w:type="dxa"/>
            <w:vAlign w:val="bottom"/>
            <w:gridSpan w:val="4"/>
          </w:tcPr>
          <w:p>
            <w:pPr>
              <w:jc w:val="center"/>
              <w:ind w:left="460"/>
              <w:spacing w:after="0"/>
              <w:rPr>
                <w:sz w:val="20"/>
                <w:szCs w:val="20"/>
                <w:color w:val="auto"/>
              </w:rPr>
            </w:pPr>
            <w:r>
              <w:rPr>
                <w:rFonts w:ascii="Arial" w:cs="Arial" w:eastAsia="Arial" w:hAnsi="Arial"/>
                <w:sz w:val="12"/>
                <w:szCs w:val="12"/>
                <w:color w:val="auto"/>
              </w:rPr>
              <w:t>Independence and survival</w:t>
            </w:r>
          </w:p>
        </w:tc>
        <w:tc>
          <w:tcPr>
            <w:tcW w:w="880" w:type="dxa"/>
            <w:vAlign w:val="bottom"/>
          </w:tcPr>
          <w:p>
            <w:pPr>
              <w:jc w:val="right"/>
              <w:ind w:right="440"/>
              <w:spacing w:after="0"/>
              <w:rPr>
                <w:sz w:val="20"/>
                <w:szCs w:val="20"/>
                <w:color w:val="auto"/>
              </w:rPr>
            </w:pPr>
            <w:r>
              <w:rPr>
                <w:rFonts w:ascii="Arial" w:cs="Arial" w:eastAsia="Arial" w:hAnsi="Arial"/>
                <w:sz w:val="12"/>
                <w:szCs w:val="12"/>
                <w:color w:val="auto"/>
              </w:rPr>
              <w:t>50</w:t>
            </w:r>
          </w:p>
        </w:tc>
        <w:tc>
          <w:tcPr>
            <w:tcW w:w="360" w:type="dxa"/>
            <w:vAlign w:val="bottom"/>
          </w:tcPr>
          <w:p>
            <w:pPr>
              <w:spacing w:after="0"/>
              <w:rPr>
                <w:sz w:val="14"/>
                <w:szCs w:val="14"/>
                <w:color w:val="auto"/>
              </w:rPr>
            </w:pPr>
          </w:p>
        </w:tc>
      </w:tr>
      <w:tr>
        <w:trPr>
          <w:trHeight w:val="171"/>
        </w:trPr>
        <w:tc>
          <w:tcPr>
            <w:tcW w:w="220" w:type="dxa"/>
            <w:vAlign w:val="bottom"/>
          </w:tcPr>
          <w:p>
            <w:pPr>
              <w:spacing w:after="0"/>
              <w:rPr>
                <w:sz w:val="14"/>
                <w:szCs w:val="14"/>
                <w:color w:val="auto"/>
              </w:rPr>
            </w:pPr>
          </w:p>
        </w:tc>
        <w:tc>
          <w:tcPr>
            <w:tcW w:w="400" w:type="dxa"/>
            <w:vAlign w:val="bottom"/>
          </w:tcPr>
          <w:p>
            <w:pPr>
              <w:ind w:left="100"/>
              <w:spacing w:after="0"/>
              <w:rPr>
                <w:sz w:val="20"/>
                <w:szCs w:val="20"/>
                <w:color w:val="auto"/>
              </w:rPr>
            </w:pPr>
            <w:r>
              <w:rPr>
                <w:rFonts w:ascii="Arial" w:cs="Arial" w:eastAsia="Arial" w:hAnsi="Arial"/>
                <w:sz w:val="12"/>
                <w:szCs w:val="12"/>
                <w:color w:val="auto"/>
              </w:rPr>
              <w:t>12.5</w:t>
            </w:r>
          </w:p>
        </w:tc>
        <w:tc>
          <w:tcPr>
            <w:tcW w:w="2320" w:type="dxa"/>
            <w:vAlign w:val="bottom"/>
            <w:gridSpan w:val="4"/>
          </w:tcPr>
          <w:p>
            <w:pPr>
              <w:jc w:val="center"/>
              <w:ind w:left="460"/>
              <w:spacing w:after="0"/>
              <w:rPr>
                <w:sz w:val="20"/>
                <w:szCs w:val="20"/>
                <w:color w:val="auto"/>
              </w:rPr>
            </w:pPr>
            <w:r>
              <w:rPr>
                <w:rFonts w:ascii="Arial" w:cs="Arial" w:eastAsia="Arial" w:hAnsi="Arial"/>
                <w:sz w:val="12"/>
                <w:szCs w:val="12"/>
                <w:color w:val="auto"/>
                <w:w w:val="99"/>
              </w:rPr>
              <w:t>Accounting for transactions</w:t>
            </w:r>
          </w:p>
        </w:tc>
        <w:tc>
          <w:tcPr>
            <w:tcW w:w="880" w:type="dxa"/>
            <w:vAlign w:val="bottom"/>
          </w:tcPr>
          <w:p>
            <w:pPr>
              <w:jc w:val="right"/>
              <w:ind w:right="440"/>
              <w:spacing w:after="0"/>
              <w:rPr>
                <w:sz w:val="20"/>
                <w:szCs w:val="20"/>
                <w:color w:val="auto"/>
              </w:rPr>
            </w:pPr>
            <w:r>
              <w:rPr>
                <w:rFonts w:ascii="Arial" w:cs="Arial" w:eastAsia="Arial" w:hAnsi="Arial"/>
                <w:sz w:val="12"/>
                <w:szCs w:val="12"/>
                <w:color w:val="auto"/>
              </w:rPr>
              <w:t>50</w:t>
            </w:r>
          </w:p>
        </w:tc>
        <w:tc>
          <w:tcPr>
            <w:tcW w:w="360" w:type="dxa"/>
            <w:vAlign w:val="bottom"/>
          </w:tcPr>
          <w:p>
            <w:pPr>
              <w:spacing w:after="0"/>
              <w:rPr>
                <w:sz w:val="14"/>
                <w:szCs w:val="14"/>
                <w:color w:val="auto"/>
              </w:rPr>
            </w:pPr>
          </w:p>
        </w:tc>
      </w:tr>
      <w:tr>
        <w:trPr>
          <w:trHeight w:val="171"/>
        </w:trPr>
        <w:tc>
          <w:tcPr>
            <w:tcW w:w="220" w:type="dxa"/>
            <w:vAlign w:val="bottom"/>
          </w:tcPr>
          <w:p>
            <w:pPr>
              <w:spacing w:after="0"/>
              <w:rPr>
                <w:sz w:val="14"/>
                <w:szCs w:val="14"/>
                <w:color w:val="auto"/>
              </w:rPr>
            </w:pPr>
          </w:p>
        </w:tc>
        <w:tc>
          <w:tcPr>
            <w:tcW w:w="400" w:type="dxa"/>
            <w:vAlign w:val="bottom"/>
          </w:tcPr>
          <w:p>
            <w:pPr>
              <w:ind w:left="100"/>
              <w:spacing w:after="0"/>
              <w:rPr>
                <w:sz w:val="20"/>
                <w:szCs w:val="20"/>
                <w:color w:val="auto"/>
              </w:rPr>
            </w:pPr>
            <w:r>
              <w:rPr>
                <w:rFonts w:ascii="Arial" w:cs="Arial" w:eastAsia="Arial" w:hAnsi="Arial"/>
                <w:sz w:val="12"/>
                <w:szCs w:val="12"/>
                <w:color w:val="auto"/>
              </w:rPr>
              <w:t>12.6</w:t>
            </w:r>
          </w:p>
        </w:tc>
        <w:tc>
          <w:tcPr>
            <w:tcW w:w="2320" w:type="dxa"/>
            <w:vAlign w:val="bottom"/>
            <w:gridSpan w:val="4"/>
          </w:tcPr>
          <w:p>
            <w:pPr>
              <w:ind w:left="640"/>
              <w:spacing w:after="0"/>
              <w:rPr>
                <w:sz w:val="20"/>
                <w:szCs w:val="20"/>
                <w:color w:val="auto"/>
              </w:rPr>
            </w:pPr>
            <w:r>
              <w:rPr>
                <w:rFonts w:ascii="Arial" w:cs="Arial" w:eastAsia="Arial" w:hAnsi="Arial"/>
                <w:sz w:val="12"/>
                <w:szCs w:val="12"/>
                <w:color w:val="auto"/>
              </w:rPr>
              <w:t>Liability for Regulatory Events</w:t>
            </w:r>
          </w:p>
        </w:tc>
        <w:tc>
          <w:tcPr>
            <w:tcW w:w="880" w:type="dxa"/>
            <w:vAlign w:val="bottom"/>
          </w:tcPr>
          <w:p>
            <w:pPr>
              <w:jc w:val="right"/>
              <w:ind w:right="340"/>
              <w:spacing w:after="0"/>
              <w:rPr>
                <w:sz w:val="20"/>
                <w:szCs w:val="20"/>
                <w:color w:val="auto"/>
              </w:rPr>
            </w:pPr>
            <w:r>
              <w:rPr>
                <w:rFonts w:ascii="Arial" w:cs="Arial" w:eastAsia="Arial" w:hAnsi="Arial"/>
                <w:sz w:val="12"/>
                <w:szCs w:val="12"/>
                <w:color w:val="auto"/>
              </w:rPr>
              <w:t>51</w:t>
            </w:r>
          </w:p>
        </w:tc>
        <w:tc>
          <w:tcPr>
            <w:tcW w:w="360" w:type="dxa"/>
            <w:vAlign w:val="bottom"/>
          </w:tcPr>
          <w:p>
            <w:pPr>
              <w:spacing w:after="0"/>
              <w:rPr>
                <w:sz w:val="14"/>
                <w:szCs w:val="14"/>
                <w:color w:val="auto"/>
              </w:rPr>
            </w:pPr>
          </w:p>
        </w:tc>
      </w:tr>
      <w:tr>
        <w:trPr>
          <w:trHeight w:val="225"/>
        </w:trPr>
        <w:tc>
          <w:tcPr>
            <w:tcW w:w="220" w:type="dxa"/>
            <w:vAlign w:val="bottom"/>
          </w:tcPr>
          <w:p>
            <w:pPr>
              <w:spacing w:after="0"/>
              <w:rPr>
                <w:sz w:val="20"/>
                <w:szCs w:val="20"/>
                <w:color w:val="auto"/>
              </w:rPr>
            </w:pPr>
            <w:r>
              <w:rPr>
                <w:rFonts w:ascii="Arial" w:cs="Arial" w:eastAsia="Arial" w:hAnsi="Arial"/>
                <w:sz w:val="12"/>
                <w:szCs w:val="12"/>
                <w:b w:val="1"/>
                <w:bCs w:val="1"/>
                <w:color w:val="auto"/>
              </w:rPr>
              <w:t>13</w:t>
            </w:r>
          </w:p>
        </w:tc>
        <w:tc>
          <w:tcPr>
            <w:tcW w:w="400" w:type="dxa"/>
            <w:vAlign w:val="bottom"/>
          </w:tcPr>
          <w:p>
            <w:pPr>
              <w:spacing w:after="0"/>
              <w:rPr>
                <w:sz w:val="19"/>
                <w:szCs w:val="19"/>
                <w:color w:val="auto"/>
              </w:rPr>
            </w:pPr>
          </w:p>
        </w:tc>
        <w:tc>
          <w:tcPr>
            <w:tcW w:w="1500" w:type="dxa"/>
            <w:vAlign w:val="bottom"/>
            <w:gridSpan w:val="2"/>
          </w:tcPr>
          <w:p>
            <w:pPr>
              <w:ind w:left="100"/>
              <w:spacing w:after="0"/>
              <w:rPr>
                <w:sz w:val="20"/>
                <w:szCs w:val="20"/>
                <w:color w:val="auto"/>
              </w:rPr>
            </w:pPr>
            <w:r>
              <w:rPr>
                <w:rFonts w:ascii="Arial" w:cs="Arial" w:eastAsia="Arial" w:hAnsi="Arial"/>
                <w:sz w:val="12"/>
                <w:szCs w:val="12"/>
                <w:b w:val="1"/>
                <w:bCs w:val="1"/>
                <w:color w:val="auto"/>
                <w:w w:val="98"/>
              </w:rPr>
              <w:t>Goods and Services Tax</w:t>
            </w:r>
          </w:p>
        </w:tc>
        <w:tc>
          <w:tcPr>
            <w:tcW w:w="820" w:type="dxa"/>
            <w:vAlign w:val="bottom"/>
            <w:gridSpan w:val="2"/>
          </w:tcPr>
          <w:p>
            <w:pPr>
              <w:jc w:val="right"/>
              <w:ind w:right="220"/>
              <w:spacing w:after="0"/>
              <w:rPr>
                <w:sz w:val="20"/>
                <w:szCs w:val="20"/>
                <w:color w:val="auto"/>
              </w:rPr>
            </w:pPr>
            <w:r>
              <w:rPr>
                <w:rFonts w:ascii="Arial" w:cs="Arial" w:eastAsia="Arial" w:hAnsi="Arial"/>
                <w:sz w:val="12"/>
                <w:szCs w:val="12"/>
                <w:b w:val="1"/>
                <w:bCs w:val="1"/>
                <w:color w:val="auto"/>
              </w:rPr>
              <w:t>51</w:t>
            </w:r>
          </w:p>
        </w:tc>
        <w:tc>
          <w:tcPr>
            <w:tcW w:w="88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243"/>
        </w:trPr>
        <w:tc>
          <w:tcPr>
            <w:tcW w:w="220" w:type="dxa"/>
            <w:vAlign w:val="bottom"/>
          </w:tcPr>
          <w:p>
            <w:pPr>
              <w:spacing w:after="0"/>
              <w:rPr>
                <w:sz w:val="21"/>
                <w:szCs w:val="21"/>
                <w:color w:val="auto"/>
              </w:rPr>
            </w:pPr>
          </w:p>
        </w:tc>
        <w:tc>
          <w:tcPr>
            <w:tcW w:w="400" w:type="dxa"/>
            <w:vAlign w:val="bottom"/>
          </w:tcPr>
          <w:p>
            <w:pPr>
              <w:ind w:left="120"/>
              <w:spacing w:after="0"/>
              <w:rPr>
                <w:sz w:val="20"/>
                <w:szCs w:val="20"/>
                <w:color w:val="auto"/>
              </w:rPr>
            </w:pPr>
            <w:r>
              <w:rPr>
                <w:rFonts w:ascii="Arial" w:cs="Arial" w:eastAsia="Arial" w:hAnsi="Arial"/>
                <w:sz w:val="12"/>
                <w:szCs w:val="12"/>
                <w:color w:val="auto"/>
              </w:rPr>
              <w:t>13.1</w:t>
            </w:r>
          </w:p>
        </w:tc>
        <w:tc>
          <w:tcPr>
            <w:tcW w:w="1000" w:type="dxa"/>
            <w:vAlign w:val="bottom"/>
          </w:tcPr>
          <w:p>
            <w:pPr>
              <w:ind w:left="40"/>
              <w:spacing w:after="0"/>
              <w:rPr>
                <w:sz w:val="20"/>
                <w:szCs w:val="20"/>
                <w:color w:val="auto"/>
              </w:rPr>
            </w:pPr>
            <w:r>
              <w:rPr>
                <w:rFonts w:ascii="Arial" w:cs="Arial" w:eastAsia="Arial" w:hAnsi="Arial"/>
                <w:sz w:val="12"/>
                <w:szCs w:val="12"/>
                <w:color w:val="auto"/>
              </w:rPr>
              <w:t>Taxable supply</w:t>
            </w:r>
          </w:p>
        </w:tc>
        <w:tc>
          <w:tcPr>
            <w:tcW w:w="5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60" w:type="dxa"/>
            <w:vAlign w:val="bottom"/>
          </w:tcPr>
          <w:p>
            <w:pPr>
              <w:spacing w:after="0"/>
              <w:rPr>
                <w:sz w:val="21"/>
                <w:szCs w:val="21"/>
                <w:color w:val="auto"/>
              </w:rPr>
            </w:pPr>
          </w:p>
        </w:tc>
      </w:tr>
      <w:tr>
        <w:trPr>
          <w:trHeight w:val="153"/>
        </w:trPr>
        <w:tc>
          <w:tcPr>
            <w:tcW w:w="220" w:type="dxa"/>
            <w:vAlign w:val="bottom"/>
          </w:tcPr>
          <w:p>
            <w:pPr>
              <w:spacing w:after="0"/>
              <w:rPr>
                <w:sz w:val="13"/>
                <w:szCs w:val="13"/>
                <w:color w:val="auto"/>
              </w:rPr>
            </w:pPr>
          </w:p>
        </w:tc>
        <w:tc>
          <w:tcPr>
            <w:tcW w:w="400" w:type="dxa"/>
            <w:vAlign w:val="bottom"/>
          </w:tcPr>
          <w:p>
            <w:pPr>
              <w:ind w:left="120"/>
              <w:spacing w:after="0"/>
              <w:rPr>
                <w:sz w:val="20"/>
                <w:szCs w:val="20"/>
                <w:color w:val="auto"/>
              </w:rPr>
            </w:pPr>
            <w:r>
              <w:rPr>
                <w:rFonts w:ascii="Arial" w:cs="Arial" w:eastAsia="Arial" w:hAnsi="Arial"/>
                <w:sz w:val="12"/>
                <w:szCs w:val="12"/>
                <w:color w:val="auto"/>
              </w:rPr>
              <w:t>13.2</w:t>
            </w:r>
          </w:p>
        </w:tc>
        <w:tc>
          <w:tcPr>
            <w:tcW w:w="1500" w:type="dxa"/>
            <w:vAlign w:val="bottom"/>
            <w:gridSpan w:val="2"/>
          </w:tcPr>
          <w:p>
            <w:pPr>
              <w:ind w:left="40"/>
              <w:spacing w:after="0"/>
              <w:rPr>
                <w:sz w:val="20"/>
                <w:szCs w:val="20"/>
                <w:color w:val="auto"/>
              </w:rPr>
            </w:pPr>
            <w:r>
              <w:rPr>
                <w:rFonts w:ascii="Arial" w:cs="Arial" w:eastAsia="Arial" w:hAnsi="Arial"/>
                <w:sz w:val="12"/>
                <w:szCs w:val="12"/>
                <w:color w:val="auto"/>
              </w:rPr>
              <w:t>Adjustment events</w:t>
            </w:r>
          </w:p>
        </w:tc>
        <w:tc>
          <w:tcPr>
            <w:tcW w:w="4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60" w:type="dxa"/>
            <w:vAlign w:val="bottom"/>
          </w:tcPr>
          <w:p>
            <w:pPr>
              <w:spacing w:after="0"/>
              <w:rPr>
                <w:sz w:val="13"/>
                <w:szCs w:val="13"/>
                <w:color w:val="auto"/>
              </w:rPr>
            </w:pPr>
          </w:p>
        </w:tc>
      </w:tr>
      <w:tr>
        <w:trPr>
          <w:trHeight w:val="162"/>
        </w:trPr>
        <w:tc>
          <w:tcPr>
            <w:tcW w:w="220" w:type="dxa"/>
            <w:vAlign w:val="bottom"/>
          </w:tcPr>
          <w:p>
            <w:pPr>
              <w:spacing w:after="0"/>
              <w:rPr>
                <w:sz w:val="14"/>
                <w:szCs w:val="14"/>
                <w:color w:val="auto"/>
              </w:rPr>
            </w:pPr>
          </w:p>
        </w:tc>
        <w:tc>
          <w:tcPr>
            <w:tcW w:w="400" w:type="dxa"/>
            <w:vAlign w:val="bottom"/>
          </w:tcPr>
          <w:p>
            <w:pPr>
              <w:ind w:left="120"/>
              <w:spacing w:after="0"/>
              <w:rPr>
                <w:sz w:val="20"/>
                <w:szCs w:val="20"/>
                <w:color w:val="auto"/>
              </w:rPr>
            </w:pPr>
            <w:r>
              <w:rPr>
                <w:rFonts w:ascii="Arial" w:cs="Arial" w:eastAsia="Arial" w:hAnsi="Arial"/>
                <w:sz w:val="12"/>
                <w:szCs w:val="12"/>
                <w:color w:val="auto"/>
              </w:rPr>
              <w:t>13.3</w:t>
            </w:r>
          </w:p>
        </w:tc>
        <w:tc>
          <w:tcPr>
            <w:tcW w:w="1000" w:type="dxa"/>
            <w:vAlign w:val="bottom"/>
          </w:tcPr>
          <w:p>
            <w:pPr>
              <w:ind w:left="40"/>
              <w:spacing w:after="0"/>
              <w:rPr>
                <w:sz w:val="20"/>
                <w:szCs w:val="20"/>
                <w:color w:val="auto"/>
              </w:rPr>
            </w:pPr>
            <w:r>
              <w:rPr>
                <w:rFonts w:ascii="Arial" w:cs="Arial" w:eastAsia="Arial" w:hAnsi="Arial"/>
                <w:sz w:val="12"/>
                <w:szCs w:val="12"/>
                <w:color w:val="auto"/>
              </w:rPr>
              <w:t>Payments</w:t>
            </w:r>
          </w:p>
        </w:tc>
        <w:tc>
          <w:tcPr>
            <w:tcW w:w="5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180975</wp:posOffset>
            </wp:positionH>
            <wp:positionV relativeFrom="paragraph">
              <wp:posOffset>-1669415</wp:posOffset>
            </wp:positionV>
            <wp:extent cx="2951480" cy="571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2951480" cy="5715"/>
                    </a:xfrm>
                    <a:prstGeom prst="rect">
                      <a:avLst/>
                    </a:prstGeom>
                    <a:noFill/>
                  </pic:spPr>
                </pic:pic>
              </a:graphicData>
            </a:graphic>
          </wp:anchor>
        </w:drawing>
        <w:drawing>
          <wp:anchor simplePos="0" relativeHeight="251657728" behindDoc="1" locked="0" layoutInCell="0" allowOverlap="1">
            <wp:simplePos x="0" y="0"/>
            <wp:positionH relativeFrom="column">
              <wp:posOffset>180975</wp:posOffset>
            </wp:positionH>
            <wp:positionV relativeFrom="paragraph">
              <wp:posOffset>-342265</wp:posOffset>
            </wp:positionV>
            <wp:extent cx="2951480" cy="571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2951480" cy="57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2"/>
          <w:szCs w:val="12"/>
          <w:color w:val="auto"/>
        </w:rPr>
        <w:t>48</w:t>
      </w:r>
    </w:p>
    <w:p>
      <w:pPr>
        <w:spacing w:after="0" w:line="87" w:lineRule="exact"/>
        <w:rPr>
          <w:sz w:val="20"/>
          <w:szCs w:val="20"/>
          <w:color w:val="auto"/>
        </w:rPr>
      </w:pPr>
    </w:p>
    <w:p>
      <w:pPr>
        <w:spacing w:after="0"/>
        <w:rPr>
          <w:sz w:val="20"/>
          <w:szCs w:val="20"/>
          <w:color w:val="auto"/>
        </w:rPr>
      </w:pPr>
      <w:r>
        <w:rPr>
          <w:rFonts w:ascii="Arial" w:cs="Arial" w:eastAsia="Arial" w:hAnsi="Arial"/>
          <w:sz w:val="12"/>
          <w:szCs w:val="12"/>
          <w:color w:val="auto"/>
        </w:rPr>
        <w:t>48</w:t>
      </w:r>
    </w:p>
    <w:p>
      <w:pPr>
        <w:spacing w:after="0" w:line="24" w:lineRule="exact"/>
        <w:rPr>
          <w:sz w:val="20"/>
          <w:szCs w:val="20"/>
          <w:color w:val="auto"/>
        </w:rPr>
      </w:pPr>
    </w:p>
    <w:p>
      <w:pPr>
        <w:spacing w:after="0"/>
        <w:rPr>
          <w:sz w:val="20"/>
          <w:szCs w:val="20"/>
          <w:color w:val="auto"/>
        </w:rPr>
      </w:pPr>
      <w:r>
        <w:rPr>
          <w:rFonts w:ascii="Arial" w:cs="Arial" w:eastAsia="Arial" w:hAnsi="Arial"/>
          <w:sz w:val="12"/>
          <w:szCs w:val="12"/>
          <w:color w:val="auto"/>
        </w:rPr>
        <w:t>49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2"/>
          <w:szCs w:val="12"/>
          <w:color w:val="auto"/>
        </w:rPr>
        <w:t>51</w:t>
      </w:r>
    </w:p>
    <w:p>
      <w:pPr>
        <w:spacing w:after="0" w:line="87" w:lineRule="exact"/>
        <w:rPr>
          <w:sz w:val="20"/>
          <w:szCs w:val="20"/>
          <w:color w:val="auto"/>
        </w:rPr>
      </w:pPr>
    </w:p>
    <w:p>
      <w:pPr>
        <w:spacing w:after="0"/>
        <w:rPr>
          <w:sz w:val="20"/>
          <w:szCs w:val="20"/>
          <w:color w:val="auto"/>
        </w:rPr>
      </w:pPr>
      <w:r>
        <w:rPr>
          <w:rFonts w:ascii="Arial" w:cs="Arial" w:eastAsia="Arial" w:hAnsi="Arial"/>
          <w:sz w:val="12"/>
          <w:szCs w:val="12"/>
          <w:color w:val="auto"/>
        </w:rPr>
        <w:t>52</w:t>
      </w:r>
    </w:p>
    <w:p>
      <w:pPr>
        <w:spacing w:after="0" w:line="24" w:lineRule="exact"/>
        <w:rPr>
          <w:sz w:val="20"/>
          <w:szCs w:val="20"/>
          <w:color w:val="auto"/>
        </w:rPr>
      </w:pPr>
    </w:p>
    <w:p>
      <w:pPr>
        <w:spacing w:after="0"/>
        <w:rPr>
          <w:sz w:val="20"/>
          <w:szCs w:val="20"/>
          <w:color w:val="auto"/>
        </w:rPr>
      </w:pPr>
      <w:r>
        <w:rPr>
          <w:rFonts w:ascii="Arial" w:cs="Arial" w:eastAsia="Arial" w:hAnsi="Arial"/>
          <w:sz w:val="12"/>
          <w:szCs w:val="1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-3173730</wp:posOffset>
            </wp:positionH>
            <wp:positionV relativeFrom="paragraph">
              <wp:posOffset>214630</wp:posOffset>
            </wp:positionV>
            <wp:extent cx="6208395"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208395" cy="42545"/>
                    </a:xfrm>
                    <a:prstGeom prst="rect">
                      <a:avLst/>
                    </a:prstGeom>
                    <a:noFill/>
                  </pic:spPr>
                </pic:pic>
              </a:graphicData>
            </a:graphic>
          </wp:anchor>
        </w:drawing>
      </w:r>
    </w:p>
    <w:p>
      <w:pPr>
        <w:sectPr>
          <w:pgSz w:w="11900" w:h="16838" w:orient="portrait"/>
          <w:cols w:equalWidth="0" w:num="2">
            <w:col w:w="4320" w:space="440"/>
            <w:col w:w="4259"/>
          </w:cols>
          <w:pgMar w:left="1440" w:top="188" w:right="1440" w:bottom="1440" w:gutter="0" w:footer="0" w:header="0"/>
        </w:sectPr>
      </w:pPr>
    </w:p>
    <w:bookmarkStart w:id="220" w:name="page221"/>
    <w:bookmarkEnd w:id="220"/>
    <w:tbl>
      <w:tblPr>
        <w:tblLayout w:type="fixed"/>
        <w:tblInd w:w="0" w:type="dxa"/>
        <w:tblCellMar>
          <w:top w:w="0" w:type="dxa"/>
          <w:left w:w="0" w:type="dxa"/>
          <w:bottom w:w="0" w:type="dxa"/>
          <w:right w:w="0" w:type="dxa"/>
        </w:tblCellMar>
      </w:tblPr>
      <w:tr>
        <w:trPr>
          <w:trHeight w:val="115"/>
        </w:trPr>
        <w:tc>
          <w:tcPr>
            <w:tcW w:w="320" w:type="dxa"/>
            <w:vAlign w:val="bottom"/>
          </w:tcPr>
          <w:p>
            <w:pPr>
              <w:spacing w:after="0"/>
              <w:rPr>
                <w:sz w:val="10"/>
                <w:szCs w:val="10"/>
                <w:color w:val="auto"/>
              </w:rPr>
            </w:pPr>
          </w:p>
        </w:tc>
        <w:tc>
          <w:tcPr>
            <w:tcW w:w="9420" w:type="dxa"/>
            <w:vAlign w:val="bottom"/>
            <w:gridSpan w:val="10"/>
          </w:tcPr>
          <w:p>
            <w:pPr>
              <w:ind w:left="40"/>
              <w:spacing w:after="0"/>
              <w:rPr>
                <w:sz w:val="20"/>
                <w:szCs w:val="20"/>
                <w:color w:val="auto"/>
              </w:rPr>
            </w:pPr>
            <w:r>
              <w:rPr>
                <w:rFonts w:ascii="Arial" w:cs="Arial" w:eastAsia="Arial" w:hAnsi="Arial"/>
                <w:sz w:val="10"/>
                <w:szCs w:val="10"/>
                <w:color w:val="auto"/>
              </w:rPr>
              <w:t>Corrs Chambers Westgarth</w:t>
            </w:r>
          </w:p>
        </w:tc>
      </w:tr>
      <w:tr>
        <w:trPr>
          <w:trHeight w:val="864"/>
        </w:trPr>
        <w:tc>
          <w:tcPr>
            <w:tcW w:w="320" w:type="dxa"/>
            <w:vAlign w:val="bottom"/>
          </w:tcPr>
          <w:p>
            <w:pPr>
              <w:spacing w:after="0"/>
              <w:rPr>
                <w:sz w:val="20"/>
                <w:szCs w:val="20"/>
                <w:color w:val="auto"/>
              </w:rPr>
            </w:pPr>
            <w:r>
              <w:rPr>
                <w:rFonts w:ascii="Arial" w:cs="Arial" w:eastAsia="Arial" w:hAnsi="Arial"/>
                <w:sz w:val="12"/>
                <w:szCs w:val="12"/>
                <w:b w:val="1"/>
                <w:bCs w:val="1"/>
                <w:color w:val="auto"/>
              </w:rPr>
              <w:t>14</w:t>
            </w:r>
          </w:p>
        </w:tc>
        <w:tc>
          <w:tcPr>
            <w:tcW w:w="2100" w:type="dxa"/>
            <w:vAlign w:val="bottom"/>
          </w:tcPr>
          <w:p>
            <w:pPr>
              <w:spacing w:after="0"/>
              <w:rPr>
                <w:sz w:val="24"/>
                <w:szCs w:val="24"/>
                <w:color w:val="auto"/>
              </w:rPr>
            </w:pPr>
          </w:p>
        </w:tc>
        <w:tc>
          <w:tcPr>
            <w:tcW w:w="140" w:type="dxa"/>
            <w:vAlign w:val="bottom"/>
            <w:tcBorders>
              <w:bottom w:val="single" w:sz="8" w:color="auto"/>
            </w:tcBorders>
            <w:gridSpan w:val="2"/>
          </w:tcPr>
          <w:p>
            <w:pPr>
              <w:jc w:val="right"/>
              <w:ind w:right="20"/>
              <w:spacing w:after="0"/>
              <w:rPr>
                <w:rFonts w:ascii="Arial" w:cs="Arial" w:eastAsia="Arial" w:hAnsi="Arial"/>
                <w:sz w:val="12"/>
                <w:szCs w:val="12"/>
                <w:b w:val="1"/>
                <w:bCs w:val="1"/>
                <w:color w:val="auto"/>
                <w:w w:val="74"/>
              </w:rPr>
            </w:pPr>
            <w:hyperlink w:anchor="page274">
              <w:r>
                <w:rPr>
                  <w:rFonts w:ascii="Arial" w:cs="Arial" w:eastAsia="Arial" w:hAnsi="Arial"/>
                  <w:sz w:val="12"/>
                  <w:szCs w:val="12"/>
                  <w:b w:val="1"/>
                  <w:bCs w:val="1"/>
                  <w:color w:val="auto"/>
                  <w:w w:val="74"/>
                </w:rPr>
                <w:t>52</w:t>
              </w:r>
            </w:hyperlink>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700" w:type="dxa"/>
            <w:vAlign w:val="bottom"/>
          </w:tcPr>
          <w:p>
            <w:pPr>
              <w:spacing w:after="0"/>
              <w:rPr>
                <w:sz w:val="24"/>
                <w:szCs w:val="24"/>
                <w:color w:val="auto"/>
              </w:rPr>
            </w:pPr>
          </w:p>
        </w:tc>
      </w:tr>
      <w:tr>
        <w:trPr>
          <w:trHeight w:val="196"/>
        </w:trPr>
        <w:tc>
          <w:tcPr>
            <w:tcW w:w="320" w:type="dxa"/>
            <w:vAlign w:val="bottom"/>
          </w:tcPr>
          <w:p>
            <w:pPr>
              <w:spacing w:after="0"/>
              <w:rPr>
                <w:sz w:val="20"/>
                <w:szCs w:val="20"/>
                <w:color w:val="auto"/>
              </w:rPr>
            </w:pPr>
            <w:r>
              <w:rPr>
                <w:rFonts w:ascii="Arial" w:cs="Arial" w:eastAsia="Arial" w:hAnsi="Arial"/>
                <w:sz w:val="12"/>
                <w:szCs w:val="12"/>
                <w:b w:val="1"/>
                <w:bCs w:val="1"/>
                <w:color w:val="auto"/>
              </w:rPr>
              <w:t>15</w:t>
            </w:r>
          </w:p>
        </w:tc>
        <w:tc>
          <w:tcPr>
            <w:tcW w:w="2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rFonts w:ascii="Arial" w:cs="Arial" w:eastAsia="Arial" w:hAnsi="Arial"/>
                <w:sz w:val="12"/>
                <w:szCs w:val="12"/>
                <w:b w:val="1"/>
                <w:bCs w:val="1"/>
                <w:color w:val="auto"/>
                <w:w w:val="74"/>
              </w:rPr>
            </w:pPr>
            <w:hyperlink w:anchor="page275">
              <w:r>
                <w:rPr>
                  <w:rFonts w:ascii="Arial" w:cs="Arial" w:eastAsia="Arial" w:hAnsi="Arial"/>
                  <w:sz w:val="12"/>
                  <w:szCs w:val="12"/>
                  <w:b w:val="1"/>
                  <w:bCs w:val="1"/>
                  <w:color w:val="auto"/>
                  <w:w w:val="74"/>
                </w:rPr>
                <w:t>53</w:t>
              </w:r>
            </w:hyperlink>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700" w:type="dxa"/>
            <w:vAlign w:val="bottom"/>
          </w:tcPr>
          <w:p>
            <w:pPr>
              <w:spacing w:after="0"/>
              <w:rPr>
                <w:sz w:val="17"/>
                <w:szCs w:val="17"/>
                <w:color w:val="auto"/>
              </w:rPr>
            </w:pPr>
          </w:p>
        </w:tc>
      </w:tr>
      <w:tr>
        <w:trPr>
          <w:trHeight w:val="142"/>
        </w:trPr>
        <w:tc>
          <w:tcPr>
            <w:tcW w:w="320" w:type="dxa"/>
            <w:vAlign w:val="bottom"/>
          </w:tcPr>
          <w:p>
            <w:pPr>
              <w:spacing w:after="0"/>
              <w:rPr>
                <w:sz w:val="20"/>
                <w:szCs w:val="20"/>
                <w:color w:val="auto"/>
              </w:rPr>
            </w:pPr>
            <w:r>
              <w:rPr>
                <w:rFonts w:ascii="Arial" w:cs="Arial" w:eastAsia="Arial" w:hAnsi="Arial"/>
                <w:sz w:val="12"/>
                <w:szCs w:val="12"/>
                <w:color w:val="auto"/>
              </w:rPr>
              <w:t>15.1</w:t>
            </w:r>
          </w:p>
        </w:tc>
        <w:tc>
          <w:tcPr>
            <w:tcW w:w="3020" w:type="dxa"/>
            <w:vAlign w:val="bottom"/>
            <w:gridSpan w:val="4"/>
          </w:tcPr>
          <w:p>
            <w:pPr>
              <w:spacing w:after="0"/>
              <w:rPr>
                <w:sz w:val="12"/>
                <w:szCs w:val="12"/>
                <w:color w:val="auto"/>
              </w:rPr>
            </w:pPr>
          </w:p>
        </w:tc>
        <w:tc>
          <w:tcPr>
            <w:tcW w:w="120" w:type="dxa"/>
            <w:vAlign w:val="bottom"/>
            <w:tcBorders>
              <w:bottom w:val="single" w:sz="8" w:color="auto"/>
            </w:tcBorders>
            <w:gridSpan w:val="2"/>
          </w:tcPr>
          <w:p>
            <w:pPr>
              <w:jc w:val="right"/>
              <w:spacing w:after="0"/>
              <w:rPr>
                <w:rFonts w:ascii="Arial" w:cs="Arial" w:eastAsia="Arial" w:hAnsi="Arial"/>
                <w:sz w:val="12"/>
                <w:szCs w:val="12"/>
                <w:color w:val="auto"/>
                <w:w w:val="74"/>
              </w:rPr>
            </w:pPr>
            <w:hyperlink w:anchor="page275">
              <w:r>
                <w:rPr>
                  <w:rFonts w:ascii="Arial" w:cs="Arial" w:eastAsia="Arial" w:hAnsi="Arial"/>
                  <w:sz w:val="12"/>
                  <w:szCs w:val="12"/>
                  <w:color w:val="auto"/>
                  <w:w w:val="74"/>
                </w:rPr>
                <w:t>53</w:t>
              </w:r>
            </w:hyperlink>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700" w:type="dxa"/>
            <w:vAlign w:val="bottom"/>
          </w:tcPr>
          <w:p>
            <w:pPr>
              <w:spacing w:after="0"/>
              <w:rPr>
                <w:sz w:val="12"/>
                <w:szCs w:val="12"/>
                <w:color w:val="auto"/>
              </w:rPr>
            </w:pPr>
          </w:p>
        </w:tc>
      </w:tr>
      <w:tr>
        <w:trPr>
          <w:trHeight w:val="151"/>
        </w:trPr>
        <w:tc>
          <w:tcPr>
            <w:tcW w:w="320" w:type="dxa"/>
            <w:vAlign w:val="bottom"/>
          </w:tcPr>
          <w:p>
            <w:pPr>
              <w:spacing w:after="0"/>
              <w:rPr>
                <w:sz w:val="20"/>
                <w:szCs w:val="20"/>
                <w:color w:val="auto"/>
              </w:rPr>
            </w:pPr>
            <w:r>
              <w:rPr>
                <w:rFonts w:ascii="Arial" w:cs="Arial" w:eastAsia="Arial" w:hAnsi="Arial"/>
                <w:sz w:val="12"/>
                <w:szCs w:val="12"/>
                <w:color w:val="auto"/>
              </w:rPr>
              <w:t>15.2</w:t>
            </w:r>
          </w:p>
        </w:tc>
        <w:tc>
          <w:tcPr>
            <w:tcW w:w="3140" w:type="dxa"/>
            <w:vAlign w:val="bottom"/>
            <w:gridSpan w:val="6"/>
          </w:tcPr>
          <w:p>
            <w:pPr>
              <w:jc w:val="right"/>
              <w:spacing w:after="0"/>
              <w:rPr>
                <w:rFonts w:ascii="Arial" w:cs="Arial" w:eastAsia="Arial" w:hAnsi="Arial"/>
                <w:sz w:val="12"/>
                <w:szCs w:val="12"/>
                <w:color w:val="auto"/>
              </w:rPr>
            </w:pPr>
            <w:hyperlink w:anchor="page275">
              <w:r>
                <w:rPr>
                  <w:rFonts w:ascii="Arial" w:cs="Arial" w:eastAsia="Arial" w:hAnsi="Arial"/>
                  <w:sz w:val="12"/>
                  <w:szCs w:val="12"/>
                  <w:color w:val="auto"/>
                </w:rPr>
                <w:t>53</w:t>
              </w:r>
            </w:hyperlink>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700" w:type="dxa"/>
            <w:vAlign w:val="bottom"/>
          </w:tcPr>
          <w:p>
            <w:pPr>
              <w:spacing w:after="0"/>
              <w:rPr>
                <w:sz w:val="13"/>
                <w:szCs w:val="13"/>
                <w:color w:val="auto"/>
              </w:rPr>
            </w:pPr>
          </w:p>
        </w:tc>
      </w:tr>
      <w:tr>
        <w:trPr>
          <w:trHeight w:val="205"/>
        </w:trPr>
        <w:tc>
          <w:tcPr>
            <w:tcW w:w="320" w:type="dxa"/>
            <w:vAlign w:val="bottom"/>
          </w:tcPr>
          <w:p>
            <w:pPr>
              <w:spacing w:after="0"/>
              <w:rPr>
                <w:sz w:val="20"/>
                <w:szCs w:val="20"/>
                <w:color w:val="auto"/>
              </w:rPr>
            </w:pPr>
            <w:r>
              <w:rPr>
                <w:rFonts w:ascii="Arial" w:cs="Arial" w:eastAsia="Arial" w:hAnsi="Arial"/>
                <w:sz w:val="12"/>
                <w:szCs w:val="12"/>
                <w:b w:val="1"/>
                <w:bCs w:val="1"/>
                <w:color w:val="auto"/>
              </w:rPr>
              <w:t>16</w:t>
            </w:r>
          </w:p>
        </w:tc>
        <w:tc>
          <w:tcPr>
            <w:tcW w:w="2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rFonts w:ascii="Arial" w:cs="Arial" w:eastAsia="Arial" w:hAnsi="Arial"/>
                <w:sz w:val="12"/>
                <w:szCs w:val="12"/>
                <w:b w:val="1"/>
                <w:bCs w:val="1"/>
                <w:color w:val="auto"/>
                <w:w w:val="74"/>
              </w:rPr>
            </w:pPr>
            <w:hyperlink w:anchor="page275">
              <w:r>
                <w:rPr>
                  <w:rFonts w:ascii="Arial" w:cs="Arial" w:eastAsia="Arial" w:hAnsi="Arial"/>
                  <w:sz w:val="12"/>
                  <w:szCs w:val="12"/>
                  <w:b w:val="1"/>
                  <w:bCs w:val="1"/>
                  <w:color w:val="auto"/>
                  <w:w w:val="74"/>
                </w:rPr>
                <w:t>53</w:t>
              </w:r>
            </w:hyperlink>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700" w:type="dxa"/>
            <w:vAlign w:val="bottom"/>
          </w:tcPr>
          <w:p>
            <w:pPr>
              <w:spacing w:after="0"/>
              <w:rPr>
                <w:sz w:val="17"/>
                <w:szCs w:val="17"/>
                <w:color w:val="auto"/>
              </w:rPr>
            </w:pPr>
          </w:p>
        </w:tc>
      </w:tr>
      <w:tr>
        <w:trPr>
          <w:trHeight w:val="142"/>
        </w:trPr>
        <w:tc>
          <w:tcPr>
            <w:tcW w:w="320" w:type="dxa"/>
            <w:vAlign w:val="bottom"/>
          </w:tcPr>
          <w:p>
            <w:pPr>
              <w:spacing w:after="0"/>
              <w:rPr>
                <w:sz w:val="20"/>
                <w:szCs w:val="20"/>
                <w:color w:val="auto"/>
              </w:rPr>
            </w:pPr>
            <w:r>
              <w:rPr>
                <w:rFonts w:ascii="Arial" w:cs="Arial" w:eastAsia="Arial" w:hAnsi="Arial"/>
                <w:sz w:val="12"/>
                <w:szCs w:val="12"/>
                <w:color w:val="auto"/>
              </w:rPr>
              <w:t>16.1</w:t>
            </w:r>
          </w:p>
        </w:tc>
        <w:tc>
          <w:tcPr>
            <w:tcW w:w="3020" w:type="dxa"/>
            <w:vAlign w:val="bottom"/>
            <w:gridSpan w:val="4"/>
          </w:tcPr>
          <w:p>
            <w:pPr>
              <w:spacing w:after="0"/>
              <w:rPr>
                <w:sz w:val="12"/>
                <w:szCs w:val="12"/>
                <w:color w:val="auto"/>
              </w:rPr>
            </w:pPr>
          </w:p>
        </w:tc>
        <w:tc>
          <w:tcPr>
            <w:tcW w:w="120" w:type="dxa"/>
            <w:vAlign w:val="bottom"/>
            <w:tcBorders>
              <w:bottom w:val="single" w:sz="8" w:color="auto"/>
            </w:tcBorders>
            <w:gridSpan w:val="2"/>
          </w:tcPr>
          <w:p>
            <w:pPr>
              <w:jc w:val="right"/>
              <w:spacing w:after="0"/>
              <w:rPr>
                <w:rFonts w:ascii="Arial" w:cs="Arial" w:eastAsia="Arial" w:hAnsi="Arial"/>
                <w:sz w:val="12"/>
                <w:szCs w:val="12"/>
                <w:color w:val="auto"/>
                <w:w w:val="74"/>
              </w:rPr>
            </w:pPr>
            <w:hyperlink w:anchor="page275">
              <w:r>
                <w:rPr>
                  <w:rFonts w:ascii="Arial" w:cs="Arial" w:eastAsia="Arial" w:hAnsi="Arial"/>
                  <w:sz w:val="12"/>
                  <w:szCs w:val="12"/>
                  <w:color w:val="auto"/>
                  <w:w w:val="74"/>
                </w:rPr>
                <w:t>53</w:t>
              </w:r>
            </w:hyperlink>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700" w:type="dxa"/>
            <w:vAlign w:val="bottom"/>
          </w:tcPr>
          <w:p>
            <w:pPr>
              <w:spacing w:after="0"/>
              <w:rPr>
                <w:sz w:val="12"/>
                <w:szCs w:val="12"/>
                <w:color w:val="auto"/>
              </w:rPr>
            </w:pPr>
          </w:p>
        </w:tc>
      </w:tr>
      <w:tr>
        <w:trPr>
          <w:trHeight w:val="151"/>
        </w:trPr>
        <w:tc>
          <w:tcPr>
            <w:tcW w:w="320" w:type="dxa"/>
            <w:vAlign w:val="bottom"/>
          </w:tcPr>
          <w:p>
            <w:pPr>
              <w:spacing w:after="0"/>
              <w:rPr>
                <w:sz w:val="20"/>
                <w:szCs w:val="20"/>
                <w:color w:val="auto"/>
              </w:rPr>
            </w:pPr>
            <w:r>
              <w:rPr>
                <w:rFonts w:ascii="Arial" w:cs="Arial" w:eastAsia="Arial" w:hAnsi="Arial"/>
                <w:sz w:val="12"/>
                <w:szCs w:val="12"/>
                <w:color w:val="auto"/>
              </w:rPr>
              <w:t>16.2</w:t>
            </w:r>
          </w:p>
        </w:tc>
        <w:tc>
          <w:tcPr>
            <w:tcW w:w="3020" w:type="dxa"/>
            <w:vAlign w:val="bottom"/>
            <w:gridSpan w:val="4"/>
          </w:tcPr>
          <w:p>
            <w:pPr>
              <w:spacing w:after="0"/>
              <w:rPr>
                <w:sz w:val="13"/>
                <w:szCs w:val="13"/>
                <w:color w:val="auto"/>
              </w:rPr>
            </w:pPr>
          </w:p>
        </w:tc>
        <w:tc>
          <w:tcPr>
            <w:tcW w:w="120" w:type="dxa"/>
            <w:vAlign w:val="bottom"/>
            <w:tcBorders>
              <w:bottom w:val="single" w:sz="8" w:color="auto"/>
            </w:tcBorders>
            <w:gridSpan w:val="2"/>
          </w:tcPr>
          <w:p>
            <w:pPr>
              <w:jc w:val="right"/>
              <w:spacing w:after="0"/>
              <w:rPr>
                <w:rFonts w:ascii="Arial" w:cs="Arial" w:eastAsia="Arial" w:hAnsi="Arial"/>
                <w:sz w:val="12"/>
                <w:szCs w:val="12"/>
                <w:color w:val="auto"/>
                <w:w w:val="74"/>
              </w:rPr>
            </w:pPr>
            <w:hyperlink w:anchor="page276">
              <w:r>
                <w:rPr>
                  <w:rFonts w:ascii="Arial" w:cs="Arial" w:eastAsia="Arial" w:hAnsi="Arial"/>
                  <w:sz w:val="12"/>
                  <w:szCs w:val="12"/>
                  <w:color w:val="auto"/>
                  <w:w w:val="74"/>
                </w:rPr>
                <w:t>54</w:t>
              </w:r>
            </w:hyperlink>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700" w:type="dxa"/>
            <w:vAlign w:val="bottom"/>
          </w:tcPr>
          <w:p>
            <w:pPr>
              <w:spacing w:after="0"/>
              <w:rPr>
                <w:sz w:val="13"/>
                <w:szCs w:val="13"/>
                <w:color w:val="auto"/>
              </w:rPr>
            </w:pPr>
          </w:p>
        </w:tc>
      </w:tr>
      <w:tr>
        <w:trPr>
          <w:trHeight w:val="151"/>
        </w:trPr>
        <w:tc>
          <w:tcPr>
            <w:tcW w:w="320" w:type="dxa"/>
            <w:vAlign w:val="bottom"/>
          </w:tcPr>
          <w:p>
            <w:pPr>
              <w:spacing w:after="0"/>
              <w:rPr>
                <w:sz w:val="20"/>
                <w:szCs w:val="20"/>
                <w:color w:val="auto"/>
              </w:rPr>
            </w:pPr>
            <w:r>
              <w:rPr>
                <w:rFonts w:ascii="Arial" w:cs="Arial" w:eastAsia="Arial" w:hAnsi="Arial"/>
                <w:sz w:val="12"/>
                <w:szCs w:val="12"/>
                <w:color w:val="auto"/>
              </w:rPr>
              <w:t>16.3</w:t>
            </w:r>
          </w:p>
        </w:tc>
        <w:tc>
          <w:tcPr>
            <w:tcW w:w="3020" w:type="dxa"/>
            <w:vAlign w:val="bottom"/>
            <w:gridSpan w:val="4"/>
          </w:tcPr>
          <w:p>
            <w:pPr>
              <w:spacing w:after="0"/>
              <w:rPr>
                <w:sz w:val="13"/>
                <w:szCs w:val="13"/>
                <w:color w:val="auto"/>
              </w:rPr>
            </w:pPr>
          </w:p>
        </w:tc>
        <w:tc>
          <w:tcPr>
            <w:tcW w:w="120" w:type="dxa"/>
            <w:vAlign w:val="bottom"/>
            <w:tcBorders>
              <w:bottom w:val="single" w:sz="8" w:color="auto"/>
            </w:tcBorders>
            <w:gridSpan w:val="2"/>
          </w:tcPr>
          <w:p>
            <w:pPr>
              <w:jc w:val="right"/>
              <w:spacing w:after="0"/>
              <w:rPr>
                <w:rFonts w:ascii="Arial" w:cs="Arial" w:eastAsia="Arial" w:hAnsi="Arial"/>
                <w:sz w:val="12"/>
                <w:szCs w:val="12"/>
                <w:color w:val="auto"/>
                <w:w w:val="74"/>
              </w:rPr>
            </w:pPr>
            <w:hyperlink w:anchor="page276">
              <w:r>
                <w:rPr>
                  <w:rFonts w:ascii="Arial" w:cs="Arial" w:eastAsia="Arial" w:hAnsi="Arial"/>
                  <w:sz w:val="12"/>
                  <w:szCs w:val="12"/>
                  <w:color w:val="auto"/>
                  <w:w w:val="74"/>
                </w:rPr>
                <w:t>54</w:t>
              </w:r>
            </w:hyperlink>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700" w:type="dxa"/>
            <w:vAlign w:val="bottom"/>
          </w:tcPr>
          <w:p>
            <w:pPr>
              <w:spacing w:after="0"/>
              <w:rPr>
                <w:sz w:val="13"/>
                <w:szCs w:val="13"/>
                <w:color w:val="auto"/>
              </w:rPr>
            </w:pPr>
          </w:p>
        </w:tc>
      </w:tr>
      <w:tr>
        <w:trPr>
          <w:trHeight w:val="151"/>
        </w:trPr>
        <w:tc>
          <w:tcPr>
            <w:tcW w:w="320" w:type="dxa"/>
            <w:vAlign w:val="bottom"/>
          </w:tcPr>
          <w:p>
            <w:pPr>
              <w:spacing w:after="0"/>
              <w:rPr>
                <w:sz w:val="20"/>
                <w:szCs w:val="20"/>
                <w:color w:val="auto"/>
              </w:rPr>
            </w:pPr>
            <w:r>
              <w:rPr>
                <w:rFonts w:ascii="Arial" w:cs="Arial" w:eastAsia="Arial" w:hAnsi="Arial"/>
                <w:sz w:val="12"/>
                <w:szCs w:val="12"/>
                <w:color w:val="auto"/>
              </w:rPr>
              <w:t>16.4</w:t>
            </w:r>
          </w:p>
        </w:tc>
        <w:tc>
          <w:tcPr>
            <w:tcW w:w="3020" w:type="dxa"/>
            <w:vAlign w:val="bottom"/>
            <w:gridSpan w:val="4"/>
          </w:tcPr>
          <w:p>
            <w:pPr>
              <w:spacing w:after="0"/>
              <w:rPr>
                <w:sz w:val="13"/>
                <w:szCs w:val="13"/>
                <w:color w:val="auto"/>
              </w:rPr>
            </w:pPr>
          </w:p>
        </w:tc>
        <w:tc>
          <w:tcPr>
            <w:tcW w:w="120" w:type="dxa"/>
            <w:vAlign w:val="bottom"/>
            <w:tcBorders>
              <w:bottom w:val="single" w:sz="8" w:color="auto"/>
            </w:tcBorders>
            <w:gridSpan w:val="2"/>
          </w:tcPr>
          <w:p>
            <w:pPr>
              <w:jc w:val="right"/>
              <w:spacing w:after="0"/>
              <w:rPr>
                <w:rFonts w:ascii="Arial" w:cs="Arial" w:eastAsia="Arial" w:hAnsi="Arial"/>
                <w:sz w:val="12"/>
                <w:szCs w:val="12"/>
                <w:color w:val="auto"/>
                <w:w w:val="74"/>
              </w:rPr>
            </w:pPr>
            <w:hyperlink w:anchor="page276">
              <w:r>
                <w:rPr>
                  <w:rFonts w:ascii="Arial" w:cs="Arial" w:eastAsia="Arial" w:hAnsi="Arial"/>
                  <w:sz w:val="12"/>
                  <w:szCs w:val="12"/>
                  <w:color w:val="auto"/>
                  <w:w w:val="74"/>
                </w:rPr>
                <w:t>54</w:t>
              </w:r>
            </w:hyperlink>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700" w:type="dxa"/>
            <w:vAlign w:val="bottom"/>
          </w:tcPr>
          <w:p>
            <w:pPr>
              <w:spacing w:after="0"/>
              <w:rPr>
                <w:sz w:val="13"/>
                <w:szCs w:val="13"/>
                <w:color w:val="auto"/>
              </w:rPr>
            </w:pPr>
          </w:p>
        </w:tc>
      </w:tr>
      <w:tr>
        <w:trPr>
          <w:trHeight w:val="151"/>
        </w:trPr>
        <w:tc>
          <w:tcPr>
            <w:tcW w:w="320" w:type="dxa"/>
            <w:vAlign w:val="bottom"/>
          </w:tcPr>
          <w:p>
            <w:pPr>
              <w:spacing w:after="0"/>
              <w:rPr>
                <w:sz w:val="20"/>
                <w:szCs w:val="20"/>
                <w:color w:val="auto"/>
              </w:rPr>
            </w:pPr>
            <w:r>
              <w:rPr>
                <w:rFonts w:ascii="Arial" w:cs="Arial" w:eastAsia="Arial" w:hAnsi="Arial"/>
                <w:sz w:val="12"/>
                <w:szCs w:val="12"/>
                <w:color w:val="auto"/>
              </w:rPr>
              <w:t>16.5</w:t>
            </w:r>
          </w:p>
        </w:tc>
        <w:tc>
          <w:tcPr>
            <w:tcW w:w="3020" w:type="dxa"/>
            <w:vAlign w:val="bottom"/>
            <w:gridSpan w:val="4"/>
          </w:tcPr>
          <w:p>
            <w:pPr>
              <w:spacing w:after="0"/>
              <w:rPr>
                <w:sz w:val="13"/>
                <w:szCs w:val="13"/>
                <w:color w:val="auto"/>
              </w:rPr>
            </w:pPr>
          </w:p>
        </w:tc>
        <w:tc>
          <w:tcPr>
            <w:tcW w:w="120" w:type="dxa"/>
            <w:vAlign w:val="bottom"/>
            <w:tcBorders>
              <w:bottom w:val="single" w:sz="8" w:color="auto"/>
            </w:tcBorders>
            <w:gridSpan w:val="2"/>
          </w:tcPr>
          <w:p>
            <w:pPr>
              <w:jc w:val="right"/>
              <w:spacing w:after="0"/>
              <w:rPr>
                <w:rFonts w:ascii="Arial" w:cs="Arial" w:eastAsia="Arial" w:hAnsi="Arial"/>
                <w:sz w:val="12"/>
                <w:szCs w:val="12"/>
                <w:color w:val="auto"/>
                <w:w w:val="74"/>
              </w:rPr>
            </w:pPr>
            <w:hyperlink w:anchor="page276">
              <w:r>
                <w:rPr>
                  <w:rFonts w:ascii="Arial" w:cs="Arial" w:eastAsia="Arial" w:hAnsi="Arial"/>
                  <w:sz w:val="12"/>
                  <w:szCs w:val="12"/>
                  <w:color w:val="auto"/>
                  <w:w w:val="74"/>
                </w:rPr>
                <w:t>54</w:t>
              </w:r>
            </w:hyperlink>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700" w:type="dxa"/>
            <w:vAlign w:val="bottom"/>
          </w:tcPr>
          <w:p>
            <w:pPr>
              <w:spacing w:after="0"/>
              <w:rPr>
                <w:sz w:val="13"/>
                <w:szCs w:val="13"/>
                <w:color w:val="auto"/>
              </w:rPr>
            </w:pPr>
          </w:p>
        </w:tc>
      </w:tr>
      <w:tr>
        <w:trPr>
          <w:trHeight w:val="151"/>
        </w:trPr>
        <w:tc>
          <w:tcPr>
            <w:tcW w:w="320" w:type="dxa"/>
            <w:vAlign w:val="bottom"/>
          </w:tcPr>
          <w:p>
            <w:pPr>
              <w:spacing w:after="0"/>
              <w:rPr>
                <w:sz w:val="20"/>
                <w:szCs w:val="20"/>
                <w:color w:val="auto"/>
              </w:rPr>
            </w:pPr>
            <w:r>
              <w:rPr>
                <w:rFonts w:ascii="Arial" w:cs="Arial" w:eastAsia="Arial" w:hAnsi="Arial"/>
                <w:sz w:val="12"/>
                <w:szCs w:val="12"/>
                <w:color w:val="auto"/>
              </w:rPr>
              <w:t>16.6</w:t>
            </w:r>
          </w:p>
        </w:tc>
        <w:tc>
          <w:tcPr>
            <w:tcW w:w="3020" w:type="dxa"/>
            <w:vAlign w:val="bottom"/>
            <w:gridSpan w:val="4"/>
          </w:tcPr>
          <w:p>
            <w:pPr>
              <w:spacing w:after="0"/>
              <w:rPr>
                <w:sz w:val="13"/>
                <w:szCs w:val="13"/>
                <w:color w:val="auto"/>
              </w:rPr>
            </w:pPr>
          </w:p>
        </w:tc>
        <w:tc>
          <w:tcPr>
            <w:tcW w:w="120" w:type="dxa"/>
            <w:vAlign w:val="bottom"/>
            <w:tcBorders>
              <w:bottom w:val="single" w:sz="8" w:color="auto"/>
            </w:tcBorders>
            <w:gridSpan w:val="2"/>
          </w:tcPr>
          <w:p>
            <w:pPr>
              <w:jc w:val="right"/>
              <w:spacing w:after="0"/>
              <w:rPr>
                <w:rFonts w:ascii="Arial" w:cs="Arial" w:eastAsia="Arial" w:hAnsi="Arial"/>
                <w:sz w:val="12"/>
                <w:szCs w:val="12"/>
                <w:color w:val="auto"/>
                <w:w w:val="74"/>
              </w:rPr>
            </w:pPr>
            <w:hyperlink w:anchor="page277">
              <w:r>
                <w:rPr>
                  <w:rFonts w:ascii="Arial" w:cs="Arial" w:eastAsia="Arial" w:hAnsi="Arial"/>
                  <w:sz w:val="12"/>
                  <w:szCs w:val="12"/>
                  <w:color w:val="auto"/>
                  <w:w w:val="74"/>
                </w:rPr>
                <w:t>55</w:t>
              </w:r>
            </w:hyperlink>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700" w:type="dxa"/>
            <w:vAlign w:val="bottom"/>
          </w:tcPr>
          <w:p>
            <w:pPr>
              <w:spacing w:after="0"/>
              <w:rPr>
                <w:sz w:val="13"/>
                <w:szCs w:val="13"/>
                <w:color w:val="auto"/>
              </w:rPr>
            </w:pPr>
          </w:p>
        </w:tc>
      </w:tr>
      <w:tr>
        <w:trPr>
          <w:trHeight w:val="151"/>
        </w:trPr>
        <w:tc>
          <w:tcPr>
            <w:tcW w:w="320" w:type="dxa"/>
            <w:vAlign w:val="bottom"/>
          </w:tcPr>
          <w:p>
            <w:pPr>
              <w:spacing w:after="0"/>
              <w:rPr>
                <w:sz w:val="20"/>
                <w:szCs w:val="20"/>
                <w:color w:val="auto"/>
              </w:rPr>
            </w:pPr>
            <w:r>
              <w:rPr>
                <w:rFonts w:ascii="Arial" w:cs="Arial" w:eastAsia="Arial" w:hAnsi="Arial"/>
                <w:sz w:val="12"/>
                <w:szCs w:val="12"/>
                <w:color w:val="auto"/>
              </w:rPr>
              <w:t>16.7</w:t>
            </w:r>
          </w:p>
        </w:tc>
        <w:tc>
          <w:tcPr>
            <w:tcW w:w="3020" w:type="dxa"/>
            <w:vAlign w:val="bottom"/>
            <w:gridSpan w:val="4"/>
          </w:tcPr>
          <w:p>
            <w:pPr>
              <w:spacing w:after="0"/>
              <w:rPr>
                <w:sz w:val="13"/>
                <w:szCs w:val="13"/>
                <w:color w:val="auto"/>
              </w:rPr>
            </w:pPr>
          </w:p>
        </w:tc>
        <w:tc>
          <w:tcPr>
            <w:tcW w:w="120" w:type="dxa"/>
            <w:vAlign w:val="bottom"/>
            <w:tcBorders>
              <w:bottom w:val="single" w:sz="8" w:color="auto"/>
            </w:tcBorders>
            <w:gridSpan w:val="2"/>
          </w:tcPr>
          <w:p>
            <w:pPr>
              <w:jc w:val="right"/>
              <w:spacing w:after="0"/>
              <w:rPr>
                <w:rFonts w:ascii="Arial" w:cs="Arial" w:eastAsia="Arial" w:hAnsi="Arial"/>
                <w:sz w:val="12"/>
                <w:szCs w:val="12"/>
                <w:color w:val="auto"/>
                <w:w w:val="74"/>
              </w:rPr>
            </w:pPr>
            <w:hyperlink w:anchor="page277">
              <w:r>
                <w:rPr>
                  <w:rFonts w:ascii="Arial" w:cs="Arial" w:eastAsia="Arial" w:hAnsi="Arial"/>
                  <w:sz w:val="12"/>
                  <w:szCs w:val="12"/>
                  <w:color w:val="auto"/>
                  <w:w w:val="74"/>
                </w:rPr>
                <w:t>55</w:t>
              </w:r>
            </w:hyperlink>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700" w:type="dxa"/>
            <w:vAlign w:val="bottom"/>
          </w:tcPr>
          <w:p>
            <w:pPr>
              <w:spacing w:after="0"/>
              <w:rPr>
                <w:sz w:val="13"/>
                <w:szCs w:val="13"/>
                <w:color w:val="auto"/>
              </w:rPr>
            </w:pPr>
          </w:p>
        </w:tc>
      </w:tr>
      <w:tr>
        <w:trPr>
          <w:trHeight w:val="151"/>
        </w:trPr>
        <w:tc>
          <w:tcPr>
            <w:tcW w:w="320" w:type="dxa"/>
            <w:vAlign w:val="bottom"/>
          </w:tcPr>
          <w:p>
            <w:pPr>
              <w:spacing w:after="0"/>
              <w:rPr>
                <w:sz w:val="20"/>
                <w:szCs w:val="20"/>
                <w:color w:val="auto"/>
              </w:rPr>
            </w:pPr>
            <w:r>
              <w:rPr>
                <w:rFonts w:ascii="Arial" w:cs="Arial" w:eastAsia="Arial" w:hAnsi="Arial"/>
                <w:sz w:val="12"/>
                <w:szCs w:val="12"/>
                <w:color w:val="auto"/>
              </w:rPr>
              <w:t>16.8</w:t>
            </w:r>
          </w:p>
        </w:tc>
        <w:tc>
          <w:tcPr>
            <w:tcW w:w="3020" w:type="dxa"/>
            <w:vAlign w:val="bottom"/>
            <w:gridSpan w:val="4"/>
          </w:tcPr>
          <w:p>
            <w:pPr>
              <w:spacing w:after="0"/>
              <w:rPr>
                <w:sz w:val="13"/>
                <w:szCs w:val="13"/>
                <w:color w:val="auto"/>
              </w:rPr>
            </w:pPr>
          </w:p>
        </w:tc>
        <w:tc>
          <w:tcPr>
            <w:tcW w:w="120" w:type="dxa"/>
            <w:vAlign w:val="bottom"/>
            <w:tcBorders>
              <w:bottom w:val="single" w:sz="8" w:color="auto"/>
            </w:tcBorders>
            <w:gridSpan w:val="2"/>
          </w:tcPr>
          <w:p>
            <w:pPr>
              <w:jc w:val="right"/>
              <w:spacing w:after="0"/>
              <w:rPr>
                <w:rFonts w:ascii="Arial" w:cs="Arial" w:eastAsia="Arial" w:hAnsi="Arial"/>
                <w:sz w:val="12"/>
                <w:szCs w:val="12"/>
                <w:color w:val="auto"/>
                <w:w w:val="74"/>
              </w:rPr>
            </w:pPr>
            <w:hyperlink w:anchor="page278">
              <w:r>
                <w:rPr>
                  <w:rFonts w:ascii="Arial" w:cs="Arial" w:eastAsia="Arial" w:hAnsi="Arial"/>
                  <w:sz w:val="12"/>
                  <w:szCs w:val="12"/>
                  <w:color w:val="auto"/>
                  <w:w w:val="74"/>
                </w:rPr>
                <w:t>56</w:t>
              </w:r>
            </w:hyperlink>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700" w:type="dxa"/>
            <w:vAlign w:val="bottom"/>
          </w:tcPr>
          <w:p>
            <w:pPr>
              <w:spacing w:after="0"/>
              <w:rPr>
                <w:sz w:val="13"/>
                <w:szCs w:val="13"/>
                <w:color w:val="auto"/>
              </w:rPr>
            </w:pPr>
          </w:p>
        </w:tc>
      </w:tr>
      <w:tr>
        <w:trPr>
          <w:trHeight w:val="151"/>
        </w:trPr>
        <w:tc>
          <w:tcPr>
            <w:tcW w:w="320" w:type="dxa"/>
            <w:vAlign w:val="bottom"/>
          </w:tcPr>
          <w:p>
            <w:pPr>
              <w:spacing w:after="0"/>
              <w:rPr>
                <w:sz w:val="20"/>
                <w:szCs w:val="20"/>
                <w:color w:val="auto"/>
              </w:rPr>
            </w:pPr>
            <w:r>
              <w:rPr>
                <w:rFonts w:ascii="Arial" w:cs="Arial" w:eastAsia="Arial" w:hAnsi="Arial"/>
                <w:sz w:val="12"/>
                <w:szCs w:val="12"/>
                <w:color w:val="auto"/>
              </w:rPr>
              <w:t>16.9</w:t>
            </w:r>
          </w:p>
        </w:tc>
        <w:tc>
          <w:tcPr>
            <w:tcW w:w="3140" w:type="dxa"/>
            <w:vAlign w:val="bottom"/>
            <w:gridSpan w:val="6"/>
          </w:tcPr>
          <w:p>
            <w:pPr>
              <w:jc w:val="right"/>
              <w:spacing w:after="0"/>
              <w:rPr>
                <w:rFonts w:ascii="Arial" w:cs="Arial" w:eastAsia="Arial" w:hAnsi="Arial"/>
                <w:sz w:val="12"/>
                <w:szCs w:val="12"/>
                <w:color w:val="auto"/>
              </w:rPr>
            </w:pPr>
            <w:hyperlink w:anchor="page278">
              <w:r>
                <w:rPr>
                  <w:rFonts w:ascii="Arial" w:cs="Arial" w:eastAsia="Arial" w:hAnsi="Arial"/>
                  <w:sz w:val="12"/>
                  <w:szCs w:val="12"/>
                  <w:color w:val="auto"/>
                </w:rPr>
                <w:t>56</w:t>
              </w:r>
            </w:hyperlink>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700" w:type="dxa"/>
            <w:vAlign w:val="bottom"/>
          </w:tcPr>
          <w:p>
            <w:pPr>
              <w:spacing w:after="0"/>
              <w:rPr>
                <w:sz w:val="13"/>
                <w:szCs w:val="13"/>
                <w:color w:val="auto"/>
              </w:rPr>
            </w:pPr>
          </w:p>
        </w:tc>
      </w:tr>
      <w:tr>
        <w:trPr>
          <w:trHeight w:val="151"/>
        </w:trPr>
        <w:tc>
          <w:tcPr>
            <w:tcW w:w="320" w:type="dxa"/>
            <w:vAlign w:val="bottom"/>
          </w:tcPr>
          <w:p>
            <w:pPr>
              <w:spacing w:after="0"/>
              <w:rPr>
                <w:sz w:val="20"/>
                <w:szCs w:val="20"/>
                <w:color w:val="auto"/>
              </w:rPr>
            </w:pPr>
            <w:r>
              <w:rPr>
                <w:rFonts w:ascii="Arial" w:cs="Arial" w:eastAsia="Arial" w:hAnsi="Arial"/>
                <w:sz w:val="12"/>
                <w:szCs w:val="12"/>
                <w:color w:val="auto"/>
                <w:w w:val="99"/>
              </w:rPr>
              <w:t>16.10</w:t>
            </w:r>
          </w:p>
        </w:tc>
        <w:tc>
          <w:tcPr>
            <w:tcW w:w="3040" w:type="dxa"/>
            <w:vAlign w:val="bottom"/>
            <w:gridSpan w:val="5"/>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Borders>
              <w:bottom w:val="single" w:sz="8" w:color="auto"/>
            </w:tcBorders>
            <w:gridSpan w:val="2"/>
          </w:tcPr>
          <w:p>
            <w:pPr>
              <w:jc w:val="right"/>
              <w:spacing w:after="0"/>
              <w:rPr>
                <w:rFonts w:ascii="Arial" w:cs="Arial" w:eastAsia="Arial" w:hAnsi="Arial"/>
                <w:sz w:val="12"/>
                <w:szCs w:val="12"/>
                <w:color w:val="auto"/>
                <w:w w:val="89"/>
              </w:rPr>
            </w:pPr>
            <w:hyperlink w:anchor="page278">
              <w:r>
                <w:rPr>
                  <w:rFonts w:ascii="Arial" w:cs="Arial" w:eastAsia="Arial" w:hAnsi="Arial"/>
                  <w:sz w:val="12"/>
                  <w:szCs w:val="12"/>
                  <w:color w:val="auto"/>
                  <w:w w:val="89"/>
                </w:rPr>
                <w:t>56</w:t>
              </w:r>
            </w:hyperlink>
          </w:p>
        </w:tc>
        <w:tc>
          <w:tcPr>
            <w:tcW w:w="5700" w:type="dxa"/>
            <w:vAlign w:val="bottom"/>
          </w:tcPr>
          <w:p>
            <w:pPr>
              <w:spacing w:after="0"/>
              <w:rPr>
                <w:sz w:val="13"/>
                <w:szCs w:val="13"/>
                <w:color w:val="auto"/>
              </w:rPr>
            </w:pPr>
          </w:p>
        </w:tc>
      </w:tr>
      <w:tr>
        <w:trPr>
          <w:trHeight w:val="151"/>
        </w:trPr>
        <w:tc>
          <w:tcPr>
            <w:tcW w:w="320" w:type="dxa"/>
            <w:vAlign w:val="bottom"/>
          </w:tcPr>
          <w:p>
            <w:pPr>
              <w:spacing w:after="0"/>
              <w:rPr>
                <w:sz w:val="20"/>
                <w:szCs w:val="20"/>
                <w:color w:val="auto"/>
              </w:rPr>
            </w:pPr>
            <w:r>
              <w:rPr>
                <w:rFonts w:ascii="Arial" w:cs="Arial" w:eastAsia="Arial" w:hAnsi="Arial"/>
                <w:sz w:val="12"/>
                <w:szCs w:val="12"/>
                <w:color w:val="auto"/>
                <w:w w:val="99"/>
              </w:rPr>
              <w:t>16.11</w:t>
            </w:r>
          </w:p>
        </w:tc>
        <w:tc>
          <w:tcPr>
            <w:tcW w:w="3580" w:type="dxa"/>
            <w:vAlign w:val="bottom"/>
            <w:gridSpan w:val="7"/>
          </w:tcPr>
          <w:p>
            <w:pPr>
              <w:spacing w:after="0"/>
              <w:rPr>
                <w:sz w:val="13"/>
                <w:szCs w:val="13"/>
                <w:color w:val="auto"/>
              </w:rPr>
            </w:pPr>
          </w:p>
        </w:tc>
        <w:tc>
          <w:tcPr>
            <w:tcW w:w="140" w:type="dxa"/>
            <w:vAlign w:val="bottom"/>
            <w:tcBorders>
              <w:bottom w:val="single" w:sz="8" w:color="auto"/>
            </w:tcBorders>
            <w:gridSpan w:val="2"/>
          </w:tcPr>
          <w:p>
            <w:pPr>
              <w:jc w:val="right"/>
              <w:spacing w:after="0"/>
              <w:rPr>
                <w:rFonts w:ascii="Arial" w:cs="Arial" w:eastAsia="Arial" w:hAnsi="Arial"/>
                <w:sz w:val="12"/>
                <w:szCs w:val="12"/>
                <w:color w:val="auto"/>
                <w:w w:val="89"/>
              </w:rPr>
            </w:pPr>
            <w:hyperlink w:anchor="page278">
              <w:r>
                <w:rPr>
                  <w:rFonts w:ascii="Arial" w:cs="Arial" w:eastAsia="Arial" w:hAnsi="Arial"/>
                  <w:sz w:val="12"/>
                  <w:szCs w:val="12"/>
                  <w:color w:val="auto"/>
                  <w:w w:val="89"/>
                </w:rPr>
                <w:t>56</w:t>
              </w:r>
            </w:hyperlink>
          </w:p>
        </w:tc>
        <w:tc>
          <w:tcPr>
            <w:tcW w:w="5700" w:type="dxa"/>
            <w:vAlign w:val="bottom"/>
          </w:tcPr>
          <w:p>
            <w:pPr>
              <w:spacing w:after="0"/>
              <w:rPr>
                <w:sz w:val="13"/>
                <w:szCs w:val="13"/>
                <w:color w:val="auto"/>
              </w:rPr>
            </w:pPr>
          </w:p>
        </w:tc>
      </w:tr>
      <w:tr>
        <w:trPr>
          <w:trHeight w:val="151"/>
        </w:trPr>
        <w:tc>
          <w:tcPr>
            <w:tcW w:w="320" w:type="dxa"/>
            <w:vAlign w:val="bottom"/>
          </w:tcPr>
          <w:p>
            <w:pPr>
              <w:spacing w:after="0"/>
              <w:rPr>
                <w:sz w:val="20"/>
                <w:szCs w:val="20"/>
                <w:color w:val="auto"/>
              </w:rPr>
            </w:pPr>
            <w:r>
              <w:rPr>
                <w:rFonts w:ascii="Arial" w:cs="Arial" w:eastAsia="Arial" w:hAnsi="Arial"/>
                <w:sz w:val="12"/>
                <w:szCs w:val="12"/>
                <w:color w:val="auto"/>
                <w:w w:val="99"/>
              </w:rPr>
              <w:t>16.12</w:t>
            </w:r>
          </w:p>
        </w:tc>
        <w:tc>
          <w:tcPr>
            <w:tcW w:w="3580" w:type="dxa"/>
            <w:vAlign w:val="bottom"/>
            <w:gridSpan w:val="7"/>
          </w:tcPr>
          <w:p>
            <w:pPr>
              <w:spacing w:after="0"/>
              <w:rPr>
                <w:sz w:val="13"/>
                <w:szCs w:val="13"/>
                <w:color w:val="auto"/>
              </w:rPr>
            </w:pPr>
          </w:p>
        </w:tc>
        <w:tc>
          <w:tcPr>
            <w:tcW w:w="140" w:type="dxa"/>
            <w:vAlign w:val="bottom"/>
            <w:tcBorders>
              <w:bottom w:val="single" w:sz="8" w:color="auto"/>
            </w:tcBorders>
            <w:gridSpan w:val="2"/>
          </w:tcPr>
          <w:p>
            <w:pPr>
              <w:jc w:val="right"/>
              <w:spacing w:after="0"/>
              <w:rPr>
                <w:rFonts w:ascii="Arial" w:cs="Arial" w:eastAsia="Arial" w:hAnsi="Arial"/>
                <w:sz w:val="12"/>
                <w:szCs w:val="12"/>
                <w:color w:val="auto"/>
                <w:w w:val="89"/>
              </w:rPr>
            </w:pPr>
            <w:hyperlink w:anchor="page278">
              <w:r>
                <w:rPr>
                  <w:rFonts w:ascii="Arial" w:cs="Arial" w:eastAsia="Arial" w:hAnsi="Arial"/>
                  <w:sz w:val="12"/>
                  <w:szCs w:val="12"/>
                  <w:color w:val="auto"/>
                  <w:w w:val="89"/>
                </w:rPr>
                <w:t>56</w:t>
              </w:r>
            </w:hyperlink>
          </w:p>
        </w:tc>
        <w:tc>
          <w:tcPr>
            <w:tcW w:w="5700" w:type="dxa"/>
            <w:vAlign w:val="bottom"/>
          </w:tcPr>
          <w:p>
            <w:pPr>
              <w:spacing w:after="0"/>
              <w:rPr>
                <w:sz w:val="13"/>
                <w:szCs w:val="13"/>
                <w:color w:val="auto"/>
              </w:rPr>
            </w:pPr>
          </w:p>
        </w:tc>
      </w:tr>
      <w:tr>
        <w:trPr>
          <w:trHeight w:val="151"/>
        </w:trPr>
        <w:tc>
          <w:tcPr>
            <w:tcW w:w="320" w:type="dxa"/>
            <w:vAlign w:val="bottom"/>
          </w:tcPr>
          <w:p>
            <w:pPr>
              <w:spacing w:after="0"/>
              <w:rPr>
                <w:sz w:val="20"/>
                <w:szCs w:val="20"/>
                <w:color w:val="auto"/>
              </w:rPr>
            </w:pPr>
            <w:r>
              <w:rPr>
                <w:rFonts w:ascii="Arial" w:cs="Arial" w:eastAsia="Arial" w:hAnsi="Arial"/>
                <w:sz w:val="12"/>
                <w:szCs w:val="12"/>
                <w:color w:val="auto"/>
                <w:w w:val="99"/>
              </w:rPr>
              <w:t>16.13</w:t>
            </w:r>
          </w:p>
        </w:tc>
        <w:tc>
          <w:tcPr>
            <w:tcW w:w="3580" w:type="dxa"/>
            <w:vAlign w:val="bottom"/>
            <w:gridSpan w:val="7"/>
          </w:tcPr>
          <w:p>
            <w:pPr>
              <w:spacing w:after="0"/>
              <w:rPr>
                <w:sz w:val="13"/>
                <w:szCs w:val="13"/>
                <w:color w:val="auto"/>
              </w:rPr>
            </w:pPr>
          </w:p>
        </w:tc>
        <w:tc>
          <w:tcPr>
            <w:tcW w:w="140" w:type="dxa"/>
            <w:vAlign w:val="bottom"/>
            <w:tcBorders>
              <w:bottom w:val="single" w:sz="8" w:color="auto"/>
            </w:tcBorders>
            <w:gridSpan w:val="2"/>
          </w:tcPr>
          <w:p>
            <w:pPr>
              <w:jc w:val="right"/>
              <w:spacing w:after="0"/>
              <w:rPr>
                <w:rFonts w:ascii="Arial" w:cs="Arial" w:eastAsia="Arial" w:hAnsi="Arial"/>
                <w:sz w:val="12"/>
                <w:szCs w:val="12"/>
                <w:color w:val="auto"/>
                <w:w w:val="89"/>
              </w:rPr>
            </w:pPr>
            <w:hyperlink w:anchor="page279">
              <w:r>
                <w:rPr>
                  <w:rFonts w:ascii="Arial" w:cs="Arial" w:eastAsia="Arial" w:hAnsi="Arial"/>
                  <w:sz w:val="12"/>
                  <w:szCs w:val="12"/>
                  <w:color w:val="auto"/>
                  <w:w w:val="89"/>
                </w:rPr>
                <w:t>57</w:t>
              </w:r>
            </w:hyperlink>
          </w:p>
        </w:tc>
        <w:tc>
          <w:tcPr>
            <w:tcW w:w="5700" w:type="dxa"/>
            <w:vAlign w:val="bottom"/>
          </w:tcPr>
          <w:p>
            <w:pPr>
              <w:spacing w:after="0"/>
              <w:rPr>
                <w:sz w:val="13"/>
                <w:szCs w:val="13"/>
                <w:color w:val="auto"/>
              </w:rPr>
            </w:pPr>
          </w:p>
        </w:tc>
      </w:tr>
      <w:tr>
        <w:trPr>
          <w:trHeight w:val="151"/>
        </w:trPr>
        <w:tc>
          <w:tcPr>
            <w:tcW w:w="320" w:type="dxa"/>
            <w:vAlign w:val="bottom"/>
          </w:tcPr>
          <w:p>
            <w:pPr>
              <w:spacing w:after="0"/>
              <w:rPr>
                <w:sz w:val="20"/>
                <w:szCs w:val="20"/>
                <w:color w:val="auto"/>
              </w:rPr>
            </w:pPr>
            <w:r>
              <w:rPr>
                <w:rFonts w:ascii="Arial" w:cs="Arial" w:eastAsia="Arial" w:hAnsi="Arial"/>
                <w:sz w:val="12"/>
                <w:szCs w:val="12"/>
                <w:color w:val="auto"/>
                <w:w w:val="99"/>
              </w:rPr>
              <w:t>16.14</w:t>
            </w:r>
          </w:p>
        </w:tc>
        <w:tc>
          <w:tcPr>
            <w:tcW w:w="3580" w:type="dxa"/>
            <w:vAlign w:val="bottom"/>
            <w:gridSpan w:val="7"/>
          </w:tcPr>
          <w:p>
            <w:pPr>
              <w:spacing w:after="0"/>
              <w:rPr>
                <w:sz w:val="13"/>
                <w:szCs w:val="13"/>
                <w:color w:val="auto"/>
              </w:rPr>
            </w:pPr>
          </w:p>
        </w:tc>
        <w:tc>
          <w:tcPr>
            <w:tcW w:w="140" w:type="dxa"/>
            <w:vAlign w:val="bottom"/>
            <w:tcBorders>
              <w:bottom w:val="single" w:sz="8" w:color="auto"/>
            </w:tcBorders>
            <w:gridSpan w:val="2"/>
          </w:tcPr>
          <w:p>
            <w:pPr>
              <w:jc w:val="right"/>
              <w:spacing w:after="0"/>
              <w:rPr>
                <w:rFonts w:ascii="Arial" w:cs="Arial" w:eastAsia="Arial" w:hAnsi="Arial"/>
                <w:sz w:val="12"/>
                <w:szCs w:val="12"/>
                <w:color w:val="auto"/>
                <w:w w:val="89"/>
              </w:rPr>
            </w:pPr>
            <w:hyperlink w:anchor="page279">
              <w:r>
                <w:rPr>
                  <w:rFonts w:ascii="Arial" w:cs="Arial" w:eastAsia="Arial" w:hAnsi="Arial"/>
                  <w:sz w:val="12"/>
                  <w:szCs w:val="12"/>
                  <w:color w:val="auto"/>
                  <w:w w:val="89"/>
                </w:rPr>
                <w:t>57</w:t>
              </w:r>
            </w:hyperlink>
          </w:p>
        </w:tc>
        <w:tc>
          <w:tcPr>
            <w:tcW w:w="5700" w:type="dxa"/>
            <w:vAlign w:val="bottom"/>
          </w:tcPr>
          <w:p>
            <w:pPr>
              <w:spacing w:after="0"/>
              <w:rPr>
                <w:sz w:val="13"/>
                <w:szCs w:val="13"/>
                <w:color w:val="auto"/>
              </w:rPr>
            </w:pPr>
          </w:p>
        </w:tc>
      </w:tr>
      <w:tr>
        <w:trPr>
          <w:trHeight w:val="151"/>
        </w:trPr>
        <w:tc>
          <w:tcPr>
            <w:tcW w:w="320" w:type="dxa"/>
            <w:vAlign w:val="bottom"/>
          </w:tcPr>
          <w:p>
            <w:pPr>
              <w:spacing w:after="0"/>
              <w:rPr>
                <w:sz w:val="20"/>
                <w:szCs w:val="20"/>
                <w:color w:val="auto"/>
              </w:rPr>
            </w:pPr>
            <w:r>
              <w:rPr>
                <w:rFonts w:ascii="Arial" w:cs="Arial" w:eastAsia="Arial" w:hAnsi="Arial"/>
                <w:sz w:val="12"/>
                <w:szCs w:val="12"/>
                <w:color w:val="auto"/>
                <w:w w:val="99"/>
              </w:rPr>
              <w:t>16.15</w:t>
            </w:r>
          </w:p>
        </w:tc>
        <w:tc>
          <w:tcPr>
            <w:tcW w:w="3580" w:type="dxa"/>
            <w:vAlign w:val="bottom"/>
            <w:gridSpan w:val="7"/>
          </w:tcPr>
          <w:p>
            <w:pPr>
              <w:spacing w:after="0"/>
              <w:rPr>
                <w:sz w:val="13"/>
                <w:szCs w:val="13"/>
                <w:color w:val="auto"/>
              </w:rPr>
            </w:pPr>
          </w:p>
        </w:tc>
        <w:tc>
          <w:tcPr>
            <w:tcW w:w="140" w:type="dxa"/>
            <w:vAlign w:val="bottom"/>
            <w:tcBorders>
              <w:bottom w:val="single" w:sz="8" w:color="auto"/>
            </w:tcBorders>
            <w:gridSpan w:val="2"/>
          </w:tcPr>
          <w:p>
            <w:pPr>
              <w:jc w:val="right"/>
              <w:spacing w:after="0"/>
              <w:rPr>
                <w:rFonts w:ascii="Arial" w:cs="Arial" w:eastAsia="Arial" w:hAnsi="Arial"/>
                <w:sz w:val="12"/>
                <w:szCs w:val="12"/>
                <w:color w:val="auto"/>
                <w:w w:val="89"/>
              </w:rPr>
            </w:pPr>
            <w:hyperlink w:anchor="page279">
              <w:r>
                <w:rPr>
                  <w:rFonts w:ascii="Arial" w:cs="Arial" w:eastAsia="Arial" w:hAnsi="Arial"/>
                  <w:sz w:val="12"/>
                  <w:szCs w:val="12"/>
                  <w:color w:val="auto"/>
                  <w:w w:val="89"/>
                </w:rPr>
                <w:t>57</w:t>
              </w:r>
            </w:hyperlink>
          </w:p>
        </w:tc>
        <w:tc>
          <w:tcPr>
            <w:tcW w:w="5700" w:type="dxa"/>
            <w:vAlign w:val="bottom"/>
          </w:tcPr>
          <w:p>
            <w:pPr>
              <w:spacing w:after="0"/>
              <w:rPr>
                <w:sz w:val="13"/>
                <w:szCs w:val="13"/>
                <w:color w:val="auto"/>
              </w:rPr>
            </w:pPr>
          </w:p>
        </w:tc>
      </w:tr>
      <w:tr>
        <w:trPr>
          <w:trHeight w:val="151"/>
        </w:trPr>
        <w:tc>
          <w:tcPr>
            <w:tcW w:w="320" w:type="dxa"/>
            <w:vAlign w:val="bottom"/>
          </w:tcPr>
          <w:p>
            <w:pPr>
              <w:spacing w:after="0"/>
              <w:rPr>
                <w:sz w:val="20"/>
                <w:szCs w:val="20"/>
                <w:color w:val="auto"/>
              </w:rPr>
            </w:pPr>
            <w:r>
              <w:rPr>
                <w:rFonts w:ascii="Arial" w:cs="Arial" w:eastAsia="Arial" w:hAnsi="Arial"/>
                <w:sz w:val="12"/>
                <w:szCs w:val="12"/>
                <w:color w:val="auto"/>
                <w:w w:val="99"/>
              </w:rPr>
              <w:t>16.16</w:t>
            </w:r>
          </w:p>
        </w:tc>
        <w:tc>
          <w:tcPr>
            <w:tcW w:w="3720" w:type="dxa"/>
            <w:vAlign w:val="bottom"/>
            <w:gridSpan w:val="9"/>
          </w:tcPr>
          <w:p>
            <w:pPr>
              <w:jc w:val="right"/>
              <w:spacing w:after="0"/>
              <w:rPr>
                <w:rFonts w:ascii="Arial" w:cs="Arial" w:eastAsia="Arial" w:hAnsi="Arial"/>
                <w:sz w:val="12"/>
                <w:szCs w:val="12"/>
                <w:color w:val="auto"/>
              </w:rPr>
            </w:pPr>
            <w:hyperlink w:anchor="page279">
              <w:r>
                <w:rPr>
                  <w:rFonts w:ascii="Arial" w:cs="Arial" w:eastAsia="Arial" w:hAnsi="Arial"/>
                  <w:sz w:val="12"/>
                  <w:szCs w:val="12"/>
                  <w:color w:val="auto"/>
                </w:rPr>
                <w:t>57</w:t>
              </w:r>
            </w:hyperlink>
          </w:p>
        </w:tc>
        <w:tc>
          <w:tcPr>
            <w:tcW w:w="5700" w:type="dxa"/>
            <w:vAlign w:val="bottom"/>
          </w:tcPr>
          <w:p>
            <w:pPr>
              <w:spacing w:after="0"/>
              <w:rPr>
                <w:sz w:val="13"/>
                <w:szCs w:val="13"/>
                <w:color w:val="auto"/>
              </w:rPr>
            </w:pPr>
          </w:p>
        </w:tc>
      </w:tr>
      <w:tr>
        <w:trPr>
          <w:trHeight w:val="205"/>
        </w:trPr>
        <w:tc>
          <w:tcPr>
            <w:tcW w:w="320" w:type="dxa"/>
            <w:vAlign w:val="bottom"/>
          </w:tcPr>
          <w:p>
            <w:pPr>
              <w:spacing w:after="0"/>
              <w:rPr>
                <w:sz w:val="20"/>
                <w:szCs w:val="20"/>
                <w:color w:val="auto"/>
              </w:rPr>
            </w:pPr>
            <w:r>
              <w:rPr>
                <w:rFonts w:ascii="Arial" w:cs="Arial" w:eastAsia="Arial" w:hAnsi="Arial"/>
                <w:sz w:val="12"/>
                <w:szCs w:val="12"/>
                <w:b w:val="1"/>
                <w:bCs w:val="1"/>
                <w:color w:val="auto"/>
              </w:rPr>
              <w:t>17</w:t>
            </w:r>
          </w:p>
        </w:tc>
        <w:tc>
          <w:tcPr>
            <w:tcW w:w="2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rFonts w:ascii="Arial" w:cs="Arial" w:eastAsia="Arial" w:hAnsi="Arial"/>
                <w:sz w:val="12"/>
                <w:szCs w:val="12"/>
                <w:b w:val="1"/>
                <w:bCs w:val="1"/>
                <w:color w:val="auto"/>
                <w:w w:val="74"/>
              </w:rPr>
            </w:pPr>
            <w:hyperlink w:anchor="page280">
              <w:r>
                <w:rPr>
                  <w:rFonts w:ascii="Arial" w:cs="Arial" w:eastAsia="Arial" w:hAnsi="Arial"/>
                  <w:sz w:val="12"/>
                  <w:szCs w:val="12"/>
                  <w:b w:val="1"/>
                  <w:bCs w:val="1"/>
                  <w:color w:val="auto"/>
                  <w:w w:val="74"/>
                </w:rPr>
                <w:t>58</w:t>
              </w:r>
            </w:hyperlink>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5700" w:type="dxa"/>
            <w:vAlign w:val="bottom"/>
          </w:tcPr>
          <w:p>
            <w:pPr>
              <w:spacing w:after="0"/>
              <w:rPr>
                <w:sz w:val="17"/>
                <w:szCs w:val="17"/>
                <w:color w:val="auto"/>
              </w:rPr>
            </w:pPr>
          </w:p>
        </w:tc>
      </w:tr>
      <w:tr>
        <w:trPr>
          <w:trHeight w:val="142"/>
        </w:trPr>
        <w:tc>
          <w:tcPr>
            <w:tcW w:w="320" w:type="dxa"/>
            <w:vAlign w:val="bottom"/>
          </w:tcPr>
          <w:p>
            <w:pPr>
              <w:spacing w:after="0"/>
              <w:rPr>
                <w:sz w:val="20"/>
                <w:szCs w:val="20"/>
                <w:color w:val="auto"/>
              </w:rPr>
            </w:pPr>
            <w:r>
              <w:rPr>
                <w:rFonts w:ascii="Arial" w:cs="Arial" w:eastAsia="Arial" w:hAnsi="Arial"/>
                <w:sz w:val="12"/>
                <w:szCs w:val="12"/>
                <w:color w:val="auto"/>
              </w:rPr>
              <w:t>17.1</w:t>
            </w:r>
          </w:p>
        </w:tc>
        <w:tc>
          <w:tcPr>
            <w:tcW w:w="3020" w:type="dxa"/>
            <w:vAlign w:val="bottom"/>
            <w:gridSpan w:val="4"/>
          </w:tcPr>
          <w:p>
            <w:pPr>
              <w:spacing w:after="0"/>
              <w:rPr>
                <w:sz w:val="12"/>
                <w:szCs w:val="12"/>
                <w:color w:val="auto"/>
              </w:rPr>
            </w:pPr>
          </w:p>
        </w:tc>
        <w:tc>
          <w:tcPr>
            <w:tcW w:w="120" w:type="dxa"/>
            <w:vAlign w:val="bottom"/>
            <w:tcBorders>
              <w:bottom w:val="single" w:sz="8" w:color="auto"/>
            </w:tcBorders>
            <w:gridSpan w:val="2"/>
          </w:tcPr>
          <w:p>
            <w:pPr>
              <w:jc w:val="right"/>
              <w:spacing w:after="0"/>
              <w:rPr>
                <w:rFonts w:ascii="Arial" w:cs="Arial" w:eastAsia="Arial" w:hAnsi="Arial"/>
                <w:sz w:val="12"/>
                <w:szCs w:val="12"/>
                <w:color w:val="auto"/>
                <w:w w:val="74"/>
              </w:rPr>
            </w:pPr>
            <w:hyperlink w:anchor="page280">
              <w:r>
                <w:rPr>
                  <w:rFonts w:ascii="Arial" w:cs="Arial" w:eastAsia="Arial" w:hAnsi="Arial"/>
                  <w:sz w:val="12"/>
                  <w:szCs w:val="12"/>
                  <w:color w:val="auto"/>
                  <w:w w:val="74"/>
                </w:rPr>
                <w:t>58</w:t>
              </w:r>
            </w:hyperlink>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700" w:type="dxa"/>
            <w:vAlign w:val="bottom"/>
          </w:tcPr>
          <w:p>
            <w:pPr>
              <w:spacing w:after="0"/>
              <w:rPr>
                <w:sz w:val="12"/>
                <w:szCs w:val="12"/>
                <w:color w:val="auto"/>
              </w:rPr>
            </w:pPr>
          </w:p>
        </w:tc>
      </w:tr>
      <w:tr>
        <w:trPr>
          <w:trHeight w:val="151"/>
        </w:trPr>
        <w:tc>
          <w:tcPr>
            <w:tcW w:w="320" w:type="dxa"/>
            <w:vAlign w:val="bottom"/>
          </w:tcPr>
          <w:p>
            <w:pPr>
              <w:spacing w:after="0"/>
              <w:rPr>
                <w:sz w:val="20"/>
                <w:szCs w:val="20"/>
                <w:color w:val="auto"/>
              </w:rPr>
            </w:pPr>
            <w:r>
              <w:rPr>
                <w:rFonts w:ascii="Arial" w:cs="Arial" w:eastAsia="Arial" w:hAnsi="Arial"/>
                <w:sz w:val="12"/>
                <w:szCs w:val="12"/>
                <w:color w:val="auto"/>
              </w:rPr>
              <w:t>17.2</w:t>
            </w:r>
          </w:p>
        </w:tc>
        <w:tc>
          <w:tcPr>
            <w:tcW w:w="3020" w:type="dxa"/>
            <w:vAlign w:val="bottom"/>
            <w:gridSpan w:val="4"/>
          </w:tcPr>
          <w:p>
            <w:pPr>
              <w:spacing w:after="0"/>
              <w:rPr>
                <w:sz w:val="13"/>
                <w:szCs w:val="13"/>
                <w:color w:val="auto"/>
              </w:rPr>
            </w:pPr>
          </w:p>
        </w:tc>
        <w:tc>
          <w:tcPr>
            <w:tcW w:w="120" w:type="dxa"/>
            <w:vAlign w:val="bottom"/>
            <w:tcBorders>
              <w:bottom w:val="single" w:sz="8" w:color="auto"/>
            </w:tcBorders>
            <w:gridSpan w:val="2"/>
          </w:tcPr>
          <w:p>
            <w:pPr>
              <w:jc w:val="right"/>
              <w:spacing w:after="0"/>
              <w:rPr>
                <w:rFonts w:ascii="Arial" w:cs="Arial" w:eastAsia="Arial" w:hAnsi="Arial"/>
                <w:sz w:val="12"/>
                <w:szCs w:val="12"/>
                <w:color w:val="auto"/>
                <w:w w:val="74"/>
              </w:rPr>
            </w:pPr>
            <w:hyperlink w:anchor="page280">
              <w:r>
                <w:rPr>
                  <w:rFonts w:ascii="Arial" w:cs="Arial" w:eastAsia="Arial" w:hAnsi="Arial"/>
                  <w:sz w:val="12"/>
                  <w:szCs w:val="12"/>
                  <w:color w:val="auto"/>
                  <w:w w:val="74"/>
                </w:rPr>
                <w:t>58</w:t>
              </w:r>
            </w:hyperlink>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700" w:type="dxa"/>
            <w:vAlign w:val="bottom"/>
          </w:tcPr>
          <w:p>
            <w:pPr>
              <w:spacing w:after="0"/>
              <w:rPr>
                <w:sz w:val="13"/>
                <w:szCs w:val="13"/>
                <w:color w:val="auto"/>
              </w:rPr>
            </w:pPr>
          </w:p>
        </w:tc>
      </w:tr>
      <w:tr>
        <w:trPr>
          <w:trHeight w:val="151"/>
        </w:trPr>
        <w:tc>
          <w:tcPr>
            <w:tcW w:w="320" w:type="dxa"/>
            <w:vAlign w:val="bottom"/>
          </w:tcPr>
          <w:p>
            <w:pPr>
              <w:spacing w:after="0"/>
              <w:rPr>
                <w:sz w:val="20"/>
                <w:szCs w:val="20"/>
                <w:color w:val="auto"/>
              </w:rPr>
            </w:pPr>
            <w:r>
              <w:rPr>
                <w:rFonts w:ascii="Arial" w:cs="Arial" w:eastAsia="Arial" w:hAnsi="Arial"/>
                <w:sz w:val="12"/>
                <w:szCs w:val="12"/>
                <w:color w:val="auto"/>
              </w:rPr>
              <w:t>17.3</w:t>
            </w:r>
          </w:p>
        </w:tc>
        <w:tc>
          <w:tcPr>
            <w:tcW w:w="3140" w:type="dxa"/>
            <w:vAlign w:val="bottom"/>
            <w:gridSpan w:val="6"/>
          </w:tcPr>
          <w:p>
            <w:pPr>
              <w:jc w:val="right"/>
              <w:spacing w:after="0"/>
              <w:rPr>
                <w:rFonts w:ascii="Arial" w:cs="Arial" w:eastAsia="Arial" w:hAnsi="Arial"/>
                <w:sz w:val="12"/>
                <w:szCs w:val="12"/>
                <w:color w:val="auto"/>
              </w:rPr>
            </w:pPr>
            <w:hyperlink w:anchor="page280">
              <w:r>
                <w:rPr>
                  <w:rFonts w:ascii="Arial" w:cs="Arial" w:eastAsia="Arial" w:hAnsi="Arial"/>
                  <w:sz w:val="12"/>
                  <w:szCs w:val="12"/>
                  <w:color w:val="auto"/>
                </w:rPr>
                <w:t>58</w:t>
              </w:r>
            </w:hyperlink>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700" w:type="dxa"/>
            <w:vAlign w:val="bottom"/>
          </w:tcPr>
          <w:p>
            <w:pPr>
              <w:spacing w:after="0"/>
              <w:rPr>
                <w:sz w:val="13"/>
                <w:szCs w:val="13"/>
                <w:color w:val="auto"/>
              </w:rPr>
            </w:pPr>
          </w:p>
        </w:tc>
      </w:tr>
      <w:tr>
        <w:trPr>
          <w:trHeight w:val="205"/>
        </w:trPr>
        <w:tc>
          <w:tcPr>
            <w:tcW w:w="320" w:type="dxa"/>
            <w:vAlign w:val="bottom"/>
          </w:tcPr>
          <w:p>
            <w:pPr>
              <w:spacing w:after="0"/>
              <w:rPr>
                <w:sz w:val="20"/>
                <w:szCs w:val="20"/>
                <w:color w:val="auto"/>
              </w:rPr>
            </w:pPr>
            <w:r>
              <w:rPr>
                <w:rFonts w:ascii="Arial" w:cs="Arial" w:eastAsia="Arial" w:hAnsi="Arial"/>
                <w:sz w:val="12"/>
                <w:szCs w:val="12"/>
                <w:b w:val="1"/>
                <w:bCs w:val="1"/>
                <w:color w:val="auto"/>
              </w:rPr>
              <w:t>18</w:t>
            </w:r>
          </w:p>
        </w:tc>
        <w:tc>
          <w:tcPr>
            <w:tcW w:w="2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rFonts w:ascii="Arial" w:cs="Arial" w:eastAsia="Arial" w:hAnsi="Arial"/>
                <w:sz w:val="12"/>
                <w:szCs w:val="12"/>
                <w:b w:val="1"/>
                <w:bCs w:val="1"/>
                <w:color w:val="auto"/>
                <w:w w:val="74"/>
              </w:rPr>
            </w:pPr>
            <w:hyperlink w:anchor="page281">
              <w:r>
                <w:rPr>
                  <w:rFonts w:ascii="Arial" w:cs="Arial" w:eastAsia="Arial" w:hAnsi="Arial"/>
                  <w:sz w:val="12"/>
                  <w:szCs w:val="12"/>
                  <w:b w:val="1"/>
                  <w:bCs w:val="1"/>
                  <w:color w:val="auto"/>
                  <w:w w:val="74"/>
                </w:rPr>
                <w:t>59</w:t>
              </w:r>
            </w:hyperlink>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700" w:type="dxa"/>
            <w:vAlign w:val="bottom"/>
          </w:tcPr>
          <w:p>
            <w:pPr>
              <w:spacing w:after="0"/>
              <w:rPr>
                <w:sz w:val="17"/>
                <w:szCs w:val="17"/>
                <w:color w:val="auto"/>
              </w:rPr>
            </w:pPr>
          </w:p>
        </w:tc>
      </w:tr>
      <w:tr>
        <w:trPr>
          <w:trHeight w:val="142"/>
        </w:trPr>
        <w:tc>
          <w:tcPr>
            <w:tcW w:w="320" w:type="dxa"/>
            <w:vAlign w:val="bottom"/>
          </w:tcPr>
          <w:p>
            <w:pPr>
              <w:spacing w:after="0"/>
              <w:rPr>
                <w:sz w:val="20"/>
                <w:szCs w:val="20"/>
                <w:color w:val="auto"/>
              </w:rPr>
            </w:pPr>
            <w:r>
              <w:rPr>
                <w:rFonts w:ascii="Arial" w:cs="Arial" w:eastAsia="Arial" w:hAnsi="Arial"/>
                <w:sz w:val="12"/>
                <w:szCs w:val="12"/>
                <w:color w:val="auto"/>
              </w:rPr>
              <w:t>18.1</w:t>
            </w:r>
          </w:p>
        </w:tc>
        <w:tc>
          <w:tcPr>
            <w:tcW w:w="3020" w:type="dxa"/>
            <w:vAlign w:val="bottom"/>
            <w:gridSpan w:val="4"/>
          </w:tcPr>
          <w:p>
            <w:pPr>
              <w:spacing w:after="0"/>
              <w:rPr>
                <w:sz w:val="12"/>
                <w:szCs w:val="12"/>
                <w:color w:val="auto"/>
              </w:rPr>
            </w:pPr>
          </w:p>
        </w:tc>
        <w:tc>
          <w:tcPr>
            <w:tcW w:w="120" w:type="dxa"/>
            <w:vAlign w:val="bottom"/>
            <w:tcBorders>
              <w:bottom w:val="single" w:sz="8" w:color="auto"/>
            </w:tcBorders>
            <w:gridSpan w:val="2"/>
          </w:tcPr>
          <w:p>
            <w:pPr>
              <w:jc w:val="right"/>
              <w:spacing w:after="0"/>
              <w:rPr>
                <w:rFonts w:ascii="Arial" w:cs="Arial" w:eastAsia="Arial" w:hAnsi="Arial"/>
                <w:sz w:val="12"/>
                <w:szCs w:val="12"/>
                <w:color w:val="auto"/>
                <w:w w:val="74"/>
              </w:rPr>
            </w:pPr>
            <w:hyperlink w:anchor="page281">
              <w:r>
                <w:rPr>
                  <w:rFonts w:ascii="Arial" w:cs="Arial" w:eastAsia="Arial" w:hAnsi="Arial"/>
                  <w:sz w:val="12"/>
                  <w:szCs w:val="12"/>
                  <w:color w:val="auto"/>
                  <w:w w:val="74"/>
                </w:rPr>
                <w:t>59</w:t>
              </w:r>
            </w:hyperlink>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700" w:type="dxa"/>
            <w:vAlign w:val="bottom"/>
          </w:tcPr>
          <w:p>
            <w:pPr>
              <w:spacing w:after="0"/>
              <w:rPr>
                <w:sz w:val="12"/>
                <w:szCs w:val="12"/>
                <w:color w:val="auto"/>
              </w:rPr>
            </w:pPr>
          </w:p>
        </w:tc>
      </w:tr>
      <w:tr>
        <w:trPr>
          <w:trHeight w:val="151"/>
        </w:trPr>
        <w:tc>
          <w:tcPr>
            <w:tcW w:w="320" w:type="dxa"/>
            <w:vAlign w:val="bottom"/>
          </w:tcPr>
          <w:p>
            <w:pPr>
              <w:spacing w:after="0"/>
              <w:rPr>
                <w:sz w:val="20"/>
                <w:szCs w:val="20"/>
                <w:color w:val="auto"/>
              </w:rPr>
            </w:pPr>
            <w:r>
              <w:rPr>
                <w:rFonts w:ascii="Arial" w:cs="Arial" w:eastAsia="Arial" w:hAnsi="Arial"/>
                <w:sz w:val="12"/>
                <w:szCs w:val="12"/>
                <w:color w:val="auto"/>
              </w:rPr>
              <w:t>18.2</w:t>
            </w:r>
          </w:p>
        </w:tc>
        <w:tc>
          <w:tcPr>
            <w:tcW w:w="3020" w:type="dxa"/>
            <w:vAlign w:val="bottom"/>
            <w:gridSpan w:val="4"/>
          </w:tcPr>
          <w:p>
            <w:pPr>
              <w:spacing w:after="0"/>
              <w:rPr>
                <w:sz w:val="13"/>
                <w:szCs w:val="13"/>
                <w:color w:val="auto"/>
              </w:rPr>
            </w:pPr>
          </w:p>
        </w:tc>
        <w:tc>
          <w:tcPr>
            <w:tcW w:w="120" w:type="dxa"/>
            <w:vAlign w:val="bottom"/>
            <w:tcBorders>
              <w:bottom w:val="single" w:sz="8" w:color="auto"/>
            </w:tcBorders>
            <w:gridSpan w:val="2"/>
          </w:tcPr>
          <w:p>
            <w:pPr>
              <w:jc w:val="right"/>
              <w:spacing w:after="0"/>
              <w:rPr>
                <w:rFonts w:ascii="Arial" w:cs="Arial" w:eastAsia="Arial" w:hAnsi="Arial"/>
                <w:sz w:val="12"/>
                <w:szCs w:val="12"/>
                <w:color w:val="auto"/>
                <w:w w:val="74"/>
              </w:rPr>
            </w:pPr>
            <w:hyperlink w:anchor="page281">
              <w:r>
                <w:rPr>
                  <w:rFonts w:ascii="Arial" w:cs="Arial" w:eastAsia="Arial" w:hAnsi="Arial"/>
                  <w:sz w:val="12"/>
                  <w:szCs w:val="12"/>
                  <w:color w:val="auto"/>
                  <w:w w:val="74"/>
                </w:rPr>
                <w:t>59</w:t>
              </w:r>
            </w:hyperlink>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700" w:type="dxa"/>
            <w:vAlign w:val="bottom"/>
          </w:tcPr>
          <w:p>
            <w:pPr>
              <w:spacing w:after="0"/>
              <w:rPr>
                <w:sz w:val="13"/>
                <w:szCs w:val="13"/>
                <w:color w:val="auto"/>
              </w:rPr>
            </w:pPr>
          </w:p>
        </w:tc>
      </w:tr>
      <w:tr>
        <w:trPr>
          <w:trHeight w:val="151"/>
        </w:trPr>
        <w:tc>
          <w:tcPr>
            <w:tcW w:w="320" w:type="dxa"/>
            <w:vAlign w:val="bottom"/>
          </w:tcPr>
          <w:p>
            <w:pPr>
              <w:spacing w:after="0"/>
              <w:rPr>
                <w:sz w:val="20"/>
                <w:szCs w:val="20"/>
                <w:color w:val="auto"/>
              </w:rPr>
            </w:pPr>
            <w:r>
              <w:rPr>
                <w:rFonts w:ascii="Arial" w:cs="Arial" w:eastAsia="Arial" w:hAnsi="Arial"/>
                <w:sz w:val="12"/>
                <w:szCs w:val="12"/>
                <w:color w:val="auto"/>
              </w:rPr>
              <w:t>18.3</w:t>
            </w:r>
          </w:p>
        </w:tc>
        <w:tc>
          <w:tcPr>
            <w:tcW w:w="3020" w:type="dxa"/>
            <w:vAlign w:val="bottom"/>
            <w:gridSpan w:val="4"/>
          </w:tcPr>
          <w:p>
            <w:pPr>
              <w:spacing w:after="0"/>
              <w:rPr>
                <w:sz w:val="13"/>
                <w:szCs w:val="13"/>
                <w:color w:val="auto"/>
              </w:rPr>
            </w:pPr>
          </w:p>
        </w:tc>
        <w:tc>
          <w:tcPr>
            <w:tcW w:w="120" w:type="dxa"/>
            <w:vAlign w:val="bottom"/>
            <w:tcBorders>
              <w:bottom w:val="single" w:sz="8" w:color="auto"/>
            </w:tcBorders>
            <w:gridSpan w:val="2"/>
          </w:tcPr>
          <w:p>
            <w:pPr>
              <w:jc w:val="right"/>
              <w:spacing w:after="0"/>
              <w:rPr>
                <w:rFonts w:ascii="Arial" w:cs="Arial" w:eastAsia="Arial" w:hAnsi="Arial"/>
                <w:sz w:val="12"/>
                <w:szCs w:val="12"/>
                <w:color w:val="auto"/>
                <w:w w:val="74"/>
              </w:rPr>
            </w:pPr>
            <w:hyperlink w:anchor="page281">
              <w:r>
                <w:rPr>
                  <w:rFonts w:ascii="Arial" w:cs="Arial" w:eastAsia="Arial" w:hAnsi="Arial"/>
                  <w:sz w:val="12"/>
                  <w:szCs w:val="12"/>
                  <w:color w:val="auto"/>
                  <w:w w:val="74"/>
                </w:rPr>
                <w:t>59</w:t>
              </w:r>
            </w:hyperlink>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700" w:type="dxa"/>
            <w:vAlign w:val="bottom"/>
          </w:tcPr>
          <w:p>
            <w:pPr>
              <w:spacing w:after="0"/>
              <w:rPr>
                <w:sz w:val="13"/>
                <w:szCs w:val="13"/>
                <w:color w:val="auto"/>
              </w:rPr>
            </w:pPr>
          </w:p>
        </w:tc>
      </w:tr>
      <w:tr>
        <w:trPr>
          <w:trHeight w:val="151"/>
        </w:trPr>
        <w:tc>
          <w:tcPr>
            <w:tcW w:w="320" w:type="dxa"/>
            <w:vAlign w:val="bottom"/>
          </w:tcPr>
          <w:p>
            <w:pPr>
              <w:spacing w:after="0"/>
              <w:rPr>
                <w:sz w:val="20"/>
                <w:szCs w:val="20"/>
                <w:color w:val="auto"/>
              </w:rPr>
            </w:pPr>
            <w:r>
              <w:rPr>
                <w:rFonts w:ascii="Arial" w:cs="Arial" w:eastAsia="Arial" w:hAnsi="Arial"/>
                <w:sz w:val="12"/>
                <w:szCs w:val="12"/>
                <w:color w:val="auto"/>
              </w:rPr>
              <w:t>18.4</w:t>
            </w:r>
          </w:p>
        </w:tc>
        <w:tc>
          <w:tcPr>
            <w:tcW w:w="3020" w:type="dxa"/>
            <w:vAlign w:val="bottom"/>
            <w:gridSpan w:val="4"/>
          </w:tcPr>
          <w:p>
            <w:pPr>
              <w:spacing w:after="0"/>
              <w:rPr>
                <w:sz w:val="13"/>
                <w:szCs w:val="13"/>
                <w:color w:val="auto"/>
              </w:rPr>
            </w:pPr>
          </w:p>
        </w:tc>
        <w:tc>
          <w:tcPr>
            <w:tcW w:w="120" w:type="dxa"/>
            <w:vAlign w:val="bottom"/>
            <w:tcBorders>
              <w:bottom w:val="single" w:sz="8" w:color="auto"/>
            </w:tcBorders>
            <w:gridSpan w:val="2"/>
          </w:tcPr>
          <w:p>
            <w:pPr>
              <w:jc w:val="right"/>
              <w:spacing w:after="0"/>
              <w:rPr>
                <w:rFonts w:ascii="Arial" w:cs="Arial" w:eastAsia="Arial" w:hAnsi="Arial"/>
                <w:sz w:val="12"/>
                <w:szCs w:val="12"/>
                <w:color w:val="auto"/>
                <w:w w:val="74"/>
              </w:rPr>
            </w:pPr>
            <w:hyperlink w:anchor="page281">
              <w:r>
                <w:rPr>
                  <w:rFonts w:ascii="Arial" w:cs="Arial" w:eastAsia="Arial" w:hAnsi="Arial"/>
                  <w:sz w:val="12"/>
                  <w:szCs w:val="12"/>
                  <w:color w:val="auto"/>
                  <w:w w:val="74"/>
                </w:rPr>
                <w:t>59</w:t>
              </w:r>
            </w:hyperlink>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700" w:type="dxa"/>
            <w:vAlign w:val="bottom"/>
          </w:tcPr>
          <w:p>
            <w:pPr>
              <w:spacing w:after="0"/>
              <w:rPr>
                <w:sz w:val="13"/>
                <w:szCs w:val="13"/>
                <w:color w:val="auto"/>
              </w:rPr>
            </w:pPr>
          </w:p>
        </w:tc>
      </w:tr>
      <w:tr>
        <w:trPr>
          <w:trHeight w:val="151"/>
        </w:trPr>
        <w:tc>
          <w:tcPr>
            <w:tcW w:w="320" w:type="dxa"/>
            <w:vAlign w:val="bottom"/>
          </w:tcPr>
          <w:p>
            <w:pPr>
              <w:spacing w:after="0"/>
              <w:rPr>
                <w:sz w:val="20"/>
                <w:szCs w:val="20"/>
                <w:color w:val="auto"/>
              </w:rPr>
            </w:pPr>
            <w:r>
              <w:rPr>
                <w:rFonts w:ascii="Arial" w:cs="Arial" w:eastAsia="Arial" w:hAnsi="Arial"/>
                <w:sz w:val="12"/>
                <w:szCs w:val="12"/>
                <w:color w:val="auto"/>
              </w:rPr>
              <w:t>18.5</w:t>
            </w:r>
          </w:p>
        </w:tc>
        <w:tc>
          <w:tcPr>
            <w:tcW w:w="3020" w:type="dxa"/>
            <w:vAlign w:val="bottom"/>
            <w:gridSpan w:val="4"/>
          </w:tcPr>
          <w:p>
            <w:pPr>
              <w:spacing w:after="0"/>
              <w:rPr>
                <w:sz w:val="13"/>
                <w:szCs w:val="13"/>
                <w:color w:val="auto"/>
              </w:rPr>
            </w:pPr>
          </w:p>
        </w:tc>
        <w:tc>
          <w:tcPr>
            <w:tcW w:w="120" w:type="dxa"/>
            <w:vAlign w:val="bottom"/>
            <w:tcBorders>
              <w:bottom w:val="single" w:sz="8" w:color="auto"/>
            </w:tcBorders>
            <w:gridSpan w:val="2"/>
          </w:tcPr>
          <w:p>
            <w:pPr>
              <w:jc w:val="right"/>
              <w:spacing w:after="0"/>
              <w:rPr>
                <w:rFonts w:ascii="Arial" w:cs="Arial" w:eastAsia="Arial" w:hAnsi="Arial"/>
                <w:sz w:val="12"/>
                <w:szCs w:val="12"/>
                <w:color w:val="auto"/>
                <w:w w:val="74"/>
              </w:rPr>
            </w:pPr>
            <w:hyperlink w:anchor="page281">
              <w:r>
                <w:rPr>
                  <w:rFonts w:ascii="Arial" w:cs="Arial" w:eastAsia="Arial" w:hAnsi="Arial"/>
                  <w:sz w:val="12"/>
                  <w:szCs w:val="12"/>
                  <w:color w:val="auto"/>
                  <w:w w:val="74"/>
                </w:rPr>
                <w:t>59</w:t>
              </w:r>
            </w:hyperlink>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700" w:type="dxa"/>
            <w:vAlign w:val="bottom"/>
          </w:tcPr>
          <w:p>
            <w:pPr>
              <w:spacing w:after="0"/>
              <w:rPr>
                <w:sz w:val="13"/>
                <w:szCs w:val="13"/>
                <w:color w:val="auto"/>
              </w:rPr>
            </w:pPr>
          </w:p>
        </w:tc>
      </w:tr>
      <w:tr>
        <w:trPr>
          <w:trHeight w:val="151"/>
        </w:trPr>
        <w:tc>
          <w:tcPr>
            <w:tcW w:w="320" w:type="dxa"/>
            <w:vAlign w:val="bottom"/>
          </w:tcPr>
          <w:p>
            <w:pPr>
              <w:spacing w:after="0"/>
              <w:rPr>
                <w:sz w:val="20"/>
                <w:szCs w:val="20"/>
                <w:color w:val="auto"/>
              </w:rPr>
            </w:pPr>
            <w:r>
              <w:rPr>
                <w:rFonts w:ascii="Arial" w:cs="Arial" w:eastAsia="Arial" w:hAnsi="Arial"/>
                <w:sz w:val="12"/>
                <w:szCs w:val="12"/>
                <w:color w:val="auto"/>
              </w:rPr>
              <w:t>18.6</w:t>
            </w:r>
          </w:p>
        </w:tc>
        <w:tc>
          <w:tcPr>
            <w:tcW w:w="3020" w:type="dxa"/>
            <w:vAlign w:val="bottom"/>
            <w:gridSpan w:val="4"/>
          </w:tcPr>
          <w:p>
            <w:pPr>
              <w:spacing w:after="0"/>
              <w:rPr>
                <w:sz w:val="13"/>
                <w:szCs w:val="13"/>
                <w:color w:val="auto"/>
              </w:rPr>
            </w:pPr>
          </w:p>
        </w:tc>
        <w:tc>
          <w:tcPr>
            <w:tcW w:w="120" w:type="dxa"/>
            <w:vAlign w:val="bottom"/>
            <w:tcBorders>
              <w:bottom w:val="single" w:sz="8" w:color="auto"/>
            </w:tcBorders>
            <w:gridSpan w:val="2"/>
          </w:tcPr>
          <w:p>
            <w:pPr>
              <w:jc w:val="right"/>
              <w:spacing w:after="0"/>
              <w:rPr>
                <w:rFonts w:ascii="Arial" w:cs="Arial" w:eastAsia="Arial" w:hAnsi="Arial"/>
                <w:sz w:val="12"/>
                <w:szCs w:val="12"/>
                <w:color w:val="auto"/>
                <w:w w:val="74"/>
              </w:rPr>
            </w:pPr>
            <w:hyperlink w:anchor="page282">
              <w:r>
                <w:rPr>
                  <w:rFonts w:ascii="Arial" w:cs="Arial" w:eastAsia="Arial" w:hAnsi="Arial"/>
                  <w:sz w:val="12"/>
                  <w:szCs w:val="12"/>
                  <w:color w:val="auto"/>
                  <w:w w:val="74"/>
                </w:rPr>
                <w:t>60</w:t>
              </w:r>
            </w:hyperlink>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700" w:type="dxa"/>
            <w:vAlign w:val="bottom"/>
          </w:tcPr>
          <w:p>
            <w:pPr>
              <w:spacing w:after="0"/>
              <w:rPr>
                <w:sz w:val="13"/>
                <w:szCs w:val="13"/>
                <w:color w:val="auto"/>
              </w:rPr>
            </w:pPr>
          </w:p>
        </w:tc>
      </w:tr>
      <w:tr>
        <w:trPr>
          <w:trHeight w:val="151"/>
        </w:trPr>
        <w:tc>
          <w:tcPr>
            <w:tcW w:w="320" w:type="dxa"/>
            <w:vAlign w:val="bottom"/>
          </w:tcPr>
          <w:p>
            <w:pPr>
              <w:spacing w:after="0"/>
              <w:rPr>
                <w:sz w:val="20"/>
                <w:szCs w:val="20"/>
                <w:color w:val="auto"/>
              </w:rPr>
            </w:pPr>
            <w:r>
              <w:rPr>
                <w:rFonts w:ascii="Arial" w:cs="Arial" w:eastAsia="Arial" w:hAnsi="Arial"/>
                <w:sz w:val="12"/>
                <w:szCs w:val="12"/>
                <w:color w:val="auto"/>
              </w:rPr>
              <w:t>18.7</w:t>
            </w:r>
          </w:p>
        </w:tc>
        <w:tc>
          <w:tcPr>
            <w:tcW w:w="3020" w:type="dxa"/>
            <w:vAlign w:val="bottom"/>
            <w:gridSpan w:val="4"/>
          </w:tcPr>
          <w:p>
            <w:pPr>
              <w:spacing w:after="0"/>
              <w:rPr>
                <w:sz w:val="13"/>
                <w:szCs w:val="13"/>
                <w:color w:val="auto"/>
              </w:rPr>
            </w:pPr>
          </w:p>
        </w:tc>
        <w:tc>
          <w:tcPr>
            <w:tcW w:w="120" w:type="dxa"/>
            <w:vAlign w:val="bottom"/>
            <w:tcBorders>
              <w:bottom w:val="single" w:sz="8" w:color="auto"/>
            </w:tcBorders>
            <w:gridSpan w:val="2"/>
          </w:tcPr>
          <w:p>
            <w:pPr>
              <w:jc w:val="right"/>
              <w:spacing w:after="0"/>
              <w:rPr>
                <w:rFonts w:ascii="Arial" w:cs="Arial" w:eastAsia="Arial" w:hAnsi="Arial"/>
                <w:sz w:val="12"/>
                <w:szCs w:val="12"/>
                <w:color w:val="auto"/>
                <w:w w:val="74"/>
              </w:rPr>
            </w:pPr>
            <w:hyperlink w:anchor="page283">
              <w:r>
                <w:rPr>
                  <w:rFonts w:ascii="Arial" w:cs="Arial" w:eastAsia="Arial" w:hAnsi="Arial"/>
                  <w:sz w:val="12"/>
                  <w:szCs w:val="12"/>
                  <w:color w:val="auto"/>
                  <w:w w:val="74"/>
                </w:rPr>
                <w:t>61</w:t>
              </w:r>
            </w:hyperlink>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700" w:type="dxa"/>
            <w:vAlign w:val="bottom"/>
          </w:tcPr>
          <w:p>
            <w:pPr>
              <w:spacing w:after="0"/>
              <w:rPr>
                <w:sz w:val="13"/>
                <w:szCs w:val="13"/>
                <w:color w:val="auto"/>
              </w:rPr>
            </w:pPr>
          </w:p>
        </w:tc>
      </w:tr>
      <w:tr>
        <w:trPr>
          <w:trHeight w:val="151"/>
        </w:trPr>
        <w:tc>
          <w:tcPr>
            <w:tcW w:w="320" w:type="dxa"/>
            <w:vAlign w:val="bottom"/>
          </w:tcPr>
          <w:p>
            <w:pPr>
              <w:spacing w:after="0"/>
              <w:rPr>
                <w:sz w:val="20"/>
                <w:szCs w:val="20"/>
                <w:color w:val="auto"/>
              </w:rPr>
            </w:pPr>
            <w:r>
              <w:rPr>
                <w:rFonts w:ascii="Arial" w:cs="Arial" w:eastAsia="Arial" w:hAnsi="Arial"/>
                <w:sz w:val="12"/>
                <w:szCs w:val="12"/>
                <w:color w:val="auto"/>
              </w:rPr>
              <w:t>18.8</w:t>
            </w:r>
          </w:p>
        </w:tc>
        <w:tc>
          <w:tcPr>
            <w:tcW w:w="3020" w:type="dxa"/>
            <w:vAlign w:val="bottom"/>
            <w:gridSpan w:val="4"/>
          </w:tcPr>
          <w:p>
            <w:pPr>
              <w:spacing w:after="0"/>
              <w:rPr>
                <w:sz w:val="13"/>
                <w:szCs w:val="13"/>
                <w:color w:val="auto"/>
              </w:rPr>
            </w:pPr>
          </w:p>
        </w:tc>
        <w:tc>
          <w:tcPr>
            <w:tcW w:w="120" w:type="dxa"/>
            <w:vAlign w:val="bottom"/>
            <w:tcBorders>
              <w:bottom w:val="single" w:sz="8" w:color="auto"/>
            </w:tcBorders>
            <w:gridSpan w:val="2"/>
          </w:tcPr>
          <w:p>
            <w:pPr>
              <w:jc w:val="right"/>
              <w:spacing w:after="0"/>
              <w:rPr>
                <w:rFonts w:ascii="Arial" w:cs="Arial" w:eastAsia="Arial" w:hAnsi="Arial"/>
                <w:sz w:val="12"/>
                <w:szCs w:val="12"/>
                <w:color w:val="auto"/>
                <w:w w:val="74"/>
              </w:rPr>
            </w:pPr>
            <w:hyperlink w:anchor="page283">
              <w:r>
                <w:rPr>
                  <w:rFonts w:ascii="Arial" w:cs="Arial" w:eastAsia="Arial" w:hAnsi="Arial"/>
                  <w:sz w:val="12"/>
                  <w:szCs w:val="12"/>
                  <w:color w:val="auto"/>
                  <w:w w:val="74"/>
                </w:rPr>
                <w:t>61</w:t>
              </w:r>
            </w:hyperlink>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700" w:type="dxa"/>
            <w:vAlign w:val="bottom"/>
          </w:tcPr>
          <w:p>
            <w:pPr>
              <w:spacing w:after="0"/>
              <w:rPr>
                <w:sz w:val="13"/>
                <w:szCs w:val="13"/>
                <w:color w:val="auto"/>
              </w:rPr>
            </w:pPr>
          </w:p>
        </w:tc>
      </w:tr>
      <w:tr>
        <w:trPr>
          <w:trHeight w:val="151"/>
        </w:trPr>
        <w:tc>
          <w:tcPr>
            <w:tcW w:w="320" w:type="dxa"/>
            <w:vAlign w:val="bottom"/>
          </w:tcPr>
          <w:p>
            <w:pPr>
              <w:spacing w:after="0"/>
              <w:rPr>
                <w:sz w:val="20"/>
                <w:szCs w:val="20"/>
                <w:color w:val="auto"/>
              </w:rPr>
            </w:pPr>
            <w:r>
              <w:rPr>
                <w:rFonts w:ascii="Arial" w:cs="Arial" w:eastAsia="Arial" w:hAnsi="Arial"/>
                <w:sz w:val="12"/>
                <w:szCs w:val="12"/>
                <w:color w:val="auto"/>
              </w:rPr>
              <w:t>18.9</w:t>
            </w:r>
          </w:p>
        </w:tc>
        <w:tc>
          <w:tcPr>
            <w:tcW w:w="3140" w:type="dxa"/>
            <w:vAlign w:val="bottom"/>
            <w:gridSpan w:val="6"/>
          </w:tcPr>
          <w:p>
            <w:pPr>
              <w:jc w:val="right"/>
              <w:spacing w:after="0"/>
              <w:rPr>
                <w:rFonts w:ascii="Arial" w:cs="Arial" w:eastAsia="Arial" w:hAnsi="Arial"/>
                <w:sz w:val="12"/>
                <w:szCs w:val="12"/>
                <w:color w:val="auto"/>
              </w:rPr>
            </w:pPr>
            <w:hyperlink w:anchor="page284">
              <w:r>
                <w:rPr>
                  <w:rFonts w:ascii="Arial" w:cs="Arial" w:eastAsia="Arial" w:hAnsi="Arial"/>
                  <w:sz w:val="12"/>
                  <w:szCs w:val="12"/>
                  <w:color w:val="auto"/>
                </w:rPr>
                <w:t>62</w:t>
              </w:r>
            </w:hyperlink>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700" w:type="dxa"/>
            <w:vAlign w:val="bottom"/>
          </w:tcPr>
          <w:p>
            <w:pPr>
              <w:spacing w:after="0"/>
              <w:rPr>
                <w:sz w:val="13"/>
                <w:szCs w:val="13"/>
                <w:color w:val="auto"/>
              </w:rPr>
            </w:pPr>
          </w:p>
        </w:tc>
      </w:tr>
      <w:tr>
        <w:trPr>
          <w:trHeight w:val="151"/>
        </w:trPr>
        <w:tc>
          <w:tcPr>
            <w:tcW w:w="320" w:type="dxa"/>
            <w:vAlign w:val="bottom"/>
          </w:tcPr>
          <w:p>
            <w:pPr>
              <w:spacing w:after="0"/>
              <w:rPr>
                <w:sz w:val="20"/>
                <w:szCs w:val="20"/>
                <w:color w:val="auto"/>
              </w:rPr>
            </w:pPr>
            <w:r>
              <w:rPr>
                <w:rFonts w:ascii="Arial" w:cs="Arial" w:eastAsia="Arial" w:hAnsi="Arial"/>
                <w:sz w:val="12"/>
                <w:szCs w:val="12"/>
                <w:color w:val="auto"/>
                <w:w w:val="99"/>
              </w:rPr>
              <w:t>18.10</w:t>
            </w:r>
          </w:p>
        </w:tc>
        <w:tc>
          <w:tcPr>
            <w:tcW w:w="3040" w:type="dxa"/>
            <w:vAlign w:val="bottom"/>
            <w:gridSpan w:val="5"/>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Borders>
              <w:bottom w:val="single" w:sz="8" w:color="auto"/>
            </w:tcBorders>
            <w:gridSpan w:val="2"/>
          </w:tcPr>
          <w:p>
            <w:pPr>
              <w:jc w:val="right"/>
              <w:spacing w:after="0"/>
              <w:rPr>
                <w:rFonts w:ascii="Arial" w:cs="Arial" w:eastAsia="Arial" w:hAnsi="Arial"/>
                <w:sz w:val="12"/>
                <w:szCs w:val="12"/>
                <w:color w:val="auto"/>
                <w:w w:val="89"/>
              </w:rPr>
            </w:pPr>
            <w:hyperlink w:anchor="page284">
              <w:r>
                <w:rPr>
                  <w:rFonts w:ascii="Arial" w:cs="Arial" w:eastAsia="Arial" w:hAnsi="Arial"/>
                  <w:sz w:val="12"/>
                  <w:szCs w:val="12"/>
                  <w:color w:val="auto"/>
                  <w:w w:val="89"/>
                </w:rPr>
                <w:t>62</w:t>
              </w:r>
            </w:hyperlink>
          </w:p>
        </w:tc>
        <w:tc>
          <w:tcPr>
            <w:tcW w:w="5700" w:type="dxa"/>
            <w:vAlign w:val="bottom"/>
          </w:tcPr>
          <w:p>
            <w:pPr>
              <w:spacing w:after="0"/>
              <w:rPr>
                <w:sz w:val="13"/>
                <w:szCs w:val="13"/>
                <w:color w:val="auto"/>
              </w:rPr>
            </w:pPr>
          </w:p>
        </w:tc>
      </w:tr>
      <w:tr>
        <w:trPr>
          <w:trHeight w:val="151"/>
        </w:trPr>
        <w:tc>
          <w:tcPr>
            <w:tcW w:w="320" w:type="dxa"/>
            <w:vAlign w:val="bottom"/>
          </w:tcPr>
          <w:p>
            <w:pPr>
              <w:spacing w:after="0"/>
              <w:rPr>
                <w:sz w:val="20"/>
                <w:szCs w:val="20"/>
                <w:color w:val="auto"/>
              </w:rPr>
            </w:pPr>
            <w:r>
              <w:rPr>
                <w:rFonts w:ascii="Arial" w:cs="Arial" w:eastAsia="Arial" w:hAnsi="Arial"/>
                <w:sz w:val="12"/>
                <w:szCs w:val="12"/>
                <w:color w:val="auto"/>
                <w:w w:val="99"/>
              </w:rPr>
              <w:t>18.11</w:t>
            </w:r>
          </w:p>
        </w:tc>
        <w:tc>
          <w:tcPr>
            <w:tcW w:w="3580" w:type="dxa"/>
            <w:vAlign w:val="bottom"/>
            <w:gridSpan w:val="7"/>
          </w:tcPr>
          <w:p>
            <w:pPr>
              <w:spacing w:after="0"/>
              <w:rPr>
                <w:sz w:val="13"/>
                <w:szCs w:val="13"/>
                <w:color w:val="auto"/>
              </w:rPr>
            </w:pPr>
          </w:p>
        </w:tc>
        <w:tc>
          <w:tcPr>
            <w:tcW w:w="140" w:type="dxa"/>
            <w:vAlign w:val="bottom"/>
            <w:tcBorders>
              <w:bottom w:val="single" w:sz="8" w:color="auto"/>
            </w:tcBorders>
            <w:gridSpan w:val="2"/>
          </w:tcPr>
          <w:p>
            <w:pPr>
              <w:jc w:val="right"/>
              <w:spacing w:after="0"/>
              <w:rPr>
                <w:rFonts w:ascii="Arial" w:cs="Arial" w:eastAsia="Arial" w:hAnsi="Arial"/>
                <w:sz w:val="12"/>
                <w:szCs w:val="12"/>
                <w:color w:val="auto"/>
                <w:w w:val="89"/>
              </w:rPr>
            </w:pPr>
            <w:hyperlink w:anchor="page284">
              <w:r>
                <w:rPr>
                  <w:rFonts w:ascii="Arial" w:cs="Arial" w:eastAsia="Arial" w:hAnsi="Arial"/>
                  <w:sz w:val="12"/>
                  <w:szCs w:val="12"/>
                  <w:color w:val="auto"/>
                  <w:w w:val="89"/>
                </w:rPr>
                <w:t>62</w:t>
              </w:r>
            </w:hyperlink>
          </w:p>
        </w:tc>
        <w:tc>
          <w:tcPr>
            <w:tcW w:w="5700" w:type="dxa"/>
            <w:vAlign w:val="bottom"/>
          </w:tcPr>
          <w:p>
            <w:pPr>
              <w:spacing w:after="0"/>
              <w:rPr>
                <w:sz w:val="13"/>
                <w:szCs w:val="13"/>
                <w:color w:val="auto"/>
              </w:rPr>
            </w:pPr>
          </w:p>
        </w:tc>
      </w:tr>
      <w:tr>
        <w:trPr>
          <w:trHeight w:val="151"/>
        </w:trPr>
        <w:tc>
          <w:tcPr>
            <w:tcW w:w="320" w:type="dxa"/>
            <w:vAlign w:val="bottom"/>
          </w:tcPr>
          <w:p>
            <w:pPr>
              <w:spacing w:after="0"/>
              <w:rPr>
                <w:sz w:val="20"/>
                <w:szCs w:val="20"/>
                <w:color w:val="auto"/>
              </w:rPr>
            </w:pPr>
            <w:r>
              <w:rPr>
                <w:rFonts w:ascii="Arial" w:cs="Arial" w:eastAsia="Arial" w:hAnsi="Arial"/>
                <w:sz w:val="12"/>
                <w:szCs w:val="12"/>
                <w:color w:val="auto"/>
                <w:w w:val="99"/>
              </w:rPr>
              <w:t>18.12</w:t>
            </w:r>
          </w:p>
        </w:tc>
        <w:tc>
          <w:tcPr>
            <w:tcW w:w="3580" w:type="dxa"/>
            <w:vAlign w:val="bottom"/>
            <w:gridSpan w:val="7"/>
          </w:tcPr>
          <w:p>
            <w:pPr>
              <w:spacing w:after="0"/>
              <w:rPr>
                <w:sz w:val="13"/>
                <w:szCs w:val="13"/>
                <w:color w:val="auto"/>
              </w:rPr>
            </w:pPr>
          </w:p>
        </w:tc>
        <w:tc>
          <w:tcPr>
            <w:tcW w:w="140" w:type="dxa"/>
            <w:vAlign w:val="bottom"/>
            <w:tcBorders>
              <w:bottom w:val="single" w:sz="8" w:color="auto"/>
            </w:tcBorders>
            <w:gridSpan w:val="2"/>
          </w:tcPr>
          <w:p>
            <w:pPr>
              <w:jc w:val="right"/>
              <w:spacing w:after="0"/>
              <w:rPr>
                <w:rFonts w:ascii="Arial" w:cs="Arial" w:eastAsia="Arial" w:hAnsi="Arial"/>
                <w:sz w:val="12"/>
                <w:szCs w:val="12"/>
                <w:color w:val="auto"/>
                <w:w w:val="89"/>
              </w:rPr>
            </w:pPr>
            <w:hyperlink w:anchor="page284">
              <w:r>
                <w:rPr>
                  <w:rFonts w:ascii="Arial" w:cs="Arial" w:eastAsia="Arial" w:hAnsi="Arial"/>
                  <w:sz w:val="12"/>
                  <w:szCs w:val="12"/>
                  <w:color w:val="auto"/>
                  <w:w w:val="89"/>
                </w:rPr>
                <w:t>62</w:t>
              </w:r>
            </w:hyperlink>
          </w:p>
        </w:tc>
        <w:tc>
          <w:tcPr>
            <w:tcW w:w="5700" w:type="dxa"/>
            <w:vAlign w:val="bottom"/>
          </w:tcPr>
          <w:p>
            <w:pPr>
              <w:spacing w:after="0"/>
              <w:rPr>
                <w:sz w:val="13"/>
                <w:szCs w:val="13"/>
                <w:color w:val="auto"/>
              </w:rPr>
            </w:pPr>
          </w:p>
        </w:tc>
      </w:tr>
      <w:tr>
        <w:trPr>
          <w:trHeight w:val="151"/>
        </w:trPr>
        <w:tc>
          <w:tcPr>
            <w:tcW w:w="320" w:type="dxa"/>
            <w:vAlign w:val="bottom"/>
          </w:tcPr>
          <w:p>
            <w:pPr>
              <w:spacing w:after="0"/>
              <w:rPr>
                <w:sz w:val="20"/>
                <w:szCs w:val="20"/>
                <w:color w:val="auto"/>
              </w:rPr>
            </w:pPr>
            <w:r>
              <w:rPr>
                <w:rFonts w:ascii="Arial" w:cs="Arial" w:eastAsia="Arial" w:hAnsi="Arial"/>
                <w:sz w:val="12"/>
                <w:szCs w:val="12"/>
                <w:color w:val="auto"/>
                <w:w w:val="99"/>
              </w:rPr>
              <w:t>18.13</w:t>
            </w:r>
          </w:p>
        </w:tc>
        <w:tc>
          <w:tcPr>
            <w:tcW w:w="3580" w:type="dxa"/>
            <w:vAlign w:val="bottom"/>
            <w:gridSpan w:val="7"/>
          </w:tcPr>
          <w:p>
            <w:pPr>
              <w:spacing w:after="0"/>
              <w:rPr>
                <w:sz w:val="13"/>
                <w:szCs w:val="13"/>
                <w:color w:val="auto"/>
              </w:rPr>
            </w:pPr>
          </w:p>
        </w:tc>
        <w:tc>
          <w:tcPr>
            <w:tcW w:w="140" w:type="dxa"/>
            <w:vAlign w:val="bottom"/>
            <w:tcBorders>
              <w:bottom w:val="single" w:sz="8" w:color="auto"/>
            </w:tcBorders>
            <w:gridSpan w:val="2"/>
          </w:tcPr>
          <w:p>
            <w:pPr>
              <w:jc w:val="right"/>
              <w:spacing w:after="0"/>
              <w:rPr>
                <w:rFonts w:ascii="Arial" w:cs="Arial" w:eastAsia="Arial" w:hAnsi="Arial"/>
                <w:sz w:val="12"/>
                <w:szCs w:val="12"/>
                <w:color w:val="auto"/>
                <w:w w:val="89"/>
              </w:rPr>
            </w:pPr>
            <w:hyperlink w:anchor="page284">
              <w:r>
                <w:rPr>
                  <w:rFonts w:ascii="Arial" w:cs="Arial" w:eastAsia="Arial" w:hAnsi="Arial"/>
                  <w:sz w:val="12"/>
                  <w:szCs w:val="12"/>
                  <w:color w:val="auto"/>
                  <w:w w:val="89"/>
                </w:rPr>
                <w:t>62</w:t>
              </w:r>
            </w:hyperlink>
          </w:p>
        </w:tc>
        <w:tc>
          <w:tcPr>
            <w:tcW w:w="5700" w:type="dxa"/>
            <w:vAlign w:val="bottom"/>
          </w:tcPr>
          <w:p>
            <w:pPr>
              <w:spacing w:after="0"/>
              <w:rPr>
                <w:sz w:val="13"/>
                <w:szCs w:val="13"/>
                <w:color w:val="auto"/>
              </w:rPr>
            </w:pPr>
          </w:p>
        </w:tc>
      </w:tr>
      <w:tr>
        <w:trPr>
          <w:trHeight w:val="151"/>
        </w:trPr>
        <w:tc>
          <w:tcPr>
            <w:tcW w:w="320" w:type="dxa"/>
            <w:vAlign w:val="bottom"/>
          </w:tcPr>
          <w:p>
            <w:pPr>
              <w:spacing w:after="0"/>
              <w:rPr>
                <w:sz w:val="20"/>
                <w:szCs w:val="20"/>
                <w:color w:val="auto"/>
              </w:rPr>
            </w:pPr>
            <w:r>
              <w:rPr>
                <w:rFonts w:ascii="Arial" w:cs="Arial" w:eastAsia="Arial" w:hAnsi="Arial"/>
                <w:sz w:val="12"/>
                <w:szCs w:val="12"/>
                <w:color w:val="auto"/>
                <w:w w:val="99"/>
              </w:rPr>
              <w:t>18.14</w:t>
            </w:r>
          </w:p>
        </w:tc>
        <w:tc>
          <w:tcPr>
            <w:tcW w:w="3580" w:type="dxa"/>
            <w:vAlign w:val="bottom"/>
            <w:gridSpan w:val="7"/>
          </w:tcPr>
          <w:p>
            <w:pPr>
              <w:spacing w:after="0"/>
              <w:rPr>
                <w:sz w:val="13"/>
                <w:szCs w:val="13"/>
                <w:color w:val="auto"/>
              </w:rPr>
            </w:pPr>
          </w:p>
        </w:tc>
        <w:tc>
          <w:tcPr>
            <w:tcW w:w="140" w:type="dxa"/>
            <w:vAlign w:val="bottom"/>
            <w:tcBorders>
              <w:bottom w:val="single" w:sz="8" w:color="auto"/>
            </w:tcBorders>
            <w:gridSpan w:val="2"/>
          </w:tcPr>
          <w:p>
            <w:pPr>
              <w:jc w:val="right"/>
              <w:spacing w:after="0"/>
              <w:rPr>
                <w:rFonts w:ascii="Arial" w:cs="Arial" w:eastAsia="Arial" w:hAnsi="Arial"/>
                <w:sz w:val="12"/>
                <w:szCs w:val="12"/>
                <w:color w:val="auto"/>
                <w:w w:val="89"/>
              </w:rPr>
            </w:pPr>
            <w:hyperlink w:anchor="page284">
              <w:r>
                <w:rPr>
                  <w:rFonts w:ascii="Arial" w:cs="Arial" w:eastAsia="Arial" w:hAnsi="Arial"/>
                  <w:sz w:val="12"/>
                  <w:szCs w:val="12"/>
                  <w:color w:val="auto"/>
                  <w:w w:val="89"/>
                </w:rPr>
                <w:t>62</w:t>
              </w:r>
            </w:hyperlink>
          </w:p>
        </w:tc>
        <w:tc>
          <w:tcPr>
            <w:tcW w:w="5700" w:type="dxa"/>
            <w:vAlign w:val="bottom"/>
          </w:tcPr>
          <w:p>
            <w:pPr>
              <w:spacing w:after="0"/>
              <w:rPr>
                <w:sz w:val="13"/>
                <w:szCs w:val="13"/>
                <w:color w:val="auto"/>
              </w:rPr>
            </w:pPr>
          </w:p>
        </w:tc>
      </w:tr>
      <w:tr>
        <w:trPr>
          <w:trHeight w:val="151"/>
        </w:trPr>
        <w:tc>
          <w:tcPr>
            <w:tcW w:w="320" w:type="dxa"/>
            <w:vAlign w:val="bottom"/>
          </w:tcPr>
          <w:p>
            <w:pPr>
              <w:spacing w:after="0"/>
              <w:rPr>
                <w:sz w:val="20"/>
                <w:szCs w:val="20"/>
                <w:color w:val="auto"/>
              </w:rPr>
            </w:pPr>
            <w:r>
              <w:rPr>
                <w:rFonts w:ascii="Arial" w:cs="Arial" w:eastAsia="Arial" w:hAnsi="Arial"/>
                <w:sz w:val="12"/>
                <w:szCs w:val="12"/>
                <w:color w:val="auto"/>
                <w:w w:val="99"/>
              </w:rPr>
              <w:t>18.15</w:t>
            </w:r>
          </w:p>
        </w:tc>
        <w:tc>
          <w:tcPr>
            <w:tcW w:w="3580" w:type="dxa"/>
            <w:vAlign w:val="bottom"/>
            <w:gridSpan w:val="7"/>
          </w:tcPr>
          <w:p>
            <w:pPr>
              <w:spacing w:after="0"/>
              <w:rPr>
                <w:sz w:val="13"/>
                <w:szCs w:val="13"/>
                <w:color w:val="auto"/>
              </w:rPr>
            </w:pPr>
          </w:p>
        </w:tc>
        <w:tc>
          <w:tcPr>
            <w:tcW w:w="140" w:type="dxa"/>
            <w:vAlign w:val="bottom"/>
            <w:tcBorders>
              <w:bottom w:val="single" w:sz="8" w:color="auto"/>
            </w:tcBorders>
            <w:gridSpan w:val="2"/>
          </w:tcPr>
          <w:p>
            <w:pPr>
              <w:jc w:val="right"/>
              <w:spacing w:after="0"/>
              <w:rPr>
                <w:rFonts w:ascii="Arial" w:cs="Arial" w:eastAsia="Arial" w:hAnsi="Arial"/>
                <w:sz w:val="12"/>
                <w:szCs w:val="12"/>
                <w:color w:val="auto"/>
                <w:w w:val="89"/>
              </w:rPr>
            </w:pPr>
            <w:hyperlink w:anchor="page285">
              <w:r>
                <w:rPr>
                  <w:rFonts w:ascii="Arial" w:cs="Arial" w:eastAsia="Arial" w:hAnsi="Arial"/>
                  <w:sz w:val="12"/>
                  <w:szCs w:val="12"/>
                  <w:color w:val="auto"/>
                  <w:w w:val="89"/>
                </w:rPr>
                <w:t>63</w:t>
              </w:r>
            </w:hyperlink>
          </w:p>
        </w:tc>
        <w:tc>
          <w:tcPr>
            <w:tcW w:w="5700" w:type="dxa"/>
            <w:vAlign w:val="bottom"/>
          </w:tcPr>
          <w:p>
            <w:pPr>
              <w:spacing w:after="0"/>
              <w:rPr>
                <w:sz w:val="13"/>
                <w:szCs w:val="13"/>
                <w:color w:val="auto"/>
              </w:rPr>
            </w:pPr>
          </w:p>
        </w:tc>
      </w:tr>
      <w:tr>
        <w:trPr>
          <w:trHeight w:val="151"/>
        </w:trPr>
        <w:tc>
          <w:tcPr>
            <w:tcW w:w="320" w:type="dxa"/>
            <w:vAlign w:val="bottom"/>
          </w:tcPr>
          <w:p>
            <w:pPr>
              <w:spacing w:after="0"/>
              <w:rPr>
                <w:sz w:val="20"/>
                <w:szCs w:val="20"/>
                <w:color w:val="auto"/>
              </w:rPr>
            </w:pPr>
            <w:r>
              <w:rPr>
                <w:rFonts w:ascii="Arial" w:cs="Arial" w:eastAsia="Arial" w:hAnsi="Arial"/>
                <w:sz w:val="12"/>
                <w:szCs w:val="12"/>
                <w:color w:val="auto"/>
                <w:w w:val="99"/>
              </w:rPr>
              <w:t>18.16</w:t>
            </w:r>
          </w:p>
        </w:tc>
        <w:tc>
          <w:tcPr>
            <w:tcW w:w="3580" w:type="dxa"/>
            <w:vAlign w:val="bottom"/>
            <w:gridSpan w:val="7"/>
          </w:tcPr>
          <w:p>
            <w:pPr>
              <w:spacing w:after="0"/>
              <w:rPr>
                <w:sz w:val="13"/>
                <w:szCs w:val="13"/>
                <w:color w:val="auto"/>
              </w:rPr>
            </w:pPr>
          </w:p>
        </w:tc>
        <w:tc>
          <w:tcPr>
            <w:tcW w:w="140" w:type="dxa"/>
            <w:vAlign w:val="bottom"/>
            <w:tcBorders>
              <w:bottom w:val="single" w:sz="8" w:color="auto"/>
            </w:tcBorders>
            <w:gridSpan w:val="2"/>
          </w:tcPr>
          <w:p>
            <w:pPr>
              <w:jc w:val="right"/>
              <w:spacing w:after="0"/>
              <w:rPr>
                <w:rFonts w:ascii="Arial" w:cs="Arial" w:eastAsia="Arial" w:hAnsi="Arial"/>
                <w:sz w:val="12"/>
                <w:szCs w:val="12"/>
                <w:color w:val="auto"/>
                <w:w w:val="89"/>
              </w:rPr>
            </w:pPr>
            <w:hyperlink w:anchor="page285">
              <w:r>
                <w:rPr>
                  <w:rFonts w:ascii="Arial" w:cs="Arial" w:eastAsia="Arial" w:hAnsi="Arial"/>
                  <w:sz w:val="12"/>
                  <w:szCs w:val="12"/>
                  <w:color w:val="auto"/>
                  <w:w w:val="89"/>
                </w:rPr>
                <w:t>63</w:t>
              </w:r>
            </w:hyperlink>
          </w:p>
        </w:tc>
        <w:tc>
          <w:tcPr>
            <w:tcW w:w="5700" w:type="dxa"/>
            <w:vAlign w:val="bottom"/>
          </w:tcPr>
          <w:p>
            <w:pPr>
              <w:spacing w:after="0"/>
              <w:rPr>
                <w:sz w:val="13"/>
                <w:szCs w:val="13"/>
                <w:color w:val="auto"/>
              </w:rPr>
            </w:pPr>
          </w:p>
        </w:tc>
      </w:tr>
      <w:tr>
        <w:trPr>
          <w:trHeight w:val="151"/>
        </w:trPr>
        <w:tc>
          <w:tcPr>
            <w:tcW w:w="320" w:type="dxa"/>
            <w:vAlign w:val="bottom"/>
          </w:tcPr>
          <w:p>
            <w:pPr>
              <w:spacing w:after="0"/>
              <w:rPr>
                <w:sz w:val="20"/>
                <w:szCs w:val="20"/>
                <w:color w:val="auto"/>
              </w:rPr>
            </w:pPr>
            <w:r>
              <w:rPr>
                <w:rFonts w:ascii="Arial" w:cs="Arial" w:eastAsia="Arial" w:hAnsi="Arial"/>
                <w:sz w:val="12"/>
                <w:szCs w:val="12"/>
                <w:color w:val="auto"/>
                <w:w w:val="99"/>
              </w:rPr>
              <w:t>18.17</w:t>
            </w:r>
          </w:p>
        </w:tc>
        <w:tc>
          <w:tcPr>
            <w:tcW w:w="3580" w:type="dxa"/>
            <w:vAlign w:val="bottom"/>
            <w:gridSpan w:val="7"/>
          </w:tcPr>
          <w:p>
            <w:pPr>
              <w:spacing w:after="0"/>
              <w:rPr>
                <w:sz w:val="13"/>
                <w:szCs w:val="13"/>
                <w:color w:val="auto"/>
              </w:rPr>
            </w:pPr>
          </w:p>
        </w:tc>
        <w:tc>
          <w:tcPr>
            <w:tcW w:w="140" w:type="dxa"/>
            <w:vAlign w:val="bottom"/>
            <w:tcBorders>
              <w:bottom w:val="single" w:sz="8" w:color="auto"/>
            </w:tcBorders>
            <w:gridSpan w:val="2"/>
          </w:tcPr>
          <w:p>
            <w:pPr>
              <w:jc w:val="right"/>
              <w:spacing w:after="0"/>
              <w:rPr>
                <w:rFonts w:ascii="Arial" w:cs="Arial" w:eastAsia="Arial" w:hAnsi="Arial"/>
                <w:sz w:val="12"/>
                <w:szCs w:val="12"/>
                <w:color w:val="auto"/>
                <w:w w:val="89"/>
              </w:rPr>
            </w:pPr>
            <w:hyperlink w:anchor="page286">
              <w:r>
                <w:rPr>
                  <w:rFonts w:ascii="Arial" w:cs="Arial" w:eastAsia="Arial" w:hAnsi="Arial"/>
                  <w:sz w:val="12"/>
                  <w:szCs w:val="12"/>
                  <w:color w:val="auto"/>
                  <w:w w:val="89"/>
                </w:rPr>
                <w:t>64</w:t>
              </w:r>
            </w:hyperlink>
          </w:p>
        </w:tc>
        <w:tc>
          <w:tcPr>
            <w:tcW w:w="5700" w:type="dxa"/>
            <w:vAlign w:val="bottom"/>
          </w:tcPr>
          <w:p>
            <w:pPr>
              <w:spacing w:after="0"/>
              <w:rPr>
                <w:sz w:val="13"/>
                <w:szCs w:val="13"/>
                <w:color w:val="auto"/>
              </w:rPr>
            </w:pPr>
          </w:p>
        </w:tc>
      </w:tr>
      <w:tr>
        <w:trPr>
          <w:trHeight w:val="151"/>
        </w:trPr>
        <w:tc>
          <w:tcPr>
            <w:tcW w:w="320" w:type="dxa"/>
            <w:vAlign w:val="bottom"/>
          </w:tcPr>
          <w:p>
            <w:pPr>
              <w:spacing w:after="0"/>
              <w:rPr>
                <w:sz w:val="20"/>
                <w:szCs w:val="20"/>
                <w:color w:val="auto"/>
              </w:rPr>
            </w:pPr>
            <w:r>
              <w:rPr>
                <w:rFonts w:ascii="Arial" w:cs="Arial" w:eastAsia="Arial" w:hAnsi="Arial"/>
                <w:sz w:val="12"/>
                <w:szCs w:val="12"/>
                <w:color w:val="auto"/>
                <w:w w:val="99"/>
              </w:rPr>
              <w:t>18.18</w:t>
            </w:r>
          </w:p>
        </w:tc>
        <w:tc>
          <w:tcPr>
            <w:tcW w:w="3720" w:type="dxa"/>
            <w:vAlign w:val="bottom"/>
            <w:gridSpan w:val="9"/>
          </w:tcPr>
          <w:p>
            <w:pPr>
              <w:jc w:val="right"/>
              <w:spacing w:after="0"/>
              <w:rPr>
                <w:rFonts w:ascii="Arial" w:cs="Arial" w:eastAsia="Arial" w:hAnsi="Arial"/>
                <w:sz w:val="12"/>
                <w:szCs w:val="12"/>
                <w:color w:val="auto"/>
              </w:rPr>
            </w:pPr>
            <w:hyperlink w:anchor="page286">
              <w:r>
                <w:rPr>
                  <w:rFonts w:ascii="Arial" w:cs="Arial" w:eastAsia="Arial" w:hAnsi="Arial"/>
                  <w:sz w:val="12"/>
                  <w:szCs w:val="12"/>
                  <w:color w:val="auto"/>
                </w:rPr>
                <w:t>64</w:t>
              </w:r>
            </w:hyperlink>
          </w:p>
        </w:tc>
        <w:tc>
          <w:tcPr>
            <w:tcW w:w="5700" w:type="dxa"/>
            <w:vAlign w:val="bottom"/>
          </w:tcPr>
          <w:p>
            <w:pPr>
              <w:spacing w:after="0"/>
              <w:rPr>
                <w:sz w:val="13"/>
                <w:szCs w:val="13"/>
                <w:color w:val="auto"/>
              </w:rPr>
            </w:pPr>
          </w:p>
        </w:tc>
      </w:tr>
      <w:tr>
        <w:trPr>
          <w:trHeight w:val="320"/>
        </w:trPr>
        <w:tc>
          <w:tcPr>
            <w:tcW w:w="320" w:type="dxa"/>
            <w:vAlign w:val="bottom"/>
            <w:tcBorders>
              <w:bottom w:val="single" w:sz="8" w:color="9A9A9A"/>
            </w:tcBorders>
          </w:tcPr>
          <w:p>
            <w:pPr>
              <w:spacing w:after="0"/>
              <w:rPr>
                <w:sz w:val="24"/>
                <w:szCs w:val="24"/>
                <w:color w:val="auto"/>
              </w:rPr>
            </w:pPr>
          </w:p>
        </w:tc>
        <w:tc>
          <w:tcPr>
            <w:tcW w:w="2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20" w:type="dxa"/>
            <w:vAlign w:val="bottom"/>
            <w:tcBorders>
              <w:top w:val="single" w:sz="8" w:color="auto"/>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7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6164580</wp:posOffset>
            </wp:positionH>
            <wp:positionV relativeFrom="paragraph">
              <wp:posOffset>-29210</wp:posOffset>
            </wp:positionV>
            <wp:extent cx="31115"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31115" cy="42545"/>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-29210</wp:posOffset>
            </wp:positionV>
            <wp:extent cx="31115"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31115" cy="42545"/>
                    </a:xfrm>
                    <a:prstGeom prst="rect">
                      <a:avLst/>
                    </a:prstGeom>
                    <a:noFill/>
                  </pic:spPr>
                </pic:pic>
              </a:graphicData>
            </a:graphic>
          </wp:anchor>
        </w:drawing>
      </w:r>
    </w:p>
    <w:p>
      <w:pPr>
        <w:sectPr>
          <w:pgSz w:w="11900" w:h="16838" w:orient="portrait"/>
          <w:cols w:equalWidth="0" w:num="1">
            <w:col w:w="9740"/>
          </w:cols>
          <w:pgMar w:left="1220" w:top="188" w:right="939" w:bottom="1440" w:gutter="0" w:footer="0" w:header="0"/>
        </w:sectPr>
      </w:pPr>
    </w:p>
    <w:bookmarkStart w:id="221" w:name="page222"/>
    <w:bookmarkEnd w:id="221"/>
    <w:p>
      <w:pPr>
        <w:ind w:left="360"/>
        <w:spacing w:after="0"/>
        <w:rPr>
          <w:sz w:val="20"/>
          <w:szCs w:val="20"/>
          <w:color w:val="auto"/>
        </w:rPr>
      </w:pPr>
      <w:r>
        <w:rPr>
          <w:rFonts w:ascii="Arial" w:cs="Arial" w:eastAsia="Arial" w:hAnsi="Arial"/>
          <w:sz w:val="10"/>
          <w:szCs w:val="10"/>
          <w:color w:val="auto"/>
        </w:rPr>
        <w:t>Corrs Chambers Westgarth</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1000" w:type="dxa"/>
            <w:vAlign w:val="bottom"/>
          </w:tcPr>
          <w:p>
            <w:pPr>
              <w:ind w:left="680"/>
              <w:spacing w:after="0"/>
              <w:rPr>
                <w:sz w:val="20"/>
                <w:szCs w:val="20"/>
                <w:color w:val="auto"/>
              </w:rPr>
            </w:pPr>
            <w:r>
              <w:rPr>
                <w:rFonts w:ascii="Arial" w:cs="Arial" w:eastAsia="Arial" w:hAnsi="Arial"/>
                <w:sz w:val="12"/>
                <w:szCs w:val="12"/>
                <w:color w:val="auto"/>
                <w:w w:val="99"/>
              </w:rPr>
              <w:t>18.19</w:t>
            </w:r>
          </w:p>
        </w:tc>
        <w:tc>
          <w:tcPr>
            <w:tcW w:w="6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2"/>
                <w:szCs w:val="12"/>
                <w:color w:val="auto"/>
              </w:rPr>
              <w:t>Legal advice</w:t>
            </w:r>
          </w:p>
        </w:tc>
        <w:tc>
          <w:tcPr>
            <w:tcW w:w="320" w:type="dxa"/>
            <w:vAlign w:val="bottom"/>
          </w:tcPr>
          <w:p>
            <w:pPr>
              <w:spacing w:after="0"/>
              <w:rPr>
                <w:sz w:val="12"/>
                <w:szCs w:val="12"/>
                <w:color w:val="auto"/>
              </w:rPr>
            </w:pPr>
          </w:p>
        </w:tc>
        <w:tc>
          <w:tcPr>
            <w:tcW w:w="6160" w:type="dxa"/>
            <w:vAlign w:val="bottom"/>
          </w:tcPr>
          <w:p>
            <w:pPr>
              <w:jc w:val="right"/>
              <w:ind w:right="5920"/>
              <w:spacing w:after="0"/>
              <w:rPr>
                <w:sz w:val="20"/>
                <w:szCs w:val="20"/>
                <w:color w:val="auto"/>
              </w:rPr>
            </w:pPr>
            <w:r>
              <w:rPr>
                <w:rFonts w:ascii="Arial" w:cs="Arial" w:eastAsia="Arial" w:hAnsi="Arial"/>
                <w:sz w:val="12"/>
                <w:szCs w:val="12"/>
                <w:color w:val="auto"/>
              </w:rPr>
              <w:t>64</w:t>
            </w:r>
          </w:p>
        </w:tc>
      </w:tr>
      <w:tr>
        <w:trPr>
          <w:trHeight w:val="162"/>
        </w:trPr>
        <w:tc>
          <w:tcPr>
            <w:tcW w:w="1000" w:type="dxa"/>
            <w:vAlign w:val="bottom"/>
          </w:tcPr>
          <w:p>
            <w:pPr>
              <w:ind w:left="680"/>
              <w:spacing w:after="0"/>
              <w:rPr>
                <w:sz w:val="20"/>
                <w:szCs w:val="20"/>
                <w:color w:val="auto"/>
              </w:rPr>
            </w:pPr>
            <w:r>
              <w:rPr>
                <w:rFonts w:ascii="Arial" w:cs="Arial" w:eastAsia="Arial" w:hAnsi="Arial"/>
                <w:sz w:val="12"/>
                <w:szCs w:val="12"/>
                <w:color w:val="auto"/>
                <w:w w:val="99"/>
              </w:rPr>
              <w:t>18.20</w:t>
            </w:r>
          </w:p>
        </w:tc>
        <w:tc>
          <w:tcPr>
            <w:tcW w:w="640" w:type="dxa"/>
            <w:vAlign w:val="bottom"/>
          </w:tcPr>
          <w:p>
            <w:pPr>
              <w:spacing w:after="0"/>
              <w:rPr>
                <w:sz w:val="14"/>
                <w:szCs w:val="14"/>
                <w:color w:val="auto"/>
              </w:rPr>
            </w:pPr>
          </w:p>
        </w:tc>
        <w:tc>
          <w:tcPr>
            <w:tcW w:w="1620" w:type="dxa"/>
            <w:vAlign w:val="bottom"/>
            <w:gridSpan w:val="3"/>
          </w:tcPr>
          <w:p>
            <w:pPr>
              <w:jc w:val="right"/>
              <w:spacing w:after="0"/>
              <w:rPr>
                <w:sz w:val="20"/>
                <w:szCs w:val="20"/>
                <w:color w:val="auto"/>
              </w:rPr>
            </w:pPr>
            <w:r>
              <w:rPr>
                <w:rFonts w:ascii="Arial" w:cs="Arial" w:eastAsia="Arial" w:hAnsi="Arial"/>
                <w:sz w:val="12"/>
                <w:szCs w:val="12"/>
                <w:color w:val="auto"/>
              </w:rPr>
              <w:t>Further assurances</w:t>
            </w:r>
          </w:p>
        </w:tc>
        <w:tc>
          <w:tcPr>
            <w:tcW w:w="320" w:type="dxa"/>
            <w:vAlign w:val="bottom"/>
          </w:tcPr>
          <w:p>
            <w:pPr>
              <w:spacing w:after="0"/>
              <w:rPr>
                <w:sz w:val="14"/>
                <w:szCs w:val="14"/>
                <w:color w:val="auto"/>
              </w:rPr>
            </w:pPr>
          </w:p>
        </w:tc>
        <w:tc>
          <w:tcPr>
            <w:tcW w:w="6160" w:type="dxa"/>
            <w:vAlign w:val="bottom"/>
          </w:tcPr>
          <w:p>
            <w:pPr>
              <w:jc w:val="right"/>
              <w:ind w:right="5900"/>
              <w:spacing w:after="0"/>
              <w:rPr>
                <w:sz w:val="20"/>
                <w:szCs w:val="20"/>
                <w:color w:val="auto"/>
              </w:rPr>
            </w:pPr>
            <w:r>
              <w:rPr>
                <w:rFonts w:ascii="Arial" w:cs="Arial" w:eastAsia="Arial" w:hAnsi="Arial"/>
                <w:sz w:val="12"/>
                <w:szCs w:val="12"/>
                <w:color w:val="auto"/>
              </w:rPr>
              <w:t>64</w:t>
            </w:r>
          </w:p>
        </w:tc>
      </w:tr>
      <w:tr>
        <w:trPr>
          <w:trHeight w:val="171"/>
        </w:trPr>
        <w:tc>
          <w:tcPr>
            <w:tcW w:w="1000" w:type="dxa"/>
            <w:vAlign w:val="bottom"/>
          </w:tcPr>
          <w:p>
            <w:pPr>
              <w:ind w:left="680"/>
              <w:spacing w:after="0"/>
              <w:rPr>
                <w:sz w:val="20"/>
                <w:szCs w:val="20"/>
                <w:color w:val="auto"/>
              </w:rPr>
            </w:pPr>
            <w:r>
              <w:rPr>
                <w:rFonts w:ascii="Arial" w:cs="Arial" w:eastAsia="Arial" w:hAnsi="Arial"/>
                <w:sz w:val="12"/>
                <w:szCs w:val="12"/>
                <w:color w:val="auto"/>
                <w:w w:val="99"/>
              </w:rPr>
              <w:t>18.21</w:t>
            </w:r>
          </w:p>
        </w:tc>
        <w:tc>
          <w:tcPr>
            <w:tcW w:w="640" w:type="dxa"/>
            <w:vAlign w:val="bottom"/>
          </w:tcPr>
          <w:p>
            <w:pPr>
              <w:spacing w:after="0"/>
              <w:rPr>
                <w:sz w:val="14"/>
                <w:szCs w:val="14"/>
                <w:color w:val="auto"/>
              </w:rPr>
            </w:pPr>
          </w:p>
        </w:tc>
        <w:tc>
          <w:tcPr>
            <w:tcW w:w="1940" w:type="dxa"/>
            <w:vAlign w:val="bottom"/>
            <w:gridSpan w:val="4"/>
          </w:tcPr>
          <w:p>
            <w:pPr>
              <w:jc w:val="right"/>
              <w:ind w:right="60"/>
              <w:spacing w:after="0"/>
              <w:rPr>
                <w:sz w:val="20"/>
                <w:szCs w:val="20"/>
                <w:color w:val="auto"/>
              </w:rPr>
            </w:pPr>
            <w:r>
              <w:rPr>
                <w:rFonts w:ascii="Arial" w:cs="Arial" w:eastAsia="Arial" w:hAnsi="Arial"/>
                <w:sz w:val="12"/>
                <w:szCs w:val="12"/>
                <w:color w:val="auto"/>
              </w:rPr>
              <w:t>Exclusion of certain provisions</w:t>
            </w:r>
          </w:p>
        </w:tc>
        <w:tc>
          <w:tcPr>
            <w:tcW w:w="6160" w:type="dxa"/>
            <w:vAlign w:val="bottom"/>
          </w:tcPr>
          <w:p>
            <w:pPr>
              <w:jc w:val="right"/>
              <w:ind w:right="5660"/>
              <w:spacing w:after="0"/>
              <w:rPr>
                <w:sz w:val="20"/>
                <w:szCs w:val="20"/>
                <w:color w:val="auto"/>
              </w:rPr>
            </w:pPr>
            <w:r>
              <w:rPr>
                <w:rFonts w:ascii="Arial" w:cs="Arial" w:eastAsia="Arial" w:hAnsi="Arial"/>
                <w:sz w:val="12"/>
                <w:szCs w:val="12"/>
                <w:color w:val="auto"/>
              </w:rPr>
              <w:t>65</w:t>
            </w:r>
          </w:p>
        </w:tc>
      </w:tr>
      <w:tr>
        <w:trPr>
          <w:trHeight w:val="171"/>
        </w:trPr>
        <w:tc>
          <w:tcPr>
            <w:tcW w:w="1000" w:type="dxa"/>
            <w:vAlign w:val="bottom"/>
          </w:tcPr>
          <w:p>
            <w:pPr>
              <w:ind w:left="680"/>
              <w:spacing w:after="0"/>
              <w:rPr>
                <w:sz w:val="20"/>
                <w:szCs w:val="20"/>
                <w:color w:val="auto"/>
              </w:rPr>
            </w:pPr>
            <w:r>
              <w:rPr>
                <w:rFonts w:ascii="Arial" w:cs="Arial" w:eastAsia="Arial" w:hAnsi="Arial"/>
                <w:sz w:val="12"/>
                <w:szCs w:val="12"/>
                <w:color w:val="auto"/>
                <w:w w:val="99"/>
              </w:rPr>
              <w:t>18.22</w:t>
            </w:r>
          </w:p>
        </w:tc>
        <w:tc>
          <w:tcPr>
            <w:tcW w:w="640" w:type="dxa"/>
            <w:vAlign w:val="bottom"/>
          </w:tcPr>
          <w:p>
            <w:pPr>
              <w:spacing w:after="0"/>
              <w:rPr>
                <w:sz w:val="14"/>
                <w:szCs w:val="14"/>
                <w:color w:val="auto"/>
              </w:rPr>
            </w:pPr>
          </w:p>
        </w:tc>
        <w:tc>
          <w:tcPr>
            <w:tcW w:w="1620" w:type="dxa"/>
            <w:vAlign w:val="bottom"/>
            <w:gridSpan w:val="3"/>
          </w:tcPr>
          <w:p>
            <w:pPr>
              <w:jc w:val="right"/>
              <w:spacing w:after="0"/>
              <w:rPr>
                <w:sz w:val="20"/>
                <w:szCs w:val="20"/>
                <w:color w:val="auto"/>
              </w:rPr>
            </w:pPr>
            <w:r>
              <w:rPr>
                <w:rFonts w:ascii="Arial" w:cs="Arial" w:eastAsia="Arial" w:hAnsi="Arial"/>
                <w:sz w:val="12"/>
                <w:szCs w:val="12"/>
                <w:color w:val="auto"/>
              </w:rPr>
              <w:t>Notice of changes</w:t>
            </w:r>
          </w:p>
        </w:tc>
        <w:tc>
          <w:tcPr>
            <w:tcW w:w="320" w:type="dxa"/>
            <w:vAlign w:val="bottom"/>
          </w:tcPr>
          <w:p>
            <w:pPr>
              <w:spacing w:after="0"/>
              <w:rPr>
                <w:sz w:val="14"/>
                <w:szCs w:val="14"/>
                <w:color w:val="auto"/>
              </w:rPr>
            </w:pPr>
          </w:p>
        </w:tc>
        <w:tc>
          <w:tcPr>
            <w:tcW w:w="6160" w:type="dxa"/>
            <w:vAlign w:val="bottom"/>
          </w:tcPr>
          <w:p>
            <w:pPr>
              <w:jc w:val="right"/>
              <w:ind w:right="5900"/>
              <w:spacing w:after="0"/>
              <w:rPr>
                <w:sz w:val="20"/>
                <w:szCs w:val="20"/>
                <w:color w:val="auto"/>
              </w:rPr>
            </w:pPr>
            <w:r>
              <w:rPr>
                <w:rFonts w:ascii="Arial" w:cs="Arial" w:eastAsia="Arial" w:hAnsi="Arial"/>
                <w:sz w:val="12"/>
                <w:szCs w:val="12"/>
                <w:color w:val="auto"/>
              </w:rPr>
              <w:t>65</w:t>
            </w:r>
          </w:p>
        </w:tc>
      </w:tr>
      <w:tr>
        <w:trPr>
          <w:trHeight w:val="234"/>
        </w:trPr>
        <w:tc>
          <w:tcPr>
            <w:tcW w:w="1000" w:type="dxa"/>
            <w:vAlign w:val="bottom"/>
          </w:tcPr>
          <w:p>
            <w:pPr>
              <w:ind w:left="360"/>
              <w:spacing w:after="0"/>
              <w:rPr>
                <w:sz w:val="20"/>
                <w:szCs w:val="20"/>
                <w:color w:val="auto"/>
              </w:rPr>
            </w:pPr>
            <w:r>
              <w:rPr>
                <w:rFonts w:ascii="Arial" w:cs="Arial" w:eastAsia="Arial" w:hAnsi="Arial"/>
                <w:sz w:val="12"/>
                <w:szCs w:val="12"/>
                <w:b w:val="1"/>
                <w:bCs w:val="1"/>
                <w:color w:val="auto"/>
              </w:rPr>
              <w:t>19</w:t>
            </w:r>
          </w:p>
        </w:tc>
        <w:tc>
          <w:tcPr>
            <w:tcW w:w="1420" w:type="dxa"/>
            <w:vAlign w:val="bottom"/>
            <w:gridSpan w:val="2"/>
          </w:tcPr>
          <w:p>
            <w:pPr>
              <w:ind w:left="580"/>
              <w:spacing w:after="0"/>
              <w:rPr>
                <w:sz w:val="20"/>
                <w:szCs w:val="20"/>
                <w:color w:val="auto"/>
              </w:rPr>
            </w:pPr>
            <w:r>
              <w:rPr>
                <w:rFonts w:ascii="Arial" w:cs="Arial" w:eastAsia="Arial" w:hAnsi="Arial"/>
                <w:sz w:val="12"/>
                <w:szCs w:val="12"/>
                <w:b w:val="1"/>
                <w:bCs w:val="1"/>
                <w:color w:val="auto"/>
              </w:rPr>
              <w:t>Notices</w:t>
            </w:r>
          </w:p>
        </w:tc>
        <w:tc>
          <w:tcPr>
            <w:tcW w:w="660" w:type="dxa"/>
            <w:vAlign w:val="bottom"/>
          </w:tcPr>
          <w:p>
            <w:pPr>
              <w:jc w:val="right"/>
              <w:ind w:right="440"/>
              <w:spacing w:after="0"/>
              <w:rPr>
                <w:sz w:val="20"/>
                <w:szCs w:val="20"/>
                <w:color w:val="auto"/>
              </w:rPr>
            </w:pPr>
            <w:r>
              <w:rPr>
                <w:rFonts w:ascii="Arial" w:cs="Arial" w:eastAsia="Arial" w:hAnsi="Arial"/>
                <w:sz w:val="12"/>
                <w:szCs w:val="12"/>
                <w:b w:val="1"/>
                <w:bCs w:val="1"/>
                <w:color w:val="auto"/>
              </w:rPr>
              <w:t>65</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160" w:type="dxa"/>
            <w:vAlign w:val="bottom"/>
          </w:tcPr>
          <w:p>
            <w:pPr>
              <w:spacing w:after="0"/>
              <w:rPr>
                <w:sz w:val="20"/>
                <w:szCs w:val="20"/>
                <w:color w:val="auto"/>
              </w:rPr>
            </w:pPr>
          </w:p>
        </w:tc>
      </w:tr>
      <w:tr>
        <w:trPr>
          <w:trHeight w:val="234"/>
        </w:trPr>
        <w:tc>
          <w:tcPr>
            <w:tcW w:w="1000" w:type="dxa"/>
            <w:vAlign w:val="bottom"/>
          </w:tcPr>
          <w:p>
            <w:pPr>
              <w:ind w:left="680"/>
              <w:spacing w:after="0"/>
              <w:rPr>
                <w:sz w:val="20"/>
                <w:szCs w:val="20"/>
                <w:color w:val="auto"/>
              </w:rPr>
            </w:pPr>
            <w:r>
              <w:rPr>
                <w:rFonts w:ascii="Arial" w:cs="Arial" w:eastAsia="Arial" w:hAnsi="Arial"/>
                <w:sz w:val="12"/>
                <w:szCs w:val="12"/>
                <w:color w:val="auto"/>
              </w:rPr>
              <w:t>19.1</w:t>
            </w:r>
          </w:p>
        </w:tc>
        <w:tc>
          <w:tcPr>
            <w:tcW w:w="6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60" w:type="dxa"/>
            <w:vAlign w:val="bottom"/>
          </w:tcPr>
          <w:p>
            <w:pPr>
              <w:jc w:val="right"/>
              <w:ind w:right="140"/>
              <w:spacing w:after="0"/>
              <w:rPr>
                <w:sz w:val="20"/>
                <w:szCs w:val="20"/>
                <w:color w:val="auto"/>
              </w:rPr>
            </w:pPr>
            <w:r>
              <w:rPr>
                <w:rFonts w:ascii="Arial" w:cs="Arial" w:eastAsia="Arial" w:hAnsi="Arial"/>
                <w:sz w:val="12"/>
                <w:szCs w:val="12"/>
                <w:color w:val="auto"/>
              </w:rPr>
              <w:t>General</w:t>
            </w:r>
          </w:p>
        </w:tc>
        <w:tc>
          <w:tcPr>
            <w:tcW w:w="180" w:type="dxa"/>
            <w:vAlign w:val="bottom"/>
          </w:tcPr>
          <w:p>
            <w:pPr>
              <w:spacing w:after="0"/>
              <w:rPr>
                <w:sz w:val="20"/>
                <w:szCs w:val="20"/>
                <w:color w:val="auto"/>
              </w:rPr>
            </w:pPr>
          </w:p>
        </w:tc>
        <w:tc>
          <w:tcPr>
            <w:tcW w:w="320" w:type="dxa"/>
            <w:vAlign w:val="bottom"/>
          </w:tcPr>
          <w:p>
            <w:pPr>
              <w:jc w:val="right"/>
              <w:ind w:right="80"/>
              <w:spacing w:after="0"/>
              <w:rPr>
                <w:sz w:val="20"/>
                <w:szCs w:val="20"/>
                <w:color w:val="auto"/>
              </w:rPr>
            </w:pPr>
            <w:r>
              <w:rPr>
                <w:rFonts w:ascii="Arial" w:cs="Arial" w:eastAsia="Arial" w:hAnsi="Arial"/>
                <w:sz w:val="12"/>
                <w:szCs w:val="12"/>
                <w:color w:val="auto"/>
              </w:rPr>
              <w:t>65</w:t>
            </w:r>
          </w:p>
        </w:tc>
        <w:tc>
          <w:tcPr>
            <w:tcW w:w="6160" w:type="dxa"/>
            <w:vAlign w:val="bottom"/>
          </w:tcPr>
          <w:p>
            <w:pPr>
              <w:spacing w:after="0"/>
              <w:rPr>
                <w:sz w:val="20"/>
                <w:szCs w:val="20"/>
                <w:color w:val="auto"/>
              </w:rPr>
            </w:pPr>
          </w:p>
        </w:tc>
      </w:tr>
      <w:tr>
        <w:trPr>
          <w:trHeight w:val="162"/>
        </w:trPr>
        <w:tc>
          <w:tcPr>
            <w:tcW w:w="1000" w:type="dxa"/>
            <w:vAlign w:val="bottom"/>
          </w:tcPr>
          <w:p>
            <w:pPr>
              <w:ind w:left="680"/>
              <w:spacing w:after="0"/>
              <w:rPr>
                <w:sz w:val="20"/>
                <w:szCs w:val="20"/>
                <w:color w:val="auto"/>
              </w:rPr>
            </w:pPr>
            <w:r>
              <w:rPr>
                <w:rFonts w:ascii="Arial" w:cs="Arial" w:eastAsia="Arial" w:hAnsi="Arial"/>
                <w:sz w:val="12"/>
                <w:szCs w:val="12"/>
                <w:color w:val="auto"/>
              </w:rPr>
              <w:t>19.2</w:t>
            </w:r>
          </w:p>
        </w:tc>
        <w:tc>
          <w:tcPr>
            <w:tcW w:w="2260" w:type="dxa"/>
            <w:vAlign w:val="bottom"/>
            <w:gridSpan w:val="4"/>
          </w:tcPr>
          <w:p>
            <w:pPr>
              <w:jc w:val="right"/>
              <w:spacing w:after="0"/>
              <w:rPr>
                <w:sz w:val="20"/>
                <w:szCs w:val="20"/>
                <w:color w:val="auto"/>
              </w:rPr>
            </w:pPr>
            <w:r>
              <w:rPr>
                <w:rFonts w:ascii="Arial" w:cs="Arial" w:eastAsia="Arial" w:hAnsi="Arial"/>
                <w:sz w:val="12"/>
                <w:szCs w:val="12"/>
                <w:color w:val="auto"/>
              </w:rPr>
              <w:t>How to give a communication</w:t>
            </w:r>
          </w:p>
        </w:tc>
        <w:tc>
          <w:tcPr>
            <w:tcW w:w="320" w:type="dxa"/>
            <w:vAlign w:val="bottom"/>
          </w:tcPr>
          <w:p>
            <w:pPr>
              <w:spacing w:after="0"/>
              <w:rPr>
                <w:sz w:val="14"/>
                <w:szCs w:val="14"/>
                <w:color w:val="auto"/>
              </w:rPr>
            </w:pPr>
          </w:p>
        </w:tc>
        <w:tc>
          <w:tcPr>
            <w:tcW w:w="6160" w:type="dxa"/>
            <w:vAlign w:val="bottom"/>
          </w:tcPr>
          <w:p>
            <w:pPr>
              <w:jc w:val="right"/>
              <w:ind w:right="5920"/>
              <w:spacing w:after="0"/>
              <w:rPr>
                <w:sz w:val="20"/>
                <w:szCs w:val="20"/>
                <w:color w:val="auto"/>
              </w:rPr>
            </w:pPr>
            <w:r>
              <w:rPr>
                <w:rFonts w:ascii="Arial" w:cs="Arial" w:eastAsia="Arial" w:hAnsi="Arial"/>
                <w:sz w:val="12"/>
                <w:szCs w:val="12"/>
                <w:color w:val="auto"/>
              </w:rPr>
              <w:t>65</w:t>
            </w:r>
          </w:p>
        </w:tc>
      </w:tr>
      <w:tr>
        <w:trPr>
          <w:trHeight w:val="171"/>
        </w:trPr>
        <w:tc>
          <w:tcPr>
            <w:tcW w:w="1000" w:type="dxa"/>
            <w:vAlign w:val="bottom"/>
          </w:tcPr>
          <w:p>
            <w:pPr>
              <w:ind w:left="680"/>
              <w:spacing w:after="0"/>
              <w:rPr>
                <w:sz w:val="20"/>
                <w:szCs w:val="20"/>
                <w:color w:val="auto"/>
              </w:rPr>
            </w:pPr>
            <w:r>
              <w:rPr>
                <w:rFonts w:ascii="Arial" w:cs="Arial" w:eastAsia="Arial" w:hAnsi="Arial"/>
                <w:sz w:val="12"/>
                <w:szCs w:val="12"/>
                <w:color w:val="auto"/>
              </w:rPr>
              <w:t>19.3</w:t>
            </w:r>
          </w:p>
        </w:tc>
        <w:tc>
          <w:tcPr>
            <w:tcW w:w="2580" w:type="dxa"/>
            <w:vAlign w:val="bottom"/>
            <w:gridSpan w:val="5"/>
          </w:tcPr>
          <w:p>
            <w:pPr>
              <w:ind w:left="560"/>
              <w:spacing w:after="0"/>
              <w:rPr>
                <w:sz w:val="20"/>
                <w:szCs w:val="20"/>
                <w:color w:val="auto"/>
              </w:rPr>
            </w:pPr>
            <w:r>
              <w:rPr>
                <w:rFonts w:ascii="Arial" w:cs="Arial" w:eastAsia="Arial" w:hAnsi="Arial"/>
                <w:sz w:val="12"/>
                <w:szCs w:val="12"/>
                <w:color w:val="auto"/>
              </w:rPr>
              <w:t>Particulars for delivery of notices</w:t>
            </w:r>
          </w:p>
        </w:tc>
        <w:tc>
          <w:tcPr>
            <w:tcW w:w="6160" w:type="dxa"/>
            <w:vAlign w:val="bottom"/>
          </w:tcPr>
          <w:p>
            <w:pPr>
              <w:jc w:val="right"/>
              <w:ind w:right="5820"/>
              <w:spacing w:after="0"/>
              <w:rPr>
                <w:sz w:val="20"/>
                <w:szCs w:val="20"/>
                <w:color w:val="auto"/>
              </w:rPr>
            </w:pPr>
            <w:r>
              <w:rPr>
                <w:rFonts w:ascii="Arial" w:cs="Arial" w:eastAsia="Arial" w:hAnsi="Arial"/>
                <w:sz w:val="12"/>
                <w:szCs w:val="12"/>
                <w:color w:val="auto"/>
              </w:rPr>
              <w:t>66</w:t>
            </w:r>
          </w:p>
        </w:tc>
      </w:tr>
      <w:tr>
        <w:trPr>
          <w:trHeight w:val="171"/>
        </w:trPr>
        <w:tc>
          <w:tcPr>
            <w:tcW w:w="1000" w:type="dxa"/>
            <w:vAlign w:val="bottom"/>
          </w:tcPr>
          <w:p>
            <w:pPr>
              <w:ind w:left="680"/>
              <w:spacing w:after="0"/>
              <w:rPr>
                <w:sz w:val="20"/>
                <w:szCs w:val="20"/>
                <w:color w:val="auto"/>
              </w:rPr>
            </w:pPr>
            <w:r>
              <w:rPr>
                <w:rFonts w:ascii="Arial" w:cs="Arial" w:eastAsia="Arial" w:hAnsi="Arial"/>
                <w:sz w:val="12"/>
                <w:szCs w:val="12"/>
                <w:color w:val="auto"/>
              </w:rPr>
              <w:t>19.4</w:t>
            </w:r>
          </w:p>
        </w:tc>
        <w:tc>
          <w:tcPr>
            <w:tcW w:w="640" w:type="dxa"/>
            <w:vAlign w:val="bottom"/>
          </w:tcPr>
          <w:p>
            <w:pPr>
              <w:spacing w:after="0"/>
              <w:rPr>
                <w:sz w:val="14"/>
                <w:szCs w:val="14"/>
                <w:color w:val="auto"/>
              </w:rPr>
            </w:pPr>
          </w:p>
        </w:tc>
        <w:tc>
          <w:tcPr>
            <w:tcW w:w="1440" w:type="dxa"/>
            <w:vAlign w:val="bottom"/>
            <w:gridSpan w:val="2"/>
          </w:tcPr>
          <w:p>
            <w:pPr>
              <w:jc w:val="center"/>
              <w:ind w:left="20"/>
              <w:spacing w:after="0"/>
              <w:rPr>
                <w:sz w:val="20"/>
                <w:szCs w:val="20"/>
                <w:color w:val="auto"/>
              </w:rPr>
            </w:pPr>
            <w:r>
              <w:rPr>
                <w:rFonts w:ascii="Arial" w:cs="Arial" w:eastAsia="Arial" w:hAnsi="Arial"/>
                <w:sz w:val="12"/>
                <w:szCs w:val="12"/>
                <w:color w:val="auto"/>
              </w:rPr>
              <w:t>Communications by post</w:t>
            </w:r>
          </w:p>
        </w:tc>
        <w:tc>
          <w:tcPr>
            <w:tcW w:w="180" w:type="dxa"/>
            <w:vAlign w:val="bottom"/>
          </w:tcPr>
          <w:p>
            <w:pPr>
              <w:spacing w:after="0"/>
              <w:rPr>
                <w:sz w:val="14"/>
                <w:szCs w:val="14"/>
                <w:color w:val="auto"/>
              </w:rPr>
            </w:pPr>
          </w:p>
        </w:tc>
        <w:tc>
          <w:tcPr>
            <w:tcW w:w="6480" w:type="dxa"/>
            <w:vAlign w:val="bottom"/>
            <w:gridSpan w:val="2"/>
          </w:tcPr>
          <w:p>
            <w:pPr>
              <w:jc w:val="right"/>
              <w:ind w:right="6060"/>
              <w:spacing w:after="0"/>
              <w:rPr>
                <w:sz w:val="20"/>
                <w:szCs w:val="20"/>
                <w:color w:val="auto"/>
              </w:rPr>
            </w:pPr>
            <w:r>
              <w:rPr>
                <w:rFonts w:ascii="Arial" w:cs="Arial" w:eastAsia="Arial" w:hAnsi="Arial"/>
                <w:sz w:val="12"/>
                <w:szCs w:val="12"/>
                <w:color w:val="auto"/>
              </w:rPr>
              <w:t>66</w:t>
            </w:r>
          </w:p>
        </w:tc>
      </w:tr>
      <w:tr>
        <w:trPr>
          <w:trHeight w:val="171"/>
        </w:trPr>
        <w:tc>
          <w:tcPr>
            <w:tcW w:w="1000" w:type="dxa"/>
            <w:vAlign w:val="bottom"/>
          </w:tcPr>
          <w:p>
            <w:pPr>
              <w:ind w:left="680"/>
              <w:spacing w:after="0"/>
              <w:rPr>
                <w:sz w:val="20"/>
                <w:szCs w:val="20"/>
                <w:color w:val="auto"/>
              </w:rPr>
            </w:pPr>
            <w:r>
              <w:rPr>
                <w:rFonts w:ascii="Arial" w:cs="Arial" w:eastAsia="Arial" w:hAnsi="Arial"/>
                <w:sz w:val="12"/>
                <w:szCs w:val="12"/>
                <w:color w:val="auto"/>
              </w:rPr>
              <w:t>19.5</w:t>
            </w:r>
          </w:p>
        </w:tc>
        <w:tc>
          <w:tcPr>
            <w:tcW w:w="640" w:type="dxa"/>
            <w:vAlign w:val="bottom"/>
          </w:tcPr>
          <w:p>
            <w:pPr>
              <w:spacing w:after="0"/>
              <w:rPr>
                <w:sz w:val="14"/>
                <w:szCs w:val="14"/>
                <w:color w:val="auto"/>
              </w:rPr>
            </w:pPr>
          </w:p>
        </w:tc>
        <w:tc>
          <w:tcPr>
            <w:tcW w:w="1440" w:type="dxa"/>
            <w:vAlign w:val="bottom"/>
            <w:gridSpan w:val="2"/>
          </w:tcPr>
          <w:p>
            <w:pPr>
              <w:jc w:val="center"/>
              <w:spacing w:after="0"/>
              <w:rPr>
                <w:sz w:val="20"/>
                <w:szCs w:val="20"/>
                <w:color w:val="auto"/>
              </w:rPr>
            </w:pPr>
            <w:r>
              <w:rPr>
                <w:rFonts w:ascii="Arial" w:cs="Arial" w:eastAsia="Arial" w:hAnsi="Arial"/>
                <w:sz w:val="12"/>
                <w:szCs w:val="12"/>
                <w:color w:val="auto"/>
              </w:rPr>
              <w:t>Communications by fax</w:t>
            </w:r>
          </w:p>
        </w:tc>
        <w:tc>
          <w:tcPr>
            <w:tcW w:w="18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2"/>
                <w:szCs w:val="12"/>
                <w:color w:val="auto"/>
              </w:rPr>
              <w:t>66</w:t>
            </w:r>
          </w:p>
        </w:tc>
        <w:tc>
          <w:tcPr>
            <w:tcW w:w="6160" w:type="dxa"/>
            <w:vAlign w:val="bottom"/>
          </w:tcPr>
          <w:p>
            <w:pPr>
              <w:spacing w:after="0"/>
              <w:rPr>
                <w:sz w:val="14"/>
                <w:szCs w:val="14"/>
                <w:color w:val="auto"/>
              </w:rPr>
            </w:pPr>
          </w:p>
        </w:tc>
      </w:tr>
      <w:tr>
        <w:trPr>
          <w:trHeight w:val="171"/>
        </w:trPr>
        <w:tc>
          <w:tcPr>
            <w:tcW w:w="1000" w:type="dxa"/>
            <w:vAlign w:val="bottom"/>
          </w:tcPr>
          <w:p>
            <w:pPr>
              <w:ind w:left="680"/>
              <w:spacing w:after="0"/>
              <w:rPr>
                <w:sz w:val="20"/>
                <w:szCs w:val="20"/>
                <w:color w:val="auto"/>
              </w:rPr>
            </w:pPr>
            <w:r>
              <w:rPr>
                <w:rFonts w:ascii="Arial" w:cs="Arial" w:eastAsia="Arial" w:hAnsi="Arial"/>
                <w:sz w:val="12"/>
                <w:szCs w:val="12"/>
                <w:color w:val="auto"/>
              </w:rPr>
              <w:t>19.6</w:t>
            </w:r>
          </w:p>
        </w:tc>
        <w:tc>
          <w:tcPr>
            <w:tcW w:w="640" w:type="dxa"/>
            <w:vAlign w:val="bottom"/>
          </w:tcPr>
          <w:p>
            <w:pPr>
              <w:spacing w:after="0"/>
              <w:rPr>
                <w:sz w:val="14"/>
                <w:szCs w:val="14"/>
                <w:color w:val="auto"/>
              </w:rPr>
            </w:pPr>
          </w:p>
        </w:tc>
        <w:tc>
          <w:tcPr>
            <w:tcW w:w="1620" w:type="dxa"/>
            <w:vAlign w:val="bottom"/>
            <w:gridSpan w:val="3"/>
          </w:tcPr>
          <w:p>
            <w:pPr>
              <w:jc w:val="center"/>
              <w:ind w:right="40"/>
              <w:spacing w:after="0"/>
              <w:rPr>
                <w:sz w:val="20"/>
                <w:szCs w:val="20"/>
                <w:color w:val="auto"/>
              </w:rPr>
            </w:pPr>
            <w:r>
              <w:rPr>
                <w:rFonts w:ascii="Arial" w:cs="Arial" w:eastAsia="Arial" w:hAnsi="Arial"/>
                <w:sz w:val="12"/>
                <w:szCs w:val="12"/>
                <w:color w:val="auto"/>
                <w:w w:val="99"/>
              </w:rPr>
              <w:t>After hours communications</w:t>
            </w:r>
          </w:p>
        </w:tc>
        <w:tc>
          <w:tcPr>
            <w:tcW w:w="320" w:type="dxa"/>
            <w:vAlign w:val="bottom"/>
          </w:tcPr>
          <w:p>
            <w:pPr>
              <w:spacing w:after="0"/>
              <w:rPr>
                <w:sz w:val="14"/>
                <w:szCs w:val="14"/>
                <w:color w:val="auto"/>
              </w:rPr>
            </w:pPr>
          </w:p>
        </w:tc>
        <w:tc>
          <w:tcPr>
            <w:tcW w:w="6160" w:type="dxa"/>
            <w:vAlign w:val="bottom"/>
          </w:tcPr>
          <w:p>
            <w:pPr>
              <w:jc w:val="right"/>
              <w:ind w:right="5960"/>
              <w:spacing w:after="0"/>
              <w:rPr>
                <w:sz w:val="20"/>
                <w:szCs w:val="20"/>
                <w:color w:val="auto"/>
              </w:rPr>
            </w:pPr>
            <w:r>
              <w:rPr>
                <w:rFonts w:ascii="Arial" w:cs="Arial" w:eastAsia="Arial" w:hAnsi="Arial"/>
                <w:sz w:val="12"/>
                <w:szCs w:val="12"/>
                <w:color w:val="auto"/>
                <w:w w:val="89"/>
              </w:rPr>
              <w:t>66</w:t>
            </w:r>
          </w:p>
        </w:tc>
      </w:tr>
      <w:tr>
        <w:trPr>
          <w:trHeight w:val="171"/>
        </w:trPr>
        <w:tc>
          <w:tcPr>
            <w:tcW w:w="1000" w:type="dxa"/>
            <w:vAlign w:val="bottom"/>
          </w:tcPr>
          <w:p>
            <w:pPr>
              <w:ind w:left="680"/>
              <w:spacing w:after="0"/>
              <w:rPr>
                <w:sz w:val="20"/>
                <w:szCs w:val="20"/>
                <w:color w:val="auto"/>
              </w:rPr>
            </w:pPr>
            <w:r>
              <w:rPr>
                <w:rFonts w:ascii="Arial" w:cs="Arial" w:eastAsia="Arial" w:hAnsi="Arial"/>
                <w:sz w:val="12"/>
                <w:szCs w:val="12"/>
                <w:color w:val="auto"/>
              </w:rPr>
              <w:t>19.7</w:t>
            </w:r>
          </w:p>
        </w:tc>
        <w:tc>
          <w:tcPr>
            <w:tcW w:w="640" w:type="dxa"/>
            <w:vAlign w:val="bottom"/>
          </w:tcPr>
          <w:p>
            <w:pPr>
              <w:spacing w:after="0"/>
              <w:rPr>
                <w:sz w:val="14"/>
                <w:szCs w:val="14"/>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2"/>
                <w:szCs w:val="12"/>
                <w:color w:val="auto"/>
              </w:rPr>
              <w:t>Process service</w:t>
            </w:r>
          </w:p>
        </w:tc>
        <w:tc>
          <w:tcPr>
            <w:tcW w:w="180" w:type="dxa"/>
            <w:vAlign w:val="bottom"/>
          </w:tcPr>
          <w:p>
            <w:pPr>
              <w:spacing w:after="0"/>
              <w:rPr>
                <w:sz w:val="14"/>
                <w:szCs w:val="14"/>
                <w:color w:val="auto"/>
              </w:rPr>
            </w:pPr>
          </w:p>
        </w:tc>
        <w:tc>
          <w:tcPr>
            <w:tcW w:w="320" w:type="dxa"/>
            <w:vAlign w:val="bottom"/>
          </w:tcPr>
          <w:p>
            <w:pPr>
              <w:jc w:val="right"/>
              <w:ind w:right="80"/>
              <w:spacing w:after="0"/>
              <w:rPr>
                <w:sz w:val="20"/>
                <w:szCs w:val="20"/>
                <w:color w:val="auto"/>
              </w:rPr>
            </w:pPr>
            <w:r>
              <w:rPr>
                <w:rFonts w:ascii="Arial" w:cs="Arial" w:eastAsia="Arial" w:hAnsi="Arial"/>
                <w:sz w:val="12"/>
                <w:szCs w:val="12"/>
                <w:color w:val="auto"/>
              </w:rPr>
              <w:t>66</w:t>
            </w:r>
          </w:p>
        </w:tc>
        <w:tc>
          <w:tcPr>
            <w:tcW w:w="6160" w:type="dxa"/>
            <w:vAlign w:val="bottom"/>
          </w:tcPr>
          <w:p>
            <w:pPr>
              <w:spacing w:after="0"/>
              <w:rPr>
                <w:sz w:val="14"/>
                <w:szCs w:val="14"/>
                <w:color w:val="auto"/>
              </w:rPr>
            </w:pPr>
          </w:p>
        </w:tc>
      </w:tr>
      <w:tr>
        <w:trPr>
          <w:trHeight w:val="234"/>
        </w:trPr>
        <w:tc>
          <w:tcPr>
            <w:tcW w:w="1000" w:type="dxa"/>
            <w:vAlign w:val="bottom"/>
          </w:tcPr>
          <w:p>
            <w:pPr>
              <w:ind w:left="360"/>
              <w:spacing w:after="0"/>
              <w:rPr>
                <w:sz w:val="20"/>
                <w:szCs w:val="20"/>
                <w:color w:val="auto"/>
              </w:rPr>
            </w:pPr>
            <w:r>
              <w:rPr>
                <w:rFonts w:ascii="Arial" w:cs="Arial" w:eastAsia="Arial" w:hAnsi="Arial"/>
                <w:sz w:val="12"/>
                <w:szCs w:val="12"/>
                <w:b w:val="1"/>
                <w:bCs w:val="1"/>
                <w:color w:val="auto"/>
                <w:w w:val="97"/>
              </w:rPr>
              <w:t>Schedule 1</w:t>
            </w: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 Transaction Parties</w:t>
            </w:r>
          </w:p>
        </w:tc>
        <w:tc>
          <w:tcPr>
            <w:tcW w:w="660" w:type="dxa"/>
            <w:vAlign w:val="bottom"/>
          </w:tcPr>
          <w:p>
            <w:pPr>
              <w:jc w:val="right"/>
              <w:ind w:right="220"/>
              <w:spacing w:after="0"/>
              <w:rPr>
                <w:sz w:val="20"/>
                <w:szCs w:val="20"/>
                <w:color w:val="auto"/>
              </w:rPr>
            </w:pPr>
            <w:r>
              <w:rPr>
                <w:rFonts w:ascii="Arial" w:cs="Arial" w:eastAsia="Arial" w:hAnsi="Arial"/>
                <w:sz w:val="12"/>
                <w:szCs w:val="12"/>
                <w:b w:val="1"/>
                <w:bCs w:val="1"/>
                <w:color w:val="auto"/>
              </w:rPr>
              <w:t>67</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160" w:type="dxa"/>
            <w:vAlign w:val="bottom"/>
          </w:tcPr>
          <w:p>
            <w:pPr>
              <w:spacing w:after="0"/>
              <w:rPr>
                <w:sz w:val="20"/>
                <w:szCs w:val="20"/>
                <w:color w:val="auto"/>
              </w:rPr>
            </w:pPr>
          </w:p>
        </w:tc>
      </w:tr>
      <w:tr>
        <w:trPr>
          <w:trHeight w:val="252"/>
        </w:trPr>
        <w:tc>
          <w:tcPr>
            <w:tcW w:w="1000" w:type="dxa"/>
            <w:vAlign w:val="bottom"/>
          </w:tcPr>
          <w:p>
            <w:pPr>
              <w:ind w:left="360"/>
              <w:spacing w:after="0"/>
              <w:rPr>
                <w:sz w:val="20"/>
                <w:szCs w:val="20"/>
                <w:color w:val="auto"/>
              </w:rPr>
            </w:pPr>
            <w:r>
              <w:rPr>
                <w:rFonts w:ascii="Arial" w:cs="Arial" w:eastAsia="Arial" w:hAnsi="Arial"/>
                <w:sz w:val="12"/>
                <w:szCs w:val="12"/>
                <w:b w:val="1"/>
                <w:bCs w:val="1"/>
                <w:color w:val="auto"/>
                <w:w w:val="97"/>
              </w:rPr>
              <w:t>Schedule 2</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w w:val="97"/>
              </w:rPr>
              <w:t>– Facilities</w:t>
            </w:r>
          </w:p>
        </w:tc>
        <w:tc>
          <w:tcPr>
            <w:tcW w:w="780" w:type="dxa"/>
            <w:vAlign w:val="bottom"/>
          </w:tcPr>
          <w:p>
            <w:pPr>
              <w:jc w:val="right"/>
              <w:ind w:right="160"/>
              <w:spacing w:after="0"/>
              <w:rPr>
                <w:sz w:val="20"/>
                <w:szCs w:val="20"/>
                <w:color w:val="auto"/>
              </w:rPr>
            </w:pPr>
            <w:r>
              <w:rPr>
                <w:rFonts w:ascii="Arial" w:cs="Arial" w:eastAsia="Arial" w:hAnsi="Arial"/>
                <w:sz w:val="12"/>
                <w:szCs w:val="12"/>
                <w:b w:val="1"/>
                <w:bCs w:val="1"/>
                <w:color w:val="auto"/>
              </w:rPr>
              <w:t>70</w:t>
            </w:r>
          </w:p>
        </w:tc>
        <w:tc>
          <w:tcPr>
            <w:tcW w:w="6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160" w:type="dxa"/>
            <w:vAlign w:val="bottom"/>
          </w:tcPr>
          <w:p>
            <w:pPr>
              <w:spacing w:after="0"/>
              <w:rPr>
                <w:sz w:val="21"/>
                <w:szCs w:val="21"/>
                <w:color w:val="auto"/>
              </w:rPr>
            </w:pPr>
          </w:p>
        </w:tc>
      </w:tr>
      <w:tr>
        <w:trPr>
          <w:trHeight w:val="252"/>
        </w:trPr>
        <w:tc>
          <w:tcPr>
            <w:tcW w:w="1000" w:type="dxa"/>
            <w:vAlign w:val="bottom"/>
          </w:tcPr>
          <w:p>
            <w:pPr>
              <w:ind w:left="360"/>
              <w:spacing w:after="0"/>
              <w:rPr>
                <w:sz w:val="20"/>
                <w:szCs w:val="20"/>
                <w:color w:val="auto"/>
              </w:rPr>
            </w:pPr>
            <w:r>
              <w:rPr>
                <w:rFonts w:ascii="Arial" w:cs="Arial" w:eastAsia="Arial" w:hAnsi="Arial"/>
                <w:sz w:val="12"/>
                <w:szCs w:val="12"/>
                <w:b w:val="1"/>
                <w:bCs w:val="1"/>
                <w:color w:val="auto"/>
                <w:w w:val="97"/>
              </w:rPr>
              <w:t>Schedule 3</w:t>
            </w: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 Collateral Security</w:t>
            </w:r>
          </w:p>
        </w:tc>
        <w:tc>
          <w:tcPr>
            <w:tcW w:w="660" w:type="dxa"/>
            <w:vAlign w:val="bottom"/>
          </w:tcPr>
          <w:p>
            <w:pPr>
              <w:jc w:val="right"/>
              <w:ind w:right="280"/>
              <w:spacing w:after="0"/>
              <w:rPr>
                <w:sz w:val="20"/>
                <w:szCs w:val="20"/>
                <w:color w:val="auto"/>
              </w:rPr>
            </w:pPr>
            <w:r>
              <w:rPr>
                <w:rFonts w:ascii="Arial" w:cs="Arial" w:eastAsia="Arial" w:hAnsi="Arial"/>
                <w:sz w:val="12"/>
                <w:szCs w:val="12"/>
                <w:b w:val="1"/>
                <w:bCs w:val="1"/>
                <w:color w:val="auto"/>
              </w:rPr>
              <w:t>71</w:t>
            </w:r>
          </w:p>
        </w:tc>
        <w:tc>
          <w:tcPr>
            <w:tcW w:w="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160" w:type="dxa"/>
            <w:vAlign w:val="bottom"/>
          </w:tcPr>
          <w:p>
            <w:pPr>
              <w:spacing w:after="0"/>
              <w:rPr>
                <w:sz w:val="21"/>
                <w:szCs w:val="21"/>
                <w:color w:val="auto"/>
              </w:rPr>
            </w:pPr>
          </w:p>
        </w:tc>
      </w:tr>
      <w:tr>
        <w:trPr>
          <w:trHeight w:val="252"/>
        </w:trPr>
        <w:tc>
          <w:tcPr>
            <w:tcW w:w="1000" w:type="dxa"/>
            <w:vAlign w:val="bottom"/>
          </w:tcPr>
          <w:p>
            <w:pPr>
              <w:ind w:left="360"/>
              <w:spacing w:after="0"/>
              <w:rPr>
                <w:sz w:val="20"/>
                <w:szCs w:val="20"/>
                <w:color w:val="auto"/>
              </w:rPr>
            </w:pPr>
            <w:r>
              <w:rPr>
                <w:rFonts w:ascii="Arial" w:cs="Arial" w:eastAsia="Arial" w:hAnsi="Arial"/>
                <w:sz w:val="12"/>
                <w:szCs w:val="12"/>
                <w:b w:val="1"/>
                <w:bCs w:val="1"/>
                <w:color w:val="auto"/>
                <w:w w:val="97"/>
              </w:rPr>
              <w:t>Schedule 4</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w w:val="97"/>
              </w:rPr>
              <w:t>– Not used</w:t>
            </w:r>
          </w:p>
        </w:tc>
        <w:tc>
          <w:tcPr>
            <w:tcW w:w="780" w:type="dxa"/>
            <w:vAlign w:val="bottom"/>
          </w:tcPr>
          <w:p>
            <w:pPr>
              <w:jc w:val="right"/>
              <w:ind w:right="160"/>
              <w:spacing w:after="0"/>
              <w:rPr>
                <w:sz w:val="20"/>
                <w:szCs w:val="20"/>
                <w:color w:val="auto"/>
              </w:rPr>
            </w:pPr>
            <w:r>
              <w:rPr>
                <w:rFonts w:ascii="Arial" w:cs="Arial" w:eastAsia="Arial" w:hAnsi="Arial"/>
                <w:sz w:val="12"/>
                <w:szCs w:val="12"/>
                <w:b w:val="1"/>
                <w:bCs w:val="1"/>
                <w:color w:val="auto"/>
              </w:rPr>
              <w:t>74</w:t>
            </w:r>
          </w:p>
        </w:tc>
        <w:tc>
          <w:tcPr>
            <w:tcW w:w="6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160" w:type="dxa"/>
            <w:vAlign w:val="bottom"/>
          </w:tcPr>
          <w:p>
            <w:pPr>
              <w:spacing w:after="0"/>
              <w:rPr>
                <w:sz w:val="21"/>
                <w:szCs w:val="21"/>
                <w:color w:val="auto"/>
              </w:rPr>
            </w:pPr>
          </w:p>
        </w:tc>
      </w:tr>
      <w:tr>
        <w:trPr>
          <w:trHeight w:val="252"/>
        </w:trPr>
        <w:tc>
          <w:tcPr>
            <w:tcW w:w="1000" w:type="dxa"/>
            <w:vAlign w:val="bottom"/>
          </w:tcPr>
          <w:p>
            <w:pPr>
              <w:ind w:left="360"/>
              <w:spacing w:after="0"/>
              <w:rPr>
                <w:sz w:val="20"/>
                <w:szCs w:val="20"/>
                <w:color w:val="auto"/>
              </w:rPr>
            </w:pPr>
            <w:r>
              <w:rPr>
                <w:rFonts w:ascii="Arial" w:cs="Arial" w:eastAsia="Arial" w:hAnsi="Arial"/>
                <w:sz w:val="12"/>
                <w:szCs w:val="12"/>
                <w:b w:val="1"/>
                <w:bCs w:val="1"/>
                <w:color w:val="auto"/>
                <w:w w:val="97"/>
              </w:rPr>
              <w:t>Schedule 5</w:t>
            </w: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 Conditions Precedent</w:t>
            </w:r>
          </w:p>
        </w:tc>
        <w:tc>
          <w:tcPr>
            <w:tcW w:w="660" w:type="dxa"/>
            <w:vAlign w:val="bottom"/>
          </w:tcPr>
          <w:p>
            <w:pPr>
              <w:jc w:val="right"/>
              <w:ind w:right="100"/>
              <w:spacing w:after="0"/>
              <w:rPr>
                <w:sz w:val="20"/>
                <w:szCs w:val="20"/>
                <w:color w:val="auto"/>
              </w:rPr>
            </w:pPr>
            <w:r>
              <w:rPr>
                <w:rFonts w:ascii="Arial" w:cs="Arial" w:eastAsia="Arial" w:hAnsi="Arial"/>
                <w:sz w:val="12"/>
                <w:szCs w:val="12"/>
                <w:b w:val="1"/>
                <w:bCs w:val="1"/>
                <w:color w:val="auto"/>
              </w:rPr>
              <w:t>75</w:t>
            </w:r>
          </w:p>
        </w:tc>
        <w:tc>
          <w:tcPr>
            <w:tcW w:w="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160" w:type="dxa"/>
            <w:vAlign w:val="bottom"/>
          </w:tcPr>
          <w:p>
            <w:pPr>
              <w:spacing w:after="0"/>
              <w:rPr>
                <w:sz w:val="21"/>
                <w:szCs w:val="21"/>
                <w:color w:val="auto"/>
              </w:rPr>
            </w:pPr>
          </w:p>
        </w:tc>
      </w:tr>
      <w:tr>
        <w:trPr>
          <w:trHeight w:val="261"/>
        </w:trPr>
        <w:tc>
          <w:tcPr>
            <w:tcW w:w="1000" w:type="dxa"/>
            <w:vAlign w:val="bottom"/>
          </w:tcPr>
          <w:p>
            <w:pPr>
              <w:ind w:left="360"/>
              <w:spacing w:after="0"/>
              <w:rPr>
                <w:sz w:val="20"/>
                <w:szCs w:val="20"/>
                <w:color w:val="auto"/>
              </w:rPr>
            </w:pPr>
            <w:r>
              <w:rPr>
                <w:rFonts w:ascii="Arial" w:cs="Arial" w:eastAsia="Arial" w:hAnsi="Arial"/>
                <w:sz w:val="12"/>
                <w:szCs w:val="12"/>
                <w:b w:val="1"/>
                <w:bCs w:val="1"/>
                <w:color w:val="auto"/>
                <w:w w:val="97"/>
              </w:rPr>
              <w:t>Schedule 6</w:t>
            </w: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 Verification Certificate</w:t>
            </w:r>
          </w:p>
        </w:tc>
        <w:tc>
          <w:tcPr>
            <w:tcW w:w="660" w:type="dxa"/>
            <w:vAlign w:val="bottom"/>
          </w:tcPr>
          <w:p>
            <w:pPr>
              <w:jc w:val="right"/>
              <w:ind w:right="60"/>
              <w:spacing w:after="0"/>
              <w:rPr>
                <w:sz w:val="20"/>
                <w:szCs w:val="20"/>
                <w:color w:val="auto"/>
              </w:rPr>
            </w:pPr>
            <w:r>
              <w:rPr>
                <w:rFonts w:ascii="Arial" w:cs="Arial" w:eastAsia="Arial" w:hAnsi="Arial"/>
                <w:sz w:val="12"/>
                <w:szCs w:val="12"/>
                <w:b w:val="1"/>
                <w:bCs w:val="1"/>
                <w:color w:val="auto"/>
              </w:rPr>
              <w:t>79</w:t>
            </w: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160" w:type="dxa"/>
            <w:vAlign w:val="bottom"/>
          </w:tcPr>
          <w:p>
            <w:pPr>
              <w:spacing w:after="0"/>
              <w:rPr>
                <w:sz w:val="22"/>
                <w:szCs w:val="22"/>
                <w:color w:val="auto"/>
              </w:rPr>
            </w:pPr>
          </w:p>
        </w:tc>
      </w:tr>
      <w:tr>
        <w:trPr>
          <w:trHeight w:val="252"/>
        </w:trPr>
        <w:tc>
          <w:tcPr>
            <w:tcW w:w="1000" w:type="dxa"/>
            <w:vAlign w:val="bottom"/>
          </w:tcPr>
          <w:p>
            <w:pPr>
              <w:ind w:left="360"/>
              <w:spacing w:after="0"/>
              <w:rPr>
                <w:sz w:val="20"/>
                <w:szCs w:val="20"/>
                <w:color w:val="auto"/>
              </w:rPr>
            </w:pPr>
            <w:r>
              <w:rPr>
                <w:rFonts w:ascii="Arial" w:cs="Arial" w:eastAsia="Arial" w:hAnsi="Arial"/>
                <w:sz w:val="12"/>
                <w:szCs w:val="12"/>
                <w:b w:val="1"/>
                <w:bCs w:val="1"/>
                <w:color w:val="auto"/>
                <w:w w:val="97"/>
              </w:rPr>
              <w:t>Schedule 7</w:t>
            </w: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 Funding Notice</w:t>
            </w:r>
          </w:p>
        </w:tc>
        <w:tc>
          <w:tcPr>
            <w:tcW w:w="660" w:type="dxa"/>
            <w:vAlign w:val="bottom"/>
          </w:tcPr>
          <w:p>
            <w:pPr>
              <w:jc w:val="right"/>
              <w:ind w:right="460"/>
              <w:spacing w:after="0"/>
              <w:rPr>
                <w:sz w:val="20"/>
                <w:szCs w:val="20"/>
                <w:color w:val="auto"/>
              </w:rPr>
            </w:pPr>
            <w:r>
              <w:rPr>
                <w:rFonts w:ascii="Arial" w:cs="Arial" w:eastAsia="Arial" w:hAnsi="Arial"/>
                <w:sz w:val="12"/>
                <w:szCs w:val="12"/>
                <w:b w:val="1"/>
                <w:bCs w:val="1"/>
                <w:color w:val="auto"/>
                <w:w w:val="89"/>
              </w:rPr>
              <w:t>81</w:t>
            </w:r>
          </w:p>
        </w:tc>
        <w:tc>
          <w:tcPr>
            <w:tcW w:w="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160" w:type="dxa"/>
            <w:vAlign w:val="bottom"/>
          </w:tcPr>
          <w:p>
            <w:pPr>
              <w:spacing w:after="0"/>
              <w:rPr>
                <w:sz w:val="21"/>
                <w:szCs w:val="21"/>
                <w:color w:val="auto"/>
              </w:rPr>
            </w:pPr>
          </w:p>
        </w:tc>
      </w:tr>
      <w:tr>
        <w:trPr>
          <w:trHeight w:val="252"/>
        </w:trPr>
        <w:tc>
          <w:tcPr>
            <w:tcW w:w="1000" w:type="dxa"/>
            <w:vAlign w:val="bottom"/>
          </w:tcPr>
          <w:p>
            <w:pPr>
              <w:ind w:left="360"/>
              <w:spacing w:after="0"/>
              <w:rPr>
                <w:sz w:val="20"/>
                <w:szCs w:val="20"/>
                <w:color w:val="auto"/>
              </w:rPr>
            </w:pPr>
            <w:r>
              <w:rPr>
                <w:rFonts w:ascii="Arial" w:cs="Arial" w:eastAsia="Arial" w:hAnsi="Arial"/>
                <w:sz w:val="12"/>
                <w:szCs w:val="12"/>
                <w:b w:val="1"/>
                <w:bCs w:val="1"/>
                <w:color w:val="auto"/>
                <w:w w:val="97"/>
              </w:rPr>
              <w:t>Schedule 8</w:t>
            </w:r>
          </w:p>
        </w:tc>
        <w:tc>
          <w:tcPr>
            <w:tcW w:w="2080" w:type="dxa"/>
            <w:vAlign w:val="bottom"/>
            <w:gridSpan w:val="3"/>
          </w:tcPr>
          <w:p>
            <w:pPr>
              <w:ind w:left="20"/>
              <w:spacing w:after="0"/>
              <w:rPr>
                <w:sz w:val="20"/>
                <w:szCs w:val="20"/>
                <w:color w:val="auto"/>
              </w:rPr>
            </w:pPr>
            <w:r>
              <w:rPr>
                <w:rFonts w:ascii="Arial" w:cs="Arial" w:eastAsia="Arial" w:hAnsi="Arial"/>
                <w:sz w:val="12"/>
                <w:szCs w:val="12"/>
                <w:b w:val="1"/>
                <w:bCs w:val="1"/>
                <w:color w:val="auto"/>
              </w:rPr>
              <w:t>– Guarantor Accession Deed</w:t>
            </w:r>
          </w:p>
        </w:tc>
        <w:tc>
          <w:tcPr>
            <w:tcW w:w="180" w:type="dxa"/>
            <w:vAlign w:val="bottom"/>
          </w:tcPr>
          <w:p>
            <w:pPr>
              <w:jc w:val="right"/>
              <w:spacing w:after="0"/>
              <w:rPr>
                <w:sz w:val="20"/>
                <w:szCs w:val="20"/>
                <w:color w:val="auto"/>
              </w:rPr>
            </w:pPr>
            <w:r>
              <w:rPr>
                <w:rFonts w:ascii="Arial" w:cs="Arial" w:eastAsia="Arial" w:hAnsi="Arial"/>
                <w:sz w:val="12"/>
                <w:szCs w:val="12"/>
                <w:b w:val="1"/>
                <w:bCs w:val="1"/>
                <w:color w:val="auto"/>
                <w:w w:val="89"/>
              </w:rPr>
              <w:t>82</w:t>
            </w:r>
          </w:p>
        </w:tc>
        <w:tc>
          <w:tcPr>
            <w:tcW w:w="320" w:type="dxa"/>
            <w:vAlign w:val="bottom"/>
          </w:tcPr>
          <w:p>
            <w:pPr>
              <w:spacing w:after="0"/>
              <w:rPr>
                <w:sz w:val="21"/>
                <w:szCs w:val="21"/>
                <w:color w:val="auto"/>
              </w:rPr>
            </w:pPr>
          </w:p>
        </w:tc>
        <w:tc>
          <w:tcPr>
            <w:tcW w:w="6160" w:type="dxa"/>
            <w:vAlign w:val="bottom"/>
          </w:tcPr>
          <w:p>
            <w:pPr>
              <w:spacing w:after="0"/>
              <w:rPr>
                <w:sz w:val="21"/>
                <w:szCs w:val="21"/>
                <w:color w:val="auto"/>
              </w:rPr>
            </w:pPr>
          </w:p>
        </w:tc>
      </w:tr>
      <w:tr>
        <w:trPr>
          <w:trHeight w:val="252"/>
        </w:trPr>
        <w:tc>
          <w:tcPr>
            <w:tcW w:w="1000" w:type="dxa"/>
            <w:vAlign w:val="bottom"/>
          </w:tcPr>
          <w:p>
            <w:pPr>
              <w:ind w:left="360"/>
              <w:spacing w:after="0"/>
              <w:rPr>
                <w:sz w:val="20"/>
                <w:szCs w:val="20"/>
                <w:color w:val="auto"/>
              </w:rPr>
            </w:pPr>
            <w:r>
              <w:rPr>
                <w:rFonts w:ascii="Arial" w:cs="Arial" w:eastAsia="Arial" w:hAnsi="Arial"/>
                <w:sz w:val="12"/>
                <w:szCs w:val="12"/>
                <w:b w:val="1"/>
                <w:bCs w:val="1"/>
                <w:color w:val="auto"/>
                <w:w w:val="97"/>
              </w:rPr>
              <w:t>Schedule 9</w:t>
            </w: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 Compliance Certificate</w:t>
            </w:r>
          </w:p>
        </w:tc>
        <w:tc>
          <w:tcPr>
            <w:tcW w:w="660" w:type="dxa"/>
            <w:vAlign w:val="bottom"/>
          </w:tcPr>
          <w:p>
            <w:pPr>
              <w:jc w:val="right"/>
              <w:ind w:right="40"/>
              <w:spacing w:after="0"/>
              <w:rPr>
                <w:sz w:val="20"/>
                <w:szCs w:val="20"/>
                <w:color w:val="auto"/>
              </w:rPr>
            </w:pPr>
            <w:r>
              <w:rPr>
                <w:rFonts w:ascii="Arial" w:cs="Arial" w:eastAsia="Arial" w:hAnsi="Arial"/>
                <w:sz w:val="12"/>
                <w:szCs w:val="12"/>
                <w:b w:val="1"/>
                <w:bCs w:val="1"/>
                <w:color w:val="auto"/>
              </w:rPr>
              <w:t>84</w:t>
            </w:r>
          </w:p>
        </w:tc>
        <w:tc>
          <w:tcPr>
            <w:tcW w:w="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160" w:type="dxa"/>
            <w:vAlign w:val="bottom"/>
          </w:tcPr>
          <w:p>
            <w:pPr>
              <w:spacing w:after="0"/>
              <w:rPr>
                <w:sz w:val="21"/>
                <w:szCs w:val="21"/>
                <w:color w:val="auto"/>
              </w:rPr>
            </w:pPr>
          </w:p>
        </w:tc>
      </w:tr>
      <w:tr>
        <w:trPr>
          <w:trHeight w:val="252"/>
        </w:trPr>
        <w:tc>
          <w:tcPr>
            <w:tcW w:w="3080" w:type="dxa"/>
            <w:vAlign w:val="bottom"/>
            <w:gridSpan w:val="4"/>
          </w:tcPr>
          <w:p>
            <w:pPr>
              <w:ind w:left="360"/>
              <w:spacing w:after="0"/>
              <w:rPr>
                <w:sz w:val="20"/>
                <w:szCs w:val="20"/>
                <w:color w:val="auto"/>
              </w:rPr>
            </w:pPr>
            <w:r>
              <w:rPr>
                <w:rFonts w:ascii="Arial" w:cs="Arial" w:eastAsia="Arial" w:hAnsi="Arial"/>
                <w:sz w:val="12"/>
                <w:szCs w:val="12"/>
                <w:b w:val="1"/>
                <w:bCs w:val="1"/>
                <w:color w:val="auto"/>
              </w:rPr>
              <w:t>Schedule 10 – Interim Compliance Certificate</w:t>
            </w:r>
          </w:p>
        </w:tc>
        <w:tc>
          <w:tcPr>
            <w:tcW w:w="180" w:type="dxa"/>
            <w:vAlign w:val="bottom"/>
          </w:tcPr>
          <w:p>
            <w:pPr>
              <w:spacing w:after="0"/>
              <w:rPr>
                <w:sz w:val="21"/>
                <w:szCs w:val="21"/>
                <w:color w:val="auto"/>
              </w:rPr>
            </w:pPr>
          </w:p>
        </w:tc>
        <w:tc>
          <w:tcPr>
            <w:tcW w:w="320" w:type="dxa"/>
            <w:vAlign w:val="bottom"/>
          </w:tcPr>
          <w:p>
            <w:pPr>
              <w:jc w:val="right"/>
              <w:ind w:right="40"/>
              <w:spacing w:after="0"/>
              <w:rPr>
                <w:sz w:val="20"/>
                <w:szCs w:val="20"/>
                <w:color w:val="auto"/>
              </w:rPr>
            </w:pPr>
            <w:r>
              <w:rPr>
                <w:rFonts w:ascii="Arial" w:cs="Arial" w:eastAsia="Arial" w:hAnsi="Arial"/>
                <w:sz w:val="12"/>
                <w:szCs w:val="12"/>
                <w:b w:val="1"/>
                <w:bCs w:val="1"/>
                <w:color w:val="auto"/>
              </w:rPr>
              <w:t>86</w:t>
            </w:r>
          </w:p>
        </w:tc>
        <w:tc>
          <w:tcPr>
            <w:tcW w:w="6160" w:type="dxa"/>
            <w:vAlign w:val="bottom"/>
          </w:tcPr>
          <w:p>
            <w:pPr>
              <w:spacing w:after="0"/>
              <w:rPr>
                <w:sz w:val="21"/>
                <w:szCs w:val="21"/>
                <w:color w:val="auto"/>
              </w:rPr>
            </w:pPr>
          </w:p>
        </w:tc>
      </w:tr>
      <w:tr>
        <w:trPr>
          <w:trHeight w:val="304"/>
        </w:trPr>
        <w:tc>
          <w:tcPr>
            <w:tcW w:w="100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61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6164580</wp:posOffset>
            </wp:positionH>
            <wp:positionV relativeFrom="paragraph">
              <wp:posOffset>-29210</wp:posOffset>
            </wp:positionV>
            <wp:extent cx="31115"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31115" cy="42545"/>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-29210</wp:posOffset>
            </wp:positionV>
            <wp:extent cx="31115"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31115" cy="42545"/>
                    </a:xfrm>
                    <a:prstGeom prst="rect">
                      <a:avLst/>
                    </a:prstGeom>
                    <a:noFill/>
                  </pic:spPr>
                </pic:pic>
              </a:graphicData>
            </a:graphic>
          </wp:anchor>
        </w:drawing>
      </w:r>
    </w:p>
    <w:p>
      <w:pPr>
        <w:sectPr>
          <w:pgSz w:w="11900" w:h="16838" w:orient="portrait"/>
          <w:cols w:equalWidth="0" w:num="1">
            <w:col w:w="9740"/>
          </w:cols>
          <w:pgMar w:left="1220" w:top="188" w:right="939" w:bottom="1440" w:gutter="0" w:footer="0" w:header="0"/>
        </w:sectPr>
      </w:pPr>
    </w:p>
    <w:bookmarkStart w:id="222" w:name="page223"/>
    <w:bookmarkEnd w:id="222"/>
    <w:p>
      <w:pPr>
        <w:ind w:left="200"/>
        <w:spacing w:after="0"/>
        <w:rPr>
          <w:sz w:val="20"/>
          <w:szCs w:val="20"/>
          <w:color w:val="auto"/>
        </w:rPr>
      </w:pPr>
      <w:r>
        <w:rPr>
          <w:rFonts w:ascii="Arial" w:cs="Arial" w:eastAsia="Arial" w:hAnsi="Arial"/>
          <w:sz w:val="10"/>
          <w:szCs w:val="10"/>
          <w:color w:val="auto"/>
        </w:rPr>
        <w:t>Corrs Chambers Westgarth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4"/>
          <w:szCs w:val="14"/>
          <w:color w:val="auto"/>
        </w:rPr>
        <w:t>15th December 2015</w:t>
      </w:r>
    </w:p>
    <w:p>
      <w:pPr>
        <w:spacing w:after="0" w:line="365" w:lineRule="exact"/>
        <w:rPr>
          <w:sz w:val="20"/>
          <w:szCs w:val="20"/>
          <w:color w:val="auto"/>
        </w:rPr>
      </w:pPr>
    </w:p>
    <w:p>
      <w:pPr>
        <w:ind w:left="200"/>
        <w:spacing w:after="0"/>
        <w:rPr>
          <w:sz w:val="20"/>
          <w:szCs w:val="20"/>
          <w:color w:val="auto"/>
        </w:rPr>
      </w:pPr>
      <w:r>
        <w:rPr>
          <w:rFonts w:ascii="Arial" w:cs="Arial" w:eastAsia="Arial" w:hAnsi="Arial"/>
          <w:sz w:val="24"/>
          <w:szCs w:val="24"/>
          <w:color w:val="auto"/>
        </w:rPr>
        <w:t>Parties</w:t>
      </w:r>
    </w:p>
    <w:p>
      <w:pPr>
        <w:spacing w:after="0" w:line="144" w:lineRule="exact"/>
        <w:rPr>
          <w:sz w:val="20"/>
          <w:szCs w:val="20"/>
          <w:color w:val="auto"/>
        </w:rPr>
      </w:pPr>
    </w:p>
    <w:p>
      <w:pPr>
        <w:ind w:left="200"/>
        <w:spacing w:after="0"/>
        <w:rPr>
          <w:sz w:val="20"/>
          <w:szCs w:val="20"/>
          <w:color w:val="auto"/>
        </w:rPr>
      </w:pPr>
      <w:r>
        <w:rPr>
          <w:rFonts w:ascii="Arial" w:cs="Arial" w:eastAsia="Arial" w:hAnsi="Arial"/>
          <w:sz w:val="13"/>
          <w:szCs w:val="13"/>
          <w:b w:val="1"/>
          <w:bCs w:val="1"/>
          <w:color w:val="auto"/>
        </w:rPr>
        <w:t xml:space="preserve">National Australia Bank Limited </w:t>
      </w:r>
      <w:r>
        <w:rPr>
          <w:rFonts w:ascii="Arial" w:cs="Arial" w:eastAsia="Arial" w:hAnsi="Arial"/>
          <w:sz w:val="13"/>
          <w:szCs w:val="13"/>
          <w:color w:val="auto"/>
        </w:rPr>
        <w:t>ABN 12 004 044 937 of Pier 3 Level 4, 800 Bourke Street, Docklands, Victoria 3008 (</w:t>
      </w:r>
      <w:r>
        <w:rPr>
          <w:rFonts w:ascii="Arial" w:cs="Arial" w:eastAsia="Arial" w:hAnsi="Arial"/>
          <w:sz w:val="13"/>
          <w:szCs w:val="13"/>
          <w:b w:val="1"/>
          <w:bCs w:val="1"/>
          <w:color w:val="auto"/>
        </w:rPr>
        <w:t>Bank</w:t>
      </w:r>
      <w:r>
        <w:rPr>
          <w:rFonts w:ascii="Arial" w:cs="Arial" w:eastAsia="Arial" w:hAnsi="Arial"/>
          <w:sz w:val="13"/>
          <w:szCs w:val="13"/>
          <w:color w:val="auto"/>
        </w:rPr>
        <w:t>)</w:t>
      </w:r>
    </w:p>
    <w:p>
      <w:pPr>
        <w:spacing w:after="0" w:line="49" w:lineRule="exact"/>
        <w:rPr>
          <w:sz w:val="20"/>
          <w:szCs w:val="20"/>
          <w:color w:val="auto"/>
        </w:rPr>
      </w:pPr>
    </w:p>
    <w:p>
      <w:pPr>
        <w:ind w:left="200"/>
        <w:spacing w:after="0"/>
        <w:rPr>
          <w:sz w:val="20"/>
          <w:szCs w:val="20"/>
          <w:color w:val="auto"/>
        </w:rPr>
      </w:pPr>
      <w:r>
        <w:rPr>
          <w:rFonts w:ascii="Arial" w:cs="Arial" w:eastAsia="Arial" w:hAnsi="Arial"/>
          <w:sz w:val="13"/>
          <w:szCs w:val="13"/>
          <w:b w:val="1"/>
          <w:bCs w:val="1"/>
          <w:color w:val="auto"/>
        </w:rPr>
        <w:t xml:space="preserve">Reading Entertainment Australia Pty Ltd </w:t>
      </w:r>
      <w:r>
        <w:rPr>
          <w:rFonts w:ascii="Arial" w:cs="Arial" w:eastAsia="Arial" w:hAnsi="Arial"/>
          <w:sz w:val="13"/>
          <w:szCs w:val="13"/>
          <w:color w:val="auto"/>
        </w:rPr>
        <w:t>ACN 070 893 908 of 98 York Street, South Melbourne, Victoria 3205 (</w:t>
      </w:r>
      <w:r>
        <w:rPr>
          <w:rFonts w:ascii="Arial" w:cs="Arial" w:eastAsia="Arial" w:hAnsi="Arial"/>
          <w:sz w:val="13"/>
          <w:szCs w:val="13"/>
          <w:b w:val="1"/>
          <w:bCs w:val="1"/>
          <w:color w:val="auto"/>
        </w:rPr>
        <w:t>Borrower)</w:t>
      </w:r>
    </w:p>
    <w:p>
      <w:pPr>
        <w:spacing w:after="0" w:line="52" w:lineRule="exact"/>
        <w:rPr>
          <w:sz w:val="20"/>
          <w:szCs w:val="20"/>
          <w:color w:val="auto"/>
        </w:rPr>
      </w:pPr>
    </w:p>
    <w:p>
      <w:pPr>
        <w:ind w:left="200"/>
        <w:spacing w:after="0"/>
        <w:rPr>
          <w:sz w:val="20"/>
          <w:szCs w:val="20"/>
          <w:color w:val="auto"/>
        </w:rPr>
      </w:pPr>
      <w:r>
        <w:rPr>
          <w:rFonts w:ascii="Arial" w:cs="Arial" w:eastAsia="Arial" w:hAnsi="Arial"/>
          <w:sz w:val="13"/>
          <w:szCs w:val="13"/>
          <w:b w:val="1"/>
          <w:bCs w:val="1"/>
          <w:color w:val="auto"/>
        </w:rPr>
        <w:t xml:space="preserve">Each person listed in schedule 1 </w:t>
      </w:r>
      <w:r>
        <w:rPr>
          <w:rFonts w:ascii="Arial" w:cs="Arial" w:eastAsia="Arial" w:hAnsi="Arial"/>
          <w:sz w:val="13"/>
          <w:szCs w:val="13"/>
          <w:color w:val="auto"/>
        </w:rPr>
        <w:t>(each an</w:t>
      </w:r>
      <w:r>
        <w:rPr>
          <w:rFonts w:ascii="Arial" w:cs="Arial" w:eastAsia="Arial" w:hAnsi="Arial"/>
          <w:sz w:val="13"/>
          <w:szCs w:val="13"/>
          <w:b w:val="1"/>
          <w:bCs w:val="1"/>
          <w:color w:val="auto"/>
        </w:rPr>
        <w:t xml:space="preserve"> Original Guarantor</w:t>
      </w:r>
      <w:r>
        <w:rPr>
          <w:rFonts w:ascii="Arial" w:cs="Arial" w:eastAsia="Arial" w:hAnsi="Arial"/>
          <w:sz w:val="13"/>
          <w:szCs w:val="13"/>
          <w:color w:val="auto"/>
        </w:rPr>
        <w:t>)</w:t>
      </w:r>
    </w:p>
    <w:p>
      <w:pPr>
        <w:spacing w:after="0" w:line="200" w:lineRule="exact"/>
        <w:rPr>
          <w:sz w:val="20"/>
          <w:szCs w:val="20"/>
          <w:color w:val="auto"/>
        </w:rPr>
      </w:pPr>
    </w:p>
    <w:p>
      <w:pPr>
        <w:spacing w:after="0" w:line="352" w:lineRule="exact"/>
        <w:rPr>
          <w:sz w:val="20"/>
          <w:szCs w:val="20"/>
          <w:color w:val="auto"/>
        </w:rPr>
      </w:pPr>
    </w:p>
    <w:p>
      <w:pPr>
        <w:ind w:left="200"/>
        <w:spacing w:after="0"/>
        <w:rPr>
          <w:sz w:val="20"/>
          <w:szCs w:val="20"/>
          <w:color w:val="auto"/>
        </w:rPr>
      </w:pPr>
      <w:r>
        <w:rPr>
          <w:rFonts w:ascii="Arial" w:cs="Arial" w:eastAsia="Arial" w:hAnsi="Arial"/>
          <w:sz w:val="24"/>
          <w:szCs w:val="24"/>
          <w:color w:val="auto"/>
        </w:rPr>
        <w:t>Agreed terms</w:t>
      </w:r>
    </w:p>
    <w:p>
      <w:pPr>
        <w:spacing w:after="0" w:line="290" w:lineRule="exact"/>
        <w:rPr>
          <w:sz w:val="20"/>
          <w:szCs w:val="20"/>
          <w:color w:val="auto"/>
        </w:rPr>
      </w:pPr>
    </w:p>
    <w:p>
      <w:pPr>
        <w:ind w:left="1160" w:hanging="968"/>
        <w:spacing w:after="0"/>
        <w:tabs>
          <w:tab w:leader="none" w:pos="1160" w:val="left"/>
        </w:tabs>
        <w:numPr>
          <w:ilvl w:val="0"/>
          <w:numId w:val="221"/>
        </w:numPr>
        <w:rPr>
          <w:rFonts w:ascii="Arial" w:cs="Arial" w:eastAsia="Arial" w:hAnsi="Arial"/>
          <w:sz w:val="19"/>
          <w:szCs w:val="19"/>
          <w:color w:val="auto"/>
        </w:rPr>
      </w:pPr>
      <w:r>
        <w:rPr>
          <w:rFonts w:ascii="Arial" w:cs="Arial" w:eastAsia="Arial" w:hAnsi="Arial"/>
          <w:sz w:val="19"/>
          <w:szCs w:val="19"/>
          <w:color w:val="auto"/>
        </w:rPr>
        <w:t>Interpretation</w:t>
      </w:r>
    </w:p>
    <w:p>
      <w:pPr>
        <w:spacing w:after="0" w:line="68" w:lineRule="exact"/>
        <w:rPr>
          <w:sz w:val="20"/>
          <w:szCs w:val="20"/>
          <w:color w:val="auto"/>
        </w:rPr>
      </w:pPr>
    </w:p>
    <w:p>
      <w:pPr>
        <w:ind w:left="200"/>
        <w:spacing w:after="0"/>
        <w:tabs>
          <w:tab w:leader="none" w:pos="2360" w:val="left"/>
        </w:tabs>
        <w:rPr>
          <w:sz w:val="20"/>
          <w:szCs w:val="20"/>
          <w:color w:val="auto"/>
        </w:rPr>
      </w:pPr>
      <w:r>
        <w:rPr>
          <w:rFonts w:ascii="Arial" w:cs="Arial" w:eastAsia="Arial" w:hAnsi="Arial"/>
          <w:sz w:val="14"/>
          <w:szCs w:val="14"/>
          <w:b w:val="1"/>
          <w:bCs w:val="1"/>
          <w:color w:val="auto"/>
        </w:rPr>
        <w:t>1.1</w:t>
      </w:r>
      <w:r>
        <w:rPr>
          <w:sz w:val="20"/>
          <w:szCs w:val="20"/>
          <w:color w:val="auto"/>
        </w:rPr>
        <w:tab/>
      </w:r>
      <w:r>
        <w:rPr>
          <w:rFonts w:ascii="Arial" w:cs="Arial" w:eastAsia="Arial" w:hAnsi="Arial"/>
          <w:sz w:val="14"/>
          <w:szCs w:val="14"/>
          <w:b w:val="1"/>
          <w:bCs w:val="1"/>
          <w:color w:val="auto"/>
        </w:rPr>
        <w:t>Definitions</w:t>
      </w:r>
    </w:p>
    <w:p>
      <w:pPr>
        <w:spacing w:after="0" w:line="75" w:lineRule="exact"/>
        <w:rPr>
          <w:sz w:val="20"/>
          <w:szCs w:val="20"/>
          <w:color w:val="auto"/>
        </w:rPr>
      </w:pPr>
    </w:p>
    <w:p>
      <w:pPr>
        <w:ind w:left="700"/>
        <w:spacing w:after="0"/>
        <w:rPr>
          <w:sz w:val="20"/>
          <w:szCs w:val="20"/>
          <w:color w:val="auto"/>
        </w:rPr>
      </w:pPr>
      <w:r>
        <w:rPr>
          <w:rFonts w:ascii="Arial" w:cs="Arial" w:eastAsia="Arial" w:hAnsi="Arial"/>
          <w:sz w:val="13"/>
          <w:szCs w:val="13"/>
          <w:color w:val="auto"/>
        </w:rPr>
        <w:t>In this document:</w:t>
      </w:r>
    </w:p>
    <w:p>
      <w:pPr>
        <w:spacing w:after="0" w:line="69" w:lineRule="exact"/>
        <w:rPr>
          <w:sz w:val="20"/>
          <w:szCs w:val="20"/>
          <w:color w:val="auto"/>
        </w:rPr>
      </w:pPr>
    </w:p>
    <w:p>
      <w:pPr>
        <w:ind w:left="700" w:right="80"/>
        <w:spacing w:after="0" w:line="250" w:lineRule="auto"/>
        <w:rPr>
          <w:sz w:val="20"/>
          <w:szCs w:val="20"/>
          <w:color w:val="auto"/>
        </w:rPr>
      </w:pPr>
      <w:r>
        <w:rPr>
          <w:rFonts w:ascii="Arial" w:cs="Arial" w:eastAsia="Arial" w:hAnsi="Arial"/>
          <w:sz w:val="13"/>
          <w:szCs w:val="13"/>
          <w:b w:val="1"/>
          <w:bCs w:val="1"/>
          <w:color w:val="auto"/>
        </w:rPr>
        <w:t xml:space="preserve">Accounting Standards </w:t>
      </w:r>
      <w:r>
        <w:rPr>
          <w:rFonts w:ascii="Arial" w:cs="Arial" w:eastAsia="Arial" w:hAnsi="Arial"/>
          <w:sz w:val="13"/>
          <w:szCs w:val="13"/>
          <w:color w:val="auto"/>
        </w:rPr>
        <w:t>means accounting principles and practices consistently applied which are generally accepted in Australia and are consistent</w:t>
      </w:r>
      <w:r>
        <w:rPr>
          <w:rFonts w:ascii="Arial" w:cs="Arial" w:eastAsia="Arial" w:hAnsi="Arial"/>
          <w:sz w:val="13"/>
          <w:szCs w:val="13"/>
          <w:b w:val="1"/>
          <w:bCs w:val="1"/>
          <w:color w:val="auto"/>
        </w:rPr>
        <w:t xml:space="preserve"> </w:t>
      </w:r>
      <w:r>
        <w:rPr>
          <w:rFonts w:ascii="Arial" w:cs="Arial" w:eastAsia="Arial" w:hAnsi="Arial"/>
          <w:sz w:val="13"/>
          <w:szCs w:val="13"/>
          <w:color w:val="auto"/>
        </w:rPr>
        <w:t>with any applicable legislation in each case as in effect on the date of this document, including instruments in force under section 334 of the Corporations Act and provisions of such instruments.</w:t>
      </w:r>
    </w:p>
    <w:p>
      <w:pPr>
        <w:spacing w:after="0" w:line="34" w:lineRule="exact"/>
        <w:rPr>
          <w:sz w:val="20"/>
          <w:szCs w:val="20"/>
          <w:color w:val="auto"/>
        </w:rPr>
      </w:pPr>
    </w:p>
    <w:p>
      <w:pPr>
        <w:ind w:left="700"/>
        <w:spacing w:after="0"/>
        <w:rPr>
          <w:sz w:val="20"/>
          <w:szCs w:val="20"/>
          <w:color w:val="auto"/>
        </w:rPr>
      </w:pPr>
      <w:r>
        <w:rPr>
          <w:rFonts w:ascii="Arial" w:cs="Arial" w:eastAsia="Arial" w:hAnsi="Arial"/>
          <w:sz w:val="13"/>
          <w:szCs w:val="13"/>
          <w:b w:val="1"/>
          <w:bCs w:val="1"/>
          <w:color w:val="auto"/>
        </w:rPr>
        <w:t xml:space="preserve">Adjusted EBITDA </w:t>
      </w:r>
      <w:r>
        <w:rPr>
          <w:rFonts w:ascii="Arial" w:cs="Arial" w:eastAsia="Arial" w:hAnsi="Arial"/>
          <w:sz w:val="13"/>
          <w:szCs w:val="13"/>
          <w:color w:val="auto"/>
        </w:rPr>
        <w:t>means, for any period, EBITDA adjusted to exclude:</w:t>
      </w:r>
    </w:p>
    <w:p>
      <w:pPr>
        <w:spacing w:after="0" w:line="95" w:lineRule="exact"/>
        <w:rPr>
          <w:sz w:val="20"/>
          <w:szCs w:val="20"/>
          <w:color w:val="auto"/>
        </w:rPr>
      </w:pPr>
    </w:p>
    <w:p>
      <w:pPr>
        <w:ind w:left="1140" w:right="340" w:hanging="444"/>
        <w:spacing w:after="0" w:line="244" w:lineRule="auto"/>
        <w:tabs>
          <w:tab w:leader="none" w:pos="1140" w:val="left"/>
        </w:tabs>
        <w:numPr>
          <w:ilvl w:val="0"/>
          <w:numId w:val="222"/>
        </w:numPr>
        <w:rPr>
          <w:rFonts w:ascii="Arial" w:cs="Arial" w:eastAsia="Arial" w:hAnsi="Arial"/>
          <w:sz w:val="13"/>
          <w:szCs w:val="13"/>
          <w:color w:val="auto"/>
        </w:rPr>
      </w:pPr>
      <w:r>
        <w:rPr>
          <w:rFonts w:ascii="Arial" w:cs="Arial" w:eastAsia="Arial" w:hAnsi="Arial"/>
          <w:sz w:val="13"/>
          <w:szCs w:val="13"/>
          <w:color w:val="auto"/>
        </w:rPr>
        <w:t>any non-cash impairment for non-current assets included in the consolidated financial statements of the Reading Entertainment Australia Group during the relevant period; and</w:t>
      </w:r>
    </w:p>
    <w:p>
      <w:pPr>
        <w:spacing w:after="0" w:line="56" w:lineRule="exact"/>
        <w:rPr>
          <w:rFonts w:ascii="Arial" w:cs="Arial" w:eastAsia="Arial" w:hAnsi="Arial"/>
          <w:sz w:val="13"/>
          <w:szCs w:val="13"/>
          <w:color w:val="auto"/>
        </w:rPr>
      </w:pPr>
    </w:p>
    <w:p>
      <w:pPr>
        <w:ind w:left="1760" w:right="540" w:hanging="1064"/>
        <w:spacing w:after="0" w:line="244" w:lineRule="auto"/>
        <w:tabs>
          <w:tab w:leader="none" w:pos="1760" w:val="left"/>
        </w:tabs>
        <w:numPr>
          <w:ilvl w:val="0"/>
          <w:numId w:val="222"/>
        </w:numPr>
        <w:rPr>
          <w:rFonts w:ascii="Arial" w:cs="Arial" w:eastAsia="Arial" w:hAnsi="Arial"/>
          <w:sz w:val="13"/>
          <w:szCs w:val="13"/>
          <w:color w:val="auto"/>
        </w:rPr>
      </w:pPr>
      <w:r>
        <w:rPr>
          <w:rFonts w:ascii="Arial" w:cs="Arial" w:eastAsia="Arial" w:hAnsi="Arial"/>
          <w:sz w:val="13"/>
          <w:szCs w:val="13"/>
          <w:color w:val="auto"/>
        </w:rPr>
        <w:t>any net foreign exchange amounts (whether realised or unrealised) included in the consolidated financial statements of the Reading Entertainment Australia Group during the relevant period.</w:t>
      </w:r>
    </w:p>
    <w:p>
      <w:pPr>
        <w:spacing w:after="0" w:line="56" w:lineRule="exact"/>
        <w:rPr>
          <w:sz w:val="20"/>
          <w:szCs w:val="20"/>
          <w:color w:val="auto"/>
        </w:rPr>
      </w:pPr>
    </w:p>
    <w:p>
      <w:pPr>
        <w:ind w:left="700"/>
        <w:spacing w:after="0"/>
        <w:rPr>
          <w:sz w:val="20"/>
          <w:szCs w:val="20"/>
          <w:color w:val="auto"/>
        </w:rPr>
      </w:pPr>
      <w:r>
        <w:rPr>
          <w:rFonts w:ascii="Arial" w:cs="Arial" w:eastAsia="Arial" w:hAnsi="Arial"/>
          <w:sz w:val="13"/>
          <w:szCs w:val="13"/>
          <w:color w:val="auto"/>
        </w:rPr>
        <w:t>and subject to adjustment in respect of any further extraordinary items with the Bank’s written consent.</w:t>
      </w:r>
    </w:p>
    <w:p>
      <w:pPr>
        <w:spacing w:after="0" w:line="51" w:lineRule="exact"/>
        <w:rPr>
          <w:sz w:val="20"/>
          <w:szCs w:val="20"/>
          <w:color w:val="auto"/>
        </w:rPr>
      </w:pPr>
    </w:p>
    <w:p>
      <w:pPr>
        <w:ind w:left="700"/>
        <w:spacing w:after="0" w:line="269" w:lineRule="auto"/>
        <w:rPr>
          <w:sz w:val="20"/>
          <w:szCs w:val="20"/>
          <w:color w:val="auto"/>
        </w:rPr>
      </w:pPr>
      <w:r>
        <w:rPr>
          <w:rFonts w:ascii="Arial" w:cs="Arial" w:eastAsia="Arial" w:hAnsi="Arial"/>
          <w:sz w:val="13"/>
          <w:szCs w:val="13"/>
          <w:b w:val="1"/>
          <w:bCs w:val="1"/>
          <w:color w:val="auto"/>
        </w:rPr>
        <w:t xml:space="preserve">Advance </w:t>
      </w:r>
      <w:r>
        <w:rPr>
          <w:rFonts w:ascii="Arial" w:cs="Arial" w:eastAsia="Arial" w:hAnsi="Arial"/>
          <w:sz w:val="13"/>
          <w:szCs w:val="13"/>
          <w:color w:val="auto"/>
        </w:rPr>
        <w:t>means the principal amount of an advance made under the Corporate Markets Loan Facility or, where appropriate, requested under the</w:t>
      </w:r>
      <w:r>
        <w:rPr>
          <w:rFonts w:ascii="Arial" w:cs="Arial" w:eastAsia="Arial" w:hAnsi="Arial"/>
          <w:sz w:val="13"/>
          <w:szCs w:val="13"/>
          <w:b w:val="1"/>
          <w:bCs w:val="1"/>
          <w:color w:val="auto"/>
        </w:rPr>
        <w:t xml:space="preserve"> </w:t>
      </w:r>
      <w:r>
        <w:rPr>
          <w:rFonts w:ascii="Arial" w:cs="Arial" w:eastAsia="Arial" w:hAnsi="Arial"/>
          <w:sz w:val="13"/>
          <w:szCs w:val="13"/>
          <w:color w:val="auto"/>
        </w:rPr>
        <w:t>Corporate Markets Loan Facility.</w:t>
      </w:r>
    </w:p>
    <w:p>
      <w:pPr>
        <w:spacing w:after="0" w:line="25" w:lineRule="exact"/>
        <w:rPr>
          <w:sz w:val="20"/>
          <w:szCs w:val="20"/>
          <w:color w:val="auto"/>
        </w:rPr>
      </w:pPr>
    </w:p>
    <w:p>
      <w:pPr>
        <w:ind w:left="700" w:right="820"/>
        <w:spacing w:after="0" w:line="371" w:lineRule="auto"/>
        <w:rPr>
          <w:sz w:val="20"/>
          <w:szCs w:val="20"/>
          <w:color w:val="auto"/>
        </w:rPr>
      </w:pPr>
      <w:r>
        <w:rPr>
          <w:rFonts w:ascii="Arial" w:cs="Arial" w:eastAsia="Arial" w:hAnsi="Arial"/>
          <w:sz w:val="13"/>
          <w:szCs w:val="13"/>
          <w:b w:val="1"/>
          <w:bCs w:val="1"/>
          <w:color w:val="auto"/>
        </w:rPr>
        <w:t xml:space="preserve">Aggregate Amount </w:t>
      </w:r>
      <w:r>
        <w:rPr>
          <w:rFonts w:ascii="Arial" w:cs="Arial" w:eastAsia="Arial" w:hAnsi="Arial"/>
          <w:sz w:val="13"/>
          <w:szCs w:val="13"/>
          <w:color w:val="auto"/>
        </w:rPr>
        <w:t>means, in relation to a Drawing, the aggregate of the Face Values of all Bank Guarantees comprising that Drawing.</w:t>
      </w:r>
      <w:r>
        <w:rPr>
          <w:rFonts w:ascii="Arial" w:cs="Arial" w:eastAsia="Arial" w:hAnsi="Arial"/>
          <w:sz w:val="13"/>
          <w:szCs w:val="13"/>
          <w:b w:val="1"/>
          <w:bCs w:val="1"/>
          <w:color w:val="auto"/>
        </w:rPr>
        <w:t xml:space="preserve"> </w:t>
      </w:r>
      <w:r>
        <w:rPr>
          <w:rFonts w:ascii="Arial" w:cs="Arial" w:eastAsia="Arial" w:hAnsi="Arial"/>
          <w:sz w:val="12"/>
          <w:szCs w:val="12"/>
          <w:b w:val="1"/>
          <w:bCs w:val="1"/>
          <w:color w:val="auto"/>
        </w:rPr>
        <w:t xml:space="preserve">Annual Compliance Certificate </w:t>
      </w:r>
      <w:r>
        <w:rPr>
          <w:rFonts w:ascii="Arial" w:cs="Arial" w:eastAsia="Arial" w:hAnsi="Arial"/>
          <w:sz w:val="12"/>
          <w:szCs w:val="12"/>
          <w:color w:val="auto"/>
        </w:rPr>
        <w:t>means, in relation to a Financial Year,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-113030</wp:posOffset>
            </wp:positionH>
            <wp:positionV relativeFrom="paragraph">
              <wp:posOffset>117475</wp:posOffset>
            </wp:positionV>
            <wp:extent cx="6208395"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208395" cy="42545"/>
                    </a:xfrm>
                    <a:prstGeom prst="rect">
                      <a:avLst/>
                    </a:prstGeom>
                    <a:noFill/>
                  </pic:spPr>
                </pic:pic>
              </a:graphicData>
            </a:graphic>
          </wp:anchor>
        </w:drawing>
      </w:r>
    </w:p>
    <w:p>
      <w:pPr>
        <w:sectPr>
          <w:pgSz w:w="11900" w:h="16838" w:orient="portrait"/>
          <w:cols w:equalWidth="0" w:num="1">
            <w:col w:w="9460"/>
          </w:cols>
          <w:pgMar w:left="1380" w:top="197" w:right="1059" w:bottom="1440" w:gutter="0" w:footer="0" w:header="0"/>
        </w:sectPr>
      </w:pPr>
    </w:p>
    <w:bookmarkStart w:id="223" w:name="page224"/>
    <w:bookmarkEnd w:id="223"/>
    <w:p>
      <w:pPr>
        <w:ind w:left="640"/>
        <w:spacing w:after="0"/>
        <w:rPr>
          <w:sz w:val="20"/>
          <w:szCs w:val="20"/>
          <w:color w:val="auto"/>
        </w:rPr>
      </w:pPr>
      <w:r>
        <w:rPr>
          <w:rFonts w:ascii="Arial" w:cs="Arial" w:eastAsia="Arial" w:hAnsi="Arial"/>
          <w:sz w:val="13"/>
          <w:szCs w:val="13"/>
          <w:color w:val="auto"/>
        </w:rPr>
        <w:t xml:space="preserve">certificate substantially in the form of </w:t>
      </w:r>
      <w:r>
        <w:rPr>
          <w:rFonts w:ascii="Arial" w:cs="Arial" w:eastAsia="Arial" w:hAnsi="Arial"/>
          <w:sz w:val="13"/>
          <w:szCs w:val="13"/>
          <w:b w:val="1"/>
          <w:bCs w:val="1"/>
          <w:color w:val="auto"/>
        </w:rPr>
        <w:t>schedule 9</w:t>
      </w:r>
      <w:r>
        <w:rPr>
          <w:rFonts w:ascii="Arial" w:cs="Arial" w:eastAsia="Arial" w:hAnsi="Arial"/>
          <w:sz w:val="13"/>
          <w:szCs w:val="13"/>
          <w:color w:val="auto"/>
        </w:rPr>
        <w:t>.</w:t>
      </w:r>
    </w:p>
    <w:p>
      <w:pPr>
        <w:spacing w:after="0" w:line="76" w:lineRule="exact"/>
        <w:rPr>
          <w:sz w:val="20"/>
          <w:szCs w:val="20"/>
          <w:color w:val="auto"/>
        </w:rPr>
      </w:pPr>
    </w:p>
    <w:p>
      <w:pPr>
        <w:ind w:left="640" w:right="20"/>
        <w:spacing w:after="0" w:line="269" w:lineRule="auto"/>
        <w:rPr>
          <w:sz w:val="20"/>
          <w:szCs w:val="20"/>
          <w:color w:val="auto"/>
        </w:rPr>
      </w:pPr>
      <w:r>
        <w:rPr>
          <w:rFonts w:ascii="Arial" w:cs="Arial" w:eastAsia="Arial" w:hAnsi="Arial"/>
          <w:sz w:val="13"/>
          <w:szCs w:val="13"/>
          <w:b w:val="1"/>
          <w:bCs w:val="1"/>
          <w:color w:val="auto"/>
        </w:rPr>
        <w:t xml:space="preserve">Approved Valuer </w:t>
      </w:r>
      <w:r>
        <w:rPr>
          <w:rFonts w:ascii="Arial" w:cs="Arial" w:eastAsia="Arial" w:hAnsi="Arial"/>
          <w:sz w:val="13"/>
          <w:szCs w:val="13"/>
          <w:color w:val="auto"/>
        </w:rPr>
        <w:t>means a company or firm of duly qualified and licensed real estate valuers acceptable to the Bank in all respects and instructed by</w:t>
      </w:r>
      <w:r>
        <w:rPr>
          <w:rFonts w:ascii="Arial" w:cs="Arial" w:eastAsia="Arial" w:hAnsi="Arial"/>
          <w:sz w:val="13"/>
          <w:szCs w:val="13"/>
          <w:b w:val="1"/>
          <w:bCs w:val="1"/>
          <w:color w:val="auto"/>
        </w:rPr>
        <w:t xml:space="preserve"> </w:t>
      </w:r>
      <w:r>
        <w:rPr>
          <w:rFonts w:ascii="Arial" w:cs="Arial" w:eastAsia="Arial" w:hAnsi="Arial"/>
          <w:sz w:val="13"/>
          <w:szCs w:val="13"/>
          <w:color w:val="auto"/>
        </w:rPr>
        <w:t>(or with the approval of) the Bank.</w:t>
      </w:r>
    </w:p>
    <w:p>
      <w:pPr>
        <w:spacing w:after="0" w:line="25"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auto"/>
        </w:rPr>
        <w:t xml:space="preserve">Attorney </w:t>
      </w:r>
      <w:r>
        <w:rPr>
          <w:rFonts w:ascii="Arial" w:cs="Arial" w:eastAsia="Arial" w:hAnsi="Arial"/>
          <w:sz w:val="13"/>
          <w:szCs w:val="13"/>
          <w:color w:val="auto"/>
        </w:rPr>
        <w:t>means any attorney appointed under this document and any sub- attorney appointed by an Attorney.</w:t>
      </w:r>
    </w:p>
    <w:p>
      <w:pPr>
        <w:spacing w:after="0" w:line="67" w:lineRule="exact"/>
        <w:rPr>
          <w:sz w:val="20"/>
          <w:szCs w:val="20"/>
          <w:color w:val="auto"/>
        </w:rPr>
      </w:pPr>
    </w:p>
    <w:p>
      <w:pPr>
        <w:ind w:left="640" w:right="180"/>
        <w:spacing w:after="0" w:line="244" w:lineRule="auto"/>
        <w:rPr>
          <w:sz w:val="20"/>
          <w:szCs w:val="20"/>
          <w:color w:val="auto"/>
        </w:rPr>
      </w:pPr>
      <w:r>
        <w:rPr>
          <w:rFonts w:ascii="Arial" w:cs="Arial" w:eastAsia="Arial" w:hAnsi="Arial"/>
          <w:sz w:val="13"/>
          <w:szCs w:val="13"/>
          <w:b w:val="1"/>
          <w:bCs w:val="1"/>
          <w:color w:val="auto"/>
        </w:rPr>
        <w:t xml:space="preserve">Authorisation </w:t>
      </w:r>
      <w:r>
        <w:rPr>
          <w:rFonts w:ascii="Arial" w:cs="Arial" w:eastAsia="Arial" w:hAnsi="Arial"/>
          <w:sz w:val="13"/>
          <w:szCs w:val="13"/>
          <w:color w:val="auto"/>
        </w:rPr>
        <w:t>includes any authorisation, consent, licence, permission, approval or exemption from any Government Body. If a Government Body</w:t>
      </w:r>
      <w:r>
        <w:rPr>
          <w:rFonts w:ascii="Arial" w:cs="Arial" w:eastAsia="Arial" w:hAnsi="Arial"/>
          <w:sz w:val="13"/>
          <w:szCs w:val="13"/>
          <w:b w:val="1"/>
          <w:bCs w:val="1"/>
          <w:color w:val="auto"/>
        </w:rPr>
        <w:t xml:space="preserve"> </w:t>
      </w:r>
      <w:r>
        <w:rPr>
          <w:rFonts w:ascii="Arial" w:cs="Arial" w:eastAsia="Arial" w:hAnsi="Arial"/>
          <w:sz w:val="13"/>
          <w:szCs w:val="13"/>
          <w:color w:val="auto"/>
        </w:rPr>
        <w:t>could prohibit anything being done in connection with any matter or otherwise intervene within a specified time after notice has been given to it or any document lodged or filed with it in connection with the matter, the relevant matter will not be taken to have been Authorised until the specified time limit has expired without the Government Body taking any relevant action.</w:t>
      </w:r>
    </w:p>
    <w:p>
      <w:pPr>
        <w:spacing w:after="0" w:line="41" w:lineRule="exact"/>
        <w:rPr>
          <w:sz w:val="20"/>
          <w:szCs w:val="20"/>
          <w:color w:val="auto"/>
        </w:rPr>
      </w:pPr>
    </w:p>
    <w:p>
      <w:pPr>
        <w:ind w:left="640" w:right="20"/>
        <w:spacing w:after="0"/>
        <w:rPr>
          <w:sz w:val="20"/>
          <w:szCs w:val="20"/>
          <w:color w:val="auto"/>
        </w:rPr>
      </w:pPr>
      <w:r>
        <w:rPr>
          <w:rFonts w:ascii="Arial" w:cs="Arial" w:eastAsia="Arial" w:hAnsi="Arial"/>
          <w:sz w:val="13"/>
          <w:szCs w:val="13"/>
          <w:b w:val="1"/>
          <w:bCs w:val="1"/>
          <w:color w:val="auto"/>
        </w:rPr>
        <w:t xml:space="preserve">Authorised Representative </w:t>
      </w:r>
      <w:r>
        <w:rPr>
          <w:rFonts w:ascii="Arial" w:cs="Arial" w:eastAsia="Arial" w:hAnsi="Arial"/>
          <w:sz w:val="13"/>
          <w:szCs w:val="13"/>
          <w:color w:val="auto"/>
        </w:rPr>
        <w:t>means, in relation to any party to this document, a person with the right to act as the agent of that party for the</w:t>
      </w:r>
      <w:r>
        <w:rPr>
          <w:rFonts w:ascii="Arial" w:cs="Arial" w:eastAsia="Arial" w:hAnsi="Arial"/>
          <w:sz w:val="13"/>
          <w:szCs w:val="13"/>
          <w:b w:val="1"/>
          <w:bCs w:val="1"/>
          <w:color w:val="auto"/>
        </w:rPr>
        <w:t xml:space="preserve"> </w:t>
      </w:r>
      <w:r>
        <w:rPr>
          <w:rFonts w:ascii="Arial" w:cs="Arial" w:eastAsia="Arial" w:hAnsi="Arial"/>
          <w:sz w:val="13"/>
          <w:szCs w:val="13"/>
          <w:color w:val="auto"/>
        </w:rPr>
        <w:t>purposes of this document. It includes a director or company secretary of that party (if it is a corporation) and, in the case of the Bank, an employee of the Bank whose title contains the word “manager”, “director”, “associate” or a similar term and a lawyer for the Bank. It also includes a person appointed by a party as an Authorised Representative of that party whose appointment is notified by the appointor to the other party in a notice which contains the specimen signature of the appointee.</w:t>
      </w:r>
    </w:p>
    <w:p>
      <w:pPr>
        <w:spacing w:after="0" w:line="45" w:lineRule="exact"/>
        <w:rPr>
          <w:sz w:val="20"/>
          <w:szCs w:val="20"/>
          <w:color w:val="auto"/>
        </w:rPr>
      </w:pPr>
    </w:p>
    <w:p>
      <w:pPr>
        <w:ind w:left="640"/>
        <w:spacing w:after="0" w:line="269" w:lineRule="auto"/>
        <w:rPr>
          <w:sz w:val="20"/>
          <w:szCs w:val="20"/>
          <w:color w:val="auto"/>
        </w:rPr>
      </w:pPr>
      <w:r>
        <w:rPr>
          <w:rFonts w:ascii="Arial" w:cs="Arial" w:eastAsia="Arial" w:hAnsi="Arial"/>
          <w:sz w:val="13"/>
          <w:szCs w:val="13"/>
          <w:b w:val="1"/>
          <w:bCs w:val="1"/>
          <w:color w:val="auto"/>
        </w:rPr>
        <w:t xml:space="preserve">Availability Period </w:t>
      </w:r>
      <w:r>
        <w:rPr>
          <w:rFonts w:ascii="Arial" w:cs="Arial" w:eastAsia="Arial" w:hAnsi="Arial"/>
          <w:sz w:val="13"/>
          <w:szCs w:val="13"/>
          <w:color w:val="auto"/>
        </w:rPr>
        <w:t>means in respect of each Facility, the period beginning on the date on which the conditions precedent are satisfied or waived by</w:t>
      </w:r>
      <w:r>
        <w:rPr>
          <w:rFonts w:ascii="Arial" w:cs="Arial" w:eastAsia="Arial" w:hAnsi="Arial"/>
          <w:sz w:val="13"/>
          <w:szCs w:val="13"/>
          <w:b w:val="1"/>
          <w:bCs w:val="1"/>
          <w:color w:val="auto"/>
        </w:rPr>
        <w:t xml:space="preserve"> </w:t>
      </w:r>
      <w:r>
        <w:rPr>
          <w:rFonts w:ascii="Arial" w:cs="Arial" w:eastAsia="Arial" w:hAnsi="Arial"/>
          <w:sz w:val="13"/>
          <w:szCs w:val="13"/>
          <w:color w:val="auto"/>
        </w:rPr>
        <w:t>the Bank in accordance with the Transaction Documents and ending on the Termination Date.</w:t>
      </w:r>
    </w:p>
    <w:p>
      <w:pPr>
        <w:spacing w:after="0" w:line="25"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auto"/>
        </w:rPr>
        <w:t xml:space="preserve">Available Commitment </w:t>
      </w:r>
      <w:r>
        <w:rPr>
          <w:rFonts w:ascii="Arial" w:cs="Arial" w:eastAsia="Arial" w:hAnsi="Arial"/>
          <w:sz w:val="13"/>
          <w:szCs w:val="13"/>
          <w:color w:val="auto"/>
        </w:rPr>
        <w:t>means in respect of a Facility, the Facility Limit less the Outstanding Accommodation relating to that Facility.</w:t>
      </w:r>
    </w:p>
    <w:p>
      <w:pPr>
        <w:spacing w:after="0" w:line="76"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auto"/>
        </w:rPr>
        <w:t xml:space="preserve">Bank Guarantee </w:t>
      </w:r>
      <w:r>
        <w:rPr>
          <w:rFonts w:ascii="Arial" w:cs="Arial" w:eastAsia="Arial" w:hAnsi="Arial"/>
          <w:sz w:val="13"/>
          <w:szCs w:val="13"/>
          <w:color w:val="auto"/>
        </w:rPr>
        <w:t>means each bank guarantee issued (or deemed to have been issued) in accordance with this document.</w:t>
      </w:r>
    </w:p>
    <w:p>
      <w:pPr>
        <w:spacing w:after="0" w:line="72"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auto"/>
        </w:rPr>
        <w:t xml:space="preserve">Bank Guarantee Facility </w:t>
      </w:r>
      <w:r>
        <w:rPr>
          <w:rFonts w:ascii="Arial" w:cs="Arial" w:eastAsia="Arial" w:hAnsi="Arial"/>
          <w:sz w:val="13"/>
          <w:szCs w:val="13"/>
          <w:color w:val="auto"/>
        </w:rPr>
        <w:t>means the Facility described as such in</w:t>
      </w:r>
      <w:r>
        <w:rPr>
          <w:rFonts w:ascii="Arial" w:cs="Arial" w:eastAsia="Arial" w:hAnsi="Arial"/>
          <w:sz w:val="13"/>
          <w:szCs w:val="13"/>
          <w:b w:val="1"/>
          <w:bCs w:val="1"/>
          <w:color w:val="auto"/>
        </w:rPr>
        <w:t xml:space="preserve"> schedule 2</w:t>
      </w:r>
    </w:p>
    <w:p>
      <w:pPr>
        <w:spacing w:after="0" w:line="19" w:lineRule="exact"/>
        <w:rPr>
          <w:sz w:val="20"/>
          <w:szCs w:val="20"/>
          <w:color w:val="auto"/>
        </w:rPr>
      </w:pPr>
    </w:p>
    <w:p>
      <w:pPr>
        <w:ind w:left="640"/>
        <w:spacing w:after="0"/>
        <w:rPr>
          <w:sz w:val="20"/>
          <w:szCs w:val="20"/>
          <w:color w:val="auto"/>
        </w:rPr>
      </w:pPr>
      <w:r>
        <w:rPr>
          <w:rFonts w:ascii="Arial" w:cs="Arial" w:eastAsia="Arial" w:hAnsi="Arial"/>
          <w:sz w:val="13"/>
          <w:szCs w:val="13"/>
          <w:color w:val="auto"/>
        </w:rPr>
        <w:t xml:space="preserve">and granted pursuant to </w:t>
      </w:r>
      <w:r>
        <w:rPr>
          <w:rFonts w:ascii="Arial" w:cs="Arial" w:eastAsia="Arial" w:hAnsi="Arial"/>
          <w:sz w:val="13"/>
          <w:szCs w:val="13"/>
          <w:b w:val="1"/>
          <w:bCs w:val="1"/>
          <w:color w:val="auto"/>
        </w:rPr>
        <w:t>clause 4.1(a)(ii)</w:t>
      </w:r>
      <w:r>
        <w:rPr>
          <w:rFonts w:ascii="Arial" w:cs="Arial" w:eastAsia="Arial" w:hAnsi="Arial"/>
          <w:sz w:val="13"/>
          <w:szCs w:val="13"/>
          <w:color w:val="auto"/>
        </w:rPr>
        <w:t>.</w:t>
      </w:r>
    </w:p>
    <w:p>
      <w:pPr>
        <w:spacing w:after="0" w:line="70"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auto"/>
        </w:rPr>
        <w:t xml:space="preserve">Bank Guarantee Margin </w:t>
      </w:r>
      <w:r>
        <w:rPr>
          <w:rFonts w:ascii="Arial" w:cs="Arial" w:eastAsia="Arial" w:hAnsi="Arial"/>
          <w:sz w:val="13"/>
          <w:szCs w:val="13"/>
          <w:color w:val="auto"/>
        </w:rPr>
        <w:t>means, in respect of each Bank Guarantee:</w:t>
      </w:r>
    </w:p>
    <w:p>
      <w:pPr>
        <w:spacing w:after="0" w:line="95" w:lineRule="exact"/>
        <w:rPr>
          <w:sz w:val="20"/>
          <w:szCs w:val="20"/>
          <w:color w:val="auto"/>
        </w:rPr>
      </w:pPr>
    </w:p>
    <w:p>
      <w:pPr>
        <w:ind w:left="2040" w:hanging="1404"/>
        <w:spacing w:after="0"/>
        <w:tabs>
          <w:tab w:leader="none" w:pos="2040" w:val="left"/>
        </w:tabs>
        <w:numPr>
          <w:ilvl w:val="0"/>
          <w:numId w:val="223"/>
        </w:numPr>
        <w:rPr>
          <w:rFonts w:ascii="Arial" w:cs="Arial" w:eastAsia="Arial" w:hAnsi="Arial"/>
          <w:sz w:val="13"/>
          <w:szCs w:val="13"/>
          <w:color w:val="auto"/>
        </w:rPr>
      </w:pPr>
      <w:r>
        <w:rPr>
          <w:rFonts w:ascii="Arial" w:cs="Arial" w:eastAsia="Arial" w:hAnsi="Arial"/>
          <w:sz w:val="13"/>
          <w:szCs w:val="13"/>
          <w:color w:val="auto"/>
        </w:rPr>
        <w:t>prior to the ‘Variation Date’ under the Restatement Deed, 2.35% per annum; and</w:t>
      </w:r>
    </w:p>
    <w:p>
      <w:pPr>
        <w:spacing w:after="0" w:line="41" w:lineRule="exact"/>
        <w:rPr>
          <w:rFonts w:ascii="Arial" w:cs="Arial" w:eastAsia="Arial" w:hAnsi="Arial"/>
          <w:sz w:val="13"/>
          <w:szCs w:val="13"/>
          <w:color w:val="auto"/>
        </w:rPr>
      </w:pPr>
    </w:p>
    <w:p>
      <w:pPr>
        <w:ind w:left="1320" w:right="260" w:hanging="684"/>
        <w:spacing w:after="0" w:line="269" w:lineRule="auto"/>
        <w:tabs>
          <w:tab w:leader="none" w:pos="1320" w:val="left"/>
        </w:tabs>
        <w:numPr>
          <w:ilvl w:val="0"/>
          <w:numId w:val="223"/>
        </w:numPr>
        <w:rPr>
          <w:rFonts w:ascii="Arial" w:cs="Arial" w:eastAsia="Arial" w:hAnsi="Arial"/>
          <w:sz w:val="13"/>
          <w:szCs w:val="13"/>
          <w:color w:val="auto"/>
        </w:rPr>
      </w:pPr>
      <w:r>
        <w:rPr>
          <w:rFonts w:ascii="Arial" w:cs="Arial" w:eastAsia="Arial" w:hAnsi="Arial"/>
          <w:sz w:val="13"/>
          <w:szCs w:val="13"/>
          <w:color w:val="auto"/>
        </w:rPr>
        <w:t xml:space="preserve">on and from the first services fee charge date (to be determined in accordance with </w:t>
      </w:r>
      <w:r>
        <w:rPr>
          <w:rFonts w:ascii="Arial" w:cs="Arial" w:eastAsia="Arial" w:hAnsi="Arial"/>
          <w:sz w:val="13"/>
          <w:szCs w:val="13"/>
          <w:b w:val="1"/>
          <w:bCs w:val="1"/>
          <w:color w:val="auto"/>
        </w:rPr>
        <w:t>clause 9.1(e)</w:t>
      </w:r>
      <w:r>
        <w:rPr>
          <w:rFonts w:ascii="Arial" w:cs="Arial" w:eastAsia="Arial" w:hAnsi="Arial"/>
          <w:sz w:val="13"/>
          <w:szCs w:val="13"/>
          <w:color w:val="auto"/>
        </w:rPr>
        <w:t>) following the ‘Variation Date’ under the Restatement Deed, 1.90% per annum.</w:t>
      </w:r>
    </w:p>
    <w:p>
      <w:pPr>
        <w:spacing w:after="0" w:line="31"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auto"/>
        </w:rPr>
        <w:t xml:space="preserve">Base Rate </w:t>
      </w:r>
      <w:r>
        <w:rPr>
          <w:rFonts w:ascii="Arial" w:cs="Arial" w:eastAsia="Arial" w:hAnsi="Arial"/>
          <w:sz w:val="13"/>
          <w:szCs w:val="13"/>
          <w:color w:val="auto"/>
        </w:rPr>
        <w:t>means, in relation to a Pricing Period:</w:t>
      </w:r>
    </w:p>
    <w:p>
      <w:pPr>
        <w:spacing w:after="0" w:line="95" w:lineRule="exact"/>
        <w:rPr>
          <w:sz w:val="20"/>
          <w:szCs w:val="20"/>
          <w:color w:val="auto"/>
        </w:rPr>
      </w:pPr>
    </w:p>
    <w:p>
      <w:pPr>
        <w:ind w:left="1060" w:hanging="424"/>
        <w:spacing w:after="0" w:line="244" w:lineRule="auto"/>
        <w:tabs>
          <w:tab w:leader="none" w:pos="1060" w:val="left"/>
        </w:tabs>
        <w:numPr>
          <w:ilvl w:val="0"/>
          <w:numId w:val="224"/>
        </w:numPr>
        <w:rPr>
          <w:rFonts w:ascii="Arial" w:cs="Arial" w:eastAsia="Arial" w:hAnsi="Arial"/>
          <w:sz w:val="13"/>
          <w:szCs w:val="13"/>
          <w:color w:val="auto"/>
        </w:rPr>
      </w:pPr>
      <w:r>
        <w:rPr>
          <w:rFonts w:ascii="Arial" w:cs="Arial" w:eastAsia="Arial" w:hAnsi="Arial"/>
          <w:sz w:val="13"/>
          <w:szCs w:val="13"/>
          <w:color w:val="auto"/>
        </w:rPr>
        <w:t>the rate (expressed as a percentage yield per annum to maturity) being the arithmetic average (rounded up to the nearest four decimal places) of the buying rates published at or about 10.15 am on the first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161925</wp:posOffset>
            </wp:positionV>
            <wp:extent cx="6208395"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208395" cy="42545"/>
                    </a:xfrm>
                    <a:prstGeom prst="rect">
                      <a:avLst/>
                    </a:prstGeom>
                    <a:noFill/>
                  </pic:spPr>
                </pic:pic>
              </a:graphicData>
            </a:graphic>
          </wp:anchor>
        </w:drawing>
      </w:r>
    </w:p>
    <w:p>
      <w:pPr>
        <w:sectPr>
          <w:pgSz w:w="11900" w:h="16838" w:orient="portrait"/>
          <w:cols w:equalWidth="0" w:num="1">
            <w:col w:w="9360"/>
          </w:cols>
          <w:pgMar w:left="1440" w:top="544" w:right="1099" w:bottom="1440" w:gutter="0" w:footer="0" w:header="0"/>
        </w:sectPr>
      </w:pPr>
    </w:p>
    <w:bookmarkStart w:id="224" w:name="page225"/>
    <w:bookmarkEnd w:id="224"/>
    <w:p>
      <w:pPr>
        <w:ind w:left="980" w:right="340"/>
        <w:spacing w:after="0" w:line="244" w:lineRule="auto"/>
        <w:rPr>
          <w:sz w:val="20"/>
          <w:szCs w:val="20"/>
          <w:color w:val="auto"/>
        </w:rPr>
      </w:pPr>
      <w:r>
        <w:rPr>
          <w:rFonts w:ascii="Arial" w:cs="Arial" w:eastAsia="Arial" w:hAnsi="Arial"/>
          <w:sz w:val="13"/>
          <w:szCs w:val="13"/>
          <w:color w:val="auto"/>
        </w:rPr>
        <w:t>Day of the Pricing Period on the Reuters Screen under the heading “BBSY” for Bills with a tenor as nearly as possible equal to that Pricing Period; or</w:t>
      </w:r>
    </w:p>
    <w:p>
      <w:pPr>
        <w:spacing w:after="0" w:line="47" w:lineRule="exact"/>
        <w:rPr>
          <w:sz w:val="20"/>
          <w:szCs w:val="20"/>
          <w:color w:val="auto"/>
        </w:rPr>
      </w:pPr>
    </w:p>
    <w:p>
      <w:pPr>
        <w:ind w:left="640"/>
        <w:spacing w:after="0"/>
        <w:tabs>
          <w:tab w:leader="none" w:pos="5940" w:val="left"/>
        </w:tabs>
        <w:rPr>
          <w:sz w:val="20"/>
          <w:szCs w:val="20"/>
          <w:color w:val="auto"/>
        </w:rPr>
      </w:pPr>
      <w:r>
        <w:rPr>
          <w:rFonts w:ascii="Arial" w:cs="Arial" w:eastAsia="Arial" w:hAnsi="Arial"/>
          <w:sz w:val="13"/>
          <w:szCs w:val="13"/>
          <w:color w:val="auto"/>
        </w:rPr>
        <w:t>(b)</w:t>
      </w:r>
      <w:r>
        <w:rPr>
          <w:sz w:val="20"/>
          <w:szCs w:val="20"/>
          <w:color w:val="auto"/>
        </w:rPr>
        <w:tab/>
      </w:r>
      <w:r>
        <w:rPr>
          <w:rFonts w:ascii="Arial" w:cs="Arial" w:eastAsia="Arial" w:hAnsi="Arial"/>
          <w:sz w:val="13"/>
          <w:szCs w:val="13"/>
          <w:color w:val="auto"/>
        </w:rPr>
        <w:t>if:</w:t>
      </w:r>
    </w:p>
    <w:p>
      <w:pPr>
        <w:spacing w:after="0" w:line="85" w:lineRule="exact"/>
        <w:rPr>
          <w:sz w:val="20"/>
          <w:szCs w:val="20"/>
          <w:color w:val="auto"/>
        </w:rPr>
      </w:pPr>
    </w:p>
    <w:p>
      <w:pPr>
        <w:ind w:left="1340" w:hanging="352"/>
        <w:spacing w:after="0"/>
        <w:tabs>
          <w:tab w:leader="none" w:pos="1340" w:val="left"/>
        </w:tabs>
        <w:numPr>
          <w:ilvl w:val="0"/>
          <w:numId w:val="225"/>
        </w:numPr>
        <w:rPr>
          <w:rFonts w:ascii="Arial" w:cs="Arial" w:eastAsia="Arial" w:hAnsi="Arial"/>
          <w:sz w:val="13"/>
          <w:szCs w:val="13"/>
          <w:color w:val="auto"/>
        </w:rPr>
      </w:pPr>
      <w:r>
        <w:rPr>
          <w:rFonts w:ascii="Arial" w:cs="Arial" w:eastAsia="Arial" w:hAnsi="Arial"/>
          <w:sz w:val="13"/>
          <w:szCs w:val="13"/>
          <w:color w:val="auto"/>
        </w:rPr>
        <w:t>the rate is not displayed for a term equivalent to that period; or</w:t>
      </w:r>
    </w:p>
    <w:p>
      <w:pPr>
        <w:spacing w:after="0" w:line="75" w:lineRule="exact"/>
        <w:rPr>
          <w:rFonts w:ascii="Arial" w:cs="Arial" w:eastAsia="Arial" w:hAnsi="Arial"/>
          <w:sz w:val="13"/>
          <w:szCs w:val="13"/>
          <w:color w:val="auto"/>
        </w:rPr>
      </w:pPr>
    </w:p>
    <w:p>
      <w:pPr>
        <w:ind w:left="1480" w:right="160" w:hanging="492"/>
        <w:spacing w:after="0" w:line="244" w:lineRule="auto"/>
        <w:tabs>
          <w:tab w:leader="none" w:pos="1480" w:val="left"/>
        </w:tabs>
        <w:numPr>
          <w:ilvl w:val="0"/>
          <w:numId w:val="225"/>
        </w:numPr>
        <w:rPr>
          <w:rFonts w:ascii="Arial" w:cs="Arial" w:eastAsia="Arial" w:hAnsi="Arial"/>
          <w:sz w:val="13"/>
          <w:szCs w:val="13"/>
          <w:color w:val="auto"/>
        </w:rPr>
      </w:pPr>
      <w:r>
        <w:rPr>
          <w:rFonts w:ascii="Arial" w:cs="Arial" w:eastAsia="Arial" w:hAnsi="Arial"/>
          <w:sz w:val="13"/>
          <w:szCs w:val="13"/>
          <w:color w:val="auto"/>
        </w:rPr>
        <w:t>the basis of the calculation of the rate is changed after the date of this document so that in the opinion of the Bank it ceases to reflect the cost of providing the Facility,</w:t>
      </w:r>
    </w:p>
    <w:p>
      <w:pPr>
        <w:spacing w:after="0" w:line="65" w:lineRule="exact"/>
        <w:rPr>
          <w:sz w:val="20"/>
          <w:szCs w:val="20"/>
          <w:color w:val="auto"/>
        </w:rPr>
      </w:pPr>
    </w:p>
    <w:p>
      <w:pPr>
        <w:ind w:left="980" w:right="140"/>
        <w:spacing w:after="0" w:line="235" w:lineRule="auto"/>
        <w:rPr>
          <w:sz w:val="20"/>
          <w:szCs w:val="20"/>
          <w:color w:val="auto"/>
        </w:rPr>
      </w:pPr>
      <w:r>
        <w:rPr>
          <w:rFonts w:ascii="Arial" w:cs="Arial" w:eastAsia="Arial" w:hAnsi="Arial"/>
          <w:sz w:val="13"/>
          <w:szCs w:val="13"/>
          <w:color w:val="auto"/>
        </w:rPr>
        <w:t>the Base Rate will be the rate per centum per annum determined by the Bank to be the average of the buying rates quoted to the Bank by at least three Reference Banks at or about that time on that date. The buying rates must be for bills of exchange accepted by a leading Australian bank and which have a term equivalent to the period. If there are no buying rates, the rate will be determined by the Bank having regard to indexes or other bases which the Bank determines to be as near as practicable to the indexes and bases used to determine the rate referred to in paragraph (a).</w:t>
      </w:r>
    </w:p>
    <w:p>
      <w:pPr>
        <w:spacing w:after="0" w:line="27" w:lineRule="exact"/>
        <w:rPr>
          <w:sz w:val="20"/>
          <w:szCs w:val="20"/>
          <w:color w:val="auto"/>
        </w:rPr>
      </w:pPr>
    </w:p>
    <w:p>
      <w:pPr>
        <w:ind w:left="640" w:right="480"/>
        <w:spacing w:after="0" w:line="269" w:lineRule="auto"/>
        <w:rPr>
          <w:sz w:val="20"/>
          <w:szCs w:val="20"/>
          <w:color w:val="auto"/>
        </w:rPr>
      </w:pPr>
      <w:r>
        <w:rPr>
          <w:rFonts w:ascii="Arial" w:cs="Arial" w:eastAsia="Arial" w:hAnsi="Arial"/>
          <w:sz w:val="13"/>
          <w:szCs w:val="13"/>
          <w:b w:val="1"/>
          <w:bCs w:val="1"/>
          <w:color w:val="auto"/>
        </w:rPr>
        <w:t xml:space="preserve">Beneficiary </w:t>
      </w:r>
      <w:r>
        <w:rPr>
          <w:rFonts w:ascii="Arial" w:cs="Arial" w:eastAsia="Arial" w:hAnsi="Arial"/>
          <w:sz w:val="13"/>
          <w:szCs w:val="13"/>
          <w:color w:val="auto"/>
        </w:rPr>
        <w:t>means in relation to a Bank Guarantee, the person who from time to time is entitled to make a claim for payment under that Bank</w:t>
      </w:r>
      <w:r>
        <w:rPr>
          <w:rFonts w:ascii="Arial" w:cs="Arial" w:eastAsia="Arial" w:hAnsi="Arial"/>
          <w:sz w:val="13"/>
          <w:szCs w:val="13"/>
          <w:b w:val="1"/>
          <w:bCs w:val="1"/>
          <w:color w:val="auto"/>
        </w:rPr>
        <w:t xml:space="preserve"> </w:t>
      </w:r>
      <w:r>
        <w:rPr>
          <w:rFonts w:ascii="Arial" w:cs="Arial" w:eastAsia="Arial" w:hAnsi="Arial"/>
          <w:sz w:val="13"/>
          <w:szCs w:val="13"/>
          <w:color w:val="auto"/>
        </w:rPr>
        <w:t>Guarantee against the Bank.</w:t>
      </w:r>
    </w:p>
    <w:p>
      <w:pPr>
        <w:spacing w:after="0" w:line="106" w:lineRule="exact"/>
        <w:rPr>
          <w:sz w:val="20"/>
          <w:szCs w:val="20"/>
          <w:color w:val="auto"/>
        </w:rPr>
      </w:pPr>
    </w:p>
    <w:p>
      <w:pPr>
        <w:ind w:left="640"/>
        <w:spacing w:after="0" w:line="269" w:lineRule="auto"/>
        <w:rPr>
          <w:sz w:val="20"/>
          <w:szCs w:val="20"/>
          <w:color w:val="auto"/>
        </w:rPr>
      </w:pPr>
      <w:r>
        <w:rPr>
          <w:rFonts w:ascii="Arial" w:cs="Arial" w:eastAsia="Arial" w:hAnsi="Arial"/>
          <w:sz w:val="13"/>
          <w:szCs w:val="13"/>
          <w:b w:val="1"/>
          <w:bCs w:val="1"/>
          <w:color w:val="auto"/>
        </w:rPr>
        <w:t xml:space="preserve">Bill </w:t>
      </w:r>
      <w:r>
        <w:rPr>
          <w:rFonts w:ascii="Arial" w:cs="Arial" w:eastAsia="Arial" w:hAnsi="Arial"/>
          <w:sz w:val="13"/>
          <w:szCs w:val="13"/>
          <w:color w:val="auto"/>
        </w:rPr>
        <w:t>means a bill of exchange as defined in the</w:t>
      </w:r>
      <w:r>
        <w:rPr>
          <w:rFonts w:ascii="Arial" w:cs="Arial" w:eastAsia="Arial" w:hAnsi="Arial"/>
          <w:sz w:val="13"/>
          <w:szCs w:val="13"/>
          <w:b w:val="1"/>
          <w:bCs w:val="1"/>
          <w:color w:val="auto"/>
        </w:rPr>
        <w:t xml:space="preserve"> </w:t>
      </w:r>
      <w:r>
        <w:rPr>
          <w:rFonts w:ascii="Arial" w:cs="Arial" w:eastAsia="Arial" w:hAnsi="Arial"/>
          <w:sz w:val="13"/>
          <w:szCs w:val="13"/>
          <w:i w:val="1"/>
          <w:iCs w:val="1"/>
          <w:color w:val="auto"/>
        </w:rPr>
        <w:t>Bills of Exchange Act 1909</w:t>
      </w:r>
      <w:r>
        <w:rPr>
          <w:rFonts w:ascii="Arial" w:cs="Arial" w:eastAsia="Arial" w:hAnsi="Arial"/>
          <w:sz w:val="13"/>
          <w:szCs w:val="13"/>
          <w:b w:val="1"/>
          <w:bCs w:val="1"/>
          <w:color w:val="auto"/>
        </w:rPr>
        <w:t xml:space="preserve"> </w:t>
      </w:r>
      <w:r>
        <w:rPr>
          <w:rFonts w:ascii="Arial" w:cs="Arial" w:eastAsia="Arial" w:hAnsi="Arial"/>
          <w:sz w:val="13"/>
          <w:szCs w:val="13"/>
          <w:color w:val="auto"/>
        </w:rPr>
        <w:t>(but does not include a cheque). It includes a document which, when</w:t>
      </w:r>
      <w:r>
        <w:rPr>
          <w:rFonts w:ascii="Arial" w:cs="Arial" w:eastAsia="Arial" w:hAnsi="Arial"/>
          <w:sz w:val="13"/>
          <w:szCs w:val="13"/>
          <w:b w:val="1"/>
          <w:bCs w:val="1"/>
          <w:color w:val="auto"/>
        </w:rPr>
        <w:t xml:space="preserve"> </w:t>
      </w:r>
      <w:r>
        <w:rPr>
          <w:rFonts w:ascii="Arial" w:cs="Arial" w:eastAsia="Arial" w:hAnsi="Arial"/>
          <w:sz w:val="13"/>
          <w:szCs w:val="13"/>
          <w:color w:val="auto"/>
        </w:rPr>
        <w:t>signed by the persons named as drawer and acceptor in the relevant document, will become such a bill of exchange.</w:t>
      </w:r>
    </w:p>
    <w:p>
      <w:pPr>
        <w:spacing w:after="0" w:line="25" w:lineRule="exact"/>
        <w:rPr>
          <w:sz w:val="20"/>
          <w:szCs w:val="20"/>
          <w:color w:val="auto"/>
        </w:rPr>
      </w:pPr>
    </w:p>
    <w:p>
      <w:pPr>
        <w:ind w:left="640" w:right="40"/>
        <w:spacing w:after="0" w:line="269" w:lineRule="auto"/>
        <w:rPr>
          <w:sz w:val="20"/>
          <w:szCs w:val="20"/>
          <w:color w:val="auto"/>
        </w:rPr>
      </w:pPr>
      <w:r>
        <w:rPr>
          <w:rFonts w:ascii="Arial" w:cs="Arial" w:eastAsia="Arial" w:hAnsi="Arial"/>
          <w:sz w:val="13"/>
          <w:szCs w:val="13"/>
          <w:b w:val="1"/>
          <w:bCs w:val="1"/>
          <w:color w:val="auto"/>
        </w:rPr>
        <w:t xml:space="preserve">Break Costs </w:t>
      </w:r>
      <w:r>
        <w:rPr>
          <w:rFonts w:ascii="Arial" w:cs="Arial" w:eastAsia="Arial" w:hAnsi="Arial"/>
          <w:sz w:val="13"/>
          <w:szCs w:val="13"/>
          <w:color w:val="auto"/>
        </w:rPr>
        <w:t>means, in relation to any financial accommodation provided or to be provided by the Bank under a Facility, any liability or costs incurred</w:t>
      </w:r>
      <w:r>
        <w:rPr>
          <w:rFonts w:ascii="Arial" w:cs="Arial" w:eastAsia="Arial" w:hAnsi="Arial"/>
          <w:sz w:val="13"/>
          <w:szCs w:val="13"/>
          <w:b w:val="1"/>
          <w:bCs w:val="1"/>
          <w:color w:val="auto"/>
        </w:rPr>
        <w:t xml:space="preserve"> </w:t>
      </w:r>
      <w:r>
        <w:rPr>
          <w:rFonts w:ascii="Arial" w:cs="Arial" w:eastAsia="Arial" w:hAnsi="Arial"/>
          <w:sz w:val="13"/>
          <w:szCs w:val="13"/>
          <w:color w:val="auto"/>
        </w:rPr>
        <w:t>by the Bank by reason of:</w:t>
      </w:r>
    </w:p>
    <w:p>
      <w:pPr>
        <w:spacing w:after="0" w:line="41" w:lineRule="exact"/>
        <w:rPr>
          <w:sz w:val="20"/>
          <w:szCs w:val="20"/>
          <w:color w:val="auto"/>
        </w:rPr>
      </w:pPr>
    </w:p>
    <w:p>
      <w:pPr>
        <w:ind w:left="1140" w:hanging="504"/>
        <w:spacing w:after="0"/>
        <w:tabs>
          <w:tab w:leader="none" w:pos="1140" w:val="left"/>
        </w:tabs>
        <w:numPr>
          <w:ilvl w:val="0"/>
          <w:numId w:val="226"/>
        </w:numPr>
        <w:rPr>
          <w:rFonts w:ascii="Arial" w:cs="Arial" w:eastAsia="Arial" w:hAnsi="Arial"/>
          <w:sz w:val="13"/>
          <w:szCs w:val="13"/>
          <w:color w:val="auto"/>
        </w:rPr>
      </w:pPr>
      <w:r>
        <w:rPr>
          <w:rFonts w:ascii="Arial" w:cs="Arial" w:eastAsia="Arial" w:hAnsi="Arial"/>
          <w:sz w:val="13"/>
          <w:szCs w:val="13"/>
          <w:color w:val="auto"/>
        </w:rPr>
        <w:t>liquidating or re-deploying deposits or other funds acquired or contracted for by or on account of the Borrower or the Bank;</w:t>
      </w:r>
    </w:p>
    <w:p>
      <w:pPr>
        <w:spacing w:after="0" w:line="66" w:lineRule="exact"/>
        <w:rPr>
          <w:rFonts w:ascii="Arial" w:cs="Arial" w:eastAsia="Arial" w:hAnsi="Arial"/>
          <w:sz w:val="13"/>
          <w:szCs w:val="13"/>
          <w:color w:val="auto"/>
        </w:rPr>
      </w:pPr>
    </w:p>
    <w:p>
      <w:pPr>
        <w:ind w:left="1140" w:right="160" w:hanging="504"/>
        <w:spacing w:after="0" w:line="238" w:lineRule="auto"/>
        <w:tabs>
          <w:tab w:leader="none" w:pos="1140" w:val="left"/>
        </w:tabs>
        <w:numPr>
          <w:ilvl w:val="0"/>
          <w:numId w:val="226"/>
        </w:numPr>
        <w:rPr>
          <w:rFonts w:ascii="Arial" w:cs="Arial" w:eastAsia="Arial" w:hAnsi="Arial"/>
          <w:sz w:val="13"/>
          <w:szCs w:val="13"/>
          <w:color w:val="auto"/>
        </w:rPr>
      </w:pPr>
      <w:r>
        <w:rPr>
          <w:rFonts w:ascii="Arial" w:cs="Arial" w:eastAsia="Arial" w:hAnsi="Arial"/>
          <w:sz w:val="13"/>
          <w:szCs w:val="13"/>
          <w:color w:val="auto"/>
        </w:rPr>
        <w:t>terminating or reversing any agreement or arrangement (including by entering into new agreements or arrangements to close out or net off existing agreements or arrangements) entered into by or on account of the Borrower or the Bank with a counterparty or an internal department of the Bank responsible for such agreements or arrangements to hedge, fix, swap or limit its effective cost of funding; or</w:t>
      </w:r>
    </w:p>
    <w:p>
      <w:pPr>
        <w:spacing w:after="0" w:line="59" w:lineRule="exact"/>
        <w:rPr>
          <w:rFonts w:ascii="Arial" w:cs="Arial" w:eastAsia="Arial" w:hAnsi="Arial"/>
          <w:sz w:val="13"/>
          <w:szCs w:val="13"/>
          <w:color w:val="auto"/>
        </w:rPr>
      </w:pPr>
    </w:p>
    <w:p>
      <w:pPr>
        <w:ind w:left="1000" w:hanging="364"/>
        <w:spacing w:after="0"/>
        <w:tabs>
          <w:tab w:leader="none" w:pos="1000" w:val="left"/>
        </w:tabs>
        <w:numPr>
          <w:ilvl w:val="0"/>
          <w:numId w:val="226"/>
        </w:numPr>
        <w:rPr>
          <w:rFonts w:ascii="Arial" w:cs="Arial" w:eastAsia="Arial" w:hAnsi="Arial"/>
          <w:sz w:val="13"/>
          <w:szCs w:val="13"/>
          <w:color w:val="auto"/>
        </w:rPr>
      </w:pPr>
      <w:r>
        <w:rPr>
          <w:rFonts w:ascii="Arial" w:cs="Arial" w:eastAsia="Arial" w:hAnsi="Arial"/>
          <w:sz w:val="13"/>
          <w:szCs w:val="13"/>
          <w:color w:val="auto"/>
        </w:rPr>
        <w:t>any loss of any margins in relation to future lending or loss of any fees.</w:t>
      </w:r>
    </w:p>
    <w:p>
      <w:pPr>
        <w:spacing w:after="0" w:line="74"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auto"/>
        </w:rPr>
        <w:t xml:space="preserve">Burwood Property </w:t>
      </w:r>
      <w:r>
        <w:rPr>
          <w:rFonts w:ascii="Arial" w:cs="Arial" w:eastAsia="Arial" w:hAnsi="Arial"/>
          <w:sz w:val="13"/>
          <w:szCs w:val="13"/>
          <w:color w:val="auto"/>
        </w:rPr>
        <w:t>means:</w:t>
      </w:r>
    </w:p>
    <w:p>
      <w:pPr>
        <w:spacing w:after="0" w:line="86" w:lineRule="exact"/>
        <w:rPr>
          <w:sz w:val="20"/>
          <w:szCs w:val="20"/>
          <w:color w:val="auto"/>
        </w:rPr>
      </w:pPr>
    </w:p>
    <w:p>
      <w:pPr>
        <w:ind w:left="1880" w:hanging="1244"/>
        <w:spacing w:after="0"/>
        <w:tabs>
          <w:tab w:leader="none" w:pos="1880" w:val="left"/>
        </w:tabs>
        <w:numPr>
          <w:ilvl w:val="0"/>
          <w:numId w:val="227"/>
        </w:numPr>
        <w:rPr>
          <w:rFonts w:ascii="Arial" w:cs="Arial" w:eastAsia="Arial" w:hAnsi="Arial"/>
          <w:sz w:val="13"/>
          <w:szCs w:val="13"/>
          <w:color w:val="auto"/>
        </w:rPr>
      </w:pPr>
      <w:r>
        <w:rPr>
          <w:rFonts w:ascii="Arial" w:cs="Arial" w:eastAsia="Arial" w:hAnsi="Arial"/>
          <w:sz w:val="13"/>
          <w:szCs w:val="13"/>
          <w:color w:val="auto"/>
        </w:rPr>
        <w:t>the land and improvements known as 78 Middleborough Road, Old Burwood Road, Burwood, Victoria; and</w:t>
      </w:r>
    </w:p>
    <w:p>
      <w:pPr>
        <w:spacing w:after="0" w:line="66" w:lineRule="exact"/>
        <w:rPr>
          <w:rFonts w:ascii="Arial" w:cs="Arial" w:eastAsia="Arial" w:hAnsi="Arial"/>
          <w:sz w:val="13"/>
          <w:szCs w:val="13"/>
          <w:color w:val="auto"/>
        </w:rPr>
      </w:pPr>
    </w:p>
    <w:p>
      <w:pPr>
        <w:ind w:left="1100" w:right="60" w:hanging="464"/>
        <w:spacing w:after="0" w:line="244" w:lineRule="auto"/>
        <w:tabs>
          <w:tab w:leader="none" w:pos="1100" w:val="left"/>
        </w:tabs>
        <w:numPr>
          <w:ilvl w:val="0"/>
          <w:numId w:val="227"/>
        </w:numPr>
        <w:rPr>
          <w:rFonts w:ascii="Arial" w:cs="Arial" w:eastAsia="Arial" w:hAnsi="Arial"/>
          <w:sz w:val="13"/>
          <w:szCs w:val="13"/>
          <w:color w:val="auto"/>
        </w:rPr>
      </w:pPr>
      <w:r>
        <w:rPr>
          <w:rFonts w:ascii="Arial" w:cs="Arial" w:eastAsia="Arial" w:hAnsi="Arial"/>
          <w:sz w:val="13"/>
          <w:szCs w:val="13"/>
          <w:color w:val="auto"/>
        </w:rPr>
        <w:t>all present or future agreements, documents or rights relating to the ownership, occupation, use, sale, transfer or disposal of all or any part of the land and improvements described in paragraph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161925</wp:posOffset>
            </wp:positionV>
            <wp:extent cx="6208395"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208395" cy="42545"/>
                    </a:xfrm>
                    <a:prstGeom prst="rect">
                      <a:avLst/>
                    </a:prstGeom>
                    <a:noFill/>
                  </pic:spPr>
                </pic:pic>
              </a:graphicData>
            </a:graphic>
          </wp:anchor>
        </w:drawing>
      </w:r>
    </w:p>
    <w:p>
      <w:pPr>
        <w:sectPr>
          <w:pgSz w:w="11900" w:h="16838" w:orient="portrait"/>
          <w:cols w:equalWidth="0" w:num="1">
            <w:col w:w="9380"/>
          </w:cols>
          <w:pgMar w:left="1440" w:top="560" w:right="1079" w:bottom="1440" w:gutter="0" w:footer="0" w:header="0"/>
        </w:sectPr>
      </w:pPr>
    </w:p>
    <w:bookmarkStart w:id="225" w:name="page226"/>
    <w:bookmarkEnd w:id="225"/>
    <w:p>
      <w:pPr>
        <w:ind w:left="640"/>
        <w:spacing w:after="0"/>
        <w:rPr>
          <w:sz w:val="20"/>
          <w:szCs w:val="20"/>
          <w:color w:val="auto"/>
        </w:rPr>
      </w:pPr>
      <w:r>
        <w:rPr>
          <w:rFonts w:ascii="Arial" w:cs="Arial" w:eastAsia="Arial" w:hAnsi="Arial"/>
          <w:sz w:val="13"/>
          <w:szCs w:val="13"/>
          <w:b w:val="1"/>
          <w:bCs w:val="1"/>
          <w:color w:val="auto"/>
        </w:rPr>
        <w:t xml:space="preserve">Business Day </w:t>
      </w:r>
      <w:r>
        <w:rPr>
          <w:rFonts w:ascii="Arial" w:cs="Arial" w:eastAsia="Arial" w:hAnsi="Arial"/>
          <w:sz w:val="13"/>
          <w:szCs w:val="13"/>
          <w:color w:val="auto"/>
        </w:rPr>
        <w:t>means a day which is not a Saturday, Sunday or bank or public holiday in Melbourne.</w:t>
      </w:r>
    </w:p>
    <w:p>
      <w:pPr>
        <w:spacing w:after="0" w:line="67" w:lineRule="exact"/>
        <w:rPr>
          <w:sz w:val="20"/>
          <w:szCs w:val="20"/>
          <w:color w:val="auto"/>
        </w:rPr>
      </w:pPr>
    </w:p>
    <w:p>
      <w:pPr>
        <w:ind w:left="640" w:right="60"/>
        <w:spacing w:after="0" w:line="269" w:lineRule="auto"/>
        <w:rPr>
          <w:sz w:val="20"/>
          <w:szCs w:val="20"/>
          <w:color w:val="auto"/>
        </w:rPr>
      </w:pPr>
      <w:r>
        <w:rPr>
          <w:rFonts w:ascii="Arial" w:cs="Arial" w:eastAsia="Arial" w:hAnsi="Arial"/>
          <w:sz w:val="13"/>
          <w:szCs w:val="13"/>
          <w:b w:val="1"/>
          <w:bCs w:val="1"/>
          <w:color w:val="auto"/>
        </w:rPr>
        <w:t xml:space="preserve">Cash Cover Rate </w:t>
      </w:r>
      <w:r>
        <w:rPr>
          <w:rFonts w:ascii="Arial" w:cs="Arial" w:eastAsia="Arial" w:hAnsi="Arial"/>
          <w:sz w:val="13"/>
          <w:szCs w:val="13"/>
          <w:color w:val="auto"/>
        </w:rPr>
        <w:t>means the rate (expressed as a rate per centum per annum) determined by the Bank (in good faith) to be the interest rate which it</w:t>
      </w:r>
      <w:r>
        <w:rPr>
          <w:rFonts w:ascii="Arial" w:cs="Arial" w:eastAsia="Arial" w:hAnsi="Arial"/>
          <w:sz w:val="13"/>
          <w:szCs w:val="13"/>
          <w:b w:val="1"/>
          <w:bCs w:val="1"/>
          <w:color w:val="auto"/>
        </w:rPr>
        <w:t xml:space="preserve"> </w:t>
      </w:r>
      <w:r>
        <w:rPr>
          <w:rFonts w:ascii="Arial" w:cs="Arial" w:eastAsia="Arial" w:hAnsi="Arial"/>
          <w:sz w:val="13"/>
          <w:szCs w:val="13"/>
          <w:color w:val="auto"/>
        </w:rPr>
        <w:t>would pay on deposits at call for an amount similar to the amount at which the relevant deposit is made.</w:t>
      </w:r>
    </w:p>
    <w:p>
      <w:pPr>
        <w:spacing w:after="0" w:line="22"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auto"/>
        </w:rPr>
        <w:t xml:space="preserve">Calculation Date </w:t>
      </w:r>
      <w:r>
        <w:rPr>
          <w:rFonts w:ascii="Arial" w:cs="Arial" w:eastAsia="Arial" w:hAnsi="Arial"/>
          <w:sz w:val="13"/>
          <w:szCs w:val="13"/>
          <w:color w:val="auto"/>
        </w:rPr>
        <w:t>means 31 March, 30 June, 30 September and 31 December in each year.</w:t>
      </w:r>
    </w:p>
    <w:p>
      <w:pPr>
        <w:spacing w:after="0" w:line="49"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auto"/>
        </w:rPr>
        <w:t xml:space="preserve">Calculation Period </w:t>
      </w:r>
      <w:r>
        <w:rPr>
          <w:rFonts w:ascii="Arial" w:cs="Arial" w:eastAsia="Arial" w:hAnsi="Arial"/>
          <w:sz w:val="13"/>
          <w:szCs w:val="13"/>
          <w:color w:val="auto"/>
        </w:rPr>
        <w:t>means each period of twelve months ending on a Calculation Date.</w:t>
      </w:r>
    </w:p>
    <w:p>
      <w:pPr>
        <w:spacing w:after="0" w:line="52" w:lineRule="exact"/>
        <w:rPr>
          <w:sz w:val="20"/>
          <w:szCs w:val="20"/>
          <w:color w:val="auto"/>
        </w:rPr>
      </w:pPr>
    </w:p>
    <w:p>
      <w:pPr>
        <w:ind w:left="640" w:right="240"/>
        <w:spacing w:after="0" w:line="269" w:lineRule="auto"/>
        <w:rPr>
          <w:sz w:val="20"/>
          <w:szCs w:val="20"/>
          <w:color w:val="auto"/>
        </w:rPr>
      </w:pPr>
      <w:r>
        <w:rPr>
          <w:rFonts w:ascii="Arial" w:cs="Arial" w:eastAsia="Arial" w:hAnsi="Arial"/>
          <w:sz w:val="13"/>
          <w:szCs w:val="13"/>
          <w:b w:val="1"/>
          <w:bCs w:val="1"/>
          <w:color w:val="auto"/>
        </w:rPr>
        <w:t xml:space="preserve">Change of Control </w:t>
      </w:r>
      <w:r>
        <w:rPr>
          <w:rFonts w:ascii="Arial" w:cs="Arial" w:eastAsia="Arial" w:hAnsi="Arial"/>
          <w:sz w:val="13"/>
          <w:szCs w:val="13"/>
          <w:color w:val="auto"/>
        </w:rPr>
        <w:t>means there is a change (from that prevailing at the date of this document) in the persons who control any of the following in</w:t>
      </w:r>
      <w:r>
        <w:rPr>
          <w:rFonts w:ascii="Arial" w:cs="Arial" w:eastAsia="Arial" w:hAnsi="Arial"/>
          <w:sz w:val="13"/>
          <w:szCs w:val="13"/>
          <w:b w:val="1"/>
          <w:bCs w:val="1"/>
          <w:color w:val="auto"/>
        </w:rPr>
        <w:t xml:space="preserve"> </w:t>
      </w:r>
      <w:r>
        <w:rPr>
          <w:rFonts w:ascii="Arial" w:cs="Arial" w:eastAsia="Arial" w:hAnsi="Arial"/>
          <w:sz w:val="13"/>
          <w:szCs w:val="13"/>
          <w:color w:val="auto"/>
        </w:rPr>
        <w:t>respect of a Transaction Party:</w:t>
      </w:r>
    </w:p>
    <w:p>
      <w:pPr>
        <w:spacing w:after="0" w:line="41" w:lineRule="exact"/>
        <w:rPr>
          <w:sz w:val="20"/>
          <w:szCs w:val="20"/>
          <w:color w:val="auto"/>
        </w:rPr>
      </w:pPr>
    </w:p>
    <w:p>
      <w:pPr>
        <w:ind w:left="1340" w:hanging="704"/>
        <w:spacing w:after="0"/>
        <w:tabs>
          <w:tab w:leader="none" w:pos="1340" w:val="left"/>
        </w:tabs>
        <w:numPr>
          <w:ilvl w:val="0"/>
          <w:numId w:val="228"/>
        </w:numPr>
        <w:rPr>
          <w:rFonts w:ascii="Arial" w:cs="Arial" w:eastAsia="Arial" w:hAnsi="Arial"/>
          <w:sz w:val="13"/>
          <w:szCs w:val="13"/>
          <w:color w:val="auto"/>
        </w:rPr>
      </w:pPr>
      <w:r>
        <w:rPr>
          <w:rFonts w:ascii="Arial" w:cs="Arial" w:eastAsia="Arial" w:hAnsi="Arial"/>
          <w:sz w:val="13"/>
          <w:szCs w:val="13"/>
          <w:color w:val="auto"/>
        </w:rPr>
        <w:t>more than 50% of the votes eligible to be cast in the election of directors or any similar matter; or</w:t>
      </w:r>
    </w:p>
    <w:p>
      <w:pPr>
        <w:spacing w:after="0" w:line="66" w:lineRule="exact"/>
        <w:rPr>
          <w:rFonts w:ascii="Arial" w:cs="Arial" w:eastAsia="Arial" w:hAnsi="Arial"/>
          <w:sz w:val="13"/>
          <w:szCs w:val="13"/>
          <w:color w:val="auto"/>
        </w:rPr>
      </w:pPr>
    </w:p>
    <w:p>
      <w:pPr>
        <w:ind w:left="1080" w:right="160" w:hanging="444"/>
        <w:spacing w:after="0" w:line="244" w:lineRule="auto"/>
        <w:tabs>
          <w:tab w:leader="none" w:pos="1080" w:val="left"/>
        </w:tabs>
        <w:numPr>
          <w:ilvl w:val="0"/>
          <w:numId w:val="228"/>
        </w:numPr>
        <w:rPr>
          <w:rFonts w:ascii="Arial" w:cs="Arial" w:eastAsia="Arial" w:hAnsi="Arial"/>
          <w:sz w:val="13"/>
          <w:szCs w:val="13"/>
          <w:color w:val="auto"/>
        </w:rPr>
      </w:pPr>
      <w:r>
        <w:rPr>
          <w:rFonts w:ascii="Arial" w:cs="Arial" w:eastAsia="Arial" w:hAnsi="Arial"/>
          <w:sz w:val="13"/>
          <w:szCs w:val="13"/>
          <w:color w:val="auto"/>
        </w:rPr>
        <w:t>the right to appoint or remove directors (or members of a governing body having functions similar to a board of directors) representing more than 50% of the votes exercisable by the directors (or persons have similar functions); or</w:t>
      </w:r>
    </w:p>
    <w:p>
      <w:pPr>
        <w:spacing w:after="0" w:line="47" w:lineRule="exact"/>
        <w:rPr>
          <w:rFonts w:ascii="Arial" w:cs="Arial" w:eastAsia="Arial" w:hAnsi="Arial"/>
          <w:sz w:val="13"/>
          <w:szCs w:val="13"/>
          <w:color w:val="auto"/>
        </w:rPr>
      </w:pPr>
    </w:p>
    <w:p>
      <w:pPr>
        <w:ind w:left="1400" w:hanging="764"/>
        <w:spacing w:after="0"/>
        <w:tabs>
          <w:tab w:leader="none" w:pos="1400" w:val="left"/>
        </w:tabs>
        <w:numPr>
          <w:ilvl w:val="0"/>
          <w:numId w:val="228"/>
        </w:numPr>
        <w:rPr>
          <w:rFonts w:ascii="Arial" w:cs="Arial" w:eastAsia="Arial" w:hAnsi="Arial"/>
          <w:sz w:val="13"/>
          <w:szCs w:val="13"/>
          <w:color w:val="auto"/>
        </w:rPr>
      </w:pPr>
      <w:r>
        <w:rPr>
          <w:rFonts w:ascii="Arial" w:cs="Arial" w:eastAsia="Arial" w:hAnsi="Arial"/>
          <w:sz w:val="13"/>
          <w:szCs w:val="13"/>
          <w:color w:val="auto"/>
        </w:rPr>
        <w:t>an interest of more than 50% in any category of the profits, distributions or net liquidation proceeds.</w:t>
      </w:r>
    </w:p>
    <w:p>
      <w:pPr>
        <w:spacing w:after="0" w:line="56"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auto"/>
        </w:rPr>
        <w:t xml:space="preserve">Collateral Security </w:t>
      </w:r>
      <w:r>
        <w:rPr>
          <w:rFonts w:ascii="Arial" w:cs="Arial" w:eastAsia="Arial" w:hAnsi="Arial"/>
          <w:sz w:val="13"/>
          <w:szCs w:val="13"/>
          <w:color w:val="auto"/>
        </w:rPr>
        <w:t>means:</w:t>
      </w:r>
    </w:p>
    <w:p>
      <w:pPr>
        <w:spacing w:after="0" w:line="86" w:lineRule="exact"/>
        <w:rPr>
          <w:sz w:val="20"/>
          <w:szCs w:val="20"/>
          <w:color w:val="auto"/>
        </w:rPr>
      </w:pPr>
    </w:p>
    <w:p>
      <w:pPr>
        <w:ind w:left="1120" w:hanging="484"/>
        <w:spacing w:after="0"/>
        <w:tabs>
          <w:tab w:leader="none" w:pos="1120" w:val="left"/>
        </w:tabs>
        <w:numPr>
          <w:ilvl w:val="0"/>
          <w:numId w:val="229"/>
        </w:numPr>
        <w:rPr>
          <w:rFonts w:ascii="Arial" w:cs="Arial" w:eastAsia="Arial" w:hAnsi="Arial"/>
          <w:sz w:val="13"/>
          <w:szCs w:val="13"/>
          <w:color w:val="auto"/>
        </w:rPr>
      </w:pPr>
      <w:r>
        <w:rPr>
          <w:rFonts w:ascii="Arial" w:cs="Arial" w:eastAsia="Arial" w:hAnsi="Arial"/>
          <w:sz w:val="13"/>
          <w:szCs w:val="13"/>
          <w:color w:val="auto"/>
        </w:rPr>
        <w:t>any Guarantee by which any person Guarantees the Borrower’s compliance with its obligations under any of the Transaction Documents;</w:t>
      </w:r>
    </w:p>
    <w:p>
      <w:pPr>
        <w:spacing w:after="0" w:line="75" w:lineRule="exact"/>
        <w:rPr>
          <w:rFonts w:ascii="Arial" w:cs="Arial" w:eastAsia="Arial" w:hAnsi="Arial"/>
          <w:sz w:val="13"/>
          <w:szCs w:val="13"/>
          <w:color w:val="auto"/>
        </w:rPr>
      </w:pPr>
    </w:p>
    <w:p>
      <w:pPr>
        <w:ind w:left="1720" w:hanging="1084"/>
        <w:spacing w:after="0"/>
        <w:tabs>
          <w:tab w:leader="none" w:pos="1720" w:val="left"/>
        </w:tabs>
        <w:numPr>
          <w:ilvl w:val="0"/>
          <w:numId w:val="229"/>
        </w:numPr>
        <w:rPr>
          <w:rFonts w:ascii="Arial" w:cs="Arial" w:eastAsia="Arial" w:hAnsi="Arial"/>
          <w:sz w:val="13"/>
          <w:szCs w:val="13"/>
          <w:color w:val="auto"/>
        </w:rPr>
      </w:pPr>
      <w:r>
        <w:rPr>
          <w:rFonts w:ascii="Arial" w:cs="Arial" w:eastAsia="Arial" w:hAnsi="Arial"/>
          <w:sz w:val="13"/>
          <w:szCs w:val="13"/>
          <w:color w:val="auto"/>
        </w:rPr>
        <w:t>any Security which secures the payment of money owing (actually or contingently) from time to time by:</w:t>
      </w:r>
    </w:p>
    <w:p>
      <w:pPr>
        <w:spacing w:after="0" w:line="63" w:lineRule="exact"/>
        <w:rPr>
          <w:sz w:val="20"/>
          <w:szCs w:val="20"/>
          <w:color w:val="auto"/>
        </w:rPr>
      </w:pPr>
    </w:p>
    <w:p>
      <w:pPr>
        <w:ind w:left="980"/>
        <w:spacing w:after="0"/>
        <w:tabs>
          <w:tab w:leader="none" w:pos="2840" w:val="left"/>
        </w:tabs>
        <w:rPr>
          <w:sz w:val="20"/>
          <w:szCs w:val="20"/>
          <w:color w:val="auto"/>
        </w:rPr>
      </w:pPr>
      <w:r>
        <w:rPr>
          <w:rFonts w:ascii="Arial" w:cs="Arial" w:eastAsia="Arial" w:hAnsi="Arial"/>
          <w:sz w:val="13"/>
          <w:szCs w:val="13"/>
          <w:color w:val="auto"/>
        </w:rPr>
        <w:t>(i)</w:t>
      </w:r>
      <w:r>
        <w:rPr>
          <w:sz w:val="20"/>
          <w:szCs w:val="20"/>
          <w:color w:val="auto"/>
        </w:rPr>
        <w:tab/>
      </w:r>
      <w:r>
        <w:rPr>
          <w:rFonts w:ascii="Arial" w:cs="Arial" w:eastAsia="Arial" w:hAnsi="Arial"/>
          <w:sz w:val="13"/>
          <w:szCs w:val="13"/>
          <w:color w:val="auto"/>
        </w:rPr>
        <w:t>any Transaction Party in relation to any of the Transaction Documents; or</w:t>
      </w:r>
    </w:p>
    <w:p>
      <w:pPr>
        <w:spacing w:after="0" w:line="70" w:lineRule="exact"/>
        <w:rPr>
          <w:sz w:val="20"/>
          <w:szCs w:val="20"/>
          <w:color w:val="auto"/>
        </w:rPr>
      </w:pPr>
    </w:p>
    <w:p>
      <w:pPr>
        <w:ind w:left="1740" w:right="360" w:hanging="752"/>
        <w:spacing w:after="0" w:line="244" w:lineRule="auto"/>
        <w:tabs>
          <w:tab w:leader="none" w:pos="1740" w:val="left"/>
        </w:tabs>
        <w:numPr>
          <w:ilvl w:val="1"/>
          <w:numId w:val="230"/>
        </w:numPr>
        <w:rPr>
          <w:rFonts w:ascii="Arial" w:cs="Arial" w:eastAsia="Arial" w:hAnsi="Arial"/>
          <w:sz w:val="13"/>
          <w:szCs w:val="13"/>
          <w:color w:val="auto"/>
        </w:rPr>
      </w:pPr>
      <w:r>
        <w:rPr>
          <w:rFonts w:ascii="Arial" w:cs="Arial" w:eastAsia="Arial" w:hAnsi="Arial"/>
          <w:sz w:val="13"/>
          <w:szCs w:val="13"/>
          <w:color w:val="auto"/>
        </w:rPr>
        <w:t>any person in relation to a Guarantee of any Transaction Party’s compliance with its obligations under any of the Transaction Documents; and</w:t>
      </w:r>
    </w:p>
    <w:p>
      <w:pPr>
        <w:spacing w:after="0" w:line="40" w:lineRule="exact"/>
        <w:rPr>
          <w:rFonts w:ascii="Arial" w:cs="Arial" w:eastAsia="Arial" w:hAnsi="Arial"/>
          <w:sz w:val="13"/>
          <w:szCs w:val="13"/>
          <w:color w:val="auto"/>
        </w:rPr>
      </w:pPr>
    </w:p>
    <w:p>
      <w:pPr>
        <w:ind w:left="1440" w:hanging="804"/>
        <w:spacing w:after="0"/>
        <w:tabs>
          <w:tab w:leader="none" w:pos="1440" w:val="left"/>
        </w:tabs>
        <w:numPr>
          <w:ilvl w:val="0"/>
          <w:numId w:val="231"/>
        </w:numPr>
        <w:rPr>
          <w:rFonts w:ascii="Arial" w:cs="Arial" w:eastAsia="Arial" w:hAnsi="Arial"/>
          <w:sz w:val="13"/>
          <w:szCs w:val="13"/>
          <w:color w:val="auto"/>
        </w:rPr>
      </w:pPr>
      <w:r>
        <w:rPr>
          <w:rFonts w:ascii="Arial" w:cs="Arial" w:eastAsia="Arial" w:hAnsi="Arial"/>
          <w:sz w:val="13"/>
          <w:szCs w:val="13"/>
          <w:color w:val="auto"/>
        </w:rPr>
        <w:t xml:space="preserve">without limiting the generality of paragraphs (a) and (b) each thing listed in </w:t>
      </w:r>
      <w:r>
        <w:rPr>
          <w:rFonts w:ascii="Arial" w:cs="Arial" w:eastAsia="Arial" w:hAnsi="Arial"/>
          <w:sz w:val="13"/>
          <w:szCs w:val="13"/>
          <w:b w:val="1"/>
          <w:bCs w:val="1"/>
          <w:color w:val="auto"/>
        </w:rPr>
        <w:t>schedule 3</w:t>
      </w:r>
      <w:r>
        <w:rPr>
          <w:rFonts w:ascii="Arial" w:cs="Arial" w:eastAsia="Arial" w:hAnsi="Arial"/>
          <w:sz w:val="13"/>
          <w:szCs w:val="13"/>
          <w:color w:val="auto"/>
        </w:rPr>
        <w:t>.</w:t>
      </w:r>
    </w:p>
    <w:p>
      <w:pPr>
        <w:spacing w:after="0" w:line="58" w:lineRule="exact"/>
        <w:rPr>
          <w:sz w:val="20"/>
          <w:szCs w:val="20"/>
          <w:color w:val="auto"/>
        </w:rPr>
      </w:pPr>
    </w:p>
    <w:p>
      <w:pPr>
        <w:ind w:left="640"/>
        <w:spacing w:after="0" w:line="250" w:lineRule="auto"/>
        <w:rPr>
          <w:sz w:val="20"/>
          <w:szCs w:val="20"/>
          <w:color w:val="auto"/>
        </w:rPr>
      </w:pPr>
      <w:r>
        <w:rPr>
          <w:rFonts w:ascii="Arial" w:cs="Arial" w:eastAsia="Arial" w:hAnsi="Arial"/>
          <w:sz w:val="13"/>
          <w:szCs w:val="13"/>
          <w:b w:val="1"/>
          <w:bCs w:val="1"/>
          <w:color w:val="auto"/>
        </w:rPr>
        <w:t xml:space="preserve">Contaminant </w:t>
      </w:r>
      <w:r>
        <w:rPr>
          <w:rFonts w:ascii="Arial" w:cs="Arial" w:eastAsia="Arial" w:hAnsi="Arial"/>
          <w:sz w:val="13"/>
          <w:szCs w:val="13"/>
          <w:color w:val="auto"/>
        </w:rPr>
        <w:t>means a noxious, harmful or hazardous condition (including an odour, temperature, sound, vibration or radiation) or substance the</w:t>
      </w:r>
      <w:r>
        <w:rPr>
          <w:rFonts w:ascii="Arial" w:cs="Arial" w:eastAsia="Arial" w:hAnsi="Arial"/>
          <w:sz w:val="13"/>
          <w:szCs w:val="13"/>
          <w:b w:val="1"/>
          <w:bCs w:val="1"/>
          <w:color w:val="auto"/>
        </w:rPr>
        <w:t xml:space="preserve"> </w:t>
      </w:r>
      <w:r>
        <w:rPr>
          <w:rFonts w:ascii="Arial" w:cs="Arial" w:eastAsia="Arial" w:hAnsi="Arial"/>
          <w:sz w:val="13"/>
          <w:szCs w:val="13"/>
          <w:color w:val="auto"/>
        </w:rPr>
        <w:t>presence or use of which (having regard, without limitation, to the nature and quantity of the substance and other substances with which it is stored or used) does or may result in the breach of an Environmental Law or the issuing of an order or direction under an Environmental Law.</w:t>
      </w:r>
    </w:p>
    <w:p>
      <w:pPr>
        <w:spacing w:after="0" w:line="43"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auto"/>
        </w:rPr>
        <w:t xml:space="preserve">Corporate Markets Loan Facility </w:t>
      </w:r>
      <w:r>
        <w:rPr>
          <w:rFonts w:ascii="Arial" w:cs="Arial" w:eastAsia="Arial" w:hAnsi="Arial"/>
          <w:sz w:val="13"/>
          <w:szCs w:val="13"/>
          <w:color w:val="auto"/>
        </w:rPr>
        <w:t>means the Facility described as such in</w:t>
      </w:r>
    </w:p>
    <w:p>
      <w:pPr>
        <w:spacing w:after="0" w:line="19"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auto"/>
        </w:rPr>
        <w:t xml:space="preserve">schedule 2 </w:t>
      </w:r>
      <w:r>
        <w:rPr>
          <w:rFonts w:ascii="Arial" w:cs="Arial" w:eastAsia="Arial" w:hAnsi="Arial"/>
          <w:sz w:val="13"/>
          <w:szCs w:val="13"/>
          <w:color w:val="auto"/>
        </w:rPr>
        <w:t>and granted pursuant to</w:t>
      </w:r>
      <w:r>
        <w:rPr>
          <w:rFonts w:ascii="Arial" w:cs="Arial" w:eastAsia="Arial" w:hAnsi="Arial"/>
          <w:sz w:val="13"/>
          <w:szCs w:val="13"/>
          <w:b w:val="1"/>
          <w:bCs w:val="1"/>
          <w:color w:val="auto"/>
        </w:rPr>
        <w:t xml:space="preserve"> clause 4.1(a)(i)</w:t>
      </w:r>
      <w:r>
        <w:rPr>
          <w:rFonts w:ascii="Arial" w:cs="Arial" w:eastAsia="Arial" w:hAnsi="Arial"/>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177165</wp:posOffset>
            </wp:positionV>
            <wp:extent cx="6208395"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208395" cy="42545"/>
                    </a:xfrm>
                    <a:prstGeom prst="rect">
                      <a:avLst/>
                    </a:prstGeom>
                    <a:noFill/>
                  </pic:spPr>
                </pic:pic>
              </a:graphicData>
            </a:graphic>
          </wp:anchor>
        </w:drawing>
      </w:r>
    </w:p>
    <w:p>
      <w:pPr>
        <w:sectPr>
          <w:pgSz w:w="11900" w:h="16838" w:orient="portrait"/>
          <w:cols w:equalWidth="0" w:num="1">
            <w:col w:w="9360"/>
          </w:cols>
          <w:pgMar w:left="1440" w:top="545" w:right="1099" w:bottom="1440" w:gutter="0" w:footer="0" w:header="0"/>
        </w:sectPr>
      </w:pPr>
    </w:p>
    <w:bookmarkStart w:id="226" w:name="page227"/>
    <w:bookmarkEnd w:id="226"/>
    <w:p>
      <w:pPr>
        <w:ind w:left="640"/>
        <w:spacing w:after="0"/>
        <w:rPr>
          <w:sz w:val="20"/>
          <w:szCs w:val="20"/>
          <w:color w:val="auto"/>
        </w:rPr>
      </w:pPr>
      <w:r>
        <w:rPr>
          <w:rFonts w:ascii="Arial" w:cs="Arial" w:eastAsia="Arial" w:hAnsi="Arial"/>
          <w:sz w:val="13"/>
          <w:szCs w:val="13"/>
          <w:b w:val="1"/>
          <w:bCs w:val="1"/>
          <w:color w:val="auto"/>
        </w:rPr>
        <w:t xml:space="preserve">Corporations Act </w:t>
      </w:r>
      <w:r>
        <w:rPr>
          <w:rFonts w:ascii="Arial" w:cs="Arial" w:eastAsia="Arial" w:hAnsi="Arial"/>
          <w:sz w:val="13"/>
          <w:szCs w:val="13"/>
          <w:color w:val="auto"/>
        </w:rPr>
        <w:t>means the</w:t>
      </w:r>
      <w:r>
        <w:rPr>
          <w:rFonts w:ascii="Arial" w:cs="Arial" w:eastAsia="Arial" w:hAnsi="Arial"/>
          <w:sz w:val="13"/>
          <w:szCs w:val="13"/>
          <w:b w:val="1"/>
          <w:bCs w:val="1"/>
          <w:color w:val="auto"/>
        </w:rPr>
        <w:t xml:space="preserve"> </w:t>
      </w:r>
      <w:r>
        <w:rPr>
          <w:rFonts w:ascii="Arial" w:cs="Arial" w:eastAsia="Arial" w:hAnsi="Arial"/>
          <w:sz w:val="13"/>
          <w:szCs w:val="13"/>
          <w:i w:val="1"/>
          <w:iCs w:val="1"/>
          <w:color w:val="auto"/>
        </w:rPr>
        <w:t>Corporations Act 2001</w:t>
      </w:r>
      <w:r>
        <w:rPr>
          <w:rFonts w:ascii="Arial" w:cs="Arial" w:eastAsia="Arial" w:hAnsi="Arial"/>
          <w:sz w:val="13"/>
          <w:szCs w:val="13"/>
          <w:b w:val="1"/>
          <w:bCs w:val="1"/>
          <w:color w:val="auto"/>
        </w:rPr>
        <w:t xml:space="preserve"> </w:t>
      </w:r>
      <w:r>
        <w:rPr>
          <w:rFonts w:ascii="Arial" w:cs="Arial" w:eastAsia="Arial" w:hAnsi="Arial"/>
          <w:sz w:val="13"/>
          <w:szCs w:val="13"/>
          <w:color w:val="auto"/>
        </w:rPr>
        <w:t>(Cth).</w:t>
      </w:r>
    </w:p>
    <w:p>
      <w:pPr>
        <w:spacing w:after="0" w:line="67"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auto"/>
        </w:rPr>
        <w:t xml:space="preserve">Current Bank Guarantee </w:t>
      </w:r>
      <w:r>
        <w:rPr>
          <w:rFonts w:ascii="Arial" w:cs="Arial" w:eastAsia="Arial" w:hAnsi="Arial"/>
          <w:sz w:val="13"/>
          <w:szCs w:val="13"/>
          <w:color w:val="auto"/>
        </w:rPr>
        <w:t>means a Bank Guarantee which has not Matured or Expired.</w:t>
      </w:r>
    </w:p>
    <w:p>
      <w:pPr>
        <w:spacing w:after="0" w:line="49"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auto"/>
        </w:rPr>
        <w:t xml:space="preserve">Daily Interest Rate </w:t>
      </w:r>
      <w:r>
        <w:rPr>
          <w:rFonts w:ascii="Arial" w:cs="Arial" w:eastAsia="Arial" w:hAnsi="Arial"/>
          <w:sz w:val="13"/>
          <w:szCs w:val="13"/>
          <w:color w:val="auto"/>
        </w:rPr>
        <w:t>means, for any day, the Interest Rate on that day divided by 365.</w:t>
      </w:r>
    </w:p>
    <w:p>
      <w:pPr>
        <w:spacing w:after="0" w:line="43"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auto"/>
        </w:rPr>
        <w:t xml:space="preserve">Disposal </w:t>
      </w:r>
      <w:r>
        <w:rPr>
          <w:rFonts w:ascii="Arial" w:cs="Arial" w:eastAsia="Arial" w:hAnsi="Arial"/>
          <w:sz w:val="13"/>
          <w:szCs w:val="13"/>
          <w:color w:val="auto"/>
        </w:rPr>
        <w:t>means a sale, lease, transfer or other disposal by any Transaction Party of any interest in:</w:t>
      </w:r>
    </w:p>
    <w:p>
      <w:pPr>
        <w:spacing w:after="0" w:line="83" w:lineRule="exact"/>
        <w:rPr>
          <w:sz w:val="20"/>
          <w:szCs w:val="20"/>
          <w:color w:val="auto"/>
        </w:rPr>
      </w:pPr>
    </w:p>
    <w:p>
      <w:pPr>
        <w:ind w:left="1060" w:right="780" w:hanging="424"/>
        <w:spacing w:after="0" w:line="244" w:lineRule="auto"/>
        <w:tabs>
          <w:tab w:leader="none" w:pos="1060" w:val="left"/>
        </w:tabs>
        <w:numPr>
          <w:ilvl w:val="0"/>
          <w:numId w:val="232"/>
        </w:numPr>
        <w:rPr>
          <w:rFonts w:ascii="Arial" w:cs="Arial" w:eastAsia="Arial" w:hAnsi="Arial"/>
          <w:sz w:val="13"/>
          <w:szCs w:val="13"/>
          <w:color w:val="auto"/>
        </w:rPr>
      </w:pPr>
      <w:r>
        <w:rPr>
          <w:rFonts w:ascii="Arial" w:cs="Arial" w:eastAsia="Arial" w:hAnsi="Arial"/>
          <w:sz w:val="13"/>
          <w:szCs w:val="13"/>
          <w:color w:val="auto"/>
        </w:rPr>
        <w:t>any share or stock (whether or not ordinary or preference and whether or not redeemable) or any other instrument convertible or exchangeable into or entitling a person to acquire or subscribe for any share or stock;</w:t>
      </w:r>
    </w:p>
    <w:p>
      <w:pPr>
        <w:spacing w:after="0" w:line="56" w:lineRule="exact"/>
        <w:rPr>
          <w:rFonts w:ascii="Arial" w:cs="Arial" w:eastAsia="Arial" w:hAnsi="Arial"/>
          <w:sz w:val="13"/>
          <w:szCs w:val="13"/>
          <w:color w:val="auto"/>
        </w:rPr>
      </w:pPr>
    </w:p>
    <w:p>
      <w:pPr>
        <w:ind w:left="1020" w:hanging="384"/>
        <w:spacing w:after="0"/>
        <w:tabs>
          <w:tab w:leader="none" w:pos="1020" w:val="left"/>
        </w:tabs>
        <w:numPr>
          <w:ilvl w:val="0"/>
          <w:numId w:val="232"/>
        </w:numPr>
        <w:rPr>
          <w:rFonts w:ascii="Arial" w:cs="Arial" w:eastAsia="Arial" w:hAnsi="Arial"/>
          <w:sz w:val="13"/>
          <w:szCs w:val="13"/>
          <w:color w:val="auto"/>
        </w:rPr>
      </w:pPr>
      <w:r>
        <w:rPr>
          <w:rFonts w:ascii="Arial" w:cs="Arial" w:eastAsia="Arial" w:hAnsi="Arial"/>
          <w:sz w:val="13"/>
          <w:szCs w:val="13"/>
          <w:color w:val="auto"/>
        </w:rPr>
        <w:t>the whole or any part of a business, business unit or line of business; or</w:t>
      </w:r>
    </w:p>
    <w:p>
      <w:pPr>
        <w:spacing w:after="0" w:line="75" w:lineRule="exact"/>
        <w:rPr>
          <w:rFonts w:ascii="Arial" w:cs="Arial" w:eastAsia="Arial" w:hAnsi="Arial"/>
          <w:sz w:val="13"/>
          <w:szCs w:val="13"/>
          <w:color w:val="auto"/>
        </w:rPr>
      </w:pPr>
    </w:p>
    <w:p>
      <w:pPr>
        <w:ind w:left="1140" w:right="200" w:hanging="504"/>
        <w:spacing w:after="0" w:line="244" w:lineRule="auto"/>
        <w:tabs>
          <w:tab w:leader="none" w:pos="1140" w:val="left"/>
        </w:tabs>
        <w:numPr>
          <w:ilvl w:val="0"/>
          <w:numId w:val="232"/>
        </w:numPr>
        <w:rPr>
          <w:rFonts w:ascii="Arial" w:cs="Arial" w:eastAsia="Arial" w:hAnsi="Arial"/>
          <w:sz w:val="13"/>
          <w:szCs w:val="13"/>
          <w:color w:val="auto"/>
        </w:rPr>
      </w:pPr>
      <w:r>
        <w:rPr>
          <w:rFonts w:ascii="Arial" w:cs="Arial" w:eastAsia="Arial" w:hAnsi="Arial"/>
          <w:sz w:val="13"/>
          <w:szCs w:val="13"/>
          <w:color w:val="auto"/>
        </w:rPr>
        <w:t>any other asset under a particular transaction or related transactions not in the ordinary course of business of the Reading Entertainment Australia Group taken as a whole.</w:t>
      </w:r>
    </w:p>
    <w:p>
      <w:pPr>
        <w:spacing w:after="0" w:line="46"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auto"/>
        </w:rPr>
        <w:t xml:space="preserve">Distribution </w:t>
      </w:r>
      <w:r>
        <w:rPr>
          <w:rFonts w:ascii="Arial" w:cs="Arial" w:eastAsia="Arial" w:hAnsi="Arial"/>
          <w:sz w:val="13"/>
          <w:szCs w:val="13"/>
          <w:color w:val="auto"/>
        </w:rPr>
        <w:t>means:</w:t>
      </w:r>
    </w:p>
    <w:p>
      <w:pPr>
        <w:spacing w:after="0" w:line="95" w:lineRule="exact"/>
        <w:rPr>
          <w:sz w:val="20"/>
          <w:szCs w:val="20"/>
          <w:color w:val="auto"/>
        </w:rPr>
      </w:pPr>
    </w:p>
    <w:p>
      <w:pPr>
        <w:ind w:left="1140" w:hanging="504"/>
        <w:spacing w:after="0" w:line="244" w:lineRule="auto"/>
        <w:tabs>
          <w:tab w:leader="none" w:pos="1140" w:val="left"/>
        </w:tabs>
        <w:numPr>
          <w:ilvl w:val="0"/>
          <w:numId w:val="233"/>
        </w:numPr>
        <w:rPr>
          <w:rFonts w:ascii="Arial" w:cs="Arial" w:eastAsia="Arial" w:hAnsi="Arial"/>
          <w:sz w:val="13"/>
          <w:szCs w:val="13"/>
          <w:color w:val="auto"/>
        </w:rPr>
      </w:pPr>
      <w:r>
        <w:rPr>
          <w:rFonts w:ascii="Arial" w:cs="Arial" w:eastAsia="Arial" w:hAnsi="Arial"/>
          <w:sz w:val="13"/>
          <w:szCs w:val="13"/>
          <w:color w:val="auto"/>
        </w:rPr>
        <w:t>in relation to any share capital of a Transaction Party, any dividend, charge, interest, fee, payment or other distribution (whether in cash or in kind) or redemption, repurchase, defeasance, retirement or redemption;</w:t>
      </w:r>
    </w:p>
    <w:p>
      <w:pPr>
        <w:spacing w:after="0" w:line="56" w:lineRule="exact"/>
        <w:rPr>
          <w:rFonts w:ascii="Arial" w:cs="Arial" w:eastAsia="Arial" w:hAnsi="Arial"/>
          <w:sz w:val="13"/>
          <w:szCs w:val="13"/>
          <w:color w:val="auto"/>
        </w:rPr>
      </w:pPr>
    </w:p>
    <w:p>
      <w:pPr>
        <w:ind w:left="1640" w:right="280" w:hanging="1004"/>
        <w:spacing w:after="0" w:line="244" w:lineRule="auto"/>
        <w:tabs>
          <w:tab w:leader="none" w:pos="1640" w:val="left"/>
        </w:tabs>
        <w:numPr>
          <w:ilvl w:val="0"/>
          <w:numId w:val="233"/>
        </w:numPr>
        <w:rPr>
          <w:rFonts w:ascii="Arial" w:cs="Arial" w:eastAsia="Arial" w:hAnsi="Arial"/>
          <w:sz w:val="13"/>
          <w:szCs w:val="13"/>
          <w:color w:val="auto"/>
        </w:rPr>
      </w:pPr>
      <w:r>
        <w:rPr>
          <w:rFonts w:ascii="Arial" w:cs="Arial" w:eastAsia="Arial" w:hAnsi="Arial"/>
          <w:sz w:val="13"/>
          <w:szCs w:val="13"/>
          <w:color w:val="auto"/>
        </w:rPr>
        <w:t>any interest, any redemption or early redemption of any amount of principal or any other payment in respect of any shareholder loan or other subordinated loans made to any Transaction Party; or</w:t>
      </w:r>
    </w:p>
    <w:p>
      <w:pPr>
        <w:spacing w:after="0" w:line="56" w:lineRule="exact"/>
        <w:rPr>
          <w:rFonts w:ascii="Arial" w:cs="Arial" w:eastAsia="Arial" w:hAnsi="Arial"/>
          <w:sz w:val="13"/>
          <w:szCs w:val="13"/>
          <w:color w:val="auto"/>
        </w:rPr>
      </w:pPr>
    </w:p>
    <w:p>
      <w:pPr>
        <w:ind w:left="1640" w:right="400" w:hanging="1004"/>
        <w:spacing w:after="0" w:line="244" w:lineRule="auto"/>
        <w:tabs>
          <w:tab w:leader="none" w:pos="1640" w:val="left"/>
        </w:tabs>
        <w:numPr>
          <w:ilvl w:val="0"/>
          <w:numId w:val="233"/>
        </w:numPr>
        <w:rPr>
          <w:rFonts w:ascii="Arial" w:cs="Arial" w:eastAsia="Arial" w:hAnsi="Arial"/>
          <w:sz w:val="13"/>
          <w:szCs w:val="13"/>
          <w:color w:val="auto"/>
        </w:rPr>
      </w:pPr>
      <w:r>
        <w:rPr>
          <w:rFonts w:ascii="Arial" w:cs="Arial" w:eastAsia="Arial" w:hAnsi="Arial"/>
          <w:sz w:val="13"/>
          <w:szCs w:val="13"/>
          <w:color w:val="auto"/>
        </w:rPr>
        <w:t>any loan or other financial accommodation made available by a Transaction Party to a person other than another Transaction Party.</w:t>
      </w:r>
    </w:p>
    <w:p>
      <w:pPr>
        <w:spacing w:after="0" w:line="31"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auto"/>
        </w:rPr>
        <w:t xml:space="preserve">Drawing </w:t>
      </w:r>
      <w:r>
        <w:rPr>
          <w:rFonts w:ascii="Arial" w:cs="Arial" w:eastAsia="Arial" w:hAnsi="Arial"/>
          <w:sz w:val="13"/>
          <w:szCs w:val="13"/>
          <w:color w:val="auto"/>
        </w:rPr>
        <w:t>means each Bank Guarantee issued or to be issued in accordance with this document under the same Funding Notice.</w:t>
      </w:r>
    </w:p>
    <w:p>
      <w:pPr>
        <w:spacing w:after="0" w:line="67" w:lineRule="exact"/>
        <w:rPr>
          <w:sz w:val="20"/>
          <w:szCs w:val="20"/>
          <w:color w:val="auto"/>
        </w:rPr>
      </w:pPr>
    </w:p>
    <w:p>
      <w:pPr>
        <w:ind w:left="640" w:right="120"/>
        <w:spacing w:after="0" w:line="250" w:lineRule="auto"/>
        <w:rPr>
          <w:sz w:val="20"/>
          <w:szCs w:val="20"/>
          <w:color w:val="auto"/>
        </w:rPr>
      </w:pPr>
      <w:r>
        <w:rPr>
          <w:rFonts w:ascii="Arial" w:cs="Arial" w:eastAsia="Arial" w:hAnsi="Arial"/>
          <w:sz w:val="13"/>
          <w:szCs w:val="13"/>
          <w:b w:val="1"/>
          <w:bCs w:val="1"/>
          <w:color w:val="auto"/>
        </w:rPr>
        <w:t xml:space="preserve">EBIT </w:t>
      </w:r>
      <w:r>
        <w:rPr>
          <w:rFonts w:ascii="Arial" w:cs="Arial" w:eastAsia="Arial" w:hAnsi="Arial"/>
          <w:sz w:val="13"/>
          <w:szCs w:val="13"/>
          <w:color w:val="auto"/>
        </w:rPr>
        <w:t>means, in relation to any period and without double counting, operating profit (loss) of the Reading Entertainment Australia Group (on a</w:t>
      </w:r>
      <w:r>
        <w:rPr>
          <w:rFonts w:ascii="Arial" w:cs="Arial" w:eastAsia="Arial" w:hAnsi="Arial"/>
          <w:sz w:val="13"/>
          <w:szCs w:val="13"/>
          <w:b w:val="1"/>
          <w:bCs w:val="1"/>
          <w:color w:val="auto"/>
        </w:rPr>
        <w:t xml:space="preserve"> </w:t>
      </w:r>
      <w:r>
        <w:rPr>
          <w:rFonts w:ascii="Arial" w:cs="Arial" w:eastAsia="Arial" w:hAnsi="Arial"/>
          <w:sz w:val="13"/>
          <w:szCs w:val="13"/>
          <w:color w:val="auto"/>
        </w:rPr>
        <w:t>consolidated basis) from ordinary operations before interest, income tax and minority interests, but after deduction of depreciation and amortisation for that period, as determined in accordance with Accounting Standards.</w:t>
      </w:r>
    </w:p>
    <w:p>
      <w:pPr>
        <w:spacing w:after="0" w:line="37" w:lineRule="exact"/>
        <w:rPr>
          <w:sz w:val="20"/>
          <w:szCs w:val="20"/>
          <w:color w:val="auto"/>
        </w:rPr>
      </w:pPr>
    </w:p>
    <w:p>
      <w:pPr>
        <w:ind w:left="640" w:right="80"/>
        <w:spacing w:after="0" w:line="269" w:lineRule="auto"/>
        <w:rPr>
          <w:sz w:val="20"/>
          <w:szCs w:val="20"/>
          <w:color w:val="auto"/>
        </w:rPr>
      </w:pPr>
      <w:r>
        <w:rPr>
          <w:rFonts w:ascii="Arial" w:cs="Arial" w:eastAsia="Arial" w:hAnsi="Arial"/>
          <w:sz w:val="13"/>
          <w:szCs w:val="13"/>
          <w:b w:val="1"/>
          <w:bCs w:val="1"/>
          <w:color w:val="auto"/>
        </w:rPr>
        <w:t xml:space="preserve">EBITDA </w:t>
      </w:r>
      <w:r>
        <w:rPr>
          <w:rFonts w:ascii="Arial" w:cs="Arial" w:eastAsia="Arial" w:hAnsi="Arial"/>
          <w:sz w:val="13"/>
          <w:szCs w:val="13"/>
          <w:color w:val="auto"/>
        </w:rPr>
        <w:t>means, in relation to any period, EBIT for the Reading Entertainment Australia Group for that period, plus depreciation and amortisation as</w:t>
      </w:r>
      <w:r>
        <w:rPr>
          <w:rFonts w:ascii="Arial" w:cs="Arial" w:eastAsia="Arial" w:hAnsi="Arial"/>
          <w:sz w:val="13"/>
          <w:szCs w:val="13"/>
          <w:b w:val="1"/>
          <w:bCs w:val="1"/>
          <w:color w:val="auto"/>
        </w:rPr>
        <w:t xml:space="preserve"> </w:t>
      </w:r>
      <w:r>
        <w:rPr>
          <w:rFonts w:ascii="Arial" w:cs="Arial" w:eastAsia="Arial" w:hAnsi="Arial"/>
          <w:sz w:val="13"/>
          <w:szCs w:val="13"/>
          <w:color w:val="auto"/>
        </w:rPr>
        <w:t>determined in accordance with Accounting Standards.</w:t>
      </w:r>
    </w:p>
    <w:p>
      <w:pPr>
        <w:spacing w:after="0" w:line="25" w:lineRule="exact"/>
        <w:rPr>
          <w:sz w:val="20"/>
          <w:szCs w:val="20"/>
          <w:color w:val="auto"/>
        </w:rPr>
      </w:pPr>
    </w:p>
    <w:p>
      <w:pPr>
        <w:ind w:left="640" w:right="260"/>
        <w:spacing w:after="0" w:line="269" w:lineRule="auto"/>
        <w:rPr>
          <w:sz w:val="20"/>
          <w:szCs w:val="20"/>
          <w:color w:val="auto"/>
        </w:rPr>
      </w:pPr>
      <w:r>
        <w:rPr>
          <w:rFonts w:ascii="Arial" w:cs="Arial" w:eastAsia="Arial" w:hAnsi="Arial"/>
          <w:sz w:val="13"/>
          <w:szCs w:val="13"/>
          <w:b w:val="1"/>
          <w:bCs w:val="1"/>
          <w:color w:val="auto"/>
        </w:rPr>
        <w:t xml:space="preserve">Encumbrance </w:t>
      </w:r>
      <w:r>
        <w:rPr>
          <w:rFonts w:ascii="Arial" w:cs="Arial" w:eastAsia="Arial" w:hAnsi="Arial"/>
          <w:sz w:val="13"/>
          <w:szCs w:val="13"/>
          <w:color w:val="auto"/>
        </w:rPr>
        <w:t>means any interest in or right over property and anything which would at any time prevent, restrict or delay the registration of any</w:t>
      </w:r>
      <w:r>
        <w:rPr>
          <w:rFonts w:ascii="Arial" w:cs="Arial" w:eastAsia="Arial" w:hAnsi="Arial"/>
          <w:sz w:val="13"/>
          <w:szCs w:val="13"/>
          <w:b w:val="1"/>
          <w:bCs w:val="1"/>
          <w:color w:val="auto"/>
        </w:rPr>
        <w:t xml:space="preserve"> </w:t>
      </w:r>
      <w:r>
        <w:rPr>
          <w:rFonts w:ascii="Arial" w:cs="Arial" w:eastAsia="Arial" w:hAnsi="Arial"/>
          <w:sz w:val="13"/>
          <w:szCs w:val="13"/>
          <w:color w:val="auto"/>
        </w:rPr>
        <w:t>interest in or dealing with property. It includes a Security Interest.</w:t>
      </w:r>
    </w:p>
    <w:p>
      <w:pPr>
        <w:spacing w:after="0" w:line="22" w:lineRule="exact"/>
        <w:rPr>
          <w:sz w:val="20"/>
          <w:szCs w:val="20"/>
          <w:color w:val="auto"/>
        </w:rPr>
      </w:pPr>
    </w:p>
    <w:p>
      <w:pPr>
        <w:ind w:left="640" w:right="260"/>
        <w:spacing w:after="0" w:line="236" w:lineRule="auto"/>
        <w:rPr>
          <w:sz w:val="20"/>
          <w:szCs w:val="20"/>
          <w:color w:val="auto"/>
        </w:rPr>
      </w:pPr>
      <w:r>
        <w:rPr>
          <w:rFonts w:ascii="Arial" w:cs="Arial" w:eastAsia="Arial" w:hAnsi="Arial"/>
          <w:sz w:val="13"/>
          <w:szCs w:val="13"/>
          <w:b w:val="1"/>
          <w:bCs w:val="1"/>
          <w:color w:val="auto"/>
        </w:rPr>
        <w:t xml:space="preserve">Environmental Assessment Report </w:t>
      </w:r>
      <w:r>
        <w:rPr>
          <w:rFonts w:ascii="Arial" w:cs="Arial" w:eastAsia="Arial" w:hAnsi="Arial"/>
          <w:sz w:val="13"/>
          <w:szCs w:val="13"/>
          <w:color w:val="auto"/>
        </w:rPr>
        <w:t>means a report in relation to compliance with Environmental Law of the Land and any activities carried out on the</w:t>
      </w:r>
      <w:r>
        <w:rPr>
          <w:rFonts w:ascii="Arial" w:cs="Arial" w:eastAsia="Arial" w:hAnsi="Arial"/>
          <w:sz w:val="13"/>
          <w:szCs w:val="13"/>
          <w:b w:val="1"/>
          <w:bCs w:val="1"/>
          <w:color w:val="auto"/>
        </w:rPr>
        <w:t xml:space="preserve"> </w:t>
      </w:r>
      <w:r>
        <w:rPr>
          <w:rFonts w:ascii="Arial" w:cs="Arial" w:eastAsia="Arial" w:hAnsi="Arial"/>
          <w:sz w:val="13"/>
          <w:szCs w:val="13"/>
          <w:color w:val="auto"/>
        </w:rPr>
        <w:t>Land.</w:t>
      </w:r>
    </w:p>
    <w:p>
      <w:pPr>
        <w:spacing w:after="0" w:line="34" w:lineRule="exact"/>
        <w:rPr>
          <w:sz w:val="20"/>
          <w:szCs w:val="20"/>
          <w:color w:val="auto"/>
        </w:rPr>
      </w:pPr>
    </w:p>
    <w:p>
      <w:pPr>
        <w:ind w:left="640" w:right="120"/>
        <w:spacing w:after="0" w:line="269" w:lineRule="auto"/>
        <w:rPr>
          <w:sz w:val="20"/>
          <w:szCs w:val="20"/>
          <w:color w:val="auto"/>
        </w:rPr>
      </w:pPr>
      <w:r>
        <w:rPr>
          <w:rFonts w:ascii="Arial" w:cs="Arial" w:eastAsia="Arial" w:hAnsi="Arial"/>
          <w:sz w:val="13"/>
          <w:szCs w:val="13"/>
          <w:b w:val="1"/>
          <w:bCs w:val="1"/>
          <w:color w:val="auto"/>
        </w:rPr>
        <w:t xml:space="preserve">Environmental Law </w:t>
      </w:r>
      <w:r>
        <w:rPr>
          <w:rFonts w:ascii="Arial" w:cs="Arial" w:eastAsia="Arial" w:hAnsi="Arial"/>
          <w:sz w:val="13"/>
          <w:szCs w:val="13"/>
          <w:color w:val="auto"/>
        </w:rPr>
        <w:t>means any legislation, regulations or related codes, standards or policies which relate to environmental and planning matters,</w:t>
      </w:r>
      <w:r>
        <w:rPr>
          <w:rFonts w:ascii="Arial" w:cs="Arial" w:eastAsia="Arial" w:hAnsi="Arial"/>
          <w:sz w:val="13"/>
          <w:szCs w:val="13"/>
          <w:b w:val="1"/>
          <w:bCs w:val="1"/>
          <w:color w:val="auto"/>
        </w:rPr>
        <w:t xml:space="preserve"> </w:t>
      </w:r>
      <w:r>
        <w:rPr>
          <w:rFonts w:ascii="Arial" w:cs="Arial" w:eastAsia="Arial" w:hAnsi="Arial"/>
          <w:sz w:val="13"/>
          <w:szCs w:val="13"/>
          <w:color w:val="auto"/>
        </w:rPr>
        <w:t>including matters concerning land use, development, building works, pollution,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152400</wp:posOffset>
            </wp:positionV>
            <wp:extent cx="6208395"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208395" cy="42545"/>
                    </a:xfrm>
                    <a:prstGeom prst="rect">
                      <a:avLst/>
                    </a:prstGeom>
                    <a:noFill/>
                  </pic:spPr>
                </pic:pic>
              </a:graphicData>
            </a:graphic>
          </wp:anchor>
        </w:drawing>
      </w:r>
    </w:p>
    <w:p>
      <w:pPr>
        <w:sectPr>
          <w:pgSz w:w="11900" w:h="16838" w:orient="portrait"/>
          <w:cols w:equalWidth="0" w:num="1">
            <w:col w:w="9320"/>
          </w:cols>
          <w:pgMar w:left="1440" w:top="550" w:right="1139" w:bottom="1440" w:gutter="0" w:footer="0" w:header="0"/>
        </w:sectPr>
      </w:pPr>
    </w:p>
    <w:bookmarkStart w:id="227" w:name="page228"/>
    <w:bookmarkEnd w:id="227"/>
    <w:p>
      <w:pPr>
        <w:ind w:left="640" w:right="340"/>
        <w:spacing w:after="0" w:line="244" w:lineRule="auto"/>
        <w:rPr>
          <w:sz w:val="20"/>
          <w:szCs w:val="20"/>
          <w:color w:val="auto"/>
        </w:rPr>
      </w:pPr>
      <w:r>
        <w:rPr>
          <w:rFonts w:ascii="Arial" w:cs="Arial" w:eastAsia="Arial" w:hAnsi="Arial"/>
          <w:sz w:val="13"/>
          <w:szCs w:val="13"/>
          <w:color w:val="auto"/>
        </w:rPr>
        <w:t>contamination, waste, toxic and hazardous substances, disposal of waste or other substances, human health, conservation of natural or cultural resources, heritage and resource allocation.</w:t>
      </w:r>
    </w:p>
    <w:p>
      <w:pPr>
        <w:spacing w:after="0" w:line="31" w:lineRule="exact"/>
        <w:rPr>
          <w:sz w:val="20"/>
          <w:szCs w:val="20"/>
          <w:color w:val="auto"/>
        </w:rPr>
      </w:pPr>
    </w:p>
    <w:p>
      <w:pPr>
        <w:ind w:left="640" w:right="40"/>
        <w:spacing w:after="0" w:line="250" w:lineRule="auto"/>
        <w:rPr>
          <w:sz w:val="20"/>
          <w:szCs w:val="20"/>
          <w:color w:val="auto"/>
        </w:rPr>
      </w:pPr>
      <w:r>
        <w:rPr>
          <w:rFonts w:ascii="Arial" w:cs="Arial" w:eastAsia="Arial" w:hAnsi="Arial"/>
          <w:sz w:val="13"/>
          <w:szCs w:val="13"/>
          <w:b w:val="1"/>
          <w:bCs w:val="1"/>
          <w:color w:val="auto"/>
        </w:rPr>
        <w:t xml:space="preserve">Environmental Liability </w:t>
      </w:r>
      <w:r>
        <w:rPr>
          <w:rFonts w:ascii="Arial" w:cs="Arial" w:eastAsia="Arial" w:hAnsi="Arial"/>
          <w:sz w:val="13"/>
          <w:szCs w:val="13"/>
          <w:color w:val="auto"/>
        </w:rPr>
        <w:t>means any liability, obligation, expense, penalty or fine arising out of a breach of Environmental Law which could be</w:t>
      </w:r>
      <w:r>
        <w:rPr>
          <w:rFonts w:ascii="Arial" w:cs="Arial" w:eastAsia="Arial" w:hAnsi="Arial"/>
          <w:sz w:val="13"/>
          <w:szCs w:val="13"/>
          <w:b w:val="1"/>
          <w:bCs w:val="1"/>
          <w:color w:val="auto"/>
        </w:rPr>
        <w:t xml:space="preserve"> </w:t>
      </w:r>
      <w:r>
        <w:rPr>
          <w:rFonts w:ascii="Arial" w:cs="Arial" w:eastAsia="Arial" w:hAnsi="Arial"/>
          <w:sz w:val="13"/>
          <w:szCs w:val="13"/>
          <w:color w:val="auto"/>
        </w:rPr>
        <w:t>imposed on any Transaction Party or the Bank in respect of the Land as a result of activities carried on during the ownership, occupation or control of the Land by that Transaction Party, the Bank, any predecessor in title or any previous occupier or controller of the Land.</w:t>
      </w:r>
    </w:p>
    <w:p>
      <w:pPr>
        <w:spacing w:after="0" w:line="25" w:lineRule="exact"/>
        <w:rPr>
          <w:sz w:val="20"/>
          <w:szCs w:val="20"/>
          <w:color w:val="auto"/>
        </w:rPr>
      </w:pPr>
    </w:p>
    <w:p>
      <w:pPr>
        <w:ind w:left="640" w:right="220"/>
        <w:spacing w:after="0" w:line="341" w:lineRule="auto"/>
        <w:rPr>
          <w:sz w:val="20"/>
          <w:szCs w:val="20"/>
          <w:color w:val="auto"/>
        </w:rPr>
      </w:pPr>
      <w:r>
        <w:rPr>
          <w:rFonts w:ascii="Arial" w:cs="Arial" w:eastAsia="Arial" w:hAnsi="Arial"/>
          <w:sz w:val="13"/>
          <w:szCs w:val="13"/>
          <w:b w:val="1"/>
          <w:bCs w:val="1"/>
          <w:color w:val="auto"/>
        </w:rPr>
        <w:t xml:space="preserve">Event of Default </w:t>
      </w:r>
      <w:r>
        <w:rPr>
          <w:rFonts w:ascii="Arial" w:cs="Arial" w:eastAsia="Arial" w:hAnsi="Arial"/>
          <w:sz w:val="13"/>
          <w:szCs w:val="13"/>
          <w:color w:val="auto"/>
        </w:rPr>
        <w:t>means any event or circumstance described in</w:t>
      </w:r>
      <w:r>
        <w:rPr>
          <w:rFonts w:ascii="Arial" w:cs="Arial" w:eastAsia="Arial" w:hAnsi="Arial"/>
          <w:sz w:val="13"/>
          <w:szCs w:val="13"/>
          <w:b w:val="1"/>
          <w:bCs w:val="1"/>
          <w:color w:val="auto"/>
        </w:rPr>
        <w:t xml:space="preserve"> clause 10.1</w:t>
      </w:r>
      <w:r>
        <w:rPr>
          <w:rFonts w:ascii="Arial" w:cs="Arial" w:eastAsia="Arial" w:hAnsi="Arial"/>
          <w:sz w:val="13"/>
          <w:szCs w:val="13"/>
          <w:color w:val="auto"/>
        </w:rPr>
        <w:t>.</w:t>
      </w:r>
      <w:r>
        <w:rPr>
          <w:rFonts w:ascii="Arial" w:cs="Arial" w:eastAsia="Arial" w:hAnsi="Arial"/>
          <w:sz w:val="13"/>
          <w:szCs w:val="13"/>
          <w:b w:val="1"/>
          <w:bCs w:val="1"/>
          <w:color w:val="auto"/>
        </w:rPr>
        <w:t xml:space="preserve"> Excluded Financial Indebtedness </w:t>
      </w:r>
      <w:r>
        <w:rPr>
          <w:rFonts w:ascii="Arial" w:cs="Arial" w:eastAsia="Arial" w:hAnsi="Arial"/>
          <w:sz w:val="13"/>
          <w:szCs w:val="13"/>
          <w:color w:val="auto"/>
        </w:rPr>
        <w:t>means Financial Indebtedness of the</w:t>
      </w:r>
      <w:r>
        <w:rPr>
          <w:rFonts w:ascii="Arial" w:cs="Arial" w:eastAsia="Arial" w:hAnsi="Arial"/>
          <w:sz w:val="13"/>
          <w:szCs w:val="13"/>
          <w:b w:val="1"/>
          <w:bCs w:val="1"/>
          <w:color w:val="auto"/>
        </w:rPr>
        <w:t xml:space="preserve"> </w:t>
      </w:r>
      <w:r>
        <w:rPr>
          <w:rFonts w:ascii="Arial" w:cs="Arial" w:eastAsia="Arial" w:hAnsi="Arial"/>
          <w:sz w:val="13"/>
          <w:szCs w:val="13"/>
          <w:color w:val="auto"/>
        </w:rPr>
        <w:t>kind</w:t>
      </w:r>
    </w:p>
    <w:p>
      <w:pPr>
        <w:ind w:left="640"/>
        <w:spacing w:after="0"/>
        <w:rPr>
          <w:sz w:val="20"/>
          <w:szCs w:val="20"/>
          <w:color w:val="auto"/>
        </w:rPr>
      </w:pPr>
      <w:r>
        <w:rPr>
          <w:rFonts w:ascii="Arial" w:cs="Arial" w:eastAsia="Arial" w:hAnsi="Arial"/>
          <w:sz w:val="13"/>
          <w:szCs w:val="13"/>
          <w:color w:val="auto"/>
        </w:rPr>
        <w:t>referred to in paragraph (a), (c) or (d) of the definition of Permitted Financial</w:t>
      </w:r>
    </w:p>
    <w:p>
      <w:pPr>
        <w:spacing w:after="0" w:line="4" w:lineRule="exact"/>
        <w:rPr>
          <w:sz w:val="20"/>
          <w:szCs w:val="20"/>
          <w:color w:val="auto"/>
        </w:rPr>
      </w:pPr>
    </w:p>
    <w:p>
      <w:pPr>
        <w:ind w:left="640"/>
        <w:spacing w:after="0"/>
        <w:rPr>
          <w:sz w:val="20"/>
          <w:szCs w:val="20"/>
          <w:color w:val="auto"/>
        </w:rPr>
      </w:pPr>
      <w:r>
        <w:rPr>
          <w:rFonts w:ascii="Arial" w:cs="Arial" w:eastAsia="Arial" w:hAnsi="Arial"/>
          <w:sz w:val="13"/>
          <w:szCs w:val="13"/>
          <w:color w:val="auto"/>
        </w:rPr>
        <w:t>Indebtedness.</w:t>
      </w:r>
    </w:p>
    <w:p>
      <w:pPr>
        <w:spacing w:after="0" w:line="74"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auto"/>
        </w:rPr>
        <w:t xml:space="preserve">Excluded Property </w:t>
      </w:r>
      <w:r>
        <w:rPr>
          <w:rFonts w:ascii="Arial" w:cs="Arial" w:eastAsia="Arial" w:hAnsi="Arial"/>
          <w:sz w:val="13"/>
          <w:szCs w:val="13"/>
          <w:color w:val="auto"/>
        </w:rPr>
        <w:t>means:</w:t>
      </w:r>
    </w:p>
    <w:p>
      <w:pPr>
        <w:spacing w:after="0" w:line="95" w:lineRule="exact"/>
        <w:rPr>
          <w:sz w:val="20"/>
          <w:szCs w:val="20"/>
          <w:color w:val="auto"/>
        </w:rPr>
      </w:pPr>
    </w:p>
    <w:p>
      <w:pPr>
        <w:ind w:left="1660" w:hanging="1024"/>
        <w:spacing w:after="0"/>
        <w:tabs>
          <w:tab w:leader="none" w:pos="1660" w:val="left"/>
        </w:tabs>
        <w:numPr>
          <w:ilvl w:val="0"/>
          <w:numId w:val="234"/>
        </w:numPr>
        <w:rPr>
          <w:rFonts w:ascii="Arial" w:cs="Arial" w:eastAsia="Arial" w:hAnsi="Arial"/>
          <w:sz w:val="13"/>
          <w:szCs w:val="13"/>
          <w:color w:val="auto"/>
        </w:rPr>
      </w:pPr>
      <w:r>
        <w:rPr>
          <w:rFonts w:ascii="Arial" w:cs="Arial" w:eastAsia="Arial" w:hAnsi="Arial"/>
          <w:sz w:val="13"/>
          <w:szCs w:val="13"/>
          <w:color w:val="auto"/>
        </w:rPr>
        <w:t>the Burwood Property;</w:t>
      </w:r>
    </w:p>
    <w:p>
      <w:pPr>
        <w:spacing w:after="0" w:line="75" w:lineRule="exact"/>
        <w:rPr>
          <w:rFonts w:ascii="Arial" w:cs="Arial" w:eastAsia="Arial" w:hAnsi="Arial"/>
          <w:sz w:val="13"/>
          <w:szCs w:val="13"/>
          <w:color w:val="auto"/>
        </w:rPr>
      </w:pPr>
    </w:p>
    <w:p>
      <w:pPr>
        <w:ind w:left="1600" w:right="600" w:hanging="964"/>
        <w:spacing w:after="0" w:line="244" w:lineRule="auto"/>
        <w:tabs>
          <w:tab w:leader="none" w:pos="1600" w:val="left"/>
        </w:tabs>
        <w:numPr>
          <w:ilvl w:val="0"/>
          <w:numId w:val="234"/>
        </w:numPr>
        <w:rPr>
          <w:rFonts w:ascii="Arial" w:cs="Arial" w:eastAsia="Arial" w:hAnsi="Arial"/>
          <w:sz w:val="13"/>
          <w:szCs w:val="13"/>
          <w:color w:val="auto"/>
        </w:rPr>
      </w:pPr>
      <w:r>
        <w:rPr>
          <w:rFonts w:ascii="Arial" w:cs="Arial" w:eastAsia="Arial" w:hAnsi="Arial"/>
          <w:sz w:val="13"/>
          <w:szCs w:val="13"/>
          <w:color w:val="auto"/>
        </w:rPr>
        <w:t>the present or future interest of Reading Cinemas Pty Ltd in the joint venture with Champion Pictures Pty Ltd relating to the Elsternwick cinema business or the assets the subject of the joint venture or the relevant joint venture agreement;</w:t>
      </w:r>
    </w:p>
    <w:p>
      <w:pPr>
        <w:spacing w:after="0" w:line="56" w:lineRule="exact"/>
        <w:rPr>
          <w:rFonts w:ascii="Arial" w:cs="Arial" w:eastAsia="Arial" w:hAnsi="Arial"/>
          <w:sz w:val="13"/>
          <w:szCs w:val="13"/>
          <w:color w:val="auto"/>
        </w:rPr>
      </w:pPr>
    </w:p>
    <w:p>
      <w:pPr>
        <w:ind w:left="1120" w:right="280" w:hanging="484"/>
        <w:spacing w:after="0" w:line="244" w:lineRule="auto"/>
        <w:tabs>
          <w:tab w:leader="none" w:pos="1120" w:val="left"/>
        </w:tabs>
        <w:numPr>
          <w:ilvl w:val="0"/>
          <w:numId w:val="234"/>
        </w:numPr>
        <w:rPr>
          <w:rFonts w:ascii="Arial" w:cs="Arial" w:eastAsia="Arial" w:hAnsi="Arial"/>
          <w:sz w:val="13"/>
          <w:szCs w:val="13"/>
          <w:color w:val="auto"/>
        </w:rPr>
      </w:pPr>
      <w:r>
        <w:rPr>
          <w:rFonts w:ascii="Arial" w:cs="Arial" w:eastAsia="Arial" w:hAnsi="Arial"/>
          <w:sz w:val="13"/>
          <w:szCs w:val="13"/>
          <w:color w:val="auto"/>
        </w:rPr>
        <w:t>the present or future interest of Reading Exhibition Pty Ltd in the Garden City Cinema joint venture with Village Roadshow Exhibition and Birch Carroll &amp; Coyle or the assets the subject of the joint venture or the relevant joint venture agreement; and</w:t>
      </w:r>
    </w:p>
    <w:p>
      <w:pPr>
        <w:spacing w:after="0" w:line="47" w:lineRule="exact"/>
        <w:rPr>
          <w:rFonts w:ascii="Arial" w:cs="Arial" w:eastAsia="Arial" w:hAnsi="Arial"/>
          <w:sz w:val="13"/>
          <w:szCs w:val="13"/>
          <w:color w:val="auto"/>
        </w:rPr>
      </w:pPr>
    </w:p>
    <w:p>
      <w:pPr>
        <w:ind w:left="1240" w:right="100" w:hanging="604"/>
        <w:spacing w:after="0" w:line="244" w:lineRule="auto"/>
        <w:tabs>
          <w:tab w:leader="none" w:pos="1240" w:val="left"/>
        </w:tabs>
        <w:numPr>
          <w:ilvl w:val="0"/>
          <w:numId w:val="234"/>
        </w:numPr>
        <w:rPr>
          <w:rFonts w:ascii="Arial" w:cs="Arial" w:eastAsia="Arial" w:hAnsi="Arial"/>
          <w:sz w:val="13"/>
          <w:szCs w:val="13"/>
          <w:color w:val="auto"/>
        </w:rPr>
      </w:pPr>
      <w:r>
        <w:rPr>
          <w:rFonts w:ascii="Arial" w:cs="Arial" w:eastAsia="Arial" w:hAnsi="Arial"/>
          <w:sz w:val="13"/>
          <w:szCs w:val="13"/>
          <w:color w:val="auto"/>
        </w:rPr>
        <w:t>the present or future interest of Epping Cinemas Pty Ltd in the lease granted by Bevendale Pty Ltd or the property the subject of the lease to the extent that the existence of a charge over that interest or property would cause a breach of the that lease.</w:t>
      </w:r>
    </w:p>
    <w:p>
      <w:pPr>
        <w:spacing w:after="0" w:line="40" w:lineRule="exact"/>
        <w:rPr>
          <w:sz w:val="20"/>
          <w:szCs w:val="20"/>
          <w:color w:val="auto"/>
        </w:rPr>
      </w:pPr>
    </w:p>
    <w:p>
      <w:pPr>
        <w:ind w:left="640" w:right="840"/>
        <w:spacing w:after="0" w:line="269" w:lineRule="auto"/>
        <w:rPr>
          <w:sz w:val="20"/>
          <w:szCs w:val="20"/>
          <w:color w:val="auto"/>
        </w:rPr>
      </w:pPr>
      <w:r>
        <w:rPr>
          <w:rFonts w:ascii="Arial" w:cs="Arial" w:eastAsia="Arial" w:hAnsi="Arial"/>
          <w:sz w:val="13"/>
          <w:szCs w:val="13"/>
          <w:b w:val="1"/>
          <w:bCs w:val="1"/>
          <w:color w:val="auto"/>
        </w:rPr>
        <w:t xml:space="preserve">Expired </w:t>
      </w:r>
      <w:r>
        <w:rPr>
          <w:rFonts w:ascii="Arial" w:cs="Arial" w:eastAsia="Arial" w:hAnsi="Arial"/>
          <w:sz w:val="13"/>
          <w:szCs w:val="13"/>
          <w:color w:val="auto"/>
        </w:rPr>
        <w:t>means, in relation to a Bank Guarantee, that its Expiry Date has passed whether or not a claim has been made under it by the</w:t>
      </w:r>
      <w:r>
        <w:rPr>
          <w:rFonts w:ascii="Arial" w:cs="Arial" w:eastAsia="Arial" w:hAnsi="Arial"/>
          <w:sz w:val="13"/>
          <w:szCs w:val="13"/>
          <w:b w:val="1"/>
          <w:bCs w:val="1"/>
          <w:color w:val="auto"/>
        </w:rPr>
        <w:t xml:space="preserve"> </w:t>
      </w:r>
      <w:r>
        <w:rPr>
          <w:rFonts w:ascii="Arial" w:cs="Arial" w:eastAsia="Arial" w:hAnsi="Arial"/>
          <w:sz w:val="13"/>
          <w:szCs w:val="13"/>
          <w:color w:val="auto"/>
        </w:rPr>
        <w:t>Beneficiary.</w:t>
      </w:r>
    </w:p>
    <w:p>
      <w:pPr>
        <w:spacing w:after="0" w:line="16" w:lineRule="exact"/>
        <w:rPr>
          <w:sz w:val="20"/>
          <w:szCs w:val="20"/>
          <w:color w:val="auto"/>
        </w:rPr>
      </w:pPr>
    </w:p>
    <w:p>
      <w:pPr>
        <w:ind w:left="640" w:right="20"/>
        <w:spacing w:after="0" w:line="269" w:lineRule="auto"/>
        <w:rPr>
          <w:sz w:val="20"/>
          <w:szCs w:val="20"/>
          <w:color w:val="auto"/>
        </w:rPr>
      </w:pPr>
      <w:r>
        <w:rPr>
          <w:rFonts w:ascii="Arial" w:cs="Arial" w:eastAsia="Arial" w:hAnsi="Arial"/>
          <w:sz w:val="13"/>
          <w:szCs w:val="13"/>
          <w:b w:val="1"/>
          <w:bCs w:val="1"/>
          <w:color w:val="auto"/>
        </w:rPr>
        <w:t xml:space="preserve">Expiry Date </w:t>
      </w:r>
      <w:r>
        <w:rPr>
          <w:rFonts w:ascii="Arial" w:cs="Arial" w:eastAsia="Arial" w:hAnsi="Arial"/>
          <w:sz w:val="13"/>
          <w:szCs w:val="13"/>
          <w:color w:val="auto"/>
        </w:rPr>
        <w:t>means, in relation to a Bank Guarantee, the date specified in that Bank Guarantee as the latest date by which the Beneficiary may</w:t>
      </w:r>
      <w:r>
        <w:rPr>
          <w:rFonts w:ascii="Arial" w:cs="Arial" w:eastAsia="Arial" w:hAnsi="Arial"/>
          <w:sz w:val="13"/>
          <w:szCs w:val="13"/>
          <w:b w:val="1"/>
          <w:bCs w:val="1"/>
          <w:color w:val="auto"/>
        </w:rPr>
        <w:t xml:space="preserve"> </w:t>
      </w:r>
      <w:r>
        <w:rPr>
          <w:rFonts w:ascii="Arial" w:cs="Arial" w:eastAsia="Arial" w:hAnsi="Arial"/>
          <w:sz w:val="13"/>
          <w:szCs w:val="13"/>
          <w:color w:val="auto"/>
        </w:rPr>
        <w:t>make a claim under it.</w:t>
      </w:r>
    </w:p>
    <w:p>
      <w:pPr>
        <w:spacing w:after="0" w:line="31"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auto"/>
        </w:rPr>
        <w:t xml:space="preserve">Face Value </w:t>
      </w:r>
      <w:r>
        <w:rPr>
          <w:rFonts w:ascii="Arial" w:cs="Arial" w:eastAsia="Arial" w:hAnsi="Arial"/>
          <w:sz w:val="13"/>
          <w:szCs w:val="13"/>
          <w:color w:val="auto"/>
        </w:rPr>
        <w:t>means, in relation to a Bank Guarantee:</w:t>
      </w:r>
    </w:p>
    <w:p>
      <w:pPr>
        <w:spacing w:after="0" w:line="95" w:lineRule="exact"/>
        <w:rPr>
          <w:sz w:val="20"/>
          <w:szCs w:val="20"/>
          <w:color w:val="auto"/>
        </w:rPr>
      </w:pPr>
    </w:p>
    <w:p>
      <w:pPr>
        <w:ind w:left="1060" w:right="200" w:hanging="424"/>
        <w:spacing w:after="0" w:line="244" w:lineRule="auto"/>
        <w:tabs>
          <w:tab w:leader="none" w:pos="1060" w:val="left"/>
        </w:tabs>
        <w:numPr>
          <w:ilvl w:val="0"/>
          <w:numId w:val="235"/>
        </w:numPr>
        <w:rPr>
          <w:rFonts w:ascii="Arial" w:cs="Arial" w:eastAsia="Arial" w:hAnsi="Arial"/>
          <w:sz w:val="13"/>
          <w:szCs w:val="13"/>
          <w:color w:val="auto"/>
        </w:rPr>
      </w:pPr>
      <w:r>
        <w:rPr>
          <w:rFonts w:ascii="Arial" w:cs="Arial" w:eastAsia="Arial" w:hAnsi="Arial"/>
          <w:sz w:val="13"/>
          <w:szCs w:val="13"/>
          <w:color w:val="auto"/>
        </w:rPr>
        <w:t>subject to paragraph (b), the amount specified in that Bank Guarantee as the aggregate maximum amount which the Beneficiary may claim under it; or</w:t>
      </w:r>
    </w:p>
    <w:p>
      <w:pPr>
        <w:spacing w:after="0" w:line="56" w:lineRule="exact"/>
        <w:rPr>
          <w:rFonts w:ascii="Arial" w:cs="Arial" w:eastAsia="Arial" w:hAnsi="Arial"/>
          <w:sz w:val="13"/>
          <w:szCs w:val="13"/>
          <w:color w:val="auto"/>
        </w:rPr>
      </w:pPr>
    </w:p>
    <w:p>
      <w:pPr>
        <w:ind w:left="1060" w:hanging="424"/>
        <w:spacing w:after="0" w:line="238" w:lineRule="auto"/>
        <w:tabs>
          <w:tab w:leader="none" w:pos="1060" w:val="left"/>
        </w:tabs>
        <w:numPr>
          <w:ilvl w:val="0"/>
          <w:numId w:val="235"/>
        </w:numPr>
        <w:rPr>
          <w:rFonts w:ascii="Arial" w:cs="Arial" w:eastAsia="Arial" w:hAnsi="Arial"/>
          <w:sz w:val="13"/>
          <w:szCs w:val="13"/>
          <w:color w:val="auto"/>
        </w:rPr>
      </w:pPr>
      <w:r>
        <w:rPr>
          <w:rFonts w:ascii="Arial" w:cs="Arial" w:eastAsia="Arial" w:hAnsi="Arial"/>
          <w:sz w:val="13"/>
          <w:szCs w:val="13"/>
          <w:color w:val="auto"/>
        </w:rPr>
        <w:t>if the Beneficiary makes a claim, then between when the Beneficiary makes the first of those claims and the first to occur of the Bank Guarantee Maturing or Expiring, the Face Value of the Bank Guarantee will be the difference between its original face value and the aggregate of all valid claims made under it.</w:t>
      </w:r>
    </w:p>
    <w:p>
      <w:pPr>
        <w:spacing w:after="0" w:line="49"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auto"/>
        </w:rPr>
        <w:t xml:space="preserve">Facility </w:t>
      </w:r>
      <w:r>
        <w:rPr>
          <w:rFonts w:ascii="Arial" w:cs="Arial" w:eastAsia="Arial" w:hAnsi="Arial"/>
          <w:sz w:val="13"/>
          <w:szCs w:val="13"/>
          <w:color w:val="auto"/>
        </w:rPr>
        <w:t>means each of the facilities listed in</w:t>
      </w:r>
      <w:r>
        <w:rPr>
          <w:rFonts w:ascii="Arial" w:cs="Arial" w:eastAsia="Arial" w:hAnsi="Arial"/>
          <w:sz w:val="13"/>
          <w:szCs w:val="13"/>
          <w:b w:val="1"/>
          <w:bCs w:val="1"/>
          <w:color w:val="auto"/>
        </w:rPr>
        <w:t xml:space="preserve"> schedule 2 </w:t>
      </w:r>
      <w:r>
        <w:rPr>
          <w:rFonts w:ascii="Arial" w:cs="Arial" w:eastAsia="Arial" w:hAnsi="Arial"/>
          <w:sz w:val="13"/>
          <w:szCs w:val="13"/>
          <w:color w:val="auto"/>
        </w:rPr>
        <w:t>(and each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180975</wp:posOffset>
            </wp:positionV>
            <wp:extent cx="6208395"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208395" cy="42545"/>
                    </a:xfrm>
                    <a:prstGeom prst="rect">
                      <a:avLst/>
                    </a:prstGeom>
                    <a:noFill/>
                  </pic:spPr>
                </pic:pic>
              </a:graphicData>
            </a:graphic>
          </wp:anchor>
        </w:drawing>
      </w:r>
    </w:p>
    <w:p>
      <w:pPr>
        <w:sectPr>
          <w:pgSz w:w="11900" w:h="16838" w:orient="portrait"/>
          <w:cols w:equalWidth="0" w:num="1">
            <w:col w:w="9360"/>
          </w:cols>
          <w:pgMar w:left="1440" w:top="561" w:right="1099" w:bottom="1440" w:gutter="0" w:footer="0" w:header="0"/>
        </w:sectPr>
      </w:pPr>
    </w:p>
    <w:bookmarkStart w:id="228" w:name="page229"/>
    <w:bookmarkEnd w:id="228"/>
    <w:p>
      <w:pPr>
        <w:ind w:left="640"/>
        <w:spacing w:after="0"/>
        <w:rPr>
          <w:sz w:val="20"/>
          <w:szCs w:val="20"/>
          <w:color w:val="auto"/>
        </w:rPr>
      </w:pPr>
      <w:r>
        <w:rPr>
          <w:rFonts w:ascii="Arial" w:cs="Arial" w:eastAsia="Arial" w:hAnsi="Arial"/>
          <w:sz w:val="13"/>
          <w:szCs w:val="13"/>
          <w:color w:val="auto"/>
        </w:rPr>
        <w:t xml:space="preserve">may be referred to by the Facility Name listed in </w:t>
      </w:r>
      <w:r>
        <w:rPr>
          <w:rFonts w:ascii="Arial" w:cs="Arial" w:eastAsia="Arial" w:hAnsi="Arial"/>
          <w:sz w:val="13"/>
          <w:szCs w:val="13"/>
          <w:b w:val="1"/>
          <w:bCs w:val="1"/>
          <w:color w:val="auto"/>
        </w:rPr>
        <w:t>schedule 2</w:t>
      </w:r>
      <w:r>
        <w:rPr>
          <w:rFonts w:ascii="Arial" w:cs="Arial" w:eastAsia="Arial" w:hAnsi="Arial"/>
          <w:sz w:val="13"/>
          <w:szCs w:val="13"/>
          <w:color w:val="auto"/>
        </w:rPr>
        <w:t>).</w:t>
      </w:r>
    </w:p>
    <w:p>
      <w:pPr>
        <w:spacing w:after="0" w:line="76"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auto"/>
        </w:rPr>
        <w:t xml:space="preserve">Facility Limit </w:t>
      </w:r>
      <w:r>
        <w:rPr>
          <w:rFonts w:ascii="Arial" w:cs="Arial" w:eastAsia="Arial" w:hAnsi="Arial"/>
          <w:sz w:val="13"/>
          <w:szCs w:val="13"/>
          <w:color w:val="auto"/>
        </w:rPr>
        <w:t>means, in respect of each Facility, the relevant Facility Limit set out in</w:t>
      </w:r>
      <w:r>
        <w:rPr>
          <w:rFonts w:ascii="Arial" w:cs="Arial" w:eastAsia="Arial" w:hAnsi="Arial"/>
          <w:sz w:val="13"/>
          <w:szCs w:val="13"/>
          <w:b w:val="1"/>
          <w:bCs w:val="1"/>
          <w:color w:val="auto"/>
        </w:rPr>
        <w:t xml:space="preserve"> schedule 2</w:t>
      </w:r>
      <w:r>
        <w:rPr>
          <w:rFonts w:ascii="Arial" w:cs="Arial" w:eastAsia="Arial" w:hAnsi="Arial"/>
          <w:sz w:val="13"/>
          <w:szCs w:val="13"/>
          <w:color w:val="auto"/>
        </w:rPr>
        <w:t>, as reduced under this document.</w:t>
      </w:r>
    </w:p>
    <w:p>
      <w:pPr>
        <w:spacing w:after="0" w:line="72"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auto"/>
        </w:rPr>
        <w:t xml:space="preserve">Financial Close </w:t>
      </w:r>
      <w:r>
        <w:rPr>
          <w:rFonts w:ascii="Arial" w:cs="Arial" w:eastAsia="Arial" w:hAnsi="Arial"/>
          <w:sz w:val="13"/>
          <w:szCs w:val="13"/>
          <w:color w:val="auto"/>
        </w:rPr>
        <w:t>means the initial Funding Date.</w:t>
      </w:r>
    </w:p>
    <w:p>
      <w:pPr>
        <w:spacing w:after="0" w:line="70" w:lineRule="exact"/>
        <w:rPr>
          <w:sz w:val="20"/>
          <w:szCs w:val="20"/>
          <w:color w:val="auto"/>
        </w:rPr>
      </w:pPr>
    </w:p>
    <w:p>
      <w:pPr>
        <w:ind w:left="640"/>
        <w:spacing w:after="0" w:line="269" w:lineRule="auto"/>
        <w:rPr>
          <w:sz w:val="20"/>
          <w:szCs w:val="20"/>
          <w:color w:val="auto"/>
        </w:rPr>
      </w:pPr>
      <w:r>
        <w:rPr>
          <w:rFonts w:ascii="Arial" w:cs="Arial" w:eastAsia="Arial" w:hAnsi="Arial"/>
          <w:sz w:val="13"/>
          <w:szCs w:val="13"/>
          <w:b w:val="1"/>
          <w:bCs w:val="1"/>
          <w:color w:val="auto"/>
        </w:rPr>
        <w:t xml:space="preserve">Financial Indebtedness </w:t>
      </w:r>
      <w:r>
        <w:rPr>
          <w:rFonts w:ascii="Arial" w:cs="Arial" w:eastAsia="Arial" w:hAnsi="Arial"/>
          <w:sz w:val="13"/>
          <w:szCs w:val="13"/>
          <w:color w:val="auto"/>
        </w:rPr>
        <w:t>means any indebtedness or other liability (present or future, actual or contingent) relating to any financial accommodation</w:t>
      </w:r>
      <w:r>
        <w:rPr>
          <w:rFonts w:ascii="Arial" w:cs="Arial" w:eastAsia="Arial" w:hAnsi="Arial"/>
          <w:sz w:val="13"/>
          <w:szCs w:val="13"/>
          <w:b w:val="1"/>
          <w:bCs w:val="1"/>
          <w:color w:val="auto"/>
        </w:rPr>
        <w:t xml:space="preserve"> </w:t>
      </w:r>
      <w:r>
        <w:rPr>
          <w:rFonts w:ascii="Arial" w:cs="Arial" w:eastAsia="Arial" w:hAnsi="Arial"/>
          <w:sz w:val="13"/>
          <w:szCs w:val="13"/>
          <w:color w:val="auto"/>
        </w:rPr>
        <w:t>including indebtedness or other liability:</w:t>
      </w:r>
    </w:p>
    <w:p>
      <w:pPr>
        <w:spacing w:after="0" w:line="41" w:lineRule="exact"/>
        <w:rPr>
          <w:sz w:val="20"/>
          <w:szCs w:val="20"/>
          <w:color w:val="auto"/>
        </w:rPr>
      </w:pPr>
    </w:p>
    <w:p>
      <w:pPr>
        <w:ind w:left="1420" w:hanging="784"/>
        <w:spacing w:after="0"/>
        <w:tabs>
          <w:tab w:leader="none" w:pos="1420" w:val="left"/>
        </w:tabs>
        <w:numPr>
          <w:ilvl w:val="0"/>
          <w:numId w:val="236"/>
        </w:numPr>
        <w:rPr>
          <w:rFonts w:ascii="Arial" w:cs="Arial" w:eastAsia="Arial" w:hAnsi="Arial"/>
          <w:sz w:val="13"/>
          <w:szCs w:val="13"/>
          <w:color w:val="auto"/>
        </w:rPr>
      </w:pPr>
      <w:r>
        <w:rPr>
          <w:rFonts w:ascii="Arial" w:cs="Arial" w:eastAsia="Arial" w:hAnsi="Arial"/>
          <w:sz w:val="13"/>
          <w:szCs w:val="13"/>
          <w:color w:val="auto"/>
        </w:rPr>
        <w:t>for money borrowed or raised;</w:t>
      </w:r>
    </w:p>
    <w:p>
      <w:pPr>
        <w:spacing w:after="0" w:line="84" w:lineRule="exact"/>
        <w:rPr>
          <w:rFonts w:ascii="Arial" w:cs="Arial" w:eastAsia="Arial" w:hAnsi="Arial"/>
          <w:sz w:val="13"/>
          <w:szCs w:val="13"/>
          <w:color w:val="auto"/>
        </w:rPr>
      </w:pPr>
    </w:p>
    <w:p>
      <w:pPr>
        <w:ind w:left="1060" w:hanging="424"/>
        <w:spacing w:after="0"/>
        <w:tabs>
          <w:tab w:leader="none" w:pos="1060" w:val="left"/>
        </w:tabs>
        <w:numPr>
          <w:ilvl w:val="0"/>
          <w:numId w:val="236"/>
        </w:numPr>
        <w:rPr>
          <w:rFonts w:ascii="Arial" w:cs="Arial" w:eastAsia="Arial" w:hAnsi="Arial"/>
          <w:sz w:val="13"/>
          <w:szCs w:val="13"/>
          <w:color w:val="auto"/>
        </w:rPr>
      </w:pPr>
      <w:r>
        <w:rPr>
          <w:rFonts w:ascii="Arial" w:cs="Arial" w:eastAsia="Arial" w:hAnsi="Arial"/>
          <w:sz w:val="13"/>
          <w:szCs w:val="13"/>
          <w:color w:val="auto"/>
        </w:rPr>
        <w:t>relating to the sale or negotiation of any negotiable instrument;</w:t>
      </w:r>
    </w:p>
    <w:p>
      <w:pPr>
        <w:spacing w:after="0" w:line="75" w:lineRule="exact"/>
        <w:rPr>
          <w:rFonts w:ascii="Arial" w:cs="Arial" w:eastAsia="Arial" w:hAnsi="Arial"/>
          <w:sz w:val="13"/>
          <w:szCs w:val="13"/>
          <w:color w:val="auto"/>
        </w:rPr>
      </w:pPr>
    </w:p>
    <w:p>
      <w:pPr>
        <w:ind w:left="1600" w:right="580" w:hanging="964"/>
        <w:spacing w:after="0" w:line="244" w:lineRule="auto"/>
        <w:tabs>
          <w:tab w:leader="none" w:pos="1600" w:val="left"/>
        </w:tabs>
        <w:numPr>
          <w:ilvl w:val="0"/>
          <w:numId w:val="236"/>
        </w:numPr>
        <w:rPr>
          <w:rFonts w:ascii="Arial" w:cs="Arial" w:eastAsia="Arial" w:hAnsi="Arial"/>
          <w:sz w:val="13"/>
          <w:szCs w:val="13"/>
          <w:color w:val="auto"/>
        </w:rPr>
      </w:pPr>
      <w:r>
        <w:rPr>
          <w:rFonts w:ascii="Arial" w:cs="Arial" w:eastAsia="Arial" w:hAnsi="Arial"/>
          <w:sz w:val="13"/>
          <w:szCs w:val="13"/>
          <w:color w:val="auto"/>
        </w:rPr>
        <w:t>as lessee under any finance lease, as hirer under any hire purchase agreement or as purchaser under any title retention agreement;</w:t>
      </w:r>
    </w:p>
    <w:p>
      <w:pPr>
        <w:spacing w:after="0" w:line="53" w:lineRule="exact"/>
        <w:rPr>
          <w:sz w:val="20"/>
          <w:szCs w:val="20"/>
          <w:color w:val="auto"/>
        </w:rPr>
      </w:pPr>
    </w:p>
    <w:p>
      <w:pPr>
        <w:ind w:left="640"/>
        <w:spacing w:after="0"/>
        <w:tabs>
          <w:tab w:leader="none" w:pos="2180" w:val="left"/>
        </w:tabs>
        <w:rPr>
          <w:sz w:val="20"/>
          <w:szCs w:val="20"/>
          <w:color w:val="auto"/>
        </w:rPr>
      </w:pPr>
      <w:r>
        <w:rPr>
          <w:rFonts w:ascii="Arial" w:cs="Arial" w:eastAsia="Arial" w:hAnsi="Arial"/>
          <w:sz w:val="13"/>
          <w:szCs w:val="13"/>
          <w:color w:val="auto"/>
        </w:rPr>
        <w:t>(d)</w:t>
      </w:r>
      <w:r>
        <w:rPr>
          <w:sz w:val="20"/>
          <w:szCs w:val="20"/>
          <w:color w:val="auto"/>
        </w:rPr>
        <w:tab/>
      </w:r>
      <w:r>
        <w:rPr>
          <w:rFonts w:ascii="Arial" w:cs="Arial" w:eastAsia="Arial" w:hAnsi="Arial"/>
          <w:sz w:val="13"/>
          <w:szCs w:val="13"/>
          <w:color w:val="auto"/>
        </w:rPr>
        <w:t>relating to any preference share or unit categorised as debt under Accounting Standards;</w:t>
      </w:r>
    </w:p>
    <w:p>
      <w:pPr>
        <w:spacing w:after="0" w:line="61" w:lineRule="exact"/>
        <w:rPr>
          <w:sz w:val="20"/>
          <w:szCs w:val="20"/>
          <w:color w:val="auto"/>
        </w:rPr>
      </w:pPr>
    </w:p>
    <w:p>
      <w:pPr>
        <w:ind w:left="1060" w:right="160" w:hanging="424"/>
        <w:spacing w:after="0" w:line="244" w:lineRule="auto"/>
        <w:tabs>
          <w:tab w:leader="none" w:pos="1060" w:val="left"/>
        </w:tabs>
        <w:numPr>
          <w:ilvl w:val="0"/>
          <w:numId w:val="237"/>
        </w:numPr>
        <w:rPr>
          <w:rFonts w:ascii="Arial" w:cs="Arial" w:eastAsia="Arial" w:hAnsi="Arial"/>
          <w:sz w:val="13"/>
          <w:szCs w:val="13"/>
          <w:color w:val="auto"/>
        </w:rPr>
      </w:pPr>
      <w:r>
        <w:rPr>
          <w:rFonts w:ascii="Arial" w:cs="Arial" w:eastAsia="Arial" w:hAnsi="Arial"/>
          <w:sz w:val="13"/>
          <w:szCs w:val="13"/>
          <w:color w:val="auto"/>
        </w:rPr>
        <w:t>under any commodity, currency or interest rate swap agreement, forward exchange rate agreement or futures contract (as defined in any statute);</w:t>
      </w:r>
    </w:p>
    <w:p>
      <w:pPr>
        <w:spacing w:after="0" w:line="56" w:lineRule="exact"/>
        <w:rPr>
          <w:rFonts w:ascii="Arial" w:cs="Arial" w:eastAsia="Arial" w:hAnsi="Arial"/>
          <w:sz w:val="13"/>
          <w:szCs w:val="13"/>
          <w:color w:val="auto"/>
        </w:rPr>
      </w:pPr>
    </w:p>
    <w:p>
      <w:pPr>
        <w:ind w:left="960" w:hanging="324"/>
        <w:spacing w:after="0"/>
        <w:tabs>
          <w:tab w:leader="none" w:pos="960" w:val="left"/>
        </w:tabs>
        <w:numPr>
          <w:ilvl w:val="0"/>
          <w:numId w:val="237"/>
        </w:numPr>
        <w:rPr>
          <w:rFonts w:ascii="Arial" w:cs="Arial" w:eastAsia="Arial" w:hAnsi="Arial"/>
          <w:sz w:val="13"/>
          <w:szCs w:val="13"/>
          <w:color w:val="auto"/>
        </w:rPr>
      </w:pPr>
      <w:r>
        <w:rPr>
          <w:rFonts w:ascii="Arial" w:cs="Arial" w:eastAsia="Arial" w:hAnsi="Arial"/>
          <w:sz w:val="13"/>
          <w:szCs w:val="13"/>
          <w:color w:val="auto"/>
        </w:rPr>
        <w:t>under any Guarantee relating to any financial accommodation; or</w:t>
      </w:r>
    </w:p>
    <w:p>
      <w:pPr>
        <w:spacing w:after="0" w:line="75" w:lineRule="exact"/>
        <w:rPr>
          <w:rFonts w:ascii="Arial" w:cs="Arial" w:eastAsia="Arial" w:hAnsi="Arial"/>
          <w:sz w:val="13"/>
          <w:szCs w:val="13"/>
          <w:color w:val="auto"/>
        </w:rPr>
      </w:pPr>
    </w:p>
    <w:p>
      <w:pPr>
        <w:ind w:left="1720" w:hanging="1084"/>
        <w:spacing w:after="0"/>
        <w:tabs>
          <w:tab w:leader="none" w:pos="1720" w:val="left"/>
        </w:tabs>
        <w:numPr>
          <w:ilvl w:val="0"/>
          <w:numId w:val="237"/>
        </w:numPr>
        <w:rPr>
          <w:rFonts w:ascii="Arial" w:cs="Arial" w:eastAsia="Arial" w:hAnsi="Arial"/>
          <w:sz w:val="13"/>
          <w:szCs w:val="13"/>
          <w:color w:val="auto"/>
        </w:rPr>
      </w:pPr>
      <w:r>
        <w:rPr>
          <w:rFonts w:ascii="Arial" w:cs="Arial" w:eastAsia="Arial" w:hAnsi="Arial"/>
          <w:sz w:val="13"/>
          <w:szCs w:val="13"/>
          <w:color w:val="auto"/>
        </w:rPr>
        <w:t>for any deferred purchase price (other than in the nature of warranty retention amounts) for any asset or service.</w:t>
      </w:r>
    </w:p>
    <w:p>
      <w:pPr>
        <w:spacing w:after="0" w:line="60" w:lineRule="exact"/>
        <w:rPr>
          <w:sz w:val="20"/>
          <w:szCs w:val="20"/>
          <w:color w:val="auto"/>
        </w:rPr>
      </w:pPr>
    </w:p>
    <w:p>
      <w:pPr>
        <w:ind w:left="640" w:right="40"/>
        <w:spacing w:after="0" w:line="250" w:lineRule="auto"/>
        <w:rPr>
          <w:sz w:val="20"/>
          <w:szCs w:val="20"/>
          <w:color w:val="auto"/>
        </w:rPr>
      </w:pPr>
      <w:r>
        <w:rPr>
          <w:rFonts w:ascii="Arial" w:cs="Arial" w:eastAsia="Arial" w:hAnsi="Arial"/>
          <w:sz w:val="13"/>
          <w:szCs w:val="13"/>
          <w:b w:val="1"/>
          <w:bCs w:val="1"/>
          <w:color w:val="auto"/>
        </w:rPr>
        <w:t xml:space="preserve">Financial Statements </w:t>
      </w:r>
      <w:r>
        <w:rPr>
          <w:rFonts w:ascii="Arial" w:cs="Arial" w:eastAsia="Arial" w:hAnsi="Arial"/>
          <w:sz w:val="13"/>
          <w:szCs w:val="13"/>
          <w:color w:val="auto"/>
        </w:rPr>
        <w:t>means a balance sheet, an income statement, a statement of changes in equity, a cash flow statement, notes comprising a</w:t>
      </w:r>
      <w:r>
        <w:rPr>
          <w:rFonts w:ascii="Arial" w:cs="Arial" w:eastAsia="Arial" w:hAnsi="Arial"/>
          <w:sz w:val="13"/>
          <w:szCs w:val="13"/>
          <w:b w:val="1"/>
          <w:bCs w:val="1"/>
          <w:color w:val="auto"/>
        </w:rPr>
        <w:t xml:space="preserve"> </w:t>
      </w:r>
      <w:r>
        <w:rPr>
          <w:rFonts w:ascii="Arial" w:cs="Arial" w:eastAsia="Arial" w:hAnsi="Arial"/>
          <w:sz w:val="13"/>
          <w:szCs w:val="13"/>
          <w:color w:val="auto"/>
        </w:rPr>
        <w:t>summary of significant accounting policies and other explanatory note; and any directors’ declarations, directors’ reports and auditor’s reports attached to, intended to be read with or required by the Corporations Act to accompany, all or any of those documents.</w:t>
      </w:r>
    </w:p>
    <w:p>
      <w:pPr>
        <w:spacing w:after="0" w:line="43"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auto"/>
        </w:rPr>
        <w:t xml:space="preserve">Financial Year </w:t>
      </w:r>
      <w:r>
        <w:rPr>
          <w:rFonts w:ascii="Arial" w:cs="Arial" w:eastAsia="Arial" w:hAnsi="Arial"/>
          <w:sz w:val="13"/>
          <w:szCs w:val="13"/>
          <w:color w:val="auto"/>
        </w:rPr>
        <w:t>means a period of 12 months ending on 31 December.</w:t>
      </w:r>
    </w:p>
    <w:p>
      <w:pPr>
        <w:spacing w:after="0" w:line="76"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auto"/>
        </w:rPr>
        <w:t xml:space="preserve">Fixed Charges Cover Ratio </w:t>
      </w:r>
      <w:r>
        <w:rPr>
          <w:rFonts w:ascii="Arial" w:cs="Arial" w:eastAsia="Arial" w:hAnsi="Arial"/>
          <w:sz w:val="13"/>
          <w:szCs w:val="13"/>
          <w:color w:val="auto"/>
        </w:rPr>
        <w:t>means, at any date, the ratio of:</w:t>
      </w:r>
    </w:p>
    <w:p>
      <w:pPr>
        <w:spacing w:after="0" w:line="95" w:lineRule="exact"/>
        <w:rPr>
          <w:sz w:val="20"/>
          <w:szCs w:val="20"/>
          <w:color w:val="auto"/>
        </w:rPr>
      </w:pPr>
    </w:p>
    <w:p>
      <w:pPr>
        <w:ind w:left="1560" w:hanging="924"/>
        <w:spacing w:after="0"/>
        <w:tabs>
          <w:tab w:leader="none" w:pos="1560" w:val="left"/>
        </w:tabs>
        <w:numPr>
          <w:ilvl w:val="0"/>
          <w:numId w:val="238"/>
        </w:numPr>
        <w:rPr>
          <w:rFonts w:ascii="Arial" w:cs="Arial" w:eastAsia="Arial" w:hAnsi="Arial"/>
          <w:sz w:val="13"/>
          <w:szCs w:val="13"/>
          <w:color w:val="auto"/>
        </w:rPr>
      </w:pPr>
      <w:r>
        <w:rPr>
          <w:rFonts w:ascii="Arial" w:cs="Arial" w:eastAsia="Arial" w:hAnsi="Arial"/>
          <w:sz w:val="13"/>
          <w:szCs w:val="13"/>
          <w:color w:val="auto"/>
        </w:rPr>
        <w:t>the aggregate amount of:</w:t>
      </w:r>
    </w:p>
    <w:p>
      <w:pPr>
        <w:spacing w:after="0" w:line="75" w:lineRule="exact"/>
        <w:rPr>
          <w:rFonts w:ascii="Arial" w:cs="Arial" w:eastAsia="Arial" w:hAnsi="Arial"/>
          <w:sz w:val="13"/>
          <w:szCs w:val="13"/>
          <w:color w:val="auto"/>
        </w:rPr>
      </w:pPr>
    </w:p>
    <w:p>
      <w:pPr>
        <w:ind w:left="1740" w:hanging="752"/>
        <w:spacing w:after="0"/>
        <w:tabs>
          <w:tab w:leader="none" w:pos="1740" w:val="left"/>
        </w:tabs>
        <w:numPr>
          <w:ilvl w:val="1"/>
          <w:numId w:val="238"/>
        </w:numPr>
        <w:rPr>
          <w:rFonts w:ascii="Arial" w:cs="Arial" w:eastAsia="Arial" w:hAnsi="Arial"/>
          <w:sz w:val="13"/>
          <w:szCs w:val="13"/>
          <w:color w:val="auto"/>
        </w:rPr>
      </w:pPr>
      <w:r>
        <w:rPr>
          <w:rFonts w:ascii="Arial" w:cs="Arial" w:eastAsia="Arial" w:hAnsi="Arial"/>
          <w:sz w:val="13"/>
          <w:szCs w:val="13"/>
          <w:color w:val="auto"/>
        </w:rPr>
        <w:t>Adjusted EBITDA in respect of the 12 month period ending on that date; and</w:t>
      </w:r>
    </w:p>
    <w:p>
      <w:pPr>
        <w:spacing w:after="0" w:line="66" w:lineRule="exact"/>
        <w:rPr>
          <w:rFonts w:ascii="Arial" w:cs="Arial" w:eastAsia="Arial" w:hAnsi="Arial"/>
          <w:sz w:val="13"/>
          <w:szCs w:val="13"/>
          <w:color w:val="auto"/>
        </w:rPr>
      </w:pPr>
    </w:p>
    <w:p>
      <w:pPr>
        <w:ind w:left="1700" w:hanging="712"/>
        <w:spacing w:after="0"/>
        <w:tabs>
          <w:tab w:leader="none" w:pos="1700" w:val="left"/>
        </w:tabs>
        <w:numPr>
          <w:ilvl w:val="1"/>
          <w:numId w:val="238"/>
        </w:numPr>
        <w:rPr>
          <w:rFonts w:ascii="Arial" w:cs="Arial" w:eastAsia="Arial" w:hAnsi="Arial"/>
          <w:sz w:val="13"/>
          <w:szCs w:val="13"/>
          <w:color w:val="auto"/>
        </w:rPr>
      </w:pPr>
      <w:r>
        <w:rPr>
          <w:rFonts w:ascii="Arial" w:cs="Arial" w:eastAsia="Arial" w:hAnsi="Arial"/>
          <w:sz w:val="13"/>
          <w:szCs w:val="13"/>
          <w:color w:val="auto"/>
        </w:rPr>
        <w:t>Total Lease Payments in respect of the 12 month period ending on that date,</w:t>
      </w:r>
    </w:p>
    <w:p>
      <w:pPr>
        <w:spacing w:after="0" w:line="57" w:lineRule="exact"/>
        <w:rPr>
          <w:rFonts w:ascii="Arial" w:cs="Arial" w:eastAsia="Arial" w:hAnsi="Arial"/>
          <w:sz w:val="13"/>
          <w:szCs w:val="13"/>
          <w:color w:val="auto"/>
        </w:rPr>
      </w:pPr>
    </w:p>
    <w:p>
      <w:pPr>
        <w:ind w:left="640"/>
        <w:spacing w:after="0"/>
        <w:rPr>
          <w:rFonts w:ascii="Arial" w:cs="Arial" w:eastAsia="Arial" w:hAnsi="Arial"/>
          <w:sz w:val="13"/>
          <w:szCs w:val="13"/>
          <w:color w:val="auto"/>
        </w:rPr>
      </w:pPr>
      <w:r>
        <w:rPr>
          <w:rFonts w:ascii="Arial" w:cs="Arial" w:eastAsia="Arial" w:hAnsi="Arial"/>
          <w:sz w:val="13"/>
          <w:szCs w:val="13"/>
          <w:color w:val="auto"/>
        </w:rPr>
        <w:t>to</w:t>
      </w:r>
    </w:p>
    <w:p>
      <w:pPr>
        <w:spacing w:after="0" w:line="84" w:lineRule="exact"/>
        <w:rPr>
          <w:rFonts w:ascii="Arial" w:cs="Arial" w:eastAsia="Arial" w:hAnsi="Arial"/>
          <w:sz w:val="13"/>
          <w:szCs w:val="13"/>
          <w:color w:val="auto"/>
        </w:rPr>
      </w:pPr>
    </w:p>
    <w:p>
      <w:pPr>
        <w:ind w:left="1560" w:hanging="924"/>
        <w:spacing w:after="0"/>
        <w:tabs>
          <w:tab w:leader="none" w:pos="1560" w:val="left"/>
        </w:tabs>
        <w:numPr>
          <w:ilvl w:val="0"/>
          <w:numId w:val="238"/>
        </w:numPr>
        <w:rPr>
          <w:rFonts w:ascii="Arial" w:cs="Arial" w:eastAsia="Arial" w:hAnsi="Arial"/>
          <w:sz w:val="13"/>
          <w:szCs w:val="13"/>
          <w:color w:val="auto"/>
        </w:rPr>
      </w:pPr>
      <w:r>
        <w:rPr>
          <w:rFonts w:ascii="Arial" w:cs="Arial" w:eastAsia="Arial" w:hAnsi="Arial"/>
          <w:sz w:val="13"/>
          <w:szCs w:val="13"/>
          <w:color w:val="auto"/>
        </w:rPr>
        <w:t>the aggregate amount of:</w:t>
      </w:r>
    </w:p>
    <w:p>
      <w:pPr>
        <w:spacing w:after="0" w:line="75" w:lineRule="exact"/>
        <w:rPr>
          <w:rFonts w:ascii="Arial" w:cs="Arial" w:eastAsia="Arial" w:hAnsi="Arial"/>
          <w:sz w:val="13"/>
          <w:szCs w:val="13"/>
          <w:color w:val="auto"/>
        </w:rPr>
      </w:pPr>
    </w:p>
    <w:p>
      <w:pPr>
        <w:ind w:left="1420" w:hanging="432"/>
        <w:spacing w:after="0" w:line="244" w:lineRule="auto"/>
        <w:tabs>
          <w:tab w:leader="none" w:pos="1420" w:val="left"/>
        </w:tabs>
        <w:numPr>
          <w:ilvl w:val="1"/>
          <w:numId w:val="238"/>
        </w:numPr>
        <w:rPr>
          <w:rFonts w:ascii="Arial" w:cs="Arial" w:eastAsia="Arial" w:hAnsi="Arial"/>
          <w:sz w:val="13"/>
          <w:szCs w:val="13"/>
          <w:color w:val="auto"/>
        </w:rPr>
      </w:pPr>
      <w:r>
        <w:rPr>
          <w:rFonts w:ascii="Arial" w:cs="Arial" w:eastAsia="Arial" w:hAnsi="Arial"/>
          <w:sz w:val="13"/>
          <w:szCs w:val="13"/>
          <w:color w:val="auto"/>
        </w:rPr>
        <w:t>Gross Interest Expense paid or payable by the Reading Entertainment Australia Group (whether payable in respect of the Facilities or otherwise) in respect of the 12 month period ending on that date; and</w:t>
      </w:r>
    </w:p>
    <w:p>
      <w:pPr>
        <w:spacing w:after="0" w:line="56" w:lineRule="exact"/>
        <w:rPr>
          <w:rFonts w:ascii="Arial" w:cs="Arial" w:eastAsia="Arial" w:hAnsi="Arial"/>
          <w:sz w:val="13"/>
          <w:szCs w:val="13"/>
          <w:color w:val="auto"/>
        </w:rPr>
      </w:pPr>
    </w:p>
    <w:p>
      <w:pPr>
        <w:ind w:left="1700" w:hanging="712"/>
        <w:spacing w:after="0"/>
        <w:tabs>
          <w:tab w:leader="none" w:pos="1700" w:val="left"/>
        </w:tabs>
        <w:numPr>
          <w:ilvl w:val="1"/>
          <w:numId w:val="238"/>
        </w:numPr>
        <w:rPr>
          <w:rFonts w:ascii="Arial" w:cs="Arial" w:eastAsia="Arial" w:hAnsi="Arial"/>
          <w:sz w:val="13"/>
          <w:szCs w:val="13"/>
          <w:color w:val="auto"/>
        </w:rPr>
      </w:pPr>
      <w:r>
        <w:rPr>
          <w:rFonts w:ascii="Arial" w:cs="Arial" w:eastAsia="Arial" w:hAnsi="Arial"/>
          <w:sz w:val="13"/>
          <w:szCs w:val="13"/>
          <w:color w:val="auto"/>
        </w:rPr>
        <w:t>Total Lease Payments in respect of the 12 month period ending on that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168275</wp:posOffset>
            </wp:positionV>
            <wp:extent cx="6208395"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208395" cy="42545"/>
                    </a:xfrm>
                    <a:prstGeom prst="rect">
                      <a:avLst/>
                    </a:prstGeom>
                    <a:noFill/>
                  </pic:spPr>
                </pic:pic>
              </a:graphicData>
            </a:graphic>
          </wp:anchor>
        </w:drawing>
      </w:r>
    </w:p>
    <w:p>
      <w:pPr>
        <w:sectPr>
          <w:pgSz w:w="11900" w:h="16838" w:orient="portrait"/>
          <w:cols w:equalWidth="0" w:num="1">
            <w:col w:w="9200"/>
          </w:cols>
          <w:pgMar w:left="1440" w:top="545" w:right="1259" w:bottom="1440" w:gutter="0" w:footer="0" w:header="0"/>
        </w:sectPr>
      </w:pPr>
    </w:p>
    <w:bookmarkStart w:id="229" w:name="page230"/>
    <w:bookmarkEnd w:id="229"/>
    <w:p>
      <w:pPr>
        <w:ind w:left="640" w:right="320"/>
        <w:spacing w:after="0" w:line="269" w:lineRule="auto"/>
        <w:rPr>
          <w:sz w:val="20"/>
          <w:szCs w:val="20"/>
          <w:color w:val="auto"/>
        </w:rPr>
      </w:pPr>
      <w:r>
        <w:rPr>
          <w:rFonts w:ascii="Arial" w:cs="Arial" w:eastAsia="Arial" w:hAnsi="Arial"/>
          <w:sz w:val="13"/>
          <w:szCs w:val="13"/>
          <w:b w:val="1"/>
          <w:bCs w:val="1"/>
          <w:color w:val="auto"/>
        </w:rPr>
        <w:t xml:space="preserve">Freehold Property </w:t>
      </w:r>
      <w:r>
        <w:rPr>
          <w:rFonts w:ascii="Arial" w:cs="Arial" w:eastAsia="Arial" w:hAnsi="Arial"/>
          <w:sz w:val="13"/>
          <w:szCs w:val="13"/>
          <w:color w:val="auto"/>
        </w:rPr>
        <w:t>means each freehold property owned by a Transaction Party that is the subject of a real property mortgage referred to in of</w:t>
      </w:r>
      <w:r>
        <w:rPr>
          <w:rFonts w:ascii="Arial" w:cs="Arial" w:eastAsia="Arial" w:hAnsi="Arial"/>
          <w:sz w:val="13"/>
          <w:szCs w:val="13"/>
          <w:b w:val="1"/>
          <w:bCs w:val="1"/>
          <w:color w:val="auto"/>
        </w:rPr>
        <w:t xml:space="preserve"> schedule 3</w:t>
      </w:r>
      <w:r>
        <w:rPr>
          <w:rFonts w:ascii="Arial" w:cs="Arial" w:eastAsia="Arial" w:hAnsi="Arial"/>
          <w:sz w:val="13"/>
          <w:szCs w:val="13"/>
          <w:color w:val="auto"/>
        </w:rPr>
        <w:t>.</w:t>
      </w:r>
    </w:p>
    <w:p>
      <w:pPr>
        <w:spacing w:after="0" w:line="22"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auto"/>
        </w:rPr>
        <w:t xml:space="preserve">Funding Date </w:t>
      </w:r>
      <w:r>
        <w:rPr>
          <w:rFonts w:ascii="Arial" w:cs="Arial" w:eastAsia="Arial" w:hAnsi="Arial"/>
          <w:sz w:val="13"/>
          <w:szCs w:val="13"/>
          <w:color w:val="auto"/>
        </w:rPr>
        <w:t>means a date on which:</w:t>
      </w:r>
    </w:p>
    <w:p>
      <w:pPr>
        <w:spacing w:after="0" w:line="95" w:lineRule="exact"/>
        <w:rPr>
          <w:sz w:val="20"/>
          <w:szCs w:val="20"/>
          <w:color w:val="auto"/>
        </w:rPr>
      </w:pPr>
    </w:p>
    <w:p>
      <w:pPr>
        <w:ind w:left="1120" w:hanging="484"/>
        <w:spacing w:after="0"/>
        <w:tabs>
          <w:tab w:leader="none" w:pos="1120" w:val="left"/>
        </w:tabs>
        <w:numPr>
          <w:ilvl w:val="0"/>
          <w:numId w:val="239"/>
        </w:numPr>
        <w:rPr>
          <w:rFonts w:ascii="Arial" w:cs="Arial" w:eastAsia="Arial" w:hAnsi="Arial"/>
          <w:sz w:val="13"/>
          <w:szCs w:val="13"/>
          <w:color w:val="auto"/>
        </w:rPr>
      </w:pPr>
      <w:r>
        <w:rPr>
          <w:rFonts w:ascii="Arial" w:cs="Arial" w:eastAsia="Arial" w:hAnsi="Arial"/>
          <w:sz w:val="13"/>
          <w:szCs w:val="13"/>
          <w:color w:val="auto"/>
        </w:rPr>
        <w:t>an Advance is, or is proposed to be, made; or</w:t>
      </w:r>
    </w:p>
    <w:p>
      <w:pPr>
        <w:spacing w:after="0" w:line="103" w:lineRule="exact"/>
        <w:rPr>
          <w:sz w:val="20"/>
          <w:szCs w:val="20"/>
          <w:color w:val="auto"/>
        </w:rPr>
      </w:pPr>
    </w:p>
    <w:p>
      <w:pPr>
        <w:ind w:left="640"/>
        <w:spacing w:after="0"/>
        <w:tabs>
          <w:tab w:leader="none" w:pos="2460" w:val="left"/>
        </w:tabs>
        <w:rPr>
          <w:sz w:val="20"/>
          <w:szCs w:val="20"/>
          <w:color w:val="auto"/>
        </w:rPr>
      </w:pPr>
      <w:r>
        <w:rPr>
          <w:rFonts w:ascii="Arial" w:cs="Arial" w:eastAsia="Arial" w:hAnsi="Arial"/>
          <w:sz w:val="13"/>
          <w:szCs w:val="13"/>
          <w:color w:val="auto"/>
        </w:rPr>
        <w:t>(b)</w:t>
      </w:r>
      <w:r>
        <w:rPr>
          <w:sz w:val="20"/>
          <w:szCs w:val="20"/>
          <w:color w:val="auto"/>
        </w:rPr>
        <w:tab/>
      </w:r>
      <w:r>
        <w:rPr>
          <w:rFonts w:ascii="Arial" w:cs="Arial" w:eastAsia="Arial" w:hAnsi="Arial"/>
          <w:sz w:val="13"/>
          <w:szCs w:val="13"/>
          <w:color w:val="auto"/>
        </w:rPr>
        <w:t>a Bank Guarantee is, or is proposed to be, issued, under this document.</w:t>
      </w:r>
    </w:p>
    <w:p>
      <w:pPr>
        <w:spacing w:after="0" w:line="29"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auto"/>
        </w:rPr>
        <w:t xml:space="preserve">Funding Notice </w:t>
      </w:r>
      <w:r>
        <w:rPr>
          <w:rFonts w:ascii="Arial" w:cs="Arial" w:eastAsia="Arial" w:hAnsi="Arial"/>
          <w:sz w:val="13"/>
          <w:szCs w:val="13"/>
          <w:color w:val="auto"/>
        </w:rPr>
        <w:t>means a notice in accordance with</w:t>
      </w:r>
      <w:r>
        <w:rPr>
          <w:rFonts w:ascii="Arial" w:cs="Arial" w:eastAsia="Arial" w:hAnsi="Arial"/>
          <w:sz w:val="13"/>
          <w:szCs w:val="13"/>
          <w:b w:val="1"/>
          <w:bCs w:val="1"/>
          <w:color w:val="auto"/>
        </w:rPr>
        <w:t xml:space="preserve"> clause 4.4</w:t>
      </w:r>
      <w:r>
        <w:rPr>
          <w:rFonts w:ascii="Arial" w:cs="Arial" w:eastAsia="Arial" w:hAnsi="Arial"/>
          <w:sz w:val="13"/>
          <w:szCs w:val="13"/>
          <w:color w:val="auto"/>
        </w:rPr>
        <w:t>.</w:t>
      </w:r>
    </w:p>
    <w:p>
      <w:pPr>
        <w:spacing w:after="0" w:line="70" w:lineRule="exact"/>
        <w:rPr>
          <w:sz w:val="20"/>
          <w:szCs w:val="20"/>
          <w:color w:val="auto"/>
        </w:rPr>
      </w:pPr>
    </w:p>
    <w:p>
      <w:pPr>
        <w:ind w:left="640" w:right="240"/>
        <w:spacing w:after="0" w:line="250" w:lineRule="auto"/>
        <w:rPr>
          <w:sz w:val="20"/>
          <w:szCs w:val="20"/>
          <w:color w:val="auto"/>
        </w:rPr>
      </w:pPr>
      <w:r>
        <w:rPr>
          <w:rFonts w:ascii="Arial" w:cs="Arial" w:eastAsia="Arial" w:hAnsi="Arial"/>
          <w:sz w:val="13"/>
          <w:szCs w:val="13"/>
          <w:b w:val="1"/>
          <w:bCs w:val="1"/>
          <w:color w:val="auto"/>
        </w:rPr>
        <w:t xml:space="preserve">Government Body </w:t>
      </w:r>
      <w:r>
        <w:rPr>
          <w:rFonts w:ascii="Arial" w:cs="Arial" w:eastAsia="Arial" w:hAnsi="Arial"/>
          <w:sz w:val="13"/>
          <w:szCs w:val="13"/>
          <w:color w:val="auto"/>
        </w:rPr>
        <w:t>means any person or body exercising an executive, legislative, judicial or other governmental function. It includes any public</w:t>
      </w:r>
      <w:r>
        <w:rPr>
          <w:rFonts w:ascii="Arial" w:cs="Arial" w:eastAsia="Arial" w:hAnsi="Arial"/>
          <w:sz w:val="13"/>
          <w:szCs w:val="13"/>
          <w:b w:val="1"/>
          <w:bCs w:val="1"/>
          <w:color w:val="auto"/>
        </w:rPr>
        <w:t xml:space="preserve"> </w:t>
      </w:r>
      <w:r>
        <w:rPr>
          <w:rFonts w:ascii="Arial" w:cs="Arial" w:eastAsia="Arial" w:hAnsi="Arial"/>
          <w:sz w:val="13"/>
          <w:szCs w:val="13"/>
          <w:color w:val="auto"/>
        </w:rPr>
        <w:t>authority constituted under a law of any country or political sub-division of any country. It also includes any person deriving a power directly or indirectly from any other person or body referred to in this definition.</w:t>
      </w:r>
    </w:p>
    <w:p>
      <w:pPr>
        <w:spacing w:after="0" w:line="37" w:lineRule="exact"/>
        <w:rPr>
          <w:sz w:val="20"/>
          <w:szCs w:val="20"/>
          <w:color w:val="auto"/>
        </w:rPr>
      </w:pPr>
    </w:p>
    <w:p>
      <w:pPr>
        <w:ind w:left="640"/>
        <w:spacing w:after="0" w:line="244" w:lineRule="auto"/>
        <w:rPr>
          <w:sz w:val="20"/>
          <w:szCs w:val="20"/>
          <w:color w:val="auto"/>
        </w:rPr>
      </w:pPr>
      <w:r>
        <w:rPr>
          <w:rFonts w:ascii="Arial" w:cs="Arial" w:eastAsia="Arial" w:hAnsi="Arial"/>
          <w:sz w:val="13"/>
          <w:szCs w:val="13"/>
          <w:b w:val="1"/>
          <w:bCs w:val="1"/>
          <w:color w:val="auto"/>
        </w:rPr>
        <w:t xml:space="preserve">Gross Interest Expense </w:t>
      </w:r>
      <w:r>
        <w:rPr>
          <w:rFonts w:ascii="Arial" w:cs="Arial" w:eastAsia="Arial" w:hAnsi="Arial"/>
          <w:sz w:val="13"/>
          <w:szCs w:val="13"/>
          <w:color w:val="auto"/>
        </w:rPr>
        <w:t>means, in relation to any period, the aggregate of all interest and amounts in the nature of interest (including commissions,</w:t>
      </w:r>
      <w:r>
        <w:rPr>
          <w:rFonts w:ascii="Arial" w:cs="Arial" w:eastAsia="Arial" w:hAnsi="Arial"/>
          <w:sz w:val="13"/>
          <w:szCs w:val="13"/>
          <w:b w:val="1"/>
          <w:bCs w:val="1"/>
          <w:color w:val="auto"/>
        </w:rPr>
        <w:t xml:space="preserve"> </w:t>
      </w:r>
      <w:r>
        <w:rPr>
          <w:rFonts w:ascii="Arial" w:cs="Arial" w:eastAsia="Arial" w:hAnsi="Arial"/>
          <w:sz w:val="13"/>
          <w:szCs w:val="13"/>
          <w:color w:val="auto"/>
        </w:rPr>
        <w:t>discount fees, acceptance fees, facility fees, the interest element of a finance lease and fees or charges) payable in connection with any Financial Indebtedness of the Reading Entertainment Australia Group (other than Excluded Financial Indebtedness) for that period on a consolidated basis, whether accrued, paid, payable or expensed (including interest expense under each of the Facilities).</w:t>
      </w:r>
    </w:p>
    <w:p>
      <w:pPr>
        <w:spacing w:after="0" w:line="46"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auto"/>
        </w:rPr>
        <w:t xml:space="preserve">Guarantee </w:t>
      </w:r>
      <w:r>
        <w:rPr>
          <w:rFonts w:ascii="Arial" w:cs="Arial" w:eastAsia="Arial" w:hAnsi="Arial"/>
          <w:sz w:val="13"/>
          <w:szCs w:val="13"/>
          <w:color w:val="auto"/>
        </w:rPr>
        <w:t>means:</w:t>
      </w:r>
    </w:p>
    <w:p>
      <w:pPr>
        <w:sectPr>
          <w:pgSz w:w="11900" w:h="16838" w:orient="portrait"/>
          <w:cols w:equalWidth="0" w:num="1">
            <w:col w:w="9300"/>
          </w:cols>
          <w:pgMar w:left="1440" w:top="545" w:right="1159" w:bottom="1440" w:gutter="0" w:footer="0" w:header="0"/>
        </w:sectPr>
      </w:pPr>
    </w:p>
    <w:p>
      <w:pPr>
        <w:spacing w:after="0" w:line="92" w:lineRule="exact"/>
        <w:rPr>
          <w:sz w:val="20"/>
          <w:szCs w:val="20"/>
          <w:color w:val="auto"/>
        </w:rPr>
      </w:pPr>
    </w:p>
    <w:p>
      <w:pPr>
        <w:ind w:left="640"/>
        <w:spacing w:after="0"/>
        <w:rPr>
          <w:sz w:val="20"/>
          <w:szCs w:val="20"/>
          <w:color w:val="auto"/>
        </w:rPr>
      </w:pPr>
      <w:r>
        <w:rPr>
          <w:rFonts w:ascii="Arial" w:cs="Arial" w:eastAsia="Arial" w:hAnsi="Arial"/>
          <w:sz w:val="13"/>
          <w:szCs w:val="13"/>
          <w:color w:val="auto"/>
        </w:rPr>
        <w:t>(a)</w:t>
      </w:r>
    </w:p>
    <w:p>
      <w:pPr>
        <w:spacing w:after="0" w:line="20" w:lineRule="exact"/>
        <w:rPr>
          <w:sz w:val="20"/>
          <w:szCs w:val="20"/>
          <w:color w:val="auto"/>
        </w:rPr>
      </w:pPr>
      <w:r>
        <w:rPr>
          <w:sz w:val="20"/>
          <w:szCs w:val="20"/>
          <w:color w:val="auto"/>
        </w:rPr>
        <w:br w:type="column"/>
      </w:r>
    </w:p>
    <w:p>
      <w:pPr>
        <w:spacing w:after="0" w:line="75" w:lineRule="exact"/>
        <w:rPr>
          <w:sz w:val="20"/>
          <w:szCs w:val="20"/>
          <w:color w:val="auto"/>
        </w:rPr>
      </w:pPr>
    </w:p>
    <w:p>
      <w:pPr>
        <w:ind w:right="600"/>
        <w:spacing w:after="0" w:line="238" w:lineRule="auto"/>
        <w:rPr>
          <w:sz w:val="20"/>
          <w:szCs w:val="20"/>
          <w:color w:val="auto"/>
        </w:rPr>
      </w:pPr>
      <w:r>
        <w:rPr>
          <w:rFonts w:ascii="Arial" w:cs="Arial" w:eastAsia="Arial" w:hAnsi="Arial"/>
          <w:sz w:val="13"/>
          <w:szCs w:val="13"/>
          <w:color w:val="auto"/>
        </w:rPr>
        <w:t>a guarantee, indemnity, undertaking, letter of credit, Security, acceptance or endorsement of a negotiable instrument or other obligation (actual or contingent) given by any person to secure compliance with an obligation by another person;</w:t>
      </w:r>
    </w:p>
    <w:p>
      <w:pPr>
        <w:spacing w:after="0" w:line="51" w:lineRule="exact"/>
        <w:rPr>
          <w:sz w:val="20"/>
          <w:szCs w:val="20"/>
          <w:color w:val="auto"/>
        </w:rPr>
      </w:pPr>
    </w:p>
    <w:p>
      <w:pPr>
        <w:sectPr>
          <w:pgSz w:w="11900" w:h="16838" w:orient="portrait"/>
          <w:cols w:equalWidth="0" w:num="2">
            <w:col w:w="1440" w:space="720"/>
            <w:col w:w="7140"/>
          </w:cols>
          <w:pgMar w:left="1440" w:top="545" w:right="1159" w:bottom="1440" w:gutter="0" w:footer="0" w:header="0"/>
          <w:type w:val="continuous"/>
        </w:sectPr>
      </w:pPr>
    </w:p>
    <w:p>
      <w:pPr>
        <w:ind w:left="1120" w:right="140" w:hanging="484"/>
        <w:spacing w:after="0" w:line="244" w:lineRule="auto"/>
        <w:tabs>
          <w:tab w:leader="none" w:pos="1120" w:val="left"/>
        </w:tabs>
        <w:numPr>
          <w:ilvl w:val="0"/>
          <w:numId w:val="240"/>
        </w:numPr>
        <w:rPr>
          <w:rFonts w:ascii="Arial" w:cs="Arial" w:eastAsia="Arial" w:hAnsi="Arial"/>
          <w:sz w:val="13"/>
          <w:szCs w:val="13"/>
          <w:color w:val="auto"/>
        </w:rPr>
      </w:pPr>
      <w:r>
        <w:rPr>
          <w:rFonts w:ascii="Arial" w:cs="Arial" w:eastAsia="Arial" w:hAnsi="Arial"/>
          <w:sz w:val="13"/>
          <w:szCs w:val="13"/>
          <w:color w:val="auto"/>
        </w:rPr>
        <w:t>an obligation (actual or contingent) of a person to ensure the solvency of another person or the ability of another person to comply with an obligation, including by the advance of money or the acquisition for valuable consideration of property or services; and</w:t>
      </w:r>
    </w:p>
    <w:p>
      <w:pPr>
        <w:spacing w:after="0" w:line="56" w:lineRule="exact"/>
        <w:rPr>
          <w:rFonts w:ascii="Arial" w:cs="Arial" w:eastAsia="Arial" w:hAnsi="Arial"/>
          <w:sz w:val="13"/>
          <w:szCs w:val="13"/>
          <w:color w:val="auto"/>
        </w:rPr>
      </w:pPr>
    </w:p>
    <w:p>
      <w:pPr>
        <w:ind w:left="1680" w:hanging="1044"/>
        <w:spacing w:after="0"/>
        <w:tabs>
          <w:tab w:leader="none" w:pos="1680" w:val="left"/>
        </w:tabs>
        <w:numPr>
          <w:ilvl w:val="0"/>
          <w:numId w:val="240"/>
        </w:numPr>
        <w:rPr>
          <w:rFonts w:ascii="Arial" w:cs="Arial" w:eastAsia="Arial" w:hAnsi="Arial"/>
          <w:sz w:val="13"/>
          <w:szCs w:val="13"/>
          <w:color w:val="auto"/>
        </w:rPr>
      </w:pPr>
      <w:r>
        <w:rPr>
          <w:rFonts w:ascii="Arial" w:cs="Arial" w:eastAsia="Arial" w:hAnsi="Arial"/>
          <w:sz w:val="13"/>
          <w:szCs w:val="13"/>
          <w:color w:val="auto"/>
        </w:rPr>
        <w:t>an option under which a person is obliged on the exercise of the option to buy:</w:t>
      </w:r>
    </w:p>
    <w:p>
      <w:pPr>
        <w:spacing w:after="0" w:line="57" w:lineRule="exact"/>
        <w:rPr>
          <w:rFonts w:ascii="Arial" w:cs="Arial" w:eastAsia="Arial" w:hAnsi="Arial"/>
          <w:sz w:val="13"/>
          <w:szCs w:val="13"/>
          <w:color w:val="auto"/>
        </w:rPr>
      </w:pPr>
    </w:p>
    <w:p>
      <w:pPr>
        <w:ind w:left="1340" w:hanging="352"/>
        <w:spacing w:after="0"/>
        <w:tabs>
          <w:tab w:leader="none" w:pos="1340" w:val="left"/>
        </w:tabs>
        <w:numPr>
          <w:ilvl w:val="1"/>
          <w:numId w:val="240"/>
        </w:numPr>
        <w:rPr>
          <w:rFonts w:ascii="Arial" w:cs="Arial" w:eastAsia="Arial" w:hAnsi="Arial"/>
          <w:sz w:val="13"/>
          <w:szCs w:val="13"/>
          <w:color w:val="auto"/>
        </w:rPr>
      </w:pPr>
      <w:r>
        <w:rPr>
          <w:rFonts w:ascii="Arial" w:cs="Arial" w:eastAsia="Arial" w:hAnsi="Arial"/>
          <w:sz w:val="13"/>
          <w:szCs w:val="13"/>
          <w:color w:val="auto"/>
        </w:rPr>
        <w:t>any debt or liability owed by another person; or</w:t>
      </w:r>
    </w:p>
    <w:p>
      <w:pPr>
        <w:spacing w:after="0" w:line="84" w:lineRule="exact"/>
        <w:rPr>
          <w:rFonts w:ascii="Arial" w:cs="Arial" w:eastAsia="Arial" w:hAnsi="Arial"/>
          <w:sz w:val="13"/>
          <w:szCs w:val="13"/>
          <w:color w:val="auto"/>
        </w:rPr>
      </w:pPr>
    </w:p>
    <w:p>
      <w:pPr>
        <w:ind w:left="1420" w:hanging="432"/>
        <w:spacing w:after="0"/>
        <w:tabs>
          <w:tab w:leader="none" w:pos="1420" w:val="left"/>
        </w:tabs>
        <w:numPr>
          <w:ilvl w:val="1"/>
          <w:numId w:val="240"/>
        </w:numPr>
        <w:rPr>
          <w:rFonts w:ascii="Arial" w:cs="Arial" w:eastAsia="Arial" w:hAnsi="Arial"/>
          <w:sz w:val="13"/>
          <w:szCs w:val="13"/>
          <w:color w:val="auto"/>
        </w:rPr>
      </w:pPr>
      <w:r>
        <w:rPr>
          <w:rFonts w:ascii="Arial" w:cs="Arial" w:eastAsia="Arial" w:hAnsi="Arial"/>
          <w:sz w:val="13"/>
          <w:szCs w:val="13"/>
          <w:color w:val="auto"/>
        </w:rPr>
        <w:t>any property which is subject to a Security Interest.</w:t>
      </w:r>
    </w:p>
    <w:p>
      <w:pPr>
        <w:spacing w:after="0" w:line="65"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auto"/>
        </w:rPr>
        <w:t xml:space="preserve">Guaranteed Money </w:t>
      </w:r>
      <w:r>
        <w:rPr>
          <w:rFonts w:ascii="Arial" w:cs="Arial" w:eastAsia="Arial" w:hAnsi="Arial"/>
          <w:sz w:val="13"/>
          <w:szCs w:val="13"/>
          <w:color w:val="auto"/>
        </w:rPr>
        <w:t>means all money:</w:t>
      </w:r>
    </w:p>
    <w:p>
      <w:pPr>
        <w:spacing w:after="0" w:line="95" w:lineRule="exact"/>
        <w:rPr>
          <w:sz w:val="20"/>
          <w:szCs w:val="20"/>
          <w:color w:val="auto"/>
        </w:rPr>
      </w:pPr>
    </w:p>
    <w:p>
      <w:pPr>
        <w:ind w:left="2000" w:right="480" w:hanging="1364"/>
        <w:spacing w:after="0" w:line="244" w:lineRule="auto"/>
        <w:tabs>
          <w:tab w:leader="none" w:pos="2000" w:val="left"/>
        </w:tabs>
        <w:numPr>
          <w:ilvl w:val="0"/>
          <w:numId w:val="241"/>
        </w:numPr>
        <w:rPr>
          <w:rFonts w:ascii="Arial" w:cs="Arial" w:eastAsia="Arial" w:hAnsi="Arial"/>
          <w:sz w:val="13"/>
          <w:szCs w:val="13"/>
          <w:color w:val="auto"/>
        </w:rPr>
      </w:pPr>
      <w:r>
        <w:rPr>
          <w:rFonts w:ascii="Arial" w:cs="Arial" w:eastAsia="Arial" w:hAnsi="Arial"/>
          <w:sz w:val="13"/>
          <w:szCs w:val="13"/>
          <w:color w:val="auto"/>
        </w:rPr>
        <w:t>which now or in the future is owing (actually or contingently) by a Transaction Party to the Bank under or in relation to any of the Transaction Documents;</w:t>
      </w:r>
    </w:p>
    <w:p>
      <w:pPr>
        <w:spacing w:after="0" w:line="56" w:lineRule="exact"/>
        <w:rPr>
          <w:rFonts w:ascii="Arial" w:cs="Arial" w:eastAsia="Arial" w:hAnsi="Arial"/>
          <w:sz w:val="13"/>
          <w:szCs w:val="13"/>
          <w:color w:val="auto"/>
        </w:rPr>
      </w:pPr>
    </w:p>
    <w:p>
      <w:pPr>
        <w:jc w:val="both"/>
        <w:ind w:left="1120" w:right="160" w:hanging="484"/>
        <w:spacing w:after="0" w:line="244" w:lineRule="auto"/>
        <w:tabs>
          <w:tab w:leader="none" w:pos="1120" w:val="left"/>
        </w:tabs>
        <w:numPr>
          <w:ilvl w:val="0"/>
          <w:numId w:val="241"/>
        </w:numPr>
        <w:rPr>
          <w:rFonts w:ascii="Arial" w:cs="Arial" w:eastAsia="Arial" w:hAnsi="Arial"/>
          <w:sz w:val="13"/>
          <w:szCs w:val="13"/>
          <w:color w:val="auto"/>
        </w:rPr>
      </w:pPr>
      <w:r>
        <w:rPr>
          <w:rFonts w:ascii="Arial" w:cs="Arial" w:eastAsia="Arial" w:hAnsi="Arial"/>
          <w:sz w:val="13"/>
          <w:szCs w:val="13"/>
          <w:color w:val="auto"/>
        </w:rPr>
        <w:t>which having now or in the future become owing (actually or contingently) by a Transaction Party to the Bank under or in relation to any of the Transaction Documents, ceases to be owing by reason of any law relating to insolvency and remains unpaid by the Transaction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161925</wp:posOffset>
            </wp:positionV>
            <wp:extent cx="6208395"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208395" cy="42545"/>
                    </a:xfrm>
                    <a:prstGeom prst="rect">
                      <a:avLst/>
                    </a:prstGeom>
                    <a:noFill/>
                  </pic:spPr>
                </pic:pic>
              </a:graphicData>
            </a:graphic>
          </wp:anchor>
        </w:drawing>
      </w:r>
    </w:p>
    <w:p>
      <w:pPr>
        <w:sectPr>
          <w:pgSz w:w="11900" w:h="16838" w:orient="portrait"/>
          <w:cols w:equalWidth="0" w:num="1">
            <w:col w:w="9300"/>
          </w:cols>
          <w:pgMar w:left="1440" w:top="545" w:right="1159" w:bottom="1440" w:gutter="0" w:footer="0" w:header="0"/>
          <w:type w:val="continuous"/>
        </w:sectPr>
      </w:pPr>
    </w:p>
    <w:bookmarkStart w:id="230" w:name="page231"/>
    <w:bookmarkEnd w:id="230"/>
    <w:p>
      <w:pPr>
        <w:ind w:left="980"/>
        <w:spacing w:after="0"/>
        <w:rPr>
          <w:sz w:val="20"/>
          <w:szCs w:val="20"/>
          <w:color w:val="auto"/>
        </w:rPr>
      </w:pPr>
      <w:r>
        <w:rPr>
          <w:rFonts w:ascii="Arial" w:cs="Arial" w:eastAsia="Arial" w:hAnsi="Arial"/>
          <w:sz w:val="13"/>
          <w:szCs w:val="13"/>
          <w:color w:val="auto"/>
        </w:rPr>
        <w:t>and unreleased by the Bank; or</w:t>
      </w:r>
    </w:p>
    <w:p>
      <w:pPr>
        <w:spacing w:after="0" w:line="76" w:lineRule="exact"/>
        <w:rPr>
          <w:sz w:val="20"/>
          <w:szCs w:val="20"/>
          <w:color w:val="auto"/>
        </w:rPr>
      </w:pPr>
    </w:p>
    <w:p>
      <w:pPr>
        <w:ind w:left="1160" w:right="180" w:hanging="524"/>
        <w:spacing w:after="0" w:line="244" w:lineRule="auto"/>
        <w:tabs>
          <w:tab w:leader="none" w:pos="1160" w:val="left"/>
        </w:tabs>
        <w:numPr>
          <w:ilvl w:val="0"/>
          <w:numId w:val="242"/>
        </w:numPr>
        <w:rPr>
          <w:rFonts w:ascii="Arial" w:cs="Arial" w:eastAsia="Arial" w:hAnsi="Arial"/>
          <w:sz w:val="13"/>
          <w:szCs w:val="13"/>
          <w:color w:val="auto"/>
        </w:rPr>
      </w:pPr>
      <w:r>
        <w:rPr>
          <w:rFonts w:ascii="Arial" w:cs="Arial" w:eastAsia="Arial" w:hAnsi="Arial"/>
          <w:sz w:val="13"/>
          <w:szCs w:val="13"/>
          <w:color w:val="auto"/>
        </w:rPr>
        <w:t>that now or in the future may become owing (actually or contingently) by a Transaction Party to the Bank under or in relation to any of the Transaction Documents,</w:t>
      </w:r>
    </w:p>
    <w:p>
      <w:pPr>
        <w:spacing w:after="0" w:line="56" w:lineRule="exact"/>
        <w:rPr>
          <w:sz w:val="20"/>
          <w:szCs w:val="20"/>
          <w:color w:val="auto"/>
        </w:rPr>
      </w:pPr>
    </w:p>
    <w:p>
      <w:pPr>
        <w:ind w:left="640"/>
        <w:spacing w:after="0"/>
        <w:rPr>
          <w:sz w:val="20"/>
          <w:szCs w:val="20"/>
          <w:color w:val="auto"/>
        </w:rPr>
      </w:pPr>
      <w:r>
        <w:rPr>
          <w:rFonts w:ascii="Arial" w:cs="Arial" w:eastAsia="Arial" w:hAnsi="Arial"/>
          <w:sz w:val="13"/>
          <w:szCs w:val="13"/>
          <w:color w:val="auto"/>
        </w:rPr>
        <w:t>for any reason, whether such money is payable:</w:t>
      </w:r>
    </w:p>
    <w:p>
      <w:pPr>
        <w:spacing w:after="0" w:line="85" w:lineRule="exact"/>
        <w:rPr>
          <w:sz w:val="20"/>
          <w:szCs w:val="20"/>
          <w:color w:val="auto"/>
        </w:rPr>
      </w:pPr>
    </w:p>
    <w:p>
      <w:pPr>
        <w:ind w:left="1000" w:hanging="364"/>
        <w:spacing w:after="0"/>
        <w:tabs>
          <w:tab w:leader="none" w:pos="1000" w:val="left"/>
        </w:tabs>
        <w:numPr>
          <w:ilvl w:val="0"/>
          <w:numId w:val="243"/>
        </w:numPr>
        <w:rPr>
          <w:rFonts w:ascii="Arial" w:cs="Arial" w:eastAsia="Arial" w:hAnsi="Arial"/>
          <w:sz w:val="13"/>
          <w:szCs w:val="13"/>
          <w:color w:val="auto"/>
        </w:rPr>
      </w:pPr>
      <w:r>
        <w:rPr>
          <w:rFonts w:ascii="Arial" w:cs="Arial" w:eastAsia="Arial" w:hAnsi="Arial"/>
          <w:sz w:val="13"/>
          <w:szCs w:val="13"/>
          <w:color w:val="auto"/>
        </w:rPr>
        <w:t>by a Transaction Party alone or jointly or severally with any other person;</w:t>
      </w:r>
    </w:p>
    <w:p>
      <w:pPr>
        <w:spacing w:after="0" w:line="75" w:lineRule="exact"/>
        <w:rPr>
          <w:rFonts w:ascii="Arial" w:cs="Arial" w:eastAsia="Arial" w:hAnsi="Arial"/>
          <w:sz w:val="13"/>
          <w:szCs w:val="13"/>
          <w:color w:val="auto"/>
        </w:rPr>
      </w:pPr>
    </w:p>
    <w:p>
      <w:pPr>
        <w:ind w:left="1100" w:hanging="464"/>
        <w:spacing w:after="0"/>
        <w:tabs>
          <w:tab w:leader="none" w:pos="1100" w:val="left"/>
        </w:tabs>
        <w:numPr>
          <w:ilvl w:val="0"/>
          <w:numId w:val="243"/>
        </w:numPr>
        <w:rPr>
          <w:rFonts w:ascii="Arial" w:cs="Arial" w:eastAsia="Arial" w:hAnsi="Arial"/>
          <w:sz w:val="13"/>
          <w:szCs w:val="13"/>
          <w:color w:val="auto"/>
        </w:rPr>
      </w:pPr>
      <w:r>
        <w:rPr>
          <w:rFonts w:ascii="Arial" w:cs="Arial" w:eastAsia="Arial" w:hAnsi="Arial"/>
          <w:sz w:val="13"/>
          <w:szCs w:val="13"/>
          <w:color w:val="auto"/>
        </w:rPr>
        <w:t>by a Transaction Party in its own right or in any capacity;</w:t>
      </w:r>
    </w:p>
    <w:p>
      <w:pPr>
        <w:spacing w:after="0" w:line="84" w:lineRule="exact"/>
        <w:rPr>
          <w:rFonts w:ascii="Arial" w:cs="Arial" w:eastAsia="Arial" w:hAnsi="Arial"/>
          <w:sz w:val="13"/>
          <w:szCs w:val="13"/>
          <w:color w:val="auto"/>
        </w:rPr>
      </w:pPr>
    </w:p>
    <w:p>
      <w:pPr>
        <w:ind w:left="1060" w:hanging="424"/>
        <w:spacing w:after="0"/>
        <w:tabs>
          <w:tab w:leader="none" w:pos="1060" w:val="left"/>
        </w:tabs>
        <w:numPr>
          <w:ilvl w:val="0"/>
          <w:numId w:val="243"/>
        </w:numPr>
        <w:rPr>
          <w:rFonts w:ascii="Arial" w:cs="Arial" w:eastAsia="Arial" w:hAnsi="Arial"/>
          <w:sz w:val="13"/>
          <w:szCs w:val="13"/>
          <w:color w:val="auto"/>
        </w:rPr>
      </w:pPr>
      <w:r>
        <w:rPr>
          <w:rFonts w:ascii="Arial" w:cs="Arial" w:eastAsia="Arial" w:hAnsi="Arial"/>
          <w:sz w:val="13"/>
          <w:szCs w:val="13"/>
          <w:color w:val="auto"/>
        </w:rPr>
        <w:t>to the Bank in its own right or in any capacity; and</w:t>
      </w:r>
    </w:p>
    <w:p>
      <w:pPr>
        <w:spacing w:after="0" w:line="84" w:lineRule="exact"/>
        <w:rPr>
          <w:rFonts w:ascii="Arial" w:cs="Arial" w:eastAsia="Arial" w:hAnsi="Arial"/>
          <w:sz w:val="13"/>
          <w:szCs w:val="13"/>
          <w:color w:val="auto"/>
        </w:rPr>
      </w:pPr>
    </w:p>
    <w:p>
      <w:pPr>
        <w:ind w:left="1180" w:right="380" w:hanging="544"/>
        <w:spacing w:after="0" w:line="238" w:lineRule="auto"/>
        <w:tabs>
          <w:tab w:leader="none" w:pos="1180" w:val="left"/>
        </w:tabs>
        <w:numPr>
          <w:ilvl w:val="0"/>
          <w:numId w:val="243"/>
        </w:numPr>
        <w:rPr>
          <w:rFonts w:ascii="Arial" w:cs="Arial" w:eastAsia="Arial" w:hAnsi="Arial"/>
          <w:sz w:val="13"/>
          <w:szCs w:val="13"/>
          <w:color w:val="auto"/>
        </w:rPr>
      </w:pPr>
      <w:r>
        <w:rPr>
          <w:rFonts w:ascii="Arial" w:cs="Arial" w:eastAsia="Arial" w:hAnsi="Arial"/>
          <w:sz w:val="13"/>
          <w:szCs w:val="13"/>
          <w:color w:val="auto"/>
        </w:rPr>
        <w:t>by a Transaction Party as liquidated or unliquidated damages caused or contributed to by any breach by the Transaction Party of any obligation owed by the Transaction Party (or any other Transaction Party) to the Bank under or in relation to any of the Transaction Documents,</w:t>
      </w:r>
    </w:p>
    <w:p>
      <w:pPr>
        <w:spacing w:after="0" w:line="60" w:lineRule="exact"/>
        <w:rPr>
          <w:sz w:val="20"/>
          <w:szCs w:val="20"/>
          <w:color w:val="auto"/>
        </w:rPr>
      </w:pPr>
    </w:p>
    <w:p>
      <w:pPr>
        <w:ind w:left="640" w:right="260"/>
        <w:spacing w:after="0" w:line="238" w:lineRule="auto"/>
        <w:rPr>
          <w:sz w:val="20"/>
          <w:szCs w:val="20"/>
          <w:color w:val="auto"/>
        </w:rPr>
      </w:pPr>
      <w:r>
        <w:rPr>
          <w:rFonts w:ascii="Arial" w:cs="Arial" w:eastAsia="Arial" w:hAnsi="Arial"/>
          <w:sz w:val="13"/>
          <w:szCs w:val="13"/>
          <w:color w:val="auto"/>
        </w:rPr>
        <w:t>and if any Transaction Document or any obligation of a Transaction Party to the Bank under or in relation to any of the Transaction Documents is void, voidable or otherwise unenforceable by the Bank in accordance with its terms, it includes all money which would have been within this definition if that Transaction Document or obligation was not void, voidable or otherwise unenforceable.</w:t>
      </w:r>
    </w:p>
    <w:p>
      <w:pPr>
        <w:spacing w:after="0" w:line="44" w:lineRule="exact"/>
        <w:rPr>
          <w:sz w:val="20"/>
          <w:szCs w:val="20"/>
          <w:color w:val="auto"/>
        </w:rPr>
      </w:pPr>
    </w:p>
    <w:p>
      <w:pPr>
        <w:ind w:left="640" w:right="360"/>
        <w:spacing w:after="0" w:line="269" w:lineRule="auto"/>
        <w:rPr>
          <w:sz w:val="20"/>
          <w:szCs w:val="20"/>
          <w:color w:val="auto"/>
        </w:rPr>
      </w:pPr>
      <w:r>
        <w:rPr>
          <w:rFonts w:ascii="Arial" w:cs="Arial" w:eastAsia="Arial" w:hAnsi="Arial"/>
          <w:sz w:val="13"/>
          <w:szCs w:val="13"/>
          <w:b w:val="1"/>
          <w:bCs w:val="1"/>
          <w:color w:val="auto"/>
        </w:rPr>
        <w:t xml:space="preserve">Guarantor </w:t>
      </w:r>
      <w:r>
        <w:rPr>
          <w:rFonts w:ascii="Arial" w:cs="Arial" w:eastAsia="Arial" w:hAnsi="Arial"/>
          <w:sz w:val="13"/>
          <w:szCs w:val="13"/>
          <w:color w:val="auto"/>
        </w:rPr>
        <w:t>means the Original Guarantors and each person that becomes a guarantor under</w:t>
      </w:r>
      <w:r>
        <w:rPr>
          <w:rFonts w:ascii="Arial" w:cs="Arial" w:eastAsia="Arial" w:hAnsi="Arial"/>
          <w:sz w:val="13"/>
          <w:szCs w:val="13"/>
          <w:b w:val="1"/>
          <w:bCs w:val="1"/>
          <w:color w:val="auto"/>
        </w:rPr>
        <w:t xml:space="preserve"> clause 16</w:t>
      </w:r>
      <w:r>
        <w:rPr>
          <w:rFonts w:ascii="Arial" w:cs="Arial" w:eastAsia="Arial" w:hAnsi="Arial"/>
          <w:sz w:val="13"/>
          <w:szCs w:val="13"/>
          <w:color w:val="auto"/>
        </w:rPr>
        <w:t>. If there are more than one, Guarantor</w:t>
      </w:r>
      <w:r>
        <w:rPr>
          <w:rFonts w:ascii="Arial" w:cs="Arial" w:eastAsia="Arial" w:hAnsi="Arial"/>
          <w:sz w:val="13"/>
          <w:szCs w:val="13"/>
          <w:b w:val="1"/>
          <w:bCs w:val="1"/>
          <w:color w:val="auto"/>
        </w:rPr>
        <w:t xml:space="preserve"> </w:t>
      </w:r>
      <w:r>
        <w:rPr>
          <w:rFonts w:ascii="Arial" w:cs="Arial" w:eastAsia="Arial" w:hAnsi="Arial"/>
          <w:sz w:val="13"/>
          <w:szCs w:val="13"/>
          <w:color w:val="auto"/>
        </w:rPr>
        <w:t>means each of them individually and every two or more of them jointly.</w:t>
      </w:r>
    </w:p>
    <w:p>
      <w:pPr>
        <w:spacing w:after="0" w:line="22"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auto"/>
        </w:rPr>
        <w:t xml:space="preserve">Guarantor Accession Deed </w:t>
      </w:r>
      <w:r>
        <w:rPr>
          <w:rFonts w:ascii="Arial" w:cs="Arial" w:eastAsia="Arial" w:hAnsi="Arial"/>
          <w:sz w:val="13"/>
          <w:szCs w:val="13"/>
          <w:color w:val="auto"/>
        </w:rPr>
        <w:t>means a deed substantially in the form of</w:t>
      </w:r>
    </w:p>
    <w:p>
      <w:pPr>
        <w:spacing w:after="0" w:line="19"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auto"/>
        </w:rPr>
        <w:t>schedule 8</w:t>
      </w:r>
      <w:r>
        <w:rPr>
          <w:rFonts w:ascii="Arial" w:cs="Arial" w:eastAsia="Arial" w:hAnsi="Arial"/>
          <w:sz w:val="13"/>
          <w:szCs w:val="13"/>
          <w:color w:val="auto"/>
        </w:rPr>
        <w:t>.</w:t>
      </w:r>
    </w:p>
    <w:p>
      <w:pPr>
        <w:spacing w:after="0" w:line="73"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auto"/>
        </w:rPr>
        <w:t xml:space="preserve">Half </w:t>
      </w:r>
      <w:r>
        <w:rPr>
          <w:rFonts w:ascii="Arial" w:cs="Arial" w:eastAsia="Arial" w:hAnsi="Arial"/>
          <w:sz w:val="13"/>
          <w:szCs w:val="13"/>
          <w:color w:val="auto"/>
        </w:rPr>
        <w:t>means each six month period ending on 30 June and 31 December in each year.</w:t>
      </w:r>
    </w:p>
    <w:p>
      <w:pPr>
        <w:spacing w:after="0" w:line="58" w:lineRule="exact"/>
        <w:rPr>
          <w:sz w:val="20"/>
          <w:szCs w:val="20"/>
          <w:color w:val="auto"/>
        </w:rPr>
      </w:pPr>
    </w:p>
    <w:p>
      <w:pPr>
        <w:ind w:left="640"/>
        <w:spacing w:after="0" w:line="250" w:lineRule="auto"/>
        <w:rPr>
          <w:sz w:val="20"/>
          <w:szCs w:val="20"/>
          <w:color w:val="auto"/>
        </w:rPr>
      </w:pPr>
      <w:r>
        <w:rPr>
          <w:rFonts w:ascii="Arial" w:cs="Arial" w:eastAsia="Arial" w:hAnsi="Arial"/>
          <w:sz w:val="13"/>
          <w:szCs w:val="13"/>
          <w:b w:val="1"/>
          <w:bCs w:val="1"/>
          <w:color w:val="auto"/>
        </w:rPr>
        <w:t xml:space="preserve">Hedging Transaction </w:t>
      </w:r>
      <w:r>
        <w:rPr>
          <w:rFonts w:ascii="Arial" w:cs="Arial" w:eastAsia="Arial" w:hAnsi="Arial"/>
          <w:sz w:val="13"/>
          <w:szCs w:val="13"/>
          <w:color w:val="auto"/>
        </w:rPr>
        <w:t>means a contract, agreement or arrangement (other than in respect of the price of electricity, gas, oil, foreign exchange or any</w:t>
      </w:r>
      <w:r>
        <w:rPr>
          <w:rFonts w:ascii="Arial" w:cs="Arial" w:eastAsia="Arial" w:hAnsi="Arial"/>
          <w:sz w:val="13"/>
          <w:szCs w:val="13"/>
          <w:b w:val="1"/>
          <w:bCs w:val="1"/>
          <w:color w:val="auto"/>
        </w:rPr>
        <w:t xml:space="preserve"> </w:t>
      </w:r>
      <w:r>
        <w:rPr>
          <w:rFonts w:ascii="Arial" w:cs="Arial" w:eastAsia="Arial" w:hAnsi="Arial"/>
          <w:sz w:val="13"/>
          <w:szCs w:val="13"/>
          <w:color w:val="auto"/>
        </w:rPr>
        <w:t>other non-interest rate derivative contract) which is a futures contract or an interest rate hedge, swap, option, swaption, forward rate agreement or any other contract, agreement or arrangement similar to or having in respect of its subject matter a similar effect to any of the preceding.</w:t>
      </w:r>
    </w:p>
    <w:p>
      <w:pPr>
        <w:spacing w:after="0" w:line="37" w:lineRule="exact"/>
        <w:rPr>
          <w:sz w:val="20"/>
          <w:szCs w:val="20"/>
          <w:color w:val="auto"/>
        </w:rPr>
      </w:pPr>
    </w:p>
    <w:p>
      <w:pPr>
        <w:ind w:left="640" w:right="400"/>
        <w:spacing w:after="0" w:line="269" w:lineRule="auto"/>
        <w:rPr>
          <w:sz w:val="20"/>
          <w:szCs w:val="20"/>
          <w:color w:val="auto"/>
        </w:rPr>
      </w:pPr>
      <w:r>
        <w:rPr>
          <w:rFonts w:ascii="Arial" w:cs="Arial" w:eastAsia="Arial" w:hAnsi="Arial"/>
          <w:sz w:val="13"/>
          <w:szCs w:val="13"/>
          <w:b w:val="1"/>
          <w:bCs w:val="1"/>
          <w:color w:val="auto"/>
        </w:rPr>
        <w:t xml:space="preserve">Indemnity Amount </w:t>
      </w:r>
      <w:r>
        <w:rPr>
          <w:rFonts w:ascii="Arial" w:cs="Arial" w:eastAsia="Arial" w:hAnsi="Arial"/>
          <w:sz w:val="13"/>
          <w:szCs w:val="13"/>
          <w:color w:val="auto"/>
        </w:rPr>
        <w:t>means, in relation to a Bank Guarantee, the amount or, as the case may be, the aggregate of the amounts payable by the</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Borrower in relation to a Bank Guarantee in accordance with </w:t>
      </w:r>
      <w:r>
        <w:rPr>
          <w:rFonts w:ascii="Arial" w:cs="Arial" w:eastAsia="Arial" w:hAnsi="Arial"/>
          <w:sz w:val="13"/>
          <w:szCs w:val="13"/>
          <w:b w:val="1"/>
          <w:bCs w:val="1"/>
          <w:color w:val="auto"/>
        </w:rPr>
        <w:t>clause 5.3</w:t>
      </w:r>
      <w:r>
        <w:rPr>
          <w:rFonts w:ascii="Arial" w:cs="Arial" w:eastAsia="Arial" w:hAnsi="Arial"/>
          <w:sz w:val="13"/>
          <w:szCs w:val="13"/>
          <w:color w:val="auto"/>
        </w:rPr>
        <w:t>.</w:t>
      </w:r>
    </w:p>
    <w:p>
      <w:pPr>
        <w:spacing w:after="0" w:line="31"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auto"/>
        </w:rPr>
        <w:t xml:space="preserve">Insolvency </w:t>
      </w:r>
      <w:r>
        <w:rPr>
          <w:rFonts w:ascii="Arial" w:cs="Arial" w:eastAsia="Arial" w:hAnsi="Arial"/>
          <w:sz w:val="13"/>
          <w:szCs w:val="13"/>
          <w:color w:val="auto"/>
        </w:rPr>
        <w:t>means:</w:t>
      </w:r>
    </w:p>
    <w:p>
      <w:pPr>
        <w:spacing w:after="0" w:line="95" w:lineRule="exact"/>
        <w:rPr>
          <w:sz w:val="20"/>
          <w:szCs w:val="20"/>
          <w:color w:val="auto"/>
        </w:rPr>
      </w:pPr>
    </w:p>
    <w:p>
      <w:pPr>
        <w:ind w:left="1640" w:right="260" w:hanging="1004"/>
        <w:spacing w:after="0" w:line="244" w:lineRule="auto"/>
        <w:tabs>
          <w:tab w:leader="none" w:pos="1640" w:val="left"/>
        </w:tabs>
        <w:numPr>
          <w:ilvl w:val="0"/>
          <w:numId w:val="244"/>
        </w:numPr>
        <w:rPr>
          <w:rFonts w:ascii="Arial" w:cs="Arial" w:eastAsia="Arial" w:hAnsi="Arial"/>
          <w:sz w:val="13"/>
          <w:szCs w:val="13"/>
          <w:color w:val="auto"/>
        </w:rPr>
      </w:pPr>
      <w:r>
        <w:rPr>
          <w:rFonts w:ascii="Arial" w:cs="Arial" w:eastAsia="Arial" w:hAnsi="Arial"/>
          <w:sz w:val="13"/>
          <w:szCs w:val="13"/>
          <w:color w:val="auto"/>
        </w:rPr>
        <w:t>in relation to a corporation, its winding up or dissolution or its administration, provisional liquidation or any administration having a similar effect;</w:t>
      </w:r>
    </w:p>
    <w:p>
      <w:pPr>
        <w:spacing w:after="0" w:line="56" w:lineRule="exact"/>
        <w:rPr>
          <w:rFonts w:ascii="Arial" w:cs="Arial" w:eastAsia="Arial" w:hAnsi="Arial"/>
          <w:sz w:val="13"/>
          <w:szCs w:val="13"/>
          <w:color w:val="auto"/>
        </w:rPr>
      </w:pPr>
    </w:p>
    <w:p>
      <w:pPr>
        <w:ind w:left="1120" w:hanging="484"/>
        <w:spacing w:after="0"/>
        <w:tabs>
          <w:tab w:leader="none" w:pos="1120" w:val="left"/>
        </w:tabs>
        <w:numPr>
          <w:ilvl w:val="0"/>
          <w:numId w:val="244"/>
        </w:numPr>
        <w:rPr>
          <w:rFonts w:ascii="Arial" w:cs="Arial" w:eastAsia="Arial" w:hAnsi="Arial"/>
          <w:sz w:val="13"/>
          <w:szCs w:val="13"/>
          <w:color w:val="auto"/>
        </w:rPr>
      </w:pPr>
      <w:r>
        <w:rPr>
          <w:rFonts w:ascii="Arial" w:cs="Arial" w:eastAsia="Arial" w:hAnsi="Arial"/>
          <w:sz w:val="13"/>
          <w:szCs w:val="13"/>
          <w:color w:val="auto"/>
        </w:rPr>
        <w:t>in relation to an individual, his or her bankruptcy; and</w:t>
      </w:r>
    </w:p>
    <w:p>
      <w:pPr>
        <w:spacing w:after="0" w:line="75" w:lineRule="exact"/>
        <w:rPr>
          <w:rFonts w:ascii="Arial" w:cs="Arial" w:eastAsia="Arial" w:hAnsi="Arial"/>
          <w:sz w:val="13"/>
          <w:szCs w:val="13"/>
          <w:color w:val="auto"/>
        </w:rPr>
      </w:pPr>
    </w:p>
    <w:p>
      <w:pPr>
        <w:ind w:left="2100" w:right="680" w:hanging="1464"/>
        <w:spacing w:after="0" w:line="244" w:lineRule="auto"/>
        <w:tabs>
          <w:tab w:leader="none" w:pos="2100" w:val="left"/>
        </w:tabs>
        <w:numPr>
          <w:ilvl w:val="0"/>
          <w:numId w:val="244"/>
        </w:numPr>
        <w:rPr>
          <w:rFonts w:ascii="Arial" w:cs="Arial" w:eastAsia="Arial" w:hAnsi="Arial"/>
          <w:sz w:val="13"/>
          <w:szCs w:val="13"/>
          <w:color w:val="auto"/>
        </w:rPr>
      </w:pPr>
      <w:r>
        <w:rPr>
          <w:rFonts w:ascii="Arial" w:cs="Arial" w:eastAsia="Arial" w:hAnsi="Arial"/>
          <w:sz w:val="13"/>
          <w:szCs w:val="13"/>
          <w:color w:val="auto"/>
        </w:rPr>
        <w:t>in relation to a person, any arrangement (including a scheme of arrangement or deed of company arrangement), composition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161925</wp:posOffset>
            </wp:positionV>
            <wp:extent cx="6208395"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208395" cy="42545"/>
                    </a:xfrm>
                    <a:prstGeom prst="rect">
                      <a:avLst/>
                    </a:prstGeom>
                    <a:noFill/>
                  </pic:spPr>
                </pic:pic>
              </a:graphicData>
            </a:graphic>
          </wp:anchor>
        </w:drawing>
      </w:r>
    </w:p>
    <w:p>
      <w:pPr>
        <w:sectPr>
          <w:pgSz w:w="11900" w:h="16838" w:orient="portrait"/>
          <w:cols w:equalWidth="0" w:num="1">
            <w:col w:w="9320"/>
          </w:cols>
          <w:pgMar w:left="1440" w:top="560" w:right="1139" w:bottom="1440" w:gutter="0" w:footer="0" w:header="0"/>
        </w:sectPr>
      </w:pPr>
    </w:p>
    <w:bookmarkStart w:id="231" w:name="page232"/>
    <w:bookmarkEnd w:id="231"/>
    <w:p>
      <w:pPr>
        <w:ind w:left="980"/>
        <w:spacing w:after="0"/>
        <w:rPr>
          <w:sz w:val="20"/>
          <w:szCs w:val="20"/>
          <w:color w:val="auto"/>
        </w:rPr>
      </w:pPr>
      <w:r>
        <w:rPr>
          <w:rFonts w:ascii="Arial" w:cs="Arial" w:eastAsia="Arial" w:hAnsi="Arial"/>
          <w:sz w:val="13"/>
          <w:szCs w:val="13"/>
          <w:color w:val="auto"/>
        </w:rPr>
        <w:t>compromise with, or assignment for the benefit of, all or any class of that person’s creditors or members or a moratorium involving any of them</w:t>
      </w:r>
    </w:p>
    <w:p>
      <w:pPr>
        <w:spacing w:after="0" w:line="56"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auto"/>
        </w:rPr>
        <w:t xml:space="preserve">Insolvency Event </w:t>
      </w:r>
      <w:r>
        <w:rPr>
          <w:rFonts w:ascii="Arial" w:cs="Arial" w:eastAsia="Arial" w:hAnsi="Arial"/>
          <w:sz w:val="13"/>
          <w:szCs w:val="13"/>
          <w:color w:val="auto"/>
        </w:rPr>
        <w:t>means any of the following:</w:t>
      </w:r>
    </w:p>
    <w:p>
      <w:pPr>
        <w:spacing w:after="0" w:line="86" w:lineRule="exact"/>
        <w:rPr>
          <w:sz w:val="20"/>
          <w:szCs w:val="20"/>
          <w:color w:val="auto"/>
        </w:rPr>
      </w:pPr>
    </w:p>
    <w:p>
      <w:pPr>
        <w:ind w:left="1320" w:right="80" w:hanging="684"/>
        <w:spacing w:after="0" w:line="244" w:lineRule="auto"/>
        <w:tabs>
          <w:tab w:leader="none" w:pos="1320" w:val="left"/>
        </w:tabs>
        <w:numPr>
          <w:ilvl w:val="0"/>
          <w:numId w:val="245"/>
        </w:numPr>
        <w:rPr>
          <w:rFonts w:ascii="Arial" w:cs="Arial" w:eastAsia="Arial" w:hAnsi="Arial"/>
          <w:sz w:val="13"/>
          <w:szCs w:val="13"/>
          <w:color w:val="auto"/>
        </w:rPr>
      </w:pPr>
      <w:r>
        <w:rPr>
          <w:rFonts w:ascii="Arial" w:cs="Arial" w:eastAsia="Arial" w:hAnsi="Arial"/>
          <w:sz w:val="13"/>
          <w:szCs w:val="13"/>
          <w:color w:val="auto"/>
        </w:rPr>
        <w:t>a person is or states that the person is unable to pay from the person’s own money all the person’s debts as and when they become due and payable;</w:t>
      </w:r>
    </w:p>
    <w:p>
      <w:pPr>
        <w:spacing w:after="0" w:line="56" w:lineRule="exact"/>
        <w:rPr>
          <w:rFonts w:ascii="Arial" w:cs="Arial" w:eastAsia="Arial" w:hAnsi="Arial"/>
          <w:sz w:val="13"/>
          <w:szCs w:val="13"/>
          <w:color w:val="auto"/>
        </w:rPr>
      </w:pPr>
    </w:p>
    <w:p>
      <w:pPr>
        <w:ind w:left="1300" w:hanging="664"/>
        <w:spacing w:after="0"/>
        <w:tabs>
          <w:tab w:leader="none" w:pos="1300" w:val="left"/>
        </w:tabs>
        <w:numPr>
          <w:ilvl w:val="0"/>
          <w:numId w:val="245"/>
        </w:numPr>
        <w:rPr>
          <w:rFonts w:ascii="Arial" w:cs="Arial" w:eastAsia="Arial" w:hAnsi="Arial"/>
          <w:sz w:val="13"/>
          <w:szCs w:val="13"/>
          <w:color w:val="auto"/>
        </w:rPr>
      </w:pPr>
      <w:r>
        <w:rPr>
          <w:rFonts w:ascii="Arial" w:cs="Arial" w:eastAsia="Arial" w:hAnsi="Arial"/>
          <w:sz w:val="13"/>
          <w:szCs w:val="13"/>
          <w:color w:val="auto"/>
        </w:rPr>
        <w:t>a person is taken or must be presumed to be insolvent or unable to pay the person’s debts under any applicable legislation;</w:t>
      </w:r>
    </w:p>
    <w:p>
      <w:pPr>
        <w:spacing w:after="0" w:line="75" w:lineRule="exact"/>
        <w:rPr>
          <w:rFonts w:ascii="Arial" w:cs="Arial" w:eastAsia="Arial" w:hAnsi="Arial"/>
          <w:sz w:val="13"/>
          <w:szCs w:val="13"/>
          <w:color w:val="auto"/>
        </w:rPr>
      </w:pPr>
    </w:p>
    <w:p>
      <w:pPr>
        <w:ind w:left="1440" w:right="800" w:hanging="804"/>
        <w:spacing w:after="0" w:line="244" w:lineRule="auto"/>
        <w:tabs>
          <w:tab w:leader="none" w:pos="1440" w:val="left"/>
        </w:tabs>
        <w:numPr>
          <w:ilvl w:val="0"/>
          <w:numId w:val="245"/>
        </w:numPr>
        <w:rPr>
          <w:rFonts w:ascii="Arial" w:cs="Arial" w:eastAsia="Arial" w:hAnsi="Arial"/>
          <w:sz w:val="13"/>
          <w:szCs w:val="13"/>
          <w:color w:val="auto"/>
        </w:rPr>
      </w:pPr>
      <w:r>
        <w:rPr>
          <w:rFonts w:ascii="Arial" w:cs="Arial" w:eastAsia="Arial" w:hAnsi="Arial"/>
          <w:sz w:val="13"/>
          <w:szCs w:val="13"/>
          <w:color w:val="auto"/>
        </w:rPr>
        <w:t>an order is made for the winding up or dissolution or an effective resolution is passed for the winding up or dissolution of a corporation;</w:t>
      </w:r>
    </w:p>
    <w:p>
      <w:pPr>
        <w:spacing w:after="0" w:line="56" w:lineRule="exact"/>
        <w:rPr>
          <w:rFonts w:ascii="Arial" w:cs="Arial" w:eastAsia="Arial" w:hAnsi="Arial"/>
          <w:sz w:val="13"/>
          <w:szCs w:val="13"/>
          <w:color w:val="auto"/>
        </w:rPr>
      </w:pPr>
    </w:p>
    <w:p>
      <w:pPr>
        <w:jc w:val="both"/>
        <w:ind w:left="1040" w:hanging="404"/>
        <w:spacing w:after="0" w:line="238" w:lineRule="auto"/>
        <w:tabs>
          <w:tab w:leader="none" w:pos="1040" w:val="left"/>
        </w:tabs>
        <w:numPr>
          <w:ilvl w:val="0"/>
          <w:numId w:val="245"/>
        </w:numPr>
        <w:rPr>
          <w:rFonts w:ascii="Arial" w:cs="Arial" w:eastAsia="Arial" w:hAnsi="Arial"/>
          <w:sz w:val="13"/>
          <w:szCs w:val="13"/>
          <w:color w:val="auto"/>
        </w:rPr>
      </w:pPr>
      <w:r>
        <w:rPr>
          <w:rFonts w:ascii="Arial" w:cs="Arial" w:eastAsia="Arial" w:hAnsi="Arial"/>
          <w:sz w:val="13"/>
          <w:szCs w:val="13"/>
          <w:color w:val="auto"/>
        </w:rPr>
        <w:t>an administrator, provisional liquidator, liquidator or person having a similar or analogous function under the laws of any relevant jurisdiction is appointed in relation to a corporation or an effective resolution is passed to appoint any such person and the action is not stayed, withdrawn or dismissed within 10 Business Days;</w:t>
      </w:r>
    </w:p>
    <w:p>
      <w:pPr>
        <w:spacing w:after="0" w:line="59" w:lineRule="exact"/>
        <w:rPr>
          <w:rFonts w:ascii="Arial" w:cs="Arial" w:eastAsia="Arial" w:hAnsi="Arial"/>
          <w:sz w:val="13"/>
          <w:szCs w:val="13"/>
          <w:color w:val="auto"/>
        </w:rPr>
      </w:pPr>
    </w:p>
    <w:p>
      <w:pPr>
        <w:ind w:left="1040" w:hanging="404"/>
        <w:spacing w:after="0"/>
        <w:tabs>
          <w:tab w:leader="none" w:pos="1040" w:val="left"/>
        </w:tabs>
        <w:numPr>
          <w:ilvl w:val="0"/>
          <w:numId w:val="245"/>
        </w:numPr>
        <w:rPr>
          <w:rFonts w:ascii="Arial" w:cs="Arial" w:eastAsia="Arial" w:hAnsi="Arial"/>
          <w:sz w:val="13"/>
          <w:szCs w:val="13"/>
          <w:color w:val="auto"/>
        </w:rPr>
      </w:pPr>
      <w:r>
        <w:rPr>
          <w:rFonts w:ascii="Arial" w:cs="Arial" w:eastAsia="Arial" w:hAnsi="Arial"/>
          <w:sz w:val="13"/>
          <w:szCs w:val="13"/>
          <w:color w:val="auto"/>
        </w:rPr>
        <w:t>a controller is appointed in relation to any property of a corporation;</w:t>
      </w:r>
    </w:p>
    <w:p>
      <w:pPr>
        <w:spacing w:after="0" w:line="75" w:lineRule="exact"/>
        <w:rPr>
          <w:rFonts w:ascii="Arial" w:cs="Arial" w:eastAsia="Arial" w:hAnsi="Arial"/>
          <w:sz w:val="13"/>
          <w:szCs w:val="13"/>
          <w:color w:val="auto"/>
        </w:rPr>
      </w:pPr>
    </w:p>
    <w:p>
      <w:pPr>
        <w:ind w:left="1300" w:hanging="664"/>
        <w:spacing w:after="0"/>
        <w:tabs>
          <w:tab w:leader="none" w:pos="1300" w:val="left"/>
        </w:tabs>
        <w:numPr>
          <w:ilvl w:val="0"/>
          <w:numId w:val="245"/>
        </w:numPr>
        <w:rPr>
          <w:rFonts w:ascii="Arial" w:cs="Arial" w:eastAsia="Arial" w:hAnsi="Arial"/>
          <w:sz w:val="13"/>
          <w:szCs w:val="13"/>
          <w:color w:val="auto"/>
        </w:rPr>
      </w:pPr>
      <w:r>
        <w:rPr>
          <w:rFonts w:ascii="Arial" w:cs="Arial" w:eastAsia="Arial" w:hAnsi="Arial"/>
          <w:sz w:val="13"/>
          <w:szCs w:val="13"/>
          <w:color w:val="auto"/>
        </w:rPr>
        <w:t>a corporation is deregistered under the Corporations Act or notice of its proposed deregistration is given to the corporation;</w:t>
      </w:r>
    </w:p>
    <w:p>
      <w:pPr>
        <w:spacing w:after="0" w:line="66" w:lineRule="exact"/>
        <w:rPr>
          <w:rFonts w:ascii="Arial" w:cs="Arial" w:eastAsia="Arial" w:hAnsi="Arial"/>
          <w:sz w:val="13"/>
          <w:szCs w:val="13"/>
          <w:color w:val="auto"/>
        </w:rPr>
      </w:pPr>
    </w:p>
    <w:p>
      <w:pPr>
        <w:ind w:left="1720" w:hanging="1084"/>
        <w:spacing w:after="0"/>
        <w:tabs>
          <w:tab w:leader="none" w:pos="1720" w:val="left"/>
        </w:tabs>
        <w:numPr>
          <w:ilvl w:val="0"/>
          <w:numId w:val="245"/>
        </w:numPr>
        <w:rPr>
          <w:rFonts w:ascii="Arial" w:cs="Arial" w:eastAsia="Arial" w:hAnsi="Arial"/>
          <w:sz w:val="13"/>
          <w:szCs w:val="13"/>
          <w:color w:val="auto"/>
        </w:rPr>
      </w:pPr>
      <w:r>
        <w:rPr>
          <w:rFonts w:ascii="Arial" w:cs="Arial" w:eastAsia="Arial" w:hAnsi="Arial"/>
          <w:sz w:val="13"/>
          <w:szCs w:val="13"/>
          <w:color w:val="auto"/>
        </w:rPr>
        <w:t>a distress, attachment or execution is levied or becomes enforceable against any property of a person;</w:t>
      </w:r>
    </w:p>
    <w:p>
      <w:pPr>
        <w:spacing w:after="0" w:line="75" w:lineRule="exact"/>
        <w:rPr>
          <w:rFonts w:ascii="Arial" w:cs="Arial" w:eastAsia="Arial" w:hAnsi="Arial"/>
          <w:sz w:val="13"/>
          <w:szCs w:val="13"/>
          <w:color w:val="auto"/>
        </w:rPr>
      </w:pPr>
    </w:p>
    <w:p>
      <w:pPr>
        <w:ind w:left="1060" w:right="40" w:hanging="424"/>
        <w:spacing w:after="0" w:line="238" w:lineRule="auto"/>
        <w:tabs>
          <w:tab w:leader="none" w:pos="1060" w:val="left"/>
        </w:tabs>
        <w:numPr>
          <w:ilvl w:val="0"/>
          <w:numId w:val="245"/>
        </w:numPr>
        <w:rPr>
          <w:rFonts w:ascii="Arial" w:cs="Arial" w:eastAsia="Arial" w:hAnsi="Arial"/>
          <w:sz w:val="13"/>
          <w:szCs w:val="13"/>
          <w:color w:val="auto"/>
        </w:rPr>
      </w:pPr>
      <w:r>
        <w:rPr>
          <w:rFonts w:ascii="Arial" w:cs="Arial" w:eastAsia="Arial" w:hAnsi="Arial"/>
          <w:sz w:val="13"/>
          <w:szCs w:val="13"/>
          <w:color w:val="auto"/>
        </w:rPr>
        <w:t>a person enters into or takes any action to enter into an arrangement (including a scheme of arrangement or deed of Borrower arrangement), composition or compromise with, or assignment for the benefit of, all or any class of the person’s creditors or members or a moratorium involving any of them;</w:t>
      </w:r>
    </w:p>
    <w:p>
      <w:pPr>
        <w:spacing w:after="0" w:line="50" w:lineRule="exact"/>
        <w:rPr>
          <w:rFonts w:ascii="Arial" w:cs="Arial" w:eastAsia="Arial" w:hAnsi="Arial"/>
          <w:sz w:val="13"/>
          <w:szCs w:val="13"/>
          <w:color w:val="auto"/>
        </w:rPr>
      </w:pPr>
    </w:p>
    <w:p>
      <w:pPr>
        <w:ind w:left="1180" w:right="260" w:hanging="544"/>
        <w:spacing w:after="0" w:line="244" w:lineRule="auto"/>
        <w:tabs>
          <w:tab w:leader="none" w:pos="1180" w:val="left"/>
        </w:tabs>
        <w:numPr>
          <w:ilvl w:val="0"/>
          <w:numId w:val="245"/>
        </w:numPr>
        <w:rPr>
          <w:rFonts w:ascii="Arial" w:cs="Arial" w:eastAsia="Arial" w:hAnsi="Arial"/>
          <w:sz w:val="13"/>
          <w:szCs w:val="13"/>
          <w:color w:val="auto"/>
        </w:rPr>
      </w:pPr>
      <w:r>
        <w:rPr>
          <w:rFonts w:ascii="Arial" w:cs="Arial" w:eastAsia="Arial" w:hAnsi="Arial"/>
          <w:sz w:val="13"/>
          <w:szCs w:val="13"/>
          <w:color w:val="auto"/>
        </w:rPr>
        <w:t>a petition for the making of a sequestration order against the estate of a person is presented and the petition is not stayed, withdrawn or dismissed within seven days or a person presents a petition against himself or herself;</w:t>
      </w:r>
    </w:p>
    <w:p>
      <w:pPr>
        <w:spacing w:after="0" w:line="56" w:lineRule="exact"/>
        <w:rPr>
          <w:rFonts w:ascii="Arial" w:cs="Arial" w:eastAsia="Arial" w:hAnsi="Arial"/>
          <w:sz w:val="13"/>
          <w:szCs w:val="13"/>
          <w:color w:val="auto"/>
        </w:rPr>
      </w:pPr>
    </w:p>
    <w:p>
      <w:pPr>
        <w:ind w:left="940" w:hanging="304"/>
        <w:spacing w:after="0"/>
        <w:tabs>
          <w:tab w:leader="none" w:pos="940" w:val="left"/>
        </w:tabs>
        <w:numPr>
          <w:ilvl w:val="0"/>
          <w:numId w:val="245"/>
        </w:numPr>
        <w:rPr>
          <w:rFonts w:ascii="Arial" w:cs="Arial" w:eastAsia="Arial" w:hAnsi="Arial"/>
          <w:sz w:val="13"/>
          <w:szCs w:val="13"/>
          <w:color w:val="auto"/>
        </w:rPr>
      </w:pPr>
      <w:r>
        <w:rPr>
          <w:rFonts w:ascii="Arial" w:cs="Arial" w:eastAsia="Arial" w:hAnsi="Arial"/>
          <w:sz w:val="13"/>
          <w:szCs w:val="13"/>
          <w:color w:val="auto"/>
        </w:rPr>
        <w:t>a person presents a declaration of intention under section 54A of the</w:t>
      </w:r>
    </w:p>
    <w:p>
      <w:pPr>
        <w:spacing w:after="0" w:line="8" w:lineRule="exact"/>
        <w:rPr>
          <w:sz w:val="20"/>
          <w:szCs w:val="20"/>
          <w:color w:val="auto"/>
        </w:rPr>
      </w:pPr>
    </w:p>
    <w:p>
      <w:pPr>
        <w:ind w:left="980"/>
        <w:spacing w:after="0"/>
        <w:rPr>
          <w:sz w:val="20"/>
          <w:szCs w:val="20"/>
          <w:color w:val="auto"/>
        </w:rPr>
      </w:pPr>
      <w:r>
        <w:rPr>
          <w:rFonts w:ascii="Arial" w:cs="Arial" w:eastAsia="Arial" w:hAnsi="Arial"/>
          <w:sz w:val="13"/>
          <w:szCs w:val="13"/>
          <w:i w:val="1"/>
          <w:iCs w:val="1"/>
          <w:color w:val="auto"/>
        </w:rPr>
        <w:t>Bankruptcy Act 1966</w:t>
      </w:r>
      <w:r>
        <w:rPr>
          <w:rFonts w:ascii="Arial" w:cs="Arial" w:eastAsia="Arial" w:hAnsi="Arial"/>
          <w:sz w:val="13"/>
          <w:szCs w:val="13"/>
          <w:color w:val="auto"/>
        </w:rPr>
        <w:t>; or</w:t>
      </w:r>
    </w:p>
    <w:p>
      <w:pPr>
        <w:spacing w:after="0" w:line="80" w:lineRule="exact"/>
        <w:rPr>
          <w:sz w:val="20"/>
          <w:szCs w:val="20"/>
          <w:color w:val="auto"/>
        </w:rPr>
      </w:pPr>
    </w:p>
    <w:p>
      <w:pPr>
        <w:ind w:left="1240" w:right="260" w:hanging="604"/>
        <w:spacing w:after="0" w:line="244" w:lineRule="auto"/>
        <w:tabs>
          <w:tab w:leader="none" w:pos="1240" w:val="left"/>
        </w:tabs>
        <w:numPr>
          <w:ilvl w:val="0"/>
          <w:numId w:val="246"/>
        </w:numPr>
        <w:rPr>
          <w:rFonts w:ascii="Arial" w:cs="Arial" w:eastAsia="Arial" w:hAnsi="Arial"/>
          <w:sz w:val="13"/>
          <w:szCs w:val="13"/>
          <w:color w:val="auto"/>
        </w:rPr>
      </w:pPr>
      <w:r>
        <w:rPr>
          <w:rFonts w:ascii="Arial" w:cs="Arial" w:eastAsia="Arial" w:hAnsi="Arial"/>
          <w:sz w:val="13"/>
          <w:szCs w:val="13"/>
          <w:color w:val="auto"/>
        </w:rPr>
        <w:t>anything analogous to or of a similar effect to anything described above under the law of any relevant jurisdiction occurs in relation to a person.</w:t>
      </w:r>
    </w:p>
    <w:p>
      <w:pPr>
        <w:spacing w:after="0" w:line="40"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auto"/>
        </w:rPr>
        <w:t xml:space="preserve">Insurance </w:t>
      </w:r>
      <w:r>
        <w:rPr>
          <w:rFonts w:ascii="Arial" w:cs="Arial" w:eastAsia="Arial" w:hAnsi="Arial"/>
          <w:sz w:val="13"/>
          <w:szCs w:val="13"/>
          <w:color w:val="auto"/>
        </w:rPr>
        <w:t>means insurance which a Transaction Party is obliged to take out or maintain under a Transaction Document.</w:t>
      </w:r>
    </w:p>
    <w:p>
      <w:pPr>
        <w:spacing w:after="0" w:line="58" w:lineRule="exact"/>
        <w:rPr>
          <w:sz w:val="20"/>
          <w:szCs w:val="20"/>
          <w:color w:val="auto"/>
        </w:rPr>
      </w:pPr>
    </w:p>
    <w:p>
      <w:pPr>
        <w:ind w:left="640" w:right="260"/>
        <w:spacing w:after="0" w:line="269" w:lineRule="auto"/>
        <w:rPr>
          <w:sz w:val="20"/>
          <w:szCs w:val="20"/>
          <w:color w:val="auto"/>
        </w:rPr>
      </w:pPr>
      <w:r>
        <w:rPr>
          <w:rFonts w:ascii="Arial" w:cs="Arial" w:eastAsia="Arial" w:hAnsi="Arial"/>
          <w:sz w:val="13"/>
          <w:szCs w:val="13"/>
          <w:b w:val="1"/>
          <w:bCs w:val="1"/>
          <w:color w:val="auto"/>
        </w:rPr>
        <w:t xml:space="preserve">Interest Rate </w:t>
      </w:r>
      <w:r>
        <w:rPr>
          <w:rFonts w:ascii="Arial" w:cs="Arial" w:eastAsia="Arial" w:hAnsi="Arial"/>
          <w:sz w:val="13"/>
          <w:szCs w:val="13"/>
          <w:color w:val="auto"/>
        </w:rPr>
        <w:t>means, in relation to a Pricing Period for an Advance until it becomes due and owing, an interest rate equal to the aggregate of the</w:t>
      </w:r>
      <w:r>
        <w:rPr>
          <w:rFonts w:ascii="Arial" w:cs="Arial" w:eastAsia="Arial" w:hAnsi="Arial"/>
          <w:sz w:val="13"/>
          <w:szCs w:val="13"/>
          <w:b w:val="1"/>
          <w:bCs w:val="1"/>
          <w:color w:val="auto"/>
        </w:rPr>
        <w:t xml:space="preserve"> </w:t>
      </w:r>
      <w:r>
        <w:rPr>
          <w:rFonts w:ascii="Arial" w:cs="Arial" w:eastAsia="Arial" w:hAnsi="Arial"/>
          <w:sz w:val="13"/>
          <w:szCs w:val="13"/>
          <w:color w:val="auto"/>
        </w:rPr>
        <w:t>Base Rate for that Pricing Period and the Margin.</w:t>
      </w:r>
    </w:p>
    <w:p>
      <w:pPr>
        <w:spacing w:after="0" w:line="22"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auto"/>
        </w:rPr>
        <w:t xml:space="preserve">Interim Compliance Certificate </w:t>
      </w:r>
      <w:r>
        <w:rPr>
          <w:rFonts w:ascii="Arial" w:cs="Arial" w:eastAsia="Arial" w:hAnsi="Arial"/>
          <w:sz w:val="13"/>
          <w:szCs w:val="13"/>
          <w:color w:val="auto"/>
        </w:rPr>
        <w:t>means a certificate in substantially the form set out in</w:t>
      </w:r>
      <w:r>
        <w:rPr>
          <w:rFonts w:ascii="Arial" w:cs="Arial" w:eastAsia="Arial" w:hAnsi="Arial"/>
          <w:sz w:val="13"/>
          <w:szCs w:val="13"/>
          <w:b w:val="1"/>
          <w:bCs w:val="1"/>
          <w:color w:val="auto"/>
        </w:rPr>
        <w:t xml:space="preserve"> schedule 10.</w:t>
      </w:r>
    </w:p>
    <w:p>
      <w:pPr>
        <w:spacing w:after="0" w:line="61"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auto"/>
        </w:rPr>
        <w:t xml:space="preserve">Land </w:t>
      </w:r>
      <w:r>
        <w:rPr>
          <w:rFonts w:ascii="Arial" w:cs="Arial" w:eastAsia="Arial" w:hAnsi="Arial"/>
          <w:sz w:val="13"/>
          <w:szCs w:val="13"/>
          <w:color w:val="auto"/>
        </w:rPr>
        <w:t>means any land owned or occupied by a Transaction Party that forms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184150</wp:posOffset>
            </wp:positionV>
            <wp:extent cx="6208395"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208395" cy="42545"/>
                    </a:xfrm>
                    <a:prstGeom prst="rect">
                      <a:avLst/>
                    </a:prstGeom>
                    <a:noFill/>
                  </pic:spPr>
                </pic:pic>
              </a:graphicData>
            </a:graphic>
          </wp:anchor>
        </w:drawing>
      </w:r>
    </w:p>
    <w:p>
      <w:pPr>
        <w:sectPr>
          <w:pgSz w:w="11900" w:h="16838" w:orient="portrait"/>
          <w:cols w:equalWidth="0" w:num="1">
            <w:col w:w="9340"/>
          </w:cols>
          <w:pgMar w:left="1440" w:top="560" w:right="1119" w:bottom="1440" w:gutter="0" w:footer="0" w:header="0"/>
        </w:sectPr>
      </w:pPr>
    </w:p>
    <w:bookmarkStart w:id="232" w:name="page233"/>
    <w:bookmarkEnd w:id="232"/>
    <w:p>
      <w:pPr>
        <w:ind w:left="640"/>
        <w:spacing w:after="0"/>
        <w:rPr>
          <w:sz w:val="20"/>
          <w:szCs w:val="20"/>
          <w:color w:val="auto"/>
        </w:rPr>
      </w:pPr>
      <w:r>
        <w:rPr>
          <w:rFonts w:ascii="Arial" w:cs="Arial" w:eastAsia="Arial" w:hAnsi="Arial"/>
          <w:sz w:val="13"/>
          <w:szCs w:val="13"/>
          <w:color w:val="auto"/>
        </w:rPr>
        <w:t>part of the Secured Property.</w:t>
      </w:r>
    </w:p>
    <w:p>
      <w:pPr>
        <w:spacing w:after="0" w:line="60" w:lineRule="exact"/>
        <w:rPr>
          <w:sz w:val="20"/>
          <w:szCs w:val="20"/>
          <w:color w:val="auto"/>
        </w:rPr>
      </w:pPr>
    </w:p>
    <w:p>
      <w:pPr>
        <w:ind w:left="640" w:right="500"/>
        <w:spacing w:after="0" w:line="269" w:lineRule="auto"/>
        <w:rPr>
          <w:sz w:val="20"/>
          <w:szCs w:val="20"/>
          <w:color w:val="auto"/>
        </w:rPr>
      </w:pPr>
      <w:r>
        <w:rPr>
          <w:rFonts w:ascii="Arial" w:cs="Arial" w:eastAsia="Arial" w:hAnsi="Arial"/>
          <w:sz w:val="13"/>
          <w:szCs w:val="13"/>
          <w:b w:val="1"/>
          <w:bCs w:val="1"/>
          <w:color w:val="auto"/>
        </w:rPr>
        <w:t xml:space="preserve">Leasehold Properties </w:t>
      </w:r>
      <w:r>
        <w:rPr>
          <w:rFonts w:ascii="Arial" w:cs="Arial" w:eastAsia="Arial" w:hAnsi="Arial"/>
          <w:sz w:val="13"/>
          <w:szCs w:val="13"/>
          <w:color w:val="auto"/>
        </w:rPr>
        <w:t>means each leasehold property leased by a Transaction Party that is the subject of a mortgage of lease referred to in</w:t>
      </w:r>
      <w:r>
        <w:rPr>
          <w:rFonts w:ascii="Arial" w:cs="Arial" w:eastAsia="Arial" w:hAnsi="Arial"/>
          <w:sz w:val="13"/>
          <w:szCs w:val="13"/>
          <w:b w:val="1"/>
          <w:bCs w:val="1"/>
          <w:color w:val="auto"/>
        </w:rPr>
        <w:t xml:space="preserve"> schedule 3 </w:t>
      </w:r>
      <w:r>
        <w:rPr>
          <w:rFonts w:ascii="Arial" w:cs="Arial" w:eastAsia="Arial" w:hAnsi="Arial"/>
          <w:sz w:val="13"/>
          <w:szCs w:val="13"/>
          <w:color w:val="auto"/>
        </w:rPr>
        <w:t>(including the mortgage of lease described at item 11 of</w:t>
      </w:r>
      <w:r>
        <w:rPr>
          <w:rFonts w:ascii="Arial" w:cs="Arial" w:eastAsia="Arial" w:hAnsi="Arial"/>
          <w:sz w:val="13"/>
          <w:szCs w:val="13"/>
          <w:b w:val="1"/>
          <w:bCs w:val="1"/>
          <w:color w:val="auto"/>
        </w:rPr>
        <w:t xml:space="preserve"> schedule 3</w:t>
      </w:r>
      <w:r>
        <w:rPr>
          <w:rFonts w:ascii="Arial" w:cs="Arial" w:eastAsia="Arial" w:hAnsi="Arial"/>
          <w:sz w:val="13"/>
          <w:szCs w:val="13"/>
          <w:color w:val="auto"/>
        </w:rPr>
        <w:t>).</w:t>
      </w:r>
    </w:p>
    <w:p>
      <w:pPr>
        <w:spacing w:after="0" w:line="31"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auto"/>
        </w:rPr>
        <w:t xml:space="preserve">Leverage Ratio </w:t>
      </w:r>
      <w:r>
        <w:rPr>
          <w:rFonts w:ascii="Arial" w:cs="Arial" w:eastAsia="Arial" w:hAnsi="Arial"/>
          <w:sz w:val="13"/>
          <w:szCs w:val="13"/>
          <w:color w:val="auto"/>
        </w:rPr>
        <w:t>means, as at any date, the ratio of:</w:t>
      </w:r>
    </w:p>
    <w:p>
      <w:pPr>
        <w:spacing w:after="0" w:line="86" w:lineRule="exact"/>
        <w:rPr>
          <w:sz w:val="20"/>
          <w:szCs w:val="20"/>
          <w:color w:val="auto"/>
        </w:rPr>
      </w:pPr>
    </w:p>
    <w:p>
      <w:pPr>
        <w:ind w:left="1120" w:hanging="484"/>
        <w:spacing w:after="0"/>
        <w:tabs>
          <w:tab w:leader="none" w:pos="1120" w:val="left"/>
        </w:tabs>
        <w:numPr>
          <w:ilvl w:val="0"/>
          <w:numId w:val="247"/>
        </w:numPr>
        <w:rPr>
          <w:rFonts w:ascii="Arial" w:cs="Arial" w:eastAsia="Arial" w:hAnsi="Arial"/>
          <w:sz w:val="13"/>
          <w:szCs w:val="13"/>
          <w:color w:val="auto"/>
        </w:rPr>
      </w:pPr>
      <w:r>
        <w:rPr>
          <w:rFonts w:ascii="Arial" w:cs="Arial" w:eastAsia="Arial" w:hAnsi="Arial"/>
          <w:sz w:val="13"/>
          <w:szCs w:val="13"/>
          <w:color w:val="auto"/>
        </w:rPr>
        <w:t>Total Gross Debt outstanding on that date; to</w:t>
      </w:r>
    </w:p>
    <w:p>
      <w:pPr>
        <w:spacing w:after="0" w:line="57" w:lineRule="exact"/>
        <w:rPr>
          <w:rFonts w:ascii="Arial" w:cs="Arial" w:eastAsia="Arial" w:hAnsi="Arial"/>
          <w:sz w:val="13"/>
          <w:szCs w:val="13"/>
          <w:color w:val="auto"/>
        </w:rPr>
      </w:pPr>
    </w:p>
    <w:p>
      <w:pPr>
        <w:ind w:left="1280" w:hanging="644"/>
        <w:spacing w:after="0"/>
        <w:tabs>
          <w:tab w:leader="none" w:pos="1280" w:val="left"/>
        </w:tabs>
        <w:numPr>
          <w:ilvl w:val="0"/>
          <w:numId w:val="247"/>
        </w:numPr>
        <w:rPr>
          <w:rFonts w:ascii="Arial" w:cs="Arial" w:eastAsia="Arial" w:hAnsi="Arial"/>
          <w:sz w:val="13"/>
          <w:szCs w:val="13"/>
          <w:color w:val="auto"/>
        </w:rPr>
      </w:pPr>
      <w:r>
        <w:rPr>
          <w:rFonts w:ascii="Arial" w:cs="Arial" w:eastAsia="Arial" w:hAnsi="Arial"/>
          <w:sz w:val="13"/>
          <w:szCs w:val="13"/>
          <w:color w:val="auto"/>
        </w:rPr>
        <w:t>Adjusted EBITDA in respect of the 12 month period ending on that date. For the purposes of calculating Leverage Ratio on any date</w:t>
      </w:r>
    </w:p>
    <w:p>
      <w:pPr>
        <w:spacing w:after="0" w:line="85" w:lineRule="exact"/>
        <w:rPr>
          <w:sz w:val="20"/>
          <w:szCs w:val="20"/>
          <w:color w:val="auto"/>
        </w:rPr>
      </w:pPr>
    </w:p>
    <w:p>
      <w:pPr>
        <w:ind w:left="640"/>
        <w:spacing w:after="0"/>
        <w:rPr>
          <w:sz w:val="20"/>
          <w:szCs w:val="20"/>
          <w:color w:val="auto"/>
        </w:rPr>
      </w:pPr>
      <w:r>
        <w:rPr>
          <w:rFonts w:ascii="Arial" w:cs="Arial" w:eastAsia="Arial" w:hAnsi="Arial"/>
          <w:sz w:val="13"/>
          <w:szCs w:val="13"/>
          <w:color w:val="auto"/>
        </w:rPr>
        <w:t>occurring before</w:t>
      </w:r>
    </w:p>
    <w:p>
      <w:pPr>
        <w:spacing w:after="0" w:line="31" w:lineRule="exact"/>
        <w:rPr>
          <w:sz w:val="20"/>
          <w:szCs w:val="20"/>
          <w:color w:val="auto"/>
        </w:rPr>
      </w:pPr>
    </w:p>
    <w:p>
      <w:pPr>
        <w:ind w:left="640"/>
        <w:spacing w:after="0"/>
        <w:rPr>
          <w:sz w:val="20"/>
          <w:szCs w:val="20"/>
          <w:color w:val="auto"/>
        </w:rPr>
      </w:pPr>
      <w:r>
        <w:rPr>
          <w:rFonts w:ascii="Arial" w:cs="Arial" w:eastAsia="Arial" w:hAnsi="Arial"/>
          <w:sz w:val="13"/>
          <w:szCs w:val="13"/>
          <w:color w:val="auto"/>
        </w:rPr>
        <w:t>the first anniversary of Financial Close, Leverage Ratio will be based on a pro</w:t>
      </w:r>
    </w:p>
    <w:p>
      <w:pPr>
        <w:spacing w:after="0" w:line="13" w:lineRule="exact"/>
        <w:rPr>
          <w:sz w:val="20"/>
          <w:szCs w:val="20"/>
          <w:color w:val="auto"/>
        </w:rPr>
      </w:pPr>
    </w:p>
    <w:p>
      <w:pPr>
        <w:ind w:left="640"/>
        <w:spacing w:after="0"/>
        <w:rPr>
          <w:sz w:val="20"/>
          <w:szCs w:val="20"/>
          <w:color w:val="auto"/>
        </w:rPr>
      </w:pPr>
      <w:r>
        <w:rPr>
          <w:rFonts w:ascii="Arial" w:cs="Arial" w:eastAsia="Arial" w:hAnsi="Arial"/>
          <w:sz w:val="13"/>
          <w:szCs w:val="13"/>
          <w:color w:val="auto"/>
        </w:rPr>
        <w:t>forma EBITDA for the 12 month period to that date.</w:t>
      </w:r>
    </w:p>
    <w:p>
      <w:pPr>
        <w:spacing w:after="0" w:line="65"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auto"/>
        </w:rPr>
        <w:t xml:space="preserve">Loan to Value Ratio </w:t>
      </w:r>
      <w:r>
        <w:rPr>
          <w:rFonts w:ascii="Arial" w:cs="Arial" w:eastAsia="Arial" w:hAnsi="Arial"/>
          <w:sz w:val="13"/>
          <w:szCs w:val="13"/>
          <w:color w:val="auto"/>
        </w:rPr>
        <w:t>at any date means the ratio (expressed as a percentage) of:</w:t>
      </w:r>
    </w:p>
    <w:p>
      <w:pPr>
        <w:spacing w:after="0" w:line="59" w:lineRule="exact"/>
        <w:rPr>
          <w:sz w:val="20"/>
          <w:szCs w:val="20"/>
          <w:color w:val="auto"/>
        </w:rPr>
      </w:pPr>
    </w:p>
    <w:p>
      <w:pPr>
        <w:ind w:left="1140" w:hanging="504"/>
        <w:spacing w:after="0" w:line="244" w:lineRule="auto"/>
        <w:tabs>
          <w:tab w:leader="none" w:pos="1140" w:val="left"/>
        </w:tabs>
        <w:numPr>
          <w:ilvl w:val="0"/>
          <w:numId w:val="248"/>
        </w:numPr>
        <w:rPr>
          <w:rFonts w:ascii="Arial" w:cs="Arial" w:eastAsia="Arial" w:hAnsi="Arial"/>
          <w:sz w:val="13"/>
          <w:szCs w:val="13"/>
          <w:color w:val="auto"/>
        </w:rPr>
      </w:pPr>
      <w:r>
        <w:rPr>
          <w:rFonts w:ascii="Arial" w:cs="Arial" w:eastAsia="Arial" w:hAnsi="Arial"/>
          <w:sz w:val="13"/>
          <w:szCs w:val="13"/>
          <w:color w:val="auto"/>
        </w:rPr>
        <w:t>the aggregate of the Total Gross Debt outstanding on that date and any Outstanding Accommodation in relation a Current Bank Guarantee as at that date; to</w:t>
      </w:r>
    </w:p>
    <w:p>
      <w:pPr>
        <w:spacing w:after="0" w:line="56" w:lineRule="exact"/>
        <w:rPr>
          <w:rFonts w:ascii="Arial" w:cs="Arial" w:eastAsia="Arial" w:hAnsi="Arial"/>
          <w:sz w:val="13"/>
          <w:szCs w:val="13"/>
          <w:color w:val="auto"/>
        </w:rPr>
      </w:pPr>
    </w:p>
    <w:p>
      <w:pPr>
        <w:ind w:left="1300" w:right="380" w:hanging="664"/>
        <w:spacing w:after="0" w:line="244" w:lineRule="auto"/>
        <w:tabs>
          <w:tab w:leader="none" w:pos="1300" w:val="left"/>
        </w:tabs>
        <w:numPr>
          <w:ilvl w:val="0"/>
          <w:numId w:val="248"/>
        </w:numPr>
        <w:rPr>
          <w:rFonts w:ascii="Arial" w:cs="Arial" w:eastAsia="Arial" w:hAnsi="Arial"/>
          <w:sz w:val="13"/>
          <w:szCs w:val="13"/>
          <w:color w:val="auto"/>
        </w:rPr>
      </w:pPr>
      <w:r>
        <w:rPr>
          <w:rFonts w:ascii="Arial" w:cs="Arial" w:eastAsia="Arial" w:hAnsi="Arial"/>
          <w:sz w:val="13"/>
          <w:szCs w:val="13"/>
          <w:color w:val="auto"/>
        </w:rPr>
        <w:t>the market value of the Freehold Properties and Leasehold Properties included in the Secured Property as noted in the most recent Valuation provided to the Bank pursuant to this document and accepted by the Bank.</w:t>
      </w:r>
    </w:p>
    <w:p>
      <w:pPr>
        <w:spacing w:after="0" w:line="49"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auto"/>
        </w:rPr>
        <w:t xml:space="preserve">Management Fees </w:t>
      </w:r>
      <w:r>
        <w:rPr>
          <w:rFonts w:ascii="Arial" w:cs="Arial" w:eastAsia="Arial" w:hAnsi="Arial"/>
          <w:sz w:val="13"/>
          <w:szCs w:val="13"/>
          <w:color w:val="auto"/>
        </w:rPr>
        <w:t>means management and consulting fees payable to Reading International Inc each Financial Year.</w:t>
      </w:r>
    </w:p>
    <w:p>
      <w:pPr>
        <w:spacing w:after="0" w:line="72"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auto"/>
        </w:rPr>
        <w:t xml:space="preserve">Margin </w:t>
      </w:r>
      <w:r>
        <w:rPr>
          <w:rFonts w:ascii="Arial" w:cs="Arial" w:eastAsia="Arial" w:hAnsi="Arial"/>
          <w:sz w:val="13"/>
          <w:szCs w:val="13"/>
          <w:color w:val="auto"/>
        </w:rPr>
        <w:t>means 0.95% per annum.</w:t>
      </w:r>
    </w:p>
    <w:p>
      <w:pPr>
        <w:spacing w:after="0" w:line="76"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auto"/>
        </w:rPr>
        <w:t>Material Adverse Effec</w:t>
      </w:r>
      <w:r>
        <w:rPr>
          <w:rFonts w:ascii="Arial" w:cs="Arial" w:eastAsia="Arial" w:hAnsi="Arial"/>
          <w:sz w:val="13"/>
          <w:szCs w:val="13"/>
          <w:color w:val="auto"/>
        </w:rPr>
        <w:t>t means a material adverse effect on:</w:t>
      </w:r>
    </w:p>
    <w:p>
      <w:pPr>
        <w:spacing w:after="0" w:line="95" w:lineRule="exact"/>
        <w:rPr>
          <w:sz w:val="20"/>
          <w:szCs w:val="20"/>
          <w:color w:val="auto"/>
        </w:rPr>
      </w:pPr>
    </w:p>
    <w:p>
      <w:pPr>
        <w:ind w:left="1280" w:right="60" w:hanging="644"/>
        <w:spacing w:after="0" w:line="244" w:lineRule="auto"/>
        <w:tabs>
          <w:tab w:leader="none" w:pos="1280" w:val="left"/>
        </w:tabs>
        <w:numPr>
          <w:ilvl w:val="0"/>
          <w:numId w:val="249"/>
        </w:numPr>
        <w:rPr>
          <w:rFonts w:ascii="Arial" w:cs="Arial" w:eastAsia="Arial" w:hAnsi="Arial"/>
          <w:sz w:val="13"/>
          <w:szCs w:val="13"/>
          <w:color w:val="auto"/>
        </w:rPr>
      </w:pPr>
      <w:r>
        <w:rPr>
          <w:rFonts w:ascii="Arial" w:cs="Arial" w:eastAsia="Arial" w:hAnsi="Arial"/>
          <w:sz w:val="13"/>
          <w:szCs w:val="13"/>
          <w:color w:val="auto"/>
        </w:rPr>
        <w:t>the business, operation, property, condition (financial or otherwise) of a Transaction Party or the Reading Entertainment Australia Group taken as a whole;</w:t>
      </w:r>
    </w:p>
    <w:p>
      <w:pPr>
        <w:spacing w:after="0" w:line="56" w:lineRule="exact"/>
        <w:rPr>
          <w:rFonts w:ascii="Arial" w:cs="Arial" w:eastAsia="Arial" w:hAnsi="Arial"/>
          <w:sz w:val="13"/>
          <w:szCs w:val="13"/>
          <w:color w:val="auto"/>
        </w:rPr>
      </w:pPr>
    </w:p>
    <w:p>
      <w:pPr>
        <w:ind w:left="1900" w:hanging="1264"/>
        <w:spacing w:after="0"/>
        <w:tabs>
          <w:tab w:leader="none" w:pos="1900" w:val="left"/>
        </w:tabs>
        <w:numPr>
          <w:ilvl w:val="0"/>
          <w:numId w:val="249"/>
        </w:numPr>
        <w:rPr>
          <w:rFonts w:ascii="Arial" w:cs="Arial" w:eastAsia="Arial" w:hAnsi="Arial"/>
          <w:sz w:val="13"/>
          <w:szCs w:val="13"/>
          <w:color w:val="auto"/>
        </w:rPr>
      </w:pPr>
      <w:r>
        <w:rPr>
          <w:rFonts w:ascii="Arial" w:cs="Arial" w:eastAsia="Arial" w:hAnsi="Arial"/>
          <w:sz w:val="13"/>
          <w:szCs w:val="13"/>
          <w:color w:val="auto"/>
        </w:rPr>
        <w:t>the ability of a Transaction Party to perform its obligations under the Transaction Documents; or</w:t>
      </w:r>
    </w:p>
    <w:p>
      <w:pPr>
        <w:spacing w:after="0" w:line="57" w:lineRule="exact"/>
        <w:rPr>
          <w:rFonts w:ascii="Arial" w:cs="Arial" w:eastAsia="Arial" w:hAnsi="Arial"/>
          <w:sz w:val="13"/>
          <w:szCs w:val="13"/>
          <w:color w:val="auto"/>
        </w:rPr>
      </w:pPr>
    </w:p>
    <w:p>
      <w:pPr>
        <w:ind w:left="1320" w:right="180" w:hanging="684"/>
        <w:spacing w:after="0" w:line="244" w:lineRule="auto"/>
        <w:tabs>
          <w:tab w:leader="none" w:pos="1320" w:val="left"/>
        </w:tabs>
        <w:numPr>
          <w:ilvl w:val="0"/>
          <w:numId w:val="249"/>
        </w:numPr>
        <w:rPr>
          <w:rFonts w:ascii="Arial" w:cs="Arial" w:eastAsia="Arial" w:hAnsi="Arial"/>
          <w:sz w:val="13"/>
          <w:szCs w:val="13"/>
          <w:color w:val="auto"/>
        </w:rPr>
      </w:pPr>
      <w:r>
        <w:rPr>
          <w:rFonts w:ascii="Arial" w:cs="Arial" w:eastAsia="Arial" w:hAnsi="Arial"/>
          <w:sz w:val="13"/>
          <w:szCs w:val="13"/>
          <w:color w:val="auto"/>
        </w:rPr>
        <w:t>the validity or enforceability of the whole or any material part of any Transaction Document or any rights or remedies of the Bank under the Transaction Documents.</w:t>
      </w:r>
    </w:p>
    <w:p>
      <w:pPr>
        <w:spacing w:after="0" w:line="40" w:lineRule="exact"/>
        <w:rPr>
          <w:sz w:val="20"/>
          <w:szCs w:val="20"/>
          <w:color w:val="auto"/>
        </w:rPr>
      </w:pPr>
    </w:p>
    <w:p>
      <w:pPr>
        <w:ind w:left="640" w:right="320"/>
        <w:spacing w:after="0" w:line="269" w:lineRule="auto"/>
        <w:rPr>
          <w:sz w:val="20"/>
          <w:szCs w:val="20"/>
          <w:color w:val="auto"/>
        </w:rPr>
      </w:pPr>
      <w:r>
        <w:rPr>
          <w:rFonts w:ascii="Arial" w:cs="Arial" w:eastAsia="Arial" w:hAnsi="Arial"/>
          <w:sz w:val="13"/>
          <w:szCs w:val="13"/>
          <w:b w:val="1"/>
          <w:bCs w:val="1"/>
          <w:color w:val="auto"/>
        </w:rPr>
        <w:t xml:space="preserve">Matured </w:t>
      </w:r>
      <w:r>
        <w:rPr>
          <w:rFonts w:ascii="Arial" w:cs="Arial" w:eastAsia="Arial" w:hAnsi="Arial"/>
          <w:sz w:val="13"/>
          <w:szCs w:val="13"/>
          <w:color w:val="auto"/>
        </w:rPr>
        <w:t>means, in relation to a Bank Guarantee, that the Beneficiary has made a claim and is not entitled to claim any more under the relevant</w:t>
      </w:r>
      <w:r>
        <w:rPr>
          <w:rFonts w:ascii="Arial" w:cs="Arial" w:eastAsia="Arial" w:hAnsi="Arial"/>
          <w:sz w:val="13"/>
          <w:szCs w:val="13"/>
          <w:b w:val="1"/>
          <w:bCs w:val="1"/>
          <w:color w:val="auto"/>
        </w:rPr>
        <w:t xml:space="preserve"> </w:t>
      </w:r>
      <w:r>
        <w:rPr>
          <w:rFonts w:ascii="Arial" w:cs="Arial" w:eastAsia="Arial" w:hAnsi="Arial"/>
          <w:sz w:val="13"/>
          <w:szCs w:val="13"/>
          <w:color w:val="auto"/>
        </w:rPr>
        <w:t>Bank Guarantee.</w:t>
      </w:r>
    </w:p>
    <w:p>
      <w:pPr>
        <w:spacing w:after="0" w:line="31"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auto"/>
        </w:rPr>
        <w:t xml:space="preserve">Month </w:t>
      </w:r>
      <w:r>
        <w:rPr>
          <w:rFonts w:ascii="Arial" w:cs="Arial" w:eastAsia="Arial" w:hAnsi="Arial"/>
          <w:sz w:val="13"/>
          <w:szCs w:val="13"/>
          <w:color w:val="auto"/>
        </w:rPr>
        <w:t>means a calendar month.</w:t>
      </w:r>
    </w:p>
    <w:p>
      <w:pPr>
        <w:spacing w:after="0" w:line="85"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auto"/>
        </w:rPr>
        <w:t xml:space="preserve">Outstanding Accommodation </w:t>
      </w:r>
      <w:r>
        <w:rPr>
          <w:rFonts w:ascii="Arial" w:cs="Arial" w:eastAsia="Arial" w:hAnsi="Arial"/>
          <w:sz w:val="13"/>
          <w:szCs w:val="13"/>
          <w:color w:val="auto"/>
        </w:rPr>
        <w:t>means at any time, the aggregate of:</w:t>
      </w:r>
    </w:p>
    <w:p>
      <w:pPr>
        <w:spacing w:after="0" w:line="86" w:lineRule="exact"/>
        <w:rPr>
          <w:sz w:val="20"/>
          <w:szCs w:val="20"/>
          <w:color w:val="auto"/>
        </w:rPr>
      </w:pPr>
    </w:p>
    <w:p>
      <w:pPr>
        <w:ind w:left="1440" w:hanging="804"/>
        <w:spacing w:after="0"/>
        <w:tabs>
          <w:tab w:leader="none" w:pos="1440" w:val="left"/>
        </w:tabs>
        <w:numPr>
          <w:ilvl w:val="0"/>
          <w:numId w:val="250"/>
        </w:numPr>
        <w:rPr>
          <w:rFonts w:ascii="Arial" w:cs="Arial" w:eastAsia="Arial" w:hAnsi="Arial"/>
          <w:sz w:val="13"/>
          <w:szCs w:val="13"/>
          <w:color w:val="auto"/>
        </w:rPr>
      </w:pPr>
      <w:r>
        <w:rPr>
          <w:rFonts w:ascii="Arial" w:cs="Arial" w:eastAsia="Arial" w:hAnsi="Arial"/>
          <w:sz w:val="13"/>
          <w:szCs w:val="13"/>
          <w:color w:val="auto"/>
        </w:rPr>
        <w:t>the aggregate of the unpaid Advances outstanding under the Corporate Markets Loan Facility;</w:t>
      </w:r>
    </w:p>
    <w:p>
      <w:pPr>
        <w:spacing w:after="0" w:line="66" w:lineRule="exact"/>
        <w:rPr>
          <w:rFonts w:ascii="Arial" w:cs="Arial" w:eastAsia="Arial" w:hAnsi="Arial"/>
          <w:sz w:val="13"/>
          <w:szCs w:val="13"/>
          <w:color w:val="auto"/>
        </w:rPr>
      </w:pPr>
    </w:p>
    <w:p>
      <w:pPr>
        <w:ind w:left="1040" w:hanging="404"/>
        <w:spacing w:after="0"/>
        <w:tabs>
          <w:tab w:leader="none" w:pos="1040" w:val="left"/>
        </w:tabs>
        <w:numPr>
          <w:ilvl w:val="0"/>
          <w:numId w:val="250"/>
        </w:numPr>
        <w:rPr>
          <w:rFonts w:ascii="Arial" w:cs="Arial" w:eastAsia="Arial" w:hAnsi="Arial"/>
          <w:sz w:val="13"/>
          <w:szCs w:val="13"/>
          <w:color w:val="auto"/>
        </w:rPr>
      </w:pPr>
      <w:r>
        <w:rPr>
          <w:rFonts w:ascii="Arial" w:cs="Arial" w:eastAsia="Arial" w:hAnsi="Arial"/>
          <w:sz w:val="13"/>
          <w:szCs w:val="13"/>
          <w:color w:val="auto"/>
        </w:rPr>
        <w:t>the Face Values of all Current Bank Guarantees and all Indemnity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173990</wp:posOffset>
            </wp:positionV>
            <wp:extent cx="6208395"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208395" cy="42545"/>
                    </a:xfrm>
                    <a:prstGeom prst="rect">
                      <a:avLst/>
                    </a:prstGeom>
                    <a:noFill/>
                  </pic:spPr>
                </pic:pic>
              </a:graphicData>
            </a:graphic>
          </wp:anchor>
        </w:drawing>
      </w:r>
    </w:p>
    <w:p>
      <w:pPr>
        <w:sectPr>
          <w:pgSz w:w="11900" w:h="16838" w:orient="portrait"/>
          <w:cols w:equalWidth="0" w:num="1">
            <w:col w:w="9340"/>
          </w:cols>
          <w:pgMar w:left="1440" w:top="561" w:right="1119" w:bottom="1440" w:gutter="0" w:footer="0" w:header="0"/>
        </w:sectPr>
      </w:pPr>
    </w:p>
    <w:bookmarkStart w:id="233" w:name="page234"/>
    <w:bookmarkEnd w:id="233"/>
    <w:p>
      <w:pPr>
        <w:ind w:left="980"/>
        <w:spacing w:after="0"/>
        <w:rPr>
          <w:sz w:val="20"/>
          <w:szCs w:val="20"/>
          <w:color w:val="auto"/>
        </w:rPr>
      </w:pPr>
      <w:r>
        <w:rPr>
          <w:rFonts w:ascii="Arial" w:cs="Arial" w:eastAsia="Arial" w:hAnsi="Arial"/>
          <w:sz w:val="13"/>
          <w:szCs w:val="13"/>
          <w:color w:val="auto"/>
        </w:rPr>
        <w:t>Amounts in relation to each Bank Guarantee which are due and payable; and</w:t>
      </w:r>
    </w:p>
    <w:p>
      <w:pPr>
        <w:spacing w:after="0" w:line="51" w:lineRule="exact"/>
        <w:rPr>
          <w:sz w:val="20"/>
          <w:szCs w:val="20"/>
          <w:color w:val="auto"/>
        </w:rPr>
      </w:pPr>
    </w:p>
    <w:p>
      <w:pPr>
        <w:ind w:left="1100" w:right="100" w:hanging="464"/>
        <w:spacing w:after="0" w:line="269" w:lineRule="auto"/>
        <w:tabs>
          <w:tab w:leader="none" w:pos="1100" w:val="left"/>
        </w:tabs>
        <w:numPr>
          <w:ilvl w:val="0"/>
          <w:numId w:val="251"/>
        </w:numPr>
        <w:rPr>
          <w:rFonts w:ascii="Arial" w:cs="Arial" w:eastAsia="Arial" w:hAnsi="Arial"/>
          <w:sz w:val="13"/>
          <w:szCs w:val="13"/>
          <w:color w:val="auto"/>
        </w:rPr>
      </w:pPr>
      <w:r>
        <w:rPr>
          <w:rFonts w:ascii="Arial" w:cs="Arial" w:eastAsia="Arial" w:hAnsi="Arial"/>
          <w:sz w:val="13"/>
          <w:szCs w:val="13"/>
          <w:color w:val="auto"/>
        </w:rPr>
        <w:t xml:space="preserve">for the purposes of </w:t>
      </w:r>
      <w:r>
        <w:rPr>
          <w:rFonts w:ascii="Arial" w:cs="Arial" w:eastAsia="Arial" w:hAnsi="Arial"/>
          <w:sz w:val="13"/>
          <w:szCs w:val="13"/>
          <w:b w:val="1"/>
          <w:bCs w:val="1"/>
          <w:color w:val="auto"/>
        </w:rPr>
        <w:t>clauses 5.5, 10 and 18.14</w:t>
      </w:r>
      <w:r>
        <w:rPr>
          <w:rFonts w:ascii="Arial" w:cs="Arial" w:eastAsia="Arial" w:hAnsi="Arial"/>
          <w:sz w:val="13"/>
          <w:szCs w:val="13"/>
          <w:color w:val="auto"/>
        </w:rPr>
        <w:t xml:space="preserve"> only and for no other purposes, any other amounts which the Borrower owes to the Bank or which the Borrower may owe to the Bank under or in connection with the Facilities and includes:</w:t>
      </w:r>
    </w:p>
    <w:p>
      <w:pPr>
        <w:spacing w:after="0" w:line="41" w:lineRule="exact"/>
        <w:rPr>
          <w:rFonts w:ascii="Arial" w:cs="Arial" w:eastAsia="Arial" w:hAnsi="Arial"/>
          <w:sz w:val="13"/>
          <w:szCs w:val="13"/>
          <w:color w:val="auto"/>
        </w:rPr>
      </w:pPr>
    </w:p>
    <w:p>
      <w:pPr>
        <w:ind w:left="1420" w:right="60" w:hanging="432"/>
        <w:spacing w:after="0" w:line="244" w:lineRule="auto"/>
        <w:tabs>
          <w:tab w:leader="none" w:pos="1420" w:val="left"/>
        </w:tabs>
        <w:numPr>
          <w:ilvl w:val="1"/>
          <w:numId w:val="251"/>
        </w:numPr>
        <w:rPr>
          <w:rFonts w:ascii="Arial" w:cs="Arial" w:eastAsia="Arial" w:hAnsi="Arial"/>
          <w:sz w:val="13"/>
          <w:szCs w:val="13"/>
          <w:color w:val="auto"/>
        </w:rPr>
      </w:pPr>
      <w:r>
        <w:rPr>
          <w:rFonts w:ascii="Arial" w:cs="Arial" w:eastAsia="Arial" w:hAnsi="Arial"/>
          <w:sz w:val="13"/>
          <w:szCs w:val="13"/>
          <w:color w:val="auto"/>
        </w:rPr>
        <w:t>any other amounts which the Borrower owes to the Bank or which the Borrower may owe to the Bank under or in connection with any Hedging Transaction; and</w:t>
      </w:r>
    </w:p>
    <w:p>
      <w:pPr>
        <w:spacing w:after="0" w:line="53" w:lineRule="exact"/>
        <w:rPr>
          <w:sz w:val="20"/>
          <w:szCs w:val="20"/>
          <w:color w:val="auto"/>
        </w:rPr>
      </w:pPr>
    </w:p>
    <w:p>
      <w:pPr>
        <w:ind w:left="980"/>
        <w:spacing w:after="0"/>
        <w:tabs>
          <w:tab w:leader="none" w:pos="3000" w:val="left"/>
        </w:tabs>
        <w:rPr>
          <w:sz w:val="20"/>
          <w:szCs w:val="20"/>
          <w:color w:val="auto"/>
        </w:rPr>
      </w:pPr>
      <w:r>
        <w:rPr>
          <w:rFonts w:ascii="Arial" w:cs="Arial" w:eastAsia="Arial" w:hAnsi="Arial"/>
          <w:sz w:val="13"/>
          <w:szCs w:val="13"/>
          <w:color w:val="auto"/>
        </w:rPr>
        <w:t>(ii)</w:t>
      </w:r>
      <w:r>
        <w:rPr>
          <w:sz w:val="20"/>
          <w:szCs w:val="20"/>
          <w:color w:val="auto"/>
        </w:rPr>
        <w:tab/>
      </w:r>
      <w:r>
        <w:rPr>
          <w:rFonts w:ascii="Arial" w:cs="Arial" w:eastAsia="Arial" w:hAnsi="Arial"/>
          <w:sz w:val="13"/>
          <w:szCs w:val="13"/>
          <w:color w:val="auto"/>
        </w:rPr>
        <w:t>all interest, costs and fees payable under the Transaction Documents,</w:t>
      </w:r>
    </w:p>
    <w:p>
      <w:pPr>
        <w:spacing w:after="0" w:line="61" w:lineRule="exact"/>
        <w:rPr>
          <w:sz w:val="20"/>
          <w:szCs w:val="20"/>
          <w:color w:val="auto"/>
        </w:rPr>
      </w:pPr>
    </w:p>
    <w:p>
      <w:pPr>
        <w:ind w:left="980" w:right="60"/>
        <w:spacing w:after="0" w:line="244" w:lineRule="auto"/>
        <w:rPr>
          <w:sz w:val="20"/>
          <w:szCs w:val="20"/>
          <w:color w:val="auto"/>
        </w:rPr>
      </w:pPr>
      <w:r>
        <w:rPr>
          <w:rFonts w:ascii="Arial" w:cs="Arial" w:eastAsia="Arial" w:hAnsi="Arial"/>
          <w:sz w:val="13"/>
          <w:szCs w:val="13"/>
          <w:color w:val="auto"/>
        </w:rPr>
        <w:t>whether such amounts are owing actually or contingently and whether such amounts are then due for payment or will or may become due for payment and includes all interest, costs and fees payable under the Transaction Documents.</w:t>
      </w:r>
    </w:p>
    <w:p>
      <w:pPr>
        <w:spacing w:after="0" w:line="56" w:lineRule="exact"/>
        <w:rPr>
          <w:sz w:val="20"/>
          <w:szCs w:val="20"/>
          <w:color w:val="auto"/>
        </w:rPr>
      </w:pPr>
    </w:p>
    <w:p>
      <w:pPr>
        <w:ind w:left="640" w:right="560"/>
        <w:spacing w:after="0" w:line="244" w:lineRule="auto"/>
        <w:rPr>
          <w:sz w:val="20"/>
          <w:szCs w:val="20"/>
          <w:color w:val="auto"/>
        </w:rPr>
      </w:pPr>
      <w:r>
        <w:rPr>
          <w:rFonts w:ascii="Arial" w:cs="Arial" w:eastAsia="Arial" w:hAnsi="Arial"/>
          <w:sz w:val="13"/>
          <w:szCs w:val="13"/>
          <w:color w:val="auto"/>
        </w:rPr>
        <w:t>When used in relation to any Facility, it means the Outstanding Accommodation in relation to Advances or Drawings under that Facility (as applicable).</w:t>
      </w:r>
    </w:p>
    <w:p>
      <w:pPr>
        <w:spacing w:after="0" w:line="40"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auto"/>
        </w:rPr>
        <w:t xml:space="preserve">Overdue Money </w:t>
      </w:r>
      <w:r>
        <w:rPr>
          <w:rFonts w:ascii="Arial" w:cs="Arial" w:eastAsia="Arial" w:hAnsi="Arial"/>
          <w:sz w:val="13"/>
          <w:szCs w:val="13"/>
          <w:color w:val="auto"/>
        </w:rPr>
        <w:t>means money due and payable from time to time under each Transaction Document.</w:t>
      </w:r>
    </w:p>
    <w:p>
      <w:pPr>
        <w:spacing w:after="0" w:line="67"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auto"/>
        </w:rPr>
        <w:t xml:space="preserve">Overdue Rate </w:t>
      </w:r>
      <w:r>
        <w:rPr>
          <w:rFonts w:ascii="Arial" w:cs="Arial" w:eastAsia="Arial" w:hAnsi="Arial"/>
          <w:sz w:val="13"/>
          <w:szCs w:val="13"/>
          <w:color w:val="auto"/>
        </w:rPr>
        <w:t>means at any time, the aggregate of the Interest Rate and a default margin of 4.50% per annum.</w:t>
      </w:r>
    </w:p>
    <w:p>
      <w:pPr>
        <w:spacing w:after="0" w:line="67" w:lineRule="exact"/>
        <w:rPr>
          <w:sz w:val="20"/>
          <w:szCs w:val="20"/>
          <w:color w:val="auto"/>
        </w:rPr>
      </w:pPr>
    </w:p>
    <w:p>
      <w:pPr>
        <w:ind w:left="640" w:right="240"/>
        <w:spacing w:after="0" w:line="269" w:lineRule="auto"/>
        <w:rPr>
          <w:sz w:val="20"/>
          <w:szCs w:val="20"/>
          <w:color w:val="auto"/>
        </w:rPr>
      </w:pPr>
      <w:r>
        <w:rPr>
          <w:rFonts w:ascii="Arial" w:cs="Arial" w:eastAsia="Arial" w:hAnsi="Arial"/>
          <w:sz w:val="13"/>
          <w:szCs w:val="13"/>
          <w:b w:val="1"/>
          <w:bCs w:val="1"/>
          <w:color w:val="auto"/>
        </w:rPr>
        <w:t xml:space="preserve">Parent Subordination Agreement </w:t>
      </w:r>
      <w:r>
        <w:rPr>
          <w:rFonts w:ascii="Arial" w:cs="Arial" w:eastAsia="Arial" w:hAnsi="Arial"/>
          <w:sz w:val="13"/>
          <w:szCs w:val="13"/>
          <w:color w:val="auto"/>
        </w:rPr>
        <w:t>means the document entitled ‘subordination deed’ dated on or about the date of this document between the</w:t>
      </w:r>
      <w:r>
        <w:rPr>
          <w:rFonts w:ascii="Arial" w:cs="Arial" w:eastAsia="Arial" w:hAnsi="Arial"/>
          <w:sz w:val="13"/>
          <w:szCs w:val="13"/>
          <w:b w:val="1"/>
          <w:bCs w:val="1"/>
          <w:color w:val="auto"/>
        </w:rPr>
        <w:t xml:space="preserve"> </w:t>
      </w:r>
      <w:r>
        <w:rPr>
          <w:rFonts w:ascii="Arial" w:cs="Arial" w:eastAsia="Arial" w:hAnsi="Arial"/>
          <w:sz w:val="13"/>
          <w:szCs w:val="13"/>
          <w:color w:val="auto"/>
        </w:rPr>
        <w:t>Borrower, Reading International Cinemas LLC and the Bank.</w:t>
      </w:r>
    </w:p>
    <w:p>
      <w:pPr>
        <w:spacing w:after="0" w:line="31"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auto"/>
        </w:rPr>
        <w:t xml:space="preserve">Permitted Disposal </w:t>
      </w:r>
      <w:r>
        <w:rPr>
          <w:rFonts w:ascii="Arial" w:cs="Arial" w:eastAsia="Arial" w:hAnsi="Arial"/>
          <w:sz w:val="13"/>
          <w:szCs w:val="13"/>
          <w:color w:val="auto"/>
        </w:rPr>
        <w:t>means a disposal:</w:t>
      </w:r>
    </w:p>
    <w:p>
      <w:pPr>
        <w:spacing w:after="0" w:line="95" w:lineRule="exact"/>
        <w:rPr>
          <w:sz w:val="20"/>
          <w:szCs w:val="20"/>
          <w:color w:val="auto"/>
        </w:rPr>
      </w:pPr>
    </w:p>
    <w:p>
      <w:pPr>
        <w:ind w:left="1220" w:hanging="584"/>
        <w:spacing w:after="0"/>
        <w:tabs>
          <w:tab w:leader="none" w:pos="1220" w:val="left"/>
        </w:tabs>
        <w:numPr>
          <w:ilvl w:val="0"/>
          <w:numId w:val="252"/>
        </w:numPr>
        <w:rPr>
          <w:rFonts w:ascii="Arial" w:cs="Arial" w:eastAsia="Arial" w:hAnsi="Arial"/>
          <w:sz w:val="13"/>
          <w:szCs w:val="13"/>
          <w:color w:val="auto"/>
        </w:rPr>
      </w:pPr>
      <w:r>
        <w:rPr>
          <w:rFonts w:ascii="Arial" w:cs="Arial" w:eastAsia="Arial" w:hAnsi="Arial"/>
          <w:sz w:val="13"/>
          <w:szCs w:val="13"/>
          <w:color w:val="auto"/>
        </w:rPr>
        <w:t>of assets between the Transaction Parties;</w:t>
      </w:r>
    </w:p>
    <w:p>
      <w:pPr>
        <w:spacing w:after="0" w:line="75" w:lineRule="exact"/>
        <w:rPr>
          <w:rFonts w:ascii="Arial" w:cs="Arial" w:eastAsia="Arial" w:hAnsi="Arial"/>
          <w:sz w:val="13"/>
          <w:szCs w:val="13"/>
          <w:color w:val="auto"/>
        </w:rPr>
      </w:pPr>
    </w:p>
    <w:p>
      <w:pPr>
        <w:ind w:left="1100" w:hanging="464"/>
        <w:spacing w:after="0" w:line="244" w:lineRule="auto"/>
        <w:tabs>
          <w:tab w:leader="none" w:pos="1100" w:val="left"/>
        </w:tabs>
        <w:numPr>
          <w:ilvl w:val="0"/>
          <w:numId w:val="252"/>
        </w:numPr>
        <w:rPr>
          <w:rFonts w:ascii="Arial" w:cs="Arial" w:eastAsia="Arial" w:hAnsi="Arial"/>
          <w:sz w:val="13"/>
          <w:szCs w:val="13"/>
          <w:color w:val="auto"/>
        </w:rPr>
      </w:pPr>
      <w:r>
        <w:rPr>
          <w:rFonts w:ascii="Arial" w:cs="Arial" w:eastAsia="Arial" w:hAnsi="Arial"/>
          <w:sz w:val="13"/>
          <w:szCs w:val="13"/>
          <w:color w:val="auto"/>
        </w:rPr>
        <w:t xml:space="preserve">of the land and improvements known as 70 Station Road, Indooroopilly Queensland and described in certificate of title 11485156, subject to Reading Properties Indooroopilly Pty Ltd seeking a release of the Bank’s Security over that property and compliance with </w:t>
      </w:r>
      <w:r>
        <w:rPr>
          <w:rFonts w:ascii="Arial" w:cs="Arial" w:eastAsia="Arial" w:hAnsi="Arial"/>
          <w:sz w:val="13"/>
          <w:szCs w:val="13"/>
          <w:b w:val="1"/>
          <w:bCs w:val="1"/>
          <w:color w:val="auto"/>
        </w:rPr>
        <w:t>clause 5.4(b)</w:t>
      </w:r>
      <w:r>
        <w:rPr>
          <w:rFonts w:ascii="Arial" w:cs="Arial" w:eastAsia="Arial" w:hAnsi="Arial"/>
          <w:sz w:val="13"/>
          <w:szCs w:val="13"/>
          <w:color w:val="auto"/>
        </w:rPr>
        <w:t>;</w:t>
      </w:r>
    </w:p>
    <w:p>
      <w:pPr>
        <w:spacing w:after="0" w:line="56" w:lineRule="exact"/>
        <w:rPr>
          <w:rFonts w:ascii="Arial" w:cs="Arial" w:eastAsia="Arial" w:hAnsi="Arial"/>
          <w:sz w:val="13"/>
          <w:szCs w:val="13"/>
          <w:color w:val="auto"/>
        </w:rPr>
      </w:pPr>
    </w:p>
    <w:p>
      <w:pPr>
        <w:ind w:left="1520" w:hanging="884"/>
        <w:spacing w:after="0"/>
        <w:tabs>
          <w:tab w:leader="none" w:pos="1520" w:val="left"/>
        </w:tabs>
        <w:numPr>
          <w:ilvl w:val="0"/>
          <w:numId w:val="252"/>
        </w:numPr>
        <w:rPr>
          <w:rFonts w:ascii="Arial" w:cs="Arial" w:eastAsia="Arial" w:hAnsi="Arial"/>
          <w:sz w:val="13"/>
          <w:szCs w:val="13"/>
          <w:color w:val="auto"/>
        </w:rPr>
      </w:pPr>
      <w:r>
        <w:rPr>
          <w:rFonts w:ascii="Arial" w:cs="Arial" w:eastAsia="Arial" w:hAnsi="Arial"/>
          <w:sz w:val="13"/>
          <w:szCs w:val="13"/>
          <w:color w:val="auto"/>
        </w:rPr>
        <w:t>of the Burwood Property;</w:t>
      </w:r>
    </w:p>
    <w:p>
      <w:pPr>
        <w:spacing w:after="0" w:line="75" w:lineRule="exact"/>
        <w:rPr>
          <w:rFonts w:ascii="Arial" w:cs="Arial" w:eastAsia="Arial" w:hAnsi="Arial"/>
          <w:sz w:val="13"/>
          <w:szCs w:val="13"/>
          <w:color w:val="auto"/>
        </w:rPr>
      </w:pPr>
    </w:p>
    <w:p>
      <w:pPr>
        <w:ind w:left="1880" w:hanging="1244"/>
        <w:spacing w:after="0"/>
        <w:tabs>
          <w:tab w:leader="none" w:pos="1880" w:val="left"/>
        </w:tabs>
        <w:numPr>
          <w:ilvl w:val="0"/>
          <w:numId w:val="252"/>
        </w:numPr>
        <w:rPr>
          <w:rFonts w:ascii="Arial" w:cs="Arial" w:eastAsia="Arial" w:hAnsi="Arial"/>
          <w:sz w:val="13"/>
          <w:szCs w:val="13"/>
          <w:color w:val="auto"/>
        </w:rPr>
      </w:pPr>
      <w:r>
        <w:rPr>
          <w:rFonts w:ascii="Arial" w:cs="Arial" w:eastAsia="Arial" w:hAnsi="Arial"/>
          <w:sz w:val="13"/>
          <w:szCs w:val="13"/>
          <w:color w:val="auto"/>
        </w:rPr>
        <w:t>of Reading Cinemas Pty Ltd’s interest as lessee in the Elsternwick cinema business, to Champion Pictures Pty Ltd;</w:t>
      </w:r>
    </w:p>
    <w:p>
      <w:pPr>
        <w:spacing w:after="0" w:line="75" w:lineRule="exact"/>
        <w:rPr>
          <w:rFonts w:ascii="Arial" w:cs="Arial" w:eastAsia="Arial" w:hAnsi="Arial"/>
          <w:sz w:val="13"/>
          <w:szCs w:val="13"/>
          <w:color w:val="auto"/>
        </w:rPr>
      </w:pPr>
    </w:p>
    <w:p>
      <w:pPr>
        <w:ind w:left="1060" w:hanging="424"/>
        <w:spacing w:after="0"/>
        <w:tabs>
          <w:tab w:leader="none" w:pos="1060" w:val="left"/>
        </w:tabs>
        <w:numPr>
          <w:ilvl w:val="0"/>
          <w:numId w:val="252"/>
        </w:numPr>
        <w:rPr>
          <w:rFonts w:ascii="Arial" w:cs="Arial" w:eastAsia="Arial" w:hAnsi="Arial"/>
          <w:sz w:val="13"/>
          <w:szCs w:val="13"/>
          <w:color w:val="auto"/>
        </w:rPr>
      </w:pPr>
      <w:r>
        <w:rPr>
          <w:rFonts w:ascii="Arial" w:cs="Arial" w:eastAsia="Arial" w:hAnsi="Arial"/>
          <w:sz w:val="13"/>
          <w:szCs w:val="13"/>
          <w:color w:val="auto"/>
        </w:rPr>
        <w:t>of trading stock or cash made in the ordinary course of business;</w:t>
      </w:r>
    </w:p>
    <w:p>
      <w:pPr>
        <w:spacing w:after="0" w:line="75" w:lineRule="exact"/>
        <w:rPr>
          <w:rFonts w:ascii="Arial" w:cs="Arial" w:eastAsia="Arial" w:hAnsi="Arial"/>
          <w:sz w:val="13"/>
          <w:szCs w:val="13"/>
          <w:color w:val="auto"/>
        </w:rPr>
      </w:pPr>
    </w:p>
    <w:p>
      <w:pPr>
        <w:ind w:left="1840" w:hanging="1204"/>
        <w:spacing w:after="0"/>
        <w:tabs>
          <w:tab w:leader="none" w:pos="1840" w:val="left"/>
        </w:tabs>
        <w:numPr>
          <w:ilvl w:val="0"/>
          <w:numId w:val="252"/>
        </w:numPr>
        <w:rPr>
          <w:rFonts w:ascii="Arial" w:cs="Arial" w:eastAsia="Arial" w:hAnsi="Arial"/>
          <w:sz w:val="13"/>
          <w:szCs w:val="13"/>
          <w:color w:val="auto"/>
        </w:rPr>
      </w:pPr>
      <w:r>
        <w:rPr>
          <w:rFonts w:ascii="Arial" w:cs="Arial" w:eastAsia="Arial" w:hAnsi="Arial"/>
          <w:sz w:val="13"/>
          <w:szCs w:val="13"/>
          <w:color w:val="auto"/>
        </w:rPr>
        <w:t>of plant and equipment in exchange for other assets comparable or superior as to type, value and quality;</w:t>
      </w:r>
    </w:p>
    <w:p>
      <w:pPr>
        <w:spacing w:after="0" w:line="66" w:lineRule="exact"/>
        <w:rPr>
          <w:rFonts w:ascii="Arial" w:cs="Arial" w:eastAsia="Arial" w:hAnsi="Arial"/>
          <w:sz w:val="13"/>
          <w:szCs w:val="13"/>
          <w:color w:val="auto"/>
        </w:rPr>
      </w:pPr>
    </w:p>
    <w:p>
      <w:pPr>
        <w:ind w:left="1380" w:hanging="744"/>
        <w:spacing w:after="0"/>
        <w:tabs>
          <w:tab w:leader="none" w:pos="1380" w:val="left"/>
        </w:tabs>
        <w:numPr>
          <w:ilvl w:val="0"/>
          <w:numId w:val="252"/>
        </w:numPr>
        <w:rPr>
          <w:rFonts w:ascii="Arial" w:cs="Arial" w:eastAsia="Arial" w:hAnsi="Arial"/>
          <w:sz w:val="13"/>
          <w:szCs w:val="13"/>
          <w:color w:val="auto"/>
        </w:rPr>
      </w:pPr>
      <w:r>
        <w:rPr>
          <w:rFonts w:ascii="Arial" w:cs="Arial" w:eastAsia="Arial" w:hAnsi="Arial"/>
          <w:sz w:val="13"/>
          <w:szCs w:val="13"/>
          <w:color w:val="auto"/>
        </w:rPr>
        <w:t>of obsolete or redundant assets;</w:t>
      </w:r>
    </w:p>
    <w:p>
      <w:pPr>
        <w:spacing w:after="0" w:line="56" w:lineRule="exact"/>
        <w:rPr>
          <w:rFonts w:ascii="Arial" w:cs="Arial" w:eastAsia="Arial" w:hAnsi="Arial"/>
          <w:sz w:val="13"/>
          <w:szCs w:val="13"/>
          <w:color w:val="auto"/>
        </w:rPr>
      </w:pPr>
    </w:p>
    <w:p>
      <w:pPr>
        <w:ind w:left="1400" w:hanging="764"/>
        <w:spacing w:after="0"/>
        <w:tabs>
          <w:tab w:leader="none" w:pos="1400" w:val="left"/>
        </w:tabs>
        <w:numPr>
          <w:ilvl w:val="0"/>
          <w:numId w:val="252"/>
        </w:numPr>
        <w:rPr>
          <w:rFonts w:ascii="Arial" w:cs="Arial" w:eastAsia="Arial" w:hAnsi="Arial"/>
          <w:sz w:val="12"/>
          <w:szCs w:val="12"/>
          <w:color w:val="auto"/>
        </w:rPr>
      </w:pPr>
      <w:r>
        <w:rPr>
          <w:rFonts w:ascii="Arial" w:cs="Arial" w:eastAsia="Arial" w:hAnsi="Arial"/>
          <w:sz w:val="12"/>
          <w:szCs w:val="12"/>
          <w:color w:val="auto"/>
        </w:rPr>
        <w:t xml:space="preserve">arising as a result of a Permitted Encumbrance or a Distribution or payment permitted by </w:t>
      </w:r>
      <w:r>
        <w:rPr>
          <w:rFonts w:ascii="Arial" w:cs="Arial" w:eastAsia="Arial" w:hAnsi="Arial"/>
          <w:sz w:val="12"/>
          <w:szCs w:val="12"/>
          <w:b w:val="1"/>
          <w:bCs w:val="1"/>
          <w:color w:val="auto"/>
        </w:rPr>
        <w:t>clause 9.5(f), clause 9.5(j)</w:t>
      </w:r>
      <w:r>
        <w:rPr>
          <w:rFonts w:ascii="Arial" w:cs="Arial" w:eastAsia="Arial" w:hAnsi="Arial"/>
          <w:sz w:val="12"/>
          <w:szCs w:val="12"/>
          <w:color w:val="auto"/>
        </w:rPr>
        <w:t xml:space="preserve"> or </w:t>
      </w:r>
      <w:r>
        <w:rPr>
          <w:rFonts w:ascii="Arial" w:cs="Arial" w:eastAsia="Arial" w:hAnsi="Arial"/>
          <w:sz w:val="12"/>
          <w:szCs w:val="12"/>
          <w:b w:val="1"/>
          <w:bCs w:val="1"/>
          <w:color w:val="auto"/>
        </w:rPr>
        <w:t>clause 5.4(b)(ii)</w:t>
      </w:r>
      <w:r>
        <w:rPr>
          <w:rFonts w:ascii="Arial" w:cs="Arial" w:eastAsia="Arial" w:hAnsi="Arial"/>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182245</wp:posOffset>
            </wp:positionV>
            <wp:extent cx="6208395"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208395" cy="42545"/>
                    </a:xfrm>
                    <a:prstGeom prst="rect">
                      <a:avLst/>
                    </a:prstGeom>
                    <a:noFill/>
                  </pic:spPr>
                </pic:pic>
              </a:graphicData>
            </a:graphic>
          </wp:anchor>
        </w:drawing>
      </w:r>
    </w:p>
    <w:p>
      <w:pPr>
        <w:sectPr>
          <w:pgSz w:w="11900" w:h="16838" w:orient="portrait"/>
          <w:cols w:equalWidth="0" w:num="1">
            <w:col w:w="9260"/>
          </w:cols>
          <w:pgMar w:left="1440" w:top="561" w:right="1199" w:bottom="1440" w:gutter="0" w:footer="0" w:header="0"/>
        </w:sectPr>
      </w:pPr>
    </w:p>
    <w:bookmarkStart w:id="234" w:name="page235"/>
    <w:bookmarkEnd w:id="234"/>
    <w:p>
      <w:pPr>
        <w:ind w:left="1000" w:right="240" w:hanging="364"/>
        <w:spacing w:after="0" w:line="244" w:lineRule="auto"/>
        <w:tabs>
          <w:tab w:leader="none" w:pos="1000" w:val="left"/>
        </w:tabs>
        <w:numPr>
          <w:ilvl w:val="0"/>
          <w:numId w:val="253"/>
        </w:numPr>
        <w:rPr>
          <w:rFonts w:ascii="Arial" w:cs="Arial" w:eastAsia="Arial" w:hAnsi="Arial"/>
          <w:sz w:val="13"/>
          <w:szCs w:val="13"/>
          <w:color w:val="auto"/>
        </w:rPr>
      </w:pPr>
      <w:r>
        <w:rPr>
          <w:rFonts w:ascii="Arial" w:cs="Arial" w:eastAsia="Arial" w:hAnsi="Arial"/>
          <w:sz w:val="13"/>
          <w:szCs w:val="13"/>
          <w:color w:val="auto"/>
        </w:rPr>
        <w:t>of assets that are the subject of a floating charge (or its equivalent) under a Collateral Security, provided the disposal is made in the ordinary course of business; or</w:t>
      </w:r>
    </w:p>
    <w:p>
      <w:pPr>
        <w:spacing w:after="0" w:line="47" w:lineRule="exact"/>
        <w:rPr>
          <w:rFonts w:ascii="Arial" w:cs="Arial" w:eastAsia="Arial" w:hAnsi="Arial"/>
          <w:sz w:val="13"/>
          <w:szCs w:val="13"/>
          <w:color w:val="auto"/>
        </w:rPr>
      </w:pPr>
    </w:p>
    <w:p>
      <w:pPr>
        <w:ind w:left="1500" w:right="240" w:hanging="864"/>
        <w:spacing w:after="0" w:line="244" w:lineRule="auto"/>
        <w:tabs>
          <w:tab w:leader="none" w:pos="1500" w:val="left"/>
        </w:tabs>
        <w:numPr>
          <w:ilvl w:val="0"/>
          <w:numId w:val="253"/>
        </w:numPr>
        <w:rPr>
          <w:rFonts w:ascii="Arial" w:cs="Arial" w:eastAsia="Arial" w:hAnsi="Arial"/>
          <w:sz w:val="13"/>
          <w:szCs w:val="13"/>
          <w:color w:val="auto"/>
        </w:rPr>
      </w:pPr>
      <w:r>
        <w:rPr>
          <w:rFonts w:ascii="Arial" w:cs="Arial" w:eastAsia="Arial" w:hAnsi="Arial"/>
          <w:sz w:val="13"/>
          <w:szCs w:val="13"/>
          <w:color w:val="auto"/>
        </w:rPr>
        <w:t>where the aggregate value of the assets disposed of in the 12 month period ending on the date of the relevant disposal (and including the value of the relevant disposal) does not exceed $500,000.</w:t>
      </w:r>
    </w:p>
    <w:p>
      <w:pPr>
        <w:spacing w:after="0" w:line="46"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auto"/>
        </w:rPr>
        <w:t xml:space="preserve">Permitted Distributions </w:t>
      </w:r>
      <w:r>
        <w:rPr>
          <w:rFonts w:ascii="Arial" w:cs="Arial" w:eastAsia="Arial" w:hAnsi="Arial"/>
          <w:sz w:val="13"/>
          <w:szCs w:val="13"/>
          <w:color w:val="auto"/>
        </w:rPr>
        <w:t>means a distribution of any proceeds of the sale of:</w:t>
      </w:r>
    </w:p>
    <w:p>
      <w:pPr>
        <w:spacing w:after="0" w:line="95" w:lineRule="exact"/>
        <w:rPr>
          <w:sz w:val="20"/>
          <w:szCs w:val="20"/>
          <w:color w:val="auto"/>
        </w:rPr>
      </w:pPr>
    </w:p>
    <w:p>
      <w:pPr>
        <w:ind w:left="1120" w:hanging="484"/>
        <w:spacing w:after="0"/>
        <w:tabs>
          <w:tab w:leader="none" w:pos="1120" w:val="left"/>
        </w:tabs>
        <w:numPr>
          <w:ilvl w:val="0"/>
          <w:numId w:val="254"/>
        </w:numPr>
        <w:rPr>
          <w:rFonts w:ascii="Arial" w:cs="Arial" w:eastAsia="Arial" w:hAnsi="Arial"/>
          <w:sz w:val="13"/>
          <w:szCs w:val="13"/>
          <w:color w:val="auto"/>
        </w:rPr>
      </w:pPr>
      <w:r>
        <w:rPr>
          <w:rFonts w:ascii="Arial" w:cs="Arial" w:eastAsia="Arial" w:hAnsi="Arial"/>
          <w:sz w:val="13"/>
          <w:szCs w:val="13"/>
          <w:color w:val="auto"/>
        </w:rPr>
        <w:t>40 Hall Street, Moonee Ponds, Victoria; or</w:t>
      </w:r>
    </w:p>
    <w:p>
      <w:pPr>
        <w:spacing w:after="0" w:line="102" w:lineRule="exact"/>
        <w:rPr>
          <w:rFonts w:ascii="Arial" w:cs="Arial" w:eastAsia="Arial" w:hAnsi="Arial"/>
          <w:sz w:val="13"/>
          <w:szCs w:val="13"/>
          <w:color w:val="auto"/>
        </w:rPr>
      </w:pPr>
    </w:p>
    <w:p>
      <w:pPr>
        <w:ind w:left="1720" w:hanging="1084"/>
        <w:spacing w:after="0"/>
        <w:tabs>
          <w:tab w:leader="none" w:pos="1720" w:val="left"/>
        </w:tabs>
        <w:numPr>
          <w:ilvl w:val="0"/>
          <w:numId w:val="254"/>
        </w:numPr>
        <w:rPr>
          <w:rFonts w:ascii="Arial" w:cs="Arial" w:eastAsia="Arial" w:hAnsi="Arial"/>
          <w:sz w:val="13"/>
          <w:szCs w:val="13"/>
          <w:color w:val="auto"/>
        </w:rPr>
      </w:pPr>
      <w:r>
        <w:rPr>
          <w:rFonts w:ascii="Arial" w:cs="Arial" w:eastAsia="Arial" w:hAnsi="Arial"/>
          <w:sz w:val="13"/>
          <w:szCs w:val="13"/>
          <w:color w:val="auto"/>
        </w:rPr>
        <w:t>78 Middleborough Road, Old Burwood Road, Burwood, Victoria, applied towards:</w:t>
      </w:r>
    </w:p>
    <w:p>
      <w:pPr>
        <w:spacing w:after="0" w:line="39" w:lineRule="exact"/>
        <w:rPr>
          <w:rFonts w:ascii="Arial" w:cs="Arial" w:eastAsia="Arial" w:hAnsi="Arial"/>
          <w:sz w:val="13"/>
          <w:szCs w:val="13"/>
          <w:color w:val="auto"/>
        </w:rPr>
      </w:pPr>
    </w:p>
    <w:p>
      <w:pPr>
        <w:ind w:left="1920" w:right="780" w:hanging="1284"/>
        <w:spacing w:after="0" w:line="244" w:lineRule="auto"/>
        <w:tabs>
          <w:tab w:leader="none" w:pos="1920" w:val="left"/>
        </w:tabs>
        <w:numPr>
          <w:ilvl w:val="0"/>
          <w:numId w:val="254"/>
        </w:numPr>
        <w:rPr>
          <w:rFonts w:ascii="Arial" w:cs="Arial" w:eastAsia="Arial" w:hAnsi="Arial"/>
          <w:sz w:val="13"/>
          <w:szCs w:val="13"/>
          <w:color w:val="auto"/>
        </w:rPr>
      </w:pPr>
      <w:r>
        <w:rPr>
          <w:rFonts w:ascii="Arial" w:cs="Arial" w:eastAsia="Arial" w:hAnsi="Arial"/>
          <w:sz w:val="13"/>
          <w:szCs w:val="13"/>
          <w:color w:val="auto"/>
        </w:rPr>
        <w:t>first, the repayment of parent loans to the Borrower from Reading International Inc (including accrued Management Fees, interest, capitalised interest or principal); and</w:t>
      </w:r>
    </w:p>
    <w:p>
      <w:pPr>
        <w:spacing w:after="0" w:line="47" w:lineRule="exact"/>
        <w:rPr>
          <w:rFonts w:ascii="Arial" w:cs="Arial" w:eastAsia="Arial" w:hAnsi="Arial"/>
          <w:sz w:val="13"/>
          <w:szCs w:val="13"/>
          <w:color w:val="auto"/>
        </w:rPr>
      </w:pPr>
    </w:p>
    <w:p>
      <w:pPr>
        <w:ind w:left="1040" w:hanging="404"/>
        <w:spacing w:after="0" w:line="244" w:lineRule="auto"/>
        <w:tabs>
          <w:tab w:leader="none" w:pos="1040" w:val="left"/>
        </w:tabs>
        <w:numPr>
          <w:ilvl w:val="0"/>
          <w:numId w:val="254"/>
        </w:numPr>
        <w:rPr>
          <w:rFonts w:ascii="Arial" w:cs="Arial" w:eastAsia="Arial" w:hAnsi="Arial"/>
          <w:sz w:val="13"/>
          <w:szCs w:val="13"/>
          <w:color w:val="auto"/>
        </w:rPr>
      </w:pPr>
      <w:r>
        <w:rPr>
          <w:rFonts w:ascii="Arial" w:cs="Arial" w:eastAsia="Arial" w:hAnsi="Arial"/>
          <w:sz w:val="13"/>
          <w:szCs w:val="13"/>
          <w:color w:val="auto"/>
        </w:rPr>
        <w:t>after the repayment of all parent loans under paragraph (c), dividends paid to shareholders of the Borrower, provided the Leverage Ratio is less than 3.0 times at the time of the payment.</w:t>
      </w:r>
    </w:p>
    <w:p>
      <w:pPr>
        <w:spacing w:after="0" w:line="46"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auto"/>
        </w:rPr>
        <w:t xml:space="preserve">Permitted Encumbrance </w:t>
      </w:r>
      <w:r>
        <w:rPr>
          <w:rFonts w:ascii="Arial" w:cs="Arial" w:eastAsia="Arial" w:hAnsi="Arial"/>
          <w:sz w:val="13"/>
          <w:szCs w:val="13"/>
          <w:color w:val="auto"/>
        </w:rPr>
        <w:t>means:</w:t>
      </w:r>
    </w:p>
    <w:p>
      <w:pPr>
        <w:spacing w:after="0" w:line="86" w:lineRule="exact"/>
        <w:rPr>
          <w:sz w:val="20"/>
          <w:szCs w:val="20"/>
          <w:color w:val="auto"/>
        </w:rPr>
      </w:pPr>
    </w:p>
    <w:p>
      <w:pPr>
        <w:ind w:left="1400" w:hanging="764"/>
        <w:spacing w:after="0"/>
        <w:tabs>
          <w:tab w:leader="none" w:pos="1400" w:val="left"/>
        </w:tabs>
        <w:numPr>
          <w:ilvl w:val="0"/>
          <w:numId w:val="255"/>
        </w:numPr>
        <w:rPr>
          <w:rFonts w:ascii="Arial" w:cs="Arial" w:eastAsia="Arial" w:hAnsi="Arial"/>
          <w:sz w:val="13"/>
          <w:szCs w:val="13"/>
          <w:color w:val="auto"/>
        </w:rPr>
      </w:pPr>
      <w:r>
        <w:rPr>
          <w:rFonts w:ascii="Arial" w:cs="Arial" w:eastAsia="Arial" w:hAnsi="Arial"/>
          <w:sz w:val="13"/>
          <w:szCs w:val="13"/>
          <w:color w:val="auto"/>
        </w:rPr>
        <w:t>an Encumbrance which has been approved by the Bank (including the Security Interests created by any Transaction Document);</w:t>
      </w:r>
    </w:p>
    <w:p>
      <w:pPr>
        <w:spacing w:after="0" w:line="66" w:lineRule="exact"/>
        <w:rPr>
          <w:rFonts w:ascii="Arial" w:cs="Arial" w:eastAsia="Arial" w:hAnsi="Arial"/>
          <w:sz w:val="13"/>
          <w:szCs w:val="13"/>
          <w:color w:val="auto"/>
        </w:rPr>
      </w:pPr>
    </w:p>
    <w:p>
      <w:pPr>
        <w:ind w:left="1220" w:right="100" w:hanging="584"/>
        <w:spacing w:after="0" w:line="244" w:lineRule="auto"/>
        <w:tabs>
          <w:tab w:leader="none" w:pos="1220" w:val="left"/>
        </w:tabs>
        <w:numPr>
          <w:ilvl w:val="0"/>
          <w:numId w:val="255"/>
        </w:numPr>
        <w:rPr>
          <w:rFonts w:ascii="Arial" w:cs="Arial" w:eastAsia="Arial" w:hAnsi="Arial"/>
          <w:sz w:val="13"/>
          <w:szCs w:val="13"/>
          <w:color w:val="auto"/>
        </w:rPr>
      </w:pPr>
      <w:r>
        <w:rPr>
          <w:rFonts w:ascii="Arial" w:cs="Arial" w:eastAsia="Arial" w:hAnsi="Arial"/>
          <w:sz w:val="13"/>
          <w:szCs w:val="13"/>
          <w:color w:val="auto"/>
        </w:rPr>
        <w:t>any right of set off or combination arising by operation of law or practice over money deposited with a bank or financial institution in the ordinary course of the business of a Transaction Party;</w:t>
      </w:r>
    </w:p>
    <w:p>
      <w:pPr>
        <w:spacing w:after="0" w:line="56" w:lineRule="exact"/>
        <w:rPr>
          <w:rFonts w:ascii="Arial" w:cs="Arial" w:eastAsia="Arial" w:hAnsi="Arial"/>
          <w:sz w:val="13"/>
          <w:szCs w:val="13"/>
          <w:color w:val="auto"/>
        </w:rPr>
      </w:pPr>
    </w:p>
    <w:p>
      <w:pPr>
        <w:ind w:left="1080" w:right="20" w:hanging="444"/>
        <w:spacing w:after="0" w:line="244" w:lineRule="auto"/>
        <w:tabs>
          <w:tab w:leader="none" w:pos="1080" w:val="left"/>
        </w:tabs>
        <w:numPr>
          <w:ilvl w:val="0"/>
          <w:numId w:val="255"/>
        </w:numPr>
        <w:rPr>
          <w:rFonts w:ascii="Arial" w:cs="Arial" w:eastAsia="Arial" w:hAnsi="Arial"/>
          <w:sz w:val="13"/>
          <w:szCs w:val="13"/>
          <w:color w:val="auto"/>
        </w:rPr>
      </w:pPr>
      <w:r>
        <w:rPr>
          <w:rFonts w:ascii="Arial" w:cs="Arial" w:eastAsia="Arial" w:hAnsi="Arial"/>
          <w:sz w:val="13"/>
          <w:szCs w:val="13"/>
          <w:color w:val="auto"/>
        </w:rPr>
        <w:t>an Encumbrance which arises by operation of law in the ordinary course of the business of a Transaction Party provided the debt secured by that Encumbrance is paid when due or contested in good faith by appropriate proceedings;</w:t>
      </w:r>
    </w:p>
    <w:p>
      <w:pPr>
        <w:spacing w:after="0" w:line="56" w:lineRule="exact"/>
        <w:rPr>
          <w:rFonts w:ascii="Arial" w:cs="Arial" w:eastAsia="Arial" w:hAnsi="Arial"/>
          <w:sz w:val="13"/>
          <w:szCs w:val="13"/>
          <w:color w:val="auto"/>
        </w:rPr>
      </w:pPr>
    </w:p>
    <w:p>
      <w:pPr>
        <w:ind w:left="1040" w:right="20" w:hanging="404"/>
        <w:spacing w:after="0" w:line="236" w:lineRule="auto"/>
        <w:tabs>
          <w:tab w:leader="none" w:pos="1040" w:val="left"/>
        </w:tabs>
        <w:numPr>
          <w:ilvl w:val="0"/>
          <w:numId w:val="255"/>
        </w:numPr>
        <w:rPr>
          <w:rFonts w:ascii="Arial" w:cs="Arial" w:eastAsia="Arial" w:hAnsi="Arial"/>
          <w:sz w:val="13"/>
          <w:szCs w:val="13"/>
          <w:color w:val="auto"/>
        </w:rPr>
      </w:pPr>
      <w:r>
        <w:rPr>
          <w:rFonts w:ascii="Arial" w:cs="Arial" w:eastAsia="Arial" w:hAnsi="Arial"/>
          <w:sz w:val="13"/>
          <w:szCs w:val="13"/>
          <w:color w:val="auto"/>
        </w:rPr>
        <w:t>every easement, restrictive covenant, caveat or similar restriction over property, right of way, exception, encroachment, reservation, restriction, condition or limitation which arises in the ordinary course of the ordinary business of the relevant Transaction Party and does not either by itself or in the aggregate materially interfere with or impair the operation or use of a property affected thereby, have a Material Adverse Effect or otherwise restrict or prevent the Bank exercising its rights against any Secured Property under the relevant Collateral Security;</w:t>
      </w:r>
    </w:p>
    <w:p>
      <w:pPr>
        <w:spacing w:after="0" w:line="60" w:lineRule="exact"/>
        <w:rPr>
          <w:rFonts w:ascii="Arial" w:cs="Arial" w:eastAsia="Arial" w:hAnsi="Arial"/>
          <w:sz w:val="13"/>
          <w:szCs w:val="13"/>
          <w:color w:val="auto"/>
        </w:rPr>
      </w:pPr>
    </w:p>
    <w:p>
      <w:pPr>
        <w:ind w:left="1080" w:right="80" w:hanging="444"/>
        <w:spacing w:after="0" w:line="236" w:lineRule="auto"/>
        <w:tabs>
          <w:tab w:leader="none" w:pos="1080" w:val="left"/>
        </w:tabs>
        <w:numPr>
          <w:ilvl w:val="0"/>
          <w:numId w:val="255"/>
        </w:numPr>
        <w:rPr>
          <w:rFonts w:ascii="Arial" w:cs="Arial" w:eastAsia="Arial" w:hAnsi="Arial"/>
          <w:sz w:val="13"/>
          <w:szCs w:val="13"/>
          <w:color w:val="auto"/>
        </w:rPr>
      </w:pPr>
      <w:r>
        <w:rPr>
          <w:rFonts w:ascii="Arial" w:cs="Arial" w:eastAsia="Arial" w:hAnsi="Arial"/>
          <w:sz w:val="13"/>
          <w:szCs w:val="13"/>
          <w:color w:val="auto"/>
        </w:rPr>
        <w:t>every right reserved to, or vested in, any municipality or governmental or other public authority by the terms of any right, power, franchise, grant, licence or permit to control or regulate any part of the property of a Transaction Party, or to use that property in any manner which does not either by itself or in the aggregate materially interfere with or impair the operation or the use thereof, have a Material Adverse Effect or otherwise restrict or prevent the Bank exercising its rights against any Secured Property under the relevant Collateral Security;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164465</wp:posOffset>
            </wp:positionV>
            <wp:extent cx="6208395"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208395" cy="42545"/>
                    </a:xfrm>
                    <a:prstGeom prst="rect">
                      <a:avLst/>
                    </a:prstGeom>
                    <a:noFill/>
                  </pic:spPr>
                </pic:pic>
              </a:graphicData>
            </a:graphic>
          </wp:anchor>
        </w:drawing>
      </w:r>
    </w:p>
    <w:p>
      <w:pPr>
        <w:sectPr>
          <w:pgSz w:w="11900" w:h="16838" w:orient="portrait"/>
          <w:cols w:equalWidth="0" w:num="1">
            <w:col w:w="9400"/>
          </w:cols>
          <w:pgMar w:left="1440" w:top="560" w:right="1059" w:bottom="1440" w:gutter="0" w:footer="0" w:header="0"/>
        </w:sectPr>
      </w:pPr>
    </w:p>
    <w:bookmarkStart w:id="235" w:name="page236"/>
    <w:bookmarkEnd w:id="235"/>
    <w:p>
      <w:pPr>
        <w:ind w:left="1060" w:hanging="424"/>
        <w:spacing w:after="0" w:line="236" w:lineRule="auto"/>
        <w:tabs>
          <w:tab w:leader="none" w:pos="1060" w:val="left"/>
        </w:tabs>
        <w:numPr>
          <w:ilvl w:val="0"/>
          <w:numId w:val="256"/>
        </w:numPr>
        <w:rPr>
          <w:rFonts w:ascii="Arial" w:cs="Arial" w:eastAsia="Arial" w:hAnsi="Arial"/>
          <w:sz w:val="13"/>
          <w:szCs w:val="13"/>
          <w:color w:val="auto"/>
        </w:rPr>
      </w:pPr>
      <w:r>
        <w:rPr>
          <w:rFonts w:ascii="Arial" w:cs="Arial" w:eastAsia="Arial" w:hAnsi="Arial"/>
          <w:sz w:val="13"/>
          <w:szCs w:val="13"/>
          <w:color w:val="auto"/>
        </w:rPr>
        <w:t>every Encumbrance incurred or deposits made in the ordinary course of ordinary business to secure the performance of tenders, statutory obligations, surety bonds, bids, leases, government contracts, performance and return of money bonds (provided that such Encumbrances do not restrict or prevent the Bank exercising its rights against any Secured Property under the relevant Collateral Security) or in connection with workers’ compensation, unemployment insurance and other types of social security;</w:t>
      </w:r>
    </w:p>
    <w:p>
      <w:pPr>
        <w:spacing w:after="0" w:line="51" w:lineRule="exact"/>
        <w:rPr>
          <w:rFonts w:ascii="Arial" w:cs="Arial" w:eastAsia="Arial" w:hAnsi="Arial"/>
          <w:sz w:val="13"/>
          <w:szCs w:val="13"/>
          <w:color w:val="auto"/>
        </w:rPr>
      </w:pPr>
    </w:p>
    <w:p>
      <w:pPr>
        <w:ind w:left="1320" w:right="60" w:hanging="684"/>
        <w:spacing w:after="0" w:line="244" w:lineRule="auto"/>
        <w:tabs>
          <w:tab w:leader="none" w:pos="1320" w:val="left"/>
        </w:tabs>
        <w:numPr>
          <w:ilvl w:val="0"/>
          <w:numId w:val="256"/>
        </w:numPr>
        <w:rPr>
          <w:rFonts w:ascii="Arial" w:cs="Arial" w:eastAsia="Arial" w:hAnsi="Arial"/>
          <w:sz w:val="13"/>
          <w:szCs w:val="13"/>
          <w:color w:val="auto"/>
        </w:rPr>
      </w:pPr>
      <w:r>
        <w:rPr>
          <w:rFonts w:ascii="Arial" w:cs="Arial" w:eastAsia="Arial" w:hAnsi="Arial"/>
          <w:sz w:val="13"/>
          <w:szCs w:val="13"/>
          <w:color w:val="auto"/>
        </w:rPr>
        <w:t>every Encumbrance incurred or deposit made in the ordinary course of the business of a Transaction Party in respect of a leasehold property, the purchase of assets or the use of utilities, provided that:</w:t>
      </w:r>
    </w:p>
    <w:p>
      <w:pPr>
        <w:spacing w:after="0" w:line="56" w:lineRule="exact"/>
        <w:rPr>
          <w:rFonts w:ascii="Arial" w:cs="Arial" w:eastAsia="Arial" w:hAnsi="Arial"/>
          <w:sz w:val="13"/>
          <w:szCs w:val="13"/>
          <w:color w:val="auto"/>
        </w:rPr>
      </w:pPr>
    </w:p>
    <w:p>
      <w:pPr>
        <w:ind w:left="1540" w:right="240" w:hanging="552"/>
        <w:spacing w:after="0" w:line="244" w:lineRule="auto"/>
        <w:tabs>
          <w:tab w:leader="none" w:pos="1540" w:val="left"/>
        </w:tabs>
        <w:numPr>
          <w:ilvl w:val="1"/>
          <w:numId w:val="256"/>
        </w:numPr>
        <w:rPr>
          <w:rFonts w:ascii="Arial" w:cs="Arial" w:eastAsia="Arial" w:hAnsi="Arial"/>
          <w:sz w:val="13"/>
          <w:szCs w:val="13"/>
          <w:color w:val="auto"/>
        </w:rPr>
      </w:pPr>
      <w:r>
        <w:rPr>
          <w:rFonts w:ascii="Arial" w:cs="Arial" w:eastAsia="Arial" w:hAnsi="Arial"/>
          <w:sz w:val="13"/>
          <w:szCs w:val="13"/>
          <w:color w:val="auto"/>
        </w:rPr>
        <w:t>in relation to an Encumbrance incurred or deposit made in respect of the purchase of assets which secures an aggregate amount greater than $250,000 the Bank has given prior written consent to the Borrower; and</w:t>
      </w:r>
    </w:p>
    <w:p>
      <w:pPr>
        <w:spacing w:after="0" w:line="56" w:lineRule="exact"/>
        <w:rPr>
          <w:rFonts w:ascii="Arial" w:cs="Arial" w:eastAsia="Arial" w:hAnsi="Arial"/>
          <w:sz w:val="13"/>
          <w:szCs w:val="13"/>
          <w:color w:val="auto"/>
        </w:rPr>
      </w:pPr>
    </w:p>
    <w:p>
      <w:pPr>
        <w:ind w:left="1600" w:right="180" w:hanging="612"/>
        <w:spacing w:after="0" w:line="244" w:lineRule="auto"/>
        <w:tabs>
          <w:tab w:leader="none" w:pos="1600" w:val="left"/>
        </w:tabs>
        <w:numPr>
          <w:ilvl w:val="1"/>
          <w:numId w:val="256"/>
        </w:numPr>
        <w:rPr>
          <w:rFonts w:ascii="Arial" w:cs="Arial" w:eastAsia="Arial" w:hAnsi="Arial"/>
          <w:sz w:val="13"/>
          <w:szCs w:val="13"/>
          <w:color w:val="auto"/>
        </w:rPr>
      </w:pPr>
      <w:r>
        <w:rPr>
          <w:rFonts w:ascii="Arial" w:cs="Arial" w:eastAsia="Arial" w:hAnsi="Arial"/>
          <w:sz w:val="13"/>
          <w:szCs w:val="13"/>
          <w:color w:val="auto"/>
        </w:rPr>
        <w:t>the recourse of the holder of that Encumbrance is limited to the leasehold interest, the assets purchased or use of utilities and the proceeds of enforcement of the Encumbrance.</w:t>
      </w:r>
    </w:p>
    <w:p>
      <w:pPr>
        <w:spacing w:after="0" w:line="56" w:lineRule="exact"/>
        <w:rPr>
          <w:rFonts w:ascii="Arial" w:cs="Arial" w:eastAsia="Arial" w:hAnsi="Arial"/>
          <w:sz w:val="13"/>
          <w:szCs w:val="13"/>
          <w:color w:val="auto"/>
        </w:rPr>
      </w:pPr>
    </w:p>
    <w:p>
      <w:pPr>
        <w:ind w:left="1300" w:right="60" w:hanging="664"/>
        <w:spacing w:after="0" w:line="244" w:lineRule="auto"/>
        <w:tabs>
          <w:tab w:leader="none" w:pos="1300" w:val="left"/>
        </w:tabs>
        <w:numPr>
          <w:ilvl w:val="0"/>
          <w:numId w:val="256"/>
        </w:numPr>
        <w:rPr>
          <w:rFonts w:ascii="Arial" w:cs="Arial" w:eastAsia="Arial" w:hAnsi="Arial"/>
          <w:sz w:val="13"/>
          <w:szCs w:val="13"/>
          <w:color w:val="auto"/>
        </w:rPr>
      </w:pPr>
      <w:r>
        <w:rPr>
          <w:rFonts w:ascii="Arial" w:cs="Arial" w:eastAsia="Arial" w:hAnsi="Arial"/>
          <w:sz w:val="13"/>
          <w:szCs w:val="13"/>
          <w:color w:val="auto"/>
        </w:rPr>
        <w:t>every retention of title arrangement in respect of trading stock acquired or to be acquired by a Transaction Party in the ordinary course of business;</w:t>
      </w:r>
    </w:p>
    <w:p>
      <w:pPr>
        <w:spacing w:after="0" w:line="47" w:lineRule="exact"/>
        <w:rPr>
          <w:rFonts w:ascii="Arial" w:cs="Arial" w:eastAsia="Arial" w:hAnsi="Arial"/>
          <w:sz w:val="13"/>
          <w:szCs w:val="13"/>
          <w:color w:val="auto"/>
        </w:rPr>
      </w:pPr>
    </w:p>
    <w:p>
      <w:pPr>
        <w:ind w:left="1060" w:right="180" w:hanging="424"/>
        <w:spacing w:after="0" w:line="244" w:lineRule="auto"/>
        <w:tabs>
          <w:tab w:leader="none" w:pos="1060" w:val="left"/>
        </w:tabs>
        <w:numPr>
          <w:ilvl w:val="0"/>
          <w:numId w:val="256"/>
        </w:numPr>
        <w:rPr>
          <w:rFonts w:ascii="Arial" w:cs="Arial" w:eastAsia="Arial" w:hAnsi="Arial"/>
          <w:sz w:val="13"/>
          <w:szCs w:val="13"/>
          <w:color w:val="auto"/>
        </w:rPr>
      </w:pPr>
      <w:r>
        <w:rPr>
          <w:rFonts w:ascii="Arial" w:cs="Arial" w:eastAsia="Arial" w:hAnsi="Arial"/>
          <w:sz w:val="13"/>
          <w:szCs w:val="13"/>
          <w:color w:val="auto"/>
        </w:rPr>
        <w:t>any easement, caveat or other restriction in relation to a Freehold Property that would be apparent from a title search conducted before the date of this document; and</w:t>
      </w:r>
    </w:p>
    <w:p>
      <w:pPr>
        <w:spacing w:after="0" w:line="65" w:lineRule="exact"/>
        <w:rPr>
          <w:rFonts w:ascii="Arial" w:cs="Arial" w:eastAsia="Arial" w:hAnsi="Arial"/>
          <w:sz w:val="13"/>
          <w:szCs w:val="13"/>
          <w:color w:val="auto"/>
        </w:rPr>
      </w:pPr>
    </w:p>
    <w:p>
      <w:pPr>
        <w:ind w:left="1100" w:right="260" w:hanging="464"/>
        <w:spacing w:after="0" w:line="238" w:lineRule="auto"/>
        <w:tabs>
          <w:tab w:leader="none" w:pos="1100" w:val="left"/>
        </w:tabs>
        <w:numPr>
          <w:ilvl w:val="0"/>
          <w:numId w:val="256"/>
        </w:numPr>
        <w:rPr>
          <w:rFonts w:ascii="Arial" w:cs="Arial" w:eastAsia="Arial" w:hAnsi="Arial"/>
          <w:sz w:val="13"/>
          <w:szCs w:val="13"/>
          <w:color w:val="auto"/>
        </w:rPr>
      </w:pPr>
      <w:r>
        <w:rPr>
          <w:rFonts w:ascii="Arial" w:cs="Arial" w:eastAsia="Arial" w:hAnsi="Arial"/>
          <w:sz w:val="13"/>
          <w:szCs w:val="13"/>
          <w:color w:val="auto"/>
        </w:rPr>
        <w:t>an Encumbrance over the Burwood Property granted by a Transaction Party in connection with the sale of the Burwood Property and the development of the Burwood Property by the purchaser (or an affiliate of the purchaser), provided that the recourse of the holder of that Encumbrance is limited to the Burwood Property and the proceeds of enforcement of the Encumbrance.</w:t>
      </w:r>
    </w:p>
    <w:p>
      <w:pPr>
        <w:spacing w:after="0" w:line="44"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auto"/>
        </w:rPr>
        <w:t xml:space="preserve">Permitted Financial Accommodation </w:t>
      </w:r>
      <w:r>
        <w:rPr>
          <w:rFonts w:ascii="Arial" w:cs="Arial" w:eastAsia="Arial" w:hAnsi="Arial"/>
          <w:sz w:val="13"/>
          <w:szCs w:val="13"/>
          <w:color w:val="auto"/>
        </w:rPr>
        <w:t>means:</w:t>
      </w:r>
    </w:p>
    <w:p>
      <w:pPr>
        <w:spacing w:after="0" w:line="92" w:lineRule="exact"/>
        <w:rPr>
          <w:sz w:val="20"/>
          <w:szCs w:val="20"/>
          <w:color w:val="auto"/>
        </w:rPr>
      </w:pPr>
    </w:p>
    <w:p>
      <w:pPr>
        <w:ind w:left="2060" w:hanging="1424"/>
        <w:spacing w:after="0"/>
        <w:tabs>
          <w:tab w:leader="none" w:pos="2060" w:val="left"/>
        </w:tabs>
        <w:numPr>
          <w:ilvl w:val="0"/>
          <w:numId w:val="257"/>
        </w:numPr>
        <w:rPr>
          <w:rFonts w:ascii="Arial" w:cs="Arial" w:eastAsia="Arial" w:hAnsi="Arial"/>
          <w:sz w:val="13"/>
          <w:szCs w:val="13"/>
          <w:color w:val="auto"/>
        </w:rPr>
      </w:pPr>
      <w:r>
        <w:rPr>
          <w:rFonts w:ascii="Arial" w:cs="Arial" w:eastAsia="Arial" w:hAnsi="Arial"/>
          <w:sz w:val="13"/>
          <w:szCs w:val="13"/>
          <w:color w:val="auto"/>
        </w:rPr>
        <w:t>financial accommodation granted by a Transaction Party to another Transaction Party;</w:t>
      </w:r>
    </w:p>
    <w:p>
      <w:pPr>
        <w:spacing w:after="0" w:line="66" w:lineRule="exact"/>
        <w:rPr>
          <w:rFonts w:ascii="Arial" w:cs="Arial" w:eastAsia="Arial" w:hAnsi="Arial"/>
          <w:sz w:val="13"/>
          <w:szCs w:val="13"/>
          <w:color w:val="auto"/>
        </w:rPr>
      </w:pPr>
    </w:p>
    <w:p>
      <w:pPr>
        <w:ind w:left="1580" w:right="540" w:hanging="944"/>
        <w:spacing w:after="0" w:line="244" w:lineRule="auto"/>
        <w:tabs>
          <w:tab w:leader="none" w:pos="1580" w:val="left"/>
        </w:tabs>
        <w:numPr>
          <w:ilvl w:val="0"/>
          <w:numId w:val="257"/>
        </w:numPr>
        <w:rPr>
          <w:rFonts w:ascii="Arial" w:cs="Arial" w:eastAsia="Arial" w:hAnsi="Arial"/>
          <w:sz w:val="13"/>
          <w:szCs w:val="13"/>
          <w:color w:val="auto"/>
        </w:rPr>
      </w:pPr>
      <w:r>
        <w:rPr>
          <w:rFonts w:ascii="Arial" w:cs="Arial" w:eastAsia="Arial" w:hAnsi="Arial"/>
          <w:sz w:val="13"/>
          <w:szCs w:val="13"/>
          <w:color w:val="auto"/>
        </w:rPr>
        <w:t>any trade credit extended by a Transaction Party to its customers on normal commercial terms and in the ordinary course of business; or</w:t>
      </w:r>
    </w:p>
    <w:p>
      <w:pPr>
        <w:spacing w:after="0" w:line="47" w:lineRule="exact"/>
        <w:rPr>
          <w:rFonts w:ascii="Arial" w:cs="Arial" w:eastAsia="Arial" w:hAnsi="Arial"/>
          <w:sz w:val="13"/>
          <w:szCs w:val="13"/>
          <w:color w:val="auto"/>
        </w:rPr>
      </w:pPr>
    </w:p>
    <w:p>
      <w:pPr>
        <w:ind w:left="1540" w:hanging="904"/>
        <w:spacing w:after="0"/>
        <w:tabs>
          <w:tab w:leader="none" w:pos="1540" w:val="left"/>
        </w:tabs>
        <w:numPr>
          <w:ilvl w:val="0"/>
          <w:numId w:val="257"/>
        </w:numPr>
        <w:rPr>
          <w:rFonts w:ascii="Arial" w:cs="Arial" w:eastAsia="Arial" w:hAnsi="Arial"/>
          <w:sz w:val="13"/>
          <w:szCs w:val="13"/>
          <w:color w:val="auto"/>
        </w:rPr>
      </w:pPr>
      <w:r>
        <w:rPr>
          <w:rFonts w:ascii="Arial" w:cs="Arial" w:eastAsia="Arial" w:hAnsi="Arial"/>
          <w:sz w:val="13"/>
          <w:szCs w:val="13"/>
          <w:color w:val="auto"/>
        </w:rPr>
        <w:t>any other financial accommodation granted with the prior consent of the Bank.</w:t>
      </w:r>
    </w:p>
    <w:p>
      <w:pPr>
        <w:spacing w:after="0" w:line="51"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auto"/>
        </w:rPr>
        <w:t xml:space="preserve">Permitted Financial Indebtedness </w:t>
      </w:r>
      <w:r>
        <w:rPr>
          <w:rFonts w:ascii="Arial" w:cs="Arial" w:eastAsia="Arial" w:hAnsi="Arial"/>
          <w:sz w:val="13"/>
          <w:szCs w:val="13"/>
          <w:color w:val="auto"/>
        </w:rPr>
        <w:t>means:</w:t>
      </w:r>
    </w:p>
    <w:p>
      <w:pPr>
        <w:spacing w:after="0" w:line="92" w:lineRule="exact"/>
        <w:rPr>
          <w:sz w:val="20"/>
          <w:szCs w:val="20"/>
          <w:color w:val="auto"/>
        </w:rPr>
      </w:pPr>
    </w:p>
    <w:p>
      <w:pPr>
        <w:ind w:left="1440" w:hanging="804"/>
        <w:spacing w:after="0"/>
        <w:tabs>
          <w:tab w:leader="none" w:pos="1440" w:val="left"/>
        </w:tabs>
        <w:numPr>
          <w:ilvl w:val="0"/>
          <w:numId w:val="258"/>
        </w:numPr>
        <w:rPr>
          <w:rFonts w:ascii="Arial" w:cs="Arial" w:eastAsia="Arial" w:hAnsi="Arial"/>
          <w:sz w:val="13"/>
          <w:szCs w:val="13"/>
          <w:color w:val="auto"/>
        </w:rPr>
      </w:pPr>
      <w:r>
        <w:rPr>
          <w:rFonts w:ascii="Arial" w:cs="Arial" w:eastAsia="Arial" w:hAnsi="Arial"/>
          <w:sz w:val="13"/>
          <w:szCs w:val="13"/>
          <w:color w:val="auto"/>
        </w:rPr>
        <w:t>trade debt incurred in the ordinary course of business of the Transaction Parties;</w:t>
      </w:r>
    </w:p>
    <w:p>
      <w:pPr>
        <w:spacing w:after="0" w:line="75" w:lineRule="exact"/>
        <w:rPr>
          <w:rFonts w:ascii="Arial" w:cs="Arial" w:eastAsia="Arial" w:hAnsi="Arial"/>
          <w:sz w:val="13"/>
          <w:szCs w:val="13"/>
          <w:color w:val="auto"/>
        </w:rPr>
      </w:pPr>
    </w:p>
    <w:p>
      <w:pPr>
        <w:ind w:left="1040" w:hanging="404"/>
        <w:spacing w:after="0"/>
        <w:tabs>
          <w:tab w:leader="none" w:pos="1040" w:val="left"/>
        </w:tabs>
        <w:numPr>
          <w:ilvl w:val="0"/>
          <w:numId w:val="258"/>
        </w:numPr>
        <w:rPr>
          <w:rFonts w:ascii="Arial" w:cs="Arial" w:eastAsia="Arial" w:hAnsi="Arial"/>
          <w:sz w:val="13"/>
          <w:szCs w:val="13"/>
          <w:color w:val="auto"/>
        </w:rPr>
      </w:pPr>
      <w:r>
        <w:rPr>
          <w:rFonts w:ascii="Arial" w:cs="Arial" w:eastAsia="Arial" w:hAnsi="Arial"/>
          <w:sz w:val="13"/>
          <w:szCs w:val="13"/>
          <w:color w:val="auto"/>
        </w:rPr>
        <w:t>Financial Indebtedness incurred under the Transaction Documents;</w:t>
      </w:r>
    </w:p>
    <w:p>
      <w:pPr>
        <w:spacing w:after="0" w:line="75" w:lineRule="exact"/>
        <w:rPr>
          <w:rFonts w:ascii="Arial" w:cs="Arial" w:eastAsia="Arial" w:hAnsi="Arial"/>
          <w:sz w:val="13"/>
          <w:szCs w:val="13"/>
          <w:color w:val="auto"/>
        </w:rPr>
      </w:pPr>
    </w:p>
    <w:p>
      <w:pPr>
        <w:ind w:left="1020" w:hanging="384"/>
        <w:spacing w:after="0"/>
        <w:tabs>
          <w:tab w:leader="none" w:pos="1020" w:val="left"/>
        </w:tabs>
        <w:numPr>
          <w:ilvl w:val="0"/>
          <w:numId w:val="258"/>
        </w:numPr>
        <w:rPr>
          <w:rFonts w:ascii="Arial" w:cs="Arial" w:eastAsia="Arial" w:hAnsi="Arial"/>
          <w:sz w:val="13"/>
          <w:szCs w:val="13"/>
          <w:color w:val="auto"/>
        </w:rPr>
      </w:pPr>
      <w:r>
        <w:rPr>
          <w:rFonts w:ascii="Arial" w:cs="Arial" w:eastAsia="Arial" w:hAnsi="Arial"/>
          <w:sz w:val="13"/>
          <w:szCs w:val="13"/>
          <w:color w:val="auto"/>
        </w:rPr>
        <w:t>Financial Indebtedness owing from one Transaction Party to another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173990</wp:posOffset>
            </wp:positionV>
            <wp:extent cx="6208395"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208395" cy="42545"/>
                    </a:xfrm>
                    <a:prstGeom prst="rect">
                      <a:avLst/>
                    </a:prstGeom>
                    <a:noFill/>
                  </pic:spPr>
                </pic:pic>
              </a:graphicData>
            </a:graphic>
          </wp:anchor>
        </w:drawing>
      </w:r>
    </w:p>
    <w:p>
      <w:pPr>
        <w:sectPr>
          <w:pgSz w:w="11900" w:h="16838" w:orient="portrait"/>
          <w:cols w:equalWidth="0" w:num="1">
            <w:col w:w="9320"/>
          </w:cols>
          <w:pgMar w:left="1440" w:top="561" w:right="1139" w:bottom="1440" w:gutter="0" w:footer="0" w:header="0"/>
        </w:sectPr>
      </w:pPr>
    </w:p>
    <w:bookmarkStart w:id="236" w:name="page237"/>
    <w:bookmarkEnd w:id="236"/>
    <w:p>
      <w:pPr>
        <w:ind w:left="3140"/>
        <w:spacing w:after="0"/>
        <w:rPr>
          <w:sz w:val="20"/>
          <w:szCs w:val="20"/>
          <w:color w:val="auto"/>
        </w:rPr>
      </w:pPr>
      <w:r>
        <w:rPr>
          <w:rFonts w:ascii="Arial" w:cs="Arial" w:eastAsia="Arial" w:hAnsi="Arial"/>
          <w:sz w:val="13"/>
          <w:szCs w:val="13"/>
          <w:color w:val="auto"/>
        </w:rPr>
        <w:t>Transaction Party;</w:t>
      </w:r>
    </w:p>
    <w:p>
      <w:pPr>
        <w:spacing w:after="0" w:line="76" w:lineRule="exact"/>
        <w:rPr>
          <w:sz w:val="20"/>
          <w:szCs w:val="20"/>
          <w:color w:val="auto"/>
        </w:rPr>
      </w:pPr>
    </w:p>
    <w:p>
      <w:pPr>
        <w:ind w:left="1600" w:hanging="964"/>
        <w:spacing w:after="0"/>
        <w:tabs>
          <w:tab w:leader="none" w:pos="1600" w:val="left"/>
        </w:tabs>
        <w:numPr>
          <w:ilvl w:val="0"/>
          <w:numId w:val="259"/>
        </w:numPr>
        <w:rPr>
          <w:rFonts w:ascii="Arial" w:cs="Arial" w:eastAsia="Arial" w:hAnsi="Arial"/>
          <w:sz w:val="13"/>
          <w:szCs w:val="13"/>
          <w:color w:val="auto"/>
        </w:rPr>
      </w:pPr>
      <w:r>
        <w:rPr>
          <w:rFonts w:ascii="Arial" w:cs="Arial" w:eastAsia="Arial" w:hAnsi="Arial"/>
          <w:sz w:val="13"/>
          <w:szCs w:val="13"/>
          <w:color w:val="auto"/>
        </w:rPr>
        <w:t>any Subordinated Debt;</w:t>
      </w:r>
    </w:p>
    <w:p>
      <w:pPr>
        <w:spacing w:after="0" w:line="84" w:lineRule="exact"/>
        <w:rPr>
          <w:rFonts w:ascii="Arial" w:cs="Arial" w:eastAsia="Arial" w:hAnsi="Arial"/>
          <w:sz w:val="13"/>
          <w:szCs w:val="13"/>
          <w:color w:val="auto"/>
        </w:rPr>
      </w:pPr>
    </w:p>
    <w:p>
      <w:pPr>
        <w:ind w:left="1020" w:hanging="384"/>
        <w:spacing w:after="0"/>
        <w:tabs>
          <w:tab w:leader="none" w:pos="1020" w:val="left"/>
        </w:tabs>
        <w:numPr>
          <w:ilvl w:val="0"/>
          <w:numId w:val="259"/>
        </w:numPr>
        <w:rPr>
          <w:rFonts w:ascii="Arial" w:cs="Arial" w:eastAsia="Arial" w:hAnsi="Arial"/>
          <w:sz w:val="13"/>
          <w:szCs w:val="13"/>
          <w:color w:val="auto"/>
        </w:rPr>
      </w:pPr>
      <w:r>
        <w:rPr>
          <w:rFonts w:ascii="Arial" w:cs="Arial" w:eastAsia="Arial" w:hAnsi="Arial"/>
          <w:sz w:val="13"/>
          <w:szCs w:val="13"/>
          <w:color w:val="auto"/>
        </w:rPr>
        <w:t>a $225,000 loan from the landlord of the Westlakes Cinema property;</w:t>
      </w:r>
    </w:p>
    <w:p>
      <w:pPr>
        <w:spacing w:after="0" w:line="75" w:lineRule="exact"/>
        <w:rPr>
          <w:rFonts w:ascii="Arial" w:cs="Arial" w:eastAsia="Arial" w:hAnsi="Arial"/>
          <w:sz w:val="13"/>
          <w:szCs w:val="13"/>
          <w:color w:val="auto"/>
        </w:rPr>
      </w:pPr>
    </w:p>
    <w:p>
      <w:pPr>
        <w:ind w:left="960" w:hanging="324"/>
        <w:spacing w:after="0"/>
        <w:tabs>
          <w:tab w:leader="none" w:pos="960" w:val="left"/>
        </w:tabs>
        <w:numPr>
          <w:ilvl w:val="0"/>
          <w:numId w:val="259"/>
        </w:numPr>
        <w:rPr>
          <w:rFonts w:ascii="Arial" w:cs="Arial" w:eastAsia="Arial" w:hAnsi="Arial"/>
          <w:sz w:val="13"/>
          <w:szCs w:val="13"/>
          <w:color w:val="auto"/>
        </w:rPr>
      </w:pPr>
      <w:r>
        <w:rPr>
          <w:rFonts w:ascii="Arial" w:cs="Arial" w:eastAsia="Arial" w:hAnsi="Arial"/>
          <w:sz w:val="13"/>
          <w:szCs w:val="13"/>
          <w:color w:val="auto"/>
        </w:rPr>
        <w:t>a $400,000 loan from the landlord of the Rhodes Cinema property;</w:t>
      </w:r>
    </w:p>
    <w:p>
      <w:pPr>
        <w:spacing w:after="0" w:line="84" w:lineRule="exact"/>
        <w:rPr>
          <w:rFonts w:ascii="Arial" w:cs="Arial" w:eastAsia="Arial" w:hAnsi="Arial"/>
          <w:sz w:val="13"/>
          <w:szCs w:val="13"/>
          <w:color w:val="auto"/>
        </w:rPr>
      </w:pPr>
    </w:p>
    <w:p>
      <w:pPr>
        <w:ind w:left="1380" w:right="260" w:hanging="744"/>
        <w:spacing w:after="0" w:line="244" w:lineRule="auto"/>
        <w:tabs>
          <w:tab w:leader="none" w:pos="1380" w:val="left"/>
        </w:tabs>
        <w:numPr>
          <w:ilvl w:val="0"/>
          <w:numId w:val="259"/>
        </w:numPr>
        <w:rPr>
          <w:rFonts w:ascii="Arial" w:cs="Arial" w:eastAsia="Arial" w:hAnsi="Arial"/>
          <w:sz w:val="13"/>
          <w:szCs w:val="13"/>
          <w:color w:val="auto"/>
        </w:rPr>
      </w:pPr>
      <w:r>
        <w:rPr>
          <w:rFonts w:ascii="Arial" w:cs="Arial" w:eastAsia="Arial" w:hAnsi="Arial"/>
          <w:sz w:val="13"/>
          <w:szCs w:val="13"/>
          <w:color w:val="auto"/>
        </w:rPr>
        <w:t>Financial Indebtedness arising under any performance or similar bond guaranteeing performance by a Transaction Party under any contract entered into in the ordinary course of business;</w:t>
      </w:r>
    </w:p>
    <w:p>
      <w:pPr>
        <w:spacing w:after="0" w:line="56" w:lineRule="exact"/>
        <w:rPr>
          <w:rFonts w:ascii="Arial" w:cs="Arial" w:eastAsia="Arial" w:hAnsi="Arial"/>
          <w:sz w:val="13"/>
          <w:szCs w:val="13"/>
          <w:color w:val="auto"/>
        </w:rPr>
      </w:pPr>
    </w:p>
    <w:p>
      <w:pPr>
        <w:ind w:left="1300" w:hanging="664"/>
        <w:spacing w:after="0"/>
        <w:tabs>
          <w:tab w:leader="none" w:pos="1300" w:val="left"/>
        </w:tabs>
        <w:numPr>
          <w:ilvl w:val="0"/>
          <w:numId w:val="259"/>
        </w:numPr>
        <w:rPr>
          <w:rFonts w:ascii="Arial" w:cs="Arial" w:eastAsia="Arial" w:hAnsi="Arial"/>
          <w:sz w:val="13"/>
          <w:szCs w:val="13"/>
          <w:color w:val="auto"/>
        </w:rPr>
      </w:pPr>
      <w:r>
        <w:rPr>
          <w:rFonts w:ascii="Arial" w:cs="Arial" w:eastAsia="Arial" w:hAnsi="Arial"/>
          <w:sz w:val="13"/>
          <w:szCs w:val="13"/>
          <w:color w:val="auto"/>
        </w:rPr>
        <w:t>Financial Indebtedness arising under a guarantee given to a landlord in respect of a lease entered into by a Transaction Party;</w:t>
      </w:r>
    </w:p>
    <w:p>
      <w:pPr>
        <w:spacing w:after="0" w:line="57" w:lineRule="exact"/>
        <w:rPr>
          <w:rFonts w:ascii="Arial" w:cs="Arial" w:eastAsia="Arial" w:hAnsi="Arial"/>
          <w:sz w:val="13"/>
          <w:szCs w:val="13"/>
          <w:color w:val="auto"/>
        </w:rPr>
      </w:pPr>
    </w:p>
    <w:p>
      <w:pPr>
        <w:ind w:left="1060" w:hanging="424"/>
        <w:spacing w:after="0"/>
        <w:tabs>
          <w:tab w:leader="none" w:pos="1060" w:val="left"/>
        </w:tabs>
        <w:numPr>
          <w:ilvl w:val="0"/>
          <w:numId w:val="259"/>
        </w:numPr>
        <w:rPr>
          <w:rFonts w:ascii="Arial" w:cs="Arial" w:eastAsia="Arial" w:hAnsi="Arial"/>
          <w:sz w:val="13"/>
          <w:szCs w:val="13"/>
          <w:color w:val="auto"/>
        </w:rPr>
      </w:pPr>
      <w:r>
        <w:rPr>
          <w:rFonts w:ascii="Arial" w:cs="Arial" w:eastAsia="Arial" w:hAnsi="Arial"/>
          <w:sz w:val="13"/>
          <w:szCs w:val="13"/>
          <w:color w:val="auto"/>
        </w:rPr>
        <w:t>Financial Indebtedness under finance or capital leases of vehicles, plant, equipment or computers existing at the date of this document; and</w:t>
      </w:r>
    </w:p>
    <w:p>
      <w:pPr>
        <w:spacing w:after="0" w:line="66" w:lineRule="exact"/>
        <w:rPr>
          <w:rFonts w:ascii="Arial" w:cs="Arial" w:eastAsia="Arial" w:hAnsi="Arial"/>
          <w:sz w:val="13"/>
          <w:szCs w:val="13"/>
          <w:color w:val="auto"/>
        </w:rPr>
      </w:pPr>
    </w:p>
    <w:p>
      <w:pPr>
        <w:ind w:left="1200" w:hanging="564"/>
        <w:spacing w:after="0" w:line="244" w:lineRule="auto"/>
        <w:tabs>
          <w:tab w:leader="none" w:pos="1200" w:val="left"/>
        </w:tabs>
        <w:numPr>
          <w:ilvl w:val="0"/>
          <w:numId w:val="259"/>
        </w:numPr>
        <w:rPr>
          <w:rFonts w:ascii="Arial" w:cs="Arial" w:eastAsia="Arial" w:hAnsi="Arial"/>
          <w:sz w:val="13"/>
          <w:szCs w:val="13"/>
          <w:color w:val="auto"/>
        </w:rPr>
      </w:pPr>
      <w:r>
        <w:rPr>
          <w:rFonts w:ascii="Arial" w:cs="Arial" w:eastAsia="Arial" w:hAnsi="Arial"/>
          <w:sz w:val="13"/>
          <w:szCs w:val="13"/>
          <w:color w:val="auto"/>
        </w:rPr>
        <w:t>Financial Indebtedness not permitted by the preceding paragraphs and the outstanding principal amount of which does not exceed $500,000 in aggregate for the Transaction Parties at any time.</w:t>
      </w:r>
    </w:p>
    <w:p>
      <w:pPr>
        <w:spacing w:after="0" w:line="46"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auto"/>
        </w:rPr>
        <w:t xml:space="preserve">PPS Act </w:t>
      </w:r>
      <w:r>
        <w:rPr>
          <w:rFonts w:ascii="Arial" w:cs="Arial" w:eastAsia="Arial" w:hAnsi="Arial"/>
          <w:sz w:val="13"/>
          <w:szCs w:val="13"/>
          <w:color w:val="auto"/>
        </w:rPr>
        <w:t>means the</w:t>
      </w:r>
      <w:r>
        <w:rPr>
          <w:rFonts w:ascii="Arial" w:cs="Arial" w:eastAsia="Arial" w:hAnsi="Arial"/>
          <w:sz w:val="13"/>
          <w:szCs w:val="13"/>
          <w:b w:val="1"/>
          <w:bCs w:val="1"/>
          <w:color w:val="auto"/>
        </w:rPr>
        <w:t xml:space="preserve"> </w:t>
      </w:r>
      <w:r>
        <w:rPr>
          <w:rFonts w:ascii="Arial" w:cs="Arial" w:eastAsia="Arial" w:hAnsi="Arial"/>
          <w:sz w:val="13"/>
          <w:szCs w:val="13"/>
          <w:i w:val="1"/>
          <w:iCs w:val="1"/>
          <w:color w:val="auto"/>
        </w:rPr>
        <w:t>Personal Property Securities Act 2009 (Cth)</w:t>
      </w:r>
      <w:r>
        <w:rPr>
          <w:rFonts w:ascii="Arial" w:cs="Arial" w:eastAsia="Arial" w:hAnsi="Arial"/>
          <w:sz w:val="13"/>
          <w:szCs w:val="13"/>
          <w:color w:val="auto"/>
        </w:rPr>
        <w:t>.</w:t>
      </w:r>
    </w:p>
    <w:p>
      <w:pPr>
        <w:spacing w:after="0" w:line="70" w:lineRule="exact"/>
        <w:rPr>
          <w:sz w:val="20"/>
          <w:szCs w:val="20"/>
          <w:color w:val="auto"/>
        </w:rPr>
      </w:pPr>
    </w:p>
    <w:p>
      <w:pPr>
        <w:ind w:left="640" w:right="160"/>
        <w:spacing w:after="0" w:line="269" w:lineRule="auto"/>
        <w:rPr>
          <w:sz w:val="20"/>
          <w:szCs w:val="20"/>
          <w:color w:val="auto"/>
        </w:rPr>
      </w:pPr>
      <w:r>
        <w:rPr>
          <w:rFonts w:ascii="Arial" w:cs="Arial" w:eastAsia="Arial" w:hAnsi="Arial"/>
          <w:sz w:val="13"/>
          <w:szCs w:val="13"/>
          <w:b w:val="1"/>
          <w:bCs w:val="1"/>
          <w:color w:val="auto"/>
        </w:rPr>
        <w:t xml:space="preserve">PPS property </w:t>
      </w:r>
      <w:r>
        <w:rPr>
          <w:rFonts w:ascii="Arial" w:cs="Arial" w:eastAsia="Arial" w:hAnsi="Arial"/>
          <w:sz w:val="13"/>
          <w:szCs w:val="13"/>
          <w:color w:val="auto"/>
        </w:rPr>
        <w:t>means all property (other than Excluded Property) over which the Borrower or a Security Provider is legally capable under the PPS</w:t>
      </w:r>
      <w:r>
        <w:rPr>
          <w:rFonts w:ascii="Arial" w:cs="Arial" w:eastAsia="Arial" w:hAnsi="Arial"/>
          <w:sz w:val="13"/>
          <w:szCs w:val="13"/>
          <w:b w:val="1"/>
          <w:bCs w:val="1"/>
          <w:color w:val="auto"/>
        </w:rPr>
        <w:t xml:space="preserve"> </w:t>
      </w:r>
      <w:r>
        <w:rPr>
          <w:rFonts w:ascii="Arial" w:cs="Arial" w:eastAsia="Arial" w:hAnsi="Arial"/>
          <w:sz w:val="13"/>
          <w:szCs w:val="13"/>
          <w:color w:val="auto"/>
        </w:rPr>
        <w:t>Act of granting a security interest.</w:t>
      </w:r>
    </w:p>
    <w:p>
      <w:pPr>
        <w:spacing w:after="0" w:line="25" w:lineRule="exact"/>
        <w:rPr>
          <w:sz w:val="20"/>
          <w:szCs w:val="20"/>
          <w:color w:val="auto"/>
        </w:rPr>
      </w:pPr>
    </w:p>
    <w:p>
      <w:pPr>
        <w:ind w:left="640" w:right="80"/>
        <w:spacing w:after="0" w:line="269" w:lineRule="auto"/>
        <w:rPr>
          <w:sz w:val="20"/>
          <w:szCs w:val="20"/>
          <w:color w:val="auto"/>
        </w:rPr>
      </w:pPr>
      <w:r>
        <w:rPr>
          <w:rFonts w:ascii="Arial" w:cs="Arial" w:eastAsia="Arial" w:hAnsi="Arial"/>
          <w:sz w:val="13"/>
          <w:szCs w:val="13"/>
          <w:b w:val="1"/>
          <w:bCs w:val="1"/>
          <w:color w:val="auto"/>
        </w:rPr>
        <w:t xml:space="preserve">Potential Event of Default </w:t>
      </w:r>
      <w:r>
        <w:rPr>
          <w:rFonts w:ascii="Arial" w:cs="Arial" w:eastAsia="Arial" w:hAnsi="Arial"/>
          <w:sz w:val="13"/>
          <w:szCs w:val="13"/>
          <w:color w:val="auto"/>
        </w:rPr>
        <w:t>means any thing which, with the giving of notice, lapse of time or determination of materiality, will constitute an Event of</w:t>
      </w:r>
      <w:r>
        <w:rPr>
          <w:rFonts w:ascii="Arial" w:cs="Arial" w:eastAsia="Arial" w:hAnsi="Arial"/>
          <w:sz w:val="13"/>
          <w:szCs w:val="13"/>
          <w:b w:val="1"/>
          <w:bCs w:val="1"/>
          <w:color w:val="auto"/>
        </w:rPr>
        <w:t xml:space="preserve"> </w:t>
      </w:r>
      <w:r>
        <w:rPr>
          <w:rFonts w:ascii="Arial" w:cs="Arial" w:eastAsia="Arial" w:hAnsi="Arial"/>
          <w:sz w:val="13"/>
          <w:szCs w:val="13"/>
          <w:color w:val="auto"/>
        </w:rPr>
        <w:t>Default.</w:t>
      </w:r>
    </w:p>
    <w:p>
      <w:pPr>
        <w:spacing w:after="0" w:line="34" w:lineRule="exact"/>
        <w:rPr>
          <w:sz w:val="20"/>
          <w:szCs w:val="20"/>
          <w:color w:val="auto"/>
        </w:rPr>
      </w:pPr>
    </w:p>
    <w:p>
      <w:pPr>
        <w:ind w:left="640" w:right="100"/>
        <w:spacing w:after="0" w:line="269" w:lineRule="auto"/>
        <w:rPr>
          <w:sz w:val="20"/>
          <w:szCs w:val="20"/>
          <w:color w:val="auto"/>
        </w:rPr>
      </w:pPr>
      <w:r>
        <w:rPr>
          <w:rFonts w:ascii="Arial" w:cs="Arial" w:eastAsia="Arial" w:hAnsi="Arial"/>
          <w:sz w:val="13"/>
          <w:szCs w:val="13"/>
          <w:b w:val="1"/>
          <w:bCs w:val="1"/>
          <w:color w:val="auto"/>
        </w:rPr>
        <w:t xml:space="preserve">Pricing Period </w:t>
      </w:r>
      <w:r>
        <w:rPr>
          <w:rFonts w:ascii="Arial" w:cs="Arial" w:eastAsia="Arial" w:hAnsi="Arial"/>
          <w:sz w:val="13"/>
          <w:szCs w:val="13"/>
          <w:color w:val="auto"/>
        </w:rPr>
        <w:t>means, in relation to an Advance under the Corporate Markets Loan Facility, the period having the duration selected in accordance</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with </w:t>
      </w:r>
      <w:r>
        <w:rPr>
          <w:rFonts w:ascii="Arial" w:cs="Arial" w:eastAsia="Arial" w:hAnsi="Arial"/>
          <w:sz w:val="13"/>
          <w:szCs w:val="13"/>
          <w:b w:val="1"/>
          <w:bCs w:val="1"/>
          <w:color w:val="auto"/>
        </w:rPr>
        <w:t>clause 6.1</w:t>
      </w:r>
      <w:r>
        <w:rPr>
          <w:rFonts w:ascii="Arial" w:cs="Arial" w:eastAsia="Arial" w:hAnsi="Arial"/>
          <w:sz w:val="13"/>
          <w:szCs w:val="13"/>
          <w:color w:val="auto"/>
        </w:rPr>
        <w:t xml:space="preserve"> and beginning on the Funding Date in relation to the Advance.</w:t>
      </w:r>
    </w:p>
    <w:p>
      <w:pPr>
        <w:spacing w:after="0" w:line="16"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auto"/>
        </w:rPr>
        <w:t xml:space="preserve">Quarter </w:t>
      </w:r>
      <w:r>
        <w:rPr>
          <w:rFonts w:ascii="Arial" w:cs="Arial" w:eastAsia="Arial" w:hAnsi="Arial"/>
          <w:sz w:val="13"/>
          <w:szCs w:val="13"/>
          <w:color w:val="auto"/>
        </w:rPr>
        <w:t>means each three month period ending on 31 March, 30 June, 30 September and 31 December in each year.</w:t>
      </w:r>
    </w:p>
    <w:p>
      <w:pPr>
        <w:spacing w:after="0" w:line="63" w:lineRule="exact"/>
        <w:rPr>
          <w:sz w:val="20"/>
          <w:szCs w:val="20"/>
          <w:color w:val="auto"/>
        </w:rPr>
      </w:pPr>
    </w:p>
    <w:p>
      <w:pPr>
        <w:ind w:left="640" w:right="180"/>
        <w:spacing w:after="0" w:line="236" w:lineRule="auto"/>
        <w:rPr>
          <w:sz w:val="20"/>
          <w:szCs w:val="20"/>
          <w:color w:val="auto"/>
        </w:rPr>
      </w:pPr>
      <w:r>
        <w:rPr>
          <w:rFonts w:ascii="Arial" w:cs="Arial" w:eastAsia="Arial" w:hAnsi="Arial"/>
          <w:sz w:val="13"/>
          <w:szCs w:val="13"/>
          <w:b w:val="1"/>
          <w:bCs w:val="1"/>
          <w:color w:val="auto"/>
        </w:rPr>
        <w:t xml:space="preserve">Reading Entertainment Australia Group </w:t>
      </w:r>
      <w:r>
        <w:rPr>
          <w:rFonts w:ascii="Arial" w:cs="Arial" w:eastAsia="Arial" w:hAnsi="Arial"/>
          <w:sz w:val="13"/>
          <w:szCs w:val="13"/>
          <w:color w:val="auto"/>
        </w:rPr>
        <w:t>means, at any time, the Borrower and any subsidiary of the Borrower and</w:t>
      </w:r>
      <w:r>
        <w:rPr>
          <w:rFonts w:ascii="Arial" w:cs="Arial" w:eastAsia="Arial" w:hAnsi="Arial"/>
          <w:sz w:val="13"/>
          <w:szCs w:val="13"/>
          <w:b w:val="1"/>
          <w:bCs w:val="1"/>
          <w:color w:val="auto"/>
        </w:rPr>
        <w:t xml:space="preserve"> Reading Entertainment Australia Group Member </w:t>
      </w:r>
      <w:r>
        <w:rPr>
          <w:rFonts w:ascii="Arial" w:cs="Arial" w:eastAsia="Arial" w:hAnsi="Arial"/>
          <w:sz w:val="13"/>
          <w:szCs w:val="13"/>
          <w:color w:val="auto"/>
        </w:rPr>
        <w:t>means any one of them.</w:t>
      </w:r>
    </w:p>
    <w:p>
      <w:pPr>
        <w:spacing w:after="0" w:line="39"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auto"/>
        </w:rPr>
        <w:t xml:space="preserve">Release Date </w:t>
      </w:r>
      <w:r>
        <w:rPr>
          <w:rFonts w:ascii="Arial" w:cs="Arial" w:eastAsia="Arial" w:hAnsi="Arial"/>
          <w:sz w:val="13"/>
          <w:szCs w:val="13"/>
          <w:color w:val="auto"/>
        </w:rPr>
        <w:t>means the Business Day following the later of:</w:t>
      </w:r>
    </w:p>
    <w:p>
      <w:pPr>
        <w:spacing w:after="0" w:line="86" w:lineRule="exact"/>
        <w:rPr>
          <w:sz w:val="20"/>
          <w:szCs w:val="20"/>
          <w:color w:val="auto"/>
        </w:rPr>
      </w:pPr>
    </w:p>
    <w:p>
      <w:pPr>
        <w:ind w:left="1040" w:hanging="404"/>
        <w:spacing w:after="0"/>
        <w:tabs>
          <w:tab w:leader="none" w:pos="1040" w:val="left"/>
        </w:tabs>
        <w:numPr>
          <w:ilvl w:val="0"/>
          <w:numId w:val="260"/>
        </w:numPr>
        <w:rPr>
          <w:rFonts w:ascii="Arial" w:cs="Arial" w:eastAsia="Arial" w:hAnsi="Arial"/>
          <w:sz w:val="13"/>
          <w:szCs w:val="13"/>
          <w:color w:val="auto"/>
        </w:rPr>
      </w:pPr>
      <w:r>
        <w:rPr>
          <w:rFonts w:ascii="Arial" w:cs="Arial" w:eastAsia="Arial" w:hAnsi="Arial"/>
          <w:sz w:val="13"/>
          <w:szCs w:val="13"/>
          <w:color w:val="auto"/>
        </w:rPr>
        <w:t>the latest of the Expiry Dates of all Current Bank Guarantees; and</w:t>
      </w:r>
    </w:p>
    <w:p>
      <w:pPr>
        <w:spacing w:after="0" w:line="84" w:lineRule="exact"/>
        <w:rPr>
          <w:rFonts w:ascii="Arial" w:cs="Arial" w:eastAsia="Arial" w:hAnsi="Arial"/>
          <w:sz w:val="13"/>
          <w:szCs w:val="13"/>
          <w:color w:val="auto"/>
        </w:rPr>
      </w:pPr>
    </w:p>
    <w:p>
      <w:pPr>
        <w:jc w:val="both"/>
        <w:ind w:left="1340" w:right="240" w:hanging="704"/>
        <w:spacing w:after="0" w:line="236" w:lineRule="auto"/>
        <w:tabs>
          <w:tab w:leader="none" w:pos="1340" w:val="left"/>
        </w:tabs>
        <w:numPr>
          <w:ilvl w:val="0"/>
          <w:numId w:val="260"/>
        </w:numPr>
        <w:rPr>
          <w:rFonts w:ascii="Arial" w:cs="Arial" w:eastAsia="Arial" w:hAnsi="Arial"/>
          <w:sz w:val="13"/>
          <w:szCs w:val="13"/>
          <w:color w:val="auto"/>
        </w:rPr>
      </w:pPr>
      <w:r>
        <w:rPr>
          <w:rFonts w:ascii="Arial" w:cs="Arial" w:eastAsia="Arial" w:hAnsi="Arial"/>
          <w:sz w:val="13"/>
          <w:szCs w:val="13"/>
          <w:color w:val="auto"/>
        </w:rPr>
        <w:t>the date on which the Bank is satisfied in its reasonable opinion that it has been paid all amounts which are then or may in the future become due and payable to the Bank under any of the Transaction Documents and that there is no prospect that any amounts which the Bank has received in relation to any of the Transaction Documents will subsequently be made void or be required to be repaid in whole or in part.</w:t>
      </w:r>
    </w:p>
    <w:p>
      <w:pPr>
        <w:spacing w:after="0" w:line="50"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auto"/>
        </w:rPr>
        <w:t xml:space="preserve">Relevant Jurisdiction </w:t>
      </w:r>
      <w:r>
        <w:rPr>
          <w:rFonts w:ascii="Arial" w:cs="Arial" w:eastAsia="Arial" w:hAnsi="Arial"/>
          <w:sz w:val="13"/>
          <w:szCs w:val="13"/>
          <w:color w:val="auto"/>
        </w:rPr>
        <w:t>means Victoria.</w:t>
      </w:r>
    </w:p>
    <w:p>
      <w:pPr>
        <w:spacing w:after="0" w:line="70" w:lineRule="exact"/>
        <w:rPr>
          <w:sz w:val="20"/>
          <w:szCs w:val="20"/>
          <w:color w:val="auto"/>
        </w:rPr>
      </w:pPr>
    </w:p>
    <w:p>
      <w:pPr>
        <w:ind w:left="640" w:right="160"/>
        <w:spacing w:after="0" w:line="269" w:lineRule="auto"/>
        <w:rPr>
          <w:sz w:val="20"/>
          <w:szCs w:val="20"/>
          <w:color w:val="auto"/>
        </w:rPr>
      </w:pPr>
      <w:r>
        <w:rPr>
          <w:rFonts w:ascii="Arial" w:cs="Arial" w:eastAsia="Arial" w:hAnsi="Arial"/>
          <w:sz w:val="13"/>
          <w:szCs w:val="13"/>
          <w:b w:val="1"/>
          <w:bCs w:val="1"/>
          <w:color w:val="auto"/>
        </w:rPr>
        <w:t xml:space="preserve">Receiver </w:t>
      </w:r>
      <w:r>
        <w:rPr>
          <w:rFonts w:ascii="Arial" w:cs="Arial" w:eastAsia="Arial" w:hAnsi="Arial"/>
          <w:sz w:val="13"/>
          <w:szCs w:val="13"/>
          <w:color w:val="auto"/>
        </w:rPr>
        <w:t>means a receiver or receiver and manager appointed by the Bank under any Transaction Document and any person who derives a right</w:t>
      </w:r>
      <w:r>
        <w:rPr>
          <w:rFonts w:ascii="Arial" w:cs="Arial" w:eastAsia="Arial" w:hAnsi="Arial"/>
          <w:sz w:val="13"/>
          <w:szCs w:val="13"/>
          <w:b w:val="1"/>
          <w:bCs w:val="1"/>
          <w:color w:val="auto"/>
        </w:rPr>
        <w:t xml:space="preserve"> </w:t>
      </w:r>
      <w:r>
        <w:rPr>
          <w:rFonts w:ascii="Arial" w:cs="Arial" w:eastAsia="Arial" w:hAnsi="Arial"/>
          <w:sz w:val="13"/>
          <w:szCs w:val="13"/>
          <w:color w:val="auto"/>
        </w:rPr>
        <w:t>directly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152400</wp:posOffset>
            </wp:positionV>
            <wp:extent cx="6208395"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208395" cy="42545"/>
                    </a:xfrm>
                    <a:prstGeom prst="rect">
                      <a:avLst/>
                    </a:prstGeom>
                    <a:noFill/>
                  </pic:spPr>
                </pic:pic>
              </a:graphicData>
            </a:graphic>
          </wp:anchor>
        </w:drawing>
      </w:r>
    </w:p>
    <w:p>
      <w:pPr>
        <w:sectPr>
          <w:pgSz w:w="11900" w:h="16838" w:orient="portrait"/>
          <w:cols w:equalWidth="0" w:num="1">
            <w:col w:w="9300"/>
          </w:cols>
          <w:pgMar w:left="1440" w:top="561" w:right="1159" w:bottom="1440" w:gutter="0" w:footer="0" w:header="0"/>
        </w:sectPr>
      </w:pPr>
    </w:p>
    <w:bookmarkStart w:id="237" w:name="page238"/>
    <w:bookmarkEnd w:id="237"/>
    <w:p>
      <w:pPr>
        <w:ind w:left="640"/>
        <w:spacing w:after="0"/>
        <w:rPr>
          <w:sz w:val="20"/>
          <w:szCs w:val="20"/>
          <w:color w:val="auto"/>
        </w:rPr>
      </w:pPr>
      <w:r>
        <w:rPr>
          <w:rFonts w:ascii="Arial" w:cs="Arial" w:eastAsia="Arial" w:hAnsi="Arial"/>
          <w:sz w:val="13"/>
          <w:szCs w:val="13"/>
          <w:color w:val="auto"/>
        </w:rPr>
        <w:t>or indirectly from a Receiver.</w:t>
      </w:r>
    </w:p>
    <w:p>
      <w:pPr>
        <w:spacing w:after="0" w:line="60" w:lineRule="exact"/>
        <w:rPr>
          <w:sz w:val="20"/>
          <w:szCs w:val="20"/>
          <w:color w:val="auto"/>
        </w:rPr>
      </w:pPr>
    </w:p>
    <w:p>
      <w:pPr>
        <w:ind w:left="640" w:right="400"/>
        <w:spacing w:after="0" w:line="269" w:lineRule="auto"/>
        <w:rPr>
          <w:sz w:val="20"/>
          <w:szCs w:val="20"/>
          <w:color w:val="auto"/>
        </w:rPr>
      </w:pPr>
      <w:r>
        <w:rPr>
          <w:rFonts w:ascii="Arial" w:cs="Arial" w:eastAsia="Arial" w:hAnsi="Arial"/>
          <w:sz w:val="13"/>
          <w:szCs w:val="13"/>
          <w:b w:val="1"/>
          <w:bCs w:val="1"/>
          <w:color w:val="auto"/>
        </w:rPr>
        <w:t xml:space="preserve">Reference Banks </w:t>
      </w:r>
      <w:r>
        <w:rPr>
          <w:rFonts w:ascii="Arial" w:cs="Arial" w:eastAsia="Arial" w:hAnsi="Arial"/>
          <w:sz w:val="13"/>
          <w:szCs w:val="13"/>
          <w:color w:val="auto"/>
        </w:rPr>
        <w:t>means each of Australia and New Zealand Banking Group Limited, Commonwealth Bank of Australia and Westpac Banking</w:t>
      </w:r>
      <w:r>
        <w:rPr>
          <w:rFonts w:ascii="Arial" w:cs="Arial" w:eastAsia="Arial" w:hAnsi="Arial"/>
          <w:sz w:val="13"/>
          <w:szCs w:val="13"/>
          <w:b w:val="1"/>
          <w:bCs w:val="1"/>
          <w:color w:val="auto"/>
        </w:rPr>
        <w:t xml:space="preserve"> </w:t>
      </w:r>
      <w:r>
        <w:rPr>
          <w:rFonts w:ascii="Arial" w:cs="Arial" w:eastAsia="Arial" w:hAnsi="Arial"/>
          <w:sz w:val="13"/>
          <w:szCs w:val="13"/>
          <w:color w:val="auto"/>
        </w:rPr>
        <w:t>Corporation, or any other banks or financial institutions determined by the Bank from time to time following consultation with the Borrower.</w:t>
      </w:r>
    </w:p>
    <w:p>
      <w:pPr>
        <w:spacing w:after="0" w:line="31"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auto"/>
        </w:rPr>
        <w:t xml:space="preserve">Regulatory Event </w:t>
      </w:r>
      <w:r>
        <w:rPr>
          <w:rFonts w:ascii="Arial" w:cs="Arial" w:eastAsia="Arial" w:hAnsi="Arial"/>
          <w:sz w:val="13"/>
          <w:szCs w:val="13"/>
          <w:color w:val="auto"/>
        </w:rPr>
        <w:t>means any:</w:t>
      </w:r>
    </w:p>
    <w:p>
      <w:pPr>
        <w:spacing w:after="0" w:line="86" w:lineRule="exact"/>
        <w:rPr>
          <w:sz w:val="20"/>
          <w:szCs w:val="20"/>
          <w:color w:val="auto"/>
        </w:rPr>
      </w:pPr>
    </w:p>
    <w:p>
      <w:pPr>
        <w:ind w:left="1040" w:hanging="404"/>
        <w:spacing w:after="0"/>
        <w:tabs>
          <w:tab w:leader="none" w:pos="1040" w:val="left"/>
        </w:tabs>
        <w:numPr>
          <w:ilvl w:val="0"/>
          <w:numId w:val="261"/>
        </w:numPr>
        <w:rPr>
          <w:rFonts w:ascii="Arial" w:cs="Arial" w:eastAsia="Arial" w:hAnsi="Arial"/>
          <w:sz w:val="13"/>
          <w:szCs w:val="13"/>
          <w:color w:val="auto"/>
        </w:rPr>
      </w:pPr>
      <w:r>
        <w:rPr>
          <w:rFonts w:ascii="Arial" w:cs="Arial" w:eastAsia="Arial" w:hAnsi="Arial"/>
          <w:sz w:val="13"/>
          <w:szCs w:val="13"/>
          <w:color w:val="auto"/>
        </w:rPr>
        <w:t>change in, or introduction of a new, law or other form of regulation;</w:t>
      </w:r>
    </w:p>
    <w:p>
      <w:pPr>
        <w:spacing w:after="0" w:line="84" w:lineRule="exact"/>
        <w:rPr>
          <w:rFonts w:ascii="Arial" w:cs="Arial" w:eastAsia="Arial" w:hAnsi="Arial"/>
          <w:sz w:val="13"/>
          <w:szCs w:val="13"/>
          <w:color w:val="auto"/>
        </w:rPr>
      </w:pPr>
    </w:p>
    <w:p>
      <w:pPr>
        <w:ind w:left="1580" w:hanging="944"/>
        <w:spacing w:after="0"/>
        <w:tabs>
          <w:tab w:leader="none" w:pos="1580" w:val="left"/>
        </w:tabs>
        <w:numPr>
          <w:ilvl w:val="0"/>
          <w:numId w:val="261"/>
        </w:numPr>
        <w:rPr>
          <w:rFonts w:ascii="Arial" w:cs="Arial" w:eastAsia="Arial" w:hAnsi="Arial"/>
          <w:sz w:val="13"/>
          <w:szCs w:val="13"/>
          <w:color w:val="auto"/>
        </w:rPr>
      </w:pPr>
      <w:r>
        <w:rPr>
          <w:rFonts w:ascii="Arial" w:cs="Arial" w:eastAsia="Arial" w:hAnsi="Arial"/>
          <w:sz w:val="13"/>
          <w:szCs w:val="13"/>
          <w:color w:val="auto"/>
        </w:rPr>
        <w:t>change in, or introduction of a new, practice or policy of an Government Body;</w:t>
      </w:r>
    </w:p>
    <w:p>
      <w:pPr>
        <w:spacing w:after="0" w:line="54" w:lineRule="exact"/>
        <w:rPr>
          <w:sz w:val="20"/>
          <w:szCs w:val="20"/>
          <w:color w:val="auto"/>
        </w:rPr>
      </w:pPr>
    </w:p>
    <w:p>
      <w:pPr>
        <w:ind w:left="640"/>
        <w:spacing w:after="0"/>
        <w:tabs>
          <w:tab w:leader="none" w:pos="2340" w:val="left"/>
        </w:tabs>
        <w:rPr>
          <w:sz w:val="20"/>
          <w:szCs w:val="20"/>
          <w:color w:val="auto"/>
        </w:rPr>
      </w:pPr>
      <w:r>
        <w:rPr>
          <w:rFonts w:ascii="Arial" w:cs="Arial" w:eastAsia="Arial" w:hAnsi="Arial"/>
          <w:sz w:val="13"/>
          <w:szCs w:val="13"/>
          <w:color w:val="auto"/>
        </w:rPr>
        <w:t>(c)</w:t>
      </w:r>
      <w:r>
        <w:rPr>
          <w:sz w:val="20"/>
          <w:szCs w:val="20"/>
          <w:color w:val="auto"/>
        </w:rPr>
        <w:tab/>
      </w:r>
      <w:r>
        <w:rPr>
          <w:rFonts w:ascii="Arial" w:cs="Arial" w:eastAsia="Arial" w:hAnsi="Arial"/>
          <w:sz w:val="13"/>
          <w:szCs w:val="13"/>
          <w:color w:val="auto"/>
        </w:rPr>
        <w:t>investigation into a Transaction Party or any related entity of a Transaction Party by a Government Body;</w:t>
      </w:r>
    </w:p>
    <w:p>
      <w:pPr>
        <w:spacing w:after="0" w:line="70" w:lineRule="exact"/>
        <w:rPr>
          <w:sz w:val="20"/>
          <w:szCs w:val="20"/>
          <w:color w:val="auto"/>
        </w:rPr>
      </w:pPr>
    </w:p>
    <w:p>
      <w:pPr>
        <w:ind w:left="2040" w:right="460" w:hanging="1404"/>
        <w:spacing w:after="0" w:line="244" w:lineRule="auto"/>
        <w:tabs>
          <w:tab w:leader="none" w:pos="2040" w:val="left"/>
        </w:tabs>
        <w:numPr>
          <w:ilvl w:val="0"/>
          <w:numId w:val="262"/>
        </w:numPr>
        <w:rPr>
          <w:rFonts w:ascii="Arial" w:cs="Arial" w:eastAsia="Arial" w:hAnsi="Arial"/>
          <w:sz w:val="13"/>
          <w:szCs w:val="13"/>
          <w:color w:val="auto"/>
        </w:rPr>
      </w:pPr>
      <w:r>
        <w:rPr>
          <w:rFonts w:ascii="Arial" w:cs="Arial" w:eastAsia="Arial" w:hAnsi="Arial"/>
          <w:sz w:val="13"/>
          <w:szCs w:val="13"/>
          <w:color w:val="auto"/>
        </w:rPr>
        <w:t>application for or grant of an injunction or order in respect of any Encumbrance, Facility or account held with the Bank made by a Government Body, or</w:t>
      </w:r>
    </w:p>
    <w:p>
      <w:pPr>
        <w:spacing w:after="0" w:line="56" w:lineRule="exact"/>
        <w:rPr>
          <w:rFonts w:ascii="Arial" w:cs="Arial" w:eastAsia="Arial" w:hAnsi="Arial"/>
          <w:sz w:val="13"/>
          <w:szCs w:val="13"/>
          <w:color w:val="auto"/>
        </w:rPr>
      </w:pPr>
    </w:p>
    <w:p>
      <w:pPr>
        <w:ind w:left="1060" w:hanging="424"/>
        <w:spacing w:after="0" w:line="244" w:lineRule="auto"/>
        <w:tabs>
          <w:tab w:leader="none" w:pos="1060" w:val="left"/>
        </w:tabs>
        <w:numPr>
          <w:ilvl w:val="0"/>
          <w:numId w:val="262"/>
        </w:numPr>
        <w:rPr>
          <w:rFonts w:ascii="Arial" w:cs="Arial" w:eastAsia="Arial" w:hAnsi="Arial"/>
          <w:sz w:val="13"/>
          <w:szCs w:val="13"/>
          <w:color w:val="auto"/>
        </w:rPr>
      </w:pPr>
      <w:r>
        <w:rPr>
          <w:rFonts w:ascii="Arial" w:cs="Arial" w:eastAsia="Arial" w:hAnsi="Arial"/>
          <w:sz w:val="13"/>
          <w:szCs w:val="13"/>
          <w:color w:val="auto"/>
        </w:rPr>
        <w:t>change in, or introduction of a new, code of practice or custom relating to the provision of the Services which a reasonable and prudent banker would comply with,</w:t>
      </w:r>
    </w:p>
    <w:p>
      <w:pPr>
        <w:spacing w:after="0" w:line="56" w:lineRule="exact"/>
        <w:rPr>
          <w:sz w:val="20"/>
          <w:szCs w:val="20"/>
          <w:color w:val="auto"/>
        </w:rPr>
      </w:pPr>
    </w:p>
    <w:p>
      <w:pPr>
        <w:ind w:left="640"/>
        <w:spacing w:after="0"/>
        <w:rPr>
          <w:sz w:val="20"/>
          <w:szCs w:val="20"/>
          <w:color w:val="auto"/>
        </w:rPr>
      </w:pPr>
      <w:r>
        <w:rPr>
          <w:rFonts w:ascii="Arial" w:cs="Arial" w:eastAsia="Arial" w:hAnsi="Arial"/>
          <w:sz w:val="13"/>
          <w:szCs w:val="13"/>
          <w:color w:val="auto"/>
        </w:rPr>
        <w:t>whether in Australia or elsewhere, that, in the Bank’s good faith opinion, applies in any way to a Transaction Party, or the Service.</w:t>
      </w:r>
    </w:p>
    <w:p>
      <w:pPr>
        <w:spacing w:after="0" w:line="42"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auto"/>
        </w:rPr>
        <w:t xml:space="preserve">Representative </w:t>
      </w:r>
      <w:r>
        <w:rPr>
          <w:rFonts w:ascii="Arial" w:cs="Arial" w:eastAsia="Arial" w:hAnsi="Arial"/>
          <w:sz w:val="13"/>
          <w:szCs w:val="13"/>
          <w:color w:val="auto"/>
        </w:rPr>
        <w:t>of a person means an officer, employee, contractor or agent of that person.</w:t>
      </w:r>
    </w:p>
    <w:p>
      <w:pPr>
        <w:spacing w:after="0" w:line="67" w:lineRule="exact"/>
        <w:rPr>
          <w:sz w:val="20"/>
          <w:szCs w:val="20"/>
          <w:color w:val="auto"/>
        </w:rPr>
      </w:pPr>
    </w:p>
    <w:p>
      <w:pPr>
        <w:jc w:val="both"/>
        <w:ind w:left="640" w:right="160"/>
        <w:spacing w:after="0" w:line="315" w:lineRule="auto"/>
        <w:rPr>
          <w:sz w:val="20"/>
          <w:szCs w:val="20"/>
          <w:color w:val="auto"/>
        </w:rPr>
      </w:pPr>
      <w:r>
        <w:rPr>
          <w:rFonts w:ascii="Arial" w:cs="Arial" w:eastAsia="Arial" w:hAnsi="Arial"/>
          <w:sz w:val="13"/>
          <w:szCs w:val="13"/>
          <w:b w:val="1"/>
          <w:bCs w:val="1"/>
          <w:color w:val="auto"/>
        </w:rPr>
        <w:t xml:space="preserve">Restatement Deed </w:t>
      </w:r>
      <w:r>
        <w:rPr>
          <w:rFonts w:ascii="Arial" w:cs="Arial" w:eastAsia="Arial" w:hAnsi="Arial"/>
          <w:sz w:val="13"/>
          <w:szCs w:val="13"/>
          <w:color w:val="auto"/>
        </w:rPr>
        <w:t>means the document entitled ‘Restatement Deed’ executed in December 2015 between the Bank and the Transaction Parties.</w:t>
      </w:r>
      <w:r>
        <w:rPr>
          <w:rFonts w:ascii="Arial" w:cs="Arial" w:eastAsia="Arial" w:hAnsi="Arial"/>
          <w:sz w:val="13"/>
          <w:szCs w:val="13"/>
          <w:b w:val="1"/>
          <w:bCs w:val="1"/>
          <w:color w:val="auto"/>
        </w:rPr>
        <w:t xml:space="preserve"> </w:t>
      </w:r>
      <w:r>
        <w:rPr>
          <w:rFonts w:ascii="Arial" w:cs="Arial" w:eastAsia="Arial" w:hAnsi="Arial"/>
          <w:sz w:val="12"/>
          <w:szCs w:val="12"/>
          <w:b w:val="1"/>
          <w:bCs w:val="1"/>
          <w:color w:val="auto"/>
        </w:rPr>
        <w:t xml:space="preserve">Review Event </w:t>
      </w:r>
      <w:r>
        <w:rPr>
          <w:rFonts w:ascii="Arial" w:cs="Arial" w:eastAsia="Arial" w:hAnsi="Arial"/>
          <w:sz w:val="12"/>
          <w:szCs w:val="12"/>
          <w:color w:val="auto"/>
        </w:rPr>
        <w:t>means any event or circumstance described in</w:t>
      </w:r>
      <w:r>
        <w:rPr>
          <w:rFonts w:ascii="Arial" w:cs="Arial" w:eastAsia="Arial" w:hAnsi="Arial"/>
          <w:sz w:val="12"/>
          <w:szCs w:val="12"/>
          <w:b w:val="1"/>
          <w:bCs w:val="1"/>
          <w:color w:val="auto"/>
        </w:rPr>
        <w:t xml:space="preserve"> clause 10.4. Secured Property </w:t>
      </w:r>
      <w:r>
        <w:rPr>
          <w:rFonts w:ascii="Arial" w:cs="Arial" w:eastAsia="Arial" w:hAnsi="Arial"/>
          <w:sz w:val="12"/>
          <w:szCs w:val="12"/>
          <w:color w:val="auto"/>
        </w:rPr>
        <w:t>means all property which, from time to time, is subject to a</w:t>
      </w:r>
      <w:r>
        <w:rPr>
          <w:rFonts w:ascii="Arial" w:cs="Arial" w:eastAsia="Arial" w:hAnsi="Arial"/>
          <w:sz w:val="12"/>
          <w:szCs w:val="12"/>
          <w:b w:val="1"/>
          <w:bCs w:val="1"/>
          <w:color w:val="auto"/>
        </w:rPr>
        <w:t xml:space="preserve"> </w:t>
      </w:r>
      <w:r>
        <w:rPr>
          <w:rFonts w:ascii="Arial" w:cs="Arial" w:eastAsia="Arial" w:hAnsi="Arial"/>
          <w:sz w:val="13"/>
          <w:szCs w:val="13"/>
          <w:color w:val="auto"/>
        </w:rPr>
        <w:t>Security which forms part of the Collateral Security.</w:t>
      </w:r>
    </w:p>
    <w:p>
      <w:pPr>
        <w:spacing w:after="0" w:line="15"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auto"/>
        </w:rPr>
        <w:t xml:space="preserve">Security </w:t>
      </w:r>
      <w:r>
        <w:rPr>
          <w:rFonts w:ascii="Arial" w:cs="Arial" w:eastAsia="Arial" w:hAnsi="Arial"/>
          <w:sz w:val="13"/>
          <w:szCs w:val="13"/>
          <w:color w:val="auto"/>
        </w:rPr>
        <w:t>means any document or transaction which reserves or creates a Security Interest.</w:t>
      </w:r>
    </w:p>
    <w:p>
      <w:pPr>
        <w:spacing w:after="0" w:line="67" w:lineRule="exact"/>
        <w:rPr>
          <w:sz w:val="20"/>
          <w:szCs w:val="20"/>
          <w:color w:val="auto"/>
        </w:rPr>
      </w:pPr>
    </w:p>
    <w:p>
      <w:pPr>
        <w:ind w:left="640" w:right="280"/>
        <w:spacing w:after="0" w:line="269" w:lineRule="auto"/>
        <w:rPr>
          <w:sz w:val="20"/>
          <w:szCs w:val="20"/>
          <w:color w:val="auto"/>
        </w:rPr>
      </w:pPr>
      <w:r>
        <w:rPr>
          <w:rFonts w:ascii="Arial" w:cs="Arial" w:eastAsia="Arial" w:hAnsi="Arial"/>
          <w:sz w:val="13"/>
          <w:szCs w:val="13"/>
          <w:b w:val="1"/>
          <w:bCs w:val="1"/>
          <w:color w:val="auto"/>
        </w:rPr>
        <w:t xml:space="preserve">Security Interest </w:t>
      </w:r>
      <w:r>
        <w:rPr>
          <w:rFonts w:ascii="Arial" w:cs="Arial" w:eastAsia="Arial" w:hAnsi="Arial"/>
          <w:sz w:val="13"/>
          <w:szCs w:val="13"/>
          <w:color w:val="auto"/>
        </w:rPr>
        <w:t>means any interest or right which secures the payment of a debt or other monetary obligation or the compliance with any other</w:t>
      </w:r>
      <w:r>
        <w:rPr>
          <w:rFonts w:ascii="Arial" w:cs="Arial" w:eastAsia="Arial" w:hAnsi="Arial"/>
          <w:sz w:val="13"/>
          <w:szCs w:val="13"/>
          <w:b w:val="1"/>
          <w:bCs w:val="1"/>
          <w:color w:val="auto"/>
        </w:rPr>
        <w:t xml:space="preserve"> </w:t>
      </w:r>
      <w:r>
        <w:rPr>
          <w:rFonts w:ascii="Arial" w:cs="Arial" w:eastAsia="Arial" w:hAnsi="Arial"/>
          <w:sz w:val="13"/>
          <w:szCs w:val="13"/>
          <w:color w:val="auto"/>
        </w:rPr>
        <w:t>obligation. It includes any retention of title to any property and any right to set off or withhold payment of any deposit or other money.</w:t>
      </w:r>
    </w:p>
    <w:p>
      <w:pPr>
        <w:spacing w:after="0" w:line="25"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auto"/>
        </w:rPr>
        <w:t xml:space="preserve">Security Provider </w:t>
      </w:r>
      <w:r>
        <w:rPr>
          <w:rFonts w:ascii="Arial" w:cs="Arial" w:eastAsia="Arial" w:hAnsi="Arial"/>
          <w:sz w:val="13"/>
          <w:szCs w:val="13"/>
          <w:color w:val="auto"/>
        </w:rPr>
        <w:t>means each person who gives a Collateral Security (other than a related body corporate of the Bank).</w:t>
      </w:r>
    </w:p>
    <w:p>
      <w:pPr>
        <w:spacing w:after="0" w:line="67" w:lineRule="exact"/>
        <w:rPr>
          <w:sz w:val="20"/>
          <w:szCs w:val="20"/>
          <w:color w:val="auto"/>
        </w:rPr>
      </w:pPr>
    </w:p>
    <w:p>
      <w:pPr>
        <w:ind w:left="640"/>
        <w:spacing w:after="0" w:line="269" w:lineRule="auto"/>
        <w:rPr>
          <w:sz w:val="20"/>
          <w:szCs w:val="20"/>
          <w:color w:val="auto"/>
        </w:rPr>
      </w:pPr>
      <w:r>
        <w:rPr>
          <w:rFonts w:ascii="Arial" w:cs="Arial" w:eastAsia="Arial" w:hAnsi="Arial"/>
          <w:sz w:val="13"/>
          <w:szCs w:val="13"/>
          <w:b w:val="1"/>
          <w:bCs w:val="1"/>
          <w:color w:val="auto"/>
        </w:rPr>
        <w:t xml:space="preserve">Service </w:t>
      </w:r>
      <w:r>
        <w:rPr>
          <w:rFonts w:ascii="Arial" w:cs="Arial" w:eastAsia="Arial" w:hAnsi="Arial"/>
          <w:sz w:val="13"/>
          <w:szCs w:val="13"/>
          <w:color w:val="auto"/>
        </w:rPr>
        <w:t>means any service the Bank provides to the Borrower under or in relation to a Facility including making or processing any payment or issuing</w:t>
      </w:r>
      <w:r>
        <w:rPr>
          <w:rFonts w:ascii="Arial" w:cs="Arial" w:eastAsia="Arial" w:hAnsi="Arial"/>
          <w:sz w:val="13"/>
          <w:szCs w:val="13"/>
          <w:b w:val="1"/>
          <w:bCs w:val="1"/>
          <w:color w:val="auto"/>
        </w:rPr>
        <w:t xml:space="preserve"> </w:t>
      </w:r>
      <w:r>
        <w:rPr>
          <w:rFonts w:ascii="Arial" w:cs="Arial" w:eastAsia="Arial" w:hAnsi="Arial"/>
          <w:sz w:val="13"/>
          <w:szCs w:val="13"/>
          <w:color w:val="auto"/>
        </w:rPr>
        <w:t>any document.</w:t>
      </w:r>
    </w:p>
    <w:p>
      <w:pPr>
        <w:spacing w:after="0" w:line="25"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auto"/>
        </w:rPr>
        <w:t>Subordinated Debt means:</w:t>
      </w:r>
    </w:p>
    <w:p>
      <w:pPr>
        <w:spacing w:after="0" w:line="92" w:lineRule="exact"/>
        <w:rPr>
          <w:sz w:val="20"/>
          <w:szCs w:val="20"/>
          <w:color w:val="auto"/>
        </w:rPr>
      </w:pPr>
    </w:p>
    <w:p>
      <w:pPr>
        <w:ind w:left="1200" w:right="120" w:hanging="564"/>
        <w:spacing w:after="0" w:line="244" w:lineRule="auto"/>
        <w:tabs>
          <w:tab w:leader="none" w:pos="1200" w:val="left"/>
        </w:tabs>
        <w:numPr>
          <w:ilvl w:val="0"/>
          <w:numId w:val="263"/>
        </w:numPr>
        <w:rPr>
          <w:rFonts w:ascii="Arial" w:cs="Arial" w:eastAsia="Arial" w:hAnsi="Arial"/>
          <w:sz w:val="13"/>
          <w:szCs w:val="13"/>
          <w:color w:val="auto"/>
        </w:rPr>
      </w:pPr>
      <w:r>
        <w:rPr>
          <w:rFonts w:ascii="Arial" w:cs="Arial" w:eastAsia="Arial" w:hAnsi="Arial"/>
          <w:sz w:val="13"/>
          <w:szCs w:val="13"/>
          <w:color w:val="auto"/>
        </w:rPr>
        <w:t>Financial Indebtedness that is or may become owing by the Borrower to Reading International Cinemas, LLC, that is fully subordinated on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161925</wp:posOffset>
            </wp:positionV>
            <wp:extent cx="6208395"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208395" cy="42545"/>
                    </a:xfrm>
                    <a:prstGeom prst="rect">
                      <a:avLst/>
                    </a:prstGeom>
                    <a:noFill/>
                  </pic:spPr>
                </pic:pic>
              </a:graphicData>
            </a:graphic>
          </wp:anchor>
        </w:drawing>
      </w:r>
    </w:p>
    <w:p>
      <w:pPr>
        <w:sectPr>
          <w:pgSz w:w="11900" w:h="16838" w:orient="portrait"/>
          <w:cols w:equalWidth="0" w:num="1">
            <w:col w:w="9360"/>
          </w:cols>
          <w:pgMar w:left="1440" w:top="560" w:right="1099" w:bottom="1440" w:gutter="0" w:footer="0" w:header="0"/>
        </w:sectPr>
      </w:pPr>
    </w:p>
    <w:bookmarkStart w:id="238" w:name="page239"/>
    <w:bookmarkEnd w:id="238"/>
    <w:p>
      <w:pPr>
        <w:ind w:left="980"/>
        <w:spacing w:after="0"/>
        <w:rPr>
          <w:sz w:val="20"/>
          <w:szCs w:val="20"/>
          <w:color w:val="auto"/>
        </w:rPr>
      </w:pPr>
      <w:r>
        <w:rPr>
          <w:rFonts w:ascii="Arial" w:cs="Arial" w:eastAsia="Arial" w:hAnsi="Arial"/>
          <w:sz w:val="13"/>
          <w:szCs w:val="13"/>
          <w:color w:val="auto"/>
        </w:rPr>
        <w:t>terms set out in the Parent Subordination Agreement; and</w:t>
      </w:r>
    </w:p>
    <w:p>
      <w:pPr>
        <w:spacing w:after="0" w:line="76" w:lineRule="exact"/>
        <w:rPr>
          <w:sz w:val="20"/>
          <w:szCs w:val="20"/>
          <w:color w:val="auto"/>
        </w:rPr>
      </w:pPr>
    </w:p>
    <w:p>
      <w:pPr>
        <w:ind w:left="1300" w:right="100" w:hanging="664"/>
        <w:spacing w:after="0" w:line="238" w:lineRule="auto"/>
        <w:tabs>
          <w:tab w:leader="none" w:pos="1300" w:val="left"/>
        </w:tabs>
        <w:numPr>
          <w:ilvl w:val="0"/>
          <w:numId w:val="264"/>
        </w:numPr>
        <w:rPr>
          <w:rFonts w:ascii="Arial" w:cs="Arial" w:eastAsia="Arial" w:hAnsi="Arial"/>
          <w:sz w:val="13"/>
          <w:szCs w:val="13"/>
          <w:color w:val="auto"/>
        </w:rPr>
      </w:pPr>
      <w:r>
        <w:rPr>
          <w:rFonts w:ascii="Arial" w:cs="Arial" w:eastAsia="Arial" w:hAnsi="Arial"/>
          <w:sz w:val="13"/>
          <w:szCs w:val="13"/>
          <w:color w:val="auto"/>
        </w:rPr>
        <w:t>Financial Indebtedness that is or may become owing by a Transaction Party to Reading International Inc (or any subsidiary or affiliate of Reading International Inc) that is fully subordinated on substantially the same terms (except for the name and other details of the subordinated lender) as those set out in the Parent Subordination Agreement.</w:t>
      </w:r>
    </w:p>
    <w:p>
      <w:pPr>
        <w:spacing w:after="0" w:line="44" w:lineRule="exact"/>
        <w:rPr>
          <w:sz w:val="20"/>
          <w:szCs w:val="20"/>
          <w:color w:val="auto"/>
        </w:rPr>
      </w:pPr>
    </w:p>
    <w:p>
      <w:pPr>
        <w:ind w:left="640"/>
        <w:spacing w:after="0" w:line="269" w:lineRule="auto"/>
        <w:rPr>
          <w:sz w:val="20"/>
          <w:szCs w:val="20"/>
          <w:color w:val="auto"/>
        </w:rPr>
      </w:pPr>
      <w:r>
        <w:rPr>
          <w:rFonts w:ascii="Arial" w:cs="Arial" w:eastAsia="Arial" w:hAnsi="Arial"/>
          <w:sz w:val="13"/>
          <w:szCs w:val="13"/>
          <w:b w:val="1"/>
          <w:bCs w:val="1"/>
          <w:color w:val="auto"/>
        </w:rPr>
        <w:t xml:space="preserve">Tax </w:t>
      </w:r>
      <w:r>
        <w:rPr>
          <w:rFonts w:ascii="Arial" w:cs="Arial" w:eastAsia="Arial" w:hAnsi="Arial"/>
          <w:sz w:val="13"/>
          <w:szCs w:val="13"/>
          <w:color w:val="auto"/>
        </w:rPr>
        <w:t>means a tax (including any tax in the nature of a goods and services tax), rate, levy, impost or duty (other than a tax on the net overall income of</w:t>
      </w:r>
      <w:r>
        <w:rPr>
          <w:rFonts w:ascii="Arial" w:cs="Arial" w:eastAsia="Arial" w:hAnsi="Arial"/>
          <w:sz w:val="13"/>
          <w:szCs w:val="13"/>
          <w:b w:val="1"/>
          <w:bCs w:val="1"/>
          <w:color w:val="auto"/>
        </w:rPr>
        <w:t xml:space="preserve"> </w:t>
      </w:r>
      <w:r>
        <w:rPr>
          <w:rFonts w:ascii="Arial" w:cs="Arial" w:eastAsia="Arial" w:hAnsi="Arial"/>
          <w:sz w:val="13"/>
          <w:szCs w:val="13"/>
          <w:color w:val="auto"/>
        </w:rPr>
        <w:t>the Bank) and any interest, penalty, fine or expense relating to any of them.</w:t>
      </w:r>
    </w:p>
    <w:p>
      <w:pPr>
        <w:spacing w:after="0" w:line="25"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auto"/>
        </w:rPr>
        <w:t xml:space="preserve">Termination Date </w:t>
      </w:r>
      <w:r>
        <w:rPr>
          <w:rFonts w:ascii="Arial" w:cs="Arial" w:eastAsia="Arial" w:hAnsi="Arial"/>
          <w:sz w:val="13"/>
          <w:szCs w:val="13"/>
          <w:color w:val="auto"/>
        </w:rPr>
        <w:t>means, in respect of each Facility, the Termination Date set out in</w:t>
      </w:r>
      <w:r>
        <w:rPr>
          <w:rFonts w:ascii="Arial" w:cs="Arial" w:eastAsia="Arial" w:hAnsi="Arial"/>
          <w:sz w:val="13"/>
          <w:szCs w:val="13"/>
          <w:b w:val="1"/>
          <w:bCs w:val="1"/>
          <w:color w:val="auto"/>
        </w:rPr>
        <w:t xml:space="preserve"> schedule 2, </w:t>
      </w:r>
      <w:r>
        <w:rPr>
          <w:rFonts w:ascii="Arial" w:cs="Arial" w:eastAsia="Arial" w:hAnsi="Arial"/>
          <w:sz w:val="13"/>
          <w:szCs w:val="13"/>
          <w:color w:val="auto"/>
        </w:rPr>
        <w:t>or such other date agreed in writing by the parties.</w:t>
      </w:r>
    </w:p>
    <w:p>
      <w:pPr>
        <w:spacing w:after="0" w:line="58" w:lineRule="exact"/>
        <w:rPr>
          <w:sz w:val="20"/>
          <w:szCs w:val="20"/>
          <w:color w:val="auto"/>
        </w:rPr>
      </w:pPr>
    </w:p>
    <w:p>
      <w:pPr>
        <w:ind w:left="640" w:right="420"/>
        <w:spacing w:after="0" w:line="269" w:lineRule="auto"/>
        <w:rPr>
          <w:sz w:val="20"/>
          <w:szCs w:val="20"/>
          <w:color w:val="auto"/>
        </w:rPr>
      </w:pPr>
      <w:r>
        <w:rPr>
          <w:rFonts w:ascii="Arial" w:cs="Arial" w:eastAsia="Arial" w:hAnsi="Arial"/>
          <w:sz w:val="13"/>
          <w:szCs w:val="13"/>
          <w:b w:val="1"/>
          <w:bCs w:val="1"/>
          <w:color w:val="auto"/>
        </w:rPr>
        <w:t xml:space="preserve">Total Gross Debt </w:t>
      </w:r>
      <w:r>
        <w:rPr>
          <w:rFonts w:ascii="Arial" w:cs="Arial" w:eastAsia="Arial" w:hAnsi="Arial"/>
          <w:sz w:val="13"/>
          <w:szCs w:val="13"/>
          <w:color w:val="auto"/>
        </w:rPr>
        <w:t>means, on any date, all Financial Indebtedness of the Reading Entertainment Australia Group, but excluding any Excluded</w:t>
      </w:r>
      <w:r>
        <w:rPr>
          <w:rFonts w:ascii="Arial" w:cs="Arial" w:eastAsia="Arial" w:hAnsi="Arial"/>
          <w:sz w:val="13"/>
          <w:szCs w:val="13"/>
          <w:b w:val="1"/>
          <w:bCs w:val="1"/>
          <w:color w:val="auto"/>
        </w:rPr>
        <w:t xml:space="preserve"> </w:t>
      </w:r>
      <w:r>
        <w:rPr>
          <w:rFonts w:ascii="Arial" w:cs="Arial" w:eastAsia="Arial" w:hAnsi="Arial"/>
          <w:sz w:val="13"/>
          <w:szCs w:val="13"/>
          <w:color w:val="auto"/>
        </w:rPr>
        <w:t>Financial Indebtedness.</w:t>
      </w:r>
    </w:p>
    <w:p>
      <w:pPr>
        <w:spacing w:after="0" w:line="34" w:lineRule="exact"/>
        <w:rPr>
          <w:sz w:val="20"/>
          <w:szCs w:val="20"/>
          <w:color w:val="auto"/>
        </w:rPr>
      </w:pPr>
    </w:p>
    <w:p>
      <w:pPr>
        <w:ind w:left="640" w:right="360"/>
        <w:spacing w:after="0" w:line="269" w:lineRule="auto"/>
        <w:rPr>
          <w:sz w:val="20"/>
          <w:szCs w:val="20"/>
          <w:color w:val="auto"/>
        </w:rPr>
      </w:pPr>
      <w:r>
        <w:rPr>
          <w:rFonts w:ascii="Arial" w:cs="Arial" w:eastAsia="Arial" w:hAnsi="Arial"/>
          <w:sz w:val="13"/>
          <w:szCs w:val="13"/>
          <w:b w:val="1"/>
          <w:bCs w:val="1"/>
          <w:color w:val="auto"/>
        </w:rPr>
        <w:t xml:space="preserve">Total Lease Payments </w:t>
      </w:r>
      <w:r>
        <w:rPr>
          <w:rFonts w:ascii="Arial" w:cs="Arial" w:eastAsia="Arial" w:hAnsi="Arial"/>
          <w:sz w:val="13"/>
          <w:szCs w:val="13"/>
          <w:color w:val="auto"/>
        </w:rPr>
        <w:t>means the aggregate amount of all rental expenditure of the Reading Entertainment Australia Group, other than rental</w:t>
      </w:r>
      <w:r>
        <w:rPr>
          <w:rFonts w:ascii="Arial" w:cs="Arial" w:eastAsia="Arial" w:hAnsi="Arial"/>
          <w:sz w:val="13"/>
          <w:szCs w:val="13"/>
          <w:b w:val="1"/>
          <w:bCs w:val="1"/>
          <w:color w:val="auto"/>
        </w:rPr>
        <w:t xml:space="preserve"> </w:t>
      </w:r>
      <w:r>
        <w:rPr>
          <w:rFonts w:ascii="Arial" w:cs="Arial" w:eastAsia="Arial" w:hAnsi="Arial"/>
          <w:sz w:val="13"/>
          <w:szCs w:val="13"/>
          <w:color w:val="auto"/>
        </w:rPr>
        <w:t>expenditure payable to any Transaction Party, calculated in accordance with Accounting Standards, for that period.</w:t>
      </w:r>
    </w:p>
    <w:p>
      <w:pPr>
        <w:spacing w:after="0" w:line="31"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auto"/>
        </w:rPr>
        <w:t xml:space="preserve">Transaction Documents </w:t>
      </w:r>
      <w:r>
        <w:rPr>
          <w:rFonts w:ascii="Arial" w:cs="Arial" w:eastAsia="Arial" w:hAnsi="Arial"/>
          <w:sz w:val="13"/>
          <w:szCs w:val="13"/>
          <w:color w:val="auto"/>
        </w:rPr>
        <w:t>means:</w:t>
      </w:r>
    </w:p>
    <w:p>
      <w:pPr>
        <w:spacing w:after="0" w:line="86" w:lineRule="exact"/>
        <w:rPr>
          <w:sz w:val="20"/>
          <w:szCs w:val="20"/>
          <w:color w:val="auto"/>
        </w:rPr>
      </w:pPr>
    </w:p>
    <w:p>
      <w:pPr>
        <w:ind w:left="2080" w:hanging="1444"/>
        <w:spacing w:after="0"/>
        <w:tabs>
          <w:tab w:leader="none" w:pos="2080" w:val="left"/>
        </w:tabs>
        <w:numPr>
          <w:ilvl w:val="0"/>
          <w:numId w:val="265"/>
        </w:numPr>
        <w:rPr>
          <w:rFonts w:ascii="Arial" w:cs="Arial" w:eastAsia="Arial" w:hAnsi="Arial"/>
          <w:sz w:val="13"/>
          <w:szCs w:val="13"/>
          <w:color w:val="auto"/>
        </w:rPr>
      </w:pPr>
      <w:r>
        <w:rPr>
          <w:rFonts w:ascii="Arial" w:cs="Arial" w:eastAsia="Arial" w:hAnsi="Arial"/>
          <w:sz w:val="13"/>
          <w:szCs w:val="13"/>
          <w:color w:val="auto"/>
        </w:rPr>
        <w:t>this document;</w:t>
      </w:r>
    </w:p>
    <w:p>
      <w:pPr>
        <w:spacing w:after="0" w:line="85" w:lineRule="exact"/>
        <w:rPr>
          <w:sz w:val="20"/>
          <w:szCs w:val="20"/>
          <w:color w:val="auto"/>
        </w:rPr>
      </w:pPr>
    </w:p>
    <w:p>
      <w:pPr>
        <w:ind w:left="640"/>
        <w:spacing w:after="0"/>
        <w:tabs>
          <w:tab w:leader="none" w:pos="2680" w:val="left"/>
        </w:tabs>
        <w:rPr>
          <w:sz w:val="20"/>
          <w:szCs w:val="20"/>
          <w:color w:val="auto"/>
        </w:rPr>
      </w:pPr>
      <w:r>
        <w:rPr>
          <w:rFonts w:ascii="Arial" w:cs="Arial" w:eastAsia="Arial" w:hAnsi="Arial"/>
          <w:sz w:val="13"/>
          <w:szCs w:val="13"/>
          <w:color w:val="auto"/>
        </w:rPr>
        <w:t>(b)</w:t>
      </w:r>
      <w:r>
        <w:rPr>
          <w:sz w:val="20"/>
          <w:szCs w:val="20"/>
          <w:color w:val="auto"/>
        </w:rPr>
        <w:tab/>
      </w:r>
      <w:r>
        <w:rPr>
          <w:rFonts w:ascii="Arial" w:cs="Arial" w:eastAsia="Arial" w:hAnsi="Arial"/>
          <w:sz w:val="13"/>
          <w:szCs w:val="13"/>
          <w:color w:val="auto"/>
        </w:rPr>
        <w:t>not used;</w:t>
      </w:r>
    </w:p>
    <w:p>
      <w:pPr>
        <w:spacing w:after="0" w:line="76" w:lineRule="exact"/>
        <w:rPr>
          <w:sz w:val="20"/>
          <w:szCs w:val="20"/>
          <w:color w:val="auto"/>
        </w:rPr>
      </w:pPr>
    </w:p>
    <w:p>
      <w:pPr>
        <w:ind w:left="1340" w:hanging="704"/>
        <w:spacing w:after="0"/>
        <w:tabs>
          <w:tab w:leader="none" w:pos="1340" w:val="left"/>
        </w:tabs>
        <w:numPr>
          <w:ilvl w:val="0"/>
          <w:numId w:val="266"/>
        </w:numPr>
        <w:rPr>
          <w:rFonts w:ascii="Arial" w:cs="Arial" w:eastAsia="Arial" w:hAnsi="Arial"/>
          <w:sz w:val="13"/>
          <w:szCs w:val="13"/>
          <w:color w:val="auto"/>
        </w:rPr>
      </w:pPr>
      <w:r>
        <w:rPr>
          <w:rFonts w:ascii="Arial" w:cs="Arial" w:eastAsia="Arial" w:hAnsi="Arial"/>
          <w:sz w:val="13"/>
          <w:szCs w:val="13"/>
          <w:color w:val="auto"/>
        </w:rPr>
        <w:t>each Guarantor Accession Deed;</w:t>
      </w:r>
    </w:p>
    <w:p>
      <w:pPr>
        <w:spacing w:after="0" w:line="84" w:lineRule="exact"/>
        <w:rPr>
          <w:rFonts w:ascii="Arial" w:cs="Arial" w:eastAsia="Arial" w:hAnsi="Arial"/>
          <w:sz w:val="13"/>
          <w:szCs w:val="13"/>
          <w:color w:val="auto"/>
        </w:rPr>
      </w:pPr>
    </w:p>
    <w:p>
      <w:pPr>
        <w:ind w:left="1640" w:hanging="1004"/>
        <w:spacing w:after="0"/>
        <w:tabs>
          <w:tab w:leader="none" w:pos="1640" w:val="left"/>
        </w:tabs>
        <w:numPr>
          <w:ilvl w:val="0"/>
          <w:numId w:val="266"/>
        </w:numPr>
        <w:rPr>
          <w:rFonts w:ascii="Arial" w:cs="Arial" w:eastAsia="Arial" w:hAnsi="Arial"/>
          <w:sz w:val="13"/>
          <w:szCs w:val="13"/>
          <w:color w:val="auto"/>
        </w:rPr>
      </w:pPr>
      <w:r>
        <w:rPr>
          <w:rFonts w:ascii="Arial" w:cs="Arial" w:eastAsia="Arial" w:hAnsi="Arial"/>
          <w:sz w:val="13"/>
          <w:szCs w:val="13"/>
          <w:color w:val="auto"/>
        </w:rPr>
        <w:t>the Collateral Security;</w:t>
      </w:r>
    </w:p>
    <w:p>
      <w:pPr>
        <w:spacing w:after="0" w:line="75" w:lineRule="exact"/>
        <w:rPr>
          <w:rFonts w:ascii="Arial" w:cs="Arial" w:eastAsia="Arial" w:hAnsi="Arial"/>
          <w:sz w:val="13"/>
          <w:szCs w:val="13"/>
          <w:color w:val="auto"/>
        </w:rPr>
      </w:pPr>
    </w:p>
    <w:p>
      <w:pPr>
        <w:ind w:left="1300" w:hanging="664"/>
        <w:spacing w:after="0"/>
        <w:tabs>
          <w:tab w:leader="none" w:pos="1300" w:val="left"/>
        </w:tabs>
        <w:numPr>
          <w:ilvl w:val="0"/>
          <w:numId w:val="266"/>
        </w:numPr>
        <w:rPr>
          <w:rFonts w:ascii="Arial" w:cs="Arial" w:eastAsia="Arial" w:hAnsi="Arial"/>
          <w:sz w:val="13"/>
          <w:szCs w:val="13"/>
          <w:color w:val="auto"/>
        </w:rPr>
      </w:pPr>
      <w:r>
        <w:rPr>
          <w:rFonts w:ascii="Arial" w:cs="Arial" w:eastAsia="Arial" w:hAnsi="Arial"/>
          <w:sz w:val="13"/>
          <w:szCs w:val="13"/>
          <w:color w:val="auto"/>
        </w:rPr>
        <w:t>the Parent Subordination Agreement;</w:t>
      </w:r>
    </w:p>
    <w:p>
      <w:pPr>
        <w:spacing w:after="0" w:line="84" w:lineRule="exact"/>
        <w:rPr>
          <w:rFonts w:ascii="Arial" w:cs="Arial" w:eastAsia="Arial" w:hAnsi="Arial"/>
          <w:sz w:val="13"/>
          <w:szCs w:val="13"/>
          <w:color w:val="auto"/>
        </w:rPr>
      </w:pPr>
    </w:p>
    <w:p>
      <w:pPr>
        <w:ind w:left="1200" w:hanging="564"/>
        <w:spacing w:after="0"/>
        <w:tabs>
          <w:tab w:leader="none" w:pos="1200" w:val="left"/>
        </w:tabs>
        <w:numPr>
          <w:ilvl w:val="0"/>
          <w:numId w:val="266"/>
        </w:numPr>
        <w:rPr>
          <w:rFonts w:ascii="Arial" w:cs="Arial" w:eastAsia="Arial" w:hAnsi="Arial"/>
          <w:sz w:val="13"/>
          <w:szCs w:val="13"/>
          <w:color w:val="auto"/>
        </w:rPr>
      </w:pPr>
      <w:r>
        <w:rPr>
          <w:rFonts w:ascii="Arial" w:cs="Arial" w:eastAsia="Arial" w:hAnsi="Arial"/>
          <w:sz w:val="13"/>
          <w:szCs w:val="13"/>
          <w:color w:val="auto"/>
        </w:rPr>
        <w:t>the ISDA Master Agreement dated 17 June 2011 between the Bank and the Borrower, as amended from time to time;</w:t>
      </w:r>
    </w:p>
    <w:p>
      <w:pPr>
        <w:spacing w:after="0" w:line="50" w:lineRule="exact"/>
        <w:rPr>
          <w:rFonts w:ascii="Arial" w:cs="Arial" w:eastAsia="Arial" w:hAnsi="Arial"/>
          <w:sz w:val="13"/>
          <w:szCs w:val="13"/>
          <w:color w:val="auto"/>
        </w:rPr>
      </w:pPr>
    </w:p>
    <w:p>
      <w:pPr>
        <w:ind w:left="1420" w:hanging="784"/>
        <w:spacing w:after="0"/>
        <w:tabs>
          <w:tab w:leader="none" w:pos="1420" w:val="left"/>
        </w:tabs>
        <w:numPr>
          <w:ilvl w:val="0"/>
          <w:numId w:val="266"/>
        </w:numPr>
        <w:rPr>
          <w:rFonts w:ascii="Arial" w:cs="Arial" w:eastAsia="Arial" w:hAnsi="Arial"/>
          <w:sz w:val="13"/>
          <w:szCs w:val="13"/>
          <w:color w:val="auto"/>
        </w:rPr>
      </w:pPr>
      <w:r>
        <w:rPr>
          <w:rFonts w:ascii="Arial" w:cs="Arial" w:eastAsia="Arial" w:hAnsi="Arial"/>
          <w:sz w:val="13"/>
          <w:szCs w:val="13"/>
          <w:color w:val="auto"/>
        </w:rPr>
        <w:t xml:space="preserve">each deed of consent listed in paragraph 6 of </w:t>
      </w:r>
      <w:r>
        <w:rPr>
          <w:rFonts w:ascii="Arial" w:cs="Arial" w:eastAsia="Arial" w:hAnsi="Arial"/>
          <w:sz w:val="13"/>
          <w:szCs w:val="13"/>
          <w:b w:val="1"/>
          <w:bCs w:val="1"/>
          <w:color w:val="auto"/>
        </w:rPr>
        <w:t>schedule 5</w:t>
      </w:r>
      <w:r>
        <w:rPr>
          <w:rFonts w:ascii="Arial" w:cs="Arial" w:eastAsia="Arial" w:hAnsi="Arial"/>
          <w:sz w:val="13"/>
          <w:szCs w:val="13"/>
          <w:color w:val="auto"/>
        </w:rPr>
        <w:t xml:space="preserve"> upon it being executed by the relevant parties;</w:t>
      </w:r>
    </w:p>
    <w:p>
      <w:pPr>
        <w:spacing w:after="0" w:line="91" w:lineRule="exact"/>
        <w:rPr>
          <w:rFonts w:ascii="Arial" w:cs="Arial" w:eastAsia="Arial" w:hAnsi="Arial"/>
          <w:sz w:val="13"/>
          <w:szCs w:val="13"/>
          <w:color w:val="auto"/>
        </w:rPr>
      </w:pPr>
    </w:p>
    <w:p>
      <w:pPr>
        <w:ind w:left="1280" w:hanging="644"/>
        <w:spacing w:after="0"/>
        <w:tabs>
          <w:tab w:leader="none" w:pos="1280" w:val="left"/>
        </w:tabs>
        <w:numPr>
          <w:ilvl w:val="0"/>
          <w:numId w:val="266"/>
        </w:numPr>
        <w:rPr>
          <w:rFonts w:ascii="Arial" w:cs="Arial" w:eastAsia="Arial" w:hAnsi="Arial"/>
          <w:sz w:val="13"/>
          <w:szCs w:val="13"/>
          <w:color w:val="auto"/>
        </w:rPr>
      </w:pPr>
      <w:r>
        <w:rPr>
          <w:rFonts w:ascii="Arial" w:cs="Arial" w:eastAsia="Arial" w:hAnsi="Arial"/>
          <w:sz w:val="13"/>
          <w:szCs w:val="13"/>
          <w:color w:val="auto"/>
        </w:rPr>
        <w:t>any agreement relating to the priority of any Security which is a Collateral Security;</w:t>
      </w:r>
    </w:p>
    <w:p>
      <w:pPr>
        <w:spacing w:after="0" w:line="66" w:lineRule="exact"/>
        <w:rPr>
          <w:rFonts w:ascii="Arial" w:cs="Arial" w:eastAsia="Arial" w:hAnsi="Arial"/>
          <w:sz w:val="13"/>
          <w:szCs w:val="13"/>
          <w:color w:val="auto"/>
        </w:rPr>
      </w:pPr>
    </w:p>
    <w:p>
      <w:pPr>
        <w:ind w:left="1280" w:hanging="644"/>
        <w:spacing w:after="0"/>
        <w:tabs>
          <w:tab w:leader="none" w:pos="1280" w:val="left"/>
        </w:tabs>
        <w:numPr>
          <w:ilvl w:val="0"/>
          <w:numId w:val="266"/>
        </w:numPr>
        <w:rPr>
          <w:rFonts w:ascii="Arial" w:cs="Arial" w:eastAsia="Arial" w:hAnsi="Arial"/>
          <w:sz w:val="13"/>
          <w:szCs w:val="13"/>
          <w:color w:val="auto"/>
        </w:rPr>
      </w:pPr>
      <w:r>
        <w:rPr>
          <w:rFonts w:ascii="Arial" w:cs="Arial" w:eastAsia="Arial" w:hAnsi="Arial"/>
          <w:sz w:val="13"/>
          <w:szCs w:val="13"/>
          <w:color w:val="auto"/>
        </w:rPr>
        <w:t>any document which the Borrower and the Bank agree is a Transaction Document for the purposes of this document; and</w:t>
      </w:r>
    </w:p>
    <w:p>
      <w:pPr>
        <w:spacing w:after="0" w:line="66" w:lineRule="exact"/>
        <w:rPr>
          <w:rFonts w:ascii="Arial" w:cs="Arial" w:eastAsia="Arial" w:hAnsi="Arial"/>
          <w:sz w:val="13"/>
          <w:szCs w:val="13"/>
          <w:color w:val="auto"/>
        </w:rPr>
      </w:pPr>
    </w:p>
    <w:p>
      <w:pPr>
        <w:ind w:left="640" w:right="1500" w:hanging="4"/>
        <w:spacing w:after="0" w:line="348" w:lineRule="auto"/>
        <w:tabs>
          <w:tab w:leader="none" w:pos="1820" w:val="left"/>
        </w:tabs>
        <w:numPr>
          <w:ilvl w:val="0"/>
          <w:numId w:val="266"/>
        </w:numPr>
        <w:rPr>
          <w:rFonts w:ascii="Arial" w:cs="Arial" w:eastAsia="Arial" w:hAnsi="Arial"/>
          <w:sz w:val="13"/>
          <w:szCs w:val="13"/>
          <w:color w:val="auto"/>
        </w:rPr>
      </w:pPr>
      <w:r>
        <w:rPr>
          <w:rFonts w:ascii="Arial" w:cs="Arial" w:eastAsia="Arial" w:hAnsi="Arial"/>
          <w:sz w:val="13"/>
          <w:szCs w:val="13"/>
          <w:color w:val="auto"/>
        </w:rPr>
        <w:t xml:space="preserve">each document entered into for the purpose of amending, novating, restating or replacing any of them. </w:t>
      </w:r>
      <w:r>
        <w:rPr>
          <w:rFonts w:ascii="Arial" w:cs="Arial" w:eastAsia="Arial" w:hAnsi="Arial"/>
          <w:sz w:val="12"/>
          <w:szCs w:val="12"/>
          <w:b w:val="1"/>
          <w:bCs w:val="1"/>
          <w:color w:val="auto"/>
        </w:rPr>
        <w:t xml:space="preserve">Transaction Parties </w:t>
      </w:r>
      <w:r>
        <w:rPr>
          <w:rFonts w:ascii="Arial" w:cs="Arial" w:eastAsia="Arial" w:hAnsi="Arial"/>
          <w:sz w:val="12"/>
          <w:szCs w:val="12"/>
          <w:color w:val="auto"/>
        </w:rPr>
        <w:t>means the Borrower and each Guarantor.</w:t>
      </w:r>
    </w:p>
    <w:p>
      <w:pPr>
        <w:ind w:left="640" w:right="280"/>
        <w:spacing w:after="0" w:line="371" w:lineRule="auto"/>
        <w:rPr>
          <w:rFonts w:ascii="Arial" w:cs="Arial" w:eastAsia="Arial" w:hAnsi="Arial"/>
          <w:sz w:val="13"/>
          <w:szCs w:val="13"/>
          <w:color w:val="auto"/>
        </w:rPr>
      </w:pPr>
      <w:r>
        <w:rPr>
          <w:rFonts w:ascii="Arial" w:cs="Arial" w:eastAsia="Arial" w:hAnsi="Arial"/>
          <w:sz w:val="13"/>
          <w:szCs w:val="13"/>
          <w:b w:val="1"/>
          <w:bCs w:val="1"/>
          <w:color w:val="auto"/>
        </w:rPr>
        <w:t xml:space="preserve">Trust </w:t>
      </w:r>
      <w:r>
        <w:rPr>
          <w:rFonts w:ascii="Arial" w:cs="Arial" w:eastAsia="Arial" w:hAnsi="Arial"/>
          <w:sz w:val="13"/>
          <w:szCs w:val="13"/>
          <w:color w:val="auto"/>
        </w:rPr>
        <w:t>means, in relation to any Transaction Party that enters into a Transaction Document in the capacity as trustee of a trust, the relevant trust.</w:t>
      </w:r>
      <w:r>
        <w:rPr>
          <w:rFonts w:ascii="Arial" w:cs="Arial" w:eastAsia="Arial" w:hAnsi="Arial"/>
          <w:sz w:val="13"/>
          <w:szCs w:val="13"/>
          <w:b w:val="1"/>
          <w:bCs w:val="1"/>
          <w:color w:val="auto"/>
        </w:rPr>
        <w:t xml:space="preserve"> Trust Deed </w:t>
      </w:r>
      <w:r>
        <w:rPr>
          <w:rFonts w:ascii="Arial" w:cs="Arial" w:eastAsia="Arial" w:hAnsi="Arial"/>
          <w:sz w:val="13"/>
          <w:szCs w:val="13"/>
          <w:color w:val="auto"/>
        </w:rPr>
        <w:t>means, in relation to a Trust, the trust deed or other document which establishes or evidences that Trust.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111760</wp:posOffset>
            </wp:positionV>
            <wp:extent cx="6208395"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208395" cy="42545"/>
                    </a:xfrm>
                    <a:prstGeom prst="rect">
                      <a:avLst/>
                    </a:prstGeom>
                    <a:noFill/>
                  </pic:spPr>
                </pic:pic>
              </a:graphicData>
            </a:graphic>
          </wp:anchor>
        </w:drawing>
      </w:r>
    </w:p>
    <w:p>
      <w:pPr>
        <w:sectPr>
          <w:pgSz w:w="11900" w:h="16838" w:orient="portrait"/>
          <w:cols w:equalWidth="0" w:num="1">
            <w:col w:w="9300"/>
          </w:cols>
          <w:pgMar w:left="1440" w:top="560" w:right="1159" w:bottom="1440" w:gutter="0" w:footer="0" w:header="0"/>
        </w:sectPr>
      </w:pPr>
    </w:p>
    <w:bookmarkStart w:id="239" w:name="page240"/>
    <w:bookmarkEnd w:id="239"/>
    <w:p>
      <w:pPr>
        <w:ind w:left="640"/>
        <w:spacing w:after="0"/>
        <w:rPr>
          <w:sz w:val="20"/>
          <w:szCs w:val="20"/>
          <w:color w:val="auto"/>
        </w:rPr>
      </w:pPr>
      <w:r>
        <w:rPr>
          <w:rFonts w:ascii="Arial" w:cs="Arial" w:eastAsia="Arial" w:hAnsi="Arial"/>
          <w:sz w:val="13"/>
          <w:szCs w:val="13"/>
          <w:b w:val="1"/>
          <w:bCs w:val="1"/>
          <w:color w:val="auto"/>
        </w:rPr>
        <w:t xml:space="preserve">Trustee </w:t>
      </w:r>
      <w:r>
        <w:rPr>
          <w:rFonts w:ascii="Arial" w:cs="Arial" w:eastAsia="Arial" w:hAnsi="Arial"/>
          <w:sz w:val="13"/>
          <w:szCs w:val="13"/>
          <w:color w:val="auto"/>
        </w:rPr>
        <w:t>means a Transaction Party that enters into a Transaction Document acting as the trustee of a Trust.</w:t>
      </w:r>
    </w:p>
    <w:p>
      <w:pPr>
        <w:spacing w:after="0" w:line="67" w:lineRule="exact"/>
        <w:rPr>
          <w:sz w:val="20"/>
          <w:szCs w:val="20"/>
          <w:color w:val="auto"/>
        </w:rPr>
      </w:pPr>
    </w:p>
    <w:p>
      <w:pPr>
        <w:ind w:left="640" w:right="160"/>
        <w:spacing w:after="0" w:line="269" w:lineRule="auto"/>
        <w:rPr>
          <w:sz w:val="20"/>
          <w:szCs w:val="20"/>
          <w:color w:val="auto"/>
        </w:rPr>
      </w:pPr>
      <w:r>
        <w:rPr>
          <w:rFonts w:ascii="Arial" w:cs="Arial" w:eastAsia="Arial" w:hAnsi="Arial"/>
          <w:sz w:val="13"/>
          <w:szCs w:val="13"/>
          <w:b w:val="1"/>
          <w:bCs w:val="1"/>
          <w:color w:val="auto"/>
        </w:rPr>
        <w:t xml:space="preserve">Valuation </w:t>
      </w:r>
      <w:r>
        <w:rPr>
          <w:rFonts w:ascii="Arial" w:cs="Arial" w:eastAsia="Arial" w:hAnsi="Arial"/>
          <w:sz w:val="13"/>
          <w:szCs w:val="13"/>
          <w:color w:val="auto"/>
        </w:rPr>
        <w:t>means a valuation of the Freehold Properties or leasehold properties included in the Secured Property addressed to the Bank, by an</w:t>
      </w:r>
      <w:r>
        <w:rPr>
          <w:rFonts w:ascii="Arial" w:cs="Arial" w:eastAsia="Arial" w:hAnsi="Arial"/>
          <w:sz w:val="13"/>
          <w:szCs w:val="13"/>
          <w:b w:val="1"/>
          <w:bCs w:val="1"/>
          <w:color w:val="auto"/>
        </w:rPr>
        <w:t xml:space="preserve"> </w:t>
      </w:r>
      <w:r>
        <w:rPr>
          <w:rFonts w:ascii="Arial" w:cs="Arial" w:eastAsia="Arial" w:hAnsi="Arial"/>
          <w:sz w:val="13"/>
          <w:szCs w:val="13"/>
          <w:color w:val="auto"/>
        </w:rPr>
        <w:t>Approved Valuer in form and substance satisfactory to the Bank in all respects.</w:t>
      </w:r>
    </w:p>
    <w:p>
      <w:pPr>
        <w:spacing w:after="0" w:line="31"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auto"/>
        </w:rPr>
        <w:t xml:space="preserve">Verification Certificate </w:t>
      </w:r>
      <w:r>
        <w:rPr>
          <w:rFonts w:ascii="Arial" w:cs="Arial" w:eastAsia="Arial" w:hAnsi="Arial"/>
          <w:sz w:val="13"/>
          <w:szCs w:val="13"/>
          <w:color w:val="auto"/>
        </w:rPr>
        <w:t>means a certificate in substantially the form set out in</w:t>
      </w:r>
    </w:p>
    <w:p>
      <w:pPr>
        <w:spacing w:after="0" w:line="14"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auto"/>
        </w:rPr>
        <w:t>schedule 6.</w:t>
      </w:r>
    </w:p>
    <w:p>
      <w:pPr>
        <w:spacing w:after="0" w:line="101" w:lineRule="exact"/>
        <w:rPr>
          <w:sz w:val="20"/>
          <w:szCs w:val="20"/>
          <w:color w:val="auto"/>
        </w:rPr>
      </w:pPr>
    </w:p>
    <w:p>
      <w:pPr>
        <w:ind w:left="140"/>
        <w:spacing w:after="0"/>
        <w:tabs>
          <w:tab w:leader="none" w:pos="2020" w:val="left"/>
        </w:tabs>
        <w:rPr>
          <w:sz w:val="20"/>
          <w:szCs w:val="20"/>
          <w:color w:val="auto"/>
        </w:rPr>
      </w:pPr>
      <w:r>
        <w:rPr>
          <w:rFonts w:ascii="Arial" w:cs="Arial" w:eastAsia="Arial" w:hAnsi="Arial"/>
          <w:sz w:val="14"/>
          <w:szCs w:val="14"/>
          <w:b w:val="1"/>
          <w:bCs w:val="1"/>
          <w:color w:val="auto"/>
        </w:rPr>
        <w:t>1.2</w:t>
      </w:r>
      <w:r>
        <w:rPr>
          <w:sz w:val="20"/>
          <w:szCs w:val="20"/>
          <w:color w:val="auto"/>
        </w:rPr>
        <w:tab/>
      </w:r>
      <w:r>
        <w:rPr>
          <w:rFonts w:ascii="Arial" w:cs="Arial" w:eastAsia="Arial" w:hAnsi="Arial"/>
          <w:sz w:val="14"/>
          <w:szCs w:val="14"/>
          <w:b w:val="1"/>
          <w:bCs w:val="1"/>
          <w:color w:val="auto"/>
        </w:rPr>
        <w:t>Construction</w:t>
      </w:r>
    </w:p>
    <w:p>
      <w:pPr>
        <w:spacing w:after="0" w:line="75" w:lineRule="exact"/>
        <w:rPr>
          <w:sz w:val="20"/>
          <w:szCs w:val="20"/>
          <w:color w:val="auto"/>
        </w:rPr>
      </w:pPr>
    </w:p>
    <w:p>
      <w:pPr>
        <w:ind w:left="640"/>
        <w:spacing w:after="0"/>
        <w:rPr>
          <w:sz w:val="20"/>
          <w:szCs w:val="20"/>
          <w:color w:val="auto"/>
        </w:rPr>
      </w:pPr>
      <w:r>
        <w:rPr>
          <w:rFonts w:ascii="Arial" w:cs="Arial" w:eastAsia="Arial" w:hAnsi="Arial"/>
          <w:sz w:val="13"/>
          <w:szCs w:val="13"/>
          <w:color w:val="auto"/>
        </w:rPr>
        <w:t>Unless expressed to the contrary, in this document:</w:t>
      </w:r>
    </w:p>
    <w:p>
      <w:pPr>
        <w:spacing w:after="0" w:line="76" w:lineRule="exact"/>
        <w:rPr>
          <w:sz w:val="20"/>
          <w:szCs w:val="20"/>
          <w:color w:val="auto"/>
        </w:rPr>
      </w:pPr>
    </w:p>
    <w:p>
      <w:pPr>
        <w:ind w:left="1120" w:hanging="484"/>
        <w:spacing w:after="0"/>
        <w:tabs>
          <w:tab w:leader="none" w:pos="1120" w:val="left"/>
        </w:tabs>
        <w:numPr>
          <w:ilvl w:val="0"/>
          <w:numId w:val="267"/>
        </w:numPr>
        <w:rPr>
          <w:rFonts w:ascii="Arial" w:cs="Arial" w:eastAsia="Arial" w:hAnsi="Arial"/>
          <w:sz w:val="13"/>
          <w:szCs w:val="13"/>
          <w:color w:val="auto"/>
        </w:rPr>
      </w:pPr>
      <w:r>
        <w:rPr>
          <w:rFonts w:ascii="Arial" w:cs="Arial" w:eastAsia="Arial" w:hAnsi="Arial"/>
          <w:sz w:val="13"/>
          <w:szCs w:val="13"/>
          <w:color w:val="auto"/>
        </w:rPr>
        <w:t>words in the singular include the plural and vice versa;</w:t>
      </w:r>
    </w:p>
    <w:p>
      <w:pPr>
        <w:spacing w:after="0" w:line="84" w:lineRule="exact"/>
        <w:rPr>
          <w:rFonts w:ascii="Arial" w:cs="Arial" w:eastAsia="Arial" w:hAnsi="Arial"/>
          <w:sz w:val="13"/>
          <w:szCs w:val="13"/>
          <w:color w:val="auto"/>
        </w:rPr>
      </w:pPr>
    </w:p>
    <w:p>
      <w:pPr>
        <w:ind w:left="1260" w:hanging="624"/>
        <w:spacing w:after="0"/>
        <w:tabs>
          <w:tab w:leader="none" w:pos="1260" w:val="left"/>
        </w:tabs>
        <w:numPr>
          <w:ilvl w:val="0"/>
          <w:numId w:val="267"/>
        </w:numPr>
        <w:rPr>
          <w:rFonts w:ascii="Arial" w:cs="Arial" w:eastAsia="Arial" w:hAnsi="Arial"/>
          <w:sz w:val="13"/>
          <w:szCs w:val="13"/>
          <w:color w:val="auto"/>
        </w:rPr>
      </w:pPr>
      <w:r>
        <w:rPr>
          <w:rFonts w:ascii="Arial" w:cs="Arial" w:eastAsia="Arial" w:hAnsi="Arial"/>
          <w:sz w:val="13"/>
          <w:szCs w:val="13"/>
          <w:color w:val="auto"/>
        </w:rPr>
        <w:t>any gender includes the other genders;</w:t>
      </w:r>
    </w:p>
    <w:p>
      <w:pPr>
        <w:spacing w:after="0" w:line="72" w:lineRule="exact"/>
        <w:rPr>
          <w:sz w:val="20"/>
          <w:szCs w:val="20"/>
          <w:color w:val="auto"/>
        </w:rPr>
      </w:pPr>
    </w:p>
    <w:p>
      <w:pPr>
        <w:ind w:left="640"/>
        <w:spacing w:after="0"/>
        <w:tabs>
          <w:tab w:leader="none" w:pos="2500" w:val="left"/>
        </w:tabs>
        <w:rPr>
          <w:sz w:val="20"/>
          <w:szCs w:val="20"/>
          <w:color w:val="auto"/>
        </w:rPr>
      </w:pPr>
      <w:r>
        <w:rPr>
          <w:rFonts w:ascii="Arial" w:cs="Arial" w:eastAsia="Arial" w:hAnsi="Arial"/>
          <w:sz w:val="13"/>
          <w:szCs w:val="13"/>
          <w:color w:val="auto"/>
        </w:rPr>
        <w:t>(c)</w:t>
      </w:r>
      <w:r>
        <w:rPr>
          <w:sz w:val="20"/>
          <w:szCs w:val="20"/>
          <w:color w:val="auto"/>
        </w:rPr>
        <w:tab/>
      </w:r>
      <w:r>
        <w:rPr>
          <w:rFonts w:ascii="Arial" w:cs="Arial" w:eastAsia="Arial" w:hAnsi="Arial"/>
          <w:sz w:val="13"/>
          <w:szCs w:val="13"/>
          <w:color w:val="auto"/>
        </w:rPr>
        <w:t>if a word or phrase is defined its other grammatical forms have corresponding meanings;</w:t>
      </w:r>
    </w:p>
    <w:p>
      <w:pPr>
        <w:spacing w:after="0" w:line="70" w:lineRule="exact"/>
        <w:rPr>
          <w:sz w:val="20"/>
          <w:szCs w:val="20"/>
          <w:color w:val="auto"/>
        </w:rPr>
      </w:pPr>
    </w:p>
    <w:p>
      <w:pPr>
        <w:ind w:left="1200" w:hanging="564"/>
        <w:spacing w:after="0"/>
        <w:tabs>
          <w:tab w:leader="none" w:pos="1200" w:val="left"/>
        </w:tabs>
        <w:numPr>
          <w:ilvl w:val="0"/>
          <w:numId w:val="268"/>
        </w:numPr>
        <w:rPr>
          <w:rFonts w:ascii="Arial" w:cs="Arial" w:eastAsia="Arial" w:hAnsi="Arial"/>
          <w:sz w:val="13"/>
          <w:szCs w:val="13"/>
          <w:color w:val="auto"/>
        </w:rPr>
      </w:pPr>
      <w:r>
        <w:rPr>
          <w:rFonts w:ascii="Arial" w:cs="Arial" w:eastAsia="Arial" w:hAnsi="Arial"/>
          <w:sz w:val="13"/>
          <w:szCs w:val="13"/>
          <w:color w:val="auto"/>
        </w:rPr>
        <w:t>“includes” means includes without limitation;</w:t>
      </w:r>
    </w:p>
    <w:p>
      <w:pPr>
        <w:spacing w:after="0" w:line="75" w:lineRule="exact"/>
        <w:rPr>
          <w:rFonts w:ascii="Arial" w:cs="Arial" w:eastAsia="Arial" w:hAnsi="Arial"/>
          <w:sz w:val="13"/>
          <w:szCs w:val="13"/>
          <w:color w:val="auto"/>
        </w:rPr>
      </w:pPr>
    </w:p>
    <w:p>
      <w:pPr>
        <w:ind w:left="1560" w:right="240" w:hanging="924"/>
        <w:spacing w:after="0" w:line="244" w:lineRule="auto"/>
        <w:tabs>
          <w:tab w:leader="none" w:pos="1560" w:val="left"/>
        </w:tabs>
        <w:numPr>
          <w:ilvl w:val="0"/>
          <w:numId w:val="268"/>
        </w:numPr>
        <w:rPr>
          <w:rFonts w:ascii="Arial" w:cs="Arial" w:eastAsia="Arial" w:hAnsi="Arial"/>
          <w:sz w:val="13"/>
          <w:szCs w:val="13"/>
          <w:color w:val="auto"/>
        </w:rPr>
      </w:pPr>
      <w:r>
        <w:rPr>
          <w:rFonts w:ascii="Arial" w:cs="Arial" w:eastAsia="Arial" w:hAnsi="Arial"/>
          <w:sz w:val="13"/>
          <w:szCs w:val="13"/>
          <w:color w:val="auto"/>
        </w:rPr>
        <w:t>no rule of construction will apply to a clause to the disadvantage of a party merely because that party put forward the clause or would otherwise benefit from it; and</w:t>
      </w:r>
    </w:p>
    <w:p>
      <w:pPr>
        <w:spacing w:after="0" w:line="56" w:lineRule="exact"/>
        <w:rPr>
          <w:rFonts w:ascii="Arial" w:cs="Arial" w:eastAsia="Arial" w:hAnsi="Arial"/>
          <w:sz w:val="13"/>
          <w:szCs w:val="13"/>
          <w:color w:val="auto"/>
        </w:rPr>
      </w:pPr>
    </w:p>
    <w:p>
      <w:pPr>
        <w:ind w:left="1820" w:hanging="1184"/>
        <w:spacing w:after="0"/>
        <w:tabs>
          <w:tab w:leader="none" w:pos="1820" w:val="left"/>
        </w:tabs>
        <w:numPr>
          <w:ilvl w:val="0"/>
          <w:numId w:val="268"/>
        </w:numPr>
        <w:rPr>
          <w:rFonts w:ascii="Arial" w:cs="Arial" w:eastAsia="Arial" w:hAnsi="Arial"/>
          <w:sz w:val="13"/>
          <w:szCs w:val="13"/>
          <w:color w:val="auto"/>
        </w:rPr>
      </w:pPr>
      <w:r>
        <w:rPr>
          <w:rFonts w:ascii="Arial" w:cs="Arial" w:eastAsia="Arial" w:hAnsi="Arial"/>
          <w:sz w:val="13"/>
          <w:szCs w:val="13"/>
          <w:color w:val="auto"/>
        </w:rPr>
        <w:t>a reference to:</w:t>
      </w:r>
    </w:p>
    <w:p>
      <w:pPr>
        <w:spacing w:after="0" w:line="84" w:lineRule="exact"/>
        <w:rPr>
          <w:rFonts w:ascii="Arial" w:cs="Arial" w:eastAsia="Arial" w:hAnsi="Arial"/>
          <w:sz w:val="13"/>
          <w:szCs w:val="13"/>
          <w:color w:val="auto"/>
        </w:rPr>
      </w:pPr>
    </w:p>
    <w:p>
      <w:pPr>
        <w:ind w:left="1860" w:right="20" w:hanging="872"/>
        <w:spacing w:after="0" w:line="244" w:lineRule="auto"/>
        <w:tabs>
          <w:tab w:leader="none" w:pos="1860" w:val="left"/>
        </w:tabs>
        <w:numPr>
          <w:ilvl w:val="1"/>
          <w:numId w:val="268"/>
        </w:numPr>
        <w:rPr>
          <w:rFonts w:ascii="Arial" w:cs="Arial" w:eastAsia="Arial" w:hAnsi="Arial"/>
          <w:sz w:val="13"/>
          <w:szCs w:val="13"/>
          <w:color w:val="auto"/>
        </w:rPr>
      </w:pPr>
      <w:r>
        <w:rPr>
          <w:rFonts w:ascii="Arial" w:cs="Arial" w:eastAsia="Arial" w:hAnsi="Arial"/>
          <w:sz w:val="13"/>
          <w:szCs w:val="13"/>
          <w:color w:val="auto"/>
        </w:rPr>
        <w:t>a person includes a partnership, joint venture, unincorporated association, corporation and a government or statutory body or authority;</w:t>
      </w:r>
    </w:p>
    <w:p>
      <w:pPr>
        <w:spacing w:after="0" w:line="47" w:lineRule="exact"/>
        <w:rPr>
          <w:rFonts w:ascii="Arial" w:cs="Arial" w:eastAsia="Arial" w:hAnsi="Arial"/>
          <w:sz w:val="13"/>
          <w:szCs w:val="13"/>
          <w:color w:val="auto"/>
        </w:rPr>
      </w:pPr>
    </w:p>
    <w:p>
      <w:pPr>
        <w:ind w:left="1960" w:hanging="972"/>
        <w:spacing w:after="0"/>
        <w:tabs>
          <w:tab w:leader="none" w:pos="1960" w:val="left"/>
        </w:tabs>
        <w:numPr>
          <w:ilvl w:val="1"/>
          <w:numId w:val="268"/>
        </w:numPr>
        <w:rPr>
          <w:rFonts w:ascii="Arial" w:cs="Arial" w:eastAsia="Arial" w:hAnsi="Arial"/>
          <w:sz w:val="13"/>
          <w:szCs w:val="13"/>
          <w:color w:val="auto"/>
        </w:rPr>
      </w:pPr>
      <w:r>
        <w:rPr>
          <w:rFonts w:ascii="Arial" w:cs="Arial" w:eastAsia="Arial" w:hAnsi="Arial"/>
          <w:sz w:val="13"/>
          <w:szCs w:val="13"/>
          <w:color w:val="auto"/>
        </w:rPr>
        <w:t>a person includes the person’s legal personal representatives, successors, assigns and persons substituted by novation;</w:t>
      </w:r>
    </w:p>
    <w:p>
      <w:pPr>
        <w:spacing w:after="0" w:line="66" w:lineRule="exact"/>
        <w:rPr>
          <w:rFonts w:ascii="Arial" w:cs="Arial" w:eastAsia="Arial" w:hAnsi="Arial"/>
          <w:sz w:val="13"/>
          <w:szCs w:val="13"/>
          <w:color w:val="auto"/>
        </w:rPr>
      </w:pPr>
    </w:p>
    <w:p>
      <w:pPr>
        <w:ind w:left="1580" w:right="280" w:hanging="592"/>
        <w:spacing w:after="0" w:line="244" w:lineRule="auto"/>
        <w:tabs>
          <w:tab w:leader="none" w:pos="1580" w:val="left"/>
        </w:tabs>
        <w:numPr>
          <w:ilvl w:val="1"/>
          <w:numId w:val="268"/>
        </w:numPr>
        <w:rPr>
          <w:rFonts w:ascii="Arial" w:cs="Arial" w:eastAsia="Arial" w:hAnsi="Arial"/>
          <w:sz w:val="13"/>
          <w:szCs w:val="13"/>
          <w:color w:val="auto"/>
        </w:rPr>
      </w:pPr>
      <w:r>
        <w:rPr>
          <w:rFonts w:ascii="Arial" w:cs="Arial" w:eastAsia="Arial" w:hAnsi="Arial"/>
          <w:sz w:val="13"/>
          <w:szCs w:val="13"/>
          <w:color w:val="auto"/>
        </w:rPr>
        <w:t>any legislation includes subordinate legislation under it and includes that legislation and subordinate legislation as modified or replaced;</w:t>
      </w:r>
    </w:p>
    <w:p>
      <w:pPr>
        <w:spacing w:after="0" w:line="56" w:lineRule="exact"/>
        <w:rPr>
          <w:rFonts w:ascii="Arial" w:cs="Arial" w:eastAsia="Arial" w:hAnsi="Arial"/>
          <w:sz w:val="13"/>
          <w:szCs w:val="13"/>
          <w:color w:val="auto"/>
        </w:rPr>
      </w:pPr>
    </w:p>
    <w:p>
      <w:pPr>
        <w:ind w:left="1440" w:right="300" w:hanging="452"/>
        <w:spacing w:after="0" w:line="244" w:lineRule="auto"/>
        <w:tabs>
          <w:tab w:leader="none" w:pos="1440" w:val="left"/>
        </w:tabs>
        <w:numPr>
          <w:ilvl w:val="1"/>
          <w:numId w:val="268"/>
        </w:numPr>
        <w:rPr>
          <w:rFonts w:ascii="Arial" w:cs="Arial" w:eastAsia="Arial" w:hAnsi="Arial"/>
          <w:sz w:val="13"/>
          <w:szCs w:val="13"/>
          <w:color w:val="auto"/>
        </w:rPr>
      </w:pPr>
      <w:r>
        <w:rPr>
          <w:rFonts w:ascii="Arial" w:cs="Arial" w:eastAsia="Arial" w:hAnsi="Arial"/>
          <w:sz w:val="13"/>
          <w:szCs w:val="13"/>
          <w:color w:val="auto"/>
        </w:rPr>
        <w:t>an obligation includes a representation or warranty and a reference to a failure to comply with an obligation includes a breach of representation or warranty;</w:t>
      </w:r>
    </w:p>
    <w:p>
      <w:pPr>
        <w:spacing w:after="0" w:line="56" w:lineRule="exact"/>
        <w:rPr>
          <w:rFonts w:ascii="Arial" w:cs="Arial" w:eastAsia="Arial" w:hAnsi="Arial"/>
          <w:sz w:val="13"/>
          <w:szCs w:val="13"/>
          <w:color w:val="auto"/>
        </w:rPr>
      </w:pPr>
    </w:p>
    <w:p>
      <w:pPr>
        <w:ind w:left="1460" w:hanging="472"/>
        <w:spacing w:after="0"/>
        <w:tabs>
          <w:tab w:leader="none" w:pos="1460" w:val="left"/>
        </w:tabs>
        <w:numPr>
          <w:ilvl w:val="1"/>
          <w:numId w:val="268"/>
        </w:numPr>
        <w:rPr>
          <w:rFonts w:ascii="Arial" w:cs="Arial" w:eastAsia="Arial" w:hAnsi="Arial"/>
          <w:sz w:val="13"/>
          <w:szCs w:val="13"/>
          <w:color w:val="auto"/>
        </w:rPr>
      </w:pPr>
      <w:r>
        <w:rPr>
          <w:rFonts w:ascii="Arial" w:cs="Arial" w:eastAsia="Arial" w:hAnsi="Arial"/>
          <w:sz w:val="13"/>
          <w:szCs w:val="13"/>
          <w:color w:val="auto"/>
        </w:rPr>
        <w:t>a right includes a benefit, remedy, discretion or power;</w:t>
      </w:r>
    </w:p>
    <w:p>
      <w:pPr>
        <w:spacing w:after="0" w:line="75" w:lineRule="exact"/>
        <w:rPr>
          <w:rFonts w:ascii="Arial" w:cs="Arial" w:eastAsia="Arial" w:hAnsi="Arial"/>
          <w:sz w:val="13"/>
          <w:szCs w:val="13"/>
          <w:color w:val="auto"/>
        </w:rPr>
      </w:pPr>
    </w:p>
    <w:p>
      <w:pPr>
        <w:ind w:left="1780" w:hanging="792"/>
        <w:spacing w:after="0"/>
        <w:tabs>
          <w:tab w:leader="none" w:pos="1780" w:val="left"/>
        </w:tabs>
        <w:numPr>
          <w:ilvl w:val="1"/>
          <w:numId w:val="268"/>
        </w:numPr>
        <w:rPr>
          <w:rFonts w:ascii="Arial" w:cs="Arial" w:eastAsia="Arial" w:hAnsi="Arial"/>
          <w:sz w:val="13"/>
          <w:szCs w:val="13"/>
          <w:color w:val="auto"/>
        </w:rPr>
      </w:pPr>
      <w:r>
        <w:rPr>
          <w:rFonts w:ascii="Arial" w:cs="Arial" w:eastAsia="Arial" w:hAnsi="Arial"/>
          <w:sz w:val="13"/>
          <w:szCs w:val="13"/>
          <w:color w:val="auto"/>
        </w:rPr>
        <w:t>time is to local time in Melbourne;</w:t>
      </w:r>
    </w:p>
    <w:p>
      <w:pPr>
        <w:spacing w:after="0" w:line="84" w:lineRule="exact"/>
        <w:rPr>
          <w:rFonts w:ascii="Arial" w:cs="Arial" w:eastAsia="Arial" w:hAnsi="Arial"/>
          <w:sz w:val="13"/>
          <w:szCs w:val="13"/>
          <w:color w:val="auto"/>
        </w:rPr>
      </w:pPr>
    </w:p>
    <w:p>
      <w:pPr>
        <w:ind w:left="1620" w:hanging="632"/>
        <w:spacing w:after="0"/>
        <w:tabs>
          <w:tab w:leader="none" w:pos="1620" w:val="left"/>
        </w:tabs>
        <w:numPr>
          <w:ilvl w:val="1"/>
          <w:numId w:val="268"/>
        </w:numPr>
        <w:rPr>
          <w:rFonts w:ascii="Arial" w:cs="Arial" w:eastAsia="Arial" w:hAnsi="Arial"/>
          <w:sz w:val="13"/>
          <w:szCs w:val="13"/>
          <w:color w:val="auto"/>
        </w:rPr>
      </w:pPr>
      <w:r>
        <w:rPr>
          <w:rFonts w:ascii="Arial" w:cs="Arial" w:eastAsia="Arial" w:hAnsi="Arial"/>
          <w:sz w:val="13"/>
          <w:szCs w:val="13"/>
          <w:color w:val="auto"/>
        </w:rPr>
        <w:t>“$” or “dollars” is a reference to Australian currency;</w:t>
      </w:r>
    </w:p>
    <w:p>
      <w:pPr>
        <w:spacing w:after="0" w:line="84" w:lineRule="exact"/>
        <w:rPr>
          <w:rFonts w:ascii="Arial" w:cs="Arial" w:eastAsia="Arial" w:hAnsi="Arial"/>
          <w:sz w:val="13"/>
          <w:szCs w:val="13"/>
          <w:color w:val="auto"/>
        </w:rPr>
      </w:pPr>
    </w:p>
    <w:p>
      <w:pPr>
        <w:ind w:left="1960" w:hanging="972"/>
        <w:spacing w:after="0" w:line="244" w:lineRule="auto"/>
        <w:tabs>
          <w:tab w:leader="none" w:pos="1960" w:val="left"/>
        </w:tabs>
        <w:numPr>
          <w:ilvl w:val="1"/>
          <w:numId w:val="268"/>
        </w:numPr>
        <w:rPr>
          <w:rFonts w:ascii="Arial" w:cs="Arial" w:eastAsia="Arial" w:hAnsi="Arial"/>
          <w:sz w:val="13"/>
          <w:szCs w:val="13"/>
          <w:color w:val="auto"/>
        </w:rPr>
      </w:pPr>
      <w:r>
        <w:rPr>
          <w:rFonts w:ascii="Arial" w:cs="Arial" w:eastAsia="Arial" w:hAnsi="Arial"/>
          <w:sz w:val="13"/>
          <w:szCs w:val="13"/>
          <w:color w:val="auto"/>
        </w:rPr>
        <w:t>this or any other document includes the document as novated, varied or replaced and despite any change in the identity of the parties;</w:t>
      </w:r>
    </w:p>
    <w:p>
      <w:pPr>
        <w:spacing w:after="0" w:line="47" w:lineRule="exact"/>
        <w:rPr>
          <w:rFonts w:ascii="Arial" w:cs="Arial" w:eastAsia="Arial" w:hAnsi="Arial"/>
          <w:sz w:val="13"/>
          <w:szCs w:val="13"/>
          <w:color w:val="auto"/>
        </w:rPr>
      </w:pPr>
    </w:p>
    <w:p>
      <w:pPr>
        <w:ind w:left="1560" w:right="520" w:hanging="572"/>
        <w:spacing w:after="0" w:line="244" w:lineRule="auto"/>
        <w:tabs>
          <w:tab w:leader="none" w:pos="1560" w:val="left"/>
        </w:tabs>
        <w:numPr>
          <w:ilvl w:val="1"/>
          <w:numId w:val="268"/>
        </w:numPr>
        <w:rPr>
          <w:rFonts w:ascii="Arial" w:cs="Arial" w:eastAsia="Arial" w:hAnsi="Arial"/>
          <w:sz w:val="13"/>
          <w:szCs w:val="13"/>
          <w:color w:val="auto"/>
        </w:rPr>
      </w:pPr>
      <w:r>
        <w:rPr>
          <w:rFonts w:ascii="Arial" w:cs="Arial" w:eastAsia="Arial" w:hAnsi="Arial"/>
          <w:sz w:val="13"/>
          <w:szCs w:val="13"/>
          <w:color w:val="auto"/>
        </w:rPr>
        <w:t>writing includes any mode of representing or reproducing words in tangible and permanently visible form, and includes fax transmissions;</w:t>
      </w:r>
    </w:p>
    <w:p>
      <w:pPr>
        <w:spacing w:after="0" w:line="56" w:lineRule="exact"/>
        <w:rPr>
          <w:rFonts w:ascii="Arial" w:cs="Arial" w:eastAsia="Arial" w:hAnsi="Arial"/>
          <w:sz w:val="13"/>
          <w:szCs w:val="13"/>
          <w:color w:val="auto"/>
        </w:rPr>
      </w:pPr>
    </w:p>
    <w:p>
      <w:pPr>
        <w:ind w:left="1400" w:hanging="412"/>
        <w:spacing w:after="0"/>
        <w:tabs>
          <w:tab w:leader="none" w:pos="1400" w:val="left"/>
        </w:tabs>
        <w:numPr>
          <w:ilvl w:val="1"/>
          <w:numId w:val="268"/>
        </w:numPr>
        <w:rPr>
          <w:rFonts w:ascii="Arial" w:cs="Arial" w:eastAsia="Arial" w:hAnsi="Arial"/>
          <w:sz w:val="13"/>
          <w:szCs w:val="13"/>
          <w:color w:val="auto"/>
        </w:rPr>
      </w:pPr>
      <w:r>
        <w:rPr>
          <w:rFonts w:ascii="Arial" w:cs="Arial" w:eastAsia="Arial" w:hAnsi="Arial"/>
          <w:sz w:val="13"/>
          <w:szCs w:val="13"/>
          <w:color w:val="auto"/>
        </w:rPr>
        <w:t>any thing (including any amount) is a reference to the whole or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173990</wp:posOffset>
            </wp:positionV>
            <wp:extent cx="6208395"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208395" cy="42545"/>
                    </a:xfrm>
                    <a:prstGeom prst="rect">
                      <a:avLst/>
                    </a:prstGeom>
                    <a:noFill/>
                  </pic:spPr>
                </pic:pic>
              </a:graphicData>
            </a:graphic>
          </wp:anchor>
        </w:drawing>
      </w:r>
    </w:p>
    <w:p>
      <w:pPr>
        <w:sectPr>
          <w:pgSz w:w="11900" w:h="16838" w:orient="portrait"/>
          <w:cols w:equalWidth="0" w:num="1">
            <w:col w:w="9180"/>
          </w:cols>
          <w:pgMar w:left="1440" w:top="544" w:right="1279" w:bottom="1440" w:gutter="0" w:footer="0" w:header="0"/>
        </w:sectPr>
      </w:pPr>
    </w:p>
    <w:bookmarkStart w:id="240" w:name="page241"/>
    <w:bookmarkEnd w:id="240"/>
    <w:p>
      <w:pPr>
        <w:ind w:left="1320"/>
        <w:spacing w:after="0"/>
        <w:rPr>
          <w:sz w:val="20"/>
          <w:szCs w:val="20"/>
          <w:color w:val="auto"/>
        </w:rPr>
      </w:pPr>
      <w:r>
        <w:rPr>
          <w:rFonts w:ascii="Arial" w:cs="Arial" w:eastAsia="Arial" w:hAnsi="Arial"/>
          <w:sz w:val="13"/>
          <w:szCs w:val="13"/>
          <w:color w:val="auto"/>
        </w:rPr>
        <w:t>part of it and a reference to a group of things or persons is a reference to any one or more of them;</w:t>
      </w:r>
    </w:p>
    <w:p>
      <w:pPr>
        <w:spacing w:after="0" w:line="67" w:lineRule="exact"/>
        <w:rPr>
          <w:sz w:val="20"/>
          <w:szCs w:val="20"/>
          <w:color w:val="auto"/>
        </w:rPr>
      </w:pPr>
    </w:p>
    <w:p>
      <w:pPr>
        <w:ind w:left="1480" w:hanging="492"/>
        <w:spacing w:after="0"/>
        <w:tabs>
          <w:tab w:leader="none" w:pos="1480" w:val="left"/>
        </w:tabs>
        <w:numPr>
          <w:ilvl w:val="0"/>
          <w:numId w:val="269"/>
        </w:numPr>
        <w:rPr>
          <w:rFonts w:ascii="Arial" w:cs="Arial" w:eastAsia="Arial" w:hAnsi="Arial"/>
          <w:sz w:val="13"/>
          <w:szCs w:val="13"/>
          <w:color w:val="auto"/>
        </w:rPr>
      </w:pPr>
      <w:r>
        <w:rPr>
          <w:rFonts w:ascii="Arial" w:cs="Arial" w:eastAsia="Arial" w:hAnsi="Arial"/>
          <w:sz w:val="13"/>
          <w:szCs w:val="13"/>
          <w:color w:val="auto"/>
        </w:rPr>
        <w:t>this document includes all schedules and annexures to it; and</w:t>
      </w:r>
    </w:p>
    <w:p>
      <w:pPr>
        <w:spacing w:after="0" w:line="75" w:lineRule="exact"/>
        <w:rPr>
          <w:rFonts w:ascii="Arial" w:cs="Arial" w:eastAsia="Arial" w:hAnsi="Arial"/>
          <w:sz w:val="13"/>
          <w:szCs w:val="13"/>
          <w:color w:val="auto"/>
        </w:rPr>
      </w:pPr>
    </w:p>
    <w:p>
      <w:pPr>
        <w:ind w:left="2140" w:right="880" w:hanging="1152"/>
        <w:spacing w:after="0" w:line="244" w:lineRule="auto"/>
        <w:tabs>
          <w:tab w:leader="none" w:pos="2140" w:val="left"/>
        </w:tabs>
        <w:numPr>
          <w:ilvl w:val="0"/>
          <w:numId w:val="269"/>
        </w:numPr>
        <w:rPr>
          <w:rFonts w:ascii="Arial" w:cs="Arial" w:eastAsia="Arial" w:hAnsi="Arial"/>
          <w:sz w:val="13"/>
          <w:szCs w:val="13"/>
          <w:color w:val="auto"/>
        </w:rPr>
      </w:pPr>
      <w:r>
        <w:rPr>
          <w:rFonts w:ascii="Arial" w:cs="Arial" w:eastAsia="Arial" w:hAnsi="Arial"/>
          <w:sz w:val="13"/>
          <w:szCs w:val="13"/>
          <w:color w:val="auto"/>
        </w:rPr>
        <w:t>a clause, schedule or annexure is a reference to a clause, schedule or annexure, as the case may be, of this document.</w:t>
      </w:r>
    </w:p>
    <w:p>
      <w:pPr>
        <w:spacing w:after="0" w:line="63" w:lineRule="exact"/>
        <w:rPr>
          <w:sz w:val="20"/>
          <w:szCs w:val="20"/>
          <w:color w:val="auto"/>
        </w:rPr>
      </w:pPr>
    </w:p>
    <w:p>
      <w:pPr>
        <w:ind w:left="140"/>
        <w:spacing w:after="0"/>
        <w:tabs>
          <w:tab w:leader="none" w:pos="2500" w:val="left"/>
        </w:tabs>
        <w:rPr>
          <w:sz w:val="20"/>
          <w:szCs w:val="20"/>
          <w:color w:val="auto"/>
        </w:rPr>
      </w:pPr>
      <w:r>
        <w:rPr>
          <w:rFonts w:ascii="Arial" w:cs="Arial" w:eastAsia="Arial" w:hAnsi="Arial"/>
          <w:sz w:val="14"/>
          <w:szCs w:val="14"/>
          <w:b w:val="1"/>
          <w:bCs w:val="1"/>
          <w:color w:val="auto"/>
        </w:rPr>
        <w:t>1.3</w:t>
      </w:r>
      <w:r>
        <w:rPr>
          <w:sz w:val="20"/>
          <w:szCs w:val="20"/>
          <w:color w:val="auto"/>
        </w:rPr>
        <w:tab/>
      </w:r>
      <w:r>
        <w:rPr>
          <w:rFonts w:ascii="Arial" w:cs="Arial" w:eastAsia="Arial" w:hAnsi="Arial"/>
          <w:sz w:val="14"/>
          <w:szCs w:val="14"/>
          <w:b w:val="1"/>
          <w:bCs w:val="1"/>
          <w:color w:val="auto"/>
        </w:rPr>
        <w:t>Headings</w:t>
      </w:r>
    </w:p>
    <w:p>
      <w:pPr>
        <w:spacing w:after="0" w:line="84" w:lineRule="exact"/>
        <w:rPr>
          <w:sz w:val="20"/>
          <w:szCs w:val="20"/>
          <w:color w:val="auto"/>
        </w:rPr>
      </w:pPr>
    </w:p>
    <w:p>
      <w:pPr>
        <w:ind w:left="640"/>
        <w:spacing w:after="0"/>
        <w:rPr>
          <w:sz w:val="20"/>
          <w:szCs w:val="20"/>
          <w:color w:val="auto"/>
        </w:rPr>
      </w:pPr>
      <w:r>
        <w:rPr>
          <w:rFonts w:ascii="Arial" w:cs="Arial" w:eastAsia="Arial" w:hAnsi="Arial"/>
          <w:sz w:val="13"/>
          <w:szCs w:val="13"/>
          <w:color w:val="auto"/>
        </w:rPr>
        <w:t>Headings do not affect the interpretation of this document.</w:t>
      </w:r>
    </w:p>
    <w:p>
      <w:pPr>
        <w:spacing w:after="0" w:line="92" w:lineRule="exact"/>
        <w:rPr>
          <w:sz w:val="20"/>
          <w:szCs w:val="20"/>
          <w:color w:val="auto"/>
        </w:rPr>
      </w:pPr>
    </w:p>
    <w:p>
      <w:pPr>
        <w:ind w:left="140"/>
        <w:spacing w:after="0"/>
        <w:tabs>
          <w:tab w:leader="none" w:pos="820" w:val="left"/>
        </w:tabs>
        <w:rPr>
          <w:sz w:val="20"/>
          <w:szCs w:val="20"/>
          <w:color w:val="auto"/>
        </w:rPr>
      </w:pPr>
      <w:r>
        <w:rPr>
          <w:rFonts w:ascii="Arial" w:cs="Arial" w:eastAsia="Arial" w:hAnsi="Arial"/>
          <w:sz w:val="14"/>
          <w:szCs w:val="14"/>
          <w:b w:val="1"/>
          <w:bCs w:val="1"/>
          <w:color w:val="auto"/>
        </w:rPr>
        <w:t>1.4</w:t>
      </w:r>
      <w:r>
        <w:rPr>
          <w:sz w:val="20"/>
          <w:szCs w:val="20"/>
          <w:color w:val="auto"/>
        </w:rPr>
        <w:tab/>
      </w:r>
      <w:r>
        <w:rPr>
          <w:rFonts w:ascii="Arial" w:cs="Arial" w:eastAsia="Arial" w:hAnsi="Arial"/>
          <w:sz w:val="14"/>
          <w:szCs w:val="14"/>
          <w:b w:val="1"/>
          <w:bCs w:val="1"/>
          <w:color w:val="auto"/>
        </w:rPr>
        <w:t>Corporations Act, GST and Accounting Standards</w:t>
      </w:r>
    </w:p>
    <w:p>
      <w:pPr>
        <w:spacing w:after="0" w:line="75" w:lineRule="exact"/>
        <w:rPr>
          <w:sz w:val="20"/>
          <w:szCs w:val="20"/>
          <w:color w:val="auto"/>
        </w:rPr>
      </w:pPr>
    </w:p>
    <w:p>
      <w:pPr>
        <w:ind w:left="640"/>
        <w:spacing w:after="0"/>
        <w:rPr>
          <w:sz w:val="20"/>
          <w:szCs w:val="20"/>
          <w:color w:val="auto"/>
        </w:rPr>
      </w:pPr>
      <w:r>
        <w:rPr>
          <w:rFonts w:ascii="Arial" w:cs="Arial" w:eastAsia="Arial" w:hAnsi="Arial"/>
          <w:sz w:val="13"/>
          <w:szCs w:val="13"/>
          <w:color w:val="auto"/>
        </w:rPr>
        <w:t>Unless expressed to the contrary:</w:t>
      </w:r>
    </w:p>
    <w:p>
      <w:pPr>
        <w:spacing w:after="0" w:line="76" w:lineRule="exact"/>
        <w:rPr>
          <w:sz w:val="20"/>
          <w:szCs w:val="20"/>
          <w:color w:val="auto"/>
        </w:rPr>
      </w:pPr>
    </w:p>
    <w:p>
      <w:pPr>
        <w:ind w:left="1040" w:right="360" w:hanging="404"/>
        <w:spacing w:after="0" w:line="244" w:lineRule="auto"/>
        <w:tabs>
          <w:tab w:leader="none" w:pos="1040" w:val="left"/>
        </w:tabs>
        <w:numPr>
          <w:ilvl w:val="0"/>
          <w:numId w:val="270"/>
        </w:numPr>
        <w:rPr>
          <w:rFonts w:ascii="Arial" w:cs="Arial" w:eastAsia="Arial" w:hAnsi="Arial"/>
          <w:sz w:val="13"/>
          <w:szCs w:val="13"/>
          <w:color w:val="auto"/>
        </w:rPr>
      </w:pPr>
      <w:r>
        <w:rPr>
          <w:rFonts w:ascii="Arial" w:cs="Arial" w:eastAsia="Arial" w:hAnsi="Arial"/>
          <w:sz w:val="13"/>
          <w:szCs w:val="13"/>
          <w:color w:val="auto"/>
        </w:rPr>
        <w:t>“control”, “controller”, “corporation”, “disclosing entity”, “holding company”, “marketable security”, “prospective liability”, “public company”, “related body corporate” and “subsidiary” each has the meaning which it is defined to have in the Corporations Act;</w:t>
      </w:r>
    </w:p>
    <w:p>
      <w:pPr>
        <w:spacing w:after="0" w:line="52" w:lineRule="exact"/>
        <w:rPr>
          <w:rFonts w:ascii="Arial" w:cs="Arial" w:eastAsia="Arial" w:hAnsi="Arial"/>
          <w:sz w:val="13"/>
          <w:szCs w:val="13"/>
          <w:color w:val="auto"/>
        </w:rPr>
      </w:pPr>
    </w:p>
    <w:p>
      <w:pPr>
        <w:ind w:left="1140" w:hanging="504"/>
        <w:spacing w:after="0" w:line="223" w:lineRule="auto"/>
        <w:tabs>
          <w:tab w:leader="none" w:pos="1140" w:val="left"/>
        </w:tabs>
        <w:numPr>
          <w:ilvl w:val="0"/>
          <w:numId w:val="270"/>
        </w:numPr>
        <w:rPr>
          <w:rFonts w:ascii="Arial" w:cs="Arial" w:eastAsia="Arial" w:hAnsi="Arial"/>
          <w:sz w:val="13"/>
          <w:szCs w:val="13"/>
          <w:color w:val="auto"/>
        </w:rPr>
      </w:pPr>
      <w:r>
        <w:rPr>
          <w:rFonts w:ascii="Arial" w:cs="Arial" w:eastAsia="Arial" w:hAnsi="Arial"/>
          <w:sz w:val="13"/>
          <w:szCs w:val="13"/>
          <w:color w:val="auto"/>
        </w:rPr>
        <w:t xml:space="preserve">“adjustment event”, “consideration”, “GST”, “input tax credit”, “supply”, “taxable supply” and “tax invoice” each has the meaning which it is defined to have in the </w:t>
      </w:r>
      <w:r>
        <w:rPr>
          <w:rFonts w:ascii="Arial" w:cs="Arial" w:eastAsia="Arial" w:hAnsi="Arial"/>
          <w:sz w:val="13"/>
          <w:szCs w:val="13"/>
          <w:i w:val="1"/>
          <w:iCs w:val="1"/>
          <w:color w:val="auto"/>
        </w:rPr>
        <w:t>A New Tax System (Goods and Services Tax) Act 1999</w:t>
      </w:r>
      <w:r>
        <w:rPr>
          <w:rFonts w:ascii="Arial" w:cs="Arial" w:eastAsia="Arial" w:hAnsi="Arial"/>
          <w:sz w:val="13"/>
          <w:szCs w:val="13"/>
          <w:color w:val="auto"/>
        </w:rPr>
        <w:t>; and</w:t>
      </w:r>
    </w:p>
    <w:p>
      <w:pPr>
        <w:spacing w:after="0" w:line="50" w:lineRule="exact"/>
        <w:rPr>
          <w:rFonts w:ascii="Arial" w:cs="Arial" w:eastAsia="Arial" w:hAnsi="Arial"/>
          <w:sz w:val="13"/>
          <w:szCs w:val="13"/>
          <w:color w:val="auto"/>
        </w:rPr>
      </w:pPr>
    </w:p>
    <w:p>
      <w:pPr>
        <w:ind w:left="1720" w:hanging="1084"/>
        <w:spacing w:after="0"/>
        <w:tabs>
          <w:tab w:leader="none" w:pos="1720" w:val="left"/>
        </w:tabs>
        <w:numPr>
          <w:ilvl w:val="0"/>
          <w:numId w:val="270"/>
        </w:numPr>
        <w:rPr>
          <w:rFonts w:ascii="Arial" w:cs="Arial" w:eastAsia="Arial" w:hAnsi="Arial"/>
          <w:sz w:val="13"/>
          <w:szCs w:val="13"/>
          <w:color w:val="auto"/>
        </w:rPr>
      </w:pPr>
      <w:r>
        <w:rPr>
          <w:rFonts w:ascii="Arial" w:cs="Arial" w:eastAsia="Arial" w:hAnsi="Arial"/>
          <w:sz w:val="13"/>
          <w:szCs w:val="13"/>
          <w:color w:val="auto"/>
        </w:rPr>
        <w:t>“economic entity”, “entity” and “finance lease” each has the meaning which it has in the Accounting Standards.</w:t>
      </w:r>
    </w:p>
    <w:p>
      <w:pPr>
        <w:spacing w:after="0" w:line="57" w:lineRule="exact"/>
        <w:rPr>
          <w:rFonts w:ascii="Arial" w:cs="Arial" w:eastAsia="Arial" w:hAnsi="Arial"/>
          <w:sz w:val="13"/>
          <w:szCs w:val="13"/>
          <w:color w:val="auto"/>
        </w:rPr>
      </w:pPr>
    </w:p>
    <w:p>
      <w:pPr>
        <w:ind w:left="1100" w:hanging="464"/>
        <w:spacing w:after="0"/>
        <w:tabs>
          <w:tab w:leader="none" w:pos="1100" w:val="left"/>
        </w:tabs>
        <w:numPr>
          <w:ilvl w:val="0"/>
          <w:numId w:val="270"/>
        </w:numPr>
        <w:rPr>
          <w:rFonts w:ascii="Arial" w:cs="Arial" w:eastAsia="Arial" w:hAnsi="Arial"/>
          <w:sz w:val="13"/>
          <w:szCs w:val="13"/>
          <w:color w:val="auto"/>
        </w:rPr>
      </w:pPr>
      <w:r>
        <w:rPr>
          <w:rFonts w:ascii="Arial" w:cs="Arial" w:eastAsia="Arial" w:hAnsi="Arial"/>
          <w:sz w:val="13"/>
          <w:szCs w:val="13"/>
          <w:color w:val="auto"/>
        </w:rPr>
        <w:t>terms have the meanings given to them in the PPS Act.</w:t>
      </w:r>
    </w:p>
    <w:p>
      <w:pPr>
        <w:spacing w:after="0" w:line="92" w:lineRule="exact"/>
        <w:rPr>
          <w:sz w:val="20"/>
          <w:szCs w:val="20"/>
          <w:color w:val="auto"/>
        </w:rPr>
      </w:pPr>
    </w:p>
    <w:p>
      <w:pPr>
        <w:ind w:left="140"/>
        <w:spacing w:after="0"/>
        <w:tabs>
          <w:tab w:leader="none" w:pos="740" w:val="left"/>
        </w:tabs>
        <w:rPr>
          <w:sz w:val="20"/>
          <w:szCs w:val="20"/>
          <w:color w:val="auto"/>
        </w:rPr>
      </w:pPr>
      <w:r>
        <w:rPr>
          <w:rFonts w:ascii="Arial" w:cs="Arial" w:eastAsia="Arial" w:hAnsi="Arial"/>
          <w:sz w:val="14"/>
          <w:szCs w:val="14"/>
          <w:b w:val="1"/>
          <w:bCs w:val="1"/>
          <w:color w:val="auto"/>
        </w:rPr>
        <w:t>1.5</w:t>
      </w:r>
      <w:r>
        <w:rPr>
          <w:sz w:val="20"/>
          <w:szCs w:val="20"/>
          <w:color w:val="auto"/>
        </w:rPr>
        <w:tab/>
      </w:r>
      <w:r>
        <w:rPr>
          <w:rFonts w:ascii="Arial" w:cs="Arial" w:eastAsia="Arial" w:hAnsi="Arial"/>
          <w:sz w:val="14"/>
          <w:szCs w:val="14"/>
          <w:b w:val="1"/>
          <w:bCs w:val="1"/>
          <w:color w:val="auto"/>
        </w:rPr>
        <w:t>Subsisting Events of Default and Potential Events of Default</w:t>
      </w:r>
    </w:p>
    <w:p>
      <w:pPr>
        <w:spacing w:after="0" w:line="75" w:lineRule="exact"/>
        <w:rPr>
          <w:sz w:val="20"/>
          <w:szCs w:val="20"/>
          <w:color w:val="auto"/>
        </w:rPr>
      </w:pPr>
    </w:p>
    <w:p>
      <w:pPr>
        <w:ind w:left="1260" w:hanging="624"/>
        <w:spacing w:after="0"/>
        <w:tabs>
          <w:tab w:leader="none" w:pos="1260" w:val="left"/>
        </w:tabs>
        <w:numPr>
          <w:ilvl w:val="0"/>
          <w:numId w:val="271"/>
        </w:numPr>
        <w:rPr>
          <w:rFonts w:ascii="Arial" w:cs="Arial" w:eastAsia="Arial" w:hAnsi="Arial"/>
          <w:sz w:val="13"/>
          <w:szCs w:val="13"/>
          <w:color w:val="auto"/>
        </w:rPr>
      </w:pPr>
      <w:r>
        <w:rPr>
          <w:rFonts w:ascii="Arial" w:cs="Arial" w:eastAsia="Arial" w:hAnsi="Arial"/>
          <w:sz w:val="13"/>
          <w:szCs w:val="13"/>
          <w:color w:val="auto"/>
        </w:rPr>
        <w:t>An Event of Default subsists if it has occurred and has not been waived by the Bank in accordance with this document or remedied.</w:t>
      </w:r>
    </w:p>
    <w:p>
      <w:pPr>
        <w:spacing w:after="0" w:line="66" w:lineRule="exact"/>
        <w:rPr>
          <w:rFonts w:ascii="Arial" w:cs="Arial" w:eastAsia="Arial" w:hAnsi="Arial"/>
          <w:sz w:val="13"/>
          <w:szCs w:val="13"/>
          <w:color w:val="auto"/>
        </w:rPr>
      </w:pPr>
    </w:p>
    <w:p>
      <w:pPr>
        <w:ind w:left="1160" w:hanging="524"/>
        <w:spacing w:after="0"/>
        <w:tabs>
          <w:tab w:leader="none" w:pos="1160" w:val="left"/>
        </w:tabs>
        <w:numPr>
          <w:ilvl w:val="0"/>
          <w:numId w:val="271"/>
        </w:numPr>
        <w:rPr>
          <w:rFonts w:ascii="Arial" w:cs="Arial" w:eastAsia="Arial" w:hAnsi="Arial"/>
          <w:sz w:val="13"/>
          <w:szCs w:val="13"/>
          <w:color w:val="auto"/>
        </w:rPr>
      </w:pPr>
      <w:r>
        <w:rPr>
          <w:rFonts w:ascii="Arial" w:cs="Arial" w:eastAsia="Arial" w:hAnsi="Arial"/>
          <w:sz w:val="13"/>
          <w:szCs w:val="13"/>
          <w:color w:val="auto"/>
        </w:rPr>
        <w:t>A Potential Event of Default subsists if it exists and has not been waived by the Bank in accordance with this document or remedied.</w:t>
      </w:r>
    </w:p>
    <w:p>
      <w:pPr>
        <w:spacing w:after="0" w:line="74" w:lineRule="exact"/>
        <w:rPr>
          <w:sz w:val="20"/>
          <w:szCs w:val="20"/>
          <w:color w:val="auto"/>
        </w:rPr>
      </w:pPr>
    </w:p>
    <w:tbl>
      <w:tblPr>
        <w:tblLayout w:type="fixed"/>
        <w:tblInd w:w="140" w:type="dxa"/>
        <w:tblCellMar>
          <w:top w:w="0" w:type="dxa"/>
          <w:left w:w="0" w:type="dxa"/>
          <w:bottom w:w="0" w:type="dxa"/>
          <w:right w:w="0" w:type="dxa"/>
        </w:tblCellMar>
      </w:tblPr>
      <w:tr>
        <w:trPr>
          <w:trHeight w:val="190"/>
        </w:trPr>
        <w:tc>
          <w:tcPr>
            <w:tcW w:w="340" w:type="dxa"/>
            <w:vAlign w:val="bottom"/>
          </w:tcPr>
          <w:p>
            <w:pPr>
              <w:jc w:val="right"/>
              <w:ind w:right="68"/>
              <w:spacing w:after="0"/>
              <w:rPr>
                <w:sz w:val="20"/>
                <w:szCs w:val="20"/>
                <w:color w:val="auto"/>
              </w:rPr>
            </w:pPr>
            <w:r>
              <w:rPr>
                <w:rFonts w:ascii="Arial" w:cs="Arial" w:eastAsia="Arial" w:hAnsi="Arial"/>
                <w:sz w:val="14"/>
                <w:szCs w:val="14"/>
                <w:b w:val="1"/>
                <w:bCs w:val="1"/>
                <w:color w:val="auto"/>
                <w:w w:val="92"/>
              </w:rPr>
              <w:t>1.6</w:t>
            </w:r>
          </w:p>
        </w:tc>
        <w:tc>
          <w:tcPr>
            <w:tcW w:w="8240" w:type="dxa"/>
            <w:vAlign w:val="bottom"/>
          </w:tcPr>
          <w:p>
            <w:pPr>
              <w:ind w:left="2140"/>
              <w:spacing w:after="0"/>
              <w:rPr>
                <w:sz w:val="20"/>
                <w:szCs w:val="20"/>
                <w:color w:val="auto"/>
              </w:rPr>
            </w:pPr>
            <w:r>
              <w:rPr>
                <w:rFonts w:ascii="Arial" w:cs="Arial" w:eastAsia="Arial" w:hAnsi="Arial"/>
                <w:sz w:val="14"/>
                <w:szCs w:val="14"/>
                <w:b w:val="1"/>
                <w:bCs w:val="1"/>
                <w:color w:val="auto"/>
              </w:rPr>
              <w:t>Not used</w:t>
            </w:r>
          </w:p>
        </w:tc>
      </w:tr>
      <w:tr>
        <w:trPr>
          <w:trHeight w:val="243"/>
        </w:trPr>
        <w:tc>
          <w:tcPr>
            <w:tcW w:w="340" w:type="dxa"/>
            <w:vAlign w:val="bottom"/>
          </w:tcPr>
          <w:p>
            <w:pPr>
              <w:jc w:val="right"/>
              <w:ind w:right="68"/>
              <w:spacing w:after="0"/>
              <w:rPr>
                <w:sz w:val="20"/>
                <w:szCs w:val="20"/>
                <w:color w:val="auto"/>
              </w:rPr>
            </w:pPr>
            <w:r>
              <w:rPr>
                <w:rFonts w:ascii="Arial" w:cs="Arial" w:eastAsia="Arial" w:hAnsi="Arial"/>
                <w:sz w:val="14"/>
                <w:szCs w:val="14"/>
                <w:b w:val="1"/>
                <w:bCs w:val="1"/>
                <w:color w:val="auto"/>
                <w:w w:val="92"/>
              </w:rPr>
              <w:t>1.7</w:t>
            </w:r>
          </w:p>
        </w:tc>
        <w:tc>
          <w:tcPr>
            <w:tcW w:w="8240" w:type="dxa"/>
            <w:vAlign w:val="bottom"/>
          </w:tcPr>
          <w:p>
            <w:pPr>
              <w:ind w:left="1480"/>
              <w:spacing w:after="0"/>
              <w:rPr>
                <w:sz w:val="20"/>
                <w:szCs w:val="20"/>
                <w:color w:val="auto"/>
              </w:rPr>
            </w:pPr>
            <w:r>
              <w:rPr>
                <w:rFonts w:ascii="Arial" w:cs="Arial" w:eastAsia="Arial" w:hAnsi="Arial"/>
                <w:sz w:val="14"/>
                <w:szCs w:val="14"/>
                <w:b w:val="1"/>
                <w:bCs w:val="1"/>
                <w:color w:val="auto"/>
              </w:rPr>
              <w:t>Inconsistency</w:t>
            </w:r>
          </w:p>
        </w:tc>
      </w:tr>
      <w:tr>
        <w:trPr>
          <w:trHeight w:val="190"/>
        </w:trPr>
        <w:tc>
          <w:tcPr>
            <w:tcW w:w="340" w:type="dxa"/>
            <w:vAlign w:val="bottom"/>
          </w:tcPr>
          <w:p>
            <w:pPr>
              <w:spacing w:after="0"/>
              <w:rPr>
                <w:sz w:val="16"/>
                <w:szCs w:val="16"/>
                <w:color w:val="auto"/>
              </w:rPr>
            </w:pPr>
          </w:p>
        </w:tc>
        <w:tc>
          <w:tcPr>
            <w:tcW w:w="8240" w:type="dxa"/>
            <w:vAlign w:val="bottom"/>
          </w:tcPr>
          <w:p>
            <w:pPr>
              <w:ind w:left="160"/>
              <w:spacing w:after="0"/>
              <w:rPr>
                <w:sz w:val="20"/>
                <w:szCs w:val="20"/>
                <w:color w:val="auto"/>
              </w:rPr>
            </w:pPr>
            <w:r>
              <w:rPr>
                <w:rFonts w:ascii="Arial" w:cs="Arial" w:eastAsia="Arial" w:hAnsi="Arial"/>
                <w:sz w:val="13"/>
                <w:szCs w:val="13"/>
                <w:color w:val="auto"/>
              </w:rPr>
              <w:t>If there is any inconsistency between this document and any other Transaction Document, then this document prevails to the extent of that</w:t>
            </w:r>
          </w:p>
        </w:tc>
      </w:tr>
      <w:tr>
        <w:trPr>
          <w:trHeight w:val="157"/>
        </w:trPr>
        <w:tc>
          <w:tcPr>
            <w:tcW w:w="340" w:type="dxa"/>
            <w:vAlign w:val="bottom"/>
          </w:tcPr>
          <w:p>
            <w:pPr>
              <w:spacing w:after="0"/>
              <w:rPr>
                <w:sz w:val="13"/>
                <w:szCs w:val="13"/>
                <w:color w:val="auto"/>
              </w:rPr>
            </w:pPr>
          </w:p>
        </w:tc>
        <w:tc>
          <w:tcPr>
            <w:tcW w:w="8240" w:type="dxa"/>
            <w:vAlign w:val="bottom"/>
          </w:tcPr>
          <w:p>
            <w:pPr>
              <w:ind w:left="160"/>
              <w:spacing w:after="0"/>
              <w:rPr>
                <w:sz w:val="20"/>
                <w:szCs w:val="20"/>
                <w:color w:val="auto"/>
              </w:rPr>
            </w:pPr>
            <w:r>
              <w:rPr>
                <w:rFonts w:ascii="Arial" w:cs="Arial" w:eastAsia="Arial" w:hAnsi="Arial"/>
                <w:sz w:val="13"/>
                <w:szCs w:val="13"/>
                <w:color w:val="auto"/>
              </w:rPr>
              <w:t>inconsistency.</w:t>
            </w:r>
          </w:p>
        </w:tc>
      </w:tr>
    </w:tbl>
    <w:p>
      <w:pPr>
        <w:spacing w:after="0" w:line="256" w:lineRule="exact"/>
        <w:rPr>
          <w:sz w:val="20"/>
          <w:szCs w:val="20"/>
          <w:color w:val="auto"/>
        </w:rPr>
      </w:pPr>
    </w:p>
    <w:p>
      <w:pPr>
        <w:ind w:left="140"/>
        <w:spacing w:after="0"/>
        <w:tabs>
          <w:tab w:leader="none" w:pos="1040" w:val="left"/>
        </w:tabs>
        <w:rPr>
          <w:sz w:val="20"/>
          <w:szCs w:val="20"/>
          <w:color w:val="auto"/>
        </w:rPr>
      </w:pPr>
      <w:r>
        <w:rPr>
          <w:rFonts w:ascii="Arial" w:cs="Arial" w:eastAsia="Arial" w:hAnsi="Arial"/>
          <w:sz w:val="19"/>
          <w:szCs w:val="19"/>
          <w:color w:val="auto"/>
        </w:rPr>
        <w:t>2</w:t>
      </w:r>
      <w:r>
        <w:rPr>
          <w:sz w:val="20"/>
          <w:szCs w:val="20"/>
          <w:color w:val="auto"/>
        </w:rPr>
        <w:tab/>
      </w:r>
      <w:r>
        <w:rPr>
          <w:rFonts w:ascii="Arial" w:cs="Arial" w:eastAsia="Arial" w:hAnsi="Arial"/>
          <w:sz w:val="19"/>
          <w:szCs w:val="19"/>
          <w:color w:val="auto"/>
        </w:rPr>
        <w:t>Consideration</w:t>
      </w:r>
    </w:p>
    <w:p>
      <w:pPr>
        <w:spacing w:after="0" w:line="61" w:lineRule="exact"/>
        <w:rPr>
          <w:sz w:val="20"/>
          <w:szCs w:val="20"/>
          <w:color w:val="auto"/>
        </w:rPr>
      </w:pPr>
    </w:p>
    <w:p>
      <w:pPr>
        <w:ind w:left="640"/>
        <w:spacing w:after="0"/>
        <w:rPr>
          <w:sz w:val="20"/>
          <w:szCs w:val="20"/>
          <w:color w:val="auto"/>
        </w:rPr>
      </w:pPr>
      <w:r>
        <w:rPr>
          <w:rFonts w:ascii="Arial" w:cs="Arial" w:eastAsia="Arial" w:hAnsi="Arial"/>
          <w:sz w:val="13"/>
          <w:szCs w:val="13"/>
          <w:color w:val="auto"/>
        </w:rPr>
        <w:t>The Borrower enters into this document in consideration of the Bank agreeing to make the Facility available in accordance with this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168275</wp:posOffset>
            </wp:positionV>
            <wp:extent cx="6208395"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208395" cy="42545"/>
                    </a:xfrm>
                    <a:prstGeom prst="rect">
                      <a:avLst/>
                    </a:prstGeom>
                    <a:noFill/>
                  </pic:spPr>
                </pic:pic>
              </a:graphicData>
            </a:graphic>
          </wp:anchor>
        </w:drawing>
      </w:r>
    </w:p>
    <w:p>
      <w:pPr>
        <w:sectPr>
          <w:pgSz w:w="11900" w:h="16838" w:orient="portrait"/>
          <w:cols w:equalWidth="0" w:num="1">
            <w:col w:w="9360"/>
          </w:cols>
          <w:pgMar w:left="1440" w:top="561" w:right="1099" w:bottom="1440" w:gutter="0" w:footer="0" w:header="0"/>
        </w:sectPr>
      </w:pPr>
    </w:p>
    <w:bookmarkStart w:id="241" w:name="page242"/>
    <w:bookmarkEnd w:id="241"/>
    <w:p>
      <w:pPr>
        <w:ind w:left="820" w:hanging="688"/>
        <w:spacing w:after="0"/>
        <w:tabs>
          <w:tab w:leader="none" w:pos="820" w:val="left"/>
        </w:tabs>
        <w:numPr>
          <w:ilvl w:val="0"/>
          <w:numId w:val="272"/>
        </w:numPr>
        <w:rPr>
          <w:rFonts w:ascii="Arial" w:cs="Arial" w:eastAsia="Arial" w:hAnsi="Arial"/>
          <w:sz w:val="19"/>
          <w:szCs w:val="19"/>
          <w:color w:val="auto"/>
        </w:rPr>
      </w:pPr>
      <w:r>
        <w:rPr>
          <w:rFonts w:ascii="Arial" w:cs="Arial" w:eastAsia="Arial" w:hAnsi="Arial"/>
          <w:sz w:val="19"/>
          <w:szCs w:val="19"/>
          <w:color w:val="auto"/>
        </w:rPr>
        <w:t>Conditions precedent</w:t>
      </w:r>
    </w:p>
    <w:p>
      <w:pPr>
        <w:spacing w:after="0" w:line="68" w:lineRule="exact"/>
        <w:rPr>
          <w:sz w:val="20"/>
          <w:szCs w:val="20"/>
          <w:color w:val="auto"/>
        </w:rPr>
      </w:pPr>
    </w:p>
    <w:p>
      <w:pPr>
        <w:ind w:left="140"/>
        <w:spacing w:after="0"/>
        <w:tabs>
          <w:tab w:leader="none" w:pos="2600" w:val="left"/>
        </w:tabs>
        <w:rPr>
          <w:sz w:val="20"/>
          <w:szCs w:val="20"/>
          <w:color w:val="auto"/>
        </w:rPr>
      </w:pPr>
      <w:r>
        <w:rPr>
          <w:rFonts w:ascii="Arial" w:cs="Arial" w:eastAsia="Arial" w:hAnsi="Arial"/>
          <w:sz w:val="14"/>
          <w:szCs w:val="14"/>
          <w:b w:val="1"/>
          <w:bCs w:val="1"/>
          <w:color w:val="auto"/>
        </w:rPr>
        <w:t>3.1</w:t>
      </w:r>
      <w:r>
        <w:rPr>
          <w:sz w:val="20"/>
          <w:szCs w:val="20"/>
          <w:color w:val="auto"/>
        </w:rPr>
        <w:tab/>
      </w:r>
      <w:r>
        <w:rPr>
          <w:rFonts w:ascii="Arial" w:cs="Arial" w:eastAsia="Arial" w:hAnsi="Arial"/>
          <w:sz w:val="14"/>
          <w:szCs w:val="14"/>
          <w:b w:val="1"/>
          <w:bCs w:val="1"/>
          <w:color w:val="auto"/>
        </w:rPr>
        <w:t>Not used</w:t>
      </w:r>
    </w:p>
    <w:p>
      <w:pPr>
        <w:spacing w:after="0" w:line="82" w:lineRule="exact"/>
        <w:rPr>
          <w:sz w:val="20"/>
          <w:szCs w:val="20"/>
          <w:color w:val="auto"/>
        </w:rPr>
      </w:pPr>
    </w:p>
    <w:p>
      <w:pPr>
        <w:ind w:left="140"/>
        <w:spacing w:after="0"/>
        <w:tabs>
          <w:tab w:leader="none" w:pos="840" w:val="left"/>
        </w:tabs>
        <w:rPr>
          <w:sz w:val="20"/>
          <w:szCs w:val="20"/>
          <w:color w:val="auto"/>
        </w:rPr>
      </w:pPr>
      <w:r>
        <w:rPr>
          <w:rFonts w:ascii="Arial" w:cs="Arial" w:eastAsia="Arial" w:hAnsi="Arial"/>
          <w:sz w:val="14"/>
          <w:szCs w:val="14"/>
          <w:b w:val="1"/>
          <w:bCs w:val="1"/>
          <w:color w:val="auto"/>
        </w:rPr>
        <w:t>3.2</w:t>
      </w:r>
      <w:r>
        <w:rPr>
          <w:sz w:val="20"/>
          <w:szCs w:val="20"/>
          <w:color w:val="auto"/>
        </w:rPr>
        <w:tab/>
      </w:r>
      <w:r>
        <w:rPr>
          <w:rFonts w:ascii="Arial" w:cs="Arial" w:eastAsia="Arial" w:hAnsi="Arial"/>
          <w:sz w:val="14"/>
          <w:szCs w:val="14"/>
          <w:b w:val="1"/>
          <w:bCs w:val="1"/>
          <w:color w:val="auto"/>
        </w:rPr>
        <w:t>Conditions precedent to Advances and Drawings</w:t>
      </w:r>
    </w:p>
    <w:p>
      <w:pPr>
        <w:spacing w:after="0" w:line="75" w:lineRule="exact"/>
        <w:rPr>
          <w:sz w:val="20"/>
          <w:szCs w:val="20"/>
          <w:color w:val="auto"/>
        </w:rPr>
      </w:pPr>
    </w:p>
    <w:p>
      <w:pPr>
        <w:ind w:left="640" w:right="100"/>
        <w:spacing w:after="0" w:line="244" w:lineRule="auto"/>
        <w:rPr>
          <w:sz w:val="20"/>
          <w:szCs w:val="20"/>
          <w:color w:val="auto"/>
        </w:rPr>
      </w:pPr>
      <w:r>
        <w:rPr>
          <w:rFonts w:ascii="Arial" w:cs="Arial" w:eastAsia="Arial" w:hAnsi="Arial"/>
          <w:sz w:val="13"/>
          <w:szCs w:val="13"/>
          <w:color w:val="auto"/>
        </w:rPr>
        <w:t>The obligation of the Bank to make any Advances or Drawings is subject to the further conditions precedent that the Bank is satisfied in its absolute discretion that:</w:t>
      </w:r>
    </w:p>
    <w:p>
      <w:pPr>
        <w:spacing w:after="0" w:line="49" w:lineRule="exact"/>
        <w:rPr>
          <w:sz w:val="20"/>
          <w:szCs w:val="20"/>
          <w:color w:val="auto"/>
        </w:rPr>
      </w:pPr>
    </w:p>
    <w:p>
      <w:pPr>
        <w:ind w:left="1180" w:hanging="544"/>
        <w:spacing w:after="0" w:line="269" w:lineRule="auto"/>
        <w:tabs>
          <w:tab w:leader="none" w:pos="1180" w:val="left"/>
        </w:tabs>
        <w:numPr>
          <w:ilvl w:val="0"/>
          <w:numId w:val="273"/>
        </w:numPr>
        <w:rPr>
          <w:rFonts w:ascii="Arial" w:cs="Arial" w:eastAsia="Arial" w:hAnsi="Arial"/>
          <w:sz w:val="13"/>
          <w:szCs w:val="13"/>
          <w:color w:val="auto"/>
        </w:rPr>
      </w:pPr>
      <w:r>
        <w:rPr>
          <w:rFonts w:ascii="Arial" w:cs="Arial" w:eastAsia="Arial" w:hAnsi="Arial"/>
          <w:sz w:val="13"/>
          <w:szCs w:val="13"/>
          <w:color w:val="auto"/>
        </w:rPr>
        <w:t xml:space="preserve">the representations and warranties set out in </w:t>
      </w:r>
      <w:r>
        <w:rPr>
          <w:rFonts w:ascii="Arial" w:cs="Arial" w:eastAsia="Arial" w:hAnsi="Arial"/>
          <w:sz w:val="13"/>
          <w:szCs w:val="13"/>
          <w:b w:val="1"/>
          <w:bCs w:val="1"/>
          <w:color w:val="auto"/>
        </w:rPr>
        <w:t>clause 8.1</w:t>
      </w:r>
      <w:r>
        <w:rPr>
          <w:rFonts w:ascii="Arial" w:cs="Arial" w:eastAsia="Arial" w:hAnsi="Arial"/>
          <w:sz w:val="13"/>
          <w:szCs w:val="13"/>
          <w:color w:val="auto"/>
        </w:rPr>
        <w:t xml:space="preserve"> are correct and in all material respects not misleading in any material respect when the Funding Notice is given and on the Funding Date;</w:t>
      </w:r>
    </w:p>
    <w:p>
      <w:pPr>
        <w:spacing w:after="0" w:line="16" w:lineRule="exact"/>
        <w:rPr>
          <w:rFonts w:ascii="Arial" w:cs="Arial" w:eastAsia="Arial" w:hAnsi="Arial"/>
          <w:sz w:val="13"/>
          <w:szCs w:val="13"/>
          <w:color w:val="auto"/>
        </w:rPr>
      </w:pPr>
    </w:p>
    <w:p>
      <w:pPr>
        <w:ind w:left="1100" w:right="220" w:hanging="464"/>
        <w:spacing w:after="0" w:line="269" w:lineRule="auto"/>
        <w:tabs>
          <w:tab w:leader="none" w:pos="1100" w:val="left"/>
        </w:tabs>
        <w:numPr>
          <w:ilvl w:val="0"/>
          <w:numId w:val="273"/>
        </w:numPr>
        <w:rPr>
          <w:rFonts w:ascii="Arial" w:cs="Arial" w:eastAsia="Arial" w:hAnsi="Arial"/>
          <w:sz w:val="13"/>
          <w:szCs w:val="13"/>
          <w:color w:val="auto"/>
        </w:rPr>
      </w:pPr>
      <w:r>
        <w:rPr>
          <w:rFonts w:ascii="Arial" w:cs="Arial" w:eastAsia="Arial" w:hAnsi="Arial"/>
          <w:sz w:val="13"/>
          <w:szCs w:val="13"/>
          <w:color w:val="auto"/>
        </w:rPr>
        <w:t xml:space="preserve">all fees and charges then due and payable in connection with the Facility have been paid (including the Restructure Fee set out in </w:t>
      </w:r>
      <w:r>
        <w:rPr>
          <w:rFonts w:ascii="Arial" w:cs="Arial" w:eastAsia="Arial" w:hAnsi="Arial"/>
          <w:sz w:val="13"/>
          <w:szCs w:val="13"/>
          <w:b w:val="1"/>
          <w:bCs w:val="1"/>
          <w:color w:val="auto"/>
        </w:rPr>
        <w:t>clause</w:t>
      </w:r>
      <w:r>
        <w:rPr>
          <w:rFonts w:ascii="Arial" w:cs="Arial" w:eastAsia="Arial" w:hAnsi="Arial"/>
          <w:sz w:val="13"/>
          <w:szCs w:val="13"/>
          <w:color w:val="auto"/>
        </w:rPr>
        <w:t xml:space="preserve"> </w:t>
      </w:r>
      <w:r>
        <w:rPr>
          <w:rFonts w:ascii="Arial" w:cs="Arial" w:eastAsia="Arial" w:hAnsi="Arial"/>
          <w:sz w:val="13"/>
          <w:szCs w:val="13"/>
          <w:b w:val="1"/>
          <w:bCs w:val="1"/>
          <w:color w:val="auto"/>
        </w:rPr>
        <w:t>9.1(a)</w:t>
      </w:r>
      <w:r>
        <w:rPr>
          <w:rFonts w:ascii="Arial" w:cs="Arial" w:eastAsia="Arial" w:hAnsi="Arial"/>
          <w:sz w:val="13"/>
          <w:szCs w:val="13"/>
          <w:color w:val="auto"/>
        </w:rPr>
        <w:t>); and</w:t>
      </w:r>
    </w:p>
    <w:p>
      <w:pPr>
        <w:spacing w:after="0" w:line="41" w:lineRule="exact"/>
        <w:rPr>
          <w:rFonts w:ascii="Arial" w:cs="Arial" w:eastAsia="Arial" w:hAnsi="Arial"/>
          <w:sz w:val="13"/>
          <w:szCs w:val="13"/>
          <w:color w:val="auto"/>
        </w:rPr>
      </w:pPr>
    </w:p>
    <w:p>
      <w:pPr>
        <w:ind w:left="1820" w:hanging="1184"/>
        <w:spacing w:after="0"/>
        <w:tabs>
          <w:tab w:leader="none" w:pos="1820" w:val="left"/>
        </w:tabs>
        <w:numPr>
          <w:ilvl w:val="0"/>
          <w:numId w:val="273"/>
        </w:numPr>
        <w:rPr>
          <w:rFonts w:ascii="Arial" w:cs="Arial" w:eastAsia="Arial" w:hAnsi="Arial"/>
          <w:sz w:val="13"/>
          <w:szCs w:val="13"/>
          <w:color w:val="auto"/>
        </w:rPr>
      </w:pPr>
      <w:r>
        <w:rPr>
          <w:rFonts w:ascii="Arial" w:cs="Arial" w:eastAsia="Arial" w:hAnsi="Arial"/>
          <w:sz w:val="13"/>
          <w:szCs w:val="13"/>
          <w:color w:val="auto"/>
        </w:rPr>
        <w:t>no Event of Default or Potential Event of Default subsists when the Funding Notice is given and on the Funding Date.</w:t>
      </w:r>
    </w:p>
    <w:p>
      <w:pPr>
        <w:spacing w:after="0" w:line="83" w:lineRule="exact"/>
        <w:rPr>
          <w:sz w:val="20"/>
          <w:szCs w:val="20"/>
          <w:color w:val="auto"/>
        </w:rPr>
      </w:pPr>
    </w:p>
    <w:p>
      <w:pPr>
        <w:ind w:left="140"/>
        <w:spacing w:after="0"/>
        <w:tabs>
          <w:tab w:leader="none" w:pos="2600" w:val="left"/>
        </w:tabs>
        <w:rPr>
          <w:sz w:val="20"/>
          <w:szCs w:val="20"/>
          <w:color w:val="auto"/>
        </w:rPr>
      </w:pPr>
      <w:r>
        <w:rPr>
          <w:rFonts w:ascii="Arial" w:cs="Arial" w:eastAsia="Arial" w:hAnsi="Arial"/>
          <w:sz w:val="14"/>
          <w:szCs w:val="14"/>
          <w:b w:val="1"/>
          <w:bCs w:val="1"/>
          <w:color w:val="auto"/>
        </w:rPr>
        <w:t>3.3</w:t>
      </w:r>
      <w:r>
        <w:rPr>
          <w:sz w:val="20"/>
          <w:szCs w:val="20"/>
          <w:color w:val="auto"/>
        </w:rPr>
        <w:tab/>
      </w:r>
      <w:r>
        <w:rPr>
          <w:rFonts w:ascii="Arial" w:cs="Arial" w:eastAsia="Arial" w:hAnsi="Arial"/>
          <w:sz w:val="14"/>
          <w:szCs w:val="14"/>
          <w:b w:val="1"/>
          <w:bCs w:val="1"/>
          <w:color w:val="auto"/>
        </w:rPr>
        <w:t>Not used</w:t>
      </w:r>
    </w:p>
    <w:p>
      <w:pPr>
        <w:spacing w:after="0" w:line="264" w:lineRule="exact"/>
        <w:rPr>
          <w:sz w:val="20"/>
          <w:szCs w:val="20"/>
          <w:color w:val="auto"/>
        </w:rPr>
      </w:pPr>
    </w:p>
    <w:tbl>
      <w:tblPr>
        <w:tblLayout w:type="fixed"/>
        <w:tblInd w:w="140" w:type="dxa"/>
        <w:tblCellMar>
          <w:top w:w="0" w:type="dxa"/>
          <w:left w:w="0" w:type="dxa"/>
          <w:bottom w:w="0" w:type="dxa"/>
          <w:right w:w="0" w:type="dxa"/>
        </w:tblCellMar>
      </w:tblPr>
      <w:tr>
        <w:trPr>
          <w:trHeight w:val="232"/>
        </w:trPr>
        <w:tc>
          <w:tcPr>
            <w:tcW w:w="880" w:type="dxa"/>
            <w:vAlign w:val="bottom"/>
          </w:tcPr>
          <w:p>
            <w:pPr>
              <w:spacing w:after="0"/>
              <w:rPr>
                <w:sz w:val="20"/>
                <w:szCs w:val="20"/>
                <w:color w:val="auto"/>
              </w:rPr>
            </w:pPr>
            <w:r>
              <w:rPr>
                <w:rFonts w:ascii="Arial" w:cs="Arial" w:eastAsia="Arial" w:hAnsi="Arial"/>
                <w:sz w:val="19"/>
                <w:szCs w:val="19"/>
                <w:color w:val="auto"/>
              </w:rPr>
              <w:t>4</w:t>
            </w:r>
          </w:p>
        </w:tc>
        <w:tc>
          <w:tcPr>
            <w:tcW w:w="2620" w:type="dxa"/>
            <w:vAlign w:val="bottom"/>
          </w:tcPr>
          <w:p>
            <w:pPr>
              <w:ind w:left="680"/>
              <w:spacing w:after="0"/>
              <w:rPr>
                <w:sz w:val="20"/>
                <w:szCs w:val="20"/>
                <w:color w:val="auto"/>
              </w:rPr>
            </w:pPr>
            <w:r>
              <w:rPr>
                <w:rFonts w:ascii="Arial" w:cs="Arial" w:eastAsia="Arial" w:hAnsi="Arial"/>
                <w:sz w:val="19"/>
                <w:szCs w:val="19"/>
                <w:color w:val="auto"/>
              </w:rPr>
              <w:t>Facility</w:t>
            </w:r>
          </w:p>
        </w:tc>
      </w:tr>
      <w:tr>
        <w:trPr>
          <w:trHeight w:val="245"/>
        </w:trPr>
        <w:tc>
          <w:tcPr>
            <w:tcW w:w="880" w:type="dxa"/>
            <w:vAlign w:val="bottom"/>
          </w:tcPr>
          <w:p>
            <w:pPr>
              <w:spacing w:after="0"/>
              <w:rPr>
                <w:sz w:val="20"/>
                <w:szCs w:val="20"/>
                <w:color w:val="auto"/>
              </w:rPr>
            </w:pPr>
            <w:r>
              <w:rPr>
                <w:rFonts w:ascii="Arial" w:cs="Arial" w:eastAsia="Arial" w:hAnsi="Arial"/>
                <w:sz w:val="14"/>
                <w:szCs w:val="14"/>
                <w:b w:val="1"/>
                <w:bCs w:val="1"/>
                <w:color w:val="auto"/>
              </w:rPr>
              <w:t>4.1</w:t>
            </w:r>
          </w:p>
        </w:tc>
        <w:tc>
          <w:tcPr>
            <w:tcW w:w="2620" w:type="dxa"/>
            <w:vAlign w:val="bottom"/>
          </w:tcPr>
          <w:p>
            <w:pPr>
              <w:ind w:left="2160"/>
              <w:spacing w:after="0"/>
              <w:rPr>
                <w:sz w:val="20"/>
                <w:szCs w:val="20"/>
                <w:color w:val="auto"/>
              </w:rPr>
            </w:pPr>
            <w:r>
              <w:rPr>
                <w:rFonts w:ascii="Arial" w:cs="Arial" w:eastAsia="Arial" w:hAnsi="Arial"/>
                <w:sz w:val="14"/>
                <w:szCs w:val="14"/>
                <w:b w:val="1"/>
                <w:bCs w:val="1"/>
                <w:color w:val="auto"/>
                <w:w w:val="99"/>
              </w:rPr>
              <w:t>Nature</w:t>
            </w:r>
          </w:p>
        </w:tc>
      </w:tr>
    </w:tbl>
    <w:p>
      <w:pPr>
        <w:spacing w:after="0" w:line="35" w:lineRule="exact"/>
        <w:rPr>
          <w:sz w:val="20"/>
          <w:szCs w:val="20"/>
          <w:color w:val="auto"/>
        </w:rPr>
      </w:pPr>
    </w:p>
    <w:p>
      <w:pPr>
        <w:ind w:left="1080" w:hanging="444"/>
        <w:spacing w:after="0"/>
        <w:tabs>
          <w:tab w:leader="none" w:pos="1080" w:val="left"/>
        </w:tabs>
        <w:numPr>
          <w:ilvl w:val="0"/>
          <w:numId w:val="274"/>
        </w:numPr>
        <w:rPr>
          <w:rFonts w:ascii="Arial" w:cs="Arial" w:eastAsia="Arial" w:hAnsi="Arial"/>
          <w:sz w:val="13"/>
          <w:szCs w:val="13"/>
          <w:color w:val="auto"/>
        </w:rPr>
      </w:pPr>
      <w:r>
        <w:rPr>
          <w:rFonts w:ascii="Arial" w:cs="Arial" w:eastAsia="Arial" w:hAnsi="Arial"/>
          <w:sz w:val="13"/>
          <w:szCs w:val="13"/>
          <w:color w:val="auto"/>
        </w:rPr>
        <w:t xml:space="preserve">Subject to </w:t>
      </w:r>
      <w:r>
        <w:rPr>
          <w:rFonts w:ascii="Arial" w:cs="Arial" w:eastAsia="Arial" w:hAnsi="Arial"/>
          <w:sz w:val="13"/>
          <w:szCs w:val="13"/>
          <w:b w:val="1"/>
          <w:bCs w:val="1"/>
          <w:color w:val="auto"/>
        </w:rPr>
        <w:t>clauses 3</w:t>
      </w:r>
      <w:r>
        <w:rPr>
          <w:rFonts w:ascii="Arial" w:cs="Arial" w:eastAsia="Arial" w:hAnsi="Arial"/>
          <w:sz w:val="13"/>
          <w:szCs w:val="13"/>
          <w:color w:val="auto"/>
        </w:rPr>
        <w:t xml:space="preserve"> and </w:t>
      </w:r>
      <w:r>
        <w:rPr>
          <w:rFonts w:ascii="Arial" w:cs="Arial" w:eastAsia="Arial" w:hAnsi="Arial"/>
          <w:sz w:val="13"/>
          <w:szCs w:val="13"/>
          <w:b w:val="1"/>
          <w:bCs w:val="1"/>
          <w:color w:val="auto"/>
        </w:rPr>
        <w:t>10.2</w:t>
      </w:r>
      <w:r>
        <w:rPr>
          <w:rFonts w:ascii="Arial" w:cs="Arial" w:eastAsia="Arial" w:hAnsi="Arial"/>
          <w:sz w:val="13"/>
          <w:szCs w:val="13"/>
          <w:color w:val="auto"/>
        </w:rPr>
        <w:t>, the Bank will make available:</w:t>
      </w:r>
    </w:p>
    <w:p>
      <w:pPr>
        <w:spacing w:after="0" w:line="86" w:lineRule="exact"/>
        <w:rPr>
          <w:sz w:val="20"/>
          <w:szCs w:val="20"/>
          <w:color w:val="auto"/>
        </w:rPr>
      </w:pPr>
    </w:p>
    <w:p>
      <w:pPr>
        <w:ind w:left="2020" w:hanging="1032"/>
        <w:spacing w:after="0"/>
        <w:tabs>
          <w:tab w:leader="none" w:pos="2020" w:val="left"/>
        </w:tabs>
        <w:numPr>
          <w:ilvl w:val="0"/>
          <w:numId w:val="275"/>
        </w:numPr>
        <w:rPr>
          <w:rFonts w:ascii="Arial" w:cs="Arial" w:eastAsia="Arial" w:hAnsi="Arial"/>
          <w:sz w:val="13"/>
          <w:szCs w:val="13"/>
          <w:color w:val="auto"/>
        </w:rPr>
      </w:pPr>
      <w:r>
        <w:rPr>
          <w:rFonts w:ascii="Arial" w:cs="Arial" w:eastAsia="Arial" w:hAnsi="Arial"/>
          <w:sz w:val="13"/>
          <w:szCs w:val="13"/>
          <w:color w:val="auto"/>
        </w:rPr>
        <w:t>the revolving Corporate Markets Loan Facility under which it will make Advances; and</w:t>
      </w:r>
    </w:p>
    <w:p>
      <w:pPr>
        <w:spacing w:after="0" w:line="63" w:lineRule="exact"/>
        <w:rPr>
          <w:sz w:val="20"/>
          <w:szCs w:val="20"/>
          <w:color w:val="auto"/>
        </w:rPr>
      </w:pPr>
    </w:p>
    <w:p>
      <w:pPr>
        <w:ind w:left="980" w:right="880" w:firstLine="3"/>
        <w:spacing w:after="0" w:line="344" w:lineRule="auto"/>
        <w:rPr>
          <w:sz w:val="20"/>
          <w:szCs w:val="20"/>
          <w:color w:val="auto"/>
        </w:rPr>
      </w:pPr>
      <w:r>
        <w:rPr>
          <w:rFonts w:ascii="Arial" w:cs="Arial" w:eastAsia="Arial" w:hAnsi="Arial"/>
          <w:sz w:val="13"/>
          <w:szCs w:val="13"/>
          <w:color w:val="auto"/>
        </w:rPr>
        <w:t>(ii) the Bank Guarantee Facility under which it will issue Bank Guarantees at the request of the Borrower, in accordance with this document.</w:t>
      </w:r>
    </w:p>
    <w:p>
      <w:pPr>
        <w:ind w:left="1560" w:right="400" w:hanging="924"/>
        <w:spacing w:after="0" w:line="269" w:lineRule="auto"/>
        <w:tabs>
          <w:tab w:leader="none" w:pos="1560" w:val="left"/>
        </w:tabs>
        <w:numPr>
          <w:ilvl w:val="0"/>
          <w:numId w:val="276"/>
        </w:numPr>
        <w:rPr>
          <w:rFonts w:ascii="Arial" w:cs="Arial" w:eastAsia="Arial" w:hAnsi="Arial"/>
          <w:sz w:val="13"/>
          <w:szCs w:val="13"/>
          <w:color w:val="auto"/>
        </w:rPr>
      </w:pPr>
      <w:r>
        <w:rPr>
          <w:rFonts w:ascii="Arial" w:cs="Arial" w:eastAsia="Arial" w:hAnsi="Arial"/>
          <w:sz w:val="13"/>
          <w:szCs w:val="13"/>
          <w:color w:val="auto"/>
        </w:rPr>
        <w:t xml:space="preserve">The Borrower may request one or more Advances and Drawings in accordance with this </w:t>
      </w:r>
      <w:r>
        <w:rPr>
          <w:rFonts w:ascii="Arial" w:cs="Arial" w:eastAsia="Arial" w:hAnsi="Arial"/>
          <w:sz w:val="13"/>
          <w:szCs w:val="13"/>
          <w:b w:val="1"/>
          <w:bCs w:val="1"/>
          <w:color w:val="auto"/>
        </w:rPr>
        <w:t>clause 4</w:t>
      </w:r>
      <w:r>
        <w:rPr>
          <w:rFonts w:ascii="Arial" w:cs="Arial" w:eastAsia="Arial" w:hAnsi="Arial"/>
          <w:sz w:val="13"/>
          <w:szCs w:val="13"/>
          <w:color w:val="auto"/>
        </w:rPr>
        <w:t>, but so that the Outstanding Accommodation under each Facility does not at any time exceed the relevant Facility Limit.</w:t>
      </w:r>
    </w:p>
    <w:p>
      <w:pPr>
        <w:spacing w:after="0" w:line="48" w:lineRule="exact"/>
        <w:rPr>
          <w:sz w:val="20"/>
          <w:szCs w:val="20"/>
          <w:color w:val="auto"/>
        </w:rPr>
      </w:pPr>
    </w:p>
    <w:p>
      <w:pPr>
        <w:ind w:left="140"/>
        <w:spacing w:after="0"/>
        <w:tabs>
          <w:tab w:leader="none" w:pos="2700" w:val="left"/>
        </w:tabs>
        <w:rPr>
          <w:sz w:val="20"/>
          <w:szCs w:val="20"/>
          <w:color w:val="auto"/>
        </w:rPr>
      </w:pPr>
      <w:r>
        <w:rPr>
          <w:rFonts w:ascii="Arial" w:cs="Arial" w:eastAsia="Arial" w:hAnsi="Arial"/>
          <w:sz w:val="14"/>
          <w:szCs w:val="14"/>
          <w:b w:val="1"/>
          <w:bCs w:val="1"/>
          <w:color w:val="auto"/>
        </w:rPr>
        <w:t>4.2</w:t>
      </w:r>
      <w:r>
        <w:rPr>
          <w:sz w:val="20"/>
          <w:szCs w:val="20"/>
          <w:color w:val="auto"/>
        </w:rPr>
        <w:tab/>
      </w:r>
      <w:r>
        <w:rPr>
          <w:rFonts w:ascii="Arial" w:cs="Arial" w:eastAsia="Arial" w:hAnsi="Arial"/>
          <w:sz w:val="14"/>
          <w:szCs w:val="14"/>
          <w:b w:val="1"/>
          <w:bCs w:val="1"/>
          <w:color w:val="auto"/>
        </w:rPr>
        <w:t>Purpose</w:t>
      </w:r>
    </w:p>
    <w:p>
      <w:pPr>
        <w:spacing w:after="0" w:line="59" w:lineRule="exact"/>
        <w:rPr>
          <w:sz w:val="20"/>
          <w:szCs w:val="20"/>
          <w:color w:val="auto"/>
        </w:rPr>
      </w:pPr>
    </w:p>
    <w:p>
      <w:pPr>
        <w:ind w:left="640" w:right="220"/>
        <w:spacing w:after="0" w:line="269" w:lineRule="auto"/>
        <w:rPr>
          <w:sz w:val="20"/>
          <w:szCs w:val="20"/>
          <w:color w:val="auto"/>
        </w:rPr>
      </w:pPr>
      <w:r>
        <w:rPr>
          <w:rFonts w:ascii="Arial" w:cs="Arial" w:eastAsia="Arial" w:hAnsi="Arial"/>
          <w:sz w:val="13"/>
          <w:szCs w:val="13"/>
          <w:color w:val="auto"/>
        </w:rPr>
        <w:t xml:space="preserve">The Borrower must only use Advances and Drawings under each Facility for the relevant purposes set out in </w:t>
      </w:r>
      <w:r>
        <w:rPr>
          <w:rFonts w:ascii="Arial" w:cs="Arial" w:eastAsia="Arial" w:hAnsi="Arial"/>
          <w:sz w:val="13"/>
          <w:szCs w:val="13"/>
          <w:b w:val="1"/>
          <w:bCs w:val="1"/>
          <w:color w:val="auto"/>
        </w:rPr>
        <w:t>schedule 2</w:t>
      </w:r>
      <w:r>
        <w:rPr>
          <w:rFonts w:ascii="Arial" w:cs="Arial" w:eastAsia="Arial" w:hAnsi="Arial"/>
          <w:sz w:val="13"/>
          <w:szCs w:val="13"/>
          <w:color w:val="auto"/>
        </w:rPr>
        <w:t>, and the Borrower must promptly repay to the Bank all Advances and Drawings not used for these purposes.</w:t>
      </w:r>
    </w:p>
    <w:p>
      <w:pPr>
        <w:spacing w:after="0" w:line="57" w:lineRule="exact"/>
        <w:rPr>
          <w:sz w:val="20"/>
          <w:szCs w:val="20"/>
          <w:color w:val="auto"/>
        </w:rPr>
      </w:pPr>
    </w:p>
    <w:p>
      <w:pPr>
        <w:ind w:left="140"/>
        <w:spacing w:after="0"/>
        <w:tabs>
          <w:tab w:leader="none" w:pos="1320" w:val="left"/>
        </w:tabs>
        <w:rPr>
          <w:sz w:val="20"/>
          <w:szCs w:val="20"/>
          <w:color w:val="auto"/>
        </w:rPr>
      </w:pPr>
      <w:r>
        <w:rPr>
          <w:rFonts w:ascii="Arial" w:cs="Arial" w:eastAsia="Arial" w:hAnsi="Arial"/>
          <w:sz w:val="14"/>
          <w:szCs w:val="14"/>
          <w:b w:val="1"/>
          <w:bCs w:val="1"/>
          <w:color w:val="auto"/>
        </w:rPr>
        <w:t>4.3</w:t>
      </w:r>
      <w:r>
        <w:rPr>
          <w:sz w:val="20"/>
          <w:szCs w:val="20"/>
          <w:color w:val="auto"/>
        </w:rPr>
        <w:tab/>
      </w:r>
      <w:r>
        <w:rPr>
          <w:rFonts w:ascii="Arial" w:cs="Arial" w:eastAsia="Arial" w:hAnsi="Arial"/>
          <w:sz w:val="14"/>
          <w:szCs w:val="14"/>
          <w:b w:val="1"/>
          <w:bCs w:val="1"/>
          <w:color w:val="auto"/>
        </w:rPr>
        <w:t>Advances and Drawings</w:t>
      </w:r>
    </w:p>
    <w:p>
      <w:pPr>
        <w:spacing w:after="0" w:line="75" w:lineRule="exact"/>
        <w:rPr>
          <w:sz w:val="20"/>
          <w:szCs w:val="20"/>
          <w:color w:val="auto"/>
        </w:rPr>
      </w:pPr>
    </w:p>
    <w:p>
      <w:pPr>
        <w:ind w:left="1060" w:right="240" w:hanging="424"/>
        <w:spacing w:after="0" w:line="244" w:lineRule="auto"/>
        <w:tabs>
          <w:tab w:leader="none" w:pos="1060" w:val="left"/>
        </w:tabs>
        <w:numPr>
          <w:ilvl w:val="0"/>
          <w:numId w:val="277"/>
        </w:numPr>
        <w:rPr>
          <w:rFonts w:ascii="Arial" w:cs="Arial" w:eastAsia="Arial" w:hAnsi="Arial"/>
          <w:sz w:val="13"/>
          <w:szCs w:val="13"/>
          <w:color w:val="auto"/>
        </w:rPr>
      </w:pPr>
      <w:r>
        <w:rPr>
          <w:rFonts w:ascii="Arial" w:cs="Arial" w:eastAsia="Arial" w:hAnsi="Arial"/>
          <w:sz w:val="13"/>
          <w:szCs w:val="13"/>
          <w:color w:val="auto"/>
        </w:rPr>
        <w:t>The Borrower may request an Advance or a Drawing by giving a Funding Notice to the Bank by 11.00 am at least one clear Business Day before the date the proposed Advance or Drawing is required.</w:t>
      </w:r>
    </w:p>
    <w:p>
      <w:pPr>
        <w:spacing w:after="0" w:line="56" w:lineRule="exact"/>
        <w:rPr>
          <w:rFonts w:ascii="Arial" w:cs="Arial" w:eastAsia="Arial" w:hAnsi="Arial"/>
          <w:sz w:val="13"/>
          <w:szCs w:val="13"/>
          <w:color w:val="auto"/>
        </w:rPr>
      </w:pPr>
    </w:p>
    <w:p>
      <w:pPr>
        <w:ind w:left="1300" w:right="940" w:hanging="664"/>
        <w:spacing w:after="0" w:line="244" w:lineRule="auto"/>
        <w:tabs>
          <w:tab w:leader="none" w:pos="1300" w:val="left"/>
        </w:tabs>
        <w:numPr>
          <w:ilvl w:val="0"/>
          <w:numId w:val="277"/>
        </w:numPr>
        <w:rPr>
          <w:rFonts w:ascii="Arial" w:cs="Arial" w:eastAsia="Arial" w:hAnsi="Arial"/>
          <w:sz w:val="13"/>
          <w:szCs w:val="13"/>
          <w:color w:val="auto"/>
        </w:rPr>
      </w:pPr>
      <w:r>
        <w:rPr>
          <w:rFonts w:ascii="Arial" w:cs="Arial" w:eastAsia="Arial" w:hAnsi="Arial"/>
          <w:sz w:val="13"/>
          <w:szCs w:val="13"/>
          <w:color w:val="auto"/>
        </w:rPr>
        <w:t>An Advance under the Corporate Markets Loan Facility must not be for an amount which, when added to the Outstanding Accommodation (if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161925</wp:posOffset>
            </wp:positionV>
            <wp:extent cx="6208395"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208395" cy="42545"/>
                    </a:xfrm>
                    <a:prstGeom prst="rect">
                      <a:avLst/>
                    </a:prstGeom>
                    <a:noFill/>
                  </pic:spPr>
                </pic:pic>
              </a:graphicData>
            </a:graphic>
          </wp:anchor>
        </w:drawing>
      </w:r>
    </w:p>
    <w:p>
      <w:pPr>
        <w:sectPr>
          <w:pgSz w:w="11900" w:h="16838" w:orient="portrait"/>
          <w:cols w:equalWidth="0" w:num="1">
            <w:col w:w="9320"/>
          </w:cols>
          <w:pgMar w:left="1440" w:top="533" w:right="1139" w:bottom="1440" w:gutter="0" w:footer="0" w:header="0"/>
        </w:sectPr>
      </w:pPr>
    </w:p>
    <w:bookmarkStart w:id="242" w:name="page243"/>
    <w:bookmarkEnd w:id="242"/>
    <w:p>
      <w:pPr>
        <w:ind w:left="980" w:right="140"/>
        <w:spacing w:after="0" w:line="244" w:lineRule="auto"/>
        <w:rPr>
          <w:sz w:val="20"/>
          <w:szCs w:val="20"/>
          <w:color w:val="auto"/>
        </w:rPr>
      </w:pPr>
      <w:r>
        <w:rPr>
          <w:rFonts w:ascii="Arial" w:cs="Arial" w:eastAsia="Arial" w:hAnsi="Arial"/>
          <w:sz w:val="13"/>
          <w:szCs w:val="13"/>
          <w:color w:val="auto"/>
        </w:rPr>
        <w:t>any) under that Facility, causes the Facility Limit for that Facility to be exceeded. In determining with an Advance will cause the Facility Limit to be exceeded:</w:t>
      </w:r>
    </w:p>
    <w:p>
      <w:pPr>
        <w:spacing w:after="0" w:line="47" w:lineRule="exact"/>
        <w:rPr>
          <w:sz w:val="20"/>
          <w:szCs w:val="20"/>
          <w:color w:val="auto"/>
        </w:rPr>
      </w:pPr>
    </w:p>
    <w:p>
      <w:pPr>
        <w:ind w:left="1520" w:hanging="532"/>
        <w:spacing w:after="0"/>
        <w:tabs>
          <w:tab w:leader="none" w:pos="1520" w:val="left"/>
        </w:tabs>
        <w:numPr>
          <w:ilvl w:val="1"/>
          <w:numId w:val="278"/>
        </w:numPr>
        <w:rPr>
          <w:rFonts w:ascii="Arial" w:cs="Arial" w:eastAsia="Arial" w:hAnsi="Arial"/>
          <w:sz w:val="13"/>
          <w:szCs w:val="13"/>
          <w:color w:val="auto"/>
        </w:rPr>
      </w:pPr>
      <w:r>
        <w:rPr>
          <w:rFonts w:ascii="Arial" w:cs="Arial" w:eastAsia="Arial" w:hAnsi="Arial"/>
          <w:sz w:val="13"/>
          <w:szCs w:val="13"/>
          <w:color w:val="auto"/>
        </w:rPr>
        <w:t>the amount of all Advances repaid on the Funding Date are excluded from the calculation of the Outstanding Accommodation; and</w:t>
      </w:r>
    </w:p>
    <w:p>
      <w:pPr>
        <w:spacing w:after="0" w:line="75" w:lineRule="exact"/>
        <w:rPr>
          <w:rFonts w:ascii="Arial" w:cs="Arial" w:eastAsia="Arial" w:hAnsi="Arial"/>
          <w:sz w:val="13"/>
          <w:szCs w:val="13"/>
          <w:color w:val="auto"/>
        </w:rPr>
      </w:pPr>
    </w:p>
    <w:p>
      <w:pPr>
        <w:ind w:left="1480" w:right="160" w:hanging="492"/>
        <w:spacing w:after="0" w:line="244" w:lineRule="auto"/>
        <w:tabs>
          <w:tab w:leader="none" w:pos="1480" w:val="left"/>
        </w:tabs>
        <w:numPr>
          <w:ilvl w:val="1"/>
          <w:numId w:val="278"/>
        </w:numPr>
        <w:rPr>
          <w:rFonts w:ascii="Arial" w:cs="Arial" w:eastAsia="Arial" w:hAnsi="Arial"/>
          <w:sz w:val="13"/>
          <w:szCs w:val="13"/>
          <w:color w:val="auto"/>
        </w:rPr>
      </w:pPr>
      <w:r>
        <w:rPr>
          <w:rFonts w:ascii="Arial" w:cs="Arial" w:eastAsia="Arial" w:hAnsi="Arial"/>
          <w:sz w:val="13"/>
          <w:szCs w:val="13"/>
          <w:color w:val="auto"/>
        </w:rPr>
        <w:t>the aggregate amount of all other Advances which the Borrower has requested to be made on the same Funding Date are included in that calculation.</w:t>
      </w:r>
    </w:p>
    <w:p>
      <w:pPr>
        <w:spacing w:after="0" w:line="47" w:lineRule="exact"/>
        <w:rPr>
          <w:rFonts w:ascii="Arial" w:cs="Arial" w:eastAsia="Arial" w:hAnsi="Arial"/>
          <w:sz w:val="13"/>
          <w:szCs w:val="13"/>
          <w:color w:val="auto"/>
        </w:rPr>
      </w:pPr>
    </w:p>
    <w:p>
      <w:pPr>
        <w:ind w:left="1140" w:right="120" w:hanging="504"/>
        <w:spacing w:after="0" w:line="238" w:lineRule="auto"/>
        <w:tabs>
          <w:tab w:leader="none" w:pos="1140" w:val="left"/>
        </w:tabs>
        <w:numPr>
          <w:ilvl w:val="0"/>
          <w:numId w:val="279"/>
        </w:numPr>
        <w:rPr>
          <w:rFonts w:ascii="Arial" w:cs="Arial" w:eastAsia="Arial" w:hAnsi="Arial"/>
          <w:sz w:val="13"/>
          <w:szCs w:val="13"/>
          <w:color w:val="auto"/>
        </w:rPr>
      </w:pPr>
      <w:r>
        <w:rPr>
          <w:rFonts w:ascii="Arial" w:cs="Arial" w:eastAsia="Arial" w:hAnsi="Arial"/>
          <w:sz w:val="13"/>
          <w:szCs w:val="13"/>
          <w:color w:val="auto"/>
        </w:rPr>
        <w:t>The Aggregate Amount of a Drawing under the Bank Guarantee Facility must not, when added to the Outstanding Accommodation (if any) under that Facility, cause the Facility Limit for that Facility to be exceeded at any time during the Funding Period. In determining whether the Aggregate Amount of a Drawing will cause the Facility Limit to be exceeded:</w:t>
      </w:r>
    </w:p>
    <w:p>
      <w:pPr>
        <w:spacing w:after="0" w:line="59" w:lineRule="exact"/>
        <w:rPr>
          <w:rFonts w:ascii="Arial" w:cs="Arial" w:eastAsia="Arial" w:hAnsi="Arial"/>
          <w:sz w:val="13"/>
          <w:szCs w:val="13"/>
          <w:color w:val="auto"/>
        </w:rPr>
      </w:pPr>
    </w:p>
    <w:p>
      <w:pPr>
        <w:ind w:left="1460" w:right="260" w:hanging="472"/>
        <w:spacing w:after="0" w:line="244" w:lineRule="auto"/>
        <w:tabs>
          <w:tab w:leader="none" w:pos="1460" w:val="left"/>
        </w:tabs>
        <w:numPr>
          <w:ilvl w:val="1"/>
          <w:numId w:val="279"/>
        </w:numPr>
        <w:rPr>
          <w:rFonts w:ascii="Arial" w:cs="Arial" w:eastAsia="Arial" w:hAnsi="Arial"/>
          <w:sz w:val="13"/>
          <w:szCs w:val="13"/>
          <w:color w:val="auto"/>
        </w:rPr>
      </w:pPr>
      <w:r>
        <w:rPr>
          <w:rFonts w:ascii="Arial" w:cs="Arial" w:eastAsia="Arial" w:hAnsi="Arial"/>
          <w:sz w:val="13"/>
          <w:szCs w:val="13"/>
          <w:color w:val="auto"/>
        </w:rPr>
        <w:t>the Face Value of all Bank Guarantees under a Facility which will mature on the Funding Date for the relevant Drawing are excluded from the calculation of the Outstanding Accommodation; and</w:t>
      </w:r>
    </w:p>
    <w:p>
      <w:pPr>
        <w:spacing w:after="0" w:line="56" w:lineRule="exact"/>
        <w:rPr>
          <w:rFonts w:ascii="Arial" w:cs="Arial" w:eastAsia="Arial" w:hAnsi="Arial"/>
          <w:sz w:val="13"/>
          <w:szCs w:val="13"/>
          <w:color w:val="auto"/>
        </w:rPr>
      </w:pPr>
    </w:p>
    <w:p>
      <w:pPr>
        <w:ind w:left="1780" w:right="280" w:hanging="792"/>
        <w:spacing w:after="0" w:line="244" w:lineRule="auto"/>
        <w:tabs>
          <w:tab w:leader="none" w:pos="1780" w:val="left"/>
        </w:tabs>
        <w:numPr>
          <w:ilvl w:val="1"/>
          <w:numId w:val="279"/>
        </w:numPr>
        <w:rPr>
          <w:rFonts w:ascii="Arial" w:cs="Arial" w:eastAsia="Arial" w:hAnsi="Arial"/>
          <w:sz w:val="13"/>
          <w:szCs w:val="13"/>
          <w:color w:val="auto"/>
        </w:rPr>
      </w:pPr>
      <w:r>
        <w:rPr>
          <w:rFonts w:ascii="Arial" w:cs="Arial" w:eastAsia="Arial" w:hAnsi="Arial"/>
          <w:sz w:val="13"/>
          <w:szCs w:val="13"/>
          <w:color w:val="auto"/>
        </w:rPr>
        <w:t>the Aggregate Amount of all other Drawings which the Borrower has requested to be made under the same Facility and on the same Funding Date are included in that calculation.</w:t>
      </w:r>
    </w:p>
    <w:p>
      <w:pPr>
        <w:spacing w:after="0" w:line="56" w:lineRule="exact"/>
        <w:rPr>
          <w:rFonts w:ascii="Arial" w:cs="Arial" w:eastAsia="Arial" w:hAnsi="Arial"/>
          <w:sz w:val="13"/>
          <w:szCs w:val="13"/>
          <w:color w:val="auto"/>
        </w:rPr>
      </w:pPr>
    </w:p>
    <w:p>
      <w:pPr>
        <w:ind w:left="1840" w:hanging="1204"/>
        <w:spacing w:after="0"/>
        <w:tabs>
          <w:tab w:leader="none" w:pos="1840" w:val="left"/>
        </w:tabs>
        <w:numPr>
          <w:ilvl w:val="0"/>
          <w:numId w:val="279"/>
        </w:numPr>
        <w:rPr>
          <w:rFonts w:ascii="Arial" w:cs="Arial" w:eastAsia="Arial" w:hAnsi="Arial"/>
          <w:sz w:val="13"/>
          <w:szCs w:val="13"/>
          <w:color w:val="auto"/>
        </w:rPr>
      </w:pPr>
      <w:r>
        <w:rPr>
          <w:rFonts w:ascii="Arial" w:cs="Arial" w:eastAsia="Arial" w:hAnsi="Arial"/>
          <w:sz w:val="13"/>
          <w:szCs w:val="13"/>
          <w:color w:val="auto"/>
        </w:rPr>
        <w:t>The Bank is only obliged to make Advances or accept any Drawings during the Availability Period.</w:t>
      </w:r>
    </w:p>
    <w:p>
      <w:pPr>
        <w:spacing w:after="0" w:line="74" w:lineRule="exact"/>
        <w:rPr>
          <w:sz w:val="20"/>
          <w:szCs w:val="20"/>
          <w:color w:val="auto"/>
        </w:rPr>
      </w:pPr>
    </w:p>
    <w:p>
      <w:pPr>
        <w:ind w:left="140"/>
        <w:spacing w:after="0"/>
        <w:tabs>
          <w:tab w:leader="none" w:pos="1720" w:val="left"/>
        </w:tabs>
        <w:rPr>
          <w:sz w:val="20"/>
          <w:szCs w:val="20"/>
          <w:color w:val="auto"/>
        </w:rPr>
      </w:pPr>
      <w:r>
        <w:rPr>
          <w:rFonts w:ascii="Arial" w:cs="Arial" w:eastAsia="Arial" w:hAnsi="Arial"/>
          <w:sz w:val="14"/>
          <w:szCs w:val="14"/>
          <w:b w:val="1"/>
          <w:bCs w:val="1"/>
          <w:color w:val="auto"/>
        </w:rPr>
        <w:t>4.4</w:t>
      </w:r>
      <w:r>
        <w:rPr>
          <w:sz w:val="20"/>
          <w:szCs w:val="20"/>
          <w:color w:val="auto"/>
        </w:rPr>
        <w:tab/>
      </w:r>
      <w:r>
        <w:rPr>
          <w:rFonts w:ascii="Arial" w:cs="Arial" w:eastAsia="Arial" w:hAnsi="Arial"/>
          <w:sz w:val="14"/>
          <w:szCs w:val="14"/>
          <w:b w:val="1"/>
          <w:bCs w:val="1"/>
          <w:color w:val="auto"/>
        </w:rPr>
        <w:t>Funding Notices</w:t>
      </w:r>
    </w:p>
    <w:p>
      <w:pPr>
        <w:spacing w:after="0" w:line="75" w:lineRule="exact"/>
        <w:rPr>
          <w:sz w:val="20"/>
          <w:szCs w:val="20"/>
          <w:color w:val="auto"/>
        </w:rPr>
      </w:pPr>
    </w:p>
    <w:p>
      <w:pPr>
        <w:ind w:left="1600" w:hanging="964"/>
        <w:spacing w:after="0"/>
        <w:tabs>
          <w:tab w:leader="none" w:pos="1600" w:val="left"/>
        </w:tabs>
        <w:numPr>
          <w:ilvl w:val="0"/>
          <w:numId w:val="280"/>
        </w:numPr>
        <w:rPr>
          <w:rFonts w:ascii="Arial" w:cs="Arial" w:eastAsia="Arial" w:hAnsi="Arial"/>
          <w:sz w:val="13"/>
          <w:szCs w:val="13"/>
          <w:color w:val="auto"/>
        </w:rPr>
      </w:pPr>
      <w:r>
        <w:rPr>
          <w:rFonts w:ascii="Arial" w:cs="Arial" w:eastAsia="Arial" w:hAnsi="Arial"/>
          <w:sz w:val="13"/>
          <w:szCs w:val="13"/>
          <w:color w:val="auto"/>
        </w:rPr>
        <w:t>A Funding Notice must:</w:t>
      </w:r>
    </w:p>
    <w:p>
      <w:pPr>
        <w:spacing w:after="0" w:line="65" w:lineRule="exact"/>
        <w:rPr>
          <w:rFonts w:ascii="Arial" w:cs="Arial" w:eastAsia="Arial" w:hAnsi="Arial"/>
          <w:sz w:val="13"/>
          <w:szCs w:val="13"/>
          <w:color w:val="auto"/>
        </w:rPr>
      </w:pPr>
    </w:p>
    <w:p>
      <w:pPr>
        <w:ind w:left="1480" w:hanging="492"/>
        <w:spacing w:after="0"/>
        <w:tabs>
          <w:tab w:leader="none" w:pos="1480" w:val="left"/>
        </w:tabs>
        <w:numPr>
          <w:ilvl w:val="1"/>
          <w:numId w:val="280"/>
        </w:numPr>
        <w:rPr>
          <w:rFonts w:ascii="Arial" w:cs="Arial" w:eastAsia="Arial" w:hAnsi="Arial"/>
          <w:sz w:val="13"/>
          <w:szCs w:val="13"/>
          <w:color w:val="auto"/>
        </w:rPr>
      </w:pPr>
      <w:r>
        <w:rPr>
          <w:rFonts w:ascii="Arial" w:cs="Arial" w:eastAsia="Arial" w:hAnsi="Arial"/>
          <w:sz w:val="13"/>
          <w:szCs w:val="13"/>
          <w:color w:val="auto"/>
        </w:rPr>
        <w:t xml:space="preserve">be substantially in the form of </w:t>
      </w:r>
      <w:r>
        <w:rPr>
          <w:rFonts w:ascii="Arial" w:cs="Arial" w:eastAsia="Arial" w:hAnsi="Arial"/>
          <w:sz w:val="13"/>
          <w:szCs w:val="13"/>
          <w:b w:val="1"/>
          <w:bCs w:val="1"/>
          <w:color w:val="auto"/>
        </w:rPr>
        <w:t>schedule 7</w:t>
      </w:r>
      <w:r>
        <w:rPr>
          <w:rFonts w:ascii="Arial" w:cs="Arial" w:eastAsia="Arial" w:hAnsi="Arial"/>
          <w:sz w:val="13"/>
          <w:szCs w:val="13"/>
          <w:color w:val="auto"/>
        </w:rPr>
        <w:t>;</w:t>
      </w:r>
    </w:p>
    <w:p>
      <w:pPr>
        <w:spacing w:after="0" w:line="95" w:lineRule="exact"/>
        <w:rPr>
          <w:rFonts w:ascii="Arial" w:cs="Arial" w:eastAsia="Arial" w:hAnsi="Arial"/>
          <w:sz w:val="13"/>
          <w:szCs w:val="13"/>
          <w:color w:val="auto"/>
        </w:rPr>
      </w:pPr>
    </w:p>
    <w:p>
      <w:pPr>
        <w:ind w:left="1400" w:hanging="412"/>
        <w:spacing w:after="0"/>
        <w:tabs>
          <w:tab w:leader="none" w:pos="1400" w:val="left"/>
        </w:tabs>
        <w:numPr>
          <w:ilvl w:val="1"/>
          <w:numId w:val="280"/>
        </w:numPr>
        <w:rPr>
          <w:rFonts w:ascii="Arial" w:cs="Arial" w:eastAsia="Arial" w:hAnsi="Arial"/>
          <w:sz w:val="13"/>
          <w:szCs w:val="13"/>
          <w:color w:val="auto"/>
        </w:rPr>
      </w:pPr>
      <w:r>
        <w:rPr>
          <w:rFonts w:ascii="Arial" w:cs="Arial" w:eastAsia="Arial" w:hAnsi="Arial"/>
          <w:sz w:val="13"/>
          <w:szCs w:val="13"/>
          <w:color w:val="auto"/>
        </w:rPr>
        <w:t>be signed by an Authorised Representative of the Borrower;</w:t>
      </w:r>
    </w:p>
    <w:p>
      <w:pPr>
        <w:spacing w:after="0" w:line="75" w:lineRule="exact"/>
        <w:rPr>
          <w:rFonts w:ascii="Arial" w:cs="Arial" w:eastAsia="Arial" w:hAnsi="Arial"/>
          <w:sz w:val="13"/>
          <w:szCs w:val="13"/>
          <w:color w:val="auto"/>
        </w:rPr>
      </w:pPr>
    </w:p>
    <w:p>
      <w:pPr>
        <w:ind w:left="1660" w:hanging="672"/>
        <w:spacing w:after="0"/>
        <w:tabs>
          <w:tab w:leader="none" w:pos="1660" w:val="left"/>
        </w:tabs>
        <w:numPr>
          <w:ilvl w:val="1"/>
          <w:numId w:val="280"/>
        </w:numPr>
        <w:rPr>
          <w:rFonts w:ascii="Arial" w:cs="Arial" w:eastAsia="Arial" w:hAnsi="Arial"/>
          <w:sz w:val="13"/>
          <w:szCs w:val="13"/>
          <w:color w:val="auto"/>
        </w:rPr>
      </w:pPr>
      <w:r>
        <w:rPr>
          <w:rFonts w:ascii="Arial" w:cs="Arial" w:eastAsia="Arial" w:hAnsi="Arial"/>
          <w:sz w:val="13"/>
          <w:szCs w:val="13"/>
          <w:color w:val="auto"/>
        </w:rPr>
        <w:t>specify the proposed Funding Date which must be a Business Day during the Availability Period;</w:t>
      </w:r>
    </w:p>
    <w:p>
      <w:pPr>
        <w:spacing w:after="0" w:line="66" w:lineRule="exact"/>
        <w:rPr>
          <w:rFonts w:ascii="Arial" w:cs="Arial" w:eastAsia="Arial" w:hAnsi="Arial"/>
          <w:sz w:val="13"/>
          <w:szCs w:val="13"/>
          <w:color w:val="auto"/>
        </w:rPr>
      </w:pPr>
    </w:p>
    <w:p>
      <w:pPr>
        <w:ind w:left="2180" w:hanging="1192"/>
        <w:spacing w:after="0"/>
        <w:tabs>
          <w:tab w:leader="none" w:pos="2180" w:val="left"/>
        </w:tabs>
        <w:numPr>
          <w:ilvl w:val="1"/>
          <w:numId w:val="280"/>
        </w:numPr>
        <w:rPr>
          <w:rFonts w:ascii="Arial" w:cs="Arial" w:eastAsia="Arial" w:hAnsi="Arial"/>
          <w:sz w:val="13"/>
          <w:szCs w:val="13"/>
          <w:color w:val="auto"/>
        </w:rPr>
      </w:pPr>
      <w:r>
        <w:rPr>
          <w:rFonts w:ascii="Arial" w:cs="Arial" w:eastAsia="Arial" w:hAnsi="Arial"/>
          <w:sz w:val="13"/>
          <w:szCs w:val="13"/>
          <w:color w:val="auto"/>
        </w:rPr>
        <w:t>specify the amount of the proposed Advance or the Aggregate Amount of the proposed Drawing;</w:t>
      </w:r>
    </w:p>
    <w:p>
      <w:pPr>
        <w:spacing w:after="0" w:line="57" w:lineRule="exact"/>
        <w:rPr>
          <w:rFonts w:ascii="Arial" w:cs="Arial" w:eastAsia="Arial" w:hAnsi="Arial"/>
          <w:sz w:val="13"/>
          <w:szCs w:val="13"/>
          <w:color w:val="auto"/>
        </w:rPr>
      </w:pPr>
    </w:p>
    <w:p>
      <w:pPr>
        <w:ind w:left="1400" w:hanging="412"/>
        <w:spacing w:after="0"/>
        <w:tabs>
          <w:tab w:leader="none" w:pos="1400" w:val="left"/>
        </w:tabs>
        <w:numPr>
          <w:ilvl w:val="1"/>
          <w:numId w:val="280"/>
        </w:numPr>
        <w:rPr>
          <w:rFonts w:ascii="Arial" w:cs="Arial" w:eastAsia="Arial" w:hAnsi="Arial"/>
          <w:sz w:val="13"/>
          <w:szCs w:val="13"/>
          <w:color w:val="auto"/>
        </w:rPr>
      </w:pPr>
      <w:r>
        <w:rPr>
          <w:rFonts w:ascii="Arial" w:cs="Arial" w:eastAsia="Arial" w:hAnsi="Arial"/>
          <w:sz w:val="13"/>
          <w:szCs w:val="13"/>
          <w:color w:val="auto"/>
        </w:rPr>
        <w:t>specify the duration of the Pricing Period for each Advance; and</w:t>
      </w:r>
    </w:p>
    <w:p>
      <w:pPr>
        <w:spacing w:after="0" w:line="84" w:lineRule="exact"/>
        <w:rPr>
          <w:rFonts w:ascii="Arial" w:cs="Arial" w:eastAsia="Arial" w:hAnsi="Arial"/>
          <w:sz w:val="13"/>
          <w:szCs w:val="13"/>
          <w:color w:val="auto"/>
        </w:rPr>
      </w:pPr>
    </w:p>
    <w:p>
      <w:pPr>
        <w:ind w:left="1500" w:hanging="512"/>
        <w:spacing w:after="0"/>
        <w:tabs>
          <w:tab w:leader="none" w:pos="1500" w:val="left"/>
        </w:tabs>
        <w:numPr>
          <w:ilvl w:val="1"/>
          <w:numId w:val="280"/>
        </w:numPr>
        <w:rPr>
          <w:rFonts w:ascii="Arial" w:cs="Arial" w:eastAsia="Arial" w:hAnsi="Arial"/>
          <w:sz w:val="13"/>
          <w:szCs w:val="13"/>
          <w:color w:val="auto"/>
        </w:rPr>
      </w:pPr>
      <w:r>
        <w:rPr>
          <w:rFonts w:ascii="Arial" w:cs="Arial" w:eastAsia="Arial" w:hAnsi="Arial"/>
          <w:sz w:val="13"/>
          <w:szCs w:val="13"/>
          <w:color w:val="auto"/>
        </w:rPr>
        <w:t>in the case of any Drawing, specify whether the Drawing is:</w:t>
      </w:r>
    </w:p>
    <w:p>
      <w:pPr>
        <w:spacing w:after="0" w:line="75" w:lineRule="exact"/>
        <w:rPr>
          <w:rFonts w:ascii="Arial" w:cs="Arial" w:eastAsia="Arial" w:hAnsi="Arial"/>
          <w:sz w:val="13"/>
          <w:szCs w:val="13"/>
          <w:color w:val="auto"/>
        </w:rPr>
      </w:pPr>
    </w:p>
    <w:p>
      <w:pPr>
        <w:ind w:left="1720" w:hanging="399"/>
        <w:spacing w:after="0" w:line="244" w:lineRule="auto"/>
        <w:tabs>
          <w:tab w:leader="none" w:pos="1720" w:val="left"/>
        </w:tabs>
        <w:numPr>
          <w:ilvl w:val="2"/>
          <w:numId w:val="280"/>
        </w:numPr>
        <w:rPr>
          <w:rFonts w:ascii="Arial" w:cs="Arial" w:eastAsia="Arial" w:hAnsi="Arial"/>
          <w:sz w:val="13"/>
          <w:szCs w:val="13"/>
          <w:color w:val="auto"/>
        </w:rPr>
      </w:pPr>
      <w:r>
        <w:rPr>
          <w:rFonts w:ascii="Arial" w:cs="Arial" w:eastAsia="Arial" w:hAnsi="Arial"/>
          <w:sz w:val="13"/>
          <w:szCs w:val="13"/>
          <w:color w:val="auto"/>
        </w:rPr>
        <w:t>to comprise the issue of a new Bank Guarantee, and if so, also specify the date to be shown as the Expiry Date, the person to be named as the Beneficiary and the Face Value of each requested Bank Guarantees; or</w:t>
      </w:r>
    </w:p>
    <w:p>
      <w:pPr>
        <w:spacing w:after="0" w:line="56" w:lineRule="exact"/>
        <w:rPr>
          <w:rFonts w:ascii="Arial" w:cs="Arial" w:eastAsia="Arial" w:hAnsi="Arial"/>
          <w:sz w:val="13"/>
          <w:szCs w:val="13"/>
          <w:color w:val="auto"/>
        </w:rPr>
      </w:pPr>
    </w:p>
    <w:p>
      <w:pPr>
        <w:ind w:left="1720" w:right="20" w:hanging="399"/>
        <w:spacing w:after="0" w:line="244" w:lineRule="auto"/>
        <w:tabs>
          <w:tab w:leader="none" w:pos="1720" w:val="left"/>
        </w:tabs>
        <w:numPr>
          <w:ilvl w:val="2"/>
          <w:numId w:val="280"/>
        </w:numPr>
        <w:rPr>
          <w:rFonts w:ascii="Arial" w:cs="Arial" w:eastAsia="Arial" w:hAnsi="Arial"/>
          <w:sz w:val="13"/>
          <w:szCs w:val="13"/>
          <w:color w:val="auto"/>
        </w:rPr>
      </w:pPr>
      <w:r>
        <w:rPr>
          <w:rFonts w:ascii="Arial" w:cs="Arial" w:eastAsia="Arial" w:hAnsi="Arial"/>
          <w:sz w:val="13"/>
          <w:szCs w:val="13"/>
          <w:color w:val="auto"/>
        </w:rPr>
        <w:t>deemed to comprise an existing bank guarantee that prior to the date of this document has been issued by the Bank at the request of the Borrower and, if so, specify the date shown as the Expiry Date, the person named as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161925</wp:posOffset>
            </wp:positionV>
            <wp:extent cx="6208395"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208395" cy="42545"/>
                    </a:xfrm>
                    <a:prstGeom prst="rect">
                      <a:avLst/>
                    </a:prstGeom>
                    <a:noFill/>
                  </pic:spPr>
                </pic:pic>
              </a:graphicData>
            </a:graphic>
          </wp:anchor>
        </w:drawing>
      </w:r>
    </w:p>
    <w:p>
      <w:pPr>
        <w:sectPr>
          <w:pgSz w:w="11900" w:h="16838" w:orient="portrait"/>
          <w:cols w:equalWidth="0" w:num="1">
            <w:col w:w="9420"/>
          </w:cols>
          <w:pgMar w:left="1440" w:top="560" w:right="1039" w:bottom="1440" w:gutter="0" w:footer="0" w:header="0"/>
        </w:sectPr>
      </w:pPr>
    </w:p>
    <w:bookmarkStart w:id="243" w:name="page244"/>
    <w:bookmarkEnd w:id="243"/>
    <w:p>
      <w:pPr>
        <w:ind w:left="3760"/>
        <w:spacing w:after="0"/>
        <w:rPr>
          <w:sz w:val="20"/>
          <w:szCs w:val="20"/>
          <w:color w:val="auto"/>
        </w:rPr>
      </w:pPr>
      <w:r>
        <w:rPr>
          <w:rFonts w:ascii="Arial" w:cs="Arial" w:eastAsia="Arial" w:hAnsi="Arial"/>
          <w:sz w:val="13"/>
          <w:szCs w:val="13"/>
          <w:color w:val="auto"/>
        </w:rPr>
        <w:t>Beneficiary and the Face Value of that bank guarantee.</w:t>
      </w:r>
    </w:p>
    <w:p>
      <w:pPr>
        <w:spacing w:after="0" w:line="76" w:lineRule="exact"/>
        <w:rPr>
          <w:sz w:val="20"/>
          <w:szCs w:val="20"/>
          <w:color w:val="auto"/>
        </w:rPr>
      </w:pPr>
    </w:p>
    <w:p>
      <w:pPr>
        <w:ind w:left="1240" w:hanging="604"/>
        <w:spacing w:after="0"/>
        <w:tabs>
          <w:tab w:leader="none" w:pos="1240" w:val="left"/>
        </w:tabs>
        <w:numPr>
          <w:ilvl w:val="0"/>
          <w:numId w:val="281"/>
        </w:numPr>
        <w:rPr>
          <w:rFonts w:ascii="Arial" w:cs="Arial" w:eastAsia="Arial" w:hAnsi="Arial"/>
          <w:sz w:val="13"/>
          <w:szCs w:val="13"/>
          <w:color w:val="auto"/>
        </w:rPr>
      </w:pPr>
      <w:r>
        <w:rPr>
          <w:rFonts w:ascii="Arial" w:cs="Arial" w:eastAsia="Arial" w:hAnsi="Arial"/>
          <w:sz w:val="13"/>
          <w:szCs w:val="13"/>
          <w:color w:val="auto"/>
        </w:rPr>
        <w:t>The requirement of a Funding Notice is for the benefit of the Bank. The Bank may waive the requirement at any time and in any manner.</w:t>
      </w:r>
    </w:p>
    <w:p>
      <w:pPr>
        <w:spacing w:after="0" w:line="66" w:lineRule="exact"/>
        <w:rPr>
          <w:rFonts w:ascii="Arial" w:cs="Arial" w:eastAsia="Arial" w:hAnsi="Arial"/>
          <w:sz w:val="13"/>
          <w:szCs w:val="13"/>
          <w:color w:val="auto"/>
        </w:rPr>
      </w:pPr>
    </w:p>
    <w:p>
      <w:pPr>
        <w:ind w:left="2000" w:hanging="1364"/>
        <w:spacing w:after="0"/>
        <w:tabs>
          <w:tab w:leader="none" w:pos="2000" w:val="left"/>
        </w:tabs>
        <w:numPr>
          <w:ilvl w:val="0"/>
          <w:numId w:val="281"/>
        </w:numPr>
        <w:rPr>
          <w:rFonts w:ascii="Arial" w:cs="Arial" w:eastAsia="Arial" w:hAnsi="Arial"/>
          <w:sz w:val="13"/>
          <w:szCs w:val="13"/>
          <w:color w:val="auto"/>
        </w:rPr>
      </w:pPr>
      <w:r>
        <w:rPr>
          <w:rFonts w:ascii="Arial" w:cs="Arial" w:eastAsia="Arial" w:hAnsi="Arial"/>
          <w:sz w:val="13"/>
          <w:szCs w:val="13"/>
          <w:color w:val="auto"/>
        </w:rPr>
        <w:t>A Funding Notice is irrevocable from the time of its actual receipt in legible form by the Bank.</w:t>
      </w:r>
    </w:p>
    <w:p>
      <w:pPr>
        <w:spacing w:after="0" w:line="74" w:lineRule="exact"/>
        <w:rPr>
          <w:sz w:val="20"/>
          <w:szCs w:val="20"/>
          <w:color w:val="auto"/>
        </w:rPr>
      </w:pPr>
    </w:p>
    <w:tbl>
      <w:tblPr>
        <w:tblLayout w:type="fixed"/>
        <w:tblInd w:w="140" w:type="dxa"/>
        <w:tblCellMar>
          <w:top w:w="0" w:type="dxa"/>
          <w:left w:w="0" w:type="dxa"/>
          <w:bottom w:w="0" w:type="dxa"/>
          <w:right w:w="0" w:type="dxa"/>
        </w:tblCellMar>
      </w:tblPr>
      <w:tr>
        <w:trPr>
          <w:trHeight w:val="190"/>
        </w:trPr>
        <w:tc>
          <w:tcPr>
            <w:tcW w:w="660" w:type="dxa"/>
            <w:vAlign w:val="bottom"/>
          </w:tcPr>
          <w:p>
            <w:pPr>
              <w:jc w:val="right"/>
              <w:ind w:right="388"/>
              <w:spacing w:after="0"/>
              <w:rPr>
                <w:sz w:val="20"/>
                <w:szCs w:val="20"/>
                <w:color w:val="auto"/>
              </w:rPr>
            </w:pPr>
            <w:r>
              <w:rPr>
                <w:rFonts w:ascii="Arial" w:cs="Arial" w:eastAsia="Arial" w:hAnsi="Arial"/>
                <w:sz w:val="14"/>
                <w:szCs w:val="14"/>
                <w:b w:val="1"/>
                <w:bCs w:val="1"/>
                <w:color w:val="auto"/>
                <w:w w:val="92"/>
              </w:rPr>
              <w:t>4.5</w:t>
            </w:r>
          </w:p>
        </w:tc>
        <w:tc>
          <w:tcPr>
            <w:tcW w:w="2440" w:type="dxa"/>
            <w:vAlign w:val="bottom"/>
          </w:tcPr>
          <w:p>
            <w:pPr>
              <w:ind w:left="1820"/>
              <w:spacing w:after="0"/>
              <w:rPr>
                <w:sz w:val="20"/>
                <w:szCs w:val="20"/>
                <w:color w:val="auto"/>
              </w:rPr>
            </w:pPr>
            <w:r>
              <w:rPr>
                <w:rFonts w:ascii="Arial" w:cs="Arial" w:eastAsia="Arial" w:hAnsi="Arial"/>
                <w:sz w:val="14"/>
                <w:szCs w:val="14"/>
                <w:b w:val="1"/>
                <w:bCs w:val="1"/>
                <w:color w:val="auto"/>
              </w:rPr>
              <w:t>Not used</w:t>
            </w:r>
          </w:p>
        </w:tc>
      </w:tr>
      <w:tr>
        <w:trPr>
          <w:trHeight w:val="243"/>
        </w:trPr>
        <w:tc>
          <w:tcPr>
            <w:tcW w:w="660" w:type="dxa"/>
            <w:vAlign w:val="bottom"/>
          </w:tcPr>
          <w:p>
            <w:pPr>
              <w:jc w:val="right"/>
              <w:ind w:right="388"/>
              <w:spacing w:after="0"/>
              <w:rPr>
                <w:sz w:val="20"/>
                <w:szCs w:val="20"/>
                <w:color w:val="auto"/>
              </w:rPr>
            </w:pPr>
            <w:r>
              <w:rPr>
                <w:rFonts w:ascii="Arial" w:cs="Arial" w:eastAsia="Arial" w:hAnsi="Arial"/>
                <w:sz w:val="14"/>
                <w:szCs w:val="14"/>
                <w:b w:val="1"/>
                <w:bCs w:val="1"/>
                <w:color w:val="auto"/>
                <w:w w:val="92"/>
              </w:rPr>
              <w:t>4.6</w:t>
            </w:r>
          </w:p>
        </w:tc>
        <w:tc>
          <w:tcPr>
            <w:tcW w:w="2440" w:type="dxa"/>
            <w:vAlign w:val="bottom"/>
          </w:tcPr>
          <w:p>
            <w:pPr>
              <w:ind w:left="1820"/>
              <w:spacing w:after="0"/>
              <w:rPr>
                <w:sz w:val="20"/>
                <w:szCs w:val="20"/>
                <w:color w:val="auto"/>
              </w:rPr>
            </w:pPr>
            <w:r>
              <w:rPr>
                <w:rFonts w:ascii="Arial" w:cs="Arial" w:eastAsia="Arial" w:hAnsi="Arial"/>
                <w:sz w:val="14"/>
                <w:szCs w:val="14"/>
                <w:b w:val="1"/>
                <w:bCs w:val="1"/>
                <w:color w:val="auto"/>
              </w:rPr>
              <w:t>Not used</w:t>
            </w:r>
          </w:p>
        </w:tc>
      </w:tr>
      <w:tr>
        <w:trPr>
          <w:trHeight w:val="243"/>
        </w:trPr>
        <w:tc>
          <w:tcPr>
            <w:tcW w:w="660" w:type="dxa"/>
            <w:vAlign w:val="bottom"/>
          </w:tcPr>
          <w:p>
            <w:pPr>
              <w:jc w:val="right"/>
              <w:ind w:right="388"/>
              <w:spacing w:after="0"/>
              <w:rPr>
                <w:sz w:val="20"/>
                <w:szCs w:val="20"/>
                <w:color w:val="auto"/>
              </w:rPr>
            </w:pPr>
            <w:r>
              <w:rPr>
                <w:rFonts w:ascii="Arial" w:cs="Arial" w:eastAsia="Arial" w:hAnsi="Arial"/>
                <w:sz w:val="14"/>
                <w:szCs w:val="14"/>
                <w:b w:val="1"/>
                <w:bCs w:val="1"/>
                <w:color w:val="auto"/>
                <w:w w:val="92"/>
              </w:rPr>
              <w:t>4.7</w:t>
            </w:r>
          </w:p>
        </w:tc>
        <w:tc>
          <w:tcPr>
            <w:tcW w:w="2440" w:type="dxa"/>
            <w:vAlign w:val="bottom"/>
          </w:tcPr>
          <w:p>
            <w:pPr>
              <w:ind w:left="1820"/>
              <w:spacing w:after="0"/>
              <w:rPr>
                <w:sz w:val="20"/>
                <w:szCs w:val="20"/>
                <w:color w:val="auto"/>
              </w:rPr>
            </w:pPr>
            <w:r>
              <w:rPr>
                <w:rFonts w:ascii="Arial" w:cs="Arial" w:eastAsia="Arial" w:hAnsi="Arial"/>
                <w:sz w:val="14"/>
                <w:szCs w:val="14"/>
                <w:b w:val="1"/>
                <w:bCs w:val="1"/>
                <w:color w:val="auto"/>
              </w:rPr>
              <w:t>Not used</w:t>
            </w:r>
          </w:p>
        </w:tc>
      </w:tr>
      <w:tr>
        <w:trPr>
          <w:trHeight w:val="252"/>
        </w:trPr>
        <w:tc>
          <w:tcPr>
            <w:tcW w:w="660" w:type="dxa"/>
            <w:vAlign w:val="bottom"/>
          </w:tcPr>
          <w:p>
            <w:pPr>
              <w:jc w:val="right"/>
              <w:ind w:right="388"/>
              <w:spacing w:after="0"/>
              <w:rPr>
                <w:sz w:val="20"/>
                <w:szCs w:val="20"/>
                <w:color w:val="auto"/>
              </w:rPr>
            </w:pPr>
            <w:r>
              <w:rPr>
                <w:rFonts w:ascii="Arial" w:cs="Arial" w:eastAsia="Arial" w:hAnsi="Arial"/>
                <w:sz w:val="14"/>
                <w:szCs w:val="14"/>
                <w:b w:val="1"/>
                <w:bCs w:val="1"/>
                <w:color w:val="auto"/>
                <w:w w:val="92"/>
              </w:rPr>
              <w:t>4.8</w:t>
            </w:r>
          </w:p>
        </w:tc>
        <w:tc>
          <w:tcPr>
            <w:tcW w:w="2440" w:type="dxa"/>
            <w:vAlign w:val="bottom"/>
          </w:tcPr>
          <w:p>
            <w:pPr>
              <w:ind w:left="480"/>
              <w:spacing w:after="0"/>
              <w:rPr>
                <w:sz w:val="20"/>
                <w:szCs w:val="20"/>
                <w:color w:val="auto"/>
              </w:rPr>
            </w:pPr>
            <w:r>
              <w:rPr>
                <w:rFonts w:ascii="Arial" w:cs="Arial" w:eastAsia="Arial" w:hAnsi="Arial"/>
                <w:sz w:val="14"/>
                <w:szCs w:val="14"/>
                <w:b w:val="1"/>
                <w:bCs w:val="1"/>
                <w:color w:val="auto"/>
              </w:rPr>
              <w:t>Bank Guarantee Facilities</w:t>
            </w:r>
          </w:p>
        </w:tc>
      </w:tr>
    </w:tbl>
    <w:p>
      <w:pPr>
        <w:spacing w:after="0" w:line="46" w:lineRule="exact"/>
        <w:rPr>
          <w:sz w:val="20"/>
          <w:szCs w:val="20"/>
          <w:color w:val="auto"/>
        </w:rPr>
      </w:pPr>
    </w:p>
    <w:p>
      <w:pPr>
        <w:ind w:left="640"/>
        <w:spacing w:after="0"/>
        <w:rPr>
          <w:sz w:val="20"/>
          <w:szCs w:val="20"/>
          <w:color w:val="auto"/>
        </w:rPr>
      </w:pPr>
      <w:r>
        <w:rPr>
          <w:rFonts w:ascii="Arial" w:cs="Arial" w:eastAsia="Arial" w:hAnsi="Arial"/>
          <w:sz w:val="13"/>
          <w:szCs w:val="13"/>
          <w:color w:val="auto"/>
        </w:rPr>
        <w:t>In the case of the Bank Guarantee Facility on the Funding Date specified in the Funding Notice:</w:t>
      </w:r>
    </w:p>
    <w:p>
      <w:pPr>
        <w:spacing w:after="0" w:line="42" w:lineRule="exact"/>
        <w:rPr>
          <w:sz w:val="20"/>
          <w:szCs w:val="20"/>
          <w:color w:val="auto"/>
        </w:rPr>
      </w:pPr>
    </w:p>
    <w:p>
      <w:pPr>
        <w:ind w:left="1060" w:right="60" w:hanging="419"/>
        <w:spacing w:after="0" w:line="269" w:lineRule="auto"/>
        <w:tabs>
          <w:tab w:leader="none" w:pos="1040" w:val="left"/>
        </w:tabs>
        <w:rPr>
          <w:sz w:val="20"/>
          <w:szCs w:val="20"/>
          <w:color w:val="auto"/>
        </w:rPr>
      </w:pPr>
      <w:r>
        <w:rPr>
          <w:rFonts w:ascii="Arial" w:cs="Arial" w:eastAsia="Arial" w:hAnsi="Arial"/>
          <w:sz w:val="13"/>
          <w:szCs w:val="13"/>
          <w:color w:val="auto"/>
        </w:rPr>
        <w:t>(a)</w:t>
      </w:r>
      <w:r>
        <w:rPr>
          <w:sz w:val="20"/>
          <w:szCs w:val="20"/>
          <w:color w:val="auto"/>
        </w:rPr>
        <w:tab/>
      </w:r>
      <w:r>
        <w:rPr>
          <w:rFonts w:ascii="Arial" w:cs="Arial" w:eastAsia="Arial" w:hAnsi="Arial"/>
          <w:sz w:val="13"/>
          <w:szCs w:val="13"/>
          <w:color w:val="auto"/>
        </w:rPr>
        <w:t xml:space="preserve">the Bank must for the purposes of a Drawing contemplated under </w:t>
      </w:r>
      <w:r>
        <w:rPr>
          <w:rFonts w:ascii="Arial" w:cs="Arial" w:eastAsia="Arial" w:hAnsi="Arial"/>
          <w:sz w:val="13"/>
          <w:szCs w:val="13"/>
          <w:b w:val="1"/>
          <w:bCs w:val="1"/>
          <w:color w:val="auto"/>
        </w:rPr>
        <w:t>clause 4.4(a)(vi)(A)</w:t>
      </w:r>
      <w:r>
        <w:rPr>
          <w:rFonts w:ascii="Arial" w:cs="Arial" w:eastAsia="Arial" w:hAnsi="Arial"/>
          <w:sz w:val="13"/>
          <w:szCs w:val="13"/>
          <w:color w:val="auto"/>
        </w:rPr>
        <w:t>, issue each Bank Guarantee requested in the Funding Notice in accordance with that Funding Notice; or</w:t>
      </w:r>
    </w:p>
    <w:p>
      <w:pPr>
        <w:spacing w:after="0" w:line="34" w:lineRule="exact"/>
        <w:rPr>
          <w:sz w:val="20"/>
          <w:szCs w:val="20"/>
          <w:color w:val="auto"/>
        </w:rPr>
      </w:pPr>
    </w:p>
    <w:p>
      <w:pPr>
        <w:jc w:val="center"/>
        <w:ind w:left="2380" w:right="140"/>
        <w:spacing w:after="0" w:line="269" w:lineRule="auto"/>
        <w:tabs>
          <w:tab w:leader="none" w:pos="260" w:val="left"/>
        </w:tabs>
        <w:rPr>
          <w:sz w:val="20"/>
          <w:szCs w:val="20"/>
          <w:color w:val="auto"/>
        </w:rPr>
      </w:pPr>
      <w:r>
        <w:rPr>
          <w:rFonts w:ascii="Arial" w:cs="Arial" w:eastAsia="Arial" w:hAnsi="Arial"/>
          <w:sz w:val="13"/>
          <w:szCs w:val="13"/>
          <w:color w:val="auto"/>
        </w:rPr>
        <w:t>(b)</w:t>
      </w:r>
      <w:r>
        <w:rPr>
          <w:sz w:val="20"/>
          <w:szCs w:val="20"/>
          <w:color w:val="auto"/>
        </w:rPr>
        <w:tab/>
      </w:r>
      <w:r>
        <w:rPr>
          <w:rFonts w:ascii="Arial" w:cs="Arial" w:eastAsia="Arial" w:hAnsi="Arial"/>
          <w:sz w:val="13"/>
          <w:szCs w:val="13"/>
          <w:color w:val="auto"/>
        </w:rPr>
        <w:t xml:space="preserve">the parties agree that for the purposes of a Drawing contemplated under </w:t>
      </w:r>
      <w:r>
        <w:rPr>
          <w:rFonts w:ascii="Arial" w:cs="Arial" w:eastAsia="Arial" w:hAnsi="Arial"/>
          <w:sz w:val="13"/>
          <w:szCs w:val="13"/>
          <w:b w:val="1"/>
          <w:bCs w:val="1"/>
          <w:color w:val="auto"/>
        </w:rPr>
        <w:t>clause 4.4(a)(vi)(B)</w:t>
      </w:r>
      <w:r>
        <w:rPr>
          <w:rFonts w:ascii="Arial" w:cs="Arial" w:eastAsia="Arial" w:hAnsi="Arial"/>
          <w:sz w:val="13"/>
          <w:szCs w:val="13"/>
          <w:color w:val="auto"/>
        </w:rPr>
        <w:t>, the existing bank guarantee referred to in the Funding Notice is deemed to be a Bank Guarantee issued in accordance with the Bank Guarantee Facility and that Funding Notice.</w:t>
      </w:r>
    </w:p>
    <w:p>
      <w:pPr>
        <w:spacing w:after="0" w:line="48" w:lineRule="exact"/>
        <w:rPr>
          <w:sz w:val="20"/>
          <w:szCs w:val="20"/>
          <w:color w:val="auto"/>
        </w:rPr>
      </w:pPr>
    </w:p>
    <w:p>
      <w:pPr>
        <w:ind w:left="140"/>
        <w:spacing w:after="0"/>
        <w:tabs>
          <w:tab w:leader="none" w:pos="2080" w:val="left"/>
        </w:tabs>
        <w:rPr>
          <w:sz w:val="20"/>
          <w:szCs w:val="20"/>
          <w:color w:val="auto"/>
        </w:rPr>
      </w:pPr>
      <w:r>
        <w:rPr>
          <w:rFonts w:ascii="Arial" w:cs="Arial" w:eastAsia="Arial" w:hAnsi="Arial"/>
          <w:sz w:val="14"/>
          <w:szCs w:val="14"/>
          <w:b w:val="1"/>
          <w:bCs w:val="1"/>
          <w:color w:val="auto"/>
        </w:rPr>
        <w:t>4.9</w:t>
      </w:r>
      <w:r>
        <w:rPr>
          <w:sz w:val="20"/>
          <w:szCs w:val="20"/>
          <w:color w:val="auto"/>
        </w:rPr>
        <w:tab/>
      </w:r>
      <w:r>
        <w:rPr>
          <w:rFonts w:ascii="Arial" w:cs="Arial" w:eastAsia="Arial" w:hAnsi="Arial"/>
          <w:sz w:val="14"/>
          <w:szCs w:val="14"/>
          <w:b w:val="1"/>
          <w:bCs w:val="1"/>
          <w:color w:val="auto"/>
        </w:rPr>
        <w:t>Cancellation</w:t>
      </w:r>
    </w:p>
    <w:p>
      <w:pPr>
        <w:spacing w:after="0" w:line="75" w:lineRule="exact"/>
        <w:rPr>
          <w:sz w:val="20"/>
          <w:szCs w:val="20"/>
          <w:color w:val="auto"/>
        </w:rPr>
      </w:pPr>
    </w:p>
    <w:p>
      <w:pPr>
        <w:ind w:left="640"/>
        <w:spacing w:after="0"/>
        <w:rPr>
          <w:sz w:val="20"/>
          <w:szCs w:val="20"/>
          <w:color w:val="auto"/>
        </w:rPr>
      </w:pPr>
      <w:r>
        <w:rPr>
          <w:rFonts w:ascii="Arial" w:cs="Arial" w:eastAsia="Arial" w:hAnsi="Arial"/>
          <w:sz w:val="13"/>
          <w:szCs w:val="13"/>
          <w:color w:val="auto"/>
        </w:rPr>
        <w:t>The Borrower may cancel the Available Commitment or any part of it (being</w:t>
      </w:r>
    </w:p>
    <w:p>
      <w:pPr>
        <w:spacing w:after="0" w:line="13" w:lineRule="exact"/>
        <w:rPr>
          <w:sz w:val="20"/>
          <w:szCs w:val="20"/>
          <w:color w:val="auto"/>
        </w:rPr>
      </w:pPr>
    </w:p>
    <w:p>
      <w:pPr>
        <w:ind w:left="640" w:right="140"/>
        <w:spacing w:after="0" w:line="238" w:lineRule="auto"/>
        <w:rPr>
          <w:sz w:val="20"/>
          <w:szCs w:val="20"/>
          <w:color w:val="auto"/>
        </w:rPr>
      </w:pPr>
      <w:r>
        <w:rPr>
          <w:rFonts w:ascii="Arial" w:cs="Arial" w:eastAsia="Arial" w:hAnsi="Arial"/>
          <w:sz w:val="13"/>
          <w:szCs w:val="13"/>
          <w:color w:val="auto"/>
        </w:rPr>
        <w:t>$100,000 or an integral multiple of that amount) by giving 30 Business Days’ notice to the Bank specifying the amount to be cancelled and the date on which the cancellation takes effect. The cancellation takes effect on the date specified in the notice (which must be a date not earlier than five Business Days after the date the Bank receives the notice).</w:t>
      </w:r>
    </w:p>
    <w:p>
      <w:pPr>
        <w:spacing w:after="0" w:line="67" w:lineRule="exact"/>
        <w:rPr>
          <w:sz w:val="20"/>
          <w:szCs w:val="20"/>
          <w:color w:val="auto"/>
        </w:rPr>
      </w:pPr>
    </w:p>
    <w:p>
      <w:pPr>
        <w:ind w:left="140"/>
        <w:spacing w:after="0"/>
        <w:tabs>
          <w:tab w:leader="none" w:pos="2060" w:val="left"/>
        </w:tabs>
        <w:rPr>
          <w:sz w:val="20"/>
          <w:szCs w:val="20"/>
          <w:color w:val="auto"/>
        </w:rPr>
      </w:pPr>
      <w:r>
        <w:rPr>
          <w:rFonts w:ascii="Arial" w:cs="Arial" w:eastAsia="Arial" w:hAnsi="Arial"/>
          <w:sz w:val="14"/>
          <w:szCs w:val="14"/>
          <w:b w:val="1"/>
          <w:bCs w:val="1"/>
          <w:color w:val="auto"/>
        </w:rPr>
        <w:t>4.10</w:t>
      </w:r>
      <w:r>
        <w:rPr>
          <w:sz w:val="20"/>
          <w:szCs w:val="20"/>
          <w:color w:val="auto"/>
        </w:rPr>
        <w:tab/>
      </w:r>
      <w:r>
        <w:rPr>
          <w:rFonts w:ascii="Arial" w:cs="Arial" w:eastAsia="Arial" w:hAnsi="Arial"/>
          <w:sz w:val="14"/>
          <w:szCs w:val="14"/>
          <w:b w:val="1"/>
          <w:bCs w:val="1"/>
          <w:color w:val="auto"/>
        </w:rPr>
        <w:t>Market disruption</w:t>
      </w:r>
    </w:p>
    <w:p>
      <w:pPr>
        <w:spacing w:after="0" w:line="75" w:lineRule="exact"/>
        <w:rPr>
          <w:sz w:val="20"/>
          <w:szCs w:val="20"/>
          <w:color w:val="auto"/>
        </w:rPr>
      </w:pPr>
    </w:p>
    <w:p>
      <w:pPr>
        <w:ind w:left="1120" w:hanging="484"/>
        <w:spacing w:after="0" w:line="244" w:lineRule="auto"/>
        <w:tabs>
          <w:tab w:leader="none" w:pos="1120" w:val="left"/>
        </w:tabs>
        <w:numPr>
          <w:ilvl w:val="0"/>
          <w:numId w:val="282"/>
        </w:numPr>
        <w:rPr>
          <w:rFonts w:ascii="Arial" w:cs="Arial" w:eastAsia="Arial" w:hAnsi="Arial"/>
          <w:sz w:val="13"/>
          <w:szCs w:val="13"/>
          <w:color w:val="auto"/>
        </w:rPr>
      </w:pPr>
      <w:r>
        <w:rPr>
          <w:rFonts w:ascii="Arial" w:cs="Arial" w:eastAsia="Arial" w:hAnsi="Arial"/>
          <w:sz w:val="13"/>
          <w:szCs w:val="13"/>
          <w:color w:val="auto"/>
        </w:rPr>
        <w:t>If the Bank determines that a Market Disruption Event occurs or has occurred in relation to an Advance, then the Bank will promptly notify the Borrower, and the Interest Rate on that Advance for that Pricing Period will be the rate per annum which is the sum of:</w:t>
      </w:r>
    </w:p>
    <w:p>
      <w:pPr>
        <w:spacing w:after="0" w:line="56" w:lineRule="exact"/>
        <w:rPr>
          <w:rFonts w:ascii="Arial" w:cs="Arial" w:eastAsia="Arial" w:hAnsi="Arial"/>
          <w:sz w:val="13"/>
          <w:szCs w:val="13"/>
          <w:color w:val="auto"/>
        </w:rPr>
      </w:pPr>
    </w:p>
    <w:p>
      <w:pPr>
        <w:ind w:left="1560" w:hanging="572"/>
        <w:spacing w:after="0"/>
        <w:tabs>
          <w:tab w:leader="none" w:pos="1560" w:val="left"/>
        </w:tabs>
        <w:numPr>
          <w:ilvl w:val="1"/>
          <w:numId w:val="282"/>
        </w:numPr>
        <w:rPr>
          <w:rFonts w:ascii="Arial" w:cs="Arial" w:eastAsia="Arial" w:hAnsi="Arial"/>
          <w:sz w:val="13"/>
          <w:szCs w:val="13"/>
          <w:color w:val="auto"/>
        </w:rPr>
      </w:pPr>
      <w:r>
        <w:rPr>
          <w:rFonts w:ascii="Arial" w:cs="Arial" w:eastAsia="Arial" w:hAnsi="Arial"/>
          <w:sz w:val="13"/>
          <w:szCs w:val="13"/>
          <w:color w:val="auto"/>
        </w:rPr>
        <w:t>the Margin for the Advance; and</w:t>
      </w:r>
    </w:p>
    <w:p>
      <w:pPr>
        <w:spacing w:after="0" w:line="75" w:lineRule="exact"/>
        <w:rPr>
          <w:rFonts w:ascii="Arial" w:cs="Arial" w:eastAsia="Arial" w:hAnsi="Arial"/>
          <w:sz w:val="13"/>
          <w:szCs w:val="13"/>
          <w:color w:val="auto"/>
        </w:rPr>
      </w:pPr>
    </w:p>
    <w:p>
      <w:pPr>
        <w:ind w:left="1540" w:right="40" w:hanging="552"/>
        <w:spacing w:after="0" w:line="238" w:lineRule="auto"/>
        <w:tabs>
          <w:tab w:leader="none" w:pos="1540" w:val="left"/>
        </w:tabs>
        <w:numPr>
          <w:ilvl w:val="1"/>
          <w:numId w:val="282"/>
        </w:numPr>
        <w:rPr>
          <w:rFonts w:ascii="Arial" w:cs="Arial" w:eastAsia="Arial" w:hAnsi="Arial"/>
          <w:sz w:val="13"/>
          <w:szCs w:val="13"/>
          <w:color w:val="auto"/>
        </w:rPr>
      </w:pPr>
      <w:r>
        <w:rPr>
          <w:rFonts w:ascii="Arial" w:cs="Arial" w:eastAsia="Arial" w:hAnsi="Arial"/>
          <w:sz w:val="13"/>
          <w:szCs w:val="13"/>
          <w:color w:val="auto"/>
        </w:rPr>
        <w:t>the rate notified to the Borrower as soon as practicable and in any event no later than the Business Day before interest is due to be paid in respect of that Pricing Period, to be that which expresses as a percentage rate per annum the cost to the Bank of funding that Advance from whatever source or sources the Bank may reasonably select.</w:t>
      </w:r>
    </w:p>
    <w:p>
      <w:pPr>
        <w:spacing w:after="0" w:line="59" w:lineRule="exact"/>
        <w:rPr>
          <w:rFonts w:ascii="Arial" w:cs="Arial" w:eastAsia="Arial" w:hAnsi="Arial"/>
          <w:sz w:val="13"/>
          <w:szCs w:val="13"/>
          <w:color w:val="auto"/>
        </w:rPr>
      </w:pPr>
    </w:p>
    <w:p>
      <w:pPr>
        <w:ind w:left="1340" w:hanging="704"/>
        <w:spacing w:after="0"/>
        <w:tabs>
          <w:tab w:leader="none" w:pos="1340" w:val="left"/>
        </w:tabs>
        <w:numPr>
          <w:ilvl w:val="0"/>
          <w:numId w:val="282"/>
        </w:numPr>
        <w:rPr>
          <w:rFonts w:ascii="Arial" w:cs="Arial" w:eastAsia="Arial" w:hAnsi="Arial"/>
          <w:sz w:val="13"/>
          <w:szCs w:val="13"/>
          <w:color w:val="auto"/>
        </w:rPr>
      </w:pPr>
      <w:r>
        <w:rPr>
          <w:rFonts w:ascii="Arial" w:cs="Arial" w:eastAsia="Arial" w:hAnsi="Arial"/>
          <w:sz w:val="13"/>
          <w:szCs w:val="13"/>
          <w:color w:val="auto"/>
        </w:rPr>
        <w:t>For the purposes of clause 4.10(a):</w:t>
      </w:r>
    </w:p>
    <w:p>
      <w:pPr>
        <w:spacing w:after="0" w:line="68" w:lineRule="exact"/>
        <w:rPr>
          <w:rFonts w:ascii="Arial" w:cs="Arial" w:eastAsia="Arial" w:hAnsi="Arial"/>
          <w:sz w:val="13"/>
          <w:szCs w:val="13"/>
          <w:color w:val="auto"/>
        </w:rPr>
      </w:pPr>
    </w:p>
    <w:p>
      <w:pPr>
        <w:ind w:left="1580" w:hanging="592"/>
        <w:spacing w:after="0"/>
        <w:tabs>
          <w:tab w:leader="none" w:pos="1580" w:val="left"/>
        </w:tabs>
        <w:numPr>
          <w:ilvl w:val="1"/>
          <w:numId w:val="282"/>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Market Disruption Event </w:t>
      </w:r>
      <w:r>
        <w:rPr>
          <w:rFonts w:ascii="Arial" w:cs="Arial" w:eastAsia="Arial" w:hAnsi="Arial"/>
          <w:sz w:val="13"/>
          <w:szCs w:val="13"/>
          <w:color w:val="auto"/>
        </w:rPr>
        <w:t>means:</w:t>
      </w:r>
    </w:p>
    <w:p>
      <w:pPr>
        <w:spacing w:after="0" w:line="101" w:lineRule="exact"/>
        <w:rPr>
          <w:sz w:val="20"/>
          <w:szCs w:val="20"/>
          <w:color w:val="auto"/>
        </w:rPr>
      </w:pPr>
    </w:p>
    <w:p>
      <w:pPr>
        <w:ind w:left="1420"/>
        <w:spacing w:after="0"/>
        <w:tabs>
          <w:tab w:leader="none" w:pos="3840" w:val="left"/>
        </w:tabs>
        <w:rPr>
          <w:sz w:val="20"/>
          <w:szCs w:val="20"/>
          <w:color w:val="auto"/>
        </w:rPr>
      </w:pPr>
      <w:r>
        <w:rPr>
          <w:rFonts w:ascii="Arial" w:cs="Arial" w:eastAsia="Arial" w:hAnsi="Arial"/>
          <w:sz w:val="13"/>
          <w:szCs w:val="13"/>
          <w:color w:val="auto"/>
        </w:rPr>
        <w:t>(A)</w:t>
      </w:r>
      <w:r>
        <w:rPr>
          <w:sz w:val="20"/>
          <w:szCs w:val="20"/>
          <w:color w:val="auto"/>
        </w:rPr>
        <w:tab/>
      </w:r>
      <w:r>
        <w:rPr>
          <w:rFonts w:ascii="Arial" w:cs="Arial" w:eastAsia="Arial" w:hAnsi="Arial"/>
          <w:sz w:val="13"/>
          <w:szCs w:val="13"/>
          <w:color w:val="auto"/>
        </w:rPr>
        <w:t>at or about the time on the day (Quotation Day) for the 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173990</wp:posOffset>
            </wp:positionV>
            <wp:extent cx="6208395"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208395" cy="42545"/>
                    </a:xfrm>
                    <a:prstGeom prst="rect">
                      <a:avLst/>
                    </a:prstGeom>
                    <a:noFill/>
                  </pic:spPr>
                </pic:pic>
              </a:graphicData>
            </a:graphic>
          </wp:anchor>
        </w:drawing>
      </w:r>
    </w:p>
    <w:p>
      <w:pPr>
        <w:sectPr>
          <w:pgSz w:w="11900" w:h="16838" w:orient="portrait"/>
          <w:cols w:equalWidth="0" w:num="1">
            <w:col w:w="9340"/>
          </w:cols>
          <w:pgMar w:left="1440" w:top="561" w:right="1119" w:bottom="1440" w:gutter="0" w:footer="0" w:header="0"/>
        </w:sectPr>
      </w:pPr>
    </w:p>
    <w:bookmarkStart w:id="244" w:name="page245"/>
    <w:bookmarkEnd w:id="244"/>
    <w:p>
      <w:pPr>
        <w:ind w:left="1660"/>
        <w:spacing w:after="0" w:line="244" w:lineRule="auto"/>
        <w:rPr>
          <w:sz w:val="20"/>
          <w:szCs w:val="20"/>
          <w:color w:val="auto"/>
        </w:rPr>
      </w:pPr>
      <w:r>
        <w:rPr>
          <w:rFonts w:ascii="Arial" w:cs="Arial" w:eastAsia="Arial" w:hAnsi="Arial"/>
          <w:sz w:val="13"/>
          <w:szCs w:val="13"/>
          <w:color w:val="auto"/>
        </w:rPr>
        <w:t>to determine the Screen Rate for the relevant currency and Pricing Period, the Screen Rate is not available and the Bank is unable to specify another page or service displaying an appropriate rate; or</w:t>
      </w:r>
    </w:p>
    <w:p>
      <w:pPr>
        <w:spacing w:after="0" w:line="56" w:lineRule="exact"/>
        <w:rPr>
          <w:sz w:val="20"/>
          <w:szCs w:val="20"/>
          <w:color w:val="auto"/>
        </w:rPr>
      </w:pPr>
    </w:p>
    <w:p>
      <w:pPr>
        <w:jc w:val="both"/>
        <w:ind w:left="1720" w:hanging="399"/>
        <w:spacing w:after="0" w:line="238" w:lineRule="auto"/>
        <w:tabs>
          <w:tab w:leader="none" w:pos="1720" w:val="left"/>
        </w:tabs>
        <w:numPr>
          <w:ilvl w:val="1"/>
          <w:numId w:val="283"/>
        </w:numPr>
        <w:rPr>
          <w:rFonts w:ascii="Arial" w:cs="Arial" w:eastAsia="Arial" w:hAnsi="Arial"/>
          <w:sz w:val="13"/>
          <w:szCs w:val="13"/>
          <w:color w:val="auto"/>
        </w:rPr>
      </w:pPr>
      <w:r>
        <w:rPr>
          <w:rFonts w:ascii="Arial" w:cs="Arial" w:eastAsia="Arial" w:hAnsi="Arial"/>
          <w:sz w:val="13"/>
          <w:szCs w:val="13"/>
          <w:color w:val="auto"/>
        </w:rPr>
        <w:t>in relation to an Advance, before 5pm (local time) on the Business Day after the Quotation Day for the relevant period, the Bank notifies the Borrower, that as a result of market circumstances not limited to the Bank the cost to the Bank of funding the Advance exceeds the Screen Rate.</w:t>
      </w:r>
    </w:p>
    <w:p>
      <w:pPr>
        <w:spacing w:after="0" w:line="43" w:lineRule="exact"/>
        <w:rPr>
          <w:rFonts w:ascii="Arial" w:cs="Arial" w:eastAsia="Arial" w:hAnsi="Arial"/>
          <w:sz w:val="13"/>
          <w:szCs w:val="13"/>
          <w:color w:val="auto"/>
        </w:rPr>
      </w:pPr>
    </w:p>
    <w:p>
      <w:pPr>
        <w:ind w:left="2340" w:hanging="1352"/>
        <w:spacing w:after="0"/>
        <w:tabs>
          <w:tab w:leader="none" w:pos="2340" w:val="left"/>
        </w:tabs>
        <w:numPr>
          <w:ilvl w:val="0"/>
          <w:numId w:val="284"/>
        </w:numPr>
        <w:rPr>
          <w:rFonts w:ascii="Arial" w:cs="Arial" w:eastAsia="Arial" w:hAnsi="Arial"/>
          <w:sz w:val="13"/>
          <w:szCs w:val="13"/>
          <w:color w:val="auto"/>
        </w:rPr>
      </w:pPr>
      <w:r>
        <w:rPr>
          <w:rFonts w:ascii="Arial" w:cs="Arial" w:eastAsia="Arial" w:hAnsi="Arial"/>
          <w:sz w:val="13"/>
          <w:szCs w:val="13"/>
          <w:b w:val="1"/>
          <w:bCs w:val="1"/>
          <w:color w:val="auto"/>
        </w:rPr>
        <w:t xml:space="preserve">Screen Rate </w:t>
      </w:r>
      <w:r>
        <w:rPr>
          <w:rFonts w:ascii="Arial" w:cs="Arial" w:eastAsia="Arial" w:hAnsi="Arial"/>
          <w:sz w:val="13"/>
          <w:szCs w:val="13"/>
          <w:color w:val="auto"/>
        </w:rPr>
        <w:t>means the rate specified in paragraph (a) of the definition of “Base Rate”.</w:t>
      </w:r>
    </w:p>
    <w:p>
      <w:pPr>
        <w:spacing w:after="0" w:line="90" w:lineRule="exact"/>
        <w:rPr>
          <w:sz w:val="20"/>
          <w:szCs w:val="20"/>
          <w:color w:val="auto"/>
        </w:rPr>
      </w:pPr>
    </w:p>
    <w:p>
      <w:pPr>
        <w:ind w:left="140"/>
        <w:spacing w:after="0"/>
        <w:tabs>
          <w:tab w:leader="none" w:pos="1200" w:val="left"/>
        </w:tabs>
        <w:rPr>
          <w:sz w:val="20"/>
          <w:szCs w:val="20"/>
          <w:color w:val="auto"/>
        </w:rPr>
      </w:pPr>
      <w:r>
        <w:rPr>
          <w:rFonts w:ascii="Arial" w:cs="Arial" w:eastAsia="Arial" w:hAnsi="Arial"/>
          <w:sz w:val="14"/>
          <w:szCs w:val="14"/>
          <w:b w:val="1"/>
          <w:bCs w:val="1"/>
          <w:color w:val="auto"/>
        </w:rPr>
        <w:t>4.11</w:t>
      </w:r>
      <w:r>
        <w:rPr>
          <w:sz w:val="20"/>
          <w:szCs w:val="20"/>
          <w:color w:val="auto"/>
        </w:rPr>
        <w:tab/>
      </w:r>
      <w:r>
        <w:rPr>
          <w:rFonts w:ascii="Arial" w:cs="Arial" w:eastAsia="Arial" w:hAnsi="Arial"/>
          <w:sz w:val="14"/>
          <w:szCs w:val="14"/>
          <w:b w:val="1"/>
          <w:bCs w:val="1"/>
          <w:color w:val="auto"/>
        </w:rPr>
        <w:t>Alternative basis of interest or funding</w:t>
      </w:r>
    </w:p>
    <w:p>
      <w:pPr>
        <w:spacing w:after="0" w:line="75" w:lineRule="exact"/>
        <w:rPr>
          <w:sz w:val="20"/>
          <w:szCs w:val="20"/>
          <w:color w:val="auto"/>
        </w:rPr>
      </w:pPr>
    </w:p>
    <w:p>
      <w:pPr>
        <w:ind w:left="640" w:right="160"/>
        <w:spacing w:after="0" w:line="244" w:lineRule="auto"/>
        <w:rPr>
          <w:sz w:val="20"/>
          <w:szCs w:val="20"/>
          <w:color w:val="auto"/>
        </w:rPr>
      </w:pPr>
      <w:r>
        <w:rPr>
          <w:rFonts w:ascii="Arial" w:cs="Arial" w:eastAsia="Arial" w:hAnsi="Arial"/>
          <w:sz w:val="13"/>
          <w:szCs w:val="13"/>
          <w:color w:val="auto"/>
        </w:rPr>
        <w:t>If a Market Disruption Event occurs and the Bank or the Borrower so requires, the Bank and the Borrower will enter into negotiations (for a period of not more than 30 days) with a view to agreeing a substitute basis for determining the rate of interest or discount.</w:t>
      </w:r>
    </w:p>
    <w:p>
      <w:pPr>
        <w:sectPr>
          <w:pgSz w:w="11900" w:h="16838" w:orient="portrait"/>
          <w:cols w:equalWidth="0" w:num="1">
            <w:col w:w="9400"/>
          </w:cols>
          <w:pgMar w:left="1440" w:top="560" w:right="1059" w:bottom="1440" w:gutter="0" w:footer="0" w:header="0"/>
        </w:sectPr>
      </w:pPr>
    </w:p>
    <w:p>
      <w:pPr>
        <w:spacing w:after="0" w:line="63"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auto"/>
        </w:rPr>
        <w:t>4.12</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Pricing Review Events</w:t>
      </w:r>
    </w:p>
    <w:p>
      <w:pPr>
        <w:spacing w:after="0" w:line="59" w:lineRule="exact"/>
        <w:rPr>
          <w:sz w:val="20"/>
          <w:szCs w:val="20"/>
          <w:color w:val="auto"/>
        </w:rPr>
      </w:pPr>
    </w:p>
    <w:p>
      <w:pPr>
        <w:sectPr>
          <w:pgSz w:w="11900" w:h="16838" w:orient="portrait"/>
          <w:cols w:equalWidth="0" w:num="2">
            <w:col w:w="1060" w:space="720"/>
            <w:col w:w="7620"/>
          </w:cols>
          <w:pgMar w:left="1440" w:top="560" w:right="1059" w:bottom="1440" w:gutter="0" w:footer="0" w:header="0"/>
          <w:type w:val="continuous"/>
        </w:sectPr>
      </w:pPr>
    </w:p>
    <w:p>
      <w:pPr>
        <w:spacing w:after="0" w:line="12" w:lineRule="exact"/>
        <w:rPr>
          <w:sz w:val="20"/>
          <w:szCs w:val="20"/>
          <w:color w:val="auto"/>
        </w:rPr>
      </w:pPr>
    </w:p>
    <w:p>
      <w:pPr>
        <w:ind w:left="640"/>
        <w:spacing w:after="0"/>
        <w:rPr>
          <w:sz w:val="20"/>
          <w:szCs w:val="20"/>
          <w:color w:val="auto"/>
        </w:rPr>
      </w:pPr>
      <w:r>
        <w:rPr>
          <w:rFonts w:ascii="Arial" w:cs="Arial" w:eastAsia="Arial" w:hAnsi="Arial"/>
          <w:sz w:val="13"/>
          <w:szCs w:val="13"/>
          <w:color w:val="auto"/>
        </w:rPr>
        <w:t>(a)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The Bank has the right to review the pricing applicable to a Facility (</w:t>
      </w:r>
      <w:r>
        <w:rPr>
          <w:rFonts w:ascii="Arial" w:cs="Arial" w:eastAsia="Arial" w:hAnsi="Arial"/>
          <w:sz w:val="13"/>
          <w:szCs w:val="13"/>
          <w:b w:val="1"/>
          <w:bCs w:val="1"/>
          <w:color w:val="auto"/>
        </w:rPr>
        <w:t>Review</w:t>
      </w:r>
      <w:r>
        <w:rPr>
          <w:rFonts w:ascii="Arial" w:cs="Arial" w:eastAsia="Arial" w:hAnsi="Arial"/>
          <w:sz w:val="13"/>
          <w:szCs w:val="13"/>
          <w:color w:val="auto"/>
        </w:rPr>
        <w:t>):</w:t>
      </w:r>
    </w:p>
    <w:p>
      <w:pPr>
        <w:spacing w:after="0" w:line="82" w:lineRule="exact"/>
        <w:rPr>
          <w:sz w:val="20"/>
          <w:szCs w:val="20"/>
          <w:color w:val="auto"/>
        </w:rPr>
      </w:pPr>
    </w:p>
    <w:p>
      <w:pPr>
        <w:sectPr>
          <w:pgSz w:w="11900" w:h="16838" w:orient="portrait"/>
          <w:cols w:equalWidth="0" w:num="2">
            <w:col w:w="1560" w:space="720"/>
            <w:col w:w="7120"/>
          </w:cols>
          <w:pgMar w:left="1440" w:top="560" w:right="1059" w:bottom="1440" w:gutter="0" w:footer="0" w:header="0"/>
          <w:type w:val="continuous"/>
        </w:sectPr>
      </w:pPr>
    </w:p>
    <w:p>
      <w:pPr>
        <w:ind w:left="1340" w:hanging="352"/>
        <w:spacing w:after="0"/>
        <w:tabs>
          <w:tab w:leader="none" w:pos="1340" w:val="left"/>
        </w:tabs>
        <w:numPr>
          <w:ilvl w:val="0"/>
          <w:numId w:val="285"/>
        </w:numPr>
        <w:rPr>
          <w:rFonts w:ascii="Arial" w:cs="Arial" w:eastAsia="Arial" w:hAnsi="Arial"/>
          <w:sz w:val="13"/>
          <w:szCs w:val="13"/>
          <w:color w:val="auto"/>
        </w:rPr>
      </w:pPr>
      <w:r>
        <w:rPr>
          <w:rFonts w:ascii="Arial" w:cs="Arial" w:eastAsia="Arial" w:hAnsi="Arial"/>
          <w:sz w:val="13"/>
          <w:szCs w:val="13"/>
          <w:color w:val="auto"/>
        </w:rPr>
        <w:t>on or about the third anniversary of the date of this document;</w:t>
      </w:r>
    </w:p>
    <w:p>
      <w:pPr>
        <w:sectPr>
          <w:pgSz w:w="11900" w:h="16838" w:orient="portrait"/>
          <w:cols w:equalWidth="0" w:num="1">
            <w:col w:w="9400"/>
          </w:cols>
          <w:pgMar w:left="1440" w:top="560" w:right="1059" w:bottom="1440" w:gutter="0" w:footer="0" w:header="0"/>
          <w:type w:val="continuous"/>
        </w:sectPr>
      </w:pPr>
    </w:p>
    <w:p>
      <w:pPr>
        <w:spacing w:after="0" w:line="72" w:lineRule="exact"/>
        <w:rPr>
          <w:sz w:val="20"/>
          <w:szCs w:val="20"/>
          <w:color w:val="auto"/>
        </w:rPr>
      </w:pPr>
    </w:p>
    <w:p>
      <w:pPr>
        <w:ind w:left="980"/>
        <w:spacing w:after="0"/>
        <w:rPr>
          <w:sz w:val="20"/>
          <w:szCs w:val="20"/>
          <w:color w:val="auto"/>
        </w:rPr>
      </w:pPr>
      <w:r>
        <w:rPr>
          <w:rFonts w:ascii="Arial" w:cs="Arial" w:eastAsia="Arial" w:hAnsi="Arial"/>
          <w:sz w:val="12"/>
          <w:szCs w:val="12"/>
          <w:color w:val="auto"/>
        </w:rPr>
        <w:t>(ii)</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spacing w:after="0"/>
        <w:rPr>
          <w:sz w:val="20"/>
          <w:szCs w:val="20"/>
          <w:color w:val="auto"/>
        </w:rPr>
      </w:pPr>
      <w:r>
        <w:rPr>
          <w:rFonts w:ascii="Arial" w:cs="Arial" w:eastAsia="Arial" w:hAnsi="Arial"/>
          <w:sz w:val="13"/>
          <w:szCs w:val="13"/>
          <w:color w:val="auto"/>
        </w:rPr>
        <w:t>at any time if the Bank reasonably believes that an Event of Default subsists;</w:t>
      </w:r>
    </w:p>
    <w:p>
      <w:pPr>
        <w:spacing w:after="0" w:line="76" w:lineRule="exact"/>
        <w:rPr>
          <w:sz w:val="20"/>
          <w:szCs w:val="20"/>
          <w:color w:val="auto"/>
        </w:rPr>
      </w:pPr>
    </w:p>
    <w:p>
      <w:pPr>
        <w:sectPr>
          <w:pgSz w:w="11900" w:h="16838" w:orient="portrait"/>
          <w:cols w:equalWidth="0" w:num="2">
            <w:col w:w="1960" w:space="720"/>
            <w:col w:w="6720"/>
          </w:cols>
          <w:pgMar w:left="1440" w:top="560" w:right="1059" w:bottom="1440" w:gutter="0" w:footer="0" w:header="0"/>
          <w:type w:val="continuous"/>
        </w:sectPr>
      </w:pPr>
    </w:p>
    <w:p>
      <w:pPr>
        <w:spacing w:after="0" w:line="5" w:lineRule="exact"/>
        <w:rPr>
          <w:sz w:val="20"/>
          <w:szCs w:val="20"/>
          <w:color w:val="auto"/>
        </w:rPr>
      </w:pPr>
    </w:p>
    <w:p>
      <w:pPr>
        <w:ind w:left="980"/>
        <w:spacing w:after="0"/>
        <w:rPr>
          <w:sz w:val="20"/>
          <w:szCs w:val="20"/>
          <w:color w:val="auto"/>
        </w:rPr>
      </w:pPr>
      <w:r>
        <w:rPr>
          <w:rFonts w:ascii="Arial" w:cs="Arial" w:eastAsia="Arial" w:hAnsi="Arial"/>
          <w:sz w:val="13"/>
          <w:szCs w:val="13"/>
          <w:color w:val="auto"/>
        </w:rPr>
        <w:t>(iii)</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at any time:</w:t>
      </w:r>
    </w:p>
    <w:p>
      <w:pPr>
        <w:spacing w:after="0" w:line="75" w:lineRule="exact"/>
        <w:rPr>
          <w:sz w:val="20"/>
          <w:szCs w:val="20"/>
          <w:color w:val="auto"/>
        </w:rPr>
      </w:pPr>
    </w:p>
    <w:p>
      <w:pPr>
        <w:sectPr>
          <w:pgSz w:w="11900" w:h="16838" w:orient="portrait"/>
          <w:cols w:equalWidth="0" w:num="2">
            <w:col w:w="2040" w:space="720"/>
            <w:col w:w="6640"/>
          </w:cols>
          <w:pgMar w:left="1440" w:top="560" w:right="1059" w:bottom="1440" w:gutter="0" w:footer="0" w:header="0"/>
          <w:type w:val="continuous"/>
        </w:sectPr>
      </w:pPr>
    </w:p>
    <w:p>
      <w:pPr>
        <w:ind w:left="1840" w:hanging="519"/>
        <w:spacing w:after="0"/>
        <w:tabs>
          <w:tab w:leader="none" w:pos="1840" w:val="left"/>
        </w:tabs>
        <w:numPr>
          <w:ilvl w:val="1"/>
          <w:numId w:val="286"/>
        </w:numPr>
        <w:rPr>
          <w:rFonts w:ascii="Arial" w:cs="Arial" w:eastAsia="Arial" w:hAnsi="Arial"/>
          <w:sz w:val="13"/>
          <w:szCs w:val="13"/>
          <w:color w:val="auto"/>
        </w:rPr>
      </w:pPr>
      <w:r>
        <w:rPr>
          <w:rFonts w:ascii="Arial" w:cs="Arial" w:eastAsia="Arial" w:hAnsi="Arial"/>
          <w:sz w:val="13"/>
          <w:szCs w:val="13"/>
          <w:color w:val="auto"/>
        </w:rPr>
        <w:t>a change occurs in the financial markets which affects financial institutions generally; and/or</w:t>
      </w:r>
    </w:p>
    <w:p>
      <w:pPr>
        <w:spacing w:after="0" w:line="66" w:lineRule="exact"/>
        <w:rPr>
          <w:rFonts w:ascii="Arial" w:cs="Arial" w:eastAsia="Arial" w:hAnsi="Arial"/>
          <w:sz w:val="13"/>
          <w:szCs w:val="13"/>
          <w:color w:val="auto"/>
        </w:rPr>
      </w:pPr>
    </w:p>
    <w:p>
      <w:pPr>
        <w:ind w:left="1720" w:hanging="399"/>
        <w:spacing w:after="0" w:line="244" w:lineRule="auto"/>
        <w:tabs>
          <w:tab w:leader="none" w:pos="1720" w:val="left"/>
        </w:tabs>
        <w:numPr>
          <w:ilvl w:val="1"/>
          <w:numId w:val="286"/>
        </w:numPr>
        <w:rPr>
          <w:rFonts w:ascii="Arial" w:cs="Arial" w:eastAsia="Arial" w:hAnsi="Arial"/>
          <w:sz w:val="13"/>
          <w:szCs w:val="13"/>
          <w:color w:val="auto"/>
        </w:rPr>
      </w:pPr>
      <w:r>
        <w:rPr>
          <w:rFonts w:ascii="Arial" w:cs="Arial" w:eastAsia="Arial" w:hAnsi="Arial"/>
          <w:sz w:val="13"/>
          <w:szCs w:val="13"/>
          <w:color w:val="auto"/>
        </w:rPr>
        <w:t>a general change occurs in the cost of funds in the financial markets in which the Bank raises funds (not being a change resulting from a change in the Bank’s credit rating or any other matter relating specifically to the Bank).</w:t>
      </w:r>
    </w:p>
    <w:p>
      <w:pPr>
        <w:spacing w:after="0" w:line="47" w:lineRule="exact"/>
        <w:rPr>
          <w:rFonts w:ascii="Arial" w:cs="Arial" w:eastAsia="Arial" w:hAnsi="Arial"/>
          <w:sz w:val="13"/>
          <w:szCs w:val="13"/>
          <w:color w:val="auto"/>
        </w:rPr>
      </w:pPr>
    </w:p>
    <w:p>
      <w:pPr>
        <w:ind w:left="1100" w:right="180" w:hanging="464"/>
        <w:spacing w:after="0" w:line="244" w:lineRule="auto"/>
        <w:tabs>
          <w:tab w:leader="none" w:pos="1100" w:val="left"/>
        </w:tabs>
        <w:numPr>
          <w:ilvl w:val="0"/>
          <w:numId w:val="287"/>
        </w:numPr>
        <w:rPr>
          <w:rFonts w:ascii="Arial" w:cs="Arial" w:eastAsia="Arial" w:hAnsi="Arial"/>
          <w:sz w:val="13"/>
          <w:szCs w:val="13"/>
          <w:color w:val="auto"/>
        </w:rPr>
      </w:pPr>
      <w:r>
        <w:rPr>
          <w:rFonts w:ascii="Arial" w:cs="Arial" w:eastAsia="Arial" w:hAnsi="Arial"/>
          <w:sz w:val="13"/>
          <w:szCs w:val="13"/>
          <w:color w:val="auto"/>
        </w:rPr>
        <w:t>The Bank may request the Borrower to provide information in connection with a Review and the Borrower must provide such information as soon as possible following receipt of the request.</w:t>
      </w:r>
    </w:p>
    <w:p>
      <w:pPr>
        <w:spacing w:after="0" w:line="72" w:lineRule="exact"/>
        <w:rPr>
          <w:sz w:val="20"/>
          <w:szCs w:val="20"/>
          <w:color w:val="auto"/>
        </w:rPr>
      </w:pPr>
    </w:p>
    <w:p>
      <w:pPr>
        <w:ind w:left="140"/>
        <w:spacing w:after="0"/>
        <w:tabs>
          <w:tab w:leader="none" w:pos="1300" w:val="left"/>
        </w:tabs>
        <w:rPr>
          <w:sz w:val="20"/>
          <w:szCs w:val="20"/>
          <w:color w:val="auto"/>
        </w:rPr>
      </w:pPr>
      <w:r>
        <w:rPr>
          <w:rFonts w:ascii="Arial" w:cs="Arial" w:eastAsia="Arial" w:hAnsi="Arial"/>
          <w:sz w:val="14"/>
          <w:szCs w:val="14"/>
          <w:b w:val="1"/>
          <w:bCs w:val="1"/>
          <w:color w:val="auto"/>
        </w:rPr>
        <w:t>4.13</w:t>
      </w:r>
      <w:r>
        <w:rPr>
          <w:sz w:val="20"/>
          <w:szCs w:val="20"/>
          <w:color w:val="auto"/>
        </w:rPr>
        <w:tab/>
      </w:r>
      <w:r>
        <w:rPr>
          <w:rFonts w:ascii="Arial" w:cs="Arial" w:eastAsia="Arial" w:hAnsi="Arial"/>
          <w:sz w:val="14"/>
          <w:szCs w:val="14"/>
          <w:b w:val="1"/>
          <w:bCs w:val="1"/>
          <w:color w:val="auto"/>
        </w:rPr>
        <w:t>Consequences of a Pricing Review</w:t>
      </w:r>
    </w:p>
    <w:p>
      <w:pPr>
        <w:spacing w:after="0" w:line="75" w:lineRule="exact"/>
        <w:rPr>
          <w:sz w:val="20"/>
          <w:szCs w:val="20"/>
          <w:color w:val="auto"/>
        </w:rPr>
      </w:pPr>
    </w:p>
    <w:p>
      <w:pPr>
        <w:ind w:left="1320" w:hanging="684"/>
        <w:spacing w:after="0"/>
        <w:tabs>
          <w:tab w:leader="none" w:pos="1320" w:val="left"/>
        </w:tabs>
        <w:numPr>
          <w:ilvl w:val="0"/>
          <w:numId w:val="288"/>
        </w:numPr>
        <w:rPr>
          <w:rFonts w:ascii="Arial" w:cs="Arial" w:eastAsia="Arial" w:hAnsi="Arial"/>
          <w:sz w:val="13"/>
          <w:szCs w:val="13"/>
          <w:color w:val="auto"/>
        </w:rPr>
      </w:pPr>
      <w:r>
        <w:rPr>
          <w:rFonts w:ascii="Arial" w:cs="Arial" w:eastAsia="Arial" w:hAnsi="Arial"/>
          <w:sz w:val="13"/>
          <w:szCs w:val="13"/>
          <w:color w:val="auto"/>
        </w:rPr>
        <w:t>Following a Review, the Bank may, by giving written notice to the Borrower and/or by way of advertisement in the local or national press:</w:t>
      </w:r>
    </w:p>
    <w:p>
      <w:pPr>
        <w:spacing w:after="0" w:line="57" w:lineRule="exact"/>
        <w:rPr>
          <w:rFonts w:ascii="Arial" w:cs="Arial" w:eastAsia="Arial" w:hAnsi="Arial"/>
          <w:sz w:val="13"/>
          <w:szCs w:val="13"/>
          <w:color w:val="auto"/>
        </w:rPr>
      </w:pPr>
    </w:p>
    <w:p>
      <w:pPr>
        <w:ind w:left="1440" w:right="400" w:hanging="452"/>
        <w:spacing w:after="0" w:line="244" w:lineRule="auto"/>
        <w:tabs>
          <w:tab w:leader="none" w:pos="1440" w:val="left"/>
        </w:tabs>
        <w:numPr>
          <w:ilvl w:val="1"/>
          <w:numId w:val="288"/>
        </w:numPr>
        <w:rPr>
          <w:rFonts w:ascii="Arial" w:cs="Arial" w:eastAsia="Arial" w:hAnsi="Arial"/>
          <w:sz w:val="13"/>
          <w:szCs w:val="13"/>
          <w:color w:val="auto"/>
        </w:rPr>
      </w:pPr>
      <w:r>
        <w:rPr>
          <w:rFonts w:ascii="Arial" w:cs="Arial" w:eastAsia="Arial" w:hAnsi="Arial"/>
          <w:sz w:val="13"/>
          <w:szCs w:val="13"/>
          <w:color w:val="auto"/>
        </w:rPr>
        <w:t>introduce a new fee, charge or premium or change an existing fee, charge or premium (including its amount, the way in which it is calculated and when it is charged); and</w:t>
      </w:r>
    </w:p>
    <w:p>
      <w:pPr>
        <w:spacing w:after="0" w:line="56" w:lineRule="exact"/>
        <w:rPr>
          <w:rFonts w:ascii="Arial" w:cs="Arial" w:eastAsia="Arial" w:hAnsi="Arial"/>
          <w:sz w:val="13"/>
          <w:szCs w:val="13"/>
          <w:color w:val="auto"/>
        </w:rPr>
      </w:pPr>
    </w:p>
    <w:p>
      <w:pPr>
        <w:ind w:left="1620" w:right="380" w:hanging="632"/>
        <w:spacing w:after="0" w:line="244" w:lineRule="auto"/>
        <w:tabs>
          <w:tab w:leader="none" w:pos="1620" w:val="left"/>
        </w:tabs>
        <w:numPr>
          <w:ilvl w:val="1"/>
          <w:numId w:val="288"/>
        </w:numPr>
        <w:rPr>
          <w:rFonts w:ascii="Arial" w:cs="Arial" w:eastAsia="Arial" w:hAnsi="Arial"/>
          <w:sz w:val="13"/>
          <w:szCs w:val="13"/>
          <w:color w:val="auto"/>
        </w:rPr>
      </w:pPr>
      <w:r>
        <w:rPr>
          <w:rFonts w:ascii="Arial" w:cs="Arial" w:eastAsia="Arial" w:hAnsi="Arial"/>
          <w:sz w:val="13"/>
          <w:szCs w:val="13"/>
          <w:color w:val="auto"/>
        </w:rPr>
        <w:t>change the acceptance margin, line fee, interest rate or yield rate applicable to a Facility including by changing or introducing a margin (including by making the margin positive or negative),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161925</wp:posOffset>
            </wp:positionV>
            <wp:extent cx="6208395"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208395" cy="42545"/>
                    </a:xfrm>
                    <a:prstGeom prst="rect">
                      <a:avLst/>
                    </a:prstGeom>
                    <a:noFill/>
                  </pic:spPr>
                </pic:pic>
              </a:graphicData>
            </a:graphic>
          </wp:anchor>
        </w:drawing>
      </w:r>
    </w:p>
    <w:p>
      <w:pPr>
        <w:sectPr>
          <w:pgSz w:w="11900" w:h="16838" w:orient="portrait"/>
          <w:cols w:equalWidth="0" w:num="1">
            <w:col w:w="9400"/>
          </w:cols>
          <w:pgMar w:left="1440" w:top="560" w:right="1059" w:bottom="1440" w:gutter="0" w:footer="0" w:header="0"/>
          <w:type w:val="continuous"/>
        </w:sectPr>
      </w:pPr>
    </w:p>
    <w:bookmarkStart w:id="245" w:name="page246"/>
    <w:bookmarkEnd w:id="245"/>
    <w:p>
      <w:pPr>
        <w:ind w:left="1320"/>
        <w:spacing w:after="0"/>
        <w:rPr>
          <w:sz w:val="20"/>
          <w:szCs w:val="20"/>
          <w:color w:val="auto"/>
        </w:rPr>
      </w:pPr>
      <w:r>
        <w:rPr>
          <w:rFonts w:ascii="Arial" w:cs="Arial" w:eastAsia="Arial" w:hAnsi="Arial"/>
          <w:sz w:val="13"/>
          <w:szCs w:val="13"/>
          <w:color w:val="auto"/>
        </w:rPr>
        <w:t>substituting a different indicator rate for the relevant indicator rate (except where the rate is a fixed rate).</w:t>
      </w:r>
    </w:p>
    <w:p>
      <w:pPr>
        <w:spacing w:after="0" w:line="51" w:lineRule="exact"/>
        <w:rPr>
          <w:sz w:val="20"/>
          <w:szCs w:val="20"/>
          <w:color w:val="auto"/>
        </w:rPr>
      </w:pPr>
    </w:p>
    <w:p>
      <w:pPr>
        <w:ind w:left="1160" w:right="60" w:hanging="524"/>
        <w:spacing w:after="0" w:line="250" w:lineRule="auto"/>
        <w:tabs>
          <w:tab w:leader="none" w:pos="1160" w:val="left"/>
        </w:tabs>
        <w:numPr>
          <w:ilvl w:val="0"/>
          <w:numId w:val="289"/>
        </w:numPr>
        <w:rPr>
          <w:rFonts w:ascii="Arial" w:cs="Arial" w:eastAsia="Arial" w:hAnsi="Arial"/>
          <w:sz w:val="13"/>
          <w:szCs w:val="13"/>
          <w:color w:val="auto"/>
        </w:rPr>
      </w:pPr>
      <w:r>
        <w:rPr>
          <w:rFonts w:ascii="Arial" w:cs="Arial" w:eastAsia="Arial" w:hAnsi="Arial"/>
          <w:sz w:val="13"/>
          <w:szCs w:val="13"/>
          <w:color w:val="auto"/>
        </w:rPr>
        <w:t xml:space="preserve">Where the Bank gives the Borrower notice under </w:t>
      </w:r>
      <w:r>
        <w:rPr>
          <w:rFonts w:ascii="Arial" w:cs="Arial" w:eastAsia="Arial" w:hAnsi="Arial"/>
          <w:sz w:val="13"/>
          <w:szCs w:val="13"/>
          <w:b w:val="1"/>
          <w:bCs w:val="1"/>
          <w:color w:val="auto"/>
        </w:rPr>
        <w:t>clause 4.10(a)</w:t>
      </w:r>
      <w:r>
        <w:rPr>
          <w:rFonts w:ascii="Arial" w:cs="Arial" w:eastAsia="Arial" w:hAnsi="Arial"/>
          <w:sz w:val="13"/>
          <w:szCs w:val="13"/>
          <w:color w:val="auto"/>
        </w:rPr>
        <w:t xml:space="preserve"> by way of advertisement in the local or national press, the Bank will also endeavour to directly notify the Borrower of the change although the Bank will not be precluded from charging the new or adjusted pricing if it does not directly notify the Borrower.</w:t>
      </w:r>
    </w:p>
    <w:p>
      <w:pPr>
        <w:spacing w:after="0" w:line="37" w:lineRule="exact"/>
        <w:rPr>
          <w:rFonts w:ascii="Arial" w:cs="Arial" w:eastAsia="Arial" w:hAnsi="Arial"/>
          <w:sz w:val="13"/>
          <w:szCs w:val="13"/>
          <w:color w:val="auto"/>
        </w:rPr>
      </w:pPr>
    </w:p>
    <w:p>
      <w:pPr>
        <w:ind w:left="1060" w:right="340" w:hanging="424"/>
        <w:spacing w:after="0" w:line="269" w:lineRule="auto"/>
        <w:tabs>
          <w:tab w:leader="none" w:pos="1060" w:val="left"/>
        </w:tabs>
        <w:numPr>
          <w:ilvl w:val="0"/>
          <w:numId w:val="289"/>
        </w:numPr>
        <w:rPr>
          <w:rFonts w:ascii="Arial" w:cs="Arial" w:eastAsia="Arial" w:hAnsi="Arial"/>
          <w:sz w:val="13"/>
          <w:szCs w:val="13"/>
          <w:color w:val="auto"/>
        </w:rPr>
      </w:pPr>
      <w:r>
        <w:rPr>
          <w:rFonts w:ascii="Arial" w:cs="Arial" w:eastAsia="Arial" w:hAnsi="Arial"/>
          <w:sz w:val="13"/>
          <w:szCs w:val="13"/>
          <w:color w:val="auto"/>
        </w:rPr>
        <w:t xml:space="preserve">An introduction or change of a matter specified in </w:t>
      </w:r>
      <w:r>
        <w:rPr>
          <w:rFonts w:ascii="Arial" w:cs="Arial" w:eastAsia="Arial" w:hAnsi="Arial"/>
          <w:sz w:val="13"/>
          <w:szCs w:val="13"/>
          <w:b w:val="1"/>
          <w:bCs w:val="1"/>
          <w:color w:val="auto"/>
        </w:rPr>
        <w:t>clause 4.10(a)</w:t>
      </w:r>
      <w:r>
        <w:rPr>
          <w:rFonts w:ascii="Arial" w:cs="Arial" w:eastAsia="Arial" w:hAnsi="Arial"/>
          <w:sz w:val="13"/>
          <w:szCs w:val="13"/>
          <w:color w:val="auto"/>
        </w:rPr>
        <w:t xml:space="preserve"> takes effect on the date specified in the relevant notice to the Borrower (which must be at least 30 days after the date on which the notice is given to the Borrower).</w:t>
      </w:r>
    </w:p>
    <w:p>
      <w:pPr>
        <w:spacing w:after="0" w:line="230" w:lineRule="exact"/>
        <w:rPr>
          <w:sz w:val="20"/>
          <w:szCs w:val="20"/>
          <w:color w:val="auto"/>
        </w:rPr>
      </w:pPr>
    </w:p>
    <w:p>
      <w:pPr>
        <w:ind w:left="1340" w:hanging="1208"/>
        <w:spacing w:after="0"/>
        <w:tabs>
          <w:tab w:leader="none" w:pos="1340" w:val="left"/>
        </w:tabs>
        <w:numPr>
          <w:ilvl w:val="0"/>
          <w:numId w:val="290"/>
        </w:numPr>
        <w:rPr>
          <w:rFonts w:ascii="Arial" w:cs="Arial" w:eastAsia="Arial" w:hAnsi="Arial"/>
          <w:sz w:val="19"/>
          <w:szCs w:val="19"/>
          <w:color w:val="auto"/>
        </w:rPr>
      </w:pPr>
      <w:r>
        <w:rPr>
          <w:rFonts w:ascii="Arial" w:cs="Arial" w:eastAsia="Arial" w:hAnsi="Arial"/>
          <w:sz w:val="19"/>
          <w:szCs w:val="19"/>
          <w:color w:val="auto"/>
        </w:rPr>
        <w:t>Payments</w:t>
      </w:r>
    </w:p>
    <w:p>
      <w:pPr>
        <w:spacing w:after="0" w:line="68" w:lineRule="exact"/>
        <w:rPr>
          <w:sz w:val="20"/>
          <w:szCs w:val="20"/>
          <w:color w:val="auto"/>
        </w:rPr>
      </w:pPr>
    </w:p>
    <w:tbl>
      <w:tblPr>
        <w:tblLayout w:type="fixed"/>
        <w:tblInd w:w="140" w:type="dxa"/>
        <w:tblCellMar>
          <w:top w:w="0" w:type="dxa"/>
          <w:left w:w="0" w:type="dxa"/>
          <w:bottom w:w="0" w:type="dxa"/>
          <w:right w:w="0" w:type="dxa"/>
        </w:tblCellMar>
      </w:tblPr>
      <w:tr>
        <w:trPr>
          <w:trHeight w:val="190"/>
        </w:trPr>
        <w:tc>
          <w:tcPr>
            <w:tcW w:w="720" w:type="dxa"/>
            <w:vAlign w:val="bottom"/>
          </w:tcPr>
          <w:p>
            <w:pPr>
              <w:jc w:val="right"/>
              <w:ind w:right="448"/>
              <w:spacing w:after="0"/>
              <w:rPr>
                <w:sz w:val="20"/>
                <w:szCs w:val="20"/>
                <w:color w:val="auto"/>
              </w:rPr>
            </w:pPr>
            <w:r>
              <w:rPr>
                <w:rFonts w:ascii="Arial" w:cs="Arial" w:eastAsia="Arial" w:hAnsi="Arial"/>
                <w:sz w:val="14"/>
                <w:szCs w:val="14"/>
                <w:b w:val="1"/>
                <w:bCs w:val="1"/>
                <w:color w:val="auto"/>
                <w:w w:val="92"/>
              </w:rPr>
              <w:t>5.1</w:t>
            </w:r>
          </w:p>
        </w:tc>
        <w:tc>
          <w:tcPr>
            <w:tcW w:w="2380" w:type="dxa"/>
            <w:vAlign w:val="bottom"/>
          </w:tcPr>
          <w:p>
            <w:pPr>
              <w:ind w:left="1760"/>
              <w:spacing w:after="0"/>
              <w:rPr>
                <w:sz w:val="20"/>
                <w:szCs w:val="20"/>
                <w:color w:val="auto"/>
              </w:rPr>
            </w:pPr>
            <w:r>
              <w:rPr>
                <w:rFonts w:ascii="Arial" w:cs="Arial" w:eastAsia="Arial" w:hAnsi="Arial"/>
                <w:sz w:val="14"/>
                <w:szCs w:val="14"/>
                <w:b w:val="1"/>
                <w:bCs w:val="1"/>
                <w:color w:val="auto"/>
              </w:rPr>
              <w:t>Not used</w:t>
            </w:r>
          </w:p>
        </w:tc>
      </w:tr>
      <w:tr>
        <w:trPr>
          <w:trHeight w:val="252"/>
        </w:trPr>
        <w:tc>
          <w:tcPr>
            <w:tcW w:w="720" w:type="dxa"/>
            <w:vAlign w:val="bottom"/>
          </w:tcPr>
          <w:p>
            <w:pPr>
              <w:jc w:val="right"/>
              <w:ind w:right="448"/>
              <w:spacing w:after="0"/>
              <w:rPr>
                <w:sz w:val="20"/>
                <w:szCs w:val="20"/>
                <w:color w:val="auto"/>
              </w:rPr>
            </w:pPr>
            <w:r>
              <w:rPr>
                <w:rFonts w:ascii="Arial" w:cs="Arial" w:eastAsia="Arial" w:hAnsi="Arial"/>
                <w:sz w:val="14"/>
                <w:szCs w:val="14"/>
                <w:b w:val="1"/>
                <w:bCs w:val="1"/>
                <w:color w:val="auto"/>
                <w:w w:val="92"/>
              </w:rPr>
              <w:t>5.2</w:t>
            </w:r>
          </w:p>
        </w:tc>
        <w:tc>
          <w:tcPr>
            <w:tcW w:w="2380" w:type="dxa"/>
            <w:vAlign w:val="bottom"/>
          </w:tcPr>
          <w:p>
            <w:pPr>
              <w:ind w:left="520"/>
              <w:spacing w:after="0"/>
              <w:rPr>
                <w:sz w:val="20"/>
                <w:szCs w:val="20"/>
                <w:color w:val="auto"/>
              </w:rPr>
            </w:pPr>
            <w:r>
              <w:rPr>
                <w:rFonts w:ascii="Arial" w:cs="Arial" w:eastAsia="Arial" w:hAnsi="Arial"/>
                <w:sz w:val="14"/>
                <w:szCs w:val="14"/>
                <w:b w:val="1"/>
                <w:bCs w:val="1"/>
                <w:color w:val="auto"/>
              </w:rPr>
              <w:t>Voluntary prepayments</w:t>
            </w:r>
          </w:p>
        </w:tc>
      </w:tr>
    </w:tbl>
    <w:p>
      <w:pPr>
        <w:spacing w:after="0" w:line="46" w:lineRule="exact"/>
        <w:rPr>
          <w:sz w:val="20"/>
          <w:szCs w:val="20"/>
          <w:color w:val="auto"/>
        </w:rPr>
      </w:pPr>
    </w:p>
    <w:p>
      <w:pPr>
        <w:ind w:left="1240" w:hanging="604"/>
        <w:spacing w:after="0"/>
        <w:tabs>
          <w:tab w:leader="none" w:pos="1240" w:val="left"/>
        </w:tabs>
        <w:numPr>
          <w:ilvl w:val="0"/>
          <w:numId w:val="291"/>
        </w:numPr>
        <w:rPr>
          <w:rFonts w:ascii="Arial" w:cs="Arial" w:eastAsia="Arial" w:hAnsi="Arial"/>
          <w:sz w:val="13"/>
          <w:szCs w:val="13"/>
          <w:color w:val="auto"/>
        </w:rPr>
      </w:pPr>
      <w:r>
        <w:rPr>
          <w:rFonts w:ascii="Arial" w:cs="Arial" w:eastAsia="Arial" w:hAnsi="Arial"/>
          <w:sz w:val="13"/>
          <w:szCs w:val="13"/>
          <w:color w:val="auto"/>
        </w:rPr>
        <w:t>In relation to any Advance, the Borrower:</w:t>
      </w:r>
    </w:p>
    <w:p>
      <w:pPr>
        <w:spacing w:after="0" w:line="76" w:lineRule="exact"/>
        <w:rPr>
          <w:sz w:val="20"/>
          <w:szCs w:val="20"/>
          <w:color w:val="auto"/>
        </w:rPr>
      </w:pPr>
    </w:p>
    <w:p>
      <w:pPr>
        <w:ind w:left="1340" w:hanging="352"/>
        <w:spacing w:after="0"/>
        <w:tabs>
          <w:tab w:leader="none" w:pos="1340" w:val="left"/>
        </w:tabs>
        <w:numPr>
          <w:ilvl w:val="0"/>
          <w:numId w:val="292"/>
        </w:numPr>
        <w:rPr>
          <w:rFonts w:ascii="Arial" w:cs="Arial" w:eastAsia="Arial" w:hAnsi="Arial"/>
          <w:sz w:val="13"/>
          <w:szCs w:val="13"/>
          <w:color w:val="auto"/>
        </w:rPr>
      </w:pPr>
      <w:r>
        <w:rPr>
          <w:rFonts w:ascii="Arial" w:cs="Arial" w:eastAsia="Arial" w:hAnsi="Arial"/>
          <w:sz w:val="13"/>
          <w:szCs w:val="13"/>
          <w:color w:val="auto"/>
        </w:rPr>
        <w:t>may prepay any Advance or a part of it (being a minimum of</w:t>
      </w:r>
    </w:p>
    <w:p>
      <w:pPr>
        <w:spacing w:after="0" w:line="13" w:lineRule="exact"/>
        <w:rPr>
          <w:sz w:val="20"/>
          <w:szCs w:val="20"/>
          <w:color w:val="auto"/>
        </w:rPr>
      </w:pPr>
    </w:p>
    <w:p>
      <w:pPr>
        <w:ind w:left="1320" w:right="400"/>
        <w:spacing w:after="0" w:line="244" w:lineRule="auto"/>
        <w:rPr>
          <w:sz w:val="20"/>
          <w:szCs w:val="20"/>
          <w:color w:val="auto"/>
        </w:rPr>
      </w:pPr>
      <w:r>
        <w:rPr>
          <w:rFonts w:ascii="Arial" w:cs="Arial" w:eastAsia="Arial" w:hAnsi="Arial"/>
          <w:sz w:val="13"/>
          <w:szCs w:val="13"/>
          <w:color w:val="auto"/>
        </w:rPr>
        <w:t>$100,000 or an integral multiple of that amount) by giving 5 Business Days’ notice to the Bank specifying the amount to be prepaid and the date on which the prepayment will be made;</w:t>
      </w:r>
    </w:p>
    <w:p>
      <w:pPr>
        <w:spacing w:after="0" w:line="37" w:lineRule="exact"/>
        <w:rPr>
          <w:sz w:val="20"/>
          <w:szCs w:val="20"/>
          <w:color w:val="auto"/>
        </w:rPr>
      </w:pPr>
    </w:p>
    <w:p>
      <w:pPr>
        <w:ind w:left="980"/>
        <w:spacing w:after="0"/>
        <w:tabs>
          <w:tab w:leader="none" w:pos="2620" w:val="left"/>
        </w:tabs>
        <w:rPr>
          <w:sz w:val="20"/>
          <w:szCs w:val="20"/>
          <w:color w:val="auto"/>
        </w:rPr>
      </w:pPr>
      <w:r>
        <w:rPr>
          <w:rFonts w:ascii="Arial" w:cs="Arial" w:eastAsia="Arial" w:hAnsi="Arial"/>
          <w:sz w:val="13"/>
          <w:szCs w:val="13"/>
          <w:color w:val="auto"/>
        </w:rPr>
        <w:t>(ii)</w:t>
      </w:r>
      <w:r>
        <w:rPr>
          <w:sz w:val="20"/>
          <w:szCs w:val="20"/>
          <w:color w:val="auto"/>
        </w:rPr>
        <w:tab/>
      </w:r>
      <w:r>
        <w:rPr>
          <w:rFonts w:ascii="Arial" w:cs="Arial" w:eastAsia="Arial" w:hAnsi="Arial"/>
          <w:sz w:val="13"/>
          <w:szCs w:val="13"/>
          <w:color w:val="auto"/>
        </w:rPr>
        <w:t xml:space="preserve">may, subject to </w:t>
      </w:r>
      <w:r>
        <w:rPr>
          <w:rFonts w:ascii="Arial" w:cs="Arial" w:eastAsia="Arial" w:hAnsi="Arial"/>
          <w:sz w:val="13"/>
          <w:szCs w:val="13"/>
          <w:b w:val="1"/>
          <w:bCs w:val="1"/>
          <w:color w:val="auto"/>
        </w:rPr>
        <w:t>clause 4.3</w:t>
      </w:r>
      <w:r>
        <w:rPr>
          <w:rFonts w:ascii="Arial" w:cs="Arial" w:eastAsia="Arial" w:hAnsi="Arial"/>
          <w:sz w:val="13"/>
          <w:szCs w:val="13"/>
          <w:color w:val="auto"/>
        </w:rPr>
        <w:t xml:space="preserve">, redraw any amount prepaid in accordance with this </w:t>
      </w:r>
      <w:r>
        <w:rPr>
          <w:rFonts w:ascii="Arial" w:cs="Arial" w:eastAsia="Arial" w:hAnsi="Arial"/>
          <w:sz w:val="13"/>
          <w:szCs w:val="13"/>
          <w:b w:val="1"/>
          <w:bCs w:val="1"/>
          <w:color w:val="auto"/>
        </w:rPr>
        <w:t>clause 5.2</w:t>
      </w:r>
      <w:r>
        <w:rPr>
          <w:rFonts w:ascii="Arial" w:cs="Arial" w:eastAsia="Arial" w:hAnsi="Arial"/>
          <w:sz w:val="13"/>
          <w:szCs w:val="13"/>
          <w:color w:val="auto"/>
        </w:rPr>
        <w:t>; and</w:t>
      </w:r>
    </w:p>
    <w:p>
      <w:pPr>
        <w:spacing w:after="0" w:line="52" w:lineRule="exact"/>
        <w:rPr>
          <w:sz w:val="20"/>
          <w:szCs w:val="20"/>
          <w:color w:val="auto"/>
        </w:rPr>
      </w:pPr>
    </w:p>
    <w:p>
      <w:pPr>
        <w:ind w:left="1440" w:hanging="452"/>
        <w:spacing w:after="0" w:line="269" w:lineRule="auto"/>
        <w:tabs>
          <w:tab w:leader="none" w:pos="1440" w:val="left"/>
        </w:tabs>
        <w:numPr>
          <w:ilvl w:val="1"/>
          <w:numId w:val="293"/>
        </w:numPr>
        <w:rPr>
          <w:rFonts w:ascii="Arial" w:cs="Arial" w:eastAsia="Arial" w:hAnsi="Arial"/>
          <w:sz w:val="13"/>
          <w:szCs w:val="13"/>
          <w:color w:val="auto"/>
        </w:rPr>
      </w:pPr>
      <w:r>
        <w:rPr>
          <w:rFonts w:ascii="Arial" w:cs="Arial" w:eastAsia="Arial" w:hAnsi="Arial"/>
          <w:sz w:val="13"/>
          <w:szCs w:val="13"/>
          <w:color w:val="auto"/>
        </w:rPr>
        <w:t xml:space="preserve">must make any prepayment under this document together with accrued interest on the amount prepaid, any fees payable under </w:t>
      </w:r>
      <w:r>
        <w:rPr>
          <w:rFonts w:ascii="Arial" w:cs="Arial" w:eastAsia="Arial" w:hAnsi="Arial"/>
          <w:sz w:val="13"/>
          <w:szCs w:val="13"/>
          <w:b w:val="1"/>
          <w:bCs w:val="1"/>
          <w:color w:val="auto"/>
        </w:rPr>
        <w:t>clause</w:t>
      </w:r>
      <w:r>
        <w:rPr>
          <w:rFonts w:ascii="Arial" w:cs="Arial" w:eastAsia="Arial" w:hAnsi="Arial"/>
          <w:sz w:val="13"/>
          <w:szCs w:val="13"/>
          <w:color w:val="auto"/>
        </w:rPr>
        <w:t xml:space="preserve"> </w:t>
      </w:r>
      <w:r>
        <w:rPr>
          <w:rFonts w:ascii="Arial" w:cs="Arial" w:eastAsia="Arial" w:hAnsi="Arial"/>
          <w:sz w:val="13"/>
          <w:szCs w:val="13"/>
          <w:b w:val="1"/>
          <w:bCs w:val="1"/>
          <w:color w:val="auto"/>
        </w:rPr>
        <w:t xml:space="preserve">9.1 </w:t>
      </w:r>
      <w:r>
        <w:rPr>
          <w:rFonts w:ascii="Arial" w:cs="Arial" w:eastAsia="Arial" w:hAnsi="Arial"/>
          <w:sz w:val="13"/>
          <w:szCs w:val="13"/>
          <w:color w:val="auto"/>
        </w:rPr>
        <w:t>and any Break Costs, but otherwise without premium or penalty.</w:t>
      </w:r>
    </w:p>
    <w:p>
      <w:pPr>
        <w:spacing w:after="0" w:line="41" w:lineRule="exact"/>
        <w:rPr>
          <w:rFonts w:ascii="Arial" w:cs="Arial" w:eastAsia="Arial" w:hAnsi="Arial"/>
          <w:sz w:val="13"/>
          <w:szCs w:val="13"/>
          <w:color w:val="auto"/>
        </w:rPr>
      </w:pPr>
    </w:p>
    <w:p>
      <w:pPr>
        <w:ind w:left="1420" w:hanging="784"/>
        <w:spacing w:after="0"/>
        <w:tabs>
          <w:tab w:leader="none" w:pos="1420" w:val="left"/>
        </w:tabs>
        <w:numPr>
          <w:ilvl w:val="0"/>
          <w:numId w:val="294"/>
        </w:numPr>
        <w:rPr>
          <w:rFonts w:ascii="Arial" w:cs="Arial" w:eastAsia="Arial" w:hAnsi="Arial"/>
          <w:sz w:val="13"/>
          <w:szCs w:val="13"/>
          <w:color w:val="auto"/>
        </w:rPr>
      </w:pPr>
      <w:r>
        <w:rPr>
          <w:rFonts w:ascii="Arial" w:cs="Arial" w:eastAsia="Arial" w:hAnsi="Arial"/>
          <w:sz w:val="13"/>
          <w:szCs w:val="13"/>
          <w:color w:val="auto"/>
        </w:rPr>
        <w:t>The Borrower may reimburse or repay the Face Value in respect of any Current Bank Guarantee by:</w:t>
      </w:r>
    </w:p>
    <w:p>
      <w:pPr>
        <w:spacing w:after="0" w:line="41" w:lineRule="exact"/>
        <w:rPr>
          <w:rFonts w:ascii="Arial" w:cs="Arial" w:eastAsia="Arial" w:hAnsi="Arial"/>
          <w:sz w:val="13"/>
          <w:szCs w:val="13"/>
          <w:color w:val="auto"/>
        </w:rPr>
      </w:pPr>
    </w:p>
    <w:p>
      <w:pPr>
        <w:ind w:left="1560" w:right="140" w:hanging="572"/>
        <w:spacing w:after="0" w:line="269" w:lineRule="auto"/>
        <w:tabs>
          <w:tab w:leader="none" w:pos="1560" w:val="left"/>
        </w:tabs>
        <w:numPr>
          <w:ilvl w:val="1"/>
          <w:numId w:val="294"/>
        </w:numPr>
        <w:rPr>
          <w:rFonts w:ascii="Arial" w:cs="Arial" w:eastAsia="Arial" w:hAnsi="Arial"/>
          <w:sz w:val="13"/>
          <w:szCs w:val="13"/>
          <w:color w:val="auto"/>
        </w:rPr>
      </w:pPr>
      <w:r>
        <w:rPr>
          <w:rFonts w:ascii="Arial" w:cs="Arial" w:eastAsia="Arial" w:hAnsi="Arial"/>
          <w:sz w:val="13"/>
          <w:szCs w:val="13"/>
          <w:color w:val="auto"/>
        </w:rPr>
        <w:t xml:space="preserve">providing to the Bank, cash collateral (on terms satisfactory to the Bank and subject to </w:t>
      </w:r>
      <w:r>
        <w:rPr>
          <w:rFonts w:ascii="Arial" w:cs="Arial" w:eastAsia="Arial" w:hAnsi="Arial"/>
          <w:sz w:val="13"/>
          <w:szCs w:val="13"/>
          <w:b w:val="1"/>
          <w:bCs w:val="1"/>
          <w:color w:val="auto"/>
        </w:rPr>
        <w:t>clause 10.3</w:t>
      </w:r>
      <w:r>
        <w:rPr>
          <w:rFonts w:ascii="Arial" w:cs="Arial" w:eastAsia="Arial" w:hAnsi="Arial"/>
          <w:sz w:val="13"/>
          <w:szCs w:val="13"/>
          <w:color w:val="auto"/>
        </w:rPr>
        <w:t>) in an amount not less than the Face Value of the Bank Guarantee; or</w:t>
      </w:r>
    </w:p>
    <w:p>
      <w:pPr>
        <w:spacing w:after="0" w:line="50" w:lineRule="exact"/>
        <w:rPr>
          <w:sz w:val="20"/>
          <w:szCs w:val="20"/>
          <w:color w:val="auto"/>
        </w:rPr>
      </w:pPr>
    </w:p>
    <w:p>
      <w:pPr>
        <w:ind w:left="1740" w:right="180" w:hanging="752"/>
        <w:spacing w:after="0" w:line="244" w:lineRule="auto"/>
        <w:tabs>
          <w:tab w:leader="none" w:pos="1740" w:val="left"/>
        </w:tabs>
        <w:numPr>
          <w:ilvl w:val="0"/>
          <w:numId w:val="295"/>
        </w:numPr>
        <w:rPr>
          <w:rFonts w:ascii="Arial" w:cs="Arial" w:eastAsia="Arial" w:hAnsi="Arial"/>
          <w:sz w:val="13"/>
          <w:szCs w:val="13"/>
          <w:color w:val="auto"/>
        </w:rPr>
      </w:pPr>
      <w:r>
        <w:rPr>
          <w:rFonts w:ascii="Arial" w:cs="Arial" w:eastAsia="Arial" w:hAnsi="Arial"/>
          <w:sz w:val="13"/>
          <w:szCs w:val="13"/>
          <w:color w:val="auto"/>
        </w:rPr>
        <w:t>cancelling that Bank Guarantee by returning the original to the Bank together with written confirmation from the Beneficiary that the Bank has no further liability under that Bank Guarantee.</w:t>
      </w:r>
    </w:p>
    <w:p>
      <w:pPr>
        <w:spacing w:after="0" w:line="63" w:lineRule="exact"/>
        <w:rPr>
          <w:sz w:val="20"/>
          <w:szCs w:val="20"/>
          <w:color w:val="auto"/>
        </w:rPr>
      </w:pPr>
    </w:p>
    <w:p>
      <w:pPr>
        <w:ind w:left="140"/>
        <w:spacing w:after="0"/>
        <w:tabs>
          <w:tab w:leader="none" w:pos="940" w:val="left"/>
        </w:tabs>
        <w:rPr>
          <w:sz w:val="20"/>
          <w:szCs w:val="20"/>
          <w:color w:val="auto"/>
        </w:rPr>
      </w:pPr>
      <w:r>
        <w:rPr>
          <w:rFonts w:ascii="Arial" w:cs="Arial" w:eastAsia="Arial" w:hAnsi="Arial"/>
          <w:sz w:val="14"/>
          <w:szCs w:val="14"/>
          <w:b w:val="1"/>
          <w:bCs w:val="1"/>
          <w:color w:val="auto"/>
        </w:rPr>
        <w:t>5.3</w:t>
      </w:r>
      <w:r>
        <w:rPr>
          <w:sz w:val="20"/>
          <w:szCs w:val="20"/>
          <w:color w:val="auto"/>
        </w:rPr>
        <w:tab/>
      </w:r>
      <w:r>
        <w:rPr>
          <w:rFonts w:ascii="Arial" w:cs="Arial" w:eastAsia="Arial" w:hAnsi="Arial"/>
          <w:sz w:val="14"/>
          <w:szCs w:val="14"/>
          <w:b w:val="1"/>
          <w:bCs w:val="1"/>
          <w:color w:val="auto"/>
        </w:rPr>
        <w:t>Indemnity in respect of Bank Guarantees</w:t>
      </w:r>
    </w:p>
    <w:p>
      <w:pPr>
        <w:spacing w:after="0" w:line="59" w:lineRule="exact"/>
        <w:rPr>
          <w:sz w:val="20"/>
          <w:szCs w:val="20"/>
          <w:color w:val="auto"/>
        </w:rPr>
      </w:pPr>
    </w:p>
    <w:p>
      <w:pPr>
        <w:ind w:left="1100" w:right="20" w:hanging="464"/>
        <w:spacing w:after="0" w:line="250" w:lineRule="auto"/>
        <w:tabs>
          <w:tab w:leader="none" w:pos="1100" w:val="left"/>
        </w:tabs>
        <w:numPr>
          <w:ilvl w:val="0"/>
          <w:numId w:val="296"/>
        </w:numPr>
        <w:rPr>
          <w:rFonts w:ascii="Arial" w:cs="Arial" w:eastAsia="Arial" w:hAnsi="Arial"/>
          <w:sz w:val="13"/>
          <w:szCs w:val="13"/>
          <w:color w:val="auto"/>
        </w:rPr>
      </w:pPr>
      <w:r>
        <w:rPr>
          <w:rFonts w:ascii="Arial" w:cs="Arial" w:eastAsia="Arial" w:hAnsi="Arial"/>
          <w:sz w:val="13"/>
          <w:szCs w:val="13"/>
          <w:color w:val="auto"/>
        </w:rPr>
        <w:t xml:space="preserve">Without limiting </w:t>
      </w:r>
      <w:r>
        <w:rPr>
          <w:rFonts w:ascii="Arial" w:cs="Arial" w:eastAsia="Arial" w:hAnsi="Arial"/>
          <w:sz w:val="13"/>
          <w:szCs w:val="13"/>
          <w:b w:val="1"/>
          <w:bCs w:val="1"/>
          <w:color w:val="auto"/>
        </w:rPr>
        <w:t>clause 12.1</w:t>
      </w:r>
      <w:r>
        <w:rPr>
          <w:rFonts w:ascii="Arial" w:cs="Arial" w:eastAsia="Arial" w:hAnsi="Arial"/>
          <w:sz w:val="13"/>
          <w:szCs w:val="13"/>
          <w:color w:val="auto"/>
        </w:rPr>
        <w:t>, the Borrower indemnifies the Bank against any liability, loss, cost or expense sustained or incurred in relation to any Bank Guarantee or as a direct or indirect consequence of any claim made or purported to be made under any Bank Guarantee, or anything done by any person who is or claims to be entitled to the benefit of a Bank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160020</wp:posOffset>
            </wp:positionV>
            <wp:extent cx="6208395"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208395" cy="42545"/>
                    </a:xfrm>
                    <a:prstGeom prst="rect">
                      <a:avLst/>
                    </a:prstGeom>
                    <a:noFill/>
                  </pic:spPr>
                </pic:pic>
              </a:graphicData>
            </a:graphic>
          </wp:anchor>
        </w:drawing>
      </w:r>
    </w:p>
    <w:p>
      <w:pPr>
        <w:sectPr>
          <w:pgSz w:w="11900" w:h="16838" w:orient="portrait"/>
          <w:cols w:equalWidth="0" w:num="1">
            <w:col w:w="9320"/>
          </w:cols>
          <w:pgMar w:left="1440" w:top="561" w:right="1139" w:bottom="1440" w:gutter="0" w:footer="0" w:header="0"/>
        </w:sectPr>
      </w:pPr>
    </w:p>
    <w:bookmarkStart w:id="246" w:name="page247"/>
    <w:bookmarkEnd w:id="246"/>
    <w:p>
      <w:pPr>
        <w:ind w:left="1480" w:right="380" w:hanging="844"/>
        <w:spacing w:after="0" w:line="250" w:lineRule="auto"/>
        <w:tabs>
          <w:tab w:leader="none" w:pos="1480" w:val="left"/>
        </w:tabs>
        <w:numPr>
          <w:ilvl w:val="0"/>
          <w:numId w:val="297"/>
        </w:numPr>
        <w:rPr>
          <w:rFonts w:ascii="Arial" w:cs="Arial" w:eastAsia="Arial" w:hAnsi="Arial"/>
          <w:sz w:val="13"/>
          <w:szCs w:val="13"/>
          <w:color w:val="auto"/>
        </w:rPr>
      </w:pPr>
      <w:r>
        <w:rPr>
          <w:rFonts w:ascii="Arial" w:cs="Arial" w:eastAsia="Arial" w:hAnsi="Arial"/>
          <w:sz w:val="13"/>
          <w:szCs w:val="13"/>
          <w:color w:val="auto"/>
        </w:rPr>
        <w:t xml:space="preserve">Without limiting </w:t>
      </w:r>
      <w:r>
        <w:rPr>
          <w:rFonts w:ascii="Arial" w:cs="Arial" w:eastAsia="Arial" w:hAnsi="Arial"/>
          <w:sz w:val="13"/>
          <w:szCs w:val="13"/>
          <w:b w:val="1"/>
          <w:bCs w:val="1"/>
          <w:color w:val="auto"/>
        </w:rPr>
        <w:t>clause 5.3(a)</w:t>
      </w:r>
      <w:r>
        <w:rPr>
          <w:rFonts w:ascii="Arial" w:cs="Arial" w:eastAsia="Arial" w:hAnsi="Arial"/>
          <w:sz w:val="13"/>
          <w:szCs w:val="13"/>
          <w:color w:val="auto"/>
        </w:rPr>
        <w:t xml:space="preserve">, the Borrower must pay to the Bank all amounts claimed by or paid to any Beneficiary in relation to any Bank Guarantee (whether or not the Beneficiary was entitled to make that claim or the Bank was required to make that payment), including any payment made by the Bank under </w:t>
      </w:r>
      <w:r>
        <w:rPr>
          <w:rFonts w:ascii="Arial" w:cs="Arial" w:eastAsia="Arial" w:hAnsi="Arial"/>
          <w:sz w:val="13"/>
          <w:szCs w:val="13"/>
          <w:b w:val="1"/>
          <w:bCs w:val="1"/>
          <w:color w:val="auto"/>
        </w:rPr>
        <w:t>clause 10.2(a)(iv)(B)</w:t>
      </w:r>
      <w:r>
        <w:rPr>
          <w:rFonts w:ascii="Arial" w:cs="Arial" w:eastAsia="Arial" w:hAnsi="Arial"/>
          <w:sz w:val="13"/>
          <w:szCs w:val="13"/>
          <w:color w:val="auto"/>
        </w:rPr>
        <w:t>.</w:t>
      </w:r>
    </w:p>
    <w:p>
      <w:pPr>
        <w:spacing w:after="0" w:line="28" w:lineRule="exact"/>
        <w:rPr>
          <w:rFonts w:ascii="Arial" w:cs="Arial" w:eastAsia="Arial" w:hAnsi="Arial"/>
          <w:sz w:val="13"/>
          <w:szCs w:val="13"/>
          <w:color w:val="auto"/>
        </w:rPr>
      </w:pPr>
    </w:p>
    <w:p>
      <w:pPr>
        <w:ind w:left="1060" w:hanging="424"/>
        <w:spacing w:after="0" w:line="269" w:lineRule="auto"/>
        <w:tabs>
          <w:tab w:leader="none" w:pos="1060" w:val="left"/>
        </w:tabs>
        <w:numPr>
          <w:ilvl w:val="0"/>
          <w:numId w:val="297"/>
        </w:numPr>
        <w:rPr>
          <w:rFonts w:ascii="Arial" w:cs="Arial" w:eastAsia="Arial" w:hAnsi="Arial"/>
          <w:sz w:val="13"/>
          <w:szCs w:val="13"/>
          <w:color w:val="auto"/>
        </w:rPr>
      </w:pPr>
      <w:r>
        <w:rPr>
          <w:rFonts w:ascii="Arial" w:cs="Arial" w:eastAsia="Arial" w:hAnsi="Arial"/>
          <w:sz w:val="13"/>
          <w:szCs w:val="13"/>
          <w:color w:val="auto"/>
        </w:rPr>
        <w:t xml:space="preserve">The Borrower’s obligations under </w:t>
      </w:r>
      <w:r>
        <w:rPr>
          <w:rFonts w:ascii="Arial" w:cs="Arial" w:eastAsia="Arial" w:hAnsi="Arial"/>
          <w:sz w:val="13"/>
          <w:szCs w:val="13"/>
          <w:b w:val="1"/>
          <w:bCs w:val="1"/>
          <w:color w:val="auto"/>
        </w:rPr>
        <w:t>clause 5.4(a)</w:t>
      </w:r>
      <w:r>
        <w:rPr>
          <w:rFonts w:ascii="Arial" w:cs="Arial" w:eastAsia="Arial" w:hAnsi="Arial"/>
          <w:sz w:val="13"/>
          <w:szCs w:val="13"/>
          <w:color w:val="auto"/>
        </w:rPr>
        <w:t xml:space="preserve"> and </w:t>
      </w:r>
      <w:r>
        <w:rPr>
          <w:rFonts w:ascii="Arial" w:cs="Arial" w:eastAsia="Arial" w:hAnsi="Arial"/>
          <w:sz w:val="13"/>
          <w:szCs w:val="13"/>
          <w:b w:val="1"/>
          <w:bCs w:val="1"/>
          <w:color w:val="auto"/>
        </w:rPr>
        <w:t>(b)</w:t>
      </w:r>
      <w:r>
        <w:rPr>
          <w:rFonts w:ascii="Arial" w:cs="Arial" w:eastAsia="Arial" w:hAnsi="Arial"/>
          <w:sz w:val="13"/>
          <w:szCs w:val="13"/>
          <w:color w:val="auto"/>
        </w:rPr>
        <w:t xml:space="preserve"> are absolute and unconditional. They are not affected by any reduction, termination or other impairment by set-off, deduction, abatement, counterclaim, agreement, defence, suspension, deferment or otherwise.</w:t>
      </w:r>
    </w:p>
    <w:p>
      <w:pPr>
        <w:spacing w:after="0" w:line="41" w:lineRule="exact"/>
        <w:rPr>
          <w:rFonts w:ascii="Arial" w:cs="Arial" w:eastAsia="Arial" w:hAnsi="Arial"/>
          <w:sz w:val="13"/>
          <w:szCs w:val="13"/>
          <w:color w:val="auto"/>
        </w:rPr>
      </w:pPr>
    </w:p>
    <w:p>
      <w:pPr>
        <w:ind w:left="1140" w:right="360" w:hanging="504"/>
        <w:spacing w:after="0" w:line="244" w:lineRule="auto"/>
        <w:tabs>
          <w:tab w:leader="none" w:pos="1140" w:val="left"/>
        </w:tabs>
        <w:numPr>
          <w:ilvl w:val="0"/>
          <w:numId w:val="297"/>
        </w:numPr>
        <w:rPr>
          <w:rFonts w:ascii="Arial" w:cs="Arial" w:eastAsia="Arial" w:hAnsi="Arial"/>
          <w:sz w:val="13"/>
          <w:szCs w:val="13"/>
          <w:color w:val="auto"/>
        </w:rPr>
      </w:pPr>
      <w:r>
        <w:rPr>
          <w:rFonts w:ascii="Arial" w:cs="Arial" w:eastAsia="Arial" w:hAnsi="Arial"/>
          <w:sz w:val="13"/>
          <w:szCs w:val="13"/>
          <w:color w:val="auto"/>
        </w:rPr>
        <w:t>The Borrower is not released, relieved or discharged from any obligation under this document, nor will such obligation be prejudiced or affected for any reason, including:</w:t>
      </w:r>
    </w:p>
    <w:p>
      <w:pPr>
        <w:spacing w:after="0" w:line="56" w:lineRule="exact"/>
        <w:rPr>
          <w:rFonts w:ascii="Arial" w:cs="Arial" w:eastAsia="Arial" w:hAnsi="Arial"/>
          <w:sz w:val="13"/>
          <w:szCs w:val="13"/>
          <w:color w:val="auto"/>
        </w:rPr>
      </w:pPr>
    </w:p>
    <w:p>
      <w:pPr>
        <w:ind w:left="1500" w:right="380" w:hanging="512"/>
        <w:spacing w:after="0" w:line="244" w:lineRule="auto"/>
        <w:tabs>
          <w:tab w:leader="none" w:pos="1500" w:val="left"/>
        </w:tabs>
        <w:numPr>
          <w:ilvl w:val="1"/>
          <w:numId w:val="297"/>
        </w:numPr>
        <w:rPr>
          <w:rFonts w:ascii="Arial" w:cs="Arial" w:eastAsia="Arial" w:hAnsi="Arial"/>
          <w:sz w:val="13"/>
          <w:szCs w:val="13"/>
          <w:color w:val="auto"/>
        </w:rPr>
      </w:pPr>
      <w:r>
        <w:rPr>
          <w:rFonts w:ascii="Arial" w:cs="Arial" w:eastAsia="Arial" w:hAnsi="Arial"/>
          <w:sz w:val="13"/>
          <w:szCs w:val="13"/>
          <w:color w:val="auto"/>
        </w:rPr>
        <w:t>any falsity, inaccuracy, insufficiency or forgery of or in any demand, certificate or declaration or other document which on its face purports to be signed or authorised under a Bank Guarantee;</w:t>
      </w:r>
    </w:p>
    <w:p>
      <w:pPr>
        <w:spacing w:after="0" w:line="47" w:lineRule="exact"/>
        <w:rPr>
          <w:rFonts w:ascii="Arial" w:cs="Arial" w:eastAsia="Arial" w:hAnsi="Arial"/>
          <w:sz w:val="13"/>
          <w:szCs w:val="13"/>
          <w:color w:val="auto"/>
        </w:rPr>
      </w:pPr>
    </w:p>
    <w:p>
      <w:pPr>
        <w:ind w:left="1600" w:right="40" w:hanging="612"/>
        <w:spacing w:after="0" w:line="244" w:lineRule="auto"/>
        <w:tabs>
          <w:tab w:leader="none" w:pos="1600" w:val="left"/>
        </w:tabs>
        <w:numPr>
          <w:ilvl w:val="1"/>
          <w:numId w:val="297"/>
        </w:numPr>
        <w:rPr>
          <w:rFonts w:ascii="Arial" w:cs="Arial" w:eastAsia="Arial" w:hAnsi="Arial"/>
          <w:sz w:val="13"/>
          <w:szCs w:val="13"/>
          <w:color w:val="auto"/>
        </w:rPr>
      </w:pPr>
      <w:r>
        <w:rPr>
          <w:rFonts w:ascii="Arial" w:cs="Arial" w:eastAsia="Arial" w:hAnsi="Arial"/>
          <w:sz w:val="13"/>
          <w:szCs w:val="13"/>
          <w:color w:val="auto"/>
        </w:rPr>
        <w:t>any failure by the Bank to enquire whether a cable, telex or other notification was inaccurately transmitted, received or given by an unauthorised person (other than where such failure occurs due to the wilful default or fraud of the Bank);</w:t>
      </w:r>
    </w:p>
    <w:p>
      <w:pPr>
        <w:spacing w:after="0" w:line="56" w:lineRule="exact"/>
        <w:rPr>
          <w:rFonts w:ascii="Arial" w:cs="Arial" w:eastAsia="Arial" w:hAnsi="Arial"/>
          <w:sz w:val="13"/>
          <w:szCs w:val="13"/>
          <w:color w:val="auto"/>
        </w:rPr>
      </w:pPr>
    </w:p>
    <w:p>
      <w:pPr>
        <w:ind w:left="1540" w:right="120" w:hanging="552"/>
        <w:spacing w:after="0" w:line="244" w:lineRule="auto"/>
        <w:tabs>
          <w:tab w:leader="none" w:pos="1540" w:val="left"/>
        </w:tabs>
        <w:numPr>
          <w:ilvl w:val="1"/>
          <w:numId w:val="297"/>
        </w:numPr>
        <w:rPr>
          <w:rFonts w:ascii="Arial" w:cs="Arial" w:eastAsia="Arial" w:hAnsi="Arial"/>
          <w:sz w:val="13"/>
          <w:szCs w:val="13"/>
          <w:color w:val="auto"/>
        </w:rPr>
      </w:pPr>
      <w:r>
        <w:rPr>
          <w:rFonts w:ascii="Arial" w:cs="Arial" w:eastAsia="Arial" w:hAnsi="Arial"/>
          <w:sz w:val="13"/>
          <w:szCs w:val="13"/>
          <w:color w:val="auto"/>
        </w:rPr>
        <w:t>the impossibility or illegality of performance of, or any invalidity of or affecting, any Transaction Document or Bank Guarantee or any other document;</w:t>
      </w:r>
    </w:p>
    <w:p>
      <w:pPr>
        <w:spacing w:after="0" w:line="56" w:lineRule="exact"/>
        <w:rPr>
          <w:rFonts w:ascii="Arial" w:cs="Arial" w:eastAsia="Arial" w:hAnsi="Arial"/>
          <w:sz w:val="13"/>
          <w:szCs w:val="13"/>
          <w:color w:val="auto"/>
        </w:rPr>
      </w:pPr>
    </w:p>
    <w:p>
      <w:pPr>
        <w:ind w:left="1760" w:right="180" w:hanging="772"/>
        <w:spacing w:after="0" w:line="244" w:lineRule="auto"/>
        <w:tabs>
          <w:tab w:leader="none" w:pos="1760" w:val="left"/>
        </w:tabs>
        <w:numPr>
          <w:ilvl w:val="1"/>
          <w:numId w:val="297"/>
        </w:numPr>
        <w:rPr>
          <w:rFonts w:ascii="Arial" w:cs="Arial" w:eastAsia="Arial" w:hAnsi="Arial"/>
          <w:sz w:val="13"/>
          <w:szCs w:val="13"/>
          <w:color w:val="auto"/>
        </w:rPr>
      </w:pPr>
      <w:r>
        <w:rPr>
          <w:rFonts w:ascii="Arial" w:cs="Arial" w:eastAsia="Arial" w:hAnsi="Arial"/>
          <w:sz w:val="13"/>
          <w:szCs w:val="13"/>
          <w:color w:val="auto"/>
        </w:rPr>
        <w:t>any act of any Government Body or arbitrator including any law, judgment, decree or order at any time in effect in any jurisdiction affecting any Transaction Document or Bank Guarantee or any document delivered under a Transaction Document;</w:t>
      </w:r>
    </w:p>
    <w:p>
      <w:pPr>
        <w:spacing w:after="0" w:line="56" w:lineRule="exact"/>
        <w:rPr>
          <w:rFonts w:ascii="Arial" w:cs="Arial" w:eastAsia="Arial" w:hAnsi="Arial"/>
          <w:sz w:val="13"/>
          <w:szCs w:val="13"/>
          <w:color w:val="auto"/>
        </w:rPr>
      </w:pPr>
    </w:p>
    <w:p>
      <w:pPr>
        <w:ind w:left="1880" w:right="360" w:hanging="892"/>
        <w:spacing w:after="0" w:line="244" w:lineRule="auto"/>
        <w:tabs>
          <w:tab w:leader="none" w:pos="1880" w:val="left"/>
        </w:tabs>
        <w:numPr>
          <w:ilvl w:val="1"/>
          <w:numId w:val="297"/>
        </w:numPr>
        <w:rPr>
          <w:rFonts w:ascii="Arial" w:cs="Arial" w:eastAsia="Arial" w:hAnsi="Arial"/>
          <w:sz w:val="13"/>
          <w:szCs w:val="13"/>
          <w:color w:val="auto"/>
        </w:rPr>
      </w:pPr>
      <w:r>
        <w:rPr>
          <w:rFonts w:ascii="Arial" w:cs="Arial" w:eastAsia="Arial" w:hAnsi="Arial"/>
          <w:sz w:val="13"/>
          <w:szCs w:val="13"/>
          <w:color w:val="auto"/>
        </w:rPr>
        <w:t>any failure to obtain any consent, license or other authorisation necessary or desirable in connection with any Transaction Document or any Bank Guarantee; or</w:t>
      </w:r>
    </w:p>
    <w:p>
      <w:pPr>
        <w:spacing w:after="0" w:line="56" w:lineRule="exact"/>
        <w:rPr>
          <w:rFonts w:ascii="Arial" w:cs="Arial" w:eastAsia="Arial" w:hAnsi="Arial"/>
          <w:sz w:val="13"/>
          <w:szCs w:val="13"/>
          <w:color w:val="auto"/>
        </w:rPr>
      </w:pPr>
    </w:p>
    <w:p>
      <w:pPr>
        <w:ind w:left="1500" w:right="460" w:hanging="512"/>
        <w:spacing w:after="0" w:line="244" w:lineRule="auto"/>
        <w:tabs>
          <w:tab w:leader="none" w:pos="1500" w:val="left"/>
        </w:tabs>
        <w:numPr>
          <w:ilvl w:val="1"/>
          <w:numId w:val="297"/>
        </w:numPr>
        <w:rPr>
          <w:rFonts w:ascii="Arial" w:cs="Arial" w:eastAsia="Arial" w:hAnsi="Arial"/>
          <w:sz w:val="13"/>
          <w:szCs w:val="13"/>
          <w:color w:val="auto"/>
        </w:rPr>
      </w:pPr>
      <w:r>
        <w:rPr>
          <w:rFonts w:ascii="Arial" w:cs="Arial" w:eastAsia="Arial" w:hAnsi="Arial"/>
          <w:sz w:val="13"/>
          <w:szCs w:val="13"/>
          <w:color w:val="auto"/>
        </w:rPr>
        <w:t>any other cause or circumstance, foreseen or unforeseen, whether or not similar to any of the above, affecting any Transaction Document or Bank Guarantee or any transaction under a Transaction Document or Bank Guarantee,</w:t>
      </w:r>
    </w:p>
    <w:p>
      <w:pPr>
        <w:spacing w:after="0" w:line="47" w:lineRule="exact"/>
        <w:rPr>
          <w:rFonts w:ascii="Arial" w:cs="Arial" w:eastAsia="Arial" w:hAnsi="Arial"/>
          <w:sz w:val="13"/>
          <w:szCs w:val="13"/>
          <w:color w:val="auto"/>
        </w:rPr>
      </w:pPr>
    </w:p>
    <w:p>
      <w:pPr>
        <w:ind w:left="1580" w:hanging="592"/>
        <w:spacing w:after="0"/>
        <w:tabs>
          <w:tab w:leader="none" w:pos="1580" w:val="left"/>
        </w:tabs>
        <w:numPr>
          <w:ilvl w:val="1"/>
          <w:numId w:val="297"/>
        </w:numPr>
        <w:rPr>
          <w:rFonts w:ascii="Arial" w:cs="Arial" w:eastAsia="Arial" w:hAnsi="Arial"/>
          <w:sz w:val="13"/>
          <w:szCs w:val="13"/>
          <w:color w:val="auto"/>
        </w:rPr>
      </w:pPr>
      <w:r>
        <w:rPr>
          <w:rFonts w:ascii="Arial" w:cs="Arial" w:eastAsia="Arial" w:hAnsi="Arial"/>
          <w:sz w:val="13"/>
          <w:szCs w:val="13"/>
          <w:color w:val="auto"/>
        </w:rPr>
        <w:t>and the Bank need not inquire into any of these matters.</w:t>
      </w:r>
    </w:p>
    <w:p>
      <w:pPr>
        <w:spacing w:after="0" w:line="84" w:lineRule="exact"/>
        <w:rPr>
          <w:rFonts w:ascii="Arial" w:cs="Arial" w:eastAsia="Arial" w:hAnsi="Arial"/>
          <w:sz w:val="13"/>
          <w:szCs w:val="13"/>
          <w:color w:val="auto"/>
        </w:rPr>
      </w:pPr>
    </w:p>
    <w:p>
      <w:pPr>
        <w:ind w:left="1120" w:right="140" w:hanging="484"/>
        <w:spacing w:after="0" w:line="236" w:lineRule="auto"/>
        <w:tabs>
          <w:tab w:leader="none" w:pos="1120" w:val="left"/>
        </w:tabs>
        <w:numPr>
          <w:ilvl w:val="0"/>
          <w:numId w:val="297"/>
        </w:numPr>
        <w:rPr>
          <w:rFonts w:ascii="Arial" w:cs="Arial" w:eastAsia="Arial" w:hAnsi="Arial"/>
          <w:sz w:val="13"/>
          <w:szCs w:val="13"/>
          <w:color w:val="auto"/>
        </w:rPr>
      </w:pPr>
      <w:r>
        <w:rPr>
          <w:rFonts w:ascii="Arial" w:cs="Arial" w:eastAsia="Arial" w:hAnsi="Arial"/>
          <w:sz w:val="13"/>
          <w:szCs w:val="13"/>
          <w:color w:val="auto"/>
        </w:rPr>
        <w:t>The Bank is irrevocably authorised and directed by the Borrower to pay immediately against a demand appearing or purporting to be made by or on behalf of a Beneficiary, any sums up to the Face Value of a Bank Guarantee which may be demanded from the Bank from time to time without any reference to or any necessity for confirmation or verification on the part of the Borrower, and notwithstanding any instructions from the Borrower to the contrary.</w:t>
      </w:r>
    </w:p>
    <w:p>
      <w:pPr>
        <w:spacing w:after="0" w:line="60" w:lineRule="exact"/>
        <w:rPr>
          <w:rFonts w:ascii="Arial" w:cs="Arial" w:eastAsia="Arial" w:hAnsi="Arial"/>
          <w:sz w:val="13"/>
          <w:szCs w:val="13"/>
          <w:color w:val="auto"/>
        </w:rPr>
      </w:pPr>
    </w:p>
    <w:p>
      <w:pPr>
        <w:ind w:left="1140" w:right="40" w:hanging="504"/>
        <w:spacing w:after="0" w:line="244" w:lineRule="auto"/>
        <w:tabs>
          <w:tab w:leader="none" w:pos="1140" w:val="left"/>
        </w:tabs>
        <w:numPr>
          <w:ilvl w:val="0"/>
          <w:numId w:val="297"/>
        </w:numPr>
        <w:rPr>
          <w:rFonts w:ascii="Arial" w:cs="Arial" w:eastAsia="Arial" w:hAnsi="Arial"/>
          <w:sz w:val="13"/>
          <w:szCs w:val="13"/>
          <w:color w:val="auto"/>
        </w:rPr>
      </w:pPr>
      <w:r>
        <w:rPr>
          <w:rFonts w:ascii="Arial" w:cs="Arial" w:eastAsia="Arial" w:hAnsi="Arial"/>
          <w:sz w:val="13"/>
          <w:szCs w:val="13"/>
          <w:color w:val="auto"/>
        </w:rPr>
        <w:t>The obligations of the Borrower will not be affected or in any way limited by any falsity, inaccuracy, insufficiency or forgery of or in any notice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161925</wp:posOffset>
            </wp:positionV>
            <wp:extent cx="6208395"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208395" cy="42545"/>
                    </a:xfrm>
                    <a:prstGeom prst="rect">
                      <a:avLst/>
                    </a:prstGeom>
                    <a:noFill/>
                  </pic:spPr>
                </pic:pic>
              </a:graphicData>
            </a:graphic>
          </wp:anchor>
        </w:drawing>
      </w:r>
    </w:p>
    <w:p>
      <w:pPr>
        <w:sectPr>
          <w:pgSz w:w="11900" w:h="16838" w:orient="portrait"/>
          <w:cols w:equalWidth="0" w:num="1">
            <w:col w:w="9340"/>
          </w:cols>
          <w:pgMar w:left="1440" w:top="544" w:right="1119" w:bottom="1440" w:gutter="0" w:footer="0" w:header="0"/>
        </w:sectPr>
      </w:pPr>
    </w:p>
    <w:bookmarkStart w:id="247" w:name="page248"/>
    <w:bookmarkEnd w:id="247"/>
    <w:p>
      <w:pPr>
        <w:ind w:left="980" w:right="140"/>
        <w:spacing w:after="0" w:line="238" w:lineRule="auto"/>
        <w:rPr>
          <w:sz w:val="20"/>
          <w:szCs w:val="20"/>
          <w:color w:val="auto"/>
        </w:rPr>
      </w:pPr>
      <w:r>
        <w:rPr>
          <w:rFonts w:ascii="Arial" w:cs="Arial" w:eastAsia="Arial" w:hAnsi="Arial"/>
          <w:sz w:val="13"/>
          <w:szCs w:val="13"/>
          <w:color w:val="auto"/>
        </w:rPr>
        <w:t>demand pursuant to any liability or the failure of the Bank to enquire (other than where such failure arises due to the wilful default or fraud of the Bank) whether any notice or demand has been inaccurately transmitted or received from any cause whatsoever or has been given or sent by an unauthorised person.</w:t>
      </w:r>
    </w:p>
    <w:p>
      <w:pPr>
        <w:spacing w:after="0" w:line="67" w:lineRule="exact"/>
        <w:rPr>
          <w:sz w:val="20"/>
          <w:szCs w:val="20"/>
          <w:color w:val="auto"/>
        </w:rPr>
      </w:pPr>
    </w:p>
    <w:p>
      <w:pPr>
        <w:ind w:left="140"/>
        <w:spacing w:after="0"/>
        <w:tabs>
          <w:tab w:leader="none" w:pos="1320" w:val="left"/>
        </w:tabs>
        <w:rPr>
          <w:sz w:val="20"/>
          <w:szCs w:val="20"/>
          <w:color w:val="auto"/>
        </w:rPr>
      </w:pPr>
      <w:r>
        <w:rPr>
          <w:rFonts w:ascii="Arial" w:cs="Arial" w:eastAsia="Arial" w:hAnsi="Arial"/>
          <w:sz w:val="14"/>
          <w:szCs w:val="14"/>
          <w:b w:val="1"/>
          <w:bCs w:val="1"/>
          <w:color w:val="auto"/>
        </w:rPr>
        <w:t>5.4</w:t>
      </w:r>
      <w:r>
        <w:rPr>
          <w:sz w:val="20"/>
          <w:szCs w:val="20"/>
          <w:color w:val="auto"/>
        </w:rPr>
        <w:tab/>
      </w:r>
      <w:r>
        <w:rPr>
          <w:rFonts w:ascii="Arial" w:cs="Arial" w:eastAsia="Arial" w:hAnsi="Arial"/>
          <w:sz w:val="14"/>
          <w:szCs w:val="14"/>
          <w:b w:val="1"/>
          <w:bCs w:val="1"/>
          <w:color w:val="auto"/>
        </w:rPr>
        <w:t>Mandatory prepayments</w:t>
      </w:r>
    </w:p>
    <w:p>
      <w:pPr>
        <w:spacing w:after="0" w:line="75" w:lineRule="exact"/>
        <w:rPr>
          <w:sz w:val="20"/>
          <w:szCs w:val="20"/>
          <w:color w:val="auto"/>
        </w:rPr>
      </w:pPr>
    </w:p>
    <w:p>
      <w:pPr>
        <w:ind w:left="1080" w:right="60" w:hanging="444"/>
        <w:spacing w:after="0" w:line="235" w:lineRule="auto"/>
        <w:tabs>
          <w:tab w:leader="none" w:pos="1080" w:val="left"/>
        </w:tabs>
        <w:numPr>
          <w:ilvl w:val="0"/>
          <w:numId w:val="298"/>
        </w:numPr>
        <w:rPr>
          <w:rFonts w:ascii="Arial" w:cs="Arial" w:eastAsia="Arial" w:hAnsi="Arial"/>
          <w:sz w:val="13"/>
          <w:szCs w:val="13"/>
          <w:color w:val="auto"/>
        </w:rPr>
      </w:pPr>
      <w:r>
        <w:rPr>
          <w:rFonts w:ascii="Arial" w:cs="Arial" w:eastAsia="Arial" w:hAnsi="Arial"/>
          <w:sz w:val="13"/>
          <w:szCs w:val="13"/>
          <w:color w:val="auto"/>
        </w:rPr>
        <w:t xml:space="preserve">Unless the Bank otherwise agrees, if any of the assets, business or undertaking of any Transaction Party is the subject of any Disposal (other than a Permitted Disposal) the Borrower must apply or ensure is applied an amount equal to the cash or equivalent proceeds received by the Transaction Party from the Disposal net of reasonable transaction costs and Taxes in prepayment of Outstanding Accommodation or (other than in respect of a disposal contemplated by </w:t>
      </w:r>
      <w:r>
        <w:rPr>
          <w:rFonts w:ascii="Arial" w:cs="Arial" w:eastAsia="Arial" w:hAnsi="Arial"/>
          <w:sz w:val="13"/>
          <w:szCs w:val="13"/>
          <w:b w:val="1"/>
          <w:bCs w:val="1"/>
          <w:color w:val="auto"/>
        </w:rPr>
        <w:t>clause 5.4(b)</w:t>
      </w:r>
      <w:r>
        <w:rPr>
          <w:rFonts w:ascii="Arial" w:cs="Arial" w:eastAsia="Arial" w:hAnsi="Arial"/>
          <w:sz w:val="13"/>
          <w:szCs w:val="13"/>
          <w:color w:val="auto"/>
        </w:rPr>
        <w:t>), at the Borrower’s election, in permanent reduction of the unused portion of one or more of the Facility Limits.</w:t>
      </w:r>
    </w:p>
    <w:p>
      <w:pPr>
        <w:spacing w:after="0" w:line="60" w:lineRule="exact"/>
        <w:rPr>
          <w:rFonts w:ascii="Arial" w:cs="Arial" w:eastAsia="Arial" w:hAnsi="Arial"/>
          <w:sz w:val="13"/>
          <w:szCs w:val="13"/>
          <w:color w:val="auto"/>
        </w:rPr>
      </w:pPr>
    </w:p>
    <w:p>
      <w:pPr>
        <w:ind w:left="1360" w:right="320" w:hanging="724"/>
        <w:spacing w:after="0" w:line="244" w:lineRule="auto"/>
        <w:tabs>
          <w:tab w:leader="none" w:pos="1360" w:val="left"/>
        </w:tabs>
        <w:numPr>
          <w:ilvl w:val="0"/>
          <w:numId w:val="298"/>
        </w:numPr>
        <w:rPr>
          <w:rFonts w:ascii="Arial" w:cs="Arial" w:eastAsia="Arial" w:hAnsi="Arial"/>
          <w:sz w:val="13"/>
          <w:szCs w:val="13"/>
          <w:color w:val="auto"/>
        </w:rPr>
      </w:pPr>
      <w:r>
        <w:rPr>
          <w:rFonts w:ascii="Arial" w:cs="Arial" w:eastAsia="Arial" w:hAnsi="Arial"/>
          <w:sz w:val="13"/>
          <w:szCs w:val="13"/>
          <w:color w:val="auto"/>
        </w:rPr>
        <w:t>If the land and improvements known as 70 Station Road, Indooroopilly Queensland and described in certificate of title 11485156 are sold:</w:t>
      </w:r>
    </w:p>
    <w:p>
      <w:pPr>
        <w:spacing w:after="0" w:line="47" w:lineRule="exact"/>
        <w:rPr>
          <w:rFonts w:ascii="Arial" w:cs="Arial" w:eastAsia="Arial" w:hAnsi="Arial"/>
          <w:sz w:val="13"/>
          <w:szCs w:val="13"/>
          <w:color w:val="auto"/>
        </w:rPr>
      </w:pPr>
    </w:p>
    <w:p>
      <w:pPr>
        <w:ind w:left="1380" w:right="360" w:hanging="392"/>
        <w:spacing w:after="0" w:line="238" w:lineRule="auto"/>
        <w:tabs>
          <w:tab w:leader="none" w:pos="1380" w:val="left"/>
        </w:tabs>
        <w:numPr>
          <w:ilvl w:val="1"/>
          <w:numId w:val="298"/>
        </w:numPr>
        <w:rPr>
          <w:rFonts w:ascii="Arial" w:cs="Arial" w:eastAsia="Arial" w:hAnsi="Arial"/>
          <w:sz w:val="13"/>
          <w:szCs w:val="13"/>
          <w:color w:val="auto"/>
        </w:rPr>
      </w:pPr>
      <w:r>
        <w:rPr>
          <w:rFonts w:ascii="Arial" w:cs="Arial" w:eastAsia="Arial" w:hAnsi="Arial"/>
          <w:sz w:val="13"/>
          <w:szCs w:val="13"/>
          <w:color w:val="auto"/>
        </w:rPr>
        <w:t>unless the Bank otherwise agrees in writing, the Borrower must apply or ensure is applied an amount equal to 50% of the proceeds arising from that sale net of reasonable transaction costs and Taxes in prepayment of the Outstanding Accommodation and/or in permanent reduction of the unused portion of the Facility Limit for the Corporate Markets Loan Facility; and</w:t>
      </w:r>
    </w:p>
    <w:p>
      <w:pPr>
        <w:spacing w:after="0" w:line="59" w:lineRule="exact"/>
        <w:rPr>
          <w:rFonts w:ascii="Arial" w:cs="Arial" w:eastAsia="Arial" w:hAnsi="Arial"/>
          <w:sz w:val="13"/>
          <w:szCs w:val="13"/>
          <w:color w:val="auto"/>
        </w:rPr>
      </w:pPr>
    </w:p>
    <w:p>
      <w:pPr>
        <w:ind w:left="1480" w:hanging="492"/>
        <w:spacing w:after="0" w:line="236" w:lineRule="auto"/>
        <w:tabs>
          <w:tab w:leader="none" w:pos="1480" w:val="left"/>
        </w:tabs>
        <w:numPr>
          <w:ilvl w:val="1"/>
          <w:numId w:val="298"/>
        </w:numPr>
        <w:rPr>
          <w:rFonts w:ascii="Arial" w:cs="Arial" w:eastAsia="Arial" w:hAnsi="Arial"/>
          <w:sz w:val="13"/>
          <w:szCs w:val="13"/>
          <w:color w:val="auto"/>
        </w:rPr>
      </w:pPr>
      <w:r>
        <w:rPr>
          <w:rFonts w:ascii="Arial" w:cs="Arial" w:eastAsia="Arial" w:hAnsi="Arial"/>
          <w:sz w:val="13"/>
          <w:szCs w:val="13"/>
          <w:color w:val="auto"/>
        </w:rPr>
        <w:t>subject to the prior written consent of the Bank (such consent not to be unreasonably withheld), a Transaction Party may make a Distribution or other payment to Reading International Inc (or any subsidiary or affiliate of Reading International Inc that is outside of the Reading Entertainment Australia Group) of an amount equal to 50% of the proceeds arising from that sale net of reasonable transaction costs and Taxes.</w:t>
      </w:r>
    </w:p>
    <w:p>
      <w:pPr>
        <w:spacing w:after="0" w:line="60" w:lineRule="exact"/>
        <w:rPr>
          <w:rFonts w:ascii="Arial" w:cs="Arial" w:eastAsia="Arial" w:hAnsi="Arial"/>
          <w:sz w:val="13"/>
          <w:szCs w:val="13"/>
          <w:color w:val="auto"/>
        </w:rPr>
      </w:pPr>
    </w:p>
    <w:p>
      <w:pPr>
        <w:ind w:left="1060" w:hanging="424"/>
        <w:spacing w:after="0"/>
        <w:tabs>
          <w:tab w:leader="none" w:pos="1060" w:val="left"/>
        </w:tabs>
        <w:numPr>
          <w:ilvl w:val="0"/>
          <w:numId w:val="298"/>
        </w:numPr>
        <w:rPr>
          <w:rFonts w:ascii="Arial" w:cs="Arial" w:eastAsia="Arial" w:hAnsi="Arial"/>
          <w:sz w:val="13"/>
          <w:szCs w:val="13"/>
          <w:color w:val="auto"/>
        </w:rPr>
      </w:pPr>
      <w:r>
        <w:rPr>
          <w:rFonts w:ascii="Arial" w:cs="Arial" w:eastAsia="Arial" w:hAnsi="Arial"/>
          <w:sz w:val="13"/>
          <w:szCs w:val="13"/>
          <w:color w:val="auto"/>
        </w:rPr>
        <w:t>For the avoidance of doubt the requirements to prepay under</w:t>
      </w:r>
    </w:p>
    <w:p>
      <w:pPr>
        <w:spacing w:after="0" w:line="8" w:lineRule="exact"/>
        <w:rPr>
          <w:sz w:val="20"/>
          <w:szCs w:val="20"/>
          <w:color w:val="auto"/>
        </w:rPr>
      </w:pPr>
    </w:p>
    <w:p>
      <w:pPr>
        <w:ind w:left="980"/>
        <w:spacing w:after="0"/>
        <w:rPr>
          <w:sz w:val="20"/>
          <w:szCs w:val="20"/>
          <w:color w:val="auto"/>
        </w:rPr>
      </w:pPr>
      <w:r>
        <w:rPr>
          <w:rFonts w:ascii="Arial" w:cs="Arial" w:eastAsia="Arial" w:hAnsi="Arial"/>
          <w:sz w:val="13"/>
          <w:szCs w:val="13"/>
          <w:b w:val="1"/>
          <w:bCs w:val="1"/>
          <w:color w:val="auto"/>
        </w:rPr>
        <w:t xml:space="preserve">clause 5.4(b) </w:t>
      </w:r>
      <w:r>
        <w:rPr>
          <w:rFonts w:ascii="Arial" w:cs="Arial" w:eastAsia="Arial" w:hAnsi="Arial"/>
          <w:sz w:val="13"/>
          <w:szCs w:val="13"/>
          <w:color w:val="auto"/>
        </w:rPr>
        <w:t>will to the extent of the prepayment permanently reduce the Facility Limit of the relevant Facility or Facilities.</w:t>
      </w:r>
    </w:p>
    <w:p>
      <w:pPr>
        <w:spacing w:after="0" w:line="78" w:lineRule="exact"/>
        <w:rPr>
          <w:sz w:val="20"/>
          <w:szCs w:val="20"/>
          <w:color w:val="auto"/>
        </w:rPr>
      </w:pPr>
    </w:p>
    <w:p>
      <w:pPr>
        <w:ind w:left="140"/>
        <w:spacing w:after="0"/>
        <w:tabs>
          <w:tab w:leader="none" w:pos="2220" w:val="left"/>
        </w:tabs>
        <w:rPr>
          <w:sz w:val="20"/>
          <w:szCs w:val="20"/>
          <w:color w:val="auto"/>
        </w:rPr>
      </w:pPr>
      <w:r>
        <w:rPr>
          <w:rFonts w:ascii="Arial" w:cs="Arial" w:eastAsia="Arial" w:hAnsi="Arial"/>
          <w:sz w:val="14"/>
          <w:szCs w:val="14"/>
          <w:b w:val="1"/>
          <w:bCs w:val="1"/>
          <w:color w:val="auto"/>
        </w:rPr>
        <w:t>5.5</w:t>
      </w:r>
      <w:r>
        <w:rPr>
          <w:sz w:val="20"/>
          <w:szCs w:val="20"/>
          <w:color w:val="auto"/>
        </w:rPr>
        <w:tab/>
      </w:r>
      <w:r>
        <w:rPr>
          <w:rFonts w:ascii="Arial" w:cs="Arial" w:eastAsia="Arial" w:hAnsi="Arial"/>
          <w:sz w:val="14"/>
          <w:szCs w:val="14"/>
          <w:b w:val="1"/>
          <w:bCs w:val="1"/>
          <w:color w:val="auto"/>
        </w:rPr>
        <w:t>Repayment</w:t>
      </w:r>
    </w:p>
    <w:p>
      <w:pPr>
        <w:spacing w:after="0" w:line="64" w:lineRule="exact"/>
        <w:rPr>
          <w:sz w:val="20"/>
          <w:szCs w:val="20"/>
          <w:color w:val="auto"/>
        </w:rPr>
      </w:pPr>
    </w:p>
    <w:p>
      <w:pPr>
        <w:ind w:left="640"/>
        <w:spacing w:after="0"/>
        <w:rPr>
          <w:sz w:val="20"/>
          <w:szCs w:val="20"/>
          <w:color w:val="auto"/>
        </w:rPr>
      </w:pPr>
      <w:r>
        <w:rPr>
          <w:rFonts w:ascii="Arial" w:cs="Arial" w:eastAsia="Arial" w:hAnsi="Arial"/>
          <w:sz w:val="13"/>
          <w:szCs w:val="13"/>
          <w:color w:val="auto"/>
        </w:rPr>
        <w:t xml:space="preserve">Subject to </w:t>
      </w:r>
      <w:r>
        <w:rPr>
          <w:rFonts w:ascii="Arial" w:cs="Arial" w:eastAsia="Arial" w:hAnsi="Arial"/>
          <w:sz w:val="13"/>
          <w:szCs w:val="13"/>
          <w:b w:val="1"/>
          <w:bCs w:val="1"/>
          <w:color w:val="auto"/>
        </w:rPr>
        <w:t>clause 10.2 and clause 10.3</w:t>
      </w:r>
      <w:r>
        <w:rPr>
          <w:rFonts w:ascii="Arial" w:cs="Arial" w:eastAsia="Arial" w:hAnsi="Arial"/>
          <w:sz w:val="13"/>
          <w:szCs w:val="13"/>
          <w:color w:val="auto"/>
        </w:rPr>
        <w:t>, each Borrower must:</w:t>
      </w:r>
    </w:p>
    <w:p>
      <w:pPr>
        <w:spacing w:after="0" w:line="86" w:lineRule="exact"/>
        <w:rPr>
          <w:sz w:val="20"/>
          <w:szCs w:val="20"/>
          <w:color w:val="auto"/>
        </w:rPr>
      </w:pPr>
    </w:p>
    <w:p>
      <w:pPr>
        <w:ind w:left="1220" w:hanging="584"/>
        <w:spacing w:after="0"/>
        <w:tabs>
          <w:tab w:leader="none" w:pos="1220" w:val="left"/>
        </w:tabs>
        <w:numPr>
          <w:ilvl w:val="0"/>
          <w:numId w:val="299"/>
        </w:numPr>
        <w:rPr>
          <w:rFonts w:ascii="Arial" w:cs="Arial" w:eastAsia="Arial" w:hAnsi="Arial"/>
          <w:sz w:val="13"/>
          <w:szCs w:val="13"/>
          <w:color w:val="auto"/>
        </w:rPr>
      </w:pPr>
      <w:r>
        <w:rPr>
          <w:rFonts w:ascii="Arial" w:cs="Arial" w:eastAsia="Arial" w:hAnsi="Arial"/>
          <w:sz w:val="13"/>
          <w:szCs w:val="13"/>
          <w:color w:val="auto"/>
        </w:rPr>
        <w:t>repay the Outstanding Accommodation in respect of each Facility on the Termination Date in respect of that Facility; and</w:t>
      </w:r>
    </w:p>
    <w:p>
      <w:pPr>
        <w:spacing w:after="0" w:line="50" w:lineRule="exact"/>
        <w:rPr>
          <w:rFonts w:ascii="Arial" w:cs="Arial" w:eastAsia="Arial" w:hAnsi="Arial"/>
          <w:sz w:val="13"/>
          <w:szCs w:val="13"/>
          <w:color w:val="auto"/>
        </w:rPr>
      </w:pPr>
    </w:p>
    <w:p>
      <w:pPr>
        <w:ind w:left="1200" w:right="540" w:hanging="564"/>
        <w:spacing w:after="0" w:line="269" w:lineRule="auto"/>
        <w:tabs>
          <w:tab w:leader="none" w:pos="1200" w:val="left"/>
        </w:tabs>
        <w:numPr>
          <w:ilvl w:val="0"/>
          <w:numId w:val="299"/>
        </w:numPr>
        <w:rPr>
          <w:rFonts w:ascii="Arial" w:cs="Arial" w:eastAsia="Arial" w:hAnsi="Arial"/>
          <w:sz w:val="13"/>
          <w:szCs w:val="13"/>
          <w:color w:val="auto"/>
        </w:rPr>
      </w:pPr>
      <w:r>
        <w:rPr>
          <w:rFonts w:ascii="Arial" w:cs="Arial" w:eastAsia="Arial" w:hAnsi="Arial"/>
          <w:sz w:val="13"/>
          <w:szCs w:val="13"/>
          <w:color w:val="auto"/>
        </w:rPr>
        <w:t xml:space="preserve">subject to </w:t>
      </w:r>
      <w:r>
        <w:rPr>
          <w:rFonts w:ascii="Arial" w:cs="Arial" w:eastAsia="Arial" w:hAnsi="Arial"/>
          <w:sz w:val="13"/>
          <w:szCs w:val="13"/>
          <w:b w:val="1"/>
          <w:bCs w:val="1"/>
          <w:color w:val="auto"/>
        </w:rPr>
        <w:t>clause 6</w:t>
      </w:r>
      <w:r>
        <w:rPr>
          <w:rFonts w:ascii="Arial" w:cs="Arial" w:eastAsia="Arial" w:hAnsi="Arial"/>
          <w:sz w:val="13"/>
          <w:szCs w:val="13"/>
          <w:color w:val="auto"/>
        </w:rPr>
        <w:t>, and any other provision in a Transaction Document that provides otherwise, pay any other amounts payable in connection with the Transaction Documents, to the Bank on demand.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152400</wp:posOffset>
            </wp:positionV>
            <wp:extent cx="6208395"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208395" cy="42545"/>
                    </a:xfrm>
                    <a:prstGeom prst="rect">
                      <a:avLst/>
                    </a:prstGeom>
                    <a:noFill/>
                  </pic:spPr>
                </pic:pic>
              </a:graphicData>
            </a:graphic>
          </wp:anchor>
        </w:drawing>
      </w:r>
    </w:p>
    <w:p>
      <w:pPr>
        <w:sectPr>
          <w:pgSz w:w="11900" w:h="16838" w:orient="portrait"/>
          <w:cols w:equalWidth="0" w:num="1">
            <w:col w:w="9380"/>
          </w:cols>
          <w:pgMar w:left="1440" w:top="560" w:right="1079" w:bottom="1440" w:gutter="0" w:footer="0" w:header="0"/>
        </w:sectPr>
      </w:pPr>
    </w:p>
    <w:bookmarkStart w:id="248" w:name="page249"/>
    <w:bookmarkEnd w:id="248"/>
    <w:p>
      <w:pPr>
        <w:ind w:left="140"/>
        <w:spacing w:after="0"/>
        <w:tabs>
          <w:tab w:leader="none" w:pos="2600" w:val="left"/>
        </w:tabs>
        <w:rPr>
          <w:sz w:val="20"/>
          <w:szCs w:val="20"/>
          <w:color w:val="auto"/>
        </w:rPr>
      </w:pPr>
      <w:r>
        <w:rPr>
          <w:rFonts w:ascii="Arial" w:cs="Arial" w:eastAsia="Arial" w:hAnsi="Arial"/>
          <w:sz w:val="14"/>
          <w:szCs w:val="14"/>
          <w:b w:val="1"/>
          <w:bCs w:val="1"/>
          <w:color w:val="auto"/>
        </w:rPr>
        <w:t>5.6</w:t>
      </w:r>
      <w:r>
        <w:rPr>
          <w:sz w:val="20"/>
          <w:szCs w:val="20"/>
          <w:color w:val="auto"/>
        </w:rPr>
        <w:tab/>
      </w:r>
      <w:r>
        <w:rPr>
          <w:rFonts w:ascii="Arial" w:cs="Arial" w:eastAsia="Arial" w:hAnsi="Arial"/>
          <w:sz w:val="14"/>
          <w:szCs w:val="14"/>
          <w:b w:val="1"/>
          <w:bCs w:val="1"/>
          <w:color w:val="auto"/>
        </w:rPr>
        <w:t>Not used</w:t>
      </w:r>
    </w:p>
    <w:p>
      <w:pPr>
        <w:spacing w:after="0" w:line="273" w:lineRule="exact"/>
        <w:rPr>
          <w:sz w:val="20"/>
          <w:szCs w:val="20"/>
          <w:color w:val="auto"/>
        </w:rPr>
      </w:pPr>
    </w:p>
    <w:p>
      <w:pPr>
        <w:ind w:left="940" w:hanging="808"/>
        <w:spacing w:after="0"/>
        <w:tabs>
          <w:tab w:leader="none" w:pos="940" w:val="left"/>
        </w:tabs>
        <w:numPr>
          <w:ilvl w:val="0"/>
          <w:numId w:val="300"/>
        </w:numPr>
        <w:rPr>
          <w:rFonts w:ascii="Arial" w:cs="Arial" w:eastAsia="Arial" w:hAnsi="Arial"/>
          <w:sz w:val="19"/>
          <w:szCs w:val="19"/>
          <w:color w:val="auto"/>
        </w:rPr>
      </w:pPr>
      <w:r>
        <w:rPr>
          <w:rFonts w:ascii="Arial" w:cs="Arial" w:eastAsia="Arial" w:hAnsi="Arial"/>
          <w:sz w:val="19"/>
          <w:szCs w:val="19"/>
          <w:color w:val="auto"/>
        </w:rPr>
        <w:t>Interest and fees</w:t>
      </w:r>
    </w:p>
    <w:p>
      <w:pPr>
        <w:spacing w:after="0" w:line="68" w:lineRule="exact"/>
        <w:rPr>
          <w:sz w:val="20"/>
          <w:szCs w:val="20"/>
          <w:color w:val="auto"/>
        </w:rPr>
      </w:pPr>
    </w:p>
    <w:p>
      <w:pPr>
        <w:ind w:left="140"/>
        <w:spacing w:after="0"/>
        <w:tabs>
          <w:tab w:leader="none" w:pos="1800" w:val="left"/>
        </w:tabs>
        <w:rPr>
          <w:sz w:val="20"/>
          <w:szCs w:val="20"/>
          <w:color w:val="auto"/>
        </w:rPr>
      </w:pPr>
      <w:r>
        <w:rPr>
          <w:rFonts w:ascii="Arial" w:cs="Arial" w:eastAsia="Arial" w:hAnsi="Arial"/>
          <w:sz w:val="14"/>
          <w:szCs w:val="14"/>
          <w:b w:val="1"/>
          <w:bCs w:val="1"/>
          <w:color w:val="auto"/>
        </w:rPr>
        <w:t>6.1</w:t>
      </w:r>
      <w:r>
        <w:rPr>
          <w:sz w:val="20"/>
          <w:szCs w:val="20"/>
          <w:color w:val="auto"/>
        </w:rPr>
        <w:tab/>
      </w:r>
      <w:r>
        <w:rPr>
          <w:rFonts w:ascii="Arial" w:cs="Arial" w:eastAsia="Arial" w:hAnsi="Arial"/>
          <w:sz w:val="14"/>
          <w:szCs w:val="14"/>
          <w:b w:val="1"/>
          <w:bCs w:val="1"/>
          <w:color w:val="auto"/>
        </w:rPr>
        <w:t>Pricing Periods</w:t>
      </w:r>
    </w:p>
    <w:p>
      <w:pPr>
        <w:spacing w:after="0" w:line="59" w:lineRule="exact"/>
        <w:rPr>
          <w:sz w:val="20"/>
          <w:szCs w:val="20"/>
          <w:color w:val="auto"/>
        </w:rPr>
      </w:pPr>
    </w:p>
    <w:p>
      <w:pPr>
        <w:ind w:left="1140" w:right="120" w:hanging="504"/>
        <w:spacing w:after="0" w:line="269" w:lineRule="auto"/>
        <w:tabs>
          <w:tab w:leader="none" w:pos="1140" w:val="left"/>
        </w:tabs>
        <w:numPr>
          <w:ilvl w:val="0"/>
          <w:numId w:val="301"/>
        </w:numPr>
        <w:rPr>
          <w:rFonts w:ascii="Arial" w:cs="Arial" w:eastAsia="Arial" w:hAnsi="Arial"/>
          <w:sz w:val="13"/>
          <w:szCs w:val="13"/>
          <w:color w:val="auto"/>
        </w:rPr>
      </w:pPr>
      <w:r>
        <w:rPr>
          <w:rFonts w:ascii="Arial" w:cs="Arial" w:eastAsia="Arial" w:hAnsi="Arial"/>
          <w:sz w:val="13"/>
          <w:szCs w:val="13"/>
          <w:color w:val="auto"/>
        </w:rPr>
        <w:t xml:space="preserve">Subject to </w:t>
      </w:r>
      <w:r>
        <w:rPr>
          <w:rFonts w:ascii="Arial" w:cs="Arial" w:eastAsia="Arial" w:hAnsi="Arial"/>
          <w:sz w:val="13"/>
          <w:szCs w:val="13"/>
          <w:b w:val="1"/>
          <w:bCs w:val="1"/>
          <w:color w:val="auto"/>
        </w:rPr>
        <w:t>clause 6.1(c)</w:t>
      </w:r>
      <w:r>
        <w:rPr>
          <w:rFonts w:ascii="Arial" w:cs="Arial" w:eastAsia="Arial" w:hAnsi="Arial"/>
          <w:sz w:val="13"/>
          <w:szCs w:val="13"/>
          <w:color w:val="auto"/>
        </w:rPr>
        <w:t>, the Pricing Period for each Advance must be a period of 30, 60 or 90 days or six Months or another period agreed by the Bank.</w:t>
      </w:r>
    </w:p>
    <w:p>
      <w:pPr>
        <w:spacing w:after="0" w:line="16" w:lineRule="exact"/>
        <w:rPr>
          <w:rFonts w:ascii="Arial" w:cs="Arial" w:eastAsia="Arial" w:hAnsi="Arial"/>
          <w:sz w:val="13"/>
          <w:szCs w:val="13"/>
          <w:color w:val="auto"/>
        </w:rPr>
      </w:pPr>
    </w:p>
    <w:p>
      <w:pPr>
        <w:ind w:left="1320" w:right="220" w:hanging="684"/>
        <w:spacing w:after="0" w:line="269" w:lineRule="auto"/>
        <w:tabs>
          <w:tab w:leader="none" w:pos="1320" w:val="left"/>
        </w:tabs>
        <w:numPr>
          <w:ilvl w:val="0"/>
          <w:numId w:val="301"/>
        </w:numPr>
        <w:rPr>
          <w:rFonts w:ascii="Arial" w:cs="Arial" w:eastAsia="Arial" w:hAnsi="Arial"/>
          <w:sz w:val="13"/>
          <w:szCs w:val="13"/>
          <w:color w:val="auto"/>
        </w:rPr>
      </w:pPr>
      <w:r>
        <w:rPr>
          <w:rFonts w:ascii="Arial" w:cs="Arial" w:eastAsia="Arial" w:hAnsi="Arial"/>
          <w:sz w:val="13"/>
          <w:szCs w:val="13"/>
          <w:color w:val="auto"/>
        </w:rPr>
        <w:t xml:space="preserve">Subject to </w:t>
      </w:r>
      <w:r>
        <w:rPr>
          <w:rFonts w:ascii="Arial" w:cs="Arial" w:eastAsia="Arial" w:hAnsi="Arial"/>
          <w:sz w:val="13"/>
          <w:szCs w:val="13"/>
          <w:b w:val="1"/>
          <w:bCs w:val="1"/>
          <w:color w:val="auto"/>
        </w:rPr>
        <w:t>clause 6.1(c)</w:t>
      </w:r>
      <w:r>
        <w:rPr>
          <w:rFonts w:ascii="Arial" w:cs="Arial" w:eastAsia="Arial" w:hAnsi="Arial"/>
          <w:sz w:val="13"/>
          <w:szCs w:val="13"/>
          <w:color w:val="auto"/>
        </w:rPr>
        <w:t>, the first Pricing Period for an Advance commences on its Funding Date and will have the duration specified in the relevant Funding Notice. Each subsequent Pricing Period for the Advance:</w:t>
      </w:r>
    </w:p>
    <w:p>
      <w:pPr>
        <w:spacing w:after="0" w:line="41" w:lineRule="exact"/>
        <w:rPr>
          <w:rFonts w:ascii="Arial" w:cs="Arial" w:eastAsia="Arial" w:hAnsi="Arial"/>
          <w:sz w:val="13"/>
          <w:szCs w:val="13"/>
          <w:color w:val="auto"/>
        </w:rPr>
      </w:pPr>
    </w:p>
    <w:p>
      <w:pPr>
        <w:ind w:left="1900" w:hanging="912"/>
        <w:spacing w:after="0"/>
        <w:tabs>
          <w:tab w:leader="none" w:pos="1900" w:val="left"/>
        </w:tabs>
        <w:numPr>
          <w:ilvl w:val="1"/>
          <w:numId w:val="301"/>
        </w:numPr>
        <w:rPr>
          <w:rFonts w:ascii="Arial" w:cs="Arial" w:eastAsia="Arial" w:hAnsi="Arial"/>
          <w:sz w:val="13"/>
          <w:szCs w:val="13"/>
          <w:color w:val="auto"/>
        </w:rPr>
      </w:pPr>
      <w:r>
        <w:rPr>
          <w:rFonts w:ascii="Arial" w:cs="Arial" w:eastAsia="Arial" w:hAnsi="Arial"/>
          <w:sz w:val="13"/>
          <w:szCs w:val="13"/>
          <w:color w:val="auto"/>
        </w:rPr>
        <w:t>commences on the day after the preceding Pricing Period for the Advance expires; and</w:t>
      </w:r>
    </w:p>
    <w:p>
      <w:pPr>
        <w:spacing w:after="0" w:line="57" w:lineRule="exact"/>
        <w:rPr>
          <w:rFonts w:ascii="Arial" w:cs="Arial" w:eastAsia="Arial" w:hAnsi="Arial"/>
          <w:sz w:val="13"/>
          <w:szCs w:val="13"/>
          <w:color w:val="auto"/>
        </w:rPr>
      </w:pPr>
    </w:p>
    <w:p>
      <w:pPr>
        <w:ind w:left="1480" w:right="180" w:hanging="492"/>
        <w:spacing w:after="0" w:line="244" w:lineRule="auto"/>
        <w:tabs>
          <w:tab w:leader="none" w:pos="1480" w:val="left"/>
        </w:tabs>
        <w:numPr>
          <w:ilvl w:val="1"/>
          <w:numId w:val="301"/>
        </w:numPr>
        <w:rPr>
          <w:rFonts w:ascii="Arial" w:cs="Arial" w:eastAsia="Arial" w:hAnsi="Arial"/>
          <w:sz w:val="13"/>
          <w:szCs w:val="13"/>
          <w:color w:val="auto"/>
        </w:rPr>
      </w:pPr>
      <w:r>
        <w:rPr>
          <w:rFonts w:ascii="Arial" w:cs="Arial" w:eastAsia="Arial" w:hAnsi="Arial"/>
          <w:sz w:val="13"/>
          <w:szCs w:val="13"/>
          <w:color w:val="auto"/>
        </w:rPr>
        <w:t>is a period notified by the Borrower to the Bank at least two Business Days before the last day of the current Pricing Period, but if the Borrower does not give notice, is of the same duration as the Pricing Period which immediately precedes it.</w:t>
      </w:r>
    </w:p>
    <w:p>
      <w:pPr>
        <w:spacing w:after="0" w:line="56" w:lineRule="exact"/>
        <w:rPr>
          <w:rFonts w:ascii="Arial" w:cs="Arial" w:eastAsia="Arial" w:hAnsi="Arial"/>
          <w:sz w:val="13"/>
          <w:szCs w:val="13"/>
          <w:color w:val="auto"/>
        </w:rPr>
      </w:pPr>
    </w:p>
    <w:p>
      <w:pPr>
        <w:ind w:left="1860" w:hanging="1224"/>
        <w:spacing w:after="0"/>
        <w:tabs>
          <w:tab w:leader="none" w:pos="1860" w:val="left"/>
        </w:tabs>
        <w:numPr>
          <w:ilvl w:val="0"/>
          <w:numId w:val="301"/>
        </w:numPr>
        <w:rPr>
          <w:rFonts w:ascii="Arial" w:cs="Arial" w:eastAsia="Arial" w:hAnsi="Arial"/>
          <w:sz w:val="13"/>
          <w:szCs w:val="13"/>
          <w:color w:val="auto"/>
        </w:rPr>
      </w:pPr>
      <w:r>
        <w:rPr>
          <w:rFonts w:ascii="Arial" w:cs="Arial" w:eastAsia="Arial" w:hAnsi="Arial"/>
          <w:sz w:val="13"/>
          <w:szCs w:val="13"/>
          <w:color w:val="auto"/>
        </w:rPr>
        <w:t>A Pricing Period:</w:t>
      </w:r>
    </w:p>
    <w:p>
      <w:pPr>
        <w:spacing w:after="0" w:line="84" w:lineRule="exact"/>
        <w:rPr>
          <w:rFonts w:ascii="Arial" w:cs="Arial" w:eastAsia="Arial" w:hAnsi="Arial"/>
          <w:sz w:val="13"/>
          <w:szCs w:val="13"/>
          <w:color w:val="auto"/>
        </w:rPr>
      </w:pPr>
    </w:p>
    <w:p>
      <w:pPr>
        <w:ind w:left="1500" w:right="140" w:hanging="512"/>
        <w:spacing w:after="0" w:line="236" w:lineRule="auto"/>
        <w:tabs>
          <w:tab w:leader="none" w:pos="1500" w:val="left"/>
        </w:tabs>
        <w:numPr>
          <w:ilvl w:val="1"/>
          <w:numId w:val="301"/>
        </w:numPr>
        <w:rPr>
          <w:rFonts w:ascii="Arial" w:cs="Arial" w:eastAsia="Arial" w:hAnsi="Arial"/>
          <w:sz w:val="13"/>
          <w:szCs w:val="13"/>
          <w:color w:val="auto"/>
        </w:rPr>
      </w:pPr>
      <w:r>
        <w:rPr>
          <w:rFonts w:ascii="Arial" w:cs="Arial" w:eastAsia="Arial" w:hAnsi="Arial"/>
          <w:sz w:val="13"/>
          <w:szCs w:val="13"/>
          <w:color w:val="auto"/>
        </w:rPr>
        <w:t xml:space="preserve">which would otherwise end on a day which is not a Business Day ends on the next Business Day and a Pricing Period which would otherwise end after the Termination Date ends on the Termination Date. For the avoidance of doubt, if a Pricing Period ends on a day that is not followed by a Business Day, the Bank may extend that Pricing Period accordingly (except where this would be contrary to </w:t>
      </w:r>
      <w:r>
        <w:rPr>
          <w:rFonts w:ascii="Arial" w:cs="Arial" w:eastAsia="Arial" w:hAnsi="Arial"/>
          <w:sz w:val="13"/>
          <w:szCs w:val="13"/>
          <w:b w:val="1"/>
          <w:bCs w:val="1"/>
          <w:color w:val="auto"/>
        </w:rPr>
        <w:t>clause 6.1(c)(ii)</w:t>
      </w:r>
      <w:r>
        <w:rPr>
          <w:rFonts w:ascii="Arial" w:cs="Arial" w:eastAsia="Arial" w:hAnsi="Arial"/>
          <w:sz w:val="13"/>
          <w:szCs w:val="13"/>
          <w:color w:val="auto"/>
        </w:rPr>
        <w:t>, in which case the Bank may shorten the Pricing Period); and</w:t>
      </w:r>
    </w:p>
    <w:p>
      <w:pPr>
        <w:spacing w:after="0" w:line="60" w:lineRule="exact"/>
        <w:rPr>
          <w:rFonts w:ascii="Arial" w:cs="Arial" w:eastAsia="Arial" w:hAnsi="Arial"/>
          <w:sz w:val="13"/>
          <w:szCs w:val="13"/>
          <w:color w:val="auto"/>
        </w:rPr>
      </w:pPr>
    </w:p>
    <w:p>
      <w:pPr>
        <w:ind w:left="1440" w:hanging="452"/>
        <w:spacing w:after="0"/>
        <w:tabs>
          <w:tab w:leader="none" w:pos="1440" w:val="left"/>
        </w:tabs>
        <w:numPr>
          <w:ilvl w:val="1"/>
          <w:numId w:val="301"/>
        </w:numPr>
        <w:rPr>
          <w:rFonts w:ascii="Arial" w:cs="Arial" w:eastAsia="Arial" w:hAnsi="Arial"/>
          <w:sz w:val="13"/>
          <w:szCs w:val="13"/>
          <w:color w:val="auto"/>
        </w:rPr>
      </w:pPr>
      <w:r>
        <w:rPr>
          <w:rFonts w:ascii="Arial" w:cs="Arial" w:eastAsia="Arial" w:hAnsi="Arial"/>
          <w:sz w:val="13"/>
          <w:szCs w:val="13"/>
          <w:color w:val="auto"/>
        </w:rPr>
        <w:t>May be adjusted by the Bank where necessary so that:</w:t>
      </w:r>
    </w:p>
    <w:p>
      <w:pPr>
        <w:spacing w:after="0" w:line="75" w:lineRule="exact"/>
        <w:rPr>
          <w:rFonts w:ascii="Arial" w:cs="Arial" w:eastAsia="Arial" w:hAnsi="Arial"/>
          <w:sz w:val="13"/>
          <w:szCs w:val="13"/>
          <w:color w:val="auto"/>
        </w:rPr>
      </w:pPr>
    </w:p>
    <w:p>
      <w:pPr>
        <w:ind w:left="1900" w:hanging="579"/>
        <w:spacing w:after="0"/>
        <w:tabs>
          <w:tab w:leader="none" w:pos="1900" w:val="left"/>
        </w:tabs>
        <w:numPr>
          <w:ilvl w:val="2"/>
          <w:numId w:val="301"/>
        </w:numPr>
        <w:rPr>
          <w:rFonts w:ascii="Arial" w:cs="Arial" w:eastAsia="Arial" w:hAnsi="Arial"/>
          <w:sz w:val="13"/>
          <w:szCs w:val="13"/>
          <w:color w:val="auto"/>
        </w:rPr>
      </w:pPr>
      <w:r>
        <w:rPr>
          <w:rFonts w:ascii="Arial" w:cs="Arial" w:eastAsia="Arial" w:hAnsi="Arial"/>
          <w:sz w:val="13"/>
          <w:szCs w:val="13"/>
          <w:color w:val="auto"/>
        </w:rPr>
        <w:t>a Pricing Period starts on a Business Day;</w:t>
      </w:r>
    </w:p>
    <w:p>
      <w:pPr>
        <w:spacing w:after="0" w:line="84" w:lineRule="exact"/>
        <w:rPr>
          <w:rFonts w:ascii="Arial" w:cs="Arial" w:eastAsia="Arial" w:hAnsi="Arial"/>
          <w:sz w:val="13"/>
          <w:szCs w:val="13"/>
          <w:color w:val="auto"/>
        </w:rPr>
      </w:pPr>
    </w:p>
    <w:p>
      <w:pPr>
        <w:ind w:left="1840" w:hanging="519"/>
        <w:spacing w:after="0"/>
        <w:tabs>
          <w:tab w:leader="none" w:pos="1840" w:val="left"/>
        </w:tabs>
        <w:numPr>
          <w:ilvl w:val="2"/>
          <w:numId w:val="301"/>
        </w:numPr>
        <w:rPr>
          <w:rFonts w:ascii="Arial" w:cs="Arial" w:eastAsia="Arial" w:hAnsi="Arial"/>
          <w:sz w:val="13"/>
          <w:szCs w:val="13"/>
          <w:color w:val="auto"/>
        </w:rPr>
      </w:pPr>
      <w:r>
        <w:rPr>
          <w:rFonts w:ascii="Arial" w:cs="Arial" w:eastAsia="Arial" w:hAnsi="Arial"/>
          <w:sz w:val="13"/>
          <w:szCs w:val="13"/>
          <w:color w:val="auto"/>
        </w:rPr>
        <w:t>all Advances will have the same Pricing Period;</w:t>
      </w:r>
    </w:p>
    <w:p>
      <w:pPr>
        <w:spacing w:after="0" w:line="75" w:lineRule="exact"/>
        <w:rPr>
          <w:rFonts w:ascii="Arial" w:cs="Arial" w:eastAsia="Arial" w:hAnsi="Arial"/>
          <w:sz w:val="13"/>
          <w:szCs w:val="13"/>
          <w:color w:val="auto"/>
        </w:rPr>
      </w:pPr>
    </w:p>
    <w:p>
      <w:pPr>
        <w:ind w:left="2100" w:hanging="779"/>
        <w:spacing w:after="0"/>
        <w:tabs>
          <w:tab w:leader="none" w:pos="2100" w:val="left"/>
        </w:tabs>
        <w:numPr>
          <w:ilvl w:val="2"/>
          <w:numId w:val="301"/>
        </w:numPr>
        <w:rPr>
          <w:rFonts w:ascii="Arial" w:cs="Arial" w:eastAsia="Arial" w:hAnsi="Arial"/>
          <w:sz w:val="13"/>
          <w:szCs w:val="13"/>
          <w:color w:val="auto"/>
        </w:rPr>
      </w:pPr>
      <w:r>
        <w:rPr>
          <w:rFonts w:ascii="Arial" w:cs="Arial" w:eastAsia="Arial" w:hAnsi="Arial"/>
          <w:sz w:val="13"/>
          <w:szCs w:val="13"/>
          <w:color w:val="auto"/>
        </w:rPr>
        <w:t>a Pricing Period does not end after the Termination Date; and</w:t>
      </w:r>
    </w:p>
    <w:p>
      <w:pPr>
        <w:spacing w:after="0" w:line="66" w:lineRule="exact"/>
        <w:rPr>
          <w:rFonts w:ascii="Arial" w:cs="Arial" w:eastAsia="Arial" w:hAnsi="Arial"/>
          <w:sz w:val="13"/>
          <w:szCs w:val="13"/>
          <w:color w:val="auto"/>
        </w:rPr>
      </w:pPr>
    </w:p>
    <w:p>
      <w:pPr>
        <w:ind w:left="1740" w:hanging="419"/>
        <w:spacing w:after="0" w:line="244" w:lineRule="auto"/>
        <w:tabs>
          <w:tab w:leader="none" w:pos="1740" w:val="left"/>
        </w:tabs>
        <w:numPr>
          <w:ilvl w:val="2"/>
          <w:numId w:val="301"/>
        </w:numPr>
        <w:rPr>
          <w:rFonts w:ascii="Arial" w:cs="Arial" w:eastAsia="Arial" w:hAnsi="Arial"/>
          <w:sz w:val="13"/>
          <w:szCs w:val="13"/>
          <w:color w:val="auto"/>
        </w:rPr>
      </w:pPr>
      <w:r>
        <w:rPr>
          <w:rFonts w:ascii="Arial" w:cs="Arial" w:eastAsia="Arial" w:hAnsi="Arial"/>
          <w:sz w:val="13"/>
          <w:szCs w:val="13"/>
          <w:color w:val="auto"/>
        </w:rPr>
        <w:t>if a new Advance is made during a Pricing Period for an existing Advance, the first Pricing Period for that new Advance ends on the same day as the Pricing Period for the existing Advance.</w:t>
      </w:r>
    </w:p>
    <w:p>
      <w:pPr>
        <w:spacing w:after="0" w:line="63" w:lineRule="exact"/>
        <w:rPr>
          <w:sz w:val="20"/>
          <w:szCs w:val="20"/>
          <w:color w:val="auto"/>
        </w:rPr>
      </w:pPr>
    </w:p>
    <w:p>
      <w:pPr>
        <w:ind w:left="140"/>
        <w:spacing w:after="0"/>
        <w:tabs>
          <w:tab w:leader="none" w:pos="1660" w:val="left"/>
        </w:tabs>
        <w:rPr>
          <w:sz w:val="20"/>
          <w:szCs w:val="20"/>
          <w:color w:val="auto"/>
        </w:rPr>
      </w:pPr>
      <w:r>
        <w:rPr>
          <w:rFonts w:ascii="Arial" w:cs="Arial" w:eastAsia="Arial" w:hAnsi="Arial"/>
          <w:sz w:val="14"/>
          <w:szCs w:val="14"/>
          <w:b w:val="1"/>
          <w:bCs w:val="1"/>
          <w:color w:val="auto"/>
        </w:rPr>
        <w:t>6.2</w:t>
      </w:r>
      <w:r>
        <w:rPr>
          <w:sz w:val="20"/>
          <w:szCs w:val="20"/>
          <w:color w:val="auto"/>
        </w:rPr>
        <w:tab/>
      </w:r>
      <w:r>
        <w:rPr>
          <w:rFonts w:ascii="Arial" w:cs="Arial" w:eastAsia="Arial" w:hAnsi="Arial"/>
          <w:sz w:val="14"/>
          <w:szCs w:val="14"/>
          <w:b w:val="1"/>
          <w:bCs w:val="1"/>
          <w:color w:val="auto"/>
        </w:rPr>
        <w:t>Payment and rate</w:t>
      </w:r>
    </w:p>
    <w:p>
      <w:pPr>
        <w:spacing w:after="0" w:line="75" w:lineRule="exact"/>
        <w:rPr>
          <w:sz w:val="20"/>
          <w:szCs w:val="20"/>
          <w:color w:val="auto"/>
        </w:rPr>
      </w:pPr>
    </w:p>
    <w:p>
      <w:pPr>
        <w:ind w:left="1140" w:hanging="504"/>
        <w:spacing w:after="0"/>
        <w:tabs>
          <w:tab w:leader="none" w:pos="1140" w:val="left"/>
        </w:tabs>
        <w:numPr>
          <w:ilvl w:val="0"/>
          <w:numId w:val="302"/>
        </w:numPr>
        <w:rPr>
          <w:rFonts w:ascii="Arial" w:cs="Arial" w:eastAsia="Arial" w:hAnsi="Arial"/>
          <w:sz w:val="13"/>
          <w:szCs w:val="13"/>
          <w:color w:val="auto"/>
        </w:rPr>
      </w:pPr>
      <w:r>
        <w:rPr>
          <w:rFonts w:ascii="Arial" w:cs="Arial" w:eastAsia="Arial" w:hAnsi="Arial"/>
          <w:sz w:val="13"/>
          <w:szCs w:val="13"/>
          <w:color w:val="auto"/>
        </w:rPr>
        <w:t>In respect of the Corporate Markets Loan Facility:</w:t>
      </w:r>
    </w:p>
    <w:p>
      <w:pPr>
        <w:spacing w:after="0" w:line="75" w:lineRule="exact"/>
        <w:rPr>
          <w:rFonts w:ascii="Arial" w:cs="Arial" w:eastAsia="Arial" w:hAnsi="Arial"/>
          <w:sz w:val="13"/>
          <w:szCs w:val="13"/>
          <w:color w:val="auto"/>
        </w:rPr>
      </w:pPr>
    </w:p>
    <w:p>
      <w:pPr>
        <w:ind w:left="1520" w:right="160" w:hanging="532"/>
        <w:spacing w:after="0" w:line="244" w:lineRule="auto"/>
        <w:tabs>
          <w:tab w:leader="none" w:pos="1520" w:val="left"/>
        </w:tabs>
        <w:numPr>
          <w:ilvl w:val="1"/>
          <w:numId w:val="302"/>
        </w:numPr>
        <w:rPr>
          <w:rFonts w:ascii="Arial" w:cs="Arial" w:eastAsia="Arial" w:hAnsi="Arial"/>
          <w:sz w:val="13"/>
          <w:szCs w:val="13"/>
          <w:color w:val="auto"/>
        </w:rPr>
      </w:pPr>
      <w:r>
        <w:rPr>
          <w:rFonts w:ascii="Arial" w:cs="Arial" w:eastAsia="Arial" w:hAnsi="Arial"/>
          <w:sz w:val="13"/>
          <w:szCs w:val="13"/>
          <w:color w:val="auto"/>
        </w:rPr>
        <w:t>interest for each day is calculated by applying the Daily Interest Rate to the Advance at the end of that day (excluding any amount to which the Overdue Rate applies);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161925</wp:posOffset>
            </wp:positionV>
            <wp:extent cx="6208395"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208395" cy="42545"/>
                    </a:xfrm>
                    <a:prstGeom prst="rect">
                      <a:avLst/>
                    </a:prstGeom>
                    <a:noFill/>
                  </pic:spPr>
                </pic:pic>
              </a:graphicData>
            </a:graphic>
          </wp:anchor>
        </w:drawing>
      </w:r>
    </w:p>
    <w:p>
      <w:pPr>
        <w:sectPr>
          <w:pgSz w:w="11900" w:h="16838" w:orient="portrait"/>
          <w:cols w:equalWidth="0" w:num="1">
            <w:col w:w="9400"/>
          </w:cols>
          <w:pgMar w:left="1440" w:top="514" w:right="1059" w:bottom="1440" w:gutter="0" w:footer="0" w:header="0"/>
        </w:sectPr>
      </w:pPr>
    </w:p>
    <w:bookmarkStart w:id="249" w:name="page250"/>
    <w:bookmarkEnd w:id="249"/>
    <w:p>
      <w:pPr>
        <w:ind w:left="1440" w:hanging="452"/>
        <w:spacing w:after="0"/>
        <w:tabs>
          <w:tab w:leader="none" w:pos="1440" w:val="left"/>
        </w:tabs>
        <w:numPr>
          <w:ilvl w:val="1"/>
          <w:numId w:val="303"/>
        </w:numPr>
        <w:rPr>
          <w:rFonts w:ascii="Arial" w:cs="Arial" w:eastAsia="Arial" w:hAnsi="Arial"/>
          <w:sz w:val="13"/>
          <w:szCs w:val="13"/>
          <w:color w:val="auto"/>
        </w:rPr>
      </w:pPr>
      <w:r>
        <w:rPr>
          <w:rFonts w:ascii="Arial" w:cs="Arial" w:eastAsia="Arial" w:hAnsi="Arial"/>
          <w:sz w:val="13"/>
          <w:szCs w:val="13"/>
          <w:color w:val="auto"/>
        </w:rPr>
        <w:t>the Borrower must pay accrued interest in respect of:</w:t>
      </w:r>
    </w:p>
    <w:p>
      <w:pPr>
        <w:spacing w:after="0" w:line="75" w:lineRule="exact"/>
        <w:rPr>
          <w:rFonts w:ascii="Arial" w:cs="Arial" w:eastAsia="Arial" w:hAnsi="Arial"/>
          <w:sz w:val="13"/>
          <w:szCs w:val="13"/>
          <w:color w:val="auto"/>
        </w:rPr>
      </w:pPr>
    </w:p>
    <w:p>
      <w:pPr>
        <w:ind w:left="1880" w:hanging="559"/>
        <w:spacing w:after="0"/>
        <w:tabs>
          <w:tab w:leader="none" w:pos="1880" w:val="left"/>
        </w:tabs>
        <w:numPr>
          <w:ilvl w:val="2"/>
          <w:numId w:val="303"/>
        </w:numPr>
        <w:rPr>
          <w:rFonts w:ascii="Arial" w:cs="Arial" w:eastAsia="Arial" w:hAnsi="Arial"/>
          <w:sz w:val="13"/>
          <w:szCs w:val="13"/>
          <w:color w:val="auto"/>
        </w:rPr>
      </w:pPr>
      <w:r>
        <w:rPr>
          <w:rFonts w:ascii="Arial" w:cs="Arial" w:eastAsia="Arial" w:hAnsi="Arial"/>
          <w:sz w:val="13"/>
          <w:szCs w:val="13"/>
          <w:color w:val="auto"/>
        </w:rPr>
        <w:t>each Pricing Period, on the First Business Day after the expiry of that Pricing Period; and</w:t>
      </w:r>
    </w:p>
    <w:p>
      <w:pPr>
        <w:spacing w:after="0" w:line="57" w:lineRule="exact"/>
        <w:rPr>
          <w:rFonts w:ascii="Arial" w:cs="Arial" w:eastAsia="Arial" w:hAnsi="Arial"/>
          <w:sz w:val="13"/>
          <w:szCs w:val="13"/>
          <w:color w:val="auto"/>
        </w:rPr>
      </w:pPr>
    </w:p>
    <w:p>
      <w:pPr>
        <w:ind w:left="1800" w:hanging="479"/>
        <w:spacing w:after="0"/>
        <w:tabs>
          <w:tab w:leader="none" w:pos="1800" w:val="left"/>
        </w:tabs>
        <w:numPr>
          <w:ilvl w:val="2"/>
          <w:numId w:val="303"/>
        </w:numPr>
        <w:rPr>
          <w:rFonts w:ascii="Arial" w:cs="Arial" w:eastAsia="Arial" w:hAnsi="Arial"/>
          <w:sz w:val="13"/>
          <w:szCs w:val="13"/>
          <w:color w:val="auto"/>
        </w:rPr>
      </w:pPr>
      <w:r>
        <w:rPr>
          <w:rFonts w:ascii="Arial" w:cs="Arial" w:eastAsia="Arial" w:hAnsi="Arial"/>
          <w:sz w:val="13"/>
          <w:szCs w:val="13"/>
          <w:color w:val="auto"/>
        </w:rPr>
        <w:t>the last Pricing Period, for the period up to and including the Termination Date, on the Termination Date.</w:t>
      </w:r>
    </w:p>
    <w:p>
      <w:pPr>
        <w:spacing w:after="0" w:line="66" w:lineRule="exact"/>
        <w:rPr>
          <w:rFonts w:ascii="Arial" w:cs="Arial" w:eastAsia="Arial" w:hAnsi="Arial"/>
          <w:sz w:val="13"/>
          <w:szCs w:val="13"/>
          <w:color w:val="auto"/>
        </w:rPr>
      </w:pPr>
    </w:p>
    <w:p>
      <w:pPr>
        <w:ind w:left="1540" w:hanging="904"/>
        <w:spacing w:after="0"/>
        <w:tabs>
          <w:tab w:leader="none" w:pos="1540" w:val="left"/>
        </w:tabs>
        <w:numPr>
          <w:ilvl w:val="0"/>
          <w:numId w:val="304"/>
        </w:numPr>
        <w:rPr>
          <w:rFonts w:ascii="Arial" w:cs="Arial" w:eastAsia="Arial" w:hAnsi="Arial"/>
          <w:sz w:val="13"/>
          <w:szCs w:val="13"/>
          <w:color w:val="auto"/>
        </w:rPr>
      </w:pPr>
      <w:r>
        <w:rPr>
          <w:rFonts w:ascii="Arial" w:cs="Arial" w:eastAsia="Arial" w:hAnsi="Arial"/>
          <w:sz w:val="13"/>
          <w:szCs w:val="13"/>
          <w:color w:val="auto"/>
        </w:rPr>
        <w:t>The Borrower must pay interest on Overdue Money, and such interest must be paid on demand by the Bank.</w:t>
      </w:r>
    </w:p>
    <w:p>
      <w:pPr>
        <w:spacing w:after="0" w:line="57" w:lineRule="exact"/>
        <w:rPr>
          <w:rFonts w:ascii="Arial" w:cs="Arial" w:eastAsia="Arial" w:hAnsi="Arial"/>
          <w:sz w:val="13"/>
          <w:szCs w:val="13"/>
          <w:color w:val="auto"/>
        </w:rPr>
      </w:pPr>
    </w:p>
    <w:p>
      <w:pPr>
        <w:ind w:left="1040" w:hanging="404"/>
        <w:spacing w:after="0"/>
        <w:tabs>
          <w:tab w:leader="none" w:pos="1040" w:val="left"/>
        </w:tabs>
        <w:numPr>
          <w:ilvl w:val="0"/>
          <w:numId w:val="304"/>
        </w:numPr>
        <w:rPr>
          <w:rFonts w:ascii="Arial" w:cs="Arial" w:eastAsia="Arial" w:hAnsi="Arial"/>
          <w:sz w:val="13"/>
          <w:szCs w:val="13"/>
          <w:color w:val="auto"/>
        </w:rPr>
      </w:pPr>
      <w:r>
        <w:rPr>
          <w:rFonts w:ascii="Arial" w:cs="Arial" w:eastAsia="Arial" w:hAnsi="Arial"/>
          <w:sz w:val="13"/>
          <w:szCs w:val="13"/>
          <w:color w:val="auto"/>
        </w:rPr>
        <w:t>The interest rate on Overdue Money will be the Overdue Rate.</w:t>
      </w:r>
    </w:p>
    <w:p>
      <w:pPr>
        <w:spacing w:after="0" w:line="101" w:lineRule="exact"/>
        <w:rPr>
          <w:sz w:val="20"/>
          <w:szCs w:val="20"/>
          <w:color w:val="auto"/>
        </w:rPr>
      </w:pPr>
    </w:p>
    <w:p>
      <w:pPr>
        <w:ind w:left="140"/>
        <w:spacing w:after="0"/>
        <w:tabs>
          <w:tab w:leader="none" w:pos="1340" w:val="left"/>
        </w:tabs>
        <w:rPr>
          <w:sz w:val="20"/>
          <w:szCs w:val="20"/>
          <w:color w:val="auto"/>
        </w:rPr>
      </w:pPr>
      <w:r>
        <w:rPr>
          <w:rFonts w:ascii="Arial" w:cs="Arial" w:eastAsia="Arial" w:hAnsi="Arial"/>
          <w:sz w:val="14"/>
          <w:szCs w:val="14"/>
          <w:b w:val="1"/>
          <w:bCs w:val="1"/>
          <w:color w:val="auto"/>
        </w:rPr>
        <w:t>6.3</w:t>
      </w:r>
      <w:r>
        <w:rPr>
          <w:sz w:val="20"/>
          <w:szCs w:val="20"/>
          <w:color w:val="auto"/>
        </w:rPr>
        <w:tab/>
      </w:r>
      <w:r>
        <w:rPr>
          <w:rFonts w:ascii="Arial" w:cs="Arial" w:eastAsia="Arial" w:hAnsi="Arial"/>
          <w:sz w:val="14"/>
          <w:szCs w:val="14"/>
          <w:b w:val="1"/>
          <w:bCs w:val="1"/>
          <w:color w:val="auto"/>
        </w:rPr>
        <w:t>Computation of interest</w:t>
      </w:r>
    </w:p>
    <w:p>
      <w:pPr>
        <w:spacing w:after="0" w:line="75" w:lineRule="exact"/>
        <w:rPr>
          <w:sz w:val="20"/>
          <w:szCs w:val="20"/>
          <w:color w:val="auto"/>
        </w:rPr>
      </w:pPr>
    </w:p>
    <w:p>
      <w:pPr>
        <w:ind w:left="640"/>
        <w:spacing w:after="0"/>
        <w:rPr>
          <w:sz w:val="20"/>
          <w:szCs w:val="20"/>
          <w:color w:val="auto"/>
        </w:rPr>
      </w:pPr>
      <w:r>
        <w:rPr>
          <w:rFonts w:ascii="Arial" w:cs="Arial" w:eastAsia="Arial" w:hAnsi="Arial"/>
          <w:sz w:val="13"/>
          <w:szCs w:val="13"/>
          <w:color w:val="auto"/>
        </w:rPr>
        <w:t>Interest will:</w:t>
      </w:r>
    </w:p>
    <w:p>
      <w:pPr>
        <w:spacing w:after="0" w:line="76" w:lineRule="exact"/>
        <w:rPr>
          <w:sz w:val="20"/>
          <w:szCs w:val="20"/>
          <w:color w:val="auto"/>
        </w:rPr>
      </w:pPr>
    </w:p>
    <w:p>
      <w:pPr>
        <w:ind w:left="1600" w:hanging="964"/>
        <w:spacing w:after="0"/>
        <w:tabs>
          <w:tab w:leader="none" w:pos="1600" w:val="left"/>
        </w:tabs>
        <w:numPr>
          <w:ilvl w:val="0"/>
          <w:numId w:val="305"/>
        </w:numPr>
        <w:rPr>
          <w:rFonts w:ascii="Arial" w:cs="Arial" w:eastAsia="Arial" w:hAnsi="Arial"/>
          <w:sz w:val="13"/>
          <w:szCs w:val="13"/>
          <w:color w:val="auto"/>
        </w:rPr>
      </w:pPr>
      <w:r>
        <w:rPr>
          <w:rFonts w:ascii="Arial" w:cs="Arial" w:eastAsia="Arial" w:hAnsi="Arial"/>
          <w:sz w:val="13"/>
          <w:szCs w:val="13"/>
          <w:color w:val="auto"/>
        </w:rPr>
        <w:t>accrue from day to day;</w:t>
      </w:r>
    </w:p>
    <w:p>
      <w:pPr>
        <w:spacing w:after="0" w:line="84" w:lineRule="exact"/>
        <w:rPr>
          <w:rFonts w:ascii="Arial" w:cs="Arial" w:eastAsia="Arial" w:hAnsi="Arial"/>
          <w:sz w:val="13"/>
          <w:szCs w:val="13"/>
          <w:color w:val="auto"/>
        </w:rPr>
      </w:pPr>
    </w:p>
    <w:p>
      <w:pPr>
        <w:ind w:left="1200" w:right="140" w:hanging="564"/>
        <w:spacing w:after="0" w:line="244" w:lineRule="auto"/>
        <w:tabs>
          <w:tab w:leader="none" w:pos="1200" w:val="left"/>
        </w:tabs>
        <w:numPr>
          <w:ilvl w:val="0"/>
          <w:numId w:val="305"/>
        </w:numPr>
        <w:rPr>
          <w:rFonts w:ascii="Arial" w:cs="Arial" w:eastAsia="Arial" w:hAnsi="Arial"/>
          <w:sz w:val="13"/>
          <w:szCs w:val="13"/>
          <w:color w:val="auto"/>
        </w:rPr>
      </w:pPr>
      <w:r>
        <w:rPr>
          <w:rFonts w:ascii="Arial" w:cs="Arial" w:eastAsia="Arial" w:hAnsi="Arial"/>
          <w:sz w:val="13"/>
          <w:szCs w:val="13"/>
          <w:color w:val="auto"/>
        </w:rPr>
        <w:t>be computed from and including the day when the money on which interest is payable becomes owing to the Bank by the Borrower until but excluding the day of payment of that money; and</w:t>
      </w:r>
    </w:p>
    <w:p>
      <w:pPr>
        <w:spacing w:after="0" w:line="56" w:lineRule="exact"/>
        <w:rPr>
          <w:rFonts w:ascii="Arial" w:cs="Arial" w:eastAsia="Arial" w:hAnsi="Arial"/>
          <w:sz w:val="13"/>
          <w:szCs w:val="13"/>
          <w:color w:val="auto"/>
        </w:rPr>
      </w:pPr>
    </w:p>
    <w:p>
      <w:pPr>
        <w:ind w:left="1880" w:hanging="1244"/>
        <w:spacing w:after="0"/>
        <w:tabs>
          <w:tab w:leader="none" w:pos="1880" w:val="left"/>
        </w:tabs>
        <w:numPr>
          <w:ilvl w:val="0"/>
          <w:numId w:val="305"/>
        </w:numPr>
        <w:rPr>
          <w:rFonts w:ascii="Arial" w:cs="Arial" w:eastAsia="Arial" w:hAnsi="Arial"/>
          <w:sz w:val="13"/>
          <w:szCs w:val="13"/>
          <w:color w:val="auto"/>
        </w:rPr>
      </w:pPr>
      <w:r>
        <w:rPr>
          <w:rFonts w:ascii="Arial" w:cs="Arial" w:eastAsia="Arial" w:hAnsi="Arial"/>
          <w:sz w:val="13"/>
          <w:szCs w:val="13"/>
          <w:color w:val="auto"/>
        </w:rPr>
        <w:t>be calculated on the actual number of days elapsed on the basis of a 365 day year.</w:t>
      </w:r>
    </w:p>
    <w:p>
      <w:pPr>
        <w:spacing w:after="0" w:line="74" w:lineRule="exact"/>
        <w:rPr>
          <w:sz w:val="20"/>
          <w:szCs w:val="20"/>
          <w:color w:val="auto"/>
        </w:rPr>
      </w:pPr>
    </w:p>
    <w:p>
      <w:pPr>
        <w:ind w:left="140"/>
        <w:spacing w:after="0"/>
        <w:tabs>
          <w:tab w:leader="none" w:pos="1320" w:val="left"/>
        </w:tabs>
        <w:rPr>
          <w:sz w:val="20"/>
          <w:szCs w:val="20"/>
          <w:color w:val="auto"/>
        </w:rPr>
      </w:pPr>
      <w:r>
        <w:rPr>
          <w:rFonts w:ascii="Arial" w:cs="Arial" w:eastAsia="Arial" w:hAnsi="Arial"/>
          <w:sz w:val="14"/>
          <w:szCs w:val="14"/>
          <w:b w:val="1"/>
          <w:bCs w:val="1"/>
          <w:color w:val="auto"/>
        </w:rPr>
        <w:t>6.4</w:t>
      </w:r>
      <w:r>
        <w:rPr>
          <w:sz w:val="20"/>
          <w:szCs w:val="20"/>
          <w:color w:val="auto"/>
        </w:rPr>
        <w:tab/>
      </w:r>
      <w:r>
        <w:rPr>
          <w:rFonts w:ascii="Arial" w:cs="Arial" w:eastAsia="Arial" w:hAnsi="Arial"/>
          <w:sz w:val="14"/>
          <w:szCs w:val="14"/>
          <w:b w:val="1"/>
          <w:bCs w:val="1"/>
          <w:color w:val="auto"/>
        </w:rPr>
        <w:t>Capitalisation of interest</w:t>
      </w:r>
    </w:p>
    <w:p>
      <w:pPr>
        <w:spacing w:after="0" w:line="75" w:lineRule="exact"/>
        <w:rPr>
          <w:sz w:val="20"/>
          <w:szCs w:val="20"/>
          <w:color w:val="auto"/>
        </w:rPr>
      </w:pPr>
    </w:p>
    <w:p>
      <w:pPr>
        <w:ind w:left="640"/>
        <w:spacing w:after="0"/>
        <w:rPr>
          <w:sz w:val="20"/>
          <w:szCs w:val="20"/>
          <w:color w:val="auto"/>
        </w:rPr>
      </w:pPr>
      <w:r>
        <w:rPr>
          <w:rFonts w:ascii="Arial" w:cs="Arial" w:eastAsia="Arial" w:hAnsi="Arial"/>
          <w:sz w:val="13"/>
          <w:szCs w:val="13"/>
          <w:color w:val="auto"/>
        </w:rPr>
        <w:t>The Bank may:</w:t>
      </w:r>
    </w:p>
    <w:p>
      <w:pPr>
        <w:spacing w:after="0" w:line="85" w:lineRule="exact"/>
        <w:rPr>
          <w:sz w:val="20"/>
          <w:szCs w:val="20"/>
          <w:color w:val="auto"/>
        </w:rPr>
      </w:pPr>
    </w:p>
    <w:p>
      <w:pPr>
        <w:ind w:left="1260" w:right="120" w:hanging="624"/>
        <w:spacing w:after="0" w:line="244" w:lineRule="auto"/>
        <w:tabs>
          <w:tab w:leader="none" w:pos="1260" w:val="left"/>
        </w:tabs>
        <w:numPr>
          <w:ilvl w:val="0"/>
          <w:numId w:val="306"/>
        </w:numPr>
        <w:rPr>
          <w:rFonts w:ascii="Arial" w:cs="Arial" w:eastAsia="Arial" w:hAnsi="Arial"/>
          <w:sz w:val="13"/>
          <w:szCs w:val="13"/>
          <w:color w:val="auto"/>
        </w:rPr>
      </w:pPr>
      <w:r>
        <w:rPr>
          <w:rFonts w:ascii="Arial" w:cs="Arial" w:eastAsia="Arial" w:hAnsi="Arial"/>
          <w:sz w:val="13"/>
          <w:szCs w:val="13"/>
          <w:color w:val="auto"/>
        </w:rPr>
        <w:t>capitalise, on a monthly or other periodical basis as the Bank determines, any part of any interest which becomes due and payable and interest is payable in accordance with this document on capitalised interest; and</w:t>
      </w:r>
    </w:p>
    <w:p>
      <w:pPr>
        <w:spacing w:after="0" w:line="56" w:lineRule="exact"/>
        <w:rPr>
          <w:rFonts w:ascii="Arial" w:cs="Arial" w:eastAsia="Arial" w:hAnsi="Arial"/>
          <w:sz w:val="13"/>
          <w:szCs w:val="13"/>
          <w:color w:val="auto"/>
        </w:rPr>
      </w:pPr>
    </w:p>
    <w:p>
      <w:pPr>
        <w:ind w:left="1280" w:hanging="644"/>
        <w:spacing w:after="0"/>
        <w:tabs>
          <w:tab w:leader="none" w:pos="1280" w:val="left"/>
        </w:tabs>
        <w:numPr>
          <w:ilvl w:val="0"/>
          <w:numId w:val="306"/>
        </w:numPr>
        <w:rPr>
          <w:rFonts w:ascii="Arial" w:cs="Arial" w:eastAsia="Arial" w:hAnsi="Arial"/>
          <w:sz w:val="13"/>
          <w:szCs w:val="13"/>
          <w:color w:val="auto"/>
        </w:rPr>
      </w:pPr>
      <w:r>
        <w:rPr>
          <w:rFonts w:ascii="Arial" w:cs="Arial" w:eastAsia="Arial" w:hAnsi="Arial"/>
          <w:sz w:val="13"/>
          <w:szCs w:val="13"/>
          <w:color w:val="auto"/>
        </w:rPr>
        <w:t>continue to capitalise interest despite:</w:t>
      </w:r>
    </w:p>
    <w:p>
      <w:pPr>
        <w:spacing w:after="0" w:line="75" w:lineRule="exact"/>
        <w:rPr>
          <w:rFonts w:ascii="Arial" w:cs="Arial" w:eastAsia="Arial" w:hAnsi="Arial"/>
          <w:sz w:val="13"/>
          <w:szCs w:val="13"/>
          <w:color w:val="auto"/>
        </w:rPr>
      </w:pPr>
    </w:p>
    <w:p>
      <w:pPr>
        <w:ind w:left="2160" w:hanging="1172"/>
        <w:spacing w:after="0"/>
        <w:tabs>
          <w:tab w:leader="none" w:pos="2160" w:val="left"/>
        </w:tabs>
        <w:numPr>
          <w:ilvl w:val="1"/>
          <w:numId w:val="306"/>
        </w:numPr>
        <w:rPr>
          <w:rFonts w:ascii="Arial" w:cs="Arial" w:eastAsia="Arial" w:hAnsi="Arial"/>
          <w:sz w:val="13"/>
          <w:szCs w:val="13"/>
          <w:color w:val="auto"/>
        </w:rPr>
      </w:pPr>
      <w:r>
        <w:rPr>
          <w:rFonts w:ascii="Arial" w:cs="Arial" w:eastAsia="Arial" w:hAnsi="Arial"/>
          <w:sz w:val="13"/>
          <w:szCs w:val="13"/>
          <w:color w:val="auto"/>
        </w:rPr>
        <w:t>that as between the Bank and the Borrower the relationship of Bank and customer has ceased;</w:t>
      </w:r>
    </w:p>
    <w:p>
      <w:pPr>
        <w:spacing w:after="0" w:line="66" w:lineRule="exact"/>
        <w:rPr>
          <w:rFonts w:ascii="Arial" w:cs="Arial" w:eastAsia="Arial" w:hAnsi="Arial"/>
          <w:sz w:val="13"/>
          <w:szCs w:val="13"/>
          <w:color w:val="auto"/>
        </w:rPr>
      </w:pPr>
    </w:p>
    <w:p>
      <w:pPr>
        <w:ind w:left="1560" w:hanging="572"/>
        <w:spacing w:after="0"/>
        <w:tabs>
          <w:tab w:leader="none" w:pos="1560" w:val="left"/>
        </w:tabs>
        <w:numPr>
          <w:ilvl w:val="1"/>
          <w:numId w:val="306"/>
        </w:numPr>
        <w:rPr>
          <w:rFonts w:ascii="Arial" w:cs="Arial" w:eastAsia="Arial" w:hAnsi="Arial"/>
          <w:sz w:val="13"/>
          <w:szCs w:val="13"/>
          <w:color w:val="auto"/>
        </w:rPr>
      </w:pPr>
      <w:r>
        <w:rPr>
          <w:rFonts w:ascii="Arial" w:cs="Arial" w:eastAsia="Arial" w:hAnsi="Arial"/>
          <w:sz w:val="13"/>
          <w:szCs w:val="13"/>
          <w:color w:val="auto"/>
        </w:rPr>
        <w:t>any composition agreed to by the Bank;</w:t>
      </w:r>
    </w:p>
    <w:p>
      <w:pPr>
        <w:spacing w:after="0" w:line="84" w:lineRule="exact"/>
        <w:rPr>
          <w:rFonts w:ascii="Arial" w:cs="Arial" w:eastAsia="Arial" w:hAnsi="Arial"/>
          <w:sz w:val="13"/>
          <w:szCs w:val="13"/>
          <w:color w:val="auto"/>
        </w:rPr>
      </w:pPr>
    </w:p>
    <w:p>
      <w:pPr>
        <w:ind w:left="1580" w:hanging="592"/>
        <w:spacing w:after="0"/>
        <w:tabs>
          <w:tab w:leader="none" w:pos="1580" w:val="left"/>
        </w:tabs>
        <w:numPr>
          <w:ilvl w:val="1"/>
          <w:numId w:val="306"/>
        </w:numPr>
        <w:rPr>
          <w:rFonts w:ascii="Arial" w:cs="Arial" w:eastAsia="Arial" w:hAnsi="Arial"/>
          <w:sz w:val="13"/>
          <w:szCs w:val="13"/>
          <w:color w:val="auto"/>
        </w:rPr>
      </w:pPr>
      <w:r>
        <w:rPr>
          <w:rFonts w:ascii="Arial" w:cs="Arial" w:eastAsia="Arial" w:hAnsi="Arial"/>
          <w:sz w:val="13"/>
          <w:szCs w:val="13"/>
          <w:color w:val="auto"/>
        </w:rPr>
        <w:t>any judgment or order against the Borrower; or</w:t>
      </w:r>
    </w:p>
    <w:p>
      <w:pPr>
        <w:spacing w:after="0" w:line="75" w:lineRule="exact"/>
        <w:rPr>
          <w:rFonts w:ascii="Arial" w:cs="Arial" w:eastAsia="Arial" w:hAnsi="Arial"/>
          <w:sz w:val="13"/>
          <w:szCs w:val="13"/>
          <w:color w:val="auto"/>
        </w:rPr>
      </w:pPr>
    </w:p>
    <w:p>
      <w:pPr>
        <w:ind w:left="2460" w:hanging="1472"/>
        <w:spacing w:after="0"/>
        <w:tabs>
          <w:tab w:leader="none" w:pos="2460" w:val="left"/>
        </w:tabs>
        <w:numPr>
          <w:ilvl w:val="1"/>
          <w:numId w:val="306"/>
        </w:numPr>
        <w:rPr>
          <w:rFonts w:ascii="Arial" w:cs="Arial" w:eastAsia="Arial" w:hAnsi="Arial"/>
          <w:sz w:val="13"/>
          <w:szCs w:val="13"/>
          <w:color w:val="auto"/>
        </w:rPr>
      </w:pPr>
      <w:r>
        <w:rPr>
          <w:rFonts w:ascii="Arial" w:cs="Arial" w:eastAsia="Arial" w:hAnsi="Arial"/>
          <w:sz w:val="13"/>
          <w:szCs w:val="13"/>
          <w:color w:val="auto"/>
        </w:rPr>
        <w:t>any other thing.</w:t>
      </w:r>
    </w:p>
    <w:p>
      <w:pPr>
        <w:spacing w:after="0" w:line="92" w:lineRule="exact"/>
        <w:rPr>
          <w:sz w:val="20"/>
          <w:szCs w:val="20"/>
          <w:color w:val="auto"/>
        </w:rPr>
      </w:pPr>
    </w:p>
    <w:p>
      <w:pPr>
        <w:ind w:left="140"/>
        <w:spacing w:after="0"/>
        <w:tabs>
          <w:tab w:leader="none" w:pos="3040" w:val="left"/>
        </w:tabs>
        <w:rPr>
          <w:sz w:val="20"/>
          <w:szCs w:val="20"/>
          <w:color w:val="auto"/>
        </w:rPr>
      </w:pPr>
      <w:r>
        <w:rPr>
          <w:rFonts w:ascii="Arial" w:cs="Arial" w:eastAsia="Arial" w:hAnsi="Arial"/>
          <w:sz w:val="14"/>
          <w:szCs w:val="14"/>
          <w:b w:val="1"/>
          <w:bCs w:val="1"/>
          <w:color w:val="auto"/>
        </w:rPr>
        <w:t>6.5</w:t>
      </w:r>
      <w:r>
        <w:rPr>
          <w:sz w:val="20"/>
          <w:szCs w:val="20"/>
          <w:color w:val="auto"/>
        </w:rPr>
        <w:tab/>
      </w:r>
      <w:r>
        <w:rPr>
          <w:rFonts w:ascii="Arial" w:cs="Arial" w:eastAsia="Arial" w:hAnsi="Arial"/>
          <w:sz w:val="14"/>
          <w:szCs w:val="14"/>
          <w:b w:val="1"/>
          <w:bCs w:val="1"/>
          <w:color w:val="auto"/>
        </w:rPr>
        <w:t>Merger</w:t>
      </w:r>
    </w:p>
    <w:p>
      <w:pPr>
        <w:spacing w:after="0" w:line="75" w:lineRule="exact"/>
        <w:rPr>
          <w:sz w:val="20"/>
          <w:szCs w:val="20"/>
          <w:color w:val="auto"/>
        </w:rPr>
      </w:pPr>
    </w:p>
    <w:p>
      <w:pPr>
        <w:jc w:val="both"/>
        <w:ind w:left="640"/>
        <w:spacing w:after="0" w:line="238" w:lineRule="auto"/>
        <w:rPr>
          <w:sz w:val="20"/>
          <w:szCs w:val="20"/>
          <w:color w:val="auto"/>
        </w:rPr>
      </w:pPr>
      <w:r>
        <w:rPr>
          <w:rFonts w:ascii="Arial" w:cs="Arial" w:eastAsia="Arial" w:hAnsi="Arial"/>
          <w:sz w:val="13"/>
          <w:szCs w:val="13"/>
          <w:color w:val="auto"/>
        </w:rPr>
        <w:t>If the liability of the Borrower to pay to the Bank any money payable under a Transaction Document becomes merged in any deed, judgment, order or other thing, the Borrower must pay interest on the amount owing from time to time under that deed, judgment, order or other thing at the higher of the rate payable under the Transaction Documents and that fixed by or payable under that deed, judgment, order or other thing.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163830</wp:posOffset>
            </wp:positionV>
            <wp:extent cx="6208395"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208395" cy="42545"/>
                    </a:xfrm>
                    <a:prstGeom prst="rect">
                      <a:avLst/>
                    </a:prstGeom>
                    <a:noFill/>
                  </pic:spPr>
                </pic:pic>
              </a:graphicData>
            </a:graphic>
          </wp:anchor>
        </w:drawing>
      </w:r>
    </w:p>
    <w:p>
      <w:pPr>
        <w:sectPr>
          <w:pgSz w:w="11900" w:h="16838" w:orient="portrait"/>
          <w:cols w:equalWidth="0" w:num="1">
            <w:col w:w="9260"/>
          </w:cols>
          <w:pgMar w:left="1440" w:top="561" w:right="1199" w:bottom="1440" w:gutter="0" w:footer="0" w:header="0"/>
        </w:sectPr>
      </w:pPr>
    </w:p>
    <w:bookmarkStart w:id="250" w:name="page251"/>
    <w:bookmarkEnd w:id="250"/>
    <w:p>
      <w:pPr>
        <w:ind w:left="1340" w:hanging="1208"/>
        <w:spacing w:after="0"/>
        <w:tabs>
          <w:tab w:leader="none" w:pos="1340" w:val="left"/>
        </w:tabs>
        <w:numPr>
          <w:ilvl w:val="0"/>
          <w:numId w:val="307"/>
        </w:numPr>
        <w:rPr>
          <w:rFonts w:ascii="Arial" w:cs="Arial" w:eastAsia="Arial" w:hAnsi="Arial"/>
          <w:sz w:val="19"/>
          <w:szCs w:val="19"/>
          <w:color w:val="auto"/>
        </w:rPr>
      </w:pPr>
      <w:r>
        <w:rPr>
          <w:rFonts w:ascii="Arial" w:cs="Arial" w:eastAsia="Arial" w:hAnsi="Arial"/>
          <w:sz w:val="19"/>
          <w:szCs w:val="19"/>
          <w:color w:val="auto"/>
        </w:rPr>
        <w:t>Payments</w:t>
      </w:r>
    </w:p>
    <w:p>
      <w:pPr>
        <w:spacing w:after="0" w:line="68" w:lineRule="exact"/>
        <w:rPr>
          <w:sz w:val="20"/>
          <w:szCs w:val="20"/>
          <w:color w:val="auto"/>
        </w:rPr>
      </w:pPr>
    </w:p>
    <w:p>
      <w:pPr>
        <w:ind w:left="140"/>
        <w:spacing w:after="0"/>
        <w:tabs>
          <w:tab w:leader="none" w:pos="1040" w:val="left"/>
        </w:tabs>
        <w:rPr>
          <w:sz w:val="20"/>
          <w:szCs w:val="20"/>
          <w:color w:val="auto"/>
        </w:rPr>
      </w:pPr>
      <w:r>
        <w:rPr>
          <w:rFonts w:ascii="Arial" w:cs="Arial" w:eastAsia="Arial" w:hAnsi="Arial"/>
          <w:sz w:val="14"/>
          <w:szCs w:val="14"/>
          <w:b w:val="1"/>
          <w:bCs w:val="1"/>
          <w:color w:val="auto"/>
        </w:rPr>
        <w:t>7.1</w:t>
      </w:r>
      <w:r>
        <w:rPr>
          <w:sz w:val="20"/>
          <w:szCs w:val="20"/>
          <w:color w:val="auto"/>
        </w:rPr>
        <w:tab/>
      </w:r>
      <w:r>
        <w:rPr>
          <w:rFonts w:ascii="Arial" w:cs="Arial" w:eastAsia="Arial" w:hAnsi="Arial"/>
          <w:sz w:val="14"/>
          <w:szCs w:val="14"/>
          <w:b w:val="1"/>
          <w:bCs w:val="1"/>
          <w:color w:val="auto"/>
        </w:rPr>
        <w:t>Place, manner and time of payment</w:t>
      </w:r>
    </w:p>
    <w:p>
      <w:pPr>
        <w:spacing w:after="0" w:line="75" w:lineRule="exact"/>
        <w:rPr>
          <w:sz w:val="20"/>
          <w:szCs w:val="20"/>
          <w:color w:val="auto"/>
        </w:rPr>
      </w:pPr>
    </w:p>
    <w:p>
      <w:pPr>
        <w:ind w:left="640"/>
        <w:spacing w:after="0"/>
        <w:rPr>
          <w:sz w:val="20"/>
          <w:szCs w:val="20"/>
          <w:color w:val="auto"/>
        </w:rPr>
      </w:pPr>
      <w:r>
        <w:rPr>
          <w:rFonts w:ascii="Arial" w:cs="Arial" w:eastAsia="Arial" w:hAnsi="Arial"/>
          <w:sz w:val="13"/>
          <w:szCs w:val="13"/>
          <w:color w:val="auto"/>
        </w:rPr>
        <w:t>Each Transaction Party must make payments to the Bank under the Transaction Documents:</w:t>
      </w:r>
    </w:p>
    <w:p>
      <w:pPr>
        <w:spacing w:after="0" w:line="51" w:lineRule="exact"/>
        <w:rPr>
          <w:sz w:val="20"/>
          <w:szCs w:val="20"/>
          <w:color w:val="auto"/>
        </w:rPr>
      </w:pPr>
    </w:p>
    <w:p>
      <w:pPr>
        <w:ind w:left="1220" w:hanging="584"/>
        <w:spacing w:after="0"/>
        <w:tabs>
          <w:tab w:leader="none" w:pos="1220" w:val="left"/>
        </w:tabs>
        <w:numPr>
          <w:ilvl w:val="0"/>
          <w:numId w:val="308"/>
        </w:numPr>
        <w:rPr>
          <w:rFonts w:ascii="Arial" w:cs="Arial" w:eastAsia="Arial" w:hAnsi="Arial"/>
          <w:sz w:val="13"/>
          <w:szCs w:val="13"/>
          <w:color w:val="auto"/>
        </w:rPr>
      </w:pPr>
      <w:r>
        <w:rPr>
          <w:rFonts w:ascii="Arial" w:cs="Arial" w:eastAsia="Arial" w:hAnsi="Arial"/>
          <w:sz w:val="13"/>
          <w:szCs w:val="13"/>
          <w:color w:val="auto"/>
        </w:rPr>
        <w:t xml:space="preserve">at the address specified in </w:t>
      </w:r>
      <w:r>
        <w:rPr>
          <w:rFonts w:ascii="Arial" w:cs="Arial" w:eastAsia="Arial" w:hAnsi="Arial"/>
          <w:sz w:val="13"/>
          <w:szCs w:val="13"/>
          <w:b w:val="1"/>
          <w:bCs w:val="1"/>
          <w:color w:val="auto"/>
        </w:rPr>
        <w:t>clause 19.3</w:t>
      </w:r>
      <w:r>
        <w:rPr>
          <w:rFonts w:ascii="Arial" w:cs="Arial" w:eastAsia="Arial" w:hAnsi="Arial"/>
          <w:sz w:val="13"/>
          <w:szCs w:val="13"/>
          <w:color w:val="auto"/>
        </w:rPr>
        <w:t xml:space="preserve"> or at such other place reasonably required by the Bank;</w:t>
      </w:r>
    </w:p>
    <w:p>
      <w:pPr>
        <w:spacing w:after="0" w:line="91" w:lineRule="exact"/>
        <w:rPr>
          <w:rFonts w:ascii="Arial" w:cs="Arial" w:eastAsia="Arial" w:hAnsi="Arial"/>
          <w:sz w:val="13"/>
          <w:szCs w:val="13"/>
          <w:color w:val="auto"/>
        </w:rPr>
      </w:pPr>
    </w:p>
    <w:p>
      <w:pPr>
        <w:ind w:left="1180" w:hanging="544"/>
        <w:spacing w:after="0"/>
        <w:tabs>
          <w:tab w:leader="none" w:pos="1180" w:val="left"/>
        </w:tabs>
        <w:numPr>
          <w:ilvl w:val="0"/>
          <w:numId w:val="308"/>
        </w:numPr>
        <w:rPr>
          <w:rFonts w:ascii="Arial" w:cs="Arial" w:eastAsia="Arial" w:hAnsi="Arial"/>
          <w:sz w:val="13"/>
          <w:szCs w:val="13"/>
          <w:color w:val="auto"/>
        </w:rPr>
      </w:pPr>
      <w:r>
        <w:rPr>
          <w:rFonts w:ascii="Arial" w:cs="Arial" w:eastAsia="Arial" w:hAnsi="Arial"/>
          <w:sz w:val="13"/>
          <w:szCs w:val="13"/>
          <w:color w:val="auto"/>
        </w:rPr>
        <w:t>in a manner reasonably required by the Bank;</w:t>
      </w:r>
    </w:p>
    <w:p>
      <w:pPr>
        <w:spacing w:after="0" w:line="75" w:lineRule="exact"/>
        <w:rPr>
          <w:rFonts w:ascii="Arial" w:cs="Arial" w:eastAsia="Arial" w:hAnsi="Arial"/>
          <w:sz w:val="13"/>
          <w:szCs w:val="13"/>
          <w:color w:val="auto"/>
        </w:rPr>
      </w:pPr>
    </w:p>
    <w:p>
      <w:pPr>
        <w:ind w:left="2080" w:hanging="1444"/>
        <w:spacing w:after="0"/>
        <w:tabs>
          <w:tab w:leader="none" w:pos="2080" w:val="left"/>
        </w:tabs>
        <w:numPr>
          <w:ilvl w:val="0"/>
          <w:numId w:val="308"/>
        </w:numPr>
        <w:rPr>
          <w:rFonts w:ascii="Arial" w:cs="Arial" w:eastAsia="Arial" w:hAnsi="Arial"/>
          <w:sz w:val="13"/>
          <w:szCs w:val="13"/>
          <w:color w:val="auto"/>
        </w:rPr>
      </w:pPr>
      <w:r>
        <w:rPr>
          <w:rFonts w:ascii="Arial" w:cs="Arial" w:eastAsia="Arial" w:hAnsi="Arial"/>
          <w:sz w:val="13"/>
          <w:szCs w:val="13"/>
          <w:color w:val="auto"/>
        </w:rPr>
        <w:t>by 11.00 am local time in the place where payment is required to be made; and</w:t>
      </w:r>
    </w:p>
    <w:p>
      <w:pPr>
        <w:spacing w:after="0" w:line="66" w:lineRule="exact"/>
        <w:rPr>
          <w:rFonts w:ascii="Arial" w:cs="Arial" w:eastAsia="Arial" w:hAnsi="Arial"/>
          <w:sz w:val="13"/>
          <w:szCs w:val="13"/>
          <w:color w:val="auto"/>
        </w:rPr>
      </w:pPr>
    </w:p>
    <w:p>
      <w:pPr>
        <w:ind w:left="1980" w:right="720" w:hanging="1344"/>
        <w:spacing w:after="0" w:line="244" w:lineRule="auto"/>
        <w:tabs>
          <w:tab w:leader="none" w:pos="1980" w:val="left"/>
        </w:tabs>
        <w:numPr>
          <w:ilvl w:val="0"/>
          <w:numId w:val="308"/>
        </w:numPr>
        <w:rPr>
          <w:rFonts w:ascii="Arial" w:cs="Arial" w:eastAsia="Arial" w:hAnsi="Arial"/>
          <w:sz w:val="13"/>
          <w:szCs w:val="13"/>
          <w:color w:val="auto"/>
        </w:rPr>
      </w:pPr>
      <w:r>
        <w:rPr>
          <w:rFonts w:ascii="Arial" w:cs="Arial" w:eastAsia="Arial" w:hAnsi="Arial"/>
          <w:sz w:val="13"/>
          <w:szCs w:val="13"/>
          <w:color w:val="auto"/>
        </w:rPr>
        <w:t>in immediately available funds and without set-off, counter claim, condition or, unless required by law, deduction or withholding.</w:t>
      </w:r>
    </w:p>
    <w:p>
      <w:pPr>
        <w:spacing w:after="0" w:line="63" w:lineRule="exact"/>
        <w:rPr>
          <w:sz w:val="20"/>
          <w:szCs w:val="20"/>
          <w:color w:val="auto"/>
        </w:rPr>
      </w:pPr>
    </w:p>
    <w:p>
      <w:pPr>
        <w:ind w:left="140"/>
        <w:spacing w:after="0"/>
        <w:tabs>
          <w:tab w:leader="none" w:pos="2520" w:val="left"/>
        </w:tabs>
        <w:rPr>
          <w:sz w:val="20"/>
          <w:szCs w:val="20"/>
          <w:color w:val="auto"/>
        </w:rPr>
      </w:pPr>
      <w:r>
        <w:rPr>
          <w:rFonts w:ascii="Arial" w:cs="Arial" w:eastAsia="Arial" w:hAnsi="Arial"/>
          <w:sz w:val="14"/>
          <w:szCs w:val="14"/>
          <w:b w:val="1"/>
          <w:bCs w:val="1"/>
          <w:color w:val="auto"/>
        </w:rPr>
        <w:t>7.2</w:t>
      </w:r>
      <w:r>
        <w:rPr>
          <w:sz w:val="20"/>
          <w:szCs w:val="20"/>
          <w:color w:val="auto"/>
        </w:rPr>
        <w:tab/>
      </w:r>
      <w:r>
        <w:rPr>
          <w:rFonts w:ascii="Arial" w:cs="Arial" w:eastAsia="Arial" w:hAnsi="Arial"/>
          <w:sz w:val="14"/>
          <w:szCs w:val="14"/>
          <w:b w:val="1"/>
          <w:bCs w:val="1"/>
          <w:color w:val="auto"/>
        </w:rPr>
        <w:t>Gross-up</w:t>
      </w:r>
    </w:p>
    <w:p>
      <w:pPr>
        <w:spacing w:after="0" w:line="75" w:lineRule="exact"/>
        <w:rPr>
          <w:sz w:val="20"/>
          <w:szCs w:val="20"/>
          <w:color w:val="auto"/>
        </w:rPr>
      </w:pPr>
    </w:p>
    <w:p>
      <w:pPr>
        <w:ind w:left="640"/>
        <w:spacing w:after="0"/>
        <w:rPr>
          <w:sz w:val="20"/>
          <w:szCs w:val="20"/>
          <w:color w:val="auto"/>
        </w:rPr>
      </w:pPr>
      <w:r>
        <w:rPr>
          <w:rFonts w:ascii="Arial" w:cs="Arial" w:eastAsia="Arial" w:hAnsi="Arial"/>
          <w:sz w:val="13"/>
          <w:szCs w:val="13"/>
          <w:color w:val="auto"/>
        </w:rPr>
        <w:t>If a Transaction Party is required by law to deduct or withhold Taxes from any payment it must:</w:t>
      </w:r>
    </w:p>
    <w:p>
      <w:pPr>
        <w:spacing w:after="0" w:line="67" w:lineRule="exact"/>
        <w:rPr>
          <w:sz w:val="20"/>
          <w:szCs w:val="20"/>
          <w:color w:val="auto"/>
        </w:rPr>
      </w:pPr>
    </w:p>
    <w:p>
      <w:pPr>
        <w:ind w:left="1200" w:hanging="564"/>
        <w:spacing w:after="0"/>
        <w:tabs>
          <w:tab w:leader="none" w:pos="1200" w:val="left"/>
        </w:tabs>
        <w:numPr>
          <w:ilvl w:val="0"/>
          <w:numId w:val="309"/>
        </w:numPr>
        <w:rPr>
          <w:rFonts w:ascii="Arial" w:cs="Arial" w:eastAsia="Arial" w:hAnsi="Arial"/>
          <w:sz w:val="13"/>
          <w:szCs w:val="13"/>
          <w:color w:val="auto"/>
        </w:rPr>
      </w:pPr>
      <w:r>
        <w:rPr>
          <w:rFonts w:ascii="Arial" w:cs="Arial" w:eastAsia="Arial" w:hAnsi="Arial"/>
          <w:sz w:val="13"/>
          <w:szCs w:val="13"/>
          <w:color w:val="auto"/>
        </w:rPr>
        <w:t>make the required deduction and withholding;</w:t>
      </w:r>
    </w:p>
    <w:p>
      <w:pPr>
        <w:spacing w:after="0" w:line="75" w:lineRule="exact"/>
        <w:rPr>
          <w:rFonts w:ascii="Arial" w:cs="Arial" w:eastAsia="Arial" w:hAnsi="Arial"/>
          <w:sz w:val="13"/>
          <w:szCs w:val="13"/>
          <w:color w:val="auto"/>
        </w:rPr>
      </w:pPr>
    </w:p>
    <w:p>
      <w:pPr>
        <w:ind w:left="1440" w:hanging="804"/>
        <w:spacing w:after="0"/>
        <w:tabs>
          <w:tab w:leader="none" w:pos="1440" w:val="left"/>
        </w:tabs>
        <w:numPr>
          <w:ilvl w:val="0"/>
          <w:numId w:val="309"/>
        </w:numPr>
        <w:rPr>
          <w:rFonts w:ascii="Arial" w:cs="Arial" w:eastAsia="Arial" w:hAnsi="Arial"/>
          <w:sz w:val="13"/>
          <w:szCs w:val="13"/>
          <w:color w:val="auto"/>
        </w:rPr>
      </w:pPr>
      <w:r>
        <w:rPr>
          <w:rFonts w:ascii="Arial" w:cs="Arial" w:eastAsia="Arial" w:hAnsi="Arial"/>
          <w:sz w:val="13"/>
          <w:szCs w:val="13"/>
          <w:color w:val="auto"/>
        </w:rPr>
        <w:t>pay the full amount deducted or withheld in accordance with the relevant law;</w:t>
      </w:r>
    </w:p>
    <w:p>
      <w:pPr>
        <w:spacing w:after="0" w:line="66" w:lineRule="exact"/>
        <w:rPr>
          <w:rFonts w:ascii="Arial" w:cs="Arial" w:eastAsia="Arial" w:hAnsi="Arial"/>
          <w:sz w:val="13"/>
          <w:szCs w:val="13"/>
          <w:color w:val="auto"/>
        </w:rPr>
      </w:pPr>
    </w:p>
    <w:p>
      <w:pPr>
        <w:ind w:left="1060" w:hanging="424"/>
        <w:spacing w:after="0"/>
        <w:tabs>
          <w:tab w:leader="none" w:pos="1060" w:val="left"/>
        </w:tabs>
        <w:numPr>
          <w:ilvl w:val="0"/>
          <w:numId w:val="309"/>
        </w:numPr>
        <w:rPr>
          <w:rFonts w:ascii="Arial" w:cs="Arial" w:eastAsia="Arial" w:hAnsi="Arial"/>
          <w:sz w:val="13"/>
          <w:szCs w:val="13"/>
          <w:color w:val="auto"/>
        </w:rPr>
      </w:pPr>
      <w:r>
        <w:rPr>
          <w:rFonts w:ascii="Arial" w:cs="Arial" w:eastAsia="Arial" w:hAnsi="Arial"/>
          <w:sz w:val="13"/>
          <w:szCs w:val="13"/>
          <w:color w:val="auto"/>
        </w:rPr>
        <w:t>deliver to the Bank an original receipt for each payment; and</w:t>
      </w:r>
    </w:p>
    <w:p>
      <w:pPr>
        <w:spacing w:after="0" w:line="84" w:lineRule="exact"/>
        <w:rPr>
          <w:rFonts w:ascii="Arial" w:cs="Arial" w:eastAsia="Arial" w:hAnsi="Arial"/>
          <w:sz w:val="13"/>
          <w:szCs w:val="13"/>
          <w:color w:val="auto"/>
        </w:rPr>
      </w:pPr>
    </w:p>
    <w:p>
      <w:pPr>
        <w:ind w:left="1100" w:right="240" w:hanging="464"/>
        <w:spacing w:after="0" w:line="244" w:lineRule="auto"/>
        <w:tabs>
          <w:tab w:leader="none" w:pos="1100" w:val="left"/>
        </w:tabs>
        <w:numPr>
          <w:ilvl w:val="0"/>
          <w:numId w:val="309"/>
        </w:numPr>
        <w:rPr>
          <w:rFonts w:ascii="Arial" w:cs="Arial" w:eastAsia="Arial" w:hAnsi="Arial"/>
          <w:sz w:val="13"/>
          <w:szCs w:val="13"/>
          <w:color w:val="auto"/>
        </w:rPr>
      </w:pPr>
      <w:r>
        <w:rPr>
          <w:rFonts w:ascii="Arial" w:cs="Arial" w:eastAsia="Arial" w:hAnsi="Arial"/>
          <w:sz w:val="13"/>
          <w:szCs w:val="13"/>
          <w:color w:val="auto"/>
        </w:rPr>
        <w:t>pay an additional amount with such payment so that, after all applicable deductions or withholdings, the Bank actually receives for its own benefit the full amount which would have been payable to the Bank if no deduction or withholding had been required.</w:t>
      </w:r>
    </w:p>
    <w:p>
      <w:pPr>
        <w:spacing w:after="0" w:line="63" w:lineRule="exact"/>
        <w:rPr>
          <w:sz w:val="20"/>
          <w:szCs w:val="20"/>
          <w:color w:val="auto"/>
        </w:rPr>
      </w:pPr>
    </w:p>
    <w:p>
      <w:pPr>
        <w:ind w:left="140"/>
        <w:spacing w:after="0"/>
        <w:tabs>
          <w:tab w:leader="none" w:pos="1940" w:val="left"/>
        </w:tabs>
        <w:rPr>
          <w:sz w:val="20"/>
          <w:szCs w:val="20"/>
          <w:color w:val="auto"/>
        </w:rPr>
      </w:pPr>
      <w:r>
        <w:rPr>
          <w:rFonts w:ascii="Arial" w:cs="Arial" w:eastAsia="Arial" w:hAnsi="Arial"/>
          <w:sz w:val="14"/>
          <w:szCs w:val="14"/>
          <w:b w:val="1"/>
          <w:bCs w:val="1"/>
          <w:color w:val="auto"/>
        </w:rPr>
        <w:t>7.3</w:t>
      </w:r>
      <w:r>
        <w:rPr>
          <w:sz w:val="20"/>
          <w:szCs w:val="20"/>
          <w:color w:val="auto"/>
        </w:rPr>
        <w:tab/>
      </w:r>
      <w:r>
        <w:rPr>
          <w:rFonts w:ascii="Arial" w:cs="Arial" w:eastAsia="Arial" w:hAnsi="Arial"/>
          <w:sz w:val="14"/>
          <w:szCs w:val="14"/>
          <w:b w:val="1"/>
          <w:bCs w:val="1"/>
          <w:color w:val="auto"/>
        </w:rPr>
        <w:t>Appropriation</w:t>
      </w:r>
    </w:p>
    <w:p>
      <w:pPr>
        <w:spacing w:after="0" w:line="75" w:lineRule="exact"/>
        <w:rPr>
          <w:sz w:val="20"/>
          <w:szCs w:val="20"/>
          <w:color w:val="auto"/>
        </w:rPr>
      </w:pPr>
    </w:p>
    <w:p>
      <w:pPr>
        <w:ind w:left="640"/>
        <w:spacing w:after="0" w:line="238" w:lineRule="auto"/>
        <w:rPr>
          <w:sz w:val="20"/>
          <w:szCs w:val="20"/>
          <w:color w:val="auto"/>
        </w:rPr>
      </w:pPr>
      <w:r>
        <w:rPr>
          <w:rFonts w:ascii="Arial" w:cs="Arial" w:eastAsia="Arial" w:hAnsi="Arial"/>
          <w:sz w:val="13"/>
          <w:szCs w:val="13"/>
          <w:color w:val="auto"/>
        </w:rPr>
        <w:t>Subject to any express provision to the contrary in any Transaction Document, the Bank may appropriate any payment towards the satisfaction of any money due for payment by the Borrower in relation to a Transaction Document in any way that the Bank thinks fit and despite any purported appropriation by the Borrower.</w:t>
      </w:r>
    </w:p>
    <w:p>
      <w:pPr>
        <w:spacing w:after="0" w:line="257" w:lineRule="exact"/>
        <w:rPr>
          <w:sz w:val="20"/>
          <w:szCs w:val="20"/>
          <w:color w:val="auto"/>
        </w:rPr>
      </w:pPr>
    </w:p>
    <w:p>
      <w:pPr>
        <w:ind w:left="660" w:hanging="528"/>
        <w:spacing w:after="0"/>
        <w:tabs>
          <w:tab w:leader="none" w:pos="660" w:val="left"/>
        </w:tabs>
        <w:numPr>
          <w:ilvl w:val="0"/>
          <w:numId w:val="310"/>
        </w:numPr>
        <w:rPr>
          <w:rFonts w:ascii="Arial" w:cs="Arial" w:eastAsia="Arial" w:hAnsi="Arial"/>
          <w:sz w:val="19"/>
          <w:szCs w:val="19"/>
          <w:color w:val="auto"/>
        </w:rPr>
      </w:pPr>
      <w:r>
        <w:rPr>
          <w:rFonts w:ascii="Arial" w:cs="Arial" w:eastAsia="Arial" w:hAnsi="Arial"/>
          <w:sz w:val="19"/>
          <w:szCs w:val="19"/>
          <w:color w:val="auto"/>
        </w:rPr>
        <w:t>Representations and warranties</w:t>
      </w:r>
    </w:p>
    <w:p>
      <w:pPr>
        <w:spacing w:after="0" w:line="68" w:lineRule="exact"/>
        <w:rPr>
          <w:sz w:val="20"/>
          <w:szCs w:val="20"/>
          <w:color w:val="auto"/>
        </w:rPr>
      </w:pPr>
    </w:p>
    <w:p>
      <w:pPr>
        <w:ind w:left="140"/>
        <w:spacing w:after="0"/>
        <w:tabs>
          <w:tab w:leader="none" w:pos="3160" w:val="left"/>
        </w:tabs>
        <w:rPr>
          <w:sz w:val="20"/>
          <w:szCs w:val="20"/>
          <w:color w:val="auto"/>
        </w:rPr>
      </w:pPr>
      <w:r>
        <w:rPr>
          <w:rFonts w:ascii="Arial" w:cs="Arial" w:eastAsia="Arial" w:hAnsi="Arial"/>
          <w:sz w:val="14"/>
          <w:szCs w:val="14"/>
          <w:b w:val="1"/>
          <w:bCs w:val="1"/>
          <w:color w:val="auto"/>
        </w:rPr>
        <w:t>8.1</w:t>
      </w:r>
      <w:r>
        <w:rPr>
          <w:sz w:val="20"/>
          <w:szCs w:val="20"/>
          <w:color w:val="auto"/>
        </w:rPr>
        <w:tab/>
      </w:r>
      <w:r>
        <w:rPr>
          <w:rFonts w:ascii="Arial" w:cs="Arial" w:eastAsia="Arial" w:hAnsi="Arial"/>
          <w:sz w:val="14"/>
          <w:szCs w:val="14"/>
          <w:b w:val="1"/>
          <w:bCs w:val="1"/>
          <w:color w:val="auto"/>
        </w:rPr>
        <w:t>Nature</w:t>
      </w:r>
    </w:p>
    <w:p>
      <w:pPr>
        <w:spacing w:after="0" w:line="75" w:lineRule="exact"/>
        <w:rPr>
          <w:sz w:val="20"/>
          <w:szCs w:val="20"/>
          <w:color w:val="auto"/>
        </w:rPr>
      </w:pPr>
    </w:p>
    <w:p>
      <w:pPr>
        <w:ind w:left="640"/>
        <w:spacing w:after="0"/>
        <w:rPr>
          <w:sz w:val="20"/>
          <w:szCs w:val="20"/>
          <w:color w:val="auto"/>
        </w:rPr>
      </w:pPr>
      <w:r>
        <w:rPr>
          <w:rFonts w:ascii="Arial" w:cs="Arial" w:eastAsia="Arial" w:hAnsi="Arial"/>
          <w:sz w:val="13"/>
          <w:szCs w:val="13"/>
          <w:color w:val="auto"/>
        </w:rPr>
        <w:t>Each Transaction Party represents and warrants that:</w:t>
      </w:r>
    </w:p>
    <w:p>
      <w:pPr>
        <w:spacing w:after="0" w:line="69" w:lineRule="exact"/>
        <w:rPr>
          <w:sz w:val="20"/>
          <w:szCs w:val="20"/>
          <w:color w:val="auto"/>
        </w:rPr>
      </w:pPr>
    </w:p>
    <w:p>
      <w:pPr>
        <w:ind w:left="1140" w:right="180" w:hanging="504"/>
        <w:spacing w:after="0" w:line="250" w:lineRule="auto"/>
        <w:tabs>
          <w:tab w:leader="none" w:pos="1140" w:val="left"/>
        </w:tabs>
        <w:numPr>
          <w:ilvl w:val="0"/>
          <w:numId w:val="311"/>
        </w:numPr>
        <w:rPr>
          <w:rFonts w:ascii="Arial" w:cs="Arial" w:eastAsia="Arial" w:hAnsi="Arial"/>
          <w:sz w:val="13"/>
          <w:szCs w:val="13"/>
          <w:color w:val="auto"/>
        </w:rPr>
      </w:pPr>
      <w:r>
        <w:rPr>
          <w:rFonts w:ascii="Arial" w:cs="Arial" w:eastAsia="Arial" w:hAnsi="Arial"/>
          <w:sz w:val="13"/>
          <w:szCs w:val="13"/>
          <w:b w:val="1"/>
          <w:bCs w:val="1"/>
          <w:color w:val="auto"/>
        </w:rPr>
        <w:t xml:space="preserve">duly incorporated: </w:t>
      </w:r>
      <w:r>
        <w:rPr>
          <w:rFonts w:ascii="Arial" w:cs="Arial" w:eastAsia="Arial" w:hAnsi="Arial"/>
          <w:sz w:val="13"/>
          <w:szCs w:val="13"/>
          <w:color w:val="auto"/>
        </w:rPr>
        <w:t>if it purports to be a corporation, it is duly incorporated in accordance with the laws of its place of incorporation, validly</w:t>
      </w:r>
      <w:r>
        <w:rPr>
          <w:rFonts w:ascii="Arial" w:cs="Arial" w:eastAsia="Arial" w:hAnsi="Arial"/>
          <w:sz w:val="13"/>
          <w:szCs w:val="13"/>
          <w:b w:val="1"/>
          <w:bCs w:val="1"/>
          <w:color w:val="auto"/>
        </w:rPr>
        <w:t xml:space="preserve"> </w:t>
      </w:r>
      <w:r>
        <w:rPr>
          <w:rFonts w:ascii="Arial" w:cs="Arial" w:eastAsia="Arial" w:hAnsi="Arial"/>
          <w:sz w:val="13"/>
          <w:szCs w:val="13"/>
          <w:color w:val="auto"/>
        </w:rPr>
        <w:t>exists under those laws and has the capacity to sue or be sued in its own name and to own its property and conduct its business as it is being conducted;</w:t>
      </w:r>
    </w:p>
    <w:p>
      <w:pPr>
        <w:spacing w:after="0" w:line="28" w:lineRule="exact"/>
        <w:rPr>
          <w:rFonts w:ascii="Arial" w:cs="Arial" w:eastAsia="Arial" w:hAnsi="Arial"/>
          <w:sz w:val="13"/>
          <w:szCs w:val="13"/>
          <w:color w:val="auto"/>
        </w:rPr>
      </w:pPr>
    </w:p>
    <w:p>
      <w:pPr>
        <w:ind w:left="1600" w:right="900" w:hanging="964"/>
        <w:spacing w:after="0" w:line="269" w:lineRule="auto"/>
        <w:tabs>
          <w:tab w:leader="none" w:pos="1600" w:val="left"/>
        </w:tabs>
        <w:numPr>
          <w:ilvl w:val="0"/>
          <w:numId w:val="311"/>
        </w:numPr>
        <w:rPr>
          <w:rFonts w:ascii="Arial" w:cs="Arial" w:eastAsia="Arial" w:hAnsi="Arial"/>
          <w:sz w:val="13"/>
          <w:szCs w:val="13"/>
          <w:color w:val="auto"/>
        </w:rPr>
      </w:pPr>
      <w:r>
        <w:rPr>
          <w:rFonts w:ascii="Arial" w:cs="Arial" w:eastAsia="Arial" w:hAnsi="Arial"/>
          <w:sz w:val="13"/>
          <w:szCs w:val="13"/>
          <w:b w:val="1"/>
          <w:bCs w:val="1"/>
          <w:color w:val="auto"/>
        </w:rPr>
        <w:t xml:space="preserve">capacity: </w:t>
      </w:r>
      <w:r>
        <w:rPr>
          <w:rFonts w:ascii="Arial" w:cs="Arial" w:eastAsia="Arial" w:hAnsi="Arial"/>
          <w:sz w:val="13"/>
          <w:szCs w:val="13"/>
          <w:color w:val="auto"/>
        </w:rPr>
        <w:t>it has capacity unconditionally to execute and deliver and comply with its obligations under the Transaction</w:t>
      </w:r>
      <w:r>
        <w:rPr>
          <w:rFonts w:ascii="Arial" w:cs="Arial" w:eastAsia="Arial" w:hAnsi="Arial"/>
          <w:sz w:val="13"/>
          <w:szCs w:val="13"/>
          <w:b w:val="1"/>
          <w:bCs w:val="1"/>
          <w:color w:val="auto"/>
        </w:rPr>
        <w:t xml:space="preserve"> </w:t>
      </w:r>
      <w:r>
        <w:rPr>
          <w:rFonts w:ascii="Arial" w:cs="Arial" w:eastAsia="Arial" w:hAnsi="Arial"/>
          <w:sz w:val="13"/>
          <w:szCs w:val="13"/>
          <w:color w:val="auto"/>
        </w:rPr>
        <w:t>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152400</wp:posOffset>
            </wp:positionV>
            <wp:extent cx="6208395"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208395" cy="42545"/>
                    </a:xfrm>
                    <a:prstGeom prst="rect">
                      <a:avLst/>
                    </a:prstGeom>
                    <a:noFill/>
                  </pic:spPr>
                </pic:pic>
              </a:graphicData>
            </a:graphic>
          </wp:anchor>
        </w:drawing>
      </w:r>
    </w:p>
    <w:p>
      <w:pPr>
        <w:sectPr>
          <w:pgSz w:w="11900" w:h="16838" w:orient="portrait"/>
          <w:cols w:equalWidth="0" w:num="1">
            <w:col w:w="9360"/>
          </w:cols>
          <w:pgMar w:left="1440" w:top="533" w:right="1099" w:bottom="1440" w:gutter="0" w:footer="0" w:header="0"/>
        </w:sectPr>
      </w:pPr>
    </w:p>
    <w:bookmarkStart w:id="251" w:name="page252"/>
    <w:bookmarkEnd w:id="251"/>
    <w:p>
      <w:pPr>
        <w:ind w:left="1680" w:right="420" w:hanging="1044"/>
        <w:spacing w:after="0" w:line="269" w:lineRule="auto"/>
        <w:tabs>
          <w:tab w:leader="none" w:pos="1680" w:val="left"/>
        </w:tabs>
        <w:numPr>
          <w:ilvl w:val="0"/>
          <w:numId w:val="312"/>
        </w:numPr>
        <w:rPr>
          <w:rFonts w:ascii="Arial" w:cs="Arial" w:eastAsia="Arial" w:hAnsi="Arial"/>
          <w:sz w:val="13"/>
          <w:szCs w:val="13"/>
          <w:color w:val="auto"/>
        </w:rPr>
      </w:pPr>
      <w:r>
        <w:rPr>
          <w:rFonts w:ascii="Arial" w:cs="Arial" w:eastAsia="Arial" w:hAnsi="Arial"/>
          <w:sz w:val="13"/>
          <w:szCs w:val="13"/>
          <w:b w:val="1"/>
          <w:bCs w:val="1"/>
          <w:color w:val="auto"/>
        </w:rPr>
        <w:t xml:space="preserve">action taken: </w:t>
      </w:r>
      <w:r>
        <w:rPr>
          <w:rFonts w:ascii="Arial" w:cs="Arial" w:eastAsia="Arial" w:hAnsi="Arial"/>
          <w:sz w:val="13"/>
          <w:szCs w:val="13"/>
          <w:color w:val="auto"/>
        </w:rPr>
        <w:t>it has taken all necessary action to authorise the unconditional execution and delivery of, and the compliance</w:t>
      </w:r>
      <w:r>
        <w:rPr>
          <w:rFonts w:ascii="Arial" w:cs="Arial" w:eastAsia="Arial" w:hAnsi="Arial"/>
          <w:sz w:val="13"/>
          <w:szCs w:val="13"/>
          <w:b w:val="1"/>
          <w:bCs w:val="1"/>
          <w:color w:val="auto"/>
        </w:rPr>
        <w:t xml:space="preserve"> </w:t>
      </w:r>
      <w:r>
        <w:rPr>
          <w:rFonts w:ascii="Arial" w:cs="Arial" w:eastAsia="Arial" w:hAnsi="Arial"/>
          <w:sz w:val="13"/>
          <w:szCs w:val="13"/>
          <w:color w:val="auto"/>
        </w:rPr>
        <w:t>with its obligations under, the Transaction Documents to which it is a party;</w:t>
      </w:r>
    </w:p>
    <w:p>
      <w:pPr>
        <w:spacing w:after="0" w:line="16" w:lineRule="exact"/>
        <w:rPr>
          <w:rFonts w:ascii="Arial" w:cs="Arial" w:eastAsia="Arial" w:hAnsi="Arial"/>
          <w:sz w:val="13"/>
          <w:szCs w:val="13"/>
          <w:color w:val="auto"/>
        </w:rPr>
      </w:pPr>
    </w:p>
    <w:p>
      <w:pPr>
        <w:ind w:left="1120" w:hanging="484"/>
        <w:spacing w:after="0" w:line="269" w:lineRule="auto"/>
        <w:tabs>
          <w:tab w:leader="none" w:pos="1120" w:val="left"/>
        </w:tabs>
        <w:numPr>
          <w:ilvl w:val="0"/>
          <w:numId w:val="312"/>
        </w:numPr>
        <w:rPr>
          <w:rFonts w:ascii="Arial" w:cs="Arial" w:eastAsia="Arial" w:hAnsi="Arial"/>
          <w:sz w:val="13"/>
          <w:szCs w:val="13"/>
          <w:color w:val="auto"/>
        </w:rPr>
      </w:pPr>
      <w:r>
        <w:rPr>
          <w:rFonts w:ascii="Arial" w:cs="Arial" w:eastAsia="Arial" w:hAnsi="Arial"/>
          <w:sz w:val="13"/>
          <w:szCs w:val="13"/>
          <w:b w:val="1"/>
          <w:bCs w:val="1"/>
          <w:color w:val="auto"/>
        </w:rPr>
        <w:t xml:space="preserve">binding obligations: </w:t>
      </w:r>
      <w:r>
        <w:rPr>
          <w:rFonts w:ascii="Arial" w:cs="Arial" w:eastAsia="Arial" w:hAnsi="Arial"/>
          <w:sz w:val="13"/>
          <w:szCs w:val="13"/>
          <w:color w:val="auto"/>
        </w:rPr>
        <w:t>each Transaction Document constitutes the valid and legally binding obligations of, and is enforceable against it by the</w:t>
      </w:r>
      <w:r>
        <w:rPr>
          <w:rFonts w:ascii="Arial" w:cs="Arial" w:eastAsia="Arial" w:hAnsi="Arial"/>
          <w:sz w:val="13"/>
          <w:szCs w:val="13"/>
          <w:b w:val="1"/>
          <w:bCs w:val="1"/>
          <w:color w:val="auto"/>
        </w:rPr>
        <w:t xml:space="preserve"> </w:t>
      </w:r>
      <w:r>
        <w:rPr>
          <w:rFonts w:ascii="Arial" w:cs="Arial" w:eastAsia="Arial" w:hAnsi="Arial"/>
          <w:sz w:val="13"/>
          <w:szCs w:val="13"/>
          <w:color w:val="auto"/>
        </w:rPr>
        <w:t>Bank in accordance with its terms (subject to any necessary stamping or registration and to equitable principles and insolvency laws);</w:t>
      </w:r>
    </w:p>
    <w:p>
      <w:pPr>
        <w:spacing w:after="0" w:line="25" w:lineRule="exact"/>
        <w:rPr>
          <w:rFonts w:ascii="Arial" w:cs="Arial" w:eastAsia="Arial" w:hAnsi="Arial"/>
          <w:sz w:val="13"/>
          <w:szCs w:val="13"/>
          <w:color w:val="auto"/>
        </w:rPr>
      </w:pPr>
    </w:p>
    <w:p>
      <w:pPr>
        <w:ind w:left="1180" w:hanging="544"/>
        <w:spacing w:after="0" w:line="269" w:lineRule="auto"/>
        <w:tabs>
          <w:tab w:leader="none" w:pos="1180" w:val="left"/>
        </w:tabs>
        <w:numPr>
          <w:ilvl w:val="0"/>
          <w:numId w:val="312"/>
        </w:numPr>
        <w:rPr>
          <w:rFonts w:ascii="Arial" w:cs="Arial" w:eastAsia="Arial" w:hAnsi="Arial"/>
          <w:sz w:val="13"/>
          <w:szCs w:val="13"/>
          <w:color w:val="auto"/>
        </w:rPr>
      </w:pPr>
      <w:r>
        <w:rPr>
          <w:rFonts w:ascii="Arial" w:cs="Arial" w:eastAsia="Arial" w:hAnsi="Arial"/>
          <w:sz w:val="13"/>
          <w:szCs w:val="13"/>
          <w:b w:val="1"/>
          <w:bCs w:val="1"/>
          <w:color w:val="auto"/>
        </w:rPr>
        <w:t xml:space="preserve">priority: </w:t>
      </w:r>
      <w:r>
        <w:rPr>
          <w:rFonts w:ascii="Arial" w:cs="Arial" w:eastAsia="Arial" w:hAnsi="Arial"/>
          <w:sz w:val="13"/>
          <w:szCs w:val="13"/>
          <w:color w:val="auto"/>
        </w:rPr>
        <w:t>each Security Interest which each Transaction Document purports to create exists and has the priority which the Bank has agreed</w:t>
      </w:r>
      <w:r>
        <w:rPr>
          <w:rFonts w:ascii="Arial" w:cs="Arial" w:eastAsia="Arial" w:hAnsi="Arial"/>
          <w:sz w:val="13"/>
          <w:szCs w:val="13"/>
          <w:b w:val="1"/>
          <w:bCs w:val="1"/>
          <w:color w:val="auto"/>
        </w:rPr>
        <w:t xml:space="preserve"> </w:t>
      </w:r>
      <w:r>
        <w:rPr>
          <w:rFonts w:ascii="Arial" w:cs="Arial" w:eastAsia="Arial" w:hAnsi="Arial"/>
          <w:sz w:val="13"/>
          <w:szCs w:val="13"/>
          <w:color w:val="auto"/>
        </w:rPr>
        <w:t>to (subject to any necessary stamping and registration);</w:t>
      </w:r>
    </w:p>
    <w:p>
      <w:pPr>
        <w:spacing w:after="0" w:line="25" w:lineRule="exact"/>
        <w:rPr>
          <w:rFonts w:ascii="Arial" w:cs="Arial" w:eastAsia="Arial" w:hAnsi="Arial"/>
          <w:sz w:val="13"/>
          <w:szCs w:val="13"/>
          <w:color w:val="auto"/>
        </w:rPr>
      </w:pPr>
    </w:p>
    <w:p>
      <w:pPr>
        <w:ind w:left="1020" w:hanging="384"/>
        <w:spacing w:after="0" w:line="250" w:lineRule="auto"/>
        <w:tabs>
          <w:tab w:leader="none" w:pos="1020" w:val="left"/>
        </w:tabs>
        <w:numPr>
          <w:ilvl w:val="0"/>
          <w:numId w:val="312"/>
        </w:numPr>
        <w:rPr>
          <w:rFonts w:ascii="Arial" w:cs="Arial" w:eastAsia="Arial" w:hAnsi="Arial"/>
          <w:sz w:val="13"/>
          <w:szCs w:val="13"/>
          <w:color w:val="auto"/>
        </w:rPr>
      </w:pPr>
      <w:r>
        <w:rPr>
          <w:rFonts w:ascii="Arial" w:cs="Arial" w:eastAsia="Arial" w:hAnsi="Arial"/>
          <w:sz w:val="13"/>
          <w:szCs w:val="13"/>
          <w:b w:val="1"/>
          <w:bCs w:val="1"/>
          <w:color w:val="auto"/>
        </w:rPr>
        <w:t xml:space="preserve">authorisations: </w:t>
      </w:r>
      <w:r>
        <w:rPr>
          <w:rFonts w:ascii="Arial" w:cs="Arial" w:eastAsia="Arial" w:hAnsi="Arial"/>
          <w:sz w:val="13"/>
          <w:szCs w:val="13"/>
          <w:color w:val="auto"/>
        </w:rPr>
        <w:t>each authorisation from, and filing and registration with, a Government Body necessary to enable it to unconditionally execute</w:t>
      </w:r>
      <w:r>
        <w:rPr>
          <w:rFonts w:ascii="Arial" w:cs="Arial" w:eastAsia="Arial" w:hAnsi="Arial"/>
          <w:sz w:val="13"/>
          <w:szCs w:val="13"/>
          <w:b w:val="1"/>
          <w:bCs w:val="1"/>
          <w:color w:val="auto"/>
        </w:rPr>
        <w:t xml:space="preserve"> </w:t>
      </w:r>
      <w:r>
        <w:rPr>
          <w:rFonts w:ascii="Arial" w:cs="Arial" w:eastAsia="Arial" w:hAnsi="Arial"/>
          <w:sz w:val="13"/>
          <w:szCs w:val="13"/>
          <w:color w:val="auto"/>
        </w:rPr>
        <w:t>and deliver and comply with its obligations under the Transaction Documents to which it is a party has been obtained, effected and complied with;</w:t>
      </w:r>
    </w:p>
    <w:p>
      <w:pPr>
        <w:spacing w:after="0" w:line="28" w:lineRule="exact"/>
        <w:rPr>
          <w:rFonts w:ascii="Arial" w:cs="Arial" w:eastAsia="Arial" w:hAnsi="Arial"/>
          <w:sz w:val="13"/>
          <w:szCs w:val="13"/>
          <w:color w:val="auto"/>
        </w:rPr>
      </w:pPr>
    </w:p>
    <w:p>
      <w:pPr>
        <w:ind w:left="1060" w:right="40" w:hanging="424"/>
        <w:spacing w:after="0" w:line="269" w:lineRule="auto"/>
        <w:tabs>
          <w:tab w:leader="none" w:pos="1060" w:val="left"/>
        </w:tabs>
        <w:numPr>
          <w:ilvl w:val="0"/>
          <w:numId w:val="312"/>
        </w:numPr>
        <w:rPr>
          <w:rFonts w:ascii="Arial" w:cs="Arial" w:eastAsia="Arial" w:hAnsi="Arial"/>
          <w:sz w:val="13"/>
          <w:szCs w:val="13"/>
          <w:color w:val="auto"/>
        </w:rPr>
      </w:pPr>
      <w:r>
        <w:rPr>
          <w:rFonts w:ascii="Arial" w:cs="Arial" w:eastAsia="Arial" w:hAnsi="Arial"/>
          <w:sz w:val="13"/>
          <w:szCs w:val="13"/>
          <w:b w:val="1"/>
          <w:bCs w:val="1"/>
          <w:color w:val="auto"/>
        </w:rPr>
        <w:t xml:space="preserve">no contravention: </w:t>
      </w:r>
      <w:r>
        <w:rPr>
          <w:rFonts w:ascii="Arial" w:cs="Arial" w:eastAsia="Arial" w:hAnsi="Arial"/>
          <w:sz w:val="13"/>
          <w:szCs w:val="13"/>
          <w:color w:val="auto"/>
        </w:rPr>
        <w:t>the unconditional execution and delivery of, and compliance with its obligations by it under, the Transaction Documents to</w:t>
      </w:r>
      <w:r>
        <w:rPr>
          <w:rFonts w:ascii="Arial" w:cs="Arial" w:eastAsia="Arial" w:hAnsi="Arial"/>
          <w:sz w:val="13"/>
          <w:szCs w:val="13"/>
          <w:b w:val="1"/>
          <w:bCs w:val="1"/>
          <w:color w:val="auto"/>
        </w:rPr>
        <w:t xml:space="preserve"> </w:t>
      </w:r>
      <w:r>
        <w:rPr>
          <w:rFonts w:ascii="Arial" w:cs="Arial" w:eastAsia="Arial" w:hAnsi="Arial"/>
          <w:sz w:val="13"/>
          <w:szCs w:val="13"/>
          <w:color w:val="auto"/>
        </w:rPr>
        <w:t>which it is a party do not:</w:t>
      </w:r>
    </w:p>
    <w:p>
      <w:pPr>
        <w:spacing w:after="0" w:line="41" w:lineRule="exact"/>
        <w:rPr>
          <w:rFonts w:ascii="Arial" w:cs="Arial" w:eastAsia="Arial" w:hAnsi="Arial"/>
          <w:sz w:val="13"/>
          <w:szCs w:val="13"/>
          <w:color w:val="auto"/>
        </w:rPr>
      </w:pPr>
    </w:p>
    <w:p>
      <w:pPr>
        <w:ind w:left="1400" w:right="80" w:hanging="412"/>
        <w:spacing w:after="0" w:line="244" w:lineRule="auto"/>
        <w:tabs>
          <w:tab w:leader="none" w:pos="1400" w:val="left"/>
        </w:tabs>
        <w:numPr>
          <w:ilvl w:val="1"/>
          <w:numId w:val="312"/>
        </w:numPr>
        <w:rPr>
          <w:rFonts w:ascii="Arial" w:cs="Arial" w:eastAsia="Arial" w:hAnsi="Arial"/>
          <w:sz w:val="13"/>
          <w:szCs w:val="13"/>
          <w:color w:val="auto"/>
        </w:rPr>
      </w:pPr>
      <w:r>
        <w:rPr>
          <w:rFonts w:ascii="Arial" w:cs="Arial" w:eastAsia="Arial" w:hAnsi="Arial"/>
          <w:sz w:val="13"/>
          <w:szCs w:val="13"/>
          <w:color w:val="auto"/>
        </w:rPr>
        <w:t>contravene any law to which it or any of its property is subject or any order or directive from a Government Body binding on it or any of its property;</w:t>
      </w:r>
    </w:p>
    <w:p>
      <w:pPr>
        <w:spacing w:after="0" w:line="56" w:lineRule="exact"/>
        <w:rPr>
          <w:rFonts w:ascii="Arial" w:cs="Arial" w:eastAsia="Arial" w:hAnsi="Arial"/>
          <w:sz w:val="13"/>
          <w:szCs w:val="13"/>
          <w:color w:val="auto"/>
        </w:rPr>
      </w:pPr>
    </w:p>
    <w:p>
      <w:pPr>
        <w:ind w:left="1580" w:hanging="592"/>
        <w:spacing w:after="0"/>
        <w:tabs>
          <w:tab w:leader="none" w:pos="1580" w:val="left"/>
        </w:tabs>
        <w:numPr>
          <w:ilvl w:val="1"/>
          <w:numId w:val="312"/>
        </w:numPr>
        <w:rPr>
          <w:rFonts w:ascii="Arial" w:cs="Arial" w:eastAsia="Arial" w:hAnsi="Arial"/>
          <w:sz w:val="13"/>
          <w:szCs w:val="13"/>
          <w:color w:val="auto"/>
        </w:rPr>
      </w:pPr>
      <w:r>
        <w:rPr>
          <w:rFonts w:ascii="Arial" w:cs="Arial" w:eastAsia="Arial" w:hAnsi="Arial"/>
          <w:sz w:val="13"/>
          <w:szCs w:val="13"/>
          <w:color w:val="auto"/>
        </w:rPr>
        <w:t>contravene its constituent documents;</w:t>
      </w:r>
    </w:p>
    <w:p>
      <w:pPr>
        <w:spacing w:after="0" w:line="84" w:lineRule="exact"/>
        <w:rPr>
          <w:rFonts w:ascii="Arial" w:cs="Arial" w:eastAsia="Arial" w:hAnsi="Arial"/>
          <w:sz w:val="13"/>
          <w:szCs w:val="13"/>
          <w:color w:val="auto"/>
        </w:rPr>
      </w:pPr>
    </w:p>
    <w:p>
      <w:pPr>
        <w:ind w:left="1460" w:hanging="472"/>
        <w:spacing w:after="0"/>
        <w:tabs>
          <w:tab w:leader="none" w:pos="1460" w:val="left"/>
        </w:tabs>
        <w:numPr>
          <w:ilvl w:val="1"/>
          <w:numId w:val="312"/>
        </w:numPr>
        <w:rPr>
          <w:rFonts w:ascii="Arial" w:cs="Arial" w:eastAsia="Arial" w:hAnsi="Arial"/>
          <w:sz w:val="13"/>
          <w:szCs w:val="13"/>
          <w:color w:val="auto"/>
        </w:rPr>
      </w:pPr>
      <w:r>
        <w:rPr>
          <w:rFonts w:ascii="Arial" w:cs="Arial" w:eastAsia="Arial" w:hAnsi="Arial"/>
          <w:sz w:val="13"/>
          <w:szCs w:val="13"/>
          <w:color w:val="auto"/>
        </w:rPr>
        <w:t>contravene any agreement or instrument to which it is a party;</w:t>
      </w:r>
    </w:p>
    <w:p>
      <w:pPr>
        <w:spacing w:after="0" w:line="75" w:lineRule="exact"/>
        <w:rPr>
          <w:rFonts w:ascii="Arial" w:cs="Arial" w:eastAsia="Arial" w:hAnsi="Arial"/>
          <w:sz w:val="13"/>
          <w:szCs w:val="13"/>
          <w:color w:val="auto"/>
        </w:rPr>
      </w:pPr>
    </w:p>
    <w:p>
      <w:pPr>
        <w:ind w:left="1520" w:hanging="532"/>
        <w:spacing w:after="0"/>
        <w:tabs>
          <w:tab w:leader="none" w:pos="1520" w:val="left"/>
        </w:tabs>
        <w:numPr>
          <w:ilvl w:val="1"/>
          <w:numId w:val="312"/>
        </w:numPr>
        <w:rPr>
          <w:rFonts w:ascii="Arial" w:cs="Arial" w:eastAsia="Arial" w:hAnsi="Arial"/>
          <w:sz w:val="13"/>
          <w:szCs w:val="13"/>
          <w:color w:val="auto"/>
        </w:rPr>
      </w:pPr>
      <w:r>
        <w:rPr>
          <w:rFonts w:ascii="Arial" w:cs="Arial" w:eastAsia="Arial" w:hAnsi="Arial"/>
          <w:sz w:val="13"/>
          <w:szCs w:val="13"/>
          <w:color w:val="auto"/>
        </w:rPr>
        <w:t>contravene any obligation it has to any other person; or</w:t>
      </w:r>
    </w:p>
    <w:p>
      <w:pPr>
        <w:spacing w:after="0" w:line="84" w:lineRule="exact"/>
        <w:rPr>
          <w:rFonts w:ascii="Arial" w:cs="Arial" w:eastAsia="Arial" w:hAnsi="Arial"/>
          <w:sz w:val="13"/>
          <w:szCs w:val="13"/>
          <w:color w:val="auto"/>
        </w:rPr>
      </w:pPr>
    </w:p>
    <w:p>
      <w:pPr>
        <w:ind w:left="2120" w:right="520" w:hanging="1132"/>
        <w:spacing w:after="0" w:line="244" w:lineRule="auto"/>
        <w:tabs>
          <w:tab w:leader="none" w:pos="2120" w:val="left"/>
        </w:tabs>
        <w:numPr>
          <w:ilvl w:val="1"/>
          <w:numId w:val="312"/>
        </w:numPr>
        <w:rPr>
          <w:rFonts w:ascii="Arial" w:cs="Arial" w:eastAsia="Arial" w:hAnsi="Arial"/>
          <w:sz w:val="13"/>
          <w:szCs w:val="13"/>
          <w:color w:val="auto"/>
        </w:rPr>
      </w:pPr>
      <w:r>
        <w:rPr>
          <w:rFonts w:ascii="Arial" w:cs="Arial" w:eastAsia="Arial" w:hAnsi="Arial"/>
          <w:sz w:val="13"/>
          <w:szCs w:val="13"/>
          <w:color w:val="auto"/>
        </w:rPr>
        <w:t>require it to make any payment or delivery in relation to any Financial Indebtedness (other than Excluded Financial Indebtedness) before the scheduled date for that payment or delivery;</w:t>
      </w:r>
    </w:p>
    <w:p>
      <w:pPr>
        <w:spacing w:after="0" w:line="40" w:lineRule="exact"/>
        <w:rPr>
          <w:rFonts w:ascii="Arial" w:cs="Arial" w:eastAsia="Arial" w:hAnsi="Arial"/>
          <w:sz w:val="13"/>
          <w:szCs w:val="13"/>
          <w:color w:val="auto"/>
        </w:rPr>
      </w:pPr>
    </w:p>
    <w:p>
      <w:pPr>
        <w:ind w:left="1140" w:right="400" w:hanging="504"/>
        <w:spacing w:after="0" w:line="269" w:lineRule="auto"/>
        <w:tabs>
          <w:tab w:leader="none" w:pos="1140" w:val="left"/>
        </w:tabs>
        <w:numPr>
          <w:ilvl w:val="0"/>
          <w:numId w:val="312"/>
        </w:numPr>
        <w:rPr>
          <w:rFonts w:ascii="Arial" w:cs="Arial" w:eastAsia="Arial" w:hAnsi="Arial"/>
          <w:sz w:val="13"/>
          <w:szCs w:val="13"/>
          <w:color w:val="auto"/>
        </w:rPr>
      </w:pPr>
      <w:r>
        <w:rPr>
          <w:rFonts w:ascii="Arial" w:cs="Arial" w:eastAsia="Arial" w:hAnsi="Arial"/>
          <w:sz w:val="13"/>
          <w:szCs w:val="13"/>
          <w:b w:val="1"/>
          <w:bCs w:val="1"/>
          <w:color w:val="auto"/>
        </w:rPr>
        <w:t xml:space="preserve">correct information: </w:t>
      </w:r>
      <w:r>
        <w:rPr>
          <w:rFonts w:ascii="Arial" w:cs="Arial" w:eastAsia="Arial" w:hAnsi="Arial"/>
          <w:sz w:val="13"/>
          <w:szCs w:val="13"/>
          <w:color w:val="auto"/>
        </w:rPr>
        <w:t>all information given and each statement made to any Bank by it or at its direction in relation to the Transaction</w:t>
      </w:r>
      <w:r>
        <w:rPr>
          <w:rFonts w:ascii="Arial" w:cs="Arial" w:eastAsia="Arial" w:hAnsi="Arial"/>
          <w:sz w:val="13"/>
          <w:szCs w:val="13"/>
          <w:b w:val="1"/>
          <w:bCs w:val="1"/>
          <w:color w:val="auto"/>
        </w:rPr>
        <w:t xml:space="preserve"> </w:t>
      </w:r>
      <w:r>
        <w:rPr>
          <w:rFonts w:ascii="Arial" w:cs="Arial" w:eastAsia="Arial" w:hAnsi="Arial"/>
          <w:sz w:val="13"/>
          <w:szCs w:val="13"/>
          <w:color w:val="auto"/>
        </w:rPr>
        <w:t>Documents, is correct, complete and not misleading;</w:t>
      </w:r>
    </w:p>
    <w:p>
      <w:pPr>
        <w:spacing w:after="0" w:line="25" w:lineRule="exact"/>
        <w:rPr>
          <w:rFonts w:ascii="Arial" w:cs="Arial" w:eastAsia="Arial" w:hAnsi="Arial"/>
          <w:sz w:val="13"/>
          <w:szCs w:val="13"/>
          <w:color w:val="auto"/>
        </w:rPr>
      </w:pPr>
    </w:p>
    <w:p>
      <w:pPr>
        <w:ind w:left="1200" w:right="120" w:hanging="564"/>
        <w:spacing w:after="0" w:line="269" w:lineRule="auto"/>
        <w:tabs>
          <w:tab w:leader="none" w:pos="1200" w:val="left"/>
        </w:tabs>
        <w:numPr>
          <w:ilvl w:val="0"/>
          <w:numId w:val="312"/>
        </w:numPr>
        <w:rPr>
          <w:rFonts w:ascii="Arial" w:cs="Arial" w:eastAsia="Arial" w:hAnsi="Arial"/>
          <w:sz w:val="13"/>
          <w:szCs w:val="13"/>
          <w:color w:val="auto"/>
        </w:rPr>
      </w:pPr>
      <w:r>
        <w:rPr>
          <w:rFonts w:ascii="Arial" w:cs="Arial" w:eastAsia="Arial" w:hAnsi="Arial"/>
          <w:sz w:val="13"/>
          <w:szCs w:val="13"/>
          <w:b w:val="1"/>
          <w:bCs w:val="1"/>
          <w:color w:val="auto"/>
        </w:rPr>
        <w:t xml:space="preserve">full disclosure: </w:t>
      </w:r>
      <w:r>
        <w:rPr>
          <w:rFonts w:ascii="Arial" w:cs="Arial" w:eastAsia="Arial" w:hAnsi="Arial"/>
          <w:sz w:val="13"/>
          <w:szCs w:val="13"/>
          <w:color w:val="auto"/>
        </w:rPr>
        <w:t>it has disclosed to the Bank all information which the Borrower has or has access to and which is relevant to the</w:t>
      </w:r>
      <w:r>
        <w:rPr>
          <w:rFonts w:ascii="Arial" w:cs="Arial" w:eastAsia="Arial" w:hAnsi="Arial"/>
          <w:sz w:val="13"/>
          <w:szCs w:val="13"/>
          <w:b w:val="1"/>
          <w:bCs w:val="1"/>
          <w:color w:val="auto"/>
        </w:rPr>
        <w:t xml:space="preserve"> </w:t>
      </w:r>
      <w:r>
        <w:rPr>
          <w:rFonts w:ascii="Arial" w:cs="Arial" w:eastAsia="Arial" w:hAnsi="Arial"/>
          <w:sz w:val="13"/>
          <w:szCs w:val="13"/>
          <w:color w:val="auto"/>
        </w:rPr>
        <w:t>assessment by the Bank of the nature and amount of the risks undertaken by the Bank becoming a creditor of or taking a Security from it;</w:t>
      </w:r>
    </w:p>
    <w:p>
      <w:pPr>
        <w:spacing w:after="0" w:line="12" w:lineRule="exact"/>
        <w:rPr>
          <w:rFonts w:ascii="Arial" w:cs="Arial" w:eastAsia="Arial" w:hAnsi="Arial"/>
          <w:sz w:val="13"/>
          <w:szCs w:val="13"/>
          <w:color w:val="auto"/>
        </w:rPr>
      </w:pPr>
    </w:p>
    <w:p>
      <w:pPr>
        <w:ind w:left="1160" w:hanging="524"/>
        <w:spacing w:after="0"/>
        <w:tabs>
          <w:tab w:leader="none" w:pos="1160" w:val="left"/>
        </w:tabs>
        <w:numPr>
          <w:ilvl w:val="0"/>
          <w:numId w:val="312"/>
        </w:numPr>
        <w:rPr>
          <w:rFonts w:ascii="Arial" w:cs="Arial" w:eastAsia="Arial" w:hAnsi="Arial"/>
          <w:sz w:val="13"/>
          <w:szCs w:val="13"/>
          <w:color w:val="auto"/>
        </w:rPr>
      </w:pPr>
      <w:r>
        <w:rPr>
          <w:rFonts w:ascii="Arial" w:cs="Arial" w:eastAsia="Arial" w:hAnsi="Arial"/>
          <w:sz w:val="13"/>
          <w:szCs w:val="13"/>
          <w:b w:val="1"/>
          <w:bCs w:val="1"/>
          <w:color w:val="auto"/>
        </w:rPr>
        <w:t xml:space="preserve">Financial Statements: </w:t>
      </w:r>
      <w:r>
        <w:rPr>
          <w:rFonts w:ascii="Arial" w:cs="Arial" w:eastAsia="Arial" w:hAnsi="Arial"/>
          <w:sz w:val="13"/>
          <w:szCs w:val="13"/>
          <w:color w:val="auto"/>
        </w:rPr>
        <w:t>the Financial Statements of each of Transaction Party given to the Bank under</w:t>
      </w:r>
      <w:r>
        <w:rPr>
          <w:rFonts w:ascii="Arial" w:cs="Arial" w:eastAsia="Arial" w:hAnsi="Arial"/>
          <w:sz w:val="13"/>
          <w:szCs w:val="13"/>
          <w:b w:val="1"/>
          <w:bCs w:val="1"/>
          <w:color w:val="auto"/>
        </w:rPr>
        <w:t xml:space="preserve"> clause 9.3</w:t>
      </w:r>
      <w:r>
        <w:rPr>
          <w:rFonts w:ascii="Arial" w:cs="Arial" w:eastAsia="Arial" w:hAnsi="Arial"/>
          <w:sz w:val="13"/>
          <w:szCs w:val="13"/>
          <w:color w:val="auto"/>
        </w:rPr>
        <w:t>:</w:t>
      </w:r>
    </w:p>
    <w:p>
      <w:pPr>
        <w:spacing w:after="0" w:line="77" w:lineRule="exact"/>
        <w:rPr>
          <w:rFonts w:ascii="Arial" w:cs="Arial" w:eastAsia="Arial" w:hAnsi="Arial"/>
          <w:sz w:val="13"/>
          <w:szCs w:val="13"/>
          <w:color w:val="auto"/>
        </w:rPr>
      </w:pPr>
    </w:p>
    <w:p>
      <w:pPr>
        <w:ind w:left="1520" w:right="460" w:hanging="532"/>
        <w:spacing w:after="0" w:line="244" w:lineRule="auto"/>
        <w:tabs>
          <w:tab w:leader="none" w:pos="1520" w:val="left"/>
        </w:tabs>
        <w:numPr>
          <w:ilvl w:val="1"/>
          <w:numId w:val="312"/>
        </w:numPr>
        <w:rPr>
          <w:rFonts w:ascii="Arial" w:cs="Arial" w:eastAsia="Arial" w:hAnsi="Arial"/>
          <w:sz w:val="13"/>
          <w:szCs w:val="13"/>
          <w:color w:val="auto"/>
        </w:rPr>
      </w:pPr>
      <w:r>
        <w:rPr>
          <w:rFonts w:ascii="Arial" w:cs="Arial" w:eastAsia="Arial" w:hAnsi="Arial"/>
          <w:sz w:val="13"/>
          <w:szCs w:val="13"/>
          <w:color w:val="auto"/>
        </w:rPr>
        <w:t>are a true, fair and accurate statement of their respective financial performance and position and their respective consolidated financial performance and position at the date to which they are prepared; and</w:t>
      </w:r>
    </w:p>
    <w:p>
      <w:pPr>
        <w:spacing w:after="0" w:line="36" w:lineRule="exact"/>
        <w:rPr>
          <w:rFonts w:ascii="Arial" w:cs="Arial" w:eastAsia="Arial" w:hAnsi="Arial"/>
          <w:sz w:val="13"/>
          <w:szCs w:val="13"/>
          <w:color w:val="auto"/>
        </w:rPr>
      </w:pPr>
    </w:p>
    <w:p>
      <w:pPr>
        <w:ind w:left="1420" w:hanging="432"/>
        <w:spacing w:after="0"/>
        <w:tabs>
          <w:tab w:leader="none" w:pos="1420" w:val="left"/>
        </w:tabs>
        <w:numPr>
          <w:ilvl w:val="1"/>
          <w:numId w:val="312"/>
        </w:numPr>
        <w:rPr>
          <w:rFonts w:ascii="Arial" w:cs="Arial" w:eastAsia="Arial" w:hAnsi="Arial"/>
          <w:sz w:val="13"/>
          <w:szCs w:val="13"/>
          <w:color w:val="auto"/>
        </w:rPr>
      </w:pPr>
      <w:r>
        <w:rPr>
          <w:rFonts w:ascii="Arial" w:cs="Arial" w:eastAsia="Arial" w:hAnsi="Arial"/>
          <w:sz w:val="13"/>
          <w:szCs w:val="13"/>
          <w:color w:val="auto"/>
        </w:rPr>
        <w:t xml:space="preserve">have been prepared in accordance with </w:t>
      </w:r>
      <w:r>
        <w:rPr>
          <w:rFonts w:ascii="Arial" w:cs="Arial" w:eastAsia="Arial" w:hAnsi="Arial"/>
          <w:sz w:val="13"/>
          <w:szCs w:val="13"/>
          <w:b w:val="1"/>
          <w:bCs w:val="1"/>
          <w:color w:val="auto"/>
        </w:rPr>
        <w:t>clause 9.2 and 9.3</w:t>
      </w:r>
      <w:r>
        <w:rPr>
          <w:rFonts w:ascii="Arial" w:cs="Arial" w:eastAsia="Arial" w:hAnsi="Arial"/>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180975</wp:posOffset>
            </wp:positionV>
            <wp:extent cx="6208395"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208395" cy="42545"/>
                    </a:xfrm>
                    <a:prstGeom prst="rect">
                      <a:avLst/>
                    </a:prstGeom>
                    <a:noFill/>
                  </pic:spPr>
                </pic:pic>
              </a:graphicData>
            </a:graphic>
          </wp:anchor>
        </w:drawing>
      </w:r>
    </w:p>
    <w:p>
      <w:pPr>
        <w:sectPr>
          <w:pgSz w:w="11900" w:h="16838" w:orient="portrait"/>
          <w:cols w:equalWidth="0" w:num="1">
            <w:col w:w="9320"/>
          </w:cols>
          <w:pgMar w:left="1440" w:top="544" w:right="1139" w:bottom="1440" w:gutter="0" w:footer="0" w:header="0"/>
        </w:sectPr>
      </w:pPr>
    </w:p>
    <w:bookmarkStart w:id="252" w:name="page253"/>
    <w:bookmarkEnd w:id="252"/>
    <w:p>
      <w:pPr>
        <w:ind w:left="1320"/>
        <w:spacing w:after="0"/>
        <w:rPr>
          <w:sz w:val="20"/>
          <w:szCs w:val="20"/>
          <w:color w:val="auto"/>
        </w:rPr>
      </w:pPr>
      <w:r>
        <w:rPr>
          <w:rFonts w:ascii="Arial" w:cs="Arial" w:eastAsia="Arial" w:hAnsi="Arial"/>
          <w:sz w:val="13"/>
          <w:szCs w:val="13"/>
          <w:color w:val="auto"/>
        </w:rPr>
        <w:t>except for such departures expressly disclosed in those Financial Statements;</w:t>
      </w:r>
    </w:p>
    <w:p>
      <w:pPr>
        <w:spacing w:after="0" w:line="51" w:lineRule="exact"/>
        <w:rPr>
          <w:sz w:val="20"/>
          <w:szCs w:val="20"/>
          <w:color w:val="auto"/>
        </w:rPr>
      </w:pPr>
    </w:p>
    <w:p>
      <w:pPr>
        <w:ind w:left="1080" w:right="40" w:hanging="444"/>
        <w:spacing w:after="0" w:line="269" w:lineRule="auto"/>
        <w:tabs>
          <w:tab w:leader="none" w:pos="1080" w:val="left"/>
        </w:tabs>
        <w:numPr>
          <w:ilvl w:val="0"/>
          <w:numId w:val="313"/>
        </w:numPr>
        <w:rPr>
          <w:rFonts w:ascii="Arial" w:cs="Arial" w:eastAsia="Arial" w:hAnsi="Arial"/>
          <w:sz w:val="13"/>
          <w:szCs w:val="13"/>
          <w:color w:val="auto"/>
        </w:rPr>
      </w:pPr>
      <w:r>
        <w:rPr>
          <w:rFonts w:ascii="Arial" w:cs="Arial" w:eastAsia="Arial" w:hAnsi="Arial"/>
          <w:sz w:val="13"/>
          <w:szCs w:val="13"/>
          <w:b w:val="1"/>
          <w:bCs w:val="1"/>
          <w:color w:val="auto"/>
        </w:rPr>
        <w:t xml:space="preserve">no change in financial position: </w:t>
      </w:r>
      <w:r>
        <w:rPr>
          <w:rFonts w:ascii="Arial" w:cs="Arial" w:eastAsia="Arial" w:hAnsi="Arial"/>
          <w:sz w:val="13"/>
          <w:szCs w:val="13"/>
          <w:color w:val="auto"/>
        </w:rPr>
        <w:t>there has been no change in the financial performance or position of a Transaction Party since the date to</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which the last Financial Statements given to the Bank under </w:t>
      </w:r>
      <w:r>
        <w:rPr>
          <w:rFonts w:ascii="Arial" w:cs="Arial" w:eastAsia="Arial" w:hAnsi="Arial"/>
          <w:sz w:val="13"/>
          <w:szCs w:val="13"/>
          <w:b w:val="1"/>
          <w:bCs w:val="1"/>
          <w:color w:val="auto"/>
        </w:rPr>
        <w:t>clause 9.3</w:t>
      </w:r>
      <w:r>
        <w:rPr>
          <w:rFonts w:ascii="Arial" w:cs="Arial" w:eastAsia="Arial" w:hAnsi="Arial"/>
          <w:sz w:val="13"/>
          <w:szCs w:val="13"/>
          <w:color w:val="auto"/>
        </w:rPr>
        <w:t xml:space="preserve"> were prepared, which has a Material Adverse Effect;</w:t>
      </w:r>
    </w:p>
    <w:p>
      <w:pPr>
        <w:spacing w:after="0" w:line="25" w:lineRule="exact"/>
        <w:rPr>
          <w:rFonts w:ascii="Arial" w:cs="Arial" w:eastAsia="Arial" w:hAnsi="Arial"/>
          <w:sz w:val="13"/>
          <w:szCs w:val="13"/>
          <w:color w:val="auto"/>
        </w:rPr>
      </w:pPr>
    </w:p>
    <w:p>
      <w:pPr>
        <w:ind w:left="1620" w:right="360" w:hanging="984"/>
        <w:spacing w:after="0" w:line="269" w:lineRule="auto"/>
        <w:tabs>
          <w:tab w:leader="none" w:pos="1620" w:val="left"/>
        </w:tabs>
        <w:numPr>
          <w:ilvl w:val="0"/>
          <w:numId w:val="313"/>
        </w:numPr>
        <w:rPr>
          <w:rFonts w:ascii="Arial" w:cs="Arial" w:eastAsia="Arial" w:hAnsi="Arial"/>
          <w:sz w:val="13"/>
          <w:szCs w:val="13"/>
          <w:color w:val="auto"/>
        </w:rPr>
      </w:pPr>
      <w:r>
        <w:rPr>
          <w:rFonts w:ascii="Arial" w:cs="Arial" w:eastAsia="Arial" w:hAnsi="Arial"/>
          <w:sz w:val="13"/>
          <w:szCs w:val="13"/>
          <w:b w:val="1"/>
          <w:bCs w:val="1"/>
          <w:color w:val="auto"/>
        </w:rPr>
        <w:t xml:space="preserve">no related party transaction: </w:t>
      </w:r>
      <w:r>
        <w:rPr>
          <w:rFonts w:ascii="Arial" w:cs="Arial" w:eastAsia="Arial" w:hAnsi="Arial"/>
          <w:sz w:val="13"/>
          <w:szCs w:val="13"/>
          <w:color w:val="auto"/>
        </w:rPr>
        <w:t>no person has contravened or will contravene sections 208 or 209 of the Corporations Act due</w:t>
      </w:r>
      <w:r>
        <w:rPr>
          <w:rFonts w:ascii="Arial" w:cs="Arial" w:eastAsia="Arial" w:hAnsi="Arial"/>
          <w:sz w:val="13"/>
          <w:szCs w:val="13"/>
          <w:b w:val="1"/>
          <w:bCs w:val="1"/>
          <w:color w:val="auto"/>
        </w:rPr>
        <w:t xml:space="preserve"> </w:t>
      </w:r>
      <w:r>
        <w:rPr>
          <w:rFonts w:ascii="Arial" w:cs="Arial" w:eastAsia="Arial" w:hAnsi="Arial"/>
          <w:sz w:val="13"/>
          <w:szCs w:val="13"/>
          <w:color w:val="auto"/>
        </w:rPr>
        <w:t>to a Transaction Party entering into or performing its obligations under a Transaction Document;</w:t>
      </w:r>
    </w:p>
    <w:p>
      <w:pPr>
        <w:spacing w:after="0" w:line="25" w:lineRule="exact"/>
        <w:rPr>
          <w:rFonts w:ascii="Arial" w:cs="Arial" w:eastAsia="Arial" w:hAnsi="Arial"/>
          <w:sz w:val="13"/>
          <w:szCs w:val="13"/>
          <w:color w:val="auto"/>
        </w:rPr>
      </w:pPr>
    </w:p>
    <w:p>
      <w:pPr>
        <w:ind w:left="1140" w:right="80" w:hanging="504"/>
        <w:spacing w:after="0" w:line="250" w:lineRule="auto"/>
        <w:tabs>
          <w:tab w:leader="none" w:pos="1140" w:val="left"/>
        </w:tabs>
        <w:numPr>
          <w:ilvl w:val="0"/>
          <w:numId w:val="313"/>
        </w:numPr>
        <w:rPr>
          <w:rFonts w:ascii="Arial" w:cs="Arial" w:eastAsia="Arial" w:hAnsi="Arial"/>
          <w:sz w:val="13"/>
          <w:szCs w:val="13"/>
          <w:color w:val="auto"/>
        </w:rPr>
      </w:pPr>
      <w:r>
        <w:rPr>
          <w:rFonts w:ascii="Arial" w:cs="Arial" w:eastAsia="Arial" w:hAnsi="Arial"/>
          <w:sz w:val="13"/>
          <w:szCs w:val="13"/>
          <w:b w:val="1"/>
          <w:bCs w:val="1"/>
          <w:color w:val="auto"/>
        </w:rPr>
        <w:t xml:space="preserve">no proceeding: </w:t>
      </w:r>
      <w:r>
        <w:rPr>
          <w:rFonts w:ascii="Arial" w:cs="Arial" w:eastAsia="Arial" w:hAnsi="Arial"/>
          <w:sz w:val="13"/>
          <w:szCs w:val="13"/>
          <w:color w:val="auto"/>
        </w:rPr>
        <w:t>except as notified to the Bank in writing before the date of this document, no litigation, arbitration or administrative</w:t>
      </w:r>
      <w:r>
        <w:rPr>
          <w:rFonts w:ascii="Arial" w:cs="Arial" w:eastAsia="Arial" w:hAnsi="Arial"/>
          <w:sz w:val="13"/>
          <w:szCs w:val="13"/>
          <w:b w:val="1"/>
          <w:bCs w:val="1"/>
          <w:color w:val="auto"/>
        </w:rPr>
        <w:t xml:space="preserve"> </w:t>
      </w:r>
      <w:r>
        <w:rPr>
          <w:rFonts w:ascii="Arial" w:cs="Arial" w:eastAsia="Arial" w:hAnsi="Arial"/>
          <w:sz w:val="13"/>
          <w:szCs w:val="13"/>
          <w:color w:val="auto"/>
        </w:rPr>
        <w:t>proceeding is current, pending or, to the knowledge of the Borrower, threatened, which has, or the adverse determination of which would be likely to have, a Material Adverse Effect;</w:t>
      </w:r>
    </w:p>
    <w:p>
      <w:pPr>
        <w:spacing w:after="0" w:line="37" w:lineRule="exact"/>
        <w:rPr>
          <w:rFonts w:ascii="Arial" w:cs="Arial" w:eastAsia="Arial" w:hAnsi="Arial"/>
          <w:sz w:val="13"/>
          <w:szCs w:val="13"/>
          <w:color w:val="auto"/>
        </w:rPr>
      </w:pPr>
    </w:p>
    <w:p>
      <w:pPr>
        <w:ind w:left="1140" w:hanging="504"/>
        <w:spacing w:after="0" w:line="269" w:lineRule="auto"/>
        <w:tabs>
          <w:tab w:leader="none" w:pos="1140" w:val="left"/>
        </w:tabs>
        <w:numPr>
          <w:ilvl w:val="0"/>
          <w:numId w:val="313"/>
        </w:numPr>
        <w:rPr>
          <w:rFonts w:ascii="Arial" w:cs="Arial" w:eastAsia="Arial" w:hAnsi="Arial"/>
          <w:sz w:val="13"/>
          <w:szCs w:val="13"/>
          <w:color w:val="auto"/>
        </w:rPr>
      </w:pPr>
      <w:r>
        <w:rPr>
          <w:rFonts w:ascii="Arial" w:cs="Arial" w:eastAsia="Arial" w:hAnsi="Arial"/>
          <w:sz w:val="13"/>
          <w:szCs w:val="13"/>
          <w:b w:val="1"/>
          <w:bCs w:val="1"/>
          <w:color w:val="auto"/>
        </w:rPr>
        <w:t xml:space="preserve">no trust: </w:t>
      </w:r>
      <w:r>
        <w:rPr>
          <w:rFonts w:ascii="Arial" w:cs="Arial" w:eastAsia="Arial" w:hAnsi="Arial"/>
          <w:sz w:val="13"/>
          <w:szCs w:val="13"/>
          <w:color w:val="auto"/>
        </w:rPr>
        <w:t>except as notified to the Bank in writing before the date of this document, no Transaction Party enters into a Transaction</w:t>
      </w:r>
      <w:r>
        <w:rPr>
          <w:rFonts w:ascii="Arial" w:cs="Arial" w:eastAsia="Arial" w:hAnsi="Arial"/>
          <w:sz w:val="13"/>
          <w:szCs w:val="13"/>
          <w:b w:val="1"/>
          <w:bCs w:val="1"/>
          <w:color w:val="auto"/>
        </w:rPr>
        <w:t xml:space="preserve"> </w:t>
      </w:r>
      <w:r>
        <w:rPr>
          <w:rFonts w:ascii="Arial" w:cs="Arial" w:eastAsia="Arial" w:hAnsi="Arial"/>
          <w:sz w:val="13"/>
          <w:szCs w:val="13"/>
          <w:color w:val="auto"/>
        </w:rPr>
        <w:t>Document as trustee of any trust;</w:t>
      </w:r>
    </w:p>
    <w:p>
      <w:pPr>
        <w:spacing w:after="0" w:line="21" w:lineRule="exact"/>
        <w:rPr>
          <w:rFonts w:ascii="Arial" w:cs="Arial" w:eastAsia="Arial" w:hAnsi="Arial"/>
          <w:sz w:val="13"/>
          <w:szCs w:val="13"/>
          <w:color w:val="auto"/>
        </w:rPr>
      </w:pPr>
    </w:p>
    <w:p>
      <w:pPr>
        <w:ind w:left="1440" w:hanging="804"/>
        <w:spacing w:after="0"/>
        <w:tabs>
          <w:tab w:leader="none" w:pos="1440" w:val="left"/>
        </w:tabs>
        <w:numPr>
          <w:ilvl w:val="0"/>
          <w:numId w:val="313"/>
        </w:numPr>
        <w:rPr>
          <w:rFonts w:ascii="Arial" w:cs="Arial" w:eastAsia="Arial" w:hAnsi="Arial"/>
          <w:sz w:val="13"/>
          <w:szCs w:val="13"/>
          <w:color w:val="auto"/>
        </w:rPr>
      </w:pPr>
      <w:r>
        <w:rPr>
          <w:rFonts w:ascii="Arial" w:cs="Arial" w:eastAsia="Arial" w:hAnsi="Arial"/>
          <w:sz w:val="13"/>
          <w:szCs w:val="13"/>
          <w:b w:val="1"/>
          <w:bCs w:val="1"/>
          <w:color w:val="auto"/>
        </w:rPr>
        <w:t xml:space="preserve">sole owner and no Encumbrances: </w:t>
      </w:r>
      <w:r>
        <w:rPr>
          <w:rFonts w:ascii="Arial" w:cs="Arial" w:eastAsia="Arial" w:hAnsi="Arial"/>
          <w:sz w:val="13"/>
          <w:szCs w:val="13"/>
          <w:color w:val="auto"/>
        </w:rPr>
        <w:t>except as notified to the Bank in writing before the date of this document:</w:t>
      </w:r>
    </w:p>
    <w:p>
      <w:pPr>
        <w:spacing w:after="0" w:line="77" w:lineRule="exact"/>
        <w:rPr>
          <w:rFonts w:ascii="Arial" w:cs="Arial" w:eastAsia="Arial" w:hAnsi="Arial"/>
          <w:sz w:val="13"/>
          <w:szCs w:val="13"/>
          <w:color w:val="auto"/>
        </w:rPr>
      </w:pPr>
    </w:p>
    <w:p>
      <w:pPr>
        <w:ind w:left="1480" w:hanging="492"/>
        <w:spacing w:after="0"/>
        <w:tabs>
          <w:tab w:leader="none" w:pos="1480" w:val="left"/>
        </w:tabs>
        <w:numPr>
          <w:ilvl w:val="1"/>
          <w:numId w:val="313"/>
        </w:numPr>
        <w:rPr>
          <w:rFonts w:ascii="Arial" w:cs="Arial" w:eastAsia="Arial" w:hAnsi="Arial"/>
          <w:sz w:val="13"/>
          <w:szCs w:val="13"/>
          <w:color w:val="auto"/>
        </w:rPr>
      </w:pPr>
      <w:r>
        <w:rPr>
          <w:rFonts w:ascii="Arial" w:cs="Arial" w:eastAsia="Arial" w:hAnsi="Arial"/>
          <w:sz w:val="13"/>
          <w:szCs w:val="13"/>
          <w:color w:val="auto"/>
        </w:rPr>
        <w:t>each Transaction Party is the sole legal and beneficial owner of the property it purports to own; and</w:t>
      </w:r>
    </w:p>
    <w:p>
      <w:pPr>
        <w:spacing w:after="0" w:line="66" w:lineRule="exact"/>
        <w:rPr>
          <w:rFonts w:ascii="Arial" w:cs="Arial" w:eastAsia="Arial" w:hAnsi="Arial"/>
          <w:sz w:val="13"/>
          <w:szCs w:val="13"/>
          <w:color w:val="auto"/>
        </w:rPr>
      </w:pPr>
    </w:p>
    <w:p>
      <w:pPr>
        <w:ind w:left="1760" w:hanging="772"/>
        <w:spacing w:after="0"/>
        <w:tabs>
          <w:tab w:leader="none" w:pos="1760" w:val="left"/>
        </w:tabs>
        <w:numPr>
          <w:ilvl w:val="1"/>
          <w:numId w:val="313"/>
        </w:numPr>
        <w:rPr>
          <w:rFonts w:ascii="Arial" w:cs="Arial" w:eastAsia="Arial" w:hAnsi="Arial"/>
          <w:sz w:val="13"/>
          <w:szCs w:val="13"/>
          <w:color w:val="auto"/>
        </w:rPr>
      </w:pPr>
      <w:r>
        <w:rPr>
          <w:rFonts w:ascii="Arial" w:cs="Arial" w:eastAsia="Arial" w:hAnsi="Arial"/>
          <w:sz w:val="13"/>
          <w:szCs w:val="13"/>
          <w:color w:val="auto"/>
        </w:rPr>
        <w:t>there are no Encumbrances over the property of any Transaction Party other than Permitted Encumbrances;</w:t>
      </w:r>
    </w:p>
    <w:p>
      <w:pPr>
        <w:spacing w:after="0" w:line="56" w:lineRule="exact"/>
        <w:rPr>
          <w:rFonts w:ascii="Arial" w:cs="Arial" w:eastAsia="Arial" w:hAnsi="Arial"/>
          <w:sz w:val="13"/>
          <w:szCs w:val="13"/>
          <w:color w:val="auto"/>
        </w:rPr>
      </w:pPr>
    </w:p>
    <w:p>
      <w:pPr>
        <w:ind w:left="1880" w:hanging="1244"/>
        <w:spacing w:after="0"/>
        <w:tabs>
          <w:tab w:leader="none" w:pos="1880" w:val="left"/>
        </w:tabs>
        <w:numPr>
          <w:ilvl w:val="0"/>
          <w:numId w:val="313"/>
        </w:numPr>
        <w:rPr>
          <w:rFonts w:ascii="Arial" w:cs="Arial" w:eastAsia="Arial" w:hAnsi="Arial"/>
          <w:sz w:val="13"/>
          <w:szCs w:val="13"/>
          <w:color w:val="auto"/>
        </w:rPr>
      </w:pPr>
      <w:r>
        <w:rPr>
          <w:rFonts w:ascii="Arial" w:cs="Arial" w:eastAsia="Arial" w:hAnsi="Arial"/>
          <w:sz w:val="13"/>
          <w:szCs w:val="13"/>
          <w:b w:val="1"/>
          <w:bCs w:val="1"/>
          <w:color w:val="auto"/>
        </w:rPr>
        <w:t xml:space="preserve">no existing default: </w:t>
      </w:r>
      <w:r>
        <w:rPr>
          <w:rFonts w:ascii="Arial" w:cs="Arial" w:eastAsia="Arial" w:hAnsi="Arial"/>
          <w:sz w:val="13"/>
          <w:szCs w:val="13"/>
          <w:color w:val="auto"/>
        </w:rPr>
        <w:t>no Event of Default, Review Event or Potential Event of Default subsists;</w:t>
      </w:r>
    </w:p>
    <w:p>
      <w:pPr>
        <w:spacing w:after="0" w:line="61" w:lineRule="exact"/>
        <w:rPr>
          <w:rFonts w:ascii="Arial" w:cs="Arial" w:eastAsia="Arial" w:hAnsi="Arial"/>
          <w:sz w:val="13"/>
          <w:szCs w:val="13"/>
          <w:color w:val="auto"/>
        </w:rPr>
      </w:pPr>
    </w:p>
    <w:p>
      <w:pPr>
        <w:ind w:left="1680" w:right="340" w:hanging="1044"/>
        <w:spacing w:after="0" w:line="269" w:lineRule="auto"/>
        <w:tabs>
          <w:tab w:leader="none" w:pos="1680" w:val="left"/>
        </w:tabs>
        <w:numPr>
          <w:ilvl w:val="0"/>
          <w:numId w:val="313"/>
        </w:numPr>
        <w:rPr>
          <w:rFonts w:ascii="Arial" w:cs="Arial" w:eastAsia="Arial" w:hAnsi="Arial"/>
          <w:sz w:val="13"/>
          <w:szCs w:val="13"/>
          <w:color w:val="auto"/>
        </w:rPr>
      </w:pPr>
      <w:r>
        <w:rPr>
          <w:rFonts w:ascii="Arial" w:cs="Arial" w:eastAsia="Arial" w:hAnsi="Arial"/>
          <w:sz w:val="13"/>
          <w:szCs w:val="13"/>
          <w:b w:val="1"/>
          <w:bCs w:val="1"/>
          <w:color w:val="auto"/>
        </w:rPr>
        <w:t xml:space="preserve">ranking of obligations: </w:t>
      </w:r>
      <w:r>
        <w:rPr>
          <w:rFonts w:ascii="Arial" w:cs="Arial" w:eastAsia="Arial" w:hAnsi="Arial"/>
          <w:sz w:val="13"/>
          <w:szCs w:val="13"/>
          <w:color w:val="auto"/>
        </w:rPr>
        <w:t>each obligation of the Borrower under this document ranks at least pari passu with all unsecured and</w:t>
      </w:r>
      <w:r>
        <w:rPr>
          <w:rFonts w:ascii="Arial" w:cs="Arial" w:eastAsia="Arial" w:hAnsi="Arial"/>
          <w:sz w:val="13"/>
          <w:szCs w:val="13"/>
          <w:b w:val="1"/>
          <w:bCs w:val="1"/>
          <w:color w:val="auto"/>
        </w:rPr>
        <w:t xml:space="preserve"> </w:t>
      </w:r>
      <w:r>
        <w:rPr>
          <w:rFonts w:ascii="Arial" w:cs="Arial" w:eastAsia="Arial" w:hAnsi="Arial"/>
          <w:sz w:val="13"/>
          <w:szCs w:val="13"/>
          <w:color w:val="auto"/>
        </w:rPr>
        <w:t>unsubordinated obligations of the Borrower except obligations mandatorily preferred by law;</w:t>
      </w:r>
    </w:p>
    <w:p>
      <w:pPr>
        <w:spacing w:after="0" w:line="25" w:lineRule="exact"/>
        <w:rPr>
          <w:rFonts w:ascii="Arial" w:cs="Arial" w:eastAsia="Arial" w:hAnsi="Arial"/>
          <w:sz w:val="13"/>
          <w:szCs w:val="13"/>
          <w:color w:val="auto"/>
        </w:rPr>
      </w:pPr>
    </w:p>
    <w:p>
      <w:pPr>
        <w:ind w:left="1020" w:hanging="384"/>
        <w:spacing w:after="0" w:line="269" w:lineRule="auto"/>
        <w:tabs>
          <w:tab w:leader="none" w:pos="1020" w:val="left"/>
        </w:tabs>
        <w:numPr>
          <w:ilvl w:val="0"/>
          <w:numId w:val="313"/>
        </w:numPr>
        <w:rPr>
          <w:rFonts w:ascii="Arial" w:cs="Arial" w:eastAsia="Arial" w:hAnsi="Arial"/>
          <w:sz w:val="13"/>
          <w:szCs w:val="13"/>
          <w:color w:val="auto"/>
        </w:rPr>
      </w:pPr>
      <w:r>
        <w:rPr>
          <w:rFonts w:ascii="Arial" w:cs="Arial" w:eastAsia="Arial" w:hAnsi="Arial"/>
          <w:sz w:val="13"/>
          <w:szCs w:val="13"/>
          <w:b w:val="1"/>
          <w:bCs w:val="1"/>
          <w:color w:val="auto"/>
        </w:rPr>
        <w:t xml:space="preserve">warranties correct: </w:t>
      </w:r>
      <w:r>
        <w:rPr>
          <w:rFonts w:ascii="Arial" w:cs="Arial" w:eastAsia="Arial" w:hAnsi="Arial"/>
          <w:sz w:val="13"/>
          <w:szCs w:val="13"/>
          <w:color w:val="auto"/>
        </w:rPr>
        <w:t>the representations and warranties given by any Transaction Party in any Transaction Document are correct in all material</w:t>
      </w:r>
      <w:r>
        <w:rPr>
          <w:rFonts w:ascii="Arial" w:cs="Arial" w:eastAsia="Arial" w:hAnsi="Arial"/>
          <w:sz w:val="13"/>
          <w:szCs w:val="13"/>
          <w:b w:val="1"/>
          <w:bCs w:val="1"/>
          <w:color w:val="auto"/>
        </w:rPr>
        <w:t xml:space="preserve"> </w:t>
      </w:r>
      <w:r>
        <w:rPr>
          <w:rFonts w:ascii="Arial" w:cs="Arial" w:eastAsia="Arial" w:hAnsi="Arial"/>
          <w:sz w:val="13"/>
          <w:szCs w:val="13"/>
          <w:color w:val="auto"/>
        </w:rPr>
        <w:t>respects and not misleading in any material respect and will be when given or repeated;</w:t>
      </w:r>
    </w:p>
    <w:p>
      <w:pPr>
        <w:spacing w:after="0" w:line="25" w:lineRule="exact"/>
        <w:rPr>
          <w:rFonts w:ascii="Arial" w:cs="Arial" w:eastAsia="Arial" w:hAnsi="Arial"/>
          <w:sz w:val="13"/>
          <w:szCs w:val="13"/>
          <w:color w:val="auto"/>
        </w:rPr>
      </w:pPr>
    </w:p>
    <w:p>
      <w:pPr>
        <w:ind w:left="1260" w:right="160" w:hanging="624"/>
        <w:spacing w:after="0" w:line="269" w:lineRule="auto"/>
        <w:tabs>
          <w:tab w:leader="none" w:pos="1260" w:val="left"/>
        </w:tabs>
        <w:numPr>
          <w:ilvl w:val="0"/>
          <w:numId w:val="313"/>
        </w:numPr>
        <w:rPr>
          <w:rFonts w:ascii="Arial" w:cs="Arial" w:eastAsia="Arial" w:hAnsi="Arial"/>
          <w:sz w:val="13"/>
          <w:szCs w:val="13"/>
          <w:color w:val="auto"/>
        </w:rPr>
      </w:pPr>
      <w:r>
        <w:rPr>
          <w:rFonts w:ascii="Arial" w:cs="Arial" w:eastAsia="Arial" w:hAnsi="Arial"/>
          <w:sz w:val="13"/>
          <w:szCs w:val="13"/>
          <w:b w:val="1"/>
          <w:bCs w:val="1"/>
          <w:color w:val="auto"/>
        </w:rPr>
        <w:t xml:space="preserve">no immunity: </w:t>
      </w:r>
      <w:r>
        <w:rPr>
          <w:rFonts w:ascii="Arial" w:cs="Arial" w:eastAsia="Arial" w:hAnsi="Arial"/>
          <w:sz w:val="13"/>
          <w:szCs w:val="13"/>
          <w:color w:val="auto"/>
        </w:rPr>
        <w:t>each Transaction Party and its property are free of any right of immunity from set-off, proceedings or execution in relation</w:t>
      </w:r>
      <w:r>
        <w:rPr>
          <w:rFonts w:ascii="Arial" w:cs="Arial" w:eastAsia="Arial" w:hAnsi="Arial"/>
          <w:sz w:val="13"/>
          <w:szCs w:val="13"/>
          <w:b w:val="1"/>
          <w:bCs w:val="1"/>
          <w:color w:val="auto"/>
        </w:rPr>
        <w:t xml:space="preserve"> </w:t>
      </w:r>
      <w:r>
        <w:rPr>
          <w:rFonts w:ascii="Arial" w:cs="Arial" w:eastAsia="Arial" w:hAnsi="Arial"/>
          <w:sz w:val="13"/>
          <w:szCs w:val="13"/>
          <w:color w:val="auto"/>
        </w:rPr>
        <w:t>to its obligations under any Transaction Document;</w:t>
      </w:r>
    </w:p>
    <w:p>
      <w:pPr>
        <w:spacing w:after="0" w:line="25" w:lineRule="exact"/>
        <w:rPr>
          <w:rFonts w:ascii="Arial" w:cs="Arial" w:eastAsia="Arial" w:hAnsi="Arial"/>
          <w:sz w:val="13"/>
          <w:szCs w:val="13"/>
          <w:color w:val="auto"/>
        </w:rPr>
      </w:pPr>
    </w:p>
    <w:p>
      <w:pPr>
        <w:ind w:left="1180" w:hanging="544"/>
        <w:spacing w:after="0"/>
        <w:tabs>
          <w:tab w:leader="none" w:pos="1180" w:val="left"/>
        </w:tabs>
        <w:numPr>
          <w:ilvl w:val="0"/>
          <w:numId w:val="313"/>
        </w:numPr>
        <w:rPr>
          <w:rFonts w:ascii="Arial" w:cs="Arial" w:eastAsia="Arial" w:hAnsi="Arial"/>
          <w:sz w:val="13"/>
          <w:szCs w:val="13"/>
          <w:color w:val="auto"/>
        </w:rPr>
      </w:pPr>
      <w:r>
        <w:rPr>
          <w:rFonts w:ascii="Arial" w:cs="Arial" w:eastAsia="Arial" w:hAnsi="Arial"/>
          <w:sz w:val="13"/>
          <w:szCs w:val="13"/>
          <w:b w:val="1"/>
          <w:bCs w:val="1"/>
          <w:color w:val="auto"/>
        </w:rPr>
        <w:t xml:space="preserve">insurance: </w:t>
      </w:r>
      <w:r>
        <w:rPr>
          <w:rFonts w:ascii="Arial" w:cs="Arial" w:eastAsia="Arial" w:hAnsi="Arial"/>
          <w:sz w:val="13"/>
          <w:szCs w:val="13"/>
          <w:color w:val="auto"/>
        </w:rPr>
        <w:t>the Insurances are enforceable against the relevant insurer in accordance with their terms and are not void or voidable;</w:t>
      </w:r>
    </w:p>
    <w:p>
      <w:pPr>
        <w:spacing w:after="0" w:line="57" w:lineRule="exact"/>
        <w:rPr>
          <w:rFonts w:ascii="Arial" w:cs="Arial" w:eastAsia="Arial" w:hAnsi="Arial"/>
          <w:sz w:val="13"/>
          <w:szCs w:val="13"/>
          <w:color w:val="auto"/>
        </w:rPr>
      </w:pPr>
    </w:p>
    <w:p>
      <w:pPr>
        <w:ind w:left="1120" w:hanging="484"/>
        <w:spacing w:after="0"/>
        <w:tabs>
          <w:tab w:leader="none" w:pos="1120" w:val="left"/>
        </w:tabs>
        <w:numPr>
          <w:ilvl w:val="0"/>
          <w:numId w:val="313"/>
        </w:numPr>
        <w:rPr>
          <w:rFonts w:ascii="Arial" w:cs="Arial" w:eastAsia="Arial" w:hAnsi="Arial"/>
          <w:sz w:val="13"/>
          <w:szCs w:val="13"/>
          <w:color w:val="auto"/>
        </w:rPr>
      </w:pPr>
      <w:r>
        <w:rPr>
          <w:rFonts w:ascii="Arial" w:cs="Arial" w:eastAsia="Arial" w:hAnsi="Arial"/>
          <w:sz w:val="13"/>
          <w:szCs w:val="13"/>
          <w:b w:val="1"/>
          <w:bCs w:val="1"/>
          <w:color w:val="auto"/>
        </w:rPr>
        <w:t xml:space="preserve">trust provisions: </w:t>
      </w:r>
      <w:r>
        <w:rPr>
          <w:rFonts w:ascii="Arial" w:cs="Arial" w:eastAsia="Arial" w:hAnsi="Arial"/>
          <w:sz w:val="13"/>
          <w:szCs w:val="13"/>
          <w:color w:val="auto"/>
        </w:rPr>
        <w:t>in relation to each Transaction Party which enters into any Transaction Document as trustee of a Trust:</w:t>
      </w:r>
    </w:p>
    <w:p>
      <w:pPr>
        <w:spacing w:after="0" w:line="82" w:lineRule="exact"/>
        <w:rPr>
          <w:rFonts w:ascii="Arial" w:cs="Arial" w:eastAsia="Arial" w:hAnsi="Arial"/>
          <w:sz w:val="13"/>
          <w:szCs w:val="13"/>
          <w:color w:val="auto"/>
        </w:rPr>
      </w:pPr>
    </w:p>
    <w:p>
      <w:pPr>
        <w:ind w:left="1340" w:hanging="352"/>
        <w:spacing w:after="0"/>
        <w:tabs>
          <w:tab w:leader="none" w:pos="1340" w:val="left"/>
        </w:tabs>
        <w:numPr>
          <w:ilvl w:val="1"/>
          <w:numId w:val="313"/>
        </w:numPr>
        <w:rPr>
          <w:rFonts w:ascii="Arial" w:cs="Arial" w:eastAsia="Arial" w:hAnsi="Arial"/>
          <w:sz w:val="13"/>
          <w:szCs w:val="13"/>
          <w:color w:val="auto"/>
        </w:rPr>
      </w:pPr>
      <w:r>
        <w:rPr>
          <w:rFonts w:ascii="Arial" w:cs="Arial" w:eastAsia="Arial" w:hAnsi="Arial"/>
          <w:sz w:val="13"/>
          <w:szCs w:val="13"/>
          <w:color w:val="auto"/>
        </w:rPr>
        <w:t>the Trustee has power as trustee of the Trust to execute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173990</wp:posOffset>
            </wp:positionV>
            <wp:extent cx="6208395"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208395" cy="42545"/>
                    </a:xfrm>
                    <a:prstGeom prst="rect">
                      <a:avLst/>
                    </a:prstGeom>
                    <a:noFill/>
                  </pic:spPr>
                </pic:pic>
              </a:graphicData>
            </a:graphic>
          </wp:anchor>
        </w:drawing>
      </w:r>
    </w:p>
    <w:p>
      <w:pPr>
        <w:sectPr>
          <w:pgSz w:w="11900" w:h="16838" w:orient="portrait"/>
          <w:cols w:equalWidth="0" w:num="1">
            <w:col w:w="9340"/>
          </w:cols>
          <w:pgMar w:left="1440" w:top="560" w:right="1119" w:bottom="1440" w:gutter="0" w:footer="0" w:header="0"/>
        </w:sectPr>
      </w:pPr>
    </w:p>
    <w:bookmarkStart w:id="253" w:name="page254"/>
    <w:bookmarkEnd w:id="253"/>
    <w:p>
      <w:pPr>
        <w:ind w:left="1320"/>
        <w:spacing w:after="0"/>
        <w:rPr>
          <w:sz w:val="20"/>
          <w:szCs w:val="20"/>
          <w:color w:val="auto"/>
        </w:rPr>
      </w:pPr>
      <w:r>
        <w:rPr>
          <w:rFonts w:ascii="Arial" w:cs="Arial" w:eastAsia="Arial" w:hAnsi="Arial"/>
          <w:sz w:val="13"/>
          <w:szCs w:val="13"/>
          <w:color w:val="auto"/>
        </w:rPr>
        <w:t>perform its obligations under the Transaction Documents;</w:t>
      </w:r>
    </w:p>
    <w:p>
      <w:pPr>
        <w:spacing w:after="0" w:line="76" w:lineRule="exact"/>
        <w:rPr>
          <w:sz w:val="20"/>
          <w:szCs w:val="20"/>
          <w:color w:val="auto"/>
        </w:rPr>
      </w:pPr>
    </w:p>
    <w:p>
      <w:pPr>
        <w:ind w:left="1500" w:right="80" w:hanging="512"/>
        <w:spacing w:after="0" w:line="244" w:lineRule="auto"/>
        <w:tabs>
          <w:tab w:leader="none" w:pos="1500" w:val="left"/>
        </w:tabs>
        <w:numPr>
          <w:ilvl w:val="0"/>
          <w:numId w:val="314"/>
        </w:numPr>
        <w:rPr>
          <w:rFonts w:ascii="Arial" w:cs="Arial" w:eastAsia="Arial" w:hAnsi="Arial"/>
          <w:sz w:val="13"/>
          <w:szCs w:val="13"/>
          <w:color w:val="auto"/>
        </w:rPr>
      </w:pPr>
      <w:r>
        <w:rPr>
          <w:rFonts w:ascii="Arial" w:cs="Arial" w:eastAsia="Arial" w:hAnsi="Arial"/>
          <w:sz w:val="13"/>
          <w:szCs w:val="13"/>
          <w:color w:val="auto"/>
        </w:rPr>
        <w:t>the Trustee, in executing the Transaction Documents and entering into those transactions, have properly performed their obligations to the beneficiaries of the Trust;</w:t>
      </w:r>
    </w:p>
    <w:p>
      <w:pPr>
        <w:spacing w:after="0" w:line="56" w:lineRule="exact"/>
        <w:rPr>
          <w:rFonts w:ascii="Arial" w:cs="Arial" w:eastAsia="Arial" w:hAnsi="Arial"/>
          <w:sz w:val="13"/>
          <w:szCs w:val="13"/>
          <w:color w:val="auto"/>
        </w:rPr>
      </w:pPr>
    </w:p>
    <w:p>
      <w:pPr>
        <w:ind w:left="1820" w:right="220" w:hanging="832"/>
        <w:spacing w:after="0" w:line="244" w:lineRule="auto"/>
        <w:tabs>
          <w:tab w:leader="none" w:pos="1820" w:val="left"/>
        </w:tabs>
        <w:numPr>
          <w:ilvl w:val="0"/>
          <w:numId w:val="314"/>
        </w:numPr>
        <w:rPr>
          <w:rFonts w:ascii="Arial" w:cs="Arial" w:eastAsia="Arial" w:hAnsi="Arial"/>
          <w:sz w:val="13"/>
          <w:szCs w:val="13"/>
          <w:color w:val="auto"/>
        </w:rPr>
      </w:pPr>
      <w:r>
        <w:rPr>
          <w:rFonts w:ascii="Arial" w:cs="Arial" w:eastAsia="Arial" w:hAnsi="Arial"/>
          <w:sz w:val="13"/>
          <w:szCs w:val="13"/>
          <w:color w:val="auto"/>
        </w:rPr>
        <w:t>all necessary action required by the Trust Deed to authorise the unconditional execution and delivery of, and compliance with its obligations under, the Transaction Documents has been taken;</w:t>
      </w:r>
    </w:p>
    <w:p>
      <w:pPr>
        <w:spacing w:after="0" w:line="56" w:lineRule="exact"/>
        <w:rPr>
          <w:rFonts w:ascii="Arial" w:cs="Arial" w:eastAsia="Arial" w:hAnsi="Arial"/>
          <w:sz w:val="13"/>
          <w:szCs w:val="13"/>
          <w:color w:val="auto"/>
        </w:rPr>
      </w:pPr>
    </w:p>
    <w:p>
      <w:pPr>
        <w:ind w:left="1640" w:hanging="652"/>
        <w:spacing w:after="0"/>
        <w:tabs>
          <w:tab w:leader="none" w:pos="1640" w:val="left"/>
        </w:tabs>
        <w:numPr>
          <w:ilvl w:val="0"/>
          <w:numId w:val="314"/>
        </w:numPr>
        <w:rPr>
          <w:rFonts w:ascii="Arial" w:cs="Arial" w:eastAsia="Arial" w:hAnsi="Arial"/>
          <w:sz w:val="13"/>
          <w:szCs w:val="13"/>
          <w:color w:val="auto"/>
        </w:rPr>
      </w:pPr>
      <w:r>
        <w:rPr>
          <w:rFonts w:ascii="Arial" w:cs="Arial" w:eastAsia="Arial" w:hAnsi="Arial"/>
          <w:sz w:val="13"/>
          <w:szCs w:val="13"/>
          <w:color w:val="auto"/>
        </w:rPr>
        <w:t>the Trustee is the only trustee of the Trust;</w:t>
      </w:r>
    </w:p>
    <w:p>
      <w:pPr>
        <w:spacing w:after="0" w:line="84" w:lineRule="exact"/>
        <w:rPr>
          <w:rFonts w:ascii="Arial" w:cs="Arial" w:eastAsia="Arial" w:hAnsi="Arial"/>
          <w:sz w:val="13"/>
          <w:szCs w:val="13"/>
          <w:color w:val="auto"/>
        </w:rPr>
      </w:pPr>
    </w:p>
    <w:p>
      <w:pPr>
        <w:ind w:left="1580" w:hanging="592"/>
        <w:spacing w:after="0"/>
        <w:tabs>
          <w:tab w:leader="none" w:pos="1580" w:val="left"/>
        </w:tabs>
        <w:numPr>
          <w:ilvl w:val="0"/>
          <w:numId w:val="314"/>
        </w:numPr>
        <w:rPr>
          <w:rFonts w:ascii="Arial" w:cs="Arial" w:eastAsia="Arial" w:hAnsi="Arial"/>
          <w:sz w:val="13"/>
          <w:szCs w:val="13"/>
          <w:color w:val="auto"/>
        </w:rPr>
      </w:pPr>
      <w:r>
        <w:rPr>
          <w:rFonts w:ascii="Arial" w:cs="Arial" w:eastAsia="Arial" w:hAnsi="Arial"/>
          <w:sz w:val="13"/>
          <w:szCs w:val="13"/>
          <w:color w:val="auto"/>
        </w:rPr>
        <w:t>no effective action has been taken to remove the Trustee as trustee of the Trust or to appoint an additional trustee of the Trust;</w:t>
      </w:r>
    </w:p>
    <w:p>
      <w:pPr>
        <w:spacing w:after="0" w:line="297" w:lineRule="exact"/>
        <w:rPr>
          <w:sz w:val="20"/>
          <w:szCs w:val="20"/>
          <w:color w:val="auto"/>
        </w:rPr>
      </w:pPr>
    </w:p>
    <w:p>
      <w:pPr>
        <w:ind w:left="1940" w:right="400" w:hanging="959"/>
        <w:spacing w:after="0" w:line="244" w:lineRule="auto"/>
        <w:tabs>
          <w:tab w:leader="none" w:pos="1920" w:val="left"/>
        </w:tabs>
        <w:rPr>
          <w:sz w:val="20"/>
          <w:szCs w:val="20"/>
          <w:color w:val="auto"/>
        </w:rPr>
      </w:pPr>
      <w:r>
        <w:rPr>
          <w:rFonts w:ascii="Arial" w:cs="Arial" w:eastAsia="Arial" w:hAnsi="Arial"/>
          <w:sz w:val="13"/>
          <w:szCs w:val="13"/>
          <w:color w:val="auto"/>
        </w:rPr>
        <w:t>(vi)</w:t>
      </w:r>
      <w:r>
        <w:rPr>
          <w:sz w:val="20"/>
          <w:szCs w:val="20"/>
          <w:color w:val="auto"/>
        </w:rPr>
        <w:tab/>
      </w:r>
      <w:r>
        <w:rPr>
          <w:rFonts w:ascii="Arial" w:cs="Arial" w:eastAsia="Arial" w:hAnsi="Arial"/>
          <w:sz w:val="13"/>
          <w:szCs w:val="13"/>
          <w:color w:val="auto"/>
        </w:rPr>
        <w:t>(A) the Trustee has a right to be fully indemnified out of the property of the Trust in relation to all of its obligations under the Transaction Documents;</w:t>
      </w:r>
    </w:p>
    <w:p>
      <w:pPr>
        <w:spacing w:after="0" w:line="51" w:lineRule="exact"/>
        <w:rPr>
          <w:sz w:val="20"/>
          <w:szCs w:val="20"/>
          <w:color w:val="auto"/>
        </w:rPr>
      </w:pPr>
    </w:p>
    <w:p>
      <w:pPr>
        <w:ind w:left="1720" w:hanging="399"/>
        <w:spacing w:after="0"/>
        <w:tabs>
          <w:tab w:leader="none" w:pos="1720" w:val="left"/>
        </w:tabs>
        <w:numPr>
          <w:ilvl w:val="1"/>
          <w:numId w:val="315"/>
        </w:numPr>
        <w:rPr>
          <w:rFonts w:ascii="Arial" w:cs="Arial" w:eastAsia="Arial" w:hAnsi="Arial"/>
          <w:sz w:val="13"/>
          <w:szCs w:val="13"/>
          <w:color w:val="auto"/>
        </w:rPr>
      </w:pPr>
      <w:r>
        <w:rPr>
          <w:rFonts w:ascii="Arial" w:cs="Arial" w:eastAsia="Arial" w:hAnsi="Arial"/>
          <w:sz w:val="13"/>
          <w:szCs w:val="13"/>
          <w:color w:val="auto"/>
        </w:rPr>
        <w:t>the Trustee has not released or disposed of its equitable lien over the property of the Trust which secures that indemnity; and</w:t>
      </w:r>
    </w:p>
    <w:p>
      <w:pPr>
        <w:spacing w:after="0" w:line="75" w:lineRule="exact"/>
        <w:rPr>
          <w:rFonts w:ascii="Arial" w:cs="Arial" w:eastAsia="Arial" w:hAnsi="Arial"/>
          <w:sz w:val="13"/>
          <w:szCs w:val="13"/>
          <w:color w:val="auto"/>
        </w:rPr>
      </w:pPr>
    </w:p>
    <w:p>
      <w:pPr>
        <w:ind w:left="1740" w:hanging="419"/>
        <w:spacing w:after="0"/>
        <w:tabs>
          <w:tab w:leader="none" w:pos="1740" w:val="left"/>
        </w:tabs>
        <w:numPr>
          <w:ilvl w:val="1"/>
          <w:numId w:val="315"/>
        </w:numPr>
        <w:rPr>
          <w:rFonts w:ascii="Arial" w:cs="Arial" w:eastAsia="Arial" w:hAnsi="Arial"/>
          <w:sz w:val="13"/>
          <w:szCs w:val="13"/>
          <w:color w:val="auto"/>
        </w:rPr>
      </w:pPr>
      <w:r>
        <w:rPr>
          <w:rFonts w:ascii="Arial" w:cs="Arial" w:eastAsia="Arial" w:hAnsi="Arial"/>
          <w:sz w:val="13"/>
          <w:szCs w:val="13"/>
          <w:color w:val="auto"/>
        </w:rPr>
        <w:t>the property of the Trust is sufficient to satisfy that indemnity;</w:t>
      </w:r>
    </w:p>
    <w:p>
      <w:pPr>
        <w:spacing w:after="0" w:line="75" w:lineRule="exact"/>
        <w:rPr>
          <w:rFonts w:ascii="Arial" w:cs="Arial" w:eastAsia="Arial" w:hAnsi="Arial"/>
          <w:sz w:val="13"/>
          <w:szCs w:val="13"/>
          <w:color w:val="auto"/>
        </w:rPr>
      </w:pPr>
    </w:p>
    <w:p>
      <w:pPr>
        <w:ind w:left="1540" w:hanging="552"/>
        <w:spacing w:after="0"/>
        <w:tabs>
          <w:tab w:leader="none" w:pos="1540" w:val="left"/>
        </w:tabs>
        <w:numPr>
          <w:ilvl w:val="0"/>
          <w:numId w:val="316"/>
        </w:numPr>
        <w:rPr>
          <w:rFonts w:ascii="Arial" w:cs="Arial" w:eastAsia="Arial" w:hAnsi="Arial"/>
          <w:sz w:val="13"/>
          <w:szCs w:val="13"/>
          <w:color w:val="auto"/>
        </w:rPr>
      </w:pPr>
      <w:r>
        <w:rPr>
          <w:rFonts w:ascii="Arial" w:cs="Arial" w:eastAsia="Arial" w:hAnsi="Arial"/>
          <w:sz w:val="13"/>
          <w:szCs w:val="13"/>
          <w:color w:val="auto"/>
        </w:rPr>
        <w:t>the Trustee has complied with all of its obligations as trustee of the Trust in relation to execution of the Transaction Documents;</w:t>
      </w:r>
    </w:p>
    <w:p>
      <w:pPr>
        <w:spacing w:after="0" w:line="66" w:lineRule="exact"/>
        <w:rPr>
          <w:rFonts w:ascii="Arial" w:cs="Arial" w:eastAsia="Arial" w:hAnsi="Arial"/>
          <w:sz w:val="13"/>
          <w:szCs w:val="13"/>
          <w:color w:val="auto"/>
        </w:rPr>
      </w:pPr>
    </w:p>
    <w:p>
      <w:pPr>
        <w:ind w:left="2160" w:right="440" w:hanging="1172"/>
        <w:spacing w:after="0" w:line="244" w:lineRule="auto"/>
        <w:tabs>
          <w:tab w:leader="none" w:pos="2160" w:val="left"/>
        </w:tabs>
        <w:numPr>
          <w:ilvl w:val="0"/>
          <w:numId w:val="316"/>
        </w:numPr>
        <w:rPr>
          <w:rFonts w:ascii="Arial" w:cs="Arial" w:eastAsia="Arial" w:hAnsi="Arial"/>
          <w:sz w:val="13"/>
          <w:szCs w:val="13"/>
          <w:color w:val="auto"/>
        </w:rPr>
      </w:pPr>
      <w:r>
        <w:rPr>
          <w:rFonts w:ascii="Arial" w:cs="Arial" w:eastAsia="Arial" w:hAnsi="Arial"/>
          <w:sz w:val="13"/>
          <w:szCs w:val="13"/>
          <w:color w:val="auto"/>
        </w:rPr>
        <w:t>no effective action has been taken or, so far as the Trustee is aware, is contemplated by the beneficiaries of the Trust to terminate the Trust;</w:t>
      </w:r>
    </w:p>
    <w:p>
      <w:pPr>
        <w:spacing w:after="0" w:line="56" w:lineRule="exact"/>
        <w:rPr>
          <w:rFonts w:ascii="Arial" w:cs="Arial" w:eastAsia="Arial" w:hAnsi="Arial"/>
          <w:sz w:val="13"/>
          <w:szCs w:val="13"/>
          <w:color w:val="auto"/>
        </w:rPr>
      </w:pPr>
    </w:p>
    <w:p>
      <w:pPr>
        <w:ind w:left="1540" w:hanging="552"/>
        <w:spacing w:after="0"/>
        <w:tabs>
          <w:tab w:leader="none" w:pos="1540" w:val="left"/>
        </w:tabs>
        <w:numPr>
          <w:ilvl w:val="0"/>
          <w:numId w:val="316"/>
        </w:numPr>
        <w:rPr>
          <w:rFonts w:ascii="Arial" w:cs="Arial" w:eastAsia="Arial" w:hAnsi="Arial"/>
          <w:sz w:val="13"/>
          <w:szCs w:val="13"/>
          <w:color w:val="auto"/>
        </w:rPr>
      </w:pPr>
      <w:r>
        <w:rPr>
          <w:rFonts w:ascii="Arial" w:cs="Arial" w:eastAsia="Arial" w:hAnsi="Arial"/>
          <w:sz w:val="13"/>
          <w:szCs w:val="13"/>
          <w:color w:val="auto"/>
        </w:rPr>
        <w:t>the Trustee has disclosed to the Bank full details of:</w:t>
      </w:r>
    </w:p>
    <w:p>
      <w:pPr>
        <w:spacing w:after="0" w:line="75" w:lineRule="exact"/>
        <w:rPr>
          <w:rFonts w:ascii="Arial" w:cs="Arial" w:eastAsia="Arial" w:hAnsi="Arial"/>
          <w:sz w:val="13"/>
          <w:szCs w:val="13"/>
          <w:color w:val="auto"/>
        </w:rPr>
      </w:pPr>
    </w:p>
    <w:p>
      <w:pPr>
        <w:ind w:left="1720" w:hanging="399"/>
        <w:spacing w:after="0" w:line="244" w:lineRule="auto"/>
        <w:tabs>
          <w:tab w:leader="none" w:pos="1720" w:val="left"/>
        </w:tabs>
        <w:numPr>
          <w:ilvl w:val="1"/>
          <w:numId w:val="316"/>
        </w:numPr>
        <w:rPr>
          <w:rFonts w:ascii="Arial" w:cs="Arial" w:eastAsia="Arial" w:hAnsi="Arial"/>
          <w:sz w:val="13"/>
          <w:szCs w:val="13"/>
          <w:color w:val="auto"/>
        </w:rPr>
      </w:pPr>
      <w:r>
        <w:rPr>
          <w:rFonts w:ascii="Arial" w:cs="Arial" w:eastAsia="Arial" w:hAnsi="Arial"/>
          <w:sz w:val="13"/>
          <w:szCs w:val="13"/>
          <w:color w:val="auto"/>
        </w:rPr>
        <w:t>the Trust and any other trust or fiduciary relationship affecting the property of the Trust and, without limitation, has given to the Bank copies of any instruments creating or evidencing the Trust; and</w:t>
      </w:r>
    </w:p>
    <w:p>
      <w:pPr>
        <w:spacing w:after="0" w:line="56" w:lineRule="exact"/>
        <w:rPr>
          <w:rFonts w:ascii="Arial" w:cs="Arial" w:eastAsia="Arial" w:hAnsi="Arial"/>
          <w:sz w:val="13"/>
          <w:szCs w:val="13"/>
          <w:color w:val="auto"/>
        </w:rPr>
      </w:pPr>
    </w:p>
    <w:p>
      <w:pPr>
        <w:ind w:left="1920" w:hanging="599"/>
        <w:spacing w:after="0"/>
        <w:tabs>
          <w:tab w:leader="none" w:pos="1920" w:val="left"/>
        </w:tabs>
        <w:numPr>
          <w:ilvl w:val="1"/>
          <w:numId w:val="316"/>
        </w:numPr>
        <w:rPr>
          <w:rFonts w:ascii="Arial" w:cs="Arial" w:eastAsia="Arial" w:hAnsi="Arial"/>
          <w:sz w:val="13"/>
          <w:szCs w:val="13"/>
          <w:color w:val="auto"/>
        </w:rPr>
      </w:pPr>
      <w:r>
        <w:rPr>
          <w:rFonts w:ascii="Arial" w:cs="Arial" w:eastAsia="Arial" w:hAnsi="Arial"/>
          <w:sz w:val="13"/>
          <w:szCs w:val="13"/>
          <w:color w:val="auto"/>
        </w:rPr>
        <w:t>the Trustee’s other trusteeships (if any);</w:t>
      </w:r>
    </w:p>
    <w:p>
      <w:pPr>
        <w:spacing w:after="0" w:line="75" w:lineRule="exact"/>
        <w:rPr>
          <w:rFonts w:ascii="Arial" w:cs="Arial" w:eastAsia="Arial" w:hAnsi="Arial"/>
          <w:sz w:val="13"/>
          <w:szCs w:val="13"/>
          <w:color w:val="auto"/>
        </w:rPr>
      </w:pPr>
    </w:p>
    <w:p>
      <w:pPr>
        <w:ind w:left="2040" w:hanging="1052"/>
        <w:spacing w:after="0"/>
        <w:tabs>
          <w:tab w:leader="none" w:pos="2040" w:val="left"/>
        </w:tabs>
        <w:numPr>
          <w:ilvl w:val="0"/>
          <w:numId w:val="316"/>
        </w:numPr>
        <w:rPr>
          <w:rFonts w:ascii="Arial" w:cs="Arial" w:eastAsia="Arial" w:hAnsi="Arial"/>
          <w:sz w:val="13"/>
          <w:szCs w:val="13"/>
          <w:color w:val="auto"/>
        </w:rPr>
      </w:pPr>
      <w:r>
        <w:rPr>
          <w:rFonts w:ascii="Arial" w:cs="Arial" w:eastAsia="Arial" w:hAnsi="Arial"/>
          <w:sz w:val="13"/>
          <w:szCs w:val="13"/>
          <w:color w:val="auto"/>
        </w:rPr>
        <w:t>the Trust is properly constituted and the Trust Deed is not void, voidable or otherwise unenforceable;</w:t>
      </w:r>
    </w:p>
    <w:p>
      <w:pPr>
        <w:spacing w:after="0" w:line="75" w:lineRule="exact"/>
        <w:rPr>
          <w:rFonts w:ascii="Arial" w:cs="Arial" w:eastAsia="Arial" w:hAnsi="Arial"/>
          <w:sz w:val="13"/>
          <w:szCs w:val="13"/>
          <w:color w:val="auto"/>
        </w:rPr>
      </w:pPr>
    </w:p>
    <w:p>
      <w:pPr>
        <w:ind w:left="1860" w:hanging="872"/>
        <w:spacing w:after="0"/>
        <w:tabs>
          <w:tab w:leader="none" w:pos="1860" w:val="left"/>
        </w:tabs>
        <w:numPr>
          <w:ilvl w:val="0"/>
          <w:numId w:val="316"/>
        </w:numPr>
        <w:rPr>
          <w:rFonts w:ascii="Arial" w:cs="Arial" w:eastAsia="Arial" w:hAnsi="Arial"/>
          <w:sz w:val="13"/>
          <w:szCs w:val="13"/>
          <w:color w:val="auto"/>
        </w:rPr>
      </w:pPr>
      <w:r>
        <w:rPr>
          <w:rFonts w:ascii="Arial" w:cs="Arial" w:eastAsia="Arial" w:hAnsi="Arial"/>
          <w:sz w:val="13"/>
          <w:szCs w:val="13"/>
          <w:color w:val="auto"/>
        </w:rPr>
        <w:t>the rights of the beneficiaries of the Trust in relation to, and their interest in, the property of the Trust are subject to:</w:t>
      </w:r>
    </w:p>
    <w:p>
      <w:pPr>
        <w:spacing w:after="0" w:line="66" w:lineRule="exact"/>
        <w:rPr>
          <w:rFonts w:ascii="Arial" w:cs="Arial" w:eastAsia="Arial" w:hAnsi="Arial"/>
          <w:sz w:val="13"/>
          <w:szCs w:val="13"/>
          <w:color w:val="auto"/>
        </w:rPr>
      </w:pPr>
    </w:p>
    <w:p>
      <w:pPr>
        <w:ind w:left="1840" w:hanging="519"/>
        <w:spacing w:after="0"/>
        <w:tabs>
          <w:tab w:leader="none" w:pos="1840" w:val="left"/>
        </w:tabs>
        <w:numPr>
          <w:ilvl w:val="1"/>
          <w:numId w:val="316"/>
        </w:numPr>
        <w:rPr>
          <w:rFonts w:ascii="Arial" w:cs="Arial" w:eastAsia="Arial" w:hAnsi="Arial"/>
          <w:sz w:val="13"/>
          <w:szCs w:val="13"/>
          <w:color w:val="auto"/>
        </w:rPr>
      </w:pPr>
      <w:r>
        <w:rPr>
          <w:rFonts w:ascii="Arial" w:cs="Arial" w:eastAsia="Arial" w:hAnsi="Arial"/>
          <w:sz w:val="13"/>
          <w:szCs w:val="13"/>
          <w:color w:val="auto"/>
        </w:rPr>
        <w:t>the rights of the Bank in relation to, and their respective interests in, the property of the Trust; and</w:t>
      </w:r>
    </w:p>
    <w:p>
      <w:pPr>
        <w:spacing w:after="0" w:line="66" w:lineRule="exact"/>
        <w:rPr>
          <w:rFonts w:ascii="Arial" w:cs="Arial" w:eastAsia="Arial" w:hAnsi="Arial"/>
          <w:sz w:val="13"/>
          <w:szCs w:val="13"/>
          <w:color w:val="auto"/>
        </w:rPr>
      </w:pPr>
    </w:p>
    <w:p>
      <w:pPr>
        <w:ind w:left="1780" w:hanging="459"/>
        <w:spacing w:after="0"/>
        <w:tabs>
          <w:tab w:leader="none" w:pos="1780" w:val="left"/>
        </w:tabs>
        <w:numPr>
          <w:ilvl w:val="1"/>
          <w:numId w:val="316"/>
        </w:numPr>
        <w:rPr>
          <w:rFonts w:ascii="Arial" w:cs="Arial" w:eastAsia="Arial" w:hAnsi="Arial"/>
          <w:sz w:val="13"/>
          <w:szCs w:val="13"/>
          <w:color w:val="auto"/>
        </w:rPr>
      </w:pPr>
      <w:r>
        <w:rPr>
          <w:rFonts w:ascii="Arial" w:cs="Arial" w:eastAsia="Arial" w:hAnsi="Arial"/>
          <w:sz w:val="13"/>
          <w:szCs w:val="13"/>
          <w:color w:val="auto"/>
        </w:rPr>
        <w:t>any rights or interests in the property of the Trust to which the Bank may from time to time be subrogated; and</w:t>
      </w:r>
    </w:p>
    <w:p>
      <w:pPr>
        <w:spacing w:after="0" w:line="301" w:lineRule="exact"/>
        <w:rPr>
          <w:sz w:val="20"/>
          <w:szCs w:val="20"/>
          <w:color w:val="auto"/>
        </w:rPr>
      </w:pPr>
    </w:p>
    <w:p>
      <w:pPr>
        <w:ind w:left="1720" w:right="20" w:hanging="399"/>
        <w:spacing w:after="0" w:line="244" w:lineRule="auto"/>
        <w:tabs>
          <w:tab w:leader="none" w:pos="1720" w:val="left"/>
        </w:tabs>
        <w:numPr>
          <w:ilvl w:val="0"/>
          <w:numId w:val="317"/>
        </w:numPr>
        <w:rPr>
          <w:rFonts w:ascii="Arial" w:cs="Arial" w:eastAsia="Arial" w:hAnsi="Arial"/>
          <w:sz w:val="13"/>
          <w:szCs w:val="13"/>
          <w:color w:val="auto"/>
        </w:rPr>
      </w:pPr>
      <w:r>
        <w:rPr>
          <w:rFonts w:ascii="Arial" w:cs="Arial" w:eastAsia="Arial" w:hAnsi="Arial"/>
          <w:sz w:val="13"/>
          <w:szCs w:val="13"/>
          <w:color w:val="auto"/>
        </w:rPr>
        <w:t>if it is a corporation, is duly incorporated in accordance with the laws of its place of incorporation, validly exists under those laws and has the capacity to sue and be sued in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161925</wp:posOffset>
            </wp:positionV>
            <wp:extent cx="6208395"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208395" cy="42545"/>
                    </a:xfrm>
                    <a:prstGeom prst="rect">
                      <a:avLst/>
                    </a:prstGeom>
                    <a:noFill/>
                  </pic:spPr>
                </pic:pic>
              </a:graphicData>
            </a:graphic>
          </wp:anchor>
        </w:drawing>
      </w:r>
    </w:p>
    <w:p>
      <w:pPr>
        <w:sectPr>
          <w:pgSz w:w="11900" w:h="16838" w:orient="portrait"/>
          <w:cols w:equalWidth="0" w:num="1">
            <w:col w:w="9420"/>
          </w:cols>
          <w:pgMar w:left="1440" w:top="561" w:right="1039" w:bottom="1440" w:gutter="0" w:footer="0" w:header="0"/>
        </w:sectPr>
      </w:pPr>
    </w:p>
    <w:bookmarkStart w:id="254" w:name="page255"/>
    <w:bookmarkEnd w:id="254"/>
    <w:p>
      <w:pPr>
        <w:ind w:left="1660"/>
        <w:spacing w:after="0"/>
        <w:rPr>
          <w:sz w:val="20"/>
          <w:szCs w:val="20"/>
          <w:color w:val="auto"/>
        </w:rPr>
      </w:pPr>
      <w:r>
        <w:rPr>
          <w:rFonts w:ascii="Arial" w:cs="Arial" w:eastAsia="Arial" w:hAnsi="Arial"/>
          <w:sz w:val="13"/>
          <w:szCs w:val="13"/>
          <w:color w:val="auto"/>
        </w:rPr>
        <w:t>own name, to own property and to act as trustee of the Trust;</w:t>
      </w:r>
    </w:p>
    <w:p>
      <w:pPr>
        <w:spacing w:after="0" w:line="67" w:lineRule="exact"/>
        <w:rPr>
          <w:sz w:val="20"/>
          <w:szCs w:val="20"/>
          <w:color w:val="auto"/>
        </w:rPr>
      </w:pPr>
    </w:p>
    <w:p>
      <w:pPr>
        <w:ind w:left="2060" w:hanging="739"/>
        <w:spacing w:after="0"/>
        <w:tabs>
          <w:tab w:leader="none" w:pos="2060" w:val="left"/>
        </w:tabs>
        <w:numPr>
          <w:ilvl w:val="1"/>
          <w:numId w:val="318"/>
        </w:numPr>
        <w:rPr>
          <w:rFonts w:ascii="Arial" w:cs="Arial" w:eastAsia="Arial" w:hAnsi="Arial"/>
          <w:sz w:val="13"/>
          <w:szCs w:val="13"/>
          <w:color w:val="auto"/>
        </w:rPr>
      </w:pPr>
      <w:r>
        <w:rPr>
          <w:rFonts w:ascii="Arial" w:cs="Arial" w:eastAsia="Arial" w:hAnsi="Arial"/>
          <w:sz w:val="13"/>
          <w:szCs w:val="13"/>
          <w:color w:val="auto"/>
        </w:rPr>
        <w:t>if it is natural person, has the capacity to be trustee of the Trust;</w:t>
      </w:r>
    </w:p>
    <w:p>
      <w:pPr>
        <w:spacing w:after="0" w:line="50" w:lineRule="exact"/>
        <w:rPr>
          <w:rFonts w:ascii="Arial" w:cs="Arial" w:eastAsia="Arial" w:hAnsi="Arial"/>
          <w:sz w:val="13"/>
          <w:szCs w:val="13"/>
          <w:color w:val="auto"/>
        </w:rPr>
      </w:pPr>
    </w:p>
    <w:p>
      <w:pPr>
        <w:ind w:left="1120" w:hanging="484"/>
        <w:spacing w:after="0"/>
        <w:tabs>
          <w:tab w:leader="none" w:pos="1120" w:val="left"/>
        </w:tabs>
        <w:numPr>
          <w:ilvl w:val="0"/>
          <w:numId w:val="319"/>
        </w:numPr>
        <w:rPr>
          <w:rFonts w:ascii="Arial" w:cs="Arial" w:eastAsia="Arial" w:hAnsi="Arial"/>
          <w:sz w:val="13"/>
          <w:szCs w:val="13"/>
          <w:color w:val="auto"/>
        </w:rPr>
      </w:pPr>
      <w:r>
        <w:rPr>
          <w:rFonts w:ascii="Arial" w:cs="Arial" w:eastAsia="Arial" w:hAnsi="Arial"/>
          <w:sz w:val="13"/>
          <w:szCs w:val="13"/>
          <w:b w:val="1"/>
          <w:bCs w:val="1"/>
          <w:color w:val="auto"/>
        </w:rPr>
        <w:t xml:space="preserve">solvency: </w:t>
      </w:r>
      <w:r>
        <w:rPr>
          <w:rFonts w:ascii="Arial" w:cs="Arial" w:eastAsia="Arial" w:hAnsi="Arial"/>
          <w:sz w:val="13"/>
          <w:szCs w:val="13"/>
          <w:color w:val="auto"/>
        </w:rPr>
        <w:t>each Transaction party is not insolvent;</w:t>
      </w:r>
    </w:p>
    <w:p>
      <w:pPr>
        <w:spacing w:after="0" w:line="84" w:lineRule="exact"/>
        <w:rPr>
          <w:rFonts w:ascii="Arial" w:cs="Arial" w:eastAsia="Arial" w:hAnsi="Arial"/>
          <w:sz w:val="13"/>
          <w:szCs w:val="13"/>
          <w:color w:val="auto"/>
        </w:rPr>
      </w:pPr>
    </w:p>
    <w:p>
      <w:pPr>
        <w:ind w:left="1080" w:hanging="444"/>
        <w:spacing w:after="0" w:line="269" w:lineRule="auto"/>
        <w:tabs>
          <w:tab w:leader="none" w:pos="1080" w:val="left"/>
        </w:tabs>
        <w:numPr>
          <w:ilvl w:val="0"/>
          <w:numId w:val="319"/>
        </w:numPr>
        <w:rPr>
          <w:rFonts w:ascii="Arial" w:cs="Arial" w:eastAsia="Arial" w:hAnsi="Arial"/>
          <w:sz w:val="13"/>
          <w:szCs w:val="13"/>
          <w:color w:val="auto"/>
        </w:rPr>
      </w:pPr>
      <w:r>
        <w:rPr>
          <w:rFonts w:ascii="Arial" w:cs="Arial" w:eastAsia="Arial" w:hAnsi="Arial"/>
          <w:sz w:val="13"/>
          <w:szCs w:val="13"/>
          <w:b w:val="1"/>
          <w:bCs w:val="1"/>
          <w:color w:val="auto"/>
        </w:rPr>
        <w:t xml:space="preserve">corporate benefit: </w:t>
      </w:r>
      <w:r>
        <w:rPr>
          <w:rFonts w:ascii="Arial" w:cs="Arial" w:eastAsia="Arial" w:hAnsi="Arial"/>
          <w:sz w:val="13"/>
          <w:szCs w:val="13"/>
          <w:color w:val="auto"/>
        </w:rPr>
        <w:t>each of the Transaction Parties will receive corporate benefit by entering into the Transaction Documents to which they are</w:t>
      </w:r>
      <w:r>
        <w:rPr>
          <w:rFonts w:ascii="Arial" w:cs="Arial" w:eastAsia="Arial" w:hAnsi="Arial"/>
          <w:sz w:val="13"/>
          <w:szCs w:val="13"/>
          <w:b w:val="1"/>
          <w:bCs w:val="1"/>
          <w:color w:val="auto"/>
        </w:rPr>
        <w:t xml:space="preserve"> </w:t>
      </w:r>
      <w:r>
        <w:rPr>
          <w:rFonts w:ascii="Arial" w:cs="Arial" w:eastAsia="Arial" w:hAnsi="Arial"/>
          <w:sz w:val="13"/>
          <w:szCs w:val="13"/>
          <w:color w:val="auto"/>
        </w:rPr>
        <w:t>a party.</w:t>
      </w:r>
    </w:p>
    <w:p>
      <w:pPr>
        <w:spacing w:after="0" w:line="48" w:lineRule="exact"/>
        <w:rPr>
          <w:sz w:val="20"/>
          <w:szCs w:val="20"/>
          <w:color w:val="auto"/>
        </w:rPr>
      </w:pPr>
    </w:p>
    <w:p>
      <w:pPr>
        <w:ind w:left="140"/>
        <w:spacing w:after="0"/>
        <w:tabs>
          <w:tab w:leader="none" w:pos="2860" w:val="left"/>
        </w:tabs>
        <w:rPr>
          <w:sz w:val="20"/>
          <w:szCs w:val="20"/>
          <w:color w:val="auto"/>
        </w:rPr>
      </w:pPr>
      <w:r>
        <w:rPr>
          <w:rFonts w:ascii="Arial" w:cs="Arial" w:eastAsia="Arial" w:hAnsi="Arial"/>
          <w:sz w:val="14"/>
          <w:szCs w:val="14"/>
          <w:b w:val="1"/>
          <w:bCs w:val="1"/>
          <w:color w:val="auto"/>
        </w:rPr>
        <w:t>8.2</w:t>
      </w:r>
      <w:r>
        <w:rPr>
          <w:sz w:val="20"/>
          <w:szCs w:val="20"/>
          <w:color w:val="auto"/>
        </w:rPr>
        <w:tab/>
      </w:r>
      <w:r>
        <w:rPr>
          <w:rFonts w:ascii="Arial" w:cs="Arial" w:eastAsia="Arial" w:hAnsi="Arial"/>
          <w:sz w:val="13"/>
          <w:szCs w:val="13"/>
          <w:b w:val="1"/>
          <w:bCs w:val="1"/>
          <w:color w:val="auto"/>
        </w:rPr>
        <w:t>General</w:t>
      </w:r>
    </w:p>
    <w:p>
      <w:pPr>
        <w:spacing w:after="0" w:line="75" w:lineRule="exact"/>
        <w:rPr>
          <w:sz w:val="20"/>
          <w:szCs w:val="20"/>
          <w:color w:val="auto"/>
        </w:rPr>
      </w:pPr>
    </w:p>
    <w:p>
      <w:pPr>
        <w:ind w:left="1080" w:right="280" w:hanging="444"/>
        <w:spacing w:after="0" w:line="244" w:lineRule="auto"/>
        <w:tabs>
          <w:tab w:leader="none" w:pos="1080" w:val="left"/>
        </w:tabs>
        <w:numPr>
          <w:ilvl w:val="0"/>
          <w:numId w:val="320"/>
        </w:numPr>
        <w:rPr>
          <w:rFonts w:ascii="Arial" w:cs="Arial" w:eastAsia="Arial" w:hAnsi="Arial"/>
          <w:sz w:val="13"/>
          <w:szCs w:val="13"/>
          <w:color w:val="auto"/>
        </w:rPr>
      </w:pPr>
      <w:r>
        <w:rPr>
          <w:rFonts w:ascii="Arial" w:cs="Arial" w:eastAsia="Arial" w:hAnsi="Arial"/>
          <w:sz w:val="13"/>
          <w:szCs w:val="13"/>
          <w:color w:val="auto"/>
        </w:rPr>
        <w:t>The interpretation of any statement contained in any representation or warranty will not be restricted by reference to or inference from any other statement contained in any other representation or warranty.</w:t>
      </w:r>
    </w:p>
    <w:p>
      <w:pPr>
        <w:spacing w:after="0" w:line="56" w:lineRule="exact"/>
        <w:rPr>
          <w:rFonts w:ascii="Arial" w:cs="Arial" w:eastAsia="Arial" w:hAnsi="Arial"/>
          <w:sz w:val="13"/>
          <w:szCs w:val="13"/>
          <w:color w:val="auto"/>
        </w:rPr>
      </w:pPr>
    </w:p>
    <w:p>
      <w:pPr>
        <w:ind w:left="1400" w:hanging="764"/>
        <w:spacing w:after="0"/>
        <w:tabs>
          <w:tab w:leader="none" w:pos="1400" w:val="left"/>
        </w:tabs>
        <w:numPr>
          <w:ilvl w:val="0"/>
          <w:numId w:val="320"/>
        </w:numPr>
        <w:rPr>
          <w:rFonts w:ascii="Arial" w:cs="Arial" w:eastAsia="Arial" w:hAnsi="Arial"/>
          <w:sz w:val="13"/>
          <w:szCs w:val="13"/>
          <w:color w:val="auto"/>
        </w:rPr>
      </w:pPr>
      <w:r>
        <w:rPr>
          <w:rFonts w:ascii="Arial" w:cs="Arial" w:eastAsia="Arial" w:hAnsi="Arial"/>
          <w:sz w:val="13"/>
          <w:szCs w:val="13"/>
          <w:color w:val="auto"/>
        </w:rPr>
        <w:t>The Borrower acknowledges that the Bank enters into the Transaction Documents in reliance on each representation and warranty.</w:t>
      </w:r>
    </w:p>
    <w:p>
      <w:pPr>
        <w:spacing w:after="0" w:line="66" w:lineRule="exact"/>
        <w:rPr>
          <w:rFonts w:ascii="Arial" w:cs="Arial" w:eastAsia="Arial" w:hAnsi="Arial"/>
          <w:sz w:val="13"/>
          <w:szCs w:val="13"/>
          <w:color w:val="auto"/>
        </w:rPr>
      </w:pPr>
    </w:p>
    <w:p>
      <w:pPr>
        <w:ind w:left="1080" w:right="160" w:hanging="444"/>
        <w:spacing w:after="0" w:line="238" w:lineRule="auto"/>
        <w:tabs>
          <w:tab w:leader="none" w:pos="1080" w:val="left"/>
        </w:tabs>
        <w:numPr>
          <w:ilvl w:val="0"/>
          <w:numId w:val="320"/>
        </w:numPr>
        <w:rPr>
          <w:rFonts w:ascii="Arial" w:cs="Arial" w:eastAsia="Arial" w:hAnsi="Arial"/>
          <w:sz w:val="13"/>
          <w:szCs w:val="13"/>
          <w:color w:val="auto"/>
        </w:rPr>
      </w:pPr>
      <w:r>
        <w:rPr>
          <w:rFonts w:ascii="Arial" w:cs="Arial" w:eastAsia="Arial" w:hAnsi="Arial"/>
          <w:sz w:val="13"/>
          <w:szCs w:val="13"/>
          <w:color w:val="auto"/>
        </w:rPr>
        <w:t>Each representation and warranty survives the execution of the Transaction Documents and is deemed to be repeated with reference to the facts and circumstances then existing on the date each Funding Notice is issued, on each Funding Date, on the last day of each Funding Period and on each day that an Annual Compliance Certificate or Interim Compliance Certificate is given.</w:t>
      </w:r>
    </w:p>
    <w:p>
      <w:pPr>
        <w:spacing w:after="0" w:line="257" w:lineRule="exact"/>
        <w:rPr>
          <w:sz w:val="20"/>
          <w:szCs w:val="20"/>
          <w:color w:val="auto"/>
        </w:rPr>
      </w:pPr>
    </w:p>
    <w:p>
      <w:pPr>
        <w:ind w:left="860" w:hanging="728"/>
        <w:spacing w:after="0"/>
        <w:tabs>
          <w:tab w:leader="none" w:pos="860" w:val="left"/>
        </w:tabs>
        <w:numPr>
          <w:ilvl w:val="0"/>
          <w:numId w:val="321"/>
        </w:numPr>
        <w:rPr>
          <w:rFonts w:ascii="Arial" w:cs="Arial" w:eastAsia="Arial" w:hAnsi="Arial"/>
          <w:sz w:val="19"/>
          <w:szCs w:val="19"/>
          <w:color w:val="auto"/>
        </w:rPr>
      </w:pPr>
      <w:r>
        <w:rPr>
          <w:rFonts w:ascii="Arial" w:cs="Arial" w:eastAsia="Arial" w:hAnsi="Arial"/>
          <w:sz w:val="19"/>
          <w:szCs w:val="19"/>
          <w:color w:val="auto"/>
        </w:rPr>
        <w:t>General obligations</w:t>
      </w:r>
    </w:p>
    <w:p>
      <w:pPr>
        <w:spacing w:after="0" w:line="68" w:lineRule="exact"/>
        <w:rPr>
          <w:sz w:val="20"/>
          <w:szCs w:val="20"/>
          <w:color w:val="auto"/>
        </w:rPr>
      </w:pPr>
    </w:p>
    <w:p>
      <w:pPr>
        <w:ind w:left="140"/>
        <w:spacing w:after="0"/>
        <w:tabs>
          <w:tab w:leader="none" w:pos="3820" w:val="left"/>
        </w:tabs>
        <w:rPr>
          <w:sz w:val="20"/>
          <w:szCs w:val="20"/>
          <w:color w:val="auto"/>
        </w:rPr>
      </w:pPr>
      <w:r>
        <w:rPr>
          <w:rFonts w:ascii="Arial" w:cs="Arial" w:eastAsia="Arial" w:hAnsi="Arial"/>
          <w:sz w:val="14"/>
          <w:szCs w:val="14"/>
          <w:b w:val="1"/>
          <w:bCs w:val="1"/>
          <w:color w:val="auto"/>
        </w:rPr>
        <w:t>9.1</w:t>
      </w:r>
      <w:r>
        <w:rPr>
          <w:sz w:val="20"/>
          <w:szCs w:val="20"/>
          <w:color w:val="auto"/>
        </w:rPr>
        <w:tab/>
      </w:r>
      <w:r>
        <w:rPr>
          <w:rFonts w:ascii="Arial" w:cs="Arial" w:eastAsia="Arial" w:hAnsi="Arial"/>
          <w:sz w:val="14"/>
          <w:szCs w:val="14"/>
          <w:b w:val="1"/>
          <w:bCs w:val="1"/>
          <w:color w:val="auto"/>
        </w:rPr>
        <w:t>Fees</w:t>
      </w:r>
    </w:p>
    <w:p>
      <w:pPr>
        <w:spacing w:after="0" w:line="75" w:lineRule="exact"/>
        <w:rPr>
          <w:sz w:val="20"/>
          <w:szCs w:val="20"/>
          <w:color w:val="auto"/>
        </w:rPr>
      </w:pPr>
    </w:p>
    <w:p>
      <w:pPr>
        <w:ind w:left="640"/>
        <w:spacing w:after="0"/>
        <w:rPr>
          <w:sz w:val="20"/>
          <w:szCs w:val="20"/>
          <w:color w:val="auto"/>
        </w:rPr>
      </w:pPr>
      <w:r>
        <w:rPr>
          <w:rFonts w:ascii="Arial" w:cs="Arial" w:eastAsia="Arial" w:hAnsi="Arial"/>
          <w:sz w:val="13"/>
          <w:szCs w:val="13"/>
          <w:color w:val="auto"/>
        </w:rPr>
        <w:t>The Borrower must pay to the Bank:</w:t>
      </w:r>
    </w:p>
    <w:p>
      <w:pPr>
        <w:spacing w:after="0" w:line="69" w:lineRule="exact"/>
        <w:rPr>
          <w:sz w:val="20"/>
          <w:szCs w:val="20"/>
          <w:color w:val="auto"/>
        </w:rPr>
      </w:pPr>
    </w:p>
    <w:p>
      <w:pPr>
        <w:ind w:left="1140" w:hanging="504"/>
        <w:spacing w:after="0"/>
        <w:tabs>
          <w:tab w:leader="none" w:pos="1140" w:val="left"/>
        </w:tabs>
        <w:numPr>
          <w:ilvl w:val="0"/>
          <w:numId w:val="322"/>
        </w:numPr>
        <w:rPr>
          <w:rFonts w:ascii="Arial" w:cs="Arial" w:eastAsia="Arial" w:hAnsi="Arial"/>
          <w:sz w:val="13"/>
          <w:szCs w:val="13"/>
          <w:color w:val="auto"/>
        </w:rPr>
      </w:pPr>
      <w:r>
        <w:rPr>
          <w:rFonts w:ascii="Arial" w:cs="Arial" w:eastAsia="Arial" w:hAnsi="Arial"/>
          <w:sz w:val="13"/>
          <w:szCs w:val="13"/>
          <w:b w:val="1"/>
          <w:bCs w:val="1"/>
          <w:color w:val="auto"/>
        </w:rPr>
        <w:t>restructure fee</w:t>
      </w:r>
      <w:r>
        <w:rPr>
          <w:rFonts w:ascii="Arial" w:cs="Arial" w:eastAsia="Arial" w:hAnsi="Arial"/>
          <w:sz w:val="13"/>
          <w:szCs w:val="13"/>
          <w:color w:val="auto"/>
        </w:rPr>
        <w:t>: on or before execution of the Restatement Deed, a non- refundable Restructure Fee of $30,000;</w:t>
      </w:r>
    </w:p>
    <w:p>
      <w:pPr>
        <w:spacing w:after="0" w:line="57" w:lineRule="exact"/>
        <w:rPr>
          <w:rFonts w:ascii="Arial" w:cs="Arial" w:eastAsia="Arial" w:hAnsi="Arial"/>
          <w:sz w:val="13"/>
          <w:szCs w:val="13"/>
          <w:color w:val="auto"/>
        </w:rPr>
      </w:pPr>
    </w:p>
    <w:p>
      <w:pPr>
        <w:ind w:left="1240" w:right="100" w:hanging="604"/>
        <w:spacing w:after="0" w:line="269" w:lineRule="auto"/>
        <w:tabs>
          <w:tab w:leader="none" w:pos="1240" w:val="left"/>
        </w:tabs>
        <w:numPr>
          <w:ilvl w:val="0"/>
          <w:numId w:val="322"/>
        </w:numPr>
        <w:rPr>
          <w:rFonts w:ascii="Arial" w:cs="Arial" w:eastAsia="Arial" w:hAnsi="Arial"/>
          <w:sz w:val="13"/>
          <w:szCs w:val="13"/>
          <w:color w:val="auto"/>
        </w:rPr>
      </w:pPr>
      <w:r>
        <w:rPr>
          <w:rFonts w:ascii="Arial" w:cs="Arial" w:eastAsia="Arial" w:hAnsi="Arial"/>
          <w:sz w:val="13"/>
          <w:szCs w:val="13"/>
          <w:b w:val="1"/>
          <w:bCs w:val="1"/>
          <w:color w:val="auto"/>
        </w:rPr>
        <w:t xml:space="preserve">Corporate Markets Loan Facility Fee: </w:t>
      </w:r>
      <w:r>
        <w:rPr>
          <w:rFonts w:ascii="Arial" w:cs="Arial" w:eastAsia="Arial" w:hAnsi="Arial"/>
          <w:sz w:val="13"/>
          <w:szCs w:val="13"/>
          <w:color w:val="auto"/>
        </w:rPr>
        <w:t>a non-refundable facility fee on the Facility Limit in respect of the Corporate Markets Loan Facility</w:t>
      </w:r>
      <w:r>
        <w:rPr>
          <w:rFonts w:ascii="Arial" w:cs="Arial" w:eastAsia="Arial" w:hAnsi="Arial"/>
          <w:sz w:val="13"/>
          <w:szCs w:val="13"/>
          <w:b w:val="1"/>
          <w:bCs w:val="1"/>
          <w:color w:val="auto"/>
        </w:rPr>
        <w:t xml:space="preserve"> </w:t>
      </w:r>
      <w:r>
        <w:rPr>
          <w:rFonts w:ascii="Arial" w:cs="Arial" w:eastAsia="Arial" w:hAnsi="Arial"/>
          <w:sz w:val="13"/>
          <w:szCs w:val="13"/>
          <w:color w:val="auto"/>
        </w:rPr>
        <w:t>calculated at 0.95% per annum from the date of the ‘Variation Date’ under the Restatement Deed, which will:</w:t>
      </w:r>
    </w:p>
    <w:p>
      <w:pPr>
        <w:spacing w:after="0" w:line="41" w:lineRule="exact"/>
        <w:rPr>
          <w:rFonts w:ascii="Arial" w:cs="Arial" w:eastAsia="Arial" w:hAnsi="Arial"/>
          <w:sz w:val="13"/>
          <w:szCs w:val="13"/>
          <w:color w:val="auto"/>
        </w:rPr>
      </w:pPr>
    </w:p>
    <w:p>
      <w:pPr>
        <w:ind w:left="1880" w:hanging="892"/>
        <w:spacing w:after="0"/>
        <w:tabs>
          <w:tab w:leader="none" w:pos="1880" w:val="left"/>
        </w:tabs>
        <w:numPr>
          <w:ilvl w:val="1"/>
          <w:numId w:val="322"/>
        </w:numPr>
        <w:rPr>
          <w:rFonts w:ascii="Arial" w:cs="Arial" w:eastAsia="Arial" w:hAnsi="Arial"/>
          <w:sz w:val="13"/>
          <w:szCs w:val="13"/>
          <w:color w:val="auto"/>
        </w:rPr>
      </w:pPr>
      <w:r>
        <w:rPr>
          <w:rFonts w:ascii="Arial" w:cs="Arial" w:eastAsia="Arial" w:hAnsi="Arial"/>
          <w:sz w:val="13"/>
          <w:szCs w:val="13"/>
          <w:color w:val="auto"/>
        </w:rPr>
        <w:t>accrue from day to day from the date of this document up to and including the Termination Date;</w:t>
      </w:r>
    </w:p>
    <w:p>
      <w:pPr>
        <w:spacing w:after="0" w:line="57" w:lineRule="exact"/>
        <w:rPr>
          <w:rFonts w:ascii="Arial" w:cs="Arial" w:eastAsia="Arial" w:hAnsi="Arial"/>
          <w:sz w:val="13"/>
          <w:szCs w:val="13"/>
          <w:color w:val="auto"/>
        </w:rPr>
      </w:pPr>
    </w:p>
    <w:p>
      <w:pPr>
        <w:ind w:left="2160" w:hanging="1172"/>
        <w:spacing w:after="0"/>
        <w:tabs>
          <w:tab w:leader="none" w:pos="2160" w:val="left"/>
        </w:tabs>
        <w:numPr>
          <w:ilvl w:val="1"/>
          <w:numId w:val="322"/>
        </w:numPr>
        <w:rPr>
          <w:rFonts w:ascii="Arial" w:cs="Arial" w:eastAsia="Arial" w:hAnsi="Arial"/>
          <w:sz w:val="13"/>
          <w:szCs w:val="13"/>
          <w:color w:val="auto"/>
        </w:rPr>
      </w:pPr>
      <w:r>
        <w:rPr>
          <w:rFonts w:ascii="Arial" w:cs="Arial" w:eastAsia="Arial" w:hAnsi="Arial"/>
          <w:sz w:val="13"/>
          <w:szCs w:val="13"/>
          <w:color w:val="auto"/>
        </w:rPr>
        <w:t>be payable monthly in arrears, on the first Business Day of each Month;</w:t>
      </w:r>
    </w:p>
    <w:p>
      <w:pPr>
        <w:spacing w:after="0" w:line="66" w:lineRule="exact"/>
        <w:rPr>
          <w:rFonts w:ascii="Arial" w:cs="Arial" w:eastAsia="Arial" w:hAnsi="Arial"/>
          <w:sz w:val="13"/>
          <w:szCs w:val="13"/>
          <w:color w:val="auto"/>
        </w:rPr>
      </w:pPr>
    </w:p>
    <w:p>
      <w:pPr>
        <w:ind w:left="2160" w:hanging="1172"/>
        <w:spacing w:after="0"/>
        <w:tabs>
          <w:tab w:leader="none" w:pos="2160" w:val="left"/>
        </w:tabs>
        <w:numPr>
          <w:ilvl w:val="1"/>
          <w:numId w:val="322"/>
        </w:numPr>
        <w:rPr>
          <w:rFonts w:ascii="Arial" w:cs="Arial" w:eastAsia="Arial" w:hAnsi="Arial"/>
          <w:sz w:val="13"/>
          <w:szCs w:val="13"/>
          <w:color w:val="auto"/>
        </w:rPr>
      </w:pPr>
      <w:r>
        <w:rPr>
          <w:rFonts w:ascii="Arial" w:cs="Arial" w:eastAsia="Arial" w:hAnsi="Arial"/>
          <w:sz w:val="13"/>
          <w:szCs w:val="13"/>
          <w:color w:val="auto"/>
        </w:rPr>
        <w:t>be calculated on the actual number of days elapsed and on the basis of a 365 day year;</w:t>
      </w:r>
    </w:p>
    <w:p>
      <w:pPr>
        <w:spacing w:after="0" w:line="41" w:lineRule="exact"/>
        <w:rPr>
          <w:rFonts w:ascii="Arial" w:cs="Arial" w:eastAsia="Arial" w:hAnsi="Arial"/>
          <w:sz w:val="13"/>
          <w:szCs w:val="13"/>
          <w:color w:val="auto"/>
        </w:rPr>
      </w:pPr>
    </w:p>
    <w:p>
      <w:pPr>
        <w:ind w:left="1280" w:hanging="644"/>
        <w:spacing w:after="0"/>
        <w:tabs>
          <w:tab w:leader="none" w:pos="1280" w:val="left"/>
        </w:tabs>
        <w:numPr>
          <w:ilvl w:val="0"/>
          <w:numId w:val="322"/>
        </w:numPr>
        <w:rPr>
          <w:rFonts w:ascii="Arial" w:cs="Arial" w:eastAsia="Arial" w:hAnsi="Arial"/>
          <w:sz w:val="13"/>
          <w:szCs w:val="13"/>
          <w:color w:val="auto"/>
        </w:rPr>
      </w:pPr>
      <w:r>
        <w:rPr>
          <w:rFonts w:ascii="Arial" w:cs="Arial" w:eastAsia="Arial" w:hAnsi="Arial"/>
          <w:sz w:val="13"/>
          <w:szCs w:val="13"/>
          <w:b w:val="1"/>
          <w:bCs w:val="1"/>
          <w:color w:val="auto"/>
        </w:rPr>
        <w:t>Reset Fee</w:t>
      </w:r>
      <w:r>
        <w:rPr>
          <w:rFonts w:ascii="Arial" w:cs="Arial" w:eastAsia="Arial" w:hAnsi="Arial"/>
          <w:sz w:val="13"/>
          <w:szCs w:val="13"/>
          <w:color w:val="auto"/>
        </w:rPr>
        <w:t>: on the first Business Day of each Pricing Period (other than the first Pricing Period) a non-refundable fee of $150.00;</w:t>
      </w:r>
    </w:p>
    <w:p>
      <w:pPr>
        <w:spacing w:after="0" w:line="67" w:lineRule="exact"/>
        <w:rPr>
          <w:sz w:val="20"/>
          <w:szCs w:val="20"/>
          <w:color w:val="auto"/>
        </w:rPr>
      </w:pPr>
    </w:p>
    <w:p>
      <w:pPr>
        <w:ind w:left="640"/>
        <w:spacing w:after="0"/>
        <w:tabs>
          <w:tab w:leader="none" w:pos="2620" w:val="left"/>
        </w:tabs>
        <w:rPr>
          <w:sz w:val="20"/>
          <w:szCs w:val="20"/>
          <w:color w:val="auto"/>
        </w:rPr>
      </w:pPr>
      <w:r>
        <w:rPr>
          <w:rFonts w:ascii="Arial" w:cs="Arial" w:eastAsia="Arial" w:hAnsi="Arial"/>
          <w:sz w:val="13"/>
          <w:szCs w:val="13"/>
          <w:b w:val="1"/>
          <w:bCs w:val="1"/>
          <w:color w:val="auto"/>
        </w:rPr>
        <w:t>(d)</w:t>
      </w:r>
      <w:r>
        <w:rPr>
          <w:sz w:val="20"/>
          <w:szCs w:val="20"/>
          <w:color w:val="auto"/>
        </w:rPr>
        <w:tab/>
      </w:r>
      <w:r>
        <w:rPr>
          <w:rFonts w:ascii="Arial" w:cs="Arial" w:eastAsia="Arial" w:hAnsi="Arial"/>
          <w:sz w:val="13"/>
          <w:szCs w:val="13"/>
          <w:b w:val="1"/>
          <w:bCs w:val="1"/>
          <w:color w:val="auto"/>
        </w:rPr>
        <w:t>Not used</w:t>
      </w:r>
    </w:p>
    <w:p>
      <w:pPr>
        <w:spacing w:after="0" w:line="90" w:lineRule="exact"/>
        <w:rPr>
          <w:sz w:val="20"/>
          <w:szCs w:val="20"/>
          <w:color w:val="auto"/>
        </w:rPr>
      </w:pPr>
    </w:p>
    <w:p>
      <w:pPr>
        <w:ind w:left="1040" w:hanging="404"/>
        <w:spacing w:after="0"/>
        <w:tabs>
          <w:tab w:leader="none" w:pos="1040" w:val="left"/>
        </w:tabs>
        <w:numPr>
          <w:ilvl w:val="0"/>
          <w:numId w:val="323"/>
        </w:numPr>
        <w:rPr>
          <w:rFonts w:ascii="Arial" w:cs="Arial" w:eastAsia="Arial" w:hAnsi="Arial"/>
          <w:sz w:val="13"/>
          <w:szCs w:val="13"/>
          <w:color w:val="auto"/>
        </w:rPr>
      </w:pPr>
      <w:r>
        <w:rPr>
          <w:rFonts w:ascii="Arial" w:cs="Arial" w:eastAsia="Arial" w:hAnsi="Arial"/>
          <w:sz w:val="13"/>
          <w:szCs w:val="13"/>
          <w:b w:val="1"/>
          <w:bCs w:val="1"/>
          <w:color w:val="auto"/>
        </w:rPr>
        <w:t>Bank Guarantee service fee</w:t>
      </w:r>
      <w:r>
        <w:rPr>
          <w:rFonts w:ascii="Arial" w:cs="Arial" w:eastAsia="Arial" w:hAnsi="Arial"/>
          <w:sz w:val="13"/>
          <w:szCs w:val="13"/>
          <w:color w:val="auto"/>
        </w:rPr>
        <w:t>: on and from the first services fee charge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180975</wp:posOffset>
            </wp:positionV>
            <wp:extent cx="6208395"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208395" cy="42545"/>
                    </a:xfrm>
                    <a:prstGeom prst="rect">
                      <a:avLst/>
                    </a:prstGeom>
                    <a:noFill/>
                  </pic:spPr>
                </pic:pic>
              </a:graphicData>
            </a:graphic>
          </wp:anchor>
        </w:drawing>
      </w:r>
    </w:p>
    <w:p>
      <w:pPr>
        <w:sectPr>
          <w:pgSz w:w="11900" w:h="16838" w:orient="portrait"/>
          <w:cols w:equalWidth="0" w:num="1">
            <w:col w:w="9380"/>
          </w:cols>
          <w:pgMar w:left="1440" w:top="561" w:right="1079" w:bottom="1440" w:gutter="0" w:footer="0" w:header="0"/>
        </w:sectPr>
      </w:pPr>
    </w:p>
    <w:bookmarkStart w:id="255" w:name="page256"/>
    <w:bookmarkEnd w:id="255"/>
    <w:p>
      <w:pPr>
        <w:ind w:left="980" w:right="140"/>
        <w:spacing w:after="0" w:line="236" w:lineRule="auto"/>
        <w:rPr>
          <w:sz w:val="20"/>
          <w:szCs w:val="20"/>
          <w:color w:val="auto"/>
        </w:rPr>
      </w:pPr>
      <w:r>
        <w:rPr>
          <w:rFonts w:ascii="Arial" w:cs="Arial" w:eastAsia="Arial" w:hAnsi="Arial"/>
          <w:sz w:val="13"/>
          <w:szCs w:val="13"/>
          <w:color w:val="auto"/>
        </w:rPr>
        <w:t>date following 30 June 2014, a non-refundable fee in respect of each Bank Guarantee of 50% of the applicable Bank Guarantee Margin calculated on the Face Value of the Bank Guarantee, payable on a pro- rata basis half yearly in arrears, with the first payment due six months after the relevant Funding Date of the Bank Guarantee, and subsequent payments due every six months thereafter until the Bank Guarantee Matures or Expires or is cancelled. This fee will be calculated on the actual number of days elapsed and on the basis of a 365 day year; and</w:t>
      </w:r>
    </w:p>
    <w:p>
      <w:pPr>
        <w:spacing w:after="0" w:line="44" w:lineRule="exact"/>
        <w:rPr>
          <w:sz w:val="20"/>
          <w:szCs w:val="20"/>
          <w:color w:val="auto"/>
        </w:rPr>
      </w:pPr>
    </w:p>
    <w:p>
      <w:pPr>
        <w:ind w:left="1000" w:right="280" w:hanging="364"/>
        <w:spacing w:after="0" w:line="250" w:lineRule="auto"/>
        <w:tabs>
          <w:tab w:leader="none" w:pos="1000" w:val="left"/>
        </w:tabs>
        <w:numPr>
          <w:ilvl w:val="0"/>
          <w:numId w:val="324"/>
        </w:numPr>
        <w:rPr>
          <w:rFonts w:ascii="Arial" w:cs="Arial" w:eastAsia="Arial" w:hAnsi="Arial"/>
          <w:sz w:val="13"/>
          <w:szCs w:val="13"/>
          <w:color w:val="auto"/>
        </w:rPr>
      </w:pPr>
      <w:r>
        <w:rPr>
          <w:rFonts w:ascii="Arial" w:cs="Arial" w:eastAsia="Arial" w:hAnsi="Arial"/>
          <w:sz w:val="13"/>
          <w:szCs w:val="13"/>
          <w:b w:val="1"/>
          <w:bCs w:val="1"/>
          <w:color w:val="auto"/>
        </w:rPr>
        <w:t xml:space="preserve">Bank Guarantee issuance fee: </w:t>
      </w:r>
      <w:r>
        <w:rPr>
          <w:rFonts w:ascii="Arial" w:cs="Arial" w:eastAsia="Arial" w:hAnsi="Arial"/>
          <w:sz w:val="13"/>
          <w:szCs w:val="13"/>
          <w:color w:val="auto"/>
        </w:rPr>
        <w:t>a non-refundable fee in respect of each Bank Guarantee of 50% of the applicable Bank Guarantee Margin</w:t>
      </w:r>
      <w:r>
        <w:rPr>
          <w:rFonts w:ascii="Arial" w:cs="Arial" w:eastAsia="Arial" w:hAnsi="Arial"/>
          <w:sz w:val="13"/>
          <w:szCs w:val="13"/>
          <w:b w:val="1"/>
          <w:bCs w:val="1"/>
          <w:color w:val="auto"/>
        </w:rPr>
        <w:t xml:space="preserve"> </w:t>
      </w:r>
      <w:r>
        <w:rPr>
          <w:rFonts w:ascii="Arial" w:cs="Arial" w:eastAsia="Arial" w:hAnsi="Arial"/>
          <w:sz w:val="13"/>
          <w:szCs w:val="13"/>
          <w:color w:val="auto"/>
        </w:rPr>
        <w:t>calculated on the Face Value of the Bank Guarantee (or $125 whichever is greater), payable on the relevant Funding Date of the Bank Guarantee.</w:t>
      </w:r>
    </w:p>
    <w:p>
      <w:pPr>
        <w:spacing w:after="0" w:line="60" w:lineRule="exact"/>
        <w:rPr>
          <w:sz w:val="20"/>
          <w:szCs w:val="20"/>
          <w:color w:val="auto"/>
        </w:rPr>
      </w:pPr>
    </w:p>
    <w:p>
      <w:pPr>
        <w:ind w:left="140"/>
        <w:spacing w:after="0"/>
        <w:tabs>
          <w:tab w:leader="none" w:pos="2700" w:val="left"/>
        </w:tabs>
        <w:rPr>
          <w:sz w:val="20"/>
          <w:szCs w:val="20"/>
          <w:color w:val="auto"/>
        </w:rPr>
      </w:pPr>
      <w:r>
        <w:rPr>
          <w:rFonts w:ascii="Arial" w:cs="Arial" w:eastAsia="Arial" w:hAnsi="Arial"/>
          <w:sz w:val="14"/>
          <w:szCs w:val="14"/>
          <w:b w:val="1"/>
          <w:bCs w:val="1"/>
          <w:color w:val="auto"/>
        </w:rPr>
        <w:t>9.2</w:t>
      </w:r>
      <w:r>
        <w:rPr>
          <w:sz w:val="20"/>
          <w:szCs w:val="20"/>
          <w:color w:val="auto"/>
        </w:rPr>
        <w:tab/>
      </w:r>
      <w:r>
        <w:rPr>
          <w:rFonts w:ascii="Arial" w:cs="Arial" w:eastAsia="Arial" w:hAnsi="Arial"/>
          <w:sz w:val="14"/>
          <w:szCs w:val="14"/>
          <w:b w:val="1"/>
          <w:bCs w:val="1"/>
          <w:color w:val="auto"/>
        </w:rPr>
        <w:t>Records</w:t>
      </w:r>
    </w:p>
    <w:p>
      <w:pPr>
        <w:spacing w:after="0" w:line="75" w:lineRule="exact"/>
        <w:rPr>
          <w:sz w:val="20"/>
          <w:szCs w:val="20"/>
          <w:color w:val="auto"/>
        </w:rPr>
      </w:pPr>
    </w:p>
    <w:p>
      <w:pPr>
        <w:ind w:left="640"/>
        <w:spacing w:after="0"/>
        <w:rPr>
          <w:sz w:val="20"/>
          <w:szCs w:val="20"/>
          <w:color w:val="auto"/>
        </w:rPr>
      </w:pPr>
      <w:r>
        <w:rPr>
          <w:rFonts w:ascii="Arial" w:cs="Arial" w:eastAsia="Arial" w:hAnsi="Arial"/>
          <w:sz w:val="13"/>
          <w:szCs w:val="13"/>
          <w:color w:val="auto"/>
        </w:rPr>
        <w:t>The Borrower must ensure that each Transaction Party:</w:t>
      </w:r>
    </w:p>
    <w:p>
      <w:pPr>
        <w:spacing w:after="0" w:line="85" w:lineRule="exact"/>
        <w:rPr>
          <w:sz w:val="20"/>
          <w:szCs w:val="20"/>
          <w:color w:val="auto"/>
        </w:rPr>
      </w:pPr>
    </w:p>
    <w:p>
      <w:pPr>
        <w:ind w:left="1480" w:hanging="844"/>
        <w:spacing w:after="0"/>
        <w:tabs>
          <w:tab w:leader="none" w:pos="1480" w:val="left"/>
        </w:tabs>
        <w:numPr>
          <w:ilvl w:val="0"/>
          <w:numId w:val="325"/>
        </w:numPr>
        <w:rPr>
          <w:rFonts w:ascii="Arial" w:cs="Arial" w:eastAsia="Arial" w:hAnsi="Arial"/>
          <w:sz w:val="13"/>
          <w:szCs w:val="13"/>
          <w:color w:val="auto"/>
        </w:rPr>
      </w:pPr>
      <w:r>
        <w:rPr>
          <w:rFonts w:ascii="Arial" w:cs="Arial" w:eastAsia="Arial" w:hAnsi="Arial"/>
          <w:sz w:val="13"/>
          <w:szCs w:val="13"/>
          <w:color w:val="auto"/>
        </w:rPr>
        <w:t>prepares and keeps books, accounts and other records in accordance with the law and Accounting Standards; and</w:t>
      </w:r>
    </w:p>
    <w:p>
      <w:pPr>
        <w:spacing w:after="0" w:line="66" w:lineRule="exact"/>
        <w:rPr>
          <w:rFonts w:ascii="Arial" w:cs="Arial" w:eastAsia="Arial" w:hAnsi="Arial"/>
          <w:sz w:val="13"/>
          <w:szCs w:val="13"/>
          <w:color w:val="auto"/>
        </w:rPr>
      </w:pPr>
    </w:p>
    <w:p>
      <w:pPr>
        <w:ind w:left="1420" w:hanging="784"/>
        <w:spacing w:after="0"/>
        <w:tabs>
          <w:tab w:leader="none" w:pos="1420" w:val="left"/>
        </w:tabs>
        <w:numPr>
          <w:ilvl w:val="0"/>
          <w:numId w:val="325"/>
        </w:numPr>
        <w:rPr>
          <w:rFonts w:ascii="Arial" w:cs="Arial" w:eastAsia="Arial" w:hAnsi="Arial"/>
          <w:sz w:val="13"/>
          <w:szCs w:val="13"/>
          <w:color w:val="auto"/>
        </w:rPr>
      </w:pPr>
      <w:r>
        <w:rPr>
          <w:rFonts w:ascii="Arial" w:cs="Arial" w:eastAsia="Arial" w:hAnsi="Arial"/>
          <w:sz w:val="13"/>
          <w:szCs w:val="13"/>
          <w:color w:val="auto"/>
        </w:rPr>
        <w:t>on demand, makes the same available for inspection and copying by the Bank.</w:t>
      </w:r>
    </w:p>
    <w:p>
      <w:pPr>
        <w:spacing w:after="0" w:line="83" w:lineRule="exact"/>
        <w:rPr>
          <w:sz w:val="20"/>
          <w:szCs w:val="20"/>
          <w:color w:val="auto"/>
        </w:rPr>
      </w:pPr>
    </w:p>
    <w:p>
      <w:pPr>
        <w:ind w:left="140"/>
        <w:spacing w:after="0"/>
        <w:tabs>
          <w:tab w:leader="none" w:pos="800" w:val="left"/>
        </w:tabs>
        <w:rPr>
          <w:sz w:val="20"/>
          <w:szCs w:val="20"/>
          <w:color w:val="auto"/>
        </w:rPr>
      </w:pPr>
      <w:r>
        <w:rPr>
          <w:rFonts w:ascii="Arial" w:cs="Arial" w:eastAsia="Arial" w:hAnsi="Arial"/>
          <w:sz w:val="14"/>
          <w:szCs w:val="14"/>
          <w:b w:val="1"/>
          <w:bCs w:val="1"/>
          <w:color w:val="auto"/>
        </w:rPr>
        <w:t>9.3</w:t>
      </w:r>
      <w:r>
        <w:rPr>
          <w:sz w:val="20"/>
          <w:szCs w:val="20"/>
          <w:color w:val="auto"/>
        </w:rPr>
        <w:tab/>
      </w:r>
      <w:r>
        <w:rPr>
          <w:rFonts w:ascii="Arial" w:cs="Arial" w:eastAsia="Arial" w:hAnsi="Arial"/>
          <w:sz w:val="14"/>
          <w:szCs w:val="14"/>
          <w:b w:val="1"/>
          <w:bCs w:val="1"/>
          <w:color w:val="auto"/>
        </w:rPr>
        <w:t>Financial Statements and other financial information</w:t>
      </w:r>
    </w:p>
    <w:p>
      <w:pPr>
        <w:spacing w:after="0" w:line="75" w:lineRule="exact"/>
        <w:rPr>
          <w:sz w:val="20"/>
          <w:szCs w:val="20"/>
          <w:color w:val="auto"/>
        </w:rPr>
      </w:pPr>
    </w:p>
    <w:p>
      <w:pPr>
        <w:ind w:left="640"/>
        <w:spacing w:after="0"/>
        <w:rPr>
          <w:sz w:val="20"/>
          <w:szCs w:val="20"/>
          <w:color w:val="auto"/>
        </w:rPr>
      </w:pPr>
      <w:r>
        <w:rPr>
          <w:rFonts w:ascii="Arial" w:cs="Arial" w:eastAsia="Arial" w:hAnsi="Arial"/>
          <w:sz w:val="13"/>
          <w:szCs w:val="13"/>
          <w:color w:val="auto"/>
        </w:rPr>
        <w:t>The Borrower must give to the Bank:</w:t>
      </w:r>
    </w:p>
    <w:p>
      <w:pPr>
        <w:spacing w:after="0" w:line="60" w:lineRule="exact"/>
        <w:rPr>
          <w:sz w:val="20"/>
          <w:szCs w:val="20"/>
          <w:color w:val="auto"/>
        </w:rPr>
      </w:pPr>
    </w:p>
    <w:p>
      <w:pPr>
        <w:ind w:left="1060" w:hanging="424"/>
        <w:spacing w:after="0" w:line="269" w:lineRule="auto"/>
        <w:tabs>
          <w:tab w:leader="none" w:pos="1060" w:val="left"/>
        </w:tabs>
        <w:numPr>
          <w:ilvl w:val="0"/>
          <w:numId w:val="326"/>
        </w:numPr>
        <w:rPr>
          <w:rFonts w:ascii="Arial" w:cs="Arial" w:eastAsia="Arial" w:hAnsi="Arial"/>
          <w:sz w:val="13"/>
          <w:szCs w:val="13"/>
          <w:color w:val="auto"/>
        </w:rPr>
      </w:pPr>
      <w:r>
        <w:rPr>
          <w:rFonts w:ascii="Arial" w:cs="Arial" w:eastAsia="Arial" w:hAnsi="Arial"/>
          <w:sz w:val="13"/>
          <w:szCs w:val="13"/>
          <w:b w:val="1"/>
          <w:bCs w:val="1"/>
          <w:color w:val="auto"/>
        </w:rPr>
        <w:t xml:space="preserve">annual Financial Statements: </w:t>
      </w:r>
      <w:r>
        <w:rPr>
          <w:rFonts w:ascii="Arial" w:cs="Arial" w:eastAsia="Arial" w:hAnsi="Arial"/>
          <w:sz w:val="13"/>
          <w:szCs w:val="13"/>
          <w:color w:val="auto"/>
        </w:rPr>
        <w:t>as soon as practicable, and in any event within 120 days after the end of each Financial Year the consolidated</w:t>
      </w:r>
      <w:r>
        <w:rPr>
          <w:rFonts w:ascii="Arial" w:cs="Arial" w:eastAsia="Arial" w:hAnsi="Arial"/>
          <w:sz w:val="13"/>
          <w:szCs w:val="13"/>
          <w:b w:val="1"/>
          <w:bCs w:val="1"/>
          <w:color w:val="auto"/>
        </w:rPr>
        <w:t xml:space="preserve"> </w:t>
      </w:r>
      <w:r>
        <w:rPr>
          <w:rFonts w:ascii="Arial" w:cs="Arial" w:eastAsia="Arial" w:hAnsi="Arial"/>
          <w:sz w:val="13"/>
          <w:szCs w:val="13"/>
          <w:color w:val="auto"/>
        </w:rPr>
        <w:t>audited Financial Statements of the Reading Entertainment Australia Group for that Financial Year;</w:t>
      </w:r>
    </w:p>
    <w:p>
      <w:pPr>
        <w:spacing w:after="0" w:line="25" w:lineRule="exact"/>
        <w:rPr>
          <w:rFonts w:ascii="Arial" w:cs="Arial" w:eastAsia="Arial" w:hAnsi="Arial"/>
          <w:sz w:val="13"/>
          <w:szCs w:val="13"/>
          <w:color w:val="auto"/>
        </w:rPr>
      </w:pPr>
    </w:p>
    <w:p>
      <w:pPr>
        <w:ind w:left="1440" w:right="240" w:hanging="804"/>
        <w:spacing w:after="0" w:line="250" w:lineRule="auto"/>
        <w:tabs>
          <w:tab w:leader="none" w:pos="1440" w:val="left"/>
        </w:tabs>
        <w:numPr>
          <w:ilvl w:val="0"/>
          <w:numId w:val="326"/>
        </w:numPr>
        <w:rPr>
          <w:rFonts w:ascii="Arial" w:cs="Arial" w:eastAsia="Arial" w:hAnsi="Arial"/>
          <w:sz w:val="13"/>
          <w:szCs w:val="13"/>
          <w:color w:val="auto"/>
        </w:rPr>
      </w:pPr>
      <w:r>
        <w:rPr>
          <w:rFonts w:ascii="Arial" w:cs="Arial" w:eastAsia="Arial" w:hAnsi="Arial"/>
          <w:sz w:val="13"/>
          <w:szCs w:val="13"/>
          <w:b w:val="1"/>
          <w:bCs w:val="1"/>
          <w:color w:val="auto"/>
        </w:rPr>
        <w:t xml:space="preserve">Quarterly Financial Statements: </w:t>
      </w:r>
      <w:r>
        <w:rPr>
          <w:rFonts w:ascii="Arial" w:cs="Arial" w:eastAsia="Arial" w:hAnsi="Arial"/>
          <w:sz w:val="13"/>
          <w:szCs w:val="13"/>
          <w:color w:val="auto"/>
        </w:rPr>
        <w:t>as soon as practicable, and in any event within 45 days after the end of each Quarter (other than</w:t>
      </w:r>
      <w:r>
        <w:rPr>
          <w:rFonts w:ascii="Arial" w:cs="Arial" w:eastAsia="Arial" w:hAnsi="Arial"/>
          <w:sz w:val="13"/>
          <w:szCs w:val="13"/>
          <w:b w:val="1"/>
          <w:bCs w:val="1"/>
          <w:color w:val="auto"/>
        </w:rPr>
        <w:t xml:space="preserve"> </w:t>
      </w:r>
      <w:r>
        <w:rPr>
          <w:rFonts w:ascii="Arial" w:cs="Arial" w:eastAsia="Arial" w:hAnsi="Arial"/>
          <w:sz w:val="13"/>
          <w:szCs w:val="13"/>
          <w:color w:val="auto"/>
        </w:rPr>
        <w:t>the Quarter ending 31 December) the consolidated unaudited Financial Statements of the Reading Entertainment Australia Group for that Quarter (showing both actual and budget figures);</w:t>
      </w:r>
    </w:p>
    <w:p>
      <w:pPr>
        <w:spacing w:after="0" w:line="37" w:lineRule="exact"/>
        <w:rPr>
          <w:rFonts w:ascii="Arial" w:cs="Arial" w:eastAsia="Arial" w:hAnsi="Arial"/>
          <w:sz w:val="13"/>
          <w:szCs w:val="13"/>
          <w:color w:val="auto"/>
        </w:rPr>
      </w:pPr>
    </w:p>
    <w:p>
      <w:pPr>
        <w:ind w:left="1220" w:right="240" w:hanging="584"/>
        <w:spacing w:after="0" w:line="244" w:lineRule="auto"/>
        <w:tabs>
          <w:tab w:leader="none" w:pos="1220" w:val="left"/>
        </w:tabs>
        <w:numPr>
          <w:ilvl w:val="0"/>
          <w:numId w:val="326"/>
        </w:numPr>
        <w:rPr>
          <w:rFonts w:ascii="Arial" w:cs="Arial" w:eastAsia="Arial" w:hAnsi="Arial"/>
          <w:sz w:val="13"/>
          <w:szCs w:val="13"/>
          <w:color w:val="auto"/>
        </w:rPr>
      </w:pPr>
      <w:r>
        <w:rPr>
          <w:rFonts w:ascii="Arial" w:cs="Arial" w:eastAsia="Arial" w:hAnsi="Arial"/>
          <w:sz w:val="13"/>
          <w:szCs w:val="13"/>
          <w:b w:val="1"/>
          <w:bCs w:val="1"/>
          <w:color w:val="auto"/>
        </w:rPr>
        <w:t>group structure diagram</w:t>
      </w:r>
      <w:r>
        <w:rPr>
          <w:rFonts w:ascii="Arial" w:cs="Arial" w:eastAsia="Arial" w:hAnsi="Arial"/>
          <w:sz w:val="13"/>
          <w:szCs w:val="13"/>
          <w:color w:val="auto"/>
        </w:rPr>
        <w:t>: within 120 days after the end of each Financial Year, a group structure diagram in relation to Reading</w:t>
      </w:r>
      <w:r>
        <w:rPr>
          <w:rFonts w:ascii="Arial" w:cs="Arial" w:eastAsia="Arial" w:hAnsi="Arial"/>
          <w:sz w:val="13"/>
          <w:szCs w:val="13"/>
          <w:b w:val="1"/>
          <w:bCs w:val="1"/>
          <w:color w:val="auto"/>
        </w:rPr>
        <w:t xml:space="preserve"> </w:t>
      </w:r>
      <w:r>
        <w:rPr>
          <w:rFonts w:ascii="Arial" w:cs="Arial" w:eastAsia="Arial" w:hAnsi="Arial"/>
          <w:sz w:val="13"/>
          <w:szCs w:val="13"/>
          <w:color w:val="auto"/>
        </w:rPr>
        <w:t>International Inc. and the Reading Entertainment Australia Group which lists all the then Group Members and which contains such other information in relation to the legal relationship between Reading International Inc. and the Reading Entertainment Australia Group Members as the Bank reasonably requires;</w:t>
      </w:r>
    </w:p>
    <w:p>
      <w:pPr>
        <w:spacing w:after="0" w:line="40" w:lineRule="exact"/>
        <w:rPr>
          <w:rFonts w:ascii="Arial" w:cs="Arial" w:eastAsia="Arial" w:hAnsi="Arial"/>
          <w:sz w:val="13"/>
          <w:szCs w:val="13"/>
          <w:color w:val="auto"/>
        </w:rPr>
      </w:pPr>
    </w:p>
    <w:p>
      <w:pPr>
        <w:ind w:left="1060" w:right="480" w:hanging="424"/>
        <w:spacing w:after="0" w:line="250" w:lineRule="auto"/>
        <w:tabs>
          <w:tab w:leader="none" w:pos="1060" w:val="left"/>
        </w:tabs>
        <w:numPr>
          <w:ilvl w:val="0"/>
          <w:numId w:val="326"/>
        </w:numPr>
        <w:rPr>
          <w:rFonts w:ascii="Arial" w:cs="Arial" w:eastAsia="Arial" w:hAnsi="Arial"/>
          <w:sz w:val="13"/>
          <w:szCs w:val="13"/>
          <w:color w:val="auto"/>
        </w:rPr>
      </w:pPr>
      <w:r>
        <w:rPr>
          <w:rFonts w:ascii="Arial" w:cs="Arial" w:eastAsia="Arial" w:hAnsi="Arial"/>
          <w:sz w:val="13"/>
          <w:szCs w:val="13"/>
          <w:b w:val="1"/>
          <w:bCs w:val="1"/>
          <w:color w:val="auto"/>
        </w:rPr>
        <w:t>budget</w:t>
      </w:r>
      <w:r>
        <w:rPr>
          <w:rFonts w:ascii="Arial" w:cs="Arial" w:eastAsia="Arial" w:hAnsi="Arial"/>
          <w:sz w:val="13"/>
          <w:szCs w:val="13"/>
          <w:color w:val="auto"/>
        </w:rPr>
        <w:t>: as soon as practicable, and in any event before 31 March for each Financial Year, a consolidated budget for the Reading</w:t>
      </w:r>
      <w:r>
        <w:rPr>
          <w:rFonts w:ascii="Arial" w:cs="Arial" w:eastAsia="Arial" w:hAnsi="Arial"/>
          <w:sz w:val="13"/>
          <w:szCs w:val="13"/>
          <w:b w:val="1"/>
          <w:bCs w:val="1"/>
          <w:color w:val="auto"/>
        </w:rPr>
        <w:t xml:space="preserve"> </w:t>
      </w:r>
      <w:r>
        <w:rPr>
          <w:rFonts w:ascii="Arial" w:cs="Arial" w:eastAsia="Arial" w:hAnsi="Arial"/>
          <w:sz w:val="13"/>
          <w:szCs w:val="13"/>
          <w:color w:val="auto"/>
        </w:rPr>
        <w:t>Entertainment Australia Group for the current Financial Year showing the budgeted profit and loss, balance sheet and cash flow for the Reading Entertainment Australia Group and such other matters customarily dealt with in such budgets;</w:t>
      </w:r>
    </w:p>
    <w:p>
      <w:pPr>
        <w:spacing w:after="0" w:line="42" w:lineRule="exact"/>
        <w:rPr>
          <w:rFonts w:ascii="Arial" w:cs="Arial" w:eastAsia="Arial" w:hAnsi="Arial"/>
          <w:sz w:val="13"/>
          <w:szCs w:val="13"/>
          <w:color w:val="auto"/>
        </w:rPr>
      </w:pPr>
    </w:p>
    <w:p>
      <w:pPr>
        <w:ind w:left="1440" w:hanging="804"/>
        <w:spacing w:after="0"/>
        <w:tabs>
          <w:tab w:leader="none" w:pos="1440" w:val="left"/>
        </w:tabs>
        <w:numPr>
          <w:ilvl w:val="0"/>
          <w:numId w:val="326"/>
        </w:numPr>
        <w:rPr>
          <w:rFonts w:ascii="Arial" w:cs="Arial" w:eastAsia="Arial" w:hAnsi="Arial"/>
          <w:sz w:val="13"/>
          <w:szCs w:val="13"/>
          <w:color w:val="auto"/>
        </w:rPr>
      </w:pPr>
      <w:r>
        <w:rPr>
          <w:rFonts w:ascii="Arial" w:cs="Arial" w:eastAsia="Arial" w:hAnsi="Arial"/>
          <w:sz w:val="13"/>
          <w:szCs w:val="13"/>
          <w:b w:val="1"/>
          <w:bCs w:val="1"/>
          <w:color w:val="auto"/>
        </w:rPr>
        <w:t>deregistration</w:t>
      </w:r>
      <w:r>
        <w:rPr>
          <w:rFonts w:ascii="Arial" w:cs="Arial" w:eastAsia="Arial" w:hAnsi="Arial"/>
          <w:sz w:val="13"/>
          <w:szCs w:val="13"/>
          <w:color w:val="auto"/>
        </w:rPr>
        <w:t>: not used</w:t>
      </w:r>
      <w:r>
        <w:rPr>
          <w:rFonts w:ascii="Arial" w:cs="Arial" w:eastAsia="Arial" w:hAnsi="Arial"/>
          <w:sz w:val="13"/>
          <w:szCs w:val="13"/>
          <w:color w:val="1E487C"/>
        </w:rPr>
        <w:t>;</w:t>
      </w:r>
      <w:r>
        <w:rPr>
          <w:rFonts w:ascii="Arial" w:cs="Arial" w:eastAsia="Arial" w:hAnsi="Arial"/>
          <w:sz w:val="13"/>
          <w:szCs w:val="13"/>
          <w:b w:val="1"/>
          <w:bCs w:val="1"/>
          <w:color w:val="auto"/>
        </w:rPr>
        <w:t xml:space="preserve"> </w:t>
      </w:r>
      <w:r>
        <w:rPr>
          <w:rFonts w:ascii="Arial" w:cs="Arial" w:eastAsia="Arial" w:hAnsi="Arial"/>
          <w:sz w:val="13"/>
          <w:szCs w:val="13"/>
          <w:color w:val="auto"/>
        </w:rPr>
        <w:t>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180975</wp:posOffset>
            </wp:positionV>
            <wp:extent cx="6208395"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208395" cy="42545"/>
                    </a:xfrm>
                    <a:prstGeom prst="rect">
                      <a:avLst/>
                    </a:prstGeom>
                    <a:noFill/>
                  </pic:spPr>
                </pic:pic>
              </a:graphicData>
            </a:graphic>
          </wp:anchor>
        </w:drawing>
      </w:r>
    </w:p>
    <w:p>
      <w:pPr>
        <w:sectPr>
          <w:pgSz w:w="11900" w:h="16838" w:orient="portrait"/>
          <w:cols w:equalWidth="0" w:num="1">
            <w:col w:w="9380"/>
          </w:cols>
          <w:pgMar w:left="1440" w:top="561" w:right="1079" w:bottom="1440" w:gutter="0" w:footer="0" w:header="0"/>
        </w:sectPr>
      </w:pPr>
    </w:p>
    <w:bookmarkStart w:id="256" w:name="page257"/>
    <w:bookmarkEnd w:id="256"/>
    <w:p>
      <w:pPr>
        <w:ind w:left="1020" w:hanging="384"/>
        <w:spacing w:after="0" w:line="269" w:lineRule="auto"/>
        <w:tabs>
          <w:tab w:leader="none" w:pos="1020" w:val="left"/>
        </w:tabs>
        <w:numPr>
          <w:ilvl w:val="0"/>
          <w:numId w:val="327"/>
        </w:numPr>
        <w:rPr>
          <w:rFonts w:ascii="Arial" w:cs="Arial" w:eastAsia="Arial" w:hAnsi="Arial"/>
          <w:sz w:val="13"/>
          <w:szCs w:val="13"/>
          <w:color w:val="auto"/>
        </w:rPr>
      </w:pPr>
      <w:r>
        <w:rPr>
          <w:rFonts w:ascii="Arial" w:cs="Arial" w:eastAsia="Arial" w:hAnsi="Arial"/>
          <w:sz w:val="13"/>
          <w:szCs w:val="13"/>
          <w:b w:val="1"/>
          <w:bCs w:val="1"/>
          <w:color w:val="auto"/>
        </w:rPr>
        <w:t xml:space="preserve">other financial information: </w:t>
      </w:r>
      <w:r>
        <w:rPr>
          <w:rFonts w:ascii="Arial" w:cs="Arial" w:eastAsia="Arial" w:hAnsi="Arial"/>
          <w:sz w:val="13"/>
          <w:szCs w:val="13"/>
          <w:color w:val="auto"/>
        </w:rPr>
        <w:t>promptly on reasonable notice from the Bank, such additional information in relation to the financial condition and</w:t>
      </w:r>
      <w:r>
        <w:rPr>
          <w:rFonts w:ascii="Arial" w:cs="Arial" w:eastAsia="Arial" w:hAnsi="Arial"/>
          <w:sz w:val="13"/>
          <w:szCs w:val="13"/>
          <w:b w:val="1"/>
          <w:bCs w:val="1"/>
          <w:color w:val="auto"/>
        </w:rPr>
        <w:t xml:space="preserve"> </w:t>
      </w:r>
      <w:r>
        <w:rPr>
          <w:rFonts w:ascii="Arial" w:cs="Arial" w:eastAsia="Arial" w:hAnsi="Arial"/>
          <w:sz w:val="13"/>
          <w:szCs w:val="13"/>
          <w:color w:val="auto"/>
        </w:rPr>
        <w:t>the operations of the Borrower and each other Transaction Party as the Bank reasonably requests from time to time.</w:t>
      </w:r>
    </w:p>
    <w:p>
      <w:pPr>
        <w:spacing w:after="0" w:line="32" w:lineRule="exact"/>
        <w:rPr>
          <w:sz w:val="20"/>
          <w:szCs w:val="20"/>
          <w:color w:val="auto"/>
        </w:rPr>
      </w:pPr>
    </w:p>
    <w:p>
      <w:pPr>
        <w:ind w:left="640" w:right="260"/>
        <w:spacing w:after="0" w:line="244" w:lineRule="auto"/>
        <w:rPr>
          <w:sz w:val="20"/>
          <w:szCs w:val="20"/>
          <w:color w:val="auto"/>
        </w:rPr>
      </w:pPr>
      <w:r>
        <w:rPr>
          <w:rFonts w:ascii="Arial" w:cs="Arial" w:eastAsia="Arial" w:hAnsi="Arial"/>
          <w:sz w:val="13"/>
          <w:szCs w:val="13"/>
          <w:color w:val="auto"/>
        </w:rPr>
        <w:t>The Borrower must ensure that all Financial Statements given to the Bank under the Transaction Documents are prepared in accordance with the Corporations Act and the Accounting Standards.</w:t>
      </w:r>
    </w:p>
    <w:p>
      <w:pPr>
        <w:spacing w:after="0" w:line="56" w:lineRule="exact"/>
        <w:rPr>
          <w:sz w:val="20"/>
          <w:szCs w:val="20"/>
          <w:color w:val="auto"/>
        </w:rPr>
      </w:pPr>
    </w:p>
    <w:p>
      <w:pPr>
        <w:ind w:left="640" w:right="40"/>
        <w:spacing w:after="0" w:line="236" w:lineRule="auto"/>
        <w:rPr>
          <w:sz w:val="20"/>
          <w:szCs w:val="20"/>
          <w:color w:val="auto"/>
        </w:rPr>
      </w:pPr>
      <w:r>
        <w:rPr>
          <w:rFonts w:ascii="Arial" w:cs="Arial" w:eastAsia="Arial" w:hAnsi="Arial"/>
          <w:sz w:val="13"/>
          <w:szCs w:val="13"/>
          <w:color w:val="auto"/>
        </w:rPr>
        <w:t xml:space="preserve">If after the date of this document there is a change in the accounting principles or practices referred to in the definition of 'Accounting Standards' and the Bank or the Borrower reasonably considers that, if the change were to apply for the purposes of this document, the change would have a material effect on the Financial Statements or the calculation of the financial ratios in </w:t>
      </w:r>
      <w:r>
        <w:rPr>
          <w:rFonts w:ascii="Arial" w:cs="Arial" w:eastAsia="Arial" w:hAnsi="Arial"/>
          <w:sz w:val="13"/>
          <w:szCs w:val="13"/>
          <w:b w:val="1"/>
          <w:bCs w:val="1"/>
          <w:color w:val="auto"/>
        </w:rPr>
        <w:t>clause 9.7</w:t>
      </w:r>
      <w:r>
        <w:rPr>
          <w:rFonts w:ascii="Arial" w:cs="Arial" w:eastAsia="Arial" w:hAnsi="Arial"/>
          <w:sz w:val="13"/>
          <w:szCs w:val="13"/>
          <w:color w:val="auto"/>
        </w:rPr>
        <w:t>, the Bank and the Borrower shall endeavour to agree mutually acceptable changes to this document so that the accounting change can be adopted for the purposes of this document.</w:t>
      </w:r>
    </w:p>
    <w:p>
      <w:pPr>
        <w:spacing w:after="0" w:line="68" w:lineRule="exact"/>
        <w:rPr>
          <w:sz w:val="20"/>
          <w:szCs w:val="20"/>
          <w:color w:val="auto"/>
        </w:rPr>
      </w:pPr>
    </w:p>
    <w:p>
      <w:pPr>
        <w:ind w:left="140"/>
        <w:spacing w:after="0"/>
        <w:tabs>
          <w:tab w:leader="none" w:pos="1640" w:val="left"/>
        </w:tabs>
        <w:rPr>
          <w:sz w:val="20"/>
          <w:szCs w:val="20"/>
          <w:color w:val="auto"/>
        </w:rPr>
      </w:pPr>
      <w:r>
        <w:rPr>
          <w:rFonts w:ascii="Arial" w:cs="Arial" w:eastAsia="Arial" w:hAnsi="Arial"/>
          <w:sz w:val="14"/>
          <w:szCs w:val="14"/>
          <w:b w:val="1"/>
          <w:bCs w:val="1"/>
          <w:color w:val="auto"/>
        </w:rPr>
        <w:t>9.4</w:t>
      </w:r>
      <w:r>
        <w:rPr>
          <w:sz w:val="20"/>
          <w:szCs w:val="20"/>
          <w:color w:val="auto"/>
        </w:rPr>
        <w:tab/>
      </w:r>
      <w:r>
        <w:rPr>
          <w:rFonts w:ascii="Arial" w:cs="Arial" w:eastAsia="Arial" w:hAnsi="Arial"/>
          <w:sz w:val="14"/>
          <w:szCs w:val="14"/>
          <w:b w:val="1"/>
          <w:bCs w:val="1"/>
          <w:color w:val="auto"/>
        </w:rPr>
        <w:t>Other information</w:t>
      </w:r>
    </w:p>
    <w:p>
      <w:pPr>
        <w:spacing w:after="0" w:line="75" w:lineRule="exact"/>
        <w:rPr>
          <w:sz w:val="20"/>
          <w:szCs w:val="20"/>
          <w:color w:val="auto"/>
        </w:rPr>
      </w:pPr>
    </w:p>
    <w:p>
      <w:pPr>
        <w:ind w:left="640"/>
        <w:spacing w:after="0"/>
        <w:rPr>
          <w:sz w:val="20"/>
          <w:szCs w:val="20"/>
          <w:color w:val="auto"/>
        </w:rPr>
      </w:pPr>
      <w:r>
        <w:rPr>
          <w:rFonts w:ascii="Arial" w:cs="Arial" w:eastAsia="Arial" w:hAnsi="Arial"/>
          <w:sz w:val="13"/>
          <w:szCs w:val="13"/>
          <w:color w:val="auto"/>
        </w:rPr>
        <w:t>The Borrower must give to the Bank:</w:t>
      </w:r>
    </w:p>
    <w:p>
      <w:pPr>
        <w:spacing w:after="0" w:line="69" w:lineRule="exact"/>
        <w:rPr>
          <w:sz w:val="20"/>
          <w:szCs w:val="20"/>
          <w:color w:val="auto"/>
        </w:rPr>
      </w:pPr>
    </w:p>
    <w:p>
      <w:pPr>
        <w:ind w:left="1140" w:right="120" w:hanging="504"/>
        <w:spacing w:after="0" w:line="269" w:lineRule="auto"/>
        <w:tabs>
          <w:tab w:leader="none" w:pos="1140" w:val="left"/>
        </w:tabs>
        <w:numPr>
          <w:ilvl w:val="0"/>
          <w:numId w:val="328"/>
        </w:numPr>
        <w:rPr>
          <w:rFonts w:ascii="Arial" w:cs="Arial" w:eastAsia="Arial" w:hAnsi="Arial"/>
          <w:sz w:val="13"/>
          <w:szCs w:val="13"/>
          <w:color w:val="auto"/>
        </w:rPr>
      </w:pPr>
      <w:r>
        <w:rPr>
          <w:rFonts w:ascii="Arial" w:cs="Arial" w:eastAsia="Arial" w:hAnsi="Arial"/>
          <w:sz w:val="13"/>
          <w:szCs w:val="13"/>
          <w:b w:val="1"/>
          <w:bCs w:val="1"/>
          <w:color w:val="auto"/>
        </w:rPr>
        <w:t xml:space="preserve">other information: </w:t>
      </w:r>
      <w:r>
        <w:rPr>
          <w:rFonts w:ascii="Arial" w:cs="Arial" w:eastAsia="Arial" w:hAnsi="Arial"/>
          <w:sz w:val="13"/>
          <w:szCs w:val="13"/>
          <w:color w:val="auto"/>
        </w:rPr>
        <w:t>on reasonable notice from the Bank, any other information in the possession or under the control of a Transaction Party</w:t>
      </w:r>
      <w:r>
        <w:rPr>
          <w:rFonts w:ascii="Arial" w:cs="Arial" w:eastAsia="Arial" w:hAnsi="Arial"/>
          <w:sz w:val="13"/>
          <w:szCs w:val="13"/>
          <w:b w:val="1"/>
          <w:bCs w:val="1"/>
          <w:color w:val="auto"/>
        </w:rPr>
        <w:t xml:space="preserve"> </w:t>
      </w:r>
      <w:r>
        <w:rPr>
          <w:rFonts w:ascii="Arial" w:cs="Arial" w:eastAsia="Arial" w:hAnsi="Arial"/>
          <w:sz w:val="13"/>
          <w:szCs w:val="13"/>
          <w:color w:val="auto"/>
        </w:rPr>
        <w:t>which in the Bank’s reasonable opinion is necessary to verify the Borrower’s compliance with any Transaction Document;</w:t>
      </w:r>
    </w:p>
    <w:p>
      <w:pPr>
        <w:spacing w:after="0" w:line="25" w:lineRule="exact"/>
        <w:rPr>
          <w:rFonts w:ascii="Arial" w:cs="Arial" w:eastAsia="Arial" w:hAnsi="Arial"/>
          <w:sz w:val="13"/>
          <w:szCs w:val="13"/>
          <w:color w:val="auto"/>
        </w:rPr>
      </w:pPr>
    </w:p>
    <w:p>
      <w:pPr>
        <w:ind w:left="1420" w:right="340" w:hanging="784"/>
        <w:spacing w:after="0" w:line="269" w:lineRule="auto"/>
        <w:tabs>
          <w:tab w:leader="none" w:pos="1420" w:val="left"/>
        </w:tabs>
        <w:numPr>
          <w:ilvl w:val="0"/>
          <w:numId w:val="328"/>
        </w:numPr>
        <w:rPr>
          <w:rFonts w:ascii="Arial" w:cs="Arial" w:eastAsia="Arial" w:hAnsi="Arial"/>
          <w:sz w:val="13"/>
          <w:szCs w:val="13"/>
          <w:color w:val="auto"/>
        </w:rPr>
      </w:pPr>
      <w:r>
        <w:rPr>
          <w:rFonts w:ascii="Arial" w:cs="Arial" w:eastAsia="Arial" w:hAnsi="Arial"/>
          <w:sz w:val="13"/>
          <w:szCs w:val="13"/>
          <w:b w:val="1"/>
          <w:bCs w:val="1"/>
          <w:color w:val="auto"/>
        </w:rPr>
        <w:t>Annual Compliance Certificate</w:t>
      </w:r>
      <w:r>
        <w:rPr>
          <w:rFonts w:ascii="Arial" w:cs="Arial" w:eastAsia="Arial" w:hAnsi="Arial"/>
          <w:sz w:val="13"/>
          <w:szCs w:val="13"/>
          <w:color w:val="auto"/>
        </w:rPr>
        <w:t>: as soon as practicable, and in any event within 120 days after the end of each Financial Year, an</w:t>
      </w:r>
      <w:r>
        <w:rPr>
          <w:rFonts w:ascii="Arial" w:cs="Arial" w:eastAsia="Arial" w:hAnsi="Arial"/>
          <w:sz w:val="13"/>
          <w:szCs w:val="13"/>
          <w:b w:val="1"/>
          <w:bCs w:val="1"/>
          <w:color w:val="auto"/>
        </w:rPr>
        <w:t xml:space="preserve"> </w:t>
      </w:r>
      <w:r>
        <w:rPr>
          <w:rFonts w:ascii="Arial" w:cs="Arial" w:eastAsia="Arial" w:hAnsi="Arial"/>
          <w:sz w:val="13"/>
          <w:szCs w:val="13"/>
          <w:color w:val="auto"/>
        </w:rPr>
        <w:t>Annual Compliance Certificate for that Financial Year signed by at least one director of the Borrower;</w:t>
      </w:r>
    </w:p>
    <w:p>
      <w:pPr>
        <w:spacing w:after="0" w:line="16" w:lineRule="exact"/>
        <w:rPr>
          <w:rFonts w:ascii="Arial" w:cs="Arial" w:eastAsia="Arial" w:hAnsi="Arial"/>
          <w:sz w:val="13"/>
          <w:szCs w:val="13"/>
          <w:color w:val="auto"/>
        </w:rPr>
      </w:pPr>
    </w:p>
    <w:p>
      <w:pPr>
        <w:ind w:left="1260" w:right="240" w:hanging="624"/>
        <w:spacing w:after="0" w:line="250" w:lineRule="auto"/>
        <w:tabs>
          <w:tab w:leader="none" w:pos="1260" w:val="left"/>
        </w:tabs>
        <w:numPr>
          <w:ilvl w:val="0"/>
          <w:numId w:val="328"/>
        </w:numPr>
        <w:rPr>
          <w:rFonts w:ascii="Arial" w:cs="Arial" w:eastAsia="Arial" w:hAnsi="Arial"/>
          <w:sz w:val="13"/>
          <w:szCs w:val="13"/>
          <w:color w:val="auto"/>
        </w:rPr>
      </w:pPr>
      <w:r>
        <w:rPr>
          <w:rFonts w:ascii="Arial" w:cs="Arial" w:eastAsia="Arial" w:hAnsi="Arial"/>
          <w:sz w:val="13"/>
          <w:szCs w:val="13"/>
          <w:b w:val="1"/>
          <w:bCs w:val="1"/>
          <w:color w:val="auto"/>
        </w:rPr>
        <w:t xml:space="preserve">Interim Compliance Certificate: </w:t>
      </w:r>
      <w:r>
        <w:rPr>
          <w:rFonts w:ascii="Arial" w:cs="Arial" w:eastAsia="Arial" w:hAnsi="Arial"/>
          <w:sz w:val="13"/>
          <w:szCs w:val="13"/>
          <w:color w:val="auto"/>
        </w:rPr>
        <w:t>as soon as practicable, and in any event within 45 days after the end of each Quarter (other than the</w:t>
      </w:r>
      <w:r>
        <w:rPr>
          <w:rFonts w:ascii="Arial" w:cs="Arial" w:eastAsia="Arial" w:hAnsi="Arial"/>
          <w:sz w:val="13"/>
          <w:szCs w:val="13"/>
          <w:b w:val="1"/>
          <w:bCs w:val="1"/>
          <w:color w:val="auto"/>
        </w:rPr>
        <w:t xml:space="preserve"> </w:t>
      </w:r>
      <w:r>
        <w:rPr>
          <w:rFonts w:ascii="Arial" w:cs="Arial" w:eastAsia="Arial" w:hAnsi="Arial"/>
          <w:sz w:val="13"/>
          <w:szCs w:val="13"/>
          <w:color w:val="auto"/>
        </w:rPr>
        <w:t>Quarter ending 31 December) an Interim Compliance Certificate for the previous 12 months signed by at least one director of the Borrower;</w:t>
      </w:r>
    </w:p>
    <w:p>
      <w:pPr>
        <w:spacing w:after="0" w:line="37" w:lineRule="exact"/>
        <w:rPr>
          <w:rFonts w:ascii="Arial" w:cs="Arial" w:eastAsia="Arial" w:hAnsi="Arial"/>
          <w:sz w:val="13"/>
          <w:szCs w:val="13"/>
          <w:color w:val="auto"/>
        </w:rPr>
      </w:pPr>
    </w:p>
    <w:p>
      <w:pPr>
        <w:ind w:left="1160" w:right="580" w:hanging="524"/>
        <w:spacing w:after="0" w:line="269" w:lineRule="auto"/>
        <w:tabs>
          <w:tab w:leader="none" w:pos="1160" w:val="left"/>
        </w:tabs>
        <w:numPr>
          <w:ilvl w:val="0"/>
          <w:numId w:val="328"/>
        </w:numPr>
        <w:rPr>
          <w:rFonts w:ascii="Arial" w:cs="Arial" w:eastAsia="Arial" w:hAnsi="Arial"/>
          <w:sz w:val="13"/>
          <w:szCs w:val="13"/>
          <w:color w:val="auto"/>
        </w:rPr>
      </w:pPr>
      <w:r>
        <w:rPr>
          <w:rFonts w:ascii="Arial" w:cs="Arial" w:eastAsia="Arial" w:hAnsi="Arial"/>
          <w:sz w:val="13"/>
          <w:szCs w:val="13"/>
          <w:b w:val="1"/>
          <w:bCs w:val="1"/>
          <w:color w:val="auto"/>
        </w:rPr>
        <w:t>tenancy schedule</w:t>
      </w:r>
      <w:r>
        <w:rPr>
          <w:rFonts w:ascii="Arial" w:cs="Arial" w:eastAsia="Arial" w:hAnsi="Arial"/>
          <w:sz w:val="13"/>
          <w:szCs w:val="13"/>
          <w:color w:val="auto"/>
        </w:rPr>
        <w:t>: as soon as practicable, and in any event within 120 days of the end of each Financial Year an updated tenancy</w:t>
      </w:r>
      <w:r>
        <w:rPr>
          <w:rFonts w:ascii="Arial" w:cs="Arial" w:eastAsia="Arial" w:hAnsi="Arial"/>
          <w:sz w:val="13"/>
          <w:szCs w:val="13"/>
          <w:b w:val="1"/>
          <w:bCs w:val="1"/>
          <w:color w:val="auto"/>
        </w:rPr>
        <w:t xml:space="preserve"> </w:t>
      </w:r>
      <w:r>
        <w:rPr>
          <w:rFonts w:ascii="Arial" w:cs="Arial" w:eastAsia="Arial" w:hAnsi="Arial"/>
          <w:sz w:val="13"/>
          <w:szCs w:val="13"/>
          <w:color w:val="auto"/>
        </w:rPr>
        <w:t>schedule for each Freehold Property, including (without limitation) the following details:</w:t>
      </w:r>
    </w:p>
    <w:p>
      <w:pPr>
        <w:spacing w:after="0" w:line="32" w:lineRule="exact"/>
        <w:rPr>
          <w:rFonts w:ascii="Arial" w:cs="Arial" w:eastAsia="Arial" w:hAnsi="Arial"/>
          <w:sz w:val="13"/>
          <w:szCs w:val="13"/>
          <w:color w:val="auto"/>
        </w:rPr>
      </w:pPr>
    </w:p>
    <w:p>
      <w:pPr>
        <w:ind w:left="1780" w:hanging="792"/>
        <w:spacing w:after="0"/>
        <w:tabs>
          <w:tab w:leader="none" w:pos="1780" w:val="left"/>
        </w:tabs>
        <w:numPr>
          <w:ilvl w:val="1"/>
          <w:numId w:val="328"/>
        </w:numPr>
        <w:rPr>
          <w:rFonts w:ascii="Arial" w:cs="Arial" w:eastAsia="Arial" w:hAnsi="Arial"/>
          <w:sz w:val="13"/>
          <w:szCs w:val="13"/>
          <w:color w:val="auto"/>
        </w:rPr>
      </w:pPr>
      <w:r>
        <w:rPr>
          <w:rFonts w:ascii="Arial" w:cs="Arial" w:eastAsia="Arial" w:hAnsi="Arial"/>
          <w:sz w:val="13"/>
          <w:szCs w:val="13"/>
          <w:color w:val="auto"/>
        </w:rPr>
        <w:t>the name of each tenant;</w:t>
      </w:r>
    </w:p>
    <w:p>
      <w:pPr>
        <w:spacing w:after="0" w:line="84" w:lineRule="exact"/>
        <w:rPr>
          <w:rFonts w:ascii="Arial" w:cs="Arial" w:eastAsia="Arial" w:hAnsi="Arial"/>
          <w:sz w:val="13"/>
          <w:szCs w:val="13"/>
          <w:color w:val="auto"/>
        </w:rPr>
      </w:pPr>
    </w:p>
    <w:p>
      <w:pPr>
        <w:ind w:left="1940" w:hanging="952"/>
        <w:spacing w:after="0"/>
        <w:tabs>
          <w:tab w:leader="none" w:pos="1940" w:val="left"/>
        </w:tabs>
        <w:numPr>
          <w:ilvl w:val="1"/>
          <w:numId w:val="328"/>
        </w:numPr>
        <w:rPr>
          <w:rFonts w:ascii="Arial" w:cs="Arial" w:eastAsia="Arial" w:hAnsi="Arial"/>
          <w:sz w:val="13"/>
          <w:szCs w:val="13"/>
          <w:color w:val="auto"/>
        </w:rPr>
      </w:pPr>
      <w:r>
        <w:rPr>
          <w:rFonts w:ascii="Arial" w:cs="Arial" w:eastAsia="Arial" w:hAnsi="Arial"/>
          <w:sz w:val="13"/>
          <w:szCs w:val="13"/>
          <w:color w:val="auto"/>
        </w:rPr>
        <w:t>area let by each tenant;</w:t>
      </w:r>
    </w:p>
    <w:p>
      <w:pPr>
        <w:spacing w:after="0" w:line="75" w:lineRule="exact"/>
        <w:rPr>
          <w:rFonts w:ascii="Arial" w:cs="Arial" w:eastAsia="Arial" w:hAnsi="Arial"/>
          <w:sz w:val="13"/>
          <w:szCs w:val="13"/>
          <w:color w:val="auto"/>
        </w:rPr>
      </w:pPr>
    </w:p>
    <w:p>
      <w:pPr>
        <w:ind w:left="1700" w:hanging="712"/>
        <w:spacing w:after="0"/>
        <w:tabs>
          <w:tab w:leader="none" w:pos="1700" w:val="left"/>
        </w:tabs>
        <w:numPr>
          <w:ilvl w:val="1"/>
          <w:numId w:val="328"/>
        </w:numPr>
        <w:rPr>
          <w:rFonts w:ascii="Arial" w:cs="Arial" w:eastAsia="Arial" w:hAnsi="Arial"/>
          <w:sz w:val="13"/>
          <w:szCs w:val="13"/>
          <w:color w:val="auto"/>
        </w:rPr>
      </w:pPr>
      <w:r>
        <w:rPr>
          <w:rFonts w:ascii="Arial" w:cs="Arial" w:eastAsia="Arial" w:hAnsi="Arial"/>
          <w:sz w:val="13"/>
          <w:szCs w:val="13"/>
          <w:color w:val="auto"/>
        </w:rPr>
        <w:t>current passing rent paid by each tenant;</w:t>
      </w:r>
    </w:p>
    <w:p>
      <w:pPr>
        <w:spacing w:after="0" w:line="84" w:lineRule="exact"/>
        <w:rPr>
          <w:rFonts w:ascii="Arial" w:cs="Arial" w:eastAsia="Arial" w:hAnsi="Arial"/>
          <w:sz w:val="13"/>
          <w:szCs w:val="13"/>
          <w:color w:val="auto"/>
        </w:rPr>
      </w:pPr>
    </w:p>
    <w:p>
      <w:pPr>
        <w:ind w:left="2280" w:hanging="1292"/>
        <w:spacing w:after="0"/>
        <w:tabs>
          <w:tab w:leader="none" w:pos="2280" w:val="left"/>
        </w:tabs>
        <w:numPr>
          <w:ilvl w:val="1"/>
          <w:numId w:val="328"/>
        </w:numPr>
        <w:rPr>
          <w:rFonts w:ascii="Arial" w:cs="Arial" w:eastAsia="Arial" w:hAnsi="Arial"/>
          <w:sz w:val="13"/>
          <w:szCs w:val="13"/>
          <w:color w:val="auto"/>
        </w:rPr>
      </w:pPr>
      <w:r>
        <w:rPr>
          <w:rFonts w:ascii="Arial" w:cs="Arial" w:eastAsia="Arial" w:hAnsi="Arial"/>
          <w:sz w:val="13"/>
          <w:szCs w:val="13"/>
          <w:color w:val="auto"/>
        </w:rPr>
        <w:t>the lease start date;</w:t>
      </w:r>
    </w:p>
    <w:p>
      <w:pPr>
        <w:spacing w:after="0" w:line="84" w:lineRule="exact"/>
        <w:rPr>
          <w:rFonts w:ascii="Arial" w:cs="Arial" w:eastAsia="Arial" w:hAnsi="Arial"/>
          <w:sz w:val="13"/>
          <w:szCs w:val="13"/>
          <w:color w:val="auto"/>
        </w:rPr>
      </w:pPr>
    </w:p>
    <w:p>
      <w:pPr>
        <w:ind w:left="2400" w:hanging="1412"/>
        <w:spacing w:after="0"/>
        <w:tabs>
          <w:tab w:leader="none" w:pos="2400" w:val="left"/>
        </w:tabs>
        <w:numPr>
          <w:ilvl w:val="1"/>
          <w:numId w:val="328"/>
        </w:numPr>
        <w:rPr>
          <w:rFonts w:ascii="Arial" w:cs="Arial" w:eastAsia="Arial" w:hAnsi="Arial"/>
          <w:sz w:val="13"/>
          <w:szCs w:val="13"/>
          <w:color w:val="auto"/>
        </w:rPr>
      </w:pPr>
      <w:r>
        <w:rPr>
          <w:rFonts w:ascii="Arial" w:cs="Arial" w:eastAsia="Arial" w:hAnsi="Arial"/>
          <w:sz w:val="13"/>
          <w:szCs w:val="13"/>
          <w:color w:val="auto"/>
        </w:rPr>
        <w:t>the lease term;</w:t>
      </w:r>
    </w:p>
    <w:p>
      <w:pPr>
        <w:spacing w:after="0" w:line="75" w:lineRule="exact"/>
        <w:rPr>
          <w:rFonts w:ascii="Arial" w:cs="Arial" w:eastAsia="Arial" w:hAnsi="Arial"/>
          <w:sz w:val="13"/>
          <w:szCs w:val="13"/>
          <w:color w:val="auto"/>
        </w:rPr>
      </w:pPr>
    </w:p>
    <w:p>
      <w:pPr>
        <w:ind w:left="2120" w:hanging="1132"/>
        <w:spacing w:after="0"/>
        <w:tabs>
          <w:tab w:leader="none" w:pos="2120" w:val="left"/>
        </w:tabs>
        <w:numPr>
          <w:ilvl w:val="1"/>
          <w:numId w:val="328"/>
        </w:numPr>
        <w:rPr>
          <w:rFonts w:ascii="Arial" w:cs="Arial" w:eastAsia="Arial" w:hAnsi="Arial"/>
          <w:sz w:val="13"/>
          <w:szCs w:val="13"/>
          <w:color w:val="auto"/>
        </w:rPr>
      </w:pPr>
      <w:r>
        <w:rPr>
          <w:rFonts w:ascii="Arial" w:cs="Arial" w:eastAsia="Arial" w:hAnsi="Arial"/>
          <w:sz w:val="13"/>
          <w:szCs w:val="13"/>
          <w:color w:val="auto"/>
        </w:rPr>
        <w:t>the lease maturity date;</w:t>
      </w:r>
    </w:p>
    <w:p>
      <w:pPr>
        <w:spacing w:after="0" w:line="84" w:lineRule="exact"/>
        <w:rPr>
          <w:rFonts w:ascii="Arial" w:cs="Arial" w:eastAsia="Arial" w:hAnsi="Arial"/>
          <w:sz w:val="13"/>
          <w:szCs w:val="13"/>
          <w:color w:val="auto"/>
        </w:rPr>
      </w:pPr>
    </w:p>
    <w:p>
      <w:pPr>
        <w:ind w:left="2260" w:hanging="1272"/>
        <w:spacing w:after="0"/>
        <w:tabs>
          <w:tab w:leader="none" w:pos="2260" w:val="left"/>
        </w:tabs>
        <w:numPr>
          <w:ilvl w:val="1"/>
          <w:numId w:val="328"/>
        </w:numPr>
        <w:rPr>
          <w:rFonts w:ascii="Arial" w:cs="Arial" w:eastAsia="Arial" w:hAnsi="Arial"/>
          <w:sz w:val="13"/>
          <w:szCs w:val="13"/>
          <w:color w:val="auto"/>
        </w:rPr>
      </w:pPr>
      <w:r>
        <w:rPr>
          <w:rFonts w:ascii="Arial" w:cs="Arial" w:eastAsia="Arial" w:hAnsi="Arial"/>
          <w:sz w:val="13"/>
          <w:szCs w:val="13"/>
          <w:color w:val="auto"/>
        </w:rPr>
        <w:t>the option term (if any);</w:t>
      </w:r>
    </w:p>
    <w:p>
      <w:pPr>
        <w:spacing w:after="0" w:line="75" w:lineRule="exact"/>
        <w:rPr>
          <w:rFonts w:ascii="Arial" w:cs="Arial" w:eastAsia="Arial" w:hAnsi="Arial"/>
          <w:sz w:val="13"/>
          <w:szCs w:val="13"/>
          <w:color w:val="auto"/>
        </w:rPr>
      </w:pPr>
    </w:p>
    <w:p>
      <w:pPr>
        <w:ind w:left="2380" w:hanging="1392"/>
        <w:spacing w:after="0"/>
        <w:tabs>
          <w:tab w:leader="none" w:pos="2380" w:val="left"/>
        </w:tabs>
        <w:numPr>
          <w:ilvl w:val="1"/>
          <w:numId w:val="328"/>
        </w:numPr>
        <w:rPr>
          <w:rFonts w:ascii="Arial" w:cs="Arial" w:eastAsia="Arial" w:hAnsi="Arial"/>
          <w:sz w:val="13"/>
          <w:szCs w:val="13"/>
          <w:color w:val="auto"/>
        </w:rPr>
      </w:pPr>
      <w:r>
        <w:rPr>
          <w:rFonts w:ascii="Arial" w:cs="Arial" w:eastAsia="Arial" w:hAnsi="Arial"/>
          <w:sz w:val="13"/>
          <w:szCs w:val="13"/>
          <w:color w:val="auto"/>
        </w:rPr>
        <w:t>rent review details;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173990</wp:posOffset>
            </wp:positionV>
            <wp:extent cx="6208395"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208395" cy="42545"/>
                    </a:xfrm>
                    <a:prstGeom prst="rect">
                      <a:avLst/>
                    </a:prstGeom>
                    <a:noFill/>
                  </pic:spPr>
                </pic:pic>
              </a:graphicData>
            </a:graphic>
          </wp:anchor>
        </w:drawing>
      </w:r>
    </w:p>
    <w:p>
      <w:pPr>
        <w:sectPr>
          <w:pgSz w:w="11900" w:h="16838" w:orient="portrait"/>
          <w:cols w:equalWidth="0" w:num="1">
            <w:col w:w="9380"/>
          </w:cols>
          <w:pgMar w:left="1440" w:top="545" w:right="1079" w:bottom="1440" w:gutter="0" w:footer="0" w:header="0"/>
        </w:sectPr>
      </w:pPr>
    </w:p>
    <w:bookmarkStart w:id="257" w:name="page258"/>
    <w:bookmarkEnd w:id="257"/>
    <w:p>
      <w:pPr>
        <w:ind w:left="1620" w:hanging="632"/>
        <w:spacing w:after="0"/>
        <w:tabs>
          <w:tab w:leader="none" w:pos="1620" w:val="left"/>
        </w:tabs>
        <w:numPr>
          <w:ilvl w:val="1"/>
          <w:numId w:val="329"/>
        </w:numPr>
        <w:rPr>
          <w:rFonts w:ascii="Arial" w:cs="Arial" w:eastAsia="Arial" w:hAnsi="Arial"/>
          <w:sz w:val="13"/>
          <w:szCs w:val="13"/>
          <w:color w:val="auto"/>
        </w:rPr>
      </w:pPr>
      <w:r>
        <w:rPr>
          <w:rFonts w:ascii="Arial" w:cs="Arial" w:eastAsia="Arial" w:hAnsi="Arial"/>
          <w:sz w:val="13"/>
          <w:szCs w:val="13"/>
          <w:color w:val="auto"/>
        </w:rPr>
        <w:t>any other material or special clauses or conditions;</w:t>
      </w:r>
    </w:p>
    <w:p>
      <w:pPr>
        <w:spacing w:after="0" w:line="59" w:lineRule="exact"/>
        <w:rPr>
          <w:rFonts w:ascii="Arial" w:cs="Arial" w:eastAsia="Arial" w:hAnsi="Arial"/>
          <w:sz w:val="13"/>
          <w:szCs w:val="13"/>
          <w:color w:val="auto"/>
        </w:rPr>
      </w:pPr>
    </w:p>
    <w:p>
      <w:pPr>
        <w:ind w:left="1040" w:right="100" w:hanging="404"/>
        <w:spacing w:after="0"/>
        <w:tabs>
          <w:tab w:leader="none" w:pos="1040" w:val="left"/>
        </w:tabs>
        <w:numPr>
          <w:ilvl w:val="0"/>
          <w:numId w:val="330"/>
        </w:numPr>
        <w:rPr>
          <w:rFonts w:ascii="Arial" w:cs="Arial" w:eastAsia="Arial" w:hAnsi="Arial"/>
          <w:sz w:val="13"/>
          <w:szCs w:val="13"/>
          <w:color w:val="auto"/>
        </w:rPr>
      </w:pPr>
      <w:r>
        <w:rPr>
          <w:rFonts w:ascii="Arial" w:cs="Arial" w:eastAsia="Arial" w:hAnsi="Arial"/>
          <w:sz w:val="13"/>
          <w:szCs w:val="13"/>
          <w:b w:val="1"/>
          <w:bCs w:val="1"/>
          <w:color w:val="auto"/>
        </w:rPr>
        <w:t xml:space="preserve">Valuations: </w:t>
      </w:r>
      <w:r>
        <w:rPr>
          <w:rFonts w:ascii="Arial" w:cs="Arial" w:eastAsia="Arial" w:hAnsi="Arial"/>
          <w:sz w:val="13"/>
          <w:szCs w:val="13"/>
          <w:color w:val="auto"/>
        </w:rPr>
        <w:t>on demand (provided that no more than one demand is made in a Financial Year and the Bank reasonably considers that there</w:t>
      </w:r>
      <w:r>
        <w:rPr>
          <w:rFonts w:ascii="Arial" w:cs="Arial" w:eastAsia="Arial" w:hAnsi="Arial"/>
          <w:sz w:val="13"/>
          <w:szCs w:val="13"/>
          <w:b w:val="1"/>
          <w:bCs w:val="1"/>
          <w:color w:val="auto"/>
        </w:rPr>
        <w:t xml:space="preserve"> </w:t>
      </w:r>
      <w:r>
        <w:rPr>
          <w:rFonts w:ascii="Arial" w:cs="Arial" w:eastAsia="Arial" w:hAnsi="Arial"/>
          <w:sz w:val="13"/>
          <w:szCs w:val="13"/>
          <w:color w:val="auto"/>
        </w:rPr>
        <w:t>has been a material devaluation of the freehold and leasehold interests subject to the Collateral Security), and in any event within 30 days of the end of every 36 month period from the date of this document, a Valuation in respect of each Freehold Property and leasehold interest that is subject to the Collateral Security. Each Valuation is to be at the Borrower’s expense, addressed to the Bank, conducted by an Approved Valuer and in a form and substance (other than as to value) reasonably satisfactory to the Bank;</w:t>
      </w:r>
    </w:p>
    <w:p>
      <w:pPr>
        <w:spacing w:after="0" w:line="52" w:lineRule="exact"/>
        <w:rPr>
          <w:sz w:val="20"/>
          <w:szCs w:val="20"/>
          <w:color w:val="auto"/>
        </w:rPr>
      </w:pPr>
    </w:p>
    <w:p>
      <w:pPr>
        <w:ind w:left="640"/>
        <w:spacing w:after="0"/>
        <w:tabs>
          <w:tab w:leader="none" w:pos="2300" w:val="left"/>
        </w:tabs>
        <w:rPr>
          <w:sz w:val="20"/>
          <w:szCs w:val="20"/>
          <w:color w:val="auto"/>
        </w:rPr>
      </w:pPr>
      <w:r>
        <w:rPr>
          <w:rFonts w:ascii="Arial" w:cs="Arial" w:eastAsia="Arial" w:hAnsi="Arial"/>
          <w:sz w:val="13"/>
          <w:szCs w:val="13"/>
          <w:color w:val="auto"/>
        </w:rPr>
        <w:t>(f)</w:t>
      </w:r>
      <w:r>
        <w:rPr>
          <w:sz w:val="20"/>
          <w:szCs w:val="20"/>
          <w:color w:val="auto"/>
        </w:rPr>
        <w:tab/>
      </w:r>
      <w:r>
        <w:rPr>
          <w:rFonts w:ascii="Arial" w:cs="Arial" w:eastAsia="Arial" w:hAnsi="Arial"/>
          <w:sz w:val="13"/>
          <w:szCs w:val="13"/>
          <w:color w:val="auto"/>
        </w:rPr>
        <w:t>not used;</w:t>
      </w:r>
    </w:p>
    <w:p>
      <w:pPr>
        <w:spacing w:after="0" w:line="69" w:lineRule="exact"/>
        <w:rPr>
          <w:sz w:val="20"/>
          <w:szCs w:val="20"/>
          <w:color w:val="auto"/>
        </w:rPr>
      </w:pPr>
    </w:p>
    <w:p>
      <w:pPr>
        <w:ind w:left="1040" w:hanging="404"/>
        <w:spacing w:after="0" w:line="250" w:lineRule="auto"/>
        <w:tabs>
          <w:tab w:leader="none" w:pos="1040" w:val="left"/>
        </w:tabs>
        <w:numPr>
          <w:ilvl w:val="0"/>
          <w:numId w:val="331"/>
        </w:numPr>
        <w:rPr>
          <w:rFonts w:ascii="Arial" w:cs="Arial" w:eastAsia="Arial" w:hAnsi="Arial"/>
          <w:sz w:val="13"/>
          <w:szCs w:val="13"/>
          <w:color w:val="auto"/>
        </w:rPr>
      </w:pPr>
      <w:r>
        <w:rPr>
          <w:rFonts w:ascii="Arial" w:cs="Arial" w:eastAsia="Arial" w:hAnsi="Arial"/>
          <w:sz w:val="13"/>
          <w:szCs w:val="13"/>
          <w:b w:val="1"/>
          <w:bCs w:val="1"/>
          <w:color w:val="auto"/>
        </w:rPr>
        <w:t xml:space="preserve">details of any proceeding: </w:t>
      </w:r>
      <w:r>
        <w:rPr>
          <w:rFonts w:ascii="Arial" w:cs="Arial" w:eastAsia="Arial" w:hAnsi="Arial"/>
          <w:sz w:val="13"/>
          <w:szCs w:val="13"/>
          <w:color w:val="auto"/>
        </w:rPr>
        <w:t>full details of any litigation, arbitration, administrative proceeding or native title claim which affects a Transaction</w:t>
      </w:r>
      <w:r>
        <w:rPr>
          <w:rFonts w:ascii="Arial" w:cs="Arial" w:eastAsia="Arial" w:hAnsi="Arial"/>
          <w:sz w:val="13"/>
          <w:szCs w:val="13"/>
          <w:b w:val="1"/>
          <w:bCs w:val="1"/>
          <w:color w:val="auto"/>
        </w:rPr>
        <w:t xml:space="preserve"> </w:t>
      </w:r>
      <w:r>
        <w:rPr>
          <w:rFonts w:ascii="Arial" w:cs="Arial" w:eastAsia="Arial" w:hAnsi="Arial"/>
          <w:sz w:val="13"/>
          <w:szCs w:val="13"/>
          <w:color w:val="auto"/>
        </w:rPr>
        <w:t>Party and which has or the adverse determination of which would be likely to have a Material Adverse Effect, as soon as it is commenced or to the knowledge of the Borrower is threatened; and</w:t>
      </w:r>
    </w:p>
    <w:p>
      <w:pPr>
        <w:spacing w:after="0" w:line="37" w:lineRule="exact"/>
        <w:rPr>
          <w:rFonts w:ascii="Arial" w:cs="Arial" w:eastAsia="Arial" w:hAnsi="Arial"/>
          <w:sz w:val="13"/>
          <w:szCs w:val="13"/>
          <w:color w:val="auto"/>
        </w:rPr>
      </w:pPr>
    </w:p>
    <w:p>
      <w:pPr>
        <w:ind w:left="1140" w:right="320" w:hanging="504"/>
        <w:spacing w:after="0" w:line="269" w:lineRule="auto"/>
        <w:tabs>
          <w:tab w:leader="none" w:pos="1140" w:val="left"/>
        </w:tabs>
        <w:numPr>
          <w:ilvl w:val="0"/>
          <w:numId w:val="331"/>
        </w:numPr>
        <w:rPr>
          <w:rFonts w:ascii="Arial" w:cs="Arial" w:eastAsia="Arial" w:hAnsi="Arial"/>
          <w:sz w:val="13"/>
          <w:szCs w:val="13"/>
          <w:color w:val="auto"/>
        </w:rPr>
      </w:pPr>
      <w:r>
        <w:rPr>
          <w:rFonts w:ascii="Arial" w:cs="Arial" w:eastAsia="Arial" w:hAnsi="Arial"/>
          <w:sz w:val="13"/>
          <w:szCs w:val="13"/>
          <w:b w:val="1"/>
          <w:bCs w:val="1"/>
          <w:color w:val="auto"/>
        </w:rPr>
        <w:t xml:space="preserve">claims: </w:t>
      </w:r>
      <w:r>
        <w:rPr>
          <w:rFonts w:ascii="Arial" w:cs="Arial" w:eastAsia="Arial" w:hAnsi="Arial"/>
          <w:sz w:val="13"/>
          <w:szCs w:val="13"/>
          <w:color w:val="auto"/>
        </w:rPr>
        <w:t>on being notified of it, full details of any event which entitles the Borrower or the Bank to claim more than $1,000,000 under the</w:t>
      </w:r>
      <w:r>
        <w:rPr>
          <w:rFonts w:ascii="Arial" w:cs="Arial" w:eastAsia="Arial" w:hAnsi="Arial"/>
          <w:sz w:val="13"/>
          <w:szCs w:val="13"/>
          <w:b w:val="1"/>
          <w:bCs w:val="1"/>
          <w:color w:val="auto"/>
        </w:rPr>
        <w:t xml:space="preserve"> </w:t>
      </w:r>
      <w:r>
        <w:rPr>
          <w:rFonts w:ascii="Arial" w:cs="Arial" w:eastAsia="Arial" w:hAnsi="Arial"/>
          <w:sz w:val="13"/>
          <w:szCs w:val="13"/>
          <w:color w:val="auto"/>
        </w:rPr>
        <w:t>Insurances.</w:t>
      </w:r>
    </w:p>
    <w:p>
      <w:pPr>
        <w:spacing w:after="0" w:line="48" w:lineRule="exact"/>
        <w:rPr>
          <w:sz w:val="20"/>
          <w:szCs w:val="20"/>
          <w:color w:val="auto"/>
        </w:rPr>
      </w:pPr>
    </w:p>
    <w:p>
      <w:pPr>
        <w:ind w:left="140"/>
        <w:spacing w:after="0"/>
        <w:tabs>
          <w:tab w:leader="none" w:pos="1180" w:val="left"/>
        </w:tabs>
        <w:rPr>
          <w:sz w:val="20"/>
          <w:szCs w:val="20"/>
          <w:color w:val="auto"/>
        </w:rPr>
      </w:pPr>
      <w:r>
        <w:rPr>
          <w:rFonts w:ascii="Arial" w:cs="Arial" w:eastAsia="Arial" w:hAnsi="Arial"/>
          <w:sz w:val="14"/>
          <w:szCs w:val="14"/>
          <w:b w:val="1"/>
          <w:bCs w:val="1"/>
          <w:color w:val="auto"/>
        </w:rPr>
        <w:t>9.5</w:t>
      </w:r>
      <w:r>
        <w:rPr>
          <w:sz w:val="20"/>
          <w:szCs w:val="20"/>
          <w:color w:val="auto"/>
        </w:rPr>
        <w:tab/>
      </w:r>
      <w:r>
        <w:rPr>
          <w:rFonts w:ascii="Arial" w:cs="Arial" w:eastAsia="Arial" w:hAnsi="Arial"/>
          <w:sz w:val="14"/>
          <w:szCs w:val="14"/>
          <w:b w:val="1"/>
          <w:bCs w:val="1"/>
          <w:color w:val="auto"/>
        </w:rPr>
        <w:t>Other financial undertakings</w:t>
      </w:r>
    </w:p>
    <w:p>
      <w:pPr>
        <w:spacing w:after="0" w:line="75" w:lineRule="exact"/>
        <w:rPr>
          <w:sz w:val="20"/>
          <w:szCs w:val="20"/>
          <w:color w:val="auto"/>
        </w:rPr>
      </w:pPr>
    </w:p>
    <w:p>
      <w:pPr>
        <w:ind w:left="640"/>
        <w:spacing w:after="0"/>
        <w:rPr>
          <w:sz w:val="20"/>
          <w:szCs w:val="20"/>
          <w:color w:val="auto"/>
        </w:rPr>
      </w:pPr>
      <w:r>
        <w:rPr>
          <w:rFonts w:ascii="Arial" w:cs="Arial" w:eastAsia="Arial" w:hAnsi="Arial"/>
          <w:sz w:val="13"/>
          <w:szCs w:val="13"/>
          <w:color w:val="auto"/>
        </w:rPr>
        <w:t>Each Transaction Party must ensure that:</w:t>
      </w:r>
    </w:p>
    <w:p>
      <w:pPr>
        <w:spacing w:after="0" w:line="69" w:lineRule="exact"/>
        <w:rPr>
          <w:sz w:val="20"/>
          <w:szCs w:val="20"/>
          <w:color w:val="auto"/>
        </w:rPr>
      </w:pPr>
    </w:p>
    <w:p>
      <w:pPr>
        <w:ind w:left="1200" w:right="300" w:hanging="564"/>
        <w:spacing w:after="0" w:line="269" w:lineRule="auto"/>
        <w:tabs>
          <w:tab w:leader="none" w:pos="1200" w:val="left"/>
        </w:tabs>
        <w:numPr>
          <w:ilvl w:val="0"/>
          <w:numId w:val="332"/>
        </w:numPr>
        <w:rPr>
          <w:rFonts w:ascii="Arial" w:cs="Arial" w:eastAsia="Arial" w:hAnsi="Arial"/>
          <w:sz w:val="13"/>
          <w:szCs w:val="13"/>
          <w:color w:val="auto"/>
        </w:rPr>
      </w:pPr>
      <w:r>
        <w:rPr>
          <w:rFonts w:ascii="Arial" w:cs="Arial" w:eastAsia="Arial" w:hAnsi="Arial"/>
          <w:sz w:val="13"/>
          <w:szCs w:val="13"/>
          <w:b w:val="1"/>
          <w:bCs w:val="1"/>
          <w:color w:val="auto"/>
        </w:rPr>
        <w:t xml:space="preserve">negative pledge: </w:t>
      </w:r>
      <w:r>
        <w:rPr>
          <w:rFonts w:ascii="Arial" w:cs="Arial" w:eastAsia="Arial" w:hAnsi="Arial"/>
          <w:sz w:val="13"/>
          <w:szCs w:val="13"/>
          <w:color w:val="auto"/>
        </w:rPr>
        <w:t>no Encumbrances exist on its property (including the Secured Property and the land and improvements known as 78</w:t>
      </w:r>
      <w:r>
        <w:rPr>
          <w:rFonts w:ascii="Arial" w:cs="Arial" w:eastAsia="Arial" w:hAnsi="Arial"/>
          <w:sz w:val="13"/>
          <w:szCs w:val="13"/>
          <w:b w:val="1"/>
          <w:bCs w:val="1"/>
          <w:color w:val="auto"/>
        </w:rPr>
        <w:t xml:space="preserve"> </w:t>
      </w:r>
      <w:r>
        <w:rPr>
          <w:rFonts w:ascii="Arial" w:cs="Arial" w:eastAsia="Arial" w:hAnsi="Arial"/>
          <w:sz w:val="13"/>
          <w:szCs w:val="13"/>
          <w:color w:val="auto"/>
        </w:rPr>
        <w:t>Middleborough Road, Old Burwood Road, Burwood Victoria), except Permitted Encumbrances;</w:t>
      </w:r>
    </w:p>
    <w:p>
      <w:pPr>
        <w:spacing w:after="0" w:line="21" w:lineRule="exact"/>
        <w:rPr>
          <w:rFonts w:ascii="Arial" w:cs="Arial" w:eastAsia="Arial" w:hAnsi="Arial"/>
          <w:sz w:val="13"/>
          <w:szCs w:val="13"/>
          <w:color w:val="auto"/>
        </w:rPr>
      </w:pPr>
    </w:p>
    <w:p>
      <w:pPr>
        <w:ind w:left="1520" w:hanging="884"/>
        <w:spacing w:after="0"/>
        <w:tabs>
          <w:tab w:leader="none" w:pos="1520" w:val="left"/>
        </w:tabs>
        <w:numPr>
          <w:ilvl w:val="0"/>
          <w:numId w:val="332"/>
        </w:numPr>
        <w:rPr>
          <w:rFonts w:ascii="Arial" w:cs="Arial" w:eastAsia="Arial" w:hAnsi="Arial"/>
          <w:sz w:val="13"/>
          <w:szCs w:val="13"/>
          <w:color w:val="auto"/>
        </w:rPr>
      </w:pPr>
      <w:r>
        <w:rPr>
          <w:rFonts w:ascii="Arial" w:cs="Arial" w:eastAsia="Arial" w:hAnsi="Arial"/>
          <w:sz w:val="13"/>
          <w:szCs w:val="13"/>
          <w:b w:val="1"/>
          <w:bCs w:val="1"/>
          <w:color w:val="auto"/>
        </w:rPr>
        <w:t xml:space="preserve">permitted financial transactions: </w:t>
      </w:r>
      <w:r>
        <w:rPr>
          <w:rFonts w:ascii="Arial" w:cs="Arial" w:eastAsia="Arial" w:hAnsi="Arial"/>
          <w:sz w:val="13"/>
          <w:szCs w:val="13"/>
          <w:color w:val="auto"/>
        </w:rPr>
        <w:t>it does not, without the prior written consent of the Bank:</w:t>
      </w:r>
    </w:p>
    <w:p>
      <w:pPr>
        <w:spacing w:after="0" w:line="74" w:lineRule="exact"/>
        <w:rPr>
          <w:sz w:val="20"/>
          <w:szCs w:val="20"/>
          <w:color w:val="auto"/>
        </w:rPr>
      </w:pPr>
    </w:p>
    <w:p>
      <w:pPr>
        <w:ind w:left="980"/>
        <w:spacing w:after="0"/>
        <w:tabs>
          <w:tab w:leader="none" w:pos="2560" w:val="left"/>
        </w:tabs>
        <w:rPr>
          <w:sz w:val="20"/>
          <w:szCs w:val="20"/>
          <w:color w:val="auto"/>
        </w:rPr>
      </w:pPr>
      <w:r>
        <w:rPr>
          <w:rFonts w:ascii="Arial" w:cs="Arial" w:eastAsia="Arial" w:hAnsi="Arial"/>
          <w:sz w:val="13"/>
          <w:szCs w:val="13"/>
          <w:color w:val="auto"/>
        </w:rPr>
        <w:t>(i)</w:t>
      </w:r>
      <w:r>
        <w:rPr>
          <w:sz w:val="20"/>
          <w:szCs w:val="20"/>
          <w:color w:val="auto"/>
        </w:rPr>
        <w:tab/>
      </w:r>
      <w:r>
        <w:rPr>
          <w:rFonts w:ascii="Arial" w:cs="Arial" w:eastAsia="Arial" w:hAnsi="Arial"/>
          <w:sz w:val="13"/>
          <w:szCs w:val="13"/>
          <w:color w:val="auto"/>
        </w:rPr>
        <w:t>incur any Financial Indebtedness except Permitted Financial Indebtedness;</w:t>
      </w:r>
    </w:p>
    <w:p>
      <w:pPr>
        <w:spacing w:after="0" w:line="70" w:lineRule="exact"/>
        <w:rPr>
          <w:sz w:val="20"/>
          <w:szCs w:val="20"/>
          <w:color w:val="auto"/>
        </w:rPr>
      </w:pPr>
    </w:p>
    <w:p>
      <w:pPr>
        <w:ind w:left="1500" w:right="720" w:hanging="512"/>
        <w:spacing w:after="0" w:line="244" w:lineRule="auto"/>
        <w:tabs>
          <w:tab w:leader="none" w:pos="1500" w:val="left"/>
        </w:tabs>
        <w:numPr>
          <w:ilvl w:val="1"/>
          <w:numId w:val="333"/>
        </w:numPr>
        <w:rPr>
          <w:rFonts w:ascii="Arial" w:cs="Arial" w:eastAsia="Arial" w:hAnsi="Arial"/>
          <w:sz w:val="13"/>
          <w:szCs w:val="13"/>
          <w:color w:val="auto"/>
        </w:rPr>
      </w:pPr>
      <w:r>
        <w:rPr>
          <w:rFonts w:ascii="Arial" w:cs="Arial" w:eastAsia="Arial" w:hAnsi="Arial"/>
          <w:sz w:val="13"/>
          <w:szCs w:val="13"/>
          <w:color w:val="auto"/>
        </w:rPr>
        <w:t>provide any financial accommodation (excluding trade credit in the ordinary course of business) except Permitted Financial Accommodation;</w:t>
      </w:r>
    </w:p>
    <w:p>
      <w:pPr>
        <w:spacing w:after="0" w:line="40" w:lineRule="exact"/>
        <w:rPr>
          <w:rFonts w:ascii="Arial" w:cs="Arial" w:eastAsia="Arial" w:hAnsi="Arial"/>
          <w:sz w:val="13"/>
          <w:szCs w:val="13"/>
          <w:color w:val="auto"/>
        </w:rPr>
      </w:pPr>
    </w:p>
    <w:p>
      <w:pPr>
        <w:ind w:left="1720" w:right="320" w:hanging="1084"/>
        <w:spacing w:after="0" w:line="269" w:lineRule="auto"/>
        <w:tabs>
          <w:tab w:leader="none" w:pos="1720" w:val="left"/>
        </w:tabs>
        <w:numPr>
          <w:ilvl w:val="0"/>
          <w:numId w:val="334"/>
        </w:numPr>
        <w:rPr>
          <w:rFonts w:ascii="Arial" w:cs="Arial" w:eastAsia="Arial" w:hAnsi="Arial"/>
          <w:sz w:val="13"/>
          <w:szCs w:val="13"/>
          <w:color w:val="auto"/>
        </w:rPr>
      </w:pPr>
      <w:r>
        <w:rPr>
          <w:rFonts w:ascii="Arial" w:cs="Arial" w:eastAsia="Arial" w:hAnsi="Arial"/>
          <w:sz w:val="13"/>
          <w:szCs w:val="13"/>
          <w:b w:val="1"/>
          <w:bCs w:val="1"/>
          <w:color w:val="auto"/>
        </w:rPr>
        <w:t xml:space="preserve">disposals: </w:t>
      </w:r>
      <w:r>
        <w:rPr>
          <w:rFonts w:ascii="Arial" w:cs="Arial" w:eastAsia="Arial" w:hAnsi="Arial"/>
          <w:sz w:val="13"/>
          <w:szCs w:val="13"/>
          <w:color w:val="auto"/>
        </w:rPr>
        <w:t>must not dispose of any of its assets, either in a single transaction or in a series of transactions whether related or</w:t>
      </w:r>
      <w:r>
        <w:rPr>
          <w:rFonts w:ascii="Arial" w:cs="Arial" w:eastAsia="Arial" w:hAnsi="Arial"/>
          <w:sz w:val="13"/>
          <w:szCs w:val="13"/>
          <w:b w:val="1"/>
          <w:bCs w:val="1"/>
          <w:color w:val="auto"/>
        </w:rPr>
        <w:t xml:space="preserve"> </w:t>
      </w:r>
      <w:r>
        <w:rPr>
          <w:rFonts w:ascii="Arial" w:cs="Arial" w:eastAsia="Arial" w:hAnsi="Arial"/>
          <w:sz w:val="13"/>
          <w:szCs w:val="13"/>
          <w:color w:val="auto"/>
        </w:rPr>
        <w:t>not and whether voluntary or involuntary, except Permitted Disposals;</w:t>
      </w:r>
    </w:p>
    <w:p>
      <w:pPr>
        <w:spacing w:after="0" w:line="30" w:lineRule="exact"/>
        <w:rPr>
          <w:rFonts w:ascii="Arial" w:cs="Arial" w:eastAsia="Arial" w:hAnsi="Arial"/>
          <w:sz w:val="13"/>
          <w:szCs w:val="13"/>
          <w:color w:val="auto"/>
        </w:rPr>
      </w:pPr>
    </w:p>
    <w:p>
      <w:pPr>
        <w:ind w:left="1280" w:hanging="644"/>
        <w:spacing w:after="0"/>
        <w:tabs>
          <w:tab w:leader="none" w:pos="1280" w:val="left"/>
        </w:tabs>
        <w:numPr>
          <w:ilvl w:val="0"/>
          <w:numId w:val="334"/>
        </w:numPr>
        <w:rPr>
          <w:rFonts w:ascii="Arial" w:cs="Arial" w:eastAsia="Arial" w:hAnsi="Arial"/>
          <w:sz w:val="13"/>
          <w:szCs w:val="13"/>
          <w:color w:val="auto"/>
        </w:rPr>
      </w:pPr>
      <w:r>
        <w:rPr>
          <w:rFonts w:ascii="Arial" w:cs="Arial" w:eastAsia="Arial" w:hAnsi="Arial"/>
          <w:sz w:val="13"/>
          <w:szCs w:val="13"/>
          <w:b w:val="1"/>
          <w:bCs w:val="1"/>
          <w:color w:val="auto"/>
        </w:rPr>
        <w:t xml:space="preserve">mergers: </w:t>
      </w:r>
      <w:r>
        <w:rPr>
          <w:rFonts w:ascii="Arial" w:cs="Arial" w:eastAsia="Arial" w:hAnsi="Arial"/>
          <w:sz w:val="13"/>
          <w:szCs w:val="13"/>
          <w:color w:val="auto"/>
        </w:rPr>
        <w:t>a Transaction Party does not:</w:t>
      </w:r>
    </w:p>
    <w:p>
      <w:pPr>
        <w:spacing w:after="0" w:line="86" w:lineRule="exact"/>
        <w:rPr>
          <w:rFonts w:ascii="Arial" w:cs="Arial" w:eastAsia="Arial" w:hAnsi="Arial"/>
          <w:sz w:val="13"/>
          <w:szCs w:val="13"/>
          <w:color w:val="auto"/>
        </w:rPr>
      </w:pPr>
    </w:p>
    <w:p>
      <w:pPr>
        <w:ind w:left="1360" w:hanging="372"/>
        <w:spacing w:after="0"/>
        <w:tabs>
          <w:tab w:leader="none" w:pos="1360" w:val="left"/>
        </w:tabs>
        <w:numPr>
          <w:ilvl w:val="1"/>
          <w:numId w:val="334"/>
        </w:numPr>
        <w:rPr>
          <w:rFonts w:ascii="Arial" w:cs="Arial" w:eastAsia="Arial" w:hAnsi="Arial"/>
          <w:sz w:val="13"/>
          <w:szCs w:val="13"/>
          <w:color w:val="auto"/>
        </w:rPr>
      </w:pPr>
      <w:r>
        <w:rPr>
          <w:rFonts w:ascii="Arial" w:cs="Arial" w:eastAsia="Arial" w:hAnsi="Arial"/>
          <w:sz w:val="13"/>
          <w:szCs w:val="13"/>
          <w:color w:val="auto"/>
        </w:rPr>
        <w:t>enter into any merger, reconstruction or amalgamation; or</w:t>
      </w:r>
    </w:p>
    <w:p>
      <w:pPr>
        <w:spacing w:after="0" w:line="85" w:lineRule="exact"/>
        <w:rPr>
          <w:sz w:val="20"/>
          <w:szCs w:val="20"/>
          <w:color w:val="auto"/>
        </w:rPr>
      </w:pPr>
    </w:p>
    <w:p>
      <w:pPr>
        <w:ind w:left="1860" w:right="200" w:hanging="872"/>
        <w:spacing w:after="0" w:line="244" w:lineRule="auto"/>
        <w:tabs>
          <w:tab w:leader="none" w:pos="1860" w:val="left"/>
        </w:tabs>
        <w:numPr>
          <w:ilvl w:val="0"/>
          <w:numId w:val="335"/>
        </w:numPr>
        <w:rPr>
          <w:rFonts w:ascii="Arial" w:cs="Arial" w:eastAsia="Arial" w:hAnsi="Arial"/>
          <w:sz w:val="13"/>
          <w:szCs w:val="13"/>
          <w:color w:val="auto"/>
        </w:rPr>
      </w:pPr>
      <w:r>
        <w:rPr>
          <w:rFonts w:ascii="Arial" w:cs="Arial" w:eastAsia="Arial" w:hAnsi="Arial"/>
          <w:sz w:val="13"/>
          <w:szCs w:val="13"/>
          <w:color w:val="auto"/>
        </w:rPr>
        <w:t>acquire any property or business or make any investment if the property, business or investment is substantial in relation to the relevant Transaction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161925</wp:posOffset>
            </wp:positionV>
            <wp:extent cx="6208395"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208395" cy="42545"/>
                    </a:xfrm>
                    <a:prstGeom prst="rect">
                      <a:avLst/>
                    </a:prstGeom>
                    <a:noFill/>
                  </pic:spPr>
                </pic:pic>
              </a:graphicData>
            </a:graphic>
          </wp:anchor>
        </w:drawing>
      </w:r>
    </w:p>
    <w:p>
      <w:pPr>
        <w:sectPr>
          <w:pgSz w:w="11900" w:h="16838" w:orient="portrait"/>
          <w:cols w:equalWidth="0" w:num="1">
            <w:col w:w="9380"/>
          </w:cols>
          <w:pgMar w:left="1440" w:top="561" w:right="1079" w:bottom="1440" w:gutter="0" w:footer="0" w:header="0"/>
        </w:sectPr>
      </w:pPr>
    </w:p>
    <w:bookmarkStart w:id="258" w:name="page259"/>
    <w:bookmarkEnd w:id="258"/>
    <w:p>
      <w:pPr>
        <w:ind w:left="980"/>
        <w:spacing w:after="0"/>
        <w:rPr>
          <w:sz w:val="20"/>
          <w:szCs w:val="20"/>
          <w:color w:val="auto"/>
        </w:rPr>
      </w:pPr>
      <w:r>
        <w:rPr>
          <w:rFonts w:ascii="Arial" w:cs="Arial" w:eastAsia="Arial" w:hAnsi="Arial"/>
          <w:sz w:val="13"/>
          <w:szCs w:val="13"/>
          <w:color w:val="auto"/>
        </w:rPr>
        <w:t>if it would have or be likely to have a Material Adverse Effect;</w:t>
      </w:r>
    </w:p>
    <w:p>
      <w:pPr>
        <w:spacing w:after="0" w:line="60" w:lineRule="exact"/>
        <w:rPr>
          <w:sz w:val="20"/>
          <w:szCs w:val="20"/>
          <w:color w:val="auto"/>
        </w:rPr>
      </w:pPr>
    </w:p>
    <w:p>
      <w:pPr>
        <w:ind w:left="1320" w:hanging="684"/>
        <w:spacing w:after="0"/>
        <w:tabs>
          <w:tab w:leader="none" w:pos="1320" w:val="left"/>
        </w:tabs>
        <w:numPr>
          <w:ilvl w:val="0"/>
          <w:numId w:val="336"/>
        </w:numPr>
        <w:rPr>
          <w:rFonts w:ascii="Arial" w:cs="Arial" w:eastAsia="Arial" w:hAnsi="Arial"/>
          <w:sz w:val="13"/>
          <w:szCs w:val="13"/>
          <w:color w:val="auto"/>
        </w:rPr>
      </w:pPr>
      <w:r>
        <w:rPr>
          <w:rFonts w:ascii="Arial" w:cs="Arial" w:eastAsia="Arial" w:hAnsi="Arial"/>
          <w:sz w:val="13"/>
          <w:szCs w:val="13"/>
          <w:b w:val="1"/>
          <w:bCs w:val="1"/>
          <w:color w:val="auto"/>
        </w:rPr>
        <w:t xml:space="preserve">maintain status: </w:t>
      </w:r>
      <w:r>
        <w:rPr>
          <w:rFonts w:ascii="Arial" w:cs="Arial" w:eastAsia="Arial" w:hAnsi="Arial"/>
          <w:sz w:val="13"/>
          <w:szCs w:val="13"/>
          <w:color w:val="auto"/>
        </w:rPr>
        <w:t>it does everything necessary to maintain its corporate existence in good standing and:</w:t>
      </w:r>
    </w:p>
    <w:p>
      <w:pPr>
        <w:spacing w:after="0" w:line="82" w:lineRule="exact"/>
        <w:rPr>
          <w:rFonts w:ascii="Arial" w:cs="Arial" w:eastAsia="Arial" w:hAnsi="Arial"/>
          <w:sz w:val="13"/>
          <w:szCs w:val="13"/>
          <w:color w:val="auto"/>
        </w:rPr>
      </w:pPr>
    </w:p>
    <w:p>
      <w:pPr>
        <w:ind w:left="1620" w:hanging="632"/>
        <w:spacing w:after="0"/>
        <w:tabs>
          <w:tab w:leader="none" w:pos="1620" w:val="left"/>
        </w:tabs>
        <w:numPr>
          <w:ilvl w:val="1"/>
          <w:numId w:val="336"/>
        </w:numPr>
        <w:rPr>
          <w:rFonts w:ascii="Arial" w:cs="Arial" w:eastAsia="Arial" w:hAnsi="Arial"/>
          <w:sz w:val="13"/>
          <w:szCs w:val="13"/>
          <w:color w:val="auto"/>
        </w:rPr>
      </w:pPr>
      <w:r>
        <w:rPr>
          <w:rFonts w:ascii="Arial" w:cs="Arial" w:eastAsia="Arial" w:hAnsi="Arial"/>
          <w:sz w:val="13"/>
          <w:szCs w:val="13"/>
          <w:color w:val="auto"/>
        </w:rPr>
        <w:t>ensures that it has the right and is properly qualified to conduct its business in all relevant jurisdictions; and</w:t>
      </w:r>
    </w:p>
    <w:p>
      <w:pPr>
        <w:spacing w:after="0" w:line="57" w:lineRule="exact"/>
        <w:rPr>
          <w:rFonts w:ascii="Arial" w:cs="Arial" w:eastAsia="Arial" w:hAnsi="Arial"/>
          <w:sz w:val="13"/>
          <w:szCs w:val="13"/>
          <w:color w:val="auto"/>
        </w:rPr>
      </w:pPr>
    </w:p>
    <w:p>
      <w:pPr>
        <w:ind w:left="1720" w:hanging="732"/>
        <w:spacing w:after="0"/>
        <w:tabs>
          <w:tab w:leader="none" w:pos="1720" w:val="left"/>
        </w:tabs>
        <w:numPr>
          <w:ilvl w:val="1"/>
          <w:numId w:val="336"/>
        </w:numPr>
        <w:rPr>
          <w:rFonts w:ascii="Arial" w:cs="Arial" w:eastAsia="Arial" w:hAnsi="Arial"/>
          <w:sz w:val="13"/>
          <w:szCs w:val="13"/>
          <w:color w:val="auto"/>
        </w:rPr>
      </w:pPr>
      <w:r>
        <w:rPr>
          <w:rFonts w:ascii="Arial" w:cs="Arial" w:eastAsia="Arial" w:hAnsi="Arial"/>
          <w:sz w:val="13"/>
          <w:szCs w:val="13"/>
          <w:color w:val="auto"/>
        </w:rPr>
        <w:t>obtains and maintains all Authorisations necessary for the conduct of its business;</w:t>
      </w:r>
    </w:p>
    <w:p>
      <w:pPr>
        <w:spacing w:after="0" w:line="63" w:lineRule="exact"/>
        <w:rPr>
          <w:sz w:val="20"/>
          <w:szCs w:val="20"/>
          <w:color w:val="auto"/>
        </w:rPr>
      </w:pPr>
    </w:p>
    <w:p>
      <w:pPr>
        <w:ind w:left="980"/>
        <w:spacing w:after="0"/>
        <w:tabs>
          <w:tab w:leader="none" w:pos="2720" w:val="left"/>
        </w:tabs>
        <w:rPr>
          <w:sz w:val="20"/>
          <w:szCs w:val="20"/>
          <w:color w:val="auto"/>
        </w:rPr>
      </w:pPr>
      <w:r>
        <w:rPr>
          <w:rFonts w:ascii="Arial" w:cs="Arial" w:eastAsia="Arial" w:hAnsi="Arial"/>
          <w:sz w:val="13"/>
          <w:szCs w:val="13"/>
          <w:color w:val="auto"/>
        </w:rPr>
        <w:t>(iii)</w:t>
      </w:r>
      <w:r>
        <w:rPr>
          <w:sz w:val="20"/>
          <w:szCs w:val="20"/>
          <w:color w:val="auto"/>
        </w:rPr>
        <w:tab/>
      </w:r>
      <w:r>
        <w:rPr>
          <w:rFonts w:ascii="Arial" w:cs="Arial" w:eastAsia="Arial" w:hAnsi="Arial"/>
          <w:sz w:val="13"/>
          <w:szCs w:val="13"/>
          <w:color w:val="auto"/>
        </w:rPr>
        <w:t>comply with all laws affecting it or its business in all relevant jurisdictions</w:t>
      </w:r>
    </w:p>
    <w:p>
      <w:pPr>
        <w:spacing w:after="0" w:line="51" w:lineRule="exact"/>
        <w:rPr>
          <w:sz w:val="20"/>
          <w:szCs w:val="20"/>
          <w:color w:val="auto"/>
        </w:rPr>
      </w:pPr>
    </w:p>
    <w:p>
      <w:pPr>
        <w:ind w:left="1020" w:hanging="384"/>
        <w:spacing w:after="0"/>
        <w:tabs>
          <w:tab w:leader="none" w:pos="1020" w:val="left"/>
        </w:tabs>
        <w:numPr>
          <w:ilvl w:val="0"/>
          <w:numId w:val="337"/>
        </w:numPr>
        <w:rPr>
          <w:rFonts w:ascii="Arial" w:cs="Arial" w:eastAsia="Arial" w:hAnsi="Arial"/>
          <w:sz w:val="13"/>
          <w:szCs w:val="13"/>
          <w:color w:val="auto"/>
        </w:rPr>
      </w:pPr>
      <w:r>
        <w:rPr>
          <w:rFonts w:ascii="Arial" w:cs="Arial" w:eastAsia="Arial" w:hAnsi="Arial"/>
          <w:sz w:val="13"/>
          <w:szCs w:val="13"/>
          <w:b w:val="1"/>
          <w:bCs w:val="1"/>
          <w:color w:val="auto"/>
        </w:rPr>
        <w:t xml:space="preserve">Distributions: </w:t>
      </w:r>
      <w:r>
        <w:rPr>
          <w:rFonts w:ascii="Arial" w:cs="Arial" w:eastAsia="Arial" w:hAnsi="Arial"/>
          <w:sz w:val="13"/>
          <w:szCs w:val="13"/>
          <w:color w:val="auto"/>
        </w:rPr>
        <w:t>it must not make any Distribution except:</w:t>
      </w:r>
    </w:p>
    <w:p>
      <w:pPr>
        <w:spacing w:after="0" w:line="95" w:lineRule="exact"/>
        <w:rPr>
          <w:rFonts w:ascii="Arial" w:cs="Arial" w:eastAsia="Arial" w:hAnsi="Arial"/>
          <w:sz w:val="13"/>
          <w:szCs w:val="13"/>
          <w:color w:val="auto"/>
        </w:rPr>
      </w:pPr>
    </w:p>
    <w:p>
      <w:pPr>
        <w:ind w:left="1740" w:hanging="752"/>
        <w:spacing w:after="0"/>
        <w:tabs>
          <w:tab w:leader="none" w:pos="1740" w:val="left"/>
        </w:tabs>
        <w:numPr>
          <w:ilvl w:val="1"/>
          <w:numId w:val="337"/>
        </w:numPr>
        <w:rPr>
          <w:rFonts w:ascii="Arial" w:cs="Arial" w:eastAsia="Arial" w:hAnsi="Arial"/>
          <w:sz w:val="13"/>
          <w:szCs w:val="13"/>
          <w:color w:val="auto"/>
        </w:rPr>
      </w:pPr>
      <w:r>
        <w:rPr>
          <w:rFonts w:ascii="Arial" w:cs="Arial" w:eastAsia="Arial" w:hAnsi="Arial"/>
          <w:sz w:val="13"/>
          <w:szCs w:val="13"/>
          <w:color w:val="auto"/>
        </w:rPr>
        <w:t>Permitted Distributions;</w:t>
      </w:r>
    </w:p>
    <w:p>
      <w:pPr>
        <w:spacing w:after="0" w:line="75" w:lineRule="exact"/>
        <w:rPr>
          <w:rFonts w:ascii="Arial" w:cs="Arial" w:eastAsia="Arial" w:hAnsi="Arial"/>
          <w:sz w:val="13"/>
          <w:szCs w:val="13"/>
          <w:color w:val="auto"/>
        </w:rPr>
      </w:pPr>
    </w:p>
    <w:p>
      <w:pPr>
        <w:ind w:left="1680" w:hanging="692"/>
        <w:spacing w:after="0"/>
        <w:tabs>
          <w:tab w:leader="none" w:pos="1680" w:val="left"/>
        </w:tabs>
        <w:numPr>
          <w:ilvl w:val="1"/>
          <w:numId w:val="337"/>
        </w:numPr>
        <w:rPr>
          <w:rFonts w:ascii="Arial" w:cs="Arial" w:eastAsia="Arial" w:hAnsi="Arial"/>
          <w:sz w:val="13"/>
          <w:szCs w:val="13"/>
          <w:color w:val="auto"/>
        </w:rPr>
      </w:pPr>
      <w:r>
        <w:rPr>
          <w:rFonts w:ascii="Arial" w:cs="Arial" w:eastAsia="Arial" w:hAnsi="Arial"/>
          <w:sz w:val="13"/>
          <w:szCs w:val="13"/>
          <w:color w:val="auto"/>
        </w:rPr>
        <w:t>to another Transaction Party; or</w:t>
      </w:r>
    </w:p>
    <w:p>
      <w:pPr>
        <w:spacing w:after="0" w:line="81" w:lineRule="exact"/>
        <w:rPr>
          <w:sz w:val="20"/>
          <w:szCs w:val="20"/>
          <w:color w:val="auto"/>
        </w:rPr>
      </w:pPr>
    </w:p>
    <w:p>
      <w:pPr>
        <w:ind w:left="980" w:right="1920" w:firstLine="3"/>
        <w:spacing w:after="0" w:line="302" w:lineRule="auto"/>
        <w:rPr>
          <w:sz w:val="20"/>
          <w:szCs w:val="20"/>
          <w:color w:val="auto"/>
        </w:rPr>
      </w:pPr>
      <w:r>
        <w:rPr>
          <w:rFonts w:ascii="Arial" w:cs="Arial" w:eastAsia="Arial" w:hAnsi="Arial"/>
          <w:sz w:val="13"/>
          <w:szCs w:val="13"/>
          <w:color w:val="auto"/>
        </w:rPr>
        <w:t>(iii) with the Bank’s prior written consent (such consent not to be unreasonably withheld), and provided that:</w:t>
      </w:r>
    </w:p>
    <w:p>
      <w:pPr>
        <w:spacing w:after="0" w:line="266" w:lineRule="exact"/>
        <w:rPr>
          <w:sz w:val="20"/>
          <w:szCs w:val="20"/>
          <w:color w:val="auto"/>
        </w:rPr>
      </w:pPr>
    </w:p>
    <w:p>
      <w:pPr>
        <w:ind w:left="1780" w:hanging="792"/>
        <w:spacing w:after="0"/>
        <w:tabs>
          <w:tab w:leader="none" w:pos="1780" w:val="left"/>
        </w:tabs>
        <w:numPr>
          <w:ilvl w:val="0"/>
          <w:numId w:val="338"/>
        </w:numPr>
        <w:rPr>
          <w:rFonts w:ascii="Arial" w:cs="Arial" w:eastAsia="Arial" w:hAnsi="Arial"/>
          <w:sz w:val="13"/>
          <w:szCs w:val="13"/>
          <w:color w:val="auto"/>
        </w:rPr>
      </w:pPr>
      <w:r>
        <w:rPr>
          <w:rFonts w:ascii="Arial" w:cs="Arial" w:eastAsia="Arial" w:hAnsi="Arial"/>
          <w:sz w:val="13"/>
          <w:szCs w:val="13"/>
          <w:color w:val="auto"/>
        </w:rPr>
        <w:t>no Event of Default subsists; and</w:t>
      </w:r>
    </w:p>
    <w:p>
      <w:pPr>
        <w:spacing w:after="0" w:line="75" w:lineRule="exact"/>
        <w:rPr>
          <w:rFonts w:ascii="Arial" w:cs="Arial" w:eastAsia="Arial" w:hAnsi="Arial"/>
          <w:sz w:val="13"/>
          <w:szCs w:val="13"/>
          <w:color w:val="auto"/>
        </w:rPr>
      </w:pPr>
    </w:p>
    <w:p>
      <w:pPr>
        <w:ind w:left="1480" w:hanging="492"/>
        <w:spacing w:after="0"/>
        <w:tabs>
          <w:tab w:leader="none" w:pos="1480" w:val="left"/>
        </w:tabs>
        <w:numPr>
          <w:ilvl w:val="0"/>
          <w:numId w:val="338"/>
        </w:numPr>
        <w:rPr>
          <w:rFonts w:ascii="Arial" w:cs="Arial" w:eastAsia="Arial" w:hAnsi="Arial"/>
          <w:sz w:val="13"/>
          <w:szCs w:val="13"/>
          <w:color w:val="auto"/>
        </w:rPr>
      </w:pPr>
      <w:r>
        <w:rPr>
          <w:rFonts w:ascii="Arial" w:cs="Arial" w:eastAsia="Arial" w:hAnsi="Arial"/>
          <w:sz w:val="13"/>
          <w:szCs w:val="13"/>
          <w:color w:val="auto"/>
        </w:rPr>
        <w:t>such Distribution will not cause an Event of Default;</w:t>
      </w:r>
    </w:p>
    <w:p>
      <w:pPr>
        <w:spacing w:after="0" w:line="74" w:lineRule="exact"/>
        <w:rPr>
          <w:sz w:val="20"/>
          <w:szCs w:val="20"/>
          <w:color w:val="auto"/>
        </w:rPr>
      </w:pPr>
    </w:p>
    <w:p>
      <w:pPr>
        <w:ind w:left="640"/>
        <w:spacing w:after="0"/>
        <w:tabs>
          <w:tab w:leader="none" w:pos="2320" w:val="left"/>
        </w:tabs>
        <w:rPr>
          <w:sz w:val="20"/>
          <w:szCs w:val="20"/>
          <w:color w:val="auto"/>
        </w:rPr>
      </w:pPr>
      <w:r>
        <w:rPr>
          <w:rFonts w:ascii="Arial" w:cs="Arial" w:eastAsia="Arial" w:hAnsi="Arial"/>
          <w:sz w:val="13"/>
          <w:szCs w:val="13"/>
          <w:color w:val="auto"/>
        </w:rPr>
        <w:t>(g)</w:t>
      </w:r>
      <w:r>
        <w:rPr>
          <w:sz w:val="20"/>
          <w:szCs w:val="20"/>
          <w:color w:val="auto"/>
        </w:rPr>
        <w:tab/>
      </w:r>
      <w:r>
        <w:rPr>
          <w:rFonts w:ascii="Arial" w:cs="Arial" w:eastAsia="Arial" w:hAnsi="Arial"/>
          <w:sz w:val="13"/>
          <w:szCs w:val="13"/>
          <w:b w:val="1"/>
          <w:bCs w:val="1"/>
          <w:color w:val="auto"/>
        </w:rPr>
        <w:t xml:space="preserve">Taxes: </w:t>
      </w:r>
      <w:r>
        <w:rPr>
          <w:rFonts w:ascii="Arial" w:cs="Arial" w:eastAsia="Arial" w:hAnsi="Arial"/>
          <w:sz w:val="13"/>
          <w:szCs w:val="13"/>
          <w:color w:val="auto"/>
        </w:rPr>
        <w:t>must</w:t>
      </w:r>
    </w:p>
    <w:p>
      <w:pPr>
        <w:spacing w:after="0" w:line="86" w:lineRule="exact"/>
        <w:rPr>
          <w:sz w:val="20"/>
          <w:szCs w:val="20"/>
          <w:color w:val="auto"/>
        </w:rPr>
      </w:pPr>
    </w:p>
    <w:p>
      <w:pPr>
        <w:ind w:left="1540" w:right="280" w:hanging="552"/>
        <w:spacing w:after="0" w:line="244" w:lineRule="auto"/>
        <w:tabs>
          <w:tab w:leader="none" w:pos="1540" w:val="left"/>
        </w:tabs>
        <w:numPr>
          <w:ilvl w:val="1"/>
          <w:numId w:val="339"/>
        </w:numPr>
        <w:rPr>
          <w:rFonts w:ascii="Arial" w:cs="Arial" w:eastAsia="Arial" w:hAnsi="Arial"/>
          <w:sz w:val="13"/>
          <w:szCs w:val="13"/>
          <w:color w:val="auto"/>
        </w:rPr>
      </w:pPr>
      <w:r>
        <w:rPr>
          <w:rFonts w:ascii="Arial" w:cs="Arial" w:eastAsia="Arial" w:hAnsi="Arial"/>
          <w:sz w:val="13"/>
          <w:szCs w:val="13"/>
          <w:color w:val="auto"/>
        </w:rPr>
        <w:t>promptly pay when they become due for payment (or reimburse the Bank on demand for) all Taxes payable by it from time to time other than Taxes being contested in good faith where it has made adequate provisioning;</w:t>
      </w:r>
    </w:p>
    <w:p>
      <w:pPr>
        <w:spacing w:after="0" w:line="65" w:lineRule="exact"/>
        <w:rPr>
          <w:rFonts w:ascii="Arial" w:cs="Arial" w:eastAsia="Arial" w:hAnsi="Arial"/>
          <w:sz w:val="13"/>
          <w:szCs w:val="13"/>
          <w:color w:val="auto"/>
        </w:rPr>
      </w:pPr>
    </w:p>
    <w:p>
      <w:pPr>
        <w:ind w:left="1420" w:right="40" w:hanging="432"/>
        <w:spacing w:after="0" w:line="244" w:lineRule="auto"/>
        <w:tabs>
          <w:tab w:leader="none" w:pos="1420" w:val="left"/>
        </w:tabs>
        <w:numPr>
          <w:ilvl w:val="1"/>
          <w:numId w:val="339"/>
        </w:numPr>
        <w:rPr>
          <w:rFonts w:ascii="Arial" w:cs="Arial" w:eastAsia="Arial" w:hAnsi="Arial"/>
          <w:sz w:val="13"/>
          <w:szCs w:val="13"/>
          <w:color w:val="auto"/>
        </w:rPr>
      </w:pPr>
      <w:r>
        <w:rPr>
          <w:rFonts w:ascii="Arial" w:cs="Arial" w:eastAsia="Arial" w:hAnsi="Arial"/>
          <w:sz w:val="13"/>
          <w:szCs w:val="13"/>
          <w:color w:val="auto"/>
        </w:rPr>
        <w:t>not transfer any Tax losses to any person other than to the Borrower in connection with the preparation of consolidated annual Financial Statements or in connection with the Reading Entertainment Australia Group's tax consolidation arrangements; and</w:t>
      </w:r>
    </w:p>
    <w:p>
      <w:pPr>
        <w:spacing w:after="0" w:line="31" w:lineRule="exact"/>
        <w:rPr>
          <w:rFonts w:ascii="Arial" w:cs="Arial" w:eastAsia="Arial" w:hAnsi="Arial"/>
          <w:sz w:val="13"/>
          <w:szCs w:val="13"/>
          <w:color w:val="auto"/>
        </w:rPr>
      </w:pPr>
    </w:p>
    <w:p>
      <w:pPr>
        <w:ind w:left="1480" w:hanging="492"/>
        <w:spacing w:after="0" w:line="217" w:lineRule="auto"/>
        <w:tabs>
          <w:tab w:leader="none" w:pos="1480" w:val="left"/>
        </w:tabs>
        <w:numPr>
          <w:ilvl w:val="1"/>
          <w:numId w:val="339"/>
        </w:numPr>
        <w:rPr>
          <w:rFonts w:ascii="Arial" w:cs="Arial" w:eastAsia="Arial" w:hAnsi="Arial"/>
          <w:sz w:val="13"/>
          <w:szCs w:val="13"/>
          <w:color w:val="auto"/>
        </w:rPr>
      </w:pPr>
      <w:r>
        <w:rPr>
          <w:rFonts w:ascii="Arial" w:cs="Arial" w:eastAsia="Arial" w:hAnsi="Arial"/>
          <w:sz w:val="13"/>
          <w:szCs w:val="13"/>
          <w:color w:val="auto"/>
        </w:rPr>
        <w:t xml:space="preserve">not become a member of a consolidated group for the purposes of Part 3-90 of the Income </w:t>
      </w:r>
      <w:r>
        <w:rPr>
          <w:rFonts w:ascii="Arial" w:cs="Arial" w:eastAsia="Arial" w:hAnsi="Arial"/>
          <w:sz w:val="13"/>
          <w:szCs w:val="13"/>
          <w:i w:val="1"/>
          <w:iCs w:val="1"/>
          <w:color w:val="auto"/>
        </w:rPr>
        <w:t>Tax Assessment Act 1936</w:t>
      </w:r>
      <w:r>
        <w:rPr>
          <w:rFonts w:ascii="Arial" w:cs="Arial" w:eastAsia="Arial" w:hAnsi="Arial"/>
          <w:sz w:val="13"/>
          <w:szCs w:val="13"/>
          <w:color w:val="auto"/>
        </w:rPr>
        <w:t xml:space="preserve"> and the </w:t>
      </w:r>
      <w:r>
        <w:rPr>
          <w:rFonts w:ascii="Arial" w:cs="Arial" w:eastAsia="Arial" w:hAnsi="Arial"/>
          <w:sz w:val="13"/>
          <w:szCs w:val="13"/>
          <w:i w:val="1"/>
          <w:iCs w:val="1"/>
          <w:color w:val="auto"/>
        </w:rPr>
        <w:t>Income Tax Act</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1997 </w:t>
      </w:r>
      <w:r>
        <w:rPr>
          <w:rFonts w:ascii="Arial" w:cs="Arial" w:eastAsia="Arial" w:hAnsi="Arial"/>
          <w:sz w:val="13"/>
          <w:szCs w:val="13"/>
          <w:color w:val="auto"/>
        </w:rPr>
        <w:t>including any amendments thereto (including any amendments made by the</w:t>
      </w:r>
      <w:r>
        <w:rPr>
          <w:rFonts w:ascii="Arial" w:cs="Arial" w:eastAsia="Arial" w:hAnsi="Arial"/>
          <w:sz w:val="13"/>
          <w:szCs w:val="13"/>
          <w:i w:val="1"/>
          <w:iCs w:val="1"/>
          <w:color w:val="auto"/>
        </w:rPr>
        <w:t xml:space="preserve"> New Business Tax (Consolidation Act (No. 1)) 2002 </w:t>
      </w:r>
      <w:r>
        <w:rPr>
          <w:rFonts w:ascii="Arial" w:cs="Arial" w:eastAsia="Arial" w:hAnsi="Arial"/>
          <w:sz w:val="13"/>
          <w:szCs w:val="13"/>
          <w:color w:val="auto"/>
        </w:rPr>
        <w:t>and the</w:t>
      </w:r>
      <w:r>
        <w:rPr>
          <w:rFonts w:ascii="Arial" w:cs="Arial" w:eastAsia="Arial" w:hAnsi="Arial"/>
          <w:sz w:val="13"/>
          <w:szCs w:val="13"/>
          <w:i w:val="1"/>
          <w:iCs w:val="1"/>
          <w:color w:val="auto"/>
        </w:rPr>
        <w:t xml:space="preserve"> New Business Tax System (Consolidation, Value Shifting, Damages and other Measures) Act 2002) </w:t>
      </w:r>
      <w:r>
        <w:rPr>
          <w:rFonts w:ascii="Arial" w:cs="Arial" w:eastAsia="Arial" w:hAnsi="Arial"/>
          <w:sz w:val="13"/>
          <w:szCs w:val="13"/>
          <w:color w:val="auto"/>
        </w:rPr>
        <w:t>other than in accordance with a Tax</w:t>
      </w:r>
      <w:r>
        <w:rPr>
          <w:rFonts w:ascii="Arial" w:cs="Arial" w:eastAsia="Arial" w:hAnsi="Arial"/>
          <w:sz w:val="13"/>
          <w:szCs w:val="13"/>
          <w:i w:val="1"/>
          <w:iCs w:val="1"/>
          <w:color w:val="auto"/>
        </w:rPr>
        <w:t xml:space="preserve"> </w:t>
      </w:r>
      <w:r>
        <w:rPr>
          <w:rFonts w:ascii="Arial" w:cs="Arial" w:eastAsia="Arial" w:hAnsi="Arial"/>
          <w:sz w:val="13"/>
          <w:szCs w:val="13"/>
          <w:color w:val="auto"/>
        </w:rPr>
        <w:t>Sharing Agreement or otherwise on terms approved by the Bank;</w:t>
      </w:r>
    </w:p>
    <w:p>
      <w:pPr>
        <w:spacing w:after="0" w:line="40" w:lineRule="exact"/>
        <w:rPr>
          <w:rFonts w:ascii="Arial" w:cs="Arial" w:eastAsia="Arial" w:hAnsi="Arial"/>
          <w:sz w:val="13"/>
          <w:szCs w:val="13"/>
          <w:color w:val="auto"/>
        </w:rPr>
      </w:pPr>
    </w:p>
    <w:p>
      <w:pPr>
        <w:ind w:left="1320" w:hanging="684"/>
        <w:spacing w:after="0"/>
        <w:tabs>
          <w:tab w:leader="none" w:pos="1320" w:val="left"/>
        </w:tabs>
        <w:numPr>
          <w:ilvl w:val="0"/>
          <w:numId w:val="340"/>
        </w:numPr>
        <w:rPr>
          <w:rFonts w:ascii="Arial" w:cs="Arial" w:eastAsia="Arial" w:hAnsi="Arial"/>
          <w:sz w:val="13"/>
          <w:szCs w:val="13"/>
          <w:color w:val="auto"/>
        </w:rPr>
      </w:pPr>
      <w:r>
        <w:rPr>
          <w:rFonts w:ascii="Arial" w:cs="Arial" w:eastAsia="Arial" w:hAnsi="Arial"/>
          <w:sz w:val="13"/>
          <w:szCs w:val="13"/>
          <w:b w:val="1"/>
          <w:bCs w:val="1"/>
          <w:color w:val="auto"/>
        </w:rPr>
        <w:t xml:space="preserve">Guarantor accession: </w:t>
      </w:r>
      <w:r>
        <w:rPr>
          <w:rFonts w:ascii="Arial" w:cs="Arial" w:eastAsia="Arial" w:hAnsi="Arial"/>
          <w:sz w:val="13"/>
          <w:szCs w:val="13"/>
          <w:color w:val="auto"/>
        </w:rPr>
        <w:t>if at any time:</w:t>
      </w:r>
    </w:p>
    <w:p>
      <w:pPr>
        <w:spacing w:after="0" w:line="95" w:lineRule="exact"/>
        <w:rPr>
          <w:rFonts w:ascii="Arial" w:cs="Arial" w:eastAsia="Arial" w:hAnsi="Arial"/>
          <w:sz w:val="13"/>
          <w:szCs w:val="13"/>
          <w:color w:val="auto"/>
        </w:rPr>
      </w:pPr>
    </w:p>
    <w:p>
      <w:pPr>
        <w:ind w:left="1720" w:right="160" w:hanging="732"/>
        <w:spacing w:after="0" w:line="244" w:lineRule="auto"/>
        <w:tabs>
          <w:tab w:leader="none" w:pos="1720" w:val="left"/>
        </w:tabs>
        <w:numPr>
          <w:ilvl w:val="1"/>
          <w:numId w:val="340"/>
        </w:numPr>
        <w:rPr>
          <w:rFonts w:ascii="Arial" w:cs="Arial" w:eastAsia="Arial" w:hAnsi="Arial"/>
          <w:sz w:val="13"/>
          <w:szCs w:val="13"/>
          <w:color w:val="auto"/>
        </w:rPr>
      </w:pPr>
      <w:r>
        <w:rPr>
          <w:rFonts w:ascii="Arial" w:cs="Arial" w:eastAsia="Arial" w:hAnsi="Arial"/>
          <w:sz w:val="13"/>
          <w:szCs w:val="13"/>
          <w:color w:val="auto"/>
        </w:rPr>
        <w:t>there is a new wholly-owned member of the Reading Entertainment Australia Group that earns any revenue, holds an asset or is otherwise not dormant; or</w:t>
      </w:r>
    </w:p>
    <w:p>
      <w:pPr>
        <w:spacing w:after="0" w:line="47" w:lineRule="exact"/>
        <w:rPr>
          <w:rFonts w:ascii="Arial" w:cs="Arial" w:eastAsia="Arial" w:hAnsi="Arial"/>
          <w:sz w:val="13"/>
          <w:szCs w:val="13"/>
          <w:color w:val="auto"/>
        </w:rPr>
      </w:pPr>
    </w:p>
    <w:p>
      <w:pPr>
        <w:ind w:left="1380" w:hanging="392"/>
        <w:spacing w:after="0"/>
        <w:tabs>
          <w:tab w:leader="none" w:pos="1380" w:val="left"/>
        </w:tabs>
        <w:numPr>
          <w:ilvl w:val="1"/>
          <w:numId w:val="340"/>
        </w:numPr>
        <w:rPr>
          <w:rFonts w:ascii="Arial" w:cs="Arial" w:eastAsia="Arial" w:hAnsi="Arial"/>
          <w:sz w:val="13"/>
          <w:szCs w:val="13"/>
          <w:color w:val="auto"/>
        </w:rPr>
      </w:pPr>
      <w:r>
        <w:rPr>
          <w:rFonts w:ascii="Arial" w:cs="Arial" w:eastAsia="Arial" w:hAnsi="Arial"/>
          <w:sz w:val="13"/>
          <w:szCs w:val="13"/>
          <w:color w:val="auto"/>
        </w:rPr>
        <w:t>a wholly-owned member of the Reading Entertainment Australia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173990</wp:posOffset>
            </wp:positionV>
            <wp:extent cx="6208395"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208395" cy="42545"/>
                    </a:xfrm>
                    <a:prstGeom prst="rect">
                      <a:avLst/>
                    </a:prstGeom>
                    <a:noFill/>
                  </pic:spPr>
                </pic:pic>
              </a:graphicData>
            </a:graphic>
          </wp:anchor>
        </w:drawing>
      </w:r>
    </w:p>
    <w:p>
      <w:pPr>
        <w:sectPr>
          <w:pgSz w:w="11900" w:h="16838" w:orient="portrait"/>
          <w:cols w:equalWidth="0" w:num="1">
            <w:col w:w="9380"/>
          </w:cols>
          <w:pgMar w:left="1440" w:top="561" w:right="1079" w:bottom="1440" w:gutter="0" w:footer="0" w:header="0"/>
        </w:sectPr>
      </w:pPr>
    </w:p>
    <w:bookmarkStart w:id="259" w:name="page260"/>
    <w:bookmarkEnd w:id="259"/>
    <w:p>
      <w:pPr>
        <w:ind w:left="980" w:right="400" w:firstLine="340"/>
        <w:spacing w:after="0" w:line="345" w:lineRule="auto"/>
        <w:rPr>
          <w:sz w:val="20"/>
          <w:szCs w:val="20"/>
          <w:color w:val="auto"/>
        </w:rPr>
      </w:pPr>
      <w:r>
        <w:rPr>
          <w:rFonts w:ascii="Arial" w:cs="Arial" w:eastAsia="Arial" w:hAnsi="Arial"/>
          <w:sz w:val="13"/>
          <w:szCs w:val="13"/>
          <w:color w:val="auto"/>
        </w:rPr>
        <w:t>Group (as at the date of this document that is not a Guarantor) generates any revenue, acquires an asset or ceases to be dormant, promptly, and in any event within 45 days, it procures the execution of:</w:t>
      </w:r>
    </w:p>
    <w:p>
      <w:pPr>
        <w:spacing w:after="0" w:line="12" w:lineRule="exact"/>
        <w:rPr>
          <w:sz w:val="20"/>
          <w:szCs w:val="20"/>
          <w:color w:val="auto"/>
        </w:rPr>
      </w:pPr>
    </w:p>
    <w:p>
      <w:pPr>
        <w:ind w:left="1740" w:hanging="752"/>
        <w:spacing w:after="0"/>
        <w:tabs>
          <w:tab w:leader="none" w:pos="1740" w:val="left"/>
        </w:tabs>
        <w:numPr>
          <w:ilvl w:val="0"/>
          <w:numId w:val="341"/>
        </w:numPr>
        <w:rPr>
          <w:rFonts w:ascii="Arial" w:cs="Arial" w:eastAsia="Arial" w:hAnsi="Arial"/>
          <w:sz w:val="13"/>
          <w:szCs w:val="13"/>
          <w:color w:val="auto"/>
        </w:rPr>
      </w:pPr>
      <w:r>
        <w:rPr>
          <w:rFonts w:ascii="Arial" w:cs="Arial" w:eastAsia="Arial" w:hAnsi="Arial"/>
          <w:sz w:val="13"/>
          <w:szCs w:val="13"/>
          <w:color w:val="auto"/>
        </w:rPr>
        <w:t>a Guarantor Accession Deed; and</w:t>
      </w:r>
    </w:p>
    <w:p>
      <w:pPr>
        <w:spacing w:after="0" w:line="75" w:lineRule="exact"/>
        <w:rPr>
          <w:rFonts w:ascii="Arial" w:cs="Arial" w:eastAsia="Arial" w:hAnsi="Arial"/>
          <w:sz w:val="13"/>
          <w:szCs w:val="13"/>
          <w:color w:val="auto"/>
        </w:rPr>
      </w:pPr>
    </w:p>
    <w:p>
      <w:pPr>
        <w:ind w:left="2200" w:hanging="1212"/>
        <w:spacing w:after="0"/>
        <w:tabs>
          <w:tab w:leader="none" w:pos="2200" w:val="left"/>
        </w:tabs>
        <w:numPr>
          <w:ilvl w:val="0"/>
          <w:numId w:val="341"/>
        </w:numPr>
        <w:rPr>
          <w:rFonts w:ascii="Arial" w:cs="Arial" w:eastAsia="Arial" w:hAnsi="Arial"/>
          <w:sz w:val="13"/>
          <w:szCs w:val="13"/>
          <w:color w:val="auto"/>
        </w:rPr>
      </w:pPr>
      <w:r>
        <w:rPr>
          <w:rFonts w:ascii="Arial" w:cs="Arial" w:eastAsia="Arial" w:hAnsi="Arial"/>
          <w:sz w:val="13"/>
          <w:szCs w:val="13"/>
          <w:color w:val="auto"/>
        </w:rPr>
        <w:t>an all assets fixed and floating charge in favour of the Bank, in such form as the Bank requires,</w:t>
      </w:r>
    </w:p>
    <w:p>
      <w:pPr>
        <w:spacing w:after="0" w:line="67" w:lineRule="exact"/>
        <w:rPr>
          <w:sz w:val="20"/>
          <w:szCs w:val="20"/>
          <w:color w:val="auto"/>
        </w:rPr>
      </w:pPr>
    </w:p>
    <w:p>
      <w:pPr>
        <w:ind w:left="980"/>
        <w:spacing w:after="0" w:line="238" w:lineRule="auto"/>
        <w:rPr>
          <w:sz w:val="20"/>
          <w:szCs w:val="20"/>
          <w:color w:val="auto"/>
        </w:rPr>
      </w:pPr>
      <w:r>
        <w:rPr>
          <w:rFonts w:ascii="Arial" w:cs="Arial" w:eastAsia="Arial" w:hAnsi="Arial"/>
          <w:sz w:val="13"/>
          <w:szCs w:val="13"/>
          <w:color w:val="auto"/>
        </w:rPr>
        <w:t>by such of those wholly-owned subsidiaries as are required to rectify that situation and provides to the Bank any documents or evidence in relation to any such acceding entity as the Bank may reasonably consider necessary in respect to the entering into, validity and enforceability of the accession documents;</w:t>
      </w:r>
    </w:p>
    <w:p>
      <w:pPr>
        <w:spacing w:after="0" w:line="44" w:lineRule="exact"/>
        <w:rPr>
          <w:sz w:val="20"/>
          <w:szCs w:val="20"/>
          <w:color w:val="auto"/>
        </w:rPr>
      </w:pPr>
    </w:p>
    <w:p>
      <w:pPr>
        <w:ind w:left="1280" w:right="160" w:hanging="644"/>
        <w:spacing w:after="0" w:line="269" w:lineRule="auto"/>
        <w:tabs>
          <w:tab w:leader="none" w:pos="1280" w:val="left"/>
        </w:tabs>
        <w:numPr>
          <w:ilvl w:val="0"/>
          <w:numId w:val="342"/>
        </w:numPr>
        <w:rPr>
          <w:rFonts w:ascii="Arial" w:cs="Arial" w:eastAsia="Arial" w:hAnsi="Arial"/>
          <w:sz w:val="13"/>
          <w:szCs w:val="13"/>
          <w:color w:val="auto"/>
        </w:rPr>
      </w:pPr>
      <w:r>
        <w:rPr>
          <w:rFonts w:ascii="Arial" w:cs="Arial" w:eastAsia="Arial" w:hAnsi="Arial"/>
          <w:sz w:val="13"/>
          <w:szCs w:val="13"/>
          <w:b w:val="1"/>
          <w:bCs w:val="1"/>
          <w:color w:val="auto"/>
        </w:rPr>
        <w:t>Major developments</w:t>
      </w:r>
      <w:r>
        <w:rPr>
          <w:rFonts w:ascii="Arial" w:cs="Arial" w:eastAsia="Arial" w:hAnsi="Arial"/>
          <w:sz w:val="13"/>
          <w:szCs w:val="13"/>
          <w:color w:val="auto"/>
        </w:rPr>
        <w:t>: in respect of any major development projects to be undertaken by the Transaction Parties (that are outside of the</w:t>
      </w:r>
      <w:r>
        <w:rPr>
          <w:rFonts w:ascii="Arial" w:cs="Arial" w:eastAsia="Arial" w:hAnsi="Arial"/>
          <w:sz w:val="13"/>
          <w:szCs w:val="13"/>
          <w:b w:val="1"/>
          <w:bCs w:val="1"/>
          <w:color w:val="auto"/>
        </w:rPr>
        <w:t xml:space="preserve"> </w:t>
      </w:r>
      <w:r>
        <w:rPr>
          <w:rFonts w:ascii="Arial" w:cs="Arial" w:eastAsia="Arial" w:hAnsi="Arial"/>
          <w:sz w:val="13"/>
          <w:szCs w:val="13"/>
          <w:color w:val="auto"/>
        </w:rPr>
        <w:t>budgeted capital expenditure that has been disclosed to the Bank):</w:t>
      </w:r>
    </w:p>
    <w:p>
      <w:pPr>
        <w:spacing w:after="0" w:line="38" w:lineRule="exact"/>
        <w:rPr>
          <w:sz w:val="20"/>
          <w:szCs w:val="20"/>
          <w:color w:val="auto"/>
        </w:rPr>
      </w:pPr>
    </w:p>
    <w:p>
      <w:pPr>
        <w:ind w:left="980"/>
        <w:spacing w:after="0"/>
        <w:tabs>
          <w:tab w:leader="none" w:pos="2420" w:val="left"/>
        </w:tabs>
        <w:rPr>
          <w:sz w:val="20"/>
          <w:szCs w:val="20"/>
          <w:color w:val="auto"/>
        </w:rPr>
      </w:pPr>
      <w:r>
        <w:rPr>
          <w:rFonts w:ascii="Arial" w:cs="Arial" w:eastAsia="Arial" w:hAnsi="Arial"/>
          <w:sz w:val="13"/>
          <w:szCs w:val="13"/>
          <w:color w:val="auto"/>
        </w:rPr>
        <w:t>(i)</w:t>
      </w:r>
      <w:r>
        <w:rPr>
          <w:sz w:val="20"/>
          <w:szCs w:val="20"/>
          <w:color w:val="auto"/>
        </w:rPr>
        <w:tab/>
      </w:r>
      <w:r>
        <w:rPr>
          <w:rFonts w:ascii="Arial" w:cs="Arial" w:eastAsia="Arial" w:hAnsi="Arial"/>
          <w:sz w:val="13"/>
          <w:szCs w:val="13"/>
          <w:color w:val="auto"/>
        </w:rPr>
        <w:t>the Bank is provided with development budgets and other information reasonably requested by the Bank; and</w:t>
      </w:r>
    </w:p>
    <w:p>
      <w:pPr>
        <w:spacing w:after="0" w:line="61" w:lineRule="exact"/>
        <w:rPr>
          <w:sz w:val="20"/>
          <w:szCs w:val="20"/>
          <w:color w:val="auto"/>
        </w:rPr>
      </w:pPr>
    </w:p>
    <w:p>
      <w:pPr>
        <w:ind w:left="1940" w:hanging="952"/>
        <w:spacing w:after="0"/>
        <w:tabs>
          <w:tab w:leader="none" w:pos="1940" w:val="left"/>
        </w:tabs>
        <w:numPr>
          <w:ilvl w:val="1"/>
          <w:numId w:val="343"/>
        </w:numPr>
        <w:rPr>
          <w:rFonts w:ascii="Arial" w:cs="Arial" w:eastAsia="Arial" w:hAnsi="Arial"/>
          <w:sz w:val="13"/>
          <w:szCs w:val="13"/>
          <w:color w:val="auto"/>
        </w:rPr>
      </w:pPr>
      <w:r>
        <w:rPr>
          <w:rFonts w:ascii="Arial" w:cs="Arial" w:eastAsia="Arial" w:hAnsi="Arial"/>
          <w:sz w:val="13"/>
          <w:szCs w:val="13"/>
          <w:color w:val="auto"/>
        </w:rPr>
        <w:t>the Bank is given the first right of refusal in relation to the funding of the project;</w:t>
      </w:r>
    </w:p>
    <w:p>
      <w:pPr>
        <w:spacing w:after="0" w:line="50" w:lineRule="exact"/>
        <w:rPr>
          <w:rFonts w:ascii="Arial" w:cs="Arial" w:eastAsia="Arial" w:hAnsi="Arial"/>
          <w:sz w:val="13"/>
          <w:szCs w:val="13"/>
          <w:color w:val="auto"/>
        </w:rPr>
      </w:pPr>
    </w:p>
    <w:p>
      <w:pPr>
        <w:ind w:left="1340" w:right="360" w:hanging="704"/>
        <w:spacing w:after="0" w:line="269" w:lineRule="auto"/>
        <w:tabs>
          <w:tab w:leader="none" w:pos="1340" w:val="left"/>
        </w:tabs>
        <w:numPr>
          <w:ilvl w:val="0"/>
          <w:numId w:val="344"/>
        </w:numPr>
        <w:rPr>
          <w:rFonts w:ascii="Arial" w:cs="Arial" w:eastAsia="Arial" w:hAnsi="Arial"/>
          <w:sz w:val="13"/>
          <w:szCs w:val="13"/>
          <w:color w:val="auto"/>
        </w:rPr>
      </w:pPr>
      <w:r>
        <w:rPr>
          <w:rFonts w:ascii="Arial" w:cs="Arial" w:eastAsia="Arial" w:hAnsi="Arial"/>
          <w:sz w:val="13"/>
          <w:szCs w:val="13"/>
          <w:b w:val="1"/>
          <w:bCs w:val="1"/>
          <w:color w:val="auto"/>
        </w:rPr>
        <w:t>Major acquisitions</w:t>
      </w:r>
      <w:r>
        <w:rPr>
          <w:rFonts w:ascii="Arial" w:cs="Arial" w:eastAsia="Arial" w:hAnsi="Arial"/>
          <w:sz w:val="13"/>
          <w:szCs w:val="13"/>
          <w:color w:val="auto"/>
        </w:rPr>
        <w:t>: in respect to any acquisitions or investments in assets to be undertaken by the Transaction Parties, the Bank’s</w:t>
      </w:r>
      <w:r>
        <w:rPr>
          <w:rFonts w:ascii="Arial" w:cs="Arial" w:eastAsia="Arial" w:hAnsi="Arial"/>
          <w:sz w:val="13"/>
          <w:szCs w:val="13"/>
          <w:b w:val="1"/>
          <w:bCs w:val="1"/>
          <w:color w:val="auto"/>
        </w:rPr>
        <w:t xml:space="preserve"> </w:t>
      </w:r>
      <w:r>
        <w:rPr>
          <w:rFonts w:ascii="Arial" w:cs="Arial" w:eastAsia="Arial" w:hAnsi="Arial"/>
          <w:sz w:val="13"/>
          <w:szCs w:val="13"/>
          <w:color w:val="auto"/>
        </w:rPr>
        <w:t>written consent is obtained for (and prior to) the purchase of:</w:t>
      </w:r>
    </w:p>
    <w:p>
      <w:pPr>
        <w:spacing w:after="0" w:line="41" w:lineRule="exact"/>
        <w:rPr>
          <w:rFonts w:ascii="Arial" w:cs="Arial" w:eastAsia="Arial" w:hAnsi="Arial"/>
          <w:sz w:val="13"/>
          <w:szCs w:val="13"/>
          <w:color w:val="auto"/>
        </w:rPr>
      </w:pPr>
    </w:p>
    <w:p>
      <w:pPr>
        <w:ind w:left="1600" w:hanging="612"/>
        <w:spacing w:after="0"/>
        <w:tabs>
          <w:tab w:leader="none" w:pos="1600" w:val="left"/>
        </w:tabs>
        <w:numPr>
          <w:ilvl w:val="1"/>
          <w:numId w:val="344"/>
        </w:numPr>
        <w:rPr>
          <w:rFonts w:ascii="Arial" w:cs="Arial" w:eastAsia="Arial" w:hAnsi="Arial"/>
          <w:sz w:val="13"/>
          <w:szCs w:val="13"/>
          <w:color w:val="auto"/>
        </w:rPr>
      </w:pPr>
      <w:r>
        <w:rPr>
          <w:rFonts w:ascii="Arial" w:cs="Arial" w:eastAsia="Arial" w:hAnsi="Arial"/>
          <w:sz w:val="13"/>
          <w:szCs w:val="13"/>
          <w:color w:val="auto"/>
        </w:rPr>
        <w:t>any freehold title or ground lease with a remaining tenor of 25 years or more and a consideration greater than $50,000,000; and</w:t>
      </w:r>
    </w:p>
    <w:p>
      <w:pPr>
        <w:spacing w:after="0" w:line="67" w:lineRule="exact"/>
        <w:rPr>
          <w:sz w:val="20"/>
          <w:szCs w:val="20"/>
          <w:color w:val="auto"/>
        </w:rPr>
      </w:pPr>
    </w:p>
    <w:p>
      <w:pPr>
        <w:ind w:left="2440" w:hanging="1452"/>
        <w:spacing w:after="0"/>
        <w:tabs>
          <w:tab w:leader="none" w:pos="2440" w:val="left"/>
        </w:tabs>
        <w:numPr>
          <w:ilvl w:val="1"/>
          <w:numId w:val="345"/>
        </w:numPr>
        <w:rPr>
          <w:rFonts w:ascii="Arial" w:cs="Arial" w:eastAsia="Arial" w:hAnsi="Arial"/>
          <w:sz w:val="13"/>
          <w:szCs w:val="13"/>
          <w:color w:val="auto"/>
        </w:rPr>
      </w:pPr>
      <w:r>
        <w:rPr>
          <w:rFonts w:ascii="Arial" w:cs="Arial" w:eastAsia="Arial" w:hAnsi="Arial"/>
          <w:sz w:val="13"/>
          <w:szCs w:val="13"/>
          <w:color w:val="auto"/>
        </w:rPr>
        <w:t>the purchase of any other operating business assets with a consideration greater than $25,000,000.</w:t>
      </w:r>
    </w:p>
    <w:p>
      <w:pPr>
        <w:spacing w:after="0" w:line="50" w:lineRule="exact"/>
        <w:rPr>
          <w:rFonts w:ascii="Arial" w:cs="Arial" w:eastAsia="Arial" w:hAnsi="Arial"/>
          <w:sz w:val="13"/>
          <w:szCs w:val="13"/>
          <w:color w:val="auto"/>
        </w:rPr>
      </w:pPr>
    </w:p>
    <w:p>
      <w:pPr>
        <w:ind w:left="1200" w:right="100" w:hanging="564"/>
        <w:spacing w:after="0" w:line="269" w:lineRule="auto"/>
        <w:tabs>
          <w:tab w:leader="none" w:pos="1200" w:val="left"/>
        </w:tabs>
        <w:numPr>
          <w:ilvl w:val="0"/>
          <w:numId w:val="346"/>
        </w:numPr>
        <w:rPr>
          <w:rFonts w:ascii="Arial" w:cs="Arial" w:eastAsia="Arial" w:hAnsi="Arial"/>
          <w:sz w:val="13"/>
          <w:szCs w:val="13"/>
          <w:color w:val="auto"/>
        </w:rPr>
      </w:pPr>
      <w:r>
        <w:rPr>
          <w:rFonts w:ascii="Arial" w:cs="Arial" w:eastAsia="Arial" w:hAnsi="Arial"/>
          <w:sz w:val="13"/>
          <w:szCs w:val="13"/>
          <w:b w:val="1"/>
          <w:bCs w:val="1"/>
          <w:color w:val="auto"/>
        </w:rPr>
        <w:t xml:space="preserve">Management Fees: </w:t>
      </w:r>
      <w:r>
        <w:rPr>
          <w:rFonts w:ascii="Arial" w:cs="Arial" w:eastAsia="Arial" w:hAnsi="Arial"/>
          <w:sz w:val="13"/>
          <w:szCs w:val="13"/>
          <w:color w:val="auto"/>
        </w:rPr>
        <w:t>the aggregate Management Fees paid by the Transaction Parties in a Financial Year does not exceed the amount set</w:t>
      </w:r>
      <w:r>
        <w:rPr>
          <w:rFonts w:ascii="Arial" w:cs="Arial" w:eastAsia="Arial" w:hAnsi="Arial"/>
          <w:sz w:val="13"/>
          <w:szCs w:val="13"/>
          <w:b w:val="1"/>
          <w:bCs w:val="1"/>
          <w:color w:val="auto"/>
        </w:rPr>
        <w:t xml:space="preserve"> </w:t>
      </w:r>
      <w:r>
        <w:rPr>
          <w:rFonts w:ascii="Arial" w:cs="Arial" w:eastAsia="Arial" w:hAnsi="Arial"/>
          <w:sz w:val="13"/>
          <w:szCs w:val="13"/>
          <w:color w:val="auto"/>
        </w:rPr>
        <w:t>out in the ‘Amount’ column corresponding to that Financial Year set out in the following table (without the Bank’s prior written consent):</w:t>
      </w:r>
    </w:p>
    <w:p>
      <w:pPr>
        <w:spacing w:after="0" w:line="15" w:lineRule="exact"/>
        <w:rPr>
          <w:sz w:val="20"/>
          <w:szCs w:val="20"/>
          <w:color w:val="auto"/>
        </w:rPr>
      </w:pPr>
    </w:p>
    <w:tbl>
      <w:tblPr>
        <w:tblLayout w:type="fixed"/>
        <w:tblInd w:w="990" w:type="dxa"/>
        <w:tblCellMar>
          <w:top w:w="0" w:type="dxa"/>
          <w:left w:w="0" w:type="dxa"/>
          <w:bottom w:w="0" w:type="dxa"/>
          <w:right w:w="0" w:type="dxa"/>
        </w:tblCellMar>
      </w:tblPr>
      <w:tr>
        <w:trPr>
          <w:trHeight w:val="245"/>
        </w:trPr>
        <w:tc>
          <w:tcPr>
            <w:tcW w:w="2100" w:type="dxa"/>
            <w:vAlign w:val="bottom"/>
            <w:tcBorders>
              <w:top w:val="single" w:sz="8" w:color="auto"/>
              <w:left w:val="single" w:sz="8" w:color="auto"/>
              <w:right w:val="single" w:sz="8" w:color="auto"/>
            </w:tcBorders>
            <w:shd w:val="clear" w:color="auto" w:fill="FFC000"/>
          </w:tcPr>
          <w:p>
            <w:pPr>
              <w:ind w:left="80"/>
              <w:spacing w:after="0"/>
              <w:rPr>
                <w:sz w:val="20"/>
                <w:szCs w:val="20"/>
                <w:color w:val="auto"/>
              </w:rPr>
            </w:pPr>
            <w:r>
              <w:rPr>
                <w:rFonts w:ascii="Arial" w:cs="Arial" w:eastAsia="Arial" w:hAnsi="Arial"/>
                <w:sz w:val="13"/>
                <w:szCs w:val="13"/>
                <w:b w:val="1"/>
                <w:bCs w:val="1"/>
                <w:color w:val="auto"/>
              </w:rPr>
              <w:t>Financial Year Ending</w:t>
            </w:r>
          </w:p>
        </w:tc>
        <w:tc>
          <w:tcPr>
            <w:tcW w:w="1940" w:type="dxa"/>
            <w:vAlign w:val="bottom"/>
            <w:tcBorders>
              <w:top w:val="single" w:sz="8" w:color="auto"/>
              <w:right w:val="single" w:sz="8" w:color="auto"/>
            </w:tcBorders>
            <w:shd w:val="clear" w:color="auto" w:fill="FFC000"/>
          </w:tcPr>
          <w:p>
            <w:pPr>
              <w:ind w:left="40"/>
              <w:spacing w:after="0"/>
              <w:rPr>
                <w:sz w:val="20"/>
                <w:szCs w:val="20"/>
                <w:color w:val="auto"/>
              </w:rPr>
            </w:pPr>
            <w:r>
              <w:rPr>
                <w:rFonts w:ascii="Arial" w:cs="Arial" w:eastAsia="Arial" w:hAnsi="Arial"/>
                <w:sz w:val="13"/>
                <w:szCs w:val="13"/>
                <w:b w:val="1"/>
                <w:bCs w:val="1"/>
                <w:color w:val="auto"/>
              </w:rPr>
              <w:t>Amount</w:t>
            </w:r>
          </w:p>
        </w:tc>
      </w:tr>
      <w:tr>
        <w:trPr>
          <w:trHeight w:val="70"/>
        </w:trPr>
        <w:tc>
          <w:tcPr>
            <w:tcW w:w="2100" w:type="dxa"/>
            <w:vAlign w:val="bottom"/>
            <w:tcBorders>
              <w:left w:val="single" w:sz="8" w:color="auto"/>
              <w:bottom w:val="single" w:sz="8" w:color="auto"/>
              <w:right w:val="single" w:sz="8" w:color="auto"/>
            </w:tcBorders>
            <w:shd w:val="clear" w:color="auto" w:fill="FFC000"/>
          </w:tcPr>
          <w:p>
            <w:pPr>
              <w:spacing w:after="0"/>
              <w:rPr>
                <w:sz w:val="6"/>
                <w:szCs w:val="6"/>
                <w:color w:val="auto"/>
              </w:rPr>
            </w:pPr>
          </w:p>
        </w:tc>
        <w:tc>
          <w:tcPr>
            <w:tcW w:w="1940" w:type="dxa"/>
            <w:vAlign w:val="bottom"/>
            <w:tcBorders>
              <w:bottom w:val="single" w:sz="8" w:color="auto"/>
              <w:right w:val="single" w:sz="8" w:color="auto"/>
            </w:tcBorders>
            <w:shd w:val="clear" w:color="auto" w:fill="FFC000"/>
          </w:tcPr>
          <w:p>
            <w:pPr>
              <w:spacing w:after="0"/>
              <w:rPr>
                <w:sz w:val="6"/>
                <w:szCs w:val="6"/>
                <w:color w:val="auto"/>
              </w:rPr>
            </w:pPr>
          </w:p>
        </w:tc>
      </w:tr>
      <w:tr>
        <w:trPr>
          <w:trHeight w:val="153"/>
        </w:trPr>
        <w:tc>
          <w:tcPr>
            <w:tcW w:w="21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31 December 2015</w:t>
            </w:r>
          </w:p>
        </w:tc>
        <w:tc>
          <w:tcPr>
            <w:tcW w:w="1940" w:type="dxa"/>
            <w:vAlign w:val="bottom"/>
            <w:tcBorders>
              <w:right w:val="single" w:sz="8" w:color="auto"/>
            </w:tcBorders>
          </w:tcPr>
          <w:p>
            <w:pPr>
              <w:ind w:left="40"/>
              <w:spacing w:after="0"/>
              <w:rPr>
                <w:sz w:val="20"/>
                <w:szCs w:val="20"/>
                <w:color w:val="auto"/>
              </w:rPr>
            </w:pPr>
            <w:r>
              <w:rPr>
                <w:rFonts w:ascii="Arial" w:cs="Arial" w:eastAsia="Arial" w:hAnsi="Arial"/>
                <w:sz w:val="13"/>
                <w:szCs w:val="13"/>
                <w:color w:val="auto"/>
              </w:rPr>
              <w:t>$5,250,000</w:t>
            </w:r>
          </w:p>
        </w:tc>
      </w:tr>
      <w:tr>
        <w:trPr>
          <w:trHeight w:val="70"/>
        </w:trPr>
        <w:tc>
          <w:tcPr>
            <w:tcW w:w="2100" w:type="dxa"/>
            <w:vAlign w:val="bottom"/>
            <w:tcBorders>
              <w:left w:val="single" w:sz="8" w:color="auto"/>
              <w:bottom w:val="single" w:sz="8" w:color="auto"/>
              <w:right w:val="single" w:sz="8" w:color="auto"/>
            </w:tcBorders>
          </w:tcPr>
          <w:p>
            <w:pPr>
              <w:spacing w:after="0"/>
              <w:rPr>
                <w:sz w:val="6"/>
                <w:szCs w:val="6"/>
                <w:color w:val="auto"/>
              </w:rPr>
            </w:pPr>
          </w:p>
        </w:tc>
        <w:tc>
          <w:tcPr>
            <w:tcW w:w="1940" w:type="dxa"/>
            <w:vAlign w:val="bottom"/>
            <w:tcBorders>
              <w:bottom w:val="single" w:sz="8" w:color="auto"/>
              <w:right w:val="single" w:sz="8" w:color="auto"/>
            </w:tcBorders>
          </w:tcPr>
          <w:p>
            <w:pPr>
              <w:spacing w:after="0"/>
              <w:rPr>
                <w:sz w:val="6"/>
                <w:szCs w:val="6"/>
                <w:color w:val="auto"/>
              </w:rPr>
            </w:pPr>
          </w:p>
        </w:tc>
      </w:tr>
      <w:tr>
        <w:trPr>
          <w:trHeight w:val="153"/>
        </w:trPr>
        <w:tc>
          <w:tcPr>
            <w:tcW w:w="21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31 December 2016</w:t>
            </w:r>
          </w:p>
        </w:tc>
        <w:tc>
          <w:tcPr>
            <w:tcW w:w="1940" w:type="dxa"/>
            <w:vAlign w:val="bottom"/>
            <w:tcBorders>
              <w:right w:val="single" w:sz="8" w:color="auto"/>
            </w:tcBorders>
          </w:tcPr>
          <w:p>
            <w:pPr>
              <w:ind w:left="40"/>
              <w:spacing w:after="0"/>
              <w:rPr>
                <w:sz w:val="20"/>
                <w:szCs w:val="20"/>
                <w:color w:val="auto"/>
              </w:rPr>
            </w:pPr>
            <w:r>
              <w:rPr>
                <w:rFonts w:ascii="Arial" w:cs="Arial" w:eastAsia="Arial" w:hAnsi="Arial"/>
                <w:sz w:val="13"/>
                <w:szCs w:val="13"/>
                <w:color w:val="auto"/>
              </w:rPr>
              <w:t>$5,512,500</w:t>
            </w:r>
          </w:p>
        </w:tc>
      </w:tr>
      <w:tr>
        <w:trPr>
          <w:trHeight w:val="70"/>
        </w:trPr>
        <w:tc>
          <w:tcPr>
            <w:tcW w:w="2100" w:type="dxa"/>
            <w:vAlign w:val="bottom"/>
            <w:tcBorders>
              <w:left w:val="single" w:sz="8" w:color="auto"/>
              <w:bottom w:val="single" w:sz="8" w:color="auto"/>
              <w:right w:val="single" w:sz="8" w:color="auto"/>
            </w:tcBorders>
          </w:tcPr>
          <w:p>
            <w:pPr>
              <w:spacing w:after="0"/>
              <w:rPr>
                <w:sz w:val="6"/>
                <w:szCs w:val="6"/>
                <w:color w:val="auto"/>
              </w:rPr>
            </w:pPr>
          </w:p>
        </w:tc>
        <w:tc>
          <w:tcPr>
            <w:tcW w:w="1940" w:type="dxa"/>
            <w:vAlign w:val="bottom"/>
            <w:tcBorders>
              <w:bottom w:val="single" w:sz="8" w:color="auto"/>
              <w:right w:val="single" w:sz="8" w:color="auto"/>
            </w:tcBorders>
          </w:tcPr>
          <w:p>
            <w:pPr>
              <w:spacing w:after="0"/>
              <w:rPr>
                <w:sz w:val="6"/>
                <w:szCs w:val="6"/>
                <w:color w:val="auto"/>
              </w:rPr>
            </w:pPr>
          </w:p>
        </w:tc>
      </w:tr>
      <w:tr>
        <w:trPr>
          <w:trHeight w:val="153"/>
        </w:trPr>
        <w:tc>
          <w:tcPr>
            <w:tcW w:w="21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31 December 2017</w:t>
            </w:r>
          </w:p>
        </w:tc>
        <w:tc>
          <w:tcPr>
            <w:tcW w:w="1940" w:type="dxa"/>
            <w:vAlign w:val="bottom"/>
            <w:tcBorders>
              <w:right w:val="single" w:sz="8" w:color="auto"/>
            </w:tcBorders>
          </w:tcPr>
          <w:p>
            <w:pPr>
              <w:ind w:left="40"/>
              <w:spacing w:after="0"/>
              <w:rPr>
                <w:sz w:val="20"/>
                <w:szCs w:val="20"/>
                <w:color w:val="auto"/>
              </w:rPr>
            </w:pPr>
            <w:r>
              <w:rPr>
                <w:rFonts w:ascii="Arial" w:cs="Arial" w:eastAsia="Arial" w:hAnsi="Arial"/>
                <w:sz w:val="13"/>
                <w:szCs w:val="13"/>
                <w:color w:val="auto"/>
              </w:rPr>
              <w:t>$5,788,125</w:t>
            </w:r>
          </w:p>
        </w:tc>
      </w:tr>
      <w:tr>
        <w:trPr>
          <w:trHeight w:val="70"/>
        </w:trPr>
        <w:tc>
          <w:tcPr>
            <w:tcW w:w="2100" w:type="dxa"/>
            <w:vAlign w:val="bottom"/>
            <w:tcBorders>
              <w:left w:val="single" w:sz="8" w:color="auto"/>
              <w:bottom w:val="single" w:sz="8" w:color="auto"/>
              <w:right w:val="single" w:sz="8" w:color="auto"/>
            </w:tcBorders>
          </w:tcPr>
          <w:p>
            <w:pPr>
              <w:spacing w:after="0"/>
              <w:rPr>
                <w:sz w:val="6"/>
                <w:szCs w:val="6"/>
                <w:color w:val="auto"/>
              </w:rPr>
            </w:pPr>
          </w:p>
        </w:tc>
        <w:tc>
          <w:tcPr>
            <w:tcW w:w="1940" w:type="dxa"/>
            <w:vAlign w:val="bottom"/>
            <w:tcBorders>
              <w:bottom w:val="single" w:sz="8" w:color="auto"/>
              <w:right w:val="single" w:sz="8" w:color="auto"/>
            </w:tcBorders>
          </w:tcPr>
          <w:p>
            <w:pPr>
              <w:spacing w:after="0"/>
              <w:rPr>
                <w:sz w:val="6"/>
                <w:szCs w:val="6"/>
                <w:color w:val="auto"/>
              </w:rPr>
            </w:pPr>
          </w:p>
        </w:tc>
      </w:tr>
      <w:tr>
        <w:trPr>
          <w:trHeight w:val="153"/>
        </w:trPr>
        <w:tc>
          <w:tcPr>
            <w:tcW w:w="21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31 December 2018</w:t>
            </w:r>
          </w:p>
        </w:tc>
        <w:tc>
          <w:tcPr>
            <w:tcW w:w="1940" w:type="dxa"/>
            <w:vAlign w:val="bottom"/>
            <w:tcBorders>
              <w:right w:val="single" w:sz="8" w:color="auto"/>
            </w:tcBorders>
          </w:tcPr>
          <w:p>
            <w:pPr>
              <w:ind w:left="40"/>
              <w:spacing w:after="0"/>
              <w:rPr>
                <w:sz w:val="20"/>
                <w:szCs w:val="20"/>
                <w:color w:val="auto"/>
              </w:rPr>
            </w:pPr>
            <w:r>
              <w:rPr>
                <w:rFonts w:ascii="Arial" w:cs="Arial" w:eastAsia="Arial" w:hAnsi="Arial"/>
                <w:sz w:val="13"/>
                <w:szCs w:val="13"/>
                <w:color w:val="auto"/>
              </w:rPr>
              <w:t>$6,077,531</w:t>
            </w:r>
          </w:p>
        </w:tc>
      </w:tr>
      <w:tr>
        <w:trPr>
          <w:trHeight w:val="70"/>
        </w:trPr>
        <w:tc>
          <w:tcPr>
            <w:tcW w:w="2100" w:type="dxa"/>
            <w:vAlign w:val="bottom"/>
            <w:tcBorders>
              <w:left w:val="single" w:sz="8" w:color="auto"/>
              <w:bottom w:val="single" w:sz="8" w:color="auto"/>
              <w:right w:val="single" w:sz="8" w:color="auto"/>
            </w:tcBorders>
          </w:tcPr>
          <w:p>
            <w:pPr>
              <w:spacing w:after="0"/>
              <w:rPr>
                <w:sz w:val="6"/>
                <w:szCs w:val="6"/>
                <w:color w:val="auto"/>
              </w:rPr>
            </w:pPr>
          </w:p>
        </w:tc>
        <w:tc>
          <w:tcPr>
            <w:tcW w:w="1940" w:type="dxa"/>
            <w:vAlign w:val="bottom"/>
            <w:tcBorders>
              <w:bottom w:val="single" w:sz="8" w:color="auto"/>
              <w:right w:val="single" w:sz="8" w:color="auto"/>
            </w:tcBorders>
          </w:tcPr>
          <w:p>
            <w:pPr>
              <w:spacing w:after="0"/>
              <w:rPr>
                <w:sz w:val="6"/>
                <w:szCs w:val="6"/>
                <w:color w:val="auto"/>
              </w:rPr>
            </w:pPr>
          </w:p>
        </w:tc>
      </w:tr>
      <w:tr>
        <w:trPr>
          <w:trHeight w:val="153"/>
        </w:trPr>
        <w:tc>
          <w:tcPr>
            <w:tcW w:w="21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31 December 2019</w:t>
            </w:r>
          </w:p>
        </w:tc>
        <w:tc>
          <w:tcPr>
            <w:tcW w:w="1940" w:type="dxa"/>
            <w:vAlign w:val="bottom"/>
            <w:tcBorders>
              <w:right w:val="single" w:sz="8" w:color="auto"/>
            </w:tcBorders>
          </w:tcPr>
          <w:p>
            <w:pPr>
              <w:ind w:left="40"/>
              <w:spacing w:after="0"/>
              <w:rPr>
                <w:sz w:val="20"/>
                <w:szCs w:val="20"/>
                <w:color w:val="auto"/>
              </w:rPr>
            </w:pPr>
            <w:r>
              <w:rPr>
                <w:rFonts w:ascii="Arial" w:cs="Arial" w:eastAsia="Arial" w:hAnsi="Arial"/>
                <w:sz w:val="13"/>
                <w:szCs w:val="13"/>
                <w:color w:val="auto"/>
              </w:rPr>
              <w:t>$6,381,408</w:t>
            </w:r>
          </w:p>
        </w:tc>
      </w:tr>
      <w:tr>
        <w:trPr>
          <w:trHeight w:val="70"/>
        </w:trPr>
        <w:tc>
          <w:tcPr>
            <w:tcW w:w="2100" w:type="dxa"/>
            <w:vAlign w:val="bottom"/>
            <w:tcBorders>
              <w:left w:val="single" w:sz="8" w:color="auto"/>
              <w:bottom w:val="single" w:sz="8" w:color="auto"/>
              <w:right w:val="single" w:sz="8" w:color="auto"/>
            </w:tcBorders>
          </w:tcPr>
          <w:p>
            <w:pPr>
              <w:spacing w:after="0"/>
              <w:rPr>
                <w:sz w:val="6"/>
                <w:szCs w:val="6"/>
                <w:color w:val="auto"/>
              </w:rPr>
            </w:pPr>
          </w:p>
        </w:tc>
        <w:tc>
          <w:tcPr>
            <w:tcW w:w="1940" w:type="dxa"/>
            <w:vAlign w:val="bottom"/>
            <w:tcBorders>
              <w:bottom w:val="single" w:sz="8" w:color="auto"/>
              <w:right w:val="single" w:sz="8" w:color="auto"/>
            </w:tcBorders>
          </w:tcPr>
          <w:p>
            <w:pPr>
              <w:spacing w:after="0"/>
              <w:rPr>
                <w:sz w:val="6"/>
                <w:szCs w:val="6"/>
                <w:color w:val="auto"/>
              </w:rPr>
            </w:pPr>
          </w:p>
        </w:tc>
      </w:tr>
    </w:tbl>
    <w:p>
      <w:pPr>
        <w:spacing w:after="0" w:line="151" w:lineRule="exact"/>
        <w:rPr>
          <w:sz w:val="20"/>
          <w:szCs w:val="20"/>
          <w:color w:val="auto"/>
        </w:rPr>
      </w:pPr>
    </w:p>
    <w:p>
      <w:pPr>
        <w:ind w:left="980"/>
        <w:spacing w:after="0"/>
        <w:rPr>
          <w:sz w:val="20"/>
          <w:szCs w:val="20"/>
          <w:color w:val="auto"/>
        </w:rPr>
      </w:pPr>
      <w:r>
        <w:rPr>
          <w:rFonts w:ascii="Arial" w:cs="Arial" w:eastAsia="Arial" w:hAnsi="Arial"/>
          <w:sz w:val="13"/>
          <w:szCs w:val="13"/>
          <w:color w:val="auto"/>
        </w:rPr>
        <w:t>No Management Fees may be paid while an Event of Default subsists;</w:t>
      </w:r>
    </w:p>
    <w:p>
      <w:pPr>
        <w:spacing w:after="0" w:line="60" w:lineRule="exact"/>
        <w:rPr>
          <w:sz w:val="20"/>
          <w:szCs w:val="20"/>
          <w:color w:val="auto"/>
        </w:rPr>
      </w:pPr>
    </w:p>
    <w:p>
      <w:pPr>
        <w:ind w:left="1520" w:hanging="884"/>
        <w:spacing w:after="0"/>
        <w:tabs>
          <w:tab w:leader="none" w:pos="1520" w:val="left"/>
        </w:tabs>
        <w:numPr>
          <w:ilvl w:val="0"/>
          <w:numId w:val="347"/>
        </w:numPr>
        <w:rPr>
          <w:rFonts w:ascii="Arial" w:cs="Arial" w:eastAsia="Arial" w:hAnsi="Arial"/>
          <w:sz w:val="13"/>
          <w:szCs w:val="13"/>
          <w:b w:val="1"/>
          <w:bCs w:val="1"/>
          <w:color w:val="auto"/>
        </w:rPr>
      </w:pPr>
      <w:r>
        <w:rPr>
          <w:rFonts w:ascii="Arial" w:cs="Arial" w:eastAsia="Arial" w:hAnsi="Arial"/>
          <w:sz w:val="13"/>
          <w:szCs w:val="13"/>
          <w:b w:val="1"/>
          <w:bCs w:val="1"/>
          <w:color w:val="auto"/>
        </w:rPr>
        <w:t>Burwood property: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184150</wp:posOffset>
            </wp:positionV>
            <wp:extent cx="6208395"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208395" cy="42545"/>
                    </a:xfrm>
                    <a:prstGeom prst="rect">
                      <a:avLst/>
                    </a:prstGeom>
                    <a:noFill/>
                  </pic:spPr>
                </pic:pic>
              </a:graphicData>
            </a:graphic>
          </wp:anchor>
        </w:drawing>
      </w:r>
    </w:p>
    <w:p>
      <w:pPr>
        <w:sectPr>
          <w:pgSz w:w="11900" w:h="16838" w:orient="portrait"/>
          <w:cols w:equalWidth="0" w:num="1">
            <w:col w:w="9360"/>
          </w:cols>
          <w:pgMar w:left="1440" w:top="560" w:right="1099" w:bottom="1440" w:gutter="0" w:footer="0" w:header="0"/>
        </w:sectPr>
      </w:pPr>
    </w:p>
    <w:bookmarkStart w:id="260" w:name="page261"/>
    <w:bookmarkEnd w:id="260"/>
    <w:p>
      <w:pPr>
        <w:ind w:left="1640" w:right="160" w:hanging="652"/>
        <w:spacing w:after="0" w:line="244" w:lineRule="auto"/>
        <w:tabs>
          <w:tab w:leader="none" w:pos="1640" w:val="left"/>
        </w:tabs>
        <w:numPr>
          <w:ilvl w:val="1"/>
          <w:numId w:val="348"/>
        </w:numPr>
        <w:rPr>
          <w:rFonts w:ascii="Arial" w:cs="Arial" w:eastAsia="Arial" w:hAnsi="Arial"/>
          <w:sz w:val="13"/>
          <w:szCs w:val="13"/>
          <w:color w:val="auto"/>
        </w:rPr>
      </w:pPr>
      <w:r>
        <w:rPr>
          <w:rFonts w:ascii="Arial" w:cs="Arial" w:eastAsia="Arial" w:hAnsi="Arial"/>
          <w:sz w:val="13"/>
          <w:szCs w:val="13"/>
          <w:color w:val="auto"/>
        </w:rPr>
        <w:t>no Encumbrances exist on the land and improvements known as 78 Middleborough Road, Old Burwood Road, Burwood Victoria (except Permitted Encumbrances); and</w:t>
      </w:r>
    </w:p>
    <w:p>
      <w:pPr>
        <w:spacing w:after="0" w:line="47" w:lineRule="exact"/>
        <w:rPr>
          <w:rFonts w:ascii="Arial" w:cs="Arial" w:eastAsia="Arial" w:hAnsi="Arial"/>
          <w:sz w:val="13"/>
          <w:szCs w:val="13"/>
          <w:color w:val="auto"/>
        </w:rPr>
      </w:pPr>
    </w:p>
    <w:p>
      <w:pPr>
        <w:jc w:val="both"/>
        <w:ind w:left="1520" w:right="80" w:hanging="532"/>
        <w:spacing w:after="0" w:line="244" w:lineRule="auto"/>
        <w:tabs>
          <w:tab w:leader="none" w:pos="1520" w:val="left"/>
        </w:tabs>
        <w:numPr>
          <w:ilvl w:val="1"/>
          <w:numId w:val="348"/>
        </w:numPr>
        <w:rPr>
          <w:rFonts w:ascii="Arial" w:cs="Arial" w:eastAsia="Arial" w:hAnsi="Arial"/>
          <w:sz w:val="13"/>
          <w:szCs w:val="13"/>
          <w:color w:val="auto"/>
        </w:rPr>
      </w:pPr>
      <w:r>
        <w:rPr>
          <w:rFonts w:ascii="Arial" w:cs="Arial" w:eastAsia="Arial" w:hAnsi="Arial"/>
          <w:sz w:val="13"/>
          <w:szCs w:val="13"/>
          <w:color w:val="auto"/>
        </w:rPr>
        <w:t>it does not, without the prior written consent of the Bank, incur any Financial Indebtedness in respect of (or secured by) the land and improvements known as 78 Middleborough Road, Old Burwood Road, Burwood Victoria (except Permitted Financial Indebtedness);</w:t>
      </w:r>
    </w:p>
    <w:p>
      <w:pPr>
        <w:spacing w:after="0" w:line="36" w:lineRule="exact"/>
        <w:rPr>
          <w:rFonts w:ascii="Arial" w:cs="Arial" w:eastAsia="Arial" w:hAnsi="Arial"/>
          <w:sz w:val="13"/>
          <w:szCs w:val="13"/>
          <w:color w:val="auto"/>
        </w:rPr>
      </w:pPr>
    </w:p>
    <w:p>
      <w:pPr>
        <w:ind w:left="1300" w:hanging="664"/>
        <w:spacing w:after="0"/>
        <w:tabs>
          <w:tab w:leader="none" w:pos="1300" w:val="left"/>
        </w:tabs>
        <w:numPr>
          <w:ilvl w:val="0"/>
          <w:numId w:val="349"/>
        </w:numPr>
        <w:rPr>
          <w:rFonts w:ascii="Arial" w:cs="Arial" w:eastAsia="Arial" w:hAnsi="Arial"/>
          <w:sz w:val="13"/>
          <w:szCs w:val="13"/>
          <w:color w:val="auto"/>
        </w:rPr>
      </w:pPr>
      <w:r>
        <w:rPr>
          <w:rFonts w:ascii="Arial" w:cs="Arial" w:eastAsia="Arial" w:hAnsi="Arial"/>
          <w:sz w:val="13"/>
          <w:szCs w:val="13"/>
          <w:b w:val="1"/>
          <w:bCs w:val="1"/>
          <w:color w:val="auto"/>
        </w:rPr>
        <w:t xml:space="preserve">Preservation and protection of Security: </w:t>
      </w:r>
      <w:r>
        <w:rPr>
          <w:rFonts w:ascii="Arial" w:cs="Arial" w:eastAsia="Arial" w:hAnsi="Arial"/>
          <w:sz w:val="13"/>
          <w:szCs w:val="13"/>
          <w:color w:val="auto"/>
        </w:rPr>
        <w:t>it does everything necessary or reasonably required by the Bank to:</w:t>
      </w:r>
    </w:p>
    <w:p>
      <w:pPr>
        <w:spacing w:after="0" w:line="74" w:lineRule="exact"/>
        <w:rPr>
          <w:sz w:val="20"/>
          <w:szCs w:val="20"/>
          <w:color w:val="auto"/>
        </w:rPr>
      </w:pPr>
    </w:p>
    <w:p>
      <w:pPr>
        <w:ind w:left="980"/>
        <w:spacing w:after="0"/>
        <w:tabs>
          <w:tab w:leader="none" w:pos="2420" w:val="left"/>
        </w:tabs>
        <w:rPr>
          <w:sz w:val="20"/>
          <w:szCs w:val="20"/>
          <w:color w:val="auto"/>
        </w:rPr>
      </w:pPr>
      <w:r>
        <w:rPr>
          <w:rFonts w:ascii="Arial" w:cs="Arial" w:eastAsia="Arial" w:hAnsi="Arial"/>
          <w:sz w:val="13"/>
          <w:szCs w:val="13"/>
          <w:color w:val="auto"/>
        </w:rPr>
        <w:t>(i)</w:t>
      </w:r>
      <w:r>
        <w:rPr>
          <w:sz w:val="20"/>
          <w:szCs w:val="20"/>
          <w:color w:val="auto"/>
        </w:rPr>
        <w:tab/>
      </w:r>
      <w:r>
        <w:rPr>
          <w:rFonts w:ascii="Arial" w:cs="Arial" w:eastAsia="Arial" w:hAnsi="Arial"/>
          <w:sz w:val="13"/>
          <w:szCs w:val="13"/>
          <w:color w:val="auto"/>
        </w:rPr>
        <w:t>keep the Secured Property in good repair and in good working order;</w:t>
      </w:r>
    </w:p>
    <w:p>
      <w:pPr>
        <w:spacing w:after="0" w:line="70" w:lineRule="exact"/>
        <w:rPr>
          <w:sz w:val="20"/>
          <w:szCs w:val="20"/>
          <w:color w:val="auto"/>
        </w:rPr>
      </w:pPr>
    </w:p>
    <w:p>
      <w:pPr>
        <w:ind w:left="1800" w:right="260" w:hanging="812"/>
        <w:spacing w:after="0" w:line="244" w:lineRule="auto"/>
        <w:tabs>
          <w:tab w:leader="none" w:pos="1800" w:val="left"/>
        </w:tabs>
        <w:numPr>
          <w:ilvl w:val="0"/>
          <w:numId w:val="350"/>
        </w:numPr>
        <w:rPr>
          <w:rFonts w:ascii="Arial" w:cs="Arial" w:eastAsia="Arial" w:hAnsi="Arial"/>
          <w:sz w:val="13"/>
          <w:szCs w:val="13"/>
          <w:color w:val="auto"/>
        </w:rPr>
      </w:pPr>
      <w:r>
        <w:rPr>
          <w:rFonts w:ascii="Arial" w:cs="Arial" w:eastAsia="Arial" w:hAnsi="Arial"/>
          <w:sz w:val="13"/>
          <w:szCs w:val="13"/>
          <w:color w:val="auto"/>
        </w:rPr>
        <w:t>promptly pay when they become due for payment (or reimburse the Bank on demand for) all Taxes payable in respect of the Secured Property;</w:t>
      </w:r>
    </w:p>
    <w:p>
      <w:pPr>
        <w:spacing w:after="0" w:line="56" w:lineRule="exact"/>
        <w:rPr>
          <w:rFonts w:ascii="Arial" w:cs="Arial" w:eastAsia="Arial" w:hAnsi="Arial"/>
          <w:sz w:val="13"/>
          <w:szCs w:val="13"/>
          <w:color w:val="auto"/>
        </w:rPr>
      </w:pPr>
    </w:p>
    <w:p>
      <w:pPr>
        <w:ind w:left="1720" w:hanging="732"/>
        <w:spacing w:after="0"/>
        <w:tabs>
          <w:tab w:leader="none" w:pos="1720" w:val="left"/>
        </w:tabs>
        <w:numPr>
          <w:ilvl w:val="0"/>
          <w:numId w:val="350"/>
        </w:numPr>
        <w:rPr>
          <w:rFonts w:ascii="Arial" w:cs="Arial" w:eastAsia="Arial" w:hAnsi="Arial"/>
          <w:sz w:val="13"/>
          <w:szCs w:val="13"/>
          <w:color w:val="auto"/>
        </w:rPr>
      </w:pPr>
      <w:r>
        <w:rPr>
          <w:rFonts w:ascii="Arial" w:cs="Arial" w:eastAsia="Arial" w:hAnsi="Arial"/>
          <w:sz w:val="13"/>
          <w:szCs w:val="13"/>
          <w:color w:val="auto"/>
        </w:rPr>
        <w:t>preserve and protect the value of the Secured Property as a whole; and</w:t>
      </w:r>
    </w:p>
    <w:p>
      <w:pPr>
        <w:spacing w:after="0" w:line="66" w:lineRule="exact"/>
        <w:rPr>
          <w:rFonts w:ascii="Arial" w:cs="Arial" w:eastAsia="Arial" w:hAnsi="Arial"/>
          <w:sz w:val="13"/>
          <w:szCs w:val="13"/>
          <w:color w:val="auto"/>
        </w:rPr>
      </w:pPr>
    </w:p>
    <w:p>
      <w:pPr>
        <w:ind w:left="1660" w:hanging="672"/>
        <w:spacing w:after="0"/>
        <w:tabs>
          <w:tab w:leader="none" w:pos="1660" w:val="left"/>
        </w:tabs>
        <w:numPr>
          <w:ilvl w:val="0"/>
          <w:numId w:val="350"/>
        </w:numPr>
        <w:rPr>
          <w:rFonts w:ascii="Arial" w:cs="Arial" w:eastAsia="Arial" w:hAnsi="Arial"/>
          <w:sz w:val="13"/>
          <w:szCs w:val="13"/>
          <w:color w:val="auto"/>
        </w:rPr>
      </w:pPr>
      <w:r>
        <w:rPr>
          <w:rFonts w:ascii="Arial" w:cs="Arial" w:eastAsia="Arial" w:hAnsi="Arial"/>
          <w:sz w:val="13"/>
          <w:szCs w:val="13"/>
          <w:color w:val="auto"/>
        </w:rPr>
        <w:t>protect and enforce its title and the Bank’s title as mortgagee to the Secured Property.</w:t>
      </w:r>
    </w:p>
    <w:p>
      <w:pPr>
        <w:spacing w:after="0" w:line="74" w:lineRule="exact"/>
        <w:rPr>
          <w:sz w:val="20"/>
          <w:szCs w:val="20"/>
          <w:color w:val="auto"/>
        </w:rPr>
      </w:pPr>
    </w:p>
    <w:p>
      <w:pPr>
        <w:ind w:left="140"/>
        <w:spacing w:after="0"/>
        <w:tabs>
          <w:tab w:leader="none" w:pos="2440" w:val="left"/>
        </w:tabs>
        <w:rPr>
          <w:sz w:val="20"/>
          <w:szCs w:val="20"/>
          <w:color w:val="auto"/>
        </w:rPr>
      </w:pPr>
      <w:r>
        <w:rPr>
          <w:rFonts w:ascii="Arial" w:cs="Arial" w:eastAsia="Arial" w:hAnsi="Arial"/>
          <w:sz w:val="14"/>
          <w:szCs w:val="14"/>
          <w:b w:val="1"/>
          <w:bCs w:val="1"/>
          <w:color w:val="auto"/>
        </w:rPr>
        <w:t>9.6</w:t>
      </w:r>
      <w:r>
        <w:rPr>
          <w:sz w:val="20"/>
          <w:szCs w:val="20"/>
          <w:color w:val="auto"/>
        </w:rPr>
        <w:tab/>
      </w:r>
      <w:r>
        <w:rPr>
          <w:rFonts w:ascii="Arial" w:cs="Arial" w:eastAsia="Arial" w:hAnsi="Arial"/>
          <w:sz w:val="14"/>
          <w:szCs w:val="14"/>
          <w:b w:val="1"/>
          <w:bCs w:val="1"/>
          <w:color w:val="auto"/>
        </w:rPr>
        <w:t>Insurance</w:t>
      </w:r>
    </w:p>
    <w:p>
      <w:pPr>
        <w:spacing w:after="0" w:line="75" w:lineRule="exact"/>
        <w:rPr>
          <w:sz w:val="20"/>
          <w:szCs w:val="20"/>
          <w:color w:val="auto"/>
        </w:rPr>
      </w:pPr>
    </w:p>
    <w:p>
      <w:pPr>
        <w:ind w:left="1360" w:right="260" w:hanging="724"/>
        <w:spacing w:after="0" w:line="238" w:lineRule="auto"/>
        <w:tabs>
          <w:tab w:leader="none" w:pos="1360" w:val="left"/>
        </w:tabs>
        <w:numPr>
          <w:ilvl w:val="0"/>
          <w:numId w:val="351"/>
        </w:numPr>
        <w:rPr>
          <w:rFonts w:ascii="Arial" w:cs="Arial" w:eastAsia="Arial" w:hAnsi="Arial"/>
          <w:sz w:val="13"/>
          <w:szCs w:val="13"/>
          <w:color w:val="auto"/>
        </w:rPr>
      </w:pPr>
      <w:r>
        <w:rPr>
          <w:rFonts w:ascii="Arial" w:cs="Arial" w:eastAsia="Arial" w:hAnsi="Arial"/>
          <w:sz w:val="13"/>
          <w:szCs w:val="13"/>
          <w:color w:val="auto"/>
        </w:rPr>
        <w:t>Subject to the provisions of the Transaction Documents, the Borrower must effect and maintain insurance over and in relation to the Secured Property, the business operations of the Group (including business interruption) and for public liability with insurers, for amounts, against risks and on terms and conditions:</w:t>
      </w:r>
    </w:p>
    <w:p>
      <w:pPr>
        <w:spacing w:after="0" w:line="50" w:lineRule="exact"/>
        <w:rPr>
          <w:rFonts w:ascii="Arial" w:cs="Arial" w:eastAsia="Arial" w:hAnsi="Arial"/>
          <w:sz w:val="13"/>
          <w:szCs w:val="13"/>
          <w:color w:val="auto"/>
        </w:rPr>
      </w:pPr>
    </w:p>
    <w:p>
      <w:pPr>
        <w:ind w:left="1500" w:hanging="512"/>
        <w:spacing w:after="0"/>
        <w:tabs>
          <w:tab w:leader="none" w:pos="1500" w:val="left"/>
        </w:tabs>
        <w:numPr>
          <w:ilvl w:val="1"/>
          <w:numId w:val="351"/>
        </w:numPr>
        <w:rPr>
          <w:rFonts w:ascii="Arial" w:cs="Arial" w:eastAsia="Arial" w:hAnsi="Arial"/>
          <w:sz w:val="13"/>
          <w:szCs w:val="13"/>
          <w:color w:val="auto"/>
        </w:rPr>
      </w:pPr>
      <w:r>
        <w:rPr>
          <w:rFonts w:ascii="Arial" w:cs="Arial" w:eastAsia="Arial" w:hAnsi="Arial"/>
          <w:sz w:val="13"/>
          <w:szCs w:val="13"/>
          <w:color w:val="auto"/>
        </w:rPr>
        <w:t>that the Bank reasonably requires; or</w:t>
      </w:r>
    </w:p>
    <w:p>
      <w:pPr>
        <w:spacing w:after="0" w:line="84" w:lineRule="exact"/>
        <w:rPr>
          <w:rFonts w:ascii="Arial" w:cs="Arial" w:eastAsia="Arial" w:hAnsi="Arial"/>
          <w:sz w:val="13"/>
          <w:szCs w:val="13"/>
          <w:color w:val="auto"/>
        </w:rPr>
      </w:pPr>
    </w:p>
    <w:p>
      <w:pPr>
        <w:ind w:left="1560" w:right="240" w:hanging="572"/>
        <w:spacing w:after="0" w:line="244" w:lineRule="auto"/>
        <w:tabs>
          <w:tab w:leader="none" w:pos="1560" w:val="left"/>
        </w:tabs>
        <w:numPr>
          <w:ilvl w:val="1"/>
          <w:numId w:val="351"/>
        </w:numPr>
        <w:rPr>
          <w:rFonts w:ascii="Arial" w:cs="Arial" w:eastAsia="Arial" w:hAnsi="Arial"/>
          <w:sz w:val="13"/>
          <w:szCs w:val="13"/>
          <w:color w:val="auto"/>
        </w:rPr>
      </w:pPr>
      <w:r>
        <w:rPr>
          <w:rFonts w:ascii="Arial" w:cs="Arial" w:eastAsia="Arial" w:hAnsi="Arial"/>
          <w:sz w:val="13"/>
          <w:szCs w:val="13"/>
          <w:color w:val="auto"/>
        </w:rPr>
        <w:t>if the Bank does not notify the Borrower of its requirements, that a prudent and reasonable owner of the Secured Property would effect and maintain, including insurance for full replacement value on a reinstatement basis.</w:t>
      </w:r>
    </w:p>
    <w:p>
      <w:pPr>
        <w:spacing w:after="0" w:line="56" w:lineRule="exact"/>
        <w:rPr>
          <w:rFonts w:ascii="Arial" w:cs="Arial" w:eastAsia="Arial" w:hAnsi="Arial"/>
          <w:sz w:val="13"/>
          <w:szCs w:val="13"/>
          <w:color w:val="auto"/>
        </w:rPr>
      </w:pPr>
    </w:p>
    <w:p>
      <w:pPr>
        <w:ind w:left="1420" w:right="120" w:hanging="784"/>
        <w:spacing w:after="0" w:line="244" w:lineRule="auto"/>
        <w:tabs>
          <w:tab w:leader="none" w:pos="1420" w:val="left"/>
        </w:tabs>
        <w:numPr>
          <w:ilvl w:val="0"/>
          <w:numId w:val="351"/>
        </w:numPr>
        <w:rPr>
          <w:rFonts w:ascii="Arial" w:cs="Arial" w:eastAsia="Arial" w:hAnsi="Arial"/>
          <w:sz w:val="13"/>
          <w:szCs w:val="13"/>
          <w:color w:val="auto"/>
        </w:rPr>
      </w:pPr>
      <w:r>
        <w:rPr>
          <w:rFonts w:ascii="Arial" w:cs="Arial" w:eastAsia="Arial" w:hAnsi="Arial"/>
          <w:sz w:val="13"/>
          <w:szCs w:val="13"/>
          <w:color w:val="auto"/>
        </w:rPr>
        <w:t>Subject to the provisions of the Transaction Documents, the Borrower must give to the Bank on demand a certificate in form and substance satisfactory to the Bank from the insurer to the effect that the required Insurances are current and no premium is overdue.</w:t>
      </w:r>
    </w:p>
    <w:p>
      <w:pPr>
        <w:spacing w:after="0" w:line="72" w:lineRule="exact"/>
        <w:rPr>
          <w:sz w:val="20"/>
          <w:szCs w:val="20"/>
          <w:color w:val="auto"/>
        </w:rPr>
      </w:pPr>
    </w:p>
    <w:p>
      <w:pPr>
        <w:ind w:left="140"/>
        <w:spacing w:after="0"/>
        <w:tabs>
          <w:tab w:leader="none" w:pos="1800" w:val="left"/>
        </w:tabs>
        <w:rPr>
          <w:sz w:val="20"/>
          <w:szCs w:val="20"/>
          <w:color w:val="auto"/>
        </w:rPr>
      </w:pPr>
      <w:r>
        <w:rPr>
          <w:rFonts w:ascii="Arial" w:cs="Arial" w:eastAsia="Arial" w:hAnsi="Arial"/>
          <w:sz w:val="14"/>
          <w:szCs w:val="14"/>
          <w:b w:val="1"/>
          <w:bCs w:val="1"/>
          <w:color w:val="auto"/>
        </w:rPr>
        <w:t>9.7</w:t>
      </w:r>
      <w:r>
        <w:rPr>
          <w:sz w:val="20"/>
          <w:szCs w:val="20"/>
          <w:color w:val="auto"/>
        </w:rPr>
        <w:tab/>
      </w:r>
      <w:r>
        <w:rPr>
          <w:rFonts w:ascii="Arial" w:cs="Arial" w:eastAsia="Arial" w:hAnsi="Arial"/>
          <w:sz w:val="14"/>
          <w:szCs w:val="14"/>
          <w:b w:val="1"/>
          <w:bCs w:val="1"/>
          <w:color w:val="auto"/>
        </w:rPr>
        <w:t>Financial ratios</w:t>
      </w:r>
    </w:p>
    <w:p>
      <w:pPr>
        <w:spacing w:after="0" w:line="75" w:lineRule="exact"/>
        <w:rPr>
          <w:sz w:val="20"/>
          <w:szCs w:val="20"/>
          <w:color w:val="auto"/>
        </w:rPr>
      </w:pPr>
    </w:p>
    <w:p>
      <w:pPr>
        <w:ind w:left="1400" w:hanging="764"/>
        <w:spacing w:after="0"/>
        <w:tabs>
          <w:tab w:leader="none" w:pos="1400" w:val="left"/>
        </w:tabs>
        <w:numPr>
          <w:ilvl w:val="0"/>
          <w:numId w:val="352"/>
        </w:numPr>
        <w:rPr>
          <w:rFonts w:ascii="Arial" w:cs="Arial" w:eastAsia="Arial" w:hAnsi="Arial"/>
          <w:sz w:val="13"/>
          <w:szCs w:val="13"/>
          <w:color w:val="auto"/>
        </w:rPr>
      </w:pPr>
      <w:r>
        <w:rPr>
          <w:rFonts w:ascii="Arial" w:cs="Arial" w:eastAsia="Arial" w:hAnsi="Arial"/>
          <w:sz w:val="13"/>
          <w:szCs w:val="13"/>
          <w:color w:val="auto"/>
        </w:rPr>
        <w:t>The Borrower must ensure that:</w:t>
      </w:r>
    </w:p>
    <w:p>
      <w:pPr>
        <w:spacing w:after="0" w:line="59" w:lineRule="exact"/>
        <w:rPr>
          <w:rFonts w:ascii="Arial" w:cs="Arial" w:eastAsia="Arial" w:hAnsi="Arial"/>
          <w:sz w:val="13"/>
          <w:szCs w:val="13"/>
          <w:color w:val="auto"/>
        </w:rPr>
      </w:pPr>
    </w:p>
    <w:p>
      <w:pPr>
        <w:ind w:left="1380" w:hanging="392"/>
        <w:spacing w:after="0" w:line="269" w:lineRule="auto"/>
        <w:tabs>
          <w:tab w:leader="none" w:pos="1380" w:val="left"/>
        </w:tabs>
        <w:numPr>
          <w:ilvl w:val="1"/>
          <w:numId w:val="352"/>
        </w:numPr>
        <w:rPr>
          <w:rFonts w:ascii="Arial" w:cs="Arial" w:eastAsia="Arial" w:hAnsi="Arial"/>
          <w:sz w:val="13"/>
          <w:szCs w:val="13"/>
          <w:color w:val="auto"/>
        </w:rPr>
      </w:pPr>
      <w:r>
        <w:rPr>
          <w:rFonts w:ascii="Arial" w:cs="Arial" w:eastAsia="Arial" w:hAnsi="Arial"/>
          <w:sz w:val="13"/>
          <w:szCs w:val="13"/>
          <w:b w:val="1"/>
          <w:bCs w:val="1"/>
          <w:color w:val="auto"/>
        </w:rPr>
        <w:t>Fixed Charges Cover Ratio</w:t>
      </w:r>
      <w:r>
        <w:rPr>
          <w:rFonts w:ascii="Arial" w:cs="Arial" w:eastAsia="Arial" w:hAnsi="Arial"/>
          <w:sz w:val="13"/>
          <w:szCs w:val="13"/>
          <w:color w:val="auto"/>
        </w:rPr>
        <w:t>: at each Calculation Date, the Fixed Charges Cover Ratio for the Calculation Period ending on that date is</w:t>
      </w:r>
      <w:r>
        <w:rPr>
          <w:rFonts w:ascii="Arial" w:cs="Arial" w:eastAsia="Arial" w:hAnsi="Arial"/>
          <w:sz w:val="13"/>
          <w:szCs w:val="13"/>
          <w:b w:val="1"/>
          <w:bCs w:val="1"/>
          <w:color w:val="auto"/>
        </w:rPr>
        <w:t xml:space="preserve"> </w:t>
      </w:r>
      <w:r>
        <w:rPr>
          <w:rFonts w:ascii="Arial" w:cs="Arial" w:eastAsia="Arial" w:hAnsi="Arial"/>
          <w:sz w:val="13"/>
          <w:szCs w:val="13"/>
          <w:color w:val="auto"/>
        </w:rPr>
        <w:t>not less than 1.70 times.</w:t>
      </w:r>
    </w:p>
    <w:p>
      <w:pPr>
        <w:spacing w:after="0" w:line="25" w:lineRule="exact"/>
        <w:rPr>
          <w:rFonts w:ascii="Arial" w:cs="Arial" w:eastAsia="Arial" w:hAnsi="Arial"/>
          <w:sz w:val="13"/>
          <w:szCs w:val="13"/>
          <w:color w:val="auto"/>
        </w:rPr>
      </w:pPr>
    </w:p>
    <w:p>
      <w:pPr>
        <w:ind w:left="1540" w:hanging="552"/>
        <w:spacing w:after="0"/>
        <w:tabs>
          <w:tab w:leader="none" w:pos="1540" w:val="left"/>
        </w:tabs>
        <w:numPr>
          <w:ilvl w:val="1"/>
          <w:numId w:val="352"/>
        </w:numPr>
        <w:rPr>
          <w:rFonts w:ascii="Arial" w:cs="Arial" w:eastAsia="Arial" w:hAnsi="Arial"/>
          <w:sz w:val="13"/>
          <w:szCs w:val="13"/>
          <w:color w:val="auto"/>
        </w:rPr>
      </w:pPr>
      <w:r>
        <w:rPr>
          <w:rFonts w:ascii="Arial" w:cs="Arial" w:eastAsia="Arial" w:hAnsi="Arial"/>
          <w:sz w:val="13"/>
          <w:szCs w:val="13"/>
          <w:b w:val="1"/>
          <w:bCs w:val="1"/>
          <w:color w:val="auto"/>
        </w:rPr>
        <w:t xml:space="preserve">Leverage Ratio: </w:t>
      </w:r>
      <w:r>
        <w:rPr>
          <w:rFonts w:ascii="Arial" w:cs="Arial" w:eastAsia="Arial" w:hAnsi="Arial"/>
          <w:sz w:val="13"/>
          <w:szCs w:val="13"/>
          <w:color w:val="auto"/>
        </w:rPr>
        <w:t>at each Calculation Date, the Leverage Ratio for the Calculation Period ending on that date is less than or equal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178435</wp:posOffset>
            </wp:positionV>
            <wp:extent cx="6208395"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208395" cy="42545"/>
                    </a:xfrm>
                    <a:prstGeom prst="rect">
                      <a:avLst/>
                    </a:prstGeom>
                    <a:noFill/>
                  </pic:spPr>
                </pic:pic>
              </a:graphicData>
            </a:graphic>
          </wp:anchor>
        </w:drawing>
      </w:r>
    </w:p>
    <w:p>
      <w:pPr>
        <w:sectPr>
          <w:pgSz w:w="11900" w:h="16838" w:orient="portrait"/>
          <w:cols w:equalWidth="0" w:num="1">
            <w:col w:w="9280"/>
          </w:cols>
          <w:pgMar w:left="1440" w:top="560" w:right="1179" w:bottom="1440" w:gutter="0" w:footer="0" w:header="0"/>
        </w:sectPr>
      </w:pPr>
    </w:p>
    <w:bookmarkStart w:id="261" w:name="page262"/>
    <w:bookmarkEnd w:id="261"/>
    <w:p>
      <w:pPr>
        <w:ind w:left="1320"/>
        <w:spacing w:after="0"/>
        <w:rPr>
          <w:sz w:val="20"/>
          <w:szCs w:val="20"/>
          <w:color w:val="auto"/>
        </w:rPr>
      </w:pPr>
      <w:r>
        <w:rPr>
          <w:rFonts w:ascii="Arial" w:cs="Arial" w:eastAsia="Arial" w:hAnsi="Arial"/>
          <w:sz w:val="13"/>
          <w:szCs w:val="13"/>
          <w:color w:val="auto"/>
        </w:rPr>
        <w:t>3.25 times.</w:t>
      </w:r>
    </w:p>
    <w:p>
      <w:pPr>
        <w:spacing w:after="0" w:line="60" w:lineRule="exact"/>
        <w:rPr>
          <w:sz w:val="20"/>
          <w:szCs w:val="20"/>
          <w:color w:val="auto"/>
        </w:rPr>
      </w:pPr>
    </w:p>
    <w:p>
      <w:pPr>
        <w:ind w:left="1560" w:right="60" w:hanging="572"/>
        <w:spacing w:after="0" w:line="269" w:lineRule="auto"/>
        <w:tabs>
          <w:tab w:leader="none" w:pos="1560" w:val="left"/>
        </w:tabs>
        <w:numPr>
          <w:ilvl w:val="1"/>
          <w:numId w:val="353"/>
        </w:numPr>
        <w:rPr>
          <w:rFonts w:ascii="Arial" w:cs="Arial" w:eastAsia="Arial" w:hAnsi="Arial"/>
          <w:sz w:val="13"/>
          <w:szCs w:val="13"/>
          <w:color w:val="auto"/>
        </w:rPr>
      </w:pPr>
      <w:r>
        <w:rPr>
          <w:rFonts w:ascii="Arial" w:cs="Arial" w:eastAsia="Arial" w:hAnsi="Arial"/>
          <w:sz w:val="13"/>
          <w:szCs w:val="13"/>
          <w:b w:val="1"/>
          <w:bCs w:val="1"/>
          <w:color w:val="auto"/>
        </w:rPr>
        <w:t>Loan to Value Ratio</w:t>
      </w:r>
      <w:r>
        <w:rPr>
          <w:rFonts w:ascii="Arial" w:cs="Arial" w:eastAsia="Arial" w:hAnsi="Arial"/>
          <w:sz w:val="13"/>
          <w:szCs w:val="13"/>
          <w:color w:val="auto"/>
        </w:rPr>
        <w:t>: at each Calculation Date, the Loan to Value Ratio for the Calculation Period ending on that date is less than or</w:t>
      </w:r>
      <w:r>
        <w:rPr>
          <w:rFonts w:ascii="Arial" w:cs="Arial" w:eastAsia="Arial" w:hAnsi="Arial"/>
          <w:sz w:val="13"/>
          <w:szCs w:val="13"/>
          <w:b w:val="1"/>
          <w:bCs w:val="1"/>
          <w:color w:val="auto"/>
        </w:rPr>
        <w:t xml:space="preserve"> </w:t>
      </w:r>
      <w:r>
        <w:rPr>
          <w:rFonts w:ascii="Arial" w:cs="Arial" w:eastAsia="Arial" w:hAnsi="Arial"/>
          <w:sz w:val="13"/>
          <w:szCs w:val="13"/>
          <w:color w:val="auto"/>
        </w:rPr>
        <w:t>equal to 70%.</w:t>
      </w:r>
    </w:p>
    <w:p>
      <w:pPr>
        <w:spacing w:after="0" w:line="25" w:lineRule="exact"/>
        <w:rPr>
          <w:rFonts w:ascii="Arial" w:cs="Arial" w:eastAsia="Arial" w:hAnsi="Arial"/>
          <w:sz w:val="13"/>
          <w:szCs w:val="13"/>
          <w:color w:val="auto"/>
        </w:rPr>
      </w:pPr>
    </w:p>
    <w:p>
      <w:pPr>
        <w:ind w:left="1040" w:hanging="404"/>
        <w:spacing w:after="0"/>
        <w:tabs>
          <w:tab w:leader="none" w:pos="1040" w:val="left"/>
        </w:tabs>
        <w:numPr>
          <w:ilvl w:val="0"/>
          <w:numId w:val="354"/>
        </w:numPr>
        <w:rPr>
          <w:rFonts w:ascii="Arial" w:cs="Arial" w:eastAsia="Arial" w:hAnsi="Arial"/>
          <w:sz w:val="13"/>
          <w:szCs w:val="13"/>
          <w:color w:val="auto"/>
        </w:rPr>
      </w:pPr>
      <w:r>
        <w:rPr>
          <w:rFonts w:ascii="Arial" w:cs="Arial" w:eastAsia="Arial" w:hAnsi="Arial"/>
          <w:sz w:val="13"/>
          <w:szCs w:val="13"/>
          <w:color w:val="auto"/>
        </w:rPr>
        <w:t xml:space="preserve">A financial ratio or amount to be determined under </w:t>
      </w:r>
      <w:r>
        <w:rPr>
          <w:rFonts w:ascii="Arial" w:cs="Arial" w:eastAsia="Arial" w:hAnsi="Arial"/>
          <w:sz w:val="13"/>
          <w:szCs w:val="13"/>
          <w:b w:val="1"/>
          <w:bCs w:val="1"/>
          <w:color w:val="auto"/>
        </w:rPr>
        <w:t>clause 9.7(a)</w:t>
      </w:r>
      <w:r>
        <w:rPr>
          <w:rFonts w:ascii="Arial" w:cs="Arial" w:eastAsia="Arial" w:hAnsi="Arial"/>
          <w:sz w:val="13"/>
          <w:szCs w:val="13"/>
          <w:color w:val="auto"/>
        </w:rPr>
        <w:t xml:space="preserve"> must be tested or determined by reference to the most recently</w:t>
      </w:r>
    </w:p>
    <w:p>
      <w:pPr>
        <w:spacing w:after="0" w:line="10" w:lineRule="exact"/>
        <w:rPr>
          <w:rFonts w:ascii="Arial" w:cs="Arial" w:eastAsia="Arial" w:hAnsi="Arial"/>
          <w:sz w:val="13"/>
          <w:szCs w:val="13"/>
          <w:color w:val="auto"/>
        </w:rPr>
      </w:pPr>
    </w:p>
    <w:p>
      <w:pPr>
        <w:ind w:left="1040" w:right="40"/>
        <w:spacing w:after="0" w:line="244" w:lineRule="auto"/>
        <w:rPr>
          <w:rFonts w:ascii="Arial" w:cs="Arial" w:eastAsia="Arial" w:hAnsi="Arial"/>
          <w:sz w:val="13"/>
          <w:szCs w:val="13"/>
          <w:color w:val="auto"/>
        </w:rPr>
      </w:pPr>
      <w:r>
        <w:rPr>
          <w:rFonts w:ascii="Arial" w:cs="Arial" w:eastAsia="Arial" w:hAnsi="Arial"/>
          <w:sz w:val="13"/>
          <w:szCs w:val="13"/>
          <w:color w:val="auto"/>
        </w:rPr>
        <w:t>prepared Financial Statements. The calculation of any amounts on a consolidated basis must be made in accordance with the requirements of the Accounting Standards relating to the consolidation of entities.</w:t>
      </w:r>
    </w:p>
    <w:p>
      <w:pPr>
        <w:spacing w:after="0" w:line="63" w:lineRule="exact"/>
        <w:rPr>
          <w:sz w:val="20"/>
          <w:szCs w:val="20"/>
          <w:color w:val="auto"/>
        </w:rPr>
      </w:pPr>
    </w:p>
    <w:p>
      <w:pPr>
        <w:ind w:left="140"/>
        <w:spacing w:after="0"/>
        <w:tabs>
          <w:tab w:leader="none" w:pos="2040" w:val="left"/>
        </w:tabs>
        <w:rPr>
          <w:sz w:val="20"/>
          <w:szCs w:val="20"/>
          <w:color w:val="auto"/>
        </w:rPr>
      </w:pPr>
      <w:r>
        <w:rPr>
          <w:rFonts w:ascii="Arial" w:cs="Arial" w:eastAsia="Arial" w:hAnsi="Arial"/>
          <w:sz w:val="14"/>
          <w:szCs w:val="14"/>
          <w:b w:val="1"/>
          <w:bCs w:val="1"/>
          <w:color w:val="auto"/>
        </w:rPr>
        <w:t>9.8</w:t>
      </w:r>
      <w:r>
        <w:rPr>
          <w:sz w:val="20"/>
          <w:szCs w:val="20"/>
          <w:color w:val="auto"/>
        </w:rPr>
        <w:tab/>
      </w:r>
      <w:r>
        <w:rPr>
          <w:rFonts w:ascii="Arial" w:cs="Arial" w:eastAsia="Arial" w:hAnsi="Arial"/>
          <w:sz w:val="14"/>
          <w:szCs w:val="14"/>
          <w:b w:val="1"/>
          <w:bCs w:val="1"/>
          <w:color w:val="auto"/>
        </w:rPr>
        <w:t>Environment</w:t>
      </w:r>
    </w:p>
    <w:p>
      <w:pPr>
        <w:spacing w:after="0" w:line="84" w:lineRule="exact"/>
        <w:rPr>
          <w:sz w:val="20"/>
          <w:szCs w:val="20"/>
          <w:color w:val="auto"/>
        </w:rPr>
      </w:pPr>
    </w:p>
    <w:p>
      <w:pPr>
        <w:ind w:left="1240" w:right="200" w:hanging="604"/>
        <w:spacing w:after="0" w:line="244" w:lineRule="auto"/>
        <w:tabs>
          <w:tab w:leader="none" w:pos="1240" w:val="left"/>
        </w:tabs>
        <w:numPr>
          <w:ilvl w:val="0"/>
          <w:numId w:val="355"/>
        </w:numPr>
        <w:rPr>
          <w:rFonts w:ascii="Arial" w:cs="Arial" w:eastAsia="Arial" w:hAnsi="Arial"/>
          <w:sz w:val="13"/>
          <w:szCs w:val="13"/>
          <w:color w:val="auto"/>
        </w:rPr>
      </w:pPr>
      <w:r>
        <w:rPr>
          <w:rFonts w:ascii="Arial" w:cs="Arial" w:eastAsia="Arial" w:hAnsi="Arial"/>
          <w:sz w:val="13"/>
          <w:szCs w:val="13"/>
          <w:color w:val="auto"/>
        </w:rPr>
        <w:t>Each Transaction Party must ensure that at all times all practical and reasonable steps that can be taken and measures and precautions that can be adopted are taken or adopted by each Transaction Party to ensure that:</w:t>
      </w:r>
    </w:p>
    <w:p>
      <w:pPr>
        <w:spacing w:after="0" w:line="56" w:lineRule="exact"/>
        <w:rPr>
          <w:rFonts w:ascii="Arial" w:cs="Arial" w:eastAsia="Arial" w:hAnsi="Arial"/>
          <w:sz w:val="13"/>
          <w:szCs w:val="13"/>
          <w:color w:val="auto"/>
        </w:rPr>
      </w:pPr>
    </w:p>
    <w:p>
      <w:pPr>
        <w:ind w:left="1640" w:right="380" w:hanging="652"/>
        <w:spacing w:after="0" w:line="244" w:lineRule="auto"/>
        <w:tabs>
          <w:tab w:leader="none" w:pos="1640" w:val="left"/>
        </w:tabs>
        <w:numPr>
          <w:ilvl w:val="1"/>
          <w:numId w:val="355"/>
        </w:numPr>
        <w:rPr>
          <w:rFonts w:ascii="Arial" w:cs="Arial" w:eastAsia="Arial" w:hAnsi="Arial"/>
          <w:sz w:val="13"/>
          <w:szCs w:val="13"/>
          <w:color w:val="auto"/>
        </w:rPr>
      </w:pPr>
      <w:r>
        <w:rPr>
          <w:rFonts w:ascii="Arial" w:cs="Arial" w:eastAsia="Arial" w:hAnsi="Arial"/>
          <w:sz w:val="13"/>
          <w:szCs w:val="13"/>
          <w:color w:val="auto"/>
        </w:rPr>
        <w:t>all persons, things and activities of any kind on or using the Land comply with all Environmental Laws and any consent, permit, approval, licence, authorisation, certification, order or direction granted or issued under any Environmental Law;</w:t>
      </w:r>
    </w:p>
    <w:p>
      <w:pPr>
        <w:spacing w:after="0" w:line="56" w:lineRule="exact"/>
        <w:rPr>
          <w:rFonts w:ascii="Arial" w:cs="Arial" w:eastAsia="Arial" w:hAnsi="Arial"/>
          <w:sz w:val="13"/>
          <w:szCs w:val="13"/>
          <w:color w:val="auto"/>
        </w:rPr>
      </w:pPr>
    </w:p>
    <w:p>
      <w:pPr>
        <w:ind w:left="1400" w:right="60" w:hanging="412"/>
        <w:spacing w:after="0" w:line="244" w:lineRule="auto"/>
        <w:tabs>
          <w:tab w:leader="none" w:pos="1400" w:val="left"/>
        </w:tabs>
        <w:numPr>
          <w:ilvl w:val="1"/>
          <w:numId w:val="355"/>
        </w:numPr>
        <w:rPr>
          <w:rFonts w:ascii="Arial" w:cs="Arial" w:eastAsia="Arial" w:hAnsi="Arial"/>
          <w:sz w:val="13"/>
          <w:szCs w:val="13"/>
          <w:color w:val="auto"/>
        </w:rPr>
      </w:pPr>
      <w:r>
        <w:rPr>
          <w:rFonts w:ascii="Arial" w:cs="Arial" w:eastAsia="Arial" w:hAnsi="Arial"/>
          <w:sz w:val="13"/>
          <w:szCs w:val="13"/>
          <w:color w:val="auto"/>
        </w:rPr>
        <w:t>if there is any non-compliance with any Environmental Law or any consent, permit, approval, licence, authorisation, certification, order or direction granted or issued under any Environmental Law:</w:t>
      </w:r>
    </w:p>
    <w:p>
      <w:pPr>
        <w:spacing w:after="0" w:line="56" w:lineRule="exact"/>
        <w:rPr>
          <w:rFonts w:ascii="Arial" w:cs="Arial" w:eastAsia="Arial" w:hAnsi="Arial"/>
          <w:sz w:val="13"/>
          <w:szCs w:val="13"/>
          <w:color w:val="auto"/>
        </w:rPr>
      </w:pPr>
    </w:p>
    <w:p>
      <w:pPr>
        <w:ind w:left="2060" w:hanging="739"/>
        <w:spacing w:after="0"/>
        <w:tabs>
          <w:tab w:leader="none" w:pos="2060" w:val="left"/>
        </w:tabs>
        <w:numPr>
          <w:ilvl w:val="2"/>
          <w:numId w:val="355"/>
        </w:numPr>
        <w:rPr>
          <w:rFonts w:ascii="Arial" w:cs="Arial" w:eastAsia="Arial" w:hAnsi="Arial"/>
          <w:sz w:val="13"/>
          <w:szCs w:val="13"/>
          <w:color w:val="auto"/>
        </w:rPr>
      </w:pPr>
      <w:r>
        <w:rPr>
          <w:rFonts w:ascii="Arial" w:cs="Arial" w:eastAsia="Arial" w:hAnsi="Arial"/>
          <w:sz w:val="13"/>
          <w:szCs w:val="13"/>
          <w:color w:val="auto"/>
        </w:rPr>
        <w:t>the impact on the Land and the environment is minimised; and</w:t>
      </w:r>
    </w:p>
    <w:p>
      <w:pPr>
        <w:spacing w:after="0" w:line="57" w:lineRule="exact"/>
        <w:rPr>
          <w:rFonts w:ascii="Arial" w:cs="Arial" w:eastAsia="Arial" w:hAnsi="Arial"/>
          <w:sz w:val="13"/>
          <w:szCs w:val="13"/>
          <w:color w:val="auto"/>
        </w:rPr>
      </w:pPr>
    </w:p>
    <w:p>
      <w:pPr>
        <w:ind w:left="1720" w:hanging="399"/>
        <w:spacing w:after="0" w:line="244" w:lineRule="auto"/>
        <w:tabs>
          <w:tab w:leader="none" w:pos="1720" w:val="left"/>
        </w:tabs>
        <w:numPr>
          <w:ilvl w:val="2"/>
          <w:numId w:val="355"/>
        </w:numPr>
        <w:rPr>
          <w:rFonts w:ascii="Arial" w:cs="Arial" w:eastAsia="Arial" w:hAnsi="Arial"/>
          <w:sz w:val="13"/>
          <w:szCs w:val="13"/>
          <w:color w:val="auto"/>
        </w:rPr>
      </w:pPr>
      <w:r>
        <w:rPr>
          <w:rFonts w:ascii="Arial" w:cs="Arial" w:eastAsia="Arial" w:hAnsi="Arial"/>
          <w:sz w:val="13"/>
          <w:szCs w:val="13"/>
          <w:color w:val="auto"/>
        </w:rPr>
        <w:t>steps are taken as quickly as possible to rectify the non- compliance, eliminate or reduce any liability arising from the non-compliance and to ensure the non-compliance does not recur;</w:t>
      </w:r>
    </w:p>
    <w:p>
      <w:pPr>
        <w:spacing w:after="0" w:line="56" w:lineRule="exact"/>
        <w:rPr>
          <w:rFonts w:ascii="Arial" w:cs="Arial" w:eastAsia="Arial" w:hAnsi="Arial"/>
          <w:sz w:val="13"/>
          <w:szCs w:val="13"/>
          <w:color w:val="auto"/>
        </w:rPr>
      </w:pPr>
    </w:p>
    <w:p>
      <w:pPr>
        <w:ind w:left="1680" w:hanging="692"/>
        <w:spacing w:after="0"/>
        <w:tabs>
          <w:tab w:leader="none" w:pos="1680" w:val="left"/>
        </w:tabs>
        <w:numPr>
          <w:ilvl w:val="1"/>
          <w:numId w:val="355"/>
        </w:numPr>
        <w:rPr>
          <w:rFonts w:ascii="Arial" w:cs="Arial" w:eastAsia="Arial" w:hAnsi="Arial"/>
          <w:sz w:val="13"/>
          <w:szCs w:val="13"/>
          <w:color w:val="auto"/>
        </w:rPr>
      </w:pPr>
      <w:r>
        <w:rPr>
          <w:rFonts w:ascii="Arial" w:cs="Arial" w:eastAsia="Arial" w:hAnsi="Arial"/>
          <w:sz w:val="13"/>
          <w:szCs w:val="13"/>
          <w:color w:val="auto"/>
        </w:rPr>
        <w:t>it or any person on the Land does not:</w:t>
      </w:r>
    </w:p>
    <w:p>
      <w:pPr>
        <w:spacing w:after="0" w:line="75" w:lineRule="exact"/>
        <w:rPr>
          <w:rFonts w:ascii="Arial" w:cs="Arial" w:eastAsia="Arial" w:hAnsi="Arial"/>
          <w:sz w:val="13"/>
          <w:szCs w:val="13"/>
          <w:color w:val="auto"/>
        </w:rPr>
      </w:pPr>
    </w:p>
    <w:p>
      <w:pPr>
        <w:ind w:left="2080" w:hanging="759"/>
        <w:spacing w:after="0"/>
        <w:tabs>
          <w:tab w:leader="none" w:pos="2080" w:val="left"/>
        </w:tabs>
        <w:numPr>
          <w:ilvl w:val="2"/>
          <w:numId w:val="355"/>
        </w:numPr>
        <w:rPr>
          <w:rFonts w:ascii="Arial" w:cs="Arial" w:eastAsia="Arial" w:hAnsi="Arial"/>
          <w:sz w:val="13"/>
          <w:szCs w:val="13"/>
          <w:color w:val="auto"/>
        </w:rPr>
      </w:pPr>
      <w:r>
        <w:rPr>
          <w:rFonts w:ascii="Arial" w:cs="Arial" w:eastAsia="Arial" w:hAnsi="Arial"/>
          <w:sz w:val="13"/>
          <w:szCs w:val="13"/>
          <w:color w:val="auto"/>
        </w:rPr>
        <w:t>allow onto or permit to exist on the Land any Contaminant; or</w:t>
      </w:r>
    </w:p>
    <w:p>
      <w:pPr>
        <w:spacing w:after="0" w:line="66" w:lineRule="exact"/>
        <w:rPr>
          <w:rFonts w:ascii="Arial" w:cs="Arial" w:eastAsia="Arial" w:hAnsi="Arial"/>
          <w:sz w:val="13"/>
          <w:szCs w:val="13"/>
          <w:color w:val="auto"/>
        </w:rPr>
      </w:pPr>
    </w:p>
    <w:p>
      <w:pPr>
        <w:ind w:left="2020" w:hanging="699"/>
        <w:spacing w:after="0"/>
        <w:tabs>
          <w:tab w:leader="none" w:pos="2020" w:val="left"/>
        </w:tabs>
        <w:numPr>
          <w:ilvl w:val="2"/>
          <w:numId w:val="355"/>
        </w:numPr>
        <w:rPr>
          <w:rFonts w:ascii="Arial" w:cs="Arial" w:eastAsia="Arial" w:hAnsi="Arial"/>
          <w:sz w:val="13"/>
          <w:szCs w:val="13"/>
          <w:color w:val="auto"/>
        </w:rPr>
      </w:pPr>
      <w:r>
        <w:rPr>
          <w:rFonts w:ascii="Arial" w:cs="Arial" w:eastAsia="Arial" w:hAnsi="Arial"/>
          <w:sz w:val="13"/>
          <w:szCs w:val="13"/>
          <w:color w:val="auto"/>
        </w:rPr>
        <w:t>allow a Contaminant to escape or be released into the environment,</w:t>
      </w:r>
    </w:p>
    <w:p>
      <w:pPr>
        <w:spacing w:after="0" w:line="76" w:lineRule="exact"/>
        <w:rPr>
          <w:sz w:val="20"/>
          <w:szCs w:val="20"/>
          <w:color w:val="auto"/>
        </w:rPr>
      </w:pPr>
    </w:p>
    <w:p>
      <w:pPr>
        <w:ind w:left="1660" w:right="100"/>
        <w:spacing w:after="0" w:line="238" w:lineRule="auto"/>
        <w:rPr>
          <w:sz w:val="20"/>
          <w:szCs w:val="20"/>
          <w:color w:val="auto"/>
        </w:rPr>
      </w:pPr>
      <w:r>
        <w:rPr>
          <w:rFonts w:ascii="Arial" w:cs="Arial" w:eastAsia="Arial" w:hAnsi="Arial"/>
          <w:sz w:val="13"/>
          <w:szCs w:val="13"/>
          <w:color w:val="auto"/>
        </w:rPr>
        <w:t>if to do so would be in breach of any Environmental Law or any consent, permit, approval, licence, authorisation, certification, order or direction granted or issued under any Environmental Law or could give rise to an order or direction being issued under any Environmental Law; and</w:t>
      </w:r>
    </w:p>
    <w:p>
      <w:pPr>
        <w:spacing w:after="0" w:line="51" w:lineRule="exact"/>
        <w:rPr>
          <w:sz w:val="20"/>
          <w:szCs w:val="20"/>
          <w:color w:val="auto"/>
        </w:rPr>
      </w:pPr>
    </w:p>
    <w:p>
      <w:pPr>
        <w:ind w:left="1520" w:right="200" w:hanging="532"/>
        <w:spacing w:after="0" w:line="244" w:lineRule="auto"/>
        <w:tabs>
          <w:tab w:leader="none" w:pos="1520" w:val="left"/>
        </w:tabs>
        <w:numPr>
          <w:ilvl w:val="0"/>
          <w:numId w:val="356"/>
        </w:numPr>
        <w:rPr>
          <w:rFonts w:ascii="Arial" w:cs="Arial" w:eastAsia="Arial" w:hAnsi="Arial"/>
          <w:sz w:val="13"/>
          <w:szCs w:val="13"/>
          <w:color w:val="auto"/>
        </w:rPr>
      </w:pPr>
      <w:r>
        <w:rPr>
          <w:rFonts w:ascii="Arial" w:cs="Arial" w:eastAsia="Arial" w:hAnsi="Arial"/>
          <w:sz w:val="13"/>
          <w:szCs w:val="13"/>
          <w:color w:val="auto"/>
        </w:rPr>
        <w:t>if any Contaminant is discovered on or affecting the Land (other than a Contaminant which is safely stored in accordance with lawful authority) or, without lawful authority, escapes or is released from the Land into the environment:</w:t>
      </w:r>
    </w:p>
    <w:p>
      <w:pPr>
        <w:spacing w:after="0" w:line="56" w:lineRule="exact"/>
        <w:rPr>
          <w:rFonts w:ascii="Arial" w:cs="Arial" w:eastAsia="Arial" w:hAnsi="Arial"/>
          <w:sz w:val="13"/>
          <w:szCs w:val="13"/>
          <w:color w:val="auto"/>
        </w:rPr>
      </w:pPr>
    </w:p>
    <w:p>
      <w:pPr>
        <w:ind w:left="1760" w:hanging="439"/>
        <w:spacing w:after="0"/>
        <w:tabs>
          <w:tab w:leader="none" w:pos="1760" w:val="left"/>
        </w:tabs>
        <w:numPr>
          <w:ilvl w:val="1"/>
          <w:numId w:val="356"/>
        </w:numPr>
        <w:rPr>
          <w:rFonts w:ascii="Arial" w:cs="Arial" w:eastAsia="Arial" w:hAnsi="Arial"/>
          <w:sz w:val="13"/>
          <w:szCs w:val="13"/>
          <w:color w:val="auto"/>
        </w:rPr>
      </w:pPr>
      <w:r>
        <w:rPr>
          <w:rFonts w:ascii="Arial" w:cs="Arial" w:eastAsia="Arial" w:hAnsi="Arial"/>
          <w:sz w:val="13"/>
          <w:szCs w:val="13"/>
          <w:color w:val="auto"/>
        </w:rPr>
        <w:t>the impact on the Land and the environment is minimised;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173990</wp:posOffset>
            </wp:positionV>
            <wp:extent cx="6208395"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208395" cy="42545"/>
                    </a:xfrm>
                    <a:prstGeom prst="rect">
                      <a:avLst/>
                    </a:prstGeom>
                    <a:noFill/>
                  </pic:spPr>
                </pic:pic>
              </a:graphicData>
            </a:graphic>
          </wp:anchor>
        </w:drawing>
      </w:r>
    </w:p>
    <w:p>
      <w:pPr>
        <w:sectPr>
          <w:pgSz w:w="11900" w:h="16838" w:orient="portrait"/>
          <w:cols w:equalWidth="0" w:num="1">
            <w:col w:w="9400"/>
          </w:cols>
          <w:pgMar w:left="1440" w:top="561" w:right="1059" w:bottom="1440" w:gutter="0" w:footer="0" w:header="0"/>
        </w:sectPr>
      </w:pPr>
    </w:p>
    <w:bookmarkStart w:id="262" w:name="page263"/>
    <w:bookmarkEnd w:id="262"/>
    <w:p>
      <w:pPr>
        <w:ind w:left="3840"/>
        <w:spacing w:after="0"/>
        <w:rPr>
          <w:sz w:val="20"/>
          <w:szCs w:val="20"/>
          <w:color w:val="auto"/>
        </w:rPr>
      </w:pPr>
      <w:r>
        <w:rPr>
          <w:rFonts w:ascii="Arial" w:cs="Arial" w:eastAsia="Arial" w:hAnsi="Arial"/>
          <w:sz w:val="13"/>
          <w:szCs w:val="13"/>
          <w:color w:val="auto"/>
        </w:rPr>
        <w:t>and</w:t>
      </w:r>
    </w:p>
    <w:p>
      <w:pPr>
        <w:spacing w:after="0" w:line="76" w:lineRule="exact"/>
        <w:rPr>
          <w:sz w:val="20"/>
          <w:szCs w:val="20"/>
          <w:color w:val="auto"/>
        </w:rPr>
      </w:pPr>
    </w:p>
    <w:p>
      <w:pPr>
        <w:jc w:val="both"/>
        <w:ind w:left="1720" w:hanging="399"/>
        <w:spacing w:after="0" w:line="236" w:lineRule="auto"/>
        <w:tabs>
          <w:tab w:leader="none" w:pos="1720" w:val="left"/>
        </w:tabs>
        <w:numPr>
          <w:ilvl w:val="1"/>
          <w:numId w:val="357"/>
        </w:numPr>
        <w:rPr>
          <w:rFonts w:ascii="Arial" w:cs="Arial" w:eastAsia="Arial" w:hAnsi="Arial"/>
          <w:sz w:val="13"/>
          <w:szCs w:val="13"/>
          <w:color w:val="auto"/>
        </w:rPr>
      </w:pPr>
      <w:r>
        <w:rPr>
          <w:rFonts w:ascii="Arial" w:cs="Arial" w:eastAsia="Arial" w:hAnsi="Arial"/>
          <w:sz w:val="13"/>
          <w:szCs w:val="13"/>
          <w:color w:val="auto"/>
        </w:rPr>
        <w:t>steps are taken as quickly as possible to safely contain the Contaminant and to remove the Contaminant from the environment or the Land or reduce the levels of the Contaminant to a level required or recommended by the relevant Government Body as safe and in either case to eliminate or reduce any liability arising from the Contaminant and do all things necessary to restore the Land and the environment.</w:t>
      </w:r>
    </w:p>
    <w:p>
      <w:pPr>
        <w:spacing w:after="0" w:line="44" w:lineRule="exact"/>
        <w:rPr>
          <w:rFonts w:ascii="Arial" w:cs="Arial" w:eastAsia="Arial" w:hAnsi="Arial"/>
          <w:sz w:val="13"/>
          <w:szCs w:val="13"/>
          <w:color w:val="auto"/>
        </w:rPr>
      </w:pPr>
    </w:p>
    <w:p>
      <w:pPr>
        <w:jc w:val="both"/>
        <w:ind w:left="1160" w:right="180" w:hanging="524"/>
        <w:spacing w:after="0" w:line="250" w:lineRule="auto"/>
        <w:tabs>
          <w:tab w:leader="none" w:pos="1160" w:val="left"/>
        </w:tabs>
        <w:numPr>
          <w:ilvl w:val="0"/>
          <w:numId w:val="358"/>
        </w:numPr>
        <w:rPr>
          <w:rFonts w:ascii="Arial" w:cs="Arial" w:eastAsia="Arial" w:hAnsi="Arial"/>
          <w:sz w:val="13"/>
          <w:szCs w:val="13"/>
          <w:color w:val="auto"/>
        </w:rPr>
      </w:pPr>
      <w:r>
        <w:rPr>
          <w:rFonts w:ascii="Arial" w:cs="Arial" w:eastAsia="Arial" w:hAnsi="Arial"/>
          <w:sz w:val="13"/>
          <w:szCs w:val="13"/>
          <w:color w:val="auto"/>
        </w:rPr>
        <w:t xml:space="preserve">If there is any non-compliance under </w:t>
      </w:r>
      <w:r>
        <w:rPr>
          <w:rFonts w:ascii="Arial" w:cs="Arial" w:eastAsia="Arial" w:hAnsi="Arial"/>
          <w:sz w:val="13"/>
          <w:szCs w:val="13"/>
          <w:b w:val="1"/>
          <w:bCs w:val="1"/>
          <w:color w:val="auto"/>
        </w:rPr>
        <w:t>clauses 9.8(a)(i)</w:t>
      </w:r>
      <w:r>
        <w:rPr>
          <w:rFonts w:ascii="Arial" w:cs="Arial" w:eastAsia="Arial" w:hAnsi="Arial"/>
          <w:sz w:val="13"/>
          <w:szCs w:val="13"/>
          <w:color w:val="auto"/>
        </w:rPr>
        <w:t xml:space="preserve">, </w:t>
      </w:r>
      <w:r>
        <w:rPr>
          <w:rFonts w:ascii="Arial" w:cs="Arial" w:eastAsia="Arial" w:hAnsi="Arial"/>
          <w:sz w:val="13"/>
          <w:szCs w:val="13"/>
          <w:b w:val="1"/>
          <w:bCs w:val="1"/>
          <w:color w:val="auto"/>
        </w:rPr>
        <w:t>(ii)</w:t>
      </w:r>
      <w:r>
        <w:rPr>
          <w:rFonts w:ascii="Arial" w:cs="Arial" w:eastAsia="Arial" w:hAnsi="Arial"/>
          <w:sz w:val="13"/>
          <w:szCs w:val="13"/>
          <w:color w:val="auto"/>
        </w:rPr>
        <w:t xml:space="preserve"> or </w:t>
      </w:r>
      <w:r>
        <w:rPr>
          <w:rFonts w:ascii="Arial" w:cs="Arial" w:eastAsia="Arial" w:hAnsi="Arial"/>
          <w:sz w:val="13"/>
          <w:szCs w:val="13"/>
          <w:b w:val="1"/>
          <w:bCs w:val="1"/>
          <w:color w:val="auto"/>
        </w:rPr>
        <w:t>(iii)</w:t>
      </w:r>
      <w:r>
        <w:rPr>
          <w:rFonts w:ascii="Arial" w:cs="Arial" w:eastAsia="Arial" w:hAnsi="Arial"/>
          <w:sz w:val="13"/>
          <w:szCs w:val="13"/>
          <w:color w:val="auto"/>
        </w:rPr>
        <w:t xml:space="preserve"> or any Contaminant is discovered or the Borrower has reason to believe that there is some Contaminant on the Land requiring action to be taken under </w:t>
      </w:r>
      <w:r>
        <w:rPr>
          <w:rFonts w:ascii="Arial" w:cs="Arial" w:eastAsia="Arial" w:hAnsi="Arial"/>
          <w:sz w:val="13"/>
          <w:szCs w:val="13"/>
          <w:b w:val="1"/>
          <w:bCs w:val="1"/>
          <w:color w:val="auto"/>
        </w:rPr>
        <w:t>clause 9.8(a)(iv)</w:t>
      </w:r>
      <w:r>
        <w:rPr>
          <w:rFonts w:ascii="Arial" w:cs="Arial" w:eastAsia="Arial" w:hAnsi="Arial"/>
          <w:sz w:val="13"/>
          <w:szCs w:val="13"/>
          <w:color w:val="auto"/>
        </w:rPr>
        <w:t>, the Borrower must immediately notify the Bank.</w:t>
      </w:r>
    </w:p>
    <w:p>
      <w:pPr>
        <w:spacing w:after="0" w:line="44" w:lineRule="exact"/>
        <w:rPr>
          <w:rFonts w:ascii="Arial" w:cs="Arial" w:eastAsia="Arial" w:hAnsi="Arial"/>
          <w:sz w:val="13"/>
          <w:szCs w:val="13"/>
          <w:color w:val="auto"/>
        </w:rPr>
      </w:pPr>
    </w:p>
    <w:p>
      <w:pPr>
        <w:ind w:left="1020" w:hanging="384"/>
        <w:spacing w:after="0"/>
        <w:tabs>
          <w:tab w:leader="none" w:pos="1020" w:val="left"/>
        </w:tabs>
        <w:numPr>
          <w:ilvl w:val="0"/>
          <w:numId w:val="358"/>
        </w:numPr>
        <w:rPr>
          <w:rFonts w:ascii="Arial" w:cs="Arial" w:eastAsia="Arial" w:hAnsi="Arial"/>
          <w:sz w:val="13"/>
          <w:szCs w:val="13"/>
          <w:color w:val="auto"/>
        </w:rPr>
      </w:pPr>
      <w:r>
        <w:rPr>
          <w:rFonts w:ascii="Arial" w:cs="Arial" w:eastAsia="Arial" w:hAnsi="Arial"/>
          <w:sz w:val="13"/>
          <w:szCs w:val="13"/>
          <w:color w:val="auto"/>
        </w:rPr>
        <w:t>If there is or the Bank has reason to believe that there may be any</w:t>
      </w:r>
    </w:p>
    <w:p>
      <w:pPr>
        <w:spacing w:after="0" w:line="8" w:lineRule="exact"/>
        <w:rPr>
          <w:sz w:val="20"/>
          <w:szCs w:val="20"/>
          <w:color w:val="auto"/>
        </w:rPr>
      </w:pPr>
    </w:p>
    <w:p>
      <w:pPr>
        <w:ind w:left="980" w:right="340"/>
        <w:spacing w:after="0" w:line="239" w:lineRule="auto"/>
        <w:rPr>
          <w:sz w:val="20"/>
          <w:szCs w:val="20"/>
          <w:color w:val="auto"/>
        </w:rPr>
      </w:pPr>
      <w:r>
        <w:rPr>
          <w:rFonts w:ascii="Arial" w:cs="Arial" w:eastAsia="Arial" w:hAnsi="Arial"/>
          <w:sz w:val="13"/>
          <w:szCs w:val="13"/>
          <w:color w:val="auto"/>
        </w:rPr>
        <w:t xml:space="preserve">non-compliance under </w:t>
      </w:r>
      <w:r>
        <w:rPr>
          <w:rFonts w:ascii="Arial" w:cs="Arial" w:eastAsia="Arial" w:hAnsi="Arial"/>
          <w:sz w:val="13"/>
          <w:szCs w:val="13"/>
          <w:b w:val="1"/>
          <w:bCs w:val="1"/>
          <w:color w:val="auto"/>
        </w:rPr>
        <w:t>clauses 9.8(a)(i)</w:t>
      </w:r>
      <w:r>
        <w:rPr>
          <w:rFonts w:ascii="Arial" w:cs="Arial" w:eastAsia="Arial" w:hAnsi="Arial"/>
          <w:sz w:val="13"/>
          <w:szCs w:val="13"/>
          <w:color w:val="auto"/>
        </w:rPr>
        <w:t xml:space="preserve">, </w:t>
      </w:r>
      <w:r>
        <w:rPr>
          <w:rFonts w:ascii="Arial" w:cs="Arial" w:eastAsia="Arial" w:hAnsi="Arial"/>
          <w:sz w:val="13"/>
          <w:szCs w:val="13"/>
          <w:b w:val="1"/>
          <w:bCs w:val="1"/>
          <w:color w:val="auto"/>
        </w:rPr>
        <w:t>(ii)</w:t>
      </w:r>
      <w:r>
        <w:rPr>
          <w:rFonts w:ascii="Arial" w:cs="Arial" w:eastAsia="Arial" w:hAnsi="Arial"/>
          <w:sz w:val="13"/>
          <w:szCs w:val="13"/>
          <w:color w:val="auto"/>
        </w:rPr>
        <w:t xml:space="preserve"> or </w:t>
      </w:r>
      <w:r>
        <w:rPr>
          <w:rFonts w:ascii="Arial" w:cs="Arial" w:eastAsia="Arial" w:hAnsi="Arial"/>
          <w:sz w:val="13"/>
          <w:szCs w:val="13"/>
          <w:b w:val="1"/>
          <w:bCs w:val="1"/>
          <w:color w:val="auto"/>
        </w:rPr>
        <w:t>(iii)</w:t>
      </w:r>
      <w:r>
        <w:rPr>
          <w:rFonts w:ascii="Arial" w:cs="Arial" w:eastAsia="Arial" w:hAnsi="Arial"/>
          <w:sz w:val="13"/>
          <w:szCs w:val="13"/>
          <w:color w:val="auto"/>
        </w:rPr>
        <w:t xml:space="preserve"> or any Contaminant is discovered or the Bank has reason to believe that there is some Contaminant on the Land requiring action to be taken under</w:t>
      </w:r>
    </w:p>
    <w:p>
      <w:pPr>
        <w:ind w:left="980"/>
        <w:spacing w:after="0"/>
        <w:rPr>
          <w:sz w:val="20"/>
          <w:szCs w:val="20"/>
          <w:color w:val="auto"/>
        </w:rPr>
      </w:pPr>
      <w:r>
        <w:rPr>
          <w:rFonts w:ascii="Arial" w:cs="Arial" w:eastAsia="Arial" w:hAnsi="Arial"/>
          <w:sz w:val="13"/>
          <w:szCs w:val="13"/>
          <w:b w:val="1"/>
          <w:bCs w:val="1"/>
          <w:color w:val="auto"/>
        </w:rPr>
        <w:t>clause 9.8(a)(iv)</w:t>
      </w:r>
      <w:r>
        <w:rPr>
          <w:rFonts w:ascii="Arial" w:cs="Arial" w:eastAsia="Arial" w:hAnsi="Arial"/>
          <w:sz w:val="13"/>
          <w:szCs w:val="13"/>
          <w:color w:val="auto"/>
        </w:rPr>
        <w:t>, the Borrower, at the request of the Bank, must procure</w:t>
      </w:r>
    </w:p>
    <w:p>
      <w:pPr>
        <w:spacing w:after="0" w:line="7" w:lineRule="exact"/>
        <w:rPr>
          <w:sz w:val="20"/>
          <w:szCs w:val="20"/>
          <w:color w:val="auto"/>
        </w:rPr>
      </w:pPr>
    </w:p>
    <w:p>
      <w:pPr>
        <w:ind w:left="980" w:right="340"/>
        <w:spacing w:after="0" w:line="244" w:lineRule="auto"/>
        <w:rPr>
          <w:sz w:val="20"/>
          <w:szCs w:val="20"/>
          <w:color w:val="auto"/>
        </w:rPr>
      </w:pPr>
      <w:r>
        <w:rPr>
          <w:rFonts w:ascii="Arial" w:cs="Arial" w:eastAsia="Arial" w:hAnsi="Arial"/>
          <w:sz w:val="13"/>
          <w:szCs w:val="13"/>
          <w:color w:val="auto"/>
        </w:rPr>
        <w:t>and furnish to the Bank, in a form acceptable to the Bank, an Environmental Assessment Report in relation to the Land and any operations conducted on it.</w:t>
      </w:r>
    </w:p>
    <w:p>
      <w:pPr>
        <w:spacing w:after="0" w:line="56" w:lineRule="exact"/>
        <w:rPr>
          <w:sz w:val="20"/>
          <w:szCs w:val="20"/>
          <w:color w:val="auto"/>
        </w:rPr>
      </w:pPr>
    </w:p>
    <w:p>
      <w:pPr>
        <w:ind w:left="1100" w:hanging="464"/>
        <w:spacing w:after="0"/>
        <w:tabs>
          <w:tab w:leader="none" w:pos="1100" w:val="left"/>
        </w:tabs>
        <w:numPr>
          <w:ilvl w:val="0"/>
          <w:numId w:val="359"/>
        </w:numPr>
        <w:rPr>
          <w:rFonts w:ascii="Arial" w:cs="Arial" w:eastAsia="Arial" w:hAnsi="Arial"/>
          <w:sz w:val="13"/>
          <w:szCs w:val="13"/>
          <w:color w:val="auto"/>
        </w:rPr>
      </w:pPr>
      <w:r>
        <w:rPr>
          <w:rFonts w:ascii="Arial" w:cs="Arial" w:eastAsia="Arial" w:hAnsi="Arial"/>
          <w:sz w:val="13"/>
          <w:szCs w:val="13"/>
          <w:color w:val="auto"/>
        </w:rPr>
        <w:t>The Borrower indemnifies the Bank from and against all:</w:t>
      </w:r>
    </w:p>
    <w:p>
      <w:pPr>
        <w:spacing w:after="0" w:line="84" w:lineRule="exact"/>
        <w:rPr>
          <w:rFonts w:ascii="Arial" w:cs="Arial" w:eastAsia="Arial" w:hAnsi="Arial"/>
          <w:sz w:val="13"/>
          <w:szCs w:val="13"/>
          <w:color w:val="auto"/>
        </w:rPr>
      </w:pPr>
    </w:p>
    <w:p>
      <w:pPr>
        <w:ind w:left="1640" w:hanging="652"/>
        <w:spacing w:after="0"/>
        <w:tabs>
          <w:tab w:leader="none" w:pos="1640" w:val="left"/>
        </w:tabs>
        <w:numPr>
          <w:ilvl w:val="1"/>
          <w:numId w:val="359"/>
        </w:numPr>
        <w:rPr>
          <w:rFonts w:ascii="Arial" w:cs="Arial" w:eastAsia="Arial" w:hAnsi="Arial"/>
          <w:sz w:val="13"/>
          <w:szCs w:val="13"/>
          <w:color w:val="auto"/>
        </w:rPr>
      </w:pPr>
      <w:r>
        <w:rPr>
          <w:rFonts w:ascii="Arial" w:cs="Arial" w:eastAsia="Arial" w:hAnsi="Arial"/>
          <w:sz w:val="13"/>
          <w:szCs w:val="13"/>
          <w:color w:val="auto"/>
        </w:rPr>
        <w:t>Environmental Liability; and</w:t>
      </w:r>
    </w:p>
    <w:p>
      <w:pPr>
        <w:spacing w:after="0" w:line="75" w:lineRule="exact"/>
        <w:rPr>
          <w:rFonts w:ascii="Arial" w:cs="Arial" w:eastAsia="Arial" w:hAnsi="Arial"/>
          <w:sz w:val="13"/>
          <w:szCs w:val="13"/>
          <w:color w:val="auto"/>
        </w:rPr>
      </w:pPr>
    </w:p>
    <w:p>
      <w:pPr>
        <w:jc w:val="both"/>
        <w:ind w:left="1420" w:right="320" w:hanging="432"/>
        <w:spacing w:after="0" w:line="238" w:lineRule="auto"/>
        <w:tabs>
          <w:tab w:leader="none" w:pos="1420" w:val="left"/>
        </w:tabs>
        <w:numPr>
          <w:ilvl w:val="1"/>
          <w:numId w:val="359"/>
        </w:numPr>
        <w:rPr>
          <w:rFonts w:ascii="Arial" w:cs="Arial" w:eastAsia="Arial" w:hAnsi="Arial"/>
          <w:sz w:val="13"/>
          <w:szCs w:val="13"/>
          <w:color w:val="auto"/>
        </w:rPr>
      </w:pPr>
      <w:r>
        <w:rPr>
          <w:rFonts w:ascii="Arial" w:cs="Arial" w:eastAsia="Arial" w:hAnsi="Arial"/>
          <w:sz w:val="13"/>
          <w:szCs w:val="13"/>
          <w:color w:val="auto"/>
        </w:rPr>
        <w:t>damages, losses, outgoings, costs, charges or expenses suffered or incurred by the Bank in respect of any action, claim or demand made or brought in respect of or otherwise arising from or in connection with any breach of any Environmental Law in relation to the Land.</w:t>
      </w:r>
    </w:p>
    <w:p>
      <w:pPr>
        <w:spacing w:after="0" w:line="59" w:lineRule="exact"/>
        <w:rPr>
          <w:rFonts w:ascii="Arial" w:cs="Arial" w:eastAsia="Arial" w:hAnsi="Arial"/>
          <w:sz w:val="13"/>
          <w:szCs w:val="13"/>
          <w:color w:val="auto"/>
        </w:rPr>
      </w:pPr>
    </w:p>
    <w:p>
      <w:pPr>
        <w:ind w:left="1140" w:hanging="504"/>
        <w:spacing w:after="0"/>
        <w:tabs>
          <w:tab w:leader="none" w:pos="1140" w:val="left"/>
        </w:tabs>
        <w:numPr>
          <w:ilvl w:val="0"/>
          <w:numId w:val="359"/>
        </w:numPr>
        <w:rPr>
          <w:rFonts w:ascii="Arial" w:cs="Arial" w:eastAsia="Arial" w:hAnsi="Arial"/>
          <w:sz w:val="13"/>
          <w:szCs w:val="13"/>
          <w:color w:val="auto"/>
        </w:rPr>
      </w:pPr>
      <w:r>
        <w:rPr>
          <w:rFonts w:ascii="Arial" w:cs="Arial" w:eastAsia="Arial" w:hAnsi="Arial"/>
          <w:sz w:val="13"/>
          <w:szCs w:val="13"/>
          <w:color w:val="auto"/>
        </w:rPr>
        <w:t>The Borrower must immediately notify the Bank of:</w:t>
      </w:r>
    </w:p>
    <w:p>
      <w:pPr>
        <w:spacing w:after="0" w:line="84" w:lineRule="exact"/>
        <w:rPr>
          <w:rFonts w:ascii="Arial" w:cs="Arial" w:eastAsia="Arial" w:hAnsi="Arial"/>
          <w:sz w:val="13"/>
          <w:szCs w:val="13"/>
          <w:color w:val="auto"/>
        </w:rPr>
      </w:pPr>
    </w:p>
    <w:p>
      <w:pPr>
        <w:ind w:left="1660" w:hanging="672"/>
        <w:spacing w:after="0"/>
        <w:tabs>
          <w:tab w:leader="none" w:pos="1660" w:val="left"/>
        </w:tabs>
        <w:numPr>
          <w:ilvl w:val="1"/>
          <w:numId w:val="359"/>
        </w:numPr>
        <w:rPr>
          <w:rFonts w:ascii="Arial" w:cs="Arial" w:eastAsia="Arial" w:hAnsi="Arial"/>
          <w:sz w:val="13"/>
          <w:szCs w:val="13"/>
          <w:color w:val="auto"/>
        </w:rPr>
      </w:pPr>
      <w:r>
        <w:rPr>
          <w:rFonts w:ascii="Arial" w:cs="Arial" w:eastAsia="Arial" w:hAnsi="Arial"/>
          <w:sz w:val="13"/>
          <w:szCs w:val="13"/>
          <w:color w:val="auto"/>
        </w:rPr>
        <w:t>the existence of any Contaminant on or adjacent to or affecting the Land; and</w:t>
      </w:r>
    </w:p>
    <w:p>
      <w:pPr>
        <w:spacing w:after="0" w:line="54" w:lineRule="exact"/>
        <w:rPr>
          <w:sz w:val="20"/>
          <w:szCs w:val="20"/>
          <w:color w:val="auto"/>
        </w:rPr>
      </w:pPr>
    </w:p>
    <w:p>
      <w:pPr>
        <w:ind w:left="980"/>
        <w:spacing w:after="0"/>
        <w:tabs>
          <w:tab w:leader="none" w:pos="2860" w:val="left"/>
        </w:tabs>
        <w:rPr>
          <w:sz w:val="20"/>
          <w:szCs w:val="20"/>
          <w:color w:val="auto"/>
        </w:rPr>
      </w:pPr>
      <w:r>
        <w:rPr>
          <w:rFonts w:ascii="Arial" w:cs="Arial" w:eastAsia="Arial" w:hAnsi="Arial"/>
          <w:sz w:val="13"/>
          <w:szCs w:val="13"/>
          <w:color w:val="auto"/>
        </w:rPr>
        <w:t>(ii)</w:t>
      </w:r>
      <w:r>
        <w:rPr>
          <w:sz w:val="20"/>
          <w:szCs w:val="20"/>
          <w:color w:val="auto"/>
        </w:rPr>
        <w:tab/>
      </w:r>
      <w:r>
        <w:rPr>
          <w:rFonts w:ascii="Arial" w:cs="Arial" w:eastAsia="Arial" w:hAnsi="Arial"/>
          <w:sz w:val="13"/>
          <w:szCs w:val="13"/>
          <w:color w:val="auto"/>
        </w:rPr>
        <w:t>the receipt by any Transaction Party of any notice, order or direction:</w:t>
      </w:r>
    </w:p>
    <w:p>
      <w:pPr>
        <w:spacing w:after="0" w:line="70" w:lineRule="exact"/>
        <w:rPr>
          <w:sz w:val="20"/>
          <w:szCs w:val="20"/>
          <w:color w:val="auto"/>
        </w:rPr>
      </w:pPr>
    </w:p>
    <w:p>
      <w:pPr>
        <w:ind w:left="1880" w:hanging="559"/>
        <w:spacing w:after="0"/>
        <w:tabs>
          <w:tab w:leader="none" w:pos="1880" w:val="left"/>
        </w:tabs>
        <w:numPr>
          <w:ilvl w:val="0"/>
          <w:numId w:val="360"/>
        </w:numPr>
        <w:rPr>
          <w:rFonts w:ascii="Arial" w:cs="Arial" w:eastAsia="Arial" w:hAnsi="Arial"/>
          <w:sz w:val="13"/>
          <w:szCs w:val="13"/>
          <w:color w:val="auto"/>
        </w:rPr>
      </w:pPr>
      <w:r>
        <w:rPr>
          <w:rFonts w:ascii="Arial" w:cs="Arial" w:eastAsia="Arial" w:hAnsi="Arial"/>
          <w:sz w:val="13"/>
          <w:szCs w:val="13"/>
          <w:color w:val="auto"/>
        </w:rPr>
        <w:t>to clean up any Contaminant on the Land; or</w:t>
      </w:r>
    </w:p>
    <w:p>
      <w:pPr>
        <w:spacing w:after="0" w:line="76" w:lineRule="exact"/>
        <w:rPr>
          <w:sz w:val="20"/>
          <w:szCs w:val="20"/>
          <w:color w:val="auto"/>
        </w:rPr>
      </w:pPr>
    </w:p>
    <w:p>
      <w:pPr>
        <w:ind w:left="1500"/>
        <w:spacing w:after="0"/>
        <w:tabs>
          <w:tab w:leader="none" w:pos="4440" w:val="left"/>
        </w:tabs>
        <w:rPr>
          <w:sz w:val="20"/>
          <w:szCs w:val="20"/>
          <w:color w:val="auto"/>
        </w:rPr>
      </w:pPr>
      <w:r>
        <w:rPr>
          <w:rFonts w:ascii="Arial" w:cs="Arial" w:eastAsia="Arial" w:hAnsi="Arial"/>
          <w:sz w:val="13"/>
          <w:szCs w:val="13"/>
          <w:color w:val="auto"/>
        </w:rPr>
        <w:t>(B)</w:t>
      </w:r>
      <w:r>
        <w:rPr>
          <w:sz w:val="20"/>
          <w:szCs w:val="20"/>
          <w:color w:val="auto"/>
        </w:rPr>
        <w:tab/>
      </w:r>
      <w:r>
        <w:rPr>
          <w:rFonts w:ascii="Arial" w:cs="Arial" w:eastAsia="Arial" w:hAnsi="Arial"/>
          <w:sz w:val="13"/>
          <w:szCs w:val="13"/>
          <w:color w:val="auto"/>
        </w:rPr>
        <w:t>alleging any breach of Environmental Law.</w:t>
      </w:r>
    </w:p>
    <w:p>
      <w:pPr>
        <w:spacing w:after="0" w:line="85" w:lineRule="exact"/>
        <w:rPr>
          <w:sz w:val="20"/>
          <w:szCs w:val="20"/>
          <w:color w:val="auto"/>
        </w:rPr>
      </w:pPr>
    </w:p>
    <w:p>
      <w:pPr>
        <w:ind w:left="1520" w:right="680" w:hanging="884"/>
        <w:spacing w:after="0" w:line="244" w:lineRule="auto"/>
        <w:tabs>
          <w:tab w:leader="none" w:pos="1520" w:val="left"/>
        </w:tabs>
        <w:numPr>
          <w:ilvl w:val="0"/>
          <w:numId w:val="361"/>
        </w:numPr>
        <w:rPr>
          <w:rFonts w:ascii="Arial" w:cs="Arial" w:eastAsia="Arial" w:hAnsi="Arial"/>
          <w:sz w:val="13"/>
          <w:szCs w:val="13"/>
          <w:color w:val="auto"/>
        </w:rPr>
      </w:pPr>
      <w:r>
        <w:rPr>
          <w:rFonts w:ascii="Arial" w:cs="Arial" w:eastAsia="Arial" w:hAnsi="Arial"/>
          <w:sz w:val="13"/>
          <w:szCs w:val="13"/>
          <w:color w:val="auto"/>
        </w:rPr>
        <w:t>If requested by the Bank, the Borrower must provide the Bank with a copy of each environmental consent, permit, approval, licence, authorisation, certification, order and direction relating to the Land together with confirmation that:</w:t>
      </w:r>
    </w:p>
    <w:p>
      <w:pPr>
        <w:spacing w:after="0" w:line="47" w:lineRule="exact"/>
        <w:rPr>
          <w:rFonts w:ascii="Arial" w:cs="Arial" w:eastAsia="Arial" w:hAnsi="Arial"/>
          <w:sz w:val="13"/>
          <w:szCs w:val="13"/>
          <w:color w:val="auto"/>
        </w:rPr>
      </w:pPr>
    </w:p>
    <w:p>
      <w:pPr>
        <w:ind w:left="1900" w:right="500" w:hanging="912"/>
        <w:spacing w:after="0" w:line="244" w:lineRule="auto"/>
        <w:tabs>
          <w:tab w:leader="none" w:pos="1900" w:val="left"/>
        </w:tabs>
        <w:numPr>
          <w:ilvl w:val="1"/>
          <w:numId w:val="361"/>
        </w:numPr>
        <w:rPr>
          <w:rFonts w:ascii="Arial" w:cs="Arial" w:eastAsia="Arial" w:hAnsi="Arial"/>
          <w:sz w:val="13"/>
          <w:szCs w:val="13"/>
          <w:color w:val="auto"/>
        </w:rPr>
      </w:pPr>
      <w:r>
        <w:rPr>
          <w:rFonts w:ascii="Arial" w:cs="Arial" w:eastAsia="Arial" w:hAnsi="Arial"/>
          <w:sz w:val="13"/>
          <w:szCs w:val="13"/>
          <w:color w:val="auto"/>
        </w:rPr>
        <w:t>it is complying with the terms and conditions of each consent, permit, approval, licence, authorisation, certification, order and direction;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161925</wp:posOffset>
            </wp:positionV>
            <wp:extent cx="6208395"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208395" cy="42545"/>
                    </a:xfrm>
                    <a:prstGeom prst="rect">
                      <a:avLst/>
                    </a:prstGeom>
                    <a:noFill/>
                  </pic:spPr>
                </pic:pic>
              </a:graphicData>
            </a:graphic>
          </wp:anchor>
        </w:drawing>
      </w:r>
    </w:p>
    <w:p>
      <w:pPr>
        <w:sectPr>
          <w:pgSz w:w="11900" w:h="16838" w:orient="portrait"/>
          <w:cols w:equalWidth="0" w:num="1">
            <w:col w:w="9400"/>
          </w:cols>
          <w:pgMar w:left="1440" w:top="561" w:right="1059" w:bottom="1440" w:gutter="0" w:footer="0" w:header="0"/>
        </w:sectPr>
      </w:pPr>
    </w:p>
    <w:bookmarkStart w:id="263" w:name="page264"/>
    <w:bookmarkEnd w:id="263"/>
    <w:p>
      <w:pPr>
        <w:ind w:left="2060" w:hanging="1072"/>
        <w:spacing w:after="0"/>
        <w:tabs>
          <w:tab w:leader="none" w:pos="2060" w:val="left"/>
        </w:tabs>
        <w:numPr>
          <w:ilvl w:val="1"/>
          <w:numId w:val="362"/>
        </w:numPr>
        <w:rPr>
          <w:rFonts w:ascii="Arial" w:cs="Arial" w:eastAsia="Arial" w:hAnsi="Arial"/>
          <w:sz w:val="13"/>
          <w:szCs w:val="13"/>
          <w:color w:val="auto"/>
        </w:rPr>
      </w:pPr>
      <w:r>
        <w:rPr>
          <w:rFonts w:ascii="Arial" w:cs="Arial" w:eastAsia="Arial" w:hAnsi="Arial"/>
          <w:sz w:val="13"/>
          <w:szCs w:val="13"/>
          <w:color w:val="auto"/>
        </w:rPr>
        <w:t>it has renewed each consent, permit, approval, licence, authorisation, certification, order and direction as appropriate.</w:t>
      </w:r>
    </w:p>
    <w:p>
      <w:pPr>
        <w:spacing w:after="0" w:line="57" w:lineRule="exact"/>
        <w:rPr>
          <w:rFonts w:ascii="Arial" w:cs="Arial" w:eastAsia="Arial" w:hAnsi="Arial"/>
          <w:sz w:val="13"/>
          <w:szCs w:val="13"/>
          <w:color w:val="auto"/>
        </w:rPr>
      </w:pPr>
    </w:p>
    <w:p>
      <w:pPr>
        <w:ind w:left="1760" w:hanging="1124"/>
        <w:spacing w:after="0"/>
        <w:tabs>
          <w:tab w:leader="none" w:pos="1760" w:val="left"/>
        </w:tabs>
        <w:numPr>
          <w:ilvl w:val="0"/>
          <w:numId w:val="363"/>
        </w:numPr>
        <w:rPr>
          <w:rFonts w:ascii="Arial" w:cs="Arial" w:eastAsia="Arial" w:hAnsi="Arial"/>
          <w:sz w:val="13"/>
          <w:szCs w:val="13"/>
          <w:color w:val="auto"/>
        </w:rPr>
      </w:pPr>
      <w:r>
        <w:rPr>
          <w:rFonts w:ascii="Arial" w:cs="Arial" w:eastAsia="Arial" w:hAnsi="Arial"/>
          <w:sz w:val="13"/>
          <w:szCs w:val="13"/>
          <w:color w:val="auto"/>
        </w:rPr>
        <w:t>The Borrower must:</w:t>
      </w:r>
    </w:p>
    <w:p>
      <w:pPr>
        <w:spacing w:after="0" w:line="84" w:lineRule="exact"/>
        <w:rPr>
          <w:rFonts w:ascii="Arial" w:cs="Arial" w:eastAsia="Arial" w:hAnsi="Arial"/>
          <w:sz w:val="13"/>
          <w:szCs w:val="13"/>
          <w:color w:val="auto"/>
        </w:rPr>
      </w:pPr>
    </w:p>
    <w:p>
      <w:pPr>
        <w:ind w:left="1600" w:right="280" w:hanging="612"/>
        <w:spacing w:after="0" w:line="244" w:lineRule="auto"/>
        <w:tabs>
          <w:tab w:leader="none" w:pos="1600" w:val="left"/>
        </w:tabs>
        <w:numPr>
          <w:ilvl w:val="1"/>
          <w:numId w:val="363"/>
        </w:numPr>
        <w:rPr>
          <w:rFonts w:ascii="Arial" w:cs="Arial" w:eastAsia="Arial" w:hAnsi="Arial"/>
          <w:sz w:val="13"/>
          <w:szCs w:val="13"/>
          <w:color w:val="auto"/>
        </w:rPr>
      </w:pPr>
      <w:r>
        <w:rPr>
          <w:rFonts w:ascii="Arial" w:cs="Arial" w:eastAsia="Arial" w:hAnsi="Arial"/>
          <w:sz w:val="13"/>
          <w:szCs w:val="13"/>
          <w:color w:val="auto"/>
        </w:rPr>
        <w:t>when reasonably required by the Bank, obtain or permit the Bank to obtain an Environmental Assessment Report from a person approved by the Bank in relation to the Land; and</w:t>
      </w:r>
    </w:p>
    <w:p>
      <w:pPr>
        <w:spacing w:after="0" w:line="56" w:lineRule="exact"/>
        <w:rPr>
          <w:sz w:val="20"/>
          <w:szCs w:val="20"/>
          <w:color w:val="auto"/>
        </w:rPr>
      </w:pPr>
    </w:p>
    <w:p>
      <w:pPr>
        <w:ind w:left="1400" w:right="40" w:hanging="412"/>
        <w:spacing w:after="0" w:line="238" w:lineRule="auto"/>
        <w:tabs>
          <w:tab w:leader="none" w:pos="1400" w:val="left"/>
        </w:tabs>
        <w:numPr>
          <w:ilvl w:val="0"/>
          <w:numId w:val="364"/>
        </w:numPr>
        <w:rPr>
          <w:rFonts w:ascii="Arial" w:cs="Arial" w:eastAsia="Arial" w:hAnsi="Arial"/>
          <w:sz w:val="13"/>
          <w:szCs w:val="13"/>
          <w:color w:val="auto"/>
        </w:rPr>
      </w:pPr>
      <w:r>
        <w:rPr>
          <w:rFonts w:ascii="Arial" w:cs="Arial" w:eastAsia="Arial" w:hAnsi="Arial"/>
          <w:sz w:val="13"/>
          <w:szCs w:val="13"/>
          <w:color w:val="auto"/>
        </w:rPr>
        <w:t>promptly comply with any reasonable recommendation contained in any Environmental Assessment Report relating to compliance with Environmental Law in relation to the Land and obtain any consent, permit, approval, licence, authorisation, certification, order and direction required in order to comply with that recommendation.</w:t>
      </w:r>
    </w:p>
    <w:p>
      <w:pPr>
        <w:spacing w:after="0" w:line="67" w:lineRule="exact"/>
        <w:rPr>
          <w:sz w:val="20"/>
          <w:szCs w:val="20"/>
          <w:color w:val="auto"/>
        </w:rPr>
      </w:pPr>
    </w:p>
    <w:p>
      <w:pPr>
        <w:ind w:left="140"/>
        <w:spacing w:after="0"/>
        <w:tabs>
          <w:tab w:leader="none" w:pos="2380" w:val="left"/>
        </w:tabs>
        <w:rPr>
          <w:sz w:val="20"/>
          <w:szCs w:val="20"/>
          <w:color w:val="auto"/>
        </w:rPr>
      </w:pPr>
      <w:r>
        <w:rPr>
          <w:rFonts w:ascii="Arial" w:cs="Arial" w:eastAsia="Arial" w:hAnsi="Arial"/>
          <w:sz w:val="14"/>
          <w:szCs w:val="14"/>
          <w:b w:val="1"/>
          <w:bCs w:val="1"/>
          <w:color w:val="auto"/>
        </w:rPr>
        <w:t>9.9</w:t>
      </w:r>
      <w:r>
        <w:rPr>
          <w:sz w:val="20"/>
          <w:szCs w:val="20"/>
          <w:color w:val="auto"/>
        </w:rPr>
        <w:tab/>
      </w:r>
      <w:r>
        <w:rPr>
          <w:rFonts w:ascii="Arial" w:cs="Arial" w:eastAsia="Arial" w:hAnsi="Arial"/>
          <w:sz w:val="14"/>
          <w:szCs w:val="14"/>
          <w:b w:val="1"/>
          <w:bCs w:val="1"/>
          <w:color w:val="auto"/>
        </w:rPr>
        <w:t>No default</w:t>
      </w:r>
    </w:p>
    <w:p>
      <w:pPr>
        <w:spacing w:after="0" w:line="75" w:lineRule="exact"/>
        <w:rPr>
          <w:sz w:val="20"/>
          <w:szCs w:val="20"/>
          <w:color w:val="auto"/>
        </w:rPr>
      </w:pPr>
    </w:p>
    <w:p>
      <w:pPr>
        <w:ind w:left="640"/>
        <w:spacing w:after="0"/>
        <w:rPr>
          <w:sz w:val="20"/>
          <w:szCs w:val="20"/>
          <w:color w:val="auto"/>
        </w:rPr>
      </w:pPr>
      <w:r>
        <w:rPr>
          <w:rFonts w:ascii="Arial" w:cs="Arial" w:eastAsia="Arial" w:hAnsi="Arial"/>
          <w:sz w:val="13"/>
          <w:szCs w:val="13"/>
          <w:color w:val="auto"/>
        </w:rPr>
        <w:t>The Borrower must ensure that an Event of Default does not occur.</w:t>
      </w:r>
    </w:p>
    <w:p>
      <w:pPr>
        <w:spacing w:after="0" w:line="101" w:lineRule="exact"/>
        <w:rPr>
          <w:sz w:val="20"/>
          <w:szCs w:val="20"/>
          <w:color w:val="auto"/>
        </w:rPr>
      </w:pPr>
    </w:p>
    <w:p>
      <w:pPr>
        <w:ind w:left="140"/>
        <w:spacing w:after="0"/>
        <w:tabs>
          <w:tab w:leader="none" w:pos="1700" w:val="left"/>
        </w:tabs>
        <w:rPr>
          <w:sz w:val="20"/>
          <w:szCs w:val="20"/>
          <w:color w:val="auto"/>
        </w:rPr>
      </w:pPr>
      <w:r>
        <w:rPr>
          <w:rFonts w:ascii="Arial" w:cs="Arial" w:eastAsia="Arial" w:hAnsi="Arial"/>
          <w:sz w:val="14"/>
          <w:szCs w:val="14"/>
          <w:b w:val="1"/>
          <w:bCs w:val="1"/>
          <w:color w:val="auto"/>
        </w:rPr>
        <w:t>9.10</w:t>
      </w:r>
      <w:r>
        <w:rPr>
          <w:sz w:val="20"/>
          <w:szCs w:val="20"/>
          <w:color w:val="auto"/>
        </w:rPr>
        <w:tab/>
      </w:r>
      <w:r>
        <w:rPr>
          <w:rFonts w:ascii="Arial" w:cs="Arial" w:eastAsia="Arial" w:hAnsi="Arial"/>
          <w:sz w:val="14"/>
          <w:szCs w:val="14"/>
          <w:b w:val="1"/>
          <w:bCs w:val="1"/>
          <w:color w:val="auto"/>
        </w:rPr>
        <w:t>Obligations of Trustees</w:t>
      </w:r>
    </w:p>
    <w:p>
      <w:pPr>
        <w:spacing w:after="0" w:line="75" w:lineRule="exact"/>
        <w:rPr>
          <w:sz w:val="20"/>
          <w:szCs w:val="20"/>
          <w:color w:val="auto"/>
        </w:rPr>
      </w:pPr>
    </w:p>
    <w:p>
      <w:pPr>
        <w:ind w:left="640"/>
        <w:spacing w:after="0"/>
        <w:rPr>
          <w:sz w:val="20"/>
          <w:szCs w:val="20"/>
          <w:color w:val="auto"/>
        </w:rPr>
      </w:pPr>
      <w:r>
        <w:rPr>
          <w:rFonts w:ascii="Arial" w:cs="Arial" w:eastAsia="Arial" w:hAnsi="Arial"/>
          <w:sz w:val="13"/>
          <w:szCs w:val="13"/>
          <w:color w:val="auto"/>
        </w:rPr>
        <w:t>If a Transaction Party is a Trustee the Borrower must ensure that it:</w:t>
      </w:r>
    </w:p>
    <w:p>
      <w:pPr>
        <w:spacing w:after="0" w:line="72" w:lineRule="exact"/>
        <w:rPr>
          <w:sz w:val="20"/>
          <w:szCs w:val="20"/>
          <w:color w:val="auto"/>
        </w:rPr>
      </w:pPr>
    </w:p>
    <w:p>
      <w:pPr>
        <w:ind w:left="640"/>
        <w:spacing w:after="0"/>
        <w:tabs>
          <w:tab w:leader="none" w:pos="2520" w:val="left"/>
        </w:tabs>
        <w:rPr>
          <w:sz w:val="20"/>
          <w:szCs w:val="20"/>
          <w:color w:val="auto"/>
        </w:rPr>
      </w:pPr>
      <w:r>
        <w:rPr>
          <w:rFonts w:ascii="Arial" w:cs="Arial" w:eastAsia="Arial" w:hAnsi="Arial"/>
          <w:sz w:val="13"/>
          <w:szCs w:val="13"/>
          <w:color w:val="auto"/>
        </w:rPr>
        <w:t>(a)</w:t>
      </w:r>
      <w:r>
        <w:rPr>
          <w:sz w:val="20"/>
          <w:szCs w:val="20"/>
          <w:color w:val="auto"/>
        </w:rPr>
        <w:tab/>
      </w:r>
      <w:r>
        <w:rPr>
          <w:rFonts w:ascii="Arial" w:cs="Arial" w:eastAsia="Arial" w:hAnsi="Arial"/>
          <w:sz w:val="13"/>
          <w:szCs w:val="13"/>
          <w:color w:val="auto"/>
        </w:rPr>
        <w:t>ensures that the property of the Trust is not mixed with any other property;</w:t>
      </w:r>
    </w:p>
    <w:p>
      <w:pPr>
        <w:spacing w:after="0" w:line="70" w:lineRule="exact"/>
        <w:rPr>
          <w:sz w:val="20"/>
          <w:szCs w:val="20"/>
          <w:color w:val="auto"/>
        </w:rPr>
      </w:pPr>
    </w:p>
    <w:p>
      <w:pPr>
        <w:ind w:left="1140" w:hanging="504"/>
        <w:spacing w:after="0"/>
        <w:tabs>
          <w:tab w:leader="none" w:pos="1140" w:val="left"/>
        </w:tabs>
        <w:numPr>
          <w:ilvl w:val="0"/>
          <w:numId w:val="365"/>
        </w:numPr>
        <w:rPr>
          <w:rFonts w:ascii="Arial" w:cs="Arial" w:eastAsia="Arial" w:hAnsi="Arial"/>
          <w:sz w:val="13"/>
          <w:szCs w:val="13"/>
          <w:color w:val="auto"/>
        </w:rPr>
      </w:pPr>
      <w:r>
        <w:rPr>
          <w:rFonts w:ascii="Arial" w:cs="Arial" w:eastAsia="Arial" w:hAnsi="Arial"/>
          <w:sz w:val="13"/>
          <w:szCs w:val="13"/>
          <w:color w:val="auto"/>
        </w:rPr>
        <w:t>complies with its obligations as trustee of the Trust;</w:t>
      </w:r>
    </w:p>
    <w:p>
      <w:pPr>
        <w:spacing w:after="0" w:line="84" w:lineRule="exact"/>
        <w:rPr>
          <w:rFonts w:ascii="Arial" w:cs="Arial" w:eastAsia="Arial" w:hAnsi="Arial"/>
          <w:sz w:val="13"/>
          <w:szCs w:val="13"/>
          <w:color w:val="auto"/>
        </w:rPr>
      </w:pPr>
    </w:p>
    <w:p>
      <w:pPr>
        <w:ind w:left="1180" w:hanging="544"/>
        <w:spacing w:after="0" w:line="244" w:lineRule="auto"/>
        <w:tabs>
          <w:tab w:leader="none" w:pos="1180" w:val="left"/>
        </w:tabs>
        <w:numPr>
          <w:ilvl w:val="0"/>
          <w:numId w:val="365"/>
        </w:numPr>
        <w:rPr>
          <w:rFonts w:ascii="Arial" w:cs="Arial" w:eastAsia="Arial" w:hAnsi="Arial"/>
          <w:sz w:val="13"/>
          <w:szCs w:val="13"/>
          <w:color w:val="auto"/>
        </w:rPr>
      </w:pPr>
      <w:r>
        <w:rPr>
          <w:rFonts w:ascii="Arial" w:cs="Arial" w:eastAsia="Arial" w:hAnsi="Arial"/>
          <w:sz w:val="13"/>
          <w:szCs w:val="13"/>
          <w:color w:val="auto"/>
        </w:rPr>
        <w:t>does not release, dispose of or otherwise prejudice its right of indemnity against, and equitable lien over, the property of the Trust and its right of indemnity (if any) against the beneficiaries of the Trust in relation to any money owing to the Bank;</w:t>
      </w:r>
    </w:p>
    <w:p>
      <w:pPr>
        <w:spacing w:after="0" w:line="56" w:lineRule="exact"/>
        <w:rPr>
          <w:rFonts w:ascii="Arial" w:cs="Arial" w:eastAsia="Arial" w:hAnsi="Arial"/>
          <w:sz w:val="13"/>
          <w:szCs w:val="13"/>
          <w:color w:val="auto"/>
        </w:rPr>
      </w:pPr>
    </w:p>
    <w:p>
      <w:pPr>
        <w:ind w:left="1680" w:hanging="1044"/>
        <w:spacing w:after="0"/>
        <w:tabs>
          <w:tab w:leader="none" w:pos="1680" w:val="left"/>
        </w:tabs>
        <w:numPr>
          <w:ilvl w:val="0"/>
          <w:numId w:val="365"/>
        </w:numPr>
        <w:rPr>
          <w:rFonts w:ascii="Arial" w:cs="Arial" w:eastAsia="Arial" w:hAnsi="Arial"/>
          <w:sz w:val="13"/>
          <w:szCs w:val="13"/>
          <w:color w:val="auto"/>
        </w:rPr>
      </w:pPr>
      <w:r>
        <w:rPr>
          <w:rFonts w:ascii="Arial" w:cs="Arial" w:eastAsia="Arial" w:hAnsi="Arial"/>
          <w:sz w:val="13"/>
          <w:szCs w:val="13"/>
          <w:color w:val="auto"/>
        </w:rPr>
        <w:t>at the Bank’s request:</w:t>
      </w:r>
    </w:p>
    <w:p>
      <w:pPr>
        <w:spacing w:after="0" w:line="75" w:lineRule="exact"/>
        <w:rPr>
          <w:rFonts w:ascii="Arial" w:cs="Arial" w:eastAsia="Arial" w:hAnsi="Arial"/>
          <w:sz w:val="13"/>
          <w:szCs w:val="13"/>
          <w:color w:val="auto"/>
        </w:rPr>
      </w:pPr>
    </w:p>
    <w:p>
      <w:pPr>
        <w:ind w:left="1420" w:right="200" w:hanging="432"/>
        <w:spacing w:after="0" w:line="244" w:lineRule="auto"/>
        <w:tabs>
          <w:tab w:leader="none" w:pos="1420" w:val="left"/>
        </w:tabs>
        <w:numPr>
          <w:ilvl w:val="1"/>
          <w:numId w:val="365"/>
        </w:numPr>
        <w:rPr>
          <w:rFonts w:ascii="Arial" w:cs="Arial" w:eastAsia="Arial" w:hAnsi="Arial"/>
          <w:sz w:val="13"/>
          <w:szCs w:val="13"/>
          <w:color w:val="auto"/>
        </w:rPr>
      </w:pPr>
      <w:r>
        <w:rPr>
          <w:rFonts w:ascii="Arial" w:cs="Arial" w:eastAsia="Arial" w:hAnsi="Arial"/>
          <w:sz w:val="13"/>
          <w:szCs w:val="13"/>
          <w:color w:val="auto"/>
        </w:rPr>
        <w:t>exercises its right of indemnity against, and equitable lien over, the property of the Trust and its right of indemnity (if any) against the beneficiaries of the Trust in relation to any money owing to the Bank; and</w:t>
      </w:r>
    </w:p>
    <w:p>
      <w:pPr>
        <w:spacing w:after="0" w:line="56" w:lineRule="exact"/>
        <w:rPr>
          <w:rFonts w:ascii="Arial" w:cs="Arial" w:eastAsia="Arial" w:hAnsi="Arial"/>
          <w:sz w:val="13"/>
          <w:szCs w:val="13"/>
          <w:color w:val="auto"/>
        </w:rPr>
      </w:pPr>
    </w:p>
    <w:p>
      <w:pPr>
        <w:ind w:left="1620" w:right="540" w:hanging="632"/>
        <w:spacing w:after="0" w:line="244" w:lineRule="auto"/>
        <w:tabs>
          <w:tab w:leader="none" w:pos="1620" w:val="left"/>
        </w:tabs>
        <w:numPr>
          <w:ilvl w:val="1"/>
          <w:numId w:val="365"/>
        </w:numPr>
        <w:rPr>
          <w:rFonts w:ascii="Arial" w:cs="Arial" w:eastAsia="Arial" w:hAnsi="Arial"/>
          <w:sz w:val="13"/>
          <w:szCs w:val="13"/>
          <w:color w:val="auto"/>
        </w:rPr>
      </w:pPr>
      <w:r>
        <w:rPr>
          <w:rFonts w:ascii="Arial" w:cs="Arial" w:eastAsia="Arial" w:hAnsi="Arial"/>
          <w:sz w:val="13"/>
          <w:szCs w:val="13"/>
          <w:color w:val="auto"/>
        </w:rPr>
        <w:t>assigns to the Bank those indemnities and that equitable lien and otherwise facilitates the subrogation of the Bank to those indemnities and that equitable lien;</w:t>
      </w:r>
    </w:p>
    <w:p>
      <w:pPr>
        <w:spacing w:after="0" w:line="56" w:lineRule="exact"/>
        <w:rPr>
          <w:rFonts w:ascii="Arial" w:cs="Arial" w:eastAsia="Arial" w:hAnsi="Arial"/>
          <w:sz w:val="13"/>
          <w:szCs w:val="13"/>
          <w:color w:val="auto"/>
        </w:rPr>
      </w:pPr>
    </w:p>
    <w:p>
      <w:pPr>
        <w:ind w:left="1120" w:right="20" w:hanging="484"/>
        <w:spacing w:after="0" w:line="244" w:lineRule="auto"/>
        <w:tabs>
          <w:tab w:leader="none" w:pos="1120" w:val="left"/>
        </w:tabs>
        <w:numPr>
          <w:ilvl w:val="0"/>
          <w:numId w:val="365"/>
        </w:numPr>
        <w:rPr>
          <w:rFonts w:ascii="Arial" w:cs="Arial" w:eastAsia="Arial" w:hAnsi="Arial"/>
          <w:sz w:val="13"/>
          <w:szCs w:val="13"/>
          <w:color w:val="auto"/>
        </w:rPr>
      </w:pPr>
      <w:r>
        <w:rPr>
          <w:rFonts w:ascii="Arial" w:cs="Arial" w:eastAsia="Arial" w:hAnsi="Arial"/>
          <w:sz w:val="13"/>
          <w:szCs w:val="13"/>
          <w:color w:val="auto"/>
        </w:rPr>
        <w:t>does not, if the Trust is a unit trust, consent to or register the transfer of units in the Trust or cancel, repurchase, redeem or issue any units in the Trust;</w:t>
      </w:r>
    </w:p>
    <w:p>
      <w:pPr>
        <w:spacing w:after="0" w:line="56" w:lineRule="exact"/>
        <w:rPr>
          <w:rFonts w:ascii="Arial" w:cs="Arial" w:eastAsia="Arial" w:hAnsi="Arial"/>
          <w:sz w:val="13"/>
          <w:szCs w:val="13"/>
          <w:color w:val="auto"/>
        </w:rPr>
      </w:pPr>
    </w:p>
    <w:p>
      <w:pPr>
        <w:ind w:left="1940" w:hanging="1304"/>
        <w:spacing w:after="0"/>
        <w:tabs>
          <w:tab w:leader="none" w:pos="1940" w:val="left"/>
        </w:tabs>
        <w:numPr>
          <w:ilvl w:val="0"/>
          <w:numId w:val="365"/>
        </w:numPr>
        <w:rPr>
          <w:rFonts w:ascii="Arial" w:cs="Arial" w:eastAsia="Arial" w:hAnsi="Arial"/>
          <w:sz w:val="13"/>
          <w:szCs w:val="13"/>
          <w:color w:val="auto"/>
        </w:rPr>
      </w:pPr>
      <w:r>
        <w:rPr>
          <w:rFonts w:ascii="Arial" w:cs="Arial" w:eastAsia="Arial" w:hAnsi="Arial"/>
          <w:sz w:val="13"/>
          <w:szCs w:val="13"/>
          <w:color w:val="auto"/>
        </w:rPr>
        <w:t>ensures that:</w:t>
      </w:r>
    </w:p>
    <w:p>
      <w:pPr>
        <w:spacing w:after="0" w:line="84" w:lineRule="exact"/>
        <w:rPr>
          <w:rFonts w:ascii="Arial" w:cs="Arial" w:eastAsia="Arial" w:hAnsi="Arial"/>
          <w:sz w:val="13"/>
          <w:szCs w:val="13"/>
          <w:color w:val="auto"/>
        </w:rPr>
      </w:pPr>
    </w:p>
    <w:p>
      <w:pPr>
        <w:ind w:left="1360" w:hanging="372"/>
        <w:spacing w:after="0"/>
        <w:tabs>
          <w:tab w:leader="none" w:pos="1360" w:val="left"/>
        </w:tabs>
        <w:numPr>
          <w:ilvl w:val="1"/>
          <w:numId w:val="365"/>
        </w:numPr>
        <w:rPr>
          <w:rFonts w:ascii="Arial" w:cs="Arial" w:eastAsia="Arial" w:hAnsi="Arial"/>
          <w:sz w:val="13"/>
          <w:szCs w:val="13"/>
          <w:color w:val="auto"/>
        </w:rPr>
      </w:pPr>
      <w:r>
        <w:rPr>
          <w:rFonts w:ascii="Arial" w:cs="Arial" w:eastAsia="Arial" w:hAnsi="Arial"/>
          <w:sz w:val="13"/>
          <w:szCs w:val="13"/>
          <w:color w:val="auto"/>
        </w:rPr>
        <w:t>another person is not appointed as trustee of the Trust;</w:t>
      </w:r>
    </w:p>
    <w:p>
      <w:pPr>
        <w:spacing w:after="0" w:line="75" w:lineRule="exact"/>
        <w:rPr>
          <w:rFonts w:ascii="Arial" w:cs="Arial" w:eastAsia="Arial" w:hAnsi="Arial"/>
          <w:sz w:val="13"/>
          <w:szCs w:val="13"/>
          <w:color w:val="auto"/>
        </w:rPr>
      </w:pPr>
    </w:p>
    <w:p>
      <w:pPr>
        <w:ind w:left="1520" w:hanging="532"/>
        <w:spacing w:after="0"/>
        <w:tabs>
          <w:tab w:leader="none" w:pos="1520" w:val="left"/>
        </w:tabs>
        <w:numPr>
          <w:ilvl w:val="1"/>
          <w:numId w:val="365"/>
        </w:numPr>
        <w:rPr>
          <w:rFonts w:ascii="Arial" w:cs="Arial" w:eastAsia="Arial" w:hAnsi="Arial"/>
          <w:sz w:val="13"/>
          <w:szCs w:val="13"/>
          <w:color w:val="auto"/>
        </w:rPr>
      </w:pPr>
      <w:r>
        <w:rPr>
          <w:rFonts w:ascii="Arial" w:cs="Arial" w:eastAsia="Arial" w:hAnsi="Arial"/>
          <w:sz w:val="13"/>
          <w:szCs w:val="13"/>
          <w:color w:val="auto"/>
        </w:rPr>
        <w:t>the Trust is not terminated or its terms varied;</w:t>
      </w:r>
    </w:p>
    <w:p>
      <w:pPr>
        <w:spacing w:after="0" w:line="84" w:lineRule="exact"/>
        <w:rPr>
          <w:rFonts w:ascii="Arial" w:cs="Arial" w:eastAsia="Arial" w:hAnsi="Arial"/>
          <w:sz w:val="13"/>
          <w:szCs w:val="13"/>
          <w:color w:val="auto"/>
        </w:rPr>
      </w:pPr>
    </w:p>
    <w:p>
      <w:pPr>
        <w:ind w:left="2300" w:hanging="1312"/>
        <w:spacing w:after="0"/>
        <w:tabs>
          <w:tab w:leader="none" w:pos="2300" w:val="left"/>
        </w:tabs>
        <w:numPr>
          <w:ilvl w:val="1"/>
          <w:numId w:val="365"/>
        </w:numPr>
        <w:rPr>
          <w:rFonts w:ascii="Arial" w:cs="Arial" w:eastAsia="Arial" w:hAnsi="Arial"/>
          <w:sz w:val="13"/>
          <w:szCs w:val="13"/>
          <w:color w:val="auto"/>
        </w:rPr>
      </w:pPr>
      <w:r>
        <w:rPr>
          <w:rFonts w:ascii="Arial" w:cs="Arial" w:eastAsia="Arial" w:hAnsi="Arial"/>
          <w:sz w:val="13"/>
          <w:szCs w:val="13"/>
          <w:color w:val="auto"/>
        </w:rPr>
        <w:t>the Trustee does not resign and is not removed or replaced as trustee of the Trust;</w:t>
      </w:r>
    </w:p>
    <w:p>
      <w:pPr>
        <w:spacing w:after="0" w:line="57" w:lineRule="exact"/>
        <w:rPr>
          <w:rFonts w:ascii="Arial" w:cs="Arial" w:eastAsia="Arial" w:hAnsi="Arial"/>
          <w:sz w:val="13"/>
          <w:szCs w:val="13"/>
          <w:color w:val="auto"/>
        </w:rPr>
      </w:pPr>
    </w:p>
    <w:p>
      <w:pPr>
        <w:ind w:left="1680" w:hanging="692"/>
        <w:spacing w:after="0"/>
        <w:tabs>
          <w:tab w:leader="none" w:pos="1680" w:val="left"/>
        </w:tabs>
        <w:numPr>
          <w:ilvl w:val="1"/>
          <w:numId w:val="365"/>
        </w:numPr>
        <w:rPr>
          <w:rFonts w:ascii="Arial" w:cs="Arial" w:eastAsia="Arial" w:hAnsi="Arial"/>
          <w:sz w:val="13"/>
          <w:szCs w:val="13"/>
          <w:color w:val="auto"/>
        </w:rPr>
      </w:pPr>
      <w:r>
        <w:rPr>
          <w:rFonts w:ascii="Arial" w:cs="Arial" w:eastAsia="Arial" w:hAnsi="Arial"/>
          <w:sz w:val="13"/>
          <w:szCs w:val="13"/>
          <w:color w:val="auto"/>
        </w:rPr>
        <w:t>the property of the Trust is not resettled;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173990</wp:posOffset>
            </wp:positionV>
            <wp:extent cx="6208395"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208395" cy="42545"/>
                    </a:xfrm>
                    <a:prstGeom prst="rect">
                      <a:avLst/>
                    </a:prstGeom>
                    <a:noFill/>
                  </pic:spPr>
                </pic:pic>
              </a:graphicData>
            </a:graphic>
          </wp:anchor>
        </w:drawing>
      </w:r>
    </w:p>
    <w:p>
      <w:pPr>
        <w:sectPr>
          <w:pgSz w:w="11900" w:h="16838" w:orient="portrait"/>
          <w:cols w:equalWidth="0" w:num="1">
            <w:col w:w="9320"/>
          </w:cols>
          <w:pgMar w:left="1440" w:top="561" w:right="1139" w:bottom="1440" w:gutter="0" w:footer="0" w:header="0"/>
        </w:sectPr>
      </w:pPr>
    </w:p>
    <w:bookmarkStart w:id="264" w:name="page265"/>
    <w:bookmarkEnd w:id="264"/>
    <w:p>
      <w:pPr>
        <w:ind w:left="1920" w:hanging="712"/>
        <w:spacing w:after="0"/>
        <w:tabs>
          <w:tab w:leader="none" w:pos="1920" w:val="left"/>
        </w:tabs>
        <w:numPr>
          <w:ilvl w:val="1"/>
          <w:numId w:val="366"/>
        </w:numPr>
        <w:rPr>
          <w:rFonts w:ascii="Arial" w:cs="Arial" w:eastAsia="Arial" w:hAnsi="Arial"/>
          <w:sz w:val="13"/>
          <w:szCs w:val="13"/>
          <w:color w:val="auto"/>
        </w:rPr>
      </w:pPr>
      <w:r>
        <w:rPr>
          <w:rFonts w:ascii="Arial" w:cs="Arial" w:eastAsia="Arial" w:hAnsi="Arial"/>
          <w:sz w:val="13"/>
          <w:szCs w:val="13"/>
          <w:color w:val="auto"/>
        </w:rPr>
        <w:t>the capital of the property of the Trust is not distributed at any time; and</w:t>
      </w:r>
    </w:p>
    <w:p>
      <w:pPr>
        <w:spacing w:after="0" w:line="57" w:lineRule="exact"/>
        <w:rPr>
          <w:rFonts w:ascii="Arial" w:cs="Arial" w:eastAsia="Arial" w:hAnsi="Arial"/>
          <w:sz w:val="13"/>
          <w:szCs w:val="13"/>
          <w:color w:val="auto"/>
        </w:rPr>
      </w:pPr>
    </w:p>
    <w:p>
      <w:pPr>
        <w:ind w:left="1980" w:right="500" w:hanging="772"/>
        <w:spacing w:after="0" w:line="244" w:lineRule="auto"/>
        <w:tabs>
          <w:tab w:leader="none" w:pos="1980" w:val="left"/>
        </w:tabs>
        <w:numPr>
          <w:ilvl w:val="1"/>
          <w:numId w:val="366"/>
        </w:numPr>
        <w:rPr>
          <w:rFonts w:ascii="Arial" w:cs="Arial" w:eastAsia="Arial" w:hAnsi="Arial"/>
          <w:sz w:val="13"/>
          <w:szCs w:val="13"/>
          <w:color w:val="auto"/>
        </w:rPr>
      </w:pPr>
      <w:r>
        <w:rPr>
          <w:rFonts w:ascii="Arial" w:cs="Arial" w:eastAsia="Arial" w:hAnsi="Arial"/>
          <w:sz w:val="13"/>
          <w:szCs w:val="13"/>
          <w:color w:val="auto"/>
        </w:rPr>
        <w:t>income of the Trust is not distributed to anyone other than a Transaction Party while an Event of Default or Potential Event of Default subsists;</w:t>
      </w:r>
    </w:p>
    <w:p>
      <w:pPr>
        <w:spacing w:after="0" w:line="56" w:lineRule="exact"/>
        <w:rPr>
          <w:rFonts w:ascii="Arial" w:cs="Arial" w:eastAsia="Arial" w:hAnsi="Arial"/>
          <w:sz w:val="13"/>
          <w:szCs w:val="13"/>
          <w:color w:val="auto"/>
        </w:rPr>
      </w:pPr>
    </w:p>
    <w:p>
      <w:pPr>
        <w:ind w:left="1440" w:right="340" w:hanging="584"/>
        <w:spacing w:after="0" w:line="244" w:lineRule="auto"/>
        <w:tabs>
          <w:tab w:leader="none" w:pos="1440" w:val="left"/>
        </w:tabs>
        <w:numPr>
          <w:ilvl w:val="0"/>
          <w:numId w:val="367"/>
        </w:numPr>
        <w:rPr>
          <w:rFonts w:ascii="Arial" w:cs="Arial" w:eastAsia="Arial" w:hAnsi="Arial"/>
          <w:sz w:val="13"/>
          <w:szCs w:val="13"/>
          <w:color w:val="auto"/>
        </w:rPr>
      </w:pPr>
      <w:r>
        <w:rPr>
          <w:rFonts w:ascii="Arial" w:cs="Arial" w:eastAsia="Arial" w:hAnsi="Arial"/>
          <w:sz w:val="13"/>
          <w:szCs w:val="13"/>
          <w:color w:val="auto"/>
        </w:rPr>
        <w:t>prepares and keeps full and true records and books of accounts of the Trust and makes them available for inspection and copying by the Bank on demand; and</w:t>
      </w:r>
    </w:p>
    <w:p>
      <w:pPr>
        <w:spacing w:after="0" w:line="56" w:lineRule="exact"/>
        <w:rPr>
          <w:rFonts w:ascii="Arial" w:cs="Arial" w:eastAsia="Arial" w:hAnsi="Arial"/>
          <w:sz w:val="13"/>
          <w:szCs w:val="13"/>
          <w:color w:val="auto"/>
        </w:rPr>
      </w:pPr>
    </w:p>
    <w:p>
      <w:pPr>
        <w:ind w:left="2180" w:hanging="1324"/>
        <w:spacing w:after="0"/>
        <w:tabs>
          <w:tab w:leader="none" w:pos="2180" w:val="left"/>
        </w:tabs>
        <w:numPr>
          <w:ilvl w:val="0"/>
          <w:numId w:val="367"/>
        </w:numPr>
        <w:rPr>
          <w:rFonts w:ascii="Arial" w:cs="Arial" w:eastAsia="Arial" w:hAnsi="Arial"/>
          <w:sz w:val="13"/>
          <w:szCs w:val="13"/>
          <w:color w:val="auto"/>
        </w:rPr>
      </w:pPr>
      <w:r>
        <w:rPr>
          <w:rFonts w:ascii="Arial" w:cs="Arial" w:eastAsia="Arial" w:hAnsi="Arial"/>
          <w:sz w:val="13"/>
          <w:szCs w:val="13"/>
          <w:color w:val="auto"/>
        </w:rPr>
        <w:t>does not default in performing or observing its obligations under the Transaction Documents.</w:t>
      </w:r>
    </w:p>
    <w:p>
      <w:pPr>
        <w:spacing w:after="0" w:line="83" w:lineRule="exact"/>
        <w:rPr>
          <w:sz w:val="20"/>
          <w:szCs w:val="20"/>
          <w:color w:val="auto"/>
        </w:rPr>
      </w:pPr>
    </w:p>
    <w:p>
      <w:pPr>
        <w:ind w:left="360"/>
        <w:spacing w:after="0"/>
        <w:tabs>
          <w:tab w:leader="none" w:pos="1580" w:val="left"/>
        </w:tabs>
        <w:rPr>
          <w:sz w:val="20"/>
          <w:szCs w:val="20"/>
          <w:color w:val="auto"/>
        </w:rPr>
      </w:pPr>
      <w:r>
        <w:rPr>
          <w:rFonts w:ascii="Arial" w:cs="Arial" w:eastAsia="Arial" w:hAnsi="Arial"/>
          <w:sz w:val="14"/>
          <w:szCs w:val="14"/>
          <w:b w:val="1"/>
          <w:bCs w:val="1"/>
          <w:color w:val="auto"/>
        </w:rPr>
        <w:t>9.11</w:t>
      </w:r>
      <w:r>
        <w:rPr>
          <w:sz w:val="20"/>
          <w:szCs w:val="20"/>
          <w:color w:val="auto"/>
        </w:rPr>
        <w:tab/>
      </w:r>
      <w:r>
        <w:rPr>
          <w:rFonts w:ascii="Arial" w:cs="Arial" w:eastAsia="Arial" w:hAnsi="Arial"/>
          <w:sz w:val="14"/>
          <w:szCs w:val="14"/>
          <w:b w:val="1"/>
          <w:bCs w:val="1"/>
          <w:color w:val="auto"/>
        </w:rPr>
        <w:t>Release for Permitted Disposals</w:t>
      </w:r>
    </w:p>
    <w:p>
      <w:pPr>
        <w:spacing w:after="0" w:line="75" w:lineRule="exact"/>
        <w:rPr>
          <w:sz w:val="20"/>
          <w:szCs w:val="20"/>
          <w:color w:val="auto"/>
        </w:rPr>
      </w:pPr>
    </w:p>
    <w:p>
      <w:pPr>
        <w:ind w:left="860" w:right="240"/>
        <w:spacing w:after="0" w:line="244" w:lineRule="auto"/>
        <w:rPr>
          <w:sz w:val="20"/>
          <w:szCs w:val="20"/>
          <w:color w:val="auto"/>
        </w:rPr>
      </w:pPr>
      <w:r>
        <w:rPr>
          <w:rFonts w:ascii="Arial" w:cs="Arial" w:eastAsia="Arial" w:hAnsi="Arial"/>
          <w:sz w:val="13"/>
          <w:szCs w:val="13"/>
          <w:color w:val="auto"/>
        </w:rPr>
        <w:t>The Bank must on request from (and at the cost of) a Transaction Party release from the Collateral Security that part of the Secured Property that is the subject of a Permitted Disposal (other than a Permitted Disposal of the kind referred to in paragraph (a) of that term's definition).</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1100" w:type="dxa"/>
            <w:vAlign w:val="bottom"/>
          </w:tcPr>
          <w:p>
            <w:pPr>
              <w:ind w:left="360"/>
              <w:spacing w:after="0"/>
              <w:rPr>
                <w:sz w:val="20"/>
                <w:szCs w:val="20"/>
                <w:color w:val="auto"/>
              </w:rPr>
            </w:pPr>
            <w:r>
              <w:rPr>
                <w:rFonts w:ascii="Arial" w:cs="Arial" w:eastAsia="Arial" w:hAnsi="Arial"/>
                <w:sz w:val="19"/>
                <w:szCs w:val="19"/>
                <w:color w:val="auto"/>
              </w:rPr>
              <w:t>10</w:t>
            </w:r>
          </w:p>
        </w:tc>
        <w:tc>
          <w:tcPr>
            <w:tcW w:w="280" w:type="dxa"/>
            <w:vAlign w:val="bottom"/>
          </w:tcPr>
          <w:p>
            <w:pPr>
              <w:spacing w:after="0"/>
              <w:rPr>
                <w:sz w:val="20"/>
                <w:szCs w:val="20"/>
                <w:color w:val="auto"/>
              </w:rPr>
            </w:pPr>
          </w:p>
        </w:tc>
        <w:tc>
          <w:tcPr>
            <w:tcW w:w="8360" w:type="dxa"/>
            <w:vAlign w:val="bottom"/>
          </w:tcPr>
          <w:p>
            <w:pPr>
              <w:ind w:left="320"/>
              <w:spacing w:after="0"/>
              <w:rPr>
                <w:sz w:val="20"/>
                <w:szCs w:val="20"/>
                <w:color w:val="auto"/>
              </w:rPr>
            </w:pPr>
            <w:r>
              <w:rPr>
                <w:rFonts w:ascii="Arial" w:cs="Arial" w:eastAsia="Arial" w:hAnsi="Arial"/>
                <w:sz w:val="19"/>
                <w:szCs w:val="19"/>
                <w:color w:val="auto"/>
              </w:rPr>
              <w:t>Events of Default</w:t>
            </w:r>
          </w:p>
        </w:tc>
      </w:tr>
      <w:tr>
        <w:trPr>
          <w:trHeight w:val="254"/>
        </w:trPr>
        <w:tc>
          <w:tcPr>
            <w:tcW w:w="1100" w:type="dxa"/>
            <w:vAlign w:val="bottom"/>
          </w:tcPr>
          <w:p>
            <w:pPr>
              <w:ind w:left="360"/>
              <w:spacing w:after="0"/>
              <w:rPr>
                <w:sz w:val="20"/>
                <w:szCs w:val="20"/>
                <w:color w:val="auto"/>
              </w:rPr>
            </w:pPr>
            <w:r>
              <w:rPr>
                <w:rFonts w:ascii="Arial" w:cs="Arial" w:eastAsia="Arial" w:hAnsi="Arial"/>
                <w:sz w:val="14"/>
                <w:szCs w:val="14"/>
                <w:b w:val="1"/>
                <w:bCs w:val="1"/>
                <w:color w:val="auto"/>
              </w:rPr>
              <w:t>10.1</w:t>
            </w:r>
          </w:p>
        </w:tc>
        <w:tc>
          <w:tcPr>
            <w:tcW w:w="280" w:type="dxa"/>
            <w:vAlign w:val="bottom"/>
          </w:tcPr>
          <w:p>
            <w:pPr>
              <w:spacing w:after="0"/>
              <w:rPr>
                <w:sz w:val="22"/>
                <w:szCs w:val="22"/>
                <w:color w:val="auto"/>
              </w:rPr>
            </w:pPr>
          </w:p>
        </w:tc>
        <w:tc>
          <w:tcPr>
            <w:tcW w:w="8360" w:type="dxa"/>
            <w:vAlign w:val="bottom"/>
          </w:tcPr>
          <w:p>
            <w:pPr>
              <w:ind w:left="2700"/>
              <w:spacing w:after="0"/>
              <w:rPr>
                <w:sz w:val="20"/>
                <w:szCs w:val="20"/>
                <w:color w:val="auto"/>
              </w:rPr>
            </w:pPr>
            <w:r>
              <w:rPr>
                <w:rFonts w:ascii="Arial" w:cs="Arial" w:eastAsia="Arial" w:hAnsi="Arial"/>
                <w:sz w:val="14"/>
                <w:szCs w:val="14"/>
                <w:b w:val="1"/>
                <w:bCs w:val="1"/>
                <w:color w:val="auto"/>
              </w:rPr>
              <w:t>Nature</w:t>
            </w:r>
          </w:p>
        </w:tc>
      </w:tr>
      <w:tr>
        <w:trPr>
          <w:trHeight w:val="203"/>
        </w:trPr>
        <w:tc>
          <w:tcPr>
            <w:tcW w:w="9740" w:type="dxa"/>
            <w:vAlign w:val="bottom"/>
            <w:gridSpan w:val="3"/>
          </w:tcPr>
          <w:p>
            <w:pPr>
              <w:ind w:left="860"/>
              <w:spacing w:after="0"/>
              <w:rPr>
                <w:sz w:val="20"/>
                <w:szCs w:val="20"/>
                <w:color w:val="auto"/>
              </w:rPr>
            </w:pPr>
            <w:r>
              <w:rPr>
                <w:rFonts w:ascii="Arial" w:cs="Arial" w:eastAsia="Arial" w:hAnsi="Arial"/>
                <w:sz w:val="13"/>
                <w:szCs w:val="13"/>
                <w:color w:val="auto"/>
              </w:rPr>
              <w:t>Each of the following is an Event of Default (whether or not caused by anything outside the control of any Transaction Party):</w:t>
            </w:r>
          </w:p>
        </w:tc>
      </w:tr>
      <w:tr>
        <w:trPr>
          <w:trHeight w:val="194"/>
        </w:trPr>
        <w:tc>
          <w:tcPr>
            <w:tcW w:w="1100" w:type="dxa"/>
            <w:vAlign w:val="bottom"/>
          </w:tcPr>
          <w:p>
            <w:pPr>
              <w:ind w:left="860"/>
              <w:spacing w:after="0"/>
              <w:rPr>
                <w:sz w:val="20"/>
                <w:szCs w:val="20"/>
                <w:color w:val="auto"/>
              </w:rPr>
            </w:pPr>
            <w:r>
              <w:rPr>
                <w:rFonts w:ascii="Arial" w:cs="Arial" w:eastAsia="Arial" w:hAnsi="Arial"/>
                <w:sz w:val="13"/>
                <w:szCs w:val="13"/>
                <w:color w:val="auto"/>
              </w:rPr>
              <w:t>(a)</w:t>
            </w:r>
          </w:p>
        </w:tc>
        <w:tc>
          <w:tcPr>
            <w:tcW w:w="280" w:type="dxa"/>
            <w:vAlign w:val="bottom"/>
          </w:tcPr>
          <w:p>
            <w:pPr>
              <w:spacing w:after="0"/>
              <w:rPr>
                <w:sz w:val="16"/>
                <w:szCs w:val="16"/>
                <w:color w:val="auto"/>
              </w:rPr>
            </w:pPr>
          </w:p>
        </w:tc>
        <w:tc>
          <w:tcPr>
            <w:tcW w:w="8360" w:type="dxa"/>
            <w:vAlign w:val="bottom"/>
          </w:tcPr>
          <w:p>
            <w:pPr>
              <w:ind w:left="220"/>
              <w:spacing w:after="0"/>
              <w:rPr>
                <w:sz w:val="20"/>
                <w:szCs w:val="20"/>
                <w:color w:val="auto"/>
              </w:rPr>
            </w:pPr>
            <w:r>
              <w:rPr>
                <w:rFonts w:ascii="Arial" w:cs="Arial" w:eastAsia="Arial" w:hAnsi="Arial"/>
                <w:sz w:val="13"/>
                <w:szCs w:val="13"/>
                <w:b w:val="1"/>
                <w:bCs w:val="1"/>
                <w:color w:val="auto"/>
              </w:rPr>
              <w:t xml:space="preserve">non-payment: </w:t>
            </w:r>
            <w:r>
              <w:rPr>
                <w:rFonts w:ascii="Arial" w:cs="Arial" w:eastAsia="Arial" w:hAnsi="Arial"/>
                <w:sz w:val="13"/>
                <w:szCs w:val="13"/>
                <w:color w:val="auto"/>
              </w:rPr>
              <w:t>a Transaction Party does not pay on the due date any principal, interest and fees due for payment by it under a</w:t>
            </w:r>
          </w:p>
        </w:tc>
      </w:tr>
      <w:tr>
        <w:trPr>
          <w:trHeight w:val="157"/>
        </w:trPr>
        <w:tc>
          <w:tcPr>
            <w:tcW w:w="1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360" w:type="dxa"/>
            <w:vAlign w:val="bottom"/>
          </w:tcPr>
          <w:p>
            <w:pPr>
              <w:ind w:left="220"/>
              <w:spacing w:after="0"/>
              <w:rPr>
                <w:sz w:val="20"/>
                <w:szCs w:val="20"/>
                <w:color w:val="auto"/>
              </w:rPr>
            </w:pPr>
            <w:r>
              <w:rPr>
                <w:rFonts w:ascii="Arial" w:cs="Arial" w:eastAsia="Arial" w:hAnsi="Arial"/>
                <w:sz w:val="13"/>
                <w:szCs w:val="13"/>
                <w:color w:val="auto"/>
              </w:rPr>
              <w:t>Transaction Document in accordance with the relevant Transaction Document;</w:t>
            </w:r>
          </w:p>
        </w:tc>
      </w:tr>
      <w:tr>
        <w:trPr>
          <w:trHeight w:val="203"/>
        </w:trPr>
        <w:tc>
          <w:tcPr>
            <w:tcW w:w="1100" w:type="dxa"/>
            <w:vAlign w:val="bottom"/>
          </w:tcPr>
          <w:p>
            <w:pPr>
              <w:ind w:left="860"/>
              <w:spacing w:after="0"/>
              <w:rPr>
                <w:sz w:val="20"/>
                <w:szCs w:val="20"/>
                <w:color w:val="auto"/>
              </w:rPr>
            </w:pPr>
            <w:r>
              <w:rPr>
                <w:rFonts w:ascii="Arial" w:cs="Arial" w:eastAsia="Arial" w:hAnsi="Arial"/>
                <w:sz w:val="13"/>
                <w:szCs w:val="13"/>
                <w:color w:val="auto"/>
              </w:rPr>
              <w:t>(b)</w:t>
            </w:r>
          </w:p>
        </w:tc>
        <w:tc>
          <w:tcPr>
            <w:tcW w:w="280" w:type="dxa"/>
            <w:vAlign w:val="bottom"/>
          </w:tcPr>
          <w:p>
            <w:pPr>
              <w:spacing w:after="0"/>
              <w:rPr>
                <w:sz w:val="17"/>
                <w:szCs w:val="17"/>
                <w:color w:val="auto"/>
              </w:rPr>
            </w:pPr>
          </w:p>
        </w:tc>
        <w:tc>
          <w:tcPr>
            <w:tcW w:w="8360" w:type="dxa"/>
            <w:vAlign w:val="bottom"/>
          </w:tcPr>
          <w:p>
            <w:pPr>
              <w:ind w:left="80"/>
              <w:spacing w:after="0"/>
              <w:rPr>
                <w:sz w:val="20"/>
                <w:szCs w:val="20"/>
                <w:color w:val="auto"/>
              </w:rPr>
            </w:pPr>
            <w:r>
              <w:rPr>
                <w:rFonts w:ascii="Arial" w:cs="Arial" w:eastAsia="Arial" w:hAnsi="Arial"/>
                <w:sz w:val="13"/>
                <w:szCs w:val="13"/>
                <w:b w:val="1"/>
                <w:bCs w:val="1"/>
                <w:color w:val="auto"/>
              </w:rPr>
              <w:t xml:space="preserve">other non-compliance: </w:t>
            </w:r>
            <w:r>
              <w:rPr>
                <w:rFonts w:ascii="Arial" w:cs="Arial" w:eastAsia="Arial" w:hAnsi="Arial"/>
                <w:sz w:val="13"/>
                <w:szCs w:val="13"/>
                <w:color w:val="auto"/>
              </w:rPr>
              <w:t>a Transaction Party does not comply with any other obligation under a Transaction Document and if that default</w:t>
            </w:r>
          </w:p>
        </w:tc>
      </w:tr>
      <w:tr>
        <w:trPr>
          <w:trHeight w:val="157"/>
        </w:trPr>
        <w:tc>
          <w:tcPr>
            <w:tcW w:w="1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360" w:type="dxa"/>
            <w:vAlign w:val="bottom"/>
          </w:tcPr>
          <w:p>
            <w:pPr>
              <w:ind w:left="80"/>
              <w:spacing w:after="0"/>
              <w:rPr>
                <w:sz w:val="20"/>
                <w:szCs w:val="20"/>
                <w:color w:val="auto"/>
              </w:rPr>
            </w:pPr>
            <w:r>
              <w:rPr>
                <w:rFonts w:ascii="Arial" w:cs="Arial" w:eastAsia="Arial" w:hAnsi="Arial"/>
                <w:sz w:val="13"/>
                <w:szCs w:val="13"/>
                <w:color w:val="auto"/>
              </w:rPr>
              <w:t>is capable of rectification:</w:t>
            </w:r>
          </w:p>
        </w:tc>
      </w:tr>
      <w:tr>
        <w:trPr>
          <w:trHeight w:val="216"/>
        </w:trPr>
        <w:tc>
          <w:tcPr>
            <w:tcW w:w="1100" w:type="dxa"/>
            <w:vAlign w:val="bottom"/>
          </w:tcPr>
          <w:p>
            <w:pPr>
              <w:spacing w:after="0"/>
              <w:rPr>
                <w:sz w:val="18"/>
                <w:szCs w:val="18"/>
                <w:color w:val="auto"/>
              </w:rPr>
            </w:pPr>
          </w:p>
        </w:tc>
        <w:tc>
          <w:tcPr>
            <w:tcW w:w="280" w:type="dxa"/>
            <w:vAlign w:val="bottom"/>
          </w:tcPr>
          <w:p>
            <w:pPr>
              <w:ind w:left="100"/>
              <w:spacing w:after="0"/>
              <w:rPr>
                <w:sz w:val="20"/>
                <w:szCs w:val="20"/>
                <w:color w:val="auto"/>
              </w:rPr>
            </w:pPr>
            <w:r>
              <w:rPr>
                <w:rFonts w:ascii="Arial" w:cs="Arial" w:eastAsia="Arial" w:hAnsi="Arial"/>
                <w:sz w:val="13"/>
                <w:szCs w:val="13"/>
                <w:color w:val="auto"/>
              </w:rPr>
              <w:t>(i)</w:t>
            </w:r>
          </w:p>
        </w:tc>
        <w:tc>
          <w:tcPr>
            <w:tcW w:w="8360" w:type="dxa"/>
            <w:vAlign w:val="bottom"/>
          </w:tcPr>
          <w:p>
            <w:pPr>
              <w:ind w:left="820"/>
              <w:spacing w:after="0"/>
              <w:rPr>
                <w:sz w:val="20"/>
                <w:szCs w:val="20"/>
                <w:color w:val="auto"/>
              </w:rPr>
            </w:pPr>
            <w:r>
              <w:rPr>
                <w:rFonts w:ascii="Arial" w:cs="Arial" w:eastAsia="Arial" w:hAnsi="Arial"/>
                <w:sz w:val="13"/>
                <w:szCs w:val="13"/>
                <w:color w:val="auto"/>
              </w:rPr>
              <w:t>it is not rectified within five Business Days (or any other longer period agreed by the Bank) after its occurrence; or</w:t>
            </w:r>
          </w:p>
        </w:tc>
      </w:tr>
      <w:tr>
        <w:trPr>
          <w:trHeight w:val="194"/>
        </w:trPr>
        <w:tc>
          <w:tcPr>
            <w:tcW w:w="1100" w:type="dxa"/>
            <w:vAlign w:val="bottom"/>
          </w:tcPr>
          <w:p>
            <w:pPr>
              <w:spacing w:after="0"/>
              <w:rPr>
                <w:sz w:val="16"/>
                <w:szCs w:val="16"/>
                <w:color w:val="auto"/>
              </w:rPr>
            </w:pPr>
          </w:p>
        </w:tc>
        <w:tc>
          <w:tcPr>
            <w:tcW w:w="280" w:type="dxa"/>
            <w:vAlign w:val="bottom"/>
          </w:tcPr>
          <w:p>
            <w:pPr>
              <w:ind w:left="100"/>
              <w:spacing w:after="0"/>
              <w:rPr>
                <w:sz w:val="20"/>
                <w:szCs w:val="20"/>
                <w:color w:val="auto"/>
              </w:rPr>
            </w:pPr>
            <w:r>
              <w:rPr>
                <w:rFonts w:ascii="Arial" w:cs="Arial" w:eastAsia="Arial" w:hAnsi="Arial"/>
                <w:sz w:val="13"/>
                <w:szCs w:val="13"/>
                <w:color w:val="auto"/>
              </w:rPr>
              <w:t>(ii)</w:t>
            </w:r>
          </w:p>
        </w:tc>
        <w:tc>
          <w:tcPr>
            <w:tcW w:w="8360" w:type="dxa"/>
            <w:vAlign w:val="bottom"/>
          </w:tcPr>
          <w:p>
            <w:pPr>
              <w:ind w:left="380"/>
              <w:spacing w:after="0"/>
              <w:rPr>
                <w:sz w:val="20"/>
                <w:szCs w:val="20"/>
                <w:color w:val="auto"/>
              </w:rPr>
            </w:pPr>
            <w:r>
              <w:rPr>
                <w:rFonts w:ascii="Arial" w:cs="Arial" w:eastAsia="Arial" w:hAnsi="Arial"/>
                <w:sz w:val="13"/>
                <w:szCs w:val="13"/>
                <w:color w:val="auto"/>
              </w:rPr>
              <w:t>the Transaction Party does not during that period take all action which in the Bank’s reasonable opinion is necessary to rectify that</w:t>
            </w:r>
          </w:p>
        </w:tc>
      </w:tr>
      <w:tr>
        <w:trPr>
          <w:trHeight w:val="157"/>
        </w:trPr>
        <w:tc>
          <w:tcPr>
            <w:tcW w:w="1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360" w:type="dxa"/>
            <w:vAlign w:val="bottom"/>
          </w:tcPr>
          <w:p>
            <w:pPr>
              <w:ind w:left="380"/>
              <w:spacing w:after="0"/>
              <w:rPr>
                <w:sz w:val="20"/>
                <w:szCs w:val="20"/>
                <w:color w:val="auto"/>
              </w:rPr>
            </w:pPr>
            <w:r>
              <w:rPr>
                <w:rFonts w:ascii="Arial" w:cs="Arial" w:eastAsia="Arial" w:hAnsi="Arial"/>
                <w:sz w:val="13"/>
                <w:szCs w:val="13"/>
                <w:color w:val="auto"/>
              </w:rPr>
              <w:t>default;</w:t>
            </w:r>
          </w:p>
        </w:tc>
      </w:tr>
      <w:tr>
        <w:trPr>
          <w:trHeight w:val="212"/>
        </w:trPr>
        <w:tc>
          <w:tcPr>
            <w:tcW w:w="1100" w:type="dxa"/>
            <w:vAlign w:val="bottom"/>
          </w:tcPr>
          <w:p>
            <w:pPr>
              <w:ind w:left="860"/>
              <w:spacing w:after="0"/>
              <w:rPr>
                <w:sz w:val="20"/>
                <w:szCs w:val="20"/>
                <w:color w:val="auto"/>
              </w:rPr>
            </w:pPr>
            <w:r>
              <w:rPr>
                <w:rFonts w:ascii="Arial" w:cs="Arial" w:eastAsia="Arial" w:hAnsi="Arial"/>
                <w:sz w:val="13"/>
                <w:szCs w:val="13"/>
                <w:color w:val="auto"/>
              </w:rPr>
              <w:t>(c)</w:t>
            </w:r>
          </w:p>
        </w:tc>
        <w:tc>
          <w:tcPr>
            <w:tcW w:w="280" w:type="dxa"/>
            <w:vAlign w:val="bottom"/>
          </w:tcPr>
          <w:p>
            <w:pPr>
              <w:spacing w:after="0"/>
              <w:rPr>
                <w:sz w:val="18"/>
                <w:szCs w:val="18"/>
                <w:color w:val="auto"/>
              </w:rPr>
            </w:pPr>
          </w:p>
        </w:tc>
        <w:tc>
          <w:tcPr>
            <w:tcW w:w="8360" w:type="dxa"/>
            <w:vAlign w:val="bottom"/>
          </w:tcPr>
          <w:p>
            <w:pPr>
              <w:ind w:left="100"/>
              <w:spacing w:after="0"/>
              <w:rPr>
                <w:sz w:val="20"/>
                <w:szCs w:val="20"/>
                <w:color w:val="auto"/>
              </w:rPr>
            </w:pPr>
            <w:r>
              <w:rPr>
                <w:rFonts w:ascii="Arial" w:cs="Arial" w:eastAsia="Arial" w:hAnsi="Arial"/>
                <w:sz w:val="13"/>
                <w:szCs w:val="13"/>
                <w:b w:val="1"/>
                <w:bCs w:val="1"/>
                <w:color w:val="auto"/>
              </w:rPr>
              <w:t xml:space="preserve">untrue warranty: </w:t>
            </w:r>
            <w:r>
              <w:rPr>
                <w:rFonts w:ascii="Arial" w:cs="Arial" w:eastAsia="Arial" w:hAnsi="Arial"/>
                <w:sz w:val="13"/>
                <w:szCs w:val="13"/>
                <w:color w:val="auto"/>
              </w:rPr>
              <w:t>a representation, warranty or statement made or deemed to be made by a Transaction Party in a Transaction</w:t>
            </w:r>
          </w:p>
        </w:tc>
      </w:tr>
      <w:tr>
        <w:trPr>
          <w:trHeight w:val="144"/>
        </w:trPr>
        <w:tc>
          <w:tcPr>
            <w:tcW w:w="1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360" w:type="dxa"/>
            <w:vAlign w:val="bottom"/>
          </w:tcPr>
          <w:p>
            <w:pPr>
              <w:ind w:left="100"/>
              <w:spacing w:after="0" w:line="144" w:lineRule="exact"/>
              <w:rPr>
                <w:sz w:val="20"/>
                <w:szCs w:val="20"/>
                <w:color w:val="auto"/>
              </w:rPr>
            </w:pPr>
            <w:r>
              <w:rPr>
                <w:rFonts w:ascii="Arial" w:cs="Arial" w:eastAsia="Arial" w:hAnsi="Arial"/>
                <w:sz w:val="13"/>
                <w:szCs w:val="13"/>
                <w:color w:val="auto"/>
              </w:rPr>
              <w:t>Document is untrue or misleading in any material respect or a reply by a Transaction Party to a requisition made by, or on behalf of, the</w:t>
            </w:r>
          </w:p>
        </w:tc>
      </w:tr>
      <w:tr>
        <w:trPr>
          <w:trHeight w:val="157"/>
        </w:trPr>
        <w:tc>
          <w:tcPr>
            <w:tcW w:w="1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360" w:type="dxa"/>
            <w:vAlign w:val="bottom"/>
          </w:tcPr>
          <w:p>
            <w:pPr>
              <w:ind w:left="100"/>
              <w:spacing w:after="0"/>
              <w:rPr>
                <w:sz w:val="20"/>
                <w:szCs w:val="20"/>
                <w:color w:val="auto"/>
              </w:rPr>
            </w:pPr>
            <w:r>
              <w:rPr>
                <w:rFonts w:ascii="Arial" w:cs="Arial" w:eastAsia="Arial" w:hAnsi="Arial"/>
                <w:sz w:val="13"/>
                <w:szCs w:val="13"/>
                <w:color w:val="auto"/>
              </w:rPr>
              <w:t>Bank is untrue or misleading in any material respect;</w:t>
            </w:r>
          </w:p>
        </w:tc>
      </w:tr>
      <w:tr>
        <w:trPr>
          <w:trHeight w:val="194"/>
        </w:trPr>
        <w:tc>
          <w:tcPr>
            <w:tcW w:w="1100" w:type="dxa"/>
            <w:vAlign w:val="bottom"/>
          </w:tcPr>
          <w:p>
            <w:pPr>
              <w:ind w:left="860"/>
              <w:spacing w:after="0"/>
              <w:rPr>
                <w:sz w:val="20"/>
                <w:szCs w:val="20"/>
                <w:color w:val="auto"/>
              </w:rPr>
            </w:pPr>
            <w:r>
              <w:rPr>
                <w:rFonts w:ascii="Arial" w:cs="Arial" w:eastAsia="Arial" w:hAnsi="Arial"/>
                <w:sz w:val="13"/>
                <w:szCs w:val="13"/>
                <w:color w:val="auto"/>
              </w:rPr>
              <w:t>(d)</w:t>
            </w:r>
          </w:p>
        </w:tc>
        <w:tc>
          <w:tcPr>
            <w:tcW w:w="8640" w:type="dxa"/>
            <w:vAlign w:val="bottom"/>
            <w:gridSpan w:val="2"/>
          </w:tcPr>
          <w:p>
            <w:pPr>
              <w:ind w:left="200"/>
              <w:spacing w:after="0"/>
              <w:rPr>
                <w:sz w:val="20"/>
                <w:szCs w:val="20"/>
                <w:color w:val="auto"/>
              </w:rPr>
            </w:pPr>
            <w:r>
              <w:rPr>
                <w:rFonts w:ascii="Arial" w:cs="Arial" w:eastAsia="Arial" w:hAnsi="Arial"/>
                <w:sz w:val="13"/>
                <w:szCs w:val="13"/>
                <w:b w:val="1"/>
                <w:bCs w:val="1"/>
                <w:color w:val="auto"/>
              </w:rPr>
              <w:t xml:space="preserve">void document: </w:t>
            </w:r>
            <w:r>
              <w:rPr>
                <w:rFonts w:ascii="Arial" w:cs="Arial" w:eastAsia="Arial" w:hAnsi="Arial"/>
                <w:sz w:val="13"/>
                <w:szCs w:val="13"/>
                <w:color w:val="auto"/>
              </w:rPr>
              <w:t>a Transaction Document is void, voidable or otherwise unenforceable by the Bank or is claimed to be so by a Transaction</w:t>
            </w:r>
          </w:p>
        </w:tc>
      </w:tr>
      <w:tr>
        <w:trPr>
          <w:trHeight w:val="157"/>
        </w:trPr>
        <w:tc>
          <w:tcPr>
            <w:tcW w:w="1100" w:type="dxa"/>
            <w:vAlign w:val="bottom"/>
          </w:tcPr>
          <w:p>
            <w:pPr>
              <w:spacing w:after="0"/>
              <w:rPr>
                <w:sz w:val="13"/>
                <w:szCs w:val="13"/>
                <w:color w:val="auto"/>
              </w:rPr>
            </w:pPr>
          </w:p>
        </w:tc>
        <w:tc>
          <w:tcPr>
            <w:tcW w:w="8640" w:type="dxa"/>
            <w:vAlign w:val="bottom"/>
            <w:gridSpan w:val="2"/>
          </w:tcPr>
          <w:p>
            <w:pPr>
              <w:ind w:left="200"/>
              <w:spacing w:after="0"/>
              <w:rPr>
                <w:sz w:val="20"/>
                <w:szCs w:val="20"/>
                <w:color w:val="auto"/>
              </w:rPr>
            </w:pPr>
            <w:r>
              <w:rPr>
                <w:rFonts w:ascii="Arial" w:cs="Arial" w:eastAsia="Arial" w:hAnsi="Arial"/>
                <w:sz w:val="13"/>
                <w:szCs w:val="13"/>
                <w:color w:val="auto"/>
              </w:rPr>
              <w:t>Party;</w:t>
            </w:r>
          </w:p>
        </w:tc>
      </w:tr>
      <w:tr>
        <w:trPr>
          <w:trHeight w:val="203"/>
        </w:trPr>
        <w:tc>
          <w:tcPr>
            <w:tcW w:w="1100" w:type="dxa"/>
            <w:vAlign w:val="bottom"/>
          </w:tcPr>
          <w:p>
            <w:pPr>
              <w:ind w:left="860"/>
              <w:spacing w:after="0"/>
              <w:rPr>
                <w:sz w:val="20"/>
                <w:szCs w:val="20"/>
                <w:color w:val="auto"/>
              </w:rPr>
            </w:pPr>
            <w:r>
              <w:rPr>
                <w:rFonts w:ascii="Arial" w:cs="Arial" w:eastAsia="Arial" w:hAnsi="Arial"/>
                <w:sz w:val="13"/>
                <w:szCs w:val="13"/>
                <w:color w:val="auto"/>
              </w:rPr>
              <w:t>(e)</w:t>
            </w:r>
          </w:p>
        </w:tc>
        <w:tc>
          <w:tcPr>
            <w:tcW w:w="280" w:type="dxa"/>
            <w:vAlign w:val="bottom"/>
          </w:tcPr>
          <w:p>
            <w:pPr>
              <w:spacing w:after="0"/>
              <w:rPr>
                <w:sz w:val="17"/>
                <w:szCs w:val="17"/>
                <w:color w:val="auto"/>
              </w:rPr>
            </w:pPr>
          </w:p>
        </w:tc>
        <w:tc>
          <w:tcPr>
            <w:tcW w:w="8360" w:type="dxa"/>
            <w:vAlign w:val="bottom"/>
          </w:tcPr>
          <w:p>
            <w:pPr>
              <w:ind w:left="20"/>
              <w:spacing w:after="0"/>
              <w:rPr>
                <w:sz w:val="20"/>
                <w:szCs w:val="20"/>
                <w:color w:val="auto"/>
              </w:rPr>
            </w:pPr>
            <w:r>
              <w:rPr>
                <w:rFonts w:ascii="Arial" w:cs="Arial" w:eastAsia="Arial" w:hAnsi="Arial"/>
                <w:sz w:val="13"/>
                <w:szCs w:val="13"/>
                <w:b w:val="1"/>
                <w:bCs w:val="1"/>
                <w:color w:val="auto"/>
              </w:rPr>
              <w:t xml:space="preserve">compliance unlawful: </w:t>
            </w:r>
            <w:r>
              <w:rPr>
                <w:rFonts w:ascii="Arial" w:cs="Arial" w:eastAsia="Arial" w:hAnsi="Arial"/>
                <w:sz w:val="13"/>
                <w:szCs w:val="13"/>
                <w:color w:val="auto"/>
              </w:rPr>
              <w:t>it is unlawful for a Transaction Party to comply with any of its obligations under a Transaction Document or it is</w:t>
            </w:r>
          </w:p>
        </w:tc>
      </w:tr>
      <w:tr>
        <w:trPr>
          <w:trHeight w:val="157"/>
        </w:trPr>
        <w:tc>
          <w:tcPr>
            <w:tcW w:w="1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360" w:type="dxa"/>
            <w:vAlign w:val="bottom"/>
          </w:tcPr>
          <w:p>
            <w:pPr>
              <w:ind w:left="20"/>
              <w:spacing w:after="0"/>
              <w:rPr>
                <w:sz w:val="20"/>
                <w:szCs w:val="20"/>
                <w:color w:val="auto"/>
              </w:rPr>
            </w:pPr>
            <w:r>
              <w:rPr>
                <w:rFonts w:ascii="Arial" w:cs="Arial" w:eastAsia="Arial" w:hAnsi="Arial"/>
                <w:sz w:val="13"/>
                <w:szCs w:val="13"/>
                <w:color w:val="auto"/>
              </w:rPr>
              <w:t>claimed to be so by a Transaction Party;</w:t>
            </w:r>
          </w:p>
        </w:tc>
      </w:tr>
      <w:tr>
        <w:trPr>
          <w:trHeight w:val="284"/>
        </w:trPr>
        <w:tc>
          <w:tcPr>
            <w:tcW w:w="11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8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6164580</wp:posOffset>
            </wp:positionH>
            <wp:positionV relativeFrom="paragraph">
              <wp:posOffset>-29210</wp:posOffset>
            </wp:positionV>
            <wp:extent cx="31115"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31115" cy="42545"/>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-29210</wp:posOffset>
            </wp:positionV>
            <wp:extent cx="31115"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31115" cy="42545"/>
                    </a:xfrm>
                    <a:prstGeom prst="rect">
                      <a:avLst/>
                    </a:prstGeom>
                    <a:noFill/>
                  </pic:spPr>
                </pic:pic>
              </a:graphicData>
            </a:graphic>
          </wp:anchor>
        </w:drawing>
      </w:r>
    </w:p>
    <w:p>
      <w:pPr>
        <w:sectPr>
          <w:pgSz w:w="11900" w:h="16838" w:orient="portrait"/>
          <w:cols w:equalWidth="0" w:num="1">
            <w:col w:w="9740"/>
          </w:cols>
          <w:pgMar w:left="1220" w:top="560" w:right="939" w:bottom="1440" w:gutter="0" w:footer="0" w:header="0"/>
        </w:sectPr>
      </w:pPr>
    </w:p>
    <w:bookmarkStart w:id="265" w:name="page266"/>
    <w:bookmarkEnd w:id="265"/>
    <w:p>
      <w:pPr>
        <w:ind w:left="1040" w:right="80" w:hanging="404"/>
        <w:spacing w:after="0" w:line="250" w:lineRule="auto"/>
        <w:tabs>
          <w:tab w:leader="none" w:pos="1040" w:val="left"/>
        </w:tabs>
        <w:numPr>
          <w:ilvl w:val="0"/>
          <w:numId w:val="368"/>
        </w:numPr>
        <w:rPr>
          <w:rFonts w:ascii="Arial" w:cs="Arial" w:eastAsia="Arial" w:hAnsi="Arial"/>
          <w:sz w:val="13"/>
          <w:szCs w:val="13"/>
          <w:color w:val="auto"/>
        </w:rPr>
      </w:pPr>
      <w:r>
        <w:rPr>
          <w:rFonts w:ascii="Arial" w:cs="Arial" w:eastAsia="Arial" w:hAnsi="Arial"/>
          <w:sz w:val="13"/>
          <w:szCs w:val="13"/>
          <w:b w:val="1"/>
          <w:bCs w:val="1"/>
          <w:color w:val="auto"/>
        </w:rPr>
        <w:t xml:space="preserve">loss of priority: </w:t>
      </w:r>
      <w:r>
        <w:rPr>
          <w:rFonts w:ascii="Arial" w:cs="Arial" w:eastAsia="Arial" w:hAnsi="Arial"/>
          <w:sz w:val="13"/>
          <w:szCs w:val="13"/>
          <w:color w:val="auto"/>
        </w:rPr>
        <w:t>a Security Interest created by or purportedly created by a Collateral Security does not have or ceases to have the priority</w:t>
      </w:r>
      <w:r>
        <w:rPr>
          <w:rFonts w:ascii="Arial" w:cs="Arial" w:eastAsia="Arial" w:hAnsi="Arial"/>
          <w:sz w:val="13"/>
          <w:szCs w:val="13"/>
          <w:b w:val="1"/>
          <w:bCs w:val="1"/>
          <w:color w:val="auto"/>
        </w:rPr>
        <w:t xml:space="preserve"> </w:t>
      </w:r>
      <w:r>
        <w:rPr>
          <w:rFonts w:ascii="Arial" w:cs="Arial" w:eastAsia="Arial" w:hAnsi="Arial"/>
          <w:sz w:val="13"/>
          <w:szCs w:val="13"/>
          <w:color w:val="auto"/>
        </w:rPr>
        <w:t>which it purports to have under the relevant Transaction Document or becomes ineffective to secure the payment of the money or compliance with the obligations which it purports to secure, otherwise than by any act of the Bank;</w:t>
      </w:r>
    </w:p>
    <w:p>
      <w:pPr>
        <w:spacing w:after="0" w:line="25" w:lineRule="exact"/>
        <w:rPr>
          <w:sz w:val="20"/>
          <w:szCs w:val="20"/>
          <w:color w:val="auto"/>
        </w:rPr>
      </w:pPr>
    </w:p>
    <w:p>
      <w:pPr>
        <w:ind w:left="640"/>
        <w:spacing w:after="0"/>
        <w:tabs>
          <w:tab w:leader="none" w:pos="2640" w:val="left"/>
        </w:tabs>
        <w:rPr>
          <w:sz w:val="20"/>
          <w:szCs w:val="20"/>
          <w:color w:val="auto"/>
        </w:rPr>
      </w:pPr>
      <w:r>
        <w:rPr>
          <w:rFonts w:ascii="Arial" w:cs="Arial" w:eastAsia="Arial" w:hAnsi="Arial"/>
          <w:sz w:val="13"/>
          <w:szCs w:val="13"/>
          <w:color w:val="auto"/>
        </w:rPr>
        <w:t>(g)</w:t>
      </w:r>
      <w:r>
        <w:rPr>
          <w:sz w:val="20"/>
          <w:szCs w:val="20"/>
          <w:color w:val="auto"/>
        </w:rPr>
        <w:tab/>
      </w:r>
      <w:r>
        <w:rPr>
          <w:rFonts w:ascii="Arial" w:cs="Arial" w:eastAsia="Arial" w:hAnsi="Arial"/>
          <w:sz w:val="13"/>
          <w:szCs w:val="13"/>
          <w:b w:val="1"/>
          <w:bCs w:val="1"/>
          <w:color w:val="auto"/>
        </w:rPr>
        <w:t xml:space="preserve">Insolvency Event: </w:t>
      </w:r>
      <w:r>
        <w:rPr>
          <w:rFonts w:ascii="Arial" w:cs="Arial" w:eastAsia="Arial" w:hAnsi="Arial"/>
          <w:sz w:val="13"/>
          <w:szCs w:val="13"/>
          <w:color w:val="auto"/>
        </w:rPr>
        <w:t>an Insolvency Event occurs in relation to a Transaction Party;</w:t>
      </w:r>
    </w:p>
    <w:p>
      <w:pPr>
        <w:spacing w:after="0" w:line="67" w:lineRule="exact"/>
        <w:rPr>
          <w:sz w:val="20"/>
          <w:szCs w:val="20"/>
          <w:color w:val="auto"/>
        </w:rPr>
      </w:pPr>
    </w:p>
    <w:p>
      <w:pPr>
        <w:ind w:left="2040" w:hanging="1404"/>
        <w:spacing w:after="0"/>
        <w:tabs>
          <w:tab w:leader="none" w:pos="2040" w:val="left"/>
        </w:tabs>
        <w:numPr>
          <w:ilvl w:val="0"/>
          <w:numId w:val="369"/>
        </w:numPr>
        <w:rPr>
          <w:rFonts w:ascii="Arial" w:cs="Arial" w:eastAsia="Arial" w:hAnsi="Arial"/>
          <w:sz w:val="13"/>
          <w:szCs w:val="13"/>
          <w:color w:val="auto"/>
        </w:rPr>
      </w:pPr>
      <w:r>
        <w:rPr>
          <w:rFonts w:ascii="Arial" w:cs="Arial" w:eastAsia="Arial" w:hAnsi="Arial"/>
          <w:sz w:val="13"/>
          <w:szCs w:val="13"/>
          <w:b w:val="1"/>
          <w:bCs w:val="1"/>
          <w:color w:val="auto"/>
        </w:rPr>
        <w:t xml:space="preserve">authorisation ceasing: </w:t>
      </w:r>
      <w:r>
        <w:rPr>
          <w:rFonts w:ascii="Arial" w:cs="Arial" w:eastAsia="Arial" w:hAnsi="Arial"/>
          <w:sz w:val="13"/>
          <w:szCs w:val="13"/>
          <w:color w:val="auto"/>
        </w:rPr>
        <w:t>an Authorisation from a Government Body necessary to enable:</w:t>
      </w:r>
    </w:p>
    <w:p>
      <w:pPr>
        <w:spacing w:after="0" w:line="77" w:lineRule="exact"/>
        <w:rPr>
          <w:rFonts w:ascii="Arial" w:cs="Arial" w:eastAsia="Arial" w:hAnsi="Arial"/>
          <w:sz w:val="13"/>
          <w:szCs w:val="13"/>
          <w:color w:val="auto"/>
        </w:rPr>
      </w:pPr>
    </w:p>
    <w:p>
      <w:pPr>
        <w:ind w:left="1480" w:hanging="492"/>
        <w:spacing w:after="0"/>
        <w:tabs>
          <w:tab w:leader="none" w:pos="1480" w:val="left"/>
        </w:tabs>
        <w:numPr>
          <w:ilvl w:val="1"/>
          <w:numId w:val="369"/>
        </w:numPr>
        <w:rPr>
          <w:rFonts w:ascii="Arial" w:cs="Arial" w:eastAsia="Arial" w:hAnsi="Arial"/>
          <w:sz w:val="13"/>
          <w:szCs w:val="13"/>
          <w:color w:val="auto"/>
        </w:rPr>
      </w:pPr>
      <w:r>
        <w:rPr>
          <w:rFonts w:ascii="Arial" w:cs="Arial" w:eastAsia="Arial" w:hAnsi="Arial"/>
          <w:sz w:val="13"/>
          <w:szCs w:val="13"/>
          <w:color w:val="auto"/>
        </w:rPr>
        <w:t>a Transaction Party to comply with its obligations under a Transaction Document or carry on its principal business or activity;</w:t>
      </w:r>
    </w:p>
    <w:p>
      <w:pPr>
        <w:spacing w:after="0" w:line="66" w:lineRule="exact"/>
        <w:rPr>
          <w:rFonts w:ascii="Arial" w:cs="Arial" w:eastAsia="Arial" w:hAnsi="Arial"/>
          <w:sz w:val="13"/>
          <w:szCs w:val="13"/>
          <w:color w:val="auto"/>
        </w:rPr>
      </w:pPr>
    </w:p>
    <w:p>
      <w:pPr>
        <w:ind w:left="1380" w:hanging="392"/>
        <w:spacing w:after="0"/>
        <w:tabs>
          <w:tab w:leader="none" w:pos="1380" w:val="left"/>
        </w:tabs>
        <w:numPr>
          <w:ilvl w:val="1"/>
          <w:numId w:val="369"/>
        </w:numPr>
        <w:rPr>
          <w:rFonts w:ascii="Arial" w:cs="Arial" w:eastAsia="Arial" w:hAnsi="Arial"/>
          <w:sz w:val="13"/>
          <w:szCs w:val="13"/>
          <w:color w:val="auto"/>
        </w:rPr>
      </w:pPr>
      <w:r>
        <w:rPr>
          <w:rFonts w:ascii="Arial" w:cs="Arial" w:eastAsia="Arial" w:hAnsi="Arial"/>
          <w:sz w:val="13"/>
          <w:szCs w:val="13"/>
          <w:color w:val="auto"/>
        </w:rPr>
        <w:t>a Transaction Party to carry on its principal business or activity; or</w:t>
      </w:r>
    </w:p>
    <w:p>
      <w:pPr>
        <w:spacing w:after="0" w:line="57" w:lineRule="exact"/>
        <w:rPr>
          <w:rFonts w:ascii="Arial" w:cs="Arial" w:eastAsia="Arial" w:hAnsi="Arial"/>
          <w:sz w:val="13"/>
          <w:szCs w:val="13"/>
          <w:color w:val="auto"/>
        </w:rPr>
      </w:pPr>
    </w:p>
    <w:p>
      <w:pPr>
        <w:ind w:left="1940" w:hanging="952"/>
        <w:spacing w:after="0"/>
        <w:tabs>
          <w:tab w:leader="none" w:pos="1940" w:val="left"/>
        </w:tabs>
        <w:numPr>
          <w:ilvl w:val="1"/>
          <w:numId w:val="369"/>
        </w:numPr>
        <w:rPr>
          <w:rFonts w:ascii="Arial" w:cs="Arial" w:eastAsia="Arial" w:hAnsi="Arial"/>
          <w:sz w:val="13"/>
          <w:szCs w:val="13"/>
          <w:color w:val="auto"/>
        </w:rPr>
      </w:pPr>
      <w:r>
        <w:rPr>
          <w:rFonts w:ascii="Arial" w:cs="Arial" w:eastAsia="Arial" w:hAnsi="Arial"/>
          <w:sz w:val="13"/>
          <w:szCs w:val="13"/>
          <w:color w:val="auto"/>
        </w:rPr>
        <w:t>the Bank to exercise its rights under a Transaction Document, is withheld or ceases to be in full force and effect and, in the</w:t>
      </w:r>
    </w:p>
    <w:p>
      <w:pPr>
        <w:spacing w:after="0" w:line="85" w:lineRule="exact"/>
        <w:rPr>
          <w:sz w:val="20"/>
          <w:szCs w:val="20"/>
          <w:color w:val="auto"/>
        </w:rPr>
      </w:pPr>
    </w:p>
    <w:p>
      <w:pPr>
        <w:ind w:left="980"/>
        <w:spacing w:after="0"/>
        <w:rPr>
          <w:sz w:val="20"/>
          <w:szCs w:val="20"/>
          <w:color w:val="auto"/>
        </w:rPr>
      </w:pPr>
      <w:r>
        <w:rPr>
          <w:rFonts w:ascii="Arial" w:cs="Arial" w:eastAsia="Arial" w:hAnsi="Arial"/>
          <w:sz w:val="13"/>
          <w:szCs w:val="13"/>
          <w:color w:val="auto"/>
        </w:rPr>
        <w:t>case of</w:t>
      </w:r>
    </w:p>
    <w:p>
      <w:pPr>
        <w:spacing w:after="0" w:line="20" w:lineRule="exact"/>
        <w:rPr>
          <w:sz w:val="20"/>
          <w:szCs w:val="20"/>
          <w:color w:val="auto"/>
        </w:rPr>
      </w:pPr>
    </w:p>
    <w:p>
      <w:pPr>
        <w:ind w:left="980"/>
        <w:spacing w:after="0"/>
        <w:rPr>
          <w:sz w:val="20"/>
          <w:szCs w:val="20"/>
          <w:color w:val="auto"/>
        </w:rPr>
      </w:pPr>
      <w:r>
        <w:rPr>
          <w:rFonts w:ascii="Arial" w:cs="Arial" w:eastAsia="Arial" w:hAnsi="Arial"/>
          <w:sz w:val="13"/>
          <w:szCs w:val="13"/>
          <w:b w:val="1"/>
          <w:bCs w:val="1"/>
          <w:color w:val="auto"/>
        </w:rPr>
        <w:t>clause 10.1(h)(i)</w:t>
      </w:r>
      <w:r>
        <w:rPr>
          <w:rFonts w:ascii="Arial" w:cs="Arial" w:eastAsia="Arial" w:hAnsi="Arial"/>
          <w:sz w:val="13"/>
          <w:szCs w:val="13"/>
          <w:color w:val="auto"/>
        </w:rPr>
        <w:t>, would have a Material Adverse Effect;</w:t>
      </w:r>
    </w:p>
    <w:p>
      <w:pPr>
        <w:spacing w:after="0" w:line="79" w:lineRule="exact"/>
        <w:rPr>
          <w:sz w:val="20"/>
          <w:szCs w:val="20"/>
          <w:color w:val="auto"/>
        </w:rPr>
      </w:pPr>
    </w:p>
    <w:p>
      <w:pPr>
        <w:ind w:left="1100" w:right="420" w:hanging="464"/>
        <w:spacing w:after="0" w:line="269" w:lineRule="auto"/>
        <w:tabs>
          <w:tab w:leader="none" w:pos="1100" w:val="left"/>
        </w:tabs>
        <w:numPr>
          <w:ilvl w:val="0"/>
          <w:numId w:val="370"/>
        </w:numPr>
        <w:rPr>
          <w:rFonts w:ascii="Arial" w:cs="Arial" w:eastAsia="Arial" w:hAnsi="Arial"/>
          <w:sz w:val="13"/>
          <w:szCs w:val="13"/>
          <w:color w:val="auto"/>
        </w:rPr>
      </w:pPr>
      <w:r>
        <w:rPr>
          <w:rFonts w:ascii="Arial" w:cs="Arial" w:eastAsia="Arial" w:hAnsi="Arial"/>
          <w:sz w:val="13"/>
          <w:szCs w:val="13"/>
          <w:b w:val="1"/>
          <w:bCs w:val="1"/>
          <w:color w:val="auto"/>
        </w:rPr>
        <w:t xml:space="preserve">Material Adverse Effect: </w:t>
      </w:r>
      <w:r>
        <w:rPr>
          <w:rFonts w:ascii="Arial" w:cs="Arial" w:eastAsia="Arial" w:hAnsi="Arial"/>
          <w:sz w:val="13"/>
          <w:szCs w:val="13"/>
          <w:color w:val="auto"/>
        </w:rPr>
        <w:t>an event or series of events whether related or not, including any material adverse change in the property or</w:t>
      </w:r>
      <w:r>
        <w:rPr>
          <w:rFonts w:ascii="Arial" w:cs="Arial" w:eastAsia="Arial" w:hAnsi="Arial"/>
          <w:sz w:val="13"/>
          <w:szCs w:val="13"/>
          <w:b w:val="1"/>
          <w:bCs w:val="1"/>
          <w:color w:val="auto"/>
        </w:rPr>
        <w:t xml:space="preserve"> </w:t>
      </w:r>
      <w:r>
        <w:rPr>
          <w:rFonts w:ascii="Arial" w:cs="Arial" w:eastAsia="Arial" w:hAnsi="Arial"/>
          <w:sz w:val="13"/>
          <w:szCs w:val="13"/>
          <w:color w:val="auto"/>
        </w:rPr>
        <w:t>financial condition of a Transaction Party, occurs which has a Material Adverse Effect;</w:t>
      </w:r>
    </w:p>
    <w:p>
      <w:pPr>
        <w:spacing w:after="0" w:line="25" w:lineRule="exact"/>
        <w:rPr>
          <w:rFonts w:ascii="Arial" w:cs="Arial" w:eastAsia="Arial" w:hAnsi="Arial"/>
          <w:sz w:val="13"/>
          <w:szCs w:val="13"/>
          <w:color w:val="auto"/>
        </w:rPr>
      </w:pPr>
    </w:p>
    <w:p>
      <w:pPr>
        <w:ind w:left="1800" w:hanging="1164"/>
        <w:spacing w:after="0"/>
        <w:tabs>
          <w:tab w:leader="none" w:pos="1800" w:val="left"/>
        </w:tabs>
        <w:numPr>
          <w:ilvl w:val="0"/>
          <w:numId w:val="370"/>
        </w:numPr>
        <w:rPr>
          <w:rFonts w:ascii="Arial" w:cs="Arial" w:eastAsia="Arial" w:hAnsi="Arial"/>
          <w:sz w:val="13"/>
          <w:szCs w:val="13"/>
          <w:b w:val="1"/>
          <w:bCs w:val="1"/>
          <w:color w:val="auto"/>
        </w:rPr>
      </w:pPr>
      <w:r>
        <w:rPr>
          <w:rFonts w:ascii="Arial" w:cs="Arial" w:eastAsia="Arial" w:hAnsi="Arial"/>
          <w:sz w:val="13"/>
          <w:szCs w:val="13"/>
          <w:b w:val="1"/>
          <w:bCs w:val="1"/>
          <w:color w:val="auto"/>
        </w:rPr>
        <w:t>cross default:</w:t>
      </w:r>
    </w:p>
    <w:p>
      <w:pPr>
        <w:spacing w:after="0" w:line="91" w:lineRule="exact"/>
        <w:rPr>
          <w:rFonts w:ascii="Arial" w:cs="Arial" w:eastAsia="Arial" w:hAnsi="Arial"/>
          <w:sz w:val="13"/>
          <w:szCs w:val="13"/>
          <w:b w:val="1"/>
          <w:bCs w:val="1"/>
          <w:color w:val="auto"/>
        </w:rPr>
      </w:pPr>
    </w:p>
    <w:p>
      <w:pPr>
        <w:ind w:left="1580" w:right="80" w:hanging="592"/>
        <w:spacing w:after="0" w:line="244" w:lineRule="auto"/>
        <w:tabs>
          <w:tab w:leader="none" w:pos="1580" w:val="left"/>
        </w:tabs>
        <w:numPr>
          <w:ilvl w:val="1"/>
          <w:numId w:val="370"/>
        </w:numPr>
        <w:rPr>
          <w:rFonts w:ascii="Arial" w:cs="Arial" w:eastAsia="Arial" w:hAnsi="Arial"/>
          <w:sz w:val="13"/>
          <w:szCs w:val="13"/>
          <w:color w:val="auto"/>
        </w:rPr>
      </w:pPr>
      <w:r>
        <w:rPr>
          <w:rFonts w:ascii="Arial" w:cs="Arial" w:eastAsia="Arial" w:hAnsi="Arial"/>
          <w:sz w:val="13"/>
          <w:szCs w:val="13"/>
          <w:color w:val="auto"/>
        </w:rPr>
        <w:t>Financial Indebtedness (other than Excluded Financial Indebtedness) of a Transaction Party in excess of $500,000 becomes due for payment before its stated maturity other than by the exercise of an option of the Transaction Party to pay it before its maturity;</w:t>
      </w:r>
    </w:p>
    <w:p>
      <w:pPr>
        <w:spacing w:after="0" w:line="56" w:lineRule="exact"/>
        <w:rPr>
          <w:rFonts w:ascii="Arial" w:cs="Arial" w:eastAsia="Arial" w:hAnsi="Arial"/>
          <w:sz w:val="13"/>
          <w:szCs w:val="13"/>
          <w:color w:val="auto"/>
        </w:rPr>
      </w:pPr>
    </w:p>
    <w:p>
      <w:pPr>
        <w:ind w:left="1780" w:right="140" w:hanging="792"/>
        <w:spacing w:after="0" w:line="244" w:lineRule="auto"/>
        <w:tabs>
          <w:tab w:leader="none" w:pos="1780" w:val="left"/>
        </w:tabs>
        <w:numPr>
          <w:ilvl w:val="1"/>
          <w:numId w:val="370"/>
        </w:numPr>
        <w:rPr>
          <w:rFonts w:ascii="Arial" w:cs="Arial" w:eastAsia="Arial" w:hAnsi="Arial"/>
          <w:sz w:val="13"/>
          <w:szCs w:val="13"/>
          <w:color w:val="auto"/>
        </w:rPr>
      </w:pPr>
      <w:r>
        <w:rPr>
          <w:rFonts w:ascii="Arial" w:cs="Arial" w:eastAsia="Arial" w:hAnsi="Arial"/>
          <w:sz w:val="13"/>
          <w:szCs w:val="13"/>
          <w:color w:val="auto"/>
        </w:rPr>
        <w:t>a Transaction Party fails to pay when due for payment (or within any applicable grace period) any Financial Indebtedness (other than Excluded Financial Indebtedness) in excess of $500,000;</w:t>
      </w:r>
    </w:p>
    <w:p>
      <w:pPr>
        <w:spacing w:after="0" w:line="56" w:lineRule="exact"/>
        <w:rPr>
          <w:rFonts w:ascii="Arial" w:cs="Arial" w:eastAsia="Arial" w:hAnsi="Arial"/>
          <w:sz w:val="13"/>
          <w:szCs w:val="13"/>
          <w:color w:val="auto"/>
        </w:rPr>
      </w:pPr>
    </w:p>
    <w:p>
      <w:pPr>
        <w:ind w:left="1500" w:hanging="512"/>
        <w:spacing w:after="0" w:line="238" w:lineRule="auto"/>
        <w:tabs>
          <w:tab w:leader="none" w:pos="1500" w:val="left"/>
        </w:tabs>
        <w:numPr>
          <w:ilvl w:val="1"/>
          <w:numId w:val="370"/>
        </w:numPr>
        <w:rPr>
          <w:rFonts w:ascii="Arial" w:cs="Arial" w:eastAsia="Arial" w:hAnsi="Arial"/>
          <w:sz w:val="13"/>
          <w:szCs w:val="13"/>
          <w:color w:val="auto"/>
        </w:rPr>
      </w:pPr>
      <w:r>
        <w:rPr>
          <w:rFonts w:ascii="Arial" w:cs="Arial" w:eastAsia="Arial" w:hAnsi="Arial"/>
          <w:sz w:val="13"/>
          <w:szCs w:val="13"/>
          <w:color w:val="auto"/>
        </w:rPr>
        <w:t>an obligation by a person to a Transaction Party to provide financial accommodation or to acquire or underwrite Financial Indebtedness (other than Excluded Financial Indebtedness) in excess of $500,000 ceases before its stated maturity other than by the exercise of an option of the Transaction Party to cancel that obligation; or</w:t>
      </w:r>
    </w:p>
    <w:p>
      <w:pPr>
        <w:spacing w:after="0" w:line="59" w:lineRule="exact"/>
        <w:rPr>
          <w:rFonts w:ascii="Arial" w:cs="Arial" w:eastAsia="Arial" w:hAnsi="Arial"/>
          <w:sz w:val="13"/>
          <w:szCs w:val="13"/>
          <w:color w:val="auto"/>
        </w:rPr>
      </w:pPr>
    </w:p>
    <w:p>
      <w:pPr>
        <w:ind w:left="1440" w:right="40" w:hanging="452"/>
        <w:spacing w:after="0" w:line="244" w:lineRule="auto"/>
        <w:tabs>
          <w:tab w:leader="none" w:pos="1440" w:val="left"/>
        </w:tabs>
        <w:numPr>
          <w:ilvl w:val="1"/>
          <w:numId w:val="370"/>
        </w:numPr>
        <w:rPr>
          <w:rFonts w:ascii="Arial" w:cs="Arial" w:eastAsia="Arial" w:hAnsi="Arial"/>
          <w:sz w:val="13"/>
          <w:szCs w:val="13"/>
          <w:color w:val="auto"/>
        </w:rPr>
      </w:pPr>
      <w:r>
        <w:rPr>
          <w:rFonts w:ascii="Arial" w:cs="Arial" w:eastAsia="Arial" w:hAnsi="Arial"/>
          <w:sz w:val="13"/>
          <w:szCs w:val="13"/>
          <w:color w:val="auto"/>
        </w:rPr>
        <w:t>a marketable security issued by a Transaction Party and having a face value over $500,000 is required to be redeemed or repurchased before its stated maturity other than by the exercise of an option of the issuer to redeem or repurchase;</w:t>
      </w:r>
    </w:p>
    <w:p>
      <w:pPr>
        <w:spacing w:after="0" w:line="31" w:lineRule="exact"/>
        <w:rPr>
          <w:rFonts w:ascii="Arial" w:cs="Arial" w:eastAsia="Arial" w:hAnsi="Arial"/>
          <w:sz w:val="13"/>
          <w:szCs w:val="13"/>
          <w:color w:val="auto"/>
        </w:rPr>
      </w:pPr>
    </w:p>
    <w:p>
      <w:pPr>
        <w:ind w:left="1580" w:right="560" w:hanging="944"/>
        <w:spacing w:after="0" w:line="269" w:lineRule="auto"/>
        <w:tabs>
          <w:tab w:leader="none" w:pos="1580" w:val="left"/>
        </w:tabs>
        <w:numPr>
          <w:ilvl w:val="0"/>
          <w:numId w:val="370"/>
        </w:numPr>
        <w:rPr>
          <w:rFonts w:ascii="Arial" w:cs="Arial" w:eastAsia="Arial" w:hAnsi="Arial"/>
          <w:sz w:val="13"/>
          <w:szCs w:val="13"/>
          <w:color w:val="auto"/>
        </w:rPr>
      </w:pPr>
      <w:r>
        <w:rPr>
          <w:rFonts w:ascii="Arial" w:cs="Arial" w:eastAsia="Arial" w:hAnsi="Arial"/>
          <w:sz w:val="13"/>
          <w:szCs w:val="13"/>
          <w:b w:val="1"/>
          <w:bCs w:val="1"/>
          <w:color w:val="auto"/>
        </w:rPr>
        <w:t xml:space="preserve">cessation of business: </w:t>
      </w:r>
      <w:r>
        <w:rPr>
          <w:rFonts w:ascii="Arial" w:cs="Arial" w:eastAsia="Arial" w:hAnsi="Arial"/>
          <w:sz w:val="13"/>
          <w:szCs w:val="13"/>
          <w:color w:val="auto"/>
        </w:rPr>
        <w:t>a Transaction Party ceases or threatens to cease to carry on its business or a substantial part of its</w:t>
      </w:r>
      <w:r>
        <w:rPr>
          <w:rFonts w:ascii="Arial" w:cs="Arial" w:eastAsia="Arial" w:hAnsi="Arial"/>
          <w:sz w:val="13"/>
          <w:szCs w:val="13"/>
          <w:b w:val="1"/>
          <w:bCs w:val="1"/>
          <w:color w:val="auto"/>
        </w:rPr>
        <w:t xml:space="preserve"> </w:t>
      </w:r>
      <w:r>
        <w:rPr>
          <w:rFonts w:ascii="Arial" w:cs="Arial" w:eastAsia="Arial" w:hAnsi="Arial"/>
          <w:sz w:val="13"/>
          <w:szCs w:val="13"/>
          <w:color w:val="auto"/>
        </w:rPr>
        <w:t>business;</w:t>
      </w:r>
    </w:p>
    <w:p>
      <w:pPr>
        <w:spacing w:after="0" w:line="30" w:lineRule="exact"/>
        <w:rPr>
          <w:rFonts w:ascii="Arial" w:cs="Arial" w:eastAsia="Arial" w:hAnsi="Arial"/>
          <w:sz w:val="13"/>
          <w:szCs w:val="13"/>
          <w:color w:val="auto"/>
        </w:rPr>
      </w:pPr>
    </w:p>
    <w:p>
      <w:pPr>
        <w:ind w:left="940" w:hanging="304"/>
        <w:spacing w:after="0"/>
        <w:tabs>
          <w:tab w:leader="none" w:pos="940" w:val="left"/>
        </w:tabs>
        <w:numPr>
          <w:ilvl w:val="0"/>
          <w:numId w:val="370"/>
        </w:numPr>
        <w:rPr>
          <w:rFonts w:ascii="Arial" w:cs="Arial" w:eastAsia="Arial" w:hAnsi="Arial"/>
          <w:sz w:val="13"/>
          <w:szCs w:val="13"/>
          <w:color w:val="auto"/>
        </w:rPr>
      </w:pPr>
      <w:r>
        <w:rPr>
          <w:rFonts w:ascii="Arial" w:cs="Arial" w:eastAsia="Arial" w:hAnsi="Arial"/>
          <w:sz w:val="13"/>
          <w:szCs w:val="13"/>
          <w:b w:val="1"/>
          <w:bCs w:val="1"/>
          <w:color w:val="auto"/>
        </w:rPr>
        <w:t xml:space="preserve">enforcement of other Security: </w:t>
      </w:r>
      <w:r>
        <w:rPr>
          <w:rFonts w:ascii="Arial" w:cs="Arial" w:eastAsia="Arial" w:hAnsi="Arial"/>
          <w:sz w:val="13"/>
          <w:szCs w:val="13"/>
          <w:color w:val="auto"/>
        </w:rPr>
        <w:t>a person who holds a Security over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180975</wp:posOffset>
            </wp:positionV>
            <wp:extent cx="6208395"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208395" cy="42545"/>
                    </a:xfrm>
                    <a:prstGeom prst="rect">
                      <a:avLst/>
                    </a:prstGeom>
                    <a:noFill/>
                  </pic:spPr>
                </pic:pic>
              </a:graphicData>
            </a:graphic>
          </wp:anchor>
        </w:drawing>
      </w:r>
    </w:p>
    <w:p>
      <w:pPr>
        <w:sectPr>
          <w:pgSz w:w="11900" w:h="16838" w:orient="portrait"/>
          <w:cols w:equalWidth="0" w:num="1">
            <w:col w:w="9360"/>
          </w:cols>
          <w:pgMar w:left="1440" w:top="544" w:right="1099" w:bottom="1440" w:gutter="0" w:footer="0" w:header="0"/>
        </w:sectPr>
      </w:pPr>
    </w:p>
    <w:bookmarkStart w:id="266" w:name="page267"/>
    <w:bookmarkEnd w:id="266"/>
    <w:p>
      <w:pPr>
        <w:ind w:left="980" w:right="540"/>
        <w:spacing w:after="0" w:line="244" w:lineRule="auto"/>
        <w:rPr>
          <w:sz w:val="20"/>
          <w:szCs w:val="20"/>
          <w:color w:val="auto"/>
        </w:rPr>
      </w:pPr>
      <w:r>
        <w:rPr>
          <w:rFonts w:ascii="Arial" w:cs="Arial" w:eastAsia="Arial" w:hAnsi="Arial"/>
          <w:sz w:val="13"/>
          <w:szCs w:val="13"/>
          <w:color w:val="auto"/>
        </w:rPr>
        <w:t>property of a Transaction Party exercises a right under that Security against the property to recover any money the payment of which is secured by that Security or enforce any other obligation the compliance with which is secured by it;</w:t>
      </w:r>
    </w:p>
    <w:p>
      <w:pPr>
        <w:spacing w:after="0" w:line="40" w:lineRule="exact"/>
        <w:rPr>
          <w:sz w:val="20"/>
          <w:szCs w:val="20"/>
          <w:color w:val="auto"/>
        </w:rPr>
      </w:pPr>
    </w:p>
    <w:p>
      <w:pPr>
        <w:ind w:left="1180" w:right="60" w:hanging="544"/>
        <w:spacing w:after="0" w:line="250" w:lineRule="auto"/>
        <w:tabs>
          <w:tab w:leader="none" w:pos="1180" w:val="left"/>
        </w:tabs>
        <w:numPr>
          <w:ilvl w:val="0"/>
          <w:numId w:val="371"/>
        </w:numPr>
        <w:rPr>
          <w:rFonts w:ascii="Arial" w:cs="Arial" w:eastAsia="Arial" w:hAnsi="Arial"/>
          <w:sz w:val="13"/>
          <w:szCs w:val="13"/>
          <w:color w:val="auto"/>
        </w:rPr>
      </w:pPr>
      <w:r>
        <w:rPr>
          <w:rFonts w:ascii="Arial" w:cs="Arial" w:eastAsia="Arial" w:hAnsi="Arial"/>
          <w:sz w:val="13"/>
          <w:szCs w:val="13"/>
          <w:b w:val="1"/>
          <w:bCs w:val="1"/>
          <w:color w:val="auto"/>
        </w:rPr>
        <w:t xml:space="preserve">undertaking: </w:t>
      </w:r>
      <w:r>
        <w:rPr>
          <w:rFonts w:ascii="Arial" w:cs="Arial" w:eastAsia="Arial" w:hAnsi="Arial"/>
          <w:sz w:val="13"/>
          <w:szCs w:val="13"/>
          <w:color w:val="auto"/>
        </w:rPr>
        <w:t>an undertaking given to the Bank (or its lawyers) by or on behalf of a Transaction Party (or its lawyers) is not honoured in</w:t>
      </w:r>
      <w:r>
        <w:rPr>
          <w:rFonts w:ascii="Arial" w:cs="Arial" w:eastAsia="Arial" w:hAnsi="Arial"/>
          <w:sz w:val="13"/>
          <w:szCs w:val="13"/>
          <w:b w:val="1"/>
          <w:bCs w:val="1"/>
          <w:color w:val="auto"/>
        </w:rPr>
        <w:t xml:space="preserve"> </w:t>
      </w:r>
      <w:r>
        <w:rPr>
          <w:rFonts w:ascii="Arial" w:cs="Arial" w:eastAsia="Arial" w:hAnsi="Arial"/>
          <w:sz w:val="13"/>
          <w:szCs w:val="13"/>
          <w:color w:val="auto"/>
        </w:rPr>
        <w:t>accordance with its terms and if capable of rectification, is not rectified within three Business Days (or any other longer period agreed by the Bank) after its occurrence;</w:t>
      </w:r>
    </w:p>
    <w:p>
      <w:pPr>
        <w:spacing w:after="0" w:line="42" w:lineRule="exact"/>
        <w:rPr>
          <w:rFonts w:ascii="Arial" w:cs="Arial" w:eastAsia="Arial" w:hAnsi="Arial"/>
          <w:sz w:val="13"/>
          <w:szCs w:val="13"/>
          <w:color w:val="auto"/>
        </w:rPr>
      </w:pPr>
    </w:p>
    <w:p>
      <w:pPr>
        <w:ind w:left="1100" w:hanging="464"/>
        <w:spacing w:after="0"/>
        <w:tabs>
          <w:tab w:leader="none" w:pos="1100" w:val="left"/>
        </w:tabs>
        <w:numPr>
          <w:ilvl w:val="0"/>
          <w:numId w:val="371"/>
        </w:numPr>
        <w:rPr>
          <w:rFonts w:ascii="Arial" w:cs="Arial" w:eastAsia="Arial" w:hAnsi="Arial"/>
          <w:sz w:val="13"/>
          <w:szCs w:val="13"/>
          <w:color w:val="auto"/>
        </w:rPr>
      </w:pPr>
      <w:r>
        <w:rPr>
          <w:rFonts w:ascii="Arial" w:cs="Arial" w:eastAsia="Arial" w:hAnsi="Arial"/>
          <w:sz w:val="13"/>
          <w:szCs w:val="13"/>
          <w:b w:val="1"/>
          <w:bCs w:val="1"/>
          <w:color w:val="auto"/>
        </w:rPr>
        <w:t xml:space="preserve">reduction of capital: </w:t>
      </w:r>
      <w:r>
        <w:rPr>
          <w:rFonts w:ascii="Arial" w:cs="Arial" w:eastAsia="Arial" w:hAnsi="Arial"/>
          <w:sz w:val="13"/>
          <w:szCs w:val="13"/>
          <w:color w:val="auto"/>
        </w:rPr>
        <w:t>if a Transaction Party is a corporation:</w:t>
      </w:r>
    </w:p>
    <w:p>
      <w:pPr>
        <w:spacing w:after="0" w:line="86" w:lineRule="exact"/>
        <w:rPr>
          <w:rFonts w:ascii="Arial" w:cs="Arial" w:eastAsia="Arial" w:hAnsi="Arial"/>
          <w:sz w:val="13"/>
          <w:szCs w:val="13"/>
          <w:color w:val="auto"/>
        </w:rPr>
      </w:pPr>
    </w:p>
    <w:p>
      <w:pPr>
        <w:ind w:left="1420" w:hanging="432"/>
        <w:spacing w:after="0"/>
        <w:tabs>
          <w:tab w:leader="none" w:pos="1420" w:val="left"/>
        </w:tabs>
        <w:numPr>
          <w:ilvl w:val="1"/>
          <w:numId w:val="371"/>
        </w:numPr>
        <w:rPr>
          <w:rFonts w:ascii="Arial" w:cs="Arial" w:eastAsia="Arial" w:hAnsi="Arial"/>
          <w:sz w:val="13"/>
          <w:szCs w:val="13"/>
          <w:color w:val="auto"/>
        </w:rPr>
      </w:pPr>
      <w:r>
        <w:rPr>
          <w:rFonts w:ascii="Arial" w:cs="Arial" w:eastAsia="Arial" w:hAnsi="Arial"/>
          <w:sz w:val="13"/>
          <w:szCs w:val="13"/>
          <w:color w:val="auto"/>
        </w:rPr>
        <w:t>it reduces or takes any action to reduce its capital other than by the redemption of redeemable preference shares;</w:t>
      </w:r>
    </w:p>
    <w:p>
      <w:pPr>
        <w:spacing w:after="0" w:line="66" w:lineRule="exact"/>
        <w:rPr>
          <w:rFonts w:ascii="Arial" w:cs="Arial" w:eastAsia="Arial" w:hAnsi="Arial"/>
          <w:sz w:val="13"/>
          <w:szCs w:val="13"/>
          <w:color w:val="auto"/>
        </w:rPr>
      </w:pPr>
    </w:p>
    <w:p>
      <w:pPr>
        <w:ind w:left="2240" w:hanging="1252"/>
        <w:spacing w:after="0"/>
        <w:tabs>
          <w:tab w:leader="none" w:pos="2240" w:val="left"/>
        </w:tabs>
        <w:numPr>
          <w:ilvl w:val="1"/>
          <w:numId w:val="371"/>
        </w:numPr>
        <w:rPr>
          <w:rFonts w:ascii="Arial" w:cs="Arial" w:eastAsia="Arial" w:hAnsi="Arial"/>
          <w:sz w:val="13"/>
          <w:szCs w:val="13"/>
          <w:color w:val="auto"/>
        </w:rPr>
      </w:pPr>
      <w:r>
        <w:rPr>
          <w:rFonts w:ascii="Arial" w:cs="Arial" w:eastAsia="Arial" w:hAnsi="Arial"/>
          <w:sz w:val="13"/>
          <w:szCs w:val="13"/>
          <w:color w:val="auto"/>
        </w:rPr>
        <w:t>it passes or takes any action to pass a resolution of the type referred to in section 254N of the Corporations Act;</w:t>
      </w:r>
    </w:p>
    <w:p>
      <w:pPr>
        <w:spacing w:after="0" w:line="76" w:lineRule="exact"/>
        <w:rPr>
          <w:sz w:val="20"/>
          <w:szCs w:val="20"/>
          <w:color w:val="auto"/>
        </w:rPr>
      </w:pPr>
    </w:p>
    <w:p>
      <w:pPr>
        <w:ind w:left="980"/>
        <w:spacing w:after="0"/>
        <w:tabs>
          <w:tab w:leader="none" w:pos="6220" w:val="left"/>
        </w:tabs>
        <w:rPr>
          <w:sz w:val="20"/>
          <w:szCs w:val="20"/>
          <w:color w:val="auto"/>
        </w:rPr>
      </w:pPr>
      <w:r>
        <w:rPr>
          <w:rFonts w:ascii="Arial" w:cs="Arial" w:eastAsia="Arial" w:hAnsi="Arial"/>
          <w:sz w:val="13"/>
          <w:szCs w:val="13"/>
          <w:color w:val="auto"/>
        </w:rPr>
        <w:t>(iii)</w:t>
      </w:r>
      <w:r>
        <w:rPr>
          <w:sz w:val="20"/>
          <w:szCs w:val="20"/>
          <w:color w:val="auto"/>
        </w:rPr>
        <w:tab/>
      </w:r>
      <w:r>
        <w:rPr>
          <w:rFonts w:ascii="Arial" w:cs="Arial" w:eastAsia="Arial" w:hAnsi="Arial"/>
          <w:sz w:val="13"/>
          <w:szCs w:val="13"/>
          <w:color w:val="auto"/>
        </w:rPr>
        <w:t>it:</w:t>
      </w:r>
    </w:p>
    <w:p>
      <w:pPr>
        <w:spacing w:after="0" w:line="76" w:lineRule="exact"/>
        <w:rPr>
          <w:sz w:val="20"/>
          <w:szCs w:val="20"/>
          <w:color w:val="auto"/>
        </w:rPr>
      </w:pPr>
    </w:p>
    <w:p>
      <w:pPr>
        <w:ind w:left="2000" w:hanging="679"/>
        <w:spacing w:after="0"/>
        <w:tabs>
          <w:tab w:leader="none" w:pos="2000" w:val="left"/>
        </w:tabs>
        <w:numPr>
          <w:ilvl w:val="0"/>
          <w:numId w:val="372"/>
        </w:numPr>
        <w:rPr>
          <w:rFonts w:ascii="Arial" w:cs="Arial" w:eastAsia="Arial" w:hAnsi="Arial"/>
          <w:sz w:val="13"/>
          <w:szCs w:val="13"/>
          <w:color w:val="auto"/>
        </w:rPr>
      </w:pPr>
      <w:r>
        <w:rPr>
          <w:rFonts w:ascii="Arial" w:cs="Arial" w:eastAsia="Arial" w:hAnsi="Arial"/>
          <w:sz w:val="13"/>
          <w:szCs w:val="13"/>
          <w:color w:val="auto"/>
        </w:rPr>
        <w:t>buys or takes any action to buy, or</w:t>
      </w:r>
    </w:p>
    <w:p>
      <w:pPr>
        <w:spacing w:after="0" w:line="84" w:lineRule="exact"/>
        <w:rPr>
          <w:rFonts w:ascii="Arial" w:cs="Arial" w:eastAsia="Arial" w:hAnsi="Arial"/>
          <w:sz w:val="13"/>
          <w:szCs w:val="13"/>
          <w:color w:val="auto"/>
        </w:rPr>
      </w:pPr>
    </w:p>
    <w:p>
      <w:pPr>
        <w:ind w:left="1720" w:hanging="399"/>
        <w:spacing w:after="0" w:line="244" w:lineRule="auto"/>
        <w:tabs>
          <w:tab w:leader="none" w:pos="1720" w:val="left"/>
        </w:tabs>
        <w:numPr>
          <w:ilvl w:val="0"/>
          <w:numId w:val="372"/>
        </w:numPr>
        <w:rPr>
          <w:rFonts w:ascii="Arial" w:cs="Arial" w:eastAsia="Arial" w:hAnsi="Arial"/>
          <w:sz w:val="13"/>
          <w:szCs w:val="13"/>
          <w:color w:val="auto"/>
        </w:rPr>
      </w:pPr>
      <w:r>
        <w:rPr>
          <w:rFonts w:ascii="Arial" w:cs="Arial" w:eastAsia="Arial" w:hAnsi="Arial"/>
          <w:sz w:val="13"/>
          <w:szCs w:val="13"/>
          <w:color w:val="auto"/>
        </w:rPr>
        <w:t>financially assists (within the meaning of section 260A of the Corporations Act) or takes any action to financially assist any person to acquire,</w:t>
      </w:r>
    </w:p>
    <w:p>
      <w:pPr>
        <w:spacing w:after="0" w:line="47" w:lineRule="exact"/>
        <w:rPr>
          <w:sz w:val="20"/>
          <w:szCs w:val="20"/>
          <w:color w:val="auto"/>
        </w:rPr>
      </w:pPr>
    </w:p>
    <w:p>
      <w:pPr>
        <w:ind w:left="1320"/>
        <w:spacing w:after="0"/>
        <w:rPr>
          <w:sz w:val="20"/>
          <w:szCs w:val="20"/>
          <w:color w:val="auto"/>
        </w:rPr>
      </w:pPr>
      <w:r>
        <w:rPr>
          <w:rFonts w:ascii="Arial" w:cs="Arial" w:eastAsia="Arial" w:hAnsi="Arial"/>
          <w:sz w:val="13"/>
          <w:szCs w:val="13"/>
          <w:color w:val="auto"/>
        </w:rPr>
        <w:t>shares in itself or in a holding company of it,</w:t>
      </w:r>
    </w:p>
    <w:p>
      <w:pPr>
        <w:spacing w:after="0" w:line="69" w:lineRule="exact"/>
        <w:rPr>
          <w:sz w:val="20"/>
          <w:szCs w:val="20"/>
          <w:color w:val="auto"/>
        </w:rPr>
      </w:pPr>
    </w:p>
    <w:p>
      <w:pPr>
        <w:ind w:left="1100" w:right="140" w:hanging="464"/>
        <w:spacing w:after="0" w:line="269" w:lineRule="auto"/>
        <w:tabs>
          <w:tab w:leader="none" w:pos="1100" w:val="left"/>
        </w:tabs>
        <w:numPr>
          <w:ilvl w:val="0"/>
          <w:numId w:val="373"/>
        </w:numPr>
        <w:rPr>
          <w:rFonts w:ascii="Arial" w:cs="Arial" w:eastAsia="Arial" w:hAnsi="Arial"/>
          <w:sz w:val="13"/>
          <w:szCs w:val="13"/>
          <w:color w:val="auto"/>
        </w:rPr>
      </w:pPr>
      <w:r>
        <w:rPr>
          <w:rFonts w:ascii="Arial" w:cs="Arial" w:eastAsia="Arial" w:hAnsi="Arial"/>
          <w:sz w:val="13"/>
          <w:szCs w:val="13"/>
          <w:b w:val="1"/>
          <w:bCs w:val="1"/>
          <w:color w:val="auto"/>
        </w:rPr>
        <w:t xml:space="preserve">investigation: </w:t>
      </w:r>
      <w:r>
        <w:rPr>
          <w:rFonts w:ascii="Arial" w:cs="Arial" w:eastAsia="Arial" w:hAnsi="Arial"/>
          <w:sz w:val="13"/>
          <w:szCs w:val="13"/>
          <w:color w:val="auto"/>
        </w:rPr>
        <w:t>if a Transaction Party is a corporation, an investigation is instituted under the Corporations Act or other legislation into, or an</w:t>
      </w:r>
      <w:r>
        <w:rPr>
          <w:rFonts w:ascii="Arial" w:cs="Arial" w:eastAsia="Arial" w:hAnsi="Arial"/>
          <w:sz w:val="13"/>
          <w:szCs w:val="13"/>
          <w:b w:val="1"/>
          <w:bCs w:val="1"/>
          <w:color w:val="auto"/>
        </w:rPr>
        <w:t xml:space="preserve"> </w:t>
      </w:r>
      <w:r>
        <w:rPr>
          <w:rFonts w:ascii="Arial" w:cs="Arial" w:eastAsia="Arial" w:hAnsi="Arial"/>
          <w:sz w:val="13"/>
          <w:szCs w:val="13"/>
          <w:color w:val="auto"/>
        </w:rPr>
        <w:t>inspector is appointed to investigate, its affairs, which would have a Material Adverse Effect;</w:t>
      </w:r>
    </w:p>
    <w:p>
      <w:pPr>
        <w:spacing w:after="0" w:line="25" w:lineRule="exact"/>
        <w:rPr>
          <w:rFonts w:ascii="Arial" w:cs="Arial" w:eastAsia="Arial" w:hAnsi="Arial"/>
          <w:sz w:val="13"/>
          <w:szCs w:val="13"/>
          <w:color w:val="auto"/>
        </w:rPr>
      </w:pPr>
    </w:p>
    <w:p>
      <w:pPr>
        <w:ind w:left="1160" w:right="60" w:hanging="524"/>
        <w:spacing w:after="0" w:line="250" w:lineRule="auto"/>
        <w:tabs>
          <w:tab w:leader="none" w:pos="1160" w:val="left"/>
        </w:tabs>
        <w:numPr>
          <w:ilvl w:val="0"/>
          <w:numId w:val="373"/>
        </w:numPr>
        <w:rPr>
          <w:rFonts w:ascii="Arial" w:cs="Arial" w:eastAsia="Arial" w:hAnsi="Arial"/>
          <w:sz w:val="13"/>
          <w:szCs w:val="13"/>
          <w:color w:val="auto"/>
        </w:rPr>
      </w:pPr>
      <w:r>
        <w:rPr>
          <w:rFonts w:ascii="Arial" w:cs="Arial" w:eastAsia="Arial" w:hAnsi="Arial"/>
          <w:sz w:val="13"/>
          <w:szCs w:val="13"/>
          <w:b w:val="1"/>
          <w:bCs w:val="1"/>
          <w:color w:val="auto"/>
        </w:rPr>
        <w:t>environmental claim</w:t>
      </w:r>
      <w:r>
        <w:rPr>
          <w:rFonts w:ascii="Arial" w:cs="Arial" w:eastAsia="Arial" w:hAnsi="Arial"/>
          <w:sz w:val="13"/>
          <w:szCs w:val="13"/>
          <w:color w:val="auto"/>
        </w:rPr>
        <w:t>: a Government Body takes any action, there is a legally valid claim or there is a legally enforceable requirement for</w:t>
      </w:r>
      <w:r>
        <w:rPr>
          <w:rFonts w:ascii="Arial" w:cs="Arial" w:eastAsia="Arial" w:hAnsi="Arial"/>
          <w:sz w:val="13"/>
          <w:szCs w:val="13"/>
          <w:b w:val="1"/>
          <w:bCs w:val="1"/>
          <w:color w:val="auto"/>
        </w:rPr>
        <w:t xml:space="preserve"> </w:t>
      </w:r>
      <w:r>
        <w:rPr>
          <w:rFonts w:ascii="Arial" w:cs="Arial" w:eastAsia="Arial" w:hAnsi="Arial"/>
          <w:sz w:val="13"/>
          <w:szCs w:val="13"/>
          <w:color w:val="auto"/>
        </w:rPr>
        <w:t>expenditure or for cessation or alteration of activity under an Environmental Law, which, in the reasonable opinion of the Bank, would have a Material Adverse Effect;</w:t>
      </w:r>
    </w:p>
    <w:p>
      <w:pPr>
        <w:spacing w:after="0" w:line="37" w:lineRule="exact"/>
        <w:rPr>
          <w:rFonts w:ascii="Arial" w:cs="Arial" w:eastAsia="Arial" w:hAnsi="Arial"/>
          <w:sz w:val="13"/>
          <w:szCs w:val="13"/>
          <w:color w:val="auto"/>
        </w:rPr>
      </w:pPr>
    </w:p>
    <w:p>
      <w:pPr>
        <w:ind w:left="1200" w:right="140" w:hanging="564"/>
        <w:spacing w:after="0" w:line="269" w:lineRule="auto"/>
        <w:tabs>
          <w:tab w:leader="none" w:pos="1200" w:val="left"/>
        </w:tabs>
        <w:numPr>
          <w:ilvl w:val="0"/>
          <w:numId w:val="373"/>
        </w:numPr>
        <w:rPr>
          <w:rFonts w:ascii="Arial" w:cs="Arial" w:eastAsia="Arial" w:hAnsi="Arial"/>
          <w:sz w:val="13"/>
          <w:szCs w:val="13"/>
          <w:color w:val="auto"/>
        </w:rPr>
      </w:pPr>
      <w:r>
        <w:rPr>
          <w:rFonts w:ascii="Arial" w:cs="Arial" w:eastAsia="Arial" w:hAnsi="Arial"/>
          <w:sz w:val="13"/>
          <w:szCs w:val="13"/>
          <w:b w:val="1"/>
          <w:bCs w:val="1"/>
          <w:color w:val="auto"/>
        </w:rPr>
        <w:t>Management Fees</w:t>
      </w:r>
      <w:r>
        <w:rPr>
          <w:rFonts w:ascii="Arial" w:cs="Arial" w:eastAsia="Arial" w:hAnsi="Arial"/>
          <w:sz w:val="13"/>
          <w:szCs w:val="13"/>
          <w:color w:val="auto"/>
        </w:rPr>
        <w:t>: the aggregate Management Fees paid by the Transaction Parties in a Financial Year exceed the amount specified for</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that Financial Year under </w:t>
      </w:r>
      <w:r>
        <w:rPr>
          <w:rFonts w:ascii="Arial" w:cs="Arial" w:eastAsia="Arial" w:hAnsi="Arial"/>
          <w:sz w:val="13"/>
          <w:szCs w:val="13"/>
          <w:b w:val="1"/>
          <w:bCs w:val="1"/>
          <w:color w:val="auto"/>
        </w:rPr>
        <w:t>clause 9.5(k)</w:t>
      </w:r>
      <w:r>
        <w:rPr>
          <w:rFonts w:ascii="Arial" w:cs="Arial" w:eastAsia="Arial" w:hAnsi="Arial"/>
          <w:sz w:val="13"/>
          <w:szCs w:val="13"/>
          <w:color w:val="auto"/>
        </w:rPr>
        <w:t xml:space="preserve"> (without the Bank’s prior written consent); or</w:t>
      </w:r>
    </w:p>
    <w:p>
      <w:pPr>
        <w:spacing w:after="0" w:line="16" w:lineRule="exact"/>
        <w:rPr>
          <w:rFonts w:ascii="Arial" w:cs="Arial" w:eastAsia="Arial" w:hAnsi="Arial"/>
          <w:sz w:val="13"/>
          <w:szCs w:val="13"/>
          <w:color w:val="auto"/>
        </w:rPr>
      </w:pPr>
    </w:p>
    <w:p>
      <w:pPr>
        <w:ind w:left="1120" w:hanging="484"/>
        <w:spacing w:after="0"/>
        <w:tabs>
          <w:tab w:leader="none" w:pos="1120" w:val="left"/>
        </w:tabs>
        <w:numPr>
          <w:ilvl w:val="0"/>
          <w:numId w:val="373"/>
        </w:numPr>
        <w:rPr>
          <w:rFonts w:ascii="Arial" w:cs="Arial" w:eastAsia="Arial" w:hAnsi="Arial"/>
          <w:sz w:val="13"/>
          <w:szCs w:val="13"/>
          <w:color w:val="auto"/>
        </w:rPr>
      </w:pPr>
      <w:r>
        <w:rPr>
          <w:rFonts w:ascii="Arial" w:cs="Arial" w:eastAsia="Arial" w:hAnsi="Arial"/>
          <w:sz w:val="13"/>
          <w:szCs w:val="13"/>
          <w:b w:val="1"/>
          <w:bCs w:val="1"/>
          <w:color w:val="auto"/>
        </w:rPr>
        <w:t xml:space="preserve">Trust: </w:t>
      </w:r>
      <w:r>
        <w:rPr>
          <w:rFonts w:ascii="Arial" w:cs="Arial" w:eastAsia="Arial" w:hAnsi="Arial"/>
          <w:sz w:val="13"/>
          <w:szCs w:val="13"/>
          <w:color w:val="auto"/>
        </w:rPr>
        <w:t>if a Transaction Party is a Trustee:</w:t>
      </w:r>
    </w:p>
    <w:p>
      <w:pPr>
        <w:spacing w:after="0" w:line="100" w:lineRule="exact"/>
        <w:rPr>
          <w:rFonts w:ascii="Arial" w:cs="Arial" w:eastAsia="Arial" w:hAnsi="Arial"/>
          <w:sz w:val="13"/>
          <w:szCs w:val="13"/>
          <w:color w:val="auto"/>
        </w:rPr>
      </w:pPr>
    </w:p>
    <w:p>
      <w:pPr>
        <w:ind w:left="1380" w:right="80" w:hanging="392"/>
        <w:spacing w:after="0" w:line="244" w:lineRule="auto"/>
        <w:tabs>
          <w:tab w:leader="none" w:pos="1380" w:val="left"/>
        </w:tabs>
        <w:numPr>
          <w:ilvl w:val="1"/>
          <w:numId w:val="373"/>
        </w:numPr>
        <w:rPr>
          <w:rFonts w:ascii="Arial" w:cs="Arial" w:eastAsia="Arial" w:hAnsi="Arial"/>
          <w:sz w:val="13"/>
          <w:szCs w:val="13"/>
          <w:color w:val="auto"/>
        </w:rPr>
      </w:pPr>
      <w:r>
        <w:rPr>
          <w:rFonts w:ascii="Arial" w:cs="Arial" w:eastAsia="Arial" w:hAnsi="Arial"/>
          <w:sz w:val="13"/>
          <w:szCs w:val="13"/>
          <w:color w:val="auto"/>
        </w:rPr>
        <w:t>the Trustee ceases to be the trustee or the only trustee of the Trust or any action is taken for the removal of the Trustee as trustee of the Trust, or for the appointment of another person as trustee in addition to the Trustee;</w:t>
      </w:r>
    </w:p>
    <w:p>
      <w:pPr>
        <w:spacing w:after="0" w:line="56" w:lineRule="exact"/>
        <w:rPr>
          <w:rFonts w:ascii="Arial" w:cs="Arial" w:eastAsia="Arial" w:hAnsi="Arial"/>
          <w:sz w:val="13"/>
          <w:szCs w:val="13"/>
          <w:color w:val="auto"/>
        </w:rPr>
      </w:pPr>
    </w:p>
    <w:p>
      <w:pPr>
        <w:ind w:left="1500" w:hanging="512"/>
        <w:spacing w:after="0"/>
        <w:tabs>
          <w:tab w:leader="none" w:pos="1500" w:val="left"/>
        </w:tabs>
        <w:numPr>
          <w:ilvl w:val="1"/>
          <w:numId w:val="373"/>
        </w:numPr>
        <w:rPr>
          <w:rFonts w:ascii="Arial" w:cs="Arial" w:eastAsia="Arial" w:hAnsi="Arial"/>
          <w:sz w:val="13"/>
          <w:szCs w:val="13"/>
          <w:color w:val="auto"/>
        </w:rPr>
      </w:pPr>
      <w:r>
        <w:rPr>
          <w:rFonts w:ascii="Arial" w:cs="Arial" w:eastAsia="Arial" w:hAnsi="Arial"/>
          <w:sz w:val="13"/>
          <w:szCs w:val="13"/>
          <w:color w:val="auto"/>
        </w:rPr>
        <w:t>an application or order is sought or made in any court, which is not withdrawn or dismissed within ten Business Days, for:</w:t>
      </w:r>
    </w:p>
    <w:p>
      <w:pPr>
        <w:spacing w:after="0" w:line="66" w:lineRule="exact"/>
        <w:rPr>
          <w:rFonts w:ascii="Arial" w:cs="Arial" w:eastAsia="Arial" w:hAnsi="Arial"/>
          <w:sz w:val="13"/>
          <w:szCs w:val="13"/>
          <w:color w:val="auto"/>
        </w:rPr>
      </w:pPr>
    </w:p>
    <w:p>
      <w:pPr>
        <w:ind w:left="1760" w:hanging="439"/>
        <w:spacing w:after="0"/>
        <w:tabs>
          <w:tab w:leader="none" w:pos="1760" w:val="left"/>
        </w:tabs>
        <w:numPr>
          <w:ilvl w:val="2"/>
          <w:numId w:val="373"/>
        </w:numPr>
        <w:rPr>
          <w:rFonts w:ascii="Arial" w:cs="Arial" w:eastAsia="Arial" w:hAnsi="Arial"/>
          <w:sz w:val="13"/>
          <w:szCs w:val="13"/>
          <w:color w:val="auto"/>
        </w:rPr>
      </w:pPr>
      <w:r>
        <w:rPr>
          <w:rFonts w:ascii="Arial" w:cs="Arial" w:eastAsia="Arial" w:hAnsi="Arial"/>
          <w:sz w:val="13"/>
          <w:szCs w:val="13"/>
          <w:color w:val="auto"/>
        </w:rPr>
        <w:t>the property of the Trust to be administered by the court;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173990</wp:posOffset>
            </wp:positionV>
            <wp:extent cx="6208395"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208395" cy="42545"/>
                    </a:xfrm>
                    <a:prstGeom prst="rect">
                      <a:avLst/>
                    </a:prstGeom>
                    <a:noFill/>
                  </pic:spPr>
                </pic:pic>
              </a:graphicData>
            </a:graphic>
          </wp:anchor>
        </w:drawing>
      </w:r>
    </w:p>
    <w:p>
      <w:pPr>
        <w:sectPr>
          <w:pgSz w:w="11900" w:h="16838" w:orient="portrait"/>
          <w:cols w:equalWidth="0" w:num="1">
            <w:col w:w="9400"/>
          </w:cols>
          <w:pgMar w:left="1440" w:top="561" w:right="1059" w:bottom="1440" w:gutter="0" w:footer="0" w:header="0"/>
        </w:sectPr>
      </w:pPr>
    </w:p>
    <w:bookmarkStart w:id="267" w:name="page268"/>
    <w:bookmarkEnd w:id="267"/>
    <w:p>
      <w:pPr>
        <w:ind w:left="1840" w:hanging="519"/>
        <w:spacing w:after="0"/>
        <w:tabs>
          <w:tab w:leader="none" w:pos="1840" w:val="left"/>
        </w:tabs>
        <w:numPr>
          <w:ilvl w:val="1"/>
          <w:numId w:val="374"/>
        </w:numPr>
        <w:rPr>
          <w:rFonts w:ascii="Arial" w:cs="Arial" w:eastAsia="Arial" w:hAnsi="Arial"/>
          <w:sz w:val="13"/>
          <w:szCs w:val="13"/>
          <w:color w:val="auto"/>
        </w:rPr>
      </w:pPr>
      <w:r>
        <w:rPr>
          <w:rFonts w:ascii="Arial" w:cs="Arial" w:eastAsia="Arial" w:hAnsi="Arial"/>
          <w:sz w:val="13"/>
          <w:szCs w:val="13"/>
          <w:color w:val="auto"/>
        </w:rPr>
        <w:t>an account to be taken in relation to the Trust; or</w:t>
      </w:r>
    </w:p>
    <w:p>
      <w:pPr>
        <w:spacing w:after="0" w:line="75" w:lineRule="exact"/>
        <w:rPr>
          <w:rFonts w:ascii="Arial" w:cs="Arial" w:eastAsia="Arial" w:hAnsi="Arial"/>
          <w:sz w:val="13"/>
          <w:szCs w:val="13"/>
          <w:color w:val="auto"/>
        </w:rPr>
      </w:pPr>
    </w:p>
    <w:p>
      <w:pPr>
        <w:ind w:left="1500" w:hanging="512"/>
        <w:spacing w:after="0"/>
        <w:tabs>
          <w:tab w:leader="none" w:pos="1500" w:val="left"/>
        </w:tabs>
        <w:numPr>
          <w:ilvl w:val="0"/>
          <w:numId w:val="375"/>
        </w:numPr>
        <w:rPr>
          <w:rFonts w:ascii="Arial" w:cs="Arial" w:eastAsia="Arial" w:hAnsi="Arial"/>
          <w:sz w:val="13"/>
          <w:szCs w:val="13"/>
          <w:color w:val="auto"/>
        </w:rPr>
      </w:pPr>
      <w:r>
        <w:rPr>
          <w:rFonts w:ascii="Arial" w:cs="Arial" w:eastAsia="Arial" w:hAnsi="Arial"/>
          <w:sz w:val="13"/>
          <w:szCs w:val="13"/>
          <w:color w:val="auto"/>
        </w:rPr>
        <w:t>non-compliance by the Trustee with its obligations as trustee under the Trust Deed which has a Material Adverse Effect.</w:t>
      </w:r>
    </w:p>
    <w:p>
      <w:pPr>
        <w:spacing w:after="0" w:line="74" w:lineRule="exact"/>
        <w:rPr>
          <w:sz w:val="20"/>
          <w:szCs w:val="20"/>
          <w:color w:val="auto"/>
        </w:rPr>
      </w:pPr>
    </w:p>
    <w:p>
      <w:pPr>
        <w:ind w:left="140"/>
        <w:spacing w:after="0"/>
        <w:tabs>
          <w:tab w:leader="none" w:pos="1620" w:val="left"/>
        </w:tabs>
        <w:rPr>
          <w:sz w:val="20"/>
          <w:szCs w:val="20"/>
          <w:color w:val="auto"/>
        </w:rPr>
      </w:pPr>
      <w:r>
        <w:rPr>
          <w:rFonts w:ascii="Arial" w:cs="Arial" w:eastAsia="Arial" w:hAnsi="Arial"/>
          <w:sz w:val="14"/>
          <w:szCs w:val="14"/>
          <w:b w:val="1"/>
          <w:bCs w:val="1"/>
          <w:color w:val="auto"/>
        </w:rPr>
        <w:t>10.2</w:t>
      </w:r>
      <w:r>
        <w:rPr>
          <w:sz w:val="20"/>
          <w:szCs w:val="20"/>
          <w:color w:val="auto"/>
        </w:rPr>
        <w:tab/>
      </w:r>
      <w:r>
        <w:rPr>
          <w:rFonts w:ascii="Arial" w:cs="Arial" w:eastAsia="Arial" w:hAnsi="Arial"/>
          <w:sz w:val="14"/>
          <w:szCs w:val="14"/>
          <w:b w:val="1"/>
          <w:bCs w:val="1"/>
          <w:color w:val="auto"/>
        </w:rPr>
        <w:t>Effect of Event of Default</w:t>
      </w:r>
    </w:p>
    <w:p>
      <w:pPr>
        <w:spacing w:after="0" w:line="75" w:lineRule="exact"/>
        <w:rPr>
          <w:sz w:val="20"/>
          <w:szCs w:val="20"/>
          <w:color w:val="auto"/>
        </w:rPr>
      </w:pPr>
    </w:p>
    <w:p>
      <w:pPr>
        <w:ind w:left="1280" w:hanging="644"/>
        <w:spacing w:after="0"/>
        <w:tabs>
          <w:tab w:leader="none" w:pos="1280" w:val="left"/>
        </w:tabs>
        <w:numPr>
          <w:ilvl w:val="0"/>
          <w:numId w:val="376"/>
        </w:numPr>
        <w:rPr>
          <w:rFonts w:ascii="Arial" w:cs="Arial" w:eastAsia="Arial" w:hAnsi="Arial"/>
          <w:sz w:val="13"/>
          <w:szCs w:val="13"/>
          <w:color w:val="auto"/>
        </w:rPr>
      </w:pPr>
      <w:r>
        <w:rPr>
          <w:rFonts w:ascii="Arial" w:cs="Arial" w:eastAsia="Arial" w:hAnsi="Arial"/>
          <w:sz w:val="13"/>
          <w:szCs w:val="13"/>
          <w:color w:val="auto"/>
        </w:rPr>
        <w:t>If an Event of Default subsists the Bank may at any time by notice to the Borrower do any or all of the following:</w:t>
      </w:r>
    </w:p>
    <w:p>
      <w:pPr>
        <w:spacing w:after="0" w:line="50" w:lineRule="exact"/>
        <w:rPr>
          <w:rFonts w:ascii="Arial" w:cs="Arial" w:eastAsia="Arial" w:hAnsi="Arial"/>
          <w:sz w:val="13"/>
          <w:szCs w:val="13"/>
          <w:color w:val="auto"/>
        </w:rPr>
      </w:pPr>
    </w:p>
    <w:p>
      <w:pPr>
        <w:ind w:left="1820" w:hanging="832"/>
        <w:spacing w:after="0"/>
        <w:tabs>
          <w:tab w:leader="none" w:pos="1820" w:val="left"/>
        </w:tabs>
        <w:numPr>
          <w:ilvl w:val="1"/>
          <w:numId w:val="376"/>
        </w:numPr>
        <w:rPr>
          <w:rFonts w:ascii="Arial" w:cs="Arial" w:eastAsia="Arial" w:hAnsi="Arial"/>
          <w:sz w:val="13"/>
          <w:szCs w:val="13"/>
          <w:color w:val="auto"/>
        </w:rPr>
      </w:pPr>
      <w:r>
        <w:rPr>
          <w:rFonts w:ascii="Arial" w:cs="Arial" w:eastAsia="Arial" w:hAnsi="Arial"/>
          <w:sz w:val="13"/>
          <w:szCs w:val="13"/>
          <w:b w:val="1"/>
          <w:bCs w:val="1"/>
          <w:color w:val="auto"/>
        </w:rPr>
        <w:t xml:space="preserve">cancel Facility: </w:t>
      </w:r>
      <w:r>
        <w:rPr>
          <w:rFonts w:ascii="Arial" w:cs="Arial" w:eastAsia="Arial" w:hAnsi="Arial"/>
          <w:sz w:val="13"/>
          <w:szCs w:val="13"/>
          <w:color w:val="auto"/>
        </w:rPr>
        <w:t>cancel any or all of the Facilities or any part of a Facility, specified in the notice;</w:t>
      </w:r>
    </w:p>
    <w:p>
      <w:pPr>
        <w:spacing w:after="0" w:line="66" w:lineRule="exact"/>
        <w:rPr>
          <w:rFonts w:ascii="Arial" w:cs="Arial" w:eastAsia="Arial" w:hAnsi="Arial"/>
          <w:sz w:val="13"/>
          <w:szCs w:val="13"/>
          <w:color w:val="auto"/>
        </w:rPr>
      </w:pPr>
    </w:p>
    <w:p>
      <w:pPr>
        <w:ind w:left="1780" w:right="420" w:hanging="792"/>
        <w:spacing w:after="0" w:line="250" w:lineRule="auto"/>
        <w:tabs>
          <w:tab w:leader="none" w:pos="1780" w:val="left"/>
        </w:tabs>
        <w:numPr>
          <w:ilvl w:val="1"/>
          <w:numId w:val="376"/>
        </w:numPr>
        <w:rPr>
          <w:rFonts w:ascii="Arial" w:cs="Arial" w:eastAsia="Arial" w:hAnsi="Arial"/>
          <w:sz w:val="13"/>
          <w:szCs w:val="13"/>
          <w:color w:val="auto"/>
        </w:rPr>
      </w:pPr>
      <w:r>
        <w:rPr>
          <w:rFonts w:ascii="Arial" w:cs="Arial" w:eastAsia="Arial" w:hAnsi="Arial"/>
          <w:sz w:val="13"/>
          <w:szCs w:val="13"/>
          <w:b w:val="1"/>
          <w:bCs w:val="1"/>
          <w:color w:val="auto"/>
        </w:rPr>
        <w:t xml:space="preserve">accelerate: </w:t>
      </w:r>
      <w:r>
        <w:rPr>
          <w:rFonts w:ascii="Arial" w:cs="Arial" w:eastAsia="Arial" w:hAnsi="Arial"/>
          <w:sz w:val="13"/>
          <w:szCs w:val="13"/>
          <w:color w:val="auto"/>
        </w:rPr>
        <w:t>make so much of the Outstanding Accommodation which is not then immediately due and payable, any unpaid</w:t>
      </w:r>
      <w:r>
        <w:rPr>
          <w:rFonts w:ascii="Arial" w:cs="Arial" w:eastAsia="Arial" w:hAnsi="Arial"/>
          <w:sz w:val="13"/>
          <w:szCs w:val="13"/>
          <w:b w:val="1"/>
          <w:bCs w:val="1"/>
          <w:color w:val="auto"/>
        </w:rPr>
        <w:t xml:space="preserve"> </w:t>
      </w:r>
      <w:r>
        <w:rPr>
          <w:rFonts w:ascii="Arial" w:cs="Arial" w:eastAsia="Arial" w:hAnsi="Arial"/>
          <w:sz w:val="13"/>
          <w:szCs w:val="13"/>
          <w:color w:val="auto"/>
        </w:rPr>
        <w:t>accrued interest or fees and any other money owing by the Borrower to the Bank in relation to the Transaction Documents either:</w:t>
      </w:r>
    </w:p>
    <w:p>
      <w:pPr>
        <w:spacing w:after="0" w:line="53" w:lineRule="exact"/>
        <w:rPr>
          <w:rFonts w:ascii="Arial" w:cs="Arial" w:eastAsia="Arial" w:hAnsi="Arial"/>
          <w:sz w:val="13"/>
          <w:szCs w:val="13"/>
          <w:color w:val="auto"/>
        </w:rPr>
      </w:pPr>
    </w:p>
    <w:p>
      <w:pPr>
        <w:ind w:left="2280" w:hanging="959"/>
        <w:spacing w:after="0"/>
        <w:tabs>
          <w:tab w:leader="none" w:pos="2280" w:val="left"/>
        </w:tabs>
        <w:numPr>
          <w:ilvl w:val="2"/>
          <w:numId w:val="376"/>
        </w:numPr>
        <w:rPr>
          <w:rFonts w:ascii="Arial" w:cs="Arial" w:eastAsia="Arial" w:hAnsi="Arial"/>
          <w:sz w:val="13"/>
          <w:szCs w:val="13"/>
          <w:color w:val="auto"/>
        </w:rPr>
      </w:pPr>
      <w:r>
        <w:rPr>
          <w:rFonts w:ascii="Arial" w:cs="Arial" w:eastAsia="Arial" w:hAnsi="Arial"/>
          <w:sz w:val="13"/>
          <w:szCs w:val="13"/>
          <w:color w:val="auto"/>
        </w:rPr>
        <w:t>payable on demand; or</w:t>
      </w:r>
    </w:p>
    <w:p>
      <w:pPr>
        <w:spacing w:after="0" w:line="84" w:lineRule="exact"/>
        <w:rPr>
          <w:rFonts w:ascii="Arial" w:cs="Arial" w:eastAsia="Arial" w:hAnsi="Arial"/>
          <w:sz w:val="13"/>
          <w:szCs w:val="13"/>
          <w:color w:val="auto"/>
        </w:rPr>
      </w:pPr>
    </w:p>
    <w:p>
      <w:pPr>
        <w:ind w:left="2100" w:hanging="779"/>
        <w:spacing w:after="0"/>
        <w:tabs>
          <w:tab w:leader="none" w:pos="2100" w:val="left"/>
        </w:tabs>
        <w:numPr>
          <w:ilvl w:val="2"/>
          <w:numId w:val="376"/>
        </w:numPr>
        <w:rPr>
          <w:rFonts w:ascii="Arial" w:cs="Arial" w:eastAsia="Arial" w:hAnsi="Arial"/>
          <w:sz w:val="13"/>
          <w:szCs w:val="13"/>
          <w:color w:val="auto"/>
        </w:rPr>
      </w:pPr>
      <w:r>
        <w:rPr>
          <w:rFonts w:ascii="Arial" w:cs="Arial" w:eastAsia="Arial" w:hAnsi="Arial"/>
          <w:sz w:val="13"/>
          <w:szCs w:val="13"/>
          <w:color w:val="auto"/>
        </w:rPr>
        <w:t>immediately due for payment;</w:t>
      </w:r>
    </w:p>
    <w:p>
      <w:pPr>
        <w:spacing w:after="0" w:line="60" w:lineRule="exact"/>
        <w:rPr>
          <w:sz w:val="20"/>
          <w:szCs w:val="20"/>
          <w:color w:val="auto"/>
        </w:rPr>
      </w:pPr>
    </w:p>
    <w:p>
      <w:pPr>
        <w:ind w:left="980"/>
        <w:spacing w:after="0"/>
        <w:tabs>
          <w:tab w:leader="none" w:pos="3160" w:val="left"/>
        </w:tabs>
        <w:rPr>
          <w:sz w:val="20"/>
          <w:szCs w:val="20"/>
          <w:color w:val="auto"/>
        </w:rPr>
      </w:pPr>
      <w:r>
        <w:rPr>
          <w:rFonts w:ascii="Arial" w:cs="Arial" w:eastAsia="Arial" w:hAnsi="Arial"/>
          <w:sz w:val="13"/>
          <w:szCs w:val="13"/>
          <w:b w:val="1"/>
          <w:bCs w:val="1"/>
          <w:color w:val="auto"/>
        </w:rPr>
        <w:t>(iii)</w:t>
      </w:r>
      <w:r>
        <w:rPr>
          <w:sz w:val="20"/>
          <w:szCs w:val="20"/>
          <w:color w:val="auto"/>
        </w:rPr>
        <w:tab/>
      </w:r>
      <w:r>
        <w:rPr>
          <w:rFonts w:ascii="Arial" w:cs="Arial" w:eastAsia="Arial" w:hAnsi="Arial"/>
          <w:sz w:val="13"/>
          <w:szCs w:val="13"/>
          <w:b w:val="1"/>
          <w:bCs w:val="1"/>
          <w:color w:val="auto"/>
        </w:rPr>
        <w:t>Not used</w:t>
      </w:r>
    </w:p>
    <w:p>
      <w:pPr>
        <w:spacing w:after="0" w:line="85" w:lineRule="exact"/>
        <w:rPr>
          <w:sz w:val="20"/>
          <w:szCs w:val="20"/>
          <w:color w:val="auto"/>
        </w:rPr>
      </w:pPr>
    </w:p>
    <w:p>
      <w:pPr>
        <w:ind w:left="2280" w:hanging="1292"/>
        <w:spacing w:after="0"/>
        <w:tabs>
          <w:tab w:leader="none" w:pos="2280" w:val="left"/>
        </w:tabs>
        <w:numPr>
          <w:ilvl w:val="0"/>
          <w:numId w:val="377"/>
        </w:numPr>
        <w:rPr>
          <w:rFonts w:ascii="Arial" w:cs="Arial" w:eastAsia="Arial" w:hAnsi="Arial"/>
          <w:sz w:val="13"/>
          <w:szCs w:val="13"/>
          <w:b w:val="1"/>
          <w:bCs w:val="1"/>
          <w:color w:val="auto"/>
        </w:rPr>
      </w:pPr>
      <w:r>
        <w:rPr>
          <w:rFonts w:ascii="Arial" w:cs="Arial" w:eastAsia="Arial" w:hAnsi="Arial"/>
          <w:sz w:val="13"/>
          <w:szCs w:val="13"/>
          <w:b w:val="1"/>
          <w:bCs w:val="1"/>
          <w:color w:val="auto"/>
        </w:rPr>
        <w:t>Bank Guarantees:</w:t>
      </w:r>
    </w:p>
    <w:p>
      <w:pPr>
        <w:spacing w:after="0" w:line="92" w:lineRule="exact"/>
        <w:rPr>
          <w:sz w:val="20"/>
          <w:szCs w:val="20"/>
          <w:color w:val="auto"/>
        </w:rPr>
      </w:pPr>
    </w:p>
    <w:p>
      <w:pPr>
        <w:jc w:val="both"/>
        <w:ind w:left="1720" w:right="20" w:hanging="399"/>
        <w:spacing w:after="0" w:line="231" w:lineRule="auto"/>
        <w:tabs>
          <w:tab w:leader="none" w:pos="1720" w:val="left"/>
        </w:tabs>
        <w:numPr>
          <w:ilvl w:val="0"/>
          <w:numId w:val="378"/>
        </w:numPr>
        <w:rPr>
          <w:rFonts w:ascii="Arial" w:cs="Arial" w:eastAsia="Arial" w:hAnsi="Arial"/>
          <w:sz w:val="13"/>
          <w:szCs w:val="13"/>
          <w:color w:val="auto"/>
        </w:rPr>
      </w:pPr>
      <w:r>
        <w:rPr>
          <w:rFonts w:ascii="Arial" w:cs="Arial" w:eastAsia="Arial" w:hAnsi="Arial"/>
          <w:sz w:val="13"/>
          <w:szCs w:val="13"/>
          <w:color w:val="auto"/>
        </w:rPr>
        <w:t>by notice to the Borrower require the Borrower to pay immediately to the Bank the aggregate of the Face Values for all Current Bank Guarantees as at the date of the notice, together with any unpaid accrued interest or fees and any other money (including all</w:t>
      </w:r>
    </w:p>
    <w:p>
      <w:pPr>
        <w:jc w:val="center"/>
        <w:ind w:right="-139"/>
        <w:spacing w:after="0"/>
        <w:tabs>
          <w:tab w:leader="none" w:pos="80" w:val="left"/>
          <w:tab w:leader="none" w:pos="100" w:val="left"/>
          <w:tab w:leader="none" w:pos="100" w:val="left"/>
          <w:tab w:leader="none" w:pos="100" w:val="left"/>
          <w:tab w:leader="none" w:pos="100" w:val="left"/>
          <w:tab w:leader="none" w:pos="80" w:val="left"/>
        </w:tabs>
        <w:rPr>
          <w:sz w:val="20"/>
          <w:szCs w:val="20"/>
          <w:color w:val="auto"/>
        </w:rPr>
      </w:pPr>
      <w:r>
        <w:rPr>
          <w:rFonts w:ascii="Arial" w:cs="Arial" w:eastAsia="Arial" w:hAnsi="Arial"/>
          <w:sz w:val="13"/>
          <w:szCs w:val="13"/>
          <w:color w:val="auto"/>
        </w:rPr>
        <w:t>Indemnity Amounts) owing by the Borrower to the</w:t>
        <w:tab/>
        <w:t>Bank</w:t>
        <w:tab/>
        <w:t>in</w:t>
        <w:tab/>
        <w:t>relation</w:t>
        <w:tab/>
        <w:t>to</w:t>
        <w:tab/>
        <w:t>the</w:t>
        <w:tab/>
        <w:t>Transaction Documents;</w:t>
      </w:r>
    </w:p>
    <w:p>
      <w:pPr>
        <w:spacing w:after="0" w:line="67" w:lineRule="exact"/>
        <w:rPr>
          <w:sz w:val="20"/>
          <w:szCs w:val="20"/>
          <w:color w:val="auto"/>
        </w:rPr>
      </w:pPr>
    </w:p>
    <w:p>
      <w:pPr>
        <w:jc w:val="both"/>
        <w:ind w:left="1720" w:hanging="399"/>
        <w:spacing w:after="0" w:line="238" w:lineRule="auto"/>
        <w:tabs>
          <w:tab w:leader="none" w:pos="1720" w:val="left"/>
        </w:tabs>
        <w:numPr>
          <w:ilvl w:val="1"/>
          <w:numId w:val="379"/>
        </w:numPr>
        <w:rPr>
          <w:rFonts w:ascii="Arial" w:cs="Arial" w:eastAsia="Arial" w:hAnsi="Arial"/>
          <w:sz w:val="13"/>
          <w:szCs w:val="13"/>
          <w:color w:val="auto"/>
        </w:rPr>
      </w:pPr>
      <w:r>
        <w:rPr>
          <w:rFonts w:ascii="Arial" w:cs="Arial" w:eastAsia="Arial" w:hAnsi="Arial"/>
          <w:sz w:val="13"/>
          <w:szCs w:val="13"/>
          <w:color w:val="auto"/>
        </w:rPr>
        <w:t>pay the Beneficiaries of any one or more of the Current Bank Guarantees the amount agreed between the Bank and the relevant Beneficiary sufficient to obtain from the Beneficiary an unconditional release of the Bank’s obligations under the relevant Bank Guarantee on terms satisfactory to the Bank (acting reasonably).</w:t>
      </w:r>
    </w:p>
    <w:p>
      <w:pPr>
        <w:spacing w:after="0" w:line="43" w:lineRule="exact"/>
        <w:rPr>
          <w:rFonts w:ascii="Arial" w:cs="Arial" w:eastAsia="Arial" w:hAnsi="Arial"/>
          <w:sz w:val="13"/>
          <w:szCs w:val="13"/>
          <w:color w:val="auto"/>
        </w:rPr>
      </w:pPr>
    </w:p>
    <w:p>
      <w:pPr>
        <w:ind w:left="1520" w:right="160" w:hanging="532"/>
        <w:spacing w:after="0" w:line="238" w:lineRule="auto"/>
        <w:tabs>
          <w:tab w:leader="none" w:pos="1520" w:val="left"/>
        </w:tabs>
        <w:numPr>
          <w:ilvl w:val="0"/>
          <w:numId w:val="380"/>
        </w:numPr>
        <w:rPr>
          <w:rFonts w:ascii="Arial" w:cs="Arial" w:eastAsia="Arial" w:hAnsi="Arial"/>
          <w:sz w:val="13"/>
          <w:szCs w:val="13"/>
          <w:color w:val="auto"/>
        </w:rPr>
      </w:pPr>
      <w:r>
        <w:rPr>
          <w:rFonts w:ascii="Arial" w:cs="Arial" w:eastAsia="Arial" w:hAnsi="Arial"/>
          <w:sz w:val="13"/>
          <w:szCs w:val="13"/>
          <w:b w:val="1"/>
          <w:bCs w:val="1"/>
          <w:color w:val="auto"/>
        </w:rPr>
        <w:t xml:space="preserve">engage consultants: </w:t>
      </w:r>
      <w:r>
        <w:rPr>
          <w:rFonts w:ascii="Arial" w:cs="Arial" w:eastAsia="Arial" w:hAnsi="Arial"/>
          <w:sz w:val="13"/>
          <w:szCs w:val="13"/>
          <w:color w:val="auto"/>
        </w:rPr>
        <w:t>at the cost of the Borrower, appoint (or require the Borrower to appoint) such accountancy, financial</w:t>
      </w:r>
      <w:r>
        <w:rPr>
          <w:rFonts w:ascii="Arial" w:cs="Arial" w:eastAsia="Arial" w:hAnsi="Arial"/>
          <w:sz w:val="13"/>
          <w:szCs w:val="13"/>
          <w:b w:val="1"/>
          <w:bCs w:val="1"/>
          <w:color w:val="auto"/>
        </w:rPr>
        <w:t xml:space="preserve"> </w:t>
      </w:r>
      <w:r>
        <w:rPr>
          <w:rFonts w:ascii="Arial" w:cs="Arial" w:eastAsia="Arial" w:hAnsi="Arial"/>
          <w:sz w:val="13"/>
          <w:szCs w:val="13"/>
          <w:color w:val="auto"/>
        </w:rPr>
        <w:t>management and other consultants as the Bank may nominate to investigate the business affairs and financial condition of any Transaction Party and whether each Transaction Party has complied with each Transaction Document to which it is a party and to make recommendations relating to the manner in which the Transaction Party carries on its business. Each Transaction Party agrees to provide all assistance and information required by the consultants (including making all financial records available and giving access to all premises and records) to enable the consultants to conduct their examination promptly, completely and accurately. No Transaction Party is obliged to accept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163830</wp:posOffset>
            </wp:positionV>
            <wp:extent cx="6208395"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208395" cy="42545"/>
                    </a:xfrm>
                    <a:prstGeom prst="rect">
                      <a:avLst/>
                    </a:prstGeom>
                    <a:noFill/>
                  </pic:spPr>
                </pic:pic>
              </a:graphicData>
            </a:graphic>
          </wp:anchor>
        </w:drawing>
      </w:r>
    </w:p>
    <w:p>
      <w:pPr>
        <w:sectPr>
          <w:pgSz w:w="11900" w:h="16838" w:orient="portrait"/>
          <w:cols w:equalWidth="0" w:num="1">
            <w:col w:w="9420"/>
          </w:cols>
          <w:pgMar w:left="1440" w:top="560" w:right="1039" w:bottom="1440" w:gutter="0" w:footer="0" w:header="0"/>
        </w:sectPr>
      </w:pPr>
    </w:p>
    <w:bookmarkStart w:id="268" w:name="page269"/>
    <w:bookmarkEnd w:id="268"/>
    <w:p>
      <w:pPr>
        <w:ind w:left="1320" w:right="160"/>
        <w:spacing w:after="0" w:line="244" w:lineRule="auto"/>
        <w:rPr>
          <w:sz w:val="20"/>
          <w:szCs w:val="20"/>
          <w:color w:val="auto"/>
        </w:rPr>
      </w:pPr>
      <w:r>
        <w:rPr>
          <w:rFonts w:ascii="Arial" w:cs="Arial" w:eastAsia="Arial" w:hAnsi="Arial"/>
          <w:sz w:val="13"/>
          <w:szCs w:val="13"/>
          <w:color w:val="auto"/>
        </w:rPr>
        <w:t>recommendations of any consultant, and the Bank will assume no liability with respect to any actions a Transaction Party takes, or does not take, as a result of those recommendations; or</w:t>
      </w:r>
    </w:p>
    <w:p>
      <w:pPr>
        <w:spacing w:after="0" w:line="28" w:lineRule="exact"/>
        <w:rPr>
          <w:sz w:val="20"/>
          <w:szCs w:val="20"/>
          <w:color w:val="auto"/>
        </w:rPr>
      </w:pPr>
    </w:p>
    <w:p>
      <w:pPr>
        <w:ind w:left="1520" w:right="220" w:hanging="532"/>
        <w:spacing w:after="0" w:line="236" w:lineRule="auto"/>
        <w:tabs>
          <w:tab w:leader="none" w:pos="1520" w:val="left"/>
        </w:tabs>
        <w:numPr>
          <w:ilvl w:val="0"/>
          <w:numId w:val="381"/>
        </w:numPr>
        <w:rPr>
          <w:rFonts w:ascii="Arial" w:cs="Arial" w:eastAsia="Arial" w:hAnsi="Arial"/>
          <w:sz w:val="13"/>
          <w:szCs w:val="13"/>
          <w:color w:val="auto"/>
        </w:rPr>
      </w:pPr>
      <w:r>
        <w:rPr>
          <w:rFonts w:ascii="Arial" w:cs="Arial" w:eastAsia="Arial" w:hAnsi="Arial"/>
          <w:sz w:val="13"/>
          <w:szCs w:val="13"/>
          <w:b w:val="1"/>
          <w:bCs w:val="1"/>
          <w:color w:val="auto"/>
        </w:rPr>
        <w:t>treasury related transactions</w:t>
      </w:r>
      <w:r>
        <w:rPr>
          <w:rFonts w:ascii="Arial" w:cs="Arial" w:eastAsia="Arial" w:hAnsi="Arial"/>
          <w:sz w:val="13"/>
          <w:szCs w:val="13"/>
          <w:color w:val="auto"/>
        </w:rPr>
        <w:t>: if there are any Hedging Transactions or treasury related transactions in existence between the Bank and</w:t>
      </w:r>
      <w:r>
        <w:rPr>
          <w:rFonts w:ascii="Arial" w:cs="Arial" w:eastAsia="Arial" w:hAnsi="Arial"/>
          <w:sz w:val="13"/>
          <w:szCs w:val="13"/>
          <w:b w:val="1"/>
          <w:bCs w:val="1"/>
          <w:color w:val="auto"/>
        </w:rPr>
        <w:t xml:space="preserve"> </w:t>
      </w:r>
      <w:r>
        <w:rPr>
          <w:rFonts w:ascii="Arial" w:cs="Arial" w:eastAsia="Arial" w:hAnsi="Arial"/>
          <w:sz w:val="13"/>
          <w:szCs w:val="13"/>
          <w:color w:val="auto"/>
        </w:rPr>
        <w:t>the Borrower (</w:t>
      </w:r>
      <w:r>
        <w:rPr>
          <w:rFonts w:ascii="Arial" w:cs="Arial" w:eastAsia="Arial" w:hAnsi="Arial"/>
          <w:sz w:val="13"/>
          <w:szCs w:val="13"/>
          <w:b w:val="1"/>
          <w:bCs w:val="1"/>
          <w:color w:val="auto"/>
        </w:rPr>
        <w:t>Open Positions</w:t>
      </w:r>
      <w:r>
        <w:rPr>
          <w:rFonts w:ascii="Arial" w:cs="Arial" w:eastAsia="Arial" w:hAnsi="Arial"/>
          <w:sz w:val="13"/>
          <w:szCs w:val="13"/>
          <w:color w:val="auto"/>
        </w:rPr>
        <w:t>) then:</w:t>
      </w:r>
    </w:p>
    <w:p>
      <w:pPr>
        <w:spacing w:after="0" w:line="53" w:lineRule="exact"/>
        <w:rPr>
          <w:sz w:val="20"/>
          <w:szCs w:val="20"/>
          <w:color w:val="auto"/>
        </w:rPr>
      </w:pPr>
    </w:p>
    <w:p>
      <w:pPr>
        <w:ind w:left="1720" w:hanging="399"/>
        <w:spacing w:after="0"/>
        <w:tabs>
          <w:tab w:leader="none" w:pos="1720" w:val="left"/>
        </w:tabs>
        <w:numPr>
          <w:ilvl w:val="0"/>
          <w:numId w:val="382"/>
        </w:numPr>
        <w:rPr>
          <w:rFonts w:ascii="Arial" w:cs="Arial" w:eastAsia="Arial" w:hAnsi="Arial"/>
          <w:sz w:val="13"/>
          <w:szCs w:val="13"/>
          <w:color w:val="auto"/>
        </w:rPr>
      </w:pPr>
      <w:r>
        <w:rPr>
          <w:rFonts w:ascii="Arial" w:cs="Arial" w:eastAsia="Arial" w:hAnsi="Arial"/>
          <w:sz w:val="13"/>
          <w:szCs w:val="13"/>
          <w:color w:val="auto"/>
        </w:rPr>
        <w:t>the Bank may close out the Open Positions, by entering into opposite positions for the balance of the unexpired term, or by  such</w:t>
      </w:r>
    </w:p>
    <w:p>
      <w:pPr>
        <w:ind w:left="1720"/>
        <w:spacing w:after="0"/>
        <w:rPr>
          <w:sz w:val="20"/>
          <w:szCs w:val="20"/>
          <w:color w:val="auto"/>
        </w:rPr>
      </w:pPr>
      <w:r>
        <w:rPr>
          <w:rFonts w:ascii="Arial" w:cs="Arial" w:eastAsia="Arial" w:hAnsi="Arial"/>
          <w:sz w:val="13"/>
          <w:szCs w:val="13"/>
          <w:color w:val="auto"/>
        </w:rPr>
        <w:t>other means as may be usual in the relevant market.  Any such close out must be at market rates prevailing at the time;</w:t>
      </w:r>
    </w:p>
    <w:p>
      <w:pPr>
        <w:spacing w:after="0" w:line="58" w:lineRule="exact"/>
        <w:rPr>
          <w:sz w:val="20"/>
          <w:szCs w:val="20"/>
          <w:color w:val="auto"/>
        </w:rPr>
      </w:pPr>
    </w:p>
    <w:p>
      <w:pPr>
        <w:ind w:left="1720" w:hanging="399"/>
        <w:spacing w:after="0" w:line="244" w:lineRule="auto"/>
        <w:tabs>
          <w:tab w:leader="none" w:pos="1720" w:val="left"/>
        </w:tabs>
        <w:numPr>
          <w:ilvl w:val="1"/>
          <w:numId w:val="383"/>
        </w:numPr>
        <w:rPr>
          <w:rFonts w:ascii="Arial" w:cs="Arial" w:eastAsia="Arial" w:hAnsi="Arial"/>
          <w:sz w:val="13"/>
          <w:szCs w:val="13"/>
          <w:color w:val="auto"/>
        </w:rPr>
      </w:pPr>
      <w:r>
        <w:rPr>
          <w:rFonts w:ascii="Arial" w:cs="Arial" w:eastAsia="Arial" w:hAnsi="Arial"/>
          <w:sz w:val="13"/>
          <w:szCs w:val="13"/>
          <w:color w:val="auto"/>
        </w:rPr>
        <w:t>any costs incurred by the Bank in closing out Open Positions must be paid by the Borrower to the Bank immediately upon demand by the Bank;</w:t>
      </w:r>
    </w:p>
    <w:p>
      <w:pPr>
        <w:spacing w:after="0" w:line="56" w:lineRule="exact"/>
        <w:rPr>
          <w:rFonts w:ascii="Arial" w:cs="Arial" w:eastAsia="Arial" w:hAnsi="Arial"/>
          <w:sz w:val="13"/>
          <w:szCs w:val="13"/>
          <w:color w:val="auto"/>
        </w:rPr>
      </w:pPr>
    </w:p>
    <w:p>
      <w:pPr>
        <w:ind w:left="1740" w:hanging="419"/>
        <w:spacing w:after="0" w:line="244" w:lineRule="auto"/>
        <w:tabs>
          <w:tab w:leader="none" w:pos="1740" w:val="left"/>
        </w:tabs>
        <w:numPr>
          <w:ilvl w:val="1"/>
          <w:numId w:val="383"/>
        </w:numPr>
        <w:rPr>
          <w:rFonts w:ascii="Arial" w:cs="Arial" w:eastAsia="Arial" w:hAnsi="Arial"/>
          <w:sz w:val="13"/>
          <w:szCs w:val="13"/>
          <w:color w:val="auto"/>
        </w:rPr>
      </w:pPr>
      <w:r>
        <w:rPr>
          <w:rFonts w:ascii="Arial" w:cs="Arial" w:eastAsia="Arial" w:hAnsi="Arial"/>
          <w:sz w:val="13"/>
          <w:szCs w:val="13"/>
          <w:color w:val="auto"/>
        </w:rPr>
        <w:t>any gain derived from the closing out of the Open Positions will be credited to the Borrower and set off against the Amount Owing; and</w:t>
      </w:r>
    </w:p>
    <w:p>
      <w:pPr>
        <w:spacing w:after="0" w:line="56" w:lineRule="exact"/>
        <w:rPr>
          <w:rFonts w:ascii="Arial" w:cs="Arial" w:eastAsia="Arial" w:hAnsi="Arial"/>
          <w:sz w:val="13"/>
          <w:szCs w:val="13"/>
          <w:color w:val="auto"/>
        </w:rPr>
      </w:pPr>
    </w:p>
    <w:p>
      <w:pPr>
        <w:ind w:left="1740" w:hanging="419"/>
        <w:spacing w:after="0" w:line="244" w:lineRule="auto"/>
        <w:tabs>
          <w:tab w:leader="none" w:pos="1740" w:val="left"/>
        </w:tabs>
        <w:numPr>
          <w:ilvl w:val="1"/>
          <w:numId w:val="383"/>
        </w:numPr>
        <w:rPr>
          <w:rFonts w:ascii="Arial" w:cs="Arial" w:eastAsia="Arial" w:hAnsi="Arial"/>
          <w:sz w:val="13"/>
          <w:szCs w:val="13"/>
          <w:color w:val="auto"/>
        </w:rPr>
      </w:pPr>
      <w:r>
        <w:rPr>
          <w:rFonts w:ascii="Arial" w:cs="Arial" w:eastAsia="Arial" w:hAnsi="Arial"/>
          <w:sz w:val="13"/>
          <w:szCs w:val="13"/>
          <w:color w:val="auto"/>
        </w:rPr>
        <w:t>the Bank will give the Borrower reasonable particulars of the manner of close out of the Open Positions and the basis of calculation of any amounts payable by or to the relevant Borrower arising from that close out.</w:t>
      </w:r>
    </w:p>
    <w:p>
      <w:pPr>
        <w:spacing w:after="0" w:line="36" w:lineRule="exact"/>
        <w:rPr>
          <w:rFonts w:ascii="Arial" w:cs="Arial" w:eastAsia="Arial" w:hAnsi="Arial"/>
          <w:sz w:val="13"/>
          <w:szCs w:val="13"/>
          <w:color w:val="auto"/>
        </w:rPr>
      </w:pPr>
    </w:p>
    <w:p>
      <w:pPr>
        <w:ind w:left="1360" w:right="260" w:hanging="724"/>
        <w:spacing w:after="0" w:line="236" w:lineRule="auto"/>
        <w:tabs>
          <w:tab w:leader="none" w:pos="1360" w:val="left"/>
        </w:tabs>
        <w:numPr>
          <w:ilvl w:val="0"/>
          <w:numId w:val="384"/>
        </w:numPr>
        <w:rPr>
          <w:rFonts w:ascii="Arial" w:cs="Arial" w:eastAsia="Arial" w:hAnsi="Arial"/>
          <w:sz w:val="13"/>
          <w:szCs w:val="13"/>
          <w:color w:val="auto"/>
        </w:rPr>
      </w:pPr>
      <w:r>
        <w:rPr>
          <w:rFonts w:ascii="Arial" w:cs="Arial" w:eastAsia="Arial" w:hAnsi="Arial"/>
          <w:sz w:val="13"/>
          <w:szCs w:val="13"/>
          <w:color w:val="auto"/>
        </w:rPr>
        <w:t xml:space="preserve">On receipt of a notice under </w:t>
      </w:r>
      <w:r>
        <w:rPr>
          <w:rFonts w:ascii="Arial" w:cs="Arial" w:eastAsia="Arial" w:hAnsi="Arial"/>
          <w:sz w:val="13"/>
          <w:szCs w:val="13"/>
          <w:b w:val="1"/>
          <w:bCs w:val="1"/>
          <w:color w:val="auto"/>
        </w:rPr>
        <w:t>clause 10.2(a)(ii)(A) or 10.2(a)(ii)(B)</w:t>
      </w:r>
      <w:r>
        <w:rPr>
          <w:rFonts w:ascii="Arial" w:cs="Arial" w:eastAsia="Arial" w:hAnsi="Arial"/>
          <w:sz w:val="13"/>
          <w:szCs w:val="13"/>
          <w:color w:val="auto"/>
        </w:rPr>
        <w:t>, the Borrower must immediately pay in full the amounts referred to in that notice.</w:t>
      </w:r>
    </w:p>
    <w:p>
      <w:pPr>
        <w:spacing w:after="0" w:line="57" w:lineRule="exact"/>
        <w:rPr>
          <w:sz w:val="20"/>
          <w:szCs w:val="20"/>
          <w:color w:val="auto"/>
        </w:rPr>
      </w:pPr>
    </w:p>
    <w:p>
      <w:pPr>
        <w:ind w:left="140"/>
        <w:spacing w:after="0"/>
        <w:tabs>
          <w:tab w:leader="none" w:pos="1040" w:val="left"/>
        </w:tabs>
        <w:rPr>
          <w:sz w:val="20"/>
          <w:szCs w:val="20"/>
          <w:color w:val="auto"/>
        </w:rPr>
      </w:pPr>
      <w:r>
        <w:rPr>
          <w:rFonts w:ascii="Arial" w:cs="Arial" w:eastAsia="Arial" w:hAnsi="Arial"/>
          <w:sz w:val="14"/>
          <w:szCs w:val="14"/>
          <w:b w:val="1"/>
          <w:bCs w:val="1"/>
          <w:color w:val="auto"/>
        </w:rPr>
        <w:t>10.3</w:t>
      </w:r>
      <w:r>
        <w:rPr>
          <w:sz w:val="20"/>
          <w:szCs w:val="20"/>
          <w:color w:val="auto"/>
        </w:rPr>
        <w:tab/>
      </w:r>
      <w:r>
        <w:rPr>
          <w:rFonts w:ascii="Arial" w:cs="Arial" w:eastAsia="Arial" w:hAnsi="Arial"/>
          <w:sz w:val="14"/>
          <w:szCs w:val="14"/>
          <w:b w:val="1"/>
          <w:bCs w:val="1"/>
          <w:color w:val="auto"/>
        </w:rPr>
        <w:t>Cash Cover Account regarding Bank Guarantees</w:t>
      </w:r>
    </w:p>
    <w:p>
      <w:pPr>
        <w:spacing w:after="0" w:line="59" w:lineRule="exact"/>
        <w:rPr>
          <w:sz w:val="20"/>
          <w:szCs w:val="20"/>
          <w:color w:val="auto"/>
        </w:rPr>
      </w:pPr>
    </w:p>
    <w:p>
      <w:pPr>
        <w:ind w:left="1140" w:right="340" w:hanging="504"/>
        <w:spacing w:after="0" w:line="269" w:lineRule="auto"/>
        <w:tabs>
          <w:tab w:leader="none" w:pos="1140" w:val="left"/>
        </w:tabs>
        <w:numPr>
          <w:ilvl w:val="0"/>
          <w:numId w:val="385"/>
        </w:numPr>
        <w:rPr>
          <w:rFonts w:ascii="Arial" w:cs="Arial" w:eastAsia="Arial" w:hAnsi="Arial"/>
          <w:sz w:val="13"/>
          <w:szCs w:val="13"/>
          <w:color w:val="auto"/>
        </w:rPr>
      </w:pPr>
      <w:r>
        <w:rPr>
          <w:rFonts w:ascii="Arial" w:cs="Arial" w:eastAsia="Arial" w:hAnsi="Arial"/>
          <w:sz w:val="13"/>
          <w:szCs w:val="13"/>
          <w:color w:val="auto"/>
        </w:rPr>
        <w:t xml:space="preserve">The Bank must credit so much of the money paid by the Borrower under </w:t>
      </w:r>
      <w:r>
        <w:rPr>
          <w:rFonts w:ascii="Arial" w:cs="Arial" w:eastAsia="Arial" w:hAnsi="Arial"/>
          <w:sz w:val="13"/>
          <w:szCs w:val="13"/>
          <w:b w:val="1"/>
          <w:bCs w:val="1"/>
          <w:color w:val="auto"/>
        </w:rPr>
        <w:t>clause 10.2(a)(iv)(A)</w:t>
      </w:r>
      <w:r>
        <w:rPr>
          <w:rFonts w:ascii="Arial" w:cs="Arial" w:eastAsia="Arial" w:hAnsi="Arial"/>
          <w:sz w:val="13"/>
          <w:szCs w:val="13"/>
          <w:color w:val="auto"/>
        </w:rPr>
        <w:t xml:space="preserve"> which the Bank appropriates towards the Face Values of Current Bank Guarantees to an account maintained by the Bank for this purpose (</w:t>
      </w:r>
      <w:r>
        <w:rPr>
          <w:rFonts w:ascii="Arial" w:cs="Arial" w:eastAsia="Arial" w:hAnsi="Arial"/>
          <w:sz w:val="13"/>
          <w:szCs w:val="13"/>
          <w:b w:val="1"/>
          <w:bCs w:val="1"/>
          <w:color w:val="auto"/>
        </w:rPr>
        <w:t>Cash Cover Account</w:t>
      </w:r>
      <w:r>
        <w:rPr>
          <w:rFonts w:ascii="Arial" w:cs="Arial" w:eastAsia="Arial" w:hAnsi="Arial"/>
          <w:sz w:val="13"/>
          <w:szCs w:val="13"/>
          <w:color w:val="auto"/>
        </w:rPr>
        <w:t>).</w:t>
      </w:r>
    </w:p>
    <w:p>
      <w:pPr>
        <w:spacing w:after="0" w:line="32" w:lineRule="exact"/>
        <w:rPr>
          <w:rFonts w:ascii="Arial" w:cs="Arial" w:eastAsia="Arial" w:hAnsi="Arial"/>
          <w:sz w:val="13"/>
          <w:szCs w:val="13"/>
          <w:color w:val="auto"/>
        </w:rPr>
      </w:pPr>
    </w:p>
    <w:p>
      <w:pPr>
        <w:ind w:left="1080" w:hanging="444"/>
        <w:spacing w:after="0"/>
        <w:tabs>
          <w:tab w:leader="none" w:pos="1080" w:val="left"/>
        </w:tabs>
        <w:numPr>
          <w:ilvl w:val="0"/>
          <w:numId w:val="385"/>
        </w:numPr>
        <w:rPr>
          <w:rFonts w:ascii="Arial" w:cs="Arial" w:eastAsia="Arial" w:hAnsi="Arial"/>
          <w:sz w:val="13"/>
          <w:szCs w:val="13"/>
          <w:color w:val="auto"/>
        </w:rPr>
      </w:pPr>
      <w:r>
        <w:rPr>
          <w:rFonts w:ascii="Arial" w:cs="Arial" w:eastAsia="Arial" w:hAnsi="Arial"/>
          <w:sz w:val="13"/>
          <w:szCs w:val="13"/>
          <w:color w:val="auto"/>
        </w:rPr>
        <w:t>The following provisions apply to the Cash Cover Account:</w:t>
      </w:r>
    </w:p>
    <w:p>
      <w:pPr>
        <w:spacing w:after="0" w:line="84" w:lineRule="exact"/>
        <w:rPr>
          <w:rFonts w:ascii="Arial" w:cs="Arial" w:eastAsia="Arial" w:hAnsi="Arial"/>
          <w:sz w:val="13"/>
          <w:szCs w:val="13"/>
          <w:color w:val="auto"/>
        </w:rPr>
      </w:pPr>
    </w:p>
    <w:p>
      <w:pPr>
        <w:ind w:left="1420" w:hanging="432"/>
        <w:spacing w:after="0"/>
        <w:tabs>
          <w:tab w:leader="none" w:pos="1420" w:val="left"/>
        </w:tabs>
        <w:numPr>
          <w:ilvl w:val="1"/>
          <w:numId w:val="385"/>
        </w:numPr>
        <w:rPr>
          <w:rFonts w:ascii="Arial" w:cs="Arial" w:eastAsia="Arial" w:hAnsi="Arial"/>
          <w:sz w:val="13"/>
          <w:szCs w:val="13"/>
          <w:color w:val="auto"/>
        </w:rPr>
      </w:pPr>
      <w:r>
        <w:rPr>
          <w:rFonts w:ascii="Arial" w:cs="Arial" w:eastAsia="Arial" w:hAnsi="Arial"/>
          <w:sz w:val="13"/>
          <w:szCs w:val="13"/>
          <w:color w:val="auto"/>
        </w:rPr>
        <w:t>the account will be in the name of the Borrower;</w:t>
      </w:r>
    </w:p>
    <w:p>
      <w:pPr>
        <w:spacing w:after="0" w:line="84" w:lineRule="exact"/>
        <w:rPr>
          <w:rFonts w:ascii="Arial" w:cs="Arial" w:eastAsia="Arial" w:hAnsi="Arial"/>
          <w:sz w:val="13"/>
          <w:szCs w:val="13"/>
          <w:color w:val="auto"/>
        </w:rPr>
      </w:pPr>
    </w:p>
    <w:p>
      <w:pPr>
        <w:ind w:left="1420" w:right="20" w:hanging="432"/>
        <w:spacing w:after="0" w:line="238" w:lineRule="auto"/>
        <w:tabs>
          <w:tab w:leader="none" w:pos="1420" w:val="left"/>
        </w:tabs>
        <w:numPr>
          <w:ilvl w:val="1"/>
          <w:numId w:val="385"/>
        </w:numPr>
        <w:rPr>
          <w:rFonts w:ascii="Arial" w:cs="Arial" w:eastAsia="Arial" w:hAnsi="Arial"/>
          <w:sz w:val="13"/>
          <w:szCs w:val="13"/>
          <w:color w:val="auto"/>
        </w:rPr>
      </w:pPr>
      <w:r>
        <w:rPr>
          <w:rFonts w:ascii="Arial" w:cs="Arial" w:eastAsia="Arial" w:hAnsi="Arial"/>
          <w:sz w:val="13"/>
          <w:szCs w:val="13"/>
          <w:color w:val="auto"/>
        </w:rPr>
        <w:t>despite the Cash Cover Account being in the name of the Borrower, until the Release Date the money held in the account is not owed by the Bank to the Borrower and the Borrower is not entitled to withdraw or be paid any of that money (including interest credited to the account);</w:t>
      </w:r>
    </w:p>
    <w:p>
      <w:pPr>
        <w:spacing w:after="0" w:line="59" w:lineRule="exact"/>
        <w:rPr>
          <w:rFonts w:ascii="Arial" w:cs="Arial" w:eastAsia="Arial" w:hAnsi="Arial"/>
          <w:sz w:val="13"/>
          <w:szCs w:val="13"/>
          <w:color w:val="auto"/>
        </w:rPr>
      </w:pPr>
    </w:p>
    <w:p>
      <w:pPr>
        <w:ind w:left="1960" w:right="420" w:hanging="972"/>
        <w:spacing w:after="0" w:line="244" w:lineRule="auto"/>
        <w:tabs>
          <w:tab w:leader="none" w:pos="1960" w:val="left"/>
        </w:tabs>
        <w:numPr>
          <w:ilvl w:val="1"/>
          <w:numId w:val="385"/>
        </w:numPr>
        <w:rPr>
          <w:rFonts w:ascii="Arial" w:cs="Arial" w:eastAsia="Arial" w:hAnsi="Arial"/>
          <w:sz w:val="13"/>
          <w:szCs w:val="13"/>
          <w:color w:val="auto"/>
        </w:rPr>
      </w:pPr>
      <w:r>
        <w:rPr>
          <w:rFonts w:ascii="Arial" w:cs="Arial" w:eastAsia="Arial" w:hAnsi="Arial"/>
          <w:sz w:val="13"/>
          <w:szCs w:val="13"/>
          <w:color w:val="auto"/>
        </w:rPr>
        <w:t>the Bank must credit to the account interest at the Cash Cover Rate from time to time and that interest will be credited to the account monthly and on the Release Date; and</w:t>
      </w:r>
    </w:p>
    <w:p>
      <w:pPr>
        <w:spacing w:after="0" w:line="31" w:lineRule="exact"/>
        <w:rPr>
          <w:rFonts w:ascii="Arial" w:cs="Arial" w:eastAsia="Arial" w:hAnsi="Arial"/>
          <w:sz w:val="13"/>
          <w:szCs w:val="13"/>
          <w:color w:val="auto"/>
        </w:rPr>
      </w:pPr>
    </w:p>
    <w:p>
      <w:pPr>
        <w:ind w:left="1520" w:right="400" w:hanging="532"/>
        <w:spacing w:after="0" w:line="269" w:lineRule="auto"/>
        <w:tabs>
          <w:tab w:leader="none" w:pos="1520" w:val="left"/>
        </w:tabs>
        <w:numPr>
          <w:ilvl w:val="1"/>
          <w:numId w:val="385"/>
        </w:numPr>
        <w:rPr>
          <w:rFonts w:ascii="Arial" w:cs="Arial" w:eastAsia="Arial" w:hAnsi="Arial"/>
          <w:sz w:val="13"/>
          <w:szCs w:val="13"/>
          <w:color w:val="auto"/>
        </w:rPr>
      </w:pPr>
      <w:r>
        <w:rPr>
          <w:rFonts w:ascii="Arial" w:cs="Arial" w:eastAsia="Arial" w:hAnsi="Arial"/>
          <w:sz w:val="13"/>
          <w:szCs w:val="13"/>
          <w:color w:val="auto"/>
        </w:rPr>
        <w:t xml:space="preserve">without limiting this </w:t>
      </w:r>
      <w:r>
        <w:rPr>
          <w:rFonts w:ascii="Arial" w:cs="Arial" w:eastAsia="Arial" w:hAnsi="Arial"/>
          <w:sz w:val="13"/>
          <w:szCs w:val="13"/>
          <w:b w:val="1"/>
          <w:bCs w:val="1"/>
          <w:color w:val="auto"/>
        </w:rPr>
        <w:t>clause 10.3</w:t>
      </w:r>
      <w:r>
        <w:rPr>
          <w:rFonts w:ascii="Arial" w:cs="Arial" w:eastAsia="Arial" w:hAnsi="Arial"/>
          <w:sz w:val="13"/>
          <w:szCs w:val="13"/>
          <w:color w:val="auto"/>
        </w:rPr>
        <w:t>, the Bank may apply any amounts from time to time held in the account towards payment of any amounts due and payable from time to time to the Bank under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152400</wp:posOffset>
            </wp:positionV>
            <wp:extent cx="6208395"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208395" cy="42545"/>
                    </a:xfrm>
                    <a:prstGeom prst="rect">
                      <a:avLst/>
                    </a:prstGeom>
                    <a:noFill/>
                  </pic:spPr>
                </pic:pic>
              </a:graphicData>
            </a:graphic>
          </wp:anchor>
        </w:drawing>
      </w:r>
    </w:p>
    <w:p>
      <w:pPr>
        <w:sectPr>
          <w:pgSz w:w="11900" w:h="16838" w:orient="portrait"/>
          <w:cols w:equalWidth="0" w:num="1">
            <w:col w:w="9400"/>
          </w:cols>
          <w:pgMar w:left="1440" w:top="561" w:right="1059" w:bottom="1440" w:gutter="0" w:footer="0" w:header="0"/>
        </w:sectPr>
      </w:pPr>
    </w:p>
    <w:bookmarkStart w:id="269" w:name="page270"/>
    <w:bookmarkEnd w:id="269"/>
    <w:p>
      <w:pPr>
        <w:ind w:left="1540"/>
        <w:spacing w:after="0"/>
        <w:rPr>
          <w:sz w:val="20"/>
          <w:szCs w:val="20"/>
          <w:color w:val="auto"/>
        </w:rPr>
      </w:pPr>
      <w:r>
        <w:rPr>
          <w:rFonts w:ascii="Arial" w:cs="Arial" w:eastAsia="Arial" w:hAnsi="Arial"/>
          <w:sz w:val="13"/>
          <w:szCs w:val="13"/>
          <w:color w:val="auto"/>
        </w:rPr>
        <w:t>Transaction Document.</w:t>
      </w:r>
    </w:p>
    <w:p>
      <w:pPr>
        <w:spacing w:after="0" w:line="76" w:lineRule="exact"/>
        <w:rPr>
          <w:sz w:val="20"/>
          <w:szCs w:val="20"/>
          <w:color w:val="auto"/>
        </w:rPr>
      </w:pPr>
    </w:p>
    <w:p>
      <w:pPr>
        <w:ind w:left="2100" w:hanging="1244"/>
        <w:spacing w:after="0"/>
        <w:tabs>
          <w:tab w:leader="none" w:pos="2100" w:val="left"/>
        </w:tabs>
        <w:numPr>
          <w:ilvl w:val="0"/>
          <w:numId w:val="386"/>
        </w:numPr>
        <w:rPr>
          <w:rFonts w:ascii="Arial" w:cs="Arial" w:eastAsia="Arial" w:hAnsi="Arial"/>
          <w:sz w:val="13"/>
          <w:szCs w:val="13"/>
          <w:color w:val="auto"/>
        </w:rPr>
      </w:pPr>
      <w:r>
        <w:rPr>
          <w:rFonts w:ascii="Arial" w:cs="Arial" w:eastAsia="Arial" w:hAnsi="Arial"/>
          <w:sz w:val="13"/>
          <w:szCs w:val="13"/>
          <w:color w:val="auto"/>
        </w:rPr>
        <w:t>On the Release Date, the Bank must pay to the Borrower the credit balance of the Cash Cover Account.</w:t>
      </w:r>
    </w:p>
    <w:p>
      <w:pPr>
        <w:spacing w:after="0" w:line="74" w:lineRule="exact"/>
        <w:rPr>
          <w:sz w:val="20"/>
          <w:szCs w:val="20"/>
          <w:color w:val="auto"/>
        </w:rPr>
      </w:pPr>
    </w:p>
    <w:p>
      <w:pPr>
        <w:ind w:left="360"/>
        <w:spacing w:after="0"/>
        <w:tabs>
          <w:tab w:leader="none" w:pos="2540" w:val="left"/>
        </w:tabs>
        <w:rPr>
          <w:sz w:val="20"/>
          <w:szCs w:val="20"/>
          <w:color w:val="auto"/>
        </w:rPr>
      </w:pPr>
      <w:r>
        <w:rPr>
          <w:rFonts w:ascii="Arial" w:cs="Arial" w:eastAsia="Arial" w:hAnsi="Arial"/>
          <w:sz w:val="14"/>
          <w:szCs w:val="14"/>
          <w:b w:val="1"/>
          <w:bCs w:val="1"/>
          <w:color w:val="auto"/>
        </w:rPr>
        <w:t>10.4</w:t>
      </w:r>
      <w:r>
        <w:rPr>
          <w:sz w:val="20"/>
          <w:szCs w:val="20"/>
          <w:color w:val="auto"/>
        </w:rPr>
        <w:tab/>
      </w:r>
      <w:r>
        <w:rPr>
          <w:rFonts w:ascii="Arial" w:cs="Arial" w:eastAsia="Arial" w:hAnsi="Arial"/>
          <w:sz w:val="14"/>
          <w:szCs w:val="14"/>
          <w:b w:val="1"/>
          <w:bCs w:val="1"/>
          <w:color w:val="auto"/>
        </w:rPr>
        <w:t>Review Events</w:t>
      </w:r>
    </w:p>
    <w:p>
      <w:pPr>
        <w:spacing w:after="0" w:line="75" w:lineRule="exact"/>
        <w:rPr>
          <w:sz w:val="20"/>
          <w:szCs w:val="20"/>
          <w:color w:val="auto"/>
        </w:rPr>
      </w:pPr>
    </w:p>
    <w:p>
      <w:pPr>
        <w:ind w:left="860"/>
        <w:spacing w:after="0"/>
        <w:rPr>
          <w:sz w:val="20"/>
          <w:szCs w:val="20"/>
          <w:color w:val="auto"/>
        </w:rPr>
      </w:pPr>
      <w:r>
        <w:rPr>
          <w:rFonts w:ascii="Arial" w:cs="Arial" w:eastAsia="Arial" w:hAnsi="Arial"/>
          <w:sz w:val="13"/>
          <w:szCs w:val="13"/>
          <w:color w:val="auto"/>
        </w:rPr>
        <w:t>Each of the following is a Review Event (whether or not caused by anything outside the control of any Transaction Party):</w:t>
      </w:r>
    </w:p>
    <w:p>
      <w:pPr>
        <w:spacing w:after="0" w:line="76" w:lineRule="exact"/>
        <w:rPr>
          <w:sz w:val="20"/>
          <w:szCs w:val="20"/>
          <w:color w:val="auto"/>
        </w:rPr>
      </w:pPr>
    </w:p>
    <w:p>
      <w:pPr>
        <w:ind w:left="1240" w:hanging="384"/>
        <w:spacing w:after="0"/>
        <w:tabs>
          <w:tab w:leader="none" w:pos="1240" w:val="left"/>
        </w:tabs>
        <w:numPr>
          <w:ilvl w:val="0"/>
          <w:numId w:val="387"/>
        </w:numPr>
        <w:rPr>
          <w:rFonts w:ascii="Arial" w:cs="Arial" w:eastAsia="Arial" w:hAnsi="Arial"/>
          <w:sz w:val="13"/>
          <w:szCs w:val="13"/>
          <w:color w:val="auto"/>
        </w:rPr>
      </w:pPr>
      <w:r>
        <w:rPr>
          <w:rFonts w:ascii="Arial" w:cs="Arial" w:eastAsia="Arial" w:hAnsi="Arial"/>
          <w:sz w:val="13"/>
          <w:szCs w:val="13"/>
          <w:color w:val="auto"/>
        </w:rPr>
        <w:t>there is an Insolvency Event in respect of Reading International Inc; and</w:t>
      </w:r>
    </w:p>
    <w:p>
      <w:pPr>
        <w:spacing w:after="0" w:line="75" w:lineRule="exact"/>
        <w:rPr>
          <w:rFonts w:ascii="Arial" w:cs="Arial" w:eastAsia="Arial" w:hAnsi="Arial"/>
          <w:sz w:val="13"/>
          <w:szCs w:val="13"/>
          <w:color w:val="auto"/>
        </w:rPr>
      </w:pPr>
    </w:p>
    <w:p>
      <w:pPr>
        <w:ind w:left="1280" w:hanging="424"/>
        <w:spacing w:after="0"/>
        <w:tabs>
          <w:tab w:leader="none" w:pos="1280" w:val="left"/>
        </w:tabs>
        <w:numPr>
          <w:ilvl w:val="0"/>
          <w:numId w:val="387"/>
        </w:numPr>
        <w:rPr>
          <w:rFonts w:ascii="Arial" w:cs="Arial" w:eastAsia="Arial" w:hAnsi="Arial"/>
          <w:sz w:val="13"/>
          <w:szCs w:val="13"/>
          <w:color w:val="auto"/>
        </w:rPr>
      </w:pPr>
      <w:r>
        <w:rPr>
          <w:rFonts w:ascii="Arial" w:cs="Arial" w:eastAsia="Arial" w:hAnsi="Arial"/>
          <w:sz w:val="13"/>
          <w:szCs w:val="13"/>
          <w:color w:val="auto"/>
        </w:rPr>
        <w:t>a Change of Control occurs in relation to any Transaction Party.</w:t>
      </w:r>
    </w:p>
    <w:p>
      <w:pPr>
        <w:spacing w:after="0" w:line="92" w:lineRule="exact"/>
        <w:rPr>
          <w:sz w:val="20"/>
          <w:szCs w:val="20"/>
          <w:color w:val="auto"/>
        </w:rPr>
      </w:pPr>
    </w:p>
    <w:p>
      <w:pPr>
        <w:ind w:left="360"/>
        <w:spacing w:after="0"/>
        <w:tabs>
          <w:tab w:leader="none" w:pos="3540" w:val="left"/>
        </w:tabs>
        <w:rPr>
          <w:sz w:val="20"/>
          <w:szCs w:val="20"/>
          <w:color w:val="auto"/>
        </w:rPr>
      </w:pPr>
      <w:r>
        <w:rPr>
          <w:rFonts w:ascii="Arial" w:cs="Arial" w:eastAsia="Arial" w:hAnsi="Arial"/>
          <w:sz w:val="14"/>
          <w:szCs w:val="14"/>
          <w:b w:val="1"/>
          <w:bCs w:val="1"/>
          <w:color w:val="auto"/>
        </w:rPr>
        <w:t>10.5</w:t>
      </w:r>
      <w:r>
        <w:rPr>
          <w:sz w:val="20"/>
          <w:szCs w:val="20"/>
          <w:color w:val="auto"/>
        </w:rPr>
        <w:tab/>
      </w:r>
      <w:r>
        <w:rPr>
          <w:rFonts w:ascii="Arial" w:cs="Arial" w:eastAsia="Arial" w:hAnsi="Arial"/>
          <w:sz w:val="14"/>
          <w:szCs w:val="14"/>
          <w:b w:val="1"/>
          <w:bCs w:val="1"/>
          <w:color w:val="auto"/>
        </w:rPr>
        <w:t>Reviews</w:t>
      </w:r>
    </w:p>
    <w:p>
      <w:pPr>
        <w:spacing w:after="0" w:line="75" w:lineRule="exact"/>
        <w:rPr>
          <w:sz w:val="20"/>
          <w:szCs w:val="20"/>
          <w:color w:val="auto"/>
        </w:rPr>
      </w:pPr>
    </w:p>
    <w:p>
      <w:pPr>
        <w:ind w:left="1360" w:right="340" w:hanging="504"/>
        <w:spacing w:after="0" w:line="244" w:lineRule="auto"/>
        <w:tabs>
          <w:tab w:leader="none" w:pos="1360" w:val="left"/>
        </w:tabs>
        <w:numPr>
          <w:ilvl w:val="0"/>
          <w:numId w:val="388"/>
        </w:numPr>
        <w:rPr>
          <w:rFonts w:ascii="Arial" w:cs="Arial" w:eastAsia="Arial" w:hAnsi="Arial"/>
          <w:sz w:val="13"/>
          <w:szCs w:val="13"/>
          <w:color w:val="auto"/>
        </w:rPr>
      </w:pPr>
      <w:r>
        <w:rPr>
          <w:rFonts w:ascii="Arial" w:cs="Arial" w:eastAsia="Arial" w:hAnsi="Arial"/>
          <w:sz w:val="13"/>
          <w:szCs w:val="13"/>
          <w:color w:val="auto"/>
        </w:rPr>
        <w:t>In addition to any other review rights the Bank has under this document, the Bank may conduct a review of any Facility following a Review Event.</w:t>
      </w:r>
    </w:p>
    <w:p>
      <w:pPr>
        <w:spacing w:after="0" w:line="56" w:lineRule="exact"/>
        <w:rPr>
          <w:rFonts w:ascii="Arial" w:cs="Arial" w:eastAsia="Arial" w:hAnsi="Arial"/>
          <w:sz w:val="13"/>
          <w:szCs w:val="13"/>
          <w:color w:val="auto"/>
        </w:rPr>
      </w:pPr>
    </w:p>
    <w:p>
      <w:pPr>
        <w:ind w:left="1240" w:hanging="384"/>
        <w:spacing w:after="0"/>
        <w:tabs>
          <w:tab w:leader="none" w:pos="1240" w:val="left"/>
        </w:tabs>
        <w:numPr>
          <w:ilvl w:val="0"/>
          <w:numId w:val="388"/>
        </w:numPr>
        <w:rPr>
          <w:rFonts w:ascii="Arial" w:cs="Arial" w:eastAsia="Arial" w:hAnsi="Arial"/>
          <w:sz w:val="13"/>
          <w:szCs w:val="13"/>
          <w:color w:val="auto"/>
        </w:rPr>
      </w:pPr>
      <w:r>
        <w:rPr>
          <w:rFonts w:ascii="Arial" w:cs="Arial" w:eastAsia="Arial" w:hAnsi="Arial"/>
          <w:sz w:val="13"/>
          <w:szCs w:val="13"/>
          <w:color w:val="auto"/>
        </w:rPr>
        <w:t>If a Review Event has occurred, then, at any time or from time to time:</w:t>
      </w:r>
    </w:p>
    <w:p>
      <w:pPr>
        <w:spacing w:after="0" w:line="84" w:lineRule="exact"/>
        <w:rPr>
          <w:rFonts w:ascii="Arial" w:cs="Arial" w:eastAsia="Arial" w:hAnsi="Arial"/>
          <w:sz w:val="13"/>
          <w:szCs w:val="13"/>
          <w:color w:val="auto"/>
        </w:rPr>
      </w:pPr>
    </w:p>
    <w:p>
      <w:pPr>
        <w:ind w:left="1700" w:right="180" w:hanging="492"/>
        <w:spacing w:after="0" w:line="244" w:lineRule="auto"/>
        <w:tabs>
          <w:tab w:leader="none" w:pos="1700" w:val="left"/>
        </w:tabs>
        <w:numPr>
          <w:ilvl w:val="1"/>
          <w:numId w:val="388"/>
        </w:numPr>
        <w:rPr>
          <w:rFonts w:ascii="Arial" w:cs="Arial" w:eastAsia="Arial" w:hAnsi="Arial"/>
          <w:sz w:val="13"/>
          <w:szCs w:val="13"/>
          <w:color w:val="auto"/>
        </w:rPr>
      </w:pPr>
      <w:r>
        <w:rPr>
          <w:rFonts w:ascii="Arial" w:cs="Arial" w:eastAsia="Arial" w:hAnsi="Arial"/>
          <w:sz w:val="13"/>
          <w:szCs w:val="13"/>
          <w:color w:val="auto"/>
        </w:rPr>
        <w:t>the Bank may change any of the conditions applying to the Facility including, but not limited to, increasing or otherwise varying the fees payable in connection with the Facility; and/or</w:t>
      </w:r>
    </w:p>
    <w:p>
      <w:pPr>
        <w:spacing w:after="0" w:line="47" w:lineRule="exact"/>
        <w:rPr>
          <w:rFonts w:ascii="Arial" w:cs="Arial" w:eastAsia="Arial" w:hAnsi="Arial"/>
          <w:sz w:val="13"/>
          <w:szCs w:val="13"/>
          <w:color w:val="auto"/>
        </w:rPr>
      </w:pPr>
    </w:p>
    <w:p>
      <w:pPr>
        <w:ind w:left="1740" w:right="200" w:hanging="532"/>
        <w:spacing w:after="0" w:line="244" w:lineRule="auto"/>
        <w:tabs>
          <w:tab w:leader="none" w:pos="1740" w:val="left"/>
        </w:tabs>
        <w:numPr>
          <w:ilvl w:val="1"/>
          <w:numId w:val="388"/>
        </w:numPr>
        <w:rPr>
          <w:rFonts w:ascii="Arial" w:cs="Arial" w:eastAsia="Arial" w:hAnsi="Arial"/>
          <w:sz w:val="13"/>
          <w:szCs w:val="13"/>
          <w:color w:val="auto"/>
        </w:rPr>
      </w:pPr>
      <w:r>
        <w:rPr>
          <w:rFonts w:ascii="Arial" w:cs="Arial" w:eastAsia="Arial" w:hAnsi="Arial"/>
          <w:sz w:val="13"/>
          <w:szCs w:val="13"/>
          <w:color w:val="auto"/>
        </w:rPr>
        <w:t>the Bank may terminate the Facility. If the Bank terminates the Facility, the Termination Date occurs on the date 30 days after the date the Bank notifies the Borrower that it wishes to terminate the Facility.</w:t>
      </w:r>
    </w:p>
    <w:p>
      <w:pPr>
        <w:spacing w:after="0" w:line="56" w:lineRule="exact"/>
        <w:rPr>
          <w:rFonts w:ascii="Arial" w:cs="Arial" w:eastAsia="Arial" w:hAnsi="Arial"/>
          <w:sz w:val="13"/>
          <w:szCs w:val="13"/>
          <w:color w:val="auto"/>
        </w:rPr>
      </w:pPr>
    </w:p>
    <w:p>
      <w:pPr>
        <w:ind w:left="1520" w:right="440" w:hanging="664"/>
        <w:spacing w:after="0" w:line="244" w:lineRule="auto"/>
        <w:tabs>
          <w:tab w:leader="none" w:pos="1520" w:val="left"/>
        </w:tabs>
        <w:numPr>
          <w:ilvl w:val="0"/>
          <w:numId w:val="388"/>
        </w:numPr>
        <w:rPr>
          <w:rFonts w:ascii="Arial" w:cs="Arial" w:eastAsia="Arial" w:hAnsi="Arial"/>
          <w:sz w:val="13"/>
          <w:szCs w:val="13"/>
          <w:color w:val="auto"/>
        </w:rPr>
      </w:pPr>
      <w:r>
        <w:rPr>
          <w:rFonts w:ascii="Arial" w:cs="Arial" w:eastAsia="Arial" w:hAnsi="Arial"/>
          <w:sz w:val="13"/>
          <w:szCs w:val="13"/>
          <w:color w:val="auto"/>
        </w:rPr>
        <w:t>The Bank may not change any of the conditions applying to the Facility unless it has first given 30 days prior notice to the Borrower of the intended change.</w:t>
      </w:r>
    </w:p>
    <w:p>
      <w:pPr>
        <w:spacing w:after="0" w:line="56" w:lineRule="exact"/>
        <w:rPr>
          <w:rFonts w:ascii="Arial" w:cs="Arial" w:eastAsia="Arial" w:hAnsi="Arial"/>
          <w:sz w:val="13"/>
          <w:szCs w:val="13"/>
          <w:color w:val="auto"/>
        </w:rPr>
      </w:pPr>
    </w:p>
    <w:p>
      <w:pPr>
        <w:ind w:left="1600" w:right="280" w:hanging="744"/>
        <w:spacing w:after="0" w:line="244" w:lineRule="auto"/>
        <w:tabs>
          <w:tab w:leader="none" w:pos="1600" w:val="left"/>
        </w:tabs>
        <w:numPr>
          <w:ilvl w:val="0"/>
          <w:numId w:val="388"/>
        </w:numPr>
        <w:rPr>
          <w:rFonts w:ascii="Arial" w:cs="Arial" w:eastAsia="Arial" w:hAnsi="Arial"/>
          <w:sz w:val="13"/>
          <w:szCs w:val="13"/>
          <w:color w:val="auto"/>
        </w:rPr>
      </w:pPr>
      <w:r>
        <w:rPr>
          <w:rFonts w:ascii="Arial" w:cs="Arial" w:eastAsia="Arial" w:hAnsi="Arial"/>
          <w:sz w:val="13"/>
          <w:szCs w:val="13"/>
          <w:color w:val="auto"/>
        </w:rPr>
        <w:t>If the Bank gives notice of any change to the conditions of any Facility and the Borrower refuses to accept the changes before the end of the period of notice, then at the end of that period, the Facility will become repayable within 30 days of any demand by the Bank.</w:t>
      </w:r>
    </w:p>
    <w:p>
      <w:pPr>
        <w:spacing w:after="0" w:line="56" w:lineRule="exact"/>
        <w:rPr>
          <w:rFonts w:ascii="Arial" w:cs="Arial" w:eastAsia="Arial" w:hAnsi="Arial"/>
          <w:sz w:val="13"/>
          <w:szCs w:val="13"/>
          <w:color w:val="auto"/>
        </w:rPr>
      </w:pPr>
    </w:p>
    <w:p>
      <w:pPr>
        <w:ind w:left="2180" w:hanging="1324"/>
        <w:spacing w:after="0"/>
        <w:tabs>
          <w:tab w:leader="none" w:pos="2180" w:val="left"/>
        </w:tabs>
        <w:numPr>
          <w:ilvl w:val="0"/>
          <w:numId w:val="388"/>
        </w:numPr>
        <w:rPr>
          <w:rFonts w:ascii="Arial" w:cs="Arial" w:eastAsia="Arial" w:hAnsi="Arial"/>
          <w:sz w:val="13"/>
          <w:szCs w:val="13"/>
          <w:color w:val="auto"/>
        </w:rPr>
      </w:pPr>
      <w:r>
        <w:rPr>
          <w:rFonts w:ascii="Arial" w:cs="Arial" w:eastAsia="Arial" w:hAnsi="Arial"/>
          <w:sz w:val="13"/>
          <w:szCs w:val="13"/>
          <w:color w:val="auto"/>
        </w:rPr>
        <w:t>Nothing in this clause affects the Bank’s rights if any Event of Default occurs.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1320" w:type="dxa"/>
            <w:vAlign w:val="bottom"/>
          </w:tcPr>
          <w:p>
            <w:pPr>
              <w:ind w:left="360"/>
              <w:spacing w:after="0"/>
              <w:rPr>
                <w:sz w:val="20"/>
                <w:szCs w:val="20"/>
                <w:color w:val="auto"/>
              </w:rPr>
            </w:pPr>
            <w:r>
              <w:rPr>
                <w:rFonts w:ascii="Arial" w:cs="Arial" w:eastAsia="Arial" w:hAnsi="Arial"/>
                <w:sz w:val="19"/>
                <w:szCs w:val="19"/>
                <w:color w:val="auto"/>
              </w:rPr>
              <w:t>11</w:t>
            </w:r>
          </w:p>
        </w:tc>
        <w:tc>
          <w:tcPr>
            <w:tcW w:w="8420" w:type="dxa"/>
            <w:vAlign w:val="bottom"/>
          </w:tcPr>
          <w:p>
            <w:pPr>
              <w:ind w:left="220"/>
              <w:spacing w:after="0"/>
              <w:rPr>
                <w:sz w:val="20"/>
                <w:szCs w:val="20"/>
                <w:color w:val="auto"/>
              </w:rPr>
            </w:pPr>
            <w:r>
              <w:rPr>
                <w:rFonts w:ascii="Arial" w:cs="Arial" w:eastAsia="Arial" w:hAnsi="Arial"/>
                <w:sz w:val="19"/>
                <w:szCs w:val="19"/>
                <w:color w:val="auto"/>
              </w:rPr>
              <w:t>Costs and expenses</w:t>
            </w:r>
          </w:p>
        </w:tc>
      </w:tr>
      <w:tr>
        <w:trPr>
          <w:trHeight w:val="245"/>
        </w:trPr>
        <w:tc>
          <w:tcPr>
            <w:tcW w:w="1320" w:type="dxa"/>
            <w:vAlign w:val="bottom"/>
          </w:tcPr>
          <w:p>
            <w:pPr>
              <w:ind w:left="360"/>
              <w:spacing w:after="0"/>
              <w:rPr>
                <w:sz w:val="20"/>
                <w:szCs w:val="20"/>
                <w:color w:val="auto"/>
              </w:rPr>
            </w:pPr>
            <w:r>
              <w:rPr>
                <w:rFonts w:ascii="Arial" w:cs="Arial" w:eastAsia="Arial" w:hAnsi="Arial"/>
                <w:sz w:val="14"/>
                <w:szCs w:val="14"/>
                <w:b w:val="1"/>
                <w:bCs w:val="1"/>
                <w:color w:val="auto"/>
              </w:rPr>
              <w:t>11.1</w:t>
            </w:r>
          </w:p>
        </w:tc>
        <w:tc>
          <w:tcPr>
            <w:tcW w:w="8420" w:type="dxa"/>
            <w:vAlign w:val="bottom"/>
          </w:tcPr>
          <w:p>
            <w:pPr>
              <w:ind w:left="1380"/>
              <w:spacing w:after="0"/>
              <w:rPr>
                <w:sz w:val="20"/>
                <w:szCs w:val="20"/>
                <w:color w:val="auto"/>
              </w:rPr>
            </w:pPr>
            <w:r>
              <w:rPr>
                <w:rFonts w:ascii="Arial" w:cs="Arial" w:eastAsia="Arial" w:hAnsi="Arial"/>
                <w:sz w:val="14"/>
                <w:szCs w:val="14"/>
                <w:b w:val="1"/>
                <w:bCs w:val="1"/>
                <w:color w:val="auto"/>
              </w:rPr>
              <w:t>Interpretation</w:t>
            </w:r>
          </w:p>
        </w:tc>
      </w:tr>
      <w:tr>
        <w:trPr>
          <w:trHeight w:val="203"/>
        </w:trPr>
        <w:tc>
          <w:tcPr>
            <w:tcW w:w="9740" w:type="dxa"/>
            <w:vAlign w:val="bottom"/>
            <w:gridSpan w:val="2"/>
          </w:tcPr>
          <w:p>
            <w:pPr>
              <w:ind w:left="860"/>
              <w:spacing w:after="0"/>
              <w:rPr>
                <w:sz w:val="20"/>
                <w:szCs w:val="20"/>
                <w:color w:val="auto"/>
              </w:rPr>
            </w:pPr>
            <w:r>
              <w:rPr>
                <w:rFonts w:ascii="Arial" w:cs="Arial" w:eastAsia="Arial" w:hAnsi="Arial"/>
                <w:sz w:val="13"/>
                <w:szCs w:val="13"/>
                <w:color w:val="auto"/>
              </w:rPr>
              <w:t>A reference to “costs and expenses” in a Transaction Document includes legal costs and expenses on a full indemnity basis.</w:t>
            </w:r>
          </w:p>
        </w:tc>
      </w:tr>
      <w:tr>
        <w:trPr>
          <w:trHeight w:val="265"/>
        </w:trPr>
        <w:tc>
          <w:tcPr>
            <w:tcW w:w="1320" w:type="dxa"/>
            <w:vAlign w:val="bottom"/>
          </w:tcPr>
          <w:p>
            <w:pPr>
              <w:ind w:left="360"/>
              <w:spacing w:after="0"/>
              <w:rPr>
                <w:sz w:val="20"/>
                <w:szCs w:val="20"/>
                <w:color w:val="auto"/>
              </w:rPr>
            </w:pPr>
            <w:r>
              <w:rPr>
                <w:rFonts w:ascii="Arial" w:cs="Arial" w:eastAsia="Arial" w:hAnsi="Arial"/>
                <w:sz w:val="14"/>
                <w:szCs w:val="14"/>
                <w:b w:val="1"/>
                <w:bCs w:val="1"/>
                <w:color w:val="auto"/>
              </w:rPr>
              <w:t>11.2</w:t>
            </w:r>
          </w:p>
        </w:tc>
        <w:tc>
          <w:tcPr>
            <w:tcW w:w="8420" w:type="dxa"/>
            <w:vAlign w:val="bottom"/>
          </w:tcPr>
          <w:p>
            <w:pPr>
              <w:ind w:left="2760"/>
              <w:spacing w:after="0"/>
              <w:rPr>
                <w:sz w:val="20"/>
                <w:szCs w:val="20"/>
                <w:color w:val="auto"/>
              </w:rPr>
            </w:pPr>
            <w:r>
              <w:rPr>
                <w:rFonts w:ascii="Arial" w:cs="Arial" w:eastAsia="Arial" w:hAnsi="Arial"/>
                <w:sz w:val="14"/>
                <w:szCs w:val="14"/>
                <w:b w:val="1"/>
                <w:bCs w:val="1"/>
                <w:color w:val="auto"/>
              </w:rPr>
              <w:t>Nature</w:t>
            </w:r>
          </w:p>
        </w:tc>
      </w:tr>
      <w:tr>
        <w:trPr>
          <w:trHeight w:val="203"/>
        </w:trPr>
        <w:tc>
          <w:tcPr>
            <w:tcW w:w="9740" w:type="dxa"/>
            <w:vAlign w:val="bottom"/>
            <w:gridSpan w:val="2"/>
          </w:tcPr>
          <w:p>
            <w:pPr>
              <w:ind w:left="860"/>
              <w:spacing w:after="0"/>
              <w:rPr>
                <w:sz w:val="20"/>
                <w:szCs w:val="20"/>
                <w:color w:val="auto"/>
              </w:rPr>
            </w:pPr>
            <w:r>
              <w:rPr>
                <w:rFonts w:ascii="Arial" w:cs="Arial" w:eastAsia="Arial" w:hAnsi="Arial"/>
                <w:sz w:val="13"/>
                <w:szCs w:val="13"/>
                <w:color w:val="auto"/>
              </w:rPr>
              <w:t>The Borrower must on demand pay and if paid by the Bank reimburse to the Bank:</w:t>
            </w:r>
          </w:p>
        </w:tc>
      </w:tr>
      <w:tr>
        <w:trPr>
          <w:trHeight w:val="216"/>
        </w:trPr>
        <w:tc>
          <w:tcPr>
            <w:tcW w:w="1320" w:type="dxa"/>
            <w:vAlign w:val="bottom"/>
          </w:tcPr>
          <w:p>
            <w:pPr>
              <w:ind w:left="860"/>
              <w:spacing w:after="0"/>
              <w:rPr>
                <w:sz w:val="20"/>
                <w:szCs w:val="20"/>
                <w:color w:val="auto"/>
              </w:rPr>
            </w:pPr>
            <w:r>
              <w:rPr>
                <w:rFonts w:ascii="Arial" w:cs="Arial" w:eastAsia="Arial" w:hAnsi="Arial"/>
                <w:sz w:val="13"/>
                <w:szCs w:val="13"/>
                <w:color w:val="auto"/>
              </w:rPr>
              <w:t>(a)</w:t>
            </w:r>
          </w:p>
        </w:tc>
        <w:tc>
          <w:tcPr>
            <w:tcW w:w="8420" w:type="dxa"/>
            <w:vAlign w:val="bottom"/>
          </w:tcPr>
          <w:p>
            <w:pPr>
              <w:ind w:left="20"/>
              <w:spacing w:after="0"/>
              <w:rPr>
                <w:sz w:val="20"/>
                <w:szCs w:val="20"/>
                <w:color w:val="auto"/>
              </w:rPr>
            </w:pPr>
            <w:r>
              <w:rPr>
                <w:rFonts w:ascii="Arial" w:cs="Arial" w:eastAsia="Arial" w:hAnsi="Arial"/>
                <w:sz w:val="13"/>
                <w:szCs w:val="13"/>
                <w:color w:val="auto"/>
              </w:rPr>
              <w:t>the Bank’s reasonable costs and expenses relating to:</w:t>
            </w:r>
          </w:p>
        </w:tc>
      </w:tr>
      <w:tr>
        <w:trPr>
          <w:trHeight w:val="225"/>
        </w:trPr>
        <w:tc>
          <w:tcPr>
            <w:tcW w:w="1320" w:type="dxa"/>
            <w:vAlign w:val="bottom"/>
          </w:tcPr>
          <w:p>
            <w:pPr>
              <w:ind w:left="1200"/>
              <w:spacing w:after="0"/>
              <w:rPr>
                <w:sz w:val="20"/>
                <w:szCs w:val="20"/>
                <w:color w:val="auto"/>
              </w:rPr>
            </w:pPr>
            <w:r>
              <w:rPr>
                <w:rFonts w:ascii="Arial" w:cs="Arial" w:eastAsia="Arial" w:hAnsi="Arial"/>
                <w:sz w:val="13"/>
                <w:szCs w:val="13"/>
                <w:color w:val="auto"/>
                <w:w w:val="86"/>
              </w:rPr>
              <w:t>(i)</w:t>
            </w:r>
          </w:p>
        </w:tc>
        <w:tc>
          <w:tcPr>
            <w:tcW w:w="8420" w:type="dxa"/>
            <w:vAlign w:val="bottom"/>
          </w:tcPr>
          <w:p>
            <w:pPr>
              <w:ind w:left="240"/>
              <w:spacing w:after="0"/>
              <w:rPr>
                <w:sz w:val="20"/>
                <w:szCs w:val="20"/>
                <w:color w:val="auto"/>
              </w:rPr>
            </w:pPr>
            <w:r>
              <w:rPr>
                <w:rFonts w:ascii="Arial" w:cs="Arial" w:eastAsia="Arial" w:hAnsi="Arial"/>
                <w:sz w:val="13"/>
                <w:szCs w:val="13"/>
                <w:color w:val="auto"/>
              </w:rPr>
              <w:t>any Valuation obtained for the purposes of any Transaction</w:t>
            </w:r>
          </w:p>
        </w:tc>
      </w:tr>
      <w:tr>
        <w:trPr>
          <w:trHeight w:val="293"/>
        </w:trPr>
        <w:tc>
          <w:tcPr>
            <w:tcW w:w="1320" w:type="dxa"/>
            <w:vAlign w:val="bottom"/>
            <w:tcBorders>
              <w:bottom w:val="single" w:sz="8" w:color="9A9A9A"/>
            </w:tcBorders>
          </w:tcPr>
          <w:p>
            <w:pPr>
              <w:spacing w:after="0"/>
              <w:rPr>
                <w:sz w:val="24"/>
                <w:szCs w:val="24"/>
                <w:color w:val="auto"/>
              </w:rPr>
            </w:pPr>
          </w:p>
        </w:tc>
        <w:tc>
          <w:tcPr>
            <w:tcW w:w="84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6164580</wp:posOffset>
            </wp:positionH>
            <wp:positionV relativeFrom="paragraph">
              <wp:posOffset>-29210</wp:posOffset>
            </wp:positionV>
            <wp:extent cx="31115"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31115" cy="42545"/>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-29210</wp:posOffset>
            </wp:positionV>
            <wp:extent cx="31115"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31115" cy="42545"/>
                    </a:xfrm>
                    <a:prstGeom prst="rect">
                      <a:avLst/>
                    </a:prstGeom>
                    <a:noFill/>
                  </pic:spPr>
                </pic:pic>
              </a:graphicData>
            </a:graphic>
          </wp:anchor>
        </w:drawing>
      </w:r>
    </w:p>
    <w:p>
      <w:pPr>
        <w:sectPr>
          <w:pgSz w:w="11900" w:h="16838" w:orient="portrait"/>
          <w:cols w:equalWidth="0" w:num="1">
            <w:col w:w="9740"/>
          </w:cols>
          <w:pgMar w:left="1220" w:top="561" w:right="939" w:bottom="1440" w:gutter="0" w:footer="0" w:header="0"/>
        </w:sectPr>
      </w:pPr>
    </w:p>
    <w:bookmarkStart w:id="270" w:name="page271"/>
    <w:bookmarkEnd w:id="270"/>
    <w:p>
      <w:pPr>
        <w:ind w:left="1320"/>
        <w:spacing w:after="0"/>
        <w:rPr>
          <w:sz w:val="20"/>
          <w:szCs w:val="20"/>
          <w:color w:val="auto"/>
        </w:rPr>
      </w:pPr>
      <w:r>
        <w:rPr>
          <w:rFonts w:ascii="Arial" w:cs="Arial" w:eastAsia="Arial" w:hAnsi="Arial"/>
          <w:sz w:val="13"/>
          <w:szCs w:val="13"/>
          <w:color w:val="auto"/>
        </w:rPr>
        <w:t>Document;</w:t>
      </w:r>
    </w:p>
    <w:p>
      <w:pPr>
        <w:spacing w:after="0" w:line="76" w:lineRule="exact"/>
        <w:rPr>
          <w:sz w:val="20"/>
          <w:szCs w:val="20"/>
          <w:color w:val="auto"/>
        </w:rPr>
      </w:pPr>
    </w:p>
    <w:p>
      <w:pPr>
        <w:ind w:left="1620" w:hanging="632"/>
        <w:spacing w:after="0" w:line="244" w:lineRule="auto"/>
        <w:tabs>
          <w:tab w:leader="none" w:pos="1620" w:val="left"/>
        </w:tabs>
        <w:numPr>
          <w:ilvl w:val="0"/>
          <w:numId w:val="389"/>
        </w:numPr>
        <w:rPr>
          <w:rFonts w:ascii="Arial" w:cs="Arial" w:eastAsia="Arial" w:hAnsi="Arial"/>
          <w:sz w:val="13"/>
          <w:szCs w:val="13"/>
          <w:color w:val="auto"/>
        </w:rPr>
      </w:pPr>
      <w:r>
        <w:rPr>
          <w:rFonts w:ascii="Arial" w:cs="Arial" w:eastAsia="Arial" w:hAnsi="Arial"/>
          <w:sz w:val="13"/>
          <w:szCs w:val="13"/>
          <w:color w:val="auto"/>
        </w:rPr>
        <w:t>the negotiation, preparation, execution, stamping and registration of the Transaction Documents or any document contemplated by them;</w:t>
      </w:r>
    </w:p>
    <w:p>
      <w:pPr>
        <w:spacing w:after="0" w:line="56" w:lineRule="exact"/>
        <w:rPr>
          <w:rFonts w:ascii="Arial" w:cs="Arial" w:eastAsia="Arial" w:hAnsi="Arial"/>
          <w:sz w:val="13"/>
          <w:szCs w:val="13"/>
          <w:color w:val="auto"/>
        </w:rPr>
      </w:pPr>
    </w:p>
    <w:p>
      <w:pPr>
        <w:ind w:left="1480" w:right="460" w:hanging="492"/>
        <w:spacing w:after="0" w:line="244" w:lineRule="auto"/>
        <w:tabs>
          <w:tab w:leader="none" w:pos="1480" w:val="left"/>
        </w:tabs>
        <w:numPr>
          <w:ilvl w:val="0"/>
          <w:numId w:val="389"/>
        </w:numPr>
        <w:rPr>
          <w:rFonts w:ascii="Arial" w:cs="Arial" w:eastAsia="Arial" w:hAnsi="Arial"/>
          <w:sz w:val="13"/>
          <w:szCs w:val="13"/>
          <w:color w:val="auto"/>
        </w:rPr>
      </w:pPr>
      <w:r>
        <w:rPr>
          <w:rFonts w:ascii="Arial" w:cs="Arial" w:eastAsia="Arial" w:hAnsi="Arial"/>
          <w:sz w:val="13"/>
          <w:szCs w:val="13"/>
          <w:color w:val="auto"/>
        </w:rPr>
        <w:t>any consent, request for consent (whether or not given), communication or waiver of any right, or the variation, replacement or discharge of any Transaction Document or any document contemplated by it;</w:t>
      </w:r>
    </w:p>
    <w:p>
      <w:pPr>
        <w:spacing w:after="0" w:line="56" w:lineRule="exact"/>
        <w:rPr>
          <w:rFonts w:ascii="Arial" w:cs="Arial" w:eastAsia="Arial" w:hAnsi="Arial"/>
          <w:sz w:val="13"/>
          <w:szCs w:val="13"/>
          <w:color w:val="auto"/>
        </w:rPr>
      </w:pPr>
    </w:p>
    <w:p>
      <w:pPr>
        <w:ind w:left="1720" w:hanging="732"/>
        <w:spacing w:after="0"/>
        <w:tabs>
          <w:tab w:leader="none" w:pos="1720" w:val="left"/>
        </w:tabs>
        <w:numPr>
          <w:ilvl w:val="0"/>
          <w:numId w:val="389"/>
        </w:numPr>
        <w:rPr>
          <w:rFonts w:ascii="Arial" w:cs="Arial" w:eastAsia="Arial" w:hAnsi="Arial"/>
          <w:sz w:val="13"/>
          <w:szCs w:val="13"/>
          <w:color w:val="auto"/>
        </w:rPr>
      </w:pPr>
      <w:r>
        <w:rPr>
          <w:rFonts w:ascii="Arial" w:cs="Arial" w:eastAsia="Arial" w:hAnsi="Arial"/>
          <w:sz w:val="13"/>
          <w:szCs w:val="13"/>
          <w:color w:val="auto"/>
        </w:rPr>
        <w:t>the enforcement or attempted enforcement or the preservation of any rights of the Bank under the Transaction Documents;</w:t>
      </w:r>
    </w:p>
    <w:p>
      <w:pPr>
        <w:spacing w:after="0" w:line="72" w:lineRule="exact"/>
        <w:rPr>
          <w:sz w:val="20"/>
          <w:szCs w:val="20"/>
          <w:color w:val="auto"/>
        </w:rPr>
      </w:pPr>
    </w:p>
    <w:p>
      <w:pPr>
        <w:ind w:left="980"/>
        <w:spacing w:after="0"/>
        <w:tabs>
          <w:tab w:leader="none" w:pos="2740" w:val="left"/>
        </w:tabs>
        <w:rPr>
          <w:sz w:val="20"/>
          <w:szCs w:val="20"/>
          <w:color w:val="auto"/>
        </w:rPr>
      </w:pPr>
      <w:r>
        <w:rPr>
          <w:rFonts w:ascii="Arial" w:cs="Arial" w:eastAsia="Arial" w:hAnsi="Arial"/>
          <w:sz w:val="13"/>
          <w:szCs w:val="13"/>
          <w:color w:val="auto"/>
        </w:rPr>
        <w:t>(v)</w:t>
      </w:r>
      <w:r>
        <w:rPr>
          <w:sz w:val="20"/>
          <w:szCs w:val="20"/>
          <w:color w:val="auto"/>
        </w:rPr>
        <w:tab/>
      </w:r>
      <w:r>
        <w:rPr>
          <w:rFonts w:ascii="Arial" w:cs="Arial" w:eastAsia="Arial" w:hAnsi="Arial"/>
          <w:sz w:val="13"/>
          <w:szCs w:val="13"/>
          <w:color w:val="auto"/>
        </w:rPr>
        <w:t>the occurrence of any Event of Default or Potential Event of Default; and</w:t>
      </w:r>
    </w:p>
    <w:p>
      <w:pPr>
        <w:spacing w:after="0" w:line="70" w:lineRule="exact"/>
        <w:rPr>
          <w:sz w:val="20"/>
          <w:szCs w:val="20"/>
          <w:color w:val="auto"/>
        </w:rPr>
      </w:pPr>
    </w:p>
    <w:p>
      <w:pPr>
        <w:ind w:left="2300" w:hanging="1312"/>
        <w:spacing w:after="0"/>
        <w:tabs>
          <w:tab w:leader="none" w:pos="2300" w:val="left"/>
        </w:tabs>
        <w:numPr>
          <w:ilvl w:val="1"/>
          <w:numId w:val="390"/>
        </w:numPr>
        <w:rPr>
          <w:rFonts w:ascii="Arial" w:cs="Arial" w:eastAsia="Arial" w:hAnsi="Arial"/>
          <w:sz w:val="13"/>
          <w:szCs w:val="13"/>
          <w:color w:val="auto"/>
        </w:rPr>
      </w:pPr>
      <w:r>
        <w:rPr>
          <w:rFonts w:ascii="Arial" w:cs="Arial" w:eastAsia="Arial" w:hAnsi="Arial"/>
          <w:sz w:val="13"/>
          <w:szCs w:val="13"/>
          <w:color w:val="auto"/>
        </w:rPr>
        <w:t>the lodgment or removal of any Encumbrance on the Secured Property by any person; and</w:t>
      </w:r>
    </w:p>
    <w:p>
      <w:pPr>
        <w:spacing w:after="0" w:line="50" w:lineRule="exact"/>
        <w:rPr>
          <w:rFonts w:ascii="Arial" w:cs="Arial" w:eastAsia="Arial" w:hAnsi="Arial"/>
          <w:sz w:val="13"/>
          <w:szCs w:val="13"/>
          <w:color w:val="auto"/>
        </w:rPr>
      </w:pPr>
    </w:p>
    <w:p>
      <w:pPr>
        <w:ind w:left="1060" w:right="160" w:hanging="424"/>
        <w:spacing w:after="0" w:line="250" w:lineRule="auto"/>
        <w:tabs>
          <w:tab w:leader="none" w:pos="1060" w:val="left"/>
        </w:tabs>
        <w:numPr>
          <w:ilvl w:val="0"/>
          <w:numId w:val="391"/>
        </w:numPr>
        <w:rPr>
          <w:rFonts w:ascii="Arial" w:cs="Arial" w:eastAsia="Arial" w:hAnsi="Arial"/>
          <w:sz w:val="13"/>
          <w:szCs w:val="13"/>
          <w:color w:val="auto"/>
        </w:rPr>
      </w:pPr>
      <w:r>
        <w:rPr>
          <w:rFonts w:ascii="Arial" w:cs="Arial" w:eastAsia="Arial" w:hAnsi="Arial"/>
          <w:sz w:val="13"/>
          <w:szCs w:val="13"/>
          <w:color w:val="auto"/>
        </w:rPr>
        <w:t xml:space="preserve">subject to </w:t>
      </w:r>
      <w:r>
        <w:rPr>
          <w:rFonts w:ascii="Arial" w:cs="Arial" w:eastAsia="Arial" w:hAnsi="Arial"/>
          <w:sz w:val="13"/>
          <w:szCs w:val="13"/>
          <w:b w:val="1"/>
          <w:bCs w:val="1"/>
          <w:color w:val="auto"/>
        </w:rPr>
        <w:t>clause 18.14(d)</w:t>
      </w:r>
      <w:r>
        <w:rPr>
          <w:rFonts w:ascii="Arial" w:cs="Arial" w:eastAsia="Arial" w:hAnsi="Arial"/>
          <w:sz w:val="13"/>
          <w:szCs w:val="13"/>
          <w:color w:val="auto"/>
        </w:rPr>
        <w:t>, any Taxes and registration or other fees (including fines and penalties relating to the Taxes and fees) which are payable or are assessed by a relevant Government Body or other person to be payable in relation to the Transaction Documents or any document or transaction contemplated by them.</w:t>
      </w:r>
    </w:p>
    <w:p>
      <w:pPr>
        <w:spacing w:after="0" w:line="60" w:lineRule="exact"/>
        <w:rPr>
          <w:sz w:val="20"/>
          <w:szCs w:val="20"/>
          <w:color w:val="auto"/>
        </w:rPr>
      </w:pPr>
    </w:p>
    <w:p>
      <w:pPr>
        <w:ind w:left="140"/>
        <w:spacing w:after="0"/>
        <w:tabs>
          <w:tab w:leader="none" w:pos="2400" w:val="left"/>
        </w:tabs>
        <w:rPr>
          <w:sz w:val="20"/>
          <w:szCs w:val="20"/>
          <w:color w:val="auto"/>
        </w:rPr>
      </w:pPr>
      <w:r>
        <w:rPr>
          <w:rFonts w:ascii="Arial" w:cs="Arial" w:eastAsia="Arial" w:hAnsi="Arial"/>
          <w:sz w:val="14"/>
          <w:szCs w:val="14"/>
          <w:b w:val="1"/>
          <w:bCs w:val="1"/>
          <w:color w:val="auto"/>
        </w:rPr>
        <w:t>11.3</w:t>
      </w:r>
      <w:r>
        <w:rPr>
          <w:sz w:val="20"/>
          <w:szCs w:val="20"/>
          <w:color w:val="auto"/>
        </w:rPr>
        <w:tab/>
      </w:r>
      <w:r>
        <w:rPr>
          <w:rFonts w:ascii="Arial" w:cs="Arial" w:eastAsia="Arial" w:hAnsi="Arial"/>
          <w:sz w:val="14"/>
          <w:szCs w:val="14"/>
          <w:b w:val="1"/>
          <w:bCs w:val="1"/>
          <w:color w:val="auto"/>
        </w:rPr>
        <w:t>Remuneration</w:t>
      </w:r>
    </w:p>
    <w:p>
      <w:pPr>
        <w:spacing w:after="0" w:line="75" w:lineRule="exact"/>
        <w:rPr>
          <w:sz w:val="20"/>
          <w:szCs w:val="20"/>
          <w:color w:val="auto"/>
        </w:rPr>
      </w:pPr>
    </w:p>
    <w:p>
      <w:pPr>
        <w:ind w:left="640" w:right="20"/>
        <w:spacing w:after="0" w:line="238" w:lineRule="auto"/>
        <w:rPr>
          <w:sz w:val="20"/>
          <w:szCs w:val="20"/>
          <w:color w:val="auto"/>
        </w:rPr>
      </w:pPr>
      <w:r>
        <w:rPr>
          <w:rFonts w:ascii="Arial" w:cs="Arial" w:eastAsia="Arial" w:hAnsi="Arial"/>
          <w:sz w:val="13"/>
          <w:szCs w:val="13"/>
          <w:color w:val="auto"/>
        </w:rPr>
        <w:t>The Bank, any Receiver and any Attorney must be remunerated by the Borrower for any services rendered by them in relation to the enforcement of any right under the Transaction Documents. The rate of the remuneration and the manner of payment will be that determined by the Bank, acting reasonably.</w:t>
      </w:r>
    </w:p>
    <w:p>
      <w:pPr>
        <w:spacing w:after="0" w:line="257" w:lineRule="exact"/>
        <w:rPr>
          <w:sz w:val="20"/>
          <w:szCs w:val="20"/>
          <w:color w:val="auto"/>
        </w:rPr>
      </w:pPr>
    </w:p>
    <w:p>
      <w:pPr>
        <w:ind w:left="140"/>
        <w:spacing w:after="0"/>
        <w:tabs>
          <w:tab w:leader="none" w:pos="1920" w:val="left"/>
        </w:tabs>
        <w:rPr>
          <w:sz w:val="20"/>
          <w:szCs w:val="20"/>
          <w:color w:val="auto"/>
        </w:rPr>
      </w:pPr>
      <w:r>
        <w:rPr>
          <w:rFonts w:ascii="Arial" w:cs="Arial" w:eastAsia="Arial" w:hAnsi="Arial"/>
          <w:sz w:val="19"/>
          <w:szCs w:val="19"/>
          <w:color w:val="auto"/>
        </w:rPr>
        <w:t>12</w:t>
      </w:r>
      <w:r>
        <w:rPr>
          <w:sz w:val="20"/>
          <w:szCs w:val="20"/>
          <w:color w:val="auto"/>
        </w:rPr>
        <w:tab/>
      </w:r>
      <w:r>
        <w:rPr>
          <w:rFonts w:ascii="Arial" w:cs="Arial" w:eastAsia="Arial" w:hAnsi="Arial"/>
          <w:sz w:val="19"/>
          <w:szCs w:val="19"/>
          <w:color w:val="auto"/>
        </w:rPr>
        <w:t>Indemnities</w:t>
      </w:r>
    </w:p>
    <w:p>
      <w:pPr>
        <w:spacing w:after="0" w:line="68" w:lineRule="exact"/>
        <w:rPr>
          <w:sz w:val="20"/>
          <w:szCs w:val="20"/>
          <w:color w:val="auto"/>
        </w:rPr>
      </w:pPr>
    </w:p>
    <w:p>
      <w:pPr>
        <w:ind w:left="140"/>
        <w:spacing w:after="0"/>
        <w:tabs>
          <w:tab w:leader="none" w:pos="3840" w:val="left"/>
        </w:tabs>
        <w:rPr>
          <w:sz w:val="20"/>
          <w:szCs w:val="20"/>
          <w:color w:val="auto"/>
        </w:rPr>
      </w:pPr>
      <w:r>
        <w:rPr>
          <w:rFonts w:ascii="Arial" w:cs="Arial" w:eastAsia="Arial" w:hAnsi="Arial"/>
          <w:sz w:val="14"/>
          <w:szCs w:val="14"/>
          <w:b w:val="1"/>
          <w:bCs w:val="1"/>
          <w:color w:val="auto"/>
        </w:rPr>
        <w:t>12.1</w:t>
      </w:r>
      <w:r>
        <w:rPr>
          <w:sz w:val="20"/>
          <w:szCs w:val="20"/>
          <w:color w:val="auto"/>
        </w:rPr>
        <w:tab/>
      </w:r>
      <w:r>
        <w:rPr>
          <w:rFonts w:ascii="Arial" w:cs="Arial" w:eastAsia="Arial" w:hAnsi="Arial"/>
          <w:sz w:val="14"/>
          <w:szCs w:val="14"/>
          <w:b w:val="1"/>
          <w:bCs w:val="1"/>
          <w:color w:val="auto"/>
        </w:rPr>
        <w:t>Nature</w:t>
      </w:r>
    </w:p>
    <w:p>
      <w:pPr>
        <w:spacing w:after="0" w:line="84" w:lineRule="exact"/>
        <w:rPr>
          <w:sz w:val="20"/>
          <w:szCs w:val="20"/>
          <w:color w:val="auto"/>
        </w:rPr>
      </w:pPr>
    </w:p>
    <w:p>
      <w:pPr>
        <w:ind w:left="640"/>
        <w:spacing w:after="0"/>
        <w:rPr>
          <w:sz w:val="20"/>
          <w:szCs w:val="20"/>
          <w:color w:val="auto"/>
        </w:rPr>
      </w:pPr>
      <w:r>
        <w:rPr>
          <w:rFonts w:ascii="Arial" w:cs="Arial" w:eastAsia="Arial" w:hAnsi="Arial"/>
          <w:sz w:val="13"/>
          <w:szCs w:val="13"/>
          <w:color w:val="auto"/>
        </w:rPr>
        <w:t>The Borrower indemnifies the Bank on demand against any liability, loss, cost or expense (including Break Costs) caused or contributed to by:</w:t>
      </w:r>
    </w:p>
    <w:p>
      <w:pPr>
        <w:spacing w:after="0" w:line="67" w:lineRule="exact"/>
        <w:rPr>
          <w:sz w:val="20"/>
          <w:szCs w:val="20"/>
          <w:color w:val="auto"/>
        </w:rPr>
      </w:pPr>
    </w:p>
    <w:p>
      <w:pPr>
        <w:ind w:left="1320" w:hanging="684"/>
        <w:spacing w:after="0"/>
        <w:tabs>
          <w:tab w:leader="none" w:pos="1320" w:val="left"/>
        </w:tabs>
        <w:numPr>
          <w:ilvl w:val="0"/>
          <w:numId w:val="392"/>
        </w:numPr>
        <w:rPr>
          <w:rFonts w:ascii="Arial" w:cs="Arial" w:eastAsia="Arial" w:hAnsi="Arial"/>
          <w:sz w:val="13"/>
          <w:szCs w:val="13"/>
          <w:color w:val="auto"/>
        </w:rPr>
      </w:pPr>
      <w:r>
        <w:rPr>
          <w:rFonts w:ascii="Arial" w:cs="Arial" w:eastAsia="Arial" w:hAnsi="Arial"/>
          <w:sz w:val="13"/>
          <w:szCs w:val="13"/>
          <w:color w:val="auto"/>
        </w:rPr>
        <w:t>any failure by any Transaction Party to comply with any obligation under any Transaction Document;</w:t>
      </w:r>
    </w:p>
    <w:p>
      <w:pPr>
        <w:spacing w:after="0" w:line="66" w:lineRule="exact"/>
        <w:rPr>
          <w:rFonts w:ascii="Arial" w:cs="Arial" w:eastAsia="Arial" w:hAnsi="Arial"/>
          <w:sz w:val="13"/>
          <w:szCs w:val="13"/>
          <w:color w:val="auto"/>
        </w:rPr>
      </w:pPr>
    </w:p>
    <w:p>
      <w:pPr>
        <w:ind w:left="1140" w:hanging="504"/>
        <w:spacing w:after="0"/>
        <w:tabs>
          <w:tab w:leader="none" w:pos="1140" w:val="left"/>
        </w:tabs>
        <w:numPr>
          <w:ilvl w:val="0"/>
          <w:numId w:val="392"/>
        </w:numPr>
        <w:rPr>
          <w:rFonts w:ascii="Arial" w:cs="Arial" w:eastAsia="Arial" w:hAnsi="Arial"/>
          <w:sz w:val="13"/>
          <w:szCs w:val="13"/>
          <w:color w:val="auto"/>
        </w:rPr>
      </w:pPr>
      <w:r>
        <w:rPr>
          <w:rFonts w:ascii="Arial" w:cs="Arial" w:eastAsia="Arial" w:hAnsi="Arial"/>
          <w:sz w:val="13"/>
          <w:szCs w:val="13"/>
          <w:color w:val="auto"/>
        </w:rPr>
        <w:t>any Event of Default or Potential Event of Default;</w:t>
      </w:r>
    </w:p>
    <w:p>
      <w:pPr>
        <w:spacing w:after="0" w:line="75" w:lineRule="exact"/>
        <w:rPr>
          <w:rFonts w:ascii="Arial" w:cs="Arial" w:eastAsia="Arial" w:hAnsi="Arial"/>
          <w:sz w:val="13"/>
          <w:szCs w:val="13"/>
          <w:color w:val="auto"/>
        </w:rPr>
      </w:pPr>
    </w:p>
    <w:p>
      <w:pPr>
        <w:ind w:left="1160" w:hanging="524"/>
        <w:spacing w:after="0"/>
        <w:tabs>
          <w:tab w:leader="none" w:pos="1160" w:val="left"/>
        </w:tabs>
        <w:numPr>
          <w:ilvl w:val="0"/>
          <w:numId w:val="392"/>
        </w:numPr>
        <w:rPr>
          <w:rFonts w:ascii="Arial" w:cs="Arial" w:eastAsia="Arial" w:hAnsi="Arial"/>
          <w:sz w:val="13"/>
          <w:szCs w:val="13"/>
          <w:color w:val="auto"/>
        </w:rPr>
      </w:pPr>
      <w:r>
        <w:rPr>
          <w:rFonts w:ascii="Arial" w:cs="Arial" w:eastAsia="Arial" w:hAnsi="Arial"/>
          <w:sz w:val="13"/>
          <w:szCs w:val="13"/>
          <w:color w:val="auto"/>
        </w:rPr>
        <w:t>the enforcement or attempted enforcement of any right by the Bank, any Receiver or any Attorney under the Transaction Documents;</w:t>
      </w:r>
    </w:p>
    <w:p>
      <w:pPr>
        <w:spacing w:after="0" w:line="66" w:lineRule="exact"/>
        <w:rPr>
          <w:rFonts w:ascii="Arial" w:cs="Arial" w:eastAsia="Arial" w:hAnsi="Arial"/>
          <w:sz w:val="13"/>
          <w:szCs w:val="13"/>
          <w:color w:val="auto"/>
        </w:rPr>
      </w:pPr>
    </w:p>
    <w:p>
      <w:pPr>
        <w:ind w:left="1380" w:hanging="744"/>
        <w:spacing w:after="0"/>
        <w:tabs>
          <w:tab w:leader="none" w:pos="1380" w:val="left"/>
        </w:tabs>
        <w:numPr>
          <w:ilvl w:val="0"/>
          <w:numId w:val="392"/>
        </w:numPr>
        <w:rPr>
          <w:rFonts w:ascii="Arial" w:cs="Arial" w:eastAsia="Arial" w:hAnsi="Arial"/>
          <w:sz w:val="13"/>
          <w:szCs w:val="13"/>
          <w:color w:val="auto"/>
        </w:rPr>
      </w:pPr>
      <w:r>
        <w:rPr>
          <w:rFonts w:ascii="Arial" w:cs="Arial" w:eastAsia="Arial" w:hAnsi="Arial"/>
          <w:sz w:val="13"/>
          <w:szCs w:val="13"/>
          <w:color w:val="auto"/>
        </w:rPr>
        <w:t>any Drawing requested by the Borrower not being granted by the Bank for any reason other than a default by the Bank;</w:t>
      </w:r>
    </w:p>
    <w:p>
      <w:pPr>
        <w:spacing w:after="0" w:line="57" w:lineRule="exact"/>
        <w:rPr>
          <w:rFonts w:ascii="Arial" w:cs="Arial" w:eastAsia="Arial" w:hAnsi="Arial"/>
          <w:sz w:val="13"/>
          <w:szCs w:val="13"/>
          <w:color w:val="auto"/>
        </w:rPr>
      </w:pPr>
    </w:p>
    <w:p>
      <w:pPr>
        <w:ind w:left="1700" w:hanging="1064"/>
        <w:spacing w:after="0"/>
        <w:tabs>
          <w:tab w:leader="none" w:pos="1700" w:val="left"/>
        </w:tabs>
        <w:numPr>
          <w:ilvl w:val="0"/>
          <w:numId w:val="392"/>
        </w:numPr>
        <w:rPr>
          <w:rFonts w:ascii="Arial" w:cs="Arial" w:eastAsia="Arial" w:hAnsi="Arial"/>
          <w:sz w:val="13"/>
          <w:szCs w:val="13"/>
          <w:color w:val="auto"/>
        </w:rPr>
      </w:pPr>
      <w:r>
        <w:rPr>
          <w:rFonts w:ascii="Arial" w:cs="Arial" w:eastAsia="Arial" w:hAnsi="Arial"/>
          <w:sz w:val="13"/>
          <w:szCs w:val="13"/>
          <w:color w:val="auto"/>
        </w:rPr>
        <w:t>any payment not being made by the Borrower in accordance with any Transaction Document; or</w:t>
      </w:r>
    </w:p>
    <w:p>
      <w:pPr>
        <w:spacing w:after="0" w:line="66" w:lineRule="exact"/>
        <w:rPr>
          <w:rFonts w:ascii="Arial" w:cs="Arial" w:eastAsia="Arial" w:hAnsi="Arial"/>
          <w:sz w:val="13"/>
          <w:szCs w:val="13"/>
          <w:color w:val="auto"/>
        </w:rPr>
      </w:pPr>
    </w:p>
    <w:p>
      <w:pPr>
        <w:ind w:left="1320" w:hanging="684"/>
        <w:spacing w:after="0"/>
        <w:tabs>
          <w:tab w:leader="none" w:pos="1320" w:val="left"/>
        </w:tabs>
        <w:numPr>
          <w:ilvl w:val="0"/>
          <w:numId w:val="392"/>
        </w:numPr>
        <w:rPr>
          <w:rFonts w:ascii="Arial" w:cs="Arial" w:eastAsia="Arial" w:hAnsi="Arial"/>
          <w:sz w:val="13"/>
          <w:szCs w:val="13"/>
          <w:color w:val="auto"/>
        </w:rPr>
      </w:pPr>
      <w:r>
        <w:rPr>
          <w:rFonts w:ascii="Arial" w:cs="Arial" w:eastAsia="Arial" w:hAnsi="Arial"/>
          <w:sz w:val="13"/>
          <w:szCs w:val="13"/>
          <w:color w:val="auto"/>
        </w:rPr>
        <w:t>any act by the Bank in reliance on any communication purporting to be from the Borrower or to be given on behalf of the Borrower.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168275</wp:posOffset>
            </wp:positionV>
            <wp:extent cx="6208395"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208395" cy="42545"/>
                    </a:xfrm>
                    <a:prstGeom prst="rect">
                      <a:avLst/>
                    </a:prstGeom>
                    <a:noFill/>
                  </pic:spPr>
                </pic:pic>
              </a:graphicData>
            </a:graphic>
          </wp:anchor>
        </w:drawing>
      </w:r>
    </w:p>
    <w:p>
      <w:pPr>
        <w:sectPr>
          <w:pgSz w:w="11900" w:h="16838" w:orient="portrait"/>
          <w:cols w:equalWidth="0" w:num="1">
            <w:col w:w="9300"/>
          </w:cols>
          <w:pgMar w:left="1440" w:top="561" w:right="1159" w:bottom="1440" w:gutter="0" w:footer="0" w:header="0"/>
        </w:sectPr>
      </w:pPr>
    </w:p>
    <w:bookmarkStart w:id="271" w:name="page272"/>
    <w:bookmarkEnd w:id="271"/>
    <w:p>
      <w:pPr>
        <w:ind w:left="140"/>
        <w:spacing w:after="0"/>
        <w:tabs>
          <w:tab w:leader="none" w:pos="2180" w:val="left"/>
        </w:tabs>
        <w:rPr>
          <w:sz w:val="20"/>
          <w:szCs w:val="20"/>
          <w:color w:val="auto"/>
        </w:rPr>
      </w:pPr>
      <w:r>
        <w:rPr>
          <w:rFonts w:ascii="Arial" w:cs="Arial" w:eastAsia="Arial" w:hAnsi="Arial"/>
          <w:sz w:val="14"/>
          <w:szCs w:val="14"/>
          <w:b w:val="1"/>
          <w:bCs w:val="1"/>
          <w:color w:val="auto"/>
        </w:rPr>
        <w:t>12.2</w:t>
      </w:r>
      <w:r>
        <w:rPr>
          <w:sz w:val="20"/>
          <w:szCs w:val="20"/>
          <w:color w:val="auto"/>
        </w:rPr>
        <w:tab/>
      </w:r>
      <w:r>
        <w:rPr>
          <w:rFonts w:ascii="Arial" w:cs="Arial" w:eastAsia="Arial" w:hAnsi="Arial"/>
          <w:sz w:val="14"/>
          <w:szCs w:val="14"/>
          <w:b w:val="1"/>
          <w:bCs w:val="1"/>
          <w:color w:val="auto"/>
        </w:rPr>
        <w:t>Representatives</w:t>
      </w:r>
    </w:p>
    <w:p>
      <w:pPr>
        <w:spacing w:after="0" w:line="75" w:lineRule="exact"/>
        <w:rPr>
          <w:sz w:val="20"/>
          <w:szCs w:val="20"/>
          <w:color w:val="auto"/>
        </w:rPr>
      </w:pPr>
    </w:p>
    <w:p>
      <w:pPr>
        <w:jc w:val="both"/>
        <w:ind w:left="640" w:right="20"/>
        <w:spacing w:after="0" w:line="238" w:lineRule="auto"/>
        <w:rPr>
          <w:sz w:val="20"/>
          <w:szCs w:val="20"/>
          <w:color w:val="auto"/>
        </w:rPr>
      </w:pPr>
      <w:r>
        <w:rPr>
          <w:rFonts w:ascii="Arial" w:cs="Arial" w:eastAsia="Arial" w:hAnsi="Arial"/>
          <w:sz w:val="13"/>
          <w:szCs w:val="13"/>
          <w:color w:val="auto"/>
        </w:rPr>
        <w:t xml:space="preserve">The Borrower indemnifies each Receiver and Attorney and their respective Representatives and the Representatives of the Bank against any liability, loss, cost and expense caused by anything the Bank is indemnified against under </w:t>
      </w:r>
      <w:r>
        <w:rPr>
          <w:rFonts w:ascii="Arial" w:cs="Arial" w:eastAsia="Arial" w:hAnsi="Arial"/>
          <w:sz w:val="13"/>
          <w:szCs w:val="13"/>
          <w:b w:val="1"/>
          <w:bCs w:val="1"/>
          <w:color w:val="auto"/>
        </w:rPr>
        <w:t>clause 12.1</w:t>
      </w:r>
      <w:r>
        <w:rPr>
          <w:rFonts w:ascii="Arial" w:cs="Arial" w:eastAsia="Arial" w:hAnsi="Arial"/>
          <w:sz w:val="13"/>
          <w:szCs w:val="13"/>
          <w:color w:val="auto"/>
        </w:rPr>
        <w:t xml:space="preserve"> and the Bank holds the benefit of this </w:t>
      </w:r>
      <w:r>
        <w:rPr>
          <w:rFonts w:ascii="Arial" w:cs="Arial" w:eastAsia="Arial" w:hAnsi="Arial"/>
          <w:sz w:val="13"/>
          <w:szCs w:val="13"/>
          <w:b w:val="1"/>
          <w:bCs w:val="1"/>
          <w:color w:val="auto"/>
        </w:rPr>
        <w:t>clause 12.2</w:t>
      </w:r>
      <w:r>
        <w:rPr>
          <w:rFonts w:ascii="Arial" w:cs="Arial" w:eastAsia="Arial" w:hAnsi="Arial"/>
          <w:sz w:val="13"/>
          <w:szCs w:val="13"/>
          <w:color w:val="auto"/>
        </w:rPr>
        <w:t xml:space="preserve"> on trust for those persons.</w:t>
      </w:r>
    </w:p>
    <w:p>
      <w:pPr>
        <w:spacing w:after="0" w:line="76" w:lineRule="exact"/>
        <w:rPr>
          <w:sz w:val="20"/>
          <w:szCs w:val="20"/>
          <w:color w:val="auto"/>
        </w:rPr>
      </w:pPr>
    </w:p>
    <w:p>
      <w:pPr>
        <w:ind w:left="140"/>
        <w:spacing w:after="0"/>
        <w:tabs>
          <w:tab w:leader="none" w:pos="1900" w:val="left"/>
        </w:tabs>
        <w:rPr>
          <w:sz w:val="20"/>
          <w:szCs w:val="20"/>
          <w:color w:val="auto"/>
        </w:rPr>
      </w:pPr>
      <w:r>
        <w:rPr>
          <w:rFonts w:ascii="Arial" w:cs="Arial" w:eastAsia="Arial" w:hAnsi="Arial"/>
          <w:sz w:val="14"/>
          <w:szCs w:val="14"/>
          <w:b w:val="1"/>
          <w:bCs w:val="1"/>
          <w:color w:val="auto"/>
        </w:rPr>
        <w:t>12.3</w:t>
      </w:r>
      <w:r>
        <w:rPr>
          <w:sz w:val="20"/>
          <w:szCs w:val="20"/>
          <w:color w:val="auto"/>
        </w:rPr>
        <w:tab/>
      </w:r>
      <w:r>
        <w:rPr>
          <w:rFonts w:ascii="Arial" w:cs="Arial" w:eastAsia="Arial" w:hAnsi="Arial"/>
          <w:sz w:val="14"/>
          <w:szCs w:val="14"/>
          <w:b w:val="1"/>
          <w:bCs w:val="1"/>
          <w:color w:val="auto"/>
        </w:rPr>
        <w:t>Currency deficiency</w:t>
      </w:r>
    </w:p>
    <w:p>
      <w:pPr>
        <w:spacing w:after="0" w:line="75" w:lineRule="exact"/>
        <w:rPr>
          <w:sz w:val="20"/>
          <w:szCs w:val="20"/>
          <w:color w:val="auto"/>
        </w:rPr>
      </w:pPr>
    </w:p>
    <w:p>
      <w:pPr>
        <w:ind w:left="640"/>
        <w:spacing w:after="0"/>
        <w:rPr>
          <w:sz w:val="20"/>
          <w:szCs w:val="20"/>
          <w:color w:val="auto"/>
        </w:rPr>
      </w:pPr>
      <w:r>
        <w:rPr>
          <w:rFonts w:ascii="Arial" w:cs="Arial" w:eastAsia="Arial" w:hAnsi="Arial"/>
          <w:sz w:val="13"/>
          <w:szCs w:val="13"/>
          <w:color w:val="auto"/>
        </w:rPr>
        <w:t>If there is any deficiency between:</w:t>
      </w:r>
    </w:p>
    <w:p>
      <w:pPr>
        <w:spacing w:after="0" w:line="76" w:lineRule="exact"/>
        <w:rPr>
          <w:sz w:val="20"/>
          <w:szCs w:val="20"/>
          <w:color w:val="auto"/>
        </w:rPr>
      </w:pPr>
    </w:p>
    <w:p>
      <w:pPr>
        <w:ind w:left="1520" w:right="320" w:hanging="884"/>
        <w:spacing w:after="0" w:line="244" w:lineRule="auto"/>
        <w:tabs>
          <w:tab w:leader="none" w:pos="1520" w:val="left"/>
        </w:tabs>
        <w:numPr>
          <w:ilvl w:val="0"/>
          <w:numId w:val="393"/>
        </w:numPr>
        <w:rPr>
          <w:rFonts w:ascii="Arial" w:cs="Arial" w:eastAsia="Arial" w:hAnsi="Arial"/>
          <w:sz w:val="13"/>
          <w:szCs w:val="13"/>
          <w:color w:val="auto"/>
        </w:rPr>
      </w:pPr>
      <w:r>
        <w:rPr>
          <w:rFonts w:ascii="Arial" w:cs="Arial" w:eastAsia="Arial" w:hAnsi="Arial"/>
          <w:sz w:val="13"/>
          <w:szCs w:val="13"/>
          <w:color w:val="auto"/>
        </w:rPr>
        <w:t>an amount payable by a Transaction Party under a Transaction Document which is received by the Bank in a currency other than the currency payable under the Transaction Document because of a judgment, order or otherwise; and</w:t>
      </w:r>
    </w:p>
    <w:p>
      <w:pPr>
        <w:spacing w:after="0" w:line="56" w:lineRule="exact"/>
        <w:rPr>
          <w:rFonts w:ascii="Arial" w:cs="Arial" w:eastAsia="Arial" w:hAnsi="Arial"/>
          <w:sz w:val="13"/>
          <w:szCs w:val="13"/>
          <w:color w:val="auto"/>
        </w:rPr>
      </w:pPr>
    </w:p>
    <w:p>
      <w:pPr>
        <w:ind w:left="1220" w:right="180" w:hanging="584"/>
        <w:spacing w:after="0" w:line="244" w:lineRule="auto"/>
        <w:tabs>
          <w:tab w:leader="none" w:pos="1220" w:val="left"/>
        </w:tabs>
        <w:numPr>
          <w:ilvl w:val="0"/>
          <w:numId w:val="393"/>
        </w:numPr>
        <w:rPr>
          <w:rFonts w:ascii="Arial" w:cs="Arial" w:eastAsia="Arial" w:hAnsi="Arial"/>
          <w:sz w:val="13"/>
          <w:szCs w:val="13"/>
          <w:color w:val="auto"/>
        </w:rPr>
      </w:pPr>
      <w:r>
        <w:rPr>
          <w:rFonts w:ascii="Arial" w:cs="Arial" w:eastAsia="Arial" w:hAnsi="Arial"/>
          <w:sz w:val="13"/>
          <w:szCs w:val="13"/>
          <w:color w:val="auto"/>
        </w:rPr>
        <w:t>the amount produced by converting the payment received from the currency in which it was paid into the currency in which it was agreed to be paid either directly or through a currency other than that in which it was agreed to be paid,</w:t>
      </w:r>
    </w:p>
    <w:p>
      <w:pPr>
        <w:spacing w:after="0" w:line="47" w:lineRule="exact"/>
        <w:rPr>
          <w:sz w:val="20"/>
          <w:szCs w:val="20"/>
          <w:color w:val="auto"/>
        </w:rPr>
      </w:pPr>
    </w:p>
    <w:p>
      <w:pPr>
        <w:ind w:left="640"/>
        <w:spacing w:after="0"/>
        <w:rPr>
          <w:sz w:val="20"/>
          <w:szCs w:val="20"/>
          <w:color w:val="auto"/>
        </w:rPr>
      </w:pPr>
      <w:r>
        <w:rPr>
          <w:rFonts w:ascii="Arial" w:cs="Arial" w:eastAsia="Arial" w:hAnsi="Arial"/>
          <w:sz w:val="13"/>
          <w:szCs w:val="13"/>
          <w:color w:val="auto"/>
        </w:rPr>
        <w:t>the Borrower must pay to the Bank the deficiency and any loss, costs or expenses resulting from it.</w:t>
      </w:r>
    </w:p>
    <w:p>
      <w:pPr>
        <w:spacing w:after="0" w:line="74" w:lineRule="exact"/>
        <w:rPr>
          <w:sz w:val="20"/>
          <w:szCs w:val="20"/>
          <w:color w:val="auto"/>
        </w:rPr>
      </w:pPr>
    </w:p>
    <w:p>
      <w:pPr>
        <w:ind w:left="140"/>
        <w:spacing w:after="0"/>
        <w:tabs>
          <w:tab w:leader="none" w:pos="1540" w:val="left"/>
        </w:tabs>
        <w:rPr>
          <w:sz w:val="20"/>
          <w:szCs w:val="20"/>
          <w:color w:val="auto"/>
        </w:rPr>
      </w:pPr>
      <w:r>
        <w:rPr>
          <w:rFonts w:ascii="Arial" w:cs="Arial" w:eastAsia="Arial" w:hAnsi="Arial"/>
          <w:sz w:val="14"/>
          <w:szCs w:val="14"/>
          <w:b w:val="1"/>
          <w:bCs w:val="1"/>
          <w:color w:val="auto"/>
        </w:rPr>
        <w:t>12.4</w:t>
      </w:r>
      <w:r>
        <w:rPr>
          <w:sz w:val="20"/>
          <w:szCs w:val="20"/>
          <w:color w:val="auto"/>
        </w:rPr>
        <w:tab/>
      </w:r>
      <w:r>
        <w:rPr>
          <w:rFonts w:ascii="Arial" w:cs="Arial" w:eastAsia="Arial" w:hAnsi="Arial"/>
          <w:sz w:val="14"/>
          <w:szCs w:val="14"/>
          <w:b w:val="1"/>
          <w:bCs w:val="1"/>
          <w:color w:val="auto"/>
        </w:rPr>
        <w:t>Independence and survival</w:t>
      </w:r>
    </w:p>
    <w:p>
      <w:pPr>
        <w:spacing w:after="0" w:line="84" w:lineRule="exact"/>
        <w:rPr>
          <w:sz w:val="20"/>
          <w:szCs w:val="20"/>
          <w:color w:val="auto"/>
        </w:rPr>
      </w:pPr>
    </w:p>
    <w:p>
      <w:pPr>
        <w:ind w:left="640" w:right="400"/>
        <w:spacing w:after="0" w:line="244" w:lineRule="auto"/>
        <w:rPr>
          <w:sz w:val="20"/>
          <w:szCs w:val="20"/>
          <w:color w:val="auto"/>
        </w:rPr>
      </w:pPr>
      <w:r>
        <w:rPr>
          <w:rFonts w:ascii="Arial" w:cs="Arial" w:eastAsia="Arial" w:hAnsi="Arial"/>
          <w:sz w:val="13"/>
          <w:szCs w:val="13"/>
          <w:color w:val="auto"/>
        </w:rPr>
        <w:t>Each indemnity in a Transaction Document is a continuing obligation, separate and independent from the other obligations of the Borrower and survives the termination of that Transaction Document.</w:t>
      </w:r>
    </w:p>
    <w:p>
      <w:pPr>
        <w:spacing w:after="0" w:line="63" w:lineRule="exact"/>
        <w:rPr>
          <w:sz w:val="20"/>
          <w:szCs w:val="20"/>
          <w:color w:val="auto"/>
        </w:rPr>
      </w:pPr>
    </w:p>
    <w:p>
      <w:pPr>
        <w:ind w:left="140"/>
        <w:spacing w:after="0"/>
        <w:tabs>
          <w:tab w:leader="none" w:pos="1500" w:val="left"/>
        </w:tabs>
        <w:rPr>
          <w:sz w:val="20"/>
          <w:szCs w:val="20"/>
          <w:color w:val="auto"/>
        </w:rPr>
      </w:pPr>
      <w:r>
        <w:rPr>
          <w:rFonts w:ascii="Arial" w:cs="Arial" w:eastAsia="Arial" w:hAnsi="Arial"/>
          <w:sz w:val="14"/>
          <w:szCs w:val="14"/>
          <w:b w:val="1"/>
          <w:bCs w:val="1"/>
          <w:color w:val="auto"/>
        </w:rPr>
        <w:t>12.5</w:t>
      </w:r>
      <w:r>
        <w:rPr>
          <w:sz w:val="20"/>
          <w:szCs w:val="20"/>
          <w:color w:val="auto"/>
        </w:rPr>
        <w:tab/>
      </w:r>
      <w:r>
        <w:rPr>
          <w:rFonts w:ascii="Arial" w:cs="Arial" w:eastAsia="Arial" w:hAnsi="Arial"/>
          <w:sz w:val="14"/>
          <w:szCs w:val="14"/>
          <w:b w:val="1"/>
          <w:bCs w:val="1"/>
          <w:color w:val="auto"/>
        </w:rPr>
        <w:t>Accounting for transactions</w:t>
      </w:r>
    </w:p>
    <w:p>
      <w:pPr>
        <w:spacing w:after="0" w:line="75" w:lineRule="exact"/>
        <w:rPr>
          <w:sz w:val="20"/>
          <w:szCs w:val="20"/>
          <w:color w:val="auto"/>
        </w:rPr>
      </w:pPr>
    </w:p>
    <w:p>
      <w:pPr>
        <w:ind w:left="1220" w:hanging="584"/>
        <w:spacing w:after="0"/>
        <w:tabs>
          <w:tab w:leader="none" w:pos="1220" w:val="left"/>
        </w:tabs>
        <w:numPr>
          <w:ilvl w:val="0"/>
          <w:numId w:val="394"/>
        </w:numPr>
        <w:rPr>
          <w:rFonts w:ascii="Arial" w:cs="Arial" w:eastAsia="Arial" w:hAnsi="Arial"/>
          <w:sz w:val="13"/>
          <w:szCs w:val="13"/>
          <w:color w:val="auto"/>
        </w:rPr>
      </w:pPr>
      <w:r>
        <w:rPr>
          <w:rFonts w:ascii="Arial" w:cs="Arial" w:eastAsia="Arial" w:hAnsi="Arial"/>
          <w:sz w:val="13"/>
          <w:szCs w:val="13"/>
          <w:color w:val="auto"/>
        </w:rPr>
        <w:t>The Borrower irrevocably authorises the Bank to open such accounts as the Bank requires in connection with a Facility.</w:t>
      </w:r>
    </w:p>
    <w:p>
      <w:pPr>
        <w:spacing w:after="0" w:line="66" w:lineRule="exact"/>
        <w:rPr>
          <w:rFonts w:ascii="Arial" w:cs="Arial" w:eastAsia="Arial" w:hAnsi="Arial"/>
          <w:sz w:val="13"/>
          <w:szCs w:val="13"/>
          <w:color w:val="auto"/>
        </w:rPr>
      </w:pPr>
    </w:p>
    <w:p>
      <w:pPr>
        <w:ind w:left="1120" w:hanging="484"/>
        <w:spacing w:after="0" w:line="238" w:lineRule="auto"/>
        <w:tabs>
          <w:tab w:leader="none" w:pos="1120" w:val="left"/>
        </w:tabs>
        <w:numPr>
          <w:ilvl w:val="0"/>
          <w:numId w:val="394"/>
        </w:numPr>
        <w:rPr>
          <w:rFonts w:ascii="Arial" w:cs="Arial" w:eastAsia="Arial" w:hAnsi="Arial"/>
          <w:sz w:val="13"/>
          <w:szCs w:val="13"/>
          <w:color w:val="auto"/>
        </w:rPr>
      </w:pPr>
      <w:r>
        <w:rPr>
          <w:rFonts w:ascii="Arial" w:cs="Arial" w:eastAsia="Arial" w:hAnsi="Arial"/>
          <w:sz w:val="13"/>
          <w:szCs w:val="13"/>
          <w:color w:val="auto"/>
        </w:rPr>
        <w:t>The Borrower irrevocably authorises the Bank to debit from any account in the name of the Borrower (including an account the Bank opens in the Borrower’s name) any amounts payable by the Borrower in relation to that Facility or account, including interest, costs, Taxes, enforcement expenses and any amount payable under an indemnity.</w:t>
      </w:r>
    </w:p>
    <w:p>
      <w:pPr>
        <w:spacing w:after="0" w:line="59" w:lineRule="exact"/>
        <w:rPr>
          <w:rFonts w:ascii="Arial" w:cs="Arial" w:eastAsia="Arial" w:hAnsi="Arial"/>
          <w:sz w:val="13"/>
          <w:szCs w:val="13"/>
          <w:color w:val="auto"/>
        </w:rPr>
      </w:pPr>
    </w:p>
    <w:p>
      <w:pPr>
        <w:ind w:left="1320" w:right="260" w:hanging="684"/>
        <w:spacing w:after="0" w:line="236" w:lineRule="auto"/>
        <w:tabs>
          <w:tab w:leader="none" w:pos="1320" w:val="left"/>
        </w:tabs>
        <w:numPr>
          <w:ilvl w:val="0"/>
          <w:numId w:val="394"/>
        </w:numPr>
        <w:rPr>
          <w:rFonts w:ascii="Arial" w:cs="Arial" w:eastAsia="Arial" w:hAnsi="Arial"/>
          <w:sz w:val="13"/>
          <w:szCs w:val="13"/>
          <w:color w:val="auto"/>
        </w:rPr>
      </w:pPr>
      <w:r>
        <w:rPr>
          <w:rFonts w:ascii="Arial" w:cs="Arial" w:eastAsia="Arial" w:hAnsi="Arial"/>
          <w:sz w:val="13"/>
          <w:szCs w:val="13"/>
          <w:color w:val="auto"/>
        </w:rPr>
        <w:t>If the Borrower authorises the Bank to debit any amount from an account, the Bank can debit that amount from that account even if it causes the account to become overdrawn. Alternatively, if there are insufficient cleared funds in that account, the Borrower authorises the Bank to debit that amount from any account of the Borrower the Bank decides, including an account the Bank opens in the Borrower’s name.</w:t>
      </w:r>
    </w:p>
    <w:p>
      <w:pPr>
        <w:spacing w:after="0" w:line="51" w:lineRule="exact"/>
        <w:rPr>
          <w:rFonts w:ascii="Arial" w:cs="Arial" w:eastAsia="Arial" w:hAnsi="Arial"/>
          <w:sz w:val="13"/>
          <w:szCs w:val="13"/>
          <w:color w:val="auto"/>
        </w:rPr>
      </w:pPr>
    </w:p>
    <w:p>
      <w:pPr>
        <w:ind w:left="1540" w:hanging="904"/>
        <w:spacing w:after="0"/>
        <w:tabs>
          <w:tab w:leader="none" w:pos="1540" w:val="left"/>
        </w:tabs>
        <w:numPr>
          <w:ilvl w:val="0"/>
          <w:numId w:val="394"/>
        </w:numPr>
        <w:rPr>
          <w:rFonts w:ascii="Arial" w:cs="Arial" w:eastAsia="Arial" w:hAnsi="Arial"/>
          <w:sz w:val="13"/>
          <w:szCs w:val="13"/>
          <w:color w:val="auto"/>
        </w:rPr>
      </w:pPr>
      <w:r>
        <w:rPr>
          <w:rFonts w:ascii="Arial" w:cs="Arial" w:eastAsia="Arial" w:hAnsi="Arial"/>
          <w:sz w:val="13"/>
          <w:szCs w:val="13"/>
          <w:color w:val="auto"/>
        </w:rPr>
        <w:t>Where the Bank debits an account in the name of the Borrower, opened by:</w:t>
      </w:r>
    </w:p>
    <w:p>
      <w:pPr>
        <w:spacing w:after="0" w:line="66" w:lineRule="exact"/>
        <w:rPr>
          <w:rFonts w:ascii="Arial" w:cs="Arial" w:eastAsia="Arial" w:hAnsi="Arial"/>
          <w:sz w:val="13"/>
          <w:szCs w:val="13"/>
          <w:color w:val="auto"/>
        </w:rPr>
      </w:pPr>
    </w:p>
    <w:p>
      <w:pPr>
        <w:ind w:left="1620" w:right="80" w:hanging="632"/>
        <w:spacing w:after="0" w:line="244" w:lineRule="auto"/>
        <w:tabs>
          <w:tab w:leader="none" w:pos="1620" w:val="left"/>
        </w:tabs>
        <w:numPr>
          <w:ilvl w:val="1"/>
          <w:numId w:val="394"/>
        </w:numPr>
        <w:rPr>
          <w:rFonts w:ascii="Arial" w:cs="Arial" w:eastAsia="Arial" w:hAnsi="Arial"/>
          <w:sz w:val="13"/>
          <w:szCs w:val="13"/>
          <w:color w:val="auto"/>
        </w:rPr>
      </w:pPr>
      <w:r>
        <w:rPr>
          <w:rFonts w:ascii="Arial" w:cs="Arial" w:eastAsia="Arial" w:hAnsi="Arial"/>
          <w:sz w:val="13"/>
          <w:szCs w:val="13"/>
          <w:color w:val="auto"/>
        </w:rPr>
        <w:t>the Borrower, the Borrower must pay the Bank interest (including default interest if applicable) on any debit balance in accordance with the terms of that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161925</wp:posOffset>
            </wp:positionV>
            <wp:extent cx="6208395"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208395" cy="42545"/>
                    </a:xfrm>
                    <a:prstGeom prst="rect">
                      <a:avLst/>
                    </a:prstGeom>
                    <a:noFill/>
                  </pic:spPr>
                </pic:pic>
              </a:graphicData>
            </a:graphic>
          </wp:anchor>
        </w:drawing>
      </w:r>
    </w:p>
    <w:p>
      <w:pPr>
        <w:sectPr>
          <w:pgSz w:w="11900" w:h="16838" w:orient="portrait"/>
          <w:cols w:equalWidth="0" w:num="1">
            <w:col w:w="9360"/>
          </w:cols>
          <w:pgMar w:left="1440" w:top="514" w:right="1099" w:bottom="1440" w:gutter="0" w:footer="0" w:header="0"/>
        </w:sectPr>
      </w:pPr>
    </w:p>
    <w:bookmarkStart w:id="272" w:name="page273"/>
    <w:bookmarkEnd w:id="272"/>
    <w:p>
      <w:pPr>
        <w:ind w:left="1400" w:right="420" w:hanging="412"/>
        <w:spacing w:after="0" w:line="244" w:lineRule="auto"/>
        <w:tabs>
          <w:tab w:leader="none" w:pos="1400" w:val="left"/>
        </w:tabs>
        <w:numPr>
          <w:ilvl w:val="1"/>
          <w:numId w:val="395"/>
        </w:numPr>
        <w:rPr>
          <w:rFonts w:ascii="Arial" w:cs="Arial" w:eastAsia="Arial" w:hAnsi="Arial"/>
          <w:sz w:val="13"/>
          <w:szCs w:val="13"/>
          <w:color w:val="auto"/>
        </w:rPr>
      </w:pPr>
      <w:r>
        <w:rPr>
          <w:rFonts w:ascii="Arial" w:cs="Arial" w:eastAsia="Arial" w:hAnsi="Arial"/>
          <w:sz w:val="13"/>
          <w:szCs w:val="13"/>
          <w:color w:val="auto"/>
        </w:rPr>
        <w:t>the Bank, the Borrower must pay the Bank interest on the overdrawn balance of that account at the Overdue Rate applying to the relevant Facility or, if there is none, in accordance with the terms normally applied by the Bank to accounts of that type; or</w:t>
      </w:r>
    </w:p>
    <w:p>
      <w:pPr>
        <w:spacing w:after="0" w:line="47" w:lineRule="exact"/>
        <w:rPr>
          <w:rFonts w:ascii="Arial" w:cs="Arial" w:eastAsia="Arial" w:hAnsi="Arial"/>
          <w:sz w:val="13"/>
          <w:szCs w:val="13"/>
          <w:color w:val="auto"/>
        </w:rPr>
      </w:pPr>
    </w:p>
    <w:p>
      <w:pPr>
        <w:ind w:left="1880" w:right="900" w:hanging="892"/>
        <w:spacing w:after="0" w:line="244" w:lineRule="auto"/>
        <w:tabs>
          <w:tab w:leader="none" w:pos="1880" w:val="left"/>
        </w:tabs>
        <w:numPr>
          <w:ilvl w:val="1"/>
          <w:numId w:val="395"/>
        </w:numPr>
        <w:rPr>
          <w:rFonts w:ascii="Arial" w:cs="Arial" w:eastAsia="Arial" w:hAnsi="Arial"/>
          <w:sz w:val="13"/>
          <w:szCs w:val="13"/>
          <w:color w:val="auto"/>
        </w:rPr>
      </w:pPr>
      <w:r>
        <w:rPr>
          <w:rFonts w:ascii="Arial" w:cs="Arial" w:eastAsia="Arial" w:hAnsi="Arial"/>
          <w:sz w:val="13"/>
          <w:szCs w:val="13"/>
          <w:color w:val="auto"/>
        </w:rPr>
        <w:t>either the Borrower or the Bank, the overdrawn balance of the account in excess of the applicable Facility Limit is immediately payable without further notice.</w:t>
      </w:r>
    </w:p>
    <w:p>
      <w:pPr>
        <w:spacing w:after="0" w:line="56" w:lineRule="exact"/>
        <w:rPr>
          <w:rFonts w:ascii="Arial" w:cs="Arial" w:eastAsia="Arial" w:hAnsi="Arial"/>
          <w:sz w:val="13"/>
          <w:szCs w:val="13"/>
          <w:color w:val="auto"/>
        </w:rPr>
      </w:pPr>
    </w:p>
    <w:p>
      <w:pPr>
        <w:ind w:left="1100" w:right="80" w:hanging="464"/>
        <w:spacing w:after="0" w:line="244" w:lineRule="auto"/>
        <w:tabs>
          <w:tab w:leader="none" w:pos="1100" w:val="left"/>
        </w:tabs>
        <w:numPr>
          <w:ilvl w:val="0"/>
          <w:numId w:val="396"/>
        </w:numPr>
        <w:rPr>
          <w:rFonts w:ascii="Arial" w:cs="Arial" w:eastAsia="Arial" w:hAnsi="Arial"/>
          <w:sz w:val="13"/>
          <w:szCs w:val="13"/>
          <w:color w:val="auto"/>
        </w:rPr>
      </w:pPr>
      <w:r>
        <w:rPr>
          <w:rFonts w:ascii="Arial" w:cs="Arial" w:eastAsia="Arial" w:hAnsi="Arial"/>
          <w:sz w:val="13"/>
          <w:szCs w:val="13"/>
          <w:color w:val="auto"/>
        </w:rPr>
        <w:t>Unless otherwise provided, the Bank may apply any payment under or in connection with this document towards satisfying obligations under this document as the Bank sees fit.</w:t>
      </w:r>
    </w:p>
    <w:p>
      <w:pPr>
        <w:spacing w:after="0" w:line="56" w:lineRule="exact"/>
        <w:rPr>
          <w:rFonts w:ascii="Arial" w:cs="Arial" w:eastAsia="Arial" w:hAnsi="Arial"/>
          <w:sz w:val="13"/>
          <w:szCs w:val="13"/>
          <w:color w:val="auto"/>
        </w:rPr>
      </w:pPr>
    </w:p>
    <w:p>
      <w:pPr>
        <w:ind w:left="1160" w:hanging="524"/>
        <w:spacing w:after="0"/>
        <w:tabs>
          <w:tab w:leader="none" w:pos="1160" w:val="left"/>
        </w:tabs>
        <w:numPr>
          <w:ilvl w:val="0"/>
          <w:numId w:val="396"/>
        </w:numPr>
        <w:rPr>
          <w:rFonts w:ascii="Arial" w:cs="Arial" w:eastAsia="Arial" w:hAnsi="Arial"/>
          <w:sz w:val="13"/>
          <w:szCs w:val="13"/>
          <w:color w:val="auto"/>
        </w:rPr>
      </w:pPr>
      <w:r>
        <w:rPr>
          <w:rFonts w:ascii="Arial" w:cs="Arial" w:eastAsia="Arial" w:hAnsi="Arial"/>
          <w:sz w:val="13"/>
          <w:szCs w:val="13"/>
          <w:color w:val="auto"/>
        </w:rPr>
        <w:t>Where the Bank is authorised to debit an amount from an account under this document, it can do so without prior notice.</w:t>
      </w:r>
    </w:p>
    <w:p>
      <w:pPr>
        <w:spacing w:after="0" w:line="83" w:lineRule="exact"/>
        <w:rPr>
          <w:sz w:val="20"/>
          <w:szCs w:val="20"/>
          <w:color w:val="auto"/>
        </w:rPr>
      </w:pPr>
    </w:p>
    <w:p>
      <w:pPr>
        <w:ind w:left="140"/>
        <w:spacing w:after="0"/>
        <w:tabs>
          <w:tab w:leader="none" w:pos="1420" w:val="left"/>
        </w:tabs>
        <w:rPr>
          <w:sz w:val="20"/>
          <w:szCs w:val="20"/>
          <w:color w:val="auto"/>
        </w:rPr>
      </w:pPr>
      <w:r>
        <w:rPr>
          <w:rFonts w:ascii="Arial" w:cs="Arial" w:eastAsia="Arial" w:hAnsi="Arial"/>
          <w:sz w:val="14"/>
          <w:szCs w:val="14"/>
          <w:b w:val="1"/>
          <w:bCs w:val="1"/>
          <w:color w:val="auto"/>
        </w:rPr>
        <w:t>12.6</w:t>
      </w:r>
      <w:r>
        <w:rPr>
          <w:sz w:val="20"/>
          <w:szCs w:val="20"/>
          <w:color w:val="auto"/>
        </w:rPr>
        <w:tab/>
      </w:r>
      <w:r>
        <w:rPr>
          <w:rFonts w:ascii="Arial" w:cs="Arial" w:eastAsia="Arial" w:hAnsi="Arial"/>
          <w:sz w:val="14"/>
          <w:szCs w:val="14"/>
          <w:b w:val="1"/>
          <w:bCs w:val="1"/>
          <w:color w:val="auto"/>
        </w:rPr>
        <w:t>Liability for Regulatory Events</w:t>
      </w:r>
    </w:p>
    <w:p>
      <w:pPr>
        <w:spacing w:after="0" w:line="75" w:lineRule="exact"/>
        <w:rPr>
          <w:sz w:val="20"/>
          <w:szCs w:val="20"/>
          <w:color w:val="auto"/>
        </w:rPr>
      </w:pPr>
    </w:p>
    <w:p>
      <w:pPr>
        <w:ind w:left="1660" w:right="540" w:hanging="1024"/>
        <w:spacing w:after="0" w:line="244" w:lineRule="auto"/>
        <w:tabs>
          <w:tab w:leader="none" w:pos="1660" w:val="left"/>
        </w:tabs>
        <w:numPr>
          <w:ilvl w:val="0"/>
          <w:numId w:val="397"/>
        </w:numPr>
        <w:rPr>
          <w:rFonts w:ascii="Arial" w:cs="Arial" w:eastAsia="Arial" w:hAnsi="Arial"/>
          <w:sz w:val="13"/>
          <w:szCs w:val="13"/>
          <w:color w:val="auto"/>
        </w:rPr>
      </w:pPr>
      <w:r>
        <w:rPr>
          <w:rFonts w:ascii="Arial" w:cs="Arial" w:eastAsia="Arial" w:hAnsi="Arial"/>
          <w:sz w:val="13"/>
          <w:szCs w:val="13"/>
          <w:color w:val="auto"/>
        </w:rPr>
        <w:t>The Borrower acknowledges that the Services may be interrupted, prevented, delayed or otherwise adversely affected by a Regulatory Event.</w:t>
      </w:r>
    </w:p>
    <w:p>
      <w:pPr>
        <w:spacing w:after="0" w:line="56" w:lineRule="exact"/>
        <w:rPr>
          <w:rFonts w:ascii="Arial" w:cs="Arial" w:eastAsia="Arial" w:hAnsi="Arial"/>
          <w:sz w:val="13"/>
          <w:szCs w:val="13"/>
          <w:color w:val="auto"/>
        </w:rPr>
      </w:pPr>
    </w:p>
    <w:p>
      <w:pPr>
        <w:ind w:left="1400" w:hanging="764"/>
        <w:spacing w:after="0"/>
        <w:tabs>
          <w:tab w:leader="none" w:pos="1400" w:val="left"/>
        </w:tabs>
        <w:numPr>
          <w:ilvl w:val="0"/>
          <w:numId w:val="397"/>
        </w:numPr>
        <w:rPr>
          <w:rFonts w:ascii="Arial" w:cs="Arial" w:eastAsia="Arial" w:hAnsi="Arial"/>
          <w:sz w:val="13"/>
          <w:szCs w:val="13"/>
          <w:color w:val="auto"/>
        </w:rPr>
      </w:pPr>
      <w:r>
        <w:rPr>
          <w:rFonts w:ascii="Arial" w:cs="Arial" w:eastAsia="Arial" w:hAnsi="Arial"/>
          <w:sz w:val="13"/>
          <w:szCs w:val="13"/>
          <w:color w:val="auto"/>
        </w:rPr>
        <w:t>To the extent permitted by Law:</w:t>
      </w:r>
    </w:p>
    <w:p>
      <w:pPr>
        <w:spacing w:after="0" w:line="59" w:lineRule="exact"/>
        <w:rPr>
          <w:rFonts w:ascii="Arial" w:cs="Arial" w:eastAsia="Arial" w:hAnsi="Arial"/>
          <w:sz w:val="13"/>
          <w:szCs w:val="13"/>
          <w:color w:val="auto"/>
        </w:rPr>
      </w:pPr>
    </w:p>
    <w:p>
      <w:pPr>
        <w:ind w:left="1660" w:right="280" w:hanging="672"/>
        <w:spacing w:after="0" w:line="250" w:lineRule="auto"/>
        <w:tabs>
          <w:tab w:leader="none" w:pos="1660" w:val="left"/>
        </w:tabs>
        <w:numPr>
          <w:ilvl w:val="1"/>
          <w:numId w:val="397"/>
        </w:numPr>
        <w:rPr>
          <w:rFonts w:ascii="Arial" w:cs="Arial" w:eastAsia="Arial" w:hAnsi="Arial"/>
          <w:sz w:val="13"/>
          <w:szCs w:val="13"/>
          <w:color w:val="auto"/>
        </w:rPr>
      </w:pPr>
      <w:r>
        <w:rPr>
          <w:rFonts w:ascii="Arial" w:cs="Arial" w:eastAsia="Arial" w:hAnsi="Arial"/>
          <w:sz w:val="13"/>
          <w:szCs w:val="13"/>
          <w:color w:val="auto"/>
        </w:rPr>
        <w:t xml:space="preserve">the Bank is not liable for any loss incurred by a Borrower or any other person if an event described in </w:t>
      </w:r>
      <w:r>
        <w:rPr>
          <w:rFonts w:ascii="Arial" w:cs="Arial" w:eastAsia="Arial" w:hAnsi="Arial"/>
          <w:sz w:val="13"/>
          <w:szCs w:val="13"/>
          <w:b w:val="1"/>
          <w:bCs w:val="1"/>
          <w:color w:val="auto"/>
        </w:rPr>
        <w:t>clause 12.6(a)</w:t>
      </w:r>
      <w:r>
        <w:rPr>
          <w:rFonts w:ascii="Arial" w:cs="Arial" w:eastAsia="Arial" w:hAnsi="Arial"/>
          <w:sz w:val="13"/>
          <w:szCs w:val="13"/>
          <w:color w:val="auto"/>
        </w:rPr>
        <w:t xml:space="preserve"> occurs, irrespective of the nature or cause of that loss, and the Bank has no obligation to contest any Regulatory Event or to mitigate its impact on the Borrower or the Bank; and</w:t>
      </w:r>
    </w:p>
    <w:p>
      <w:pPr>
        <w:spacing w:after="0" w:line="53" w:lineRule="exact"/>
        <w:rPr>
          <w:rFonts w:ascii="Arial" w:cs="Arial" w:eastAsia="Arial" w:hAnsi="Arial"/>
          <w:sz w:val="13"/>
          <w:szCs w:val="13"/>
          <w:color w:val="auto"/>
        </w:rPr>
      </w:pPr>
    </w:p>
    <w:p>
      <w:pPr>
        <w:ind w:left="1560" w:right="240" w:hanging="572"/>
        <w:spacing w:after="0" w:line="244" w:lineRule="auto"/>
        <w:tabs>
          <w:tab w:leader="none" w:pos="1560" w:val="left"/>
        </w:tabs>
        <w:numPr>
          <w:ilvl w:val="1"/>
          <w:numId w:val="397"/>
        </w:numPr>
        <w:rPr>
          <w:rFonts w:ascii="Arial" w:cs="Arial" w:eastAsia="Arial" w:hAnsi="Arial"/>
          <w:sz w:val="13"/>
          <w:szCs w:val="13"/>
          <w:color w:val="auto"/>
        </w:rPr>
      </w:pPr>
      <w:r>
        <w:rPr>
          <w:rFonts w:ascii="Arial" w:cs="Arial" w:eastAsia="Arial" w:hAnsi="Arial"/>
          <w:sz w:val="13"/>
          <w:szCs w:val="13"/>
          <w:color w:val="auto"/>
        </w:rPr>
        <w:t xml:space="preserve">the Borrower releases the Bank from all liability in connection with any loss incurred by a Borrower or any other person if an event described in </w:t>
      </w:r>
      <w:r>
        <w:rPr>
          <w:rFonts w:ascii="Arial" w:cs="Arial" w:eastAsia="Arial" w:hAnsi="Arial"/>
          <w:sz w:val="13"/>
          <w:szCs w:val="13"/>
          <w:b w:val="1"/>
          <w:bCs w:val="1"/>
          <w:color w:val="auto"/>
        </w:rPr>
        <w:t>clause 12.6(a)</w:t>
      </w:r>
      <w:r>
        <w:rPr>
          <w:rFonts w:ascii="Arial" w:cs="Arial" w:eastAsia="Arial" w:hAnsi="Arial"/>
          <w:sz w:val="13"/>
          <w:szCs w:val="13"/>
          <w:color w:val="auto"/>
        </w:rPr>
        <w:t xml:space="preserve"> occurs.</w:t>
      </w:r>
    </w:p>
    <w:p>
      <w:pPr>
        <w:spacing w:after="0" w:line="56" w:lineRule="exact"/>
        <w:rPr>
          <w:rFonts w:ascii="Arial" w:cs="Arial" w:eastAsia="Arial" w:hAnsi="Arial"/>
          <w:sz w:val="13"/>
          <w:szCs w:val="13"/>
          <w:color w:val="auto"/>
        </w:rPr>
      </w:pPr>
    </w:p>
    <w:p>
      <w:pPr>
        <w:ind w:left="1580" w:right="400" w:hanging="944"/>
        <w:spacing w:after="0" w:line="244" w:lineRule="auto"/>
        <w:tabs>
          <w:tab w:leader="none" w:pos="1580" w:val="left"/>
        </w:tabs>
        <w:numPr>
          <w:ilvl w:val="0"/>
          <w:numId w:val="397"/>
        </w:numPr>
        <w:rPr>
          <w:rFonts w:ascii="Arial" w:cs="Arial" w:eastAsia="Arial" w:hAnsi="Arial"/>
          <w:sz w:val="13"/>
          <w:szCs w:val="13"/>
          <w:color w:val="auto"/>
        </w:rPr>
      </w:pPr>
      <w:r>
        <w:rPr>
          <w:rFonts w:ascii="Arial" w:cs="Arial" w:eastAsia="Arial" w:hAnsi="Arial"/>
          <w:sz w:val="13"/>
          <w:szCs w:val="13"/>
          <w:color w:val="auto"/>
        </w:rPr>
        <w:t>To the extent that the Bank’s liability cannot be excluded, the Bank’s liability is limited to the cost of having the Service supplied again.</w:t>
      </w:r>
    </w:p>
    <w:p>
      <w:pPr>
        <w:spacing w:after="0" w:line="56" w:lineRule="exact"/>
        <w:rPr>
          <w:rFonts w:ascii="Arial" w:cs="Arial" w:eastAsia="Arial" w:hAnsi="Arial"/>
          <w:sz w:val="13"/>
          <w:szCs w:val="13"/>
          <w:color w:val="auto"/>
        </w:rPr>
      </w:pPr>
    </w:p>
    <w:p>
      <w:pPr>
        <w:ind w:left="1040" w:right="200" w:hanging="404"/>
        <w:spacing w:after="0" w:line="238" w:lineRule="auto"/>
        <w:tabs>
          <w:tab w:leader="none" w:pos="1040" w:val="left"/>
        </w:tabs>
        <w:numPr>
          <w:ilvl w:val="0"/>
          <w:numId w:val="397"/>
        </w:numPr>
        <w:rPr>
          <w:rFonts w:ascii="Arial" w:cs="Arial" w:eastAsia="Arial" w:hAnsi="Arial"/>
          <w:sz w:val="13"/>
          <w:szCs w:val="13"/>
          <w:color w:val="auto"/>
        </w:rPr>
      </w:pPr>
      <w:r>
        <w:rPr>
          <w:rFonts w:ascii="Arial" w:cs="Arial" w:eastAsia="Arial" w:hAnsi="Arial"/>
          <w:sz w:val="13"/>
          <w:szCs w:val="13"/>
          <w:color w:val="auto"/>
        </w:rPr>
        <w:t>The Bank may use and disclose to any other financial institution or agency, any information about any Borrower, the Services or any person connected with it or the Services, for any purpose which the Bank, or any other financial institution, considers appropriate or necessary in connection with any Regulatory Event or the Services and this may result in information being transmitted overseas.</w:t>
      </w:r>
    </w:p>
    <w:p>
      <w:pPr>
        <w:spacing w:after="0" w:line="50" w:lineRule="exact"/>
        <w:rPr>
          <w:rFonts w:ascii="Arial" w:cs="Arial" w:eastAsia="Arial" w:hAnsi="Arial"/>
          <w:sz w:val="13"/>
          <w:szCs w:val="13"/>
          <w:color w:val="auto"/>
        </w:rPr>
      </w:pPr>
    </w:p>
    <w:p>
      <w:pPr>
        <w:ind w:left="1100" w:hanging="464"/>
        <w:spacing w:after="0" w:line="244" w:lineRule="auto"/>
        <w:tabs>
          <w:tab w:leader="none" w:pos="1100" w:val="left"/>
        </w:tabs>
        <w:numPr>
          <w:ilvl w:val="0"/>
          <w:numId w:val="397"/>
        </w:numPr>
        <w:rPr>
          <w:rFonts w:ascii="Arial" w:cs="Arial" w:eastAsia="Arial" w:hAnsi="Arial"/>
          <w:sz w:val="13"/>
          <w:szCs w:val="13"/>
          <w:color w:val="auto"/>
        </w:rPr>
      </w:pPr>
      <w:r>
        <w:rPr>
          <w:rFonts w:ascii="Arial" w:cs="Arial" w:eastAsia="Arial" w:hAnsi="Arial"/>
          <w:sz w:val="13"/>
          <w:szCs w:val="13"/>
          <w:color w:val="auto"/>
        </w:rPr>
        <w:t xml:space="preserve">The Borrower agrees to provide information to the Bank about it, the Services or any person connected with it or the Services on request, and to promptly procure any consents the Bank requires to give effect to </w:t>
      </w:r>
      <w:r>
        <w:rPr>
          <w:rFonts w:ascii="Arial" w:cs="Arial" w:eastAsia="Arial" w:hAnsi="Arial"/>
          <w:sz w:val="13"/>
          <w:szCs w:val="13"/>
          <w:b w:val="1"/>
          <w:bCs w:val="1"/>
          <w:color w:val="auto"/>
        </w:rPr>
        <w:t>clause 12.6(d)</w:t>
      </w:r>
      <w:r>
        <w:rPr>
          <w:rFonts w:ascii="Arial" w:cs="Arial" w:eastAsia="Arial" w:hAnsi="Arial"/>
          <w:sz w:val="13"/>
          <w:szCs w:val="13"/>
          <w:color w:val="auto"/>
        </w:rPr>
        <w:t>.</w:t>
      </w:r>
    </w:p>
    <w:p>
      <w:pPr>
        <w:spacing w:after="0" w:line="254" w:lineRule="exact"/>
        <w:rPr>
          <w:sz w:val="20"/>
          <w:szCs w:val="20"/>
          <w:color w:val="auto"/>
        </w:rPr>
      </w:pPr>
    </w:p>
    <w:tbl>
      <w:tblPr>
        <w:tblLayout w:type="fixed"/>
        <w:tblInd w:w="140" w:type="dxa"/>
        <w:tblCellMar>
          <w:top w:w="0" w:type="dxa"/>
          <w:left w:w="0" w:type="dxa"/>
          <w:bottom w:w="0" w:type="dxa"/>
          <w:right w:w="0" w:type="dxa"/>
        </w:tblCellMar>
      </w:tblPr>
      <w:tr>
        <w:trPr>
          <w:trHeight w:val="232"/>
        </w:trPr>
        <w:tc>
          <w:tcPr>
            <w:tcW w:w="640" w:type="dxa"/>
            <w:vAlign w:val="bottom"/>
          </w:tcPr>
          <w:p>
            <w:pPr>
              <w:spacing w:after="0"/>
              <w:rPr>
                <w:sz w:val="20"/>
                <w:szCs w:val="20"/>
                <w:color w:val="auto"/>
              </w:rPr>
            </w:pPr>
            <w:r>
              <w:rPr>
                <w:rFonts w:ascii="Arial" w:cs="Arial" w:eastAsia="Arial" w:hAnsi="Arial"/>
                <w:sz w:val="19"/>
                <w:szCs w:val="19"/>
                <w:color w:val="auto"/>
              </w:rPr>
              <w:t>13</w:t>
            </w:r>
          </w:p>
        </w:tc>
        <w:tc>
          <w:tcPr>
            <w:tcW w:w="2580" w:type="dxa"/>
            <w:vAlign w:val="bottom"/>
          </w:tcPr>
          <w:p>
            <w:pPr>
              <w:ind w:left="380"/>
              <w:spacing w:after="0"/>
              <w:rPr>
                <w:sz w:val="20"/>
                <w:szCs w:val="20"/>
                <w:color w:val="auto"/>
              </w:rPr>
            </w:pPr>
            <w:r>
              <w:rPr>
                <w:rFonts w:ascii="Arial" w:cs="Arial" w:eastAsia="Arial" w:hAnsi="Arial"/>
                <w:sz w:val="19"/>
                <w:szCs w:val="19"/>
                <w:color w:val="auto"/>
              </w:rPr>
              <w:t>Goods and Services Tax</w:t>
            </w:r>
          </w:p>
        </w:tc>
      </w:tr>
      <w:tr>
        <w:trPr>
          <w:trHeight w:val="245"/>
        </w:trPr>
        <w:tc>
          <w:tcPr>
            <w:tcW w:w="640" w:type="dxa"/>
            <w:vAlign w:val="bottom"/>
          </w:tcPr>
          <w:p>
            <w:pPr>
              <w:spacing w:after="0"/>
              <w:rPr>
                <w:sz w:val="20"/>
                <w:szCs w:val="20"/>
                <w:color w:val="auto"/>
              </w:rPr>
            </w:pPr>
            <w:r>
              <w:rPr>
                <w:rFonts w:ascii="Arial" w:cs="Arial" w:eastAsia="Arial" w:hAnsi="Arial"/>
                <w:sz w:val="14"/>
                <w:szCs w:val="14"/>
                <w:b w:val="1"/>
                <w:bCs w:val="1"/>
                <w:color w:val="auto"/>
              </w:rPr>
              <w:t>13.1</w:t>
            </w:r>
          </w:p>
        </w:tc>
        <w:tc>
          <w:tcPr>
            <w:tcW w:w="2580" w:type="dxa"/>
            <w:vAlign w:val="bottom"/>
          </w:tcPr>
          <w:p>
            <w:pPr>
              <w:ind w:left="1540"/>
              <w:spacing w:after="0"/>
              <w:rPr>
                <w:sz w:val="20"/>
                <w:szCs w:val="20"/>
                <w:color w:val="auto"/>
              </w:rPr>
            </w:pPr>
            <w:r>
              <w:rPr>
                <w:rFonts w:ascii="Arial" w:cs="Arial" w:eastAsia="Arial" w:hAnsi="Arial"/>
                <w:sz w:val="14"/>
                <w:szCs w:val="14"/>
                <w:b w:val="1"/>
                <w:bCs w:val="1"/>
                <w:color w:val="auto"/>
              </w:rPr>
              <w:t>Taxable supply</w:t>
            </w:r>
          </w:p>
        </w:tc>
      </w:tr>
    </w:tbl>
    <w:p>
      <w:pPr>
        <w:spacing w:after="0" w:line="46" w:lineRule="exact"/>
        <w:rPr>
          <w:sz w:val="20"/>
          <w:szCs w:val="20"/>
          <w:color w:val="auto"/>
        </w:rPr>
      </w:pPr>
    </w:p>
    <w:p>
      <w:pPr>
        <w:ind w:left="1020" w:hanging="384"/>
        <w:spacing w:after="0"/>
        <w:tabs>
          <w:tab w:leader="none" w:pos="1020" w:val="left"/>
        </w:tabs>
        <w:numPr>
          <w:ilvl w:val="0"/>
          <w:numId w:val="398"/>
        </w:numPr>
        <w:rPr>
          <w:rFonts w:ascii="Arial" w:cs="Arial" w:eastAsia="Arial" w:hAnsi="Arial"/>
          <w:sz w:val="13"/>
          <w:szCs w:val="13"/>
          <w:color w:val="auto"/>
        </w:rPr>
      </w:pPr>
      <w:r>
        <w:rPr>
          <w:rFonts w:ascii="Arial" w:cs="Arial" w:eastAsia="Arial" w:hAnsi="Arial"/>
          <w:sz w:val="13"/>
          <w:szCs w:val="13"/>
          <w:color w:val="auto"/>
        </w:rPr>
        <w:t>If GST is payable by the Bank on any supply made under a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173990</wp:posOffset>
            </wp:positionV>
            <wp:extent cx="6208395"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208395" cy="42545"/>
                    </a:xfrm>
                    <a:prstGeom prst="rect">
                      <a:avLst/>
                    </a:prstGeom>
                    <a:noFill/>
                  </pic:spPr>
                </pic:pic>
              </a:graphicData>
            </a:graphic>
          </wp:anchor>
        </w:drawing>
      </w:r>
    </w:p>
    <w:p>
      <w:pPr>
        <w:sectPr>
          <w:pgSz w:w="11900" w:h="16838" w:orient="portrait"/>
          <w:cols w:equalWidth="0" w:num="1">
            <w:col w:w="9360"/>
          </w:cols>
          <w:pgMar w:left="1440" w:top="560" w:right="1099" w:bottom="1440" w:gutter="0" w:footer="0" w:header="0"/>
        </w:sectPr>
      </w:pPr>
    </w:p>
    <w:bookmarkStart w:id="273" w:name="page274"/>
    <w:bookmarkEnd w:id="273"/>
    <w:p>
      <w:pPr>
        <w:ind w:left="980"/>
        <w:spacing w:after="0"/>
        <w:rPr>
          <w:sz w:val="20"/>
          <w:szCs w:val="20"/>
          <w:color w:val="auto"/>
        </w:rPr>
      </w:pPr>
      <w:r>
        <w:rPr>
          <w:rFonts w:ascii="Arial" w:cs="Arial" w:eastAsia="Arial" w:hAnsi="Arial"/>
          <w:sz w:val="13"/>
          <w:szCs w:val="13"/>
          <w:color w:val="auto"/>
        </w:rPr>
        <w:t>Document, the Borrower must pay to the Bank an amount equal to the GST payable on the supply.</w:t>
      </w:r>
    </w:p>
    <w:p>
      <w:pPr>
        <w:spacing w:after="0" w:line="67" w:lineRule="exact"/>
        <w:rPr>
          <w:sz w:val="20"/>
          <w:szCs w:val="20"/>
          <w:color w:val="auto"/>
        </w:rPr>
      </w:pPr>
    </w:p>
    <w:p>
      <w:pPr>
        <w:ind w:left="1060" w:right="60" w:hanging="424"/>
        <w:spacing w:after="0" w:line="244" w:lineRule="auto"/>
        <w:tabs>
          <w:tab w:leader="none" w:pos="1060" w:val="left"/>
        </w:tabs>
        <w:numPr>
          <w:ilvl w:val="0"/>
          <w:numId w:val="399"/>
        </w:numPr>
        <w:rPr>
          <w:rFonts w:ascii="Arial" w:cs="Arial" w:eastAsia="Arial" w:hAnsi="Arial"/>
          <w:sz w:val="13"/>
          <w:szCs w:val="13"/>
          <w:color w:val="auto"/>
        </w:rPr>
      </w:pPr>
      <w:r>
        <w:rPr>
          <w:rFonts w:ascii="Arial" w:cs="Arial" w:eastAsia="Arial" w:hAnsi="Arial"/>
          <w:sz w:val="13"/>
          <w:szCs w:val="13"/>
          <w:color w:val="auto"/>
        </w:rPr>
        <w:t>That amount must be paid at the same time that the consideration for the supply is to be provided under the Transaction Document and must be paid in addition to the consideration expressed elsewhere in the Transaction Document.</w:t>
      </w:r>
    </w:p>
    <w:p>
      <w:pPr>
        <w:spacing w:after="0" w:line="56" w:lineRule="exact"/>
        <w:rPr>
          <w:rFonts w:ascii="Arial" w:cs="Arial" w:eastAsia="Arial" w:hAnsi="Arial"/>
          <w:sz w:val="13"/>
          <w:szCs w:val="13"/>
          <w:color w:val="auto"/>
        </w:rPr>
      </w:pPr>
    </w:p>
    <w:p>
      <w:pPr>
        <w:ind w:left="1320" w:hanging="684"/>
        <w:spacing w:after="0"/>
        <w:tabs>
          <w:tab w:leader="none" w:pos="1320" w:val="left"/>
        </w:tabs>
        <w:numPr>
          <w:ilvl w:val="0"/>
          <w:numId w:val="399"/>
        </w:numPr>
        <w:rPr>
          <w:rFonts w:ascii="Arial" w:cs="Arial" w:eastAsia="Arial" w:hAnsi="Arial"/>
          <w:sz w:val="13"/>
          <w:szCs w:val="13"/>
          <w:color w:val="auto"/>
        </w:rPr>
      </w:pPr>
      <w:r>
        <w:rPr>
          <w:rFonts w:ascii="Arial" w:cs="Arial" w:eastAsia="Arial" w:hAnsi="Arial"/>
          <w:sz w:val="13"/>
          <w:szCs w:val="13"/>
          <w:color w:val="auto"/>
        </w:rPr>
        <w:t>On receiving that amount from the Borrower, the Bank must provide the Borrower with a tax invoice for the supply.</w:t>
      </w:r>
    </w:p>
    <w:p>
      <w:pPr>
        <w:spacing w:after="0" w:line="83" w:lineRule="exact"/>
        <w:rPr>
          <w:sz w:val="20"/>
          <w:szCs w:val="20"/>
          <w:color w:val="auto"/>
        </w:rPr>
      </w:pPr>
    </w:p>
    <w:p>
      <w:pPr>
        <w:ind w:left="140"/>
        <w:spacing w:after="0"/>
        <w:tabs>
          <w:tab w:leader="none" w:pos="1980" w:val="left"/>
        </w:tabs>
        <w:rPr>
          <w:sz w:val="20"/>
          <w:szCs w:val="20"/>
          <w:color w:val="auto"/>
        </w:rPr>
      </w:pPr>
      <w:r>
        <w:rPr>
          <w:rFonts w:ascii="Arial" w:cs="Arial" w:eastAsia="Arial" w:hAnsi="Arial"/>
          <w:sz w:val="14"/>
          <w:szCs w:val="14"/>
          <w:b w:val="1"/>
          <w:bCs w:val="1"/>
          <w:color w:val="auto"/>
        </w:rPr>
        <w:t>13.2</w:t>
      </w:r>
      <w:r>
        <w:rPr>
          <w:sz w:val="20"/>
          <w:szCs w:val="20"/>
          <w:color w:val="auto"/>
        </w:rPr>
        <w:tab/>
      </w:r>
      <w:r>
        <w:rPr>
          <w:rFonts w:ascii="Arial" w:cs="Arial" w:eastAsia="Arial" w:hAnsi="Arial"/>
          <w:sz w:val="14"/>
          <w:szCs w:val="14"/>
          <w:b w:val="1"/>
          <w:bCs w:val="1"/>
          <w:color w:val="auto"/>
        </w:rPr>
        <w:t>Adjustment events</w:t>
      </w:r>
    </w:p>
    <w:p>
      <w:pPr>
        <w:spacing w:after="0" w:line="75" w:lineRule="exact"/>
        <w:rPr>
          <w:sz w:val="20"/>
          <w:szCs w:val="20"/>
          <w:color w:val="auto"/>
        </w:rPr>
      </w:pPr>
    </w:p>
    <w:p>
      <w:pPr>
        <w:jc w:val="both"/>
        <w:ind w:left="640" w:right="140"/>
        <w:spacing w:after="0" w:line="238" w:lineRule="auto"/>
        <w:rPr>
          <w:sz w:val="20"/>
          <w:szCs w:val="20"/>
          <w:color w:val="auto"/>
        </w:rPr>
      </w:pPr>
      <w:r>
        <w:rPr>
          <w:rFonts w:ascii="Arial" w:cs="Arial" w:eastAsia="Arial" w:hAnsi="Arial"/>
          <w:sz w:val="13"/>
          <w:szCs w:val="13"/>
          <w:color w:val="auto"/>
        </w:rPr>
        <w:t xml:space="preserve">If an adjustment event arises in relation to a supply made by the Bank to the Borrower under a Transaction Document, a corresponding adjustment must be made between the Bank and the Borrower in relation to any amount paid to the Bank by the Borrower under </w:t>
      </w:r>
      <w:r>
        <w:rPr>
          <w:rFonts w:ascii="Arial" w:cs="Arial" w:eastAsia="Arial" w:hAnsi="Arial"/>
          <w:sz w:val="13"/>
          <w:szCs w:val="13"/>
          <w:b w:val="1"/>
          <w:bCs w:val="1"/>
          <w:color w:val="auto"/>
        </w:rPr>
        <w:t>clause 13.1</w:t>
      </w:r>
      <w:r>
        <w:rPr>
          <w:rFonts w:ascii="Arial" w:cs="Arial" w:eastAsia="Arial" w:hAnsi="Arial"/>
          <w:sz w:val="13"/>
          <w:szCs w:val="13"/>
          <w:color w:val="auto"/>
        </w:rPr>
        <w:t xml:space="preserve"> and payments to give effect to the adjustment must be made.</w:t>
      </w:r>
    </w:p>
    <w:p>
      <w:pPr>
        <w:spacing w:after="0" w:line="67" w:lineRule="exact"/>
        <w:rPr>
          <w:sz w:val="20"/>
          <w:szCs w:val="20"/>
          <w:color w:val="auto"/>
        </w:rPr>
      </w:pPr>
    </w:p>
    <w:p>
      <w:pPr>
        <w:ind w:left="140"/>
        <w:spacing w:after="0"/>
        <w:tabs>
          <w:tab w:leader="none" w:pos="3020" w:val="left"/>
        </w:tabs>
        <w:rPr>
          <w:sz w:val="20"/>
          <w:szCs w:val="20"/>
          <w:color w:val="auto"/>
        </w:rPr>
      </w:pPr>
      <w:r>
        <w:rPr>
          <w:rFonts w:ascii="Arial" w:cs="Arial" w:eastAsia="Arial" w:hAnsi="Arial"/>
          <w:sz w:val="14"/>
          <w:szCs w:val="14"/>
          <w:b w:val="1"/>
          <w:bCs w:val="1"/>
          <w:color w:val="auto"/>
        </w:rPr>
        <w:t>13.3</w:t>
      </w:r>
      <w:r>
        <w:rPr>
          <w:sz w:val="20"/>
          <w:szCs w:val="20"/>
          <w:color w:val="auto"/>
        </w:rPr>
        <w:tab/>
      </w:r>
      <w:r>
        <w:rPr>
          <w:rFonts w:ascii="Arial" w:cs="Arial" w:eastAsia="Arial" w:hAnsi="Arial"/>
          <w:sz w:val="14"/>
          <w:szCs w:val="14"/>
          <w:b w:val="1"/>
          <w:bCs w:val="1"/>
          <w:color w:val="auto"/>
        </w:rPr>
        <w:t>Payments</w:t>
      </w:r>
    </w:p>
    <w:p>
      <w:pPr>
        <w:spacing w:after="0" w:line="75" w:lineRule="exact"/>
        <w:rPr>
          <w:sz w:val="20"/>
          <w:szCs w:val="20"/>
          <w:color w:val="auto"/>
        </w:rPr>
      </w:pPr>
    </w:p>
    <w:p>
      <w:pPr>
        <w:ind w:left="640" w:right="420"/>
        <w:spacing w:after="0" w:line="244" w:lineRule="auto"/>
        <w:rPr>
          <w:sz w:val="20"/>
          <w:szCs w:val="20"/>
          <w:color w:val="auto"/>
        </w:rPr>
      </w:pPr>
      <w:r>
        <w:rPr>
          <w:rFonts w:ascii="Arial" w:cs="Arial" w:eastAsia="Arial" w:hAnsi="Arial"/>
          <w:sz w:val="13"/>
          <w:szCs w:val="13"/>
          <w:color w:val="auto"/>
        </w:rPr>
        <w:t>If the Borrower is required under a Transaction Document to pay for or reimburse an expense or outgoing of the Bank or is required to make a payment under an indemnity in relation to an expense or outgoing of the Bank, the amount to be paid by the Borrower is the sum of:</w:t>
      </w:r>
    </w:p>
    <w:p>
      <w:pPr>
        <w:spacing w:after="0" w:line="47" w:lineRule="exact"/>
        <w:rPr>
          <w:sz w:val="20"/>
          <w:szCs w:val="20"/>
          <w:color w:val="auto"/>
        </w:rPr>
      </w:pPr>
    </w:p>
    <w:p>
      <w:pPr>
        <w:ind w:left="1700" w:right="300" w:hanging="1064"/>
        <w:spacing w:after="0" w:line="244" w:lineRule="auto"/>
        <w:tabs>
          <w:tab w:leader="none" w:pos="1700" w:val="left"/>
        </w:tabs>
        <w:numPr>
          <w:ilvl w:val="0"/>
          <w:numId w:val="400"/>
        </w:numPr>
        <w:rPr>
          <w:rFonts w:ascii="Arial" w:cs="Arial" w:eastAsia="Arial" w:hAnsi="Arial"/>
          <w:sz w:val="13"/>
          <w:szCs w:val="13"/>
          <w:color w:val="auto"/>
        </w:rPr>
      </w:pPr>
      <w:r>
        <w:rPr>
          <w:rFonts w:ascii="Arial" w:cs="Arial" w:eastAsia="Arial" w:hAnsi="Arial"/>
          <w:sz w:val="13"/>
          <w:szCs w:val="13"/>
          <w:color w:val="auto"/>
        </w:rPr>
        <w:t>the amount of the expense or outgoing less any input tax credit in relation to that expense or outgoing that the Bank is entitled to; and</w:t>
      </w:r>
    </w:p>
    <w:p>
      <w:pPr>
        <w:spacing w:after="0" w:line="56" w:lineRule="exact"/>
        <w:rPr>
          <w:rFonts w:ascii="Arial" w:cs="Arial" w:eastAsia="Arial" w:hAnsi="Arial"/>
          <w:sz w:val="13"/>
          <w:szCs w:val="13"/>
          <w:color w:val="auto"/>
        </w:rPr>
      </w:pPr>
    </w:p>
    <w:p>
      <w:pPr>
        <w:ind w:left="1040" w:right="100" w:hanging="404"/>
        <w:spacing w:after="0" w:line="244" w:lineRule="auto"/>
        <w:tabs>
          <w:tab w:leader="none" w:pos="1040" w:val="left"/>
        </w:tabs>
        <w:numPr>
          <w:ilvl w:val="0"/>
          <w:numId w:val="400"/>
        </w:numPr>
        <w:rPr>
          <w:rFonts w:ascii="Arial" w:cs="Arial" w:eastAsia="Arial" w:hAnsi="Arial"/>
          <w:sz w:val="13"/>
          <w:szCs w:val="13"/>
          <w:color w:val="auto"/>
        </w:rPr>
      </w:pPr>
      <w:r>
        <w:rPr>
          <w:rFonts w:ascii="Arial" w:cs="Arial" w:eastAsia="Arial" w:hAnsi="Arial"/>
          <w:sz w:val="13"/>
          <w:szCs w:val="13"/>
          <w:color w:val="auto"/>
        </w:rPr>
        <w:t>if the Bank’s recovery from the Borrower is in relation to a taxable supply, an amount equal to the GST payable by the Bank in relation to that recovery.</w:t>
      </w:r>
    </w:p>
    <w:p>
      <w:pPr>
        <w:spacing w:after="0" w:line="254" w:lineRule="exact"/>
        <w:rPr>
          <w:sz w:val="20"/>
          <w:szCs w:val="20"/>
          <w:color w:val="auto"/>
        </w:rPr>
      </w:pPr>
    </w:p>
    <w:p>
      <w:pPr>
        <w:ind w:left="140"/>
        <w:spacing w:after="0"/>
        <w:tabs>
          <w:tab w:leader="none" w:pos="1540" w:val="left"/>
        </w:tabs>
        <w:rPr>
          <w:sz w:val="20"/>
          <w:szCs w:val="20"/>
          <w:color w:val="auto"/>
        </w:rPr>
      </w:pPr>
      <w:r>
        <w:rPr>
          <w:rFonts w:ascii="Arial" w:cs="Arial" w:eastAsia="Arial" w:hAnsi="Arial"/>
          <w:sz w:val="19"/>
          <w:szCs w:val="19"/>
          <w:color w:val="auto"/>
        </w:rPr>
        <w:t>14</w:t>
      </w:r>
      <w:r>
        <w:rPr>
          <w:sz w:val="20"/>
          <w:szCs w:val="20"/>
          <w:color w:val="auto"/>
        </w:rPr>
        <w:tab/>
      </w:r>
      <w:r>
        <w:rPr>
          <w:rFonts w:ascii="Arial" w:cs="Arial" w:eastAsia="Arial" w:hAnsi="Arial"/>
          <w:sz w:val="19"/>
          <w:szCs w:val="19"/>
          <w:color w:val="auto"/>
        </w:rPr>
        <w:t>Increased costs</w:t>
      </w:r>
    </w:p>
    <w:p>
      <w:pPr>
        <w:spacing w:after="0" w:line="61" w:lineRule="exact"/>
        <w:rPr>
          <w:sz w:val="20"/>
          <w:szCs w:val="20"/>
          <w:color w:val="auto"/>
        </w:rPr>
      </w:pPr>
    </w:p>
    <w:p>
      <w:pPr>
        <w:ind w:left="640"/>
        <w:spacing w:after="0"/>
        <w:rPr>
          <w:sz w:val="20"/>
          <w:szCs w:val="20"/>
          <w:color w:val="auto"/>
        </w:rPr>
      </w:pPr>
      <w:r>
        <w:rPr>
          <w:rFonts w:ascii="Arial" w:cs="Arial" w:eastAsia="Arial" w:hAnsi="Arial"/>
          <w:sz w:val="13"/>
          <w:szCs w:val="13"/>
          <w:color w:val="auto"/>
        </w:rPr>
        <w:t>If the Bank determines that:</w:t>
      </w:r>
    </w:p>
    <w:p>
      <w:pPr>
        <w:spacing w:after="0" w:line="76" w:lineRule="exact"/>
        <w:rPr>
          <w:sz w:val="20"/>
          <w:szCs w:val="20"/>
          <w:color w:val="auto"/>
        </w:rPr>
      </w:pPr>
    </w:p>
    <w:p>
      <w:pPr>
        <w:ind w:left="1000" w:hanging="364"/>
        <w:spacing w:after="0"/>
        <w:tabs>
          <w:tab w:leader="none" w:pos="1000" w:val="left"/>
        </w:tabs>
        <w:numPr>
          <w:ilvl w:val="0"/>
          <w:numId w:val="401"/>
        </w:numPr>
        <w:rPr>
          <w:rFonts w:ascii="Arial" w:cs="Arial" w:eastAsia="Arial" w:hAnsi="Arial"/>
          <w:sz w:val="13"/>
          <w:szCs w:val="13"/>
          <w:color w:val="auto"/>
        </w:rPr>
      </w:pPr>
      <w:r>
        <w:rPr>
          <w:rFonts w:ascii="Arial" w:cs="Arial" w:eastAsia="Arial" w:hAnsi="Arial"/>
          <w:sz w:val="13"/>
          <w:szCs w:val="13"/>
          <w:color w:val="auto"/>
        </w:rPr>
        <w:t>the cost to it of providing, funding or maintaining the Facility is increased;</w:t>
      </w:r>
    </w:p>
    <w:p>
      <w:pPr>
        <w:spacing w:after="0" w:line="84" w:lineRule="exact"/>
        <w:rPr>
          <w:rFonts w:ascii="Arial" w:cs="Arial" w:eastAsia="Arial" w:hAnsi="Arial"/>
          <w:sz w:val="13"/>
          <w:szCs w:val="13"/>
          <w:color w:val="auto"/>
        </w:rPr>
      </w:pPr>
    </w:p>
    <w:p>
      <w:pPr>
        <w:ind w:left="1320" w:hanging="684"/>
        <w:spacing w:after="0"/>
        <w:tabs>
          <w:tab w:leader="none" w:pos="1320" w:val="left"/>
        </w:tabs>
        <w:numPr>
          <w:ilvl w:val="0"/>
          <w:numId w:val="401"/>
        </w:numPr>
        <w:rPr>
          <w:rFonts w:ascii="Arial" w:cs="Arial" w:eastAsia="Arial" w:hAnsi="Arial"/>
          <w:sz w:val="13"/>
          <w:szCs w:val="13"/>
          <w:color w:val="auto"/>
        </w:rPr>
      </w:pPr>
      <w:r>
        <w:rPr>
          <w:rFonts w:ascii="Arial" w:cs="Arial" w:eastAsia="Arial" w:hAnsi="Arial"/>
          <w:sz w:val="13"/>
          <w:szCs w:val="13"/>
          <w:color w:val="auto"/>
        </w:rPr>
        <w:t>an amount payable to the Bank or the effective return to the Bank under a Transaction Document is reduced;</w:t>
      </w:r>
    </w:p>
    <w:p>
      <w:pPr>
        <w:spacing w:after="0" w:line="57" w:lineRule="exact"/>
        <w:rPr>
          <w:rFonts w:ascii="Arial" w:cs="Arial" w:eastAsia="Arial" w:hAnsi="Arial"/>
          <w:sz w:val="13"/>
          <w:szCs w:val="13"/>
          <w:color w:val="auto"/>
        </w:rPr>
      </w:pPr>
    </w:p>
    <w:p>
      <w:pPr>
        <w:ind w:left="1480" w:hanging="844"/>
        <w:spacing w:after="0"/>
        <w:tabs>
          <w:tab w:leader="none" w:pos="1480" w:val="left"/>
        </w:tabs>
        <w:numPr>
          <w:ilvl w:val="0"/>
          <w:numId w:val="401"/>
        </w:numPr>
        <w:rPr>
          <w:rFonts w:ascii="Arial" w:cs="Arial" w:eastAsia="Arial" w:hAnsi="Arial"/>
          <w:sz w:val="13"/>
          <w:szCs w:val="13"/>
          <w:color w:val="auto"/>
        </w:rPr>
      </w:pPr>
      <w:r>
        <w:rPr>
          <w:rFonts w:ascii="Arial" w:cs="Arial" w:eastAsia="Arial" w:hAnsi="Arial"/>
          <w:sz w:val="13"/>
          <w:szCs w:val="13"/>
          <w:color w:val="auto"/>
        </w:rPr>
        <w:t>the effective return to the Bank under any Transaction Document as a proportion of the capital of the Bank is reduced; or</w:t>
      </w:r>
    </w:p>
    <w:p>
      <w:pPr>
        <w:spacing w:after="0" w:line="66" w:lineRule="exact"/>
        <w:rPr>
          <w:rFonts w:ascii="Arial" w:cs="Arial" w:eastAsia="Arial" w:hAnsi="Arial"/>
          <w:sz w:val="13"/>
          <w:szCs w:val="13"/>
          <w:color w:val="auto"/>
        </w:rPr>
      </w:pPr>
    </w:p>
    <w:p>
      <w:pPr>
        <w:ind w:left="1280" w:right="160" w:hanging="644"/>
        <w:spacing w:after="0" w:line="244" w:lineRule="auto"/>
        <w:tabs>
          <w:tab w:leader="none" w:pos="1280" w:val="left"/>
        </w:tabs>
        <w:numPr>
          <w:ilvl w:val="0"/>
          <w:numId w:val="401"/>
        </w:numPr>
        <w:rPr>
          <w:rFonts w:ascii="Arial" w:cs="Arial" w:eastAsia="Arial" w:hAnsi="Arial"/>
          <w:sz w:val="13"/>
          <w:szCs w:val="13"/>
          <w:color w:val="auto"/>
        </w:rPr>
      </w:pPr>
      <w:r>
        <w:rPr>
          <w:rFonts w:ascii="Arial" w:cs="Arial" w:eastAsia="Arial" w:hAnsi="Arial"/>
          <w:sz w:val="13"/>
          <w:szCs w:val="13"/>
          <w:color w:val="auto"/>
        </w:rPr>
        <w:t>the Bank must make a payment or forego any interest or other return calculated by reference to any amount received or receivable by it from any Transaction Party under a Transaction Document,</w:t>
      </w:r>
    </w:p>
    <w:p>
      <w:pPr>
        <w:spacing w:after="0" w:line="56" w:lineRule="exact"/>
        <w:rPr>
          <w:sz w:val="20"/>
          <w:szCs w:val="20"/>
          <w:color w:val="auto"/>
        </w:rPr>
      </w:pPr>
    </w:p>
    <w:p>
      <w:pPr>
        <w:ind w:left="640"/>
        <w:spacing w:after="0"/>
        <w:rPr>
          <w:sz w:val="20"/>
          <w:szCs w:val="20"/>
          <w:color w:val="auto"/>
        </w:rPr>
      </w:pPr>
      <w:r>
        <w:rPr>
          <w:rFonts w:ascii="Arial" w:cs="Arial" w:eastAsia="Arial" w:hAnsi="Arial"/>
          <w:sz w:val="13"/>
          <w:szCs w:val="13"/>
          <w:color w:val="auto"/>
        </w:rPr>
        <w:t>because of:</w:t>
      </w:r>
    </w:p>
    <w:p>
      <w:pPr>
        <w:spacing w:after="0" w:line="76" w:lineRule="exact"/>
        <w:rPr>
          <w:sz w:val="20"/>
          <w:szCs w:val="20"/>
          <w:color w:val="auto"/>
        </w:rPr>
      </w:pPr>
    </w:p>
    <w:p>
      <w:pPr>
        <w:ind w:left="1140" w:hanging="504"/>
        <w:spacing w:after="0" w:line="244" w:lineRule="auto"/>
        <w:tabs>
          <w:tab w:leader="none" w:pos="1140" w:val="left"/>
        </w:tabs>
        <w:numPr>
          <w:ilvl w:val="0"/>
          <w:numId w:val="402"/>
        </w:numPr>
        <w:rPr>
          <w:rFonts w:ascii="Arial" w:cs="Arial" w:eastAsia="Arial" w:hAnsi="Arial"/>
          <w:sz w:val="13"/>
          <w:szCs w:val="13"/>
          <w:color w:val="auto"/>
        </w:rPr>
      </w:pPr>
      <w:r>
        <w:rPr>
          <w:rFonts w:ascii="Arial" w:cs="Arial" w:eastAsia="Arial" w:hAnsi="Arial"/>
          <w:sz w:val="13"/>
          <w:szCs w:val="13"/>
          <w:color w:val="auto"/>
        </w:rPr>
        <w:t>any law, regulation or Government Body directive or request (whether or not having the force of law) introduced or made after the date of this document, including those relating to taxation, capital adequacy or reserve requirements or banking or monetary controls;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161925</wp:posOffset>
            </wp:positionV>
            <wp:extent cx="6208395"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208395" cy="42545"/>
                    </a:xfrm>
                    <a:prstGeom prst="rect">
                      <a:avLst/>
                    </a:prstGeom>
                    <a:noFill/>
                  </pic:spPr>
                </pic:pic>
              </a:graphicData>
            </a:graphic>
          </wp:anchor>
        </w:drawing>
      </w:r>
    </w:p>
    <w:p>
      <w:pPr>
        <w:sectPr>
          <w:pgSz w:w="11900" w:h="16838" w:orient="portrait"/>
          <w:cols w:equalWidth="0" w:num="1">
            <w:col w:w="9340"/>
          </w:cols>
          <w:pgMar w:left="1440" w:top="561" w:right="1119" w:bottom="1440" w:gutter="0" w:footer="0" w:header="0"/>
        </w:sectPr>
      </w:pPr>
    </w:p>
    <w:bookmarkStart w:id="274" w:name="page275"/>
    <w:bookmarkEnd w:id="274"/>
    <w:p>
      <w:pPr>
        <w:ind w:left="1200" w:hanging="344"/>
        <w:spacing w:after="0"/>
        <w:tabs>
          <w:tab w:leader="none" w:pos="1200" w:val="left"/>
        </w:tabs>
        <w:numPr>
          <w:ilvl w:val="0"/>
          <w:numId w:val="403"/>
        </w:numPr>
        <w:rPr>
          <w:rFonts w:ascii="Arial" w:cs="Arial" w:eastAsia="Arial" w:hAnsi="Arial"/>
          <w:sz w:val="13"/>
          <w:szCs w:val="13"/>
          <w:color w:val="auto"/>
        </w:rPr>
      </w:pPr>
      <w:r>
        <w:rPr>
          <w:rFonts w:ascii="Arial" w:cs="Arial" w:eastAsia="Arial" w:hAnsi="Arial"/>
          <w:sz w:val="13"/>
          <w:szCs w:val="13"/>
          <w:color w:val="auto"/>
        </w:rPr>
        <w:t>any change in the interpretation or application of any of them,</w:t>
      </w:r>
    </w:p>
    <w:p>
      <w:pPr>
        <w:spacing w:after="0" w:line="76" w:lineRule="exact"/>
        <w:rPr>
          <w:sz w:val="20"/>
          <w:szCs w:val="20"/>
          <w:color w:val="auto"/>
        </w:rPr>
      </w:pPr>
    </w:p>
    <w:p>
      <w:pPr>
        <w:ind w:left="860" w:right="40"/>
        <w:spacing w:after="0" w:line="244" w:lineRule="auto"/>
        <w:rPr>
          <w:sz w:val="20"/>
          <w:szCs w:val="20"/>
          <w:color w:val="auto"/>
        </w:rPr>
      </w:pPr>
      <w:r>
        <w:rPr>
          <w:rFonts w:ascii="Arial" w:cs="Arial" w:eastAsia="Arial" w:hAnsi="Arial"/>
          <w:sz w:val="13"/>
          <w:szCs w:val="13"/>
          <w:color w:val="auto"/>
        </w:rPr>
        <w:t>the Borrower must, within two Business Days after a demand by the Bank, pay to the Bank the amount which, in the Bank’s reasonable opinion, will compensate the Bank for the increased cost, reduction, payment or foregone interest or other return.</w:t>
      </w:r>
    </w:p>
    <w:p>
      <w:pPr>
        <w:spacing w:after="0" w:line="245" w:lineRule="exact"/>
        <w:rPr>
          <w:sz w:val="20"/>
          <w:szCs w:val="20"/>
          <w:color w:val="auto"/>
        </w:rPr>
      </w:pPr>
    </w:p>
    <w:p>
      <w:pPr>
        <w:ind w:left="360"/>
        <w:spacing w:after="0"/>
        <w:tabs>
          <w:tab w:leader="none" w:pos="2660" w:val="left"/>
        </w:tabs>
        <w:rPr>
          <w:sz w:val="20"/>
          <w:szCs w:val="20"/>
          <w:color w:val="auto"/>
        </w:rPr>
      </w:pPr>
      <w:r>
        <w:rPr>
          <w:rFonts w:ascii="Arial" w:cs="Arial" w:eastAsia="Arial" w:hAnsi="Arial"/>
          <w:sz w:val="19"/>
          <w:szCs w:val="19"/>
          <w:color w:val="auto"/>
        </w:rPr>
        <w:t>15</w:t>
      </w:r>
      <w:r>
        <w:rPr>
          <w:sz w:val="20"/>
          <w:szCs w:val="20"/>
          <w:color w:val="auto"/>
        </w:rPr>
        <w:tab/>
      </w:r>
      <w:r>
        <w:rPr>
          <w:rFonts w:ascii="Arial" w:cs="Arial" w:eastAsia="Arial" w:hAnsi="Arial"/>
          <w:sz w:val="19"/>
          <w:szCs w:val="19"/>
          <w:color w:val="auto"/>
        </w:rPr>
        <w:t>Illegality</w:t>
      </w:r>
    </w:p>
    <w:p>
      <w:pPr>
        <w:spacing w:after="0" w:line="77" w:lineRule="exact"/>
        <w:rPr>
          <w:sz w:val="20"/>
          <w:szCs w:val="20"/>
          <w:color w:val="auto"/>
        </w:rPr>
      </w:pPr>
    </w:p>
    <w:p>
      <w:pPr>
        <w:spacing w:after="0"/>
        <w:tabs>
          <w:tab w:leader="none" w:pos="2620" w:val="left"/>
        </w:tabs>
        <w:rPr>
          <w:sz w:val="20"/>
          <w:szCs w:val="20"/>
          <w:color w:val="auto"/>
        </w:rPr>
      </w:pPr>
      <w:r>
        <w:rPr>
          <w:rFonts w:ascii="Arial" w:cs="Arial" w:eastAsia="Arial" w:hAnsi="Arial"/>
          <w:sz w:val="14"/>
          <w:szCs w:val="14"/>
          <w:b w:val="1"/>
          <w:bCs w:val="1"/>
          <w:color w:val="auto"/>
        </w:rPr>
        <w:t>15.1</w:t>
      </w:r>
      <w:r>
        <w:rPr>
          <w:sz w:val="20"/>
          <w:szCs w:val="20"/>
          <w:color w:val="auto"/>
        </w:rPr>
        <w:tab/>
      </w:r>
      <w:r>
        <w:rPr>
          <w:rFonts w:ascii="Arial" w:cs="Arial" w:eastAsia="Arial" w:hAnsi="Arial"/>
          <w:sz w:val="14"/>
          <w:szCs w:val="14"/>
          <w:b w:val="1"/>
          <w:bCs w:val="1"/>
          <w:color w:val="auto"/>
        </w:rPr>
        <w:t>Prepayment</w:t>
      </w:r>
    </w:p>
    <w:p>
      <w:pPr>
        <w:spacing w:after="0" w:line="75" w:lineRule="exact"/>
        <w:rPr>
          <w:sz w:val="20"/>
          <w:szCs w:val="20"/>
          <w:color w:val="auto"/>
        </w:rPr>
      </w:pPr>
    </w:p>
    <w:p>
      <w:pPr>
        <w:ind w:left="860"/>
        <w:spacing w:after="0"/>
        <w:rPr>
          <w:sz w:val="20"/>
          <w:szCs w:val="20"/>
          <w:color w:val="auto"/>
        </w:rPr>
      </w:pPr>
      <w:r>
        <w:rPr>
          <w:rFonts w:ascii="Arial" w:cs="Arial" w:eastAsia="Arial" w:hAnsi="Arial"/>
          <w:sz w:val="13"/>
          <w:szCs w:val="13"/>
          <w:color w:val="auto"/>
        </w:rPr>
        <w:t>If because of any change after the date of this document in:</w:t>
      </w:r>
    </w:p>
    <w:p>
      <w:pPr>
        <w:spacing w:after="0" w:line="76" w:lineRule="exact"/>
        <w:rPr>
          <w:sz w:val="20"/>
          <w:szCs w:val="20"/>
          <w:color w:val="auto"/>
        </w:rPr>
      </w:pPr>
    </w:p>
    <w:p>
      <w:pPr>
        <w:ind w:left="1600" w:right="280" w:hanging="744"/>
        <w:spacing w:after="0" w:line="244" w:lineRule="auto"/>
        <w:tabs>
          <w:tab w:leader="none" w:pos="1600" w:val="left"/>
        </w:tabs>
        <w:numPr>
          <w:ilvl w:val="0"/>
          <w:numId w:val="404"/>
        </w:numPr>
        <w:rPr>
          <w:rFonts w:ascii="Arial" w:cs="Arial" w:eastAsia="Arial" w:hAnsi="Arial"/>
          <w:sz w:val="13"/>
          <w:szCs w:val="13"/>
          <w:color w:val="auto"/>
        </w:rPr>
      </w:pPr>
      <w:r>
        <w:rPr>
          <w:rFonts w:ascii="Arial" w:cs="Arial" w:eastAsia="Arial" w:hAnsi="Arial"/>
          <w:sz w:val="13"/>
          <w:szCs w:val="13"/>
          <w:color w:val="auto"/>
        </w:rPr>
        <w:t>a law, regulation or a Government Body directive or request which is legally enforceable or compliance with which is in accordance with the practice of responsible Banks in the relevant jurisdiction; or</w:t>
      </w:r>
    </w:p>
    <w:p>
      <w:pPr>
        <w:spacing w:after="0" w:line="56" w:lineRule="exact"/>
        <w:rPr>
          <w:rFonts w:ascii="Arial" w:cs="Arial" w:eastAsia="Arial" w:hAnsi="Arial"/>
          <w:sz w:val="13"/>
          <w:szCs w:val="13"/>
          <w:color w:val="auto"/>
        </w:rPr>
      </w:pPr>
    </w:p>
    <w:p>
      <w:pPr>
        <w:ind w:left="1400" w:hanging="544"/>
        <w:spacing w:after="0"/>
        <w:tabs>
          <w:tab w:leader="none" w:pos="1400" w:val="left"/>
        </w:tabs>
        <w:numPr>
          <w:ilvl w:val="0"/>
          <w:numId w:val="404"/>
        </w:numPr>
        <w:rPr>
          <w:rFonts w:ascii="Arial" w:cs="Arial" w:eastAsia="Arial" w:hAnsi="Arial"/>
          <w:sz w:val="13"/>
          <w:szCs w:val="13"/>
          <w:color w:val="auto"/>
        </w:rPr>
      </w:pPr>
      <w:r>
        <w:rPr>
          <w:rFonts w:ascii="Arial" w:cs="Arial" w:eastAsia="Arial" w:hAnsi="Arial"/>
          <w:sz w:val="13"/>
          <w:szCs w:val="13"/>
          <w:color w:val="auto"/>
        </w:rPr>
        <w:t>the interpretation or application of any of them,</w:t>
      </w:r>
    </w:p>
    <w:p>
      <w:pPr>
        <w:spacing w:after="0" w:line="85" w:lineRule="exact"/>
        <w:rPr>
          <w:sz w:val="20"/>
          <w:szCs w:val="20"/>
          <w:color w:val="auto"/>
        </w:rPr>
      </w:pPr>
    </w:p>
    <w:p>
      <w:pPr>
        <w:ind w:left="860"/>
        <w:spacing w:after="0"/>
        <w:rPr>
          <w:sz w:val="20"/>
          <w:szCs w:val="20"/>
          <w:color w:val="auto"/>
        </w:rPr>
      </w:pPr>
      <w:r>
        <w:rPr>
          <w:rFonts w:ascii="Arial" w:cs="Arial" w:eastAsia="Arial" w:hAnsi="Arial"/>
          <w:sz w:val="13"/>
          <w:szCs w:val="13"/>
          <w:color w:val="auto"/>
        </w:rPr>
        <w:t>the Bank determines that it is or it will become impossible or illegal or contrary to that Government Body directive or request for:</w:t>
      </w:r>
    </w:p>
    <w:p>
      <w:pPr>
        <w:sectPr>
          <w:pgSz w:w="11900" w:h="16838" w:orient="portrait"/>
          <w:cols w:equalWidth="0" w:num="1">
            <w:col w:w="9500"/>
          </w:cols>
          <w:pgMar w:left="1220" w:top="561" w:right="1179" w:bottom="1440" w:gutter="0" w:footer="0" w:header="0"/>
        </w:sectPr>
      </w:pPr>
    </w:p>
    <w:p>
      <w:pPr>
        <w:spacing w:after="0" w:line="63" w:lineRule="exact"/>
        <w:rPr>
          <w:sz w:val="20"/>
          <w:szCs w:val="20"/>
          <w:color w:val="auto"/>
        </w:rPr>
      </w:pPr>
    </w:p>
    <w:p>
      <w:pPr>
        <w:ind w:left="860"/>
        <w:spacing w:after="0"/>
        <w:rPr>
          <w:sz w:val="20"/>
          <w:szCs w:val="20"/>
          <w:color w:val="auto"/>
        </w:rPr>
      </w:pPr>
      <w:r>
        <w:rPr>
          <w:rFonts w:ascii="Arial" w:cs="Arial" w:eastAsia="Arial" w:hAnsi="Arial"/>
          <w:sz w:val="12"/>
          <w:szCs w:val="12"/>
          <w:color w:val="auto"/>
        </w:rPr>
        <w:t>(c)</w:t>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spacing w:after="0"/>
        <w:rPr>
          <w:sz w:val="20"/>
          <w:szCs w:val="20"/>
          <w:color w:val="auto"/>
        </w:rPr>
      </w:pPr>
      <w:r>
        <w:rPr>
          <w:rFonts w:ascii="Arial" w:cs="Arial" w:eastAsia="Arial" w:hAnsi="Arial"/>
          <w:sz w:val="13"/>
          <w:szCs w:val="13"/>
          <w:color w:val="auto"/>
        </w:rPr>
        <w:t>the Bank to fund, provide or maintain the Facility or otherwise comply with its obligations under the Transaction Documents; or</w:t>
      </w:r>
    </w:p>
    <w:p>
      <w:pPr>
        <w:spacing w:after="0" w:line="63" w:lineRule="exact"/>
        <w:rPr>
          <w:sz w:val="20"/>
          <w:szCs w:val="20"/>
          <w:color w:val="auto"/>
        </w:rPr>
      </w:pPr>
    </w:p>
    <w:p>
      <w:pPr>
        <w:sectPr>
          <w:pgSz w:w="11900" w:h="16838" w:orient="portrait"/>
          <w:cols w:equalWidth="0" w:num="2">
            <w:col w:w="1020" w:space="720"/>
            <w:col w:w="7760"/>
          </w:cols>
          <w:pgMar w:left="1220" w:top="561" w:right="1179" w:bottom="1440" w:gutter="0" w:footer="0" w:header="0"/>
          <w:type w:val="continuous"/>
        </w:sectPr>
      </w:pPr>
    </w:p>
    <w:p>
      <w:pPr>
        <w:ind w:left="860"/>
        <w:spacing w:after="0"/>
        <w:tabs>
          <w:tab w:leader="none" w:pos="1420" w:val="left"/>
        </w:tabs>
        <w:rPr>
          <w:sz w:val="20"/>
          <w:szCs w:val="20"/>
          <w:color w:val="auto"/>
        </w:rPr>
      </w:pPr>
      <w:r>
        <w:rPr>
          <w:rFonts w:ascii="Arial" w:cs="Arial" w:eastAsia="Arial" w:hAnsi="Arial"/>
          <w:sz w:val="13"/>
          <w:szCs w:val="13"/>
          <w:color w:val="auto"/>
        </w:rPr>
        <w:t>(d)</w:t>
      </w:r>
      <w:r>
        <w:rPr>
          <w:sz w:val="20"/>
          <w:szCs w:val="20"/>
          <w:color w:val="auto"/>
        </w:rPr>
        <w:tab/>
      </w:r>
      <w:r>
        <w:rPr>
          <w:rFonts w:ascii="Arial" w:cs="Arial" w:eastAsia="Arial" w:hAnsi="Arial"/>
          <w:sz w:val="13"/>
          <w:szCs w:val="13"/>
          <w:color w:val="auto"/>
        </w:rPr>
        <w:t>a person from whom the Bank has raised or proposes to raise money in relation to the Facility to fund, provide or maintain that money,</w:t>
      </w:r>
    </w:p>
    <w:p>
      <w:pPr>
        <w:sectPr>
          <w:pgSz w:w="11900" w:h="16838" w:orient="portrait"/>
          <w:cols w:equalWidth="0" w:num="1">
            <w:col w:w="9500"/>
          </w:cols>
          <w:pgMar w:left="1220" w:top="561" w:right="1179" w:bottom="1440" w:gutter="0" w:footer="0" w:header="0"/>
          <w:type w:val="continuous"/>
        </w:sectPr>
      </w:pP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80" w:type="dxa"/>
            <w:vAlign w:val="bottom"/>
          </w:tcPr>
          <w:p>
            <w:pPr>
              <w:spacing w:after="0"/>
              <w:rPr>
                <w:sz w:val="13"/>
                <w:szCs w:val="13"/>
                <w:color w:val="auto"/>
              </w:rPr>
            </w:pPr>
          </w:p>
        </w:tc>
        <w:tc>
          <w:tcPr>
            <w:tcW w:w="8900" w:type="dxa"/>
            <w:vAlign w:val="bottom"/>
          </w:tcPr>
          <w:p>
            <w:pPr>
              <w:ind w:left="280"/>
              <w:spacing w:after="0"/>
              <w:rPr>
                <w:sz w:val="20"/>
                <w:szCs w:val="20"/>
                <w:color w:val="auto"/>
              </w:rPr>
            </w:pPr>
            <w:r>
              <w:rPr>
                <w:rFonts w:ascii="Arial" w:cs="Arial" w:eastAsia="Arial" w:hAnsi="Arial"/>
                <w:sz w:val="13"/>
                <w:szCs w:val="13"/>
                <w:color w:val="auto"/>
                <w:w w:val="96"/>
              </w:rPr>
              <w:t xml:space="preserve">the Borrower must, within five Business Days after receipt of a notice from the Bank to do so, pay the amount referred to in </w:t>
            </w:r>
            <w:r>
              <w:rPr>
                <w:rFonts w:ascii="Arial" w:cs="Arial" w:eastAsia="Arial" w:hAnsi="Arial"/>
                <w:sz w:val="13"/>
                <w:szCs w:val="13"/>
                <w:b w:val="1"/>
                <w:bCs w:val="1"/>
                <w:color w:val="auto"/>
                <w:w w:val="96"/>
              </w:rPr>
              <w:t>clause 10.2(a)(ii)(A) or 10.2(a)</w:t>
            </w:r>
          </w:p>
        </w:tc>
      </w:tr>
      <w:tr>
        <w:trPr>
          <w:trHeight w:val="168"/>
        </w:trPr>
        <w:tc>
          <w:tcPr>
            <w:tcW w:w="580" w:type="dxa"/>
            <w:vAlign w:val="bottom"/>
          </w:tcPr>
          <w:p>
            <w:pPr>
              <w:spacing w:after="0"/>
              <w:rPr>
                <w:sz w:val="14"/>
                <w:szCs w:val="14"/>
                <w:color w:val="auto"/>
              </w:rPr>
            </w:pPr>
          </w:p>
        </w:tc>
        <w:tc>
          <w:tcPr>
            <w:tcW w:w="8900" w:type="dxa"/>
            <w:vAlign w:val="bottom"/>
          </w:tcPr>
          <w:p>
            <w:pPr>
              <w:ind w:left="280"/>
              <w:spacing w:after="0"/>
              <w:rPr>
                <w:sz w:val="20"/>
                <w:szCs w:val="20"/>
                <w:color w:val="auto"/>
              </w:rPr>
            </w:pPr>
            <w:r>
              <w:rPr>
                <w:rFonts w:ascii="Arial" w:cs="Arial" w:eastAsia="Arial" w:hAnsi="Arial"/>
                <w:sz w:val="13"/>
                <w:szCs w:val="13"/>
                <w:b w:val="1"/>
                <w:bCs w:val="1"/>
                <w:color w:val="auto"/>
              </w:rPr>
              <w:t xml:space="preserve">(ii)(B) </w:t>
            </w:r>
            <w:r>
              <w:rPr>
                <w:rFonts w:ascii="Arial" w:cs="Arial" w:eastAsia="Arial" w:hAnsi="Arial"/>
                <w:sz w:val="13"/>
                <w:szCs w:val="13"/>
                <w:color w:val="auto"/>
              </w:rPr>
              <w:t>as if that notice were a notice under</w:t>
            </w:r>
            <w:r>
              <w:rPr>
                <w:rFonts w:ascii="Arial" w:cs="Arial" w:eastAsia="Arial" w:hAnsi="Arial"/>
                <w:sz w:val="13"/>
                <w:szCs w:val="13"/>
                <w:b w:val="1"/>
                <w:bCs w:val="1"/>
                <w:color w:val="auto"/>
              </w:rPr>
              <w:t xml:space="preserve"> clause 10.2(a)(ii)(A) or 10.2(a)(ii)(B)</w:t>
            </w:r>
            <w:r>
              <w:rPr>
                <w:rFonts w:ascii="Arial" w:cs="Arial" w:eastAsia="Arial" w:hAnsi="Arial"/>
                <w:sz w:val="13"/>
                <w:szCs w:val="13"/>
                <w:color w:val="auto"/>
              </w:rPr>
              <w:t>.</w:t>
            </w:r>
          </w:p>
        </w:tc>
      </w:tr>
      <w:tr>
        <w:trPr>
          <w:trHeight w:val="252"/>
        </w:trPr>
        <w:tc>
          <w:tcPr>
            <w:tcW w:w="580" w:type="dxa"/>
            <w:vAlign w:val="bottom"/>
          </w:tcPr>
          <w:p>
            <w:pPr>
              <w:jc w:val="right"/>
              <w:ind w:right="228"/>
              <w:spacing w:after="0"/>
              <w:rPr>
                <w:sz w:val="20"/>
                <w:szCs w:val="20"/>
                <w:color w:val="auto"/>
              </w:rPr>
            </w:pPr>
            <w:r>
              <w:rPr>
                <w:rFonts w:ascii="Arial" w:cs="Arial" w:eastAsia="Arial" w:hAnsi="Arial"/>
                <w:sz w:val="14"/>
                <w:szCs w:val="14"/>
                <w:b w:val="1"/>
                <w:bCs w:val="1"/>
                <w:color w:val="auto"/>
                <w:w w:val="95"/>
              </w:rPr>
              <w:t>15.2</w:t>
            </w:r>
          </w:p>
        </w:tc>
        <w:tc>
          <w:tcPr>
            <w:tcW w:w="8900" w:type="dxa"/>
            <w:vAlign w:val="bottom"/>
          </w:tcPr>
          <w:p>
            <w:pPr>
              <w:ind w:left="1360"/>
              <w:spacing w:after="0"/>
              <w:rPr>
                <w:sz w:val="20"/>
                <w:szCs w:val="20"/>
                <w:color w:val="auto"/>
              </w:rPr>
            </w:pPr>
            <w:r>
              <w:rPr>
                <w:rFonts w:ascii="Arial" w:cs="Arial" w:eastAsia="Arial" w:hAnsi="Arial"/>
                <w:sz w:val="14"/>
                <w:szCs w:val="14"/>
                <w:b w:val="1"/>
                <w:bCs w:val="1"/>
                <w:color w:val="auto"/>
              </w:rPr>
              <w:t>Facility terminated</w:t>
            </w:r>
          </w:p>
        </w:tc>
      </w:tr>
      <w:tr>
        <w:trPr>
          <w:trHeight w:val="203"/>
        </w:trPr>
        <w:tc>
          <w:tcPr>
            <w:tcW w:w="580" w:type="dxa"/>
            <w:vAlign w:val="bottom"/>
          </w:tcPr>
          <w:p>
            <w:pPr>
              <w:spacing w:after="0"/>
              <w:rPr>
                <w:sz w:val="17"/>
                <w:szCs w:val="17"/>
                <w:color w:val="auto"/>
              </w:rPr>
            </w:pPr>
          </w:p>
        </w:tc>
        <w:tc>
          <w:tcPr>
            <w:tcW w:w="8900" w:type="dxa"/>
            <w:vAlign w:val="bottom"/>
          </w:tcPr>
          <w:p>
            <w:pPr>
              <w:ind w:left="280"/>
              <w:spacing w:after="0"/>
              <w:rPr>
                <w:sz w:val="20"/>
                <w:szCs w:val="20"/>
                <w:color w:val="auto"/>
              </w:rPr>
            </w:pPr>
            <w:r>
              <w:rPr>
                <w:rFonts w:ascii="Arial" w:cs="Arial" w:eastAsia="Arial" w:hAnsi="Arial"/>
                <w:sz w:val="13"/>
                <w:szCs w:val="13"/>
                <w:color w:val="auto"/>
              </w:rPr>
              <w:t xml:space="preserve">The Bank’s obligation to make Advances or Drawings under this document terminates on the giving of a notice under </w:t>
            </w:r>
            <w:r>
              <w:rPr>
                <w:rFonts w:ascii="Arial" w:cs="Arial" w:eastAsia="Arial" w:hAnsi="Arial"/>
                <w:sz w:val="13"/>
                <w:szCs w:val="13"/>
                <w:b w:val="1"/>
                <w:bCs w:val="1"/>
                <w:color w:val="auto"/>
              </w:rPr>
              <w:t>clause 15.1</w:t>
            </w:r>
            <w:r>
              <w:rPr>
                <w:rFonts w:ascii="Arial" w:cs="Arial" w:eastAsia="Arial" w:hAnsi="Arial"/>
                <w:sz w:val="13"/>
                <w:szCs w:val="13"/>
                <w:color w:val="auto"/>
              </w:rPr>
              <w:t>.</w:t>
            </w:r>
          </w:p>
        </w:tc>
      </w:tr>
    </w:tbl>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960" w:type="dxa"/>
            <w:vAlign w:val="bottom"/>
          </w:tcPr>
          <w:p>
            <w:pPr>
              <w:jc w:val="right"/>
              <w:ind w:right="316"/>
              <w:spacing w:after="0"/>
              <w:rPr>
                <w:sz w:val="20"/>
                <w:szCs w:val="20"/>
                <w:color w:val="auto"/>
              </w:rPr>
            </w:pPr>
            <w:r>
              <w:rPr>
                <w:rFonts w:ascii="Arial" w:cs="Arial" w:eastAsia="Arial" w:hAnsi="Arial"/>
                <w:sz w:val="19"/>
                <w:szCs w:val="19"/>
                <w:color w:val="auto"/>
              </w:rPr>
              <w:t>16</w:t>
            </w:r>
          </w:p>
        </w:tc>
        <w:tc>
          <w:tcPr>
            <w:tcW w:w="2680" w:type="dxa"/>
            <w:vAlign w:val="bottom"/>
          </w:tcPr>
          <w:p>
            <w:pPr>
              <w:ind w:left="400"/>
              <w:spacing w:after="0"/>
              <w:rPr>
                <w:sz w:val="20"/>
                <w:szCs w:val="20"/>
                <w:color w:val="auto"/>
              </w:rPr>
            </w:pPr>
            <w:r>
              <w:rPr>
                <w:rFonts w:ascii="Arial" w:cs="Arial" w:eastAsia="Arial" w:hAnsi="Arial"/>
                <w:sz w:val="19"/>
                <w:szCs w:val="19"/>
                <w:color w:val="auto"/>
              </w:rPr>
              <w:t>Guarantee and indemnity</w:t>
            </w:r>
          </w:p>
        </w:tc>
      </w:tr>
      <w:tr>
        <w:trPr>
          <w:trHeight w:val="245"/>
        </w:trPr>
        <w:tc>
          <w:tcPr>
            <w:tcW w:w="960" w:type="dxa"/>
            <w:vAlign w:val="bottom"/>
          </w:tcPr>
          <w:p>
            <w:pPr>
              <w:jc w:val="right"/>
              <w:ind w:right="596"/>
              <w:spacing w:after="0"/>
              <w:rPr>
                <w:sz w:val="20"/>
                <w:szCs w:val="20"/>
                <w:color w:val="auto"/>
              </w:rPr>
            </w:pPr>
            <w:r>
              <w:rPr>
                <w:rFonts w:ascii="Arial" w:cs="Arial" w:eastAsia="Arial" w:hAnsi="Arial"/>
                <w:sz w:val="14"/>
                <w:szCs w:val="14"/>
                <w:b w:val="1"/>
                <w:bCs w:val="1"/>
                <w:color w:val="auto"/>
                <w:w w:val="95"/>
              </w:rPr>
              <w:t>16.1</w:t>
            </w:r>
          </w:p>
        </w:tc>
        <w:tc>
          <w:tcPr>
            <w:tcW w:w="2680" w:type="dxa"/>
            <w:vAlign w:val="bottom"/>
          </w:tcPr>
          <w:p>
            <w:pPr>
              <w:ind w:left="1960"/>
              <w:spacing w:after="0"/>
              <w:rPr>
                <w:sz w:val="20"/>
                <w:szCs w:val="20"/>
                <w:color w:val="auto"/>
              </w:rPr>
            </w:pPr>
            <w:r>
              <w:rPr>
                <w:rFonts w:ascii="Arial" w:cs="Arial" w:eastAsia="Arial" w:hAnsi="Arial"/>
                <w:sz w:val="14"/>
                <w:szCs w:val="14"/>
                <w:b w:val="1"/>
                <w:bCs w:val="1"/>
                <w:color w:val="auto"/>
              </w:rPr>
              <w:t>Guarantee</w:t>
            </w:r>
          </w:p>
        </w:tc>
      </w:tr>
    </w:tbl>
    <w:p>
      <w:pPr>
        <w:spacing w:after="0" w:line="46" w:lineRule="exact"/>
        <w:rPr>
          <w:sz w:val="20"/>
          <w:szCs w:val="20"/>
          <w:color w:val="auto"/>
        </w:rPr>
      </w:pPr>
    </w:p>
    <w:p>
      <w:pPr>
        <w:ind w:left="1420" w:hanging="564"/>
        <w:spacing w:after="0"/>
        <w:tabs>
          <w:tab w:leader="none" w:pos="1420" w:val="left"/>
        </w:tabs>
        <w:numPr>
          <w:ilvl w:val="0"/>
          <w:numId w:val="405"/>
        </w:numPr>
        <w:rPr>
          <w:rFonts w:ascii="Arial" w:cs="Arial" w:eastAsia="Arial" w:hAnsi="Arial"/>
          <w:sz w:val="13"/>
          <w:szCs w:val="13"/>
          <w:color w:val="auto"/>
        </w:rPr>
      </w:pPr>
      <w:r>
        <w:rPr>
          <w:rFonts w:ascii="Arial" w:cs="Arial" w:eastAsia="Arial" w:hAnsi="Arial"/>
          <w:sz w:val="13"/>
          <w:szCs w:val="13"/>
          <w:color w:val="auto"/>
        </w:rPr>
        <w:t>Each Guarantor unconditionally and irrevocably guarantees the payment to the Bank of the Guaranteed Money.</w:t>
      </w:r>
    </w:p>
    <w:p>
      <w:pPr>
        <w:spacing w:after="0" w:line="66" w:lineRule="exact"/>
        <w:rPr>
          <w:rFonts w:ascii="Arial" w:cs="Arial" w:eastAsia="Arial" w:hAnsi="Arial"/>
          <w:sz w:val="13"/>
          <w:szCs w:val="13"/>
          <w:color w:val="auto"/>
        </w:rPr>
      </w:pPr>
    </w:p>
    <w:p>
      <w:pPr>
        <w:ind w:left="1340" w:hanging="484"/>
        <w:spacing w:after="0" w:line="244" w:lineRule="auto"/>
        <w:tabs>
          <w:tab w:leader="none" w:pos="1340" w:val="left"/>
        </w:tabs>
        <w:numPr>
          <w:ilvl w:val="0"/>
          <w:numId w:val="405"/>
        </w:numPr>
        <w:rPr>
          <w:rFonts w:ascii="Arial" w:cs="Arial" w:eastAsia="Arial" w:hAnsi="Arial"/>
          <w:sz w:val="13"/>
          <w:szCs w:val="13"/>
          <w:color w:val="auto"/>
        </w:rPr>
      </w:pPr>
      <w:r>
        <w:rPr>
          <w:rFonts w:ascii="Arial" w:cs="Arial" w:eastAsia="Arial" w:hAnsi="Arial"/>
          <w:sz w:val="13"/>
          <w:szCs w:val="13"/>
          <w:color w:val="auto"/>
        </w:rPr>
        <w:t>If the Borrower does not pay the Guaranteed Money on time and in accordance with the Transaction Documents, then the Guarantors agree to pay the Guaranteed Money on demand from the Bank.</w:t>
      </w:r>
    </w:p>
    <w:p>
      <w:pPr>
        <w:spacing w:after="0" w:line="56" w:lineRule="exact"/>
        <w:rPr>
          <w:rFonts w:ascii="Arial" w:cs="Arial" w:eastAsia="Arial" w:hAnsi="Arial"/>
          <w:sz w:val="13"/>
          <w:szCs w:val="13"/>
          <w:color w:val="auto"/>
        </w:rPr>
      </w:pPr>
    </w:p>
    <w:p>
      <w:pPr>
        <w:ind w:left="1460" w:right="120" w:hanging="604"/>
        <w:spacing w:after="0" w:line="244" w:lineRule="auto"/>
        <w:tabs>
          <w:tab w:leader="none" w:pos="1460" w:val="left"/>
        </w:tabs>
        <w:numPr>
          <w:ilvl w:val="0"/>
          <w:numId w:val="405"/>
        </w:numPr>
        <w:rPr>
          <w:rFonts w:ascii="Arial" w:cs="Arial" w:eastAsia="Arial" w:hAnsi="Arial"/>
          <w:sz w:val="13"/>
          <w:szCs w:val="13"/>
          <w:color w:val="auto"/>
        </w:rPr>
      </w:pPr>
      <w:r>
        <w:rPr>
          <w:rFonts w:ascii="Arial" w:cs="Arial" w:eastAsia="Arial" w:hAnsi="Arial"/>
          <w:sz w:val="13"/>
          <w:szCs w:val="13"/>
          <w:color w:val="auto"/>
        </w:rPr>
        <w:t>A demand may be made at any time and from time to time and whether or not the Bank or the Bank has made demand on the Borrower or any other Transaction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161925</wp:posOffset>
            </wp:positionV>
            <wp:extent cx="6208395"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208395" cy="42545"/>
                    </a:xfrm>
                    <a:prstGeom prst="rect">
                      <a:avLst/>
                    </a:prstGeom>
                    <a:noFill/>
                  </pic:spPr>
                </pic:pic>
              </a:graphicData>
            </a:graphic>
          </wp:anchor>
        </w:drawing>
      </w:r>
    </w:p>
    <w:p>
      <w:pPr>
        <w:sectPr>
          <w:pgSz w:w="11900" w:h="16838" w:orient="portrait"/>
          <w:cols w:equalWidth="0" w:num="1">
            <w:col w:w="9500"/>
          </w:cols>
          <w:pgMar w:left="1220" w:top="561" w:right="1179" w:bottom="1440" w:gutter="0" w:footer="0" w:header="0"/>
          <w:type w:val="continuous"/>
        </w:sectPr>
      </w:pPr>
    </w:p>
    <w:bookmarkStart w:id="275" w:name="page276"/>
    <w:bookmarkEnd w:id="275"/>
    <w:p>
      <w:pPr>
        <w:spacing w:after="0"/>
        <w:tabs>
          <w:tab w:leader="none" w:pos="1820" w:val="left"/>
        </w:tabs>
        <w:rPr>
          <w:sz w:val="20"/>
          <w:szCs w:val="20"/>
          <w:color w:val="auto"/>
        </w:rPr>
      </w:pPr>
      <w:r>
        <w:rPr>
          <w:rFonts w:ascii="Arial" w:cs="Arial" w:eastAsia="Arial" w:hAnsi="Arial"/>
          <w:sz w:val="14"/>
          <w:szCs w:val="14"/>
          <w:b w:val="1"/>
          <w:bCs w:val="1"/>
          <w:color w:val="auto"/>
        </w:rPr>
        <w:t>16.2</w:t>
      </w:r>
      <w:r>
        <w:rPr>
          <w:sz w:val="20"/>
          <w:szCs w:val="20"/>
          <w:color w:val="auto"/>
        </w:rPr>
        <w:tab/>
      </w:r>
      <w:r>
        <w:rPr>
          <w:rFonts w:ascii="Arial" w:cs="Arial" w:eastAsia="Arial" w:hAnsi="Arial"/>
          <w:sz w:val="14"/>
          <w:szCs w:val="14"/>
          <w:b w:val="1"/>
          <w:bCs w:val="1"/>
          <w:color w:val="auto"/>
        </w:rPr>
        <w:t>Nature of guarantee</w:t>
      </w:r>
    </w:p>
    <w:p>
      <w:pPr>
        <w:spacing w:after="0" w:line="59" w:lineRule="exact"/>
        <w:rPr>
          <w:sz w:val="20"/>
          <w:szCs w:val="20"/>
          <w:color w:val="auto"/>
        </w:rPr>
      </w:pPr>
    </w:p>
    <w:p>
      <w:pPr>
        <w:ind w:left="1540" w:right="140" w:hanging="684"/>
        <w:spacing w:after="0" w:line="269" w:lineRule="auto"/>
        <w:tabs>
          <w:tab w:leader="none" w:pos="1540" w:val="left"/>
        </w:tabs>
        <w:numPr>
          <w:ilvl w:val="0"/>
          <w:numId w:val="406"/>
        </w:numPr>
        <w:rPr>
          <w:rFonts w:ascii="Arial" w:cs="Arial" w:eastAsia="Arial" w:hAnsi="Arial"/>
          <w:sz w:val="13"/>
          <w:szCs w:val="13"/>
          <w:color w:val="auto"/>
        </w:rPr>
      </w:pPr>
      <w:r>
        <w:rPr>
          <w:rFonts w:ascii="Arial" w:cs="Arial" w:eastAsia="Arial" w:hAnsi="Arial"/>
          <w:sz w:val="13"/>
          <w:szCs w:val="13"/>
          <w:color w:val="auto"/>
        </w:rPr>
        <w:t xml:space="preserve">The guarantee in </w:t>
      </w:r>
      <w:r>
        <w:rPr>
          <w:rFonts w:ascii="Arial" w:cs="Arial" w:eastAsia="Arial" w:hAnsi="Arial"/>
          <w:sz w:val="13"/>
          <w:szCs w:val="13"/>
          <w:b w:val="1"/>
          <w:bCs w:val="1"/>
          <w:color w:val="auto"/>
        </w:rPr>
        <w:t>clause 16.1</w:t>
      </w:r>
      <w:r>
        <w:rPr>
          <w:rFonts w:ascii="Arial" w:cs="Arial" w:eastAsia="Arial" w:hAnsi="Arial"/>
          <w:sz w:val="13"/>
          <w:szCs w:val="13"/>
          <w:color w:val="auto"/>
        </w:rPr>
        <w:t xml:space="preserve"> is a continuing obligation despite any intervening payment, settlement or other thing and extends to all of the Guaranteed Money.</w:t>
      </w:r>
    </w:p>
    <w:p>
      <w:pPr>
        <w:spacing w:after="0" w:line="50" w:lineRule="exact"/>
        <w:rPr>
          <w:rFonts w:ascii="Arial" w:cs="Arial" w:eastAsia="Arial" w:hAnsi="Arial"/>
          <w:sz w:val="13"/>
          <w:szCs w:val="13"/>
          <w:color w:val="auto"/>
        </w:rPr>
      </w:pPr>
    </w:p>
    <w:p>
      <w:pPr>
        <w:ind w:left="1460" w:right="200" w:hanging="604"/>
        <w:spacing w:after="0" w:line="244" w:lineRule="auto"/>
        <w:tabs>
          <w:tab w:leader="none" w:pos="1460" w:val="left"/>
        </w:tabs>
        <w:numPr>
          <w:ilvl w:val="0"/>
          <w:numId w:val="406"/>
        </w:numPr>
        <w:rPr>
          <w:rFonts w:ascii="Arial" w:cs="Arial" w:eastAsia="Arial" w:hAnsi="Arial"/>
          <w:sz w:val="13"/>
          <w:szCs w:val="13"/>
          <w:color w:val="auto"/>
        </w:rPr>
      </w:pPr>
      <w:r>
        <w:rPr>
          <w:rFonts w:ascii="Arial" w:cs="Arial" w:eastAsia="Arial" w:hAnsi="Arial"/>
          <w:sz w:val="13"/>
          <w:szCs w:val="13"/>
          <w:color w:val="auto"/>
        </w:rPr>
        <w:t>As between each Guarantor and the Bank (but without affecting the obligations of any other Transaction Party) each Guarantor is liable under this document in relation to the Guaranteed Money as a sole and principal debtor and not as surety.</w:t>
      </w:r>
    </w:p>
    <w:p>
      <w:pPr>
        <w:spacing w:after="0" w:line="63" w:lineRule="exact"/>
        <w:rPr>
          <w:sz w:val="20"/>
          <w:szCs w:val="20"/>
          <w:color w:val="auto"/>
        </w:rPr>
      </w:pPr>
    </w:p>
    <w:p>
      <w:pPr>
        <w:spacing w:after="0"/>
        <w:tabs>
          <w:tab w:leader="none" w:pos="3000" w:val="left"/>
        </w:tabs>
        <w:rPr>
          <w:sz w:val="20"/>
          <w:szCs w:val="20"/>
          <w:color w:val="auto"/>
        </w:rPr>
      </w:pPr>
      <w:r>
        <w:rPr>
          <w:rFonts w:ascii="Arial" w:cs="Arial" w:eastAsia="Arial" w:hAnsi="Arial"/>
          <w:sz w:val="14"/>
          <w:szCs w:val="14"/>
          <w:b w:val="1"/>
          <w:bCs w:val="1"/>
          <w:color w:val="auto"/>
        </w:rPr>
        <w:t>16.3</w:t>
      </w:r>
      <w:r>
        <w:rPr>
          <w:sz w:val="20"/>
          <w:szCs w:val="20"/>
          <w:color w:val="auto"/>
        </w:rPr>
        <w:tab/>
      </w:r>
      <w:r>
        <w:rPr>
          <w:rFonts w:ascii="Arial" w:cs="Arial" w:eastAsia="Arial" w:hAnsi="Arial"/>
          <w:sz w:val="14"/>
          <w:szCs w:val="14"/>
          <w:b w:val="1"/>
          <w:bCs w:val="1"/>
          <w:color w:val="auto"/>
        </w:rPr>
        <w:t>Indemnity</w:t>
      </w:r>
    </w:p>
    <w:p>
      <w:pPr>
        <w:spacing w:after="0" w:line="75" w:lineRule="exact"/>
        <w:rPr>
          <w:sz w:val="20"/>
          <w:szCs w:val="20"/>
          <w:color w:val="auto"/>
        </w:rPr>
      </w:pPr>
    </w:p>
    <w:p>
      <w:pPr>
        <w:ind w:left="1560" w:hanging="704"/>
        <w:spacing w:after="0"/>
        <w:tabs>
          <w:tab w:leader="none" w:pos="1560" w:val="left"/>
        </w:tabs>
        <w:numPr>
          <w:ilvl w:val="0"/>
          <w:numId w:val="407"/>
        </w:numPr>
        <w:rPr>
          <w:rFonts w:ascii="Arial" w:cs="Arial" w:eastAsia="Arial" w:hAnsi="Arial"/>
          <w:sz w:val="13"/>
          <w:szCs w:val="13"/>
          <w:color w:val="auto"/>
        </w:rPr>
      </w:pPr>
      <w:r>
        <w:rPr>
          <w:rFonts w:ascii="Arial" w:cs="Arial" w:eastAsia="Arial" w:hAnsi="Arial"/>
          <w:sz w:val="13"/>
          <w:szCs w:val="13"/>
          <w:color w:val="auto"/>
        </w:rPr>
        <w:t>Each Guarantor indemnifies the Bank against any liability or loss arising and any costs it suffers or incurs:</w:t>
      </w:r>
    </w:p>
    <w:p>
      <w:pPr>
        <w:spacing w:after="0" w:line="66" w:lineRule="exact"/>
        <w:rPr>
          <w:rFonts w:ascii="Arial" w:cs="Arial" w:eastAsia="Arial" w:hAnsi="Arial"/>
          <w:sz w:val="13"/>
          <w:szCs w:val="13"/>
          <w:color w:val="auto"/>
        </w:rPr>
      </w:pPr>
    </w:p>
    <w:p>
      <w:pPr>
        <w:ind w:left="1620" w:right="560" w:hanging="412"/>
        <w:spacing w:after="0" w:line="244" w:lineRule="auto"/>
        <w:tabs>
          <w:tab w:leader="none" w:pos="1620" w:val="left"/>
        </w:tabs>
        <w:numPr>
          <w:ilvl w:val="1"/>
          <w:numId w:val="407"/>
        </w:numPr>
        <w:rPr>
          <w:rFonts w:ascii="Arial" w:cs="Arial" w:eastAsia="Arial" w:hAnsi="Arial"/>
          <w:sz w:val="13"/>
          <w:szCs w:val="13"/>
          <w:color w:val="auto"/>
        </w:rPr>
      </w:pPr>
      <w:r>
        <w:rPr>
          <w:rFonts w:ascii="Arial" w:cs="Arial" w:eastAsia="Arial" w:hAnsi="Arial"/>
          <w:sz w:val="13"/>
          <w:szCs w:val="13"/>
          <w:color w:val="auto"/>
        </w:rPr>
        <w:t>if a Transaction Party does not, is not obliged to or is unable to pay the Guaranteed Money in accordance with the Transaction Documents;</w:t>
      </w:r>
    </w:p>
    <w:p>
      <w:pPr>
        <w:spacing w:after="0" w:line="56" w:lineRule="exact"/>
        <w:rPr>
          <w:rFonts w:ascii="Arial" w:cs="Arial" w:eastAsia="Arial" w:hAnsi="Arial"/>
          <w:sz w:val="13"/>
          <w:szCs w:val="13"/>
          <w:color w:val="auto"/>
        </w:rPr>
      </w:pPr>
    </w:p>
    <w:p>
      <w:pPr>
        <w:ind w:left="1620" w:hanging="412"/>
        <w:spacing w:after="0"/>
        <w:tabs>
          <w:tab w:leader="none" w:pos="1620" w:val="left"/>
        </w:tabs>
        <w:numPr>
          <w:ilvl w:val="1"/>
          <w:numId w:val="407"/>
        </w:numPr>
        <w:rPr>
          <w:rFonts w:ascii="Arial" w:cs="Arial" w:eastAsia="Arial" w:hAnsi="Arial"/>
          <w:sz w:val="13"/>
          <w:szCs w:val="13"/>
          <w:color w:val="auto"/>
        </w:rPr>
      </w:pPr>
      <w:r>
        <w:rPr>
          <w:rFonts w:ascii="Arial" w:cs="Arial" w:eastAsia="Arial" w:hAnsi="Arial"/>
          <w:sz w:val="13"/>
          <w:szCs w:val="13"/>
          <w:color w:val="auto"/>
        </w:rPr>
        <w:t>if a Guarantor is not obliged to pay the Bank an amount under</w:t>
      </w:r>
    </w:p>
    <w:p>
      <w:pPr>
        <w:spacing w:after="0" w:line="8" w:lineRule="exact"/>
        <w:rPr>
          <w:sz w:val="20"/>
          <w:szCs w:val="20"/>
          <w:color w:val="auto"/>
        </w:rPr>
      </w:pPr>
    </w:p>
    <w:p>
      <w:pPr>
        <w:ind w:left="1540"/>
        <w:spacing w:after="0"/>
        <w:rPr>
          <w:sz w:val="20"/>
          <w:szCs w:val="20"/>
          <w:color w:val="auto"/>
        </w:rPr>
      </w:pPr>
      <w:r>
        <w:rPr>
          <w:rFonts w:ascii="Arial" w:cs="Arial" w:eastAsia="Arial" w:hAnsi="Arial"/>
          <w:sz w:val="13"/>
          <w:szCs w:val="13"/>
          <w:b w:val="1"/>
          <w:bCs w:val="1"/>
          <w:color w:val="auto"/>
        </w:rPr>
        <w:t>clause 16</w:t>
      </w:r>
      <w:r>
        <w:rPr>
          <w:rFonts w:ascii="Arial" w:cs="Arial" w:eastAsia="Arial" w:hAnsi="Arial"/>
          <w:sz w:val="13"/>
          <w:szCs w:val="13"/>
          <w:color w:val="auto"/>
        </w:rPr>
        <w:t>;</w:t>
      </w:r>
    </w:p>
    <w:p>
      <w:pPr>
        <w:spacing w:after="0" w:line="80" w:lineRule="exact"/>
        <w:rPr>
          <w:sz w:val="20"/>
          <w:szCs w:val="20"/>
          <w:color w:val="auto"/>
        </w:rPr>
      </w:pPr>
    </w:p>
    <w:p>
      <w:pPr>
        <w:ind w:left="1740" w:hanging="532"/>
        <w:spacing w:after="0" w:line="244" w:lineRule="auto"/>
        <w:tabs>
          <w:tab w:leader="none" w:pos="1740" w:val="left"/>
        </w:tabs>
        <w:numPr>
          <w:ilvl w:val="1"/>
          <w:numId w:val="408"/>
        </w:numPr>
        <w:rPr>
          <w:rFonts w:ascii="Arial" w:cs="Arial" w:eastAsia="Arial" w:hAnsi="Arial"/>
          <w:sz w:val="13"/>
          <w:szCs w:val="13"/>
          <w:color w:val="auto"/>
        </w:rPr>
      </w:pPr>
      <w:r>
        <w:rPr>
          <w:rFonts w:ascii="Arial" w:cs="Arial" w:eastAsia="Arial" w:hAnsi="Arial"/>
          <w:sz w:val="13"/>
          <w:szCs w:val="13"/>
          <w:color w:val="auto"/>
        </w:rPr>
        <w:t>if the Bank is obliged, or agrees, to pay an amount to a trustee in bankruptcy or liquidator (of an insolvent person) in connection with a payment by a Transaction Party under or in connection with a Transaction Document;</w:t>
      </w:r>
    </w:p>
    <w:p>
      <w:pPr>
        <w:spacing w:after="0" w:line="40" w:lineRule="exact"/>
        <w:rPr>
          <w:rFonts w:ascii="Arial" w:cs="Arial" w:eastAsia="Arial" w:hAnsi="Arial"/>
          <w:sz w:val="13"/>
          <w:szCs w:val="13"/>
          <w:color w:val="auto"/>
        </w:rPr>
      </w:pPr>
    </w:p>
    <w:p>
      <w:pPr>
        <w:ind w:left="1700" w:hanging="492"/>
        <w:spacing w:after="0"/>
        <w:tabs>
          <w:tab w:leader="none" w:pos="1700" w:val="left"/>
        </w:tabs>
        <w:numPr>
          <w:ilvl w:val="1"/>
          <w:numId w:val="408"/>
        </w:numPr>
        <w:rPr>
          <w:rFonts w:ascii="Arial" w:cs="Arial" w:eastAsia="Arial" w:hAnsi="Arial"/>
          <w:sz w:val="13"/>
          <w:szCs w:val="13"/>
          <w:color w:val="auto"/>
        </w:rPr>
      </w:pPr>
      <w:r>
        <w:rPr>
          <w:rFonts w:ascii="Arial" w:cs="Arial" w:eastAsia="Arial" w:hAnsi="Arial"/>
          <w:sz w:val="13"/>
          <w:szCs w:val="13"/>
          <w:color w:val="auto"/>
        </w:rPr>
        <w:t xml:space="preserve">if a Guarantor defaults under the Guarantee in </w:t>
      </w:r>
      <w:r>
        <w:rPr>
          <w:rFonts w:ascii="Arial" w:cs="Arial" w:eastAsia="Arial" w:hAnsi="Arial"/>
          <w:sz w:val="13"/>
          <w:szCs w:val="13"/>
          <w:b w:val="1"/>
          <w:bCs w:val="1"/>
          <w:color w:val="auto"/>
        </w:rPr>
        <w:t>clause 16.1</w:t>
      </w:r>
      <w:r>
        <w:rPr>
          <w:rFonts w:ascii="Arial" w:cs="Arial" w:eastAsia="Arial" w:hAnsi="Arial"/>
          <w:sz w:val="13"/>
          <w:szCs w:val="13"/>
          <w:color w:val="auto"/>
        </w:rPr>
        <w:t>; or</w:t>
      </w:r>
    </w:p>
    <w:p>
      <w:pPr>
        <w:spacing w:after="0" w:line="75" w:lineRule="exact"/>
        <w:rPr>
          <w:rFonts w:ascii="Arial" w:cs="Arial" w:eastAsia="Arial" w:hAnsi="Arial"/>
          <w:sz w:val="13"/>
          <w:szCs w:val="13"/>
          <w:color w:val="auto"/>
        </w:rPr>
      </w:pPr>
    </w:p>
    <w:p>
      <w:pPr>
        <w:ind w:left="1980" w:hanging="772"/>
        <w:spacing w:after="0"/>
        <w:tabs>
          <w:tab w:leader="none" w:pos="1980" w:val="left"/>
        </w:tabs>
        <w:numPr>
          <w:ilvl w:val="1"/>
          <w:numId w:val="408"/>
        </w:numPr>
        <w:rPr>
          <w:rFonts w:ascii="Arial" w:cs="Arial" w:eastAsia="Arial" w:hAnsi="Arial"/>
          <w:sz w:val="13"/>
          <w:szCs w:val="13"/>
          <w:color w:val="auto"/>
        </w:rPr>
      </w:pPr>
      <w:r>
        <w:rPr>
          <w:rFonts w:ascii="Arial" w:cs="Arial" w:eastAsia="Arial" w:hAnsi="Arial"/>
          <w:sz w:val="13"/>
          <w:szCs w:val="13"/>
          <w:color w:val="auto"/>
        </w:rPr>
        <w:t xml:space="preserve">in connection with any person exercising, or not exercising, rights under the Guarantee in </w:t>
      </w:r>
      <w:r>
        <w:rPr>
          <w:rFonts w:ascii="Arial" w:cs="Arial" w:eastAsia="Arial" w:hAnsi="Arial"/>
          <w:sz w:val="13"/>
          <w:szCs w:val="13"/>
          <w:b w:val="1"/>
          <w:bCs w:val="1"/>
          <w:color w:val="auto"/>
        </w:rPr>
        <w:t>clause 16.1</w:t>
      </w:r>
      <w:r>
        <w:rPr>
          <w:rFonts w:ascii="Arial" w:cs="Arial" w:eastAsia="Arial" w:hAnsi="Arial"/>
          <w:sz w:val="13"/>
          <w:szCs w:val="13"/>
          <w:color w:val="auto"/>
        </w:rPr>
        <w:t>.</w:t>
      </w:r>
    </w:p>
    <w:p>
      <w:pPr>
        <w:spacing w:after="0" w:line="91" w:lineRule="exact"/>
        <w:rPr>
          <w:rFonts w:ascii="Arial" w:cs="Arial" w:eastAsia="Arial" w:hAnsi="Arial"/>
          <w:sz w:val="13"/>
          <w:szCs w:val="13"/>
          <w:color w:val="auto"/>
        </w:rPr>
      </w:pPr>
    </w:p>
    <w:p>
      <w:pPr>
        <w:ind w:left="2320" w:hanging="1464"/>
        <w:spacing w:after="0"/>
        <w:tabs>
          <w:tab w:leader="none" w:pos="2320" w:val="left"/>
        </w:tabs>
        <w:numPr>
          <w:ilvl w:val="0"/>
          <w:numId w:val="409"/>
        </w:numPr>
        <w:rPr>
          <w:rFonts w:ascii="Arial" w:cs="Arial" w:eastAsia="Arial" w:hAnsi="Arial"/>
          <w:sz w:val="13"/>
          <w:szCs w:val="13"/>
          <w:color w:val="auto"/>
        </w:rPr>
      </w:pPr>
      <w:r>
        <w:rPr>
          <w:rFonts w:ascii="Arial" w:cs="Arial" w:eastAsia="Arial" w:hAnsi="Arial"/>
          <w:sz w:val="13"/>
          <w:szCs w:val="13"/>
          <w:color w:val="auto"/>
        </w:rPr>
        <w:t>Each Guarantor agrees to pay amounts due under this indemnity immediately on demand from the Bank.</w:t>
      </w:r>
    </w:p>
    <w:p>
      <w:pPr>
        <w:spacing w:after="0" w:line="74" w:lineRule="exact"/>
        <w:rPr>
          <w:sz w:val="20"/>
          <w:szCs w:val="20"/>
          <w:color w:val="auto"/>
        </w:rPr>
      </w:pPr>
    </w:p>
    <w:p>
      <w:pPr>
        <w:spacing w:after="0"/>
        <w:tabs>
          <w:tab w:leader="none" w:pos="1620" w:val="left"/>
        </w:tabs>
        <w:rPr>
          <w:sz w:val="20"/>
          <w:szCs w:val="20"/>
          <w:color w:val="auto"/>
        </w:rPr>
      </w:pPr>
      <w:r>
        <w:rPr>
          <w:rFonts w:ascii="Arial" w:cs="Arial" w:eastAsia="Arial" w:hAnsi="Arial"/>
          <w:sz w:val="14"/>
          <w:szCs w:val="14"/>
          <w:b w:val="1"/>
          <w:bCs w:val="1"/>
          <w:color w:val="auto"/>
        </w:rPr>
        <w:t>16.4</w:t>
      </w:r>
      <w:r>
        <w:rPr>
          <w:sz w:val="20"/>
          <w:szCs w:val="20"/>
          <w:color w:val="auto"/>
        </w:rPr>
        <w:tab/>
      </w:r>
      <w:r>
        <w:rPr>
          <w:rFonts w:ascii="Arial" w:cs="Arial" w:eastAsia="Arial" w:hAnsi="Arial"/>
          <w:sz w:val="14"/>
          <w:szCs w:val="14"/>
          <w:b w:val="1"/>
          <w:bCs w:val="1"/>
          <w:color w:val="auto"/>
        </w:rPr>
        <w:t>Reinstatement of rights</w:t>
      </w:r>
    </w:p>
    <w:p>
      <w:pPr>
        <w:spacing w:after="0" w:line="75" w:lineRule="exact"/>
        <w:rPr>
          <w:sz w:val="20"/>
          <w:szCs w:val="20"/>
          <w:color w:val="auto"/>
        </w:rPr>
      </w:pPr>
    </w:p>
    <w:p>
      <w:pPr>
        <w:ind w:left="1400" w:right="60" w:hanging="544"/>
        <w:spacing w:after="0" w:line="244" w:lineRule="auto"/>
        <w:tabs>
          <w:tab w:leader="none" w:pos="1400" w:val="left"/>
        </w:tabs>
        <w:numPr>
          <w:ilvl w:val="0"/>
          <w:numId w:val="410"/>
        </w:numPr>
        <w:rPr>
          <w:rFonts w:ascii="Arial" w:cs="Arial" w:eastAsia="Arial" w:hAnsi="Arial"/>
          <w:sz w:val="13"/>
          <w:szCs w:val="13"/>
          <w:color w:val="auto"/>
        </w:rPr>
      </w:pPr>
      <w:r>
        <w:rPr>
          <w:rFonts w:ascii="Arial" w:cs="Arial" w:eastAsia="Arial" w:hAnsi="Arial"/>
          <w:sz w:val="13"/>
          <w:szCs w:val="13"/>
          <w:color w:val="auto"/>
        </w:rPr>
        <w:t>Following an Insolvency Event in respect of a Transaction Party, a person may claim that a transaction (including a payment) in connection with this Guarantee or the Guaranteed Money is void or voidable.</w:t>
      </w:r>
    </w:p>
    <w:p>
      <w:pPr>
        <w:spacing w:after="0" w:line="56" w:lineRule="exact"/>
        <w:rPr>
          <w:rFonts w:ascii="Arial" w:cs="Arial" w:eastAsia="Arial" w:hAnsi="Arial"/>
          <w:sz w:val="13"/>
          <w:szCs w:val="13"/>
          <w:color w:val="auto"/>
        </w:rPr>
      </w:pPr>
    </w:p>
    <w:p>
      <w:pPr>
        <w:ind w:left="1340" w:hanging="484"/>
        <w:spacing w:after="0"/>
        <w:tabs>
          <w:tab w:leader="none" w:pos="1340" w:val="left"/>
        </w:tabs>
        <w:numPr>
          <w:ilvl w:val="0"/>
          <w:numId w:val="410"/>
        </w:numPr>
        <w:rPr>
          <w:rFonts w:ascii="Arial" w:cs="Arial" w:eastAsia="Arial" w:hAnsi="Arial"/>
          <w:sz w:val="13"/>
          <w:szCs w:val="13"/>
          <w:color w:val="auto"/>
        </w:rPr>
      </w:pPr>
      <w:r>
        <w:rPr>
          <w:rFonts w:ascii="Arial" w:cs="Arial" w:eastAsia="Arial" w:hAnsi="Arial"/>
          <w:sz w:val="13"/>
          <w:szCs w:val="13"/>
          <w:color w:val="auto"/>
        </w:rPr>
        <w:t>If a claim is made and upheld, conceded or comprised:</w:t>
      </w:r>
    </w:p>
    <w:p>
      <w:pPr>
        <w:spacing w:after="0" w:line="84" w:lineRule="exact"/>
        <w:rPr>
          <w:rFonts w:ascii="Arial" w:cs="Arial" w:eastAsia="Arial" w:hAnsi="Arial"/>
          <w:sz w:val="13"/>
          <w:szCs w:val="13"/>
          <w:color w:val="auto"/>
        </w:rPr>
      </w:pPr>
    </w:p>
    <w:p>
      <w:pPr>
        <w:ind w:left="1780" w:right="120" w:hanging="572"/>
        <w:spacing w:after="0" w:line="244" w:lineRule="auto"/>
        <w:tabs>
          <w:tab w:leader="none" w:pos="1780" w:val="left"/>
        </w:tabs>
        <w:numPr>
          <w:ilvl w:val="1"/>
          <w:numId w:val="410"/>
        </w:numPr>
        <w:rPr>
          <w:rFonts w:ascii="Arial" w:cs="Arial" w:eastAsia="Arial" w:hAnsi="Arial"/>
          <w:sz w:val="13"/>
          <w:szCs w:val="13"/>
          <w:color w:val="auto"/>
        </w:rPr>
      </w:pPr>
      <w:r>
        <w:rPr>
          <w:rFonts w:ascii="Arial" w:cs="Arial" w:eastAsia="Arial" w:hAnsi="Arial"/>
          <w:sz w:val="13"/>
          <w:szCs w:val="13"/>
          <w:color w:val="auto"/>
        </w:rPr>
        <w:t>the Bank is immediately entitled as against the Guarantors to the rights in respect of the Guaranteed Money to which it was entitled immediately before the transaction; and</w:t>
      </w:r>
    </w:p>
    <w:p>
      <w:pPr>
        <w:spacing w:after="0" w:line="56" w:lineRule="exact"/>
        <w:rPr>
          <w:rFonts w:ascii="Arial" w:cs="Arial" w:eastAsia="Arial" w:hAnsi="Arial"/>
          <w:sz w:val="13"/>
          <w:szCs w:val="13"/>
          <w:color w:val="auto"/>
        </w:rPr>
      </w:pPr>
    </w:p>
    <w:p>
      <w:pPr>
        <w:ind w:left="1880" w:right="360" w:hanging="672"/>
        <w:spacing w:after="0" w:line="244" w:lineRule="auto"/>
        <w:tabs>
          <w:tab w:leader="none" w:pos="1880" w:val="left"/>
        </w:tabs>
        <w:numPr>
          <w:ilvl w:val="1"/>
          <w:numId w:val="410"/>
        </w:numPr>
        <w:rPr>
          <w:rFonts w:ascii="Arial" w:cs="Arial" w:eastAsia="Arial" w:hAnsi="Arial"/>
          <w:sz w:val="13"/>
          <w:szCs w:val="13"/>
          <w:color w:val="auto"/>
        </w:rPr>
      </w:pPr>
      <w:r>
        <w:rPr>
          <w:rFonts w:ascii="Arial" w:cs="Arial" w:eastAsia="Arial" w:hAnsi="Arial"/>
          <w:sz w:val="13"/>
          <w:szCs w:val="13"/>
          <w:color w:val="auto"/>
        </w:rPr>
        <w:t>on request from the Bank, each Guarantor agrees to do anything (including signing any document) to restore to the Bank any Security Interest (including this Guarantee) held by it from the Guarantors immediately before the transaction.</w:t>
      </w:r>
    </w:p>
    <w:p>
      <w:pPr>
        <w:spacing w:after="0" w:line="63" w:lineRule="exact"/>
        <w:rPr>
          <w:sz w:val="20"/>
          <w:szCs w:val="20"/>
          <w:color w:val="auto"/>
        </w:rPr>
      </w:pPr>
    </w:p>
    <w:p>
      <w:pPr>
        <w:spacing w:after="0"/>
        <w:tabs>
          <w:tab w:leader="none" w:pos="1260" w:val="left"/>
        </w:tabs>
        <w:rPr>
          <w:sz w:val="20"/>
          <w:szCs w:val="20"/>
          <w:color w:val="auto"/>
        </w:rPr>
      </w:pPr>
      <w:r>
        <w:rPr>
          <w:rFonts w:ascii="Arial" w:cs="Arial" w:eastAsia="Arial" w:hAnsi="Arial"/>
          <w:sz w:val="14"/>
          <w:szCs w:val="14"/>
          <w:b w:val="1"/>
          <w:bCs w:val="1"/>
          <w:color w:val="auto"/>
        </w:rPr>
        <w:t>16.5</w:t>
      </w:r>
      <w:r>
        <w:rPr>
          <w:sz w:val="20"/>
          <w:szCs w:val="20"/>
          <w:color w:val="auto"/>
        </w:rPr>
        <w:tab/>
      </w:r>
      <w:r>
        <w:rPr>
          <w:rFonts w:ascii="Arial" w:cs="Arial" w:eastAsia="Arial" w:hAnsi="Arial"/>
          <w:sz w:val="14"/>
          <w:szCs w:val="14"/>
          <w:b w:val="1"/>
          <w:bCs w:val="1"/>
          <w:color w:val="auto"/>
        </w:rPr>
        <w:t>Rights of the Bank are protected</w:t>
      </w:r>
    </w:p>
    <w:p>
      <w:pPr>
        <w:spacing w:after="0" w:line="75" w:lineRule="exact"/>
        <w:rPr>
          <w:sz w:val="20"/>
          <w:szCs w:val="20"/>
          <w:color w:val="auto"/>
        </w:rPr>
      </w:pPr>
    </w:p>
    <w:p>
      <w:pPr>
        <w:ind w:left="860" w:right="200"/>
        <w:spacing w:after="0" w:line="244" w:lineRule="auto"/>
        <w:rPr>
          <w:sz w:val="20"/>
          <w:szCs w:val="20"/>
          <w:color w:val="auto"/>
        </w:rPr>
      </w:pPr>
      <w:r>
        <w:rPr>
          <w:rFonts w:ascii="Arial" w:cs="Arial" w:eastAsia="Arial" w:hAnsi="Arial"/>
          <w:sz w:val="13"/>
          <w:szCs w:val="13"/>
          <w:color w:val="auto"/>
        </w:rPr>
        <w:t>Rights given to the Bank under this Guarantee (and each Guarantor’s liabilities under it) are not affected by any act or omission by the Bank or by anything else that might otherwise affect them under law or otherwise, including: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161925</wp:posOffset>
            </wp:positionV>
            <wp:extent cx="6208395"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208395" cy="42545"/>
                    </a:xfrm>
                    <a:prstGeom prst="rect">
                      <a:avLst/>
                    </a:prstGeom>
                    <a:noFill/>
                  </pic:spPr>
                </pic:pic>
              </a:graphicData>
            </a:graphic>
          </wp:anchor>
        </w:drawing>
      </w:r>
    </w:p>
    <w:p>
      <w:pPr>
        <w:sectPr>
          <w:pgSz w:w="11900" w:h="16838" w:orient="portrait"/>
          <w:cols w:equalWidth="0" w:num="1">
            <w:col w:w="9540"/>
          </w:cols>
          <w:pgMar w:left="1220" w:top="514" w:right="1139" w:bottom="1440" w:gutter="0" w:footer="0" w:header="0"/>
        </w:sectPr>
      </w:pPr>
    </w:p>
    <w:bookmarkStart w:id="276" w:name="page277"/>
    <w:bookmarkEnd w:id="276"/>
    <w:p>
      <w:pPr>
        <w:ind w:left="1420" w:right="260" w:hanging="564"/>
        <w:spacing w:after="0" w:line="244" w:lineRule="auto"/>
        <w:tabs>
          <w:tab w:leader="none" w:pos="1420" w:val="left"/>
        </w:tabs>
        <w:numPr>
          <w:ilvl w:val="0"/>
          <w:numId w:val="411"/>
        </w:numPr>
        <w:rPr>
          <w:rFonts w:ascii="Arial" w:cs="Arial" w:eastAsia="Arial" w:hAnsi="Arial"/>
          <w:sz w:val="13"/>
          <w:szCs w:val="13"/>
          <w:color w:val="auto"/>
        </w:rPr>
      </w:pPr>
      <w:r>
        <w:rPr>
          <w:rFonts w:ascii="Arial" w:cs="Arial" w:eastAsia="Arial" w:hAnsi="Arial"/>
          <w:sz w:val="13"/>
          <w:szCs w:val="13"/>
          <w:color w:val="auto"/>
        </w:rPr>
        <w:t>the fact that it varies or novates any agreement under which the Guaranteed Money is expressed to be owing, such as by increasing the Facility Limit or extending the term;</w:t>
      </w:r>
    </w:p>
    <w:p>
      <w:pPr>
        <w:spacing w:after="0" w:line="47" w:lineRule="exact"/>
        <w:rPr>
          <w:rFonts w:ascii="Arial" w:cs="Arial" w:eastAsia="Arial" w:hAnsi="Arial"/>
          <w:sz w:val="13"/>
          <w:szCs w:val="13"/>
          <w:color w:val="auto"/>
        </w:rPr>
      </w:pPr>
    </w:p>
    <w:p>
      <w:pPr>
        <w:ind w:left="1820" w:hanging="964"/>
        <w:spacing w:after="0"/>
        <w:tabs>
          <w:tab w:leader="none" w:pos="1820" w:val="left"/>
        </w:tabs>
        <w:numPr>
          <w:ilvl w:val="0"/>
          <w:numId w:val="411"/>
        </w:numPr>
        <w:rPr>
          <w:rFonts w:ascii="Arial" w:cs="Arial" w:eastAsia="Arial" w:hAnsi="Arial"/>
          <w:sz w:val="13"/>
          <w:szCs w:val="13"/>
          <w:color w:val="auto"/>
        </w:rPr>
      </w:pPr>
      <w:r>
        <w:rPr>
          <w:rFonts w:ascii="Arial" w:cs="Arial" w:eastAsia="Arial" w:hAnsi="Arial"/>
          <w:sz w:val="13"/>
          <w:szCs w:val="13"/>
          <w:color w:val="auto"/>
        </w:rPr>
        <w:t>the fact that it releases any Transaction Party or gives it a concession, such as more time to pay;</w:t>
      </w:r>
    </w:p>
    <w:p>
      <w:pPr>
        <w:spacing w:after="0" w:line="57" w:lineRule="exact"/>
        <w:rPr>
          <w:rFonts w:ascii="Arial" w:cs="Arial" w:eastAsia="Arial" w:hAnsi="Arial"/>
          <w:sz w:val="13"/>
          <w:szCs w:val="13"/>
          <w:color w:val="auto"/>
        </w:rPr>
      </w:pPr>
    </w:p>
    <w:p>
      <w:pPr>
        <w:ind w:left="1280" w:hanging="424"/>
        <w:spacing w:after="0"/>
        <w:tabs>
          <w:tab w:leader="none" w:pos="1280" w:val="left"/>
        </w:tabs>
        <w:numPr>
          <w:ilvl w:val="0"/>
          <w:numId w:val="411"/>
        </w:numPr>
        <w:rPr>
          <w:rFonts w:ascii="Arial" w:cs="Arial" w:eastAsia="Arial" w:hAnsi="Arial"/>
          <w:sz w:val="13"/>
          <w:szCs w:val="13"/>
          <w:color w:val="auto"/>
        </w:rPr>
      </w:pPr>
      <w:r>
        <w:rPr>
          <w:rFonts w:ascii="Arial" w:cs="Arial" w:eastAsia="Arial" w:hAnsi="Arial"/>
          <w:sz w:val="13"/>
          <w:szCs w:val="13"/>
          <w:color w:val="auto"/>
        </w:rPr>
        <w:t>the fact that a Transaction Party opens an account with it;</w:t>
      </w:r>
    </w:p>
    <w:p>
      <w:pPr>
        <w:spacing w:after="0" w:line="81" w:lineRule="exact"/>
        <w:rPr>
          <w:sz w:val="20"/>
          <w:szCs w:val="20"/>
          <w:color w:val="auto"/>
        </w:rPr>
      </w:pPr>
    </w:p>
    <w:p>
      <w:pPr>
        <w:ind w:left="860"/>
        <w:spacing w:after="0"/>
        <w:tabs>
          <w:tab w:leader="none" w:pos="2440" w:val="left"/>
        </w:tabs>
        <w:rPr>
          <w:sz w:val="20"/>
          <w:szCs w:val="20"/>
          <w:color w:val="auto"/>
        </w:rPr>
      </w:pPr>
      <w:r>
        <w:rPr>
          <w:rFonts w:ascii="Arial" w:cs="Arial" w:eastAsia="Arial" w:hAnsi="Arial"/>
          <w:sz w:val="13"/>
          <w:szCs w:val="13"/>
          <w:color w:val="auto"/>
        </w:rPr>
        <w:t>(d)</w:t>
      </w:r>
      <w:r>
        <w:rPr>
          <w:sz w:val="20"/>
          <w:szCs w:val="20"/>
          <w:color w:val="auto"/>
        </w:rPr>
        <w:tab/>
      </w:r>
      <w:r>
        <w:rPr>
          <w:rFonts w:ascii="Arial" w:cs="Arial" w:eastAsia="Arial" w:hAnsi="Arial"/>
          <w:sz w:val="13"/>
          <w:szCs w:val="13"/>
          <w:color w:val="auto"/>
        </w:rPr>
        <w:t>the fact that it releases, loses the benefit of or does not obtain any Security Interest;</w:t>
      </w:r>
    </w:p>
    <w:p>
      <w:pPr>
        <w:spacing w:after="0" w:line="70" w:lineRule="exact"/>
        <w:rPr>
          <w:sz w:val="20"/>
          <w:szCs w:val="20"/>
          <w:color w:val="auto"/>
        </w:rPr>
      </w:pPr>
    </w:p>
    <w:p>
      <w:pPr>
        <w:ind w:left="2280" w:hanging="1424"/>
        <w:spacing w:after="0"/>
        <w:tabs>
          <w:tab w:leader="none" w:pos="2280" w:val="left"/>
        </w:tabs>
        <w:numPr>
          <w:ilvl w:val="0"/>
          <w:numId w:val="412"/>
        </w:numPr>
        <w:rPr>
          <w:rFonts w:ascii="Arial" w:cs="Arial" w:eastAsia="Arial" w:hAnsi="Arial"/>
          <w:sz w:val="13"/>
          <w:szCs w:val="13"/>
          <w:color w:val="auto"/>
        </w:rPr>
      </w:pPr>
      <w:r>
        <w:rPr>
          <w:rFonts w:ascii="Arial" w:cs="Arial" w:eastAsia="Arial" w:hAnsi="Arial"/>
          <w:sz w:val="13"/>
          <w:szCs w:val="13"/>
          <w:color w:val="auto"/>
        </w:rPr>
        <w:t>the fact that it does not register any Security Interest which could be registered;</w:t>
      </w:r>
    </w:p>
    <w:p>
      <w:pPr>
        <w:spacing w:after="0" w:line="66" w:lineRule="exact"/>
        <w:rPr>
          <w:rFonts w:ascii="Arial" w:cs="Arial" w:eastAsia="Arial" w:hAnsi="Arial"/>
          <w:sz w:val="13"/>
          <w:szCs w:val="13"/>
          <w:color w:val="auto"/>
        </w:rPr>
      </w:pPr>
    </w:p>
    <w:p>
      <w:pPr>
        <w:ind w:left="1480" w:right="120" w:hanging="624"/>
        <w:spacing w:after="0" w:line="244" w:lineRule="auto"/>
        <w:tabs>
          <w:tab w:leader="none" w:pos="1480" w:val="left"/>
        </w:tabs>
        <w:numPr>
          <w:ilvl w:val="0"/>
          <w:numId w:val="412"/>
        </w:numPr>
        <w:rPr>
          <w:rFonts w:ascii="Arial" w:cs="Arial" w:eastAsia="Arial" w:hAnsi="Arial"/>
          <w:sz w:val="13"/>
          <w:szCs w:val="13"/>
          <w:color w:val="auto"/>
        </w:rPr>
      </w:pPr>
      <w:r>
        <w:rPr>
          <w:rFonts w:ascii="Arial" w:cs="Arial" w:eastAsia="Arial" w:hAnsi="Arial"/>
          <w:sz w:val="13"/>
          <w:szCs w:val="13"/>
          <w:color w:val="auto"/>
        </w:rPr>
        <w:t xml:space="preserve">the fact that it releases any person who gives a guarantee or indemnity in connection with any Transaction Party’s obligations (including under </w:t>
      </w:r>
      <w:r>
        <w:rPr>
          <w:rFonts w:ascii="Arial" w:cs="Arial" w:eastAsia="Arial" w:hAnsi="Arial"/>
          <w:sz w:val="13"/>
          <w:szCs w:val="13"/>
          <w:b w:val="1"/>
          <w:bCs w:val="1"/>
          <w:color w:val="auto"/>
        </w:rPr>
        <w:t>clause 16.13</w:t>
      </w:r>
      <w:r>
        <w:rPr>
          <w:rFonts w:ascii="Arial" w:cs="Arial" w:eastAsia="Arial" w:hAnsi="Arial"/>
          <w:sz w:val="13"/>
          <w:szCs w:val="13"/>
          <w:color w:val="auto"/>
        </w:rPr>
        <w:t>);</w:t>
      </w:r>
    </w:p>
    <w:p>
      <w:pPr>
        <w:spacing w:after="0" w:line="40" w:lineRule="exact"/>
        <w:rPr>
          <w:sz w:val="20"/>
          <w:szCs w:val="20"/>
          <w:color w:val="auto"/>
        </w:rPr>
      </w:pPr>
    </w:p>
    <w:p>
      <w:pPr>
        <w:ind w:left="860"/>
        <w:spacing w:after="0"/>
        <w:tabs>
          <w:tab w:leader="none" w:pos="2320" w:val="left"/>
        </w:tabs>
        <w:rPr>
          <w:sz w:val="20"/>
          <w:szCs w:val="20"/>
          <w:color w:val="auto"/>
        </w:rPr>
      </w:pPr>
      <w:r>
        <w:rPr>
          <w:rFonts w:ascii="Arial" w:cs="Arial" w:eastAsia="Arial" w:hAnsi="Arial"/>
          <w:sz w:val="13"/>
          <w:szCs w:val="13"/>
          <w:color w:val="auto"/>
        </w:rPr>
        <w:t>(g)</w:t>
      </w:r>
      <w:r>
        <w:rPr>
          <w:sz w:val="20"/>
          <w:szCs w:val="20"/>
          <w:color w:val="auto"/>
        </w:rPr>
        <w:tab/>
      </w:r>
      <w:r>
        <w:rPr>
          <w:rFonts w:ascii="Arial" w:cs="Arial" w:eastAsia="Arial" w:hAnsi="Arial"/>
          <w:sz w:val="13"/>
          <w:szCs w:val="13"/>
          <w:color w:val="auto"/>
        </w:rPr>
        <w:t xml:space="preserve">the fact that a person becomes a Guarantor after the date of this document (including under </w:t>
      </w:r>
      <w:r>
        <w:rPr>
          <w:rFonts w:ascii="Arial" w:cs="Arial" w:eastAsia="Arial" w:hAnsi="Arial"/>
          <w:sz w:val="13"/>
          <w:szCs w:val="13"/>
          <w:b w:val="1"/>
          <w:bCs w:val="1"/>
          <w:color w:val="auto"/>
        </w:rPr>
        <w:t>clause 16.14</w:t>
      </w:r>
      <w:r>
        <w:rPr>
          <w:rFonts w:ascii="Arial" w:cs="Arial" w:eastAsia="Arial" w:hAnsi="Arial"/>
          <w:sz w:val="13"/>
          <w:szCs w:val="13"/>
          <w:color w:val="auto"/>
        </w:rPr>
        <w:t>);</w:t>
      </w:r>
    </w:p>
    <w:p>
      <w:pPr>
        <w:spacing w:after="0" w:line="77" w:lineRule="exact"/>
        <w:rPr>
          <w:sz w:val="20"/>
          <w:szCs w:val="20"/>
          <w:color w:val="auto"/>
        </w:rPr>
      </w:pPr>
    </w:p>
    <w:p>
      <w:pPr>
        <w:ind w:left="860"/>
        <w:spacing w:after="0"/>
        <w:tabs>
          <w:tab w:leader="none" w:pos="1540" w:val="left"/>
        </w:tabs>
        <w:rPr>
          <w:sz w:val="20"/>
          <w:szCs w:val="20"/>
          <w:color w:val="auto"/>
        </w:rPr>
      </w:pPr>
      <w:r>
        <w:rPr>
          <w:rFonts w:ascii="Arial" w:cs="Arial" w:eastAsia="Arial" w:hAnsi="Arial"/>
          <w:sz w:val="13"/>
          <w:szCs w:val="13"/>
          <w:color w:val="auto"/>
        </w:rPr>
        <w:t>(h)</w:t>
      </w:r>
      <w:r>
        <w:rPr>
          <w:sz w:val="20"/>
          <w:szCs w:val="20"/>
          <w:color w:val="auto"/>
        </w:rPr>
        <w:tab/>
      </w:r>
      <w:r>
        <w:rPr>
          <w:rFonts w:ascii="Arial" w:cs="Arial" w:eastAsia="Arial" w:hAnsi="Arial"/>
          <w:sz w:val="13"/>
          <w:szCs w:val="13"/>
          <w:color w:val="auto"/>
        </w:rPr>
        <w:t>the fact the obligations of any person who guarantees any Transaction Party’s obligations (including under this Guarantee) may not be</w:t>
      </w:r>
    </w:p>
    <w:p>
      <w:pPr>
        <w:ind w:left="1560"/>
        <w:spacing w:after="0"/>
        <w:rPr>
          <w:sz w:val="20"/>
          <w:szCs w:val="20"/>
          <w:color w:val="auto"/>
        </w:rPr>
      </w:pPr>
      <w:r>
        <w:rPr>
          <w:rFonts w:ascii="Arial" w:cs="Arial" w:eastAsia="Arial" w:hAnsi="Arial"/>
          <w:sz w:val="13"/>
          <w:szCs w:val="13"/>
          <w:color w:val="auto"/>
        </w:rPr>
        <w:t>enforceable;</w:t>
      </w:r>
    </w:p>
    <w:p>
      <w:pPr>
        <w:spacing w:after="0" w:line="67" w:lineRule="exact"/>
        <w:rPr>
          <w:sz w:val="20"/>
          <w:szCs w:val="20"/>
          <w:color w:val="auto"/>
        </w:rPr>
      </w:pPr>
    </w:p>
    <w:p>
      <w:pPr>
        <w:ind w:left="860"/>
        <w:spacing w:after="0"/>
        <w:tabs>
          <w:tab w:leader="none" w:pos="1280" w:val="left"/>
        </w:tabs>
        <w:rPr>
          <w:sz w:val="20"/>
          <w:szCs w:val="20"/>
          <w:color w:val="auto"/>
        </w:rPr>
      </w:pPr>
      <w:r>
        <w:rPr>
          <w:rFonts w:ascii="Arial" w:cs="Arial" w:eastAsia="Arial" w:hAnsi="Arial"/>
          <w:sz w:val="13"/>
          <w:szCs w:val="13"/>
          <w:color w:val="auto"/>
        </w:rPr>
        <w:t>(i)</w:t>
      </w:r>
      <w:r>
        <w:rPr>
          <w:sz w:val="20"/>
          <w:szCs w:val="20"/>
          <w:color w:val="auto"/>
        </w:rPr>
        <w:tab/>
      </w:r>
      <w:r>
        <w:rPr>
          <w:rFonts w:ascii="Arial" w:cs="Arial" w:eastAsia="Arial" w:hAnsi="Arial"/>
          <w:sz w:val="13"/>
          <w:szCs w:val="13"/>
          <w:color w:val="auto"/>
        </w:rPr>
        <w:t>the fact that any person who was intended to guarantee any Transaction Party’s obligations does not do so or does not do so effectively;</w:t>
      </w:r>
    </w:p>
    <w:p>
      <w:pPr>
        <w:spacing w:after="0" w:line="67" w:lineRule="exact"/>
        <w:rPr>
          <w:sz w:val="20"/>
          <w:szCs w:val="20"/>
          <w:color w:val="auto"/>
        </w:rPr>
      </w:pPr>
    </w:p>
    <w:p>
      <w:pPr>
        <w:ind w:left="860"/>
        <w:spacing w:after="0"/>
        <w:tabs>
          <w:tab w:leader="none" w:pos="1160" w:val="left"/>
        </w:tabs>
        <w:rPr>
          <w:sz w:val="20"/>
          <w:szCs w:val="20"/>
          <w:color w:val="auto"/>
        </w:rPr>
      </w:pPr>
      <w:r>
        <w:rPr>
          <w:rFonts w:ascii="Arial" w:cs="Arial" w:eastAsia="Arial" w:hAnsi="Arial"/>
          <w:sz w:val="13"/>
          <w:szCs w:val="13"/>
          <w:color w:val="auto"/>
        </w:rPr>
        <w:t>(j)</w:t>
      </w:r>
      <w:r>
        <w:rPr>
          <w:sz w:val="20"/>
          <w:szCs w:val="20"/>
          <w:color w:val="auto"/>
        </w:rPr>
        <w:tab/>
      </w:r>
      <w:r>
        <w:rPr>
          <w:rFonts w:ascii="Arial" w:cs="Arial" w:eastAsia="Arial" w:hAnsi="Arial"/>
          <w:sz w:val="13"/>
          <w:szCs w:val="13"/>
          <w:color w:val="auto"/>
        </w:rPr>
        <w:t>changes in the membership, name or business of any person; or</w:t>
      </w:r>
    </w:p>
    <w:p>
      <w:pPr>
        <w:spacing w:after="0" w:line="70" w:lineRule="exact"/>
        <w:rPr>
          <w:sz w:val="20"/>
          <w:szCs w:val="20"/>
          <w:color w:val="auto"/>
        </w:rPr>
      </w:pPr>
    </w:p>
    <w:p>
      <w:pPr>
        <w:ind w:left="860"/>
        <w:spacing w:after="0"/>
        <w:tabs>
          <w:tab w:leader="none" w:pos="1280" w:val="left"/>
        </w:tabs>
        <w:rPr>
          <w:sz w:val="20"/>
          <w:szCs w:val="20"/>
          <w:color w:val="auto"/>
        </w:rPr>
      </w:pPr>
      <w:r>
        <w:rPr>
          <w:rFonts w:ascii="Arial" w:cs="Arial" w:eastAsia="Arial" w:hAnsi="Arial"/>
          <w:sz w:val="13"/>
          <w:szCs w:val="13"/>
          <w:color w:val="auto"/>
        </w:rPr>
        <w:t>(k)</w:t>
      </w:r>
      <w:r>
        <w:rPr>
          <w:sz w:val="20"/>
          <w:szCs w:val="20"/>
          <w:color w:val="auto"/>
        </w:rPr>
        <w:tab/>
      </w:r>
      <w:r>
        <w:rPr>
          <w:rFonts w:ascii="Arial" w:cs="Arial" w:eastAsia="Arial" w:hAnsi="Arial"/>
          <w:sz w:val="13"/>
          <w:szCs w:val="13"/>
          <w:color w:val="auto"/>
        </w:rPr>
        <w:t>the fact that a person who is a co-surety or co-indemnifier for payment of the Guaranteed Money is discharged under an agreement or by</w:t>
      </w:r>
    </w:p>
    <w:p>
      <w:pPr>
        <w:ind w:left="1300"/>
        <w:spacing w:after="0"/>
        <w:rPr>
          <w:sz w:val="20"/>
          <w:szCs w:val="20"/>
          <w:color w:val="auto"/>
        </w:rPr>
      </w:pPr>
      <w:r>
        <w:rPr>
          <w:rFonts w:ascii="Arial" w:cs="Arial" w:eastAsia="Arial" w:hAnsi="Arial"/>
          <w:sz w:val="13"/>
          <w:szCs w:val="13"/>
          <w:color w:val="auto"/>
        </w:rPr>
        <w:t>operation of law.</w:t>
      </w:r>
    </w:p>
    <w:p>
      <w:pPr>
        <w:spacing w:after="0" w:line="83" w:lineRule="exact"/>
        <w:rPr>
          <w:sz w:val="20"/>
          <w:szCs w:val="20"/>
          <w:color w:val="auto"/>
        </w:rPr>
      </w:pPr>
    </w:p>
    <w:p>
      <w:pPr>
        <w:spacing w:after="0"/>
        <w:tabs>
          <w:tab w:leader="none" w:pos="2880" w:val="left"/>
        </w:tabs>
        <w:rPr>
          <w:sz w:val="20"/>
          <w:szCs w:val="20"/>
          <w:color w:val="auto"/>
        </w:rPr>
      </w:pPr>
      <w:r>
        <w:rPr>
          <w:rFonts w:ascii="Arial" w:cs="Arial" w:eastAsia="Arial" w:hAnsi="Arial"/>
          <w:sz w:val="14"/>
          <w:szCs w:val="14"/>
          <w:b w:val="1"/>
          <w:bCs w:val="1"/>
          <w:color w:val="auto"/>
        </w:rPr>
        <w:t>16.6</w:t>
      </w:r>
      <w:r>
        <w:rPr>
          <w:sz w:val="20"/>
          <w:szCs w:val="20"/>
          <w:color w:val="auto"/>
        </w:rPr>
        <w:tab/>
      </w:r>
      <w:r>
        <w:rPr>
          <w:rFonts w:ascii="Arial" w:cs="Arial" w:eastAsia="Arial" w:hAnsi="Arial"/>
          <w:sz w:val="14"/>
          <w:szCs w:val="14"/>
          <w:b w:val="1"/>
          <w:bCs w:val="1"/>
          <w:color w:val="auto"/>
        </w:rPr>
        <w:t>No merger</w:t>
      </w:r>
    </w:p>
    <w:p>
      <w:pPr>
        <w:spacing w:after="0" w:line="75" w:lineRule="exact"/>
        <w:rPr>
          <w:sz w:val="20"/>
          <w:szCs w:val="20"/>
          <w:color w:val="auto"/>
        </w:rPr>
      </w:pPr>
    </w:p>
    <w:p>
      <w:pPr>
        <w:ind w:left="2100" w:hanging="1244"/>
        <w:spacing w:after="0"/>
        <w:tabs>
          <w:tab w:leader="none" w:pos="2100" w:val="left"/>
        </w:tabs>
        <w:numPr>
          <w:ilvl w:val="0"/>
          <w:numId w:val="413"/>
        </w:numPr>
        <w:rPr>
          <w:rFonts w:ascii="Arial" w:cs="Arial" w:eastAsia="Arial" w:hAnsi="Arial"/>
          <w:sz w:val="13"/>
          <w:szCs w:val="13"/>
          <w:color w:val="auto"/>
        </w:rPr>
      </w:pPr>
      <w:r>
        <w:rPr>
          <w:rFonts w:ascii="Arial" w:cs="Arial" w:eastAsia="Arial" w:hAnsi="Arial"/>
          <w:sz w:val="13"/>
          <w:szCs w:val="13"/>
          <w:color w:val="auto"/>
        </w:rPr>
        <w:t>This Guarantee does not merge with or adversely affect, and is not adversely affected by, any of the following:</w:t>
      </w:r>
    </w:p>
    <w:p>
      <w:pPr>
        <w:spacing w:after="0" w:line="57" w:lineRule="exact"/>
        <w:rPr>
          <w:rFonts w:ascii="Arial" w:cs="Arial" w:eastAsia="Arial" w:hAnsi="Arial"/>
          <w:sz w:val="13"/>
          <w:szCs w:val="13"/>
          <w:color w:val="auto"/>
        </w:rPr>
      </w:pPr>
    </w:p>
    <w:p>
      <w:pPr>
        <w:ind w:left="1880" w:hanging="672"/>
        <w:spacing w:after="0"/>
        <w:tabs>
          <w:tab w:leader="none" w:pos="1880" w:val="left"/>
        </w:tabs>
        <w:numPr>
          <w:ilvl w:val="1"/>
          <w:numId w:val="413"/>
        </w:numPr>
        <w:rPr>
          <w:rFonts w:ascii="Arial" w:cs="Arial" w:eastAsia="Arial" w:hAnsi="Arial"/>
          <w:sz w:val="13"/>
          <w:szCs w:val="13"/>
          <w:color w:val="auto"/>
        </w:rPr>
      </w:pPr>
      <w:r>
        <w:rPr>
          <w:rFonts w:ascii="Arial" w:cs="Arial" w:eastAsia="Arial" w:hAnsi="Arial"/>
          <w:sz w:val="13"/>
          <w:szCs w:val="13"/>
          <w:color w:val="auto"/>
        </w:rPr>
        <w:t>any other guarantee, indemnity, or Security Interest, or other right or remedy to which the Bank is entitled; or</w:t>
      </w:r>
    </w:p>
    <w:p>
      <w:pPr>
        <w:spacing w:after="0" w:line="66" w:lineRule="exact"/>
        <w:rPr>
          <w:rFonts w:ascii="Arial" w:cs="Arial" w:eastAsia="Arial" w:hAnsi="Arial"/>
          <w:sz w:val="13"/>
          <w:szCs w:val="13"/>
          <w:color w:val="auto"/>
        </w:rPr>
      </w:pPr>
    </w:p>
    <w:p>
      <w:pPr>
        <w:ind w:left="2280" w:right="700" w:hanging="1072"/>
        <w:spacing w:after="0" w:line="244" w:lineRule="auto"/>
        <w:tabs>
          <w:tab w:leader="none" w:pos="2280" w:val="left"/>
        </w:tabs>
        <w:numPr>
          <w:ilvl w:val="1"/>
          <w:numId w:val="413"/>
        </w:numPr>
        <w:rPr>
          <w:rFonts w:ascii="Arial" w:cs="Arial" w:eastAsia="Arial" w:hAnsi="Arial"/>
          <w:sz w:val="13"/>
          <w:szCs w:val="13"/>
          <w:color w:val="auto"/>
        </w:rPr>
      </w:pPr>
      <w:r>
        <w:rPr>
          <w:rFonts w:ascii="Arial" w:cs="Arial" w:eastAsia="Arial" w:hAnsi="Arial"/>
          <w:sz w:val="13"/>
          <w:szCs w:val="13"/>
          <w:color w:val="auto"/>
        </w:rPr>
        <w:t>a judgment which the Bank obtains against the Guarantors in connection with the Guaranteed Money or any other amount payable under this Guarantee.</w:t>
      </w:r>
    </w:p>
    <w:p>
      <w:pPr>
        <w:spacing w:after="0" w:line="56" w:lineRule="exact"/>
        <w:rPr>
          <w:rFonts w:ascii="Arial" w:cs="Arial" w:eastAsia="Arial" w:hAnsi="Arial"/>
          <w:sz w:val="13"/>
          <w:szCs w:val="13"/>
          <w:color w:val="auto"/>
        </w:rPr>
      </w:pPr>
    </w:p>
    <w:p>
      <w:pPr>
        <w:ind w:left="1280" w:hanging="424"/>
        <w:spacing w:after="0" w:line="244" w:lineRule="auto"/>
        <w:tabs>
          <w:tab w:leader="none" w:pos="1280" w:val="left"/>
        </w:tabs>
        <w:numPr>
          <w:ilvl w:val="0"/>
          <w:numId w:val="413"/>
        </w:numPr>
        <w:rPr>
          <w:rFonts w:ascii="Arial" w:cs="Arial" w:eastAsia="Arial" w:hAnsi="Arial"/>
          <w:sz w:val="13"/>
          <w:szCs w:val="13"/>
          <w:color w:val="auto"/>
        </w:rPr>
      </w:pPr>
      <w:r>
        <w:rPr>
          <w:rFonts w:ascii="Arial" w:cs="Arial" w:eastAsia="Arial" w:hAnsi="Arial"/>
          <w:sz w:val="13"/>
          <w:szCs w:val="13"/>
          <w:color w:val="auto"/>
        </w:rPr>
        <w:t>The Bank may still exercise rights under this Guarantee as well as under the judgment, other guarantee, indemnity, Security Interest, or other right or remedy.</w:t>
      </w:r>
    </w:p>
    <w:p>
      <w:pPr>
        <w:spacing w:after="0" w:line="63" w:lineRule="exact"/>
        <w:rPr>
          <w:sz w:val="20"/>
          <w:szCs w:val="20"/>
          <w:color w:val="auto"/>
        </w:rPr>
      </w:pPr>
    </w:p>
    <w:p>
      <w:pPr>
        <w:spacing w:after="0"/>
        <w:tabs>
          <w:tab w:leader="none" w:pos="1240" w:val="left"/>
        </w:tabs>
        <w:rPr>
          <w:sz w:val="20"/>
          <w:szCs w:val="20"/>
          <w:color w:val="auto"/>
        </w:rPr>
      </w:pPr>
      <w:r>
        <w:rPr>
          <w:rFonts w:ascii="Arial" w:cs="Arial" w:eastAsia="Arial" w:hAnsi="Arial"/>
          <w:sz w:val="14"/>
          <w:szCs w:val="14"/>
          <w:b w:val="1"/>
          <w:bCs w:val="1"/>
          <w:color w:val="auto"/>
        </w:rPr>
        <w:t>16.7</w:t>
      </w:r>
      <w:r>
        <w:rPr>
          <w:sz w:val="20"/>
          <w:szCs w:val="20"/>
          <w:color w:val="auto"/>
        </w:rPr>
        <w:tab/>
      </w:r>
      <w:r>
        <w:rPr>
          <w:rFonts w:ascii="Arial" w:cs="Arial" w:eastAsia="Arial" w:hAnsi="Arial"/>
          <w:sz w:val="14"/>
          <w:szCs w:val="14"/>
          <w:b w:val="1"/>
          <w:bCs w:val="1"/>
          <w:color w:val="auto"/>
        </w:rPr>
        <w:t>Extent of Guarantor’s obligations</w:t>
      </w:r>
    </w:p>
    <w:p>
      <w:pPr>
        <w:spacing w:after="0" w:line="75" w:lineRule="exact"/>
        <w:rPr>
          <w:sz w:val="20"/>
          <w:szCs w:val="20"/>
          <w:color w:val="auto"/>
        </w:rPr>
      </w:pPr>
    </w:p>
    <w:p>
      <w:pPr>
        <w:ind w:left="860" w:right="80"/>
        <w:spacing w:after="0" w:line="244" w:lineRule="auto"/>
        <w:rPr>
          <w:sz w:val="20"/>
          <w:szCs w:val="20"/>
          <w:color w:val="auto"/>
        </w:rPr>
      </w:pPr>
      <w:r>
        <w:rPr>
          <w:rFonts w:ascii="Arial" w:cs="Arial" w:eastAsia="Arial" w:hAnsi="Arial"/>
          <w:sz w:val="13"/>
          <w:szCs w:val="13"/>
          <w:color w:val="auto"/>
        </w:rPr>
        <w:t>If more than one person is named as “Guarantor”, each of them is liable for all the obligations under this Guarantee both individually and jointly with any one or more other persons named as “Guarantor”.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161925</wp:posOffset>
            </wp:positionV>
            <wp:extent cx="6208395"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208395" cy="42545"/>
                    </a:xfrm>
                    <a:prstGeom prst="rect">
                      <a:avLst/>
                    </a:prstGeom>
                    <a:noFill/>
                  </pic:spPr>
                </pic:pic>
              </a:graphicData>
            </a:graphic>
          </wp:anchor>
        </w:drawing>
      </w:r>
    </w:p>
    <w:p>
      <w:pPr>
        <w:sectPr>
          <w:pgSz w:w="11900" w:h="16838" w:orient="portrait"/>
          <w:cols w:equalWidth="0" w:num="1">
            <w:col w:w="9620"/>
          </w:cols>
          <w:pgMar w:left="1220" w:top="561" w:right="1059" w:bottom="1440" w:gutter="0" w:footer="0" w:header="0"/>
        </w:sectPr>
      </w:pPr>
    </w:p>
    <w:bookmarkStart w:id="277" w:name="page278"/>
    <w:bookmarkEnd w:id="277"/>
    <w:p>
      <w:pPr>
        <w:spacing w:after="0"/>
        <w:tabs>
          <w:tab w:leader="none" w:pos="1240" w:val="left"/>
        </w:tabs>
        <w:rPr>
          <w:sz w:val="20"/>
          <w:szCs w:val="20"/>
          <w:color w:val="auto"/>
        </w:rPr>
      </w:pPr>
      <w:r>
        <w:rPr>
          <w:rFonts w:ascii="Arial" w:cs="Arial" w:eastAsia="Arial" w:hAnsi="Arial"/>
          <w:sz w:val="14"/>
          <w:szCs w:val="14"/>
          <w:b w:val="1"/>
          <w:bCs w:val="1"/>
          <w:color w:val="auto"/>
        </w:rPr>
        <w:t>16.8</w:t>
      </w:r>
      <w:r>
        <w:rPr>
          <w:sz w:val="20"/>
          <w:szCs w:val="20"/>
          <w:color w:val="auto"/>
        </w:rPr>
        <w:tab/>
      </w:r>
      <w:r>
        <w:rPr>
          <w:rFonts w:ascii="Arial" w:cs="Arial" w:eastAsia="Arial" w:hAnsi="Arial"/>
          <w:sz w:val="14"/>
          <w:szCs w:val="14"/>
          <w:b w:val="1"/>
          <w:bCs w:val="1"/>
          <w:color w:val="auto"/>
        </w:rPr>
        <w:t>Guarantor’s rights are suspended</w:t>
      </w:r>
    </w:p>
    <w:p>
      <w:pPr>
        <w:spacing w:after="0" w:line="75" w:lineRule="exact"/>
        <w:rPr>
          <w:sz w:val="20"/>
          <w:szCs w:val="20"/>
          <w:color w:val="auto"/>
        </w:rPr>
      </w:pPr>
    </w:p>
    <w:p>
      <w:pPr>
        <w:ind w:left="860"/>
        <w:spacing w:after="0"/>
        <w:rPr>
          <w:sz w:val="20"/>
          <w:szCs w:val="20"/>
          <w:color w:val="auto"/>
        </w:rPr>
      </w:pPr>
      <w:r>
        <w:rPr>
          <w:rFonts w:ascii="Arial" w:cs="Arial" w:eastAsia="Arial" w:hAnsi="Arial"/>
          <w:sz w:val="13"/>
          <w:szCs w:val="13"/>
          <w:color w:val="auto"/>
        </w:rPr>
        <w:t>As long as any of the Guaranteed Money remains unpaid, the Guarantor may not, without the Bank’s consent:</w:t>
      </w:r>
    </w:p>
    <w:p>
      <w:pPr>
        <w:spacing w:after="0" w:line="67" w:lineRule="exact"/>
        <w:rPr>
          <w:sz w:val="20"/>
          <w:szCs w:val="20"/>
          <w:color w:val="auto"/>
        </w:rPr>
      </w:pPr>
    </w:p>
    <w:p>
      <w:pPr>
        <w:ind w:left="1620" w:right="420" w:hanging="764"/>
        <w:spacing w:after="0" w:line="244" w:lineRule="auto"/>
        <w:tabs>
          <w:tab w:leader="none" w:pos="1620" w:val="left"/>
        </w:tabs>
        <w:numPr>
          <w:ilvl w:val="0"/>
          <w:numId w:val="414"/>
        </w:numPr>
        <w:rPr>
          <w:rFonts w:ascii="Arial" w:cs="Arial" w:eastAsia="Arial" w:hAnsi="Arial"/>
          <w:sz w:val="13"/>
          <w:szCs w:val="13"/>
          <w:color w:val="auto"/>
        </w:rPr>
      </w:pPr>
      <w:r>
        <w:rPr>
          <w:rFonts w:ascii="Arial" w:cs="Arial" w:eastAsia="Arial" w:hAnsi="Arial"/>
          <w:sz w:val="13"/>
          <w:szCs w:val="13"/>
          <w:color w:val="auto"/>
        </w:rPr>
        <w:t>reduce its liability under this Guarantee by claiming that it or any other Transaction Party or any other person has a right of set-off or counterclaim against the Bank;</w:t>
      </w:r>
    </w:p>
    <w:p>
      <w:pPr>
        <w:spacing w:after="0" w:line="56" w:lineRule="exact"/>
        <w:rPr>
          <w:rFonts w:ascii="Arial" w:cs="Arial" w:eastAsia="Arial" w:hAnsi="Arial"/>
          <w:sz w:val="13"/>
          <w:szCs w:val="13"/>
          <w:color w:val="auto"/>
        </w:rPr>
      </w:pPr>
    </w:p>
    <w:p>
      <w:pPr>
        <w:ind w:left="1460" w:right="300" w:hanging="604"/>
        <w:spacing w:after="0" w:line="244" w:lineRule="auto"/>
        <w:tabs>
          <w:tab w:leader="none" w:pos="1460" w:val="left"/>
        </w:tabs>
        <w:numPr>
          <w:ilvl w:val="0"/>
          <w:numId w:val="414"/>
        </w:numPr>
        <w:rPr>
          <w:rFonts w:ascii="Arial" w:cs="Arial" w:eastAsia="Arial" w:hAnsi="Arial"/>
          <w:sz w:val="13"/>
          <w:szCs w:val="13"/>
          <w:color w:val="auto"/>
        </w:rPr>
      </w:pPr>
      <w:r>
        <w:rPr>
          <w:rFonts w:ascii="Arial" w:cs="Arial" w:eastAsia="Arial" w:hAnsi="Arial"/>
          <w:sz w:val="13"/>
          <w:szCs w:val="13"/>
          <w:color w:val="auto"/>
        </w:rPr>
        <w:t>exercise any legal right to claim to be entitled to the benefit of another guarantee, indemnity, or Security Interest given in connection with the Guaranteed Money or any other amount payable under this Guarantee;</w:t>
      </w:r>
    </w:p>
    <w:p>
      <w:pPr>
        <w:spacing w:after="0" w:line="56" w:lineRule="exact"/>
        <w:rPr>
          <w:rFonts w:ascii="Arial" w:cs="Arial" w:eastAsia="Arial" w:hAnsi="Arial"/>
          <w:sz w:val="13"/>
          <w:szCs w:val="13"/>
          <w:color w:val="auto"/>
        </w:rPr>
      </w:pPr>
    </w:p>
    <w:p>
      <w:pPr>
        <w:ind w:left="1280" w:right="460" w:hanging="424"/>
        <w:spacing w:after="0" w:line="244" w:lineRule="auto"/>
        <w:tabs>
          <w:tab w:leader="none" w:pos="1280" w:val="left"/>
        </w:tabs>
        <w:numPr>
          <w:ilvl w:val="0"/>
          <w:numId w:val="414"/>
        </w:numPr>
        <w:rPr>
          <w:rFonts w:ascii="Arial" w:cs="Arial" w:eastAsia="Arial" w:hAnsi="Arial"/>
          <w:sz w:val="13"/>
          <w:szCs w:val="13"/>
          <w:color w:val="auto"/>
        </w:rPr>
      </w:pPr>
      <w:r>
        <w:rPr>
          <w:rFonts w:ascii="Arial" w:cs="Arial" w:eastAsia="Arial" w:hAnsi="Arial"/>
          <w:sz w:val="13"/>
          <w:szCs w:val="13"/>
          <w:color w:val="auto"/>
        </w:rPr>
        <w:t>claim an amount from another Transaction Party, or another guarantor of the Guaranteed Money (including a person who has signed this document as a “Guarantor”), under a right of indemnity in respect of this guarantee; or</w:t>
      </w:r>
    </w:p>
    <w:p>
      <w:pPr>
        <w:spacing w:after="0" w:line="47" w:lineRule="exact"/>
        <w:rPr>
          <w:rFonts w:ascii="Arial" w:cs="Arial" w:eastAsia="Arial" w:hAnsi="Arial"/>
          <w:sz w:val="13"/>
          <w:szCs w:val="13"/>
          <w:color w:val="auto"/>
        </w:rPr>
      </w:pPr>
    </w:p>
    <w:p>
      <w:pPr>
        <w:ind w:left="1380" w:right="440" w:hanging="524"/>
        <w:spacing w:after="0" w:line="244" w:lineRule="auto"/>
        <w:tabs>
          <w:tab w:leader="none" w:pos="1380" w:val="left"/>
        </w:tabs>
        <w:numPr>
          <w:ilvl w:val="0"/>
          <w:numId w:val="414"/>
        </w:numPr>
        <w:rPr>
          <w:rFonts w:ascii="Arial" w:cs="Arial" w:eastAsia="Arial" w:hAnsi="Arial"/>
          <w:sz w:val="13"/>
          <w:szCs w:val="13"/>
          <w:color w:val="auto"/>
        </w:rPr>
      </w:pPr>
      <w:r>
        <w:rPr>
          <w:rFonts w:ascii="Arial" w:cs="Arial" w:eastAsia="Arial" w:hAnsi="Arial"/>
          <w:sz w:val="13"/>
          <w:szCs w:val="13"/>
          <w:color w:val="auto"/>
        </w:rPr>
        <w:t>claim an amount in the insolvency of a Transaction Party or of another guarantor of the Guaranteed Money (including a person who has signed this document as a “Guarantor”).</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0" w:type="dxa"/>
            <w:vAlign w:val="bottom"/>
          </w:tcPr>
          <w:p>
            <w:pPr>
              <w:spacing w:after="0"/>
              <w:rPr>
                <w:sz w:val="20"/>
                <w:szCs w:val="20"/>
                <w:color w:val="auto"/>
              </w:rPr>
            </w:pPr>
            <w:r>
              <w:rPr>
                <w:rFonts w:ascii="Arial" w:cs="Arial" w:eastAsia="Arial" w:hAnsi="Arial"/>
                <w:sz w:val="14"/>
                <w:szCs w:val="14"/>
                <w:b w:val="1"/>
                <w:bCs w:val="1"/>
                <w:color w:val="auto"/>
              </w:rPr>
              <w:t>16.9</w:t>
            </w:r>
          </w:p>
        </w:tc>
        <w:tc>
          <w:tcPr>
            <w:tcW w:w="9100" w:type="dxa"/>
            <w:vAlign w:val="bottom"/>
          </w:tcPr>
          <w:p>
            <w:pPr>
              <w:ind w:left="660"/>
              <w:spacing w:after="0"/>
              <w:rPr>
                <w:sz w:val="20"/>
                <w:szCs w:val="20"/>
                <w:color w:val="auto"/>
              </w:rPr>
            </w:pPr>
            <w:r>
              <w:rPr>
                <w:rFonts w:ascii="Arial" w:cs="Arial" w:eastAsia="Arial" w:hAnsi="Arial"/>
                <w:sz w:val="14"/>
                <w:szCs w:val="14"/>
                <w:b w:val="1"/>
                <w:bCs w:val="1"/>
                <w:color w:val="auto"/>
              </w:rPr>
              <w:t>Guarantor’s right of proof limited</w:t>
            </w:r>
          </w:p>
        </w:tc>
      </w:tr>
      <w:tr>
        <w:trPr>
          <w:trHeight w:val="174"/>
        </w:trPr>
        <w:tc>
          <w:tcPr>
            <w:tcW w:w="620" w:type="dxa"/>
            <w:vAlign w:val="bottom"/>
          </w:tcPr>
          <w:p>
            <w:pPr>
              <w:spacing w:after="0"/>
              <w:rPr>
                <w:sz w:val="15"/>
                <w:szCs w:val="15"/>
                <w:color w:val="auto"/>
              </w:rPr>
            </w:pPr>
          </w:p>
        </w:tc>
        <w:tc>
          <w:tcPr>
            <w:tcW w:w="9100" w:type="dxa"/>
            <w:vAlign w:val="bottom"/>
          </w:tcPr>
          <w:p>
            <w:pPr>
              <w:ind w:left="240"/>
              <w:spacing w:after="0"/>
              <w:rPr>
                <w:sz w:val="20"/>
                <w:szCs w:val="20"/>
                <w:color w:val="auto"/>
              </w:rPr>
            </w:pPr>
            <w:r>
              <w:rPr>
                <w:rFonts w:ascii="Arial" w:cs="Arial" w:eastAsia="Arial" w:hAnsi="Arial"/>
                <w:sz w:val="13"/>
                <w:szCs w:val="13"/>
                <w:color w:val="auto"/>
              </w:rPr>
              <w:t>Each Guarantor agrees not to exercise a right of proof after an event occurs relating to the insolvency of a Transaction Party or another guarantor of the</w:t>
            </w:r>
          </w:p>
        </w:tc>
      </w:tr>
      <w:tr>
        <w:trPr>
          <w:trHeight w:val="173"/>
        </w:trPr>
        <w:tc>
          <w:tcPr>
            <w:tcW w:w="620" w:type="dxa"/>
            <w:vAlign w:val="bottom"/>
          </w:tcPr>
          <w:p>
            <w:pPr>
              <w:spacing w:after="0"/>
              <w:rPr>
                <w:sz w:val="15"/>
                <w:szCs w:val="15"/>
                <w:color w:val="auto"/>
              </w:rPr>
            </w:pPr>
          </w:p>
        </w:tc>
        <w:tc>
          <w:tcPr>
            <w:tcW w:w="9100" w:type="dxa"/>
            <w:vAlign w:val="bottom"/>
          </w:tcPr>
          <w:p>
            <w:pPr>
              <w:ind w:left="240"/>
              <w:spacing w:after="0"/>
              <w:rPr>
                <w:sz w:val="20"/>
                <w:szCs w:val="20"/>
                <w:color w:val="auto"/>
              </w:rPr>
            </w:pPr>
            <w:r>
              <w:rPr>
                <w:rFonts w:ascii="Arial" w:cs="Arial" w:eastAsia="Arial" w:hAnsi="Arial"/>
                <w:sz w:val="13"/>
                <w:szCs w:val="13"/>
                <w:color w:val="auto"/>
              </w:rPr>
              <w:t xml:space="preserve">Guaranteed Money (including a person who has signed this document as a “Guarantor”) independently of an attorney appointed under </w:t>
            </w:r>
            <w:r>
              <w:rPr>
                <w:rFonts w:ascii="Arial" w:cs="Arial" w:eastAsia="Arial" w:hAnsi="Arial"/>
                <w:sz w:val="13"/>
                <w:szCs w:val="13"/>
                <w:b w:val="1"/>
                <w:bCs w:val="1"/>
                <w:color w:val="auto"/>
              </w:rPr>
              <w:t>clause 16.12</w:t>
            </w:r>
            <w:r>
              <w:rPr>
                <w:rFonts w:ascii="Arial" w:cs="Arial" w:eastAsia="Arial" w:hAnsi="Arial"/>
                <w:sz w:val="13"/>
                <w:szCs w:val="13"/>
                <w:color w:val="auto"/>
              </w:rPr>
              <w:t>.</w:t>
            </w:r>
          </w:p>
        </w:tc>
      </w:tr>
      <w:tr>
        <w:trPr>
          <w:trHeight w:val="256"/>
        </w:trPr>
        <w:tc>
          <w:tcPr>
            <w:tcW w:w="620" w:type="dxa"/>
            <w:vAlign w:val="bottom"/>
          </w:tcPr>
          <w:p>
            <w:pPr>
              <w:spacing w:after="0"/>
              <w:rPr>
                <w:sz w:val="20"/>
                <w:szCs w:val="20"/>
                <w:color w:val="auto"/>
              </w:rPr>
            </w:pPr>
            <w:r>
              <w:rPr>
                <w:rFonts w:ascii="Arial" w:cs="Arial" w:eastAsia="Arial" w:hAnsi="Arial"/>
                <w:sz w:val="14"/>
                <w:szCs w:val="14"/>
                <w:b w:val="1"/>
                <w:bCs w:val="1"/>
                <w:color w:val="auto"/>
              </w:rPr>
              <w:t>16.10</w:t>
            </w:r>
          </w:p>
        </w:tc>
        <w:tc>
          <w:tcPr>
            <w:tcW w:w="9100" w:type="dxa"/>
            <w:vAlign w:val="bottom"/>
          </w:tcPr>
          <w:p>
            <w:pPr>
              <w:ind w:left="1080"/>
              <w:spacing w:after="0"/>
              <w:rPr>
                <w:sz w:val="20"/>
                <w:szCs w:val="20"/>
                <w:color w:val="auto"/>
              </w:rPr>
            </w:pPr>
            <w:r>
              <w:rPr>
                <w:rFonts w:ascii="Arial" w:cs="Arial" w:eastAsia="Arial" w:hAnsi="Arial"/>
                <w:sz w:val="14"/>
                <w:szCs w:val="14"/>
                <w:b w:val="1"/>
                <w:bCs w:val="1"/>
                <w:color w:val="auto"/>
              </w:rPr>
              <w:t>No set-off against assignees</w:t>
            </w:r>
          </w:p>
        </w:tc>
      </w:tr>
      <w:tr>
        <w:trPr>
          <w:trHeight w:val="190"/>
        </w:trPr>
        <w:tc>
          <w:tcPr>
            <w:tcW w:w="620" w:type="dxa"/>
            <w:vAlign w:val="bottom"/>
          </w:tcPr>
          <w:p>
            <w:pPr>
              <w:spacing w:after="0"/>
              <w:rPr>
                <w:sz w:val="16"/>
                <w:szCs w:val="16"/>
                <w:color w:val="auto"/>
              </w:rPr>
            </w:pPr>
          </w:p>
        </w:tc>
        <w:tc>
          <w:tcPr>
            <w:tcW w:w="9100" w:type="dxa"/>
            <w:vAlign w:val="bottom"/>
          </w:tcPr>
          <w:p>
            <w:pPr>
              <w:ind w:left="240"/>
              <w:spacing w:after="0"/>
              <w:rPr>
                <w:sz w:val="20"/>
                <w:szCs w:val="20"/>
                <w:color w:val="auto"/>
              </w:rPr>
            </w:pPr>
            <w:r>
              <w:rPr>
                <w:rFonts w:ascii="Arial" w:cs="Arial" w:eastAsia="Arial" w:hAnsi="Arial"/>
                <w:sz w:val="13"/>
                <w:szCs w:val="13"/>
                <w:color w:val="auto"/>
              </w:rPr>
              <w:t>If the Bank assigns or otherwise deals with its rights under this Guarantee, the Guarantors may not claim against any assignee (or any other person</w:t>
            </w:r>
          </w:p>
        </w:tc>
      </w:tr>
      <w:tr>
        <w:trPr>
          <w:trHeight w:val="157"/>
        </w:trPr>
        <w:tc>
          <w:tcPr>
            <w:tcW w:w="620" w:type="dxa"/>
            <w:vAlign w:val="bottom"/>
          </w:tcPr>
          <w:p>
            <w:pPr>
              <w:spacing w:after="0"/>
              <w:rPr>
                <w:sz w:val="13"/>
                <w:szCs w:val="13"/>
                <w:color w:val="auto"/>
              </w:rPr>
            </w:pPr>
          </w:p>
        </w:tc>
        <w:tc>
          <w:tcPr>
            <w:tcW w:w="9100" w:type="dxa"/>
            <w:vAlign w:val="bottom"/>
          </w:tcPr>
          <w:p>
            <w:pPr>
              <w:ind w:left="240"/>
              <w:spacing w:after="0"/>
              <w:rPr>
                <w:sz w:val="20"/>
                <w:szCs w:val="20"/>
                <w:color w:val="auto"/>
              </w:rPr>
            </w:pPr>
            <w:r>
              <w:rPr>
                <w:rFonts w:ascii="Arial" w:cs="Arial" w:eastAsia="Arial" w:hAnsi="Arial"/>
                <w:sz w:val="13"/>
                <w:szCs w:val="13"/>
                <w:color w:val="auto"/>
              </w:rPr>
              <w:t>who has an interest in this Guarantee) any right of set-off or other right the Guarantors have against the Bank.</w:t>
            </w:r>
          </w:p>
        </w:tc>
      </w:tr>
      <w:tr>
        <w:trPr>
          <w:trHeight w:val="256"/>
        </w:trPr>
        <w:tc>
          <w:tcPr>
            <w:tcW w:w="620" w:type="dxa"/>
            <w:vAlign w:val="bottom"/>
          </w:tcPr>
          <w:p>
            <w:pPr>
              <w:spacing w:after="0"/>
              <w:rPr>
                <w:sz w:val="20"/>
                <w:szCs w:val="20"/>
                <w:color w:val="auto"/>
              </w:rPr>
            </w:pPr>
            <w:r>
              <w:rPr>
                <w:rFonts w:ascii="Arial" w:cs="Arial" w:eastAsia="Arial" w:hAnsi="Arial"/>
                <w:sz w:val="14"/>
                <w:szCs w:val="14"/>
                <w:b w:val="1"/>
                <w:bCs w:val="1"/>
                <w:color w:val="auto"/>
              </w:rPr>
              <w:t>16.11</w:t>
            </w:r>
          </w:p>
        </w:tc>
        <w:tc>
          <w:tcPr>
            <w:tcW w:w="9100" w:type="dxa"/>
            <w:vAlign w:val="bottom"/>
          </w:tcPr>
          <w:p>
            <w:pPr>
              <w:ind w:left="1700"/>
              <w:spacing w:after="0"/>
              <w:rPr>
                <w:sz w:val="20"/>
                <w:szCs w:val="20"/>
                <w:color w:val="auto"/>
              </w:rPr>
            </w:pPr>
            <w:r>
              <w:rPr>
                <w:rFonts w:ascii="Arial" w:cs="Arial" w:eastAsia="Arial" w:hAnsi="Arial"/>
                <w:sz w:val="14"/>
                <w:szCs w:val="14"/>
                <w:b w:val="1"/>
                <w:bCs w:val="1"/>
                <w:color w:val="auto"/>
              </w:rPr>
              <w:t>Suspense account</w:t>
            </w:r>
          </w:p>
        </w:tc>
      </w:tr>
      <w:tr>
        <w:trPr>
          <w:trHeight w:val="190"/>
        </w:trPr>
        <w:tc>
          <w:tcPr>
            <w:tcW w:w="620" w:type="dxa"/>
            <w:vAlign w:val="bottom"/>
          </w:tcPr>
          <w:p>
            <w:pPr>
              <w:spacing w:after="0"/>
              <w:rPr>
                <w:sz w:val="16"/>
                <w:szCs w:val="16"/>
                <w:color w:val="auto"/>
              </w:rPr>
            </w:pPr>
          </w:p>
        </w:tc>
        <w:tc>
          <w:tcPr>
            <w:tcW w:w="9100" w:type="dxa"/>
            <w:vAlign w:val="bottom"/>
          </w:tcPr>
          <w:p>
            <w:pPr>
              <w:ind w:left="240"/>
              <w:spacing w:after="0"/>
              <w:rPr>
                <w:sz w:val="20"/>
                <w:szCs w:val="20"/>
                <w:color w:val="auto"/>
              </w:rPr>
            </w:pPr>
            <w:r>
              <w:rPr>
                <w:rFonts w:ascii="Arial" w:cs="Arial" w:eastAsia="Arial" w:hAnsi="Arial"/>
                <w:sz w:val="13"/>
                <w:szCs w:val="13"/>
                <w:color w:val="auto"/>
              </w:rPr>
              <w:t>The Bank may place in a suspense account any payment it receives from the Guarantors if there is currently an Insolvency Event, or an Insolvency</w:t>
            </w:r>
          </w:p>
        </w:tc>
      </w:tr>
      <w:tr>
        <w:trPr>
          <w:trHeight w:val="144"/>
        </w:trPr>
        <w:tc>
          <w:tcPr>
            <w:tcW w:w="620" w:type="dxa"/>
            <w:vAlign w:val="bottom"/>
          </w:tcPr>
          <w:p>
            <w:pPr>
              <w:spacing w:after="0"/>
              <w:rPr>
                <w:sz w:val="12"/>
                <w:szCs w:val="12"/>
                <w:color w:val="auto"/>
              </w:rPr>
            </w:pPr>
          </w:p>
        </w:tc>
        <w:tc>
          <w:tcPr>
            <w:tcW w:w="9100" w:type="dxa"/>
            <w:vAlign w:val="bottom"/>
          </w:tcPr>
          <w:p>
            <w:pPr>
              <w:ind w:left="240"/>
              <w:spacing w:after="0" w:line="144" w:lineRule="exact"/>
              <w:rPr>
                <w:sz w:val="20"/>
                <w:szCs w:val="20"/>
                <w:color w:val="auto"/>
              </w:rPr>
            </w:pPr>
            <w:r>
              <w:rPr>
                <w:rFonts w:ascii="Arial" w:cs="Arial" w:eastAsia="Arial" w:hAnsi="Arial"/>
                <w:sz w:val="13"/>
                <w:szCs w:val="13"/>
                <w:color w:val="auto"/>
              </w:rPr>
              <w:t>Event is likely to occur, in relation to any Transaction Party, but must apply it towards satisfying the Guaranteed Money within six months unless the</w:t>
            </w:r>
          </w:p>
        </w:tc>
      </w:tr>
      <w:tr>
        <w:trPr>
          <w:trHeight w:val="157"/>
        </w:trPr>
        <w:tc>
          <w:tcPr>
            <w:tcW w:w="620" w:type="dxa"/>
            <w:vAlign w:val="bottom"/>
          </w:tcPr>
          <w:p>
            <w:pPr>
              <w:spacing w:after="0"/>
              <w:rPr>
                <w:sz w:val="13"/>
                <w:szCs w:val="13"/>
                <w:color w:val="auto"/>
              </w:rPr>
            </w:pPr>
          </w:p>
        </w:tc>
        <w:tc>
          <w:tcPr>
            <w:tcW w:w="9100" w:type="dxa"/>
            <w:vAlign w:val="bottom"/>
          </w:tcPr>
          <w:p>
            <w:pPr>
              <w:ind w:left="240"/>
              <w:spacing w:after="0"/>
              <w:rPr>
                <w:sz w:val="20"/>
                <w:szCs w:val="20"/>
                <w:color w:val="auto"/>
              </w:rPr>
            </w:pPr>
            <w:r>
              <w:rPr>
                <w:rFonts w:ascii="Arial" w:cs="Arial" w:eastAsia="Arial" w:hAnsi="Arial"/>
                <w:sz w:val="13"/>
                <w:szCs w:val="13"/>
                <w:color w:val="auto"/>
              </w:rPr>
              <w:t>winding up of the relevant Guarantor has commenced.</w:t>
            </w:r>
          </w:p>
        </w:tc>
      </w:tr>
    </w:tbl>
    <w:p>
      <w:pPr>
        <w:spacing w:after="0" w:line="75" w:lineRule="exact"/>
        <w:rPr>
          <w:sz w:val="20"/>
          <w:szCs w:val="20"/>
          <w:color w:val="auto"/>
        </w:rPr>
      </w:pPr>
    </w:p>
    <w:p>
      <w:pPr>
        <w:spacing w:after="0"/>
        <w:tabs>
          <w:tab w:leader="none" w:pos="2780" w:val="left"/>
        </w:tabs>
        <w:rPr>
          <w:sz w:val="20"/>
          <w:szCs w:val="20"/>
          <w:color w:val="auto"/>
        </w:rPr>
      </w:pPr>
      <w:r>
        <w:rPr>
          <w:rFonts w:ascii="Arial" w:cs="Arial" w:eastAsia="Arial" w:hAnsi="Arial"/>
          <w:sz w:val="14"/>
          <w:szCs w:val="14"/>
          <w:b w:val="1"/>
          <w:bCs w:val="1"/>
          <w:color w:val="auto"/>
        </w:rPr>
        <w:t>16.12</w:t>
      </w:r>
      <w:r>
        <w:rPr>
          <w:sz w:val="20"/>
          <w:szCs w:val="20"/>
          <w:color w:val="auto"/>
        </w:rPr>
        <w:tab/>
      </w:r>
      <w:r>
        <w:rPr>
          <w:rFonts w:ascii="Arial" w:cs="Arial" w:eastAsia="Arial" w:hAnsi="Arial"/>
          <w:sz w:val="14"/>
          <w:szCs w:val="14"/>
          <w:b w:val="1"/>
          <w:bCs w:val="1"/>
          <w:color w:val="auto"/>
        </w:rPr>
        <w:t>Right to prove</w:t>
      </w:r>
    </w:p>
    <w:p>
      <w:pPr>
        <w:spacing w:after="0" w:line="75" w:lineRule="exact"/>
        <w:rPr>
          <w:sz w:val="20"/>
          <w:szCs w:val="20"/>
          <w:color w:val="auto"/>
        </w:rPr>
      </w:pPr>
    </w:p>
    <w:p>
      <w:pPr>
        <w:ind w:left="1420" w:right="240" w:hanging="564"/>
        <w:spacing w:after="0" w:line="244" w:lineRule="auto"/>
        <w:tabs>
          <w:tab w:leader="none" w:pos="1420" w:val="left"/>
        </w:tabs>
        <w:numPr>
          <w:ilvl w:val="0"/>
          <w:numId w:val="415"/>
        </w:numPr>
        <w:rPr>
          <w:rFonts w:ascii="Arial" w:cs="Arial" w:eastAsia="Arial" w:hAnsi="Arial"/>
          <w:sz w:val="13"/>
          <w:szCs w:val="13"/>
          <w:color w:val="auto"/>
        </w:rPr>
      </w:pPr>
      <w:r>
        <w:rPr>
          <w:rFonts w:ascii="Arial" w:cs="Arial" w:eastAsia="Arial" w:hAnsi="Arial"/>
          <w:sz w:val="13"/>
          <w:szCs w:val="13"/>
          <w:color w:val="auto"/>
        </w:rPr>
        <w:t xml:space="preserve">The Guarantor irrevocably appoints the Bank and each of its Authorised Representatives individually as its attorney and agrees to formally approve all action taken by an attorney under this </w:t>
      </w:r>
      <w:r>
        <w:rPr>
          <w:rFonts w:ascii="Arial" w:cs="Arial" w:eastAsia="Arial" w:hAnsi="Arial"/>
          <w:sz w:val="13"/>
          <w:szCs w:val="13"/>
          <w:b w:val="1"/>
          <w:bCs w:val="1"/>
          <w:color w:val="auto"/>
        </w:rPr>
        <w:t>clause 16</w:t>
      </w:r>
      <w:r>
        <w:rPr>
          <w:rFonts w:ascii="Arial" w:cs="Arial" w:eastAsia="Arial" w:hAnsi="Arial"/>
          <w:sz w:val="13"/>
          <w:szCs w:val="13"/>
          <w:color w:val="auto"/>
        </w:rPr>
        <w:t>.</w:t>
      </w:r>
    </w:p>
    <w:p>
      <w:pPr>
        <w:spacing w:after="0" w:line="44" w:lineRule="exact"/>
        <w:rPr>
          <w:sz w:val="20"/>
          <w:szCs w:val="20"/>
          <w:color w:val="auto"/>
        </w:rPr>
      </w:pPr>
    </w:p>
    <w:p>
      <w:pPr>
        <w:ind w:left="860"/>
        <w:spacing w:after="0"/>
        <w:tabs>
          <w:tab w:leader="none" w:pos="2800" w:val="left"/>
        </w:tabs>
        <w:rPr>
          <w:sz w:val="20"/>
          <w:szCs w:val="20"/>
          <w:color w:val="auto"/>
        </w:rPr>
      </w:pPr>
      <w:r>
        <w:rPr>
          <w:rFonts w:ascii="Arial" w:cs="Arial" w:eastAsia="Arial" w:hAnsi="Arial"/>
          <w:sz w:val="13"/>
          <w:szCs w:val="13"/>
          <w:color w:val="auto"/>
        </w:rPr>
        <w:t>(b)</w:t>
      </w:r>
      <w:r>
        <w:rPr>
          <w:sz w:val="20"/>
          <w:szCs w:val="20"/>
          <w:color w:val="auto"/>
        </w:rPr>
        <w:tab/>
      </w:r>
      <w:r>
        <w:rPr>
          <w:rFonts w:ascii="Arial" w:cs="Arial" w:eastAsia="Arial" w:hAnsi="Arial"/>
          <w:sz w:val="13"/>
          <w:szCs w:val="13"/>
          <w:color w:val="auto"/>
        </w:rPr>
        <w:t>Each attorney may, at any time while any Guaranteed Money is outstanding:</w:t>
      </w:r>
    </w:p>
    <w:p>
      <w:pPr>
        <w:spacing w:after="0" w:line="70" w:lineRule="exact"/>
        <w:rPr>
          <w:sz w:val="20"/>
          <w:szCs w:val="20"/>
          <w:color w:val="auto"/>
        </w:rPr>
      </w:pPr>
    </w:p>
    <w:p>
      <w:pPr>
        <w:ind w:left="1780" w:right="380" w:hanging="572"/>
        <w:spacing w:after="0" w:line="244" w:lineRule="auto"/>
        <w:tabs>
          <w:tab w:leader="none" w:pos="1780" w:val="left"/>
        </w:tabs>
        <w:numPr>
          <w:ilvl w:val="0"/>
          <w:numId w:val="416"/>
        </w:numPr>
        <w:rPr>
          <w:rFonts w:ascii="Arial" w:cs="Arial" w:eastAsia="Arial" w:hAnsi="Arial"/>
          <w:sz w:val="13"/>
          <w:szCs w:val="13"/>
          <w:color w:val="auto"/>
        </w:rPr>
      </w:pPr>
      <w:r>
        <w:rPr>
          <w:rFonts w:ascii="Arial" w:cs="Arial" w:eastAsia="Arial" w:hAnsi="Arial"/>
          <w:sz w:val="13"/>
          <w:szCs w:val="13"/>
          <w:color w:val="auto"/>
        </w:rPr>
        <w:t>do anything which a Guarantor may lawfully do to exercise their right of proof in respect of a Transaction Party after an Insolvency Event occurs in respect of such Transaction Party. These things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161925</wp:posOffset>
            </wp:positionV>
            <wp:extent cx="6208395"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208395" cy="42545"/>
                    </a:xfrm>
                    <a:prstGeom prst="rect">
                      <a:avLst/>
                    </a:prstGeom>
                    <a:noFill/>
                  </pic:spPr>
                </pic:pic>
              </a:graphicData>
            </a:graphic>
          </wp:anchor>
        </w:drawing>
      </w:r>
    </w:p>
    <w:p>
      <w:pPr>
        <w:sectPr>
          <w:pgSz w:w="11900" w:h="16838" w:orient="portrait"/>
          <w:cols w:equalWidth="0" w:num="1">
            <w:col w:w="9720"/>
          </w:cols>
          <w:pgMar w:left="1220" w:top="514" w:right="959" w:bottom="1440" w:gutter="0" w:footer="0" w:header="0"/>
        </w:sectPr>
      </w:pPr>
    </w:p>
    <w:bookmarkStart w:id="278" w:name="page279"/>
    <w:bookmarkEnd w:id="278"/>
    <w:p>
      <w:pPr>
        <w:ind w:left="1540" w:right="180"/>
        <w:spacing w:after="0" w:line="244" w:lineRule="auto"/>
        <w:rPr>
          <w:sz w:val="20"/>
          <w:szCs w:val="20"/>
          <w:color w:val="auto"/>
        </w:rPr>
      </w:pPr>
      <w:r>
        <w:rPr>
          <w:rFonts w:ascii="Arial" w:cs="Arial" w:eastAsia="Arial" w:hAnsi="Arial"/>
          <w:sz w:val="13"/>
          <w:szCs w:val="13"/>
          <w:color w:val="auto"/>
        </w:rPr>
        <w:t>may be done in the Guarantor’s name or the attorney’s name and they include signing and delivering documents, taking part in legal proceedings and receiving any dividends arising out of the right of proof;</w:t>
      </w:r>
    </w:p>
    <w:p>
      <w:pPr>
        <w:spacing w:after="0" w:line="53" w:lineRule="exact"/>
        <w:rPr>
          <w:sz w:val="20"/>
          <w:szCs w:val="20"/>
          <w:color w:val="auto"/>
        </w:rPr>
      </w:pPr>
    </w:p>
    <w:p>
      <w:pPr>
        <w:ind w:left="1200"/>
        <w:spacing w:after="0"/>
        <w:tabs>
          <w:tab w:leader="none" w:pos="2680" w:val="left"/>
        </w:tabs>
        <w:rPr>
          <w:sz w:val="20"/>
          <w:szCs w:val="20"/>
          <w:color w:val="auto"/>
        </w:rPr>
      </w:pPr>
      <w:r>
        <w:rPr>
          <w:rFonts w:ascii="Arial" w:cs="Arial" w:eastAsia="Arial" w:hAnsi="Arial"/>
          <w:sz w:val="13"/>
          <w:szCs w:val="13"/>
          <w:color w:val="auto"/>
        </w:rPr>
        <w:t>(ii)</w:t>
      </w:r>
      <w:r>
        <w:rPr>
          <w:sz w:val="20"/>
          <w:szCs w:val="20"/>
          <w:color w:val="auto"/>
        </w:rPr>
        <w:tab/>
      </w:r>
      <w:r>
        <w:rPr>
          <w:rFonts w:ascii="Arial" w:cs="Arial" w:eastAsia="Arial" w:hAnsi="Arial"/>
          <w:sz w:val="13"/>
          <w:szCs w:val="13"/>
          <w:color w:val="auto"/>
        </w:rPr>
        <w:t>delegates its powers (including this power) and may revoke a delegation; and</w:t>
      </w:r>
    </w:p>
    <w:p>
      <w:pPr>
        <w:spacing w:after="0" w:line="70" w:lineRule="exact"/>
        <w:rPr>
          <w:sz w:val="20"/>
          <w:szCs w:val="20"/>
          <w:color w:val="auto"/>
        </w:rPr>
      </w:pPr>
    </w:p>
    <w:p>
      <w:pPr>
        <w:ind w:left="1840" w:hanging="632"/>
        <w:spacing w:after="0"/>
        <w:tabs>
          <w:tab w:leader="none" w:pos="1840" w:val="left"/>
        </w:tabs>
        <w:numPr>
          <w:ilvl w:val="1"/>
          <w:numId w:val="417"/>
        </w:numPr>
        <w:rPr>
          <w:rFonts w:ascii="Arial" w:cs="Arial" w:eastAsia="Arial" w:hAnsi="Arial"/>
          <w:sz w:val="13"/>
          <w:szCs w:val="13"/>
          <w:color w:val="auto"/>
        </w:rPr>
      </w:pPr>
      <w:r>
        <w:rPr>
          <w:rFonts w:ascii="Arial" w:cs="Arial" w:eastAsia="Arial" w:hAnsi="Arial"/>
          <w:sz w:val="13"/>
          <w:szCs w:val="13"/>
          <w:color w:val="auto"/>
        </w:rPr>
        <w:t>exercise its powers even if this involves a conflict of duty and even if it has a personal interest in doing so.</w:t>
      </w:r>
    </w:p>
    <w:p>
      <w:pPr>
        <w:spacing w:after="0" w:line="50" w:lineRule="exact"/>
        <w:rPr>
          <w:rFonts w:ascii="Arial" w:cs="Arial" w:eastAsia="Arial" w:hAnsi="Arial"/>
          <w:sz w:val="13"/>
          <w:szCs w:val="13"/>
          <w:color w:val="auto"/>
        </w:rPr>
      </w:pPr>
    </w:p>
    <w:p>
      <w:pPr>
        <w:ind w:left="1340" w:right="300" w:hanging="484"/>
        <w:spacing w:after="0" w:line="250" w:lineRule="auto"/>
        <w:tabs>
          <w:tab w:leader="none" w:pos="1340" w:val="left"/>
        </w:tabs>
        <w:numPr>
          <w:ilvl w:val="0"/>
          <w:numId w:val="418"/>
        </w:numPr>
        <w:rPr>
          <w:rFonts w:ascii="Arial" w:cs="Arial" w:eastAsia="Arial" w:hAnsi="Arial"/>
          <w:sz w:val="13"/>
          <w:szCs w:val="13"/>
          <w:color w:val="auto"/>
        </w:rPr>
      </w:pPr>
      <w:r>
        <w:rPr>
          <w:rFonts w:ascii="Arial" w:cs="Arial" w:eastAsia="Arial" w:hAnsi="Arial"/>
          <w:sz w:val="13"/>
          <w:szCs w:val="13"/>
          <w:color w:val="auto"/>
        </w:rPr>
        <w:t xml:space="preserve">The attorney need not account to a Guarantor for any dividend received on exercising the right of proof under </w:t>
      </w:r>
      <w:r>
        <w:rPr>
          <w:rFonts w:ascii="Arial" w:cs="Arial" w:eastAsia="Arial" w:hAnsi="Arial"/>
          <w:sz w:val="13"/>
          <w:szCs w:val="13"/>
          <w:b w:val="1"/>
          <w:bCs w:val="1"/>
          <w:color w:val="auto"/>
        </w:rPr>
        <w:t>clause 16.12(i)</w:t>
      </w:r>
      <w:r>
        <w:rPr>
          <w:rFonts w:ascii="Arial" w:cs="Arial" w:eastAsia="Arial" w:hAnsi="Arial"/>
          <w:sz w:val="13"/>
          <w:szCs w:val="13"/>
          <w:color w:val="auto"/>
        </w:rPr>
        <w:t xml:space="preserve"> except to the extent that any dividend remains after the Bank has received all of the Guaranteed Money and all other amounts payable under the Guarantee.</w:t>
      </w:r>
    </w:p>
    <w:p>
      <w:pPr>
        <w:sectPr>
          <w:pgSz w:w="11900" w:h="16838" w:orient="portrait"/>
          <w:cols w:equalWidth="0" w:num="1">
            <w:col w:w="9740"/>
          </w:cols>
          <w:pgMar w:left="1220" w:top="560" w:right="939" w:bottom="1440" w:gutter="0" w:footer="0" w:header="0"/>
        </w:sectPr>
      </w:pP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16.13</w:t>
      </w:r>
    </w:p>
    <w:p>
      <w:pPr>
        <w:spacing w:after="0" w:line="20" w:lineRule="exact"/>
        <w:rPr>
          <w:sz w:val="20"/>
          <w:szCs w:val="20"/>
          <w:color w:val="auto"/>
        </w:rPr>
      </w:pPr>
      <w:r>
        <w:rPr>
          <w:sz w:val="20"/>
          <w:szCs w:val="20"/>
          <w:color w:val="auto"/>
        </w:rPr>
        <w:br w:type="column"/>
      </w:r>
    </w:p>
    <w:p>
      <w:pPr>
        <w:spacing w:after="0" w:line="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Release of Guarantors</w:t>
      </w:r>
    </w:p>
    <w:p>
      <w:pPr>
        <w:spacing w:after="0" w:line="71" w:lineRule="exact"/>
        <w:rPr>
          <w:sz w:val="20"/>
          <w:szCs w:val="20"/>
          <w:color w:val="auto"/>
        </w:rPr>
      </w:pPr>
    </w:p>
    <w:p>
      <w:pPr>
        <w:sectPr>
          <w:pgSz w:w="11900" w:h="16838" w:orient="portrait"/>
          <w:cols w:equalWidth="0" w:num="2">
            <w:col w:w="1320" w:space="720"/>
            <w:col w:w="7700"/>
          </w:cols>
          <w:pgMar w:left="1220" w:top="560" w:right="939" w:bottom="1440" w:gutter="0" w:footer="0" w:header="0"/>
          <w:type w:val="continuous"/>
        </w:sectPr>
      </w:pPr>
    </w:p>
    <w:p>
      <w:pPr>
        <w:ind w:left="860"/>
        <w:spacing w:after="0"/>
        <w:rPr>
          <w:sz w:val="20"/>
          <w:szCs w:val="20"/>
          <w:color w:val="auto"/>
        </w:rPr>
      </w:pPr>
      <w:r>
        <w:rPr>
          <w:rFonts w:ascii="Arial" w:cs="Arial" w:eastAsia="Arial" w:hAnsi="Arial"/>
          <w:sz w:val="13"/>
          <w:szCs w:val="13"/>
          <w:color w:val="auto"/>
        </w:rPr>
        <w:t>(a)</w:t>
      </w:r>
    </w:p>
    <w:p>
      <w:pPr>
        <w:spacing w:after="0" w:line="20" w:lineRule="exact"/>
        <w:rPr>
          <w:sz w:val="20"/>
          <w:szCs w:val="20"/>
          <w:color w:val="auto"/>
        </w:rPr>
      </w:pPr>
      <w:r>
        <w:rPr>
          <w:sz w:val="20"/>
          <w:szCs w:val="20"/>
          <w:color w:val="auto"/>
        </w:rPr>
        <w:br w:type="column"/>
      </w:r>
    </w:p>
    <w:p>
      <w:pPr>
        <w:ind w:right="820"/>
        <w:spacing w:after="0" w:line="244" w:lineRule="auto"/>
        <w:rPr>
          <w:sz w:val="20"/>
          <w:szCs w:val="20"/>
          <w:color w:val="auto"/>
        </w:rPr>
      </w:pPr>
      <w:r>
        <w:rPr>
          <w:rFonts w:ascii="Arial" w:cs="Arial" w:eastAsia="Arial" w:hAnsi="Arial"/>
          <w:sz w:val="13"/>
          <w:szCs w:val="13"/>
          <w:color w:val="auto"/>
        </w:rPr>
        <w:t xml:space="preserve">The Bank must, at the Borrower’s cost, execute any release documentation in respect of the Bank’s rights under </w:t>
      </w:r>
      <w:r>
        <w:rPr>
          <w:rFonts w:ascii="Arial" w:cs="Arial" w:eastAsia="Arial" w:hAnsi="Arial"/>
          <w:sz w:val="13"/>
          <w:szCs w:val="13"/>
          <w:b w:val="1"/>
          <w:bCs w:val="1"/>
          <w:color w:val="auto"/>
        </w:rPr>
        <w:t>clause 16</w:t>
      </w:r>
      <w:r>
        <w:rPr>
          <w:rFonts w:ascii="Arial" w:cs="Arial" w:eastAsia="Arial" w:hAnsi="Arial"/>
          <w:sz w:val="13"/>
          <w:szCs w:val="13"/>
          <w:color w:val="auto"/>
        </w:rPr>
        <w:t>.</w:t>
      </w:r>
    </w:p>
    <w:p>
      <w:pPr>
        <w:spacing w:after="0" w:line="47" w:lineRule="exact"/>
        <w:rPr>
          <w:sz w:val="20"/>
          <w:szCs w:val="20"/>
          <w:color w:val="auto"/>
        </w:rPr>
      </w:pPr>
    </w:p>
    <w:p>
      <w:pPr>
        <w:sectPr>
          <w:pgSz w:w="11900" w:h="16838" w:orient="portrait"/>
          <w:cols w:equalWidth="0" w:num="2">
            <w:col w:w="1660" w:space="720"/>
            <w:col w:w="7360"/>
          </w:cols>
          <w:pgMar w:left="1220" w:top="560" w:right="939" w:bottom="1440" w:gutter="0" w:footer="0" w:header="0"/>
          <w:type w:val="continuous"/>
        </w:sectPr>
      </w:pPr>
    </w:p>
    <w:p>
      <w:pPr>
        <w:ind w:left="1820" w:right="580" w:hanging="964"/>
        <w:spacing w:after="0" w:line="244" w:lineRule="auto"/>
        <w:tabs>
          <w:tab w:leader="none" w:pos="1820" w:val="left"/>
        </w:tabs>
        <w:numPr>
          <w:ilvl w:val="0"/>
          <w:numId w:val="419"/>
        </w:numPr>
        <w:rPr>
          <w:rFonts w:ascii="Arial" w:cs="Arial" w:eastAsia="Arial" w:hAnsi="Arial"/>
          <w:sz w:val="13"/>
          <w:szCs w:val="13"/>
          <w:color w:val="auto"/>
        </w:rPr>
      </w:pPr>
      <w:r>
        <w:rPr>
          <w:rFonts w:ascii="Arial" w:cs="Arial" w:eastAsia="Arial" w:hAnsi="Arial"/>
          <w:sz w:val="13"/>
          <w:szCs w:val="13"/>
          <w:color w:val="auto"/>
        </w:rPr>
        <w:t>As between the Transaction Parties and the Bank, the Bank is not obliged to consent to a release unless required to do by the terms of another Transaction Document.</w:t>
      </w:r>
    </w:p>
    <w:p>
      <w:pPr>
        <w:spacing w:after="0" w:line="40" w:lineRule="exact"/>
        <w:rPr>
          <w:rFonts w:ascii="Arial" w:cs="Arial" w:eastAsia="Arial" w:hAnsi="Arial"/>
          <w:sz w:val="13"/>
          <w:szCs w:val="13"/>
          <w:color w:val="auto"/>
        </w:rPr>
      </w:pPr>
    </w:p>
    <w:p>
      <w:pPr>
        <w:ind w:left="1320" w:right="360" w:hanging="464"/>
        <w:spacing w:after="0" w:line="269" w:lineRule="auto"/>
        <w:tabs>
          <w:tab w:leader="none" w:pos="1320" w:val="left"/>
        </w:tabs>
        <w:numPr>
          <w:ilvl w:val="0"/>
          <w:numId w:val="419"/>
        </w:numPr>
        <w:rPr>
          <w:rFonts w:ascii="Arial" w:cs="Arial" w:eastAsia="Arial" w:hAnsi="Arial"/>
          <w:sz w:val="13"/>
          <w:szCs w:val="13"/>
          <w:color w:val="auto"/>
        </w:rPr>
      </w:pPr>
      <w:r>
        <w:rPr>
          <w:rFonts w:ascii="Arial" w:cs="Arial" w:eastAsia="Arial" w:hAnsi="Arial"/>
          <w:sz w:val="13"/>
          <w:szCs w:val="13"/>
          <w:color w:val="auto"/>
        </w:rPr>
        <w:t xml:space="preserve">The rights and obligations of the remaining Guarantors under the Guarantee in </w:t>
      </w:r>
      <w:r>
        <w:rPr>
          <w:rFonts w:ascii="Arial" w:cs="Arial" w:eastAsia="Arial" w:hAnsi="Arial"/>
          <w:sz w:val="13"/>
          <w:szCs w:val="13"/>
          <w:b w:val="1"/>
          <w:bCs w:val="1"/>
          <w:color w:val="auto"/>
        </w:rPr>
        <w:t>clause 16.1</w:t>
      </w:r>
      <w:r>
        <w:rPr>
          <w:rFonts w:ascii="Arial" w:cs="Arial" w:eastAsia="Arial" w:hAnsi="Arial"/>
          <w:sz w:val="13"/>
          <w:szCs w:val="13"/>
          <w:color w:val="auto"/>
        </w:rPr>
        <w:t xml:space="preserve"> will continue in full force and effect despite the release of a Guarantor under this </w:t>
      </w:r>
      <w:r>
        <w:rPr>
          <w:rFonts w:ascii="Arial" w:cs="Arial" w:eastAsia="Arial" w:hAnsi="Arial"/>
          <w:sz w:val="13"/>
          <w:szCs w:val="13"/>
          <w:b w:val="1"/>
          <w:bCs w:val="1"/>
          <w:color w:val="auto"/>
        </w:rPr>
        <w:t>clause 16.13</w:t>
      </w:r>
      <w:r>
        <w:rPr>
          <w:rFonts w:ascii="Arial" w:cs="Arial" w:eastAsia="Arial" w:hAnsi="Arial"/>
          <w:sz w:val="13"/>
          <w:szCs w:val="13"/>
          <w:color w:val="auto"/>
        </w:rPr>
        <w:t>.</w:t>
      </w:r>
    </w:p>
    <w:p>
      <w:pPr>
        <w:spacing w:after="0" w:line="57" w:lineRule="exact"/>
        <w:rPr>
          <w:sz w:val="20"/>
          <w:szCs w:val="20"/>
          <w:color w:val="auto"/>
        </w:rPr>
      </w:pPr>
    </w:p>
    <w:p>
      <w:pPr>
        <w:spacing w:after="0"/>
        <w:tabs>
          <w:tab w:leader="none" w:pos="2540" w:val="left"/>
        </w:tabs>
        <w:rPr>
          <w:sz w:val="20"/>
          <w:szCs w:val="20"/>
          <w:color w:val="auto"/>
        </w:rPr>
      </w:pPr>
      <w:r>
        <w:rPr>
          <w:rFonts w:ascii="Arial" w:cs="Arial" w:eastAsia="Arial" w:hAnsi="Arial"/>
          <w:sz w:val="14"/>
          <w:szCs w:val="14"/>
          <w:b w:val="1"/>
          <w:bCs w:val="1"/>
          <w:color w:val="auto"/>
        </w:rPr>
        <w:t>16.14</w:t>
      </w:r>
      <w:r>
        <w:rPr>
          <w:sz w:val="20"/>
          <w:szCs w:val="20"/>
          <w:color w:val="auto"/>
        </w:rPr>
        <w:tab/>
      </w:r>
      <w:r>
        <w:rPr>
          <w:rFonts w:ascii="Arial" w:cs="Arial" w:eastAsia="Arial" w:hAnsi="Arial"/>
          <w:sz w:val="14"/>
          <w:szCs w:val="14"/>
          <w:b w:val="1"/>
          <w:bCs w:val="1"/>
          <w:color w:val="auto"/>
        </w:rPr>
        <w:t>New Guarantors</w:t>
      </w:r>
    </w:p>
    <w:p>
      <w:pPr>
        <w:spacing w:after="0" w:line="75" w:lineRule="exact"/>
        <w:rPr>
          <w:sz w:val="20"/>
          <w:szCs w:val="20"/>
          <w:color w:val="auto"/>
        </w:rPr>
      </w:pPr>
    </w:p>
    <w:p>
      <w:pPr>
        <w:ind w:left="860" w:right="300"/>
        <w:spacing w:after="0" w:line="244" w:lineRule="auto"/>
        <w:rPr>
          <w:sz w:val="20"/>
          <w:szCs w:val="20"/>
          <w:color w:val="auto"/>
        </w:rPr>
      </w:pPr>
      <w:r>
        <w:rPr>
          <w:rFonts w:ascii="Arial" w:cs="Arial" w:eastAsia="Arial" w:hAnsi="Arial"/>
          <w:sz w:val="13"/>
          <w:szCs w:val="13"/>
          <w:color w:val="auto"/>
        </w:rPr>
        <w:t>If a Subsidiary of any Transaction Party is required by the terms of a Transaction Document to become a Guarantor, the Borrower must ensure that such subsidiary executes a Guarantor Accession Deed as a new Transaction Party.</w:t>
      </w:r>
    </w:p>
    <w:p>
      <w:pPr>
        <w:spacing w:after="0" w:line="63" w:lineRule="exact"/>
        <w:rPr>
          <w:sz w:val="20"/>
          <w:szCs w:val="20"/>
          <w:color w:val="auto"/>
        </w:rPr>
      </w:pPr>
    </w:p>
    <w:p>
      <w:pPr>
        <w:spacing w:after="0"/>
        <w:tabs>
          <w:tab w:leader="none" w:pos="2800" w:val="left"/>
        </w:tabs>
        <w:rPr>
          <w:sz w:val="20"/>
          <w:szCs w:val="20"/>
          <w:color w:val="auto"/>
        </w:rPr>
      </w:pPr>
      <w:r>
        <w:rPr>
          <w:rFonts w:ascii="Arial" w:cs="Arial" w:eastAsia="Arial" w:hAnsi="Arial"/>
          <w:sz w:val="14"/>
          <w:szCs w:val="14"/>
          <w:b w:val="1"/>
          <w:bCs w:val="1"/>
          <w:color w:val="auto"/>
        </w:rPr>
        <w:t>16.15</w:t>
      </w:r>
      <w:r>
        <w:rPr>
          <w:sz w:val="20"/>
          <w:szCs w:val="20"/>
          <w:color w:val="auto"/>
        </w:rPr>
        <w:tab/>
      </w:r>
      <w:r>
        <w:rPr>
          <w:rFonts w:ascii="Arial" w:cs="Arial" w:eastAsia="Arial" w:hAnsi="Arial"/>
          <w:sz w:val="14"/>
          <w:szCs w:val="14"/>
          <w:b w:val="1"/>
          <w:bCs w:val="1"/>
          <w:color w:val="auto"/>
        </w:rPr>
        <w:t>Consideration</w:t>
      </w:r>
    </w:p>
    <w:p>
      <w:pPr>
        <w:spacing w:after="0" w:line="75" w:lineRule="exact"/>
        <w:rPr>
          <w:sz w:val="20"/>
          <w:szCs w:val="20"/>
          <w:color w:val="auto"/>
        </w:rPr>
      </w:pPr>
    </w:p>
    <w:p>
      <w:pPr>
        <w:ind w:left="860" w:right="320"/>
        <w:spacing w:after="0" w:line="244" w:lineRule="auto"/>
        <w:rPr>
          <w:sz w:val="20"/>
          <w:szCs w:val="20"/>
          <w:color w:val="auto"/>
        </w:rPr>
      </w:pPr>
      <w:r>
        <w:rPr>
          <w:rFonts w:ascii="Arial" w:cs="Arial" w:eastAsia="Arial" w:hAnsi="Arial"/>
          <w:sz w:val="13"/>
          <w:szCs w:val="13"/>
          <w:color w:val="auto"/>
        </w:rPr>
        <w:t>Each Guarantor acknowledges having executed this document in return for the Bank entering into the Transaction Documents at the request of the Guarantor and other valuable consideration.</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140" w:type="dxa"/>
            <w:vAlign w:val="bottom"/>
          </w:tcPr>
          <w:p>
            <w:pPr>
              <w:jc w:val="right"/>
              <w:ind w:right="715"/>
              <w:spacing w:after="0"/>
              <w:rPr>
                <w:sz w:val="20"/>
                <w:szCs w:val="20"/>
                <w:color w:val="auto"/>
              </w:rPr>
            </w:pPr>
            <w:r>
              <w:rPr>
                <w:rFonts w:ascii="Arial" w:cs="Arial" w:eastAsia="Arial" w:hAnsi="Arial"/>
                <w:sz w:val="14"/>
                <w:szCs w:val="14"/>
                <w:b w:val="1"/>
                <w:bCs w:val="1"/>
                <w:color w:val="auto"/>
                <w:w w:val="96"/>
              </w:rPr>
              <w:t>16.16</w:t>
            </w:r>
          </w:p>
        </w:tc>
        <w:tc>
          <w:tcPr>
            <w:tcW w:w="8600" w:type="dxa"/>
            <w:vAlign w:val="bottom"/>
          </w:tcPr>
          <w:p>
            <w:pPr>
              <w:ind w:left="1420"/>
              <w:spacing w:after="0"/>
              <w:rPr>
                <w:sz w:val="20"/>
                <w:szCs w:val="20"/>
                <w:color w:val="auto"/>
              </w:rPr>
            </w:pPr>
            <w:r>
              <w:rPr>
                <w:rFonts w:ascii="Arial" w:cs="Arial" w:eastAsia="Arial" w:hAnsi="Arial"/>
                <w:sz w:val="14"/>
                <w:szCs w:val="14"/>
                <w:b w:val="1"/>
                <w:bCs w:val="1"/>
                <w:color w:val="auto"/>
              </w:rPr>
              <w:t>New Guarantors</w:t>
            </w:r>
          </w:p>
        </w:tc>
      </w:tr>
      <w:tr>
        <w:trPr>
          <w:trHeight w:val="190"/>
        </w:trPr>
        <w:tc>
          <w:tcPr>
            <w:tcW w:w="1140" w:type="dxa"/>
            <w:vAlign w:val="bottom"/>
          </w:tcPr>
          <w:p>
            <w:pPr>
              <w:ind w:left="860"/>
              <w:spacing w:after="0"/>
              <w:rPr>
                <w:sz w:val="20"/>
                <w:szCs w:val="20"/>
                <w:color w:val="auto"/>
              </w:rPr>
            </w:pPr>
            <w:r>
              <w:rPr>
                <w:rFonts w:ascii="Arial" w:cs="Arial" w:eastAsia="Arial" w:hAnsi="Arial"/>
                <w:sz w:val="13"/>
                <w:szCs w:val="13"/>
                <w:color w:val="auto"/>
              </w:rPr>
              <w:t>(a)</w:t>
            </w:r>
          </w:p>
        </w:tc>
        <w:tc>
          <w:tcPr>
            <w:tcW w:w="8600" w:type="dxa"/>
            <w:vAlign w:val="bottom"/>
          </w:tcPr>
          <w:p>
            <w:pPr>
              <w:ind w:left="120"/>
              <w:spacing w:after="0"/>
              <w:rPr>
                <w:sz w:val="20"/>
                <w:szCs w:val="20"/>
                <w:color w:val="auto"/>
              </w:rPr>
            </w:pPr>
            <w:r>
              <w:rPr>
                <w:rFonts w:ascii="Arial" w:cs="Arial" w:eastAsia="Arial" w:hAnsi="Arial"/>
                <w:sz w:val="13"/>
                <w:szCs w:val="13"/>
                <w:color w:val="auto"/>
              </w:rPr>
              <w:t>A person automatically becomes a party to this document as a Guarantor and Transaction Party (after the date of this document) by signing</w:t>
            </w:r>
          </w:p>
        </w:tc>
      </w:tr>
      <w:tr>
        <w:trPr>
          <w:trHeight w:val="144"/>
        </w:trPr>
        <w:tc>
          <w:tcPr>
            <w:tcW w:w="1140" w:type="dxa"/>
            <w:vAlign w:val="bottom"/>
          </w:tcPr>
          <w:p>
            <w:pPr>
              <w:spacing w:after="0"/>
              <w:rPr>
                <w:sz w:val="12"/>
                <w:szCs w:val="12"/>
                <w:color w:val="auto"/>
              </w:rPr>
            </w:pPr>
          </w:p>
        </w:tc>
        <w:tc>
          <w:tcPr>
            <w:tcW w:w="8600" w:type="dxa"/>
            <w:vAlign w:val="bottom"/>
          </w:tcPr>
          <w:p>
            <w:pPr>
              <w:ind w:left="120"/>
              <w:spacing w:after="0" w:line="144" w:lineRule="exact"/>
              <w:rPr>
                <w:sz w:val="20"/>
                <w:szCs w:val="20"/>
                <w:color w:val="auto"/>
              </w:rPr>
            </w:pPr>
            <w:r>
              <w:rPr>
                <w:rFonts w:ascii="Arial" w:cs="Arial" w:eastAsia="Arial" w:hAnsi="Arial"/>
                <w:sz w:val="13"/>
                <w:szCs w:val="13"/>
                <w:color w:val="auto"/>
              </w:rPr>
              <w:t>and delivering to the Bank a Guarantor Accession Deed and doing anything else which the Bank reasonably requests to ensure the</w:t>
            </w:r>
          </w:p>
        </w:tc>
      </w:tr>
      <w:tr>
        <w:trPr>
          <w:trHeight w:val="157"/>
        </w:trPr>
        <w:tc>
          <w:tcPr>
            <w:tcW w:w="1140" w:type="dxa"/>
            <w:vAlign w:val="bottom"/>
          </w:tcPr>
          <w:p>
            <w:pPr>
              <w:spacing w:after="0"/>
              <w:rPr>
                <w:sz w:val="13"/>
                <w:szCs w:val="13"/>
                <w:color w:val="auto"/>
              </w:rPr>
            </w:pPr>
          </w:p>
        </w:tc>
        <w:tc>
          <w:tcPr>
            <w:tcW w:w="8600" w:type="dxa"/>
            <w:vAlign w:val="bottom"/>
          </w:tcPr>
          <w:p>
            <w:pPr>
              <w:ind w:left="120"/>
              <w:spacing w:after="0"/>
              <w:rPr>
                <w:sz w:val="20"/>
                <w:szCs w:val="20"/>
                <w:color w:val="auto"/>
              </w:rPr>
            </w:pPr>
            <w:r>
              <w:rPr>
                <w:rFonts w:ascii="Arial" w:cs="Arial" w:eastAsia="Arial" w:hAnsi="Arial"/>
                <w:sz w:val="13"/>
                <w:szCs w:val="13"/>
                <w:color w:val="auto"/>
              </w:rPr>
              <w:t>enforceability of that person’s obligations as a Guarantor.</w:t>
            </w:r>
          </w:p>
        </w:tc>
      </w:tr>
      <w:tr>
        <w:trPr>
          <w:trHeight w:val="225"/>
        </w:trPr>
        <w:tc>
          <w:tcPr>
            <w:tcW w:w="1140" w:type="dxa"/>
            <w:vAlign w:val="bottom"/>
          </w:tcPr>
          <w:p>
            <w:pPr>
              <w:ind w:left="860"/>
              <w:spacing w:after="0"/>
              <w:rPr>
                <w:sz w:val="20"/>
                <w:szCs w:val="20"/>
                <w:color w:val="auto"/>
              </w:rPr>
            </w:pPr>
            <w:r>
              <w:rPr>
                <w:rFonts w:ascii="Arial" w:cs="Arial" w:eastAsia="Arial" w:hAnsi="Arial"/>
                <w:sz w:val="13"/>
                <w:szCs w:val="13"/>
                <w:color w:val="auto"/>
              </w:rPr>
              <w:t>(b)</w:t>
            </w:r>
          </w:p>
        </w:tc>
        <w:tc>
          <w:tcPr>
            <w:tcW w:w="8600" w:type="dxa"/>
            <w:vAlign w:val="bottom"/>
          </w:tcPr>
          <w:p>
            <w:pPr>
              <w:ind w:left="300"/>
              <w:spacing w:after="0"/>
              <w:rPr>
                <w:sz w:val="20"/>
                <w:szCs w:val="20"/>
                <w:color w:val="auto"/>
              </w:rPr>
            </w:pPr>
            <w:r>
              <w:rPr>
                <w:rFonts w:ascii="Arial" w:cs="Arial" w:eastAsia="Arial" w:hAnsi="Arial"/>
                <w:sz w:val="13"/>
                <w:szCs w:val="13"/>
                <w:color w:val="auto"/>
              </w:rPr>
              <w:t>Each of the other parties to his document irrevocably appoints the Bank as its agent to sign on its behalf any Guarantor Accession Deed.</w:t>
            </w:r>
          </w:p>
        </w:tc>
      </w:tr>
      <w:tr>
        <w:trPr>
          <w:trHeight w:val="216"/>
        </w:trPr>
        <w:tc>
          <w:tcPr>
            <w:tcW w:w="1140" w:type="dxa"/>
            <w:vAlign w:val="bottom"/>
          </w:tcPr>
          <w:p>
            <w:pPr>
              <w:ind w:left="860"/>
              <w:spacing w:after="0"/>
              <w:rPr>
                <w:sz w:val="20"/>
                <w:szCs w:val="20"/>
                <w:color w:val="auto"/>
              </w:rPr>
            </w:pPr>
            <w:r>
              <w:rPr>
                <w:rFonts w:ascii="Arial" w:cs="Arial" w:eastAsia="Arial" w:hAnsi="Arial"/>
                <w:sz w:val="13"/>
                <w:szCs w:val="13"/>
                <w:color w:val="auto"/>
              </w:rPr>
              <w:t>(c)</w:t>
            </w:r>
          </w:p>
        </w:tc>
        <w:tc>
          <w:tcPr>
            <w:tcW w:w="8600" w:type="dxa"/>
            <w:vAlign w:val="bottom"/>
          </w:tcPr>
          <w:p>
            <w:pPr>
              <w:ind w:left="160"/>
              <w:spacing w:after="0"/>
              <w:rPr>
                <w:sz w:val="20"/>
                <w:szCs w:val="20"/>
                <w:color w:val="auto"/>
              </w:rPr>
            </w:pPr>
            <w:r>
              <w:rPr>
                <w:rFonts w:ascii="Arial" w:cs="Arial" w:eastAsia="Arial" w:hAnsi="Arial"/>
                <w:sz w:val="13"/>
                <w:szCs w:val="13"/>
                <w:color w:val="auto"/>
              </w:rPr>
              <w:t>The execution of a Guarantor Accession Deed will not operate to release any party from its obligations under any Transaction Document.</w:t>
            </w:r>
          </w:p>
        </w:tc>
      </w:tr>
      <w:tr>
        <w:trPr>
          <w:trHeight w:val="284"/>
        </w:trPr>
        <w:tc>
          <w:tcPr>
            <w:tcW w:w="1140" w:type="dxa"/>
            <w:vAlign w:val="bottom"/>
            <w:tcBorders>
              <w:bottom w:val="single" w:sz="8" w:color="9A9A9A"/>
            </w:tcBorders>
          </w:tcPr>
          <w:p>
            <w:pPr>
              <w:spacing w:after="0"/>
              <w:rPr>
                <w:sz w:val="24"/>
                <w:szCs w:val="24"/>
                <w:color w:val="auto"/>
              </w:rPr>
            </w:pPr>
          </w:p>
        </w:tc>
        <w:tc>
          <w:tcPr>
            <w:tcW w:w="8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6164580</wp:posOffset>
            </wp:positionH>
            <wp:positionV relativeFrom="paragraph">
              <wp:posOffset>-29210</wp:posOffset>
            </wp:positionV>
            <wp:extent cx="31115"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31115" cy="42545"/>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-29210</wp:posOffset>
            </wp:positionV>
            <wp:extent cx="31115"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31115" cy="42545"/>
                    </a:xfrm>
                    <a:prstGeom prst="rect">
                      <a:avLst/>
                    </a:prstGeom>
                    <a:noFill/>
                  </pic:spPr>
                </pic:pic>
              </a:graphicData>
            </a:graphic>
          </wp:anchor>
        </w:drawing>
      </w:r>
    </w:p>
    <w:p>
      <w:pPr>
        <w:sectPr>
          <w:pgSz w:w="11900" w:h="16838" w:orient="portrait"/>
          <w:cols w:equalWidth="0" w:num="1">
            <w:col w:w="9740"/>
          </w:cols>
          <w:pgMar w:left="1220" w:top="560" w:right="939" w:bottom="1440" w:gutter="0" w:footer="0" w:header="0"/>
          <w:type w:val="continuous"/>
        </w:sectPr>
      </w:pPr>
    </w:p>
    <w:bookmarkStart w:id="279" w:name="page280"/>
    <w:bookmarkEnd w:id="279"/>
    <w:p>
      <w:pPr>
        <w:ind w:left="360"/>
        <w:spacing w:after="0"/>
        <w:tabs>
          <w:tab w:leader="none" w:pos="2620" w:val="left"/>
        </w:tabs>
        <w:rPr>
          <w:sz w:val="20"/>
          <w:szCs w:val="20"/>
          <w:color w:val="auto"/>
        </w:rPr>
      </w:pPr>
      <w:r>
        <w:rPr>
          <w:rFonts w:ascii="Arial" w:cs="Arial" w:eastAsia="Arial" w:hAnsi="Arial"/>
          <w:sz w:val="19"/>
          <w:szCs w:val="19"/>
          <w:color w:val="auto"/>
        </w:rPr>
        <w:t>17</w:t>
      </w:r>
      <w:r>
        <w:rPr>
          <w:sz w:val="20"/>
          <w:szCs w:val="20"/>
          <w:color w:val="auto"/>
        </w:rPr>
        <w:tab/>
      </w:r>
      <w:r>
        <w:rPr>
          <w:rFonts w:ascii="Arial" w:cs="Arial" w:eastAsia="Arial" w:hAnsi="Arial"/>
          <w:sz w:val="19"/>
          <w:szCs w:val="19"/>
          <w:color w:val="auto"/>
        </w:rPr>
        <w:t>Attorney</w:t>
      </w:r>
    </w:p>
    <w:p>
      <w:pPr>
        <w:spacing w:after="0" w:line="68" w:lineRule="exact"/>
        <w:rPr>
          <w:sz w:val="20"/>
          <w:szCs w:val="20"/>
          <w:color w:val="auto"/>
        </w:rPr>
      </w:pPr>
    </w:p>
    <w:p>
      <w:pPr>
        <w:spacing w:after="0"/>
        <w:tabs>
          <w:tab w:leader="none" w:pos="2500" w:val="left"/>
        </w:tabs>
        <w:rPr>
          <w:sz w:val="20"/>
          <w:szCs w:val="20"/>
          <w:color w:val="auto"/>
        </w:rPr>
      </w:pPr>
      <w:r>
        <w:rPr>
          <w:rFonts w:ascii="Arial" w:cs="Arial" w:eastAsia="Arial" w:hAnsi="Arial"/>
          <w:sz w:val="14"/>
          <w:szCs w:val="14"/>
          <w:b w:val="1"/>
          <w:bCs w:val="1"/>
          <w:color w:val="auto"/>
        </w:rPr>
        <w:t>17.1</w:t>
      </w:r>
      <w:r>
        <w:rPr>
          <w:sz w:val="20"/>
          <w:szCs w:val="20"/>
          <w:color w:val="auto"/>
        </w:rPr>
        <w:tab/>
      </w:r>
      <w:r>
        <w:rPr>
          <w:rFonts w:ascii="Arial" w:cs="Arial" w:eastAsia="Arial" w:hAnsi="Arial"/>
          <w:sz w:val="14"/>
          <w:szCs w:val="14"/>
          <w:b w:val="1"/>
          <w:bCs w:val="1"/>
          <w:color w:val="auto"/>
        </w:rPr>
        <w:t>Appointment</w:t>
      </w:r>
    </w:p>
    <w:p>
      <w:pPr>
        <w:spacing w:after="0" w:line="75" w:lineRule="exact"/>
        <w:rPr>
          <w:sz w:val="20"/>
          <w:szCs w:val="20"/>
          <w:color w:val="auto"/>
        </w:rPr>
      </w:pPr>
    </w:p>
    <w:p>
      <w:pPr>
        <w:ind w:left="860"/>
        <w:spacing w:after="0"/>
        <w:rPr>
          <w:sz w:val="20"/>
          <w:szCs w:val="20"/>
          <w:color w:val="auto"/>
        </w:rPr>
      </w:pPr>
      <w:r>
        <w:rPr>
          <w:rFonts w:ascii="Arial" w:cs="Arial" w:eastAsia="Arial" w:hAnsi="Arial"/>
          <w:sz w:val="13"/>
          <w:szCs w:val="13"/>
          <w:color w:val="auto"/>
        </w:rPr>
        <w:t>If and for so long as an Event of Default occurred and is continuing, the Borrower irrevocably appoints the Bank its attorney with the power:</w:t>
      </w:r>
    </w:p>
    <w:p>
      <w:pPr>
        <w:spacing w:after="0" w:line="67" w:lineRule="exact"/>
        <w:rPr>
          <w:sz w:val="20"/>
          <w:szCs w:val="20"/>
          <w:color w:val="auto"/>
        </w:rPr>
      </w:pPr>
    </w:p>
    <w:p>
      <w:pPr>
        <w:ind w:left="860"/>
        <w:spacing w:after="0"/>
        <w:tabs>
          <w:tab w:leader="none" w:pos="2320" w:val="left"/>
        </w:tabs>
        <w:rPr>
          <w:sz w:val="20"/>
          <w:szCs w:val="20"/>
          <w:color w:val="auto"/>
        </w:rPr>
      </w:pPr>
      <w:r>
        <w:rPr>
          <w:rFonts w:ascii="Arial" w:cs="Arial" w:eastAsia="Arial" w:hAnsi="Arial"/>
          <w:sz w:val="13"/>
          <w:szCs w:val="13"/>
          <w:color w:val="auto"/>
        </w:rPr>
        <w:t>(a)</w:t>
      </w:r>
      <w:r>
        <w:rPr>
          <w:sz w:val="20"/>
          <w:szCs w:val="20"/>
          <w:color w:val="auto"/>
        </w:rPr>
        <w:tab/>
      </w:r>
      <w:r>
        <w:rPr>
          <w:rFonts w:ascii="Arial" w:cs="Arial" w:eastAsia="Arial" w:hAnsi="Arial"/>
          <w:sz w:val="13"/>
          <w:szCs w:val="13"/>
          <w:color w:val="auto"/>
        </w:rPr>
        <w:t>at any time to:</w:t>
      </w:r>
    </w:p>
    <w:p>
      <w:pPr>
        <w:spacing w:after="0" w:line="85" w:lineRule="exact"/>
        <w:rPr>
          <w:sz w:val="20"/>
          <w:szCs w:val="20"/>
          <w:color w:val="auto"/>
        </w:rPr>
      </w:pPr>
    </w:p>
    <w:p>
      <w:pPr>
        <w:ind w:left="1920" w:right="460" w:hanging="712"/>
        <w:spacing w:after="0" w:line="244" w:lineRule="auto"/>
        <w:tabs>
          <w:tab w:leader="none" w:pos="1920" w:val="left"/>
        </w:tabs>
        <w:numPr>
          <w:ilvl w:val="0"/>
          <w:numId w:val="420"/>
        </w:numPr>
        <w:rPr>
          <w:rFonts w:ascii="Arial" w:cs="Arial" w:eastAsia="Arial" w:hAnsi="Arial"/>
          <w:sz w:val="13"/>
          <w:szCs w:val="13"/>
          <w:color w:val="auto"/>
        </w:rPr>
      </w:pPr>
      <w:r>
        <w:rPr>
          <w:rFonts w:ascii="Arial" w:cs="Arial" w:eastAsia="Arial" w:hAnsi="Arial"/>
          <w:sz w:val="13"/>
          <w:szCs w:val="13"/>
          <w:color w:val="auto"/>
        </w:rPr>
        <w:t>do everything which in the Attorney’s reasonable opinion is necessary or expedient to enable the exercise of any right of the Bank in relation to the Transaction Documents;</w:t>
      </w:r>
    </w:p>
    <w:p>
      <w:pPr>
        <w:spacing w:after="0" w:line="56" w:lineRule="exact"/>
        <w:rPr>
          <w:sz w:val="20"/>
          <w:szCs w:val="20"/>
          <w:color w:val="auto"/>
        </w:rPr>
      </w:pPr>
    </w:p>
    <w:p>
      <w:pPr>
        <w:ind w:left="1200"/>
        <w:spacing w:after="0"/>
        <w:tabs>
          <w:tab w:leader="none" w:pos="3020" w:val="left"/>
        </w:tabs>
        <w:rPr>
          <w:sz w:val="20"/>
          <w:szCs w:val="20"/>
          <w:color w:val="auto"/>
        </w:rPr>
      </w:pPr>
      <w:r>
        <w:rPr>
          <w:rFonts w:ascii="Arial" w:cs="Arial" w:eastAsia="Arial" w:hAnsi="Arial"/>
          <w:sz w:val="13"/>
          <w:szCs w:val="13"/>
          <w:color w:val="auto"/>
        </w:rPr>
        <w:t>(ii)</w:t>
      </w:r>
      <w:r>
        <w:rPr>
          <w:sz w:val="20"/>
          <w:szCs w:val="20"/>
          <w:color w:val="auto"/>
        </w:rPr>
        <w:tab/>
      </w:r>
      <w:r>
        <w:rPr>
          <w:rFonts w:ascii="Arial" w:cs="Arial" w:eastAsia="Arial" w:hAnsi="Arial"/>
          <w:sz w:val="13"/>
          <w:szCs w:val="13"/>
          <w:color w:val="auto"/>
        </w:rPr>
        <w:t>not used;</w:t>
      </w:r>
    </w:p>
    <w:p>
      <w:pPr>
        <w:spacing w:after="0" w:line="76" w:lineRule="exact"/>
        <w:rPr>
          <w:sz w:val="20"/>
          <w:szCs w:val="20"/>
          <w:color w:val="auto"/>
        </w:rPr>
      </w:pPr>
    </w:p>
    <w:p>
      <w:pPr>
        <w:ind w:left="1660" w:hanging="452"/>
        <w:spacing w:after="0"/>
        <w:tabs>
          <w:tab w:leader="none" w:pos="1660" w:val="left"/>
        </w:tabs>
        <w:numPr>
          <w:ilvl w:val="1"/>
          <w:numId w:val="421"/>
        </w:numPr>
        <w:rPr>
          <w:rFonts w:ascii="Arial" w:cs="Arial" w:eastAsia="Arial" w:hAnsi="Arial"/>
          <w:sz w:val="13"/>
          <w:szCs w:val="13"/>
          <w:color w:val="auto"/>
        </w:rPr>
      </w:pPr>
      <w:r>
        <w:rPr>
          <w:rFonts w:ascii="Arial" w:cs="Arial" w:eastAsia="Arial" w:hAnsi="Arial"/>
          <w:sz w:val="13"/>
          <w:szCs w:val="13"/>
          <w:color w:val="auto"/>
        </w:rPr>
        <w:t>complete the Transaction Documents to which it is a party; and</w:t>
      </w:r>
    </w:p>
    <w:p>
      <w:pPr>
        <w:spacing w:after="0" w:line="84" w:lineRule="exact"/>
        <w:rPr>
          <w:rFonts w:ascii="Arial" w:cs="Arial" w:eastAsia="Arial" w:hAnsi="Arial"/>
          <w:sz w:val="13"/>
          <w:szCs w:val="13"/>
          <w:color w:val="auto"/>
        </w:rPr>
      </w:pPr>
    </w:p>
    <w:p>
      <w:pPr>
        <w:ind w:left="2380" w:right="640" w:hanging="1172"/>
        <w:spacing w:after="0" w:line="244" w:lineRule="auto"/>
        <w:tabs>
          <w:tab w:leader="none" w:pos="2380" w:val="left"/>
        </w:tabs>
        <w:numPr>
          <w:ilvl w:val="1"/>
          <w:numId w:val="421"/>
        </w:numPr>
        <w:rPr>
          <w:rFonts w:ascii="Arial" w:cs="Arial" w:eastAsia="Arial" w:hAnsi="Arial"/>
          <w:sz w:val="13"/>
          <w:szCs w:val="13"/>
          <w:color w:val="auto"/>
        </w:rPr>
      </w:pPr>
      <w:r>
        <w:rPr>
          <w:rFonts w:ascii="Arial" w:cs="Arial" w:eastAsia="Arial" w:hAnsi="Arial"/>
          <w:sz w:val="13"/>
          <w:szCs w:val="13"/>
          <w:color w:val="auto"/>
        </w:rPr>
        <w:t>appoint its directors, officers, employees and solicitors as substitutes and otherwise delegate its powers to any of them (except this power of delegation); and</w:t>
      </w:r>
    </w:p>
    <w:p>
      <w:pPr>
        <w:spacing w:after="0" w:line="40" w:lineRule="exact"/>
        <w:rPr>
          <w:rFonts w:ascii="Arial" w:cs="Arial" w:eastAsia="Arial" w:hAnsi="Arial"/>
          <w:sz w:val="13"/>
          <w:szCs w:val="13"/>
          <w:color w:val="auto"/>
        </w:rPr>
      </w:pPr>
    </w:p>
    <w:p>
      <w:pPr>
        <w:jc w:val="both"/>
        <w:ind w:left="1500" w:right="180" w:hanging="644"/>
        <w:spacing w:after="0" w:line="250" w:lineRule="auto"/>
        <w:tabs>
          <w:tab w:leader="none" w:pos="1500" w:val="left"/>
        </w:tabs>
        <w:numPr>
          <w:ilvl w:val="0"/>
          <w:numId w:val="422"/>
        </w:numPr>
        <w:rPr>
          <w:rFonts w:ascii="Arial" w:cs="Arial" w:eastAsia="Arial" w:hAnsi="Arial"/>
          <w:sz w:val="13"/>
          <w:szCs w:val="13"/>
          <w:color w:val="auto"/>
        </w:rPr>
      </w:pPr>
      <w:r>
        <w:rPr>
          <w:rFonts w:ascii="Arial" w:cs="Arial" w:eastAsia="Arial" w:hAnsi="Arial"/>
          <w:sz w:val="13"/>
          <w:szCs w:val="13"/>
          <w:color w:val="auto"/>
        </w:rPr>
        <w:t xml:space="preserve">at any time after a notice is given under </w:t>
      </w:r>
      <w:r>
        <w:rPr>
          <w:rFonts w:ascii="Arial" w:cs="Arial" w:eastAsia="Arial" w:hAnsi="Arial"/>
          <w:sz w:val="13"/>
          <w:szCs w:val="13"/>
          <w:b w:val="1"/>
          <w:bCs w:val="1"/>
          <w:color w:val="auto"/>
        </w:rPr>
        <w:t>clause 10.2(a)(ii)(A) or 10.2(a)(ii)(B)</w:t>
      </w:r>
      <w:r>
        <w:rPr>
          <w:rFonts w:ascii="Arial" w:cs="Arial" w:eastAsia="Arial" w:hAnsi="Arial"/>
          <w:sz w:val="13"/>
          <w:szCs w:val="13"/>
          <w:color w:val="auto"/>
        </w:rPr>
        <w:t>, to do all acts and things which the Borrower is obliged to do under the Transaction Documents or which in the Attorney’s opinion are necessary or expedient to enable the exercise of any right of the Bank in relation to the Transaction Documents.</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740" w:type="dxa"/>
            <w:vAlign w:val="bottom"/>
          </w:tcPr>
          <w:p>
            <w:pPr>
              <w:jc w:val="right"/>
              <w:ind w:right="1388"/>
              <w:spacing w:after="0"/>
              <w:rPr>
                <w:sz w:val="20"/>
                <w:szCs w:val="20"/>
                <w:color w:val="auto"/>
              </w:rPr>
            </w:pPr>
            <w:r>
              <w:rPr>
                <w:rFonts w:ascii="Arial" w:cs="Arial" w:eastAsia="Arial" w:hAnsi="Arial"/>
                <w:sz w:val="14"/>
                <w:szCs w:val="14"/>
                <w:b w:val="1"/>
                <w:bCs w:val="1"/>
                <w:color w:val="auto"/>
                <w:w w:val="95"/>
              </w:rPr>
              <w:t>17.2</w:t>
            </w:r>
          </w:p>
        </w:tc>
        <w:tc>
          <w:tcPr>
            <w:tcW w:w="2300" w:type="dxa"/>
            <w:vAlign w:val="bottom"/>
          </w:tcPr>
          <w:p>
            <w:pPr>
              <w:ind w:left="1460"/>
              <w:spacing w:after="0"/>
              <w:rPr>
                <w:sz w:val="20"/>
                <w:szCs w:val="20"/>
                <w:color w:val="auto"/>
              </w:rPr>
            </w:pPr>
            <w:r>
              <w:rPr>
                <w:rFonts w:ascii="Arial" w:cs="Arial" w:eastAsia="Arial" w:hAnsi="Arial"/>
                <w:sz w:val="14"/>
                <w:szCs w:val="14"/>
                <w:b w:val="1"/>
                <w:bCs w:val="1"/>
                <w:color w:val="auto"/>
              </w:rPr>
              <w:t>Not used</w:t>
            </w:r>
          </w:p>
        </w:tc>
      </w:tr>
      <w:tr>
        <w:trPr>
          <w:trHeight w:val="243"/>
        </w:trPr>
        <w:tc>
          <w:tcPr>
            <w:tcW w:w="1740" w:type="dxa"/>
            <w:vAlign w:val="bottom"/>
          </w:tcPr>
          <w:p>
            <w:pPr>
              <w:jc w:val="right"/>
              <w:ind w:right="1388"/>
              <w:spacing w:after="0"/>
              <w:rPr>
                <w:sz w:val="20"/>
                <w:szCs w:val="20"/>
                <w:color w:val="auto"/>
              </w:rPr>
            </w:pPr>
            <w:r>
              <w:rPr>
                <w:rFonts w:ascii="Arial" w:cs="Arial" w:eastAsia="Arial" w:hAnsi="Arial"/>
                <w:sz w:val="14"/>
                <w:szCs w:val="14"/>
                <w:b w:val="1"/>
                <w:bCs w:val="1"/>
                <w:color w:val="auto"/>
                <w:w w:val="95"/>
              </w:rPr>
              <w:t>17.3</w:t>
            </w:r>
          </w:p>
        </w:tc>
        <w:tc>
          <w:tcPr>
            <w:tcW w:w="2300" w:type="dxa"/>
            <w:vAlign w:val="bottom"/>
          </w:tcPr>
          <w:p>
            <w:pPr>
              <w:ind w:left="1760"/>
              <w:spacing w:after="0"/>
              <w:rPr>
                <w:sz w:val="20"/>
                <w:szCs w:val="20"/>
                <w:color w:val="auto"/>
              </w:rPr>
            </w:pPr>
            <w:r>
              <w:rPr>
                <w:rFonts w:ascii="Arial" w:cs="Arial" w:eastAsia="Arial" w:hAnsi="Arial"/>
                <w:sz w:val="14"/>
                <w:szCs w:val="14"/>
                <w:b w:val="1"/>
                <w:bCs w:val="1"/>
                <w:color w:val="auto"/>
                <w:w w:val="99"/>
              </w:rPr>
              <w:t>General</w:t>
            </w:r>
          </w:p>
        </w:tc>
      </w:tr>
    </w:tbl>
    <w:p>
      <w:pPr>
        <w:spacing w:after="0" w:line="46" w:lineRule="exact"/>
        <w:rPr>
          <w:sz w:val="20"/>
          <w:szCs w:val="20"/>
          <w:color w:val="auto"/>
        </w:rPr>
      </w:pPr>
    </w:p>
    <w:p>
      <w:pPr>
        <w:ind w:left="1560" w:right="140" w:hanging="704"/>
        <w:spacing w:after="0" w:line="244" w:lineRule="auto"/>
        <w:tabs>
          <w:tab w:leader="none" w:pos="1560" w:val="left"/>
        </w:tabs>
        <w:numPr>
          <w:ilvl w:val="0"/>
          <w:numId w:val="423"/>
        </w:numPr>
        <w:rPr>
          <w:rFonts w:ascii="Arial" w:cs="Arial" w:eastAsia="Arial" w:hAnsi="Arial"/>
          <w:sz w:val="13"/>
          <w:szCs w:val="13"/>
          <w:color w:val="auto"/>
        </w:rPr>
      </w:pPr>
      <w:r>
        <w:rPr>
          <w:rFonts w:ascii="Arial" w:cs="Arial" w:eastAsia="Arial" w:hAnsi="Arial"/>
          <w:sz w:val="13"/>
          <w:szCs w:val="13"/>
          <w:color w:val="auto"/>
        </w:rPr>
        <w:t>Any Attorney may exercise any right solely for the benefit of the Bank, even if the exercise of the right constitutes a conflict of interest or duty.</w:t>
      </w:r>
    </w:p>
    <w:p>
      <w:pPr>
        <w:spacing w:after="0" w:line="56" w:lineRule="exact"/>
        <w:rPr>
          <w:rFonts w:ascii="Arial" w:cs="Arial" w:eastAsia="Arial" w:hAnsi="Arial"/>
          <w:sz w:val="13"/>
          <w:szCs w:val="13"/>
          <w:color w:val="auto"/>
        </w:rPr>
      </w:pPr>
    </w:p>
    <w:p>
      <w:pPr>
        <w:ind w:left="1420" w:hanging="564"/>
        <w:spacing w:after="0"/>
        <w:tabs>
          <w:tab w:leader="none" w:pos="1420" w:val="left"/>
        </w:tabs>
        <w:numPr>
          <w:ilvl w:val="0"/>
          <w:numId w:val="423"/>
        </w:numPr>
        <w:rPr>
          <w:rFonts w:ascii="Arial" w:cs="Arial" w:eastAsia="Arial" w:hAnsi="Arial"/>
          <w:sz w:val="13"/>
          <w:szCs w:val="13"/>
          <w:color w:val="auto"/>
        </w:rPr>
      </w:pPr>
      <w:r>
        <w:rPr>
          <w:rFonts w:ascii="Arial" w:cs="Arial" w:eastAsia="Arial" w:hAnsi="Arial"/>
          <w:sz w:val="13"/>
          <w:szCs w:val="13"/>
          <w:color w:val="auto"/>
        </w:rPr>
        <w:t>The Borrower by this document ratifies anything done or not done by the Attorney pursuant to the power of attorney.</w:t>
      </w:r>
    </w:p>
    <w:p>
      <w:pPr>
        <w:spacing w:after="0" w:line="75" w:lineRule="exact"/>
        <w:rPr>
          <w:rFonts w:ascii="Arial" w:cs="Arial" w:eastAsia="Arial" w:hAnsi="Arial"/>
          <w:sz w:val="13"/>
          <w:szCs w:val="13"/>
          <w:color w:val="auto"/>
        </w:rPr>
      </w:pPr>
    </w:p>
    <w:p>
      <w:pPr>
        <w:ind w:left="1560" w:hanging="704"/>
        <w:spacing w:after="0"/>
        <w:tabs>
          <w:tab w:leader="none" w:pos="1560" w:val="left"/>
        </w:tabs>
        <w:numPr>
          <w:ilvl w:val="0"/>
          <w:numId w:val="423"/>
        </w:numPr>
        <w:rPr>
          <w:rFonts w:ascii="Arial" w:cs="Arial" w:eastAsia="Arial" w:hAnsi="Arial"/>
          <w:sz w:val="13"/>
          <w:szCs w:val="13"/>
          <w:color w:val="auto"/>
        </w:rPr>
      </w:pPr>
      <w:r>
        <w:rPr>
          <w:rFonts w:ascii="Arial" w:cs="Arial" w:eastAsia="Arial" w:hAnsi="Arial"/>
          <w:sz w:val="13"/>
          <w:szCs w:val="13"/>
          <w:color w:val="auto"/>
        </w:rPr>
        <w:t>The power of attorney is granted:</w:t>
      </w:r>
    </w:p>
    <w:p>
      <w:pPr>
        <w:spacing w:after="0" w:line="75" w:lineRule="exact"/>
        <w:rPr>
          <w:rFonts w:ascii="Arial" w:cs="Arial" w:eastAsia="Arial" w:hAnsi="Arial"/>
          <w:sz w:val="13"/>
          <w:szCs w:val="13"/>
          <w:color w:val="auto"/>
        </w:rPr>
      </w:pPr>
    </w:p>
    <w:p>
      <w:pPr>
        <w:ind w:left="1620" w:hanging="412"/>
        <w:spacing w:after="0" w:line="244" w:lineRule="auto"/>
        <w:tabs>
          <w:tab w:leader="none" w:pos="1620" w:val="left"/>
        </w:tabs>
        <w:numPr>
          <w:ilvl w:val="1"/>
          <w:numId w:val="423"/>
        </w:numPr>
        <w:rPr>
          <w:rFonts w:ascii="Arial" w:cs="Arial" w:eastAsia="Arial" w:hAnsi="Arial"/>
          <w:sz w:val="13"/>
          <w:szCs w:val="13"/>
          <w:color w:val="auto"/>
        </w:rPr>
      </w:pPr>
      <w:r>
        <w:rPr>
          <w:rFonts w:ascii="Arial" w:cs="Arial" w:eastAsia="Arial" w:hAnsi="Arial"/>
          <w:sz w:val="13"/>
          <w:szCs w:val="13"/>
          <w:color w:val="auto"/>
        </w:rPr>
        <w:t>to secure the compliance by the Borrower with its obligations to the Bank under the Transaction Documents and any proprietary interests of the Bank under the Transaction Documents; and</w:t>
      </w:r>
    </w:p>
    <w:p>
      <w:pPr>
        <w:spacing w:after="0" w:line="56" w:lineRule="exact"/>
        <w:rPr>
          <w:rFonts w:ascii="Arial" w:cs="Arial" w:eastAsia="Arial" w:hAnsi="Arial"/>
          <w:sz w:val="13"/>
          <w:szCs w:val="13"/>
          <w:color w:val="auto"/>
        </w:rPr>
      </w:pPr>
    </w:p>
    <w:p>
      <w:pPr>
        <w:ind w:left="2300" w:right="320" w:hanging="1092"/>
        <w:spacing w:after="0" w:line="244" w:lineRule="auto"/>
        <w:tabs>
          <w:tab w:leader="none" w:pos="2300" w:val="left"/>
        </w:tabs>
        <w:numPr>
          <w:ilvl w:val="1"/>
          <w:numId w:val="423"/>
        </w:numPr>
        <w:rPr>
          <w:rFonts w:ascii="Arial" w:cs="Arial" w:eastAsia="Arial" w:hAnsi="Arial"/>
          <w:sz w:val="13"/>
          <w:szCs w:val="13"/>
          <w:color w:val="auto"/>
        </w:rPr>
      </w:pPr>
      <w:r>
        <w:rPr>
          <w:rFonts w:ascii="Arial" w:cs="Arial" w:eastAsia="Arial" w:hAnsi="Arial"/>
          <w:sz w:val="13"/>
          <w:szCs w:val="13"/>
          <w:color w:val="auto"/>
        </w:rPr>
        <w:t>for valuable consideration (receipt of which is acknowledged) which includes entry into of this document by the Bank at the Borrower’s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161925</wp:posOffset>
            </wp:positionV>
            <wp:extent cx="6208395"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208395" cy="42545"/>
                    </a:xfrm>
                    <a:prstGeom prst="rect">
                      <a:avLst/>
                    </a:prstGeom>
                    <a:noFill/>
                  </pic:spPr>
                </pic:pic>
              </a:graphicData>
            </a:graphic>
          </wp:anchor>
        </w:drawing>
      </w:r>
    </w:p>
    <w:p>
      <w:pPr>
        <w:sectPr>
          <w:pgSz w:w="11900" w:h="16838" w:orient="portrait"/>
          <w:cols w:equalWidth="0" w:num="1">
            <w:col w:w="9600"/>
          </w:cols>
          <w:pgMar w:left="1220" w:top="533" w:right="1079" w:bottom="1440" w:gutter="0" w:footer="0" w:header="0"/>
        </w:sectPr>
      </w:pPr>
    </w:p>
    <w:bookmarkStart w:id="280" w:name="page281"/>
    <w:bookmarkEnd w:id="280"/>
    <w:tbl>
      <w:tblPr>
        <w:tblLayout w:type="fixed"/>
        <w:tblInd w:w="0" w:type="dxa"/>
        <w:tblCellMar>
          <w:top w:w="0" w:type="dxa"/>
          <w:left w:w="0" w:type="dxa"/>
          <w:bottom w:w="0" w:type="dxa"/>
          <w:right w:w="0" w:type="dxa"/>
        </w:tblCellMar>
      </w:tblPr>
      <w:tr>
        <w:trPr>
          <w:trHeight w:val="232"/>
        </w:trPr>
        <w:tc>
          <w:tcPr>
            <w:tcW w:w="1640" w:type="dxa"/>
            <w:vAlign w:val="bottom"/>
          </w:tcPr>
          <w:p>
            <w:pPr>
              <w:jc w:val="right"/>
              <w:ind w:right="996"/>
              <w:spacing w:after="0"/>
              <w:rPr>
                <w:sz w:val="20"/>
                <w:szCs w:val="20"/>
                <w:color w:val="auto"/>
              </w:rPr>
            </w:pPr>
            <w:r>
              <w:rPr>
                <w:rFonts w:ascii="Arial" w:cs="Arial" w:eastAsia="Arial" w:hAnsi="Arial"/>
                <w:sz w:val="19"/>
                <w:szCs w:val="19"/>
                <w:color w:val="auto"/>
              </w:rPr>
              <w:t>18</w:t>
            </w:r>
          </w:p>
        </w:tc>
        <w:tc>
          <w:tcPr>
            <w:tcW w:w="2680" w:type="dxa"/>
            <w:vAlign w:val="bottom"/>
          </w:tcPr>
          <w:p>
            <w:pPr>
              <w:ind w:left="1100"/>
              <w:spacing w:after="0"/>
              <w:rPr>
                <w:sz w:val="20"/>
                <w:szCs w:val="20"/>
                <w:color w:val="auto"/>
              </w:rPr>
            </w:pPr>
            <w:r>
              <w:rPr>
                <w:rFonts w:ascii="Arial" w:cs="Arial" w:eastAsia="Arial" w:hAnsi="Arial"/>
                <w:sz w:val="19"/>
                <w:szCs w:val="19"/>
                <w:color w:val="auto"/>
              </w:rPr>
              <w:t>General</w:t>
            </w:r>
          </w:p>
        </w:tc>
      </w:tr>
      <w:tr>
        <w:trPr>
          <w:trHeight w:val="245"/>
        </w:trPr>
        <w:tc>
          <w:tcPr>
            <w:tcW w:w="1640" w:type="dxa"/>
            <w:vAlign w:val="bottom"/>
          </w:tcPr>
          <w:p>
            <w:pPr>
              <w:jc w:val="right"/>
              <w:ind w:right="1276"/>
              <w:spacing w:after="0"/>
              <w:rPr>
                <w:sz w:val="20"/>
                <w:szCs w:val="20"/>
                <w:color w:val="auto"/>
              </w:rPr>
            </w:pPr>
            <w:r>
              <w:rPr>
                <w:rFonts w:ascii="Arial" w:cs="Arial" w:eastAsia="Arial" w:hAnsi="Arial"/>
                <w:sz w:val="14"/>
                <w:szCs w:val="14"/>
                <w:b w:val="1"/>
                <w:bCs w:val="1"/>
                <w:color w:val="auto"/>
                <w:w w:val="95"/>
              </w:rPr>
              <w:t>18.1</w:t>
            </w:r>
          </w:p>
        </w:tc>
        <w:tc>
          <w:tcPr>
            <w:tcW w:w="2680" w:type="dxa"/>
            <w:vAlign w:val="bottom"/>
          </w:tcPr>
          <w:p>
            <w:pPr>
              <w:ind w:left="2220"/>
              <w:spacing w:after="0"/>
              <w:rPr>
                <w:sz w:val="20"/>
                <w:szCs w:val="20"/>
                <w:color w:val="auto"/>
              </w:rPr>
            </w:pPr>
            <w:r>
              <w:rPr>
                <w:rFonts w:ascii="Arial" w:cs="Arial" w:eastAsia="Arial" w:hAnsi="Arial"/>
                <w:sz w:val="14"/>
                <w:szCs w:val="14"/>
                <w:b w:val="1"/>
                <w:bCs w:val="1"/>
                <w:color w:val="auto"/>
                <w:w w:val="99"/>
              </w:rPr>
              <w:t>Set-off</w:t>
            </w:r>
          </w:p>
        </w:tc>
      </w:tr>
    </w:tbl>
    <w:p>
      <w:pPr>
        <w:spacing w:after="0" w:line="46" w:lineRule="exact"/>
        <w:rPr>
          <w:sz w:val="20"/>
          <w:szCs w:val="20"/>
          <w:color w:val="auto"/>
        </w:rPr>
      </w:pPr>
    </w:p>
    <w:p>
      <w:pPr>
        <w:ind w:left="860" w:right="140"/>
        <w:spacing w:after="0" w:line="244" w:lineRule="auto"/>
        <w:rPr>
          <w:sz w:val="20"/>
          <w:szCs w:val="20"/>
          <w:color w:val="auto"/>
        </w:rPr>
      </w:pPr>
      <w:r>
        <w:rPr>
          <w:rFonts w:ascii="Arial" w:cs="Arial" w:eastAsia="Arial" w:hAnsi="Arial"/>
          <w:sz w:val="13"/>
          <w:szCs w:val="13"/>
          <w:color w:val="auto"/>
        </w:rPr>
        <w:t>The Bank may set off any money due for payment by the Bank to the Borrower, whatsoever, including any money in any currency held by the Bank for the account of the Borrower in any place, against any money due for payment by the Borrower to the Bank under a Transaction Document.</w:t>
      </w:r>
    </w:p>
    <w:p>
      <w:pPr>
        <w:sectPr>
          <w:pgSz w:w="11900" w:h="16838" w:orient="portrait"/>
          <w:cols w:equalWidth="0" w:num="1">
            <w:col w:w="9740"/>
          </w:cols>
          <w:pgMar w:left="1220" w:top="533" w:right="939" w:bottom="1440" w:gutter="0" w:footer="0" w:header="0"/>
        </w:sectPr>
      </w:pPr>
    </w:p>
    <w:p>
      <w:pPr>
        <w:spacing w:after="0" w:line="7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18.2</w:t>
      </w:r>
    </w:p>
    <w:p>
      <w:pPr>
        <w:spacing w:after="0" w:line="20" w:lineRule="exact"/>
        <w:rPr>
          <w:sz w:val="20"/>
          <w:szCs w:val="20"/>
          <w:color w:val="auto"/>
        </w:rPr>
      </w:pPr>
      <w:r>
        <w:rPr>
          <w:sz w:val="20"/>
          <w:szCs w:val="20"/>
          <w:color w:val="auto"/>
        </w:rPr>
        <w:br w:type="column"/>
      </w:r>
    </w:p>
    <w:p>
      <w:pPr>
        <w:spacing w:after="0" w:line="5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Bank’s certificate</w:t>
      </w:r>
    </w:p>
    <w:p>
      <w:pPr>
        <w:spacing w:after="0" w:line="71" w:lineRule="exact"/>
        <w:rPr>
          <w:sz w:val="20"/>
          <w:szCs w:val="20"/>
          <w:color w:val="auto"/>
        </w:rPr>
      </w:pPr>
    </w:p>
    <w:p>
      <w:pPr>
        <w:sectPr>
          <w:pgSz w:w="11900" w:h="16838" w:orient="portrait"/>
          <w:cols w:equalWidth="0" w:num="2">
            <w:col w:w="1340" w:space="720"/>
            <w:col w:w="7680"/>
          </w:cols>
          <w:pgMar w:left="1220" w:top="533" w:right="939" w:bottom="1440" w:gutter="0" w:footer="0" w:header="0"/>
          <w:type w:val="continuous"/>
        </w:sectPr>
      </w:pPr>
    </w:p>
    <w:p>
      <w:pPr>
        <w:ind w:left="1340" w:right="260" w:hanging="479"/>
        <w:spacing w:after="0" w:line="238" w:lineRule="auto"/>
        <w:tabs>
          <w:tab w:leader="none" w:pos="1320" w:val="left"/>
        </w:tabs>
        <w:rPr>
          <w:sz w:val="20"/>
          <w:szCs w:val="20"/>
          <w:color w:val="auto"/>
        </w:rPr>
      </w:pPr>
      <w:r>
        <w:rPr>
          <w:rFonts w:ascii="Arial" w:cs="Arial" w:eastAsia="Arial" w:hAnsi="Arial"/>
          <w:sz w:val="13"/>
          <w:szCs w:val="13"/>
          <w:color w:val="auto"/>
        </w:rPr>
        <w:t>(a)</w:t>
      </w:r>
      <w:r>
        <w:rPr>
          <w:sz w:val="20"/>
          <w:szCs w:val="20"/>
          <w:color w:val="auto"/>
        </w:rPr>
        <w:tab/>
      </w:r>
      <w:r>
        <w:rPr>
          <w:rFonts w:ascii="Arial" w:cs="Arial" w:eastAsia="Arial" w:hAnsi="Arial"/>
          <w:sz w:val="13"/>
          <w:szCs w:val="13"/>
          <w:color w:val="auto"/>
        </w:rPr>
        <w:t>A certificate by the Bank relating to any amount owing under a Transaction Document or as to its opinion in relation to any matter under any Transaction Document is prima facie evidence against the Borrower of the matters certified unless proven incorrect or there is a manifest error.</w:t>
      </w:r>
    </w:p>
    <w:p>
      <w:pPr>
        <w:spacing w:after="0" w:line="60" w:lineRule="exact"/>
        <w:rPr>
          <w:sz w:val="20"/>
          <w:szCs w:val="20"/>
          <w:color w:val="auto"/>
        </w:rPr>
      </w:pPr>
    </w:p>
    <w:p>
      <w:pPr>
        <w:jc w:val="center"/>
        <w:ind w:left="1340" w:right="320"/>
        <w:spacing w:after="0" w:line="244" w:lineRule="auto"/>
        <w:tabs>
          <w:tab w:leader="none" w:pos="320" w:val="left"/>
        </w:tabs>
        <w:rPr>
          <w:sz w:val="20"/>
          <w:szCs w:val="20"/>
          <w:color w:val="auto"/>
        </w:rPr>
      </w:pPr>
      <w:r>
        <w:rPr>
          <w:rFonts w:ascii="Arial" w:cs="Arial" w:eastAsia="Arial" w:hAnsi="Arial"/>
          <w:sz w:val="13"/>
          <w:szCs w:val="13"/>
          <w:color w:val="auto"/>
        </w:rPr>
        <w:t>(b)</w:t>
      </w:r>
      <w:r>
        <w:rPr>
          <w:sz w:val="20"/>
          <w:szCs w:val="20"/>
          <w:color w:val="auto"/>
        </w:rPr>
        <w:tab/>
      </w:r>
      <w:r>
        <w:rPr>
          <w:rFonts w:ascii="Arial" w:cs="Arial" w:eastAsia="Arial" w:hAnsi="Arial"/>
          <w:sz w:val="13"/>
          <w:szCs w:val="13"/>
          <w:color w:val="auto"/>
        </w:rPr>
        <w:t>The Bank is not obliged to give the reasons for its determination or opinion in relation to any matter under any Transaction Document. Any certification, determination or opinion relating to an amount must contain reasonable detail as to how the amount was calculated.</w:t>
      </w:r>
    </w:p>
    <w:p>
      <w:pPr>
        <w:spacing w:after="0" w:line="56" w:lineRule="exact"/>
        <w:rPr>
          <w:sz w:val="20"/>
          <w:szCs w:val="20"/>
          <w:color w:val="auto"/>
        </w:rPr>
      </w:pPr>
    </w:p>
    <w:p>
      <w:pPr>
        <w:ind w:left="1380" w:right="280" w:hanging="519"/>
        <w:spacing w:after="0" w:line="244" w:lineRule="auto"/>
        <w:tabs>
          <w:tab w:leader="none" w:pos="1360" w:val="left"/>
        </w:tabs>
        <w:rPr>
          <w:sz w:val="20"/>
          <w:szCs w:val="20"/>
          <w:color w:val="auto"/>
        </w:rPr>
      </w:pPr>
      <w:r>
        <w:rPr>
          <w:rFonts w:ascii="Arial" w:cs="Arial" w:eastAsia="Arial" w:hAnsi="Arial"/>
          <w:sz w:val="13"/>
          <w:szCs w:val="13"/>
          <w:color w:val="auto"/>
        </w:rPr>
        <w:t>(c)</w:t>
      </w:r>
      <w:r>
        <w:rPr>
          <w:sz w:val="20"/>
          <w:szCs w:val="20"/>
          <w:color w:val="auto"/>
        </w:rPr>
        <w:tab/>
      </w:r>
      <w:r>
        <w:rPr>
          <w:rFonts w:ascii="Arial" w:cs="Arial" w:eastAsia="Arial" w:hAnsi="Arial"/>
          <w:sz w:val="13"/>
          <w:szCs w:val="13"/>
          <w:color w:val="auto"/>
        </w:rPr>
        <w:t>A determination or an opinion of an Authorised Representative of the Bank which is given to the Borrower or otherwise expressed or acted on by the Bank as being a determination or an opinion of the Bank will be deemed to be a determination or opinion of the Bank.</w:t>
      </w:r>
    </w:p>
    <w:p>
      <w:pPr>
        <w:sectPr>
          <w:pgSz w:w="11900" w:h="16838" w:orient="portrait"/>
          <w:cols w:equalWidth="0" w:num="1">
            <w:col w:w="9740"/>
          </w:cols>
          <w:pgMar w:left="1220" w:top="533" w:right="939" w:bottom="1440" w:gutter="0" w:footer="0" w:header="0"/>
          <w:type w:val="continuous"/>
        </w:sectPr>
      </w:pPr>
    </w:p>
    <w:p>
      <w:pPr>
        <w:spacing w:after="0" w:line="67" w:lineRule="exact"/>
        <w:rPr>
          <w:sz w:val="20"/>
          <w:szCs w:val="20"/>
          <w:color w:val="auto"/>
        </w:rPr>
      </w:pPr>
    </w:p>
    <w:p>
      <w:pPr>
        <w:spacing w:after="0"/>
        <w:tabs>
          <w:tab w:leader="none" w:pos="1600" w:val="left"/>
        </w:tabs>
        <w:rPr>
          <w:sz w:val="20"/>
          <w:szCs w:val="20"/>
          <w:color w:val="auto"/>
        </w:rPr>
      </w:pPr>
      <w:r>
        <w:rPr>
          <w:rFonts w:ascii="Arial" w:cs="Arial" w:eastAsia="Arial" w:hAnsi="Arial"/>
          <w:sz w:val="14"/>
          <w:szCs w:val="14"/>
          <w:b w:val="1"/>
          <w:bCs w:val="1"/>
          <w:color w:val="auto"/>
        </w:rPr>
        <w:t>18.3</w:t>
      </w:r>
      <w:r>
        <w:rPr>
          <w:sz w:val="20"/>
          <w:szCs w:val="20"/>
          <w:color w:val="auto"/>
        </w:rPr>
        <w:tab/>
      </w:r>
      <w:r>
        <w:rPr>
          <w:rFonts w:ascii="Arial" w:cs="Arial" w:eastAsia="Arial" w:hAnsi="Arial"/>
          <w:sz w:val="14"/>
          <w:szCs w:val="14"/>
          <w:b w:val="1"/>
          <w:bCs w:val="1"/>
          <w:color w:val="auto"/>
        </w:rPr>
        <w:t>Supervening legislation</w:t>
      </w:r>
    </w:p>
    <w:p>
      <w:pPr>
        <w:spacing w:after="0" w:line="75" w:lineRule="exact"/>
        <w:rPr>
          <w:sz w:val="20"/>
          <w:szCs w:val="20"/>
          <w:color w:val="auto"/>
        </w:rPr>
      </w:pPr>
    </w:p>
    <w:p>
      <w:pPr>
        <w:ind w:left="860"/>
        <w:spacing w:after="0"/>
        <w:rPr>
          <w:sz w:val="20"/>
          <w:szCs w:val="20"/>
          <w:color w:val="auto"/>
        </w:rPr>
      </w:pPr>
      <w:r>
        <w:rPr>
          <w:rFonts w:ascii="Arial" w:cs="Arial" w:eastAsia="Arial" w:hAnsi="Arial"/>
          <w:sz w:val="13"/>
          <w:szCs w:val="13"/>
          <w:color w:val="auto"/>
        </w:rPr>
        <w:t>Any present or future legislation which operates:</w:t>
      </w:r>
    </w:p>
    <w:p>
      <w:pPr>
        <w:spacing w:after="0" w:line="85" w:lineRule="exact"/>
        <w:rPr>
          <w:sz w:val="20"/>
          <w:szCs w:val="20"/>
          <w:color w:val="auto"/>
        </w:rPr>
      </w:pPr>
    </w:p>
    <w:p>
      <w:pPr>
        <w:ind w:left="2180" w:hanging="1324"/>
        <w:spacing w:after="0"/>
        <w:tabs>
          <w:tab w:leader="none" w:pos="2180" w:val="left"/>
        </w:tabs>
        <w:numPr>
          <w:ilvl w:val="0"/>
          <w:numId w:val="424"/>
        </w:numPr>
        <w:rPr>
          <w:rFonts w:ascii="Arial" w:cs="Arial" w:eastAsia="Arial" w:hAnsi="Arial"/>
          <w:sz w:val="13"/>
          <w:szCs w:val="13"/>
          <w:color w:val="auto"/>
        </w:rPr>
      </w:pPr>
      <w:r>
        <w:rPr>
          <w:rFonts w:ascii="Arial" w:cs="Arial" w:eastAsia="Arial" w:hAnsi="Arial"/>
          <w:sz w:val="13"/>
          <w:szCs w:val="13"/>
          <w:color w:val="auto"/>
        </w:rPr>
        <w:t>to lessen or vary in favour of the Borrower any of its obligations in connection with the Transaction Documents; or</w:t>
      </w:r>
    </w:p>
    <w:p>
      <w:pPr>
        <w:spacing w:after="0" w:line="66" w:lineRule="exact"/>
        <w:rPr>
          <w:rFonts w:ascii="Arial" w:cs="Arial" w:eastAsia="Arial" w:hAnsi="Arial"/>
          <w:sz w:val="13"/>
          <w:szCs w:val="13"/>
          <w:color w:val="auto"/>
        </w:rPr>
      </w:pPr>
    </w:p>
    <w:p>
      <w:pPr>
        <w:ind w:left="1980" w:hanging="1124"/>
        <w:spacing w:after="0"/>
        <w:tabs>
          <w:tab w:leader="none" w:pos="1980" w:val="left"/>
        </w:tabs>
        <w:numPr>
          <w:ilvl w:val="0"/>
          <w:numId w:val="424"/>
        </w:numPr>
        <w:rPr>
          <w:rFonts w:ascii="Arial" w:cs="Arial" w:eastAsia="Arial" w:hAnsi="Arial"/>
          <w:sz w:val="13"/>
          <w:szCs w:val="13"/>
          <w:color w:val="auto"/>
        </w:rPr>
      </w:pPr>
      <w:r>
        <w:rPr>
          <w:rFonts w:ascii="Arial" w:cs="Arial" w:eastAsia="Arial" w:hAnsi="Arial"/>
          <w:sz w:val="13"/>
          <w:szCs w:val="13"/>
          <w:color w:val="auto"/>
        </w:rPr>
        <w:t>to postpone, stay, suspend or curtail any rights of the Bank under the Transaction Documents,</w:t>
      </w:r>
    </w:p>
    <w:p>
      <w:pPr>
        <w:spacing w:after="0" w:line="67" w:lineRule="exact"/>
        <w:rPr>
          <w:sz w:val="20"/>
          <w:szCs w:val="20"/>
          <w:color w:val="auto"/>
        </w:rPr>
      </w:pPr>
    </w:p>
    <w:p>
      <w:pPr>
        <w:ind w:left="860"/>
        <w:spacing w:after="0"/>
        <w:rPr>
          <w:sz w:val="20"/>
          <w:szCs w:val="20"/>
          <w:color w:val="auto"/>
        </w:rPr>
      </w:pPr>
      <w:r>
        <w:rPr>
          <w:rFonts w:ascii="Arial" w:cs="Arial" w:eastAsia="Arial" w:hAnsi="Arial"/>
          <w:sz w:val="13"/>
          <w:szCs w:val="13"/>
          <w:color w:val="auto"/>
        </w:rPr>
        <w:t>is excluded except to the extent that its exclusion is prohibited or rendered ineffective by law.</w:t>
      </w:r>
    </w:p>
    <w:p>
      <w:pPr>
        <w:spacing w:after="0" w:line="83" w:lineRule="exact"/>
        <w:rPr>
          <w:sz w:val="20"/>
          <w:szCs w:val="20"/>
          <w:color w:val="auto"/>
        </w:rPr>
      </w:pPr>
    </w:p>
    <w:p>
      <w:pPr>
        <w:spacing w:after="0"/>
        <w:tabs>
          <w:tab w:leader="none" w:pos="1820" w:val="left"/>
        </w:tabs>
        <w:rPr>
          <w:sz w:val="20"/>
          <w:szCs w:val="20"/>
          <w:color w:val="auto"/>
        </w:rPr>
      </w:pPr>
      <w:r>
        <w:rPr>
          <w:rFonts w:ascii="Arial" w:cs="Arial" w:eastAsia="Arial" w:hAnsi="Arial"/>
          <w:sz w:val="14"/>
          <w:szCs w:val="14"/>
          <w:b w:val="1"/>
          <w:bCs w:val="1"/>
          <w:color w:val="auto"/>
        </w:rPr>
        <w:t>18.4</w:t>
      </w:r>
      <w:r>
        <w:rPr>
          <w:sz w:val="20"/>
          <w:szCs w:val="20"/>
          <w:color w:val="auto"/>
        </w:rPr>
        <w:tab/>
      </w:r>
      <w:r>
        <w:rPr>
          <w:rFonts w:ascii="Arial" w:cs="Arial" w:eastAsia="Arial" w:hAnsi="Arial"/>
          <w:sz w:val="14"/>
          <w:szCs w:val="14"/>
          <w:b w:val="1"/>
          <w:bCs w:val="1"/>
          <w:color w:val="auto"/>
        </w:rPr>
        <w:t>Time of the essence</w:t>
      </w:r>
    </w:p>
    <w:p>
      <w:pPr>
        <w:spacing w:after="0" w:line="75" w:lineRule="exact"/>
        <w:rPr>
          <w:sz w:val="20"/>
          <w:szCs w:val="20"/>
          <w:color w:val="auto"/>
        </w:rPr>
      </w:pPr>
    </w:p>
    <w:p>
      <w:pPr>
        <w:ind w:left="860" w:right="420"/>
        <w:spacing w:after="0" w:line="244" w:lineRule="auto"/>
        <w:rPr>
          <w:sz w:val="20"/>
          <w:szCs w:val="20"/>
          <w:color w:val="auto"/>
        </w:rPr>
      </w:pPr>
      <w:r>
        <w:rPr>
          <w:rFonts w:ascii="Arial" w:cs="Arial" w:eastAsia="Arial" w:hAnsi="Arial"/>
          <w:sz w:val="13"/>
          <w:szCs w:val="13"/>
          <w:color w:val="auto"/>
        </w:rPr>
        <w:t>Time is of the essence as regards any obligations of the Borrower or any date or period determined under the Transaction Documents, and if any date or period is altered by agreement between the parties, time is of the essence as regards such altered date or period.</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200" w:type="dxa"/>
            <w:vAlign w:val="bottom"/>
          </w:tcPr>
          <w:p>
            <w:pPr>
              <w:jc w:val="right"/>
              <w:ind w:right="854"/>
              <w:spacing w:after="0"/>
              <w:rPr>
                <w:sz w:val="20"/>
                <w:szCs w:val="20"/>
                <w:color w:val="auto"/>
              </w:rPr>
            </w:pPr>
            <w:r>
              <w:rPr>
                <w:rFonts w:ascii="Arial" w:cs="Arial" w:eastAsia="Arial" w:hAnsi="Arial"/>
                <w:sz w:val="14"/>
                <w:szCs w:val="14"/>
                <w:b w:val="1"/>
                <w:bCs w:val="1"/>
                <w:color w:val="auto"/>
                <w:w w:val="95"/>
              </w:rPr>
              <w:t>18.5</w:t>
            </w:r>
          </w:p>
        </w:tc>
        <w:tc>
          <w:tcPr>
            <w:tcW w:w="8540" w:type="dxa"/>
            <w:vAlign w:val="bottom"/>
          </w:tcPr>
          <w:p>
            <w:pPr>
              <w:ind w:left="1080"/>
              <w:spacing w:after="0"/>
              <w:rPr>
                <w:sz w:val="20"/>
                <w:szCs w:val="20"/>
                <w:color w:val="auto"/>
              </w:rPr>
            </w:pPr>
            <w:r>
              <w:rPr>
                <w:rFonts w:ascii="Arial" w:cs="Arial" w:eastAsia="Arial" w:hAnsi="Arial"/>
                <w:sz w:val="14"/>
                <w:szCs w:val="14"/>
                <w:b w:val="1"/>
                <w:bCs w:val="1"/>
                <w:color w:val="auto"/>
              </w:rPr>
              <w:t>Business Days</w:t>
            </w:r>
          </w:p>
        </w:tc>
      </w:tr>
      <w:tr>
        <w:trPr>
          <w:trHeight w:val="190"/>
        </w:trPr>
        <w:tc>
          <w:tcPr>
            <w:tcW w:w="1200" w:type="dxa"/>
            <w:vAlign w:val="bottom"/>
          </w:tcPr>
          <w:p>
            <w:pPr>
              <w:ind w:left="860"/>
              <w:spacing w:after="0"/>
              <w:rPr>
                <w:sz w:val="20"/>
                <w:szCs w:val="20"/>
                <w:color w:val="auto"/>
              </w:rPr>
            </w:pPr>
            <w:r>
              <w:rPr>
                <w:rFonts w:ascii="Arial" w:cs="Arial" w:eastAsia="Arial" w:hAnsi="Arial"/>
                <w:sz w:val="13"/>
                <w:szCs w:val="13"/>
                <w:color w:val="auto"/>
              </w:rPr>
              <w:t>(a)</w:t>
            </w:r>
          </w:p>
        </w:tc>
        <w:tc>
          <w:tcPr>
            <w:tcW w:w="8540" w:type="dxa"/>
            <w:vAlign w:val="bottom"/>
          </w:tcPr>
          <w:p>
            <w:pPr>
              <w:ind w:left="220"/>
              <w:spacing w:after="0"/>
              <w:rPr>
                <w:sz w:val="20"/>
                <w:szCs w:val="20"/>
                <w:color w:val="auto"/>
              </w:rPr>
            </w:pPr>
            <w:r>
              <w:rPr>
                <w:rFonts w:ascii="Arial" w:cs="Arial" w:eastAsia="Arial" w:hAnsi="Arial"/>
                <w:sz w:val="13"/>
                <w:szCs w:val="13"/>
                <w:color w:val="auto"/>
              </w:rPr>
              <w:t>If the day on or by which anything, other than making a payment, must be done by the Borrower under a Transaction Document is not a</w:t>
            </w:r>
          </w:p>
        </w:tc>
      </w:tr>
      <w:tr>
        <w:trPr>
          <w:trHeight w:val="157"/>
        </w:trPr>
        <w:tc>
          <w:tcPr>
            <w:tcW w:w="1200" w:type="dxa"/>
            <w:vAlign w:val="bottom"/>
          </w:tcPr>
          <w:p>
            <w:pPr>
              <w:spacing w:after="0"/>
              <w:rPr>
                <w:sz w:val="13"/>
                <w:szCs w:val="13"/>
                <w:color w:val="auto"/>
              </w:rPr>
            </w:pPr>
          </w:p>
        </w:tc>
        <w:tc>
          <w:tcPr>
            <w:tcW w:w="8540" w:type="dxa"/>
            <w:vAlign w:val="bottom"/>
          </w:tcPr>
          <w:p>
            <w:pPr>
              <w:ind w:left="220"/>
              <w:spacing w:after="0"/>
              <w:rPr>
                <w:sz w:val="20"/>
                <w:szCs w:val="20"/>
                <w:color w:val="auto"/>
              </w:rPr>
            </w:pPr>
            <w:r>
              <w:rPr>
                <w:rFonts w:ascii="Arial" w:cs="Arial" w:eastAsia="Arial" w:hAnsi="Arial"/>
                <w:sz w:val="13"/>
                <w:szCs w:val="13"/>
                <w:color w:val="auto"/>
              </w:rPr>
              <w:t>Business Day, that thing must be done on or by the preceding Business Day.</w:t>
            </w:r>
          </w:p>
        </w:tc>
      </w:tr>
      <w:tr>
        <w:trPr>
          <w:trHeight w:val="203"/>
        </w:trPr>
        <w:tc>
          <w:tcPr>
            <w:tcW w:w="1200" w:type="dxa"/>
            <w:vAlign w:val="bottom"/>
          </w:tcPr>
          <w:p>
            <w:pPr>
              <w:ind w:left="860"/>
              <w:spacing w:after="0"/>
              <w:rPr>
                <w:sz w:val="20"/>
                <w:szCs w:val="20"/>
                <w:color w:val="auto"/>
              </w:rPr>
            </w:pPr>
            <w:r>
              <w:rPr>
                <w:rFonts w:ascii="Arial" w:cs="Arial" w:eastAsia="Arial" w:hAnsi="Arial"/>
                <w:sz w:val="13"/>
                <w:szCs w:val="13"/>
                <w:color w:val="auto"/>
              </w:rPr>
              <w:t>(b)</w:t>
            </w:r>
          </w:p>
        </w:tc>
        <w:tc>
          <w:tcPr>
            <w:tcW w:w="8540" w:type="dxa"/>
            <w:vAlign w:val="bottom"/>
          </w:tcPr>
          <w:p>
            <w:pPr>
              <w:ind w:left="180"/>
              <w:spacing w:after="0"/>
              <w:rPr>
                <w:sz w:val="20"/>
                <w:szCs w:val="20"/>
                <w:color w:val="auto"/>
              </w:rPr>
            </w:pPr>
            <w:r>
              <w:rPr>
                <w:rFonts w:ascii="Arial" w:cs="Arial" w:eastAsia="Arial" w:hAnsi="Arial"/>
                <w:sz w:val="13"/>
                <w:szCs w:val="13"/>
                <w:color w:val="auto"/>
              </w:rPr>
              <w:t>If a payment would otherwise be due on a day which is not a Business Day it will be due on the immediately following Business Day.</w:t>
            </w:r>
          </w:p>
        </w:tc>
      </w:tr>
      <w:tr>
        <w:trPr>
          <w:trHeight w:val="157"/>
        </w:trPr>
        <w:tc>
          <w:tcPr>
            <w:tcW w:w="1200" w:type="dxa"/>
            <w:vAlign w:val="bottom"/>
          </w:tcPr>
          <w:p>
            <w:pPr>
              <w:spacing w:after="0"/>
              <w:rPr>
                <w:sz w:val="13"/>
                <w:szCs w:val="13"/>
                <w:color w:val="auto"/>
              </w:rPr>
            </w:pPr>
          </w:p>
        </w:tc>
        <w:tc>
          <w:tcPr>
            <w:tcW w:w="8540" w:type="dxa"/>
            <w:vAlign w:val="bottom"/>
          </w:tcPr>
          <w:p>
            <w:pPr>
              <w:ind w:left="180"/>
              <w:spacing w:after="0"/>
              <w:rPr>
                <w:sz w:val="20"/>
                <w:szCs w:val="20"/>
                <w:color w:val="auto"/>
              </w:rPr>
            </w:pPr>
            <w:r>
              <w:rPr>
                <w:rFonts w:ascii="Arial" w:cs="Arial" w:eastAsia="Arial" w:hAnsi="Arial"/>
                <w:sz w:val="13"/>
                <w:szCs w:val="13"/>
                <w:color w:val="auto"/>
              </w:rPr>
              <w:t>However,</w:t>
            </w:r>
          </w:p>
        </w:tc>
      </w:tr>
      <w:tr>
        <w:trPr>
          <w:trHeight w:val="284"/>
        </w:trPr>
        <w:tc>
          <w:tcPr>
            <w:tcW w:w="1200" w:type="dxa"/>
            <w:vAlign w:val="bottom"/>
            <w:tcBorders>
              <w:bottom w:val="single" w:sz="8" w:color="9A9A9A"/>
            </w:tcBorders>
          </w:tcPr>
          <w:p>
            <w:pPr>
              <w:spacing w:after="0"/>
              <w:rPr>
                <w:sz w:val="24"/>
                <w:szCs w:val="24"/>
                <w:color w:val="auto"/>
              </w:rPr>
            </w:pPr>
          </w:p>
        </w:tc>
        <w:tc>
          <w:tcPr>
            <w:tcW w:w="85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6164580</wp:posOffset>
            </wp:positionH>
            <wp:positionV relativeFrom="paragraph">
              <wp:posOffset>-29210</wp:posOffset>
            </wp:positionV>
            <wp:extent cx="31115"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31115" cy="42545"/>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-29210</wp:posOffset>
            </wp:positionV>
            <wp:extent cx="31115"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31115" cy="42545"/>
                    </a:xfrm>
                    <a:prstGeom prst="rect">
                      <a:avLst/>
                    </a:prstGeom>
                    <a:noFill/>
                  </pic:spPr>
                </pic:pic>
              </a:graphicData>
            </a:graphic>
          </wp:anchor>
        </w:drawing>
      </w:r>
    </w:p>
    <w:p>
      <w:pPr>
        <w:sectPr>
          <w:pgSz w:w="11900" w:h="16838" w:orient="portrait"/>
          <w:cols w:equalWidth="0" w:num="1">
            <w:col w:w="9740"/>
          </w:cols>
          <w:pgMar w:left="1220" w:top="533" w:right="939" w:bottom="1440" w:gutter="0" w:footer="0" w:header="0"/>
          <w:type w:val="continuous"/>
        </w:sectPr>
      </w:pPr>
    </w:p>
    <w:bookmarkStart w:id="281" w:name="page282"/>
    <w:bookmarkEnd w:id="281"/>
    <w:p>
      <w:pPr>
        <w:ind w:left="1200" w:right="380"/>
        <w:spacing w:after="0" w:line="244" w:lineRule="auto"/>
        <w:rPr>
          <w:sz w:val="20"/>
          <w:szCs w:val="20"/>
          <w:color w:val="auto"/>
        </w:rPr>
      </w:pPr>
      <w:r>
        <w:rPr>
          <w:rFonts w:ascii="Arial" w:cs="Arial" w:eastAsia="Arial" w:hAnsi="Arial"/>
          <w:sz w:val="13"/>
          <w:szCs w:val="13"/>
          <w:color w:val="auto"/>
        </w:rPr>
        <w:t>if this would result in the payment being due in the month after the original due day or after the Termination Date it will be due on the immediately preceding Business Day.</w:t>
      </w:r>
    </w:p>
    <w:p>
      <w:pPr>
        <w:spacing w:after="0" w:line="47" w:lineRule="exact"/>
        <w:rPr>
          <w:sz w:val="20"/>
          <w:szCs w:val="20"/>
          <w:color w:val="auto"/>
        </w:rPr>
      </w:pPr>
    </w:p>
    <w:p>
      <w:pPr>
        <w:ind w:left="1660" w:hanging="804"/>
        <w:spacing w:after="0"/>
        <w:tabs>
          <w:tab w:leader="none" w:pos="1660" w:val="left"/>
        </w:tabs>
        <w:numPr>
          <w:ilvl w:val="0"/>
          <w:numId w:val="425"/>
        </w:numPr>
        <w:rPr>
          <w:rFonts w:ascii="Arial" w:cs="Arial" w:eastAsia="Arial" w:hAnsi="Arial"/>
          <w:sz w:val="13"/>
          <w:szCs w:val="13"/>
          <w:color w:val="auto"/>
        </w:rPr>
      </w:pPr>
      <w:r>
        <w:rPr>
          <w:rFonts w:ascii="Arial" w:cs="Arial" w:eastAsia="Arial" w:hAnsi="Arial"/>
          <w:sz w:val="13"/>
          <w:szCs w:val="13"/>
          <w:color w:val="auto"/>
        </w:rPr>
        <w:t>If anything, including making a payment, is to be done by the Borrower on or by a particular day and it is done:</w:t>
      </w:r>
    </w:p>
    <w:p>
      <w:pPr>
        <w:spacing w:after="0" w:line="66" w:lineRule="exact"/>
        <w:rPr>
          <w:rFonts w:ascii="Arial" w:cs="Arial" w:eastAsia="Arial" w:hAnsi="Arial"/>
          <w:sz w:val="13"/>
          <w:szCs w:val="13"/>
          <w:color w:val="auto"/>
        </w:rPr>
      </w:pPr>
    </w:p>
    <w:p>
      <w:pPr>
        <w:ind w:left="1540" w:right="180" w:hanging="332"/>
        <w:spacing w:after="0" w:line="244" w:lineRule="auto"/>
        <w:tabs>
          <w:tab w:leader="none" w:pos="1833" w:val="left"/>
        </w:tabs>
        <w:numPr>
          <w:ilvl w:val="1"/>
          <w:numId w:val="425"/>
        </w:numPr>
        <w:rPr>
          <w:rFonts w:ascii="Arial" w:cs="Arial" w:eastAsia="Arial" w:hAnsi="Arial"/>
          <w:sz w:val="13"/>
          <w:szCs w:val="13"/>
          <w:color w:val="auto"/>
        </w:rPr>
      </w:pPr>
      <w:r>
        <w:rPr>
          <w:rFonts w:ascii="Arial" w:cs="Arial" w:eastAsia="Arial" w:hAnsi="Arial"/>
          <w:sz w:val="13"/>
          <w:szCs w:val="13"/>
          <w:color w:val="auto"/>
        </w:rPr>
        <w:t>after the time by which a Transaction Document states it must be done or, if the Transaction Document does not state a time, after 4.00 pm in the place where it is to be done; or</w:t>
      </w:r>
    </w:p>
    <w:p>
      <w:pPr>
        <w:spacing w:after="0" w:line="74" w:lineRule="exact"/>
        <w:rPr>
          <w:rFonts w:ascii="Arial" w:cs="Arial" w:eastAsia="Arial" w:hAnsi="Arial"/>
          <w:sz w:val="13"/>
          <w:szCs w:val="13"/>
          <w:color w:val="auto"/>
        </w:rPr>
      </w:pPr>
    </w:p>
    <w:p>
      <w:pPr>
        <w:ind w:left="1820" w:hanging="612"/>
        <w:spacing w:after="0"/>
        <w:tabs>
          <w:tab w:leader="none" w:pos="1820" w:val="left"/>
        </w:tabs>
        <w:numPr>
          <w:ilvl w:val="1"/>
          <w:numId w:val="425"/>
        </w:numPr>
        <w:rPr>
          <w:rFonts w:ascii="Arial" w:cs="Arial" w:eastAsia="Arial" w:hAnsi="Arial"/>
          <w:sz w:val="13"/>
          <w:szCs w:val="13"/>
          <w:color w:val="auto"/>
        </w:rPr>
      </w:pPr>
      <w:r>
        <w:rPr>
          <w:rFonts w:ascii="Arial" w:cs="Arial" w:eastAsia="Arial" w:hAnsi="Arial"/>
          <w:sz w:val="13"/>
          <w:szCs w:val="13"/>
          <w:color w:val="auto"/>
        </w:rPr>
        <w:t>on a day which is not a Business Day,</w:t>
      </w:r>
    </w:p>
    <w:p>
      <w:pPr>
        <w:spacing w:after="0" w:line="76" w:lineRule="exact"/>
        <w:rPr>
          <w:sz w:val="20"/>
          <w:szCs w:val="20"/>
          <w:color w:val="auto"/>
        </w:rPr>
      </w:pPr>
    </w:p>
    <w:p>
      <w:pPr>
        <w:ind w:left="1200"/>
        <w:spacing w:after="0"/>
        <w:rPr>
          <w:sz w:val="20"/>
          <w:szCs w:val="20"/>
          <w:color w:val="auto"/>
        </w:rPr>
      </w:pPr>
      <w:r>
        <w:rPr>
          <w:rFonts w:ascii="Arial" w:cs="Arial" w:eastAsia="Arial" w:hAnsi="Arial"/>
          <w:sz w:val="13"/>
          <w:szCs w:val="13"/>
          <w:color w:val="auto"/>
        </w:rPr>
        <w:t>it will be deemed to have been done at 9.00 am on the next Business Day.</w:t>
      </w:r>
    </w:p>
    <w:p>
      <w:pPr>
        <w:spacing w:after="0" w:line="74" w:lineRule="exact"/>
        <w:rPr>
          <w:sz w:val="20"/>
          <w:szCs w:val="20"/>
          <w:color w:val="auto"/>
        </w:rPr>
      </w:pPr>
    </w:p>
    <w:p>
      <w:pPr>
        <w:spacing w:after="0"/>
        <w:tabs>
          <w:tab w:leader="none" w:pos="2280" w:val="left"/>
        </w:tabs>
        <w:rPr>
          <w:sz w:val="20"/>
          <w:szCs w:val="20"/>
          <w:color w:val="auto"/>
        </w:rPr>
      </w:pPr>
      <w:r>
        <w:rPr>
          <w:rFonts w:ascii="Arial" w:cs="Arial" w:eastAsia="Arial" w:hAnsi="Arial"/>
          <w:sz w:val="14"/>
          <w:szCs w:val="14"/>
          <w:b w:val="1"/>
          <w:bCs w:val="1"/>
          <w:color w:val="auto"/>
        </w:rPr>
        <w:t>18.6</w:t>
      </w:r>
      <w:r>
        <w:rPr>
          <w:sz w:val="20"/>
          <w:szCs w:val="20"/>
          <w:color w:val="auto"/>
        </w:rPr>
        <w:tab/>
      </w:r>
      <w:r>
        <w:rPr>
          <w:rFonts w:ascii="Arial" w:cs="Arial" w:eastAsia="Arial" w:hAnsi="Arial"/>
          <w:sz w:val="14"/>
          <w:szCs w:val="14"/>
          <w:b w:val="1"/>
          <w:bCs w:val="1"/>
          <w:color w:val="auto"/>
        </w:rPr>
        <w:t>Confidentiality</w:t>
      </w:r>
    </w:p>
    <w:p>
      <w:pPr>
        <w:spacing w:after="0" w:line="75" w:lineRule="exact"/>
        <w:rPr>
          <w:sz w:val="20"/>
          <w:szCs w:val="20"/>
          <w:color w:val="auto"/>
        </w:rPr>
      </w:pPr>
    </w:p>
    <w:p>
      <w:pPr>
        <w:ind w:left="1460" w:right="340" w:hanging="604"/>
        <w:spacing w:after="0" w:line="244" w:lineRule="auto"/>
        <w:tabs>
          <w:tab w:leader="none" w:pos="1460" w:val="left"/>
        </w:tabs>
        <w:numPr>
          <w:ilvl w:val="0"/>
          <w:numId w:val="426"/>
        </w:numPr>
        <w:rPr>
          <w:rFonts w:ascii="Arial" w:cs="Arial" w:eastAsia="Arial" w:hAnsi="Arial"/>
          <w:sz w:val="13"/>
          <w:szCs w:val="13"/>
          <w:color w:val="auto"/>
        </w:rPr>
      </w:pPr>
      <w:r>
        <w:rPr>
          <w:rFonts w:ascii="Arial" w:cs="Arial" w:eastAsia="Arial" w:hAnsi="Arial"/>
          <w:sz w:val="13"/>
          <w:szCs w:val="13"/>
          <w:color w:val="auto"/>
        </w:rPr>
        <w:t>The Bank must keep any information or document relating to a Transaction Party confidential. However, the Bank may disclose to any person any information or document relating to a Transaction Party:</w:t>
      </w:r>
    </w:p>
    <w:p>
      <w:pPr>
        <w:spacing w:after="0" w:line="56" w:lineRule="exact"/>
        <w:rPr>
          <w:rFonts w:ascii="Arial" w:cs="Arial" w:eastAsia="Arial" w:hAnsi="Arial"/>
          <w:sz w:val="13"/>
          <w:szCs w:val="13"/>
          <w:color w:val="auto"/>
        </w:rPr>
      </w:pPr>
    </w:p>
    <w:p>
      <w:pPr>
        <w:ind w:left="1660" w:hanging="452"/>
        <w:spacing w:after="0"/>
        <w:tabs>
          <w:tab w:leader="none" w:pos="1660" w:val="left"/>
        </w:tabs>
        <w:numPr>
          <w:ilvl w:val="1"/>
          <w:numId w:val="426"/>
        </w:numPr>
        <w:rPr>
          <w:rFonts w:ascii="Arial" w:cs="Arial" w:eastAsia="Arial" w:hAnsi="Arial"/>
          <w:sz w:val="13"/>
          <w:szCs w:val="13"/>
          <w:color w:val="auto"/>
        </w:rPr>
      </w:pPr>
      <w:r>
        <w:rPr>
          <w:rFonts w:ascii="Arial" w:cs="Arial" w:eastAsia="Arial" w:hAnsi="Arial"/>
          <w:sz w:val="13"/>
          <w:szCs w:val="13"/>
          <w:color w:val="auto"/>
        </w:rPr>
        <w:t>where permitted in a Transaction Document;</w:t>
      </w:r>
    </w:p>
    <w:p>
      <w:pPr>
        <w:spacing w:after="0" w:line="75" w:lineRule="exact"/>
        <w:rPr>
          <w:rFonts w:ascii="Arial" w:cs="Arial" w:eastAsia="Arial" w:hAnsi="Arial"/>
          <w:sz w:val="13"/>
          <w:szCs w:val="13"/>
          <w:color w:val="auto"/>
        </w:rPr>
      </w:pPr>
    </w:p>
    <w:p>
      <w:pPr>
        <w:ind w:left="1740" w:hanging="532"/>
        <w:spacing w:after="0"/>
        <w:tabs>
          <w:tab w:leader="none" w:pos="1740" w:val="left"/>
        </w:tabs>
        <w:numPr>
          <w:ilvl w:val="1"/>
          <w:numId w:val="426"/>
        </w:numPr>
        <w:rPr>
          <w:rFonts w:ascii="Arial" w:cs="Arial" w:eastAsia="Arial" w:hAnsi="Arial"/>
          <w:sz w:val="13"/>
          <w:szCs w:val="13"/>
          <w:color w:val="auto"/>
        </w:rPr>
      </w:pPr>
      <w:r>
        <w:rPr>
          <w:rFonts w:ascii="Arial" w:cs="Arial" w:eastAsia="Arial" w:hAnsi="Arial"/>
          <w:sz w:val="13"/>
          <w:szCs w:val="13"/>
          <w:color w:val="auto"/>
        </w:rPr>
        <w:t>to another party to a Transaction Document;</w:t>
      </w:r>
    </w:p>
    <w:p>
      <w:pPr>
        <w:spacing w:after="0" w:line="84" w:lineRule="exact"/>
        <w:rPr>
          <w:rFonts w:ascii="Arial" w:cs="Arial" w:eastAsia="Arial" w:hAnsi="Arial"/>
          <w:sz w:val="13"/>
          <w:szCs w:val="13"/>
          <w:color w:val="auto"/>
        </w:rPr>
      </w:pPr>
    </w:p>
    <w:p>
      <w:pPr>
        <w:ind w:left="1720" w:hanging="512"/>
        <w:spacing w:after="0" w:line="244" w:lineRule="auto"/>
        <w:tabs>
          <w:tab w:leader="none" w:pos="1720" w:val="left"/>
        </w:tabs>
        <w:numPr>
          <w:ilvl w:val="1"/>
          <w:numId w:val="426"/>
        </w:numPr>
        <w:rPr>
          <w:rFonts w:ascii="Arial" w:cs="Arial" w:eastAsia="Arial" w:hAnsi="Arial"/>
          <w:sz w:val="13"/>
          <w:szCs w:val="13"/>
          <w:color w:val="auto"/>
        </w:rPr>
      </w:pPr>
      <w:r>
        <w:rPr>
          <w:rFonts w:ascii="Arial" w:cs="Arial" w:eastAsia="Arial" w:hAnsi="Arial"/>
          <w:sz w:val="13"/>
          <w:szCs w:val="13"/>
          <w:color w:val="auto"/>
        </w:rPr>
        <w:t>to a potential transferee, assignee, participant or sub-participant of the Bank’s interests under a Transaction Document or to any other person who is considering entering into contractual relations with it in connection with a Transaction Document;</w:t>
      </w:r>
    </w:p>
    <w:p>
      <w:pPr>
        <w:spacing w:after="0" w:line="56" w:lineRule="exact"/>
        <w:rPr>
          <w:rFonts w:ascii="Arial" w:cs="Arial" w:eastAsia="Arial" w:hAnsi="Arial"/>
          <w:sz w:val="13"/>
          <w:szCs w:val="13"/>
          <w:color w:val="auto"/>
        </w:rPr>
      </w:pPr>
    </w:p>
    <w:p>
      <w:pPr>
        <w:ind w:left="1760" w:right="20" w:hanging="552"/>
        <w:spacing w:after="0" w:line="244" w:lineRule="auto"/>
        <w:tabs>
          <w:tab w:leader="none" w:pos="1760" w:val="left"/>
        </w:tabs>
        <w:numPr>
          <w:ilvl w:val="1"/>
          <w:numId w:val="426"/>
        </w:numPr>
        <w:rPr>
          <w:rFonts w:ascii="Arial" w:cs="Arial" w:eastAsia="Arial" w:hAnsi="Arial"/>
          <w:sz w:val="13"/>
          <w:szCs w:val="13"/>
          <w:color w:val="auto"/>
        </w:rPr>
      </w:pPr>
      <w:r>
        <w:rPr>
          <w:rFonts w:ascii="Arial" w:cs="Arial" w:eastAsia="Arial" w:hAnsi="Arial"/>
          <w:sz w:val="13"/>
          <w:szCs w:val="13"/>
          <w:color w:val="auto"/>
        </w:rPr>
        <w:t>to the Bank’s related bodies corporate and shareholders, or to any employee, banker, lawyer, auditor or other consultant of the Bank, its related bodies corporate or its shareholders;</w:t>
      </w:r>
    </w:p>
    <w:p>
      <w:pPr>
        <w:spacing w:after="0" w:line="56" w:lineRule="exact"/>
        <w:rPr>
          <w:rFonts w:ascii="Arial" w:cs="Arial" w:eastAsia="Arial" w:hAnsi="Arial"/>
          <w:sz w:val="13"/>
          <w:szCs w:val="13"/>
          <w:color w:val="auto"/>
        </w:rPr>
      </w:pPr>
    </w:p>
    <w:p>
      <w:pPr>
        <w:ind w:left="1760" w:right="40" w:hanging="552"/>
        <w:spacing w:after="0" w:line="244" w:lineRule="auto"/>
        <w:tabs>
          <w:tab w:leader="none" w:pos="1760" w:val="left"/>
        </w:tabs>
        <w:numPr>
          <w:ilvl w:val="1"/>
          <w:numId w:val="426"/>
        </w:numPr>
        <w:rPr>
          <w:rFonts w:ascii="Arial" w:cs="Arial" w:eastAsia="Arial" w:hAnsi="Arial"/>
          <w:sz w:val="13"/>
          <w:szCs w:val="13"/>
          <w:color w:val="auto"/>
        </w:rPr>
      </w:pPr>
      <w:r>
        <w:rPr>
          <w:rFonts w:ascii="Arial" w:cs="Arial" w:eastAsia="Arial" w:hAnsi="Arial"/>
          <w:sz w:val="13"/>
          <w:szCs w:val="13"/>
          <w:color w:val="auto"/>
        </w:rPr>
        <w:t>to the professional advisers or consultants of any party involved in connection with any Facility who are bound by a duty or obligation of confidence;</w:t>
      </w:r>
    </w:p>
    <w:p>
      <w:pPr>
        <w:spacing w:after="0" w:line="47" w:lineRule="exact"/>
        <w:rPr>
          <w:rFonts w:ascii="Arial" w:cs="Arial" w:eastAsia="Arial" w:hAnsi="Arial"/>
          <w:sz w:val="13"/>
          <w:szCs w:val="13"/>
          <w:color w:val="auto"/>
        </w:rPr>
      </w:pPr>
    </w:p>
    <w:p>
      <w:pPr>
        <w:ind w:left="1680" w:hanging="472"/>
        <w:spacing w:after="0"/>
        <w:tabs>
          <w:tab w:leader="none" w:pos="1680" w:val="left"/>
        </w:tabs>
        <w:numPr>
          <w:ilvl w:val="1"/>
          <w:numId w:val="426"/>
        </w:numPr>
        <w:rPr>
          <w:rFonts w:ascii="Arial" w:cs="Arial" w:eastAsia="Arial" w:hAnsi="Arial"/>
          <w:sz w:val="13"/>
          <w:szCs w:val="13"/>
          <w:color w:val="auto"/>
        </w:rPr>
      </w:pPr>
      <w:r>
        <w:rPr>
          <w:rFonts w:ascii="Arial" w:cs="Arial" w:eastAsia="Arial" w:hAnsi="Arial"/>
          <w:sz w:val="13"/>
          <w:szCs w:val="13"/>
          <w:color w:val="auto"/>
        </w:rPr>
        <w:t>if required by law or by any Government Body or stock exchange;</w:t>
      </w:r>
    </w:p>
    <w:p>
      <w:pPr>
        <w:spacing w:after="0" w:line="84" w:lineRule="exact"/>
        <w:rPr>
          <w:rFonts w:ascii="Arial" w:cs="Arial" w:eastAsia="Arial" w:hAnsi="Arial"/>
          <w:sz w:val="13"/>
          <w:szCs w:val="13"/>
          <w:color w:val="auto"/>
        </w:rPr>
      </w:pPr>
    </w:p>
    <w:p>
      <w:pPr>
        <w:ind w:left="1860" w:right="440" w:hanging="652"/>
        <w:spacing w:after="0" w:line="244" w:lineRule="auto"/>
        <w:tabs>
          <w:tab w:leader="none" w:pos="1860" w:val="left"/>
        </w:tabs>
        <w:numPr>
          <w:ilvl w:val="1"/>
          <w:numId w:val="426"/>
        </w:numPr>
        <w:rPr>
          <w:rFonts w:ascii="Arial" w:cs="Arial" w:eastAsia="Arial" w:hAnsi="Arial"/>
          <w:sz w:val="13"/>
          <w:szCs w:val="13"/>
          <w:color w:val="auto"/>
        </w:rPr>
      </w:pPr>
      <w:r>
        <w:rPr>
          <w:rFonts w:ascii="Arial" w:cs="Arial" w:eastAsia="Arial" w:hAnsi="Arial"/>
          <w:sz w:val="13"/>
          <w:szCs w:val="13"/>
          <w:color w:val="auto"/>
        </w:rPr>
        <w:t>in connection with any legal proceedings relating to a Transaction Document or a document delivered under or in relation to a Transaction Document;</w:t>
      </w:r>
    </w:p>
    <w:p>
      <w:pPr>
        <w:spacing w:after="0" w:line="56" w:lineRule="exact"/>
        <w:rPr>
          <w:rFonts w:ascii="Arial" w:cs="Arial" w:eastAsia="Arial" w:hAnsi="Arial"/>
          <w:sz w:val="13"/>
          <w:szCs w:val="13"/>
          <w:color w:val="auto"/>
        </w:rPr>
      </w:pPr>
    </w:p>
    <w:p>
      <w:pPr>
        <w:ind w:left="1860" w:hanging="652"/>
        <w:spacing w:after="0"/>
        <w:tabs>
          <w:tab w:leader="none" w:pos="1860" w:val="left"/>
        </w:tabs>
        <w:numPr>
          <w:ilvl w:val="1"/>
          <w:numId w:val="426"/>
        </w:numPr>
        <w:rPr>
          <w:rFonts w:ascii="Arial" w:cs="Arial" w:eastAsia="Arial" w:hAnsi="Arial"/>
          <w:sz w:val="13"/>
          <w:szCs w:val="13"/>
          <w:color w:val="auto"/>
        </w:rPr>
      </w:pPr>
      <w:r>
        <w:rPr>
          <w:rFonts w:ascii="Arial" w:cs="Arial" w:eastAsia="Arial" w:hAnsi="Arial"/>
          <w:sz w:val="13"/>
          <w:szCs w:val="13"/>
          <w:color w:val="auto"/>
        </w:rPr>
        <w:t>if the information or document is in the public domain; or</w:t>
      </w:r>
    </w:p>
    <w:p>
      <w:pPr>
        <w:spacing w:after="0" w:line="75" w:lineRule="exact"/>
        <w:rPr>
          <w:rFonts w:ascii="Arial" w:cs="Arial" w:eastAsia="Arial" w:hAnsi="Arial"/>
          <w:sz w:val="13"/>
          <w:szCs w:val="13"/>
          <w:color w:val="auto"/>
        </w:rPr>
      </w:pPr>
    </w:p>
    <w:p>
      <w:pPr>
        <w:ind w:left="1960" w:hanging="752"/>
        <w:spacing w:after="0"/>
        <w:tabs>
          <w:tab w:leader="none" w:pos="1960" w:val="left"/>
        </w:tabs>
        <w:numPr>
          <w:ilvl w:val="1"/>
          <w:numId w:val="426"/>
        </w:numPr>
        <w:rPr>
          <w:rFonts w:ascii="Arial" w:cs="Arial" w:eastAsia="Arial" w:hAnsi="Arial"/>
          <w:sz w:val="13"/>
          <w:szCs w:val="13"/>
          <w:color w:val="auto"/>
        </w:rPr>
      </w:pPr>
      <w:r>
        <w:rPr>
          <w:rFonts w:ascii="Arial" w:cs="Arial" w:eastAsia="Arial" w:hAnsi="Arial"/>
          <w:sz w:val="13"/>
          <w:szCs w:val="13"/>
          <w:color w:val="auto"/>
        </w:rPr>
        <w:t>with the consent of the Borrower (which must not be unreasonably withheld or delayed).</w:t>
      </w:r>
    </w:p>
    <w:p>
      <w:pPr>
        <w:spacing w:after="0" w:line="50" w:lineRule="exact"/>
        <w:rPr>
          <w:rFonts w:ascii="Arial" w:cs="Arial" w:eastAsia="Arial" w:hAnsi="Arial"/>
          <w:sz w:val="13"/>
          <w:szCs w:val="13"/>
          <w:color w:val="auto"/>
        </w:rPr>
      </w:pPr>
    </w:p>
    <w:p>
      <w:pPr>
        <w:ind w:left="1320" w:right="200" w:hanging="464"/>
        <w:spacing w:after="0" w:line="269" w:lineRule="auto"/>
        <w:tabs>
          <w:tab w:leader="none" w:pos="1320" w:val="left"/>
        </w:tabs>
        <w:numPr>
          <w:ilvl w:val="0"/>
          <w:numId w:val="426"/>
        </w:numPr>
        <w:rPr>
          <w:rFonts w:ascii="Arial" w:cs="Arial" w:eastAsia="Arial" w:hAnsi="Arial"/>
          <w:sz w:val="13"/>
          <w:szCs w:val="13"/>
          <w:color w:val="auto"/>
        </w:rPr>
      </w:pPr>
      <w:r>
        <w:rPr>
          <w:rFonts w:ascii="Arial" w:cs="Arial" w:eastAsia="Arial" w:hAnsi="Arial"/>
          <w:sz w:val="13"/>
          <w:szCs w:val="13"/>
          <w:color w:val="auto"/>
        </w:rPr>
        <w:t xml:space="preserve">Subject to </w:t>
      </w:r>
      <w:r>
        <w:rPr>
          <w:rFonts w:ascii="Arial" w:cs="Arial" w:eastAsia="Arial" w:hAnsi="Arial"/>
          <w:sz w:val="13"/>
          <w:szCs w:val="13"/>
          <w:b w:val="1"/>
          <w:bCs w:val="1"/>
          <w:color w:val="auto"/>
        </w:rPr>
        <w:t>paragraph (c)</w:t>
      </w:r>
      <w:r>
        <w:rPr>
          <w:rFonts w:ascii="Arial" w:cs="Arial" w:eastAsia="Arial" w:hAnsi="Arial"/>
          <w:sz w:val="13"/>
          <w:szCs w:val="13"/>
          <w:color w:val="auto"/>
        </w:rPr>
        <w:t>, the Transaction Parties shall keep confidential and not disclose to any other person the terms of the Transaction Documents.</w:t>
      </w:r>
    </w:p>
    <w:p>
      <w:pPr>
        <w:spacing w:after="0" w:line="41" w:lineRule="exact"/>
        <w:rPr>
          <w:rFonts w:ascii="Arial" w:cs="Arial" w:eastAsia="Arial" w:hAnsi="Arial"/>
          <w:sz w:val="13"/>
          <w:szCs w:val="13"/>
          <w:color w:val="auto"/>
        </w:rPr>
      </w:pPr>
    </w:p>
    <w:p>
      <w:pPr>
        <w:ind w:left="1420" w:hanging="564"/>
        <w:spacing w:after="0"/>
        <w:tabs>
          <w:tab w:leader="none" w:pos="1420" w:val="left"/>
        </w:tabs>
        <w:numPr>
          <w:ilvl w:val="0"/>
          <w:numId w:val="426"/>
        </w:numPr>
        <w:rPr>
          <w:rFonts w:ascii="Arial" w:cs="Arial" w:eastAsia="Arial" w:hAnsi="Arial"/>
          <w:sz w:val="13"/>
          <w:szCs w:val="13"/>
          <w:color w:val="auto"/>
        </w:rPr>
      </w:pPr>
      <w:r>
        <w:rPr>
          <w:rFonts w:ascii="Arial" w:cs="Arial" w:eastAsia="Arial" w:hAnsi="Arial"/>
          <w:sz w:val="13"/>
          <w:szCs w:val="13"/>
          <w:color w:val="auto"/>
        </w:rPr>
        <w:t>However, the Transaction Parties and any officers or employees of each Transaction Party may disclose such information:</w:t>
      </w:r>
    </w:p>
    <w:p>
      <w:pPr>
        <w:spacing w:after="0" w:line="66" w:lineRule="exact"/>
        <w:rPr>
          <w:rFonts w:ascii="Arial" w:cs="Arial" w:eastAsia="Arial" w:hAnsi="Arial"/>
          <w:sz w:val="13"/>
          <w:szCs w:val="13"/>
          <w:color w:val="auto"/>
        </w:rPr>
      </w:pPr>
    </w:p>
    <w:p>
      <w:pPr>
        <w:ind w:left="1680" w:hanging="472"/>
        <w:spacing w:after="0"/>
        <w:tabs>
          <w:tab w:leader="none" w:pos="1680" w:val="left"/>
        </w:tabs>
        <w:numPr>
          <w:ilvl w:val="1"/>
          <w:numId w:val="426"/>
        </w:numPr>
        <w:rPr>
          <w:rFonts w:ascii="Arial" w:cs="Arial" w:eastAsia="Arial" w:hAnsi="Arial"/>
          <w:sz w:val="13"/>
          <w:szCs w:val="13"/>
          <w:color w:val="auto"/>
        </w:rPr>
      </w:pPr>
      <w:r>
        <w:rPr>
          <w:rFonts w:ascii="Arial" w:cs="Arial" w:eastAsia="Arial" w:hAnsi="Arial"/>
          <w:sz w:val="13"/>
          <w:szCs w:val="13"/>
          <w:color w:val="auto"/>
        </w:rPr>
        <w:t>with the prior written consent of the 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173990</wp:posOffset>
            </wp:positionV>
            <wp:extent cx="6208395"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208395" cy="42545"/>
                    </a:xfrm>
                    <a:prstGeom prst="rect">
                      <a:avLst/>
                    </a:prstGeom>
                    <a:noFill/>
                  </pic:spPr>
                </pic:pic>
              </a:graphicData>
            </a:graphic>
          </wp:anchor>
        </w:drawing>
      </w:r>
    </w:p>
    <w:p>
      <w:pPr>
        <w:sectPr>
          <w:pgSz w:w="11900" w:h="16838" w:orient="portrait"/>
          <w:cols w:equalWidth="0" w:num="1">
            <w:col w:w="9600"/>
          </w:cols>
          <w:pgMar w:left="1220" w:top="561" w:right="1079" w:bottom="1440" w:gutter="0" w:footer="0" w:header="0"/>
        </w:sectPr>
      </w:pPr>
    </w:p>
    <w:bookmarkStart w:id="282" w:name="page283"/>
    <w:bookmarkEnd w:id="282"/>
    <w:p>
      <w:pPr>
        <w:ind w:left="1640" w:hanging="432"/>
        <w:spacing w:after="0"/>
        <w:tabs>
          <w:tab w:leader="none" w:pos="1640" w:val="left"/>
        </w:tabs>
        <w:numPr>
          <w:ilvl w:val="1"/>
          <w:numId w:val="427"/>
        </w:numPr>
        <w:rPr>
          <w:rFonts w:ascii="Arial" w:cs="Arial" w:eastAsia="Arial" w:hAnsi="Arial"/>
          <w:sz w:val="13"/>
          <w:szCs w:val="13"/>
          <w:color w:val="auto"/>
        </w:rPr>
      </w:pPr>
      <w:r>
        <w:rPr>
          <w:rFonts w:ascii="Arial" w:cs="Arial" w:eastAsia="Arial" w:hAnsi="Arial"/>
          <w:sz w:val="13"/>
          <w:szCs w:val="13"/>
          <w:color w:val="auto"/>
        </w:rPr>
        <w:t>to the extent required by any applicable law or regulation;</w:t>
      </w:r>
    </w:p>
    <w:p>
      <w:pPr>
        <w:spacing w:after="0" w:line="75" w:lineRule="exact"/>
        <w:rPr>
          <w:rFonts w:ascii="Arial" w:cs="Arial" w:eastAsia="Arial" w:hAnsi="Arial"/>
          <w:sz w:val="13"/>
          <w:szCs w:val="13"/>
          <w:color w:val="auto"/>
        </w:rPr>
      </w:pPr>
    </w:p>
    <w:p>
      <w:pPr>
        <w:ind w:left="1640" w:right="40" w:hanging="432"/>
        <w:spacing w:after="0" w:line="244" w:lineRule="auto"/>
        <w:tabs>
          <w:tab w:leader="none" w:pos="1640" w:val="left"/>
        </w:tabs>
        <w:numPr>
          <w:ilvl w:val="1"/>
          <w:numId w:val="427"/>
        </w:numPr>
        <w:rPr>
          <w:rFonts w:ascii="Arial" w:cs="Arial" w:eastAsia="Arial" w:hAnsi="Arial"/>
          <w:sz w:val="13"/>
          <w:szCs w:val="13"/>
          <w:color w:val="auto"/>
        </w:rPr>
      </w:pPr>
      <w:r>
        <w:rPr>
          <w:rFonts w:ascii="Arial" w:cs="Arial" w:eastAsia="Arial" w:hAnsi="Arial"/>
          <w:sz w:val="13"/>
          <w:szCs w:val="13"/>
          <w:color w:val="auto"/>
        </w:rPr>
        <w:t xml:space="preserve">to the extent it reasonably deems necessary in connection with any actual or contemplated proceedings or a claim with respect to this </w:t>
      </w:r>
      <w:r>
        <w:rPr>
          <w:rFonts w:ascii="Arial" w:cs="Arial" w:eastAsia="Arial" w:hAnsi="Arial"/>
          <w:sz w:val="13"/>
          <w:szCs w:val="13"/>
          <w:b w:val="1"/>
          <w:bCs w:val="1"/>
          <w:color w:val="auto"/>
        </w:rPr>
        <w:t>clause 18.6</w:t>
      </w:r>
      <w:r>
        <w:rPr>
          <w:rFonts w:ascii="Arial" w:cs="Arial" w:eastAsia="Arial" w:hAnsi="Arial"/>
          <w:sz w:val="13"/>
          <w:szCs w:val="13"/>
          <w:color w:val="auto"/>
        </w:rPr>
        <w:t>; or</w:t>
      </w:r>
    </w:p>
    <w:p>
      <w:pPr>
        <w:spacing w:after="0" w:line="40" w:lineRule="exact"/>
        <w:rPr>
          <w:rFonts w:ascii="Arial" w:cs="Arial" w:eastAsia="Arial" w:hAnsi="Arial"/>
          <w:sz w:val="13"/>
          <w:szCs w:val="13"/>
          <w:color w:val="auto"/>
        </w:rPr>
      </w:pPr>
    </w:p>
    <w:p>
      <w:pPr>
        <w:ind w:left="2000" w:right="160" w:hanging="792"/>
        <w:spacing w:after="0" w:line="269" w:lineRule="auto"/>
        <w:tabs>
          <w:tab w:leader="none" w:pos="2000" w:val="left"/>
        </w:tabs>
        <w:numPr>
          <w:ilvl w:val="1"/>
          <w:numId w:val="427"/>
        </w:numPr>
        <w:rPr>
          <w:rFonts w:ascii="Arial" w:cs="Arial" w:eastAsia="Arial" w:hAnsi="Arial"/>
          <w:sz w:val="13"/>
          <w:szCs w:val="13"/>
          <w:color w:val="auto"/>
        </w:rPr>
      </w:pPr>
      <w:r>
        <w:rPr>
          <w:rFonts w:ascii="Arial" w:cs="Arial" w:eastAsia="Arial" w:hAnsi="Arial"/>
          <w:sz w:val="13"/>
          <w:szCs w:val="13"/>
          <w:color w:val="auto"/>
        </w:rPr>
        <w:t xml:space="preserve">to the extent permitted by </w:t>
      </w:r>
      <w:r>
        <w:rPr>
          <w:rFonts w:ascii="Arial" w:cs="Arial" w:eastAsia="Arial" w:hAnsi="Arial"/>
          <w:sz w:val="13"/>
          <w:szCs w:val="13"/>
          <w:b w:val="1"/>
          <w:bCs w:val="1"/>
          <w:color w:val="auto"/>
        </w:rPr>
        <w:t>clause 18.6(a)</w:t>
      </w:r>
      <w:r>
        <w:rPr>
          <w:rFonts w:ascii="Arial" w:cs="Arial" w:eastAsia="Arial" w:hAnsi="Arial"/>
          <w:sz w:val="13"/>
          <w:szCs w:val="13"/>
          <w:color w:val="auto"/>
        </w:rPr>
        <w:t xml:space="preserve"> (other than paragraph (iii)) as if each reference in that clause to the ‘Bank’ were to a ‘Transaction Party’ and each reference to the ‘Borrower’ were to the ‘Bank’.</w:t>
      </w:r>
    </w:p>
    <w:p>
      <w:pPr>
        <w:spacing w:after="0" w:line="41" w:lineRule="exact"/>
        <w:rPr>
          <w:rFonts w:ascii="Arial" w:cs="Arial" w:eastAsia="Arial" w:hAnsi="Arial"/>
          <w:sz w:val="13"/>
          <w:szCs w:val="13"/>
          <w:color w:val="auto"/>
        </w:rPr>
      </w:pPr>
    </w:p>
    <w:p>
      <w:pPr>
        <w:ind w:left="1380" w:hanging="524"/>
        <w:spacing w:after="0"/>
        <w:tabs>
          <w:tab w:leader="none" w:pos="1380" w:val="left"/>
        </w:tabs>
        <w:numPr>
          <w:ilvl w:val="0"/>
          <w:numId w:val="428"/>
        </w:numPr>
        <w:rPr>
          <w:rFonts w:ascii="Arial" w:cs="Arial" w:eastAsia="Arial" w:hAnsi="Arial"/>
          <w:sz w:val="13"/>
          <w:szCs w:val="13"/>
          <w:color w:val="auto"/>
        </w:rPr>
      </w:pPr>
      <w:r>
        <w:rPr>
          <w:rFonts w:ascii="Arial" w:cs="Arial" w:eastAsia="Arial" w:hAnsi="Arial"/>
          <w:sz w:val="13"/>
          <w:szCs w:val="13"/>
          <w:color w:val="auto"/>
        </w:rPr>
        <w:t>The Bank and the Transaction Parties agree that:</w:t>
      </w:r>
    </w:p>
    <w:p>
      <w:pPr>
        <w:spacing w:after="0" w:line="75" w:lineRule="exact"/>
        <w:rPr>
          <w:rFonts w:ascii="Arial" w:cs="Arial" w:eastAsia="Arial" w:hAnsi="Arial"/>
          <w:sz w:val="13"/>
          <w:szCs w:val="13"/>
          <w:color w:val="auto"/>
        </w:rPr>
      </w:pPr>
    </w:p>
    <w:p>
      <w:pPr>
        <w:ind w:left="2100" w:hanging="892"/>
        <w:spacing w:after="0"/>
        <w:tabs>
          <w:tab w:leader="none" w:pos="2100" w:val="left"/>
        </w:tabs>
        <w:numPr>
          <w:ilvl w:val="1"/>
          <w:numId w:val="428"/>
        </w:numPr>
        <w:rPr>
          <w:rFonts w:ascii="Arial" w:cs="Arial" w:eastAsia="Arial" w:hAnsi="Arial"/>
          <w:sz w:val="13"/>
          <w:szCs w:val="13"/>
          <w:color w:val="auto"/>
        </w:rPr>
      </w:pPr>
      <w:r>
        <w:rPr>
          <w:rFonts w:ascii="Arial" w:cs="Arial" w:eastAsia="Arial" w:hAnsi="Arial"/>
          <w:sz w:val="13"/>
          <w:szCs w:val="13"/>
          <w:color w:val="auto"/>
        </w:rPr>
        <w:t>neither of them will disclose information of the kind mentioned in section 275(1) of the PPS Act; and</w:t>
      </w:r>
    </w:p>
    <w:p>
      <w:pPr>
        <w:spacing w:after="0" w:line="66" w:lineRule="exact"/>
        <w:rPr>
          <w:rFonts w:ascii="Arial" w:cs="Arial" w:eastAsia="Arial" w:hAnsi="Arial"/>
          <w:sz w:val="13"/>
          <w:szCs w:val="13"/>
          <w:color w:val="auto"/>
        </w:rPr>
      </w:pPr>
    </w:p>
    <w:p>
      <w:pPr>
        <w:ind w:left="1700" w:hanging="492"/>
        <w:spacing w:after="0"/>
        <w:tabs>
          <w:tab w:leader="none" w:pos="1700" w:val="left"/>
        </w:tabs>
        <w:numPr>
          <w:ilvl w:val="1"/>
          <w:numId w:val="428"/>
        </w:numPr>
        <w:rPr>
          <w:rFonts w:ascii="Arial" w:cs="Arial" w:eastAsia="Arial" w:hAnsi="Arial"/>
          <w:sz w:val="13"/>
          <w:szCs w:val="13"/>
          <w:color w:val="auto"/>
        </w:rPr>
      </w:pPr>
      <w:r>
        <w:rPr>
          <w:rFonts w:ascii="Arial" w:cs="Arial" w:eastAsia="Arial" w:hAnsi="Arial"/>
          <w:sz w:val="13"/>
          <w:szCs w:val="13"/>
          <w:color w:val="auto"/>
        </w:rPr>
        <w:t>this document does not create a Security Interest.</w:t>
      </w:r>
    </w:p>
    <w:p>
      <w:pPr>
        <w:spacing w:after="0" w:line="74" w:lineRule="exact"/>
        <w:rPr>
          <w:rFonts w:ascii="Arial" w:cs="Arial" w:eastAsia="Arial" w:hAnsi="Arial"/>
          <w:sz w:val="13"/>
          <w:szCs w:val="13"/>
          <w:color w:val="auto"/>
        </w:rPr>
      </w:pPr>
    </w:p>
    <w:p>
      <w:pPr>
        <w:ind w:left="1320" w:hanging="464"/>
        <w:spacing w:after="0"/>
        <w:tabs>
          <w:tab w:leader="none" w:pos="1320" w:val="left"/>
        </w:tabs>
        <w:numPr>
          <w:ilvl w:val="0"/>
          <w:numId w:val="428"/>
        </w:numPr>
        <w:rPr>
          <w:rFonts w:ascii="Arial" w:cs="Arial" w:eastAsia="Arial" w:hAnsi="Arial"/>
          <w:sz w:val="13"/>
          <w:szCs w:val="13"/>
          <w:color w:val="auto"/>
        </w:rPr>
      </w:pPr>
      <w:r>
        <w:rPr>
          <w:rFonts w:ascii="Arial" w:cs="Arial" w:eastAsia="Arial" w:hAnsi="Arial"/>
          <w:sz w:val="13"/>
          <w:szCs w:val="13"/>
          <w:color w:val="auto"/>
        </w:rPr>
        <w:t xml:space="preserve">This </w:t>
      </w:r>
      <w:r>
        <w:rPr>
          <w:rFonts w:ascii="Arial" w:cs="Arial" w:eastAsia="Arial" w:hAnsi="Arial"/>
          <w:sz w:val="13"/>
          <w:szCs w:val="13"/>
          <w:b w:val="1"/>
          <w:bCs w:val="1"/>
          <w:color w:val="auto"/>
        </w:rPr>
        <w:t>clause 18.6</w:t>
      </w:r>
      <w:r>
        <w:rPr>
          <w:rFonts w:ascii="Arial" w:cs="Arial" w:eastAsia="Arial" w:hAnsi="Arial"/>
          <w:sz w:val="13"/>
          <w:szCs w:val="13"/>
          <w:color w:val="auto"/>
        </w:rPr>
        <w:t xml:space="preserve"> survives the termination of this document.</w:t>
      </w:r>
    </w:p>
    <w:p>
      <w:pPr>
        <w:spacing w:after="0" w:line="86" w:lineRule="exact"/>
        <w:rPr>
          <w:rFonts w:ascii="Arial" w:cs="Arial" w:eastAsia="Arial" w:hAnsi="Arial"/>
          <w:sz w:val="13"/>
          <w:szCs w:val="13"/>
          <w:color w:val="auto"/>
        </w:rPr>
      </w:pPr>
    </w:p>
    <w:p>
      <w:pPr>
        <w:ind w:left="1500" w:hanging="644"/>
        <w:spacing w:after="0"/>
        <w:tabs>
          <w:tab w:leader="none" w:pos="1500" w:val="left"/>
        </w:tabs>
        <w:numPr>
          <w:ilvl w:val="0"/>
          <w:numId w:val="428"/>
        </w:numPr>
        <w:rPr>
          <w:rFonts w:ascii="Arial" w:cs="Arial" w:eastAsia="Arial" w:hAnsi="Arial"/>
          <w:sz w:val="13"/>
          <w:szCs w:val="13"/>
          <w:color w:val="auto"/>
        </w:rPr>
      </w:pPr>
      <w:r>
        <w:rPr>
          <w:rFonts w:ascii="Arial" w:cs="Arial" w:eastAsia="Arial" w:hAnsi="Arial"/>
          <w:sz w:val="13"/>
          <w:szCs w:val="13"/>
          <w:color w:val="auto"/>
        </w:rPr>
        <w:t>The Bank acknowledges that:</w:t>
      </w:r>
    </w:p>
    <w:p>
      <w:pPr>
        <w:spacing w:after="0" w:line="84" w:lineRule="exact"/>
        <w:rPr>
          <w:rFonts w:ascii="Arial" w:cs="Arial" w:eastAsia="Arial" w:hAnsi="Arial"/>
          <w:sz w:val="13"/>
          <w:szCs w:val="13"/>
          <w:color w:val="auto"/>
        </w:rPr>
      </w:pPr>
    </w:p>
    <w:p>
      <w:pPr>
        <w:ind w:left="1660" w:hanging="452"/>
        <w:spacing w:after="0"/>
        <w:tabs>
          <w:tab w:leader="none" w:pos="1660" w:val="left"/>
        </w:tabs>
        <w:numPr>
          <w:ilvl w:val="1"/>
          <w:numId w:val="428"/>
        </w:numPr>
        <w:rPr>
          <w:rFonts w:ascii="Arial" w:cs="Arial" w:eastAsia="Arial" w:hAnsi="Arial"/>
          <w:sz w:val="13"/>
          <w:szCs w:val="13"/>
          <w:color w:val="auto"/>
        </w:rPr>
      </w:pPr>
      <w:r>
        <w:rPr>
          <w:rFonts w:ascii="Arial" w:cs="Arial" w:eastAsia="Arial" w:hAnsi="Arial"/>
          <w:sz w:val="13"/>
          <w:szCs w:val="13"/>
          <w:color w:val="auto"/>
        </w:rPr>
        <w:t>information provided from time to time by the Transaction Parties to the Bank may constitute confidential non-public information; and</w:t>
      </w:r>
    </w:p>
    <w:p>
      <w:pPr>
        <w:spacing w:after="0" w:line="50" w:lineRule="exact"/>
        <w:rPr>
          <w:rFonts w:ascii="Arial" w:cs="Arial" w:eastAsia="Arial" w:hAnsi="Arial"/>
          <w:sz w:val="13"/>
          <w:szCs w:val="13"/>
          <w:color w:val="auto"/>
        </w:rPr>
      </w:pPr>
    </w:p>
    <w:p>
      <w:pPr>
        <w:ind w:left="1820" w:right="80" w:hanging="612"/>
        <w:spacing w:after="0" w:line="269" w:lineRule="auto"/>
        <w:tabs>
          <w:tab w:leader="none" w:pos="1820" w:val="left"/>
        </w:tabs>
        <w:numPr>
          <w:ilvl w:val="1"/>
          <w:numId w:val="428"/>
        </w:numPr>
        <w:rPr>
          <w:rFonts w:ascii="Arial" w:cs="Arial" w:eastAsia="Arial" w:hAnsi="Arial"/>
          <w:sz w:val="13"/>
          <w:szCs w:val="13"/>
          <w:color w:val="auto"/>
        </w:rPr>
      </w:pPr>
      <w:r>
        <w:rPr>
          <w:rFonts w:ascii="Arial" w:cs="Arial" w:eastAsia="Arial" w:hAnsi="Arial"/>
          <w:sz w:val="13"/>
          <w:szCs w:val="13"/>
          <w:color w:val="auto"/>
        </w:rPr>
        <w:t xml:space="preserve">trading in marketable securities of Reading International Inc while in possession of the information referred to </w:t>
      </w:r>
      <w:r>
        <w:rPr>
          <w:rFonts w:ascii="Arial" w:cs="Arial" w:eastAsia="Arial" w:hAnsi="Arial"/>
          <w:sz w:val="13"/>
          <w:szCs w:val="13"/>
          <w:b w:val="1"/>
          <w:bCs w:val="1"/>
          <w:color w:val="auto"/>
        </w:rPr>
        <w:t>clause 18.6(f)(i)</w:t>
      </w:r>
      <w:r>
        <w:rPr>
          <w:rFonts w:ascii="Arial" w:cs="Arial" w:eastAsia="Arial" w:hAnsi="Arial"/>
          <w:sz w:val="13"/>
          <w:szCs w:val="13"/>
          <w:color w:val="auto"/>
        </w:rPr>
        <w:t xml:space="preserve"> will violate United States' federal securities laws.</w:t>
      </w:r>
    </w:p>
    <w:p>
      <w:pPr>
        <w:spacing w:after="0" w:line="41" w:lineRule="exact"/>
        <w:rPr>
          <w:rFonts w:ascii="Arial" w:cs="Arial" w:eastAsia="Arial" w:hAnsi="Arial"/>
          <w:sz w:val="13"/>
          <w:szCs w:val="13"/>
          <w:color w:val="auto"/>
        </w:rPr>
      </w:pPr>
    </w:p>
    <w:p>
      <w:pPr>
        <w:ind w:left="1960" w:hanging="1104"/>
        <w:spacing w:after="0"/>
        <w:tabs>
          <w:tab w:leader="none" w:pos="1960" w:val="left"/>
        </w:tabs>
        <w:numPr>
          <w:ilvl w:val="0"/>
          <w:numId w:val="428"/>
        </w:numPr>
        <w:rPr>
          <w:rFonts w:ascii="Arial" w:cs="Arial" w:eastAsia="Arial" w:hAnsi="Arial"/>
          <w:sz w:val="13"/>
          <w:szCs w:val="13"/>
          <w:color w:val="auto"/>
        </w:rPr>
      </w:pPr>
      <w:r>
        <w:rPr>
          <w:rFonts w:ascii="Arial" w:cs="Arial" w:eastAsia="Arial" w:hAnsi="Arial"/>
          <w:sz w:val="13"/>
          <w:szCs w:val="13"/>
          <w:color w:val="auto"/>
        </w:rPr>
        <w:t>The Bank agrees to:</w:t>
      </w:r>
    </w:p>
    <w:p>
      <w:pPr>
        <w:spacing w:after="0" w:line="59" w:lineRule="exact"/>
        <w:rPr>
          <w:rFonts w:ascii="Arial" w:cs="Arial" w:eastAsia="Arial" w:hAnsi="Arial"/>
          <w:sz w:val="13"/>
          <w:szCs w:val="13"/>
          <w:color w:val="auto"/>
        </w:rPr>
      </w:pPr>
    </w:p>
    <w:p>
      <w:pPr>
        <w:ind w:left="1980" w:hanging="772"/>
        <w:spacing w:after="0"/>
        <w:tabs>
          <w:tab w:leader="none" w:pos="1980" w:val="left"/>
        </w:tabs>
        <w:numPr>
          <w:ilvl w:val="1"/>
          <w:numId w:val="428"/>
        </w:numPr>
        <w:rPr>
          <w:rFonts w:ascii="Arial" w:cs="Arial" w:eastAsia="Arial" w:hAnsi="Arial"/>
          <w:sz w:val="13"/>
          <w:szCs w:val="13"/>
          <w:color w:val="auto"/>
        </w:rPr>
      </w:pPr>
      <w:r>
        <w:rPr>
          <w:rFonts w:ascii="Arial" w:cs="Arial" w:eastAsia="Arial" w:hAnsi="Arial"/>
          <w:sz w:val="13"/>
          <w:szCs w:val="13"/>
          <w:color w:val="auto"/>
        </w:rPr>
        <w:t xml:space="preserve">take reasonable precautions to maintain the confidentiality of the information referred to in </w:t>
      </w:r>
      <w:r>
        <w:rPr>
          <w:rFonts w:ascii="Arial" w:cs="Arial" w:eastAsia="Arial" w:hAnsi="Arial"/>
          <w:sz w:val="13"/>
          <w:szCs w:val="13"/>
          <w:b w:val="1"/>
          <w:bCs w:val="1"/>
          <w:color w:val="auto"/>
        </w:rPr>
        <w:t>clause 18.6(f)(i)</w:t>
      </w:r>
      <w:r>
        <w:rPr>
          <w:rFonts w:ascii="Arial" w:cs="Arial" w:eastAsia="Arial" w:hAnsi="Arial"/>
          <w:sz w:val="13"/>
          <w:szCs w:val="13"/>
          <w:color w:val="auto"/>
        </w:rPr>
        <w:t>; and</w:t>
      </w:r>
    </w:p>
    <w:p>
      <w:pPr>
        <w:spacing w:after="0" w:line="66" w:lineRule="exact"/>
        <w:rPr>
          <w:rFonts w:ascii="Arial" w:cs="Arial" w:eastAsia="Arial" w:hAnsi="Arial"/>
          <w:sz w:val="13"/>
          <w:szCs w:val="13"/>
          <w:color w:val="auto"/>
        </w:rPr>
      </w:pPr>
    </w:p>
    <w:p>
      <w:pPr>
        <w:ind w:left="1940" w:right="380" w:hanging="732"/>
        <w:spacing w:after="0" w:line="269" w:lineRule="auto"/>
        <w:tabs>
          <w:tab w:leader="none" w:pos="1940" w:val="left"/>
        </w:tabs>
        <w:numPr>
          <w:ilvl w:val="1"/>
          <w:numId w:val="428"/>
        </w:numPr>
        <w:rPr>
          <w:rFonts w:ascii="Arial" w:cs="Arial" w:eastAsia="Arial" w:hAnsi="Arial"/>
          <w:sz w:val="13"/>
          <w:szCs w:val="13"/>
          <w:color w:val="auto"/>
        </w:rPr>
      </w:pPr>
      <w:r>
        <w:rPr>
          <w:rFonts w:ascii="Arial" w:cs="Arial" w:eastAsia="Arial" w:hAnsi="Arial"/>
          <w:sz w:val="13"/>
          <w:szCs w:val="13"/>
          <w:color w:val="auto"/>
        </w:rPr>
        <w:t xml:space="preserve">advise any party to whom the information referred to in </w:t>
      </w:r>
      <w:r>
        <w:rPr>
          <w:rFonts w:ascii="Arial" w:cs="Arial" w:eastAsia="Arial" w:hAnsi="Arial"/>
          <w:sz w:val="13"/>
          <w:szCs w:val="13"/>
          <w:b w:val="1"/>
          <w:bCs w:val="1"/>
          <w:color w:val="auto"/>
        </w:rPr>
        <w:t>clause 18.6(f)(i)</w:t>
      </w:r>
      <w:r>
        <w:rPr>
          <w:rFonts w:ascii="Arial" w:cs="Arial" w:eastAsia="Arial" w:hAnsi="Arial"/>
          <w:sz w:val="13"/>
          <w:szCs w:val="13"/>
          <w:color w:val="auto"/>
        </w:rPr>
        <w:t xml:space="preserve"> is disclosed that it may not trade in the marketable securities of Reading International Inc while in the possession of such information.</w:t>
      </w:r>
    </w:p>
    <w:p>
      <w:pPr>
        <w:spacing w:after="0" w:line="34" w:lineRule="exact"/>
        <w:rPr>
          <w:rFonts w:ascii="Arial" w:cs="Arial" w:eastAsia="Arial" w:hAnsi="Arial"/>
          <w:sz w:val="13"/>
          <w:szCs w:val="13"/>
          <w:color w:val="auto"/>
        </w:rPr>
      </w:pPr>
    </w:p>
    <w:p>
      <w:pPr>
        <w:ind w:left="1620" w:right="100" w:hanging="764"/>
        <w:spacing w:after="0" w:line="269" w:lineRule="auto"/>
        <w:tabs>
          <w:tab w:leader="none" w:pos="1620" w:val="left"/>
        </w:tabs>
        <w:numPr>
          <w:ilvl w:val="0"/>
          <w:numId w:val="428"/>
        </w:numPr>
        <w:rPr>
          <w:rFonts w:ascii="Arial" w:cs="Arial" w:eastAsia="Arial" w:hAnsi="Arial"/>
          <w:sz w:val="13"/>
          <w:szCs w:val="13"/>
          <w:color w:val="auto"/>
        </w:rPr>
      </w:pPr>
      <w:r>
        <w:rPr>
          <w:rFonts w:ascii="Arial" w:cs="Arial" w:eastAsia="Arial" w:hAnsi="Arial"/>
          <w:sz w:val="13"/>
          <w:szCs w:val="13"/>
          <w:color w:val="auto"/>
        </w:rPr>
        <w:t xml:space="preserve">This </w:t>
      </w:r>
      <w:r>
        <w:rPr>
          <w:rFonts w:ascii="Arial" w:cs="Arial" w:eastAsia="Arial" w:hAnsi="Arial"/>
          <w:sz w:val="13"/>
          <w:szCs w:val="13"/>
          <w:b w:val="1"/>
          <w:bCs w:val="1"/>
          <w:color w:val="auto"/>
        </w:rPr>
        <w:t>clause 18.6</w:t>
      </w:r>
      <w:r>
        <w:rPr>
          <w:rFonts w:ascii="Arial" w:cs="Arial" w:eastAsia="Arial" w:hAnsi="Arial"/>
          <w:sz w:val="13"/>
          <w:szCs w:val="13"/>
          <w:color w:val="auto"/>
        </w:rPr>
        <w:t xml:space="preserve"> will not be deemed to restrict the provision of information by any party to the Internal Revenue Service of the United States of America.</w:t>
      </w:r>
    </w:p>
    <w:p>
      <w:pPr>
        <w:spacing w:after="0" w:line="48" w:lineRule="exact"/>
        <w:rPr>
          <w:sz w:val="20"/>
          <w:szCs w:val="20"/>
          <w:color w:val="auto"/>
        </w:rPr>
      </w:pPr>
    </w:p>
    <w:p>
      <w:pPr>
        <w:spacing w:after="0"/>
        <w:tabs>
          <w:tab w:leader="none" w:pos="2320" w:val="left"/>
        </w:tabs>
        <w:rPr>
          <w:sz w:val="20"/>
          <w:szCs w:val="20"/>
          <w:color w:val="auto"/>
        </w:rPr>
      </w:pPr>
      <w:r>
        <w:rPr>
          <w:rFonts w:ascii="Arial" w:cs="Arial" w:eastAsia="Arial" w:hAnsi="Arial"/>
          <w:sz w:val="14"/>
          <w:szCs w:val="14"/>
          <w:b w:val="1"/>
          <w:bCs w:val="1"/>
          <w:color w:val="auto"/>
        </w:rPr>
        <w:t>18.7</w:t>
      </w:r>
      <w:r>
        <w:rPr>
          <w:sz w:val="20"/>
          <w:szCs w:val="20"/>
          <w:color w:val="auto"/>
        </w:rPr>
        <w:tab/>
      </w:r>
      <w:r>
        <w:rPr>
          <w:rFonts w:ascii="Arial" w:cs="Arial" w:eastAsia="Arial" w:hAnsi="Arial"/>
          <w:sz w:val="14"/>
          <w:szCs w:val="14"/>
          <w:b w:val="1"/>
          <w:bCs w:val="1"/>
          <w:color w:val="auto"/>
        </w:rPr>
        <w:t>Exchange rate</w:t>
      </w:r>
    </w:p>
    <w:p>
      <w:pPr>
        <w:spacing w:after="0" w:line="75" w:lineRule="exact"/>
        <w:rPr>
          <w:sz w:val="20"/>
          <w:szCs w:val="20"/>
          <w:color w:val="auto"/>
        </w:rPr>
      </w:pPr>
    </w:p>
    <w:p>
      <w:pPr>
        <w:ind w:left="860"/>
        <w:spacing w:after="0" w:line="244" w:lineRule="auto"/>
        <w:rPr>
          <w:sz w:val="20"/>
          <w:szCs w:val="20"/>
          <w:color w:val="auto"/>
        </w:rPr>
      </w:pPr>
      <w:r>
        <w:rPr>
          <w:rFonts w:ascii="Arial" w:cs="Arial" w:eastAsia="Arial" w:hAnsi="Arial"/>
          <w:sz w:val="13"/>
          <w:szCs w:val="13"/>
          <w:color w:val="auto"/>
        </w:rPr>
        <w:t>Subject to any express provision to the contrary, if for the purposes of a Transaction Document it is necessary to convert one currency into another currency, the conversion must be effected using an exchange rate selected by the Bank acting reasonably and in accordance with it usual practices.</w:t>
      </w:r>
    </w:p>
    <w:p>
      <w:pPr>
        <w:spacing w:after="0" w:line="63" w:lineRule="exact"/>
        <w:rPr>
          <w:sz w:val="20"/>
          <w:szCs w:val="20"/>
          <w:color w:val="auto"/>
        </w:rPr>
      </w:pPr>
    </w:p>
    <w:p>
      <w:pPr>
        <w:spacing w:after="0"/>
        <w:tabs>
          <w:tab w:leader="none" w:pos="1760" w:val="left"/>
        </w:tabs>
        <w:rPr>
          <w:sz w:val="20"/>
          <w:szCs w:val="20"/>
          <w:color w:val="auto"/>
        </w:rPr>
      </w:pPr>
      <w:r>
        <w:rPr>
          <w:rFonts w:ascii="Arial" w:cs="Arial" w:eastAsia="Arial" w:hAnsi="Arial"/>
          <w:sz w:val="14"/>
          <w:szCs w:val="14"/>
          <w:b w:val="1"/>
          <w:bCs w:val="1"/>
          <w:color w:val="auto"/>
        </w:rPr>
        <w:t>18.8</w:t>
      </w:r>
      <w:r>
        <w:rPr>
          <w:sz w:val="20"/>
          <w:szCs w:val="20"/>
          <w:color w:val="auto"/>
        </w:rPr>
        <w:tab/>
      </w:r>
      <w:r>
        <w:rPr>
          <w:rFonts w:ascii="Arial" w:cs="Arial" w:eastAsia="Arial" w:hAnsi="Arial"/>
          <w:sz w:val="14"/>
          <w:szCs w:val="14"/>
          <w:b w:val="1"/>
          <w:bCs w:val="1"/>
          <w:color w:val="auto"/>
        </w:rPr>
        <w:t>Records as evidence</w:t>
      </w:r>
    </w:p>
    <w:p>
      <w:pPr>
        <w:spacing w:after="0" w:line="75" w:lineRule="exact"/>
        <w:rPr>
          <w:sz w:val="20"/>
          <w:szCs w:val="20"/>
          <w:color w:val="auto"/>
        </w:rPr>
      </w:pPr>
    </w:p>
    <w:p>
      <w:pPr>
        <w:ind w:left="860"/>
        <w:spacing w:after="0"/>
        <w:rPr>
          <w:sz w:val="20"/>
          <w:szCs w:val="20"/>
          <w:color w:val="auto"/>
        </w:rPr>
      </w:pPr>
      <w:r>
        <w:rPr>
          <w:rFonts w:ascii="Arial" w:cs="Arial" w:eastAsia="Arial" w:hAnsi="Arial"/>
          <w:sz w:val="13"/>
          <w:szCs w:val="13"/>
          <w:color w:val="auto"/>
        </w:rPr>
        <w:t>The Bank may maintain records specifying:</w:t>
      </w:r>
    </w:p>
    <w:p>
      <w:pPr>
        <w:spacing w:after="0" w:line="85" w:lineRule="exact"/>
        <w:rPr>
          <w:sz w:val="20"/>
          <w:szCs w:val="20"/>
          <w:color w:val="auto"/>
        </w:rPr>
      </w:pPr>
    </w:p>
    <w:p>
      <w:pPr>
        <w:ind w:left="2160" w:hanging="1304"/>
        <w:spacing w:after="0"/>
        <w:tabs>
          <w:tab w:leader="none" w:pos="2160" w:val="left"/>
        </w:tabs>
        <w:numPr>
          <w:ilvl w:val="0"/>
          <w:numId w:val="429"/>
        </w:numPr>
        <w:rPr>
          <w:rFonts w:ascii="Arial" w:cs="Arial" w:eastAsia="Arial" w:hAnsi="Arial"/>
          <w:sz w:val="13"/>
          <w:szCs w:val="13"/>
          <w:color w:val="auto"/>
        </w:rPr>
      </w:pPr>
      <w:r>
        <w:rPr>
          <w:rFonts w:ascii="Arial" w:cs="Arial" w:eastAsia="Arial" w:hAnsi="Arial"/>
          <w:sz w:val="13"/>
          <w:szCs w:val="13"/>
          <w:color w:val="auto"/>
        </w:rPr>
        <w:t>payments made by the Bank for the account of a Transaction Party under a Transaction Document;</w:t>
      </w:r>
    </w:p>
    <w:p>
      <w:pPr>
        <w:spacing w:after="0" w:line="66" w:lineRule="exact"/>
        <w:rPr>
          <w:rFonts w:ascii="Arial" w:cs="Arial" w:eastAsia="Arial" w:hAnsi="Arial"/>
          <w:sz w:val="13"/>
          <w:szCs w:val="13"/>
          <w:color w:val="auto"/>
        </w:rPr>
      </w:pPr>
    </w:p>
    <w:p>
      <w:pPr>
        <w:ind w:left="1960" w:hanging="1104"/>
        <w:spacing w:after="0"/>
        <w:tabs>
          <w:tab w:leader="none" w:pos="1960" w:val="left"/>
        </w:tabs>
        <w:numPr>
          <w:ilvl w:val="0"/>
          <w:numId w:val="429"/>
        </w:numPr>
        <w:rPr>
          <w:rFonts w:ascii="Arial" w:cs="Arial" w:eastAsia="Arial" w:hAnsi="Arial"/>
          <w:sz w:val="13"/>
          <w:szCs w:val="13"/>
          <w:color w:val="auto"/>
        </w:rPr>
      </w:pPr>
      <w:r>
        <w:rPr>
          <w:rFonts w:ascii="Arial" w:cs="Arial" w:eastAsia="Arial" w:hAnsi="Arial"/>
          <w:sz w:val="13"/>
          <w:szCs w:val="13"/>
          <w:color w:val="auto"/>
        </w:rPr>
        <w:t>payments by a Transaction Party for the account of the Bank under a Transaction Document;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168275</wp:posOffset>
            </wp:positionV>
            <wp:extent cx="6208395"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208395" cy="42545"/>
                    </a:xfrm>
                    <a:prstGeom prst="rect">
                      <a:avLst/>
                    </a:prstGeom>
                    <a:noFill/>
                  </pic:spPr>
                </pic:pic>
              </a:graphicData>
            </a:graphic>
          </wp:anchor>
        </w:drawing>
      </w:r>
    </w:p>
    <w:p>
      <w:pPr>
        <w:sectPr>
          <w:pgSz w:w="11900" w:h="16838" w:orient="portrait"/>
          <w:cols w:equalWidth="0" w:num="1">
            <w:col w:w="9480"/>
          </w:cols>
          <w:pgMar w:left="1220" w:top="561" w:right="1199" w:bottom="1440" w:gutter="0" w:footer="0" w:header="0"/>
        </w:sectPr>
      </w:pPr>
    </w:p>
    <w:bookmarkStart w:id="283" w:name="page284"/>
    <w:bookmarkEnd w:id="283"/>
    <w:p>
      <w:pPr>
        <w:ind w:left="860" w:right="2040" w:hanging="4"/>
        <w:spacing w:after="0" w:line="345" w:lineRule="auto"/>
        <w:tabs>
          <w:tab w:leader="none" w:pos="1997" w:val="left"/>
        </w:tabs>
        <w:numPr>
          <w:ilvl w:val="0"/>
          <w:numId w:val="430"/>
        </w:numPr>
        <w:rPr>
          <w:rFonts w:ascii="Arial" w:cs="Arial" w:eastAsia="Arial" w:hAnsi="Arial"/>
          <w:sz w:val="13"/>
          <w:szCs w:val="13"/>
          <w:color w:val="auto"/>
        </w:rPr>
      </w:pPr>
      <w:r>
        <w:rPr>
          <w:rFonts w:ascii="Arial" w:cs="Arial" w:eastAsia="Arial" w:hAnsi="Arial"/>
          <w:sz w:val="13"/>
          <w:szCs w:val="13"/>
          <w:color w:val="auto"/>
        </w:rPr>
        <w:t>interest, fees, charges, costs and expenses payable in relation to the Transaction Documents, and those records will against the Borrower constitute prima facie evidence of the matters set out in them.</w:t>
      </w:r>
    </w:p>
    <w:p>
      <w:pPr>
        <w:spacing w:after="0" w:line="10" w:lineRule="exact"/>
        <w:rPr>
          <w:sz w:val="20"/>
          <w:szCs w:val="20"/>
          <w:color w:val="auto"/>
        </w:rPr>
      </w:pPr>
    </w:p>
    <w:p>
      <w:pPr>
        <w:spacing w:after="0"/>
        <w:tabs>
          <w:tab w:leader="none" w:pos="1860" w:val="left"/>
        </w:tabs>
        <w:rPr>
          <w:sz w:val="20"/>
          <w:szCs w:val="20"/>
          <w:color w:val="auto"/>
        </w:rPr>
      </w:pPr>
      <w:r>
        <w:rPr>
          <w:rFonts w:ascii="Arial" w:cs="Arial" w:eastAsia="Arial" w:hAnsi="Arial"/>
          <w:sz w:val="14"/>
          <w:szCs w:val="14"/>
          <w:b w:val="1"/>
          <w:bCs w:val="1"/>
          <w:color w:val="auto"/>
        </w:rPr>
        <w:t>18.9</w:t>
      </w:r>
      <w:r>
        <w:rPr>
          <w:sz w:val="20"/>
          <w:szCs w:val="20"/>
          <w:color w:val="auto"/>
        </w:rPr>
        <w:tab/>
      </w:r>
      <w:r>
        <w:rPr>
          <w:rFonts w:ascii="Arial" w:cs="Arial" w:eastAsia="Arial" w:hAnsi="Arial"/>
          <w:sz w:val="14"/>
          <w:szCs w:val="14"/>
          <w:b w:val="1"/>
          <w:bCs w:val="1"/>
          <w:color w:val="auto"/>
        </w:rPr>
        <w:t>Further assurances</w:t>
      </w:r>
    </w:p>
    <w:p>
      <w:pPr>
        <w:spacing w:after="0" w:line="75" w:lineRule="exact"/>
        <w:rPr>
          <w:sz w:val="20"/>
          <w:szCs w:val="20"/>
          <w:color w:val="auto"/>
        </w:rPr>
      </w:pPr>
    </w:p>
    <w:p>
      <w:pPr>
        <w:ind w:left="860"/>
        <w:spacing w:after="0"/>
        <w:rPr>
          <w:sz w:val="20"/>
          <w:szCs w:val="20"/>
          <w:color w:val="auto"/>
        </w:rPr>
      </w:pPr>
      <w:r>
        <w:rPr>
          <w:rFonts w:ascii="Arial" w:cs="Arial" w:eastAsia="Arial" w:hAnsi="Arial"/>
          <w:sz w:val="13"/>
          <w:szCs w:val="13"/>
          <w:color w:val="auto"/>
        </w:rPr>
        <w:t>The Borrower must promptly execute all documents and do all things that the Bank from time to time reasonably requires to:</w:t>
      </w:r>
    </w:p>
    <w:p>
      <w:pPr>
        <w:spacing w:after="0" w:line="58" w:lineRule="exact"/>
        <w:rPr>
          <w:sz w:val="20"/>
          <w:szCs w:val="20"/>
          <w:color w:val="auto"/>
        </w:rPr>
      </w:pPr>
    </w:p>
    <w:p>
      <w:pPr>
        <w:ind w:left="1480" w:hanging="624"/>
        <w:spacing w:after="0"/>
        <w:tabs>
          <w:tab w:leader="none" w:pos="1480" w:val="left"/>
        </w:tabs>
        <w:numPr>
          <w:ilvl w:val="0"/>
          <w:numId w:val="431"/>
        </w:numPr>
        <w:rPr>
          <w:rFonts w:ascii="Arial" w:cs="Arial" w:eastAsia="Arial" w:hAnsi="Arial"/>
          <w:sz w:val="13"/>
          <w:szCs w:val="13"/>
          <w:color w:val="auto"/>
        </w:rPr>
      </w:pPr>
      <w:r>
        <w:rPr>
          <w:rFonts w:ascii="Arial" w:cs="Arial" w:eastAsia="Arial" w:hAnsi="Arial"/>
          <w:sz w:val="13"/>
          <w:szCs w:val="13"/>
          <w:color w:val="auto"/>
        </w:rPr>
        <w:t>effect, perfect or complete the provisions of each Transaction Document or any transaction contemplated by it;</w:t>
      </w:r>
    </w:p>
    <w:p>
      <w:pPr>
        <w:spacing w:after="0" w:line="66" w:lineRule="exact"/>
        <w:rPr>
          <w:rFonts w:ascii="Arial" w:cs="Arial" w:eastAsia="Arial" w:hAnsi="Arial"/>
          <w:sz w:val="13"/>
          <w:szCs w:val="13"/>
          <w:color w:val="auto"/>
        </w:rPr>
      </w:pPr>
    </w:p>
    <w:p>
      <w:pPr>
        <w:ind w:left="1300" w:right="200" w:hanging="444"/>
        <w:spacing w:after="0" w:line="244" w:lineRule="auto"/>
        <w:tabs>
          <w:tab w:leader="none" w:pos="1300" w:val="left"/>
        </w:tabs>
        <w:numPr>
          <w:ilvl w:val="0"/>
          <w:numId w:val="431"/>
        </w:numPr>
        <w:rPr>
          <w:rFonts w:ascii="Arial" w:cs="Arial" w:eastAsia="Arial" w:hAnsi="Arial"/>
          <w:sz w:val="13"/>
          <w:szCs w:val="13"/>
          <w:color w:val="auto"/>
        </w:rPr>
      </w:pPr>
      <w:r>
        <w:rPr>
          <w:rFonts w:ascii="Arial" w:cs="Arial" w:eastAsia="Arial" w:hAnsi="Arial"/>
          <w:sz w:val="13"/>
          <w:szCs w:val="13"/>
          <w:color w:val="auto"/>
        </w:rPr>
        <w:t>establish the priority of or reserve or create any Security Interest contemplated by or purported to be reserved or created by a Transaction Document; and</w:t>
      </w:r>
    </w:p>
    <w:p>
      <w:pPr>
        <w:sectPr>
          <w:pgSz w:w="11900" w:h="16838" w:orient="portrait"/>
          <w:cols w:equalWidth="0" w:num="1">
            <w:col w:w="9520"/>
          </w:cols>
          <w:pgMar w:left="1220" w:top="560" w:right="1159" w:bottom="1440" w:gutter="0" w:footer="0" w:header="0"/>
        </w:sectPr>
      </w:pPr>
    </w:p>
    <w:p>
      <w:pPr>
        <w:spacing w:after="0" w:line="53" w:lineRule="exact"/>
        <w:rPr>
          <w:sz w:val="20"/>
          <w:szCs w:val="20"/>
          <w:color w:val="auto"/>
        </w:rPr>
      </w:pPr>
    </w:p>
    <w:p>
      <w:pPr>
        <w:ind w:left="860"/>
        <w:spacing w:after="0"/>
        <w:rPr>
          <w:sz w:val="20"/>
          <w:szCs w:val="20"/>
          <w:color w:val="auto"/>
        </w:rPr>
      </w:pPr>
      <w:r>
        <w:rPr>
          <w:rFonts w:ascii="Arial" w:cs="Arial" w:eastAsia="Arial" w:hAnsi="Arial"/>
          <w:sz w:val="12"/>
          <w:szCs w:val="12"/>
          <w:color w:val="auto"/>
        </w:rPr>
        <w:t>(c)</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ind w:right="480"/>
        <w:spacing w:after="0" w:line="244" w:lineRule="auto"/>
        <w:rPr>
          <w:sz w:val="20"/>
          <w:szCs w:val="20"/>
          <w:color w:val="auto"/>
        </w:rPr>
      </w:pPr>
      <w:r>
        <w:rPr>
          <w:rFonts w:ascii="Arial" w:cs="Arial" w:eastAsia="Arial" w:hAnsi="Arial"/>
          <w:sz w:val="13"/>
          <w:szCs w:val="13"/>
          <w:color w:val="auto"/>
        </w:rPr>
        <w:t>stamp and register each Transaction Document in any relevant jurisdiction and by any person that the Bank thinks fit.</w:t>
      </w:r>
    </w:p>
    <w:p>
      <w:pPr>
        <w:spacing w:after="0" w:line="72" w:lineRule="exact"/>
        <w:rPr>
          <w:sz w:val="20"/>
          <w:szCs w:val="20"/>
          <w:color w:val="auto"/>
        </w:rPr>
      </w:pPr>
    </w:p>
    <w:p>
      <w:pPr>
        <w:sectPr>
          <w:pgSz w:w="11900" w:h="16838" w:orient="portrait"/>
          <w:cols w:equalWidth="0" w:num="2">
            <w:col w:w="1660" w:space="720"/>
            <w:col w:w="7140"/>
          </w:cols>
          <w:pgMar w:left="1220" w:top="560" w:right="1159" w:bottom="1440" w:gutter="0" w:footer="0" w:header="0"/>
          <w:type w:val="continuous"/>
        </w:sectPr>
      </w:pPr>
    </w:p>
    <w:p>
      <w:pPr>
        <w:spacing w:after="0"/>
        <w:rPr>
          <w:sz w:val="20"/>
          <w:szCs w:val="20"/>
          <w:color w:val="auto"/>
        </w:rPr>
      </w:pPr>
      <w:r>
        <w:rPr>
          <w:rFonts w:ascii="Arial" w:cs="Arial" w:eastAsia="Arial" w:hAnsi="Arial"/>
          <w:sz w:val="14"/>
          <w:szCs w:val="14"/>
          <w:b w:val="1"/>
          <w:bCs w:val="1"/>
          <w:color w:val="auto"/>
        </w:rPr>
        <w:t>18.10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b w:val="1"/>
          <w:bCs w:val="1"/>
          <w:color w:val="auto"/>
        </w:rPr>
        <w:t>Amendment</w:t>
      </w:r>
    </w:p>
    <w:p>
      <w:pPr>
        <w:spacing w:after="0" w:line="75" w:lineRule="exact"/>
        <w:rPr>
          <w:sz w:val="20"/>
          <w:szCs w:val="20"/>
          <w:color w:val="auto"/>
        </w:rPr>
      </w:pPr>
    </w:p>
    <w:p>
      <w:pPr>
        <w:sectPr>
          <w:pgSz w:w="11900" w:h="16838" w:orient="portrait"/>
          <w:cols w:equalWidth="0" w:num="2">
            <w:col w:w="2380" w:space="720"/>
            <w:col w:w="6420"/>
          </w:cols>
          <w:pgMar w:left="1220" w:top="560" w:right="1159" w:bottom="1440" w:gutter="0" w:footer="0" w:header="0"/>
          <w:type w:val="continuous"/>
        </w:sectPr>
      </w:pPr>
    </w:p>
    <w:p>
      <w:pPr>
        <w:ind w:left="860"/>
        <w:spacing w:after="0"/>
        <w:rPr>
          <w:sz w:val="20"/>
          <w:szCs w:val="20"/>
          <w:color w:val="auto"/>
        </w:rPr>
      </w:pPr>
      <w:r>
        <w:rPr>
          <w:rFonts w:ascii="Arial" w:cs="Arial" w:eastAsia="Arial" w:hAnsi="Arial"/>
          <w:sz w:val="13"/>
          <w:szCs w:val="13"/>
          <w:color w:val="auto"/>
        </w:rPr>
        <w:t>This document may only be varied or replaced by a document executed by the parties.</w:t>
      </w:r>
    </w:p>
    <w:p>
      <w:pPr>
        <w:sectPr>
          <w:pgSz w:w="11900" w:h="16838" w:orient="portrait"/>
          <w:cols w:equalWidth="0" w:num="1">
            <w:col w:w="9520"/>
          </w:cols>
          <w:pgMar w:left="1220" w:top="560" w:right="1159" w:bottom="1440" w:gutter="0" w:footer="0" w:header="0"/>
          <w:type w:val="continuous"/>
        </w:sectPr>
      </w:pPr>
    </w:p>
    <w:p>
      <w:pPr>
        <w:spacing w:after="0" w:line="7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18.11</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Waiver and exercise of rights</w:t>
      </w:r>
    </w:p>
    <w:p>
      <w:pPr>
        <w:spacing w:after="0" w:line="71" w:lineRule="exact"/>
        <w:rPr>
          <w:sz w:val="20"/>
          <w:szCs w:val="20"/>
          <w:color w:val="auto"/>
        </w:rPr>
      </w:pPr>
    </w:p>
    <w:p>
      <w:pPr>
        <w:sectPr>
          <w:pgSz w:w="11900" w:h="16838" w:orient="portrait"/>
          <w:cols w:equalWidth="0" w:num="2">
            <w:col w:w="960" w:space="720"/>
            <w:col w:w="7840"/>
          </w:cols>
          <w:pgMar w:left="1220" w:top="560" w:right="1159" w:bottom="1440" w:gutter="0" w:footer="0" w:header="0"/>
          <w:type w:val="continuous"/>
        </w:sectPr>
      </w:pPr>
    </w:p>
    <w:p>
      <w:pPr>
        <w:jc w:val="both"/>
        <w:ind w:left="1300" w:right="100" w:hanging="439"/>
        <w:spacing w:after="0" w:line="238" w:lineRule="auto"/>
        <w:tabs>
          <w:tab w:leader="none" w:pos="1280" w:val="left"/>
        </w:tabs>
        <w:rPr>
          <w:sz w:val="20"/>
          <w:szCs w:val="20"/>
          <w:color w:val="auto"/>
        </w:rPr>
      </w:pPr>
      <w:r>
        <w:rPr>
          <w:rFonts w:ascii="Arial" w:cs="Arial" w:eastAsia="Arial" w:hAnsi="Arial"/>
          <w:sz w:val="13"/>
          <w:szCs w:val="13"/>
          <w:color w:val="auto"/>
        </w:rPr>
        <w:t>(a)</w:t>
      </w:r>
      <w:r>
        <w:rPr>
          <w:sz w:val="20"/>
          <w:szCs w:val="20"/>
          <w:color w:val="auto"/>
        </w:rPr>
        <w:tab/>
      </w:r>
      <w:r>
        <w:rPr>
          <w:rFonts w:ascii="Arial" w:cs="Arial" w:eastAsia="Arial" w:hAnsi="Arial"/>
          <w:sz w:val="13"/>
          <w:szCs w:val="13"/>
          <w:color w:val="auto"/>
        </w:rPr>
        <w:t>A right in favour of the Bank under a Transaction Document, a breach of an obligation of the Borrower under a Transaction Document or an Event of Default can only be waived by an instrument signed by the Bank. No other act, omission or delay of the Bank constitutes a waiver binding, or estoppel against, the Bank.</w:t>
      </w:r>
    </w:p>
    <w:p>
      <w:pPr>
        <w:spacing w:after="0" w:line="51" w:lineRule="exact"/>
        <w:rPr>
          <w:sz w:val="20"/>
          <w:szCs w:val="20"/>
          <w:color w:val="auto"/>
        </w:rPr>
      </w:pPr>
    </w:p>
    <w:p>
      <w:pPr>
        <w:ind w:left="1460" w:hanging="599"/>
        <w:spacing w:after="0" w:line="244" w:lineRule="auto"/>
        <w:tabs>
          <w:tab w:leader="none" w:pos="1440" w:val="left"/>
        </w:tabs>
        <w:rPr>
          <w:sz w:val="20"/>
          <w:szCs w:val="20"/>
          <w:color w:val="auto"/>
        </w:rPr>
      </w:pPr>
      <w:r>
        <w:rPr>
          <w:rFonts w:ascii="Arial" w:cs="Arial" w:eastAsia="Arial" w:hAnsi="Arial"/>
          <w:sz w:val="13"/>
          <w:szCs w:val="13"/>
          <w:color w:val="auto"/>
        </w:rPr>
        <w:t>(b)</w:t>
      </w:r>
      <w:r>
        <w:rPr>
          <w:sz w:val="20"/>
          <w:szCs w:val="20"/>
          <w:color w:val="auto"/>
        </w:rPr>
        <w:tab/>
      </w:r>
      <w:r>
        <w:rPr>
          <w:rFonts w:ascii="Arial" w:cs="Arial" w:eastAsia="Arial" w:hAnsi="Arial"/>
          <w:sz w:val="13"/>
          <w:szCs w:val="13"/>
          <w:color w:val="auto"/>
        </w:rPr>
        <w:t>A single or partial exercise or waiver by the Bank of a right relating to a Transaction Document does not prevent any other exercise of that right or the exercise of any other right.</w:t>
      </w:r>
    </w:p>
    <w:p>
      <w:pPr>
        <w:spacing w:after="0" w:line="56" w:lineRule="exact"/>
        <w:rPr>
          <w:sz w:val="20"/>
          <w:szCs w:val="20"/>
          <w:color w:val="auto"/>
        </w:rPr>
      </w:pPr>
    </w:p>
    <w:p>
      <w:pPr>
        <w:ind w:left="1360" w:right="220" w:hanging="499"/>
        <w:spacing w:after="0" w:line="238" w:lineRule="auto"/>
        <w:tabs>
          <w:tab w:leader="none" w:pos="1340" w:val="left"/>
        </w:tabs>
        <w:rPr>
          <w:sz w:val="20"/>
          <w:szCs w:val="20"/>
          <w:color w:val="auto"/>
        </w:rPr>
      </w:pPr>
      <w:r>
        <w:rPr>
          <w:rFonts w:ascii="Arial" w:cs="Arial" w:eastAsia="Arial" w:hAnsi="Arial"/>
          <w:sz w:val="13"/>
          <w:szCs w:val="13"/>
          <w:color w:val="auto"/>
        </w:rPr>
        <w:t>(c)</w:t>
      </w:r>
      <w:r>
        <w:rPr>
          <w:sz w:val="20"/>
          <w:szCs w:val="20"/>
          <w:color w:val="auto"/>
        </w:rPr>
        <w:tab/>
      </w:r>
      <w:r>
        <w:rPr>
          <w:rFonts w:ascii="Arial" w:cs="Arial" w:eastAsia="Arial" w:hAnsi="Arial"/>
          <w:sz w:val="13"/>
          <w:szCs w:val="13"/>
          <w:color w:val="auto"/>
        </w:rPr>
        <w:t xml:space="preserve">The Bank and its Representatives are not liable for any loss, cost or expense of the Borrower caused or contributed to by the waiver, exercise, attempted exercise, failure to exercise or delay in the exercise of a right and the Bank holds the benefit of this </w:t>
      </w:r>
      <w:r>
        <w:rPr>
          <w:rFonts w:ascii="Arial" w:cs="Arial" w:eastAsia="Arial" w:hAnsi="Arial"/>
          <w:sz w:val="13"/>
          <w:szCs w:val="13"/>
          <w:b w:val="1"/>
          <w:bCs w:val="1"/>
          <w:color w:val="auto"/>
        </w:rPr>
        <w:t>clause 18.11</w:t>
      </w:r>
      <w:r>
        <w:rPr>
          <w:rFonts w:ascii="Arial" w:cs="Arial" w:eastAsia="Arial" w:hAnsi="Arial"/>
          <w:sz w:val="13"/>
          <w:szCs w:val="13"/>
          <w:color w:val="auto"/>
        </w:rPr>
        <w:t xml:space="preserve"> on trust for itself and its Representatives.</w:t>
      </w:r>
    </w:p>
    <w:p>
      <w:pPr>
        <w:sectPr>
          <w:pgSz w:w="11900" w:h="16838" w:orient="portrait"/>
          <w:cols w:equalWidth="0" w:num="1">
            <w:col w:w="9520"/>
          </w:cols>
          <w:pgMar w:left="1220" w:top="560" w:right="1159" w:bottom="1440" w:gutter="0" w:footer="0" w:header="0"/>
          <w:type w:val="continuous"/>
        </w:sectPr>
      </w:pPr>
    </w:p>
    <w:p>
      <w:pPr>
        <w:spacing w:after="0" w:line="7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18.12</w:t>
      </w:r>
    </w:p>
    <w:p>
      <w:pPr>
        <w:spacing w:after="0" w:line="20" w:lineRule="exact"/>
        <w:rPr>
          <w:sz w:val="20"/>
          <w:szCs w:val="20"/>
          <w:color w:val="auto"/>
        </w:rPr>
      </w:pPr>
      <w:r>
        <w:rPr>
          <w:sz w:val="20"/>
          <w:szCs w:val="20"/>
          <w:color w:val="auto"/>
        </w:rPr>
        <w:br w:type="column"/>
      </w:r>
    </w:p>
    <w:p>
      <w:pPr>
        <w:spacing w:after="0" w:line="5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Rights cumulative</w:t>
      </w:r>
    </w:p>
    <w:p>
      <w:pPr>
        <w:spacing w:after="0" w:line="75" w:lineRule="exact"/>
        <w:rPr>
          <w:sz w:val="20"/>
          <w:szCs w:val="20"/>
          <w:color w:val="auto"/>
        </w:rPr>
      </w:pPr>
    </w:p>
    <w:p>
      <w:pPr>
        <w:sectPr>
          <w:pgSz w:w="11900" w:h="16838" w:orient="portrait"/>
          <w:cols w:equalWidth="0" w:num="2">
            <w:col w:w="1660" w:space="720"/>
            <w:col w:w="7140"/>
          </w:cols>
          <w:pgMar w:left="1220" w:top="560" w:right="1159" w:bottom="1440" w:gutter="0" w:footer="0" w:header="0"/>
          <w:type w:val="continuous"/>
        </w:sectPr>
      </w:pPr>
    </w:p>
    <w:p>
      <w:pPr>
        <w:ind w:left="860"/>
        <w:spacing w:after="0"/>
        <w:rPr>
          <w:sz w:val="20"/>
          <w:szCs w:val="20"/>
          <w:color w:val="auto"/>
        </w:rPr>
      </w:pPr>
      <w:r>
        <w:rPr>
          <w:rFonts w:ascii="Arial" w:cs="Arial" w:eastAsia="Arial" w:hAnsi="Arial"/>
          <w:sz w:val="13"/>
          <w:szCs w:val="13"/>
          <w:color w:val="auto"/>
        </w:rPr>
        <w:t>The rights of the Bank under the Transaction Documents are cumulative and in addition to its other rights.</w:t>
      </w:r>
    </w:p>
    <w:p>
      <w:pPr>
        <w:sectPr>
          <w:pgSz w:w="11900" w:h="16838" w:orient="portrait"/>
          <w:cols w:equalWidth="0" w:num="1">
            <w:col w:w="9520"/>
          </w:cols>
          <w:pgMar w:left="1220" w:top="560" w:right="1159" w:bottom="1440" w:gutter="0" w:footer="0" w:header="0"/>
          <w:type w:val="continuous"/>
        </w:sectPr>
      </w:pPr>
    </w:p>
    <w:p>
      <w:pPr>
        <w:spacing w:after="0" w:line="7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18.13</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Approval and consent</w:t>
      </w:r>
    </w:p>
    <w:p>
      <w:pPr>
        <w:spacing w:after="0" w:line="75" w:lineRule="exact"/>
        <w:rPr>
          <w:sz w:val="20"/>
          <w:szCs w:val="20"/>
          <w:color w:val="auto"/>
        </w:rPr>
      </w:pPr>
    </w:p>
    <w:p>
      <w:pPr>
        <w:sectPr>
          <w:pgSz w:w="11900" w:h="16838" w:orient="portrait"/>
          <w:cols w:equalWidth="0" w:num="2">
            <w:col w:w="1340" w:space="720"/>
            <w:col w:w="7460"/>
          </w:cols>
          <w:pgMar w:left="1220" w:top="560" w:right="1159" w:bottom="1440" w:gutter="0" w:footer="0" w:header="0"/>
          <w:type w:val="continuous"/>
        </w:sectPr>
      </w:pPr>
    </w:p>
    <w:p>
      <w:pPr>
        <w:ind w:left="860" w:right="240"/>
        <w:spacing w:after="0" w:line="244" w:lineRule="auto"/>
        <w:rPr>
          <w:sz w:val="20"/>
          <w:szCs w:val="20"/>
          <w:color w:val="auto"/>
        </w:rPr>
      </w:pPr>
      <w:r>
        <w:rPr>
          <w:rFonts w:ascii="Arial" w:cs="Arial" w:eastAsia="Arial" w:hAnsi="Arial"/>
          <w:sz w:val="13"/>
          <w:szCs w:val="13"/>
          <w:color w:val="auto"/>
        </w:rPr>
        <w:t>Except where a Transaction Document expressly provides otherwise, the Bank may conditionally or unconditionally give or withhold any consent under a Transaction Document and is not obliged to give its reasons for doing so.</w:t>
      </w:r>
    </w:p>
    <w:p>
      <w:pPr>
        <w:spacing w:after="0" w:line="72" w:lineRule="exact"/>
        <w:rPr>
          <w:sz w:val="20"/>
          <w:szCs w:val="20"/>
          <w:color w:val="auto"/>
        </w:rPr>
      </w:pPr>
    </w:p>
    <w:p>
      <w:pPr>
        <w:spacing w:after="0"/>
        <w:tabs>
          <w:tab w:leader="none" w:pos="3100" w:val="left"/>
        </w:tabs>
        <w:rPr>
          <w:sz w:val="20"/>
          <w:szCs w:val="20"/>
          <w:color w:val="auto"/>
        </w:rPr>
      </w:pPr>
      <w:r>
        <w:rPr>
          <w:rFonts w:ascii="Arial" w:cs="Arial" w:eastAsia="Arial" w:hAnsi="Arial"/>
          <w:sz w:val="14"/>
          <w:szCs w:val="14"/>
          <w:b w:val="1"/>
          <w:bCs w:val="1"/>
          <w:color w:val="auto"/>
        </w:rPr>
        <w:t>18.14</w:t>
      </w:r>
      <w:r>
        <w:rPr>
          <w:sz w:val="20"/>
          <w:szCs w:val="20"/>
          <w:color w:val="auto"/>
        </w:rPr>
        <w:tab/>
      </w:r>
      <w:r>
        <w:rPr>
          <w:rFonts w:ascii="Arial" w:cs="Arial" w:eastAsia="Arial" w:hAnsi="Arial"/>
          <w:sz w:val="14"/>
          <w:szCs w:val="14"/>
          <w:b w:val="1"/>
          <w:bCs w:val="1"/>
          <w:color w:val="auto"/>
        </w:rPr>
        <w:t>Assignment</w:t>
      </w:r>
    </w:p>
    <w:p>
      <w:pPr>
        <w:spacing w:after="0" w:line="75" w:lineRule="exact"/>
        <w:rPr>
          <w:sz w:val="20"/>
          <w:szCs w:val="20"/>
          <w:color w:val="auto"/>
        </w:rPr>
      </w:pPr>
    </w:p>
    <w:p>
      <w:pPr>
        <w:ind w:left="1260" w:hanging="404"/>
        <w:spacing w:after="0"/>
        <w:tabs>
          <w:tab w:leader="none" w:pos="1260" w:val="left"/>
        </w:tabs>
        <w:numPr>
          <w:ilvl w:val="0"/>
          <w:numId w:val="432"/>
        </w:numPr>
        <w:rPr>
          <w:rFonts w:ascii="Arial" w:cs="Arial" w:eastAsia="Arial" w:hAnsi="Arial"/>
          <w:sz w:val="13"/>
          <w:szCs w:val="13"/>
          <w:color w:val="auto"/>
        </w:rPr>
      </w:pPr>
      <w:r>
        <w:rPr>
          <w:rFonts w:ascii="Arial" w:cs="Arial" w:eastAsia="Arial" w:hAnsi="Arial"/>
          <w:sz w:val="13"/>
          <w:szCs w:val="13"/>
          <w:color w:val="auto"/>
        </w:rPr>
        <w:t>The Borrower must not dispose of or Encumber any right under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173990</wp:posOffset>
            </wp:positionV>
            <wp:extent cx="6208395"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208395" cy="42545"/>
                    </a:xfrm>
                    <a:prstGeom prst="rect">
                      <a:avLst/>
                    </a:prstGeom>
                    <a:noFill/>
                  </pic:spPr>
                </pic:pic>
              </a:graphicData>
            </a:graphic>
          </wp:anchor>
        </w:drawing>
      </w:r>
    </w:p>
    <w:p>
      <w:pPr>
        <w:sectPr>
          <w:pgSz w:w="11900" w:h="16838" w:orient="portrait"/>
          <w:cols w:equalWidth="0" w:num="1">
            <w:col w:w="9520"/>
          </w:cols>
          <w:pgMar w:left="1220" w:top="560" w:right="1159" w:bottom="1440" w:gutter="0" w:footer="0" w:header="0"/>
          <w:type w:val="continuous"/>
        </w:sectPr>
      </w:pPr>
    </w:p>
    <w:bookmarkStart w:id="284" w:name="page285"/>
    <w:bookmarkEnd w:id="284"/>
    <w:p>
      <w:pPr>
        <w:ind w:left="1200"/>
        <w:spacing w:after="0"/>
        <w:rPr>
          <w:sz w:val="20"/>
          <w:szCs w:val="20"/>
          <w:color w:val="auto"/>
        </w:rPr>
      </w:pPr>
      <w:r>
        <w:rPr>
          <w:rFonts w:ascii="Arial" w:cs="Arial" w:eastAsia="Arial" w:hAnsi="Arial"/>
          <w:sz w:val="13"/>
          <w:szCs w:val="13"/>
          <w:color w:val="auto"/>
        </w:rPr>
        <w:t>Transaction Documents without the consent of the Bank.</w:t>
      </w:r>
    </w:p>
    <w:p>
      <w:pPr>
        <w:spacing w:after="0" w:line="76" w:lineRule="exact"/>
        <w:rPr>
          <w:sz w:val="20"/>
          <w:szCs w:val="20"/>
          <w:color w:val="auto"/>
        </w:rPr>
      </w:pPr>
    </w:p>
    <w:p>
      <w:pPr>
        <w:ind w:left="1380" w:right="60" w:hanging="524"/>
        <w:spacing w:after="0" w:line="244" w:lineRule="auto"/>
        <w:tabs>
          <w:tab w:leader="none" w:pos="1380" w:val="left"/>
        </w:tabs>
        <w:numPr>
          <w:ilvl w:val="0"/>
          <w:numId w:val="433"/>
        </w:numPr>
        <w:rPr>
          <w:rFonts w:ascii="Arial" w:cs="Arial" w:eastAsia="Arial" w:hAnsi="Arial"/>
          <w:sz w:val="13"/>
          <w:szCs w:val="13"/>
          <w:color w:val="auto"/>
        </w:rPr>
      </w:pPr>
      <w:r>
        <w:rPr>
          <w:rFonts w:ascii="Arial" w:cs="Arial" w:eastAsia="Arial" w:hAnsi="Arial"/>
          <w:sz w:val="13"/>
          <w:szCs w:val="13"/>
          <w:color w:val="auto"/>
        </w:rPr>
        <w:t>The Bank may assign any of its rights or novate, sub-participate, sell- down or transfer by whatever form or otherwise deal with any or all of its rights and obligations under any Transaction Document without the consent of, or notice to, the Borrower.</w:t>
      </w:r>
    </w:p>
    <w:p>
      <w:pPr>
        <w:spacing w:after="0" w:line="56" w:lineRule="exact"/>
        <w:rPr>
          <w:rFonts w:ascii="Arial" w:cs="Arial" w:eastAsia="Arial" w:hAnsi="Arial"/>
          <w:sz w:val="13"/>
          <w:szCs w:val="13"/>
          <w:color w:val="auto"/>
        </w:rPr>
      </w:pPr>
    </w:p>
    <w:p>
      <w:pPr>
        <w:ind w:left="1320" w:right="40" w:hanging="464"/>
        <w:spacing w:after="0" w:line="236" w:lineRule="auto"/>
        <w:tabs>
          <w:tab w:leader="none" w:pos="1320" w:val="left"/>
        </w:tabs>
        <w:numPr>
          <w:ilvl w:val="0"/>
          <w:numId w:val="433"/>
        </w:numPr>
        <w:rPr>
          <w:rFonts w:ascii="Arial" w:cs="Arial" w:eastAsia="Arial" w:hAnsi="Arial"/>
          <w:sz w:val="13"/>
          <w:szCs w:val="13"/>
          <w:color w:val="auto"/>
        </w:rPr>
      </w:pPr>
      <w:r>
        <w:rPr>
          <w:rFonts w:ascii="Arial" w:cs="Arial" w:eastAsia="Arial" w:hAnsi="Arial"/>
          <w:sz w:val="13"/>
          <w:szCs w:val="13"/>
          <w:color w:val="auto"/>
        </w:rPr>
        <w:t>If an Event of Default subsists then, in order to facilitate the Bank to deal with its rights and obligations, the Bank may (but is not obliged to), from time to time, separate and sever any of its rights (or any part of any of its rights) described in a notice given by the Bank to the Borrower from its other rights and obligations under any Transaction Document. Any such notice is effective on the time of delivery to separate and sever the rights described in the notice so that:</w:t>
      </w:r>
    </w:p>
    <w:p>
      <w:pPr>
        <w:spacing w:after="0" w:line="60" w:lineRule="exact"/>
        <w:rPr>
          <w:rFonts w:ascii="Arial" w:cs="Arial" w:eastAsia="Arial" w:hAnsi="Arial"/>
          <w:sz w:val="13"/>
          <w:szCs w:val="13"/>
          <w:color w:val="auto"/>
        </w:rPr>
      </w:pPr>
    </w:p>
    <w:p>
      <w:pPr>
        <w:ind w:left="1780" w:right="260" w:hanging="572"/>
        <w:spacing w:after="0" w:line="238" w:lineRule="auto"/>
        <w:tabs>
          <w:tab w:leader="none" w:pos="1780" w:val="left"/>
        </w:tabs>
        <w:numPr>
          <w:ilvl w:val="1"/>
          <w:numId w:val="433"/>
        </w:numPr>
        <w:rPr>
          <w:rFonts w:ascii="Arial" w:cs="Arial" w:eastAsia="Arial" w:hAnsi="Arial"/>
          <w:sz w:val="13"/>
          <w:szCs w:val="13"/>
          <w:color w:val="auto"/>
        </w:rPr>
      </w:pPr>
      <w:r>
        <w:rPr>
          <w:rFonts w:ascii="Arial" w:cs="Arial" w:eastAsia="Arial" w:hAnsi="Arial"/>
          <w:sz w:val="13"/>
          <w:szCs w:val="13"/>
          <w:color w:val="auto"/>
        </w:rPr>
        <w:t>those rights and obligations are independent from, and may be assigned (including at law), novated, sub-participated, sold-down, transferred or otherwise dealt with separately from, any other of the rights and obligations of the Bank under that Transaction Document;</w:t>
      </w:r>
    </w:p>
    <w:p>
      <w:pPr>
        <w:spacing w:after="0" w:line="59" w:lineRule="exact"/>
        <w:rPr>
          <w:rFonts w:ascii="Arial" w:cs="Arial" w:eastAsia="Arial" w:hAnsi="Arial"/>
          <w:sz w:val="13"/>
          <w:szCs w:val="13"/>
          <w:color w:val="auto"/>
        </w:rPr>
      </w:pPr>
    </w:p>
    <w:p>
      <w:pPr>
        <w:ind w:left="1780" w:right="280" w:hanging="572"/>
        <w:spacing w:after="0" w:line="244" w:lineRule="auto"/>
        <w:tabs>
          <w:tab w:leader="none" w:pos="1780" w:val="left"/>
        </w:tabs>
        <w:numPr>
          <w:ilvl w:val="1"/>
          <w:numId w:val="433"/>
        </w:numPr>
        <w:rPr>
          <w:rFonts w:ascii="Arial" w:cs="Arial" w:eastAsia="Arial" w:hAnsi="Arial"/>
          <w:sz w:val="13"/>
          <w:szCs w:val="13"/>
          <w:color w:val="auto"/>
        </w:rPr>
      </w:pPr>
      <w:r>
        <w:rPr>
          <w:rFonts w:ascii="Arial" w:cs="Arial" w:eastAsia="Arial" w:hAnsi="Arial"/>
          <w:sz w:val="13"/>
          <w:szCs w:val="13"/>
          <w:color w:val="auto"/>
        </w:rPr>
        <w:t>those rights and obligations may be exercised differently from any other rights and obligations of the Bank under that Transaction Document; and</w:t>
      </w:r>
    </w:p>
    <w:p>
      <w:pPr>
        <w:spacing w:after="0" w:line="56" w:lineRule="exact"/>
        <w:rPr>
          <w:rFonts w:ascii="Arial" w:cs="Arial" w:eastAsia="Arial" w:hAnsi="Arial"/>
          <w:sz w:val="13"/>
          <w:szCs w:val="13"/>
          <w:color w:val="auto"/>
        </w:rPr>
      </w:pPr>
    </w:p>
    <w:p>
      <w:pPr>
        <w:ind w:left="1740" w:hanging="532"/>
        <w:spacing w:after="0"/>
        <w:tabs>
          <w:tab w:leader="none" w:pos="1740" w:val="left"/>
        </w:tabs>
        <w:numPr>
          <w:ilvl w:val="1"/>
          <w:numId w:val="433"/>
        </w:numPr>
        <w:rPr>
          <w:rFonts w:ascii="Arial" w:cs="Arial" w:eastAsia="Arial" w:hAnsi="Arial"/>
          <w:sz w:val="13"/>
          <w:szCs w:val="13"/>
          <w:color w:val="auto"/>
        </w:rPr>
      </w:pPr>
      <w:r>
        <w:rPr>
          <w:rFonts w:ascii="Arial" w:cs="Arial" w:eastAsia="Arial" w:hAnsi="Arial"/>
          <w:sz w:val="13"/>
          <w:szCs w:val="13"/>
          <w:color w:val="auto"/>
        </w:rPr>
        <w:t>the Outstanding Accommodation in respect of those rights may be calculated separately from the other Outstanding Accommodation.</w:t>
      </w:r>
    </w:p>
    <w:p>
      <w:pPr>
        <w:spacing w:after="0" w:line="66" w:lineRule="exact"/>
        <w:rPr>
          <w:rFonts w:ascii="Arial" w:cs="Arial" w:eastAsia="Arial" w:hAnsi="Arial"/>
          <w:sz w:val="13"/>
          <w:szCs w:val="13"/>
          <w:color w:val="auto"/>
        </w:rPr>
      </w:pPr>
    </w:p>
    <w:p>
      <w:pPr>
        <w:ind w:left="1360" w:right="40" w:hanging="504"/>
        <w:spacing w:after="0" w:line="238" w:lineRule="auto"/>
        <w:tabs>
          <w:tab w:leader="none" w:pos="1360" w:val="left"/>
        </w:tabs>
        <w:numPr>
          <w:ilvl w:val="0"/>
          <w:numId w:val="433"/>
        </w:numPr>
        <w:rPr>
          <w:rFonts w:ascii="Arial" w:cs="Arial" w:eastAsia="Arial" w:hAnsi="Arial"/>
          <w:sz w:val="13"/>
          <w:szCs w:val="13"/>
          <w:color w:val="auto"/>
        </w:rPr>
      </w:pPr>
      <w:r>
        <w:rPr>
          <w:rFonts w:ascii="Arial" w:cs="Arial" w:eastAsia="Arial" w:hAnsi="Arial"/>
          <w:sz w:val="13"/>
          <w:szCs w:val="13"/>
          <w:color w:val="auto"/>
        </w:rPr>
        <w:t>If the Bank assigns its rights or transfers its rights and obligations under this document or any other Transaction Document, no Transaction Party will be required to pay any net increase in the aggregate amount of costs, Taxes, fees or charges which is a direct consequence of the assignment or transfer.</w:t>
      </w:r>
    </w:p>
    <w:p>
      <w:pPr>
        <w:spacing w:after="0" w:line="67" w:lineRule="exact"/>
        <w:rPr>
          <w:sz w:val="20"/>
          <w:szCs w:val="20"/>
          <w:color w:val="auto"/>
        </w:rPr>
      </w:pPr>
    </w:p>
    <w:p>
      <w:pPr>
        <w:spacing w:after="0"/>
        <w:tabs>
          <w:tab w:leader="none" w:pos="2920" w:val="left"/>
        </w:tabs>
        <w:rPr>
          <w:sz w:val="20"/>
          <w:szCs w:val="20"/>
          <w:color w:val="auto"/>
        </w:rPr>
      </w:pPr>
      <w:r>
        <w:rPr>
          <w:rFonts w:ascii="Arial" w:cs="Arial" w:eastAsia="Arial" w:hAnsi="Arial"/>
          <w:sz w:val="14"/>
          <w:szCs w:val="14"/>
          <w:b w:val="1"/>
          <w:bCs w:val="1"/>
          <w:color w:val="auto"/>
        </w:rPr>
        <w:t>18.15</w:t>
      </w:r>
      <w:r>
        <w:rPr>
          <w:sz w:val="20"/>
          <w:szCs w:val="20"/>
          <w:color w:val="auto"/>
        </w:rPr>
        <w:tab/>
      </w:r>
      <w:r>
        <w:rPr>
          <w:rFonts w:ascii="Arial" w:cs="Arial" w:eastAsia="Arial" w:hAnsi="Arial"/>
          <w:sz w:val="14"/>
          <w:szCs w:val="14"/>
          <w:b w:val="1"/>
          <w:bCs w:val="1"/>
          <w:color w:val="auto"/>
        </w:rPr>
        <w:t>Counterparts</w:t>
      </w:r>
    </w:p>
    <w:p>
      <w:pPr>
        <w:spacing w:after="0" w:line="75" w:lineRule="exact"/>
        <w:rPr>
          <w:sz w:val="20"/>
          <w:szCs w:val="20"/>
          <w:color w:val="auto"/>
        </w:rPr>
      </w:pPr>
    </w:p>
    <w:p>
      <w:pPr>
        <w:ind w:left="860"/>
        <w:spacing w:after="0"/>
        <w:rPr>
          <w:sz w:val="20"/>
          <w:szCs w:val="20"/>
          <w:color w:val="auto"/>
        </w:rPr>
      </w:pPr>
      <w:r>
        <w:rPr>
          <w:rFonts w:ascii="Arial" w:cs="Arial" w:eastAsia="Arial" w:hAnsi="Arial"/>
          <w:sz w:val="13"/>
          <w:szCs w:val="13"/>
          <w:color w:val="auto"/>
        </w:rPr>
        <w:t>This document may consist of a number of counterparts and, if so, the counterparts taken together constitute one document.</w:t>
      </w:r>
    </w:p>
    <w:p>
      <w:pPr>
        <w:spacing w:after="0" w:line="83" w:lineRule="exact"/>
        <w:rPr>
          <w:sz w:val="20"/>
          <w:szCs w:val="20"/>
          <w:color w:val="auto"/>
        </w:rPr>
      </w:pPr>
    </w:p>
    <w:p>
      <w:pPr>
        <w:spacing w:after="0"/>
        <w:tabs>
          <w:tab w:leader="none" w:pos="2180" w:val="left"/>
        </w:tabs>
        <w:rPr>
          <w:sz w:val="20"/>
          <w:szCs w:val="20"/>
          <w:color w:val="auto"/>
        </w:rPr>
      </w:pPr>
      <w:r>
        <w:rPr>
          <w:rFonts w:ascii="Arial" w:cs="Arial" w:eastAsia="Arial" w:hAnsi="Arial"/>
          <w:sz w:val="14"/>
          <w:szCs w:val="14"/>
          <w:b w:val="1"/>
          <w:bCs w:val="1"/>
          <w:color w:val="auto"/>
        </w:rPr>
        <w:t>18.16</w:t>
      </w:r>
      <w:r>
        <w:rPr>
          <w:sz w:val="20"/>
          <w:szCs w:val="20"/>
          <w:color w:val="auto"/>
        </w:rPr>
        <w:tab/>
      </w:r>
      <w:r>
        <w:rPr>
          <w:rFonts w:ascii="Arial" w:cs="Arial" w:eastAsia="Arial" w:hAnsi="Arial"/>
          <w:sz w:val="14"/>
          <w:szCs w:val="14"/>
          <w:b w:val="1"/>
          <w:bCs w:val="1"/>
          <w:color w:val="auto"/>
        </w:rPr>
        <w:t>Sovereign immunity</w:t>
      </w:r>
    </w:p>
    <w:p>
      <w:pPr>
        <w:spacing w:after="0" w:line="75" w:lineRule="exact"/>
        <w:rPr>
          <w:sz w:val="20"/>
          <w:szCs w:val="20"/>
          <w:color w:val="auto"/>
        </w:rPr>
      </w:pPr>
    </w:p>
    <w:p>
      <w:pPr>
        <w:ind w:left="860"/>
        <w:spacing w:after="0"/>
        <w:rPr>
          <w:sz w:val="20"/>
          <w:szCs w:val="20"/>
          <w:color w:val="auto"/>
        </w:rPr>
      </w:pPr>
      <w:r>
        <w:rPr>
          <w:rFonts w:ascii="Arial" w:cs="Arial" w:eastAsia="Arial" w:hAnsi="Arial"/>
          <w:sz w:val="13"/>
          <w:szCs w:val="13"/>
          <w:color w:val="auto"/>
        </w:rPr>
        <w:t>The Borrower irrevocably waives any immunity that it or its property has from:</w:t>
      </w:r>
    </w:p>
    <w:p>
      <w:pPr>
        <w:spacing w:after="0" w:line="76" w:lineRule="exact"/>
        <w:rPr>
          <w:sz w:val="20"/>
          <w:szCs w:val="20"/>
          <w:color w:val="auto"/>
        </w:rPr>
      </w:pPr>
    </w:p>
    <w:p>
      <w:pPr>
        <w:ind w:left="860"/>
        <w:spacing w:after="0"/>
        <w:tabs>
          <w:tab w:leader="none" w:pos="3400" w:val="left"/>
        </w:tabs>
        <w:rPr>
          <w:sz w:val="20"/>
          <w:szCs w:val="20"/>
          <w:color w:val="auto"/>
        </w:rPr>
      </w:pPr>
      <w:r>
        <w:rPr>
          <w:rFonts w:ascii="Arial" w:cs="Arial" w:eastAsia="Arial" w:hAnsi="Arial"/>
          <w:sz w:val="13"/>
          <w:szCs w:val="13"/>
          <w:color w:val="auto"/>
        </w:rPr>
        <w:t>(a)</w:t>
      </w:r>
      <w:r>
        <w:rPr>
          <w:sz w:val="20"/>
          <w:szCs w:val="20"/>
          <w:color w:val="auto"/>
        </w:rPr>
        <w:tab/>
      </w:r>
      <w:r>
        <w:rPr>
          <w:rFonts w:ascii="Arial" w:cs="Arial" w:eastAsia="Arial" w:hAnsi="Arial"/>
          <w:sz w:val="13"/>
          <w:szCs w:val="13"/>
          <w:color w:val="auto"/>
        </w:rPr>
        <w:t>set-off;</w:t>
      </w:r>
    </w:p>
    <w:p>
      <w:pPr>
        <w:spacing w:after="0" w:line="85" w:lineRule="exact"/>
        <w:rPr>
          <w:sz w:val="20"/>
          <w:szCs w:val="20"/>
          <w:color w:val="auto"/>
        </w:rPr>
      </w:pPr>
    </w:p>
    <w:p>
      <w:pPr>
        <w:ind w:left="1440" w:hanging="584"/>
        <w:spacing w:after="0"/>
        <w:tabs>
          <w:tab w:leader="none" w:pos="1440" w:val="left"/>
        </w:tabs>
        <w:numPr>
          <w:ilvl w:val="0"/>
          <w:numId w:val="434"/>
        </w:numPr>
        <w:rPr>
          <w:rFonts w:ascii="Arial" w:cs="Arial" w:eastAsia="Arial" w:hAnsi="Arial"/>
          <w:sz w:val="13"/>
          <w:szCs w:val="13"/>
          <w:color w:val="auto"/>
        </w:rPr>
      </w:pPr>
      <w:r>
        <w:rPr>
          <w:rFonts w:ascii="Arial" w:cs="Arial" w:eastAsia="Arial" w:hAnsi="Arial"/>
          <w:sz w:val="13"/>
          <w:szCs w:val="13"/>
          <w:color w:val="auto"/>
        </w:rPr>
        <w:t>legal, arbitral or administrative proceedings;</w:t>
      </w:r>
    </w:p>
    <w:p>
      <w:pPr>
        <w:spacing w:after="0" w:line="75" w:lineRule="exact"/>
        <w:rPr>
          <w:rFonts w:ascii="Arial" w:cs="Arial" w:eastAsia="Arial" w:hAnsi="Arial"/>
          <w:sz w:val="13"/>
          <w:szCs w:val="13"/>
          <w:color w:val="auto"/>
        </w:rPr>
      </w:pPr>
    </w:p>
    <w:p>
      <w:pPr>
        <w:ind w:left="1380" w:hanging="524"/>
        <w:spacing w:after="0" w:line="244" w:lineRule="auto"/>
        <w:tabs>
          <w:tab w:leader="none" w:pos="1380" w:val="left"/>
        </w:tabs>
        <w:numPr>
          <w:ilvl w:val="0"/>
          <w:numId w:val="434"/>
        </w:numPr>
        <w:rPr>
          <w:rFonts w:ascii="Arial" w:cs="Arial" w:eastAsia="Arial" w:hAnsi="Arial"/>
          <w:sz w:val="13"/>
          <w:szCs w:val="13"/>
          <w:color w:val="auto"/>
        </w:rPr>
      </w:pPr>
      <w:r>
        <w:rPr>
          <w:rFonts w:ascii="Arial" w:cs="Arial" w:eastAsia="Arial" w:hAnsi="Arial"/>
          <w:sz w:val="13"/>
          <w:szCs w:val="13"/>
          <w:color w:val="auto"/>
        </w:rPr>
        <w:t>any process or order of any court, administrative tribunal or arbitrator for the satisfaction or enforcement of a judgment, order or arbitral award or for the arrest, detention or sale of any property; or</w:t>
      </w:r>
    </w:p>
    <w:p>
      <w:pPr>
        <w:spacing w:after="0" w:line="56" w:lineRule="exact"/>
        <w:rPr>
          <w:rFonts w:ascii="Arial" w:cs="Arial" w:eastAsia="Arial" w:hAnsi="Arial"/>
          <w:sz w:val="13"/>
          <w:szCs w:val="13"/>
          <w:color w:val="auto"/>
        </w:rPr>
      </w:pPr>
    </w:p>
    <w:p>
      <w:pPr>
        <w:ind w:left="1280" w:hanging="424"/>
        <w:spacing w:after="0"/>
        <w:tabs>
          <w:tab w:leader="none" w:pos="1280" w:val="left"/>
        </w:tabs>
        <w:numPr>
          <w:ilvl w:val="0"/>
          <w:numId w:val="434"/>
        </w:numPr>
        <w:rPr>
          <w:rFonts w:ascii="Arial" w:cs="Arial" w:eastAsia="Arial" w:hAnsi="Arial"/>
          <w:sz w:val="13"/>
          <w:szCs w:val="13"/>
          <w:color w:val="auto"/>
        </w:rPr>
      </w:pPr>
      <w:r>
        <w:rPr>
          <w:rFonts w:ascii="Arial" w:cs="Arial" w:eastAsia="Arial" w:hAnsi="Arial"/>
          <w:sz w:val="13"/>
          <w:szCs w:val="13"/>
          <w:color w:val="auto"/>
        </w:rPr>
        <w:t>service on it of any process, judgment, order or arbitral award,</w:t>
      </w:r>
    </w:p>
    <w:p>
      <w:pPr>
        <w:spacing w:after="0" w:line="85" w:lineRule="exact"/>
        <w:rPr>
          <w:sz w:val="20"/>
          <w:szCs w:val="20"/>
          <w:color w:val="auto"/>
        </w:rPr>
      </w:pPr>
    </w:p>
    <w:p>
      <w:pPr>
        <w:ind w:left="860" w:right="220"/>
        <w:spacing w:after="0" w:line="244" w:lineRule="auto"/>
        <w:rPr>
          <w:sz w:val="20"/>
          <w:szCs w:val="20"/>
          <w:color w:val="auto"/>
        </w:rPr>
      </w:pPr>
      <w:r>
        <w:rPr>
          <w:rFonts w:ascii="Arial" w:cs="Arial" w:eastAsia="Arial" w:hAnsi="Arial"/>
          <w:sz w:val="13"/>
          <w:szCs w:val="13"/>
          <w:color w:val="auto"/>
        </w:rPr>
        <w:t>on the grounds of sovereignty or otherwise under any law of any jurisdiction where any proceedings may be brought or enforced in relation to any Event of Default under a Transaction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161925</wp:posOffset>
            </wp:positionV>
            <wp:extent cx="6208395"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208395" cy="42545"/>
                    </a:xfrm>
                    <a:prstGeom prst="rect">
                      <a:avLst/>
                    </a:prstGeom>
                    <a:noFill/>
                  </pic:spPr>
                </pic:pic>
              </a:graphicData>
            </a:graphic>
          </wp:anchor>
        </w:drawing>
      </w:r>
    </w:p>
    <w:p>
      <w:pPr>
        <w:sectPr>
          <w:pgSz w:w="11900" w:h="16838" w:orient="portrait"/>
          <w:cols w:equalWidth="0" w:num="1">
            <w:col w:w="9560"/>
          </w:cols>
          <w:pgMar w:left="1220" w:top="561" w:right="1119" w:bottom="1440" w:gutter="0" w:footer="0" w:header="0"/>
        </w:sectPr>
      </w:pPr>
    </w:p>
    <w:bookmarkStart w:id="285" w:name="page286"/>
    <w:bookmarkEnd w:id="285"/>
    <w:p>
      <w:pPr>
        <w:spacing w:after="0"/>
        <w:tabs>
          <w:tab w:leader="none" w:pos="1600" w:val="left"/>
        </w:tabs>
        <w:rPr>
          <w:sz w:val="20"/>
          <w:szCs w:val="20"/>
          <w:color w:val="auto"/>
        </w:rPr>
      </w:pPr>
      <w:r>
        <w:rPr>
          <w:rFonts w:ascii="Arial" w:cs="Arial" w:eastAsia="Arial" w:hAnsi="Arial"/>
          <w:sz w:val="14"/>
          <w:szCs w:val="14"/>
          <w:b w:val="1"/>
          <w:bCs w:val="1"/>
          <w:color w:val="auto"/>
        </w:rPr>
        <w:t>18.17</w:t>
      </w:r>
      <w:r>
        <w:rPr>
          <w:sz w:val="20"/>
          <w:szCs w:val="20"/>
          <w:color w:val="auto"/>
        </w:rPr>
        <w:tab/>
      </w:r>
      <w:r>
        <w:rPr>
          <w:rFonts w:ascii="Arial" w:cs="Arial" w:eastAsia="Arial" w:hAnsi="Arial"/>
          <w:sz w:val="14"/>
          <w:szCs w:val="14"/>
          <w:b w:val="1"/>
          <w:bCs w:val="1"/>
          <w:color w:val="auto"/>
        </w:rPr>
        <w:t>Governing law and jurisdiction</w:t>
      </w:r>
    </w:p>
    <w:p>
      <w:pPr>
        <w:spacing w:after="0" w:line="75" w:lineRule="exact"/>
        <w:rPr>
          <w:sz w:val="20"/>
          <w:szCs w:val="20"/>
          <w:color w:val="auto"/>
        </w:rPr>
      </w:pPr>
    </w:p>
    <w:p>
      <w:pPr>
        <w:ind w:left="1400" w:hanging="544"/>
        <w:spacing w:after="0"/>
        <w:tabs>
          <w:tab w:leader="none" w:pos="1400" w:val="left"/>
        </w:tabs>
        <w:numPr>
          <w:ilvl w:val="0"/>
          <w:numId w:val="435"/>
        </w:numPr>
        <w:rPr>
          <w:rFonts w:ascii="Arial" w:cs="Arial" w:eastAsia="Arial" w:hAnsi="Arial"/>
          <w:sz w:val="13"/>
          <w:szCs w:val="13"/>
          <w:color w:val="auto"/>
        </w:rPr>
      </w:pPr>
      <w:r>
        <w:rPr>
          <w:rFonts w:ascii="Arial" w:cs="Arial" w:eastAsia="Arial" w:hAnsi="Arial"/>
          <w:sz w:val="13"/>
          <w:szCs w:val="13"/>
          <w:color w:val="auto"/>
        </w:rPr>
        <w:t>This document is governed by and is to be construed in accordance with the laws applicable in the Relevant Jurisdiction.</w:t>
      </w:r>
    </w:p>
    <w:p>
      <w:pPr>
        <w:spacing w:after="0" w:line="66" w:lineRule="exact"/>
        <w:rPr>
          <w:rFonts w:ascii="Arial" w:cs="Arial" w:eastAsia="Arial" w:hAnsi="Arial"/>
          <w:sz w:val="13"/>
          <w:szCs w:val="13"/>
          <w:color w:val="auto"/>
        </w:rPr>
      </w:pPr>
    </w:p>
    <w:p>
      <w:pPr>
        <w:ind w:left="1440" w:right="200" w:hanging="584"/>
        <w:spacing w:after="0" w:line="238" w:lineRule="auto"/>
        <w:tabs>
          <w:tab w:leader="none" w:pos="1440" w:val="left"/>
        </w:tabs>
        <w:numPr>
          <w:ilvl w:val="0"/>
          <w:numId w:val="435"/>
        </w:numPr>
        <w:rPr>
          <w:rFonts w:ascii="Arial" w:cs="Arial" w:eastAsia="Arial" w:hAnsi="Arial"/>
          <w:sz w:val="13"/>
          <w:szCs w:val="13"/>
          <w:color w:val="auto"/>
        </w:rPr>
      </w:pPr>
      <w:r>
        <w:rPr>
          <w:rFonts w:ascii="Arial" w:cs="Arial" w:eastAsia="Arial" w:hAnsi="Arial"/>
          <w:sz w:val="13"/>
          <w:szCs w:val="13"/>
          <w:color w:val="auto"/>
        </w:rPr>
        <w:t>Each party irrevocably and unconditionally submits to the non-exclusive jurisdiction of the courts exercising jurisdiction in the Relevant Jurisdiction and any courts which have jurisdiction to hear appeals from any of those courts and waives any right to object to any proceedings being brought in those courts.</w:t>
      </w:r>
    </w:p>
    <w:p>
      <w:pPr>
        <w:spacing w:after="0" w:line="67" w:lineRule="exact"/>
        <w:rPr>
          <w:sz w:val="20"/>
          <w:szCs w:val="20"/>
          <w:color w:val="auto"/>
        </w:rPr>
      </w:pPr>
    </w:p>
    <w:p>
      <w:pPr>
        <w:spacing w:after="0"/>
        <w:tabs>
          <w:tab w:leader="none" w:pos="2140" w:val="left"/>
        </w:tabs>
        <w:rPr>
          <w:sz w:val="20"/>
          <w:szCs w:val="20"/>
          <w:color w:val="auto"/>
        </w:rPr>
      </w:pPr>
      <w:r>
        <w:rPr>
          <w:rFonts w:ascii="Arial" w:cs="Arial" w:eastAsia="Arial" w:hAnsi="Arial"/>
          <w:sz w:val="14"/>
          <w:szCs w:val="14"/>
          <w:b w:val="1"/>
          <w:bCs w:val="1"/>
          <w:color w:val="auto"/>
        </w:rPr>
        <w:t>18.18</w:t>
      </w:r>
      <w:r>
        <w:rPr>
          <w:sz w:val="20"/>
          <w:szCs w:val="20"/>
          <w:color w:val="auto"/>
        </w:rPr>
        <w:tab/>
      </w:r>
      <w:r>
        <w:rPr>
          <w:rFonts w:ascii="Arial" w:cs="Arial" w:eastAsia="Arial" w:hAnsi="Arial"/>
          <w:sz w:val="14"/>
          <w:szCs w:val="14"/>
          <w:b w:val="1"/>
          <w:bCs w:val="1"/>
          <w:color w:val="auto"/>
        </w:rPr>
        <w:t>Telephone recording</w:t>
      </w:r>
    </w:p>
    <w:p>
      <w:pPr>
        <w:spacing w:after="0" w:line="75" w:lineRule="exact"/>
        <w:rPr>
          <w:sz w:val="20"/>
          <w:szCs w:val="20"/>
          <w:color w:val="auto"/>
        </w:rPr>
      </w:pPr>
    </w:p>
    <w:p>
      <w:pPr>
        <w:jc w:val="both"/>
        <w:ind w:left="860" w:right="100"/>
        <w:spacing w:after="0" w:line="238" w:lineRule="auto"/>
        <w:rPr>
          <w:sz w:val="20"/>
          <w:szCs w:val="20"/>
          <w:color w:val="auto"/>
        </w:rPr>
      </w:pPr>
      <w:r>
        <w:rPr>
          <w:rFonts w:ascii="Arial" w:cs="Arial" w:eastAsia="Arial" w:hAnsi="Arial"/>
          <w:sz w:val="13"/>
          <w:szCs w:val="13"/>
          <w:color w:val="auto"/>
        </w:rPr>
        <w:t>The Borrower consents to the Bank recording any telephone conversations between it and the Bank in relation to any Facility that are customarily recorded in the finance industry or where the Borrower is notified prior to the commencement of the telephone conversation and such recordings being used in any arbitral or legal proceedings and any telephone recording remains the Bank’s sole property at all times.</w:t>
      </w:r>
    </w:p>
    <w:p>
      <w:pPr>
        <w:spacing w:after="0" w:line="76" w:lineRule="exact"/>
        <w:rPr>
          <w:sz w:val="20"/>
          <w:szCs w:val="20"/>
          <w:color w:val="auto"/>
        </w:rPr>
      </w:pPr>
    </w:p>
    <w:p>
      <w:pPr>
        <w:spacing w:after="0"/>
        <w:tabs>
          <w:tab w:leader="none" w:pos="3000" w:val="left"/>
        </w:tabs>
        <w:rPr>
          <w:sz w:val="20"/>
          <w:szCs w:val="20"/>
          <w:color w:val="auto"/>
        </w:rPr>
      </w:pPr>
      <w:r>
        <w:rPr>
          <w:rFonts w:ascii="Arial" w:cs="Arial" w:eastAsia="Arial" w:hAnsi="Arial"/>
          <w:sz w:val="14"/>
          <w:szCs w:val="14"/>
          <w:b w:val="1"/>
          <w:bCs w:val="1"/>
          <w:color w:val="auto"/>
        </w:rPr>
        <w:t>18.19</w:t>
      </w:r>
      <w:r>
        <w:rPr>
          <w:sz w:val="20"/>
          <w:szCs w:val="20"/>
          <w:color w:val="auto"/>
        </w:rPr>
        <w:tab/>
      </w:r>
      <w:r>
        <w:rPr>
          <w:rFonts w:ascii="Arial" w:cs="Arial" w:eastAsia="Arial" w:hAnsi="Arial"/>
          <w:sz w:val="14"/>
          <w:szCs w:val="14"/>
          <w:b w:val="1"/>
          <w:bCs w:val="1"/>
          <w:color w:val="auto"/>
        </w:rPr>
        <w:t>Legal advice</w:t>
      </w:r>
    </w:p>
    <w:p>
      <w:pPr>
        <w:spacing w:after="0" w:line="75" w:lineRule="exact"/>
        <w:rPr>
          <w:sz w:val="20"/>
          <w:szCs w:val="20"/>
          <w:color w:val="auto"/>
        </w:rPr>
      </w:pPr>
    </w:p>
    <w:p>
      <w:pPr>
        <w:ind w:left="860"/>
        <w:spacing w:after="0"/>
        <w:rPr>
          <w:sz w:val="20"/>
          <w:szCs w:val="20"/>
          <w:color w:val="auto"/>
        </w:rPr>
      </w:pPr>
      <w:r>
        <w:rPr>
          <w:rFonts w:ascii="Arial" w:cs="Arial" w:eastAsia="Arial" w:hAnsi="Arial"/>
          <w:sz w:val="13"/>
          <w:szCs w:val="13"/>
          <w:color w:val="auto"/>
        </w:rPr>
        <w:t>The Borrower acknowledges that, except as expressly set out in a Transaction Document:</w:t>
      </w:r>
    </w:p>
    <w:p>
      <w:pPr>
        <w:spacing w:after="0" w:line="58" w:lineRule="exact"/>
        <w:rPr>
          <w:sz w:val="20"/>
          <w:szCs w:val="20"/>
          <w:color w:val="auto"/>
        </w:rPr>
      </w:pPr>
    </w:p>
    <w:p>
      <w:pPr>
        <w:ind w:left="1280" w:right="300" w:hanging="424"/>
        <w:spacing w:after="0" w:line="244" w:lineRule="auto"/>
        <w:tabs>
          <w:tab w:leader="none" w:pos="1280" w:val="left"/>
        </w:tabs>
        <w:numPr>
          <w:ilvl w:val="0"/>
          <w:numId w:val="436"/>
        </w:numPr>
        <w:rPr>
          <w:rFonts w:ascii="Arial" w:cs="Arial" w:eastAsia="Arial" w:hAnsi="Arial"/>
          <w:sz w:val="13"/>
          <w:szCs w:val="13"/>
          <w:color w:val="auto"/>
        </w:rPr>
      </w:pPr>
      <w:r>
        <w:rPr>
          <w:rFonts w:ascii="Arial" w:cs="Arial" w:eastAsia="Arial" w:hAnsi="Arial"/>
          <w:sz w:val="13"/>
          <w:szCs w:val="13"/>
          <w:color w:val="auto"/>
        </w:rPr>
        <w:t>none of the Bank or any of its advisers have given any representation or warranty or other assurance to it in relation to any Transaction Document or the transactions contemplated by any Transaction Document, including as to Tax or other effects;</w:t>
      </w:r>
    </w:p>
    <w:p>
      <w:pPr>
        <w:spacing w:after="0" w:line="56" w:lineRule="exact"/>
        <w:rPr>
          <w:rFonts w:ascii="Arial" w:cs="Arial" w:eastAsia="Arial" w:hAnsi="Arial"/>
          <w:sz w:val="13"/>
          <w:szCs w:val="13"/>
          <w:color w:val="auto"/>
        </w:rPr>
      </w:pPr>
    </w:p>
    <w:p>
      <w:pPr>
        <w:ind w:left="1480" w:right="60" w:hanging="624"/>
        <w:spacing w:after="0" w:line="244" w:lineRule="auto"/>
        <w:tabs>
          <w:tab w:leader="none" w:pos="1480" w:val="left"/>
        </w:tabs>
        <w:numPr>
          <w:ilvl w:val="0"/>
          <w:numId w:val="436"/>
        </w:numPr>
        <w:rPr>
          <w:rFonts w:ascii="Arial" w:cs="Arial" w:eastAsia="Arial" w:hAnsi="Arial"/>
          <w:sz w:val="13"/>
          <w:szCs w:val="13"/>
          <w:color w:val="auto"/>
        </w:rPr>
      </w:pPr>
      <w:r>
        <w:rPr>
          <w:rFonts w:ascii="Arial" w:cs="Arial" w:eastAsia="Arial" w:hAnsi="Arial"/>
          <w:sz w:val="13"/>
          <w:szCs w:val="13"/>
          <w:color w:val="auto"/>
        </w:rPr>
        <w:t>it has not relied on the Bank or any of its advisers or on any conduct (including any recommendation) by the Bank or any of its advisers; and</w:t>
      </w:r>
    </w:p>
    <w:p>
      <w:pPr>
        <w:spacing w:after="0" w:line="47" w:lineRule="exact"/>
        <w:rPr>
          <w:rFonts w:ascii="Arial" w:cs="Arial" w:eastAsia="Arial" w:hAnsi="Arial"/>
          <w:sz w:val="13"/>
          <w:szCs w:val="13"/>
          <w:color w:val="auto"/>
        </w:rPr>
      </w:pPr>
    </w:p>
    <w:p>
      <w:pPr>
        <w:ind w:left="1240" w:hanging="384"/>
        <w:spacing w:after="0"/>
        <w:tabs>
          <w:tab w:leader="none" w:pos="1240" w:val="left"/>
        </w:tabs>
        <w:numPr>
          <w:ilvl w:val="0"/>
          <w:numId w:val="436"/>
        </w:numPr>
        <w:rPr>
          <w:rFonts w:ascii="Arial" w:cs="Arial" w:eastAsia="Arial" w:hAnsi="Arial"/>
          <w:sz w:val="13"/>
          <w:szCs w:val="13"/>
          <w:color w:val="auto"/>
        </w:rPr>
      </w:pPr>
      <w:r>
        <w:rPr>
          <w:rFonts w:ascii="Arial" w:cs="Arial" w:eastAsia="Arial" w:hAnsi="Arial"/>
          <w:sz w:val="13"/>
          <w:szCs w:val="13"/>
          <w:color w:val="auto"/>
        </w:rPr>
        <w:t>it has obtained its own independent financial, Tax and legal advice.</w:t>
      </w:r>
    </w:p>
    <w:p>
      <w:pPr>
        <w:spacing w:after="0" w:line="92" w:lineRule="exact"/>
        <w:rPr>
          <w:sz w:val="20"/>
          <w:szCs w:val="20"/>
          <w:color w:val="auto"/>
        </w:rPr>
      </w:pPr>
    </w:p>
    <w:p>
      <w:pPr>
        <w:ind w:left="360"/>
        <w:spacing w:after="0"/>
        <w:tabs>
          <w:tab w:leader="none" w:pos="2500" w:val="left"/>
        </w:tabs>
        <w:rPr>
          <w:sz w:val="20"/>
          <w:szCs w:val="20"/>
          <w:color w:val="auto"/>
        </w:rPr>
      </w:pPr>
      <w:r>
        <w:rPr>
          <w:rFonts w:ascii="Arial" w:cs="Arial" w:eastAsia="Arial" w:hAnsi="Arial"/>
          <w:sz w:val="14"/>
          <w:szCs w:val="14"/>
          <w:b w:val="1"/>
          <w:bCs w:val="1"/>
          <w:color w:val="auto"/>
        </w:rPr>
        <w:t>18.20</w:t>
      </w:r>
      <w:r>
        <w:rPr>
          <w:sz w:val="20"/>
          <w:szCs w:val="20"/>
          <w:color w:val="auto"/>
        </w:rPr>
        <w:tab/>
      </w:r>
      <w:r>
        <w:rPr>
          <w:rFonts w:ascii="Arial" w:cs="Arial" w:eastAsia="Arial" w:hAnsi="Arial"/>
          <w:sz w:val="14"/>
          <w:szCs w:val="14"/>
          <w:b w:val="1"/>
          <w:bCs w:val="1"/>
          <w:color w:val="auto"/>
        </w:rPr>
        <w:t>Further assurances</w:t>
      </w:r>
    </w:p>
    <w:p>
      <w:pPr>
        <w:spacing w:after="0" w:line="75" w:lineRule="exact"/>
        <w:rPr>
          <w:sz w:val="20"/>
          <w:szCs w:val="20"/>
          <w:color w:val="auto"/>
        </w:rPr>
      </w:pPr>
    </w:p>
    <w:p>
      <w:pPr>
        <w:ind w:left="860"/>
        <w:spacing w:after="0"/>
        <w:rPr>
          <w:sz w:val="20"/>
          <w:szCs w:val="20"/>
          <w:color w:val="auto"/>
        </w:rPr>
      </w:pPr>
      <w:r>
        <w:rPr>
          <w:rFonts w:ascii="Arial" w:cs="Arial" w:eastAsia="Arial" w:hAnsi="Arial"/>
          <w:sz w:val="13"/>
          <w:szCs w:val="13"/>
          <w:color w:val="auto"/>
        </w:rPr>
        <w:t>Whenever the Bank requests a Transaction Party to do anything:</w:t>
      </w:r>
    </w:p>
    <w:p>
      <w:pPr>
        <w:spacing w:after="0" w:line="85" w:lineRule="exact"/>
        <w:rPr>
          <w:sz w:val="20"/>
          <w:szCs w:val="20"/>
          <w:color w:val="auto"/>
        </w:rPr>
      </w:pPr>
    </w:p>
    <w:p>
      <w:pPr>
        <w:ind w:left="1280" w:hanging="424"/>
        <w:spacing w:after="0" w:line="244" w:lineRule="auto"/>
        <w:tabs>
          <w:tab w:leader="none" w:pos="1280" w:val="left"/>
        </w:tabs>
        <w:numPr>
          <w:ilvl w:val="0"/>
          <w:numId w:val="437"/>
        </w:numPr>
        <w:rPr>
          <w:rFonts w:ascii="Arial" w:cs="Arial" w:eastAsia="Arial" w:hAnsi="Arial"/>
          <w:sz w:val="13"/>
          <w:szCs w:val="13"/>
          <w:color w:val="auto"/>
        </w:rPr>
      </w:pPr>
      <w:r>
        <w:rPr>
          <w:rFonts w:ascii="Arial" w:cs="Arial" w:eastAsia="Arial" w:hAnsi="Arial"/>
          <w:sz w:val="13"/>
          <w:szCs w:val="13"/>
          <w:color w:val="auto"/>
        </w:rPr>
        <w:t>to ensure any Transaction Document (or any security interest (as defined in the PPS Act) or other Security Interest, right or power under any Transaction Document) is fully effective, enforceable and perfected with the contemplated priority;</w:t>
      </w:r>
    </w:p>
    <w:p>
      <w:pPr>
        <w:spacing w:after="0" w:line="56" w:lineRule="exact"/>
        <w:rPr>
          <w:rFonts w:ascii="Arial" w:cs="Arial" w:eastAsia="Arial" w:hAnsi="Arial"/>
          <w:sz w:val="13"/>
          <w:szCs w:val="13"/>
          <w:color w:val="auto"/>
        </w:rPr>
      </w:pPr>
    </w:p>
    <w:p>
      <w:pPr>
        <w:ind w:left="1500" w:right="420" w:hanging="644"/>
        <w:spacing w:after="0" w:line="244" w:lineRule="auto"/>
        <w:tabs>
          <w:tab w:leader="none" w:pos="1500" w:val="left"/>
        </w:tabs>
        <w:numPr>
          <w:ilvl w:val="0"/>
          <w:numId w:val="437"/>
        </w:numPr>
        <w:rPr>
          <w:rFonts w:ascii="Arial" w:cs="Arial" w:eastAsia="Arial" w:hAnsi="Arial"/>
          <w:sz w:val="13"/>
          <w:szCs w:val="13"/>
          <w:color w:val="auto"/>
        </w:rPr>
      </w:pPr>
      <w:r>
        <w:rPr>
          <w:rFonts w:ascii="Arial" w:cs="Arial" w:eastAsia="Arial" w:hAnsi="Arial"/>
          <w:sz w:val="13"/>
          <w:szCs w:val="13"/>
          <w:color w:val="auto"/>
        </w:rPr>
        <w:t>for more satisfactorily assuring or securing to the Bank the property the subject of any such security interest or other Security in a manner consistent with the Transaction Documents; or</w:t>
      </w:r>
    </w:p>
    <w:p>
      <w:pPr>
        <w:spacing w:after="0" w:line="53" w:lineRule="exact"/>
        <w:rPr>
          <w:sz w:val="20"/>
          <w:szCs w:val="20"/>
          <w:color w:val="auto"/>
        </w:rPr>
      </w:pPr>
    </w:p>
    <w:p>
      <w:pPr>
        <w:ind w:left="860"/>
        <w:spacing w:after="0"/>
        <w:tabs>
          <w:tab w:leader="none" w:pos="2960" w:val="left"/>
        </w:tabs>
        <w:rPr>
          <w:sz w:val="20"/>
          <w:szCs w:val="20"/>
          <w:color w:val="auto"/>
        </w:rPr>
      </w:pPr>
      <w:r>
        <w:rPr>
          <w:rFonts w:ascii="Arial" w:cs="Arial" w:eastAsia="Arial" w:hAnsi="Arial"/>
          <w:sz w:val="13"/>
          <w:szCs w:val="13"/>
          <w:color w:val="auto"/>
        </w:rPr>
        <w:t>(c)</w:t>
      </w:r>
      <w:r>
        <w:rPr>
          <w:sz w:val="20"/>
          <w:szCs w:val="20"/>
          <w:color w:val="auto"/>
        </w:rPr>
        <w:tab/>
      </w:r>
      <w:r>
        <w:rPr>
          <w:rFonts w:ascii="Arial" w:cs="Arial" w:eastAsia="Arial" w:hAnsi="Arial"/>
          <w:sz w:val="13"/>
          <w:szCs w:val="13"/>
          <w:color w:val="auto"/>
        </w:rPr>
        <w:t>for aiding the exercise of any right or power in any Transaction Document,</w:t>
      </w:r>
    </w:p>
    <w:p>
      <w:pPr>
        <w:spacing w:after="0" w:line="70" w:lineRule="exact"/>
        <w:rPr>
          <w:sz w:val="20"/>
          <w:szCs w:val="20"/>
          <w:color w:val="auto"/>
        </w:rPr>
      </w:pPr>
    </w:p>
    <w:p>
      <w:pPr>
        <w:jc w:val="both"/>
        <w:ind w:left="860"/>
        <w:spacing w:after="0" w:line="238" w:lineRule="auto"/>
        <w:rPr>
          <w:sz w:val="20"/>
          <w:szCs w:val="20"/>
          <w:color w:val="auto"/>
        </w:rPr>
      </w:pPr>
      <w:r>
        <w:rPr>
          <w:rFonts w:ascii="Arial" w:cs="Arial" w:eastAsia="Arial" w:hAnsi="Arial"/>
          <w:sz w:val="13"/>
          <w:szCs w:val="13"/>
          <w:color w:val="auto"/>
        </w:rPr>
        <w:t>the Transaction Party shall do it promptly at its own cost. This may include obtaining consents, getting documents completed and signed, supplying information, delivering documents and evidence of title and executed blank transfers, and giving possession or control with respect to any Secured Property.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163830</wp:posOffset>
            </wp:positionV>
            <wp:extent cx="6208395"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208395" cy="42545"/>
                    </a:xfrm>
                    <a:prstGeom prst="rect">
                      <a:avLst/>
                    </a:prstGeom>
                    <a:noFill/>
                  </pic:spPr>
                </pic:pic>
              </a:graphicData>
            </a:graphic>
          </wp:anchor>
        </w:drawing>
      </w:r>
    </w:p>
    <w:p>
      <w:pPr>
        <w:sectPr>
          <w:pgSz w:w="11900" w:h="16838" w:orient="portrait"/>
          <w:cols w:equalWidth="0" w:num="1">
            <w:col w:w="9440"/>
          </w:cols>
          <w:pgMar w:left="1220" w:top="514" w:right="1239" w:bottom="1440" w:gutter="0" w:footer="0" w:header="0"/>
        </w:sectPr>
      </w:pPr>
    </w:p>
    <w:bookmarkStart w:id="286" w:name="page287"/>
    <w:bookmarkEnd w:id="286"/>
    <w:p>
      <w:pPr>
        <w:ind w:left="140"/>
        <w:spacing w:after="0"/>
        <w:tabs>
          <w:tab w:leader="none" w:pos="1660" w:val="left"/>
        </w:tabs>
        <w:rPr>
          <w:sz w:val="20"/>
          <w:szCs w:val="20"/>
          <w:color w:val="auto"/>
        </w:rPr>
      </w:pPr>
      <w:r>
        <w:rPr>
          <w:rFonts w:ascii="Arial" w:cs="Arial" w:eastAsia="Arial" w:hAnsi="Arial"/>
          <w:sz w:val="14"/>
          <w:szCs w:val="14"/>
          <w:b w:val="1"/>
          <w:bCs w:val="1"/>
          <w:color w:val="auto"/>
        </w:rPr>
        <w:t>18.21</w:t>
      </w:r>
      <w:r>
        <w:rPr>
          <w:sz w:val="20"/>
          <w:szCs w:val="20"/>
          <w:color w:val="auto"/>
        </w:rPr>
        <w:tab/>
      </w:r>
      <w:r>
        <w:rPr>
          <w:rFonts w:ascii="Arial" w:cs="Arial" w:eastAsia="Arial" w:hAnsi="Arial"/>
          <w:sz w:val="14"/>
          <w:szCs w:val="14"/>
          <w:b w:val="1"/>
          <w:bCs w:val="1"/>
          <w:color w:val="auto"/>
        </w:rPr>
        <w:t>Exclusion of certain provisions</w:t>
      </w:r>
    </w:p>
    <w:p>
      <w:pPr>
        <w:spacing w:after="0" w:line="75" w:lineRule="exact"/>
        <w:rPr>
          <w:sz w:val="20"/>
          <w:szCs w:val="20"/>
          <w:color w:val="auto"/>
        </w:rPr>
      </w:pPr>
    </w:p>
    <w:p>
      <w:pPr>
        <w:ind w:left="640"/>
        <w:spacing w:after="0"/>
        <w:rPr>
          <w:sz w:val="20"/>
          <w:szCs w:val="20"/>
          <w:color w:val="auto"/>
        </w:rPr>
      </w:pPr>
      <w:r>
        <w:rPr>
          <w:rFonts w:ascii="Arial" w:cs="Arial" w:eastAsia="Arial" w:hAnsi="Arial"/>
          <w:sz w:val="13"/>
          <w:szCs w:val="13"/>
          <w:color w:val="auto"/>
        </w:rPr>
        <w:t>Where there is a Security Interest under any Transaction Document:</w:t>
      </w:r>
    </w:p>
    <w:p>
      <w:pPr>
        <w:spacing w:after="0" w:line="85" w:lineRule="exact"/>
        <w:rPr>
          <w:sz w:val="20"/>
          <w:szCs w:val="20"/>
          <w:color w:val="auto"/>
        </w:rPr>
      </w:pPr>
    </w:p>
    <w:p>
      <w:pPr>
        <w:ind w:left="1180" w:right="120" w:hanging="544"/>
        <w:spacing w:after="0" w:line="244" w:lineRule="auto"/>
        <w:tabs>
          <w:tab w:leader="none" w:pos="1180" w:val="left"/>
        </w:tabs>
        <w:numPr>
          <w:ilvl w:val="0"/>
          <w:numId w:val="438"/>
        </w:numPr>
        <w:rPr>
          <w:rFonts w:ascii="Arial" w:cs="Arial" w:eastAsia="Arial" w:hAnsi="Arial"/>
          <w:sz w:val="13"/>
          <w:szCs w:val="13"/>
          <w:color w:val="auto"/>
        </w:rPr>
      </w:pPr>
      <w:r>
        <w:rPr>
          <w:rFonts w:ascii="Arial" w:cs="Arial" w:eastAsia="Arial" w:hAnsi="Arial"/>
          <w:sz w:val="13"/>
          <w:szCs w:val="13"/>
          <w:color w:val="auto"/>
        </w:rPr>
        <w:t>to the extent permitted, sections 142 and 143 of the PPS Act are excluded in full and will not apply to that Security Interest and the Bank need not comply with sections 95, 118, 121(4), 125, 130 ,132(3)(d), and 132(4) of the PPS Act; and</w:t>
      </w:r>
    </w:p>
    <w:p>
      <w:pPr>
        <w:spacing w:after="0" w:line="56" w:lineRule="exact"/>
        <w:rPr>
          <w:rFonts w:ascii="Arial" w:cs="Arial" w:eastAsia="Arial" w:hAnsi="Arial"/>
          <w:sz w:val="13"/>
          <w:szCs w:val="13"/>
          <w:color w:val="auto"/>
        </w:rPr>
      </w:pPr>
    </w:p>
    <w:p>
      <w:pPr>
        <w:ind w:left="1300" w:right="100" w:hanging="664"/>
        <w:spacing w:after="0" w:line="244" w:lineRule="auto"/>
        <w:tabs>
          <w:tab w:leader="none" w:pos="1300" w:val="left"/>
        </w:tabs>
        <w:numPr>
          <w:ilvl w:val="0"/>
          <w:numId w:val="438"/>
        </w:numPr>
        <w:rPr>
          <w:rFonts w:ascii="Arial" w:cs="Arial" w:eastAsia="Arial" w:hAnsi="Arial"/>
          <w:sz w:val="13"/>
          <w:szCs w:val="13"/>
          <w:color w:val="auto"/>
        </w:rPr>
      </w:pPr>
      <w:r>
        <w:rPr>
          <w:rFonts w:ascii="Arial" w:cs="Arial" w:eastAsia="Arial" w:hAnsi="Arial"/>
          <w:sz w:val="13"/>
          <w:szCs w:val="13"/>
          <w:color w:val="auto"/>
        </w:rPr>
        <w:t>each Transaction Party waives its right to receive from the Bank any notice required under s157 of the PPS Act or the provisions of the PPS Act referred to in s144 of the PPS Act, except section 135.</w:t>
      </w:r>
    </w:p>
    <w:p>
      <w:pPr>
        <w:spacing w:after="0" w:line="56" w:lineRule="exact"/>
        <w:rPr>
          <w:sz w:val="20"/>
          <w:szCs w:val="20"/>
          <w:color w:val="auto"/>
        </w:rPr>
      </w:pPr>
    </w:p>
    <w:p>
      <w:pPr>
        <w:ind w:left="640" w:right="460"/>
        <w:spacing w:after="0" w:line="244" w:lineRule="auto"/>
        <w:rPr>
          <w:sz w:val="20"/>
          <w:szCs w:val="20"/>
          <w:color w:val="auto"/>
        </w:rPr>
      </w:pPr>
      <w:r>
        <w:rPr>
          <w:rFonts w:ascii="Arial" w:cs="Arial" w:eastAsia="Arial" w:hAnsi="Arial"/>
          <w:sz w:val="13"/>
          <w:szCs w:val="13"/>
          <w:color w:val="auto"/>
        </w:rPr>
        <w:t>This does not affect any rights a person has or would have other than by reason of the PPS Act and applies despite any other clause in any Transaction Document.</w:t>
      </w:r>
    </w:p>
    <w:p>
      <w:pPr>
        <w:spacing w:after="0" w:line="63" w:lineRule="exact"/>
        <w:rPr>
          <w:sz w:val="20"/>
          <w:szCs w:val="20"/>
          <w:color w:val="auto"/>
        </w:rPr>
      </w:pPr>
    </w:p>
    <w:p>
      <w:pPr>
        <w:ind w:left="140"/>
        <w:spacing w:after="0"/>
        <w:tabs>
          <w:tab w:leader="none" w:pos="2400" w:val="left"/>
        </w:tabs>
        <w:rPr>
          <w:sz w:val="20"/>
          <w:szCs w:val="20"/>
          <w:color w:val="auto"/>
        </w:rPr>
      </w:pPr>
      <w:r>
        <w:rPr>
          <w:rFonts w:ascii="Arial" w:cs="Arial" w:eastAsia="Arial" w:hAnsi="Arial"/>
          <w:sz w:val="14"/>
          <w:szCs w:val="14"/>
          <w:b w:val="1"/>
          <w:bCs w:val="1"/>
          <w:color w:val="auto"/>
        </w:rPr>
        <w:t>18.22</w:t>
      </w:r>
      <w:r>
        <w:rPr>
          <w:sz w:val="20"/>
          <w:szCs w:val="20"/>
          <w:color w:val="auto"/>
        </w:rPr>
        <w:tab/>
      </w:r>
      <w:r>
        <w:rPr>
          <w:rFonts w:ascii="Arial" w:cs="Arial" w:eastAsia="Arial" w:hAnsi="Arial"/>
          <w:sz w:val="14"/>
          <w:szCs w:val="14"/>
          <w:b w:val="1"/>
          <w:bCs w:val="1"/>
          <w:color w:val="auto"/>
        </w:rPr>
        <w:t>Notice of changes</w:t>
      </w:r>
    </w:p>
    <w:p>
      <w:pPr>
        <w:spacing w:after="0" w:line="75" w:lineRule="exact"/>
        <w:rPr>
          <w:sz w:val="20"/>
          <w:szCs w:val="20"/>
          <w:color w:val="auto"/>
        </w:rPr>
      </w:pPr>
    </w:p>
    <w:p>
      <w:pPr>
        <w:ind w:left="640"/>
        <w:spacing w:after="0"/>
        <w:rPr>
          <w:sz w:val="20"/>
          <w:szCs w:val="20"/>
          <w:color w:val="auto"/>
        </w:rPr>
      </w:pPr>
      <w:r>
        <w:rPr>
          <w:rFonts w:ascii="Arial" w:cs="Arial" w:eastAsia="Arial" w:hAnsi="Arial"/>
          <w:sz w:val="13"/>
          <w:szCs w:val="13"/>
          <w:color w:val="auto"/>
        </w:rPr>
        <w:t>Each Transaction Party agrees to notify the Bank at least 14 days before:</w:t>
      </w:r>
    </w:p>
    <w:p>
      <w:pPr>
        <w:spacing w:after="0" w:line="85" w:lineRule="exact"/>
        <w:rPr>
          <w:sz w:val="20"/>
          <w:szCs w:val="20"/>
          <w:color w:val="auto"/>
        </w:rPr>
      </w:pPr>
    </w:p>
    <w:p>
      <w:pPr>
        <w:ind w:left="1200" w:right="80" w:hanging="564"/>
        <w:spacing w:after="0" w:line="244" w:lineRule="auto"/>
        <w:tabs>
          <w:tab w:leader="none" w:pos="1200" w:val="left"/>
        </w:tabs>
        <w:numPr>
          <w:ilvl w:val="0"/>
          <w:numId w:val="439"/>
        </w:numPr>
        <w:rPr>
          <w:rFonts w:ascii="Arial" w:cs="Arial" w:eastAsia="Arial" w:hAnsi="Arial"/>
          <w:sz w:val="13"/>
          <w:szCs w:val="13"/>
          <w:color w:val="auto"/>
        </w:rPr>
      </w:pPr>
      <w:r>
        <w:rPr>
          <w:rFonts w:ascii="Arial" w:cs="Arial" w:eastAsia="Arial" w:hAnsi="Arial"/>
          <w:sz w:val="13"/>
          <w:szCs w:val="13"/>
          <w:color w:val="auto"/>
        </w:rPr>
        <w:t>a Transaction Party (or if the Transaction Party is trustee of a Trust or a partner of a partnership, the Trust or the partnership) changes its name;</w:t>
      </w:r>
    </w:p>
    <w:p>
      <w:pPr>
        <w:spacing w:after="0" w:line="47" w:lineRule="exact"/>
        <w:rPr>
          <w:rFonts w:ascii="Arial" w:cs="Arial" w:eastAsia="Arial" w:hAnsi="Arial"/>
          <w:sz w:val="13"/>
          <w:szCs w:val="13"/>
          <w:color w:val="auto"/>
        </w:rPr>
      </w:pPr>
    </w:p>
    <w:p>
      <w:pPr>
        <w:ind w:left="1300" w:hanging="664"/>
        <w:spacing w:after="0" w:line="238" w:lineRule="auto"/>
        <w:tabs>
          <w:tab w:leader="none" w:pos="1300" w:val="left"/>
        </w:tabs>
        <w:numPr>
          <w:ilvl w:val="0"/>
          <w:numId w:val="439"/>
        </w:numPr>
        <w:rPr>
          <w:rFonts w:ascii="Arial" w:cs="Arial" w:eastAsia="Arial" w:hAnsi="Arial"/>
          <w:sz w:val="13"/>
          <w:szCs w:val="13"/>
          <w:color w:val="auto"/>
        </w:rPr>
      </w:pPr>
      <w:r>
        <w:rPr>
          <w:rFonts w:ascii="Arial" w:cs="Arial" w:eastAsia="Arial" w:hAnsi="Arial"/>
          <w:sz w:val="13"/>
          <w:szCs w:val="13"/>
          <w:color w:val="auto"/>
        </w:rPr>
        <w:t>any ABN, ARBN or ARSN allocated to a Transaction Party (or if the Transaction Party is trustee of a Trust or a partner of a partnership, the Trust or the partnership) changes, is cancelled or otherwise ceases to apply to it (or if it does not have an ABN, ARBN or ARSN, one is allocated, or otherwise starts to apply, to it); or</w:t>
      </w:r>
    </w:p>
    <w:p>
      <w:pPr>
        <w:spacing w:after="0" w:line="59" w:lineRule="exact"/>
        <w:rPr>
          <w:rFonts w:ascii="Arial" w:cs="Arial" w:eastAsia="Arial" w:hAnsi="Arial"/>
          <w:sz w:val="13"/>
          <w:szCs w:val="13"/>
          <w:color w:val="auto"/>
        </w:rPr>
      </w:pPr>
    </w:p>
    <w:p>
      <w:pPr>
        <w:ind w:left="1440" w:right="520" w:hanging="804"/>
        <w:spacing w:after="0" w:line="244" w:lineRule="auto"/>
        <w:tabs>
          <w:tab w:leader="none" w:pos="1440" w:val="left"/>
        </w:tabs>
        <w:numPr>
          <w:ilvl w:val="0"/>
          <w:numId w:val="439"/>
        </w:numPr>
        <w:rPr>
          <w:rFonts w:ascii="Arial" w:cs="Arial" w:eastAsia="Arial" w:hAnsi="Arial"/>
          <w:sz w:val="13"/>
          <w:szCs w:val="13"/>
          <w:color w:val="auto"/>
        </w:rPr>
      </w:pPr>
      <w:r>
        <w:rPr>
          <w:rFonts w:ascii="Arial" w:cs="Arial" w:eastAsia="Arial" w:hAnsi="Arial"/>
          <w:sz w:val="13"/>
          <w:szCs w:val="13"/>
          <w:color w:val="auto"/>
        </w:rPr>
        <w:t>the Borrower becomes trustee of a trust, or a partner in a partnership, which is not expressly contemplated in the Transaction Documents.</w:t>
      </w:r>
    </w:p>
    <w:p>
      <w:pPr>
        <w:spacing w:after="0" w:line="254" w:lineRule="exact"/>
        <w:rPr>
          <w:sz w:val="20"/>
          <w:szCs w:val="20"/>
          <w:color w:val="auto"/>
        </w:rPr>
      </w:pPr>
    </w:p>
    <w:p>
      <w:pPr>
        <w:ind w:left="140"/>
        <w:spacing w:after="0"/>
        <w:tabs>
          <w:tab w:leader="none" w:pos="2580" w:val="left"/>
        </w:tabs>
        <w:rPr>
          <w:sz w:val="20"/>
          <w:szCs w:val="20"/>
          <w:color w:val="auto"/>
        </w:rPr>
      </w:pPr>
      <w:r>
        <w:rPr>
          <w:rFonts w:ascii="Arial" w:cs="Arial" w:eastAsia="Arial" w:hAnsi="Arial"/>
          <w:sz w:val="19"/>
          <w:szCs w:val="19"/>
          <w:color w:val="auto"/>
        </w:rPr>
        <w:t>19</w:t>
      </w:r>
      <w:r>
        <w:rPr>
          <w:sz w:val="20"/>
          <w:szCs w:val="20"/>
          <w:color w:val="auto"/>
        </w:rPr>
        <w:tab/>
      </w:r>
      <w:r>
        <w:rPr>
          <w:rFonts w:ascii="Arial" w:cs="Arial" w:eastAsia="Arial" w:hAnsi="Arial"/>
          <w:sz w:val="19"/>
          <w:szCs w:val="19"/>
          <w:color w:val="auto"/>
        </w:rPr>
        <w:t>Notices</w:t>
      </w:r>
    </w:p>
    <w:p>
      <w:pPr>
        <w:spacing w:after="0" w:line="68" w:lineRule="exact"/>
        <w:rPr>
          <w:sz w:val="20"/>
          <w:szCs w:val="20"/>
          <w:color w:val="auto"/>
        </w:rPr>
      </w:pPr>
    </w:p>
    <w:p>
      <w:pPr>
        <w:ind w:left="140"/>
        <w:spacing w:after="0"/>
        <w:tabs>
          <w:tab w:leader="none" w:pos="3500" w:val="left"/>
        </w:tabs>
        <w:rPr>
          <w:sz w:val="20"/>
          <w:szCs w:val="20"/>
          <w:color w:val="auto"/>
        </w:rPr>
      </w:pPr>
      <w:r>
        <w:rPr>
          <w:rFonts w:ascii="Arial" w:cs="Arial" w:eastAsia="Arial" w:hAnsi="Arial"/>
          <w:sz w:val="14"/>
          <w:szCs w:val="14"/>
          <w:b w:val="1"/>
          <w:bCs w:val="1"/>
          <w:color w:val="auto"/>
        </w:rPr>
        <w:t>19.1</w:t>
      </w:r>
      <w:r>
        <w:rPr>
          <w:sz w:val="20"/>
          <w:szCs w:val="20"/>
          <w:color w:val="auto"/>
        </w:rPr>
        <w:tab/>
      </w:r>
      <w:r>
        <w:rPr>
          <w:rFonts w:ascii="Arial" w:cs="Arial" w:eastAsia="Arial" w:hAnsi="Arial"/>
          <w:sz w:val="14"/>
          <w:szCs w:val="14"/>
          <w:b w:val="1"/>
          <w:bCs w:val="1"/>
          <w:color w:val="auto"/>
        </w:rPr>
        <w:t>General</w:t>
      </w:r>
    </w:p>
    <w:p>
      <w:pPr>
        <w:spacing w:after="0" w:line="84" w:lineRule="exact"/>
        <w:rPr>
          <w:sz w:val="20"/>
          <w:szCs w:val="20"/>
          <w:color w:val="auto"/>
        </w:rPr>
      </w:pPr>
    </w:p>
    <w:p>
      <w:pPr>
        <w:ind w:left="640" w:right="20"/>
        <w:spacing w:after="0" w:line="244" w:lineRule="auto"/>
        <w:rPr>
          <w:sz w:val="20"/>
          <w:szCs w:val="20"/>
          <w:color w:val="auto"/>
        </w:rPr>
      </w:pPr>
      <w:r>
        <w:rPr>
          <w:rFonts w:ascii="Arial" w:cs="Arial" w:eastAsia="Arial" w:hAnsi="Arial"/>
          <w:sz w:val="13"/>
          <w:szCs w:val="13"/>
          <w:color w:val="auto"/>
        </w:rPr>
        <w:t>A notice, demand, certification, process or other communication relating to a Transaction Document must be in writing in English and may be given by an Authorised Representative of the sender.</w:t>
      </w:r>
    </w:p>
    <w:p>
      <w:pPr>
        <w:spacing w:after="0" w:line="63" w:lineRule="exact"/>
        <w:rPr>
          <w:sz w:val="20"/>
          <w:szCs w:val="20"/>
          <w:color w:val="auto"/>
        </w:rPr>
      </w:pPr>
    </w:p>
    <w:p>
      <w:pPr>
        <w:ind w:left="140"/>
        <w:spacing w:after="0"/>
        <w:tabs>
          <w:tab w:leader="none" w:pos="1440" w:val="left"/>
        </w:tabs>
        <w:rPr>
          <w:sz w:val="20"/>
          <w:szCs w:val="20"/>
          <w:color w:val="auto"/>
        </w:rPr>
      </w:pPr>
      <w:r>
        <w:rPr>
          <w:rFonts w:ascii="Arial" w:cs="Arial" w:eastAsia="Arial" w:hAnsi="Arial"/>
          <w:sz w:val="14"/>
          <w:szCs w:val="14"/>
          <w:b w:val="1"/>
          <w:bCs w:val="1"/>
          <w:color w:val="auto"/>
        </w:rPr>
        <w:t>19.2</w:t>
      </w:r>
      <w:r>
        <w:rPr>
          <w:sz w:val="20"/>
          <w:szCs w:val="20"/>
          <w:color w:val="auto"/>
        </w:rPr>
        <w:tab/>
      </w:r>
      <w:r>
        <w:rPr>
          <w:rFonts w:ascii="Arial" w:cs="Arial" w:eastAsia="Arial" w:hAnsi="Arial"/>
          <w:sz w:val="14"/>
          <w:szCs w:val="14"/>
          <w:b w:val="1"/>
          <w:bCs w:val="1"/>
          <w:color w:val="auto"/>
        </w:rPr>
        <w:t>How to give a communication</w:t>
      </w:r>
    </w:p>
    <w:p>
      <w:pPr>
        <w:spacing w:after="0" w:line="75" w:lineRule="exact"/>
        <w:rPr>
          <w:sz w:val="20"/>
          <w:szCs w:val="20"/>
          <w:color w:val="auto"/>
        </w:rPr>
      </w:pPr>
    </w:p>
    <w:p>
      <w:pPr>
        <w:ind w:left="640"/>
        <w:spacing w:after="0"/>
        <w:rPr>
          <w:sz w:val="20"/>
          <w:szCs w:val="20"/>
          <w:color w:val="auto"/>
        </w:rPr>
      </w:pPr>
      <w:r>
        <w:rPr>
          <w:rFonts w:ascii="Arial" w:cs="Arial" w:eastAsia="Arial" w:hAnsi="Arial"/>
          <w:sz w:val="13"/>
          <w:szCs w:val="13"/>
          <w:color w:val="auto"/>
        </w:rPr>
        <w:t>In addition to any other lawful means, a communication may be given by being:</w:t>
      </w:r>
    </w:p>
    <w:p>
      <w:pPr>
        <w:spacing w:after="0" w:line="76" w:lineRule="exact"/>
        <w:rPr>
          <w:sz w:val="20"/>
          <w:szCs w:val="20"/>
          <w:color w:val="auto"/>
        </w:rPr>
      </w:pPr>
    </w:p>
    <w:p>
      <w:pPr>
        <w:ind w:left="1720" w:hanging="1084"/>
        <w:spacing w:after="0"/>
        <w:tabs>
          <w:tab w:leader="none" w:pos="1720" w:val="left"/>
        </w:tabs>
        <w:numPr>
          <w:ilvl w:val="0"/>
          <w:numId w:val="440"/>
        </w:numPr>
        <w:rPr>
          <w:rFonts w:ascii="Arial" w:cs="Arial" w:eastAsia="Arial" w:hAnsi="Arial"/>
          <w:sz w:val="13"/>
          <w:szCs w:val="13"/>
          <w:color w:val="auto"/>
        </w:rPr>
      </w:pPr>
      <w:r>
        <w:rPr>
          <w:rFonts w:ascii="Arial" w:cs="Arial" w:eastAsia="Arial" w:hAnsi="Arial"/>
          <w:sz w:val="13"/>
          <w:szCs w:val="13"/>
          <w:color w:val="auto"/>
        </w:rPr>
        <w:t>personally delivered;</w:t>
      </w:r>
    </w:p>
    <w:p>
      <w:pPr>
        <w:spacing w:after="0" w:line="84" w:lineRule="exact"/>
        <w:rPr>
          <w:rFonts w:ascii="Arial" w:cs="Arial" w:eastAsia="Arial" w:hAnsi="Arial"/>
          <w:sz w:val="13"/>
          <w:szCs w:val="13"/>
          <w:color w:val="auto"/>
        </w:rPr>
      </w:pPr>
    </w:p>
    <w:p>
      <w:pPr>
        <w:ind w:left="1200" w:hanging="564"/>
        <w:spacing w:after="0"/>
        <w:tabs>
          <w:tab w:leader="none" w:pos="1200" w:val="left"/>
        </w:tabs>
        <w:numPr>
          <w:ilvl w:val="0"/>
          <w:numId w:val="440"/>
        </w:numPr>
        <w:rPr>
          <w:rFonts w:ascii="Arial" w:cs="Arial" w:eastAsia="Arial" w:hAnsi="Arial"/>
          <w:sz w:val="13"/>
          <w:szCs w:val="13"/>
          <w:color w:val="auto"/>
        </w:rPr>
      </w:pPr>
      <w:r>
        <w:rPr>
          <w:rFonts w:ascii="Arial" w:cs="Arial" w:eastAsia="Arial" w:hAnsi="Arial"/>
          <w:sz w:val="13"/>
          <w:szCs w:val="13"/>
          <w:color w:val="auto"/>
        </w:rPr>
        <w:t>left at the party’s current address for notices;</w:t>
      </w:r>
    </w:p>
    <w:p>
      <w:pPr>
        <w:spacing w:after="0" w:line="75" w:lineRule="exact"/>
        <w:rPr>
          <w:rFonts w:ascii="Arial" w:cs="Arial" w:eastAsia="Arial" w:hAnsi="Arial"/>
          <w:sz w:val="13"/>
          <w:szCs w:val="13"/>
          <w:color w:val="auto"/>
        </w:rPr>
      </w:pPr>
    </w:p>
    <w:p>
      <w:pPr>
        <w:ind w:left="1320" w:hanging="684"/>
        <w:spacing w:after="0"/>
        <w:tabs>
          <w:tab w:leader="none" w:pos="1320" w:val="left"/>
        </w:tabs>
        <w:numPr>
          <w:ilvl w:val="0"/>
          <w:numId w:val="440"/>
        </w:numPr>
        <w:rPr>
          <w:rFonts w:ascii="Arial" w:cs="Arial" w:eastAsia="Arial" w:hAnsi="Arial"/>
          <w:sz w:val="13"/>
          <w:szCs w:val="13"/>
          <w:color w:val="auto"/>
        </w:rPr>
      </w:pPr>
      <w:r>
        <w:rPr>
          <w:rFonts w:ascii="Arial" w:cs="Arial" w:eastAsia="Arial" w:hAnsi="Arial"/>
          <w:sz w:val="13"/>
          <w:szCs w:val="13"/>
          <w:color w:val="auto"/>
        </w:rPr>
        <w:t>sent to the party’s current address for notices by pre-paid ordinary mail or, if the address is outside Australia, by pre-paid airmail; or</w:t>
      </w:r>
    </w:p>
    <w:p>
      <w:pPr>
        <w:spacing w:after="0" w:line="66" w:lineRule="exact"/>
        <w:rPr>
          <w:rFonts w:ascii="Arial" w:cs="Arial" w:eastAsia="Arial" w:hAnsi="Arial"/>
          <w:sz w:val="13"/>
          <w:szCs w:val="13"/>
          <w:color w:val="auto"/>
        </w:rPr>
      </w:pPr>
    </w:p>
    <w:p>
      <w:pPr>
        <w:ind w:left="1100" w:hanging="464"/>
        <w:spacing w:after="0"/>
        <w:tabs>
          <w:tab w:leader="none" w:pos="1100" w:val="left"/>
        </w:tabs>
        <w:numPr>
          <w:ilvl w:val="0"/>
          <w:numId w:val="440"/>
        </w:numPr>
        <w:rPr>
          <w:rFonts w:ascii="Arial" w:cs="Arial" w:eastAsia="Arial" w:hAnsi="Arial"/>
          <w:sz w:val="13"/>
          <w:szCs w:val="13"/>
          <w:color w:val="auto"/>
        </w:rPr>
      </w:pPr>
      <w:r>
        <w:rPr>
          <w:rFonts w:ascii="Arial" w:cs="Arial" w:eastAsia="Arial" w:hAnsi="Arial"/>
          <w:sz w:val="13"/>
          <w:szCs w:val="13"/>
          <w:color w:val="auto"/>
        </w:rPr>
        <w:t>sent by fax to the party’s current fax number for notices.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173990</wp:posOffset>
            </wp:positionV>
            <wp:extent cx="6208395"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6208395" cy="42545"/>
                    </a:xfrm>
                    <a:prstGeom prst="rect">
                      <a:avLst/>
                    </a:prstGeom>
                    <a:noFill/>
                  </pic:spPr>
                </pic:pic>
              </a:graphicData>
            </a:graphic>
          </wp:anchor>
        </w:drawing>
      </w:r>
    </w:p>
    <w:p>
      <w:pPr>
        <w:sectPr>
          <w:pgSz w:w="11900" w:h="16838" w:orient="portrait"/>
          <w:cols w:equalWidth="0" w:num="1">
            <w:col w:w="9240"/>
          </w:cols>
          <w:pgMar w:left="1440" w:top="514" w:right="1219" w:bottom="1440" w:gutter="0" w:footer="0" w:header="0"/>
        </w:sectPr>
      </w:pPr>
    </w:p>
    <w:bookmarkStart w:id="287" w:name="page288"/>
    <w:bookmarkEnd w:id="287"/>
    <w:p>
      <w:pPr>
        <w:ind w:left="140"/>
        <w:spacing w:after="0"/>
        <w:tabs>
          <w:tab w:leader="none" w:pos="1320" w:val="left"/>
        </w:tabs>
        <w:rPr>
          <w:sz w:val="20"/>
          <w:szCs w:val="20"/>
          <w:color w:val="auto"/>
        </w:rPr>
      </w:pPr>
      <w:r>
        <w:rPr>
          <w:rFonts w:ascii="Arial" w:cs="Arial" w:eastAsia="Arial" w:hAnsi="Arial"/>
          <w:sz w:val="14"/>
          <w:szCs w:val="14"/>
          <w:b w:val="1"/>
          <w:bCs w:val="1"/>
          <w:color w:val="auto"/>
        </w:rPr>
        <w:t>19.3</w:t>
      </w:r>
      <w:r>
        <w:rPr>
          <w:sz w:val="20"/>
          <w:szCs w:val="20"/>
          <w:color w:val="auto"/>
        </w:rPr>
        <w:tab/>
      </w:r>
      <w:r>
        <w:rPr>
          <w:rFonts w:ascii="Arial" w:cs="Arial" w:eastAsia="Arial" w:hAnsi="Arial"/>
          <w:sz w:val="14"/>
          <w:szCs w:val="14"/>
          <w:b w:val="1"/>
          <w:bCs w:val="1"/>
          <w:color w:val="auto"/>
        </w:rPr>
        <w:t>Particulars for delivery of notices</w:t>
      </w:r>
    </w:p>
    <w:p>
      <w:pPr>
        <w:spacing w:after="0" w:line="75" w:lineRule="exact"/>
        <w:rPr>
          <w:sz w:val="20"/>
          <w:szCs w:val="20"/>
          <w:color w:val="auto"/>
        </w:rPr>
      </w:pPr>
    </w:p>
    <w:p>
      <w:pPr>
        <w:ind w:left="1160" w:hanging="524"/>
        <w:spacing w:after="0"/>
        <w:tabs>
          <w:tab w:leader="none" w:pos="1160" w:val="left"/>
        </w:tabs>
        <w:numPr>
          <w:ilvl w:val="0"/>
          <w:numId w:val="441"/>
        </w:numPr>
        <w:rPr>
          <w:rFonts w:ascii="Arial" w:cs="Arial" w:eastAsia="Arial" w:hAnsi="Arial"/>
          <w:sz w:val="13"/>
          <w:szCs w:val="13"/>
          <w:color w:val="auto"/>
        </w:rPr>
      </w:pPr>
      <w:r>
        <w:rPr>
          <w:rFonts w:ascii="Arial" w:cs="Arial" w:eastAsia="Arial" w:hAnsi="Arial"/>
          <w:sz w:val="13"/>
          <w:szCs w:val="13"/>
          <w:color w:val="auto"/>
        </w:rPr>
        <w:t>The particulars for delivery of notices are initially:</w:t>
      </w:r>
    </w:p>
    <w:p>
      <w:pPr>
        <w:spacing w:after="0" w:line="68" w:lineRule="exact"/>
        <w:rPr>
          <w:rFonts w:ascii="Arial" w:cs="Arial" w:eastAsia="Arial" w:hAnsi="Arial"/>
          <w:sz w:val="13"/>
          <w:szCs w:val="13"/>
          <w:color w:val="auto"/>
        </w:rPr>
      </w:pPr>
    </w:p>
    <w:p>
      <w:pPr>
        <w:ind w:left="980"/>
        <w:spacing w:after="0"/>
        <w:rPr>
          <w:rFonts w:ascii="Arial" w:cs="Arial" w:eastAsia="Arial" w:hAnsi="Arial"/>
          <w:sz w:val="13"/>
          <w:szCs w:val="13"/>
          <w:color w:val="auto"/>
        </w:rPr>
      </w:pPr>
      <w:r>
        <w:rPr>
          <w:rFonts w:ascii="Arial" w:cs="Arial" w:eastAsia="Arial" w:hAnsi="Arial"/>
          <w:sz w:val="13"/>
          <w:szCs w:val="13"/>
          <w:b w:val="1"/>
          <w:bCs w:val="1"/>
          <w:color w:val="auto"/>
        </w:rPr>
        <w:t>Transaction Parties:</w:t>
      </w:r>
    </w:p>
    <w:p>
      <w:pPr>
        <w:spacing w:after="0" w:line="108" w:lineRule="exact"/>
        <w:rPr>
          <w:sz w:val="20"/>
          <w:szCs w:val="20"/>
          <w:color w:val="auto"/>
        </w:rPr>
      </w:pPr>
    </w:p>
    <w:p>
      <w:pPr>
        <w:ind w:left="980"/>
        <w:spacing w:after="0"/>
        <w:rPr>
          <w:sz w:val="20"/>
          <w:szCs w:val="20"/>
          <w:color w:val="auto"/>
        </w:rPr>
      </w:pPr>
      <w:r>
        <w:rPr>
          <w:rFonts w:ascii="Arial" w:cs="Arial" w:eastAsia="Arial" w:hAnsi="Arial"/>
          <w:sz w:val="13"/>
          <w:szCs w:val="13"/>
          <w:color w:val="auto"/>
        </w:rPr>
        <w:t xml:space="preserve">As set out in </w:t>
      </w:r>
      <w:r>
        <w:rPr>
          <w:rFonts w:ascii="Arial" w:cs="Arial" w:eastAsia="Arial" w:hAnsi="Arial"/>
          <w:sz w:val="13"/>
          <w:szCs w:val="13"/>
          <w:b w:val="1"/>
          <w:bCs w:val="1"/>
          <w:color w:val="auto"/>
        </w:rPr>
        <w:t>schedule 1. Bank:</w:t>
      </w:r>
    </w:p>
    <w:p>
      <w:pPr>
        <w:sectPr>
          <w:pgSz w:w="11900" w:h="16838" w:orient="portrait"/>
          <w:cols w:equalWidth="0" w:num="1">
            <w:col w:w="9200"/>
          </w:cols>
          <w:pgMar w:left="1440" w:top="514" w:right="1259" w:bottom="1440" w:gutter="0" w:footer="0" w:header="0"/>
        </w:sectPr>
      </w:pPr>
    </w:p>
    <w:p>
      <w:pPr>
        <w:spacing w:after="0" w:line="32" w:lineRule="exact"/>
        <w:rPr>
          <w:sz w:val="20"/>
          <w:szCs w:val="20"/>
          <w:color w:val="auto"/>
        </w:rPr>
      </w:pPr>
    </w:p>
    <w:p>
      <w:pPr>
        <w:ind w:left="980"/>
        <w:spacing w:after="0"/>
        <w:rPr>
          <w:sz w:val="20"/>
          <w:szCs w:val="20"/>
          <w:color w:val="auto"/>
        </w:rPr>
      </w:pPr>
      <w:r>
        <w:rPr>
          <w:rFonts w:ascii="Arial" w:cs="Arial" w:eastAsia="Arial" w:hAnsi="Arial"/>
          <w:sz w:val="13"/>
          <w:szCs w:val="13"/>
          <w:color w:val="auto"/>
        </w:rPr>
        <w:t>Address:</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rPr>
          <w:sz w:val="20"/>
          <w:szCs w:val="20"/>
          <w:color w:val="auto"/>
        </w:rPr>
      </w:pPr>
      <w:r>
        <w:rPr>
          <w:rFonts w:ascii="Arial" w:cs="Arial" w:eastAsia="Arial" w:hAnsi="Arial"/>
          <w:sz w:val="13"/>
          <w:szCs w:val="13"/>
          <w:color w:val="auto"/>
        </w:rPr>
        <w:t>Level 28, 500 Bourke Street, Melbourne, Victoria 300</w:t>
      </w:r>
    </w:p>
    <w:p>
      <w:pPr>
        <w:spacing w:after="0" w:line="76" w:lineRule="exact"/>
        <w:rPr>
          <w:sz w:val="20"/>
          <w:szCs w:val="20"/>
          <w:color w:val="auto"/>
        </w:rPr>
      </w:pPr>
    </w:p>
    <w:p>
      <w:pPr>
        <w:sectPr>
          <w:pgSz w:w="11900" w:h="16838" w:orient="portrait"/>
          <w:cols w:equalWidth="0" w:num="2">
            <w:col w:w="1500" w:space="440"/>
            <w:col w:w="7260"/>
          </w:cols>
          <w:pgMar w:left="1440" w:top="514" w:right="1259" w:bottom="1440" w:gutter="0" w:footer="0" w:header="0"/>
          <w:type w:val="continuous"/>
        </w:sectPr>
      </w:pPr>
    </w:p>
    <w:p>
      <w:pPr>
        <w:ind w:left="980"/>
        <w:spacing w:after="0"/>
        <w:rPr>
          <w:sz w:val="20"/>
          <w:szCs w:val="20"/>
          <w:color w:val="auto"/>
        </w:rPr>
      </w:pPr>
      <w:r>
        <w:rPr>
          <w:rFonts w:ascii="Arial" w:cs="Arial" w:eastAsia="Arial" w:hAnsi="Arial"/>
          <w:sz w:val="13"/>
          <w:szCs w:val="13"/>
          <w:color w:val="auto"/>
        </w:rPr>
        <w:t>Fax:</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1300 889 390</w:t>
      </w:r>
    </w:p>
    <w:p>
      <w:pPr>
        <w:spacing w:after="0" w:line="85" w:lineRule="exact"/>
        <w:rPr>
          <w:sz w:val="20"/>
          <w:szCs w:val="20"/>
          <w:color w:val="auto"/>
        </w:rPr>
      </w:pPr>
    </w:p>
    <w:p>
      <w:pPr>
        <w:sectPr>
          <w:pgSz w:w="11900" w:h="16838" w:orient="portrait"/>
          <w:cols w:equalWidth="0" w:num="2">
            <w:col w:w="1240" w:space="440"/>
            <w:col w:w="7520"/>
          </w:cols>
          <w:pgMar w:left="1440" w:top="514" w:right="1259" w:bottom="1440" w:gutter="0" w:footer="0" w:header="0"/>
          <w:type w:val="continuous"/>
        </w:sectPr>
      </w:pPr>
    </w:p>
    <w:p>
      <w:pPr>
        <w:ind w:left="980"/>
        <w:spacing w:after="0"/>
        <w:rPr>
          <w:sz w:val="20"/>
          <w:szCs w:val="20"/>
          <w:color w:val="auto"/>
        </w:rPr>
      </w:pPr>
      <w:r>
        <w:rPr>
          <w:rFonts w:ascii="Arial" w:cs="Arial" w:eastAsia="Arial" w:hAnsi="Arial"/>
          <w:sz w:val="13"/>
          <w:szCs w:val="13"/>
          <w:color w:val="auto"/>
        </w:rPr>
        <w:t>Attention: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Andrew Tham</w:t>
      </w:r>
    </w:p>
    <w:p>
      <w:pPr>
        <w:spacing w:after="0" w:line="76" w:lineRule="exact"/>
        <w:rPr>
          <w:sz w:val="20"/>
          <w:szCs w:val="20"/>
          <w:color w:val="auto"/>
        </w:rPr>
      </w:pPr>
    </w:p>
    <w:p>
      <w:pPr>
        <w:sectPr>
          <w:pgSz w:w="11900" w:h="16838" w:orient="portrait"/>
          <w:cols w:equalWidth="0" w:num="2">
            <w:col w:w="1540" w:space="440"/>
            <w:col w:w="7220"/>
          </w:cols>
          <w:pgMar w:left="1440" w:top="514" w:right="1259" w:bottom="1440" w:gutter="0" w:footer="0" w:header="0"/>
          <w:type w:val="continuous"/>
        </w:sectPr>
      </w:pPr>
    </w:p>
    <w:p>
      <w:pPr>
        <w:ind w:left="1420" w:hanging="784"/>
        <w:spacing w:after="0"/>
        <w:tabs>
          <w:tab w:leader="none" w:pos="1420" w:val="left"/>
        </w:tabs>
        <w:numPr>
          <w:ilvl w:val="0"/>
          <w:numId w:val="442"/>
        </w:numPr>
        <w:rPr>
          <w:rFonts w:ascii="Arial" w:cs="Arial" w:eastAsia="Arial" w:hAnsi="Arial"/>
          <w:sz w:val="13"/>
          <w:szCs w:val="13"/>
          <w:color w:val="auto"/>
        </w:rPr>
      </w:pPr>
      <w:r>
        <w:rPr>
          <w:rFonts w:ascii="Arial" w:cs="Arial" w:eastAsia="Arial" w:hAnsi="Arial"/>
          <w:sz w:val="13"/>
          <w:szCs w:val="13"/>
          <w:color w:val="auto"/>
        </w:rPr>
        <w:t>Each party may change its particulars for delivery of notices by notice to each other party.</w:t>
      </w:r>
    </w:p>
    <w:p>
      <w:pPr>
        <w:spacing w:after="0" w:line="83" w:lineRule="exact"/>
        <w:rPr>
          <w:sz w:val="20"/>
          <w:szCs w:val="20"/>
          <w:color w:val="auto"/>
        </w:rPr>
      </w:pPr>
    </w:p>
    <w:p>
      <w:pPr>
        <w:ind w:left="140"/>
        <w:spacing w:after="0"/>
        <w:tabs>
          <w:tab w:leader="none" w:pos="1620" w:val="left"/>
        </w:tabs>
        <w:rPr>
          <w:sz w:val="20"/>
          <w:szCs w:val="20"/>
          <w:color w:val="auto"/>
        </w:rPr>
      </w:pPr>
      <w:r>
        <w:rPr>
          <w:rFonts w:ascii="Arial" w:cs="Arial" w:eastAsia="Arial" w:hAnsi="Arial"/>
          <w:sz w:val="14"/>
          <w:szCs w:val="14"/>
          <w:b w:val="1"/>
          <w:bCs w:val="1"/>
          <w:color w:val="auto"/>
        </w:rPr>
        <w:t>19.4</w:t>
      </w:r>
      <w:r>
        <w:rPr>
          <w:sz w:val="20"/>
          <w:szCs w:val="20"/>
          <w:color w:val="auto"/>
        </w:rPr>
        <w:tab/>
      </w:r>
      <w:r>
        <w:rPr>
          <w:rFonts w:ascii="Arial" w:cs="Arial" w:eastAsia="Arial" w:hAnsi="Arial"/>
          <w:sz w:val="14"/>
          <w:szCs w:val="14"/>
          <w:b w:val="1"/>
          <w:bCs w:val="1"/>
          <w:color w:val="auto"/>
        </w:rPr>
        <w:t>Communications by post</w:t>
      </w:r>
    </w:p>
    <w:p>
      <w:pPr>
        <w:spacing w:after="0" w:line="59" w:lineRule="exact"/>
        <w:rPr>
          <w:sz w:val="20"/>
          <w:szCs w:val="20"/>
          <w:color w:val="auto"/>
        </w:rPr>
      </w:pPr>
    </w:p>
    <w:p>
      <w:pPr>
        <w:ind w:left="640"/>
        <w:spacing w:after="0"/>
        <w:rPr>
          <w:sz w:val="20"/>
          <w:szCs w:val="20"/>
          <w:color w:val="auto"/>
        </w:rPr>
      </w:pPr>
      <w:r>
        <w:rPr>
          <w:rFonts w:ascii="Arial" w:cs="Arial" w:eastAsia="Arial" w:hAnsi="Arial"/>
          <w:sz w:val="13"/>
          <w:szCs w:val="13"/>
          <w:color w:val="auto"/>
        </w:rPr>
        <w:t xml:space="preserve">Subject to </w:t>
      </w:r>
      <w:r>
        <w:rPr>
          <w:rFonts w:ascii="Arial" w:cs="Arial" w:eastAsia="Arial" w:hAnsi="Arial"/>
          <w:sz w:val="13"/>
          <w:szCs w:val="13"/>
          <w:b w:val="1"/>
          <w:bCs w:val="1"/>
          <w:color w:val="auto"/>
        </w:rPr>
        <w:t>clause 19.6</w:t>
      </w:r>
      <w:r>
        <w:rPr>
          <w:rFonts w:ascii="Arial" w:cs="Arial" w:eastAsia="Arial" w:hAnsi="Arial"/>
          <w:sz w:val="13"/>
          <w:szCs w:val="13"/>
          <w:color w:val="auto"/>
        </w:rPr>
        <w:t>, a communication is given if posted:</w:t>
      </w:r>
    </w:p>
    <w:p>
      <w:pPr>
        <w:spacing w:after="0" w:line="88" w:lineRule="exact"/>
        <w:rPr>
          <w:sz w:val="20"/>
          <w:szCs w:val="20"/>
          <w:color w:val="auto"/>
        </w:rPr>
      </w:pPr>
    </w:p>
    <w:p>
      <w:pPr>
        <w:ind w:left="640"/>
        <w:spacing w:after="0"/>
        <w:tabs>
          <w:tab w:leader="none" w:pos="2120" w:val="left"/>
        </w:tabs>
        <w:rPr>
          <w:sz w:val="20"/>
          <w:szCs w:val="20"/>
          <w:color w:val="auto"/>
        </w:rPr>
      </w:pPr>
      <w:r>
        <w:rPr>
          <w:rFonts w:ascii="Arial" w:cs="Arial" w:eastAsia="Arial" w:hAnsi="Arial"/>
          <w:sz w:val="13"/>
          <w:szCs w:val="13"/>
          <w:color w:val="auto"/>
        </w:rPr>
        <w:t>(a)</w:t>
      </w:r>
      <w:r>
        <w:rPr>
          <w:sz w:val="20"/>
          <w:szCs w:val="20"/>
          <w:color w:val="auto"/>
        </w:rPr>
        <w:tab/>
      </w:r>
      <w:r>
        <w:rPr>
          <w:rFonts w:ascii="Arial" w:cs="Arial" w:eastAsia="Arial" w:hAnsi="Arial"/>
          <w:sz w:val="13"/>
          <w:szCs w:val="13"/>
          <w:color w:val="auto"/>
        </w:rPr>
        <w:t>within Australia to an Australian address, three Business Days after posting; or</w:t>
      </w:r>
    </w:p>
    <w:p>
      <w:pPr>
        <w:spacing w:after="0" w:line="70" w:lineRule="exact"/>
        <w:rPr>
          <w:sz w:val="20"/>
          <w:szCs w:val="20"/>
          <w:color w:val="auto"/>
        </w:rPr>
      </w:pPr>
    </w:p>
    <w:p>
      <w:pPr>
        <w:ind w:left="1140" w:hanging="504"/>
        <w:spacing w:after="0"/>
        <w:tabs>
          <w:tab w:leader="none" w:pos="1140" w:val="left"/>
        </w:tabs>
        <w:numPr>
          <w:ilvl w:val="0"/>
          <w:numId w:val="443"/>
        </w:numPr>
        <w:rPr>
          <w:rFonts w:ascii="Arial" w:cs="Arial" w:eastAsia="Arial" w:hAnsi="Arial"/>
          <w:sz w:val="13"/>
          <w:szCs w:val="13"/>
          <w:color w:val="auto"/>
        </w:rPr>
      </w:pPr>
      <w:r>
        <w:rPr>
          <w:rFonts w:ascii="Arial" w:cs="Arial" w:eastAsia="Arial" w:hAnsi="Arial"/>
          <w:sz w:val="13"/>
          <w:szCs w:val="13"/>
          <w:color w:val="auto"/>
        </w:rPr>
        <w:t>in any other case, ten Business Days after posting.</w:t>
      </w:r>
    </w:p>
    <w:p>
      <w:pPr>
        <w:spacing w:after="0" w:line="92" w:lineRule="exact"/>
        <w:rPr>
          <w:sz w:val="20"/>
          <w:szCs w:val="20"/>
          <w:color w:val="auto"/>
        </w:rPr>
      </w:pPr>
    </w:p>
    <w:p>
      <w:pPr>
        <w:ind w:left="140"/>
        <w:spacing w:after="0"/>
        <w:tabs>
          <w:tab w:leader="none" w:pos="1680" w:val="left"/>
        </w:tabs>
        <w:rPr>
          <w:sz w:val="20"/>
          <w:szCs w:val="20"/>
          <w:color w:val="auto"/>
        </w:rPr>
      </w:pPr>
      <w:r>
        <w:rPr>
          <w:rFonts w:ascii="Arial" w:cs="Arial" w:eastAsia="Arial" w:hAnsi="Arial"/>
          <w:sz w:val="14"/>
          <w:szCs w:val="14"/>
          <w:b w:val="1"/>
          <w:bCs w:val="1"/>
          <w:color w:val="auto"/>
        </w:rPr>
        <w:t>19.5</w:t>
      </w:r>
      <w:r>
        <w:rPr>
          <w:sz w:val="20"/>
          <w:szCs w:val="20"/>
          <w:color w:val="auto"/>
        </w:rPr>
        <w:tab/>
      </w:r>
      <w:r>
        <w:rPr>
          <w:rFonts w:ascii="Arial" w:cs="Arial" w:eastAsia="Arial" w:hAnsi="Arial"/>
          <w:sz w:val="14"/>
          <w:szCs w:val="14"/>
          <w:b w:val="1"/>
          <w:bCs w:val="1"/>
          <w:color w:val="auto"/>
        </w:rPr>
        <w:t>Communications by fax</w:t>
      </w:r>
    </w:p>
    <w:p>
      <w:pPr>
        <w:spacing w:after="0" w:line="59" w:lineRule="exact"/>
        <w:rPr>
          <w:sz w:val="20"/>
          <w:szCs w:val="20"/>
          <w:color w:val="auto"/>
        </w:rPr>
      </w:pPr>
    </w:p>
    <w:p>
      <w:pPr>
        <w:ind w:left="640"/>
        <w:spacing w:after="0" w:line="269" w:lineRule="auto"/>
        <w:rPr>
          <w:sz w:val="20"/>
          <w:szCs w:val="20"/>
          <w:color w:val="auto"/>
        </w:rPr>
      </w:pPr>
      <w:r>
        <w:rPr>
          <w:rFonts w:ascii="Arial" w:cs="Arial" w:eastAsia="Arial" w:hAnsi="Arial"/>
          <w:sz w:val="13"/>
          <w:szCs w:val="13"/>
          <w:color w:val="auto"/>
        </w:rPr>
        <w:t xml:space="preserve">Subject to </w:t>
      </w:r>
      <w:r>
        <w:rPr>
          <w:rFonts w:ascii="Arial" w:cs="Arial" w:eastAsia="Arial" w:hAnsi="Arial"/>
          <w:sz w:val="13"/>
          <w:szCs w:val="13"/>
          <w:b w:val="1"/>
          <w:bCs w:val="1"/>
          <w:color w:val="auto"/>
        </w:rPr>
        <w:t>clause 19.6</w:t>
      </w:r>
      <w:r>
        <w:rPr>
          <w:rFonts w:ascii="Arial" w:cs="Arial" w:eastAsia="Arial" w:hAnsi="Arial"/>
          <w:sz w:val="13"/>
          <w:szCs w:val="13"/>
          <w:color w:val="auto"/>
        </w:rPr>
        <w:t>, a communication is given if sent by fax when the sender’s fax machine produces a report that the fax was sent in full to the addressee. That report is conclusive evidence that the addressee received the fax in full at the time indicated on that report.</w:t>
      </w:r>
    </w:p>
    <w:p>
      <w:pPr>
        <w:spacing w:after="0" w:line="48" w:lineRule="exact"/>
        <w:rPr>
          <w:sz w:val="20"/>
          <w:szCs w:val="20"/>
          <w:color w:val="auto"/>
        </w:rPr>
      </w:pPr>
    </w:p>
    <w:p>
      <w:pPr>
        <w:ind w:left="140"/>
        <w:spacing w:after="0"/>
        <w:tabs>
          <w:tab w:leader="none" w:pos="1480" w:val="left"/>
        </w:tabs>
        <w:rPr>
          <w:sz w:val="20"/>
          <w:szCs w:val="20"/>
          <w:color w:val="auto"/>
        </w:rPr>
      </w:pPr>
      <w:r>
        <w:rPr>
          <w:rFonts w:ascii="Arial" w:cs="Arial" w:eastAsia="Arial" w:hAnsi="Arial"/>
          <w:sz w:val="14"/>
          <w:szCs w:val="14"/>
          <w:b w:val="1"/>
          <w:bCs w:val="1"/>
          <w:color w:val="auto"/>
        </w:rPr>
        <w:t>19.6</w:t>
      </w:r>
      <w:r>
        <w:rPr>
          <w:sz w:val="20"/>
          <w:szCs w:val="20"/>
          <w:color w:val="auto"/>
        </w:rPr>
        <w:tab/>
      </w:r>
      <w:r>
        <w:rPr>
          <w:rFonts w:ascii="Arial" w:cs="Arial" w:eastAsia="Arial" w:hAnsi="Arial"/>
          <w:sz w:val="14"/>
          <w:szCs w:val="14"/>
          <w:b w:val="1"/>
          <w:bCs w:val="1"/>
          <w:color w:val="auto"/>
        </w:rPr>
        <w:t>After hours communications</w:t>
      </w:r>
    </w:p>
    <w:p>
      <w:pPr>
        <w:spacing w:after="0" w:line="75" w:lineRule="exact"/>
        <w:rPr>
          <w:sz w:val="20"/>
          <w:szCs w:val="20"/>
          <w:color w:val="auto"/>
        </w:rPr>
      </w:pPr>
    </w:p>
    <w:p>
      <w:pPr>
        <w:ind w:left="640"/>
        <w:spacing w:after="0"/>
        <w:rPr>
          <w:sz w:val="20"/>
          <w:szCs w:val="20"/>
          <w:color w:val="auto"/>
        </w:rPr>
      </w:pPr>
      <w:r>
        <w:rPr>
          <w:rFonts w:ascii="Arial" w:cs="Arial" w:eastAsia="Arial" w:hAnsi="Arial"/>
          <w:sz w:val="13"/>
          <w:szCs w:val="13"/>
          <w:color w:val="auto"/>
        </w:rPr>
        <w:t>If a communication is given:</w:t>
      </w:r>
    </w:p>
    <w:p>
      <w:pPr>
        <w:spacing w:after="0" w:line="85" w:lineRule="exact"/>
        <w:rPr>
          <w:sz w:val="20"/>
          <w:szCs w:val="20"/>
          <w:color w:val="auto"/>
        </w:rPr>
      </w:pPr>
    </w:p>
    <w:p>
      <w:pPr>
        <w:ind w:left="1280" w:hanging="644"/>
        <w:spacing w:after="0"/>
        <w:tabs>
          <w:tab w:leader="none" w:pos="1280" w:val="left"/>
        </w:tabs>
        <w:numPr>
          <w:ilvl w:val="0"/>
          <w:numId w:val="444"/>
        </w:numPr>
        <w:rPr>
          <w:rFonts w:ascii="Arial" w:cs="Arial" w:eastAsia="Arial" w:hAnsi="Arial"/>
          <w:sz w:val="13"/>
          <w:szCs w:val="13"/>
          <w:color w:val="auto"/>
        </w:rPr>
      </w:pPr>
      <w:r>
        <w:rPr>
          <w:rFonts w:ascii="Arial" w:cs="Arial" w:eastAsia="Arial" w:hAnsi="Arial"/>
          <w:sz w:val="13"/>
          <w:szCs w:val="13"/>
          <w:color w:val="auto"/>
        </w:rPr>
        <w:t>after 5.00 pm in the place of receipt; or</w:t>
      </w:r>
    </w:p>
    <w:p>
      <w:pPr>
        <w:spacing w:after="0" w:line="84" w:lineRule="exact"/>
        <w:rPr>
          <w:rFonts w:ascii="Arial" w:cs="Arial" w:eastAsia="Arial" w:hAnsi="Arial"/>
          <w:sz w:val="13"/>
          <w:szCs w:val="13"/>
          <w:color w:val="auto"/>
        </w:rPr>
      </w:pPr>
    </w:p>
    <w:p>
      <w:pPr>
        <w:ind w:left="1820" w:hanging="1184"/>
        <w:spacing w:after="0"/>
        <w:tabs>
          <w:tab w:leader="none" w:pos="1820" w:val="left"/>
        </w:tabs>
        <w:numPr>
          <w:ilvl w:val="0"/>
          <w:numId w:val="444"/>
        </w:numPr>
        <w:rPr>
          <w:rFonts w:ascii="Arial" w:cs="Arial" w:eastAsia="Arial" w:hAnsi="Arial"/>
          <w:sz w:val="13"/>
          <w:szCs w:val="13"/>
          <w:color w:val="auto"/>
        </w:rPr>
      </w:pPr>
      <w:r>
        <w:rPr>
          <w:rFonts w:ascii="Arial" w:cs="Arial" w:eastAsia="Arial" w:hAnsi="Arial"/>
          <w:sz w:val="13"/>
          <w:szCs w:val="13"/>
          <w:color w:val="auto"/>
        </w:rPr>
        <w:t>on a day which is a Saturday, Sunday or bank or public holiday in the place of receipt,</w:t>
      </w:r>
    </w:p>
    <w:p>
      <w:pPr>
        <w:spacing w:after="0" w:line="67" w:lineRule="exact"/>
        <w:rPr>
          <w:sz w:val="20"/>
          <w:szCs w:val="20"/>
          <w:color w:val="auto"/>
        </w:rPr>
      </w:pPr>
    </w:p>
    <w:p>
      <w:pPr>
        <w:ind w:left="640"/>
        <w:spacing w:after="0"/>
        <w:rPr>
          <w:sz w:val="20"/>
          <w:szCs w:val="20"/>
          <w:color w:val="auto"/>
        </w:rPr>
      </w:pPr>
      <w:r>
        <w:rPr>
          <w:rFonts w:ascii="Arial" w:cs="Arial" w:eastAsia="Arial" w:hAnsi="Arial"/>
          <w:sz w:val="13"/>
          <w:szCs w:val="13"/>
          <w:color w:val="auto"/>
        </w:rPr>
        <w:t>it is taken as having been given at 9.00 am on the next day which is not a Saturday, Sunday or bank or public holiday in that place.</w:t>
      </w:r>
    </w:p>
    <w:p>
      <w:pPr>
        <w:spacing w:after="0" w:line="74" w:lineRule="exact"/>
        <w:rPr>
          <w:sz w:val="20"/>
          <w:szCs w:val="20"/>
          <w:color w:val="auto"/>
        </w:rPr>
      </w:pPr>
    </w:p>
    <w:p>
      <w:pPr>
        <w:ind w:left="140"/>
        <w:spacing w:after="0"/>
        <w:tabs>
          <w:tab w:leader="none" w:pos="2220" w:val="left"/>
        </w:tabs>
        <w:rPr>
          <w:sz w:val="20"/>
          <w:szCs w:val="20"/>
          <w:color w:val="auto"/>
        </w:rPr>
      </w:pPr>
      <w:r>
        <w:rPr>
          <w:rFonts w:ascii="Arial" w:cs="Arial" w:eastAsia="Arial" w:hAnsi="Arial"/>
          <w:sz w:val="14"/>
          <w:szCs w:val="14"/>
          <w:b w:val="1"/>
          <w:bCs w:val="1"/>
          <w:color w:val="auto"/>
        </w:rPr>
        <w:t>19.7</w:t>
      </w:r>
      <w:r>
        <w:rPr>
          <w:sz w:val="20"/>
          <w:szCs w:val="20"/>
          <w:color w:val="auto"/>
        </w:rPr>
        <w:tab/>
      </w:r>
      <w:r>
        <w:rPr>
          <w:rFonts w:ascii="Arial" w:cs="Arial" w:eastAsia="Arial" w:hAnsi="Arial"/>
          <w:sz w:val="14"/>
          <w:szCs w:val="14"/>
          <w:b w:val="1"/>
          <w:bCs w:val="1"/>
          <w:color w:val="auto"/>
        </w:rPr>
        <w:t>Process service</w:t>
      </w:r>
    </w:p>
    <w:p>
      <w:pPr>
        <w:spacing w:after="0" w:line="75" w:lineRule="exact"/>
        <w:rPr>
          <w:sz w:val="20"/>
          <w:szCs w:val="20"/>
          <w:color w:val="auto"/>
        </w:rPr>
      </w:pPr>
    </w:p>
    <w:p>
      <w:pPr>
        <w:ind w:left="640" w:right="60"/>
        <w:spacing w:after="0" w:line="244" w:lineRule="auto"/>
        <w:rPr>
          <w:sz w:val="20"/>
          <w:szCs w:val="20"/>
          <w:color w:val="auto"/>
        </w:rPr>
      </w:pPr>
      <w:r>
        <w:rPr>
          <w:rFonts w:ascii="Arial" w:cs="Arial" w:eastAsia="Arial" w:hAnsi="Arial"/>
          <w:sz w:val="13"/>
          <w:szCs w:val="13"/>
          <w:color w:val="auto"/>
        </w:rPr>
        <w:t xml:space="preserve">Any process or other document relating to litigation, administrative or arbitral proceedings relating to a Transaction Document may be served on a party to this document by any method contemplated by this </w:t>
      </w:r>
      <w:r>
        <w:rPr>
          <w:rFonts w:ascii="Arial" w:cs="Arial" w:eastAsia="Arial" w:hAnsi="Arial"/>
          <w:sz w:val="13"/>
          <w:szCs w:val="13"/>
          <w:b w:val="1"/>
          <w:bCs w:val="1"/>
          <w:color w:val="auto"/>
        </w:rPr>
        <w:t>clause 19.7</w:t>
      </w:r>
      <w:r>
        <w:rPr>
          <w:rFonts w:ascii="Arial" w:cs="Arial" w:eastAsia="Arial" w:hAnsi="Arial"/>
          <w:sz w:val="13"/>
          <w:szCs w:val="13"/>
          <w:color w:val="auto"/>
        </w:rPr>
        <w:t xml:space="preserve"> or in accordance with any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70485</wp:posOffset>
            </wp:positionV>
            <wp:extent cx="6208395"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6208395" cy="42545"/>
                    </a:xfrm>
                    <a:prstGeom prst="rect">
                      <a:avLst/>
                    </a:prstGeom>
                    <a:noFill/>
                  </pic:spPr>
                </pic:pic>
              </a:graphicData>
            </a:graphic>
          </wp:anchor>
        </w:drawing>
      </w:r>
    </w:p>
    <w:p>
      <w:pPr>
        <w:sectPr>
          <w:pgSz w:w="11900" w:h="16838" w:orient="portrait"/>
          <w:cols w:equalWidth="0" w:num="1">
            <w:col w:w="9200"/>
          </w:cols>
          <w:pgMar w:left="1440" w:top="514" w:right="1259" w:bottom="1440" w:gutter="0" w:footer="0" w:header="0"/>
          <w:type w:val="continuous"/>
        </w:sectPr>
      </w:pPr>
    </w:p>
    <w:bookmarkStart w:id="288" w:name="page289"/>
    <w:bookmarkEnd w:id="288"/>
    <w:p>
      <w:pPr>
        <w:jc w:val="right"/>
        <w:spacing w:after="0"/>
        <w:rPr>
          <w:sz w:val="20"/>
          <w:szCs w:val="20"/>
          <w:color w:val="auto"/>
        </w:rPr>
      </w:pPr>
      <w:r>
        <w:rPr>
          <w:rFonts w:ascii="Arial" w:cs="Arial" w:eastAsia="Arial" w:hAnsi="Arial"/>
          <w:sz w:val="12"/>
          <w:szCs w:val="12"/>
          <w:b w:val="1"/>
          <w:bCs w:val="1"/>
          <w:color w:val="auto"/>
        </w:rPr>
        <w:t>EXHIBIT 21</w:t>
      </w:r>
    </w:p>
    <w:p>
      <w:pPr>
        <w:spacing w:after="0" w:line="37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READING INTERNATIONAL, INC. – LIST OF SUBSIDIARIES</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Subsidiary (Jurisdiction of Incorporation)</w:t>
      </w:r>
    </w:p>
    <w:p>
      <w:pPr>
        <w:spacing w:after="0" w:line="89" w:lineRule="exact"/>
        <w:rPr>
          <w:sz w:val="20"/>
          <w:szCs w:val="20"/>
          <w:color w:val="auto"/>
        </w:rPr>
      </w:pPr>
    </w:p>
    <w:p>
      <w:pPr>
        <w:spacing w:after="0"/>
        <w:rPr>
          <w:sz w:val="20"/>
          <w:szCs w:val="20"/>
          <w:color w:val="auto"/>
        </w:rPr>
      </w:pPr>
      <w:r>
        <w:rPr>
          <w:rFonts w:ascii="Arial" w:cs="Arial" w:eastAsia="Arial" w:hAnsi="Arial"/>
          <w:sz w:val="12"/>
          <w:szCs w:val="12"/>
          <w:color w:val="auto"/>
        </w:rPr>
        <w:t>A.C.N. 143 633 096 Pty Ltd (Australia)</w:t>
      </w:r>
    </w:p>
    <w:p>
      <w:pPr>
        <w:spacing w:after="0" w:line="203" w:lineRule="auto"/>
        <w:rPr>
          <w:sz w:val="20"/>
          <w:szCs w:val="20"/>
          <w:color w:val="auto"/>
        </w:rPr>
      </w:pPr>
      <w:r>
        <w:rPr>
          <w:rFonts w:ascii="Arial" w:cs="Arial" w:eastAsia="Arial" w:hAnsi="Arial"/>
          <w:sz w:val="12"/>
          <w:szCs w:val="12"/>
          <w:color w:val="auto"/>
        </w:rPr>
        <w:t>AHGP, Inc. (Delaware)</w:t>
      </w:r>
    </w:p>
    <w:p>
      <w:pPr>
        <w:spacing w:after="0" w:line="204" w:lineRule="auto"/>
        <w:rPr>
          <w:sz w:val="20"/>
          <w:szCs w:val="20"/>
          <w:color w:val="auto"/>
        </w:rPr>
      </w:pPr>
      <w:r>
        <w:rPr>
          <w:rFonts w:ascii="Arial" w:cs="Arial" w:eastAsia="Arial" w:hAnsi="Arial"/>
          <w:sz w:val="12"/>
          <w:szCs w:val="12"/>
          <w:color w:val="auto"/>
        </w:rPr>
        <w:t>AHLP, Inc. (Delaware)</w:t>
      </w:r>
    </w:p>
    <w:p>
      <w:pPr>
        <w:spacing w:after="0" w:line="203" w:lineRule="auto"/>
        <w:rPr>
          <w:sz w:val="20"/>
          <w:szCs w:val="20"/>
          <w:color w:val="auto"/>
        </w:rPr>
      </w:pPr>
      <w:r>
        <w:rPr>
          <w:rFonts w:ascii="Arial" w:cs="Arial" w:eastAsia="Arial" w:hAnsi="Arial"/>
          <w:sz w:val="12"/>
          <w:szCs w:val="12"/>
          <w:color w:val="auto"/>
        </w:rPr>
        <w:t>Angelika Film Centers, LLC (Delaware)</w:t>
      </w:r>
    </w:p>
    <w:p>
      <w:pPr>
        <w:spacing w:after="0" w:line="204" w:lineRule="auto"/>
        <w:rPr>
          <w:sz w:val="20"/>
          <w:szCs w:val="20"/>
          <w:color w:val="auto"/>
        </w:rPr>
      </w:pPr>
      <w:r>
        <w:rPr>
          <w:rFonts w:ascii="Arial" w:cs="Arial" w:eastAsia="Arial" w:hAnsi="Arial"/>
          <w:sz w:val="12"/>
          <w:szCs w:val="12"/>
          <w:color w:val="auto"/>
        </w:rPr>
        <w:t>Angelika Film Center Mosaic, LLC (Nevada)</w:t>
      </w:r>
    </w:p>
    <w:p>
      <w:pPr>
        <w:spacing w:after="0" w:line="204" w:lineRule="auto"/>
        <w:rPr>
          <w:sz w:val="20"/>
          <w:szCs w:val="20"/>
          <w:color w:val="auto"/>
        </w:rPr>
      </w:pPr>
      <w:r>
        <w:rPr>
          <w:rFonts w:ascii="Arial" w:cs="Arial" w:eastAsia="Arial" w:hAnsi="Arial"/>
          <w:sz w:val="12"/>
          <w:szCs w:val="12"/>
          <w:color w:val="auto"/>
        </w:rPr>
        <w:t>Angelika Film Center Union Market, LLC (Nevada)</w:t>
      </w:r>
    </w:p>
    <w:p>
      <w:pPr>
        <w:spacing w:after="0" w:line="203" w:lineRule="auto"/>
        <w:rPr>
          <w:sz w:val="20"/>
          <w:szCs w:val="20"/>
          <w:color w:val="auto"/>
        </w:rPr>
      </w:pPr>
      <w:r>
        <w:rPr>
          <w:rFonts w:ascii="Arial" w:cs="Arial" w:eastAsia="Arial" w:hAnsi="Arial"/>
          <w:sz w:val="12"/>
          <w:szCs w:val="12"/>
          <w:color w:val="auto"/>
        </w:rPr>
        <w:t>Angelika Film Centers (Dallas), Inc. (Texas)</w:t>
      </w:r>
    </w:p>
    <w:p>
      <w:pPr>
        <w:spacing w:after="0" w:line="204" w:lineRule="auto"/>
        <w:rPr>
          <w:sz w:val="20"/>
          <w:szCs w:val="20"/>
          <w:color w:val="auto"/>
        </w:rPr>
      </w:pPr>
      <w:r>
        <w:rPr>
          <w:rFonts w:ascii="Arial" w:cs="Arial" w:eastAsia="Arial" w:hAnsi="Arial"/>
          <w:sz w:val="12"/>
          <w:szCs w:val="12"/>
          <w:color w:val="auto"/>
        </w:rPr>
        <w:t>Angelika Film Centers (Plano) LP (Nevada)</w:t>
      </w:r>
    </w:p>
    <w:p>
      <w:pPr>
        <w:spacing w:after="0" w:line="204" w:lineRule="auto"/>
        <w:rPr>
          <w:sz w:val="20"/>
          <w:szCs w:val="20"/>
          <w:color w:val="auto"/>
        </w:rPr>
      </w:pPr>
      <w:r>
        <w:rPr>
          <w:rFonts w:ascii="Arial" w:cs="Arial" w:eastAsia="Arial" w:hAnsi="Arial"/>
          <w:sz w:val="12"/>
          <w:szCs w:val="12"/>
          <w:color w:val="auto"/>
        </w:rPr>
        <w:t>Angelika Plano Beverage LLC (Texas)</w:t>
      </w:r>
    </w:p>
    <w:p>
      <w:pPr>
        <w:spacing w:after="0" w:line="203" w:lineRule="auto"/>
        <w:rPr>
          <w:sz w:val="20"/>
          <w:szCs w:val="20"/>
          <w:color w:val="auto"/>
        </w:rPr>
      </w:pPr>
      <w:r>
        <w:rPr>
          <w:rFonts w:ascii="Arial" w:cs="Arial" w:eastAsia="Arial" w:hAnsi="Arial"/>
          <w:sz w:val="12"/>
          <w:szCs w:val="12"/>
          <w:color w:val="auto"/>
        </w:rPr>
        <w:t>Angelika Plano Holdings, LLC (Nevada)</w:t>
      </w:r>
    </w:p>
    <w:p>
      <w:pPr>
        <w:spacing w:after="0" w:line="204" w:lineRule="auto"/>
        <w:rPr>
          <w:sz w:val="20"/>
          <w:szCs w:val="20"/>
          <w:color w:val="auto"/>
        </w:rPr>
      </w:pPr>
      <w:r>
        <w:rPr>
          <w:rFonts w:ascii="Arial" w:cs="Arial" w:eastAsia="Arial" w:hAnsi="Arial"/>
          <w:sz w:val="12"/>
          <w:szCs w:val="12"/>
          <w:color w:val="auto"/>
        </w:rPr>
        <w:t>Australia Country Cinemas Pty Ltd (Australia)</w:t>
      </w:r>
    </w:p>
    <w:p>
      <w:pPr>
        <w:spacing w:after="0" w:line="204" w:lineRule="auto"/>
        <w:rPr>
          <w:sz w:val="20"/>
          <w:szCs w:val="20"/>
          <w:color w:val="auto"/>
        </w:rPr>
      </w:pPr>
      <w:r>
        <w:rPr>
          <w:rFonts w:ascii="Arial" w:cs="Arial" w:eastAsia="Arial" w:hAnsi="Arial"/>
          <w:sz w:val="12"/>
          <w:szCs w:val="12"/>
          <w:color w:val="auto"/>
        </w:rPr>
        <w:t>Australian Equipment Supply Pty Ltd (Australia)</w:t>
      </w:r>
    </w:p>
    <w:p>
      <w:pPr>
        <w:spacing w:after="0" w:line="203" w:lineRule="auto"/>
        <w:rPr>
          <w:sz w:val="20"/>
          <w:szCs w:val="20"/>
          <w:color w:val="auto"/>
        </w:rPr>
      </w:pPr>
      <w:r>
        <w:rPr>
          <w:rFonts w:ascii="Arial" w:cs="Arial" w:eastAsia="Arial" w:hAnsi="Arial"/>
          <w:sz w:val="12"/>
          <w:szCs w:val="12"/>
          <w:color w:val="auto"/>
        </w:rPr>
        <w:t>Bayou Cinemas LP (Delaware)</w:t>
      </w:r>
    </w:p>
    <w:p>
      <w:pPr>
        <w:spacing w:after="0" w:line="204" w:lineRule="auto"/>
        <w:rPr>
          <w:sz w:val="20"/>
          <w:szCs w:val="20"/>
          <w:color w:val="auto"/>
        </w:rPr>
      </w:pPr>
      <w:r>
        <w:rPr>
          <w:rFonts w:ascii="Arial" w:cs="Arial" w:eastAsia="Arial" w:hAnsi="Arial"/>
          <w:sz w:val="12"/>
          <w:szCs w:val="12"/>
          <w:color w:val="auto"/>
        </w:rPr>
        <w:t>Bogart Holdings Ltd (New Zealand)</w:t>
      </w:r>
    </w:p>
    <w:p>
      <w:pPr>
        <w:spacing w:after="0" w:line="204" w:lineRule="auto"/>
        <w:rPr>
          <w:sz w:val="20"/>
          <w:szCs w:val="20"/>
          <w:color w:val="auto"/>
        </w:rPr>
      </w:pPr>
      <w:r>
        <w:rPr>
          <w:rFonts w:ascii="Arial" w:cs="Arial" w:eastAsia="Arial" w:hAnsi="Arial"/>
          <w:sz w:val="12"/>
          <w:szCs w:val="12"/>
          <w:color w:val="auto"/>
        </w:rPr>
        <w:t>Burwood Developments Pty Ltd (Australia)</w:t>
      </w:r>
    </w:p>
    <w:p>
      <w:pPr>
        <w:spacing w:after="0" w:line="203" w:lineRule="auto"/>
        <w:rPr>
          <w:sz w:val="20"/>
          <w:szCs w:val="20"/>
          <w:color w:val="auto"/>
        </w:rPr>
      </w:pPr>
      <w:r>
        <w:rPr>
          <w:rFonts w:ascii="Arial" w:cs="Arial" w:eastAsia="Arial" w:hAnsi="Arial"/>
          <w:sz w:val="12"/>
          <w:szCs w:val="12"/>
          <w:color w:val="auto"/>
        </w:rPr>
        <w:t>Carmel Theatres, LLC (Nevada)</w:t>
      </w:r>
    </w:p>
    <w:p>
      <w:pPr>
        <w:spacing w:after="0" w:line="204" w:lineRule="auto"/>
        <w:rPr>
          <w:sz w:val="20"/>
          <w:szCs w:val="20"/>
          <w:color w:val="auto"/>
        </w:rPr>
      </w:pPr>
      <w:r>
        <w:rPr>
          <w:rFonts w:ascii="Arial" w:cs="Arial" w:eastAsia="Arial" w:hAnsi="Arial"/>
          <w:sz w:val="12"/>
          <w:szCs w:val="12"/>
          <w:color w:val="auto"/>
        </w:rPr>
        <w:t>Citadel Agriculture, Inc. (California)</w:t>
      </w:r>
    </w:p>
    <w:p>
      <w:pPr>
        <w:spacing w:after="0" w:line="204" w:lineRule="auto"/>
        <w:rPr>
          <w:sz w:val="20"/>
          <w:szCs w:val="20"/>
          <w:color w:val="auto"/>
        </w:rPr>
      </w:pPr>
      <w:r>
        <w:rPr>
          <w:rFonts w:ascii="Arial" w:cs="Arial" w:eastAsia="Arial" w:hAnsi="Arial"/>
          <w:sz w:val="12"/>
          <w:szCs w:val="12"/>
          <w:color w:val="auto"/>
        </w:rPr>
        <w:t>Citadel Cinemas, Inc. (Nevada)</w:t>
      </w:r>
    </w:p>
    <w:p>
      <w:pPr>
        <w:spacing w:after="0" w:line="203" w:lineRule="auto"/>
        <w:rPr>
          <w:sz w:val="20"/>
          <w:szCs w:val="20"/>
          <w:color w:val="auto"/>
        </w:rPr>
      </w:pPr>
      <w:r>
        <w:rPr>
          <w:rFonts w:ascii="Arial" w:cs="Arial" w:eastAsia="Arial" w:hAnsi="Arial"/>
          <w:sz w:val="12"/>
          <w:szCs w:val="12"/>
          <w:color w:val="auto"/>
        </w:rPr>
        <w:t>Citadel Realty, Inc. (Nevada)</w:t>
      </w:r>
    </w:p>
    <w:p>
      <w:pPr>
        <w:spacing w:after="0" w:line="204" w:lineRule="auto"/>
        <w:rPr>
          <w:sz w:val="20"/>
          <w:szCs w:val="20"/>
          <w:color w:val="auto"/>
        </w:rPr>
      </w:pPr>
      <w:r>
        <w:rPr>
          <w:rFonts w:ascii="Arial" w:cs="Arial" w:eastAsia="Arial" w:hAnsi="Arial"/>
          <w:sz w:val="12"/>
          <w:szCs w:val="12"/>
          <w:color w:val="auto"/>
        </w:rPr>
        <w:t>City Cinemas, LLC (Nevada)</w:t>
      </w:r>
    </w:p>
    <w:p>
      <w:pPr>
        <w:spacing w:after="0" w:line="203" w:lineRule="auto"/>
        <w:rPr>
          <w:sz w:val="20"/>
          <w:szCs w:val="20"/>
          <w:color w:val="auto"/>
        </w:rPr>
      </w:pPr>
      <w:r>
        <w:rPr>
          <w:rFonts w:ascii="Arial" w:cs="Arial" w:eastAsia="Arial" w:hAnsi="Arial"/>
          <w:sz w:val="12"/>
          <w:szCs w:val="12"/>
          <w:color w:val="auto"/>
        </w:rPr>
        <w:t>Consolidated Amusement Holdings, LLC (Nevada)</w:t>
      </w:r>
    </w:p>
    <w:p>
      <w:pPr>
        <w:spacing w:after="0" w:line="204" w:lineRule="auto"/>
        <w:rPr>
          <w:sz w:val="20"/>
          <w:szCs w:val="20"/>
          <w:color w:val="auto"/>
        </w:rPr>
      </w:pPr>
      <w:r>
        <w:rPr>
          <w:rFonts w:ascii="Arial" w:cs="Arial" w:eastAsia="Arial" w:hAnsi="Arial"/>
          <w:sz w:val="12"/>
          <w:szCs w:val="12"/>
          <w:color w:val="auto"/>
        </w:rPr>
        <w:t>Consolidated Cinema Services, LLC (Nevada)</w:t>
      </w:r>
    </w:p>
    <w:p>
      <w:pPr>
        <w:spacing w:after="0" w:line="204" w:lineRule="auto"/>
        <w:rPr>
          <w:sz w:val="20"/>
          <w:szCs w:val="20"/>
          <w:color w:val="auto"/>
        </w:rPr>
      </w:pPr>
      <w:r>
        <w:rPr>
          <w:rFonts w:ascii="Arial" w:cs="Arial" w:eastAsia="Arial" w:hAnsi="Arial"/>
          <w:sz w:val="12"/>
          <w:szCs w:val="12"/>
          <w:color w:val="auto"/>
        </w:rPr>
        <w:t>Consolidated Cinemas Kapolei, LLC (Nevada)</w:t>
      </w:r>
    </w:p>
    <w:p>
      <w:pPr>
        <w:spacing w:after="0" w:line="203" w:lineRule="auto"/>
        <w:rPr>
          <w:sz w:val="20"/>
          <w:szCs w:val="20"/>
          <w:color w:val="auto"/>
        </w:rPr>
      </w:pPr>
      <w:r>
        <w:rPr>
          <w:rFonts w:ascii="Arial" w:cs="Arial" w:eastAsia="Arial" w:hAnsi="Arial"/>
          <w:sz w:val="12"/>
          <w:szCs w:val="12"/>
          <w:color w:val="auto"/>
        </w:rPr>
        <w:t>Consolidated Entertainment, LLC (Nevada)</w:t>
      </w:r>
    </w:p>
    <w:p>
      <w:pPr>
        <w:spacing w:after="0" w:line="204" w:lineRule="auto"/>
        <w:rPr>
          <w:sz w:val="20"/>
          <w:szCs w:val="20"/>
          <w:color w:val="auto"/>
        </w:rPr>
      </w:pPr>
      <w:r>
        <w:rPr>
          <w:rFonts w:ascii="Arial" w:cs="Arial" w:eastAsia="Arial" w:hAnsi="Arial"/>
          <w:sz w:val="12"/>
          <w:szCs w:val="12"/>
          <w:color w:val="auto"/>
        </w:rPr>
        <w:t>Courtenay Car Park Ltd (New Zealand)</w:t>
      </w:r>
    </w:p>
    <w:p>
      <w:pPr>
        <w:spacing w:after="0" w:line="204" w:lineRule="auto"/>
        <w:rPr>
          <w:sz w:val="20"/>
          <w:szCs w:val="20"/>
          <w:color w:val="auto"/>
        </w:rPr>
      </w:pPr>
      <w:r>
        <w:rPr>
          <w:rFonts w:ascii="Arial" w:cs="Arial" w:eastAsia="Arial" w:hAnsi="Arial"/>
          <w:sz w:val="12"/>
          <w:szCs w:val="12"/>
          <w:color w:val="auto"/>
        </w:rPr>
        <w:t>Craig Corporation (Nevada)</w:t>
      </w:r>
    </w:p>
    <w:p>
      <w:pPr>
        <w:spacing w:after="0" w:line="203" w:lineRule="auto"/>
        <w:rPr>
          <w:sz w:val="20"/>
          <w:szCs w:val="20"/>
          <w:color w:val="auto"/>
        </w:rPr>
      </w:pPr>
      <w:r>
        <w:rPr>
          <w:rFonts w:ascii="Arial" w:cs="Arial" w:eastAsia="Arial" w:hAnsi="Arial"/>
          <w:sz w:val="12"/>
          <w:szCs w:val="12"/>
          <w:color w:val="auto"/>
        </w:rPr>
        <w:t>Darnelle Enterprises Limited (New Zealand)</w:t>
      </w:r>
    </w:p>
    <w:p>
      <w:pPr>
        <w:spacing w:after="0" w:line="204" w:lineRule="auto"/>
        <w:rPr>
          <w:sz w:val="20"/>
          <w:szCs w:val="20"/>
          <w:color w:val="auto"/>
        </w:rPr>
      </w:pPr>
      <w:r>
        <w:rPr>
          <w:rFonts w:ascii="Arial" w:cs="Arial" w:eastAsia="Arial" w:hAnsi="Arial"/>
          <w:sz w:val="12"/>
          <w:szCs w:val="12"/>
          <w:color w:val="auto"/>
        </w:rPr>
        <w:t>Dimension Specialty, Inc. (Delaware)</w:t>
      </w:r>
    </w:p>
    <w:p>
      <w:pPr>
        <w:spacing w:after="0" w:line="204" w:lineRule="auto"/>
        <w:rPr>
          <w:sz w:val="20"/>
          <w:szCs w:val="20"/>
          <w:color w:val="auto"/>
        </w:rPr>
      </w:pPr>
      <w:r>
        <w:rPr>
          <w:rFonts w:ascii="Arial" w:cs="Arial" w:eastAsia="Arial" w:hAnsi="Arial"/>
          <w:sz w:val="12"/>
          <w:szCs w:val="12"/>
          <w:color w:val="auto"/>
        </w:rPr>
        <w:t>Epping Cinemas Pty Ltd (Australia)</w:t>
      </w:r>
    </w:p>
    <w:p>
      <w:pPr>
        <w:spacing w:after="0" w:line="203" w:lineRule="auto"/>
        <w:rPr>
          <w:sz w:val="20"/>
          <w:szCs w:val="20"/>
          <w:color w:val="auto"/>
        </w:rPr>
      </w:pPr>
      <w:r>
        <w:rPr>
          <w:rFonts w:ascii="Arial" w:cs="Arial" w:eastAsia="Arial" w:hAnsi="Arial"/>
          <w:sz w:val="12"/>
          <w:szCs w:val="12"/>
          <w:color w:val="auto"/>
        </w:rPr>
        <w:t>Gaslamp Theatres, LLC (Nevada)</w:t>
      </w:r>
    </w:p>
    <w:p>
      <w:pPr>
        <w:spacing w:after="0" w:line="204" w:lineRule="auto"/>
        <w:rPr>
          <w:sz w:val="20"/>
          <w:szCs w:val="20"/>
          <w:color w:val="auto"/>
        </w:rPr>
      </w:pPr>
      <w:r>
        <w:rPr>
          <w:rFonts w:ascii="Arial" w:cs="Arial" w:eastAsia="Arial" w:hAnsi="Arial"/>
          <w:sz w:val="12"/>
          <w:szCs w:val="12"/>
          <w:color w:val="auto"/>
        </w:rPr>
        <w:t>Hope Street Hospitality, LLC (Delaware)</w:t>
      </w:r>
    </w:p>
    <w:p>
      <w:pPr>
        <w:spacing w:after="0" w:line="204" w:lineRule="auto"/>
        <w:rPr>
          <w:sz w:val="20"/>
          <w:szCs w:val="20"/>
          <w:color w:val="auto"/>
        </w:rPr>
      </w:pPr>
      <w:r>
        <w:rPr>
          <w:rFonts w:ascii="Arial" w:cs="Arial" w:eastAsia="Arial" w:hAnsi="Arial"/>
          <w:sz w:val="12"/>
          <w:szCs w:val="12"/>
          <w:color w:val="auto"/>
        </w:rPr>
        <w:t>Hotel Newmarket Pty Ltd (Australia)</w:t>
      </w:r>
    </w:p>
    <w:p>
      <w:pPr>
        <w:spacing w:after="0" w:line="203" w:lineRule="auto"/>
        <w:rPr>
          <w:sz w:val="20"/>
          <w:szCs w:val="20"/>
          <w:color w:val="auto"/>
        </w:rPr>
      </w:pPr>
      <w:r>
        <w:rPr>
          <w:rFonts w:ascii="Arial" w:cs="Arial" w:eastAsia="Arial" w:hAnsi="Arial"/>
          <w:sz w:val="12"/>
          <w:szCs w:val="12"/>
          <w:color w:val="auto"/>
        </w:rPr>
        <w:t>Kaahumanu Cinemas, LLC (Nevada)</w:t>
      </w:r>
    </w:p>
    <w:p>
      <w:pPr>
        <w:spacing w:after="0" w:line="204" w:lineRule="auto"/>
        <w:rPr>
          <w:sz w:val="20"/>
          <w:szCs w:val="20"/>
          <w:color w:val="auto"/>
        </w:rPr>
      </w:pPr>
      <w:r>
        <w:rPr>
          <w:rFonts w:ascii="Arial" w:cs="Arial" w:eastAsia="Arial" w:hAnsi="Arial"/>
          <w:sz w:val="12"/>
          <w:szCs w:val="12"/>
          <w:color w:val="auto"/>
        </w:rPr>
        <w:t>Kahala Cinema Company LLC (Nevada)</w:t>
      </w:r>
    </w:p>
    <w:p>
      <w:pPr>
        <w:spacing w:after="0" w:line="204" w:lineRule="auto"/>
        <w:rPr>
          <w:sz w:val="20"/>
          <w:szCs w:val="20"/>
          <w:color w:val="auto"/>
        </w:rPr>
      </w:pPr>
      <w:r>
        <w:rPr>
          <w:rFonts w:ascii="Arial" w:cs="Arial" w:eastAsia="Arial" w:hAnsi="Arial"/>
          <w:sz w:val="12"/>
          <w:szCs w:val="12"/>
          <w:color w:val="auto"/>
        </w:rPr>
        <w:t>KMA Cinemas, LLC (Nevada)</w:t>
      </w:r>
    </w:p>
    <w:p>
      <w:pPr>
        <w:spacing w:after="0" w:line="203" w:lineRule="auto"/>
        <w:rPr>
          <w:sz w:val="20"/>
          <w:szCs w:val="20"/>
          <w:color w:val="auto"/>
        </w:rPr>
      </w:pPr>
      <w:r>
        <w:rPr>
          <w:rFonts w:ascii="Arial" w:cs="Arial" w:eastAsia="Arial" w:hAnsi="Arial"/>
          <w:sz w:val="12"/>
          <w:szCs w:val="12"/>
          <w:color w:val="auto"/>
        </w:rPr>
        <w:t>Liberty Live, LLC (Nevada)</w:t>
      </w:r>
    </w:p>
    <w:p>
      <w:pPr>
        <w:spacing w:after="0" w:line="204" w:lineRule="auto"/>
        <w:rPr>
          <w:sz w:val="20"/>
          <w:szCs w:val="20"/>
          <w:color w:val="auto"/>
        </w:rPr>
      </w:pPr>
      <w:r>
        <w:rPr>
          <w:rFonts w:ascii="Arial" w:cs="Arial" w:eastAsia="Arial" w:hAnsi="Arial"/>
          <w:sz w:val="12"/>
          <w:szCs w:val="12"/>
          <w:color w:val="auto"/>
        </w:rPr>
        <w:t>Liberty Theaters, LLC (Nevada)</w:t>
      </w:r>
    </w:p>
    <w:p>
      <w:pPr>
        <w:spacing w:after="0" w:line="204" w:lineRule="auto"/>
        <w:rPr>
          <w:sz w:val="20"/>
          <w:szCs w:val="20"/>
          <w:color w:val="auto"/>
        </w:rPr>
      </w:pPr>
      <w:r>
        <w:rPr>
          <w:rFonts w:ascii="Arial" w:cs="Arial" w:eastAsia="Arial" w:hAnsi="Arial"/>
          <w:sz w:val="12"/>
          <w:szCs w:val="12"/>
          <w:color w:val="auto"/>
        </w:rPr>
        <w:t>Liberty Theatres Properties LLC (Nevada)</w:t>
      </w:r>
    </w:p>
    <w:p>
      <w:pPr>
        <w:spacing w:after="0" w:line="203" w:lineRule="auto"/>
        <w:rPr>
          <w:sz w:val="20"/>
          <w:szCs w:val="20"/>
          <w:color w:val="auto"/>
        </w:rPr>
      </w:pPr>
      <w:r>
        <w:rPr>
          <w:rFonts w:ascii="Arial" w:cs="Arial" w:eastAsia="Arial" w:hAnsi="Arial"/>
          <w:sz w:val="12"/>
          <w:szCs w:val="12"/>
          <w:color w:val="auto"/>
        </w:rPr>
        <w:t>Liberty Theatricals, LLC (Nevada)</w:t>
      </w:r>
    </w:p>
    <w:p>
      <w:pPr>
        <w:spacing w:after="0" w:line="204" w:lineRule="auto"/>
        <w:rPr>
          <w:sz w:val="20"/>
          <w:szCs w:val="20"/>
          <w:color w:val="auto"/>
        </w:rPr>
      </w:pPr>
      <w:r>
        <w:rPr>
          <w:rFonts w:ascii="Arial" w:cs="Arial" w:eastAsia="Arial" w:hAnsi="Arial"/>
          <w:sz w:val="12"/>
          <w:szCs w:val="12"/>
          <w:color w:val="auto"/>
        </w:rPr>
        <w:t>Minetta Live, LLC (Nevada)</w:t>
      </w:r>
    </w:p>
    <w:p>
      <w:pPr>
        <w:spacing w:after="0" w:line="203" w:lineRule="auto"/>
        <w:rPr>
          <w:sz w:val="20"/>
          <w:szCs w:val="20"/>
          <w:color w:val="auto"/>
        </w:rPr>
      </w:pPr>
      <w:r>
        <w:rPr>
          <w:rFonts w:ascii="Arial" w:cs="Arial" w:eastAsia="Arial" w:hAnsi="Arial"/>
          <w:sz w:val="12"/>
          <w:szCs w:val="12"/>
          <w:color w:val="auto"/>
        </w:rPr>
        <w:t>Movieland Cinemas (NZ) Ltd (New Zealand)</w:t>
      </w:r>
    </w:p>
    <w:p>
      <w:pPr>
        <w:spacing w:after="0" w:line="204" w:lineRule="auto"/>
        <w:rPr>
          <w:sz w:val="20"/>
          <w:szCs w:val="20"/>
          <w:color w:val="auto"/>
        </w:rPr>
      </w:pPr>
      <w:r>
        <w:rPr>
          <w:rFonts w:ascii="Arial" w:cs="Arial" w:eastAsia="Arial" w:hAnsi="Arial"/>
          <w:sz w:val="12"/>
          <w:szCs w:val="12"/>
          <w:color w:val="auto"/>
        </w:rPr>
        <w:t>NZ Equipment Supply Limited (New Zealand)</w:t>
      </w:r>
    </w:p>
    <w:p>
      <w:pPr>
        <w:spacing w:after="0" w:line="204" w:lineRule="auto"/>
        <w:rPr>
          <w:sz w:val="20"/>
          <w:szCs w:val="20"/>
          <w:color w:val="auto"/>
        </w:rPr>
      </w:pPr>
      <w:r>
        <w:rPr>
          <w:rFonts w:ascii="Arial" w:cs="Arial" w:eastAsia="Arial" w:hAnsi="Arial"/>
          <w:sz w:val="12"/>
          <w:szCs w:val="12"/>
          <w:color w:val="auto"/>
        </w:rPr>
        <w:t>Newmarket Properties #3 Pty Ltd (Australia)</w:t>
      </w:r>
    </w:p>
    <w:p>
      <w:pPr>
        <w:spacing w:after="0" w:line="203" w:lineRule="auto"/>
        <w:rPr>
          <w:sz w:val="20"/>
          <w:szCs w:val="20"/>
          <w:color w:val="auto"/>
        </w:rPr>
      </w:pPr>
      <w:r>
        <w:rPr>
          <w:rFonts w:ascii="Arial" w:cs="Arial" w:eastAsia="Arial" w:hAnsi="Arial"/>
          <w:sz w:val="12"/>
          <w:szCs w:val="12"/>
          <w:color w:val="auto"/>
        </w:rPr>
        <w:t>Newmarket Properties No. 2 Pty Ltd (Australia)</w:t>
      </w:r>
    </w:p>
    <w:p>
      <w:pPr>
        <w:spacing w:after="0" w:line="204" w:lineRule="auto"/>
        <w:rPr>
          <w:sz w:val="20"/>
          <w:szCs w:val="20"/>
          <w:color w:val="auto"/>
        </w:rPr>
      </w:pPr>
      <w:r>
        <w:rPr>
          <w:rFonts w:ascii="Arial" w:cs="Arial" w:eastAsia="Arial" w:hAnsi="Arial"/>
          <w:sz w:val="12"/>
          <w:szCs w:val="12"/>
          <w:color w:val="auto"/>
        </w:rPr>
        <w:t>Newmarket Properties Pty Ltd (Australia)</w:t>
      </w:r>
    </w:p>
    <w:p>
      <w:pPr>
        <w:spacing w:after="0" w:line="204" w:lineRule="auto"/>
        <w:rPr>
          <w:sz w:val="20"/>
          <w:szCs w:val="20"/>
          <w:color w:val="auto"/>
        </w:rPr>
      </w:pPr>
      <w:r>
        <w:rPr>
          <w:rFonts w:ascii="Arial" w:cs="Arial" w:eastAsia="Arial" w:hAnsi="Arial"/>
          <w:sz w:val="12"/>
          <w:szCs w:val="12"/>
          <w:color w:val="auto"/>
        </w:rPr>
        <w:t>Orpheum Live, LLC (Nevada)</w:t>
      </w:r>
    </w:p>
    <w:p>
      <w:pPr>
        <w:spacing w:after="0" w:line="203" w:lineRule="auto"/>
        <w:rPr>
          <w:sz w:val="20"/>
          <w:szCs w:val="20"/>
          <w:color w:val="auto"/>
        </w:rPr>
      </w:pPr>
      <w:r>
        <w:rPr>
          <w:rFonts w:ascii="Arial" w:cs="Arial" w:eastAsia="Arial" w:hAnsi="Arial"/>
          <w:sz w:val="12"/>
          <w:szCs w:val="12"/>
          <w:color w:val="auto"/>
        </w:rPr>
        <w:t>Queenstown Land Holdings Ltd (New Zealand)</w:t>
      </w:r>
    </w:p>
    <w:p>
      <w:pPr>
        <w:spacing w:after="0"/>
        <w:rPr>
          <w:sz w:val="20"/>
          <w:szCs w:val="20"/>
          <w:color w:val="auto"/>
        </w:rPr>
      </w:pPr>
      <w:r>
        <w:rPr>
          <w:rFonts w:ascii="Arial" w:cs="Arial" w:eastAsia="Arial" w:hAnsi="Arial"/>
          <w:sz w:val="12"/>
          <w:szCs w:val="12"/>
          <w:color w:val="auto"/>
        </w:rPr>
        <w:t>RCPA LLC (Pennsylvania)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70485</wp:posOffset>
            </wp:positionV>
            <wp:extent cx="6231255"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231255" cy="42545"/>
                    </a:xfrm>
                    <a:prstGeom prst="rect">
                      <a:avLst/>
                    </a:prstGeom>
                    <a:noFill/>
                  </pic:spPr>
                </pic:pic>
              </a:graphicData>
            </a:graphic>
          </wp:anchor>
        </w:drawing>
      </w:r>
    </w:p>
    <w:p>
      <w:pPr>
        <w:sectPr>
          <w:pgSz w:w="11900" w:h="16838" w:orient="portrait"/>
          <w:cols w:equalWidth="0" w:num="1">
            <w:col w:w="9760"/>
          </w:cols>
          <w:pgMar w:left="1080" w:top="127" w:right="1059" w:bottom="1440" w:gutter="0" w:footer="0" w:header="0"/>
        </w:sectPr>
      </w:pPr>
    </w:p>
    <w:bookmarkStart w:id="289" w:name="page290"/>
    <w:bookmarkEnd w:id="289"/>
    <w:p>
      <w:pPr>
        <w:spacing w:after="0"/>
        <w:rPr>
          <w:sz w:val="20"/>
          <w:szCs w:val="20"/>
          <w:color w:val="auto"/>
        </w:rPr>
      </w:pPr>
      <w:r>
        <w:rPr>
          <w:rFonts w:ascii="Arial" w:cs="Arial" w:eastAsia="Arial" w:hAnsi="Arial"/>
          <w:sz w:val="12"/>
          <w:szCs w:val="12"/>
          <w:color w:val="auto"/>
        </w:rPr>
        <w:t>RDI Employee Investment Fund LLC (California)</w:t>
      </w:r>
    </w:p>
    <w:p>
      <w:pPr>
        <w:spacing w:after="0" w:line="203" w:lineRule="auto"/>
        <w:rPr>
          <w:sz w:val="20"/>
          <w:szCs w:val="20"/>
          <w:color w:val="auto"/>
        </w:rPr>
      </w:pPr>
      <w:r>
        <w:rPr>
          <w:rFonts w:ascii="Arial" w:cs="Arial" w:eastAsia="Arial" w:hAnsi="Arial"/>
          <w:sz w:val="12"/>
          <w:szCs w:val="12"/>
          <w:color w:val="auto"/>
        </w:rPr>
        <w:t>Reading Arthouse Limited (New Zealand)</w:t>
      </w:r>
    </w:p>
    <w:p>
      <w:pPr>
        <w:spacing w:after="0" w:line="204" w:lineRule="auto"/>
        <w:rPr>
          <w:sz w:val="20"/>
          <w:szCs w:val="20"/>
          <w:color w:val="auto"/>
        </w:rPr>
      </w:pPr>
      <w:r>
        <w:rPr>
          <w:rFonts w:ascii="Arial" w:cs="Arial" w:eastAsia="Arial" w:hAnsi="Arial"/>
          <w:sz w:val="12"/>
          <w:szCs w:val="12"/>
          <w:color w:val="auto"/>
        </w:rPr>
        <w:t>Reading Auburn Pty Ltd (Australia)</w:t>
      </w:r>
    </w:p>
    <w:p>
      <w:pPr>
        <w:spacing w:after="0" w:line="203" w:lineRule="auto"/>
        <w:rPr>
          <w:sz w:val="20"/>
          <w:szCs w:val="20"/>
          <w:color w:val="auto"/>
        </w:rPr>
      </w:pPr>
      <w:r>
        <w:rPr>
          <w:rFonts w:ascii="Arial" w:cs="Arial" w:eastAsia="Arial" w:hAnsi="Arial"/>
          <w:sz w:val="12"/>
          <w:szCs w:val="12"/>
          <w:color w:val="auto"/>
        </w:rPr>
        <w:t>Reading Australia Leasing (E&amp;R) Pty Ltd (Australia)</w:t>
      </w:r>
    </w:p>
    <w:p>
      <w:pPr>
        <w:spacing w:after="0" w:line="204" w:lineRule="auto"/>
        <w:rPr>
          <w:sz w:val="20"/>
          <w:szCs w:val="20"/>
          <w:color w:val="auto"/>
        </w:rPr>
      </w:pPr>
      <w:r>
        <w:rPr>
          <w:rFonts w:ascii="Arial" w:cs="Arial" w:eastAsia="Arial" w:hAnsi="Arial"/>
          <w:sz w:val="12"/>
          <w:szCs w:val="12"/>
          <w:color w:val="auto"/>
        </w:rPr>
        <w:t>Reading Belmont Pty Ltd (Australia)</w:t>
      </w:r>
    </w:p>
    <w:p>
      <w:pPr>
        <w:spacing w:after="0" w:line="204" w:lineRule="auto"/>
        <w:rPr>
          <w:sz w:val="20"/>
          <w:szCs w:val="20"/>
          <w:color w:val="auto"/>
        </w:rPr>
      </w:pPr>
      <w:r>
        <w:rPr>
          <w:rFonts w:ascii="Arial" w:cs="Arial" w:eastAsia="Arial" w:hAnsi="Arial"/>
          <w:sz w:val="12"/>
          <w:szCs w:val="12"/>
          <w:color w:val="auto"/>
        </w:rPr>
        <w:t>Reading Cannon Park Pty Ltd (Australia)</w:t>
      </w:r>
    </w:p>
    <w:p>
      <w:pPr>
        <w:spacing w:after="0" w:line="203" w:lineRule="auto"/>
        <w:rPr>
          <w:sz w:val="20"/>
          <w:szCs w:val="20"/>
          <w:color w:val="auto"/>
        </w:rPr>
      </w:pPr>
      <w:r>
        <w:rPr>
          <w:rFonts w:ascii="Arial" w:cs="Arial" w:eastAsia="Arial" w:hAnsi="Arial"/>
          <w:sz w:val="12"/>
          <w:szCs w:val="12"/>
          <w:color w:val="auto"/>
        </w:rPr>
        <w:t>Reading Capital Corporation (Delaware)</w:t>
      </w:r>
    </w:p>
    <w:p>
      <w:pPr>
        <w:spacing w:after="0" w:line="1" w:lineRule="exact"/>
        <w:rPr>
          <w:sz w:val="20"/>
          <w:szCs w:val="20"/>
          <w:color w:val="auto"/>
        </w:rPr>
      </w:pPr>
    </w:p>
    <w:p>
      <w:pPr>
        <w:spacing w:after="0"/>
        <w:rPr>
          <w:sz w:val="20"/>
          <w:szCs w:val="20"/>
          <w:color w:val="auto"/>
        </w:rPr>
      </w:pPr>
      <w:r>
        <w:rPr>
          <w:rFonts w:ascii="Arial" w:cs="Arial" w:eastAsia="Arial" w:hAnsi="Arial"/>
          <w:sz w:val="10"/>
          <w:szCs w:val="10"/>
          <w:color w:val="auto"/>
        </w:rPr>
        <w:t>Reading Center Development Corporation (Pennsylvania)</w:t>
      </w:r>
    </w:p>
    <w:p>
      <w:pPr>
        <w:spacing w:after="0" w:line="207" w:lineRule="auto"/>
        <w:rPr>
          <w:sz w:val="20"/>
          <w:szCs w:val="20"/>
          <w:color w:val="auto"/>
        </w:rPr>
      </w:pPr>
      <w:r>
        <w:rPr>
          <w:rFonts w:ascii="Arial" w:cs="Arial" w:eastAsia="Arial" w:hAnsi="Arial"/>
          <w:sz w:val="12"/>
          <w:szCs w:val="12"/>
          <w:color w:val="auto"/>
        </w:rPr>
        <w:t>Reading Charlestown Pty Ltd (Australia)</w:t>
      </w:r>
    </w:p>
    <w:p>
      <w:pPr>
        <w:spacing w:after="0" w:line="222" w:lineRule="auto"/>
        <w:rPr>
          <w:sz w:val="20"/>
          <w:szCs w:val="20"/>
          <w:color w:val="auto"/>
        </w:rPr>
      </w:pPr>
      <w:r>
        <w:rPr>
          <w:rFonts w:ascii="Arial" w:cs="Arial" w:eastAsia="Arial" w:hAnsi="Arial"/>
          <w:sz w:val="11"/>
          <w:szCs w:val="11"/>
          <w:color w:val="auto"/>
        </w:rPr>
        <w:t>Reading Cinemas Courtenay Central Ltd (New Zealand)</w:t>
      </w:r>
    </w:p>
    <w:p>
      <w:pPr>
        <w:spacing w:after="0" w:line="204" w:lineRule="auto"/>
        <w:rPr>
          <w:sz w:val="20"/>
          <w:szCs w:val="20"/>
          <w:color w:val="auto"/>
        </w:rPr>
      </w:pPr>
      <w:r>
        <w:rPr>
          <w:rFonts w:ascii="Arial" w:cs="Arial" w:eastAsia="Arial" w:hAnsi="Arial"/>
          <w:sz w:val="12"/>
          <w:szCs w:val="12"/>
          <w:color w:val="auto"/>
        </w:rPr>
        <w:t>Reading Cinemas Management Pty Ltd (Australia)</w:t>
      </w:r>
    </w:p>
    <w:p>
      <w:pPr>
        <w:spacing w:after="0" w:line="203" w:lineRule="auto"/>
        <w:rPr>
          <w:sz w:val="20"/>
          <w:szCs w:val="20"/>
          <w:color w:val="auto"/>
        </w:rPr>
      </w:pPr>
      <w:r>
        <w:rPr>
          <w:rFonts w:ascii="Arial" w:cs="Arial" w:eastAsia="Arial" w:hAnsi="Arial"/>
          <w:sz w:val="12"/>
          <w:szCs w:val="12"/>
          <w:color w:val="auto"/>
        </w:rPr>
        <w:t>Reading Cinemas NJ, Inc. (Delaware)</w:t>
      </w:r>
    </w:p>
    <w:p>
      <w:pPr>
        <w:spacing w:after="0" w:line="204" w:lineRule="auto"/>
        <w:rPr>
          <w:sz w:val="20"/>
          <w:szCs w:val="20"/>
          <w:color w:val="auto"/>
        </w:rPr>
      </w:pPr>
      <w:r>
        <w:rPr>
          <w:rFonts w:ascii="Arial" w:cs="Arial" w:eastAsia="Arial" w:hAnsi="Arial"/>
          <w:sz w:val="12"/>
          <w:szCs w:val="12"/>
          <w:color w:val="auto"/>
        </w:rPr>
        <w:t>Reading Cinemas of Puerto Rico, Inc. (Puerto Rico)</w:t>
      </w:r>
    </w:p>
    <w:p>
      <w:pPr>
        <w:spacing w:after="0" w:line="204" w:lineRule="auto"/>
        <w:rPr>
          <w:sz w:val="20"/>
          <w:szCs w:val="20"/>
          <w:color w:val="auto"/>
        </w:rPr>
      </w:pPr>
      <w:r>
        <w:rPr>
          <w:rFonts w:ascii="Arial" w:cs="Arial" w:eastAsia="Arial" w:hAnsi="Arial"/>
          <w:sz w:val="12"/>
          <w:szCs w:val="12"/>
          <w:color w:val="auto"/>
        </w:rPr>
        <w:t>Reading Cinemas Pty Ltd (Australia)</w:t>
      </w:r>
    </w:p>
    <w:p>
      <w:pPr>
        <w:spacing w:after="0" w:line="203" w:lineRule="auto"/>
        <w:rPr>
          <w:sz w:val="20"/>
          <w:szCs w:val="20"/>
          <w:color w:val="auto"/>
        </w:rPr>
      </w:pPr>
      <w:r>
        <w:rPr>
          <w:rFonts w:ascii="Arial" w:cs="Arial" w:eastAsia="Arial" w:hAnsi="Arial"/>
          <w:sz w:val="12"/>
          <w:szCs w:val="12"/>
          <w:color w:val="auto"/>
        </w:rPr>
        <w:t>Reading Cinemas Puerto Rico LLC (Nevada)</w:t>
      </w:r>
    </w:p>
    <w:p>
      <w:pPr>
        <w:spacing w:after="0" w:line="204" w:lineRule="auto"/>
        <w:rPr>
          <w:sz w:val="20"/>
          <w:szCs w:val="20"/>
          <w:color w:val="auto"/>
        </w:rPr>
      </w:pPr>
      <w:r>
        <w:rPr>
          <w:rFonts w:ascii="Arial" w:cs="Arial" w:eastAsia="Arial" w:hAnsi="Arial"/>
          <w:sz w:val="12"/>
          <w:szCs w:val="12"/>
          <w:color w:val="auto"/>
        </w:rPr>
        <w:t>Reading Cinemas USA LLC (Nevada)</w:t>
      </w:r>
    </w:p>
    <w:p>
      <w:pPr>
        <w:spacing w:after="0" w:line="204" w:lineRule="auto"/>
        <w:rPr>
          <w:sz w:val="20"/>
          <w:szCs w:val="20"/>
          <w:color w:val="auto"/>
        </w:rPr>
      </w:pPr>
      <w:r>
        <w:rPr>
          <w:rFonts w:ascii="Arial" w:cs="Arial" w:eastAsia="Arial" w:hAnsi="Arial"/>
          <w:sz w:val="12"/>
          <w:szCs w:val="12"/>
          <w:color w:val="auto"/>
        </w:rPr>
        <w:t>Reading Colac Pty Ltd (Australia)</w:t>
      </w:r>
    </w:p>
    <w:p>
      <w:pPr>
        <w:spacing w:after="0" w:line="222" w:lineRule="auto"/>
        <w:rPr>
          <w:sz w:val="20"/>
          <w:szCs w:val="20"/>
          <w:color w:val="auto"/>
        </w:rPr>
      </w:pPr>
      <w:r>
        <w:rPr>
          <w:rFonts w:ascii="Arial" w:cs="Arial" w:eastAsia="Arial" w:hAnsi="Arial"/>
          <w:sz w:val="11"/>
          <w:szCs w:val="11"/>
          <w:color w:val="auto"/>
        </w:rPr>
        <w:t>Reading Consolidated Holdings (Hawaii), Inc. (Hawaii)</w:t>
      </w:r>
    </w:p>
    <w:p>
      <w:pPr>
        <w:spacing w:after="0" w:line="203" w:lineRule="auto"/>
        <w:rPr>
          <w:sz w:val="20"/>
          <w:szCs w:val="20"/>
          <w:color w:val="auto"/>
        </w:rPr>
      </w:pPr>
      <w:r>
        <w:rPr>
          <w:rFonts w:ascii="Arial" w:cs="Arial" w:eastAsia="Arial" w:hAnsi="Arial"/>
          <w:sz w:val="12"/>
          <w:szCs w:val="12"/>
          <w:color w:val="auto"/>
        </w:rPr>
        <w:t>Reading Consolidated Holdings, Inc. (Nevada)</w:t>
      </w:r>
    </w:p>
    <w:p>
      <w:pPr>
        <w:spacing w:after="0" w:line="204" w:lineRule="auto"/>
        <w:rPr>
          <w:sz w:val="20"/>
          <w:szCs w:val="20"/>
          <w:color w:val="auto"/>
        </w:rPr>
      </w:pPr>
      <w:r>
        <w:rPr>
          <w:rFonts w:ascii="Arial" w:cs="Arial" w:eastAsia="Arial" w:hAnsi="Arial"/>
          <w:sz w:val="12"/>
          <w:szCs w:val="12"/>
          <w:color w:val="auto"/>
        </w:rPr>
        <w:t>Reading Courtenay Central Limited (New Zealand)</w:t>
      </w:r>
    </w:p>
    <w:p>
      <w:pPr>
        <w:spacing w:after="0" w:line="204" w:lineRule="auto"/>
        <w:rPr>
          <w:sz w:val="20"/>
          <w:szCs w:val="20"/>
          <w:color w:val="auto"/>
        </w:rPr>
      </w:pPr>
      <w:r>
        <w:rPr>
          <w:rFonts w:ascii="Arial" w:cs="Arial" w:eastAsia="Arial" w:hAnsi="Arial"/>
          <w:sz w:val="12"/>
          <w:szCs w:val="12"/>
          <w:color w:val="auto"/>
        </w:rPr>
        <w:t>Reading Dandenong Pty Ltd (Australia)</w:t>
      </w:r>
    </w:p>
    <w:p>
      <w:pPr>
        <w:spacing w:after="0" w:line="203" w:lineRule="auto"/>
        <w:rPr>
          <w:sz w:val="20"/>
          <w:szCs w:val="20"/>
          <w:color w:val="auto"/>
        </w:rPr>
      </w:pPr>
      <w:r>
        <w:rPr>
          <w:rFonts w:ascii="Arial" w:cs="Arial" w:eastAsia="Arial" w:hAnsi="Arial"/>
          <w:sz w:val="12"/>
          <w:szCs w:val="12"/>
          <w:color w:val="auto"/>
        </w:rPr>
        <w:t>Reading Dunedin Limited (New Zealand)</w:t>
      </w:r>
    </w:p>
    <w:p>
      <w:pPr>
        <w:spacing w:after="0" w:line="204" w:lineRule="auto"/>
        <w:rPr>
          <w:sz w:val="20"/>
          <w:szCs w:val="20"/>
          <w:color w:val="auto"/>
        </w:rPr>
      </w:pPr>
      <w:r>
        <w:rPr>
          <w:rFonts w:ascii="Arial" w:cs="Arial" w:eastAsia="Arial" w:hAnsi="Arial"/>
          <w:sz w:val="12"/>
          <w:szCs w:val="12"/>
          <w:color w:val="auto"/>
        </w:rPr>
        <w:t>Reading Elizabeth Pty Ltd (Australia)</w:t>
      </w:r>
    </w:p>
    <w:p>
      <w:pPr>
        <w:spacing w:after="0" w:line="204" w:lineRule="auto"/>
        <w:rPr>
          <w:sz w:val="20"/>
          <w:szCs w:val="20"/>
          <w:color w:val="auto"/>
        </w:rPr>
      </w:pPr>
      <w:r>
        <w:rPr>
          <w:rFonts w:ascii="Arial" w:cs="Arial" w:eastAsia="Arial" w:hAnsi="Arial"/>
          <w:sz w:val="12"/>
          <w:szCs w:val="12"/>
          <w:color w:val="auto"/>
        </w:rPr>
        <w:t>Reading Entertainment Australia Pty Ltd (Australia)</w:t>
      </w:r>
    </w:p>
    <w:p>
      <w:pPr>
        <w:spacing w:after="0" w:line="203" w:lineRule="auto"/>
        <w:rPr>
          <w:sz w:val="20"/>
          <w:szCs w:val="20"/>
          <w:color w:val="auto"/>
        </w:rPr>
      </w:pPr>
      <w:r>
        <w:rPr>
          <w:rFonts w:ascii="Arial" w:cs="Arial" w:eastAsia="Arial" w:hAnsi="Arial"/>
          <w:sz w:val="12"/>
          <w:szCs w:val="12"/>
          <w:color w:val="auto"/>
        </w:rPr>
        <w:t>Reading Exhibition Pty Ltd (Australia)</w:t>
      </w:r>
    </w:p>
    <w:p>
      <w:pPr>
        <w:spacing w:after="0" w:line="204" w:lineRule="auto"/>
        <w:rPr>
          <w:sz w:val="20"/>
          <w:szCs w:val="20"/>
          <w:color w:val="auto"/>
        </w:rPr>
      </w:pPr>
      <w:r>
        <w:rPr>
          <w:rFonts w:ascii="Arial" w:cs="Arial" w:eastAsia="Arial" w:hAnsi="Arial"/>
          <w:sz w:val="12"/>
          <w:szCs w:val="12"/>
          <w:color w:val="auto"/>
        </w:rPr>
        <w:t>Reading Foundation, LTD (Nevada)</w:t>
      </w:r>
    </w:p>
    <w:p>
      <w:pPr>
        <w:spacing w:after="0" w:line="204" w:lineRule="auto"/>
        <w:rPr>
          <w:sz w:val="20"/>
          <w:szCs w:val="20"/>
          <w:color w:val="auto"/>
        </w:rPr>
      </w:pPr>
      <w:r>
        <w:rPr>
          <w:rFonts w:ascii="Arial" w:cs="Arial" w:eastAsia="Arial" w:hAnsi="Arial"/>
          <w:sz w:val="12"/>
          <w:szCs w:val="12"/>
          <w:color w:val="auto"/>
        </w:rPr>
        <w:t>Reading Holdings, Inc. (Nevada)</w:t>
      </w:r>
    </w:p>
    <w:p>
      <w:pPr>
        <w:spacing w:after="0" w:line="203" w:lineRule="auto"/>
        <w:rPr>
          <w:sz w:val="20"/>
          <w:szCs w:val="20"/>
          <w:color w:val="auto"/>
        </w:rPr>
      </w:pPr>
      <w:r>
        <w:rPr>
          <w:rFonts w:ascii="Arial" w:cs="Arial" w:eastAsia="Arial" w:hAnsi="Arial"/>
          <w:sz w:val="12"/>
          <w:szCs w:val="12"/>
          <w:color w:val="auto"/>
        </w:rPr>
        <w:t>Reading International Cinemas LLC (Delaware)</w:t>
      </w:r>
    </w:p>
    <w:p>
      <w:pPr>
        <w:spacing w:after="0" w:line="222" w:lineRule="auto"/>
        <w:rPr>
          <w:sz w:val="20"/>
          <w:szCs w:val="20"/>
          <w:color w:val="auto"/>
        </w:rPr>
      </w:pPr>
      <w:r>
        <w:rPr>
          <w:rFonts w:ascii="Arial" w:cs="Arial" w:eastAsia="Arial" w:hAnsi="Arial"/>
          <w:sz w:val="11"/>
          <w:szCs w:val="11"/>
          <w:color w:val="auto"/>
        </w:rPr>
        <w:t>Reading International Services Company (California)</w:t>
      </w:r>
    </w:p>
    <w:p>
      <w:pPr>
        <w:spacing w:after="0" w:line="204" w:lineRule="auto"/>
        <w:rPr>
          <w:sz w:val="20"/>
          <w:szCs w:val="20"/>
          <w:color w:val="auto"/>
        </w:rPr>
      </w:pPr>
      <w:r>
        <w:rPr>
          <w:rFonts w:ascii="Arial" w:cs="Arial" w:eastAsia="Arial" w:hAnsi="Arial"/>
          <w:sz w:val="12"/>
          <w:szCs w:val="12"/>
          <w:color w:val="auto"/>
        </w:rPr>
        <w:t>Reading Licenses Pty Ltd (Australia)</w:t>
      </w:r>
    </w:p>
    <w:p>
      <w:pPr>
        <w:spacing w:after="0" w:line="204" w:lineRule="auto"/>
        <w:rPr>
          <w:sz w:val="20"/>
          <w:szCs w:val="20"/>
          <w:color w:val="auto"/>
        </w:rPr>
      </w:pPr>
      <w:r>
        <w:rPr>
          <w:rFonts w:ascii="Arial" w:cs="Arial" w:eastAsia="Arial" w:hAnsi="Arial"/>
          <w:sz w:val="12"/>
          <w:szCs w:val="12"/>
          <w:color w:val="auto"/>
        </w:rPr>
        <w:t>Reading Maitland Pty Ltd (Australia)</w:t>
      </w:r>
    </w:p>
    <w:p>
      <w:pPr>
        <w:spacing w:after="0" w:line="203" w:lineRule="auto"/>
        <w:rPr>
          <w:sz w:val="20"/>
          <w:szCs w:val="20"/>
          <w:color w:val="auto"/>
        </w:rPr>
      </w:pPr>
      <w:r>
        <w:rPr>
          <w:rFonts w:ascii="Arial" w:cs="Arial" w:eastAsia="Arial" w:hAnsi="Arial"/>
          <w:sz w:val="12"/>
          <w:szCs w:val="12"/>
          <w:color w:val="auto"/>
        </w:rPr>
        <w:t>Reading Malulani, LLC (Nevada)</w:t>
      </w:r>
    </w:p>
    <w:p>
      <w:pPr>
        <w:spacing w:after="0" w:line="204" w:lineRule="auto"/>
        <w:rPr>
          <w:sz w:val="20"/>
          <w:szCs w:val="20"/>
          <w:color w:val="auto"/>
        </w:rPr>
      </w:pPr>
      <w:r>
        <w:rPr>
          <w:rFonts w:ascii="Arial" w:cs="Arial" w:eastAsia="Arial" w:hAnsi="Arial"/>
          <w:sz w:val="12"/>
          <w:szCs w:val="12"/>
          <w:color w:val="auto"/>
        </w:rPr>
        <w:t>Reading Management NZ Limited (New Zealand)</w:t>
      </w:r>
    </w:p>
    <w:p>
      <w:pPr>
        <w:spacing w:after="0" w:line="204" w:lineRule="auto"/>
        <w:rPr>
          <w:sz w:val="20"/>
          <w:szCs w:val="20"/>
          <w:color w:val="auto"/>
        </w:rPr>
      </w:pPr>
      <w:r>
        <w:rPr>
          <w:rFonts w:ascii="Arial" w:cs="Arial" w:eastAsia="Arial" w:hAnsi="Arial"/>
          <w:sz w:val="12"/>
          <w:szCs w:val="12"/>
          <w:color w:val="auto"/>
        </w:rPr>
        <w:t>Reading Melton Pty Ltd (Australia)</w:t>
      </w:r>
    </w:p>
    <w:p>
      <w:pPr>
        <w:spacing w:after="0" w:line="203" w:lineRule="auto"/>
        <w:rPr>
          <w:sz w:val="20"/>
          <w:szCs w:val="20"/>
          <w:color w:val="auto"/>
        </w:rPr>
      </w:pPr>
      <w:r>
        <w:rPr>
          <w:rFonts w:ascii="Arial" w:cs="Arial" w:eastAsia="Arial" w:hAnsi="Arial"/>
          <w:sz w:val="12"/>
          <w:szCs w:val="12"/>
          <w:color w:val="auto"/>
        </w:rPr>
        <w:t>Reading Moonee Ponds Pty Ltd (Australia)</w:t>
      </w:r>
    </w:p>
    <w:p>
      <w:pPr>
        <w:spacing w:after="0" w:line="204" w:lineRule="auto"/>
        <w:rPr>
          <w:sz w:val="20"/>
          <w:szCs w:val="20"/>
          <w:color w:val="auto"/>
        </w:rPr>
      </w:pPr>
      <w:r>
        <w:rPr>
          <w:rFonts w:ascii="Arial" w:cs="Arial" w:eastAsia="Arial" w:hAnsi="Arial"/>
          <w:sz w:val="12"/>
          <w:szCs w:val="12"/>
          <w:color w:val="auto"/>
        </w:rPr>
        <w:t>Reading Murrieta Theater, LLC (Nevada)</w:t>
      </w:r>
    </w:p>
    <w:p>
      <w:pPr>
        <w:spacing w:after="0" w:line="204" w:lineRule="auto"/>
        <w:rPr>
          <w:sz w:val="20"/>
          <w:szCs w:val="20"/>
          <w:color w:val="auto"/>
        </w:rPr>
      </w:pPr>
      <w:r>
        <w:rPr>
          <w:rFonts w:ascii="Arial" w:cs="Arial" w:eastAsia="Arial" w:hAnsi="Arial"/>
          <w:sz w:val="12"/>
          <w:szCs w:val="12"/>
          <w:color w:val="auto"/>
        </w:rPr>
        <w:t>Reading New Lynn Limited (New Zealand)</w:t>
      </w:r>
    </w:p>
    <w:p>
      <w:pPr>
        <w:spacing w:after="0" w:line="203" w:lineRule="auto"/>
        <w:rPr>
          <w:sz w:val="20"/>
          <w:szCs w:val="20"/>
          <w:color w:val="auto"/>
        </w:rPr>
      </w:pPr>
      <w:r>
        <w:rPr>
          <w:rFonts w:ascii="Arial" w:cs="Arial" w:eastAsia="Arial" w:hAnsi="Arial"/>
          <w:sz w:val="12"/>
          <w:szCs w:val="12"/>
          <w:color w:val="auto"/>
        </w:rPr>
        <w:t>Reading New Zealand Ltd (New Zealand)</w:t>
      </w:r>
    </w:p>
    <w:p>
      <w:pPr>
        <w:spacing w:after="0" w:line="204" w:lineRule="auto"/>
        <w:rPr>
          <w:sz w:val="20"/>
          <w:szCs w:val="20"/>
          <w:color w:val="auto"/>
        </w:rPr>
      </w:pPr>
      <w:r>
        <w:rPr>
          <w:rFonts w:ascii="Arial" w:cs="Arial" w:eastAsia="Arial" w:hAnsi="Arial"/>
          <w:sz w:val="12"/>
          <w:szCs w:val="12"/>
          <w:color w:val="auto"/>
        </w:rPr>
        <w:t>Reading Pacific LLC (Nevada)</w:t>
      </w:r>
    </w:p>
    <w:p>
      <w:pPr>
        <w:spacing w:after="0" w:line="203" w:lineRule="auto"/>
        <w:rPr>
          <w:sz w:val="20"/>
          <w:szCs w:val="20"/>
          <w:color w:val="auto"/>
        </w:rPr>
      </w:pPr>
      <w:r>
        <w:rPr>
          <w:rFonts w:ascii="Arial" w:cs="Arial" w:eastAsia="Arial" w:hAnsi="Arial"/>
          <w:sz w:val="12"/>
          <w:szCs w:val="12"/>
          <w:color w:val="auto"/>
        </w:rPr>
        <w:t>Reading Properties Indooroopilly Pty Ltd (Australia)</w:t>
      </w:r>
    </w:p>
    <w:p>
      <w:pPr>
        <w:spacing w:after="0" w:line="204" w:lineRule="auto"/>
        <w:rPr>
          <w:sz w:val="20"/>
          <w:szCs w:val="20"/>
          <w:color w:val="auto"/>
        </w:rPr>
      </w:pPr>
      <w:r>
        <w:rPr>
          <w:rFonts w:ascii="Arial" w:cs="Arial" w:eastAsia="Arial" w:hAnsi="Arial"/>
          <w:sz w:val="12"/>
          <w:szCs w:val="12"/>
          <w:color w:val="auto"/>
        </w:rPr>
        <w:t>Reading Properties Lake Taupo Ltd (New Zealand)</w:t>
      </w:r>
    </w:p>
    <w:p>
      <w:pPr>
        <w:spacing w:after="0" w:line="204" w:lineRule="auto"/>
        <w:rPr>
          <w:sz w:val="20"/>
          <w:szCs w:val="20"/>
          <w:color w:val="auto"/>
        </w:rPr>
      </w:pPr>
      <w:r>
        <w:rPr>
          <w:rFonts w:ascii="Arial" w:cs="Arial" w:eastAsia="Arial" w:hAnsi="Arial"/>
          <w:sz w:val="12"/>
          <w:szCs w:val="12"/>
          <w:color w:val="auto"/>
        </w:rPr>
        <w:t>Reading Properties LLC (Nevada)</w:t>
      </w:r>
    </w:p>
    <w:p>
      <w:pPr>
        <w:spacing w:after="0" w:line="203" w:lineRule="auto"/>
        <w:rPr>
          <w:sz w:val="20"/>
          <w:szCs w:val="20"/>
          <w:color w:val="auto"/>
        </w:rPr>
      </w:pPr>
      <w:r>
        <w:rPr>
          <w:rFonts w:ascii="Arial" w:cs="Arial" w:eastAsia="Arial" w:hAnsi="Arial"/>
          <w:sz w:val="12"/>
          <w:szCs w:val="12"/>
          <w:color w:val="auto"/>
        </w:rPr>
        <w:t>Reading Properties Manukau Ltd (New Zealand)</w:t>
      </w:r>
    </w:p>
    <w:p>
      <w:pPr>
        <w:spacing w:after="0" w:line="223" w:lineRule="auto"/>
        <w:rPr>
          <w:sz w:val="20"/>
          <w:szCs w:val="20"/>
          <w:color w:val="auto"/>
        </w:rPr>
      </w:pPr>
      <w:r>
        <w:rPr>
          <w:rFonts w:ascii="Arial" w:cs="Arial" w:eastAsia="Arial" w:hAnsi="Arial"/>
          <w:sz w:val="11"/>
          <w:szCs w:val="11"/>
          <w:color w:val="auto"/>
        </w:rPr>
        <w:t>Reading Properties New Zealand Ltd (New Zealand)</w:t>
      </w:r>
    </w:p>
    <w:p>
      <w:pPr>
        <w:spacing w:after="0" w:line="203" w:lineRule="auto"/>
        <w:rPr>
          <w:sz w:val="20"/>
          <w:szCs w:val="20"/>
          <w:color w:val="auto"/>
        </w:rPr>
      </w:pPr>
      <w:r>
        <w:rPr>
          <w:rFonts w:ascii="Arial" w:cs="Arial" w:eastAsia="Arial" w:hAnsi="Arial"/>
          <w:sz w:val="12"/>
          <w:szCs w:val="12"/>
          <w:color w:val="auto"/>
        </w:rPr>
        <w:t>Reading Properties Pty Ltd (Australia)</w:t>
      </w:r>
    </w:p>
    <w:p>
      <w:pPr>
        <w:spacing w:after="0" w:line="204" w:lineRule="auto"/>
        <w:rPr>
          <w:sz w:val="20"/>
          <w:szCs w:val="20"/>
          <w:color w:val="auto"/>
        </w:rPr>
      </w:pPr>
      <w:r>
        <w:rPr>
          <w:rFonts w:ascii="Arial" w:cs="Arial" w:eastAsia="Arial" w:hAnsi="Arial"/>
          <w:sz w:val="12"/>
          <w:szCs w:val="12"/>
          <w:color w:val="auto"/>
        </w:rPr>
        <w:t>Reading Properties Taringa Pty Ltd (Australia)</w:t>
      </w:r>
    </w:p>
    <w:p>
      <w:pPr>
        <w:spacing w:after="0" w:line="204" w:lineRule="auto"/>
        <w:rPr>
          <w:sz w:val="20"/>
          <w:szCs w:val="20"/>
          <w:color w:val="auto"/>
        </w:rPr>
      </w:pPr>
      <w:r>
        <w:rPr>
          <w:rFonts w:ascii="Arial" w:cs="Arial" w:eastAsia="Arial" w:hAnsi="Arial"/>
          <w:sz w:val="12"/>
          <w:szCs w:val="12"/>
          <w:color w:val="auto"/>
        </w:rPr>
        <w:t>Reading Property Holdings Pty Ltd (Australia)</w:t>
      </w:r>
    </w:p>
    <w:p>
      <w:pPr>
        <w:spacing w:after="0" w:line="203" w:lineRule="auto"/>
        <w:rPr>
          <w:sz w:val="20"/>
          <w:szCs w:val="20"/>
          <w:color w:val="auto"/>
        </w:rPr>
      </w:pPr>
      <w:r>
        <w:rPr>
          <w:rFonts w:ascii="Arial" w:cs="Arial" w:eastAsia="Arial" w:hAnsi="Arial"/>
          <w:sz w:val="12"/>
          <w:szCs w:val="12"/>
          <w:color w:val="auto"/>
        </w:rPr>
        <w:t>Reading Queenstown Ltd (New Zealand)</w:t>
      </w:r>
    </w:p>
    <w:p>
      <w:pPr>
        <w:spacing w:after="0" w:line="204" w:lineRule="auto"/>
        <w:rPr>
          <w:sz w:val="20"/>
          <w:szCs w:val="20"/>
          <w:color w:val="auto"/>
        </w:rPr>
      </w:pPr>
      <w:r>
        <w:rPr>
          <w:rFonts w:ascii="Arial" w:cs="Arial" w:eastAsia="Arial" w:hAnsi="Arial"/>
          <w:sz w:val="12"/>
          <w:szCs w:val="12"/>
          <w:color w:val="auto"/>
        </w:rPr>
        <w:t>Reading Restaurants NZ Limited (New Zealand)</w:t>
      </w:r>
    </w:p>
    <w:p>
      <w:pPr>
        <w:spacing w:after="0" w:line="204" w:lineRule="auto"/>
        <w:rPr>
          <w:sz w:val="20"/>
          <w:szCs w:val="20"/>
          <w:color w:val="auto"/>
        </w:rPr>
      </w:pPr>
      <w:r>
        <w:rPr>
          <w:rFonts w:ascii="Arial" w:cs="Arial" w:eastAsia="Arial" w:hAnsi="Arial"/>
          <w:sz w:val="12"/>
          <w:szCs w:val="12"/>
          <w:color w:val="auto"/>
        </w:rPr>
        <w:t>Reading Rouse Hill Pty Ltd (Australia)</w:t>
      </w:r>
    </w:p>
    <w:p>
      <w:pPr>
        <w:spacing w:after="0" w:line="203" w:lineRule="auto"/>
        <w:rPr>
          <w:sz w:val="20"/>
          <w:szCs w:val="20"/>
          <w:color w:val="auto"/>
        </w:rPr>
      </w:pPr>
      <w:r>
        <w:rPr>
          <w:rFonts w:ascii="Arial" w:cs="Arial" w:eastAsia="Arial" w:hAnsi="Arial"/>
          <w:sz w:val="12"/>
          <w:szCs w:val="12"/>
          <w:color w:val="auto"/>
        </w:rPr>
        <w:t>Reading Royal George, LLC (Delaware)</w:t>
      </w:r>
    </w:p>
    <w:p>
      <w:pPr>
        <w:spacing w:after="0" w:line="204" w:lineRule="auto"/>
        <w:rPr>
          <w:sz w:val="20"/>
          <w:szCs w:val="20"/>
          <w:color w:val="auto"/>
        </w:rPr>
      </w:pPr>
      <w:r>
        <w:rPr>
          <w:rFonts w:ascii="Arial" w:cs="Arial" w:eastAsia="Arial" w:hAnsi="Arial"/>
          <w:sz w:val="12"/>
          <w:szCs w:val="12"/>
          <w:color w:val="auto"/>
        </w:rPr>
        <w:t>Reading Sunbury Pty Ltd (Australia)</w:t>
      </w:r>
    </w:p>
    <w:p>
      <w:pPr>
        <w:spacing w:after="0" w:line="203" w:lineRule="auto"/>
        <w:rPr>
          <w:sz w:val="20"/>
          <w:szCs w:val="20"/>
          <w:color w:val="auto"/>
        </w:rPr>
      </w:pPr>
      <w:r>
        <w:rPr>
          <w:rFonts w:ascii="Arial" w:cs="Arial" w:eastAsia="Arial" w:hAnsi="Arial"/>
          <w:sz w:val="12"/>
          <w:szCs w:val="12"/>
          <w:color w:val="auto"/>
        </w:rPr>
        <w:t>Reading Theaters, Inc. (Delaware)</w:t>
      </w:r>
    </w:p>
    <w:p>
      <w:pPr>
        <w:spacing w:after="0" w:line="204" w:lineRule="auto"/>
        <w:rPr>
          <w:sz w:val="20"/>
          <w:szCs w:val="20"/>
          <w:color w:val="auto"/>
        </w:rPr>
      </w:pPr>
      <w:r>
        <w:rPr>
          <w:rFonts w:ascii="Arial" w:cs="Arial" w:eastAsia="Arial" w:hAnsi="Arial"/>
          <w:sz w:val="12"/>
          <w:szCs w:val="12"/>
          <w:color w:val="auto"/>
        </w:rPr>
        <w:t>Reading Wellington Properties Ltd (New Zealand)</w:t>
      </w:r>
    </w:p>
    <w:p>
      <w:pPr>
        <w:spacing w:after="0" w:line="204" w:lineRule="auto"/>
        <w:rPr>
          <w:sz w:val="20"/>
          <w:szCs w:val="20"/>
          <w:color w:val="auto"/>
        </w:rPr>
      </w:pPr>
      <w:r>
        <w:rPr>
          <w:rFonts w:ascii="Arial" w:cs="Arial" w:eastAsia="Arial" w:hAnsi="Arial"/>
          <w:sz w:val="12"/>
          <w:szCs w:val="12"/>
          <w:color w:val="auto"/>
        </w:rPr>
        <w:t>Rhodes Peninsula Cinema Pty Ltd (Australia)</w:t>
      </w:r>
    </w:p>
    <w:p>
      <w:pPr>
        <w:spacing w:after="0"/>
        <w:rPr>
          <w:sz w:val="20"/>
          <w:szCs w:val="20"/>
          <w:color w:val="auto"/>
        </w:rPr>
      </w:pPr>
      <w:r>
        <w:rPr>
          <w:rFonts w:ascii="Arial" w:cs="Arial" w:eastAsia="Arial" w:hAnsi="Arial"/>
          <w:sz w:val="12"/>
          <w:szCs w:val="12"/>
          <w:color w:val="auto"/>
        </w:rPr>
        <w:t>Rialto Brands Ltd (New Zealand)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70485</wp:posOffset>
            </wp:positionV>
            <wp:extent cx="6231255"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6231255" cy="42545"/>
                    </a:xfrm>
                    <a:prstGeom prst="rect">
                      <a:avLst/>
                    </a:prstGeom>
                    <a:noFill/>
                  </pic:spPr>
                </pic:pic>
              </a:graphicData>
            </a:graphic>
          </wp:anchor>
        </w:drawing>
      </w:r>
    </w:p>
    <w:p>
      <w:pPr>
        <w:sectPr>
          <w:pgSz w:w="11900" w:h="16838" w:orient="portrait"/>
          <w:cols w:equalWidth="0" w:num="1">
            <w:col w:w="9379"/>
          </w:cols>
          <w:pgMar w:left="1080" w:top="111" w:right="1440" w:bottom="1440" w:gutter="0" w:footer="0" w:header="0"/>
        </w:sectPr>
      </w:pPr>
    </w:p>
    <w:bookmarkStart w:id="290" w:name="page291"/>
    <w:bookmarkEnd w:id="290"/>
    <w:p>
      <w:pPr>
        <w:spacing w:after="0"/>
        <w:rPr>
          <w:sz w:val="20"/>
          <w:szCs w:val="20"/>
          <w:color w:val="auto"/>
        </w:rPr>
      </w:pPr>
      <w:r>
        <w:rPr>
          <w:rFonts w:ascii="Arial" w:cs="Arial" w:eastAsia="Arial" w:hAnsi="Arial"/>
          <w:sz w:val="12"/>
          <w:szCs w:val="12"/>
          <w:color w:val="auto"/>
        </w:rPr>
        <w:t>Rialto Cinemas Ltd (New Zealand)</w:t>
      </w:r>
    </w:p>
    <w:p>
      <w:pPr>
        <w:spacing w:after="0" w:line="203" w:lineRule="auto"/>
        <w:rPr>
          <w:sz w:val="20"/>
          <w:szCs w:val="20"/>
          <w:color w:val="auto"/>
        </w:rPr>
      </w:pPr>
      <w:r>
        <w:rPr>
          <w:rFonts w:ascii="Arial" w:cs="Arial" w:eastAsia="Arial" w:hAnsi="Arial"/>
          <w:sz w:val="12"/>
          <w:szCs w:val="12"/>
          <w:color w:val="auto"/>
        </w:rPr>
        <w:t>Rialto Distribution Ltd (New Zealand)</w:t>
      </w:r>
    </w:p>
    <w:p>
      <w:pPr>
        <w:spacing w:after="0" w:line="204" w:lineRule="auto"/>
        <w:rPr>
          <w:sz w:val="20"/>
          <w:szCs w:val="20"/>
          <w:color w:val="auto"/>
        </w:rPr>
      </w:pPr>
      <w:r>
        <w:rPr>
          <w:rFonts w:ascii="Arial" w:cs="Arial" w:eastAsia="Arial" w:hAnsi="Arial"/>
          <w:sz w:val="12"/>
          <w:szCs w:val="12"/>
          <w:color w:val="auto"/>
        </w:rPr>
        <w:t>Rialto Entertainment Ltd (New Zealand)</w:t>
      </w:r>
    </w:p>
    <w:p>
      <w:pPr>
        <w:spacing w:after="0" w:line="203" w:lineRule="auto"/>
        <w:rPr>
          <w:sz w:val="20"/>
          <w:szCs w:val="20"/>
          <w:color w:val="auto"/>
        </w:rPr>
      </w:pPr>
      <w:r>
        <w:rPr>
          <w:rFonts w:ascii="Arial" w:cs="Arial" w:eastAsia="Arial" w:hAnsi="Arial"/>
          <w:sz w:val="12"/>
          <w:szCs w:val="12"/>
          <w:color w:val="auto"/>
        </w:rPr>
        <w:t>Ronwood Investments Ltd (New Zealand)</w:t>
      </w:r>
    </w:p>
    <w:p>
      <w:pPr>
        <w:spacing w:after="0" w:line="204" w:lineRule="auto"/>
        <w:rPr>
          <w:sz w:val="20"/>
          <w:szCs w:val="20"/>
          <w:color w:val="auto"/>
        </w:rPr>
      </w:pPr>
      <w:r>
        <w:rPr>
          <w:rFonts w:ascii="Arial" w:cs="Arial" w:eastAsia="Arial" w:hAnsi="Arial"/>
          <w:sz w:val="12"/>
          <w:szCs w:val="12"/>
          <w:color w:val="auto"/>
        </w:rPr>
        <w:t>RREC LLC (Pennsylvania)</w:t>
      </w:r>
    </w:p>
    <w:p>
      <w:pPr>
        <w:spacing w:after="0" w:line="204" w:lineRule="auto"/>
        <w:rPr>
          <w:sz w:val="20"/>
          <w:szCs w:val="20"/>
          <w:color w:val="auto"/>
        </w:rPr>
      </w:pPr>
      <w:r>
        <w:rPr>
          <w:rFonts w:ascii="Arial" w:cs="Arial" w:eastAsia="Arial" w:hAnsi="Arial"/>
          <w:sz w:val="12"/>
          <w:szCs w:val="12"/>
          <w:color w:val="auto"/>
        </w:rPr>
        <w:t>Rydal Equipment Co. (Pennsylvania)</w:t>
      </w:r>
    </w:p>
    <w:p>
      <w:pPr>
        <w:spacing w:after="0" w:line="203" w:lineRule="auto"/>
        <w:rPr>
          <w:sz w:val="20"/>
          <w:szCs w:val="20"/>
          <w:color w:val="auto"/>
        </w:rPr>
      </w:pPr>
      <w:r>
        <w:rPr>
          <w:rFonts w:ascii="Arial" w:cs="Arial" w:eastAsia="Arial" w:hAnsi="Arial"/>
          <w:sz w:val="12"/>
          <w:szCs w:val="12"/>
          <w:color w:val="auto"/>
        </w:rPr>
        <w:t>S Note Liquidation Company, LLC (Nevada)</w:t>
      </w:r>
    </w:p>
    <w:p>
      <w:pPr>
        <w:spacing w:after="0" w:line="204" w:lineRule="auto"/>
        <w:rPr>
          <w:sz w:val="20"/>
          <w:szCs w:val="20"/>
          <w:color w:val="auto"/>
        </w:rPr>
      </w:pPr>
      <w:r>
        <w:rPr>
          <w:rFonts w:ascii="Arial" w:cs="Arial" w:eastAsia="Arial" w:hAnsi="Arial"/>
          <w:sz w:val="12"/>
          <w:szCs w:val="12"/>
          <w:color w:val="auto"/>
        </w:rPr>
        <w:t>Sails Apartments Management Ltd (New Zealand)</w:t>
      </w:r>
    </w:p>
    <w:p>
      <w:pPr>
        <w:spacing w:after="0" w:line="204" w:lineRule="auto"/>
        <w:rPr>
          <w:sz w:val="20"/>
          <w:szCs w:val="20"/>
          <w:color w:val="auto"/>
        </w:rPr>
      </w:pPr>
      <w:r>
        <w:rPr>
          <w:rFonts w:ascii="Arial" w:cs="Arial" w:eastAsia="Arial" w:hAnsi="Arial"/>
          <w:sz w:val="12"/>
          <w:szCs w:val="12"/>
          <w:color w:val="auto"/>
        </w:rPr>
        <w:t>Shadow View Land and Farming, LLC (Nevada)</w:t>
      </w:r>
    </w:p>
    <w:p>
      <w:pPr>
        <w:spacing w:after="0" w:line="203" w:lineRule="auto"/>
        <w:rPr>
          <w:sz w:val="20"/>
          <w:szCs w:val="20"/>
          <w:color w:val="auto"/>
        </w:rPr>
      </w:pPr>
      <w:r>
        <w:rPr>
          <w:rFonts w:ascii="Arial" w:cs="Arial" w:eastAsia="Arial" w:hAnsi="Arial"/>
          <w:sz w:val="12"/>
          <w:szCs w:val="12"/>
          <w:color w:val="auto"/>
        </w:rPr>
        <w:t>Sutton Hill Properties, LLC (Nevada)</w:t>
      </w:r>
    </w:p>
    <w:p>
      <w:pPr>
        <w:spacing w:after="0" w:line="204" w:lineRule="auto"/>
        <w:rPr>
          <w:sz w:val="20"/>
          <w:szCs w:val="20"/>
          <w:color w:val="auto"/>
        </w:rPr>
      </w:pPr>
      <w:r>
        <w:rPr>
          <w:rFonts w:ascii="Arial" w:cs="Arial" w:eastAsia="Arial" w:hAnsi="Arial"/>
          <w:sz w:val="12"/>
          <w:szCs w:val="12"/>
          <w:color w:val="auto"/>
        </w:rPr>
        <w:t>The Port Reading Railroad Company (New Jersey)</w:t>
      </w:r>
    </w:p>
    <w:p>
      <w:pPr>
        <w:spacing w:after="0" w:line="204" w:lineRule="auto"/>
        <w:rPr>
          <w:sz w:val="20"/>
          <w:szCs w:val="20"/>
          <w:color w:val="auto"/>
        </w:rPr>
      </w:pPr>
      <w:r>
        <w:rPr>
          <w:rFonts w:ascii="Arial" w:cs="Arial" w:eastAsia="Arial" w:hAnsi="Arial"/>
          <w:sz w:val="12"/>
          <w:szCs w:val="12"/>
          <w:color w:val="auto"/>
        </w:rPr>
        <w:t>The Theatre At Legacy L.P (Texas).</w:t>
      </w:r>
    </w:p>
    <w:p>
      <w:pPr>
        <w:spacing w:after="0" w:line="203" w:lineRule="auto"/>
        <w:rPr>
          <w:sz w:val="20"/>
          <w:szCs w:val="20"/>
          <w:color w:val="auto"/>
        </w:rPr>
      </w:pPr>
      <w:r>
        <w:rPr>
          <w:rFonts w:ascii="Arial" w:cs="Arial" w:eastAsia="Arial" w:hAnsi="Arial"/>
          <w:sz w:val="12"/>
          <w:szCs w:val="12"/>
          <w:color w:val="auto"/>
        </w:rPr>
        <w:t>Tobrooke Holdings Ltd (New Zealand)</w:t>
      </w:r>
    </w:p>
    <w:p>
      <w:pPr>
        <w:spacing w:after="0" w:line="204" w:lineRule="auto"/>
        <w:rPr>
          <w:sz w:val="20"/>
          <w:szCs w:val="20"/>
          <w:color w:val="auto"/>
        </w:rPr>
      </w:pPr>
      <w:r>
        <w:rPr>
          <w:rFonts w:ascii="Arial" w:cs="Arial" w:eastAsia="Arial" w:hAnsi="Arial"/>
          <w:sz w:val="12"/>
          <w:szCs w:val="12"/>
          <w:color w:val="auto"/>
        </w:rPr>
        <w:t>Trans-Pacific Finance Fund I, LLC (Delaware)</w:t>
      </w:r>
    </w:p>
    <w:p>
      <w:pPr>
        <w:spacing w:after="0" w:line="204" w:lineRule="auto"/>
        <w:rPr>
          <w:sz w:val="20"/>
          <w:szCs w:val="20"/>
          <w:color w:val="auto"/>
        </w:rPr>
      </w:pPr>
      <w:r>
        <w:rPr>
          <w:rFonts w:ascii="Arial" w:cs="Arial" w:eastAsia="Arial" w:hAnsi="Arial"/>
          <w:sz w:val="12"/>
          <w:szCs w:val="12"/>
          <w:color w:val="auto"/>
        </w:rPr>
        <w:t>Trenton-Princeton Traction Company (New Jersey)</w:t>
      </w:r>
    </w:p>
    <w:p>
      <w:pPr>
        <w:spacing w:after="0" w:line="203" w:lineRule="auto"/>
        <w:rPr>
          <w:sz w:val="20"/>
          <w:szCs w:val="20"/>
          <w:color w:val="auto"/>
        </w:rPr>
      </w:pPr>
      <w:r>
        <w:rPr>
          <w:rFonts w:ascii="Arial" w:cs="Arial" w:eastAsia="Arial" w:hAnsi="Arial"/>
          <w:sz w:val="12"/>
          <w:szCs w:val="12"/>
          <w:color w:val="auto"/>
        </w:rPr>
        <w:t>Twin Cities Cinemas, Inc. (Delaware)</w:t>
      </w:r>
    </w:p>
    <w:p>
      <w:pPr>
        <w:spacing w:after="0" w:line="204" w:lineRule="auto"/>
        <w:rPr>
          <w:sz w:val="20"/>
          <w:szCs w:val="20"/>
          <w:color w:val="auto"/>
        </w:rPr>
      </w:pPr>
      <w:r>
        <w:rPr>
          <w:rFonts w:ascii="Arial" w:cs="Arial" w:eastAsia="Arial" w:hAnsi="Arial"/>
          <w:sz w:val="12"/>
          <w:szCs w:val="12"/>
          <w:color w:val="auto"/>
        </w:rPr>
        <w:t>US Agricultural Investors, LLC (Delaware)</w:t>
      </w:r>
    </w:p>
    <w:p>
      <w:pPr>
        <w:spacing w:after="0" w:line="204" w:lineRule="auto"/>
        <w:rPr>
          <w:sz w:val="20"/>
          <w:szCs w:val="20"/>
          <w:color w:val="auto"/>
        </w:rPr>
      </w:pPr>
      <w:r>
        <w:rPr>
          <w:rFonts w:ascii="Arial" w:cs="Arial" w:eastAsia="Arial" w:hAnsi="Arial"/>
          <w:sz w:val="12"/>
          <w:szCs w:val="12"/>
          <w:color w:val="auto"/>
        </w:rPr>
        <w:t>US Development, LLC (Nevada)</w:t>
      </w:r>
    </w:p>
    <w:p>
      <w:pPr>
        <w:spacing w:after="0" w:line="203" w:lineRule="auto"/>
        <w:rPr>
          <w:sz w:val="20"/>
          <w:szCs w:val="20"/>
          <w:color w:val="auto"/>
        </w:rPr>
      </w:pPr>
      <w:r>
        <w:rPr>
          <w:rFonts w:ascii="Arial" w:cs="Arial" w:eastAsia="Arial" w:hAnsi="Arial"/>
          <w:sz w:val="12"/>
          <w:szCs w:val="12"/>
          <w:color w:val="auto"/>
        </w:rPr>
        <w:t>US International Property Finance Pty Ltd (Australia)</w:t>
      </w:r>
    </w:p>
    <w:p>
      <w:pPr>
        <w:spacing w:after="0" w:line="222" w:lineRule="auto"/>
        <w:rPr>
          <w:sz w:val="20"/>
          <w:szCs w:val="20"/>
          <w:color w:val="auto"/>
        </w:rPr>
      </w:pPr>
      <w:r>
        <w:rPr>
          <w:rFonts w:ascii="Arial" w:cs="Arial" w:eastAsia="Arial" w:hAnsi="Arial"/>
          <w:sz w:val="11"/>
          <w:szCs w:val="11"/>
          <w:color w:val="auto"/>
        </w:rPr>
        <w:t>Washington and Franklin Railway Company (Pennsylvania)</w:t>
      </w:r>
    </w:p>
    <w:p>
      <w:pPr>
        <w:spacing w:after="0" w:line="204" w:lineRule="auto"/>
        <w:rPr>
          <w:sz w:val="20"/>
          <w:szCs w:val="20"/>
          <w:color w:val="auto"/>
        </w:rPr>
      </w:pPr>
      <w:r>
        <w:rPr>
          <w:rFonts w:ascii="Arial" w:cs="Arial" w:eastAsia="Arial" w:hAnsi="Arial"/>
          <w:sz w:val="12"/>
          <w:szCs w:val="12"/>
          <w:color w:val="auto"/>
        </w:rPr>
        <w:t>Westlakes Cinema Pty Ltd (Australia)</w:t>
      </w:r>
    </w:p>
    <w:p>
      <w:pPr>
        <w:spacing w:after="0"/>
        <w:rPr>
          <w:sz w:val="20"/>
          <w:szCs w:val="20"/>
          <w:color w:val="auto"/>
        </w:rPr>
      </w:pPr>
      <w:r>
        <w:rPr>
          <w:rFonts w:ascii="Arial" w:cs="Arial" w:eastAsia="Arial" w:hAnsi="Arial"/>
          <w:sz w:val="11"/>
          <w:szCs w:val="11"/>
          <w:color w:val="auto"/>
        </w:rPr>
        <w:t>Wilmington and Northern Railroad Company (Pennsylvania)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78105</wp:posOffset>
            </wp:positionV>
            <wp:extent cx="6231255" cy="42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6231255" cy="42545"/>
                    </a:xfrm>
                    <a:prstGeom prst="rect">
                      <a:avLst/>
                    </a:prstGeom>
                    <a:noFill/>
                  </pic:spPr>
                </pic:pic>
              </a:graphicData>
            </a:graphic>
          </wp:anchor>
        </w:drawing>
      </w:r>
    </w:p>
    <w:p>
      <w:pPr>
        <w:sectPr>
          <w:pgSz w:w="11900" w:h="16838" w:orient="portrait"/>
          <w:cols w:equalWidth="0" w:num="1">
            <w:col w:w="9379"/>
          </w:cols>
          <w:pgMar w:left="1080" w:top="111" w:right="1440" w:bottom="1440" w:gutter="0" w:footer="0" w:header="0"/>
        </w:sectPr>
      </w:pPr>
    </w:p>
    <w:bookmarkStart w:id="291" w:name="page292"/>
    <w:bookmarkEnd w:id="291"/>
    <w:p>
      <w:pPr>
        <w:jc w:val="right"/>
        <w:spacing w:after="0"/>
        <w:rPr>
          <w:sz w:val="20"/>
          <w:szCs w:val="20"/>
          <w:color w:val="auto"/>
        </w:rPr>
      </w:pPr>
      <w:r>
        <w:rPr>
          <w:rFonts w:ascii="Arial" w:cs="Arial" w:eastAsia="Arial" w:hAnsi="Arial"/>
          <w:sz w:val="12"/>
          <w:szCs w:val="12"/>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Consent of Independent Registered Public Accounting Firm</w:t>
      </w:r>
    </w:p>
    <w:p>
      <w:pPr>
        <w:spacing w:after="0" w:line="55" w:lineRule="exact"/>
        <w:rPr>
          <w:sz w:val="20"/>
          <w:szCs w:val="20"/>
          <w:color w:val="auto"/>
        </w:rPr>
      </w:pPr>
    </w:p>
    <w:p>
      <w:pPr>
        <w:jc w:val="both"/>
        <w:ind w:right="20" w:firstLine="321"/>
        <w:spacing w:after="0" w:line="281" w:lineRule="auto"/>
        <w:rPr>
          <w:sz w:val="20"/>
          <w:szCs w:val="20"/>
          <w:color w:val="auto"/>
        </w:rPr>
      </w:pPr>
      <w:r>
        <w:rPr>
          <w:rFonts w:ascii="Arial" w:cs="Arial" w:eastAsia="Arial" w:hAnsi="Arial"/>
          <w:sz w:val="11"/>
          <w:szCs w:val="11"/>
          <w:color w:val="auto"/>
        </w:rPr>
        <w:t>We have issued our reports dated April 29, 2016, with respect to the consolidated financial statements, schedule and internal control over financial reporting included in the Annual Report of Reading International, Inc. on Form 10-K for the year ended December 31, 2015. We hereby consent to the incorporation by reference of said reports in the Registration Statements of Reading International, Inc. on Forms S-8 (File No. 333-112069, effective January 21, 2004, File No. 333-167101, effective May 26, 2010) and on Form S-3 (File No. 333-162581, effective October 20, 2009).</w:t>
      </w: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2"/>
          <w:szCs w:val="12"/>
          <w:color w:val="auto"/>
        </w:rPr>
        <w:t>/s/ GRANT THORNTON LLP</w:t>
      </w:r>
    </w:p>
    <w:p>
      <w:pPr>
        <w:spacing w:after="0" w:line="4" w:lineRule="exact"/>
        <w:rPr>
          <w:sz w:val="20"/>
          <w:szCs w:val="20"/>
          <w:color w:val="auto"/>
        </w:rPr>
      </w:pPr>
    </w:p>
    <w:p>
      <w:pPr>
        <w:spacing w:after="0"/>
        <w:rPr>
          <w:sz w:val="20"/>
          <w:szCs w:val="20"/>
          <w:color w:val="auto"/>
        </w:rPr>
      </w:pPr>
      <w:r>
        <w:rPr>
          <w:rFonts w:ascii="Arial" w:cs="Arial" w:eastAsia="Arial" w:hAnsi="Arial"/>
          <w:sz w:val="12"/>
          <w:szCs w:val="12"/>
          <w:color w:val="auto"/>
        </w:rPr>
        <w:t>Los Angeles, California</w:t>
      </w:r>
    </w:p>
    <w:p>
      <w:pPr>
        <w:spacing w:after="0"/>
        <w:rPr>
          <w:sz w:val="20"/>
          <w:szCs w:val="20"/>
          <w:color w:val="auto"/>
        </w:rPr>
      </w:pPr>
      <w:r>
        <w:rPr>
          <w:rFonts w:ascii="Arial" w:cs="Arial" w:eastAsia="Arial" w:hAnsi="Arial"/>
          <w:sz w:val="12"/>
          <w:szCs w:val="12"/>
          <w:color w:val="auto"/>
        </w:rPr>
        <w:t>April 29,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333375</wp:posOffset>
            </wp:positionV>
            <wp:extent cx="6231255"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6231255" cy="42545"/>
                    </a:xfrm>
                    <a:prstGeom prst="rect">
                      <a:avLst/>
                    </a:prstGeom>
                    <a:noFill/>
                  </pic:spPr>
                </pic:pic>
              </a:graphicData>
            </a:graphic>
          </wp:anchor>
        </w:drawing>
      </w:r>
    </w:p>
    <w:p>
      <w:pPr>
        <w:sectPr>
          <w:pgSz w:w="11900" w:h="16838" w:orient="portrait"/>
          <w:cols w:equalWidth="0" w:num="1">
            <w:col w:w="9760"/>
          </w:cols>
          <w:pgMar w:left="1080" w:top="131" w:right="1059" w:bottom="1440" w:gutter="0" w:footer="0" w:header="0"/>
        </w:sectPr>
      </w:pPr>
    </w:p>
    <w:bookmarkStart w:id="292" w:name="page293"/>
    <w:bookmarkEnd w:id="292"/>
    <w:p>
      <w:pPr>
        <w:jc w:val="right"/>
        <w:spacing w:after="0"/>
        <w:rPr>
          <w:sz w:val="20"/>
          <w:szCs w:val="20"/>
          <w:color w:val="auto"/>
        </w:rPr>
      </w:pPr>
      <w:r>
        <w:rPr>
          <w:rFonts w:ascii="Arial" w:cs="Arial" w:eastAsia="Arial" w:hAnsi="Arial"/>
          <w:sz w:val="12"/>
          <w:szCs w:val="12"/>
          <w:b w:val="1"/>
          <w:bCs w:val="1"/>
          <w:color w:val="auto"/>
        </w:rPr>
        <w:t>EXHIBIT 31.1</w:t>
      </w:r>
    </w:p>
    <w:p>
      <w:pPr>
        <w:spacing w:after="0" w:line="42" w:lineRule="exact"/>
        <w:rPr>
          <w:sz w:val="20"/>
          <w:szCs w:val="20"/>
          <w:color w:val="auto"/>
        </w:rPr>
      </w:pPr>
    </w:p>
    <w:p>
      <w:pPr>
        <w:jc w:val="center"/>
        <w:ind w:right="-2"/>
        <w:spacing w:after="0"/>
        <w:rPr>
          <w:sz w:val="20"/>
          <w:szCs w:val="20"/>
          <w:color w:val="auto"/>
        </w:rPr>
      </w:pPr>
      <w:r>
        <w:rPr>
          <w:rFonts w:ascii="Arial" w:cs="Arial" w:eastAsia="Arial" w:hAnsi="Arial"/>
          <w:sz w:val="12"/>
          <w:szCs w:val="12"/>
          <w:b w:val="1"/>
          <w:bCs w:val="1"/>
          <w:color w:val="auto"/>
        </w:rPr>
        <w:t>CERTIFICATION PURSUANT TO SECTION 302 OF THE SARBANES-OXLEY ACT OF 2002</w:t>
      </w:r>
    </w:p>
    <w:p>
      <w:pPr>
        <w:spacing w:after="0" w:line="37" w:lineRule="exact"/>
        <w:rPr>
          <w:sz w:val="20"/>
          <w:szCs w:val="20"/>
          <w:color w:val="auto"/>
        </w:rPr>
      </w:pPr>
    </w:p>
    <w:p>
      <w:pPr>
        <w:ind w:left="3"/>
        <w:spacing w:after="0"/>
        <w:rPr>
          <w:sz w:val="20"/>
          <w:szCs w:val="20"/>
          <w:color w:val="auto"/>
        </w:rPr>
      </w:pPr>
      <w:r>
        <w:rPr>
          <w:rFonts w:ascii="Arial" w:cs="Arial" w:eastAsia="Arial" w:hAnsi="Arial"/>
          <w:sz w:val="12"/>
          <w:szCs w:val="12"/>
          <w:color w:val="auto"/>
        </w:rPr>
        <w:t>I, Ellen M. Cotter, certify that:</w:t>
      </w:r>
    </w:p>
    <w:p>
      <w:pPr>
        <w:spacing w:after="0" w:line="105" w:lineRule="exact"/>
        <w:rPr>
          <w:sz w:val="20"/>
          <w:szCs w:val="20"/>
          <w:color w:val="auto"/>
        </w:rPr>
      </w:pPr>
    </w:p>
    <w:p>
      <w:pPr>
        <w:ind w:left="343" w:hanging="343"/>
        <w:spacing w:after="0"/>
        <w:tabs>
          <w:tab w:leader="none" w:pos="343" w:val="left"/>
        </w:tabs>
        <w:numPr>
          <w:ilvl w:val="0"/>
          <w:numId w:val="445"/>
        </w:numPr>
        <w:rPr>
          <w:rFonts w:ascii="Arial" w:cs="Arial" w:eastAsia="Arial" w:hAnsi="Arial"/>
          <w:sz w:val="12"/>
          <w:szCs w:val="12"/>
          <w:color w:val="auto"/>
        </w:rPr>
      </w:pPr>
      <w:r>
        <w:rPr>
          <w:rFonts w:ascii="Arial" w:cs="Arial" w:eastAsia="Arial" w:hAnsi="Arial"/>
          <w:sz w:val="12"/>
          <w:szCs w:val="12"/>
          <w:color w:val="auto"/>
        </w:rPr>
        <w:t>I have reviewed this Form 10-K of Reading International, Inc.;</w:t>
      </w:r>
    </w:p>
    <w:p>
      <w:pPr>
        <w:spacing w:after="0" w:line="96" w:lineRule="exact"/>
        <w:rPr>
          <w:rFonts w:ascii="Arial" w:cs="Arial" w:eastAsia="Arial" w:hAnsi="Arial"/>
          <w:sz w:val="12"/>
          <w:szCs w:val="12"/>
          <w:color w:val="auto"/>
        </w:rPr>
      </w:pPr>
    </w:p>
    <w:p>
      <w:pPr>
        <w:ind w:left="103" w:right="20" w:hanging="103"/>
        <w:spacing w:after="0" w:line="272" w:lineRule="auto"/>
        <w:tabs>
          <w:tab w:leader="none" w:pos="103" w:val="left"/>
        </w:tabs>
        <w:numPr>
          <w:ilvl w:val="0"/>
          <w:numId w:val="445"/>
        </w:numPr>
        <w:rPr>
          <w:rFonts w:ascii="Arial" w:cs="Arial" w:eastAsia="Arial" w:hAnsi="Arial"/>
          <w:sz w:val="11"/>
          <w:szCs w:val="11"/>
          <w:color w:val="auto"/>
        </w:rPr>
      </w:pPr>
      <w:r>
        <w:rPr>
          <w:rFonts w:ascii="Arial" w:cs="Arial" w:eastAsia="Arial" w:hAnsi="Arial"/>
          <w:sz w:val="11"/>
          <w:szCs w:val="11"/>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4" w:lineRule="exact"/>
        <w:rPr>
          <w:rFonts w:ascii="Arial" w:cs="Arial" w:eastAsia="Arial" w:hAnsi="Arial"/>
          <w:sz w:val="11"/>
          <w:szCs w:val="11"/>
          <w:color w:val="auto"/>
        </w:rPr>
      </w:pPr>
    </w:p>
    <w:p>
      <w:pPr>
        <w:ind w:left="103" w:hanging="103"/>
        <w:spacing w:after="0" w:line="272" w:lineRule="auto"/>
        <w:tabs>
          <w:tab w:leader="none" w:pos="103" w:val="left"/>
        </w:tabs>
        <w:numPr>
          <w:ilvl w:val="0"/>
          <w:numId w:val="445"/>
        </w:numPr>
        <w:rPr>
          <w:rFonts w:ascii="Arial" w:cs="Arial" w:eastAsia="Arial" w:hAnsi="Arial"/>
          <w:sz w:val="11"/>
          <w:szCs w:val="11"/>
          <w:color w:val="auto"/>
        </w:rPr>
      </w:pPr>
      <w:r>
        <w:rPr>
          <w:rFonts w:ascii="Arial" w:cs="Arial" w:eastAsia="Arial" w:hAnsi="Arial"/>
          <w:sz w:val="11"/>
          <w:szCs w:val="11"/>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4" w:lineRule="exact"/>
        <w:rPr>
          <w:rFonts w:ascii="Arial" w:cs="Arial" w:eastAsia="Arial" w:hAnsi="Arial"/>
          <w:sz w:val="11"/>
          <w:szCs w:val="11"/>
          <w:color w:val="auto"/>
        </w:rPr>
      </w:pPr>
    </w:p>
    <w:p>
      <w:pPr>
        <w:ind w:left="103" w:right="20" w:hanging="103"/>
        <w:spacing w:after="0" w:line="272" w:lineRule="auto"/>
        <w:tabs>
          <w:tab w:leader="none" w:pos="103" w:val="left"/>
        </w:tabs>
        <w:numPr>
          <w:ilvl w:val="0"/>
          <w:numId w:val="445"/>
        </w:numPr>
        <w:rPr>
          <w:rFonts w:ascii="Arial" w:cs="Arial" w:eastAsia="Arial" w:hAnsi="Arial"/>
          <w:sz w:val="11"/>
          <w:szCs w:val="11"/>
          <w:color w:val="auto"/>
        </w:rPr>
      </w:pPr>
      <w:r>
        <w:rPr>
          <w:rFonts w:ascii="Arial" w:cs="Arial" w:eastAsia="Arial" w:hAnsi="Arial"/>
          <w:sz w:val="11"/>
          <w:szCs w:val="11"/>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5" w:lineRule="exact"/>
        <w:rPr>
          <w:sz w:val="20"/>
          <w:szCs w:val="20"/>
          <w:color w:val="auto"/>
        </w:rPr>
      </w:pPr>
    </w:p>
    <w:p>
      <w:pPr>
        <w:ind w:left="323" w:right="20" w:hanging="98"/>
        <w:spacing w:after="0" w:line="272" w:lineRule="auto"/>
        <w:rPr>
          <w:sz w:val="20"/>
          <w:szCs w:val="20"/>
          <w:color w:val="auto"/>
        </w:rPr>
      </w:pPr>
      <w:r>
        <w:rPr>
          <w:rFonts w:ascii="Arial" w:cs="Arial" w:eastAsia="Arial" w:hAnsi="Arial"/>
          <w:sz w:val="11"/>
          <w:szCs w:val="11"/>
          <w:color w:val="auto"/>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5" w:lineRule="exact"/>
        <w:rPr>
          <w:sz w:val="20"/>
          <w:szCs w:val="20"/>
          <w:color w:val="auto"/>
        </w:rPr>
      </w:pPr>
    </w:p>
    <w:p>
      <w:pPr>
        <w:ind w:left="323" w:right="20" w:hanging="107"/>
        <w:spacing w:after="0" w:line="272" w:lineRule="auto"/>
        <w:rPr>
          <w:sz w:val="20"/>
          <w:szCs w:val="20"/>
          <w:color w:val="auto"/>
        </w:rPr>
      </w:pPr>
      <w:r>
        <w:rPr>
          <w:rFonts w:ascii="Arial" w:cs="Arial" w:eastAsia="Arial" w:hAnsi="Arial"/>
          <w:sz w:val="11"/>
          <w:szCs w:val="11"/>
          <w:color w:val="auto"/>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5" w:lineRule="exact"/>
        <w:rPr>
          <w:sz w:val="20"/>
          <w:szCs w:val="20"/>
          <w:color w:val="auto"/>
        </w:rPr>
      </w:pPr>
    </w:p>
    <w:p>
      <w:pPr>
        <w:ind w:left="323" w:right="20" w:hanging="98"/>
        <w:spacing w:after="0" w:line="234" w:lineRule="auto"/>
        <w:rPr>
          <w:sz w:val="20"/>
          <w:szCs w:val="20"/>
          <w:color w:val="auto"/>
        </w:rPr>
      </w:pPr>
      <w:r>
        <w:rPr>
          <w:rFonts w:ascii="Arial" w:cs="Arial" w:eastAsia="Arial" w:hAnsi="Arial"/>
          <w:sz w:val="12"/>
          <w:szCs w:val="12"/>
          <w:color w:val="auto"/>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2" w:lineRule="exact"/>
        <w:rPr>
          <w:sz w:val="20"/>
          <w:szCs w:val="20"/>
          <w:color w:val="auto"/>
        </w:rPr>
      </w:pPr>
    </w:p>
    <w:p>
      <w:pPr>
        <w:ind w:left="323" w:right="20" w:hanging="107"/>
        <w:spacing w:after="0" w:line="234" w:lineRule="auto"/>
        <w:rPr>
          <w:sz w:val="20"/>
          <w:szCs w:val="20"/>
          <w:color w:val="auto"/>
        </w:rPr>
      </w:pPr>
      <w:r>
        <w:rPr>
          <w:rFonts w:ascii="Arial" w:cs="Arial" w:eastAsia="Arial" w:hAnsi="Arial"/>
          <w:sz w:val="12"/>
          <w:szCs w:val="12"/>
          <w:color w:val="auto"/>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2" w:lineRule="exact"/>
        <w:rPr>
          <w:sz w:val="20"/>
          <w:szCs w:val="20"/>
          <w:color w:val="auto"/>
        </w:rPr>
      </w:pPr>
    </w:p>
    <w:p>
      <w:pPr>
        <w:ind w:left="103" w:right="20" w:hanging="103"/>
        <w:spacing w:after="0" w:line="272" w:lineRule="auto"/>
        <w:tabs>
          <w:tab w:leader="none" w:pos="103" w:val="left"/>
        </w:tabs>
        <w:numPr>
          <w:ilvl w:val="0"/>
          <w:numId w:val="446"/>
        </w:numPr>
        <w:rPr>
          <w:rFonts w:ascii="Arial" w:cs="Arial" w:eastAsia="Arial" w:hAnsi="Arial"/>
          <w:sz w:val="11"/>
          <w:szCs w:val="11"/>
          <w:color w:val="auto"/>
        </w:rPr>
      </w:pPr>
      <w:r>
        <w:rPr>
          <w:rFonts w:ascii="Arial" w:cs="Arial" w:eastAsia="Arial" w:hAnsi="Arial"/>
          <w:sz w:val="11"/>
          <w:szCs w:val="11"/>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65" w:lineRule="exact"/>
        <w:rPr>
          <w:sz w:val="20"/>
          <w:szCs w:val="20"/>
          <w:color w:val="auto"/>
        </w:rPr>
      </w:pPr>
    </w:p>
    <w:p>
      <w:pPr>
        <w:ind w:left="323" w:right="20" w:hanging="98"/>
        <w:spacing w:after="0" w:line="234" w:lineRule="auto"/>
        <w:rPr>
          <w:sz w:val="20"/>
          <w:szCs w:val="20"/>
          <w:color w:val="auto"/>
        </w:rPr>
      </w:pPr>
      <w:r>
        <w:rPr>
          <w:rFonts w:ascii="Arial" w:cs="Arial" w:eastAsia="Arial" w:hAnsi="Arial"/>
          <w:sz w:val="12"/>
          <w:szCs w:val="12"/>
          <w:color w:val="auto"/>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2" w:lineRule="exact"/>
        <w:rPr>
          <w:sz w:val="20"/>
          <w:szCs w:val="20"/>
          <w:color w:val="auto"/>
        </w:rPr>
      </w:pPr>
    </w:p>
    <w:p>
      <w:pPr>
        <w:ind w:left="223"/>
        <w:spacing w:after="0"/>
        <w:rPr>
          <w:sz w:val="20"/>
          <w:szCs w:val="20"/>
          <w:color w:val="auto"/>
        </w:rPr>
      </w:pPr>
      <w:r>
        <w:rPr>
          <w:rFonts w:ascii="Arial" w:cs="Arial" w:eastAsia="Arial" w:hAnsi="Arial"/>
          <w:sz w:val="12"/>
          <w:szCs w:val="12"/>
          <w:color w:val="auto"/>
        </w:rPr>
        <w:t>b) any fraud, whether or not material, that involves management or other employees who have a significant role in the registrant’s internal control over financial reporting.</w:t>
      </w:r>
    </w:p>
    <w:p>
      <w:pPr>
        <w:spacing w:after="0" w:line="96" w:lineRule="exact"/>
        <w:rPr>
          <w:sz w:val="20"/>
          <w:szCs w:val="20"/>
          <w:color w:val="auto"/>
        </w:rPr>
      </w:pPr>
    </w:p>
    <w:p>
      <w:pPr>
        <w:ind w:left="3"/>
        <w:spacing w:after="0"/>
        <w:rPr>
          <w:sz w:val="20"/>
          <w:szCs w:val="20"/>
          <w:color w:val="auto"/>
        </w:rPr>
      </w:pPr>
      <w:r>
        <w:rPr>
          <w:rFonts w:ascii="Arial" w:cs="Arial" w:eastAsia="Arial" w:hAnsi="Arial"/>
          <w:sz w:val="12"/>
          <w:szCs w:val="12"/>
          <w:u w:val="single" w:color="auto"/>
          <w:color w:val="auto"/>
        </w:rPr>
        <w:t>/s/ Ellen M. Cotter</w:t>
      </w:r>
    </w:p>
    <w:p>
      <w:pPr>
        <w:spacing w:after="0" w:line="33" w:lineRule="exact"/>
        <w:rPr>
          <w:sz w:val="20"/>
          <w:szCs w:val="20"/>
          <w:color w:val="auto"/>
        </w:rPr>
      </w:pPr>
    </w:p>
    <w:p>
      <w:pPr>
        <w:ind w:left="3"/>
        <w:spacing w:after="0"/>
        <w:rPr>
          <w:sz w:val="20"/>
          <w:szCs w:val="20"/>
          <w:color w:val="auto"/>
        </w:rPr>
      </w:pPr>
      <w:r>
        <w:rPr>
          <w:rFonts w:ascii="Arial" w:cs="Arial" w:eastAsia="Arial" w:hAnsi="Arial"/>
          <w:sz w:val="12"/>
          <w:szCs w:val="12"/>
          <w:color w:val="auto"/>
        </w:rPr>
        <w:t>Ellen M. Cotter</w:t>
      </w:r>
    </w:p>
    <w:p>
      <w:pPr>
        <w:spacing w:after="0" w:line="40" w:lineRule="exact"/>
        <w:rPr>
          <w:sz w:val="20"/>
          <w:szCs w:val="20"/>
          <w:color w:val="auto"/>
        </w:rPr>
      </w:pPr>
    </w:p>
    <w:p>
      <w:pPr>
        <w:ind w:left="3"/>
        <w:spacing w:after="0"/>
        <w:rPr>
          <w:sz w:val="20"/>
          <w:szCs w:val="20"/>
          <w:color w:val="auto"/>
        </w:rPr>
      </w:pPr>
      <w:r>
        <w:rPr>
          <w:rFonts w:ascii="Arial" w:cs="Arial" w:eastAsia="Arial" w:hAnsi="Arial"/>
          <w:sz w:val="13"/>
          <w:szCs w:val="13"/>
          <w:color w:val="auto"/>
        </w:rPr>
        <w:t>President and Chief Executive Officer</w:t>
      </w:r>
    </w:p>
    <w:p>
      <w:pPr>
        <w:spacing w:after="0" w:line="40" w:lineRule="exact"/>
        <w:rPr>
          <w:sz w:val="20"/>
          <w:szCs w:val="20"/>
          <w:color w:val="auto"/>
        </w:rPr>
      </w:pPr>
    </w:p>
    <w:p>
      <w:pPr>
        <w:ind w:left="3"/>
        <w:spacing w:after="0"/>
        <w:rPr>
          <w:sz w:val="20"/>
          <w:szCs w:val="20"/>
          <w:color w:val="auto"/>
        </w:rPr>
      </w:pPr>
      <w:r>
        <w:rPr>
          <w:rFonts w:ascii="Arial" w:cs="Arial" w:eastAsia="Arial" w:hAnsi="Arial"/>
          <w:sz w:val="13"/>
          <w:szCs w:val="13"/>
          <w:i w:val="1"/>
          <w:iCs w:val="1"/>
          <w:color w:val="auto"/>
        </w:rPr>
        <w:t>(Principal Executive Officer)</w:t>
      </w:r>
    </w:p>
    <w:p>
      <w:pPr>
        <w:spacing w:after="0" w:line="221" w:lineRule="exact"/>
        <w:rPr>
          <w:sz w:val="20"/>
          <w:szCs w:val="20"/>
          <w:color w:val="auto"/>
        </w:rPr>
      </w:pPr>
    </w:p>
    <w:p>
      <w:pPr>
        <w:ind w:left="3"/>
        <w:spacing w:after="0"/>
        <w:rPr>
          <w:sz w:val="20"/>
          <w:szCs w:val="20"/>
          <w:color w:val="auto"/>
        </w:rPr>
      </w:pPr>
      <w:r>
        <w:rPr>
          <w:rFonts w:ascii="Arial" w:cs="Arial" w:eastAsia="Arial" w:hAnsi="Arial"/>
          <w:sz w:val="12"/>
          <w:szCs w:val="12"/>
          <w:color w:val="auto"/>
        </w:rPr>
        <w:t>April 29,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208280</wp:posOffset>
            </wp:positionV>
            <wp:extent cx="6231255"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231255" cy="42545"/>
                    </a:xfrm>
                    <a:prstGeom prst="rect">
                      <a:avLst/>
                    </a:prstGeom>
                    <a:noFill/>
                  </pic:spPr>
                </pic:pic>
              </a:graphicData>
            </a:graphic>
          </wp:anchor>
        </w:drawing>
      </w:r>
    </w:p>
    <w:p>
      <w:pPr>
        <w:sectPr>
          <w:pgSz w:w="11900" w:h="16838" w:orient="portrait"/>
          <w:cols w:equalWidth="0" w:num="1">
            <w:col w:w="9763"/>
          </w:cols>
          <w:pgMar w:left="1077" w:top="118" w:right="1059" w:bottom="1440" w:gutter="0" w:footer="0" w:header="0"/>
        </w:sectPr>
      </w:pPr>
    </w:p>
    <w:bookmarkStart w:id="293" w:name="page294"/>
    <w:bookmarkEnd w:id="293"/>
    <w:p>
      <w:pPr>
        <w:jc w:val="right"/>
        <w:spacing w:after="0"/>
        <w:rPr>
          <w:sz w:val="20"/>
          <w:szCs w:val="20"/>
          <w:color w:val="auto"/>
        </w:rPr>
      </w:pPr>
      <w:r>
        <w:rPr>
          <w:rFonts w:ascii="Arial" w:cs="Arial" w:eastAsia="Arial" w:hAnsi="Arial"/>
          <w:sz w:val="12"/>
          <w:szCs w:val="12"/>
          <w:b w:val="1"/>
          <w:bCs w:val="1"/>
          <w:color w:val="auto"/>
        </w:rPr>
        <w:t>EXHIBIT 31.2</w:t>
      </w:r>
    </w:p>
    <w:p>
      <w:pPr>
        <w:spacing w:after="0" w:line="42" w:lineRule="exact"/>
        <w:rPr>
          <w:sz w:val="20"/>
          <w:szCs w:val="20"/>
          <w:color w:val="auto"/>
        </w:rPr>
      </w:pPr>
    </w:p>
    <w:p>
      <w:pPr>
        <w:jc w:val="center"/>
        <w:ind w:right="-2"/>
        <w:spacing w:after="0"/>
        <w:rPr>
          <w:sz w:val="20"/>
          <w:szCs w:val="20"/>
          <w:color w:val="auto"/>
        </w:rPr>
      </w:pPr>
      <w:r>
        <w:rPr>
          <w:rFonts w:ascii="Arial" w:cs="Arial" w:eastAsia="Arial" w:hAnsi="Arial"/>
          <w:sz w:val="12"/>
          <w:szCs w:val="12"/>
          <w:b w:val="1"/>
          <w:bCs w:val="1"/>
          <w:color w:val="auto"/>
        </w:rPr>
        <w:t>CERTIFICATION PURSUANT TO SECTION 302 OF THE SARBANES-OXLEY ACT OF 2002</w:t>
      </w:r>
    </w:p>
    <w:p>
      <w:pPr>
        <w:spacing w:after="0" w:line="37" w:lineRule="exact"/>
        <w:rPr>
          <w:sz w:val="20"/>
          <w:szCs w:val="20"/>
          <w:color w:val="auto"/>
        </w:rPr>
      </w:pPr>
    </w:p>
    <w:p>
      <w:pPr>
        <w:ind w:left="3"/>
        <w:spacing w:after="0"/>
        <w:rPr>
          <w:sz w:val="20"/>
          <w:szCs w:val="20"/>
          <w:color w:val="auto"/>
        </w:rPr>
      </w:pPr>
      <w:r>
        <w:rPr>
          <w:rFonts w:ascii="Arial" w:cs="Arial" w:eastAsia="Arial" w:hAnsi="Arial"/>
          <w:sz w:val="12"/>
          <w:szCs w:val="12"/>
          <w:color w:val="auto"/>
        </w:rPr>
        <w:t>I, Devasis Ghose, certify that:</w:t>
      </w:r>
    </w:p>
    <w:p>
      <w:pPr>
        <w:spacing w:after="0" w:line="105" w:lineRule="exact"/>
        <w:rPr>
          <w:sz w:val="20"/>
          <w:szCs w:val="20"/>
          <w:color w:val="auto"/>
        </w:rPr>
      </w:pPr>
    </w:p>
    <w:p>
      <w:pPr>
        <w:ind w:left="343" w:hanging="343"/>
        <w:spacing w:after="0"/>
        <w:tabs>
          <w:tab w:leader="none" w:pos="343" w:val="left"/>
        </w:tabs>
        <w:numPr>
          <w:ilvl w:val="0"/>
          <w:numId w:val="447"/>
        </w:numPr>
        <w:rPr>
          <w:rFonts w:ascii="Arial" w:cs="Arial" w:eastAsia="Arial" w:hAnsi="Arial"/>
          <w:sz w:val="12"/>
          <w:szCs w:val="12"/>
          <w:color w:val="auto"/>
        </w:rPr>
      </w:pPr>
      <w:r>
        <w:rPr>
          <w:rFonts w:ascii="Arial" w:cs="Arial" w:eastAsia="Arial" w:hAnsi="Arial"/>
          <w:sz w:val="12"/>
          <w:szCs w:val="12"/>
          <w:color w:val="auto"/>
        </w:rPr>
        <w:t>I have reviewed this Form 10-K of Reading International, Inc.;</w:t>
      </w:r>
    </w:p>
    <w:p>
      <w:pPr>
        <w:spacing w:after="0" w:line="96" w:lineRule="exact"/>
        <w:rPr>
          <w:rFonts w:ascii="Arial" w:cs="Arial" w:eastAsia="Arial" w:hAnsi="Arial"/>
          <w:sz w:val="12"/>
          <w:szCs w:val="12"/>
          <w:color w:val="auto"/>
        </w:rPr>
      </w:pPr>
    </w:p>
    <w:p>
      <w:pPr>
        <w:ind w:left="103" w:right="20" w:hanging="103"/>
        <w:spacing w:after="0" w:line="272" w:lineRule="auto"/>
        <w:tabs>
          <w:tab w:leader="none" w:pos="103" w:val="left"/>
        </w:tabs>
        <w:numPr>
          <w:ilvl w:val="0"/>
          <w:numId w:val="447"/>
        </w:numPr>
        <w:rPr>
          <w:rFonts w:ascii="Arial" w:cs="Arial" w:eastAsia="Arial" w:hAnsi="Arial"/>
          <w:sz w:val="11"/>
          <w:szCs w:val="11"/>
          <w:color w:val="auto"/>
        </w:rPr>
      </w:pPr>
      <w:r>
        <w:rPr>
          <w:rFonts w:ascii="Arial" w:cs="Arial" w:eastAsia="Arial" w:hAnsi="Arial"/>
          <w:sz w:val="11"/>
          <w:szCs w:val="11"/>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4" w:lineRule="exact"/>
        <w:rPr>
          <w:rFonts w:ascii="Arial" w:cs="Arial" w:eastAsia="Arial" w:hAnsi="Arial"/>
          <w:sz w:val="11"/>
          <w:szCs w:val="11"/>
          <w:color w:val="auto"/>
        </w:rPr>
      </w:pPr>
    </w:p>
    <w:p>
      <w:pPr>
        <w:ind w:left="103" w:hanging="103"/>
        <w:spacing w:after="0" w:line="272" w:lineRule="auto"/>
        <w:tabs>
          <w:tab w:leader="none" w:pos="103" w:val="left"/>
        </w:tabs>
        <w:numPr>
          <w:ilvl w:val="0"/>
          <w:numId w:val="447"/>
        </w:numPr>
        <w:rPr>
          <w:rFonts w:ascii="Arial" w:cs="Arial" w:eastAsia="Arial" w:hAnsi="Arial"/>
          <w:sz w:val="11"/>
          <w:szCs w:val="11"/>
          <w:color w:val="auto"/>
        </w:rPr>
      </w:pPr>
      <w:r>
        <w:rPr>
          <w:rFonts w:ascii="Arial" w:cs="Arial" w:eastAsia="Arial" w:hAnsi="Arial"/>
          <w:sz w:val="11"/>
          <w:szCs w:val="11"/>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4" w:lineRule="exact"/>
        <w:rPr>
          <w:rFonts w:ascii="Arial" w:cs="Arial" w:eastAsia="Arial" w:hAnsi="Arial"/>
          <w:sz w:val="11"/>
          <w:szCs w:val="11"/>
          <w:color w:val="auto"/>
        </w:rPr>
      </w:pPr>
    </w:p>
    <w:p>
      <w:pPr>
        <w:ind w:left="103" w:right="20" w:hanging="103"/>
        <w:spacing w:after="0" w:line="272" w:lineRule="auto"/>
        <w:tabs>
          <w:tab w:leader="none" w:pos="103" w:val="left"/>
        </w:tabs>
        <w:numPr>
          <w:ilvl w:val="0"/>
          <w:numId w:val="447"/>
        </w:numPr>
        <w:rPr>
          <w:rFonts w:ascii="Arial" w:cs="Arial" w:eastAsia="Arial" w:hAnsi="Arial"/>
          <w:sz w:val="11"/>
          <w:szCs w:val="11"/>
          <w:color w:val="auto"/>
        </w:rPr>
      </w:pPr>
      <w:r>
        <w:rPr>
          <w:rFonts w:ascii="Arial" w:cs="Arial" w:eastAsia="Arial" w:hAnsi="Arial"/>
          <w:sz w:val="11"/>
          <w:szCs w:val="11"/>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5" w:lineRule="exact"/>
        <w:rPr>
          <w:sz w:val="20"/>
          <w:szCs w:val="20"/>
          <w:color w:val="auto"/>
        </w:rPr>
      </w:pPr>
    </w:p>
    <w:p>
      <w:pPr>
        <w:ind w:left="323" w:right="20" w:hanging="98"/>
        <w:spacing w:after="0" w:line="272" w:lineRule="auto"/>
        <w:rPr>
          <w:sz w:val="20"/>
          <w:szCs w:val="20"/>
          <w:color w:val="auto"/>
        </w:rPr>
      </w:pPr>
      <w:r>
        <w:rPr>
          <w:rFonts w:ascii="Arial" w:cs="Arial" w:eastAsia="Arial" w:hAnsi="Arial"/>
          <w:sz w:val="11"/>
          <w:szCs w:val="11"/>
          <w:color w:val="auto"/>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5" w:lineRule="exact"/>
        <w:rPr>
          <w:sz w:val="20"/>
          <w:szCs w:val="20"/>
          <w:color w:val="auto"/>
        </w:rPr>
      </w:pPr>
    </w:p>
    <w:p>
      <w:pPr>
        <w:ind w:left="323" w:right="20" w:hanging="107"/>
        <w:spacing w:after="0" w:line="272" w:lineRule="auto"/>
        <w:rPr>
          <w:sz w:val="20"/>
          <w:szCs w:val="20"/>
          <w:color w:val="auto"/>
        </w:rPr>
      </w:pPr>
      <w:r>
        <w:rPr>
          <w:rFonts w:ascii="Arial" w:cs="Arial" w:eastAsia="Arial" w:hAnsi="Arial"/>
          <w:sz w:val="11"/>
          <w:szCs w:val="11"/>
          <w:color w:val="auto"/>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5" w:lineRule="exact"/>
        <w:rPr>
          <w:sz w:val="20"/>
          <w:szCs w:val="20"/>
          <w:color w:val="auto"/>
        </w:rPr>
      </w:pPr>
    </w:p>
    <w:p>
      <w:pPr>
        <w:ind w:left="323" w:right="20" w:hanging="98"/>
        <w:spacing w:after="0" w:line="234" w:lineRule="auto"/>
        <w:rPr>
          <w:sz w:val="20"/>
          <w:szCs w:val="20"/>
          <w:color w:val="auto"/>
        </w:rPr>
      </w:pPr>
      <w:r>
        <w:rPr>
          <w:rFonts w:ascii="Arial" w:cs="Arial" w:eastAsia="Arial" w:hAnsi="Arial"/>
          <w:sz w:val="12"/>
          <w:szCs w:val="12"/>
          <w:color w:val="auto"/>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2" w:lineRule="exact"/>
        <w:rPr>
          <w:sz w:val="20"/>
          <w:szCs w:val="20"/>
          <w:color w:val="auto"/>
        </w:rPr>
      </w:pPr>
    </w:p>
    <w:p>
      <w:pPr>
        <w:ind w:left="323" w:right="20" w:hanging="107"/>
        <w:spacing w:after="0" w:line="234" w:lineRule="auto"/>
        <w:rPr>
          <w:sz w:val="20"/>
          <w:szCs w:val="20"/>
          <w:color w:val="auto"/>
        </w:rPr>
      </w:pPr>
      <w:r>
        <w:rPr>
          <w:rFonts w:ascii="Arial" w:cs="Arial" w:eastAsia="Arial" w:hAnsi="Arial"/>
          <w:sz w:val="12"/>
          <w:szCs w:val="12"/>
          <w:color w:val="auto"/>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2" w:lineRule="exact"/>
        <w:rPr>
          <w:sz w:val="20"/>
          <w:szCs w:val="20"/>
          <w:color w:val="auto"/>
        </w:rPr>
      </w:pPr>
    </w:p>
    <w:p>
      <w:pPr>
        <w:ind w:left="103" w:right="20" w:hanging="103"/>
        <w:spacing w:after="0" w:line="272" w:lineRule="auto"/>
        <w:tabs>
          <w:tab w:leader="none" w:pos="103" w:val="left"/>
        </w:tabs>
        <w:numPr>
          <w:ilvl w:val="0"/>
          <w:numId w:val="448"/>
        </w:numPr>
        <w:rPr>
          <w:rFonts w:ascii="Arial" w:cs="Arial" w:eastAsia="Arial" w:hAnsi="Arial"/>
          <w:sz w:val="11"/>
          <w:szCs w:val="11"/>
          <w:color w:val="auto"/>
        </w:rPr>
      </w:pPr>
      <w:r>
        <w:rPr>
          <w:rFonts w:ascii="Arial" w:cs="Arial" w:eastAsia="Arial" w:hAnsi="Arial"/>
          <w:sz w:val="11"/>
          <w:szCs w:val="11"/>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65" w:lineRule="exact"/>
        <w:rPr>
          <w:sz w:val="20"/>
          <w:szCs w:val="20"/>
          <w:color w:val="auto"/>
        </w:rPr>
      </w:pPr>
    </w:p>
    <w:p>
      <w:pPr>
        <w:ind w:left="323" w:right="20" w:hanging="98"/>
        <w:spacing w:after="0" w:line="234" w:lineRule="auto"/>
        <w:rPr>
          <w:sz w:val="20"/>
          <w:szCs w:val="20"/>
          <w:color w:val="auto"/>
        </w:rPr>
      </w:pPr>
      <w:r>
        <w:rPr>
          <w:rFonts w:ascii="Arial" w:cs="Arial" w:eastAsia="Arial" w:hAnsi="Arial"/>
          <w:sz w:val="12"/>
          <w:szCs w:val="12"/>
          <w:color w:val="auto"/>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2" w:lineRule="exact"/>
        <w:rPr>
          <w:sz w:val="20"/>
          <w:szCs w:val="20"/>
          <w:color w:val="auto"/>
        </w:rPr>
      </w:pPr>
    </w:p>
    <w:p>
      <w:pPr>
        <w:ind w:left="223"/>
        <w:spacing w:after="0"/>
        <w:rPr>
          <w:sz w:val="20"/>
          <w:szCs w:val="20"/>
          <w:color w:val="auto"/>
        </w:rPr>
      </w:pPr>
      <w:r>
        <w:rPr>
          <w:rFonts w:ascii="Arial" w:cs="Arial" w:eastAsia="Arial" w:hAnsi="Arial"/>
          <w:sz w:val="12"/>
          <w:szCs w:val="12"/>
          <w:color w:val="auto"/>
        </w:rPr>
        <w:t>b) any fraud, whether or not material, that involves management or other employees who have a significant role in the registrant’s internal control over financial reporting.</w:t>
      </w:r>
    </w:p>
    <w:p>
      <w:pPr>
        <w:spacing w:after="0" w:line="96" w:lineRule="exact"/>
        <w:rPr>
          <w:sz w:val="20"/>
          <w:szCs w:val="20"/>
          <w:color w:val="auto"/>
        </w:rPr>
      </w:pPr>
    </w:p>
    <w:p>
      <w:pPr>
        <w:ind w:left="3"/>
        <w:spacing w:after="0"/>
        <w:rPr>
          <w:sz w:val="20"/>
          <w:szCs w:val="20"/>
          <w:color w:val="auto"/>
        </w:rPr>
      </w:pPr>
      <w:r>
        <w:rPr>
          <w:rFonts w:ascii="Arial" w:cs="Arial" w:eastAsia="Arial" w:hAnsi="Arial"/>
          <w:sz w:val="12"/>
          <w:szCs w:val="12"/>
          <w:u w:val="single" w:color="auto"/>
          <w:color w:val="auto"/>
        </w:rPr>
        <w:t>/s/ Devasis Ghose</w:t>
      </w:r>
    </w:p>
    <w:p>
      <w:pPr>
        <w:spacing w:after="0" w:line="33" w:lineRule="exact"/>
        <w:rPr>
          <w:sz w:val="20"/>
          <w:szCs w:val="20"/>
          <w:color w:val="auto"/>
        </w:rPr>
      </w:pPr>
    </w:p>
    <w:p>
      <w:pPr>
        <w:ind w:left="3"/>
        <w:spacing w:after="0"/>
        <w:rPr>
          <w:sz w:val="20"/>
          <w:szCs w:val="20"/>
          <w:color w:val="auto"/>
        </w:rPr>
      </w:pPr>
      <w:r>
        <w:rPr>
          <w:rFonts w:ascii="Arial" w:cs="Arial" w:eastAsia="Arial" w:hAnsi="Arial"/>
          <w:sz w:val="12"/>
          <w:szCs w:val="12"/>
          <w:color w:val="auto"/>
        </w:rPr>
        <w:t>Devasis Ghose</w:t>
      </w:r>
    </w:p>
    <w:p>
      <w:pPr>
        <w:spacing w:after="0" w:line="51" w:lineRule="exact"/>
        <w:rPr>
          <w:sz w:val="20"/>
          <w:szCs w:val="20"/>
          <w:color w:val="auto"/>
        </w:rPr>
      </w:pPr>
    </w:p>
    <w:p>
      <w:pPr>
        <w:ind w:left="3"/>
        <w:spacing w:after="0"/>
        <w:rPr>
          <w:sz w:val="20"/>
          <w:szCs w:val="20"/>
          <w:color w:val="auto"/>
        </w:rPr>
      </w:pPr>
      <w:r>
        <w:rPr>
          <w:rFonts w:ascii="Arial" w:cs="Arial" w:eastAsia="Arial" w:hAnsi="Arial"/>
          <w:sz w:val="12"/>
          <w:szCs w:val="12"/>
          <w:color w:val="auto"/>
        </w:rPr>
        <w:t>Chief Financial Officer and Treasurer</w:t>
      </w:r>
    </w:p>
    <w:p>
      <w:pPr>
        <w:spacing w:after="0" w:line="51" w:lineRule="exact"/>
        <w:rPr>
          <w:sz w:val="20"/>
          <w:szCs w:val="20"/>
          <w:color w:val="auto"/>
        </w:rPr>
      </w:pPr>
    </w:p>
    <w:p>
      <w:pPr>
        <w:ind w:left="3"/>
        <w:spacing w:after="0"/>
        <w:rPr>
          <w:sz w:val="20"/>
          <w:szCs w:val="20"/>
          <w:color w:val="auto"/>
        </w:rPr>
      </w:pPr>
      <w:r>
        <w:rPr>
          <w:rFonts w:ascii="Arial" w:cs="Arial" w:eastAsia="Arial" w:hAnsi="Arial"/>
          <w:sz w:val="12"/>
          <w:szCs w:val="12"/>
          <w:i w:val="1"/>
          <w:iCs w:val="1"/>
          <w:color w:val="auto"/>
        </w:rPr>
        <w:t>(Principal Financial Officer)</w:t>
      </w:r>
    </w:p>
    <w:p>
      <w:pPr>
        <w:spacing w:after="0" w:line="51" w:lineRule="exact"/>
        <w:rPr>
          <w:sz w:val="20"/>
          <w:szCs w:val="20"/>
          <w:color w:val="auto"/>
        </w:rPr>
      </w:pPr>
    </w:p>
    <w:p>
      <w:pPr>
        <w:ind w:left="3"/>
        <w:spacing w:after="0"/>
        <w:rPr>
          <w:sz w:val="20"/>
          <w:szCs w:val="20"/>
          <w:color w:val="auto"/>
        </w:rPr>
      </w:pPr>
      <w:r>
        <w:rPr>
          <w:rFonts w:ascii="Arial" w:cs="Arial" w:eastAsia="Arial" w:hAnsi="Arial"/>
          <w:sz w:val="12"/>
          <w:szCs w:val="12"/>
          <w:color w:val="auto"/>
        </w:rPr>
        <w:t>April 29,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208280</wp:posOffset>
            </wp:positionV>
            <wp:extent cx="6231255"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231255" cy="42545"/>
                    </a:xfrm>
                    <a:prstGeom prst="rect">
                      <a:avLst/>
                    </a:prstGeom>
                    <a:noFill/>
                  </pic:spPr>
                </pic:pic>
              </a:graphicData>
            </a:graphic>
          </wp:anchor>
        </w:drawing>
      </w:r>
    </w:p>
    <w:p>
      <w:pPr>
        <w:sectPr>
          <w:pgSz w:w="11900" w:h="16838" w:orient="portrait"/>
          <w:cols w:equalWidth="0" w:num="1">
            <w:col w:w="9763"/>
          </w:cols>
          <w:pgMar w:left="1077" w:top="118" w:right="1059" w:bottom="1440" w:gutter="0" w:footer="0" w:header="0"/>
        </w:sectPr>
      </w:pPr>
    </w:p>
    <w:bookmarkStart w:id="294" w:name="page295"/>
    <w:bookmarkEnd w:id="294"/>
    <w:p>
      <w:pPr>
        <w:jc w:val="right"/>
        <w:spacing w:after="0"/>
        <w:rPr>
          <w:sz w:val="20"/>
          <w:szCs w:val="20"/>
          <w:color w:val="auto"/>
        </w:rPr>
      </w:pPr>
      <w:r>
        <w:rPr>
          <w:rFonts w:ascii="Arial" w:cs="Arial" w:eastAsia="Arial" w:hAnsi="Arial"/>
          <w:sz w:val="12"/>
          <w:szCs w:val="12"/>
          <w:b w:val="1"/>
          <w:bCs w:val="1"/>
          <w:color w:val="auto"/>
        </w:rPr>
        <w:t>EXHIBIT 32.1</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CERTIFICATION PURSUANT TO SECTION 906 OF THE SARBANES-OXLEY ACT OF 2002</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(18 U.S.C. SECTION 1350)</w:t>
      </w:r>
    </w:p>
    <w:p>
      <w:pPr>
        <w:spacing w:after="0" w:line="46" w:lineRule="exact"/>
        <w:rPr>
          <w:sz w:val="20"/>
          <w:szCs w:val="20"/>
          <w:color w:val="auto"/>
        </w:rPr>
      </w:pPr>
    </w:p>
    <w:p>
      <w:pPr>
        <w:ind w:left="420"/>
        <w:spacing w:after="0"/>
        <w:rPr>
          <w:sz w:val="20"/>
          <w:szCs w:val="20"/>
          <w:color w:val="auto"/>
        </w:rPr>
      </w:pPr>
      <w:r>
        <w:rPr>
          <w:rFonts w:ascii="Arial" w:cs="Arial" w:eastAsia="Arial" w:hAnsi="Arial"/>
          <w:sz w:val="11"/>
          <w:szCs w:val="11"/>
          <w:color w:val="auto"/>
        </w:rPr>
        <w:t>In connection with the accompanying Annual Report of Reading International, Inc. (the “Company”) on Form 10-K for the fiscal year ended December 31, 2015 (the “Report”), I, Ellen M.</w:t>
      </w:r>
    </w:p>
    <w:p>
      <w:pPr>
        <w:spacing w:after="0" w:line="1" w:lineRule="exact"/>
        <w:rPr>
          <w:sz w:val="20"/>
          <w:szCs w:val="20"/>
          <w:color w:val="auto"/>
        </w:rPr>
      </w:pPr>
    </w:p>
    <w:p>
      <w:pPr>
        <w:spacing w:after="0"/>
        <w:rPr>
          <w:sz w:val="20"/>
          <w:szCs w:val="20"/>
          <w:color w:val="auto"/>
        </w:rPr>
      </w:pPr>
      <w:r>
        <w:rPr>
          <w:rFonts w:ascii="Arial" w:cs="Arial" w:eastAsia="Arial" w:hAnsi="Arial"/>
          <w:sz w:val="12"/>
          <w:szCs w:val="12"/>
          <w:color w:val="auto"/>
        </w:rPr>
        <w:t>Cotter, Chief Executive Officer of the Company, certify, pursuant to 18 U.S.C. §1350, as adopted pursuant to §906 of the Sarbanes-Oxley Act of 2002, that:</w:t>
      </w:r>
    </w:p>
    <w:p>
      <w:pPr>
        <w:spacing w:after="0" w:line="86" w:lineRule="exact"/>
        <w:rPr>
          <w:sz w:val="20"/>
          <w:szCs w:val="20"/>
          <w:color w:val="auto"/>
        </w:rPr>
      </w:pPr>
    </w:p>
    <w:p>
      <w:pPr>
        <w:ind w:left="360" w:hanging="147"/>
        <w:spacing w:after="0"/>
        <w:tabs>
          <w:tab w:leader="none" w:pos="360" w:val="left"/>
        </w:tabs>
        <w:numPr>
          <w:ilvl w:val="0"/>
          <w:numId w:val="449"/>
        </w:numPr>
        <w:rPr>
          <w:rFonts w:ascii="Arial" w:cs="Arial" w:eastAsia="Arial" w:hAnsi="Arial"/>
          <w:sz w:val="12"/>
          <w:szCs w:val="12"/>
          <w:color w:val="auto"/>
        </w:rPr>
      </w:pPr>
      <w:r>
        <w:rPr>
          <w:rFonts w:ascii="Arial" w:cs="Arial" w:eastAsia="Arial" w:hAnsi="Arial"/>
          <w:sz w:val="12"/>
          <w:szCs w:val="12"/>
          <w:color w:val="auto"/>
        </w:rPr>
        <w:t>The Report fully complies with the requirements of Section 13(a) of the Securities Exchange Act of 1934; and</w:t>
      </w:r>
    </w:p>
    <w:p>
      <w:pPr>
        <w:spacing w:after="0" w:line="96" w:lineRule="exact"/>
        <w:rPr>
          <w:rFonts w:ascii="Arial" w:cs="Arial" w:eastAsia="Arial" w:hAnsi="Arial"/>
          <w:sz w:val="12"/>
          <w:szCs w:val="12"/>
          <w:color w:val="auto"/>
        </w:rPr>
      </w:pPr>
    </w:p>
    <w:p>
      <w:pPr>
        <w:ind w:left="340" w:hanging="127"/>
        <w:spacing w:after="0"/>
        <w:tabs>
          <w:tab w:leader="none" w:pos="340" w:val="left"/>
        </w:tabs>
        <w:numPr>
          <w:ilvl w:val="0"/>
          <w:numId w:val="449"/>
        </w:numPr>
        <w:rPr>
          <w:rFonts w:ascii="Arial" w:cs="Arial" w:eastAsia="Arial" w:hAnsi="Arial"/>
          <w:sz w:val="12"/>
          <w:szCs w:val="12"/>
          <w:color w:val="auto"/>
        </w:rPr>
      </w:pPr>
      <w:r>
        <w:rPr>
          <w:rFonts w:ascii="Arial" w:cs="Arial" w:eastAsia="Arial" w:hAnsi="Arial"/>
          <w:sz w:val="12"/>
          <w:szCs w:val="12"/>
          <w:color w:val="auto"/>
        </w:rPr>
        <w:t>The information contained in the Report fairly presents, in all material respects, the financial condition and results of operations of the Company.</w:t>
      </w:r>
    </w:p>
    <w:p>
      <w:pPr>
        <w:spacing w:after="0" w:line="96"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/s/ Ellen M. Cotter</w:t>
      </w:r>
    </w:p>
    <w:p>
      <w:pPr>
        <w:spacing w:after="0" w:line="42" w:lineRule="exact"/>
        <w:rPr>
          <w:sz w:val="20"/>
          <w:szCs w:val="20"/>
          <w:color w:val="auto"/>
        </w:rPr>
      </w:pPr>
    </w:p>
    <w:p>
      <w:pPr>
        <w:spacing w:after="0"/>
        <w:rPr>
          <w:sz w:val="20"/>
          <w:szCs w:val="20"/>
          <w:color w:val="auto"/>
        </w:rPr>
      </w:pPr>
      <w:r>
        <w:rPr>
          <w:rFonts w:ascii="Arial" w:cs="Arial" w:eastAsia="Arial" w:hAnsi="Arial"/>
          <w:sz w:val="12"/>
          <w:szCs w:val="12"/>
          <w:color w:val="auto"/>
        </w:rPr>
        <w:t>Ellen M. Cotter</w:t>
      </w:r>
    </w:p>
    <w:p>
      <w:pPr>
        <w:spacing w:after="0" w:line="49" w:lineRule="exact"/>
        <w:rPr>
          <w:sz w:val="20"/>
          <w:szCs w:val="20"/>
          <w:color w:val="auto"/>
        </w:rPr>
      </w:pPr>
    </w:p>
    <w:p>
      <w:pPr>
        <w:spacing w:after="0"/>
        <w:rPr>
          <w:sz w:val="20"/>
          <w:szCs w:val="20"/>
          <w:color w:val="auto"/>
        </w:rPr>
      </w:pPr>
      <w:r>
        <w:rPr>
          <w:rFonts w:ascii="Arial" w:cs="Arial" w:eastAsia="Arial" w:hAnsi="Arial"/>
          <w:sz w:val="13"/>
          <w:szCs w:val="13"/>
          <w:color w:val="auto"/>
        </w:rPr>
        <w:t>President and Chief Executive Officer</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(Principal Executive Officer)</w:t>
      </w:r>
    </w:p>
    <w:p>
      <w:pPr>
        <w:spacing w:after="0" w:line="50" w:lineRule="exact"/>
        <w:rPr>
          <w:sz w:val="20"/>
          <w:szCs w:val="20"/>
          <w:color w:val="auto"/>
        </w:rPr>
      </w:pPr>
    </w:p>
    <w:p>
      <w:pPr>
        <w:spacing w:after="0"/>
        <w:rPr>
          <w:sz w:val="20"/>
          <w:szCs w:val="20"/>
          <w:color w:val="auto"/>
        </w:rPr>
      </w:pPr>
      <w:r>
        <w:rPr>
          <w:rFonts w:ascii="Arial" w:cs="Arial" w:eastAsia="Arial" w:hAnsi="Arial"/>
          <w:sz w:val="12"/>
          <w:szCs w:val="12"/>
          <w:color w:val="auto"/>
        </w:rPr>
        <w:t>April 29,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202565</wp:posOffset>
            </wp:positionV>
            <wp:extent cx="6231255"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231255" cy="42545"/>
                    </a:xfrm>
                    <a:prstGeom prst="rect">
                      <a:avLst/>
                    </a:prstGeom>
                    <a:noFill/>
                  </pic:spPr>
                </pic:pic>
              </a:graphicData>
            </a:graphic>
          </wp:anchor>
        </w:drawing>
      </w:r>
    </w:p>
    <w:p>
      <w:pPr>
        <w:sectPr>
          <w:pgSz w:w="11900" w:h="16838" w:orient="portrait"/>
          <w:cols w:equalWidth="0" w:num="1">
            <w:col w:w="9760"/>
          </w:cols>
          <w:pgMar w:left="1080" w:top="118" w:right="1059" w:bottom="1440" w:gutter="0" w:footer="0" w:header="0"/>
        </w:sectPr>
      </w:pPr>
    </w:p>
    <w:bookmarkStart w:id="295" w:name="page296"/>
    <w:bookmarkEnd w:id="295"/>
    <w:p>
      <w:pPr>
        <w:jc w:val="right"/>
        <w:spacing w:after="0"/>
        <w:rPr>
          <w:sz w:val="20"/>
          <w:szCs w:val="20"/>
          <w:color w:val="auto"/>
        </w:rPr>
      </w:pPr>
      <w:r>
        <w:rPr>
          <w:rFonts w:ascii="Arial" w:cs="Arial" w:eastAsia="Arial" w:hAnsi="Arial"/>
          <w:sz w:val="12"/>
          <w:szCs w:val="12"/>
          <w:b w:val="1"/>
          <w:bCs w:val="1"/>
          <w:color w:val="auto"/>
        </w:rPr>
        <w:t>EXHIBIT 32.2</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CERTIFICATION PURSUANT TO SECTION 906 OF THE SARBANES-OXLEY ACT OF 2002</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(18 U.S.C. SECTION 1350)</w:t>
      </w:r>
    </w:p>
    <w:p>
      <w:pPr>
        <w:spacing w:after="0" w:line="46" w:lineRule="exact"/>
        <w:rPr>
          <w:sz w:val="20"/>
          <w:szCs w:val="20"/>
          <w:color w:val="auto"/>
        </w:rPr>
      </w:pPr>
    </w:p>
    <w:p>
      <w:pPr>
        <w:ind w:right="20" w:firstLine="432"/>
        <w:spacing w:after="0" w:line="234" w:lineRule="auto"/>
        <w:rPr>
          <w:sz w:val="20"/>
          <w:szCs w:val="20"/>
          <w:color w:val="auto"/>
        </w:rPr>
      </w:pPr>
      <w:r>
        <w:rPr>
          <w:rFonts w:ascii="Arial" w:cs="Arial" w:eastAsia="Arial" w:hAnsi="Arial"/>
          <w:sz w:val="12"/>
          <w:szCs w:val="12"/>
          <w:color w:val="auto"/>
        </w:rPr>
        <w:t>In connection with the accompanying Annual Report of Reading International, Inc. (the “Company”) on Form 10-K for the fiscal year ended December 31, 2015 (the “Report”), I, Devasis Ghose, Chief Financial Officer of the Company, certify, pursuant to 18 U.S.C. §1350, as adopted pursuant to §906 of the Sarbanes-Oxley Act of 2002, that:</w:t>
      </w:r>
    </w:p>
    <w:p>
      <w:pPr>
        <w:spacing w:after="0" w:line="82" w:lineRule="exact"/>
        <w:rPr>
          <w:sz w:val="20"/>
          <w:szCs w:val="20"/>
          <w:color w:val="auto"/>
        </w:rPr>
      </w:pPr>
    </w:p>
    <w:p>
      <w:pPr>
        <w:ind w:left="360" w:hanging="147"/>
        <w:spacing w:after="0"/>
        <w:tabs>
          <w:tab w:leader="none" w:pos="360" w:val="left"/>
        </w:tabs>
        <w:numPr>
          <w:ilvl w:val="0"/>
          <w:numId w:val="450"/>
        </w:numPr>
        <w:rPr>
          <w:rFonts w:ascii="Arial" w:cs="Arial" w:eastAsia="Arial" w:hAnsi="Arial"/>
          <w:sz w:val="12"/>
          <w:szCs w:val="12"/>
          <w:color w:val="auto"/>
        </w:rPr>
      </w:pPr>
      <w:r>
        <w:rPr>
          <w:rFonts w:ascii="Arial" w:cs="Arial" w:eastAsia="Arial" w:hAnsi="Arial"/>
          <w:sz w:val="12"/>
          <w:szCs w:val="12"/>
          <w:color w:val="auto"/>
        </w:rPr>
        <w:t>The Report fully complies with the requirements of Section 13(a) of the Securities Exchange Act of 1934; and</w:t>
      </w:r>
    </w:p>
    <w:p>
      <w:pPr>
        <w:spacing w:after="0" w:line="96" w:lineRule="exact"/>
        <w:rPr>
          <w:rFonts w:ascii="Arial" w:cs="Arial" w:eastAsia="Arial" w:hAnsi="Arial"/>
          <w:sz w:val="12"/>
          <w:szCs w:val="12"/>
          <w:color w:val="auto"/>
        </w:rPr>
      </w:pPr>
    </w:p>
    <w:p>
      <w:pPr>
        <w:ind w:left="340" w:hanging="127"/>
        <w:spacing w:after="0"/>
        <w:tabs>
          <w:tab w:leader="none" w:pos="340" w:val="left"/>
        </w:tabs>
        <w:numPr>
          <w:ilvl w:val="0"/>
          <w:numId w:val="450"/>
        </w:numPr>
        <w:rPr>
          <w:rFonts w:ascii="Arial" w:cs="Arial" w:eastAsia="Arial" w:hAnsi="Arial"/>
          <w:sz w:val="12"/>
          <w:szCs w:val="12"/>
          <w:color w:val="auto"/>
        </w:rPr>
      </w:pPr>
      <w:r>
        <w:rPr>
          <w:rFonts w:ascii="Arial" w:cs="Arial" w:eastAsia="Arial" w:hAnsi="Arial"/>
          <w:sz w:val="12"/>
          <w:szCs w:val="12"/>
          <w:color w:val="auto"/>
        </w:rPr>
        <w:t>The information contained in the Report fairly presents, in all material respects, the financial condition and results of operations of the Company.</w:t>
      </w:r>
    </w:p>
    <w:p>
      <w:pPr>
        <w:spacing w:after="0" w:line="96"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/s/ Devasis Ghose</w:t>
      </w:r>
    </w:p>
    <w:p>
      <w:pPr>
        <w:spacing w:after="0" w:line="42" w:lineRule="exact"/>
        <w:rPr>
          <w:sz w:val="20"/>
          <w:szCs w:val="20"/>
          <w:color w:val="auto"/>
        </w:rPr>
      </w:pPr>
    </w:p>
    <w:p>
      <w:pPr>
        <w:spacing w:after="0"/>
        <w:rPr>
          <w:sz w:val="20"/>
          <w:szCs w:val="20"/>
          <w:color w:val="auto"/>
        </w:rPr>
      </w:pPr>
      <w:r>
        <w:rPr>
          <w:rFonts w:ascii="Arial" w:cs="Arial" w:eastAsia="Arial" w:hAnsi="Arial"/>
          <w:sz w:val="12"/>
          <w:szCs w:val="12"/>
          <w:color w:val="auto"/>
        </w:rPr>
        <w:t>Devasis Ghose</w:t>
      </w:r>
    </w:p>
    <w:p>
      <w:pPr>
        <w:spacing w:after="0" w:line="42" w:lineRule="exact"/>
        <w:rPr>
          <w:sz w:val="20"/>
          <w:szCs w:val="20"/>
          <w:color w:val="auto"/>
        </w:rPr>
      </w:pPr>
    </w:p>
    <w:p>
      <w:pPr>
        <w:spacing w:after="0"/>
        <w:rPr>
          <w:sz w:val="20"/>
          <w:szCs w:val="20"/>
          <w:color w:val="auto"/>
        </w:rPr>
      </w:pPr>
      <w:r>
        <w:rPr>
          <w:rFonts w:ascii="Arial" w:cs="Arial" w:eastAsia="Arial" w:hAnsi="Arial"/>
          <w:sz w:val="12"/>
          <w:szCs w:val="12"/>
          <w:color w:val="auto"/>
        </w:rPr>
        <w:t>Chief Financial Officer</w:t>
      </w:r>
    </w:p>
    <w:p>
      <w:pPr>
        <w:spacing w:after="0" w:line="33"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(Principal Financial Officer)</w:t>
      </w:r>
    </w:p>
    <w:p>
      <w:pPr>
        <w:spacing w:after="0" w:line="58" w:lineRule="exact"/>
        <w:rPr>
          <w:sz w:val="20"/>
          <w:szCs w:val="20"/>
          <w:color w:val="auto"/>
        </w:rPr>
      </w:pPr>
    </w:p>
    <w:p>
      <w:pPr>
        <w:spacing w:after="0"/>
        <w:rPr>
          <w:sz w:val="20"/>
          <w:szCs w:val="20"/>
          <w:color w:val="auto"/>
        </w:rPr>
      </w:pPr>
      <w:r>
        <w:rPr>
          <w:rFonts w:ascii="Arial" w:cs="Arial" w:eastAsia="Arial" w:hAnsi="Arial"/>
          <w:sz w:val="13"/>
          <w:szCs w:val="13"/>
          <w:color w:val="auto"/>
        </w:rPr>
        <w:t>April 29,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81915</wp:posOffset>
            </wp:positionV>
            <wp:extent cx="6231255"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6231255" cy="42545"/>
                    </a:xfrm>
                    <a:prstGeom prst="rect">
                      <a:avLst/>
                    </a:prstGeom>
                    <a:noFill/>
                  </pic:spPr>
                </pic:pic>
              </a:graphicData>
            </a:graphic>
          </wp:anchor>
        </w:drawing>
      </w:r>
    </w:p>
    <w:sectPr>
      <w:pgSz w:w="11900" w:h="16838" w:orient="portrait"/>
      <w:cols w:equalWidth="0" w:num="1">
        <w:col w:w="9760"/>
      </w:cols>
      <w:pgMar w:left="1080" w:top="120" w:right="10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71745E4"/>
    <w:multiLevelType w:val="hybridMultilevel"/>
    <w:lvl w:ilvl="0">
      <w:lvlJc w:val="left"/>
      <w:lvlText w:val="þ"/>
      <w:numFmt w:val="bullet"/>
      <w:start w:val="1"/>
    </w:lvl>
  </w:abstractNum>
  <w:abstractNum w:abstractNumId="1">
    <w:nsid w:val="1DDBC66"/>
    <w:multiLevelType w:val="hybridMultilevel"/>
    <w:lvl w:ilvl="0">
      <w:lvlJc w:val="left"/>
      <w:lvlText w:val="¨"/>
      <w:numFmt w:val="bullet"/>
      <w:start w:val="1"/>
    </w:lvl>
  </w:abstractNum>
  <w:abstractNum w:abstractNumId="2">
    <w:nsid w:val="30AADFDA"/>
    <w:multiLevelType w:val="hybridMultilevel"/>
    <w:lvl w:ilvl="0">
      <w:lvlJc w:val="left"/>
      <w:lvlText w:val="·"/>
      <w:numFmt w:val="bullet"/>
      <w:start w:val="1"/>
    </w:lvl>
  </w:abstractNum>
  <w:abstractNum w:abstractNumId="3">
    <w:nsid w:val="30EADA61"/>
    <w:multiLevelType w:val="hybridMultilevel"/>
    <w:lvl w:ilvl="0">
      <w:lvlJc w:val="left"/>
      <w:lvlText w:val="·"/>
      <w:numFmt w:val="bullet"/>
      <w:start w:val="1"/>
    </w:lvl>
  </w:abstractNum>
  <w:abstractNum w:abstractNumId="4">
    <w:nsid w:val="27179C0B"/>
    <w:multiLevelType w:val="hybridMultilevel"/>
    <w:lvl w:ilvl="0">
      <w:lvlJc w:val="left"/>
      <w:lvlText w:val="·"/>
      <w:numFmt w:val="bullet"/>
      <w:start w:val="1"/>
    </w:lvl>
  </w:abstractNum>
  <w:abstractNum w:abstractNumId="5">
    <w:nsid w:val="5E636063"/>
    <w:multiLevelType w:val="hybridMultilevel"/>
    <w:lvl w:ilvl="0">
      <w:lvlJc w:val="left"/>
      <w:lvlText w:val="·"/>
      <w:numFmt w:val="bullet"/>
      <w:start w:val="1"/>
    </w:lvl>
  </w:abstractNum>
  <w:abstractNum w:abstractNumId="6">
    <w:nsid w:val="215641AF"/>
    <w:multiLevelType w:val="hybridMultilevel"/>
    <w:lvl w:ilvl="0">
      <w:lvlJc w:val="left"/>
      <w:lvlText w:val="·"/>
      <w:numFmt w:val="bullet"/>
      <w:start w:val="1"/>
    </w:lvl>
  </w:abstractNum>
  <w:abstractNum w:abstractNumId="7">
    <w:nsid w:val="53280662"/>
    <w:multiLevelType w:val="hybridMultilevel"/>
    <w:lvl w:ilvl="0">
      <w:lvlJc w:val="left"/>
      <w:lvlText w:val="(%1)"/>
      <w:numFmt w:val="decimal"/>
      <w:start w:val="1"/>
    </w:lvl>
  </w:abstractNum>
  <w:abstractNum w:abstractNumId="8">
    <w:nsid w:val="46B24DBC"/>
    <w:multiLevelType w:val="hybridMultilevel"/>
    <w:lvl w:ilvl="0">
      <w:lvlJc w:val="left"/>
      <w:lvlText w:val="·"/>
      <w:numFmt w:val="bullet"/>
      <w:start w:val="1"/>
    </w:lvl>
  </w:abstractNum>
  <w:abstractNum w:abstractNumId="9">
    <w:nsid w:val="75B52783"/>
    <w:multiLevelType w:val="hybridMultilevel"/>
    <w:lvl w:ilvl="0">
      <w:lvlJc w:val="left"/>
      <w:lvlText w:val="(%1)"/>
      <w:numFmt w:val="lowerRoman"/>
      <w:start w:val="7"/>
    </w:lvl>
  </w:abstractNum>
  <w:abstractNum w:abstractNumId="10">
    <w:nsid w:val="57CE66B4"/>
    <w:multiLevelType w:val="hybridMultilevel"/>
    <w:lvl w:ilvl="0">
      <w:lvlJc w:val="left"/>
      <w:lvlText w:val="·"/>
      <w:numFmt w:val="bullet"/>
      <w:start w:val="1"/>
    </w:lvl>
  </w:abstractNum>
  <w:abstractNum w:abstractNumId="11">
    <w:nsid w:val="67A70B69"/>
    <w:multiLevelType w:val="hybridMultilevel"/>
    <w:lvl w:ilvl="0">
      <w:lvlJc w:val="left"/>
      <w:lvlText w:val="·"/>
      <w:numFmt w:val="bullet"/>
      <w:start w:val="1"/>
    </w:lvl>
  </w:abstractNum>
  <w:abstractNum w:abstractNumId="12">
    <w:nsid w:val="5953172F"/>
    <w:multiLevelType w:val="hybridMultilevel"/>
    <w:lvl w:ilvl="0">
      <w:lvlJc w:val="left"/>
      <w:lvlText w:val="·"/>
      <w:numFmt w:val="bullet"/>
      <w:start w:val="1"/>
    </w:lvl>
  </w:abstractNum>
  <w:abstractNum w:abstractNumId="13">
    <w:nsid w:val="27EDFE3A"/>
    <w:multiLevelType w:val="hybridMultilevel"/>
    <w:lvl w:ilvl="0">
      <w:lvlJc w:val="left"/>
      <w:lvlText w:val="(%1)"/>
      <w:numFmt w:val="decimal"/>
      <w:start w:val="1"/>
    </w:lvl>
  </w:abstractNum>
  <w:abstractNum w:abstractNumId="14">
    <w:nsid w:val="52AC7DFF"/>
    <w:multiLevelType w:val="hybridMultilevel"/>
    <w:lvl w:ilvl="0">
      <w:lvlJc w:val="left"/>
      <w:lvlText w:val="(%1)"/>
      <w:numFmt w:val="decimal"/>
      <w:start w:val="1"/>
    </w:lvl>
  </w:abstractNum>
  <w:abstractNum w:abstractNumId="15">
    <w:nsid w:val="C4C3AF"/>
    <w:multiLevelType w:val="hybridMultilevel"/>
    <w:lvl w:ilvl="0">
      <w:lvlJc w:val="left"/>
      <w:lvlText w:val="(%1)"/>
      <w:numFmt w:val="decimal"/>
      <w:start w:val="1"/>
    </w:lvl>
  </w:abstractNum>
  <w:abstractNum w:abstractNumId="16">
    <w:nsid w:val="44380727"/>
    <w:multiLevelType w:val="hybridMultilevel"/>
    <w:lvl w:ilvl="0">
      <w:lvlJc w:val="left"/>
      <w:lvlText w:val="·"/>
      <w:numFmt w:val="bullet"/>
      <w:start w:val="1"/>
    </w:lvl>
  </w:abstractNum>
  <w:abstractNum w:abstractNumId="17">
    <w:nsid w:val="6C053B16"/>
    <w:multiLevelType w:val="hybridMultilevel"/>
    <w:lvl w:ilvl="0">
      <w:lvlJc w:val="left"/>
      <w:lvlText w:val="·"/>
      <w:numFmt w:val="bullet"/>
      <w:start w:val="1"/>
    </w:lvl>
  </w:abstractNum>
  <w:abstractNum w:abstractNumId="18">
    <w:nsid w:val="4F294393"/>
    <w:multiLevelType w:val="hybridMultilevel"/>
    <w:lvl w:ilvl="0">
      <w:lvlJc w:val="left"/>
      <w:lvlText w:val="·"/>
      <w:numFmt w:val="bullet"/>
      <w:start w:val="1"/>
    </w:lvl>
    <w:lvl w:ilvl="1">
      <w:lvlJc w:val="left"/>
      <w:lvlText w:val="o"/>
      <w:numFmt w:val="bullet"/>
      <w:start w:val="1"/>
    </w:lvl>
  </w:abstractNum>
  <w:abstractNum w:abstractNumId="19">
    <w:nsid w:val="5243BFAC"/>
    <w:multiLevelType w:val="hybridMultilevel"/>
    <w:lvl w:ilvl="0">
      <w:lvlJc w:val="left"/>
      <w:lvlText w:val="o"/>
      <w:numFmt w:val="bullet"/>
      <w:start w:val="1"/>
    </w:lvl>
  </w:abstractNum>
  <w:abstractNum w:abstractNumId="20">
    <w:nsid w:val="425EB207"/>
    <w:multiLevelType w:val="hybridMultilevel"/>
    <w:lvl w:ilvl="0">
      <w:lvlJc w:val="left"/>
      <w:lvlText w:val="·"/>
      <w:numFmt w:val="bullet"/>
      <w:start w:val="1"/>
    </w:lvl>
  </w:abstractNum>
  <w:abstractNum w:abstractNumId="21">
    <w:nsid w:val="334A6F1F"/>
    <w:multiLevelType w:val="hybridMultilevel"/>
    <w:lvl w:ilvl="0">
      <w:lvlJc w:val="left"/>
      <w:lvlText w:val="·"/>
      <w:numFmt w:val="bullet"/>
      <w:start w:val="1"/>
    </w:lvl>
  </w:abstractNum>
  <w:abstractNum w:abstractNumId="22">
    <w:nsid w:val="2E5B12B8"/>
    <w:multiLevelType w:val="hybridMultilevel"/>
    <w:lvl w:ilvl="0">
      <w:lvlJc w:val="left"/>
      <w:lvlText w:val="·"/>
      <w:numFmt w:val="bullet"/>
      <w:start w:val="1"/>
    </w:lvl>
  </w:abstractNum>
  <w:abstractNum w:abstractNumId="23">
    <w:nsid w:val="5C03D76D"/>
    <w:multiLevelType w:val="hybridMultilevel"/>
    <w:lvl w:ilvl="0">
      <w:lvlJc w:val="left"/>
      <w:lvlText w:val="·"/>
      <w:numFmt w:val="bullet"/>
      <w:start w:val="1"/>
    </w:lvl>
  </w:abstractNum>
  <w:abstractNum w:abstractNumId="24">
    <w:nsid w:val="66A48D11"/>
    <w:multiLevelType w:val="hybridMultilevel"/>
    <w:lvl w:ilvl="0">
      <w:lvlJc w:val="left"/>
      <w:lvlText w:val="(%1)"/>
      <w:numFmt w:val="decimal"/>
      <w:start w:val="1"/>
    </w:lvl>
  </w:abstractNum>
  <w:abstractNum w:abstractNumId="25">
    <w:nsid w:val="56C28E34"/>
    <w:multiLevelType w:val="hybridMultilevel"/>
    <w:lvl w:ilvl="0">
      <w:lvlJc w:val="left"/>
      <w:lvlText w:val="·"/>
      <w:numFmt w:val="bullet"/>
      <w:start w:val="1"/>
    </w:lvl>
  </w:abstractNum>
  <w:abstractNum w:abstractNumId="26">
    <w:nsid w:val="13916F2D"/>
    <w:multiLevelType w:val="hybridMultilevel"/>
    <w:lvl w:ilvl="0">
      <w:lvlJc w:val="left"/>
      <w:lvlText w:val="(%1)"/>
      <w:numFmt w:val="decimal"/>
      <w:start w:val="1"/>
    </w:lvl>
  </w:abstractNum>
  <w:abstractNum w:abstractNumId="27">
    <w:nsid w:val="435D38D"/>
    <w:multiLevelType w:val="hybridMultilevel"/>
    <w:lvl w:ilvl="0">
      <w:lvlJc w:val="left"/>
      <w:lvlText w:val="(%1)"/>
      <w:numFmt w:val="decimal"/>
      <w:start w:val="1"/>
    </w:lvl>
  </w:abstractNum>
  <w:abstractNum w:abstractNumId="28">
    <w:nsid w:val="822C0EF"/>
    <w:multiLevelType w:val="hybridMultilevel"/>
    <w:lvl w:ilvl="0">
      <w:lvlJc w:val="left"/>
      <w:lvlText w:val="(%1)"/>
      <w:numFmt w:val="decimal"/>
      <w:start w:val="1"/>
    </w:lvl>
  </w:abstractNum>
  <w:abstractNum w:abstractNumId="29">
    <w:nsid w:val="57C5BB4F"/>
    <w:multiLevelType w:val="hybridMultilevel"/>
    <w:lvl w:ilvl="0">
      <w:lvlJc w:val="left"/>
      <w:lvlText w:val="(%1)"/>
      <w:numFmt w:val="decimal"/>
      <w:start w:val="1"/>
    </w:lvl>
  </w:abstractNum>
  <w:abstractNum w:abstractNumId="30">
    <w:nsid w:val="1803D089"/>
    <w:multiLevelType w:val="hybridMultilevel"/>
    <w:lvl w:ilvl="0">
      <w:lvlJc w:val="left"/>
      <w:lvlText w:val="·"/>
      <w:numFmt w:val="bullet"/>
      <w:start w:val="1"/>
    </w:lvl>
  </w:abstractNum>
  <w:abstractNum w:abstractNumId="31">
    <w:nsid w:val="4F3A06D4"/>
    <w:multiLevelType w:val="hybridMultilevel"/>
    <w:lvl w:ilvl="0">
      <w:lvlJc w:val="left"/>
      <w:lvlText w:val="(%1)"/>
      <w:numFmt w:val="decimal"/>
      <w:start w:val="1"/>
    </w:lvl>
  </w:abstractNum>
  <w:abstractNum w:abstractNumId="32">
    <w:nsid w:val="59A377B6"/>
    <w:multiLevelType w:val="hybridMultilevel"/>
    <w:lvl w:ilvl="0">
      <w:lvlJc w:val="left"/>
      <w:lvlText w:val="(%1)"/>
      <w:numFmt w:val="decimal"/>
      <w:start w:val="1"/>
    </w:lvl>
  </w:abstractNum>
  <w:abstractNum w:abstractNumId="33">
    <w:nsid w:val="48AEB063"/>
    <w:multiLevelType w:val="hybridMultilevel"/>
    <w:lvl w:ilvl="0">
      <w:lvlJc w:val="left"/>
      <w:lvlText w:val="·"/>
      <w:numFmt w:val="bullet"/>
      <w:start w:val="1"/>
    </w:lvl>
  </w:abstractNum>
  <w:abstractNum w:abstractNumId="34">
    <w:nsid w:val="24E135"/>
    <w:multiLevelType w:val="hybridMultilevel"/>
    <w:lvl w:ilvl="0">
      <w:lvlJc w:val="left"/>
      <w:lvlText w:val="%1"/>
      <w:numFmt w:val="decimal"/>
      <w:start w:val="1"/>
    </w:lvl>
    <w:lvl w:ilvl="1">
      <w:lvlJc w:val="left"/>
      <w:lvlText w:val="(%2)"/>
      <w:numFmt w:val="decimal"/>
      <w:start w:val="1"/>
    </w:lvl>
  </w:abstractNum>
  <w:abstractNum w:abstractNumId="35">
    <w:nsid w:val="BB13C1"/>
    <w:multiLevelType w:val="hybridMultilevel"/>
    <w:lvl w:ilvl="0">
      <w:lvlJc w:val="left"/>
      <w:lvlText w:val="(%1)"/>
      <w:numFmt w:val="decimal"/>
      <w:start w:val="2"/>
    </w:lvl>
    <w:lvl w:ilvl="1">
      <w:lvlJc w:val="left"/>
      <w:lvlText w:val="%2"/>
      <w:numFmt w:val="decimal"/>
      <w:start w:val="1"/>
    </w:lvl>
  </w:abstractNum>
  <w:abstractNum w:abstractNumId="36">
    <w:nsid w:val="271210C7"/>
    <w:multiLevelType w:val="hybridMultilevel"/>
    <w:lvl w:ilvl="0">
      <w:lvlJc w:val="left"/>
      <w:lvlText w:val="%1"/>
      <w:numFmt w:val="decimal"/>
      <w:start w:val="1"/>
    </w:lvl>
    <w:lvl w:ilvl="1">
      <w:lvlJc w:val="left"/>
      <w:lvlText w:val="(%2)"/>
      <w:numFmt w:val="decimal"/>
      <w:start w:val="1"/>
    </w:lvl>
  </w:abstractNum>
  <w:abstractNum w:abstractNumId="37">
    <w:nsid w:val="217B22E4"/>
    <w:multiLevelType w:val="hybridMultilevel"/>
    <w:lvl w:ilvl="0">
      <w:lvlJc w:val="left"/>
      <w:lvlText w:val="(%1)"/>
      <w:numFmt w:val="decimal"/>
      <w:start w:val="2"/>
    </w:lvl>
    <w:lvl w:ilvl="1">
      <w:lvlJc w:val="left"/>
      <w:lvlText w:val="%2"/>
      <w:numFmt w:val="decimal"/>
      <w:start w:val="1"/>
    </w:lvl>
  </w:abstractNum>
  <w:abstractNum w:abstractNumId="38">
    <w:nsid w:val="53E31A24"/>
    <w:multiLevelType w:val="hybridMultilevel"/>
    <w:lvl w:ilvl="0">
      <w:lvlJc w:val="left"/>
      <w:lvlText w:val="(%1)"/>
      <w:numFmt w:val="decimal"/>
      <w:start w:val="1"/>
    </w:lvl>
  </w:abstractNum>
  <w:abstractNum w:abstractNumId="39">
    <w:nsid w:val="6DC45E83"/>
    <w:multiLevelType w:val="hybridMultilevel"/>
    <w:lvl w:ilvl="0">
      <w:lvlJc w:val="left"/>
      <w:lvlText w:val="·"/>
      <w:numFmt w:val="bullet"/>
      <w:start w:val="1"/>
    </w:lvl>
  </w:abstractNum>
  <w:abstractNum w:abstractNumId="40">
    <w:nsid w:val="17304A67"/>
    <w:multiLevelType w:val="hybridMultilevel"/>
    <w:lvl w:ilvl="0">
      <w:lvlJc w:val="left"/>
      <w:lvlText w:val="(%1)"/>
      <w:numFmt w:val="decimal"/>
      <w:start w:val="1"/>
    </w:lvl>
  </w:abstractNum>
  <w:abstractNum w:abstractNumId="41">
    <w:nsid w:val="2BB180D8"/>
    <w:multiLevelType w:val="hybridMultilevel"/>
    <w:lvl w:ilvl="0">
      <w:lvlJc w:val="left"/>
      <w:lvlText w:val="(%1)"/>
      <w:numFmt w:val="decimal"/>
      <w:start w:val="1"/>
    </w:lvl>
  </w:abstractNum>
  <w:abstractNum w:abstractNumId="42">
    <w:nsid w:val="556B69ED"/>
    <w:multiLevelType w:val="hybridMultilevel"/>
    <w:lvl w:ilvl="0">
      <w:lvlJc w:val="left"/>
      <w:lvlText w:val="(%1)"/>
      <w:numFmt w:val="decimal"/>
      <w:start w:val="6"/>
    </w:lvl>
  </w:abstractNum>
  <w:abstractNum w:abstractNumId="43">
    <w:nsid w:val="70836196"/>
    <w:multiLevelType w:val="hybridMultilevel"/>
    <w:lvl w:ilvl="0">
      <w:lvlJc w:val="left"/>
      <w:lvlText w:val="%1."/>
      <w:numFmt w:val="decimal"/>
      <w:start w:val="1"/>
    </w:lvl>
    <w:lvl w:ilvl="1">
      <w:lvlJc w:val="left"/>
      <w:lvlText w:val="·"/>
      <w:numFmt w:val="bullet"/>
      <w:start w:val="1"/>
    </w:lvl>
  </w:abstractNum>
  <w:abstractNum w:abstractNumId="44">
    <w:nsid w:val="539F7F12"/>
    <w:multiLevelType w:val="hybridMultilevel"/>
    <w:lvl w:ilvl="0">
      <w:lvlJc w:val="left"/>
      <w:lvlText w:val="%1."/>
      <w:numFmt w:val="decimal"/>
      <w:start w:val="2"/>
    </w:lvl>
    <w:lvl w:ilvl="1">
      <w:lvlJc w:val="left"/>
      <w:lvlText w:val="·"/>
      <w:numFmt w:val="bullet"/>
      <w:start w:val="1"/>
    </w:lvl>
  </w:abstractNum>
  <w:abstractNum w:abstractNumId="45">
    <w:nsid w:val="2817E7EC"/>
    <w:multiLevelType w:val="hybridMultilevel"/>
    <w:lvl w:ilvl="0">
      <w:lvlJc w:val="left"/>
      <w:lvlText w:val="(%1)"/>
      <w:numFmt w:val="decimal"/>
      <w:start w:val="1"/>
    </w:lvl>
  </w:abstractNum>
  <w:abstractNum w:abstractNumId="46">
    <w:nsid w:val="71482545"/>
    <w:multiLevelType w:val="hybridMultilevel"/>
    <w:lvl w:ilvl="0">
      <w:lvlJc w:val="left"/>
      <w:lvlText w:val="(%1)"/>
      <w:numFmt w:val="decimal"/>
      <w:start w:val="1"/>
    </w:lvl>
  </w:abstractNum>
  <w:abstractNum w:abstractNumId="47">
    <w:nsid w:val="17D78639"/>
    <w:multiLevelType w:val="hybridMultilevel"/>
    <w:lvl w:ilvl="0">
      <w:lvlJc w:val="left"/>
      <w:lvlText w:val="(%1)"/>
      <w:numFmt w:val="decimal"/>
      <w:start w:val="1"/>
    </w:lvl>
  </w:abstractNum>
  <w:abstractNum w:abstractNumId="48">
    <w:nsid w:val="141D2302"/>
    <w:multiLevelType w:val="hybridMultilevel"/>
    <w:lvl w:ilvl="0">
      <w:lvlJc w:val="left"/>
      <w:lvlText w:val="·"/>
      <w:numFmt w:val="bullet"/>
      <w:start w:val="1"/>
    </w:lvl>
  </w:abstractNum>
  <w:abstractNum w:abstractNumId="49">
    <w:nsid w:val="407168D8"/>
    <w:multiLevelType w:val="hybridMultilevel"/>
    <w:lvl w:ilvl="0">
      <w:lvlJc w:val="left"/>
      <w:lvlText w:val="·"/>
      <w:numFmt w:val="bullet"/>
      <w:start w:val="1"/>
    </w:lvl>
  </w:abstractNum>
  <w:abstractNum w:abstractNumId="50">
    <w:nsid w:val="6A1B45E5"/>
    <w:multiLevelType w:val="hybridMultilevel"/>
    <w:lvl w:ilvl="0">
      <w:lvlJc w:val="left"/>
      <w:lvlText w:val="·"/>
      <w:numFmt w:val="bullet"/>
      <w:start w:val="1"/>
    </w:lvl>
  </w:abstractNum>
  <w:abstractNum w:abstractNumId="51">
    <w:nsid w:val="567BD50A"/>
    <w:multiLevelType w:val="hybridMultilevel"/>
    <w:lvl w:ilvl="0">
      <w:lvlJc w:val="left"/>
      <w:lvlText w:val="(%1)"/>
      <w:numFmt w:val="decimal"/>
      <w:start w:val="1"/>
    </w:lvl>
  </w:abstractNum>
  <w:abstractNum w:abstractNumId="52">
    <w:nsid w:val="73BBD7F8"/>
    <w:multiLevelType w:val="hybridMultilevel"/>
    <w:lvl w:ilvl="0">
      <w:lvlJc w:val="left"/>
      <w:lvlText w:val="(%1)"/>
      <w:numFmt w:val="decimal"/>
      <w:start w:val="1"/>
    </w:lvl>
  </w:abstractNum>
  <w:abstractNum w:abstractNumId="53">
    <w:nsid w:val="1876589D"/>
    <w:multiLevelType w:val="hybridMultilevel"/>
    <w:lvl w:ilvl="0">
      <w:lvlJc w:val="left"/>
      <w:lvlText w:val="(%1)"/>
      <w:numFmt w:val="decimal"/>
      <w:start w:val="1"/>
    </w:lvl>
  </w:abstractNum>
  <w:abstractNum w:abstractNumId="54">
    <w:nsid w:val="327FAC77"/>
    <w:multiLevelType w:val="hybridMultilevel"/>
    <w:lvl w:ilvl="0">
      <w:lvlJc w:val="left"/>
      <w:lvlText w:val="·"/>
      <w:numFmt w:val="bullet"/>
      <w:start w:val="1"/>
    </w:lvl>
  </w:abstractNum>
  <w:abstractNum w:abstractNumId="55">
    <w:nsid w:val="5A606509"/>
    <w:multiLevelType w:val="hybridMultilevel"/>
    <w:lvl w:ilvl="0">
      <w:lvlJc w:val="left"/>
      <w:lvlText w:val="(%1)"/>
      <w:numFmt w:val="decimal"/>
      <w:start w:val="3"/>
    </w:lvl>
  </w:abstractNum>
  <w:abstractNum w:abstractNumId="56">
    <w:nsid w:val="6F38E6D1"/>
    <w:multiLevelType w:val="hybridMultilevel"/>
    <w:lvl w:ilvl="0">
      <w:lvlJc w:val="left"/>
      <w:lvlText w:val="(%1)"/>
      <w:numFmt w:val="decimal"/>
      <w:start w:val="3"/>
    </w:lvl>
  </w:abstractNum>
  <w:abstractNum w:abstractNumId="57">
    <w:nsid w:val="46111BA5"/>
    <w:multiLevelType w:val="hybridMultilevel"/>
    <w:lvl w:ilvl="0">
      <w:lvlJc w:val="left"/>
      <w:lvlText w:val="(%1)"/>
      <w:numFmt w:val="decimal"/>
      <w:start w:val="3"/>
    </w:lvl>
  </w:abstractNum>
  <w:abstractNum w:abstractNumId="58">
    <w:nsid w:val="5E963896"/>
    <w:multiLevelType w:val="hybridMultilevel"/>
    <w:lvl w:ilvl="0">
      <w:lvlJc w:val="left"/>
      <w:lvlText w:val="(%1)"/>
      <w:numFmt w:val="decimal"/>
      <w:start w:val="3"/>
    </w:lvl>
  </w:abstractNum>
  <w:abstractNum w:abstractNumId="59">
    <w:nsid w:val="775BA7C1"/>
    <w:multiLevelType w:val="hybridMultilevel"/>
    <w:lvl w:ilvl="0">
      <w:lvlJc w:val="left"/>
      <w:lvlText w:val="(%1)"/>
      <w:numFmt w:val="decimal"/>
      <w:start w:val="3"/>
    </w:lvl>
  </w:abstractNum>
  <w:abstractNum w:abstractNumId="60">
    <w:nsid w:val="1DD6D6F4"/>
    <w:multiLevelType w:val="hybridMultilevel"/>
    <w:lvl w:ilvl="0">
      <w:lvlJc w:val="left"/>
      <w:lvlText w:val="(%1)"/>
      <w:numFmt w:val="decimal"/>
      <w:start w:val="3"/>
    </w:lvl>
  </w:abstractNum>
  <w:abstractNum w:abstractNumId="61">
    <w:nsid w:val="769A091F"/>
    <w:multiLevelType w:val="hybridMultilevel"/>
    <w:lvl w:ilvl="0">
      <w:lvlJc w:val="left"/>
      <w:lvlText w:val="(%1)"/>
      <w:numFmt w:val="decimal"/>
      <w:start w:val="3"/>
    </w:lvl>
  </w:abstractNum>
  <w:abstractNum w:abstractNumId="62">
    <w:nsid w:val="4695AE95"/>
    <w:multiLevelType w:val="hybridMultilevel"/>
    <w:lvl w:ilvl="0">
      <w:lvlJc w:val="left"/>
      <w:lvlText w:val="(%1)"/>
      <w:numFmt w:val="decimal"/>
      <w:start w:val="3"/>
    </w:lvl>
  </w:abstractNum>
  <w:abstractNum w:abstractNumId="63">
    <w:nsid w:val="777A4EAA"/>
    <w:multiLevelType w:val="hybridMultilevel"/>
    <w:lvl w:ilvl="0">
      <w:lvlJc w:val="left"/>
      <w:lvlText w:val="(%1)"/>
      <w:numFmt w:val="decimal"/>
      <w:start w:val="3"/>
    </w:lvl>
  </w:abstractNum>
  <w:abstractNum w:abstractNumId="64">
    <w:nsid w:val="3F48B982"/>
    <w:multiLevelType w:val="hybridMultilevel"/>
    <w:lvl w:ilvl="0">
      <w:lvlJc w:val="left"/>
      <w:lvlText w:val="(%1)"/>
      <w:numFmt w:val="decimal"/>
      <w:start w:val="1"/>
    </w:lvl>
  </w:abstractNum>
  <w:abstractNum w:abstractNumId="65">
    <w:nsid w:val="46BA8FCA"/>
    <w:multiLevelType w:val="hybridMultilevel"/>
    <w:lvl w:ilvl="0">
      <w:lvlJc w:val="left"/>
      <w:lvlText w:val="(%1)"/>
      <w:numFmt w:val="decimal"/>
      <w:start w:val="4"/>
    </w:lvl>
  </w:abstractNum>
  <w:abstractNum w:abstractNumId="66">
    <w:nsid w:val="7835626C"/>
    <w:multiLevelType w:val="hybridMultilevel"/>
    <w:lvl w:ilvl="0">
      <w:lvlJc w:val="left"/>
      <w:lvlText w:val="(%1)"/>
      <w:numFmt w:val="decimal"/>
      <w:start w:val="1"/>
    </w:lvl>
  </w:abstractNum>
  <w:abstractNum w:abstractNumId="67">
    <w:nsid w:val="665ACA49"/>
    <w:multiLevelType w:val="hybridMultilevel"/>
    <w:lvl w:ilvl="0">
      <w:lvlJc w:val="left"/>
      <w:lvlText w:val="(%1)"/>
      <w:numFmt w:val="decimal"/>
      <w:start w:val="1"/>
    </w:lvl>
  </w:abstractNum>
  <w:abstractNum w:abstractNumId="68">
    <w:nsid w:val="6835B2AE"/>
    <w:multiLevelType w:val="hybridMultilevel"/>
    <w:lvl w:ilvl="0">
      <w:lvlJc w:val="left"/>
      <w:lvlText w:val="(%1)"/>
      <w:numFmt w:val="decimal"/>
      <w:start w:val="1"/>
    </w:lvl>
  </w:abstractNum>
  <w:abstractNum w:abstractNumId="69">
    <w:nsid w:val="4C187C90"/>
    <w:multiLevelType w:val="hybridMultilevel"/>
    <w:lvl w:ilvl="0">
      <w:lvlJc w:val="left"/>
      <w:lvlText w:val="(%1)"/>
      <w:numFmt w:val="decimal"/>
      <w:start w:val="1"/>
    </w:lvl>
  </w:abstractNum>
  <w:abstractNum w:abstractNumId="70">
    <w:nsid w:val="541F28CD"/>
    <w:multiLevelType w:val="hybridMultilevel"/>
    <w:lvl w:ilvl="0">
      <w:lvlJc w:val="left"/>
      <w:lvlText w:val="(%1)"/>
      <w:numFmt w:val="decimal"/>
      <w:start w:val="1"/>
    </w:lvl>
  </w:abstractNum>
  <w:abstractNum w:abstractNumId="71">
    <w:nsid w:val="7F65FD16"/>
    <w:multiLevelType w:val="hybridMultilevel"/>
    <w:lvl w:ilvl="0">
      <w:lvlJc w:val="left"/>
      <w:lvlText w:val="(%1)"/>
      <w:numFmt w:val="decimal"/>
      <w:start w:val="1"/>
    </w:lvl>
  </w:abstractNum>
  <w:abstractNum w:abstractNumId="72">
    <w:nsid w:val="77C9FD68"/>
    <w:multiLevelType w:val="hybridMultilevel"/>
    <w:lvl w:ilvl="0">
      <w:lvlJc w:val="left"/>
      <w:lvlText w:val="·"/>
      <w:numFmt w:val="bullet"/>
      <w:start w:val="1"/>
    </w:lvl>
  </w:abstractNum>
  <w:abstractNum w:abstractNumId="73">
    <w:nsid w:val="298A92BA"/>
    <w:multiLevelType w:val="hybridMultilevel"/>
    <w:lvl w:ilvl="0">
      <w:lvlJc w:val="left"/>
      <w:lvlText w:val="(%1)"/>
      <w:numFmt w:val="decimal"/>
      <w:start w:val="1"/>
    </w:lvl>
  </w:abstractNum>
  <w:abstractNum w:abstractNumId="74">
    <w:nsid w:val="6FE95EAC"/>
    <w:multiLevelType w:val="hybridMultilevel"/>
    <w:lvl w:ilvl="0">
      <w:lvlJc w:val="left"/>
      <w:lvlText w:val="(%1)"/>
      <w:numFmt w:val="decimal"/>
      <w:start w:val="13"/>
    </w:lvl>
  </w:abstractNum>
  <w:abstractNum w:abstractNumId="75">
    <w:nsid w:val="4B697C7A"/>
    <w:multiLevelType w:val="hybridMultilevel"/>
    <w:lvl w:ilvl="0">
      <w:lvlJc w:val="left"/>
      <w:lvlText w:val="(%1)"/>
      <w:numFmt w:val="decimal"/>
      <w:start w:val="14"/>
    </w:lvl>
  </w:abstractNum>
  <w:abstractNum w:abstractNumId="76">
    <w:nsid w:val="51A27AA6"/>
    <w:multiLevelType w:val="hybridMultilevel"/>
    <w:lvl w:ilvl="0">
      <w:lvlJc w:val="left"/>
      <w:lvlText w:val="·"/>
      <w:numFmt w:val="bullet"/>
      <w:start w:val="1"/>
    </w:lvl>
  </w:abstractNum>
  <w:abstractNum w:abstractNumId="77">
    <w:nsid w:val="613183F2"/>
    <w:multiLevelType w:val="hybridMultilevel"/>
    <w:lvl w:ilvl="0">
      <w:lvlJc w:val="left"/>
      <w:lvlText w:val="·"/>
      <w:numFmt w:val="bullet"/>
      <w:start w:val="1"/>
    </w:lvl>
  </w:abstractNum>
  <w:abstractNum w:abstractNumId="78">
    <w:nsid w:val="634102B4"/>
    <w:multiLevelType w:val="hybridMultilevel"/>
    <w:lvl w:ilvl="0">
      <w:lvlJc w:val="left"/>
      <w:lvlText w:val="·"/>
      <w:numFmt w:val="bullet"/>
      <w:start w:val="1"/>
    </w:lvl>
  </w:abstractNum>
  <w:abstractNum w:abstractNumId="79">
    <w:nsid w:val="65BF9DA8"/>
    <w:multiLevelType w:val="hybridMultilevel"/>
    <w:lvl w:ilvl="0">
      <w:lvlJc w:val="left"/>
      <w:lvlText w:val="%1."/>
      <w:numFmt w:val="decimal"/>
      <w:start w:val="1"/>
    </w:lvl>
  </w:abstractNum>
  <w:abstractNum w:abstractNumId="80">
    <w:nsid w:val="21A2ECCA"/>
    <w:multiLevelType w:val="hybridMultilevel"/>
    <w:lvl w:ilvl="0">
      <w:lvlJc w:val="left"/>
      <w:lvlText w:val="%1."/>
      <w:numFmt w:val="decimal"/>
      <w:start w:val="2"/>
    </w:lvl>
  </w:abstractNum>
  <w:abstractNum w:abstractNumId="81">
    <w:nsid w:val="4D5C4899"/>
    <w:multiLevelType w:val="hybridMultilevel"/>
    <w:lvl w:ilvl="0">
      <w:lvlJc w:val="left"/>
      <w:lvlText w:val="%1"/>
      <w:numFmt w:val="lowerLetter"/>
      <w:start w:val="1"/>
    </w:lvl>
    <w:lvl w:ilvl="1">
      <w:lvlJc w:val="left"/>
      <w:lvlText w:val="%2."/>
      <w:numFmt w:val="decimal"/>
      <w:start w:val="3"/>
    </w:lvl>
  </w:abstractNum>
  <w:abstractNum w:abstractNumId="82">
    <w:nsid w:val="3C3B72B2"/>
    <w:multiLevelType w:val="hybridMultilevel"/>
    <w:lvl w:ilvl="0">
      <w:lvlJc w:val="left"/>
      <w:lvlText w:val="(%1)"/>
      <w:numFmt w:val="lowerLetter"/>
      <w:start w:val="2"/>
    </w:lvl>
    <w:lvl w:ilvl="1">
      <w:lvlJc w:val="left"/>
      <w:lvlText w:val="%2"/>
      <w:numFmt w:val="decimal"/>
      <w:start w:val="1"/>
    </w:lvl>
  </w:abstractNum>
  <w:abstractNum w:abstractNumId="83">
    <w:nsid w:val="155EC4C2"/>
    <w:multiLevelType w:val="hybridMultilevel"/>
    <w:lvl w:ilvl="0">
      <w:lvlJc w:val="left"/>
      <w:lvlText w:val="(%1)"/>
      <w:numFmt w:val="lowerLetter"/>
      <w:start w:val="3"/>
    </w:lvl>
  </w:abstractNum>
  <w:abstractNum w:abstractNumId="84">
    <w:nsid w:val="65D2A137"/>
    <w:multiLevelType w:val="hybridMultilevel"/>
    <w:lvl w:ilvl="0">
      <w:lvlJc w:val="left"/>
      <w:lvlText w:val="%1."/>
      <w:numFmt w:val="decimal"/>
      <w:start w:val="1"/>
    </w:lvl>
  </w:abstractNum>
  <w:abstractNum w:abstractNumId="85">
    <w:nsid w:val="6EBB1F2A"/>
    <w:multiLevelType w:val="hybridMultilevel"/>
    <w:lvl w:ilvl="0">
      <w:lvlJc w:val="left"/>
      <w:lvlText w:val="%1)"/>
      <w:numFmt w:val="lowerLetter"/>
      <w:start w:val="1"/>
    </w:lvl>
  </w:abstractNum>
  <w:abstractNum w:abstractNumId="86">
    <w:nsid w:val="6FBF29CB"/>
    <w:multiLevelType w:val="hybridMultilevel"/>
    <w:lvl w:ilvl="0">
      <w:lvlJc w:val="left"/>
      <w:lvlText w:val="%1"/>
      <w:numFmt w:val="lowerLetter"/>
      <w:start w:val="1"/>
    </w:lvl>
    <w:lvl w:ilvl="1">
      <w:lvlJc w:val="left"/>
      <w:lvlText w:val="%2)"/>
      <w:numFmt w:val="lowerLetter"/>
      <w:start w:val="2"/>
    </w:lvl>
  </w:abstractNum>
  <w:abstractNum w:abstractNumId="87">
    <w:nsid w:val="550B8808"/>
    <w:multiLevelType w:val="hybridMultilevel"/>
    <w:lvl w:ilvl="0">
      <w:lvlJc w:val="left"/>
      <w:lvlText w:val="%1)"/>
      <w:numFmt w:val="lowerLetter"/>
      <w:start w:val="3"/>
    </w:lvl>
    <w:lvl w:ilvl="1">
      <w:lvlJc w:val="left"/>
      <w:lvlText w:val="%2)"/>
      <w:numFmt w:val="lowerLetter"/>
      <w:start w:val="4"/>
    </w:lvl>
  </w:abstractNum>
  <w:abstractNum w:abstractNumId="88">
    <w:nsid w:val="34CC3ACF"/>
    <w:multiLevelType w:val="hybridMultilevel"/>
    <w:lvl w:ilvl="0">
      <w:lvlJc w:val="left"/>
      <w:lvlText w:val="%1."/>
      <w:numFmt w:val="decimal"/>
      <w:start w:val="2"/>
    </w:lvl>
  </w:abstractNum>
  <w:abstractNum w:abstractNumId="89">
    <w:nsid w:val="4E556261"/>
    <w:multiLevelType w:val="hybridMultilevel"/>
    <w:lvl w:ilvl="0">
      <w:lvlJc w:val="left"/>
      <w:lvlText w:val="%1)"/>
      <w:numFmt w:val="lowerLetter"/>
      <w:start w:val="1"/>
    </w:lvl>
  </w:abstractNum>
  <w:abstractNum w:abstractNumId="90">
    <w:nsid w:val="4C672FC9"/>
    <w:multiLevelType w:val="hybridMultilevel"/>
    <w:lvl w:ilvl="0">
      <w:lvlJc w:val="left"/>
      <w:lvlText w:val="%1"/>
      <w:numFmt w:val="lowerLetter"/>
      <w:start w:val="1"/>
    </w:lvl>
    <w:lvl w:ilvl="1">
      <w:lvlJc w:val="left"/>
      <w:lvlText w:val="%2)"/>
      <w:numFmt w:val="lowerLetter"/>
      <w:start w:val="4"/>
    </w:lvl>
  </w:abstractNum>
  <w:abstractNum w:abstractNumId="91">
    <w:nsid w:val="52A311C3"/>
    <w:multiLevelType w:val="hybridMultilevel"/>
    <w:lvl w:ilvl="0">
      <w:lvlJc w:val="left"/>
      <w:lvlText w:val="%1)"/>
      <w:numFmt w:val="lowerLetter"/>
      <w:start w:val="5"/>
    </w:lvl>
    <w:lvl w:ilvl="1">
      <w:lvlJc w:val="left"/>
      <w:lvlText w:val="%2"/>
      <w:numFmt w:val="lowerLetter"/>
      <w:start w:val="1"/>
    </w:lvl>
  </w:abstractNum>
  <w:abstractNum w:abstractNumId="92">
    <w:nsid w:val="44EF6B80"/>
    <w:multiLevelType w:val="hybridMultilevel"/>
    <w:lvl w:ilvl="0">
      <w:lvlJc w:val="left"/>
      <w:lvlText w:val="%1)"/>
      <w:numFmt w:val="lowerLetter"/>
      <w:start w:val="1"/>
    </w:lvl>
    <w:lvl w:ilvl="1">
      <w:lvlJc w:val="left"/>
      <w:lvlText w:val="%2)"/>
      <w:numFmt w:val="lowerLetter"/>
      <w:start w:val="3"/>
    </w:lvl>
  </w:abstractNum>
  <w:abstractNum w:abstractNumId="93">
    <w:nsid w:val="12FCDE5E"/>
    <w:multiLevelType w:val="hybridMultilevel"/>
    <w:lvl w:ilvl="0">
      <w:lvlJc w:val="left"/>
      <w:lvlText w:val="%1."/>
      <w:numFmt w:val="decimal"/>
      <w:start w:val="3"/>
    </w:lvl>
  </w:abstractNum>
  <w:abstractNum w:abstractNumId="94">
    <w:nsid w:val="4A1D606E"/>
    <w:multiLevelType w:val="hybridMultilevel"/>
    <w:lvl w:ilvl="0">
      <w:lvlJc w:val="left"/>
      <w:lvlText w:val="%1)"/>
      <w:numFmt w:val="lowerLetter"/>
      <w:start w:val="1"/>
    </w:lvl>
  </w:abstractNum>
  <w:abstractNum w:abstractNumId="95">
    <w:nsid w:val="4382503"/>
    <w:multiLevelType w:val="hybridMultilevel"/>
    <w:lvl w:ilvl="0">
      <w:lvlJc w:val="left"/>
      <w:lvlText w:val="%1)"/>
      <w:numFmt w:val="lowerLetter"/>
      <w:start w:val="1"/>
    </w:lvl>
  </w:abstractNum>
  <w:abstractNum w:abstractNumId="96">
    <w:nsid w:val="59B76E28"/>
    <w:multiLevelType w:val="hybridMultilevel"/>
    <w:lvl w:ilvl="0">
      <w:lvlJc w:val="left"/>
      <w:lvlText w:val="%1)"/>
      <w:numFmt w:val="lowerLetter"/>
      <w:start w:val="2"/>
    </w:lvl>
  </w:abstractNum>
  <w:abstractNum w:abstractNumId="97">
    <w:nsid w:val="4252C2DA"/>
    <w:multiLevelType w:val="hybridMultilevel"/>
    <w:lvl w:ilvl="0">
      <w:lvlJc w:val="left"/>
      <w:lvlText w:val="%1."/>
      <w:numFmt w:val="decimal"/>
      <w:start w:val="5"/>
    </w:lvl>
  </w:abstractNum>
  <w:abstractNum w:abstractNumId="98">
    <w:nsid w:val="6A92EF4C"/>
    <w:multiLevelType w:val="hybridMultilevel"/>
    <w:lvl w:ilvl="0">
      <w:lvlJc w:val="left"/>
      <w:lvlText w:val="%1)"/>
      <w:numFmt w:val="lowerLetter"/>
      <w:start w:val="1"/>
    </w:lvl>
  </w:abstractNum>
  <w:abstractNum w:abstractNumId="99">
    <w:nsid w:val="41ED20D7"/>
    <w:multiLevelType w:val="hybridMultilevel"/>
    <w:lvl w:ilvl="0">
      <w:lvlJc w:val="left"/>
      <w:lvlText w:val="%1."/>
      <w:numFmt w:val="lowerRoman"/>
      <w:start w:val="1"/>
    </w:lvl>
  </w:abstractNum>
  <w:abstractNum w:abstractNumId="100">
    <w:nsid w:val="E6B3F6A"/>
    <w:multiLevelType w:val="hybridMultilevel"/>
    <w:lvl w:ilvl="0">
      <w:lvlJc w:val="left"/>
      <w:lvlText w:val="%1."/>
      <w:numFmt w:val="decimal"/>
      <w:start w:val="6"/>
    </w:lvl>
  </w:abstractNum>
  <w:abstractNum w:abstractNumId="101">
    <w:nsid w:val="3EB21819"/>
    <w:multiLevelType w:val="hybridMultilevel"/>
    <w:lvl w:ilvl="0">
      <w:lvlJc w:val="left"/>
      <w:lvlText w:val="%1)"/>
      <w:numFmt w:val="lowerLetter"/>
      <w:start w:val="1"/>
    </w:lvl>
  </w:abstractNum>
  <w:abstractNum w:abstractNumId="102">
    <w:nsid w:val="41531DED"/>
    <w:multiLevelType w:val="hybridMultilevel"/>
    <w:lvl w:ilvl="0">
      <w:lvlJc w:val="left"/>
      <w:lvlText w:val="%1)"/>
      <w:numFmt w:val="lowerLetter"/>
      <w:start w:val="2"/>
    </w:lvl>
  </w:abstractNum>
  <w:abstractNum w:abstractNumId="103">
    <w:nsid w:val="6353CD2"/>
    <w:multiLevelType w:val="hybridMultilevel"/>
    <w:lvl w:ilvl="0">
      <w:lvlJc w:val="left"/>
      <w:lvlText w:val="%1)"/>
      <w:numFmt w:val="lowerRoman"/>
      <w:start w:val="3"/>
    </w:lvl>
  </w:abstractNum>
  <w:abstractNum w:abstractNumId="104">
    <w:nsid w:val="683CAAD3"/>
    <w:multiLevelType w:val="hybridMultilevel"/>
    <w:lvl w:ilvl="0">
      <w:lvlJc w:val="left"/>
      <w:lvlText w:val="%1)"/>
      <w:numFmt w:val="lowerLetter"/>
      <w:start w:val="4"/>
    </w:lvl>
  </w:abstractNum>
  <w:abstractNum w:abstractNumId="105">
    <w:nsid w:val="313C7C99"/>
    <w:multiLevelType w:val="hybridMultilevel"/>
    <w:lvl w:ilvl="0">
      <w:lvlJc w:val="left"/>
      <w:lvlText w:val="%1."/>
      <w:numFmt w:val="decimal"/>
      <w:start w:val="7"/>
    </w:lvl>
  </w:abstractNum>
  <w:abstractNum w:abstractNumId="106">
    <w:nsid w:val="519EB94C"/>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07">
    <w:nsid w:val="39DF2579"/>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108">
    <w:nsid w:val="126E008B"/>
    <w:multiLevelType w:val="hybridMultilevel"/>
    <w:lvl w:ilvl="0">
      <w:lvlJc w:val="left"/>
      <w:lvlText w:val="%1)"/>
      <w:numFmt w:val="lowerLetter"/>
      <w:start w:val="1"/>
    </w:lvl>
  </w:abstractNum>
  <w:abstractNum w:abstractNumId="109">
    <w:nsid w:val="34DFBC00"/>
    <w:multiLevelType w:val="hybridMultilevel"/>
    <w:lvl w:ilvl="0">
      <w:lvlJc w:val="left"/>
      <w:lvlText w:val="%1)"/>
      <w:numFmt w:val="lowerRoman"/>
      <w:start w:val="3"/>
    </w:lvl>
  </w:abstractNum>
  <w:abstractNum w:abstractNumId="110">
    <w:nsid w:val="1F9EC322"/>
    <w:multiLevelType w:val="hybridMultilevel"/>
    <w:lvl w:ilvl="0">
      <w:lvlJc w:val="left"/>
      <w:lvlText w:val="%1)"/>
      <w:numFmt w:val="lowerLetter"/>
      <w:start w:val="2"/>
    </w:lvl>
  </w:abstractNum>
  <w:abstractNum w:abstractNumId="111">
    <w:nsid w:val="3410ED56"/>
    <w:multiLevelType w:val="hybridMultilevel"/>
    <w:lvl w:ilvl="0">
      <w:lvlJc w:val="left"/>
      <w:lvlText w:val="%1)"/>
      <w:numFmt w:val="lowerLetter"/>
      <w:start w:val="4"/>
    </w:lvl>
  </w:abstractNum>
  <w:abstractNum w:abstractNumId="112">
    <w:nsid w:val="23C049A"/>
    <w:multiLevelType w:val="hybridMultilevel"/>
    <w:lvl w:ilvl="0">
      <w:lvlJc w:val="left"/>
      <w:lvlText w:val="%1)"/>
      <w:numFmt w:val="lowerRoman"/>
      <w:start w:val="1"/>
    </w:lvl>
  </w:abstractNum>
  <w:abstractNum w:abstractNumId="113">
    <w:nsid w:val="5BDA35D4"/>
    <w:multiLevelType w:val="hybridMultilevel"/>
    <w:lvl w:ilvl="0">
      <w:lvlJc w:val="left"/>
      <w:lvlText w:val="%1)"/>
      <w:numFmt w:val="lowerRoman"/>
      <w:start w:val="2"/>
    </w:lvl>
  </w:abstractNum>
  <w:abstractNum w:abstractNumId="114">
    <w:nsid w:val="496FB218"/>
    <w:multiLevelType w:val="hybridMultilevel"/>
    <w:lvl w:ilvl="0">
      <w:lvlJc w:val="left"/>
      <w:lvlText w:val="%1"/>
      <w:numFmt w:val="lowerLetter"/>
      <w:start w:val="1"/>
    </w:lvl>
    <w:lvl w:ilvl="1">
      <w:lvlJc w:val="left"/>
      <w:lvlText w:val="%2)"/>
      <w:numFmt w:val="lowerRoman"/>
      <w:start w:val="4"/>
    </w:lvl>
  </w:abstractNum>
  <w:abstractNum w:abstractNumId="115">
    <w:nsid w:val="680EA5D1"/>
    <w:multiLevelType w:val="hybridMultilevel"/>
    <w:lvl w:ilvl="0">
      <w:lvlJc w:val="left"/>
      <w:lvlText w:val="%1)"/>
      <w:numFmt w:val="lowerLetter"/>
      <w:start w:val="6"/>
    </w:lvl>
    <w:lvl w:ilvl="1">
      <w:lvlJc w:val="left"/>
      <w:lvlText w:val="%2"/>
      <w:numFmt w:val="lowerRoman"/>
      <w:start w:val="1"/>
    </w:lvl>
  </w:abstractNum>
  <w:abstractNum w:abstractNumId="116">
    <w:nsid w:val="4A9554FE"/>
    <w:multiLevelType w:val="hybridMultilevel"/>
    <w:lvl w:ilvl="0">
      <w:lvlJc w:val="left"/>
      <w:lvlText w:val="%1)"/>
      <w:numFmt w:val="lowerLetter"/>
      <w:start w:val="7"/>
    </w:lvl>
  </w:abstractNum>
  <w:abstractNum w:abstractNumId="117">
    <w:nsid w:val="392EDBE4"/>
    <w:multiLevelType w:val="hybridMultilevel"/>
    <w:lvl w:ilvl="0">
      <w:lvlJc w:val="left"/>
      <w:lvlText w:val="%1)"/>
      <w:numFmt w:val="lowerLetter"/>
      <w:start w:val="8"/>
    </w:lvl>
  </w:abstractNum>
  <w:abstractNum w:abstractNumId="118">
    <w:nsid w:val="3D1A2DD9"/>
    <w:multiLevelType w:val="hybridMultilevel"/>
    <w:lvl w:ilvl="0">
      <w:lvlJc w:val="left"/>
      <w:lvlText w:val="%1)"/>
      <w:numFmt w:val="lowerRoman"/>
      <w:start w:val="1"/>
    </w:lvl>
  </w:abstractNum>
  <w:abstractNum w:abstractNumId="119">
    <w:nsid w:val="7F618FCD"/>
    <w:multiLevelType w:val="hybridMultilevel"/>
    <w:lvl w:ilvl="0">
      <w:lvlJc w:val="left"/>
      <w:lvlText w:val="%1."/>
      <w:numFmt w:val="decimal"/>
      <w:start w:val="9"/>
    </w:lvl>
  </w:abstractNum>
  <w:abstractNum w:abstractNumId="120">
    <w:nsid w:val="7843E45"/>
    <w:multiLevelType w:val="hybridMultilevel"/>
    <w:lvl w:ilvl="0">
      <w:lvlJc w:val="left"/>
      <w:lvlText w:val="%1)"/>
      <w:numFmt w:val="lowerLetter"/>
      <w:start w:val="1"/>
    </w:lvl>
  </w:abstractNum>
  <w:abstractNum w:abstractNumId="121">
    <w:nsid w:val="9815DA3"/>
    <w:multiLevelType w:val="hybridMultilevel"/>
    <w:lvl w:ilvl="0">
      <w:lvlJc w:val="left"/>
      <w:lvlText w:val="%1)"/>
      <w:numFmt w:val="lowerLetter"/>
      <w:start w:val="1"/>
    </w:lvl>
  </w:abstractNum>
  <w:abstractNum w:abstractNumId="122">
    <w:nsid w:val="5204A191"/>
    <w:multiLevelType w:val="hybridMultilevel"/>
    <w:lvl w:ilvl="0">
      <w:lvlJc w:val="left"/>
      <w:lvlText w:val="%1)"/>
      <w:numFmt w:val="lowerLetter"/>
      <w:start w:val="1"/>
    </w:lvl>
  </w:abstractNum>
  <w:abstractNum w:abstractNumId="123">
    <w:nsid w:val="4C73A9C6"/>
    <w:multiLevelType w:val="hybridMultilevel"/>
    <w:lvl w:ilvl="0">
      <w:lvlJc w:val="left"/>
      <w:lvlText w:val="%1."/>
      <w:numFmt w:val="decimal"/>
      <w:start w:val="11"/>
    </w:lvl>
  </w:abstractNum>
  <w:abstractNum w:abstractNumId="124">
    <w:nsid w:val="1C7E3C01"/>
    <w:multiLevelType w:val="hybridMultilevel"/>
    <w:lvl w:ilvl="0">
      <w:lvlJc w:val="left"/>
      <w:lvlText w:val="%1)"/>
      <w:numFmt w:val="lowerLetter"/>
      <w:start w:val="1"/>
    </w:lvl>
    <w:lvl w:ilvl="1">
      <w:lvlJc w:val="left"/>
      <w:lvlText w:val="%2)"/>
      <w:numFmt w:val="lowerRoman"/>
      <w:start w:val="1"/>
    </w:lvl>
  </w:abstractNum>
  <w:abstractNum w:abstractNumId="125">
    <w:nsid w:val="1C2201FF"/>
    <w:multiLevelType w:val="hybridMultilevel"/>
    <w:lvl w:ilvl="0">
      <w:lvlJc w:val="left"/>
      <w:lvlText w:val="%1"/>
      <w:numFmt w:val="lowerLetter"/>
      <w:start w:val="1"/>
    </w:lvl>
    <w:lvl w:ilvl="1">
      <w:lvlJc w:val="left"/>
      <w:lvlText w:val="%2)"/>
      <w:numFmt w:val="lowerLetter"/>
      <w:start w:val="3"/>
    </w:lvl>
  </w:abstractNum>
  <w:abstractNum w:abstractNumId="126">
    <w:nsid w:val="50ABCEC9"/>
    <w:multiLevelType w:val="hybridMultilevel"/>
    <w:lvl w:ilvl="0">
      <w:lvlJc w:val="left"/>
      <w:lvlText w:val="%1)"/>
      <w:numFmt w:val="lowerLetter"/>
      <w:start w:val="4"/>
    </w:lvl>
    <w:lvl w:ilvl="1">
      <w:lvlJc w:val="left"/>
      <w:lvlText w:val="%2"/>
      <w:numFmt w:val="lowerLetter"/>
      <w:start w:val="1"/>
    </w:lvl>
  </w:abstractNum>
  <w:abstractNum w:abstractNumId="127">
    <w:nsid w:val="7635AA2A"/>
    <w:multiLevelType w:val="hybridMultilevel"/>
    <w:lvl w:ilvl="0">
      <w:lvlJc w:val="left"/>
      <w:lvlText w:val="%1)"/>
      <w:numFmt w:val="lowerLetter"/>
      <w:start w:val="7"/>
    </w:lvl>
  </w:abstractNum>
  <w:abstractNum w:abstractNumId="128">
    <w:nsid w:val="5E74C4D9"/>
    <w:multiLevelType w:val="hybridMultilevel"/>
    <w:lvl w:ilvl="0">
      <w:lvlJc w:val="left"/>
      <w:lvlText w:val="%1)"/>
      <w:numFmt w:val="lowerLetter"/>
      <w:start w:val="1"/>
    </w:lvl>
  </w:abstractNum>
  <w:abstractNum w:abstractNumId="129">
    <w:nsid w:val="3B3EBE15"/>
    <w:multiLevelType w:val="hybridMultilevel"/>
    <w:lvl w:ilvl="0">
      <w:lvlJc w:val="left"/>
      <w:lvlText w:val="%1)"/>
      <w:numFmt w:val="lowerLetter"/>
      <w:start w:val="4"/>
    </w:lvl>
  </w:abstractNum>
  <w:abstractNum w:abstractNumId="130">
    <w:nsid w:val="3822CB01"/>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abstractNum>
  <w:abstractNum w:abstractNumId="131">
    <w:nsid w:val="6CE00443"/>
    <w:multiLevelType w:val="hybridMultilevel"/>
    <w:lvl w:ilvl="0">
      <w:lvlJc w:val="left"/>
      <w:lvlText w:val="%1)"/>
      <w:numFmt w:val="lowerLetter"/>
      <w:start w:val="1"/>
    </w:lvl>
  </w:abstractNum>
  <w:abstractNum w:abstractNumId="132">
    <w:nsid w:val="79F0D62F"/>
    <w:multiLevelType w:val="hybridMultilevel"/>
    <w:lvl w:ilvl="0">
      <w:lvlJc w:val="left"/>
      <w:lvlText w:val="%1."/>
      <w:numFmt w:val="decimal"/>
      <w:start w:val="13"/>
    </w:lvl>
  </w:abstractNum>
  <w:abstractNum w:abstractNumId="133">
    <w:nsid w:val="7975E8EE"/>
    <w:multiLevelType w:val="hybridMultilevel"/>
    <w:lvl w:ilvl="0">
      <w:lvlJc w:val="left"/>
      <w:lvlText w:val="%1)"/>
      <w:numFmt w:val="lowerLetter"/>
      <w:start w:val="1"/>
    </w:lvl>
  </w:abstractNum>
  <w:abstractNum w:abstractNumId="134">
    <w:nsid w:val="73154115"/>
    <w:multiLevelType w:val="hybridMultilevel"/>
    <w:lvl w:ilvl="0">
      <w:lvlJc w:val="left"/>
      <w:lvlText w:val="%1)"/>
      <w:numFmt w:val="lowerLetter"/>
      <w:start w:val="1"/>
    </w:lvl>
    <w:lvl w:ilvl="1">
      <w:lvlJc w:val="left"/>
      <w:lvlText w:val="%2)"/>
      <w:numFmt w:val="lowerRoman"/>
      <w:start w:val="1"/>
    </w:lvl>
  </w:abstractNum>
  <w:abstractNum w:abstractNumId="135">
    <w:nsid w:val="622D8102"/>
    <w:multiLevelType w:val="hybridMultilevel"/>
    <w:lvl w:ilvl="0">
      <w:lvlJc w:val="left"/>
      <w:lvlText w:val="%1)"/>
      <w:numFmt w:val="lowerRoman"/>
      <w:start w:val="1"/>
    </w:lvl>
  </w:abstractNum>
  <w:abstractNum w:abstractNumId="136">
    <w:nsid w:val="2AB26587"/>
    <w:multiLevelType w:val="hybridMultilevel"/>
    <w:lvl w:ilvl="0">
      <w:lvlJc w:val="left"/>
      <w:lvlText w:val="%1."/>
      <w:numFmt w:val="decimal"/>
      <w:start w:val="14"/>
    </w:lvl>
  </w:abstractNum>
  <w:abstractNum w:abstractNumId="137">
    <w:nsid w:val="44B3FA61"/>
    <w:multiLevelType w:val="hybridMultilevel"/>
    <w:lvl w:ilvl="0">
      <w:lvlJc w:val="left"/>
      <w:lvlText w:val="%1."/>
      <w:numFmt w:val="decimal"/>
      <w:start w:val="15"/>
    </w:lvl>
  </w:abstractNum>
  <w:abstractNum w:abstractNumId="138">
    <w:nsid w:val="1C0CA67C"/>
    <w:multiLevelType w:val="hybridMultilevel"/>
    <w:lvl w:ilvl="0">
      <w:lvlJc w:val="left"/>
      <w:lvlText w:val="%1)"/>
      <w:numFmt w:val="lowerLetter"/>
      <w:start w:val="1"/>
    </w:lvl>
  </w:abstractNum>
  <w:abstractNum w:abstractNumId="139">
    <w:nsid w:val="3D206613"/>
    <w:multiLevelType w:val="hybridMultilevel"/>
    <w:lvl w:ilvl="0">
      <w:lvlJc w:val="left"/>
      <w:lvlText w:val="%1)"/>
      <w:numFmt w:val="lowerLetter"/>
      <w:start w:val="2"/>
    </w:lvl>
  </w:abstractNum>
  <w:abstractNum w:abstractNumId="140">
    <w:nsid w:val="7993B662"/>
    <w:multiLevelType w:val="hybridMultilevel"/>
    <w:lvl w:ilvl="0">
      <w:lvlJc w:val="left"/>
      <w:lvlText w:val="%1."/>
      <w:numFmt w:val="decimal"/>
      <w:start w:val="17"/>
    </w:lvl>
  </w:abstractNum>
  <w:abstractNum w:abstractNumId="141">
    <w:nsid w:val="3BAB699E"/>
    <w:multiLevelType w:val="hybridMultilevel"/>
    <w:lvl w:ilvl="0">
      <w:lvlJc w:val="left"/>
      <w:lvlText w:val="%1."/>
      <w:numFmt w:val="decimal"/>
      <w:start w:val="18"/>
    </w:lvl>
  </w:abstractNum>
  <w:abstractNum w:abstractNumId="142">
    <w:nsid w:val="71315369"/>
    <w:multiLevelType w:val="hybridMultilevel"/>
    <w:lvl w:ilvl="0">
      <w:lvlJc w:val="left"/>
      <w:lvlText w:val="%1)"/>
      <w:numFmt w:val="lowerLetter"/>
      <w:start w:val="2"/>
    </w:lvl>
  </w:abstractNum>
  <w:abstractNum w:abstractNumId="143">
    <w:nsid w:val="7BCFBAFC"/>
    <w:multiLevelType w:val="hybridMultilevel"/>
    <w:lvl w:ilvl="0">
      <w:lvlJc w:val="left"/>
      <w:lvlText w:val="%1)"/>
      <w:numFmt w:val="lowerLetter"/>
      <w:start w:val="1"/>
    </w:lvl>
  </w:abstractNum>
  <w:abstractNum w:abstractNumId="144">
    <w:nsid w:val="17859F72"/>
    <w:multiLevelType w:val="hybridMultilevel"/>
    <w:lvl w:ilvl="0">
      <w:lvlJc w:val="left"/>
      <w:lvlText w:val="%1"/>
      <w:numFmt w:val="lowerLetter"/>
      <w:start w:val="1"/>
    </w:lvl>
    <w:lvl w:ilvl="1">
      <w:lvlJc w:val="left"/>
      <w:lvlText w:val="%2)"/>
      <w:numFmt w:val="lowerLetter"/>
      <w:start w:val="2"/>
    </w:lvl>
  </w:abstractNum>
  <w:abstractNum w:abstractNumId="145">
    <w:nsid w:val="3AA10581"/>
    <w:multiLevelType w:val="hybridMultilevel"/>
    <w:lvl w:ilvl="0">
      <w:lvlJc w:val="left"/>
      <w:lvlText w:val="%1)"/>
      <w:numFmt w:val="lowerLetter"/>
      <w:start w:val="3"/>
    </w:lvl>
    <w:lvl w:ilvl="1">
      <w:lvlJc w:val="left"/>
      <w:lvlText w:val="%2"/>
      <w:numFmt w:val="lowerLetter"/>
      <w:start w:val="1"/>
    </w:lvl>
  </w:abstractNum>
  <w:abstractNum w:abstractNumId="146">
    <w:nsid w:val="63DE60CD"/>
    <w:multiLevelType w:val="hybridMultilevel"/>
    <w:lvl w:ilvl="0">
      <w:lvlJc w:val="left"/>
      <w:lvlText w:val="(%1)"/>
      <w:numFmt w:val="lowerLetter"/>
      <w:start w:val="1"/>
    </w:lvl>
  </w:abstractNum>
  <w:abstractNum w:abstractNumId="147">
    <w:nsid w:val="621AF471"/>
    <w:multiLevelType w:val="hybridMultilevel"/>
    <w:lvl w:ilvl="0">
      <w:lvlJc w:val="left"/>
      <w:lvlText w:val="%1)"/>
      <w:numFmt w:val="lowerLetter"/>
      <w:start w:val="1"/>
    </w:lvl>
    <w:lvl w:ilvl="1">
      <w:lvlJc w:val="left"/>
      <w:lvlText w:val="%2)"/>
      <w:numFmt w:val="lowerLetter"/>
      <w:start w:val="2"/>
    </w:lvl>
  </w:abstractNum>
  <w:abstractNum w:abstractNumId="148">
    <w:nsid w:val="73CFE165"/>
    <w:multiLevelType w:val="hybridMultilevel"/>
    <w:lvl w:ilvl="0">
      <w:lvlJc w:val="left"/>
      <w:lvlText w:val="%1)"/>
      <w:numFmt w:val="lowerLetter"/>
      <w:start w:val="6"/>
    </w:lvl>
    <w:lvl w:ilvl="1">
      <w:lvlJc w:val="left"/>
      <w:lvlText w:val="%2)"/>
      <w:numFmt w:val="lowerLetter"/>
      <w:start w:val="10"/>
    </w:lvl>
  </w:abstractNum>
  <w:abstractNum w:abstractNumId="149">
    <w:nsid w:val="20F88EA6"/>
    <w:multiLevelType w:val="hybridMultilevel"/>
    <w:lvl w:ilvl="0">
      <w:lvlJc w:val="left"/>
      <w:lvlText w:val="%1)"/>
      <w:numFmt w:val="lowerLetter"/>
      <w:start w:val="11"/>
    </w:lvl>
  </w:abstractNum>
  <w:abstractNum w:abstractNumId="150">
    <w:nsid w:val="617C843E"/>
    <w:multiLevelType w:val="hybridMultilevel"/>
    <w:lvl w:ilvl="0">
      <w:lvlJc w:val="left"/>
      <w:lvlText w:val="%1"/>
      <w:numFmt w:val="lowerLetter"/>
      <w:start w:val="1"/>
    </w:lvl>
    <w:lvl w:ilvl="1">
      <w:lvlJc w:val="left"/>
      <w:lvlText w:val="%2)"/>
      <w:numFmt w:val="lowerLetter"/>
      <w:start w:val="16"/>
    </w:lvl>
  </w:abstractNum>
  <w:abstractNum w:abstractNumId="151">
    <w:nsid w:val="7B541FAB"/>
    <w:multiLevelType w:val="hybridMultilevel"/>
    <w:lvl w:ilvl="0">
      <w:lvlJc w:val="left"/>
      <w:lvlText w:val="%1)"/>
      <w:numFmt w:val="lowerLetter"/>
      <w:start w:val="17"/>
    </w:lvl>
    <w:lvl w:ilvl="1">
      <w:lvlJc w:val="left"/>
      <w:lvlText w:val="%2"/>
      <w:numFmt w:val="lowerLetter"/>
      <w:start w:val="1"/>
    </w:lvl>
  </w:abstractNum>
  <w:abstractNum w:abstractNumId="152">
    <w:nsid w:val="2A79EC49"/>
    <w:multiLevelType w:val="hybridMultilevel"/>
    <w:lvl w:ilvl="0">
      <w:lvlJc w:val="left"/>
      <w:lvlText w:val="(%1)"/>
      <w:numFmt w:val="decimal"/>
      <w:start w:val="30"/>
    </w:lvl>
  </w:abstractNum>
  <w:abstractNum w:abstractNumId="153">
    <w:nsid w:val="338125CF"/>
    <w:multiLevelType w:val="hybridMultilevel"/>
    <w:lvl w:ilvl="0">
      <w:lvlJc w:val="left"/>
      <w:lvlText w:val="%1"/>
      <w:numFmt w:val="lowerLetter"/>
      <w:start w:val="1"/>
    </w:lvl>
    <w:lvl w:ilvl="1">
      <w:lvlJc w:val="left"/>
      <w:lvlText w:val="(%2)"/>
      <w:numFmt w:val="lowerLetter"/>
      <w:start w:val="1"/>
    </w:lvl>
  </w:abstractNum>
  <w:abstractNum w:abstractNumId="154">
    <w:nsid w:val="47C7C971"/>
    <w:multiLevelType w:val="hybridMultilevel"/>
    <w:lvl w:ilvl="0">
      <w:lvlJc w:val="left"/>
      <w:lvlText w:val="(%1)"/>
      <w:numFmt w:val="lowerLetter"/>
      <w:start w:val="9"/>
    </w:lvl>
    <w:lvl w:ilvl="1">
      <w:lvlJc w:val="left"/>
      <w:lvlText w:val="%2"/>
      <w:numFmt w:val="lowerLetter"/>
      <w:start w:val="1"/>
    </w:lvl>
  </w:abstractNum>
  <w:abstractNum w:abstractNumId="155">
    <w:nsid w:val="46F8284B"/>
    <w:multiLevelType w:val="hybridMultilevel"/>
    <w:lvl w:ilvl="0">
      <w:lvlJc w:val="left"/>
      <w:lvlText w:val="(%1)"/>
      <w:numFmt w:val="lowerLetter"/>
      <w:start w:val="3"/>
    </w:lvl>
  </w:abstractNum>
  <w:abstractNum w:abstractNumId="156">
    <w:nsid w:val="4FA327CE"/>
    <w:multiLevelType w:val="hybridMultilevel"/>
    <w:lvl w:ilvl="0">
      <w:lvlJc w:val="left"/>
      <w:lvlText w:val="%1)"/>
      <w:numFmt w:val="upperLetter"/>
      <w:start w:val="7"/>
    </w:lvl>
  </w:abstractNum>
  <w:abstractNum w:abstractNumId="157">
    <w:nsid w:val="1873983A"/>
    <w:multiLevelType w:val="hybridMultilevel"/>
    <w:lvl w:ilvl="0">
      <w:lvlJc w:val="left"/>
      <w:lvlText w:val="(%1)"/>
      <w:numFmt w:val="lowerLetter"/>
      <w:start w:val="11"/>
    </w:lvl>
    <w:lvl w:ilvl="1">
      <w:lvlJc w:val="left"/>
      <w:lvlText w:val="(%2)"/>
      <w:numFmt w:val="decimal"/>
      <w:start w:val="1"/>
    </w:lvl>
  </w:abstractNum>
  <w:abstractNum w:abstractNumId="158">
    <w:nsid w:val="3D2DD275"/>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lvl w:ilvl="3">
      <w:lvlJc w:val="left"/>
      <w:lvlText w:val="(%4)"/>
      <w:numFmt w:val="lowerLetter"/>
      <w:start w:val="1"/>
    </w:lvl>
  </w:abstractNum>
  <w:abstractNum w:abstractNumId="159">
    <w:nsid w:val="2E17ECA7"/>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4"/>
    </w:lvl>
    <w:lvl w:ilvl="3">
      <w:lvlJc w:val="left"/>
      <w:lvlText w:val="%4"/>
      <w:numFmt w:val="lowerLetter"/>
      <w:start w:val="1"/>
    </w:lvl>
  </w:abstractNum>
  <w:abstractNum w:abstractNumId="160">
    <w:nsid w:val="53B2564F"/>
    <w:multiLevelType w:val="hybridMultilevel"/>
    <w:lvl w:ilvl="0">
      <w:lvlJc w:val="left"/>
      <w:lvlText w:val="%1"/>
      <w:numFmt w:val="lowerLetter"/>
      <w:start w:val="1"/>
    </w:lvl>
    <w:lvl w:ilvl="1">
      <w:lvlJc w:val="left"/>
      <w:lvlText w:val="(%2)"/>
      <w:numFmt w:val="lowerLetter"/>
      <w:start w:val="6"/>
    </w:lvl>
    <w:lvl w:ilvl="2">
      <w:lvlJc w:val="left"/>
      <w:lvlText w:val="%3"/>
      <w:numFmt w:val="lowerLetter"/>
      <w:start w:val="1"/>
    </w:lvl>
    <w:lvl w:ilvl="3">
      <w:lvlJc w:val="left"/>
      <w:lvlText w:val="%4"/>
      <w:numFmt w:val="lowerLetter"/>
      <w:start w:val="1"/>
    </w:lvl>
  </w:abstractNum>
  <w:abstractNum w:abstractNumId="161">
    <w:nsid w:val="75509D76"/>
    <w:multiLevelType w:val="hybridMultilevel"/>
    <w:lvl w:ilvl="0">
      <w:lvlJc w:val="left"/>
      <w:lvlText w:val="(%1)"/>
      <w:numFmt w:val="lowerLetter"/>
      <w:start w:val="8"/>
    </w:lvl>
    <w:lvl w:ilvl="1">
      <w:lvlJc w:val="left"/>
      <w:lvlText w:val="%2"/>
      <w:numFmt w:val="lowerLetter"/>
      <w:start w:val="1"/>
    </w:lvl>
    <w:lvl w:ilvl="2">
      <w:lvlJc w:val="left"/>
      <w:lvlText w:val="%3"/>
      <w:numFmt w:val="lowerLetter"/>
      <w:start w:val="1"/>
    </w:lvl>
    <w:lvl w:ilvl="3">
      <w:lvlJc w:val="left"/>
      <w:lvlText w:val="%4"/>
      <w:numFmt w:val="lowerLetter"/>
      <w:start w:val="1"/>
    </w:lvl>
  </w:abstractNum>
  <w:abstractNum w:abstractNumId="162">
    <w:nsid w:val="1AF7F0EA"/>
    <w:multiLevelType w:val="hybridMultilevel"/>
    <w:lvl w:ilvl="0">
      <w:lvlJc w:val="left"/>
      <w:lvlText w:val="(%1)"/>
      <w:numFmt w:val="lowerLetter"/>
      <w:start w:val="1"/>
    </w:lvl>
  </w:abstractNum>
  <w:abstractNum w:abstractNumId="163">
    <w:nsid w:val="4DA32C7E"/>
    <w:multiLevelType w:val="hybridMultilevel"/>
    <w:lvl w:ilvl="0">
      <w:lvlJc w:val="left"/>
      <w:lvlText w:val="%1"/>
      <w:numFmt w:val="lowerLetter"/>
      <w:start w:val="1"/>
    </w:lvl>
    <w:lvl w:ilvl="1">
      <w:lvlJc w:val="left"/>
      <w:lvlText w:val="(%2)"/>
      <w:numFmt w:val="lowerLetter"/>
      <w:start w:val="2"/>
    </w:lvl>
  </w:abstractNum>
  <w:abstractNum w:abstractNumId="164">
    <w:nsid w:val="6EC68664"/>
    <w:multiLevelType w:val="hybridMultilevel"/>
    <w:lvl w:ilvl="0">
      <w:lvlJc w:val="left"/>
      <w:lvlText w:val="(%1)"/>
      <w:numFmt w:val="lowerLetter"/>
      <w:start w:val="6"/>
    </w:lvl>
    <w:lvl w:ilvl="1">
      <w:lvlJc w:val="left"/>
      <w:lvlText w:val="%2"/>
      <w:numFmt w:val="lowerLetter"/>
      <w:start w:val="1"/>
    </w:lvl>
  </w:abstractNum>
  <w:abstractNum w:abstractNumId="165">
    <w:nsid w:val="E0D31FF"/>
    <w:multiLevelType w:val="hybridMultilevel"/>
    <w:lvl w:ilvl="0">
      <w:lvlJc w:val="left"/>
      <w:lvlText w:val="(%1)"/>
      <w:numFmt w:val="lowerLetter"/>
      <w:start w:val="1"/>
    </w:lvl>
    <w:lvl w:ilvl="1">
      <w:lvlJc w:val="left"/>
      <w:lvlText w:val="(%2)"/>
      <w:numFmt w:val="lowerRoman"/>
      <w:start w:val="1"/>
    </w:lvl>
  </w:abstractNum>
  <w:abstractNum w:abstractNumId="166">
    <w:nsid w:val="2FD0AD81"/>
    <w:multiLevelType w:val="hybridMultilevel"/>
    <w:lvl w:ilvl="0">
      <w:lvlJc w:val="left"/>
      <w:lvlText w:val="(%1)"/>
      <w:numFmt w:val="lowerRoman"/>
      <w:start w:val="2"/>
    </w:lvl>
    <w:lvl w:ilvl="1">
      <w:lvlJc w:val="left"/>
      <w:lvlText w:val="(%2)"/>
      <w:numFmt w:val="lowerLetter"/>
      <w:start w:val="3"/>
    </w:lvl>
    <w:lvl w:ilvl="2">
      <w:lvlJc w:val="left"/>
      <w:lvlText w:val="(%3)"/>
      <w:numFmt w:val="lowerLetter"/>
      <w:start w:val="2"/>
    </w:lvl>
  </w:abstractNum>
  <w:abstractNum w:abstractNumId="167">
    <w:nsid w:val="1978EBEB"/>
    <w:multiLevelType w:val="hybridMultilevel"/>
    <w:lvl w:ilvl="0">
      <w:lvlJc w:val="left"/>
      <w:lvlText w:val="%1"/>
      <w:numFmt w:val="decimal"/>
      <w:start w:val="1"/>
    </w:lvl>
    <w:lvl w:ilvl="1">
      <w:lvlJc w:val="left"/>
      <w:lvlText w:val="(%2)"/>
      <w:numFmt w:val="lowerRoman"/>
      <w:start w:val="1"/>
    </w:lvl>
  </w:abstractNum>
  <w:abstractNum w:abstractNumId="168">
    <w:nsid w:val="52C12C61"/>
    <w:multiLevelType w:val="hybridMultilevel"/>
    <w:lvl w:ilvl="0">
      <w:lvlJc w:val="left"/>
      <w:lvlText w:val="(%1)"/>
      <w:numFmt w:val="decimal"/>
      <w:start w:val="1"/>
    </w:lvl>
    <w:lvl w:ilvl="1">
      <w:lvlJc w:val="left"/>
      <w:lvlText w:val="%2"/>
      <w:numFmt w:val="lowerRoman"/>
      <w:start w:val="1"/>
    </w:lvl>
  </w:abstractNum>
  <w:abstractNum w:abstractNumId="169">
    <w:nsid w:val="4BDD53FD"/>
    <w:multiLevelType w:val="hybridMultilevel"/>
    <w:lvl w:ilvl="0">
      <w:lvlJc w:val="left"/>
      <w:lvlText w:val="(%1)"/>
      <w:numFmt w:val="decimal"/>
      <w:start w:val="3"/>
    </w:lvl>
    <w:lvl w:ilvl="1">
      <w:lvlJc w:val="left"/>
      <w:lvlText w:val="(%2)"/>
      <w:numFmt w:val="lowerRoman"/>
      <w:start w:val="2"/>
    </w:lvl>
  </w:abstractNum>
  <w:abstractNum w:abstractNumId="170">
    <w:nsid w:val="569951FE"/>
    <w:multiLevelType w:val="hybridMultilevel"/>
    <w:lvl w:ilvl="0">
      <w:lvlJc w:val="left"/>
      <w:lvlText w:val="(%1)"/>
      <w:numFmt w:val="lowerRoman"/>
      <w:start w:val="4"/>
    </w:lvl>
  </w:abstractNum>
  <w:abstractNum w:abstractNumId="171">
    <w:nsid w:val="4C54E2C3"/>
    <w:multiLevelType w:val="hybridMultilevel"/>
    <w:lvl w:ilvl="0">
      <w:lvlJc w:val="left"/>
      <w:lvlText w:val="(%1)"/>
      <w:numFmt w:val="lowerRoman"/>
      <w:start w:val="9"/>
    </w:lvl>
  </w:abstractNum>
  <w:abstractNum w:abstractNumId="172">
    <w:nsid w:val="788BD9B"/>
    <w:multiLevelType w:val="hybridMultilevel"/>
    <w:lvl w:ilvl="0">
      <w:lvlJc w:val="left"/>
      <w:lvlText w:val="(%1)"/>
      <w:numFmt w:val="lowerLetter"/>
      <w:start w:val="1"/>
    </w:lvl>
  </w:abstractNum>
  <w:abstractNum w:abstractNumId="173">
    <w:nsid w:val="47CAA567"/>
    <w:multiLevelType w:val="hybridMultilevel"/>
    <w:lvl w:ilvl="0">
      <w:lvlJc w:val="left"/>
      <w:lvlText w:val="%1"/>
      <w:numFmt w:val="lowerLetter"/>
      <w:start w:val="1"/>
    </w:lvl>
    <w:lvl w:ilvl="1">
      <w:lvlJc w:val="left"/>
      <w:lvlText w:val="(%2)"/>
      <w:numFmt w:val="lowerLetter"/>
      <w:start w:val="6"/>
    </w:lvl>
  </w:abstractNum>
  <w:abstractNum w:abstractNumId="174">
    <w:nsid w:val="48249DBF"/>
    <w:multiLevelType w:val="hybridMultilevel"/>
    <w:lvl w:ilvl="0">
      <w:lvlJc w:val="left"/>
      <w:lvlText w:val="(%1)"/>
      <w:numFmt w:val="lowerLetter"/>
      <w:start w:val="7"/>
    </w:lvl>
    <w:lvl w:ilvl="1">
      <w:lvlJc w:val="left"/>
      <w:lvlText w:val="%2"/>
      <w:numFmt w:val="lowerLetter"/>
      <w:start w:val="1"/>
    </w:lvl>
  </w:abstractNum>
  <w:abstractNum w:abstractNumId="175">
    <w:nsid w:val="1F0E5D0D"/>
    <w:multiLevelType w:val="hybridMultilevel"/>
    <w:lvl w:ilvl="0">
      <w:lvlJc w:val="left"/>
      <w:lvlText w:val="%1)"/>
      <w:numFmt w:val="upperLetter"/>
      <w:start w:val="21"/>
    </w:lvl>
  </w:abstractNum>
  <w:abstractNum w:abstractNumId="176">
    <w:nsid w:val="26BAAE9"/>
    <w:multiLevelType w:val="hybridMultilevel"/>
    <w:lvl w:ilvl="0">
      <w:lvlJc w:val="left"/>
      <w:lvlText w:val="(%1)"/>
      <w:numFmt w:val="lowerLetter"/>
      <w:start w:val="1"/>
    </w:lvl>
  </w:abstractNum>
  <w:abstractNum w:abstractNumId="177">
    <w:nsid w:val="2C02FE8C"/>
    <w:multiLevelType w:val="hybridMultilevel"/>
    <w:lvl w:ilvl="0">
      <w:lvlJc w:val="left"/>
      <w:lvlText w:val="(%1)"/>
      <w:numFmt w:val="lowerLetter"/>
      <w:start w:val="2"/>
    </w:lvl>
  </w:abstractNum>
  <w:abstractNum w:abstractNumId="178">
    <w:nsid w:val="129517E"/>
    <w:multiLevelType w:val="hybridMultilevel"/>
    <w:lvl w:ilvl="0">
      <w:lvlJc w:val="left"/>
      <w:lvlText w:val="(%1)"/>
      <w:numFmt w:val="lowerLetter"/>
      <w:start w:val="1"/>
    </w:lvl>
  </w:abstractNum>
  <w:abstractNum w:abstractNumId="179">
    <w:nsid w:val="763B8C4E"/>
    <w:multiLevelType w:val="hybridMultilevel"/>
    <w:lvl w:ilvl="0">
      <w:lvlJc w:val="left"/>
      <w:lvlText w:val="(%1)"/>
      <w:numFmt w:val="lowerLetter"/>
      <w:start w:val="2"/>
    </w:lvl>
  </w:abstractNum>
  <w:abstractNum w:abstractNumId="180">
    <w:nsid w:val="4CFB8D32"/>
    <w:multiLevelType w:val="hybridMultilevel"/>
    <w:lvl w:ilvl="0">
      <w:lvlJc w:val="left"/>
      <w:lvlText w:val="%1."/>
      <w:numFmt w:val="decimal"/>
      <w:start w:val="1"/>
    </w:lvl>
  </w:abstractNum>
  <w:abstractNum w:abstractNumId="181">
    <w:nsid w:val="62A5D5BD"/>
    <w:multiLevelType w:val="hybridMultilevel"/>
    <w:lvl w:ilvl="0">
      <w:lvlJc w:val="left"/>
      <w:lvlText w:val="%1."/>
      <w:numFmt w:val="decimal"/>
      <w:start w:val="3"/>
    </w:lvl>
  </w:abstractNum>
  <w:abstractNum w:abstractNumId="182">
    <w:nsid w:val="718FABF9"/>
    <w:multiLevelType w:val="hybridMultilevel"/>
    <w:lvl w:ilvl="0">
      <w:lvlJc w:val="left"/>
      <w:lvlText w:val="%1."/>
      <w:numFmt w:val="decimal"/>
      <w:start w:val="4"/>
    </w:lvl>
  </w:abstractNum>
  <w:abstractNum w:abstractNumId="183">
    <w:nsid w:val="7775797C"/>
    <w:multiLevelType w:val="hybridMultilevel"/>
    <w:lvl w:ilvl="0">
      <w:lvlJc w:val="left"/>
      <w:lvlText w:val="(%1)"/>
      <w:numFmt w:val="lowerLetter"/>
      <w:start w:val="1"/>
    </w:lvl>
  </w:abstractNum>
  <w:abstractNum w:abstractNumId="184">
    <w:nsid w:val="1626FB8C"/>
    <w:multiLevelType w:val="hybridMultilevel"/>
    <w:lvl w:ilvl="0">
      <w:lvlJc w:val="left"/>
      <w:lvlText w:val="(%1)"/>
      <w:numFmt w:val="lowerLetter"/>
      <w:start w:val="4"/>
    </w:lvl>
  </w:abstractNum>
  <w:abstractNum w:abstractNumId="185">
    <w:nsid w:val="3957756A"/>
    <w:multiLevelType w:val="hybridMultilevel"/>
    <w:lvl w:ilvl="0">
      <w:lvlJc w:val="left"/>
      <w:lvlText w:val="%1."/>
      <w:numFmt w:val="decimal"/>
      <w:start w:val="5"/>
    </w:lvl>
  </w:abstractNum>
  <w:abstractNum w:abstractNumId="186">
    <w:nsid w:val="3E6DA1C7"/>
    <w:multiLevelType w:val="hybridMultilevel"/>
    <w:lvl w:ilvl="0">
      <w:lvlJc w:val="left"/>
      <w:lvlText w:val="%1."/>
      <w:numFmt w:val="decimal"/>
      <w:start w:val="6"/>
    </w:lvl>
  </w:abstractNum>
  <w:abstractNum w:abstractNumId="187">
    <w:nsid w:val="65CA235B"/>
    <w:multiLevelType w:val="hybridMultilevel"/>
    <w:lvl w:ilvl="0">
      <w:lvlJc w:val="left"/>
      <w:lvlText w:val="(%1)"/>
      <w:numFmt w:val="lowerLetter"/>
      <w:start w:val="1"/>
    </w:lvl>
  </w:abstractNum>
  <w:abstractNum w:abstractNumId="188">
    <w:nsid w:val="51CB0DA4"/>
    <w:multiLevelType w:val="hybridMultilevel"/>
    <w:lvl w:ilvl="0">
      <w:lvlJc w:val="left"/>
      <w:lvlText w:val="(%1)"/>
      <w:numFmt w:val="lowerLetter"/>
      <w:start w:val="3"/>
    </w:lvl>
  </w:abstractNum>
  <w:abstractNum w:abstractNumId="189">
    <w:nsid w:val="7B9B743C"/>
    <w:multiLevelType w:val="hybridMultilevel"/>
    <w:lvl w:ilvl="0">
      <w:lvlJc w:val="left"/>
      <w:lvlText w:val="%1."/>
      <w:numFmt w:val="decimal"/>
      <w:start w:val="8"/>
    </w:lvl>
  </w:abstractNum>
  <w:abstractNum w:abstractNumId="190">
    <w:nsid w:val="13E21002"/>
    <w:multiLevelType w:val="hybridMultilevel"/>
    <w:lvl w:ilvl="0">
      <w:lvlJc w:val="left"/>
      <w:lvlText w:val="%1."/>
      <w:numFmt w:val="decimal"/>
      <w:start w:val="9"/>
    </w:lvl>
  </w:abstractNum>
  <w:abstractNum w:abstractNumId="191">
    <w:nsid w:val="257D63F4"/>
    <w:multiLevelType w:val="hybridMultilevel"/>
    <w:lvl w:ilvl="0">
      <w:lvlJc w:val="left"/>
      <w:lvlText w:val="%1."/>
      <w:numFmt w:val="decimal"/>
      <w:start w:val="10"/>
    </w:lvl>
  </w:abstractNum>
  <w:abstractNum w:abstractNumId="192">
    <w:nsid w:val="70EC11B2"/>
    <w:multiLevelType w:val="hybridMultilevel"/>
    <w:lvl w:ilvl="0">
      <w:lvlJc w:val="left"/>
      <w:lvlText w:val="%1."/>
      <w:numFmt w:val="decimal"/>
      <w:start w:val="1"/>
    </w:lvl>
  </w:abstractNum>
  <w:abstractNum w:abstractNumId="193">
    <w:nsid w:val="2EDA00ED"/>
    <w:multiLevelType w:val="hybridMultilevel"/>
    <w:lvl w:ilvl="0">
      <w:lvlJc w:val="left"/>
      <w:lvlText w:val="%1."/>
      <w:numFmt w:val="decimal"/>
      <w:start w:val="1"/>
    </w:lvl>
  </w:abstractNum>
  <w:abstractNum w:abstractNumId="194">
    <w:nsid w:val="73209072"/>
    <w:multiLevelType w:val="hybridMultilevel"/>
    <w:lvl w:ilvl="0">
      <w:lvlJc w:val="left"/>
      <w:lvlText w:val="·"/>
      <w:numFmt w:val="bullet"/>
      <w:start w:val="1"/>
    </w:lvl>
  </w:abstractNum>
  <w:abstractNum w:abstractNumId="195">
    <w:nsid w:val="5FB29816"/>
    <w:multiLevelType w:val="hybridMultilevel"/>
    <w:lvl w:ilvl="0">
      <w:lvlJc w:val="left"/>
      <w:lvlText w:val="·"/>
      <w:numFmt w:val="bullet"/>
      <w:start w:val="1"/>
    </w:lvl>
  </w:abstractNum>
  <w:abstractNum w:abstractNumId="196">
    <w:nsid w:val="3CE732EC"/>
    <w:multiLevelType w:val="hybridMultilevel"/>
    <w:lvl w:ilvl="0">
      <w:lvlJc w:val="left"/>
      <w:lvlText w:val="(%1)"/>
      <w:numFmt w:val="decimal"/>
      <w:start w:val="4"/>
    </w:lvl>
  </w:abstractNum>
  <w:abstractNum w:abstractNumId="197">
    <w:nsid w:val="22F13DF3"/>
    <w:multiLevelType w:val="hybridMultilevel"/>
    <w:lvl w:ilvl="0">
      <w:lvlJc w:val="left"/>
      <w:lvlText w:val="(%1)"/>
      <w:numFmt w:val="decimal"/>
      <w:start w:val="1"/>
    </w:lvl>
  </w:abstractNum>
  <w:abstractNum w:abstractNumId="198">
    <w:nsid w:val="792B8401"/>
    <w:multiLevelType w:val="hybridMultilevel"/>
    <w:lvl w:ilvl="0">
      <w:lvlJc w:val="left"/>
      <w:lvlText w:val="%1"/>
      <w:numFmt w:val="decimal"/>
      <w:start w:val="1"/>
    </w:lvl>
    <w:lvl w:ilvl="1">
      <w:lvlJc w:val="left"/>
      <w:lvlText w:val="%2."/>
      <w:numFmt w:val="decimal"/>
      <w:start w:val="1"/>
    </w:lvl>
  </w:abstractNum>
  <w:abstractNum w:abstractNumId="199">
    <w:nsid w:val="FA85F4D"/>
    <w:multiLevelType w:val="hybridMultilevel"/>
    <w:lvl w:ilvl="0">
      <w:lvlJc w:val="left"/>
      <w:lvlText w:val="%1."/>
      <w:numFmt w:val="decimal"/>
      <w:start w:val="3"/>
    </w:lvl>
    <w:lvl w:ilvl="1">
      <w:lvlJc w:val="left"/>
      <w:lvlText w:val="%2"/>
      <w:numFmt w:val="decimal"/>
      <w:start w:val="1"/>
    </w:lvl>
  </w:abstractNum>
  <w:abstractNum w:abstractNumId="200">
    <w:nsid w:val="6ECE91F0"/>
    <w:multiLevelType w:val="hybridMultilevel"/>
    <w:lvl w:ilvl="0">
      <w:lvlJc w:val="left"/>
      <w:lvlText w:val="%1"/>
      <w:numFmt w:val="decimal"/>
      <w:start w:val="1"/>
    </w:lvl>
    <w:lvl w:ilvl="1">
      <w:lvlJc w:val="left"/>
      <w:lvlText w:val="%2."/>
      <w:numFmt w:val="decimal"/>
      <w:start w:val="4"/>
    </w:lvl>
  </w:abstractNum>
  <w:abstractNum w:abstractNumId="201">
    <w:nsid w:val="4FC4D600"/>
    <w:multiLevelType w:val="hybridMultilevel"/>
    <w:lvl w:ilvl="0">
      <w:lvlJc w:val="left"/>
      <w:lvlText w:val="%1."/>
      <w:numFmt w:val="decimal"/>
      <w:start w:val="5"/>
    </w:lvl>
    <w:lvl w:ilvl="1">
      <w:lvlJc w:val="left"/>
      <w:lvlText w:val="%2"/>
      <w:numFmt w:val="decimal"/>
      <w:start w:val="1"/>
    </w:lvl>
  </w:abstractNum>
  <w:abstractNum w:abstractNumId="202">
    <w:nsid w:val="5BFD4210"/>
    <w:multiLevelType w:val="hybridMultilevel"/>
    <w:lvl w:ilvl="0">
      <w:lvlJc w:val="left"/>
      <w:lvlText w:val="1"/>
      <w:numFmt w:val="bullet"/>
      <w:start w:val="1"/>
    </w:lvl>
  </w:abstractNum>
  <w:abstractNum w:abstractNumId="203">
    <w:nsid w:val="76574F8B"/>
    <w:multiLevelType w:val="hybridMultilevel"/>
    <w:lvl w:ilvl="0">
      <w:lvlJc w:val="left"/>
      <w:lvlText w:val="2"/>
      <w:numFmt w:val="bullet"/>
      <w:start w:val="1"/>
    </w:lvl>
  </w:abstractNum>
  <w:abstractNum w:abstractNumId="204">
    <w:nsid w:val="178F7B67"/>
    <w:multiLevelType w:val="hybridMultilevel"/>
    <w:lvl w:ilvl="0">
      <w:lvlJc w:val="left"/>
      <w:lvlText w:val="3"/>
      <w:numFmt w:val="bullet"/>
      <w:start w:val="1"/>
    </w:lvl>
  </w:abstractNum>
  <w:abstractNum w:abstractNumId="205">
    <w:nsid w:val="2421DFCF"/>
    <w:multiLevelType w:val="hybridMultilevel"/>
    <w:lvl w:ilvl="0">
      <w:lvlJc w:val="left"/>
      <w:lvlText w:val="(%1)"/>
      <w:numFmt w:val="lowerLetter"/>
      <w:start w:val="1"/>
    </w:lvl>
    <w:lvl w:ilvl="1">
      <w:lvlJc w:val="left"/>
      <w:lvlText w:val="(%2)"/>
      <w:numFmt w:val="lowerRoman"/>
      <w:start w:val="1"/>
    </w:lvl>
  </w:abstractNum>
  <w:abstractNum w:abstractNumId="206">
    <w:nsid w:val="1565AC99"/>
    <w:multiLevelType w:val="hybridMultilevel"/>
    <w:lvl w:ilvl="0">
      <w:lvlJc w:val="left"/>
      <w:lvlText w:val="4"/>
      <w:numFmt w:val="bullet"/>
      <w:start w:val="1"/>
    </w:lvl>
    <w:lvl w:ilvl="1">
      <w:lvlJc w:val="left"/>
      <w:lvlText w:val="(%2)"/>
      <w:numFmt w:val="lowerLetter"/>
      <w:start w:val="1"/>
    </w:lvl>
  </w:abstractNum>
  <w:abstractNum w:abstractNumId="207">
    <w:nsid w:val="19FB2650"/>
    <w:multiLevelType w:val="hybridMultilevel"/>
    <w:lvl w:ilvl="0">
      <w:lvlJc w:val="left"/>
      <w:lvlText w:val="5"/>
      <w:numFmt w:val="bullet"/>
      <w:start w:val="1"/>
    </w:lvl>
  </w:abstractNum>
  <w:abstractNum w:abstractNumId="208">
    <w:nsid w:val="5024DE5B"/>
    <w:multiLevelType w:val="hybridMultilevel"/>
    <w:lvl w:ilvl="0">
      <w:lvlJc w:val="left"/>
      <w:lvlText w:val="(%1)"/>
      <w:numFmt w:val="lowerLetter"/>
      <w:start w:val="1"/>
    </w:lvl>
  </w:abstractNum>
  <w:abstractNum w:abstractNumId="209">
    <w:nsid w:val="168EFE17"/>
    <w:multiLevelType w:val="hybridMultilevel"/>
    <w:lvl w:ilvl="0">
      <w:lvlJc w:val="left"/>
      <w:lvlText w:val="6"/>
      <w:numFmt w:val="bullet"/>
      <w:start w:val="1"/>
    </w:lvl>
  </w:abstractNum>
  <w:abstractNum w:abstractNumId="210">
    <w:nsid w:val="1036B29F"/>
    <w:multiLevelType w:val="hybridMultilevel"/>
    <w:lvl w:ilvl="0">
      <w:lvlJc w:val="left"/>
      <w:lvlText w:val="(%1)"/>
      <w:numFmt w:val="lowerLetter"/>
      <w:start w:val="1"/>
    </w:lvl>
  </w:abstractNum>
  <w:abstractNum w:abstractNumId="211">
    <w:nsid w:val="1D206B8E"/>
    <w:multiLevelType w:val="hybridMultilevel"/>
    <w:lvl w:ilvl="0">
      <w:lvlJc w:val="left"/>
      <w:lvlText w:val="(%1)"/>
      <w:numFmt w:val="lowerRoman"/>
      <w:start w:val="1"/>
    </w:lvl>
    <w:lvl w:ilvl="1">
      <w:lvlJc w:val="left"/>
      <w:lvlText w:val="(%2)"/>
      <w:numFmt w:val="upperLetter"/>
      <w:start w:val="1"/>
    </w:lvl>
  </w:abstractNum>
  <w:abstractNum w:abstractNumId="212">
    <w:nsid w:val="7934D3D4"/>
    <w:multiLevelType w:val="hybridMultilevel"/>
    <w:lvl w:ilvl="0">
      <w:lvlJc w:val="left"/>
      <w:lvlText w:val="(%1)"/>
      <w:numFmt w:val="lowerLetter"/>
      <w:start w:val="1"/>
    </w:lvl>
  </w:abstractNum>
  <w:abstractNum w:abstractNumId="213">
    <w:nsid w:val="1C65E98"/>
    <w:multiLevelType w:val="hybridMultilevel"/>
    <w:lvl w:ilvl="0">
      <w:lvlJc w:val="left"/>
      <w:lvlText w:val="(%1)"/>
      <w:numFmt w:val="lowerLetter"/>
      <w:start w:val="4"/>
    </w:lvl>
  </w:abstractNum>
  <w:abstractNum w:abstractNumId="214">
    <w:nsid w:val="1495E50A"/>
    <w:multiLevelType w:val="hybridMultilevel"/>
    <w:lvl w:ilvl="0">
      <w:lvlJc w:val="left"/>
      <w:lvlText w:val="%1"/>
      <w:numFmt w:val="lowerLetter"/>
      <w:start w:val="1"/>
    </w:lvl>
    <w:lvl w:ilvl="1">
      <w:lvlJc w:val="left"/>
      <w:lvlText w:val="(%2)"/>
      <w:numFmt w:val="lowerRoman"/>
      <w:start w:val="1"/>
    </w:lvl>
  </w:abstractNum>
  <w:abstractNum w:abstractNumId="215">
    <w:nsid w:val="F5BCF61"/>
    <w:multiLevelType w:val="hybridMultilevel"/>
    <w:lvl w:ilvl="0">
      <w:lvlJc w:val="left"/>
      <w:lvlText w:val="(%1)"/>
      <w:numFmt w:val="lowerLetter"/>
      <w:start w:val="7"/>
    </w:lvl>
    <w:lvl w:ilvl="1">
      <w:lvlJc w:val="left"/>
      <w:lvlText w:val="%2"/>
      <w:numFmt w:val="lowerRoman"/>
      <w:start w:val="1"/>
    </w:lvl>
  </w:abstractNum>
  <w:abstractNum w:abstractNumId="216">
    <w:nsid w:val="3B1DD403"/>
    <w:multiLevelType w:val="hybridMultilevel"/>
    <w:lvl w:ilvl="0">
      <w:lvlJc w:val="left"/>
      <w:lvlText w:val="(%1)"/>
      <w:numFmt w:val="lowerLetter"/>
      <w:start w:val="1"/>
    </w:lvl>
  </w:abstractNum>
  <w:abstractNum w:abstractNumId="217">
    <w:nsid w:val="530386D1"/>
    <w:multiLevelType w:val="hybridMultilevel"/>
    <w:lvl w:ilvl="0">
      <w:lvlJc w:val="left"/>
      <w:lvlText w:val="(%1)"/>
      <w:numFmt w:val="lowerLetter"/>
      <w:start w:val="1"/>
    </w:lvl>
  </w:abstractNum>
  <w:abstractNum w:abstractNumId="218">
    <w:nsid w:val="7525F2BC"/>
    <w:multiLevelType w:val="hybridMultilevel"/>
    <w:lvl w:ilvl="0">
      <w:lvlJc w:val="left"/>
      <w:lvlText w:val="(%1)"/>
      <w:numFmt w:val="lowerLetter"/>
      <w:start w:val="2"/>
    </w:lvl>
    <w:lvl w:ilvl="1">
      <w:lvlJc w:val="left"/>
      <w:lvlText w:val="(%2)"/>
      <w:numFmt w:val="lowerRoman"/>
      <w:start w:val="1"/>
    </w:lvl>
  </w:abstractNum>
  <w:abstractNum w:abstractNumId="219">
    <w:nsid w:val="CE8E1A7"/>
    <w:multiLevelType w:val="hybridMultilevel"/>
    <w:lvl w:ilvl="0">
      <w:lvlJc w:val="left"/>
      <w:lvlText w:val="(%1)"/>
      <w:numFmt w:val="lowerLetter"/>
      <w:start w:val="1"/>
    </w:lvl>
  </w:abstractNum>
  <w:abstractNum w:abstractNumId="220">
    <w:nsid w:val="4E9EFB0D"/>
    <w:multiLevelType w:val="hybridMultilevel"/>
    <w:lvl w:ilvl="0">
      <w:lvlJc w:val="left"/>
      <w:lvlText w:val="1"/>
      <w:numFmt w:val="bullet"/>
      <w:start w:val="1"/>
    </w:lvl>
  </w:abstractNum>
  <w:abstractNum w:abstractNumId="221">
    <w:nsid w:val="90802BE"/>
    <w:multiLevelType w:val="hybridMultilevel"/>
    <w:lvl w:ilvl="0">
      <w:lvlJc w:val="left"/>
      <w:lvlText w:val="(%1)"/>
      <w:numFmt w:val="lowerLetter"/>
      <w:start w:val="1"/>
    </w:lvl>
  </w:abstractNum>
  <w:abstractNum w:abstractNumId="222">
    <w:nsid w:val="3266459B"/>
    <w:multiLevelType w:val="hybridMultilevel"/>
    <w:lvl w:ilvl="0">
      <w:lvlJc w:val="left"/>
      <w:lvlText w:val="(%1)"/>
      <w:numFmt w:val="lowerLetter"/>
      <w:start w:val="1"/>
    </w:lvl>
  </w:abstractNum>
  <w:abstractNum w:abstractNumId="223">
    <w:nsid w:val="3F8B0CBF"/>
    <w:multiLevelType w:val="hybridMultilevel"/>
    <w:lvl w:ilvl="0">
      <w:lvlJc w:val="left"/>
      <w:lvlText w:val="(%1)"/>
      <w:numFmt w:val="lowerLetter"/>
      <w:start w:val="1"/>
    </w:lvl>
  </w:abstractNum>
  <w:abstractNum w:abstractNumId="224">
    <w:nsid w:val="37E203AB"/>
    <w:multiLevelType w:val="hybridMultilevel"/>
    <w:lvl w:ilvl="0">
      <w:lvlJc w:val="left"/>
      <w:lvlText w:val="(%1)"/>
      <w:numFmt w:val="lowerRoman"/>
      <w:start w:val="1"/>
    </w:lvl>
  </w:abstractNum>
  <w:abstractNum w:abstractNumId="225">
    <w:nsid w:val="2586D60E"/>
    <w:multiLevelType w:val="hybridMultilevel"/>
    <w:lvl w:ilvl="0">
      <w:lvlJc w:val="left"/>
      <w:lvlText w:val="(%1)"/>
      <w:numFmt w:val="lowerLetter"/>
      <w:start w:val="1"/>
    </w:lvl>
  </w:abstractNum>
  <w:abstractNum w:abstractNumId="226">
    <w:nsid w:val="1F3DA4D5"/>
    <w:multiLevelType w:val="hybridMultilevel"/>
    <w:lvl w:ilvl="0">
      <w:lvlJc w:val="left"/>
      <w:lvlText w:val="(%1)"/>
      <w:numFmt w:val="lowerLetter"/>
      <w:start w:val="1"/>
    </w:lvl>
  </w:abstractNum>
  <w:abstractNum w:abstractNumId="227">
    <w:nsid w:val="74C93698"/>
    <w:multiLevelType w:val="hybridMultilevel"/>
    <w:lvl w:ilvl="0">
      <w:lvlJc w:val="left"/>
      <w:lvlText w:val="(%1)"/>
      <w:numFmt w:val="lowerLetter"/>
      <w:start w:val="1"/>
    </w:lvl>
  </w:abstractNum>
  <w:abstractNum w:abstractNumId="228">
    <w:nsid w:val="48781401"/>
    <w:multiLevelType w:val="hybridMultilevel"/>
    <w:lvl w:ilvl="0">
      <w:lvlJc w:val="left"/>
      <w:lvlText w:val="(%1)"/>
      <w:numFmt w:val="lowerLetter"/>
      <w:start w:val="1"/>
    </w:lvl>
  </w:abstractNum>
  <w:abstractNum w:abstractNumId="229">
    <w:nsid w:val="186928D6"/>
    <w:multiLevelType w:val="hybridMultilevel"/>
    <w:lvl w:ilvl="0">
      <w:lvlJc w:val="left"/>
      <w:lvlText w:val="%1"/>
      <w:numFmt w:val="lowerLetter"/>
      <w:start w:val="1"/>
    </w:lvl>
    <w:lvl w:ilvl="1">
      <w:lvlJc w:val="left"/>
      <w:lvlText w:val="(%2)"/>
      <w:numFmt w:val="lowerLetter"/>
      <w:start w:val="35"/>
    </w:lvl>
  </w:abstractNum>
  <w:abstractNum w:abstractNumId="230">
    <w:nsid w:val="47195E5"/>
    <w:multiLevelType w:val="hybridMultilevel"/>
    <w:lvl w:ilvl="0">
      <w:lvlJc w:val="left"/>
      <w:lvlText w:val="(%1)"/>
      <w:numFmt w:val="lowerLetter"/>
      <w:start w:val="3"/>
    </w:lvl>
    <w:lvl w:ilvl="1">
      <w:lvlJc w:val="left"/>
      <w:lvlText w:val="%2"/>
      <w:numFmt w:val="lowerLetter"/>
      <w:start w:val="1"/>
    </w:lvl>
  </w:abstractNum>
  <w:abstractNum w:abstractNumId="231">
    <w:nsid w:val="3746A5F2"/>
    <w:multiLevelType w:val="hybridMultilevel"/>
    <w:lvl w:ilvl="0">
      <w:lvlJc w:val="left"/>
      <w:lvlText w:val="(%1)"/>
      <w:numFmt w:val="lowerLetter"/>
      <w:start w:val="1"/>
    </w:lvl>
  </w:abstractNum>
  <w:abstractNum w:abstractNumId="232">
    <w:nsid w:val="682DFED6"/>
    <w:multiLevelType w:val="hybridMultilevel"/>
    <w:lvl w:ilvl="0">
      <w:lvlJc w:val="left"/>
      <w:lvlText w:val="(%1)"/>
      <w:numFmt w:val="lowerLetter"/>
      <w:start w:val="1"/>
    </w:lvl>
  </w:abstractNum>
  <w:abstractNum w:abstractNumId="233">
    <w:nsid w:val="606ED7F6"/>
    <w:multiLevelType w:val="hybridMultilevel"/>
    <w:lvl w:ilvl="0">
      <w:lvlJc w:val="left"/>
      <w:lvlText w:val="(%1)"/>
      <w:numFmt w:val="lowerLetter"/>
      <w:start w:val="1"/>
    </w:lvl>
  </w:abstractNum>
  <w:abstractNum w:abstractNumId="234">
    <w:nsid w:val="2D9DF57D"/>
    <w:multiLevelType w:val="hybridMultilevel"/>
    <w:lvl w:ilvl="0">
      <w:lvlJc w:val="left"/>
      <w:lvlText w:val="(%1)"/>
      <w:numFmt w:val="lowerLetter"/>
      <w:start w:val="1"/>
    </w:lvl>
  </w:abstractNum>
  <w:abstractNum w:abstractNumId="235">
    <w:nsid w:val="7FBD7A3E"/>
    <w:multiLevelType w:val="hybridMultilevel"/>
    <w:lvl w:ilvl="0">
      <w:lvlJc w:val="left"/>
      <w:lvlText w:val="(%1)"/>
      <w:numFmt w:val="lowerLetter"/>
      <w:start w:val="1"/>
    </w:lvl>
  </w:abstractNum>
  <w:abstractNum w:abstractNumId="236">
    <w:nsid w:val="490B7C5"/>
    <w:multiLevelType w:val="hybridMultilevel"/>
    <w:lvl w:ilvl="0">
      <w:lvlJc w:val="left"/>
      <w:lvlText w:val="(%1)"/>
      <w:numFmt w:val="lowerLetter"/>
      <w:start w:val="5"/>
    </w:lvl>
  </w:abstractNum>
  <w:abstractNum w:abstractNumId="237">
    <w:nsid w:val="4303A216"/>
    <w:multiLevelType w:val="hybridMultilevel"/>
    <w:lvl w:ilvl="0">
      <w:lvlJc w:val="left"/>
      <w:lvlText w:val="(%1)"/>
      <w:numFmt w:val="lowerLetter"/>
      <w:start w:val="1"/>
    </w:lvl>
    <w:lvl w:ilvl="1">
      <w:lvlJc w:val="left"/>
      <w:lvlText w:val="(%2)"/>
      <w:numFmt w:val="lowerRoman"/>
      <w:start w:val="1"/>
    </w:lvl>
  </w:abstractNum>
  <w:abstractNum w:abstractNumId="238">
    <w:nsid w:val="19B8A08E"/>
    <w:multiLevelType w:val="hybridMultilevel"/>
    <w:lvl w:ilvl="0">
      <w:lvlJc w:val="left"/>
      <w:lvlText w:val="(%1)"/>
      <w:numFmt w:val="lowerLetter"/>
      <w:start w:val="1"/>
    </w:lvl>
  </w:abstractNum>
  <w:abstractNum w:abstractNumId="239">
    <w:nsid w:val="54B59621"/>
    <w:multiLevelType w:val="hybridMultilevel"/>
    <w:lvl w:ilvl="0">
      <w:lvlJc w:val="left"/>
      <w:lvlText w:val="(%1)"/>
      <w:numFmt w:val="lowerLetter"/>
      <w:start w:val="2"/>
    </w:lvl>
    <w:lvl w:ilvl="1">
      <w:lvlJc w:val="left"/>
      <w:lvlText w:val="(%2)"/>
      <w:numFmt w:val="lowerRoman"/>
      <w:start w:val="1"/>
    </w:lvl>
  </w:abstractNum>
  <w:abstractNum w:abstractNumId="240">
    <w:nsid w:val="5992A02E"/>
    <w:multiLevelType w:val="hybridMultilevel"/>
    <w:lvl w:ilvl="0">
      <w:lvlJc w:val="left"/>
      <w:lvlText w:val="(%1)"/>
      <w:numFmt w:val="lowerLetter"/>
      <w:start w:val="1"/>
    </w:lvl>
  </w:abstractNum>
  <w:abstractNum w:abstractNumId="241">
    <w:nsid w:val="29EF532D"/>
    <w:multiLevelType w:val="hybridMultilevel"/>
    <w:lvl w:ilvl="0">
      <w:lvlJc w:val="left"/>
      <w:lvlText w:val="(%1)"/>
      <w:numFmt w:val="lowerLetter"/>
      <w:start w:val="3"/>
    </w:lvl>
  </w:abstractNum>
  <w:abstractNum w:abstractNumId="242">
    <w:nsid w:val="71D601AF"/>
    <w:multiLevelType w:val="hybridMultilevel"/>
    <w:lvl w:ilvl="0">
      <w:lvlJc w:val="left"/>
      <w:lvlText w:val="(%1)"/>
      <w:numFmt w:val="lowerLetter"/>
      <w:start w:val="4"/>
    </w:lvl>
  </w:abstractNum>
  <w:abstractNum w:abstractNumId="243">
    <w:nsid w:val="52C77402"/>
    <w:multiLevelType w:val="hybridMultilevel"/>
    <w:lvl w:ilvl="0">
      <w:lvlJc w:val="left"/>
      <w:lvlText w:val="(%1)"/>
      <w:numFmt w:val="lowerLetter"/>
      <w:start w:val="1"/>
    </w:lvl>
  </w:abstractNum>
  <w:abstractNum w:abstractNumId="244">
    <w:nsid w:val="2BB5B1C6"/>
    <w:multiLevelType w:val="hybridMultilevel"/>
    <w:lvl w:ilvl="0">
      <w:lvlJc w:val="left"/>
      <w:lvlText w:val="(%1)"/>
      <w:numFmt w:val="lowerLetter"/>
      <w:start w:val="1"/>
    </w:lvl>
  </w:abstractNum>
  <w:abstractNum w:abstractNumId="245">
    <w:nsid w:val="66BE6B9"/>
    <w:multiLevelType w:val="hybridMultilevel"/>
    <w:lvl w:ilvl="0">
      <w:lvlJc w:val="left"/>
      <w:lvlText w:val="(%1)"/>
      <w:numFmt w:val="lowerLetter"/>
      <w:start w:val="11"/>
    </w:lvl>
  </w:abstractNum>
  <w:abstractNum w:abstractNumId="246">
    <w:nsid w:val="62234363"/>
    <w:multiLevelType w:val="hybridMultilevel"/>
    <w:lvl w:ilvl="0">
      <w:lvlJc w:val="left"/>
      <w:lvlText w:val="(%1)"/>
      <w:numFmt w:val="lowerLetter"/>
      <w:start w:val="1"/>
    </w:lvl>
  </w:abstractNum>
  <w:abstractNum w:abstractNumId="247">
    <w:nsid w:val="66D385C9"/>
    <w:multiLevelType w:val="hybridMultilevel"/>
    <w:lvl w:ilvl="0">
      <w:lvlJc w:val="left"/>
      <w:lvlText w:val="(%1)"/>
      <w:numFmt w:val="lowerLetter"/>
      <w:start w:val="1"/>
    </w:lvl>
  </w:abstractNum>
  <w:abstractNum w:abstractNumId="248">
    <w:nsid w:val="596F6D8A"/>
    <w:multiLevelType w:val="hybridMultilevel"/>
    <w:lvl w:ilvl="0">
      <w:lvlJc w:val="left"/>
      <w:lvlText w:val="(%1)"/>
      <w:numFmt w:val="lowerLetter"/>
      <w:start w:val="1"/>
    </w:lvl>
  </w:abstractNum>
  <w:abstractNum w:abstractNumId="249">
    <w:nsid w:val="5749361F"/>
    <w:multiLevelType w:val="hybridMultilevel"/>
    <w:lvl w:ilvl="0">
      <w:lvlJc w:val="left"/>
      <w:lvlText w:val="(%1)"/>
      <w:numFmt w:val="lowerLetter"/>
      <w:start w:val="1"/>
    </w:lvl>
  </w:abstractNum>
  <w:abstractNum w:abstractNumId="250">
    <w:nsid w:val="73BC6770"/>
    <w:multiLevelType w:val="hybridMultilevel"/>
    <w:lvl w:ilvl="0">
      <w:lvlJc w:val="left"/>
      <w:lvlText w:val="(%1)"/>
      <w:numFmt w:val="lowerLetter"/>
      <w:start w:val="3"/>
    </w:lvl>
    <w:lvl w:ilvl="1">
      <w:lvlJc w:val="left"/>
      <w:lvlText w:val="(%2)"/>
      <w:numFmt w:val="lowerRoman"/>
      <w:start w:val="1"/>
    </w:lvl>
  </w:abstractNum>
  <w:abstractNum w:abstractNumId="251">
    <w:nsid w:val="280E6897"/>
    <w:multiLevelType w:val="hybridMultilevel"/>
    <w:lvl w:ilvl="0">
      <w:lvlJc w:val="left"/>
      <w:lvlText w:val="(%1)"/>
      <w:numFmt w:val="lowerLetter"/>
      <w:start w:val="1"/>
    </w:lvl>
  </w:abstractNum>
  <w:abstractNum w:abstractNumId="252">
    <w:nsid w:val="605138DE"/>
    <w:multiLevelType w:val="hybridMultilevel"/>
    <w:lvl w:ilvl="0">
      <w:lvlJc w:val="left"/>
      <w:lvlText w:val="(%1)"/>
      <w:numFmt w:val="lowerLetter"/>
      <w:start w:val="9"/>
    </w:lvl>
  </w:abstractNum>
  <w:abstractNum w:abstractNumId="253">
    <w:nsid w:val="2622AD0C"/>
    <w:multiLevelType w:val="hybridMultilevel"/>
    <w:lvl w:ilvl="0">
      <w:lvlJc w:val="left"/>
      <w:lvlText w:val="(%1)"/>
      <w:numFmt w:val="lowerLetter"/>
      <w:start w:val="1"/>
    </w:lvl>
  </w:abstractNum>
  <w:abstractNum w:abstractNumId="254">
    <w:nsid w:val="67997556"/>
    <w:multiLevelType w:val="hybridMultilevel"/>
    <w:lvl w:ilvl="0">
      <w:lvlJc w:val="left"/>
      <w:lvlText w:val="(%1)"/>
      <w:numFmt w:val="lowerLetter"/>
      <w:start w:val="1"/>
    </w:lvl>
  </w:abstractNum>
  <w:abstractNum w:abstractNumId="255">
    <w:nsid w:val="18333C89"/>
    <w:multiLevelType w:val="hybridMultilevel"/>
    <w:lvl w:ilvl="0">
      <w:lvlJc w:val="left"/>
      <w:lvlText w:val="(%1)"/>
      <w:numFmt w:val="lowerLetter"/>
      <w:start w:val="6"/>
    </w:lvl>
    <w:lvl w:ilvl="1">
      <w:lvlJc w:val="left"/>
      <w:lvlText w:val="(%2)"/>
      <w:numFmt w:val="lowerRoman"/>
      <w:start w:val="3"/>
    </w:lvl>
  </w:abstractNum>
  <w:abstractNum w:abstractNumId="256">
    <w:nsid w:val="4BA9831A"/>
    <w:multiLevelType w:val="hybridMultilevel"/>
    <w:lvl w:ilvl="0">
      <w:lvlJc w:val="left"/>
      <w:lvlText w:val="(%1)"/>
      <w:numFmt w:val="lowerLetter"/>
      <w:start w:val="1"/>
    </w:lvl>
  </w:abstractNum>
  <w:abstractNum w:abstractNumId="257">
    <w:nsid w:val="6D71A2B"/>
    <w:multiLevelType w:val="hybridMultilevel"/>
    <w:lvl w:ilvl="0">
      <w:lvlJc w:val="left"/>
      <w:lvlText w:val="(%1)"/>
      <w:numFmt w:val="lowerLetter"/>
      <w:start w:val="1"/>
    </w:lvl>
  </w:abstractNum>
  <w:abstractNum w:abstractNumId="258">
    <w:nsid w:val="CFC7321"/>
    <w:multiLevelType w:val="hybridMultilevel"/>
    <w:lvl w:ilvl="0">
      <w:lvlJc w:val="left"/>
      <w:lvlText w:val="(%1)"/>
      <w:numFmt w:val="lowerLetter"/>
      <w:start w:val="4"/>
    </w:lvl>
  </w:abstractNum>
  <w:abstractNum w:abstractNumId="259">
    <w:nsid w:val="1421971B"/>
    <w:multiLevelType w:val="hybridMultilevel"/>
    <w:lvl w:ilvl="0">
      <w:lvlJc w:val="left"/>
      <w:lvlText w:val="(%1)"/>
      <w:numFmt w:val="lowerLetter"/>
      <w:start w:val="1"/>
    </w:lvl>
  </w:abstractNum>
  <w:abstractNum w:abstractNumId="260">
    <w:nsid w:val="1F404301"/>
    <w:multiLevelType w:val="hybridMultilevel"/>
    <w:lvl w:ilvl="0">
      <w:lvlJc w:val="left"/>
      <w:lvlText w:val="(%1)"/>
      <w:numFmt w:val="lowerLetter"/>
      <w:start w:val="1"/>
    </w:lvl>
  </w:abstractNum>
  <w:abstractNum w:abstractNumId="261">
    <w:nsid w:val="116E0907"/>
    <w:multiLevelType w:val="hybridMultilevel"/>
    <w:lvl w:ilvl="0">
      <w:lvlJc w:val="left"/>
      <w:lvlText w:val="(%1)"/>
      <w:numFmt w:val="lowerLetter"/>
      <w:start w:val="4"/>
    </w:lvl>
  </w:abstractNum>
  <w:abstractNum w:abstractNumId="262">
    <w:nsid w:val="4B683D0D"/>
    <w:multiLevelType w:val="hybridMultilevel"/>
    <w:lvl w:ilvl="0">
      <w:lvlJc w:val="left"/>
      <w:lvlText w:val="(%1)"/>
      <w:numFmt w:val="lowerLetter"/>
      <w:start w:val="1"/>
    </w:lvl>
  </w:abstractNum>
  <w:abstractNum w:abstractNumId="263">
    <w:nsid w:val="76E41D8"/>
    <w:multiLevelType w:val="hybridMultilevel"/>
    <w:lvl w:ilvl="0">
      <w:lvlJc w:val="left"/>
      <w:lvlText w:val="(%1)"/>
      <w:numFmt w:val="lowerLetter"/>
      <w:start w:val="2"/>
    </w:lvl>
  </w:abstractNum>
  <w:abstractNum w:abstractNumId="264">
    <w:nsid w:val="71DCE0FD"/>
    <w:multiLevelType w:val="hybridMultilevel"/>
    <w:lvl w:ilvl="0">
      <w:lvlJc w:val="left"/>
      <w:lvlText w:val="(%1)"/>
      <w:numFmt w:val="lowerLetter"/>
      <w:start w:val="1"/>
    </w:lvl>
  </w:abstractNum>
  <w:abstractNum w:abstractNumId="265">
    <w:nsid w:val="7906328B"/>
    <w:multiLevelType w:val="hybridMultilevel"/>
    <w:lvl w:ilvl="0">
      <w:lvlJc w:val="left"/>
      <w:lvlText w:val="(%1)"/>
      <w:numFmt w:val="lowerLetter"/>
      <w:start w:val="3"/>
    </w:lvl>
  </w:abstractNum>
  <w:abstractNum w:abstractNumId="266">
    <w:nsid w:val="72BBC16"/>
    <w:multiLevelType w:val="hybridMultilevel"/>
    <w:lvl w:ilvl="0">
      <w:lvlJc w:val="left"/>
      <w:lvlText w:val="(%1)"/>
      <w:numFmt w:val="lowerLetter"/>
      <w:start w:val="1"/>
    </w:lvl>
  </w:abstractNum>
  <w:abstractNum w:abstractNumId="267">
    <w:nsid w:val="766D98C2"/>
    <w:multiLevelType w:val="hybridMultilevel"/>
    <w:lvl w:ilvl="0">
      <w:lvlJc w:val="left"/>
      <w:lvlText w:val="(%1)"/>
      <w:numFmt w:val="lowerLetter"/>
      <w:start w:val="4"/>
    </w:lvl>
    <w:lvl w:ilvl="1">
      <w:lvlJc w:val="left"/>
      <w:lvlText w:val="(%2)"/>
      <w:numFmt w:val="lowerRoman"/>
      <w:start w:val="1"/>
    </w:lvl>
  </w:abstractNum>
  <w:abstractNum w:abstractNumId="268">
    <w:nsid w:val="3C09D4A1"/>
    <w:multiLevelType w:val="hybridMultilevel"/>
    <w:lvl w:ilvl="0">
      <w:lvlJc w:val="left"/>
      <w:lvlText w:val="(%1)"/>
      <w:numFmt w:val="lowerRoman"/>
      <w:start w:val="11"/>
    </w:lvl>
  </w:abstractNum>
  <w:abstractNum w:abstractNumId="269">
    <w:nsid w:val="20E45CA4"/>
    <w:multiLevelType w:val="hybridMultilevel"/>
    <w:lvl w:ilvl="0">
      <w:lvlJc w:val="left"/>
      <w:lvlText w:val="(%1)"/>
      <w:numFmt w:val="lowerLetter"/>
      <w:start w:val="1"/>
    </w:lvl>
  </w:abstractNum>
  <w:abstractNum w:abstractNumId="270">
    <w:nsid w:val="4B232EE3"/>
    <w:multiLevelType w:val="hybridMultilevel"/>
    <w:lvl w:ilvl="0">
      <w:lvlJc w:val="left"/>
      <w:lvlText w:val="(%1)"/>
      <w:numFmt w:val="lowerLetter"/>
      <w:start w:val="1"/>
    </w:lvl>
  </w:abstractNum>
  <w:abstractNum w:abstractNumId="271">
    <w:nsid w:val="159C74CF"/>
    <w:multiLevelType w:val="hybridMultilevel"/>
    <w:lvl w:ilvl="0">
      <w:lvlJc w:val="left"/>
      <w:lvlText w:val="3"/>
      <w:numFmt w:val="bullet"/>
      <w:start w:val="1"/>
    </w:lvl>
  </w:abstractNum>
  <w:abstractNum w:abstractNumId="272">
    <w:nsid w:val="4AD3AFD2"/>
    <w:multiLevelType w:val="hybridMultilevel"/>
    <w:lvl w:ilvl="0">
      <w:lvlJc w:val="left"/>
      <w:lvlText w:val="(%1)"/>
      <w:numFmt w:val="lowerLetter"/>
      <w:start w:val="1"/>
    </w:lvl>
  </w:abstractNum>
  <w:abstractNum w:abstractNumId="273">
    <w:nsid w:val="3CF93092"/>
    <w:multiLevelType w:val="hybridMultilevel"/>
    <w:lvl w:ilvl="0">
      <w:lvlJc w:val="left"/>
      <w:lvlText w:val="(%1)"/>
      <w:numFmt w:val="lowerLetter"/>
      <w:start w:val="1"/>
    </w:lvl>
  </w:abstractNum>
  <w:abstractNum w:abstractNumId="274">
    <w:nsid w:val="6863E8D2"/>
    <w:multiLevelType w:val="hybridMultilevel"/>
    <w:lvl w:ilvl="0">
      <w:lvlJc w:val="left"/>
      <w:lvlText w:val="(%1)"/>
      <w:numFmt w:val="lowerRoman"/>
      <w:start w:val="1"/>
    </w:lvl>
  </w:abstractNum>
  <w:abstractNum w:abstractNumId="275">
    <w:nsid w:val="76896198"/>
    <w:multiLevelType w:val="hybridMultilevel"/>
    <w:lvl w:ilvl="0">
      <w:lvlJc w:val="left"/>
      <w:lvlText w:val="(%1)"/>
      <w:numFmt w:val="lowerLetter"/>
      <w:start w:val="2"/>
    </w:lvl>
  </w:abstractNum>
  <w:abstractNum w:abstractNumId="276">
    <w:nsid w:val="4365174B"/>
    <w:multiLevelType w:val="hybridMultilevel"/>
    <w:lvl w:ilvl="0">
      <w:lvlJc w:val="left"/>
      <w:lvlText w:val="(%1)"/>
      <w:numFmt w:val="lowerLetter"/>
      <w:start w:val="1"/>
    </w:lvl>
  </w:abstractNum>
  <w:abstractNum w:abstractNumId="277">
    <w:nsid w:val="4A872C35"/>
    <w:multiLevelType w:val="hybridMultilevel"/>
    <w:lvl w:ilvl="0">
      <w:lvlJc w:val="left"/>
      <w:lvlText w:val="%1"/>
      <w:numFmt w:val="lowerLetter"/>
      <w:start w:val="1"/>
    </w:lvl>
    <w:lvl w:ilvl="1">
      <w:lvlJc w:val="left"/>
      <w:lvlText w:val="(%2)"/>
      <w:numFmt w:val="lowerRoman"/>
      <w:start w:val="1"/>
    </w:lvl>
  </w:abstractNum>
  <w:abstractNum w:abstractNumId="278">
    <w:nsid w:val="5D5CE761"/>
    <w:multiLevelType w:val="hybridMultilevel"/>
    <w:lvl w:ilvl="0">
      <w:lvlJc w:val="left"/>
      <w:lvlText w:val="(%1)"/>
      <w:numFmt w:val="lowerLetter"/>
      <w:start w:val="3"/>
    </w:lvl>
    <w:lvl w:ilvl="1">
      <w:lvlJc w:val="left"/>
      <w:lvlText w:val="(%2)"/>
      <w:numFmt w:val="lowerRoman"/>
      <w:start w:val="1"/>
    </w:lvl>
  </w:abstractNum>
  <w:abstractNum w:abstractNumId="279">
    <w:nsid w:val="1CD484D5"/>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280">
    <w:nsid w:val="21D06255"/>
    <w:multiLevelType w:val="hybridMultilevel"/>
    <w:lvl w:ilvl="0">
      <w:lvlJc w:val="left"/>
      <w:lvlText w:val="(%1)"/>
      <w:numFmt w:val="lowerLetter"/>
      <w:start w:val="2"/>
    </w:lvl>
  </w:abstractNum>
  <w:abstractNum w:abstractNumId="281">
    <w:nsid w:val="51194ED1"/>
    <w:multiLevelType w:val="hybridMultilevel"/>
    <w:lvl w:ilvl="0">
      <w:lvlJc w:val="left"/>
      <w:lvlText w:val="(%1)"/>
      <w:numFmt w:val="lowerLetter"/>
      <w:start w:val="1"/>
    </w:lvl>
    <w:lvl w:ilvl="1">
      <w:lvlJc w:val="left"/>
      <w:lvlText w:val="(%2)"/>
      <w:numFmt w:val="lowerRoman"/>
      <w:start w:val="1"/>
    </w:lvl>
  </w:abstractNum>
  <w:abstractNum w:abstractNumId="282">
    <w:nsid w:val="44E2ED6C"/>
    <w:multiLevelType w:val="hybridMultilevel"/>
    <w:lvl w:ilvl="0">
      <w:lvlJc w:val="left"/>
      <w:lvlText w:val="%1"/>
      <w:numFmt w:val="lowerRoman"/>
      <w:start w:val="1"/>
    </w:lvl>
    <w:lvl w:ilvl="1">
      <w:lvlJc w:val="left"/>
      <w:lvlText w:val="(%2)"/>
      <w:numFmt w:val="upperLetter"/>
      <w:start w:val="2"/>
    </w:lvl>
  </w:abstractNum>
  <w:abstractNum w:abstractNumId="283">
    <w:nsid w:val="2219B33"/>
    <w:multiLevelType w:val="hybridMultilevel"/>
    <w:lvl w:ilvl="0">
      <w:lvlJc w:val="left"/>
      <w:lvlText w:val="(%1)"/>
      <w:numFmt w:val="lowerRoman"/>
      <w:start w:val="2"/>
    </w:lvl>
    <w:lvl w:ilvl="1">
      <w:lvlJc w:val="left"/>
      <w:lvlText w:val="%2"/>
      <w:numFmt w:val="upperLetter"/>
      <w:start w:val="1"/>
    </w:lvl>
  </w:abstractNum>
  <w:abstractNum w:abstractNumId="284">
    <w:nsid w:val="773BFBDD"/>
    <w:multiLevelType w:val="hybridMultilevel"/>
    <w:lvl w:ilvl="0">
      <w:lvlJc w:val="left"/>
      <w:lvlText w:val="(%1)"/>
      <w:numFmt w:val="lowerRoman"/>
      <w:start w:val="1"/>
    </w:lvl>
  </w:abstractNum>
  <w:abstractNum w:abstractNumId="285">
    <w:nsid w:val="2C7C62C2"/>
    <w:multiLevelType w:val="hybridMultilevel"/>
    <w:lvl w:ilvl="0">
      <w:lvlJc w:val="left"/>
      <w:lvlText w:val="%1"/>
      <w:numFmt w:val="lowerLetter"/>
      <w:start w:val="1"/>
    </w:lvl>
    <w:lvl w:ilvl="1">
      <w:lvlJc w:val="left"/>
      <w:lvlText w:val="(%2)"/>
      <w:numFmt w:val="upperLetter"/>
      <w:start w:val="1"/>
    </w:lvl>
  </w:abstractNum>
  <w:abstractNum w:abstractNumId="286">
    <w:nsid w:val="1A54D7BC"/>
    <w:multiLevelType w:val="hybridMultilevel"/>
    <w:lvl w:ilvl="0">
      <w:lvlJc w:val="left"/>
      <w:lvlText w:val="(%1)"/>
      <w:numFmt w:val="lowerLetter"/>
      <w:start w:val="2"/>
    </w:lvl>
    <w:lvl w:ilvl="1">
      <w:lvlJc w:val="left"/>
      <w:lvlText w:val="%2"/>
      <w:numFmt w:val="upperLetter"/>
      <w:start w:val="1"/>
    </w:lvl>
  </w:abstractNum>
  <w:abstractNum w:abstractNumId="287">
    <w:nsid w:val="42E57EF7"/>
    <w:multiLevelType w:val="hybridMultilevel"/>
    <w:lvl w:ilvl="0">
      <w:lvlJc w:val="left"/>
      <w:lvlText w:val="(%1)"/>
      <w:numFmt w:val="lowerLetter"/>
      <w:start w:val="1"/>
    </w:lvl>
    <w:lvl w:ilvl="1">
      <w:lvlJc w:val="left"/>
      <w:lvlText w:val="(%2)"/>
      <w:numFmt w:val="lowerRoman"/>
      <w:start w:val="1"/>
    </w:lvl>
  </w:abstractNum>
  <w:abstractNum w:abstractNumId="288">
    <w:nsid w:val="33537CED"/>
    <w:multiLevelType w:val="hybridMultilevel"/>
    <w:lvl w:ilvl="0">
      <w:lvlJc w:val="left"/>
      <w:lvlText w:val="(%1)"/>
      <w:numFmt w:val="lowerLetter"/>
      <w:start w:val="2"/>
    </w:lvl>
  </w:abstractNum>
  <w:abstractNum w:abstractNumId="289">
    <w:nsid w:val="27514ADE"/>
    <w:multiLevelType w:val="hybridMultilevel"/>
    <w:lvl w:ilvl="0">
      <w:lvlJc w:val="left"/>
      <w:lvlText w:val="5"/>
      <w:numFmt w:val="bullet"/>
      <w:start w:val="1"/>
    </w:lvl>
  </w:abstractNum>
  <w:abstractNum w:abstractNumId="290">
    <w:nsid w:val="57071613"/>
    <w:multiLevelType w:val="hybridMultilevel"/>
    <w:lvl w:ilvl="0">
      <w:lvlJc w:val="left"/>
      <w:lvlText w:val="(%1)"/>
      <w:numFmt w:val="lowerLetter"/>
      <w:start w:val="1"/>
    </w:lvl>
  </w:abstractNum>
  <w:abstractNum w:abstractNumId="291">
    <w:nsid w:val="5293BFEF"/>
    <w:multiLevelType w:val="hybridMultilevel"/>
    <w:lvl w:ilvl="0">
      <w:lvlJc w:val="left"/>
      <w:lvlText w:val="(%1)"/>
      <w:numFmt w:val="lowerRoman"/>
      <w:start w:val="1"/>
    </w:lvl>
  </w:abstractNum>
  <w:abstractNum w:abstractNumId="292">
    <w:nsid w:val="38BF53E5"/>
    <w:multiLevelType w:val="hybridMultilevel"/>
    <w:lvl w:ilvl="0">
      <w:lvlJc w:val="left"/>
      <w:lvlText w:val="%1"/>
      <w:numFmt w:val="lowerLetter"/>
      <w:start w:val="1"/>
    </w:lvl>
    <w:lvl w:ilvl="1">
      <w:lvlJc w:val="left"/>
      <w:lvlText w:val="(%2)"/>
      <w:numFmt w:val="lowerLetter"/>
      <w:start w:val="61"/>
    </w:lvl>
  </w:abstractNum>
  <w:abstractNum w:abstractNumId="293">
    <w:nsid w:val="226F5320"/>
    <w:multiLevelType w:val="hybridMultilevel"/>
    <w:lvl w:ilvl="0">
      <w:lvlJc w:val="left"/>
      <w:lvlText w:val="(%1)"/>
      <w:numFmt w:val="lowerLetter"/>
      <w:start w:val="2"/>
    </w:lvl>
    <w:lvl w:ilvl="1">
      <w:lvlJc w:val="left"/>
      <w:lvlText w:val="(%2)"/>
      <w:numFmt w:val="lowerLetter"/>
      <w:start w:val="9"/>
    </w:lvl>
  </w:abstractNum>
  <w:abstractNum w:abstractNumId="294">
    <w:nsid w:val="5A0201C7"/>
    <w:multiLevelType w:val="hybridMultilevel"/>
    <w:lvl w:ilvl="0">
      <w:lvlJc w:val="left"/>
      <w:lvlText w:val="(%1)"/>
      <w:numFmt w:val="lowerRoman"/>
      <w:start w:val="2"/>
    </w:lvl>
  </w:abstractNum>
  <w:abstractNum w:abstractNumId="295">
    <w:nsid w:val="2A9C34E2"/>
    <w:multiLevelType w:val="hybridMultilevel"/>
    <w:lvl w:ilvl="0">
      <w:lvlJc w:val="left"/>
      <w:lvlText w:val="(%1)"/>
      <w:numFmt w:val="lowerLetter"/>
      <w:start w:val="1"/>
    </w:lvl>
  </w:abstractNum>
  <w:abstractNum w:abstractNumId="296">
    <w:nsid w:val="1B7585AB"/>
    <w:multiLevelType w:val="hybridMultilevel"/>
    <w:lvl w:ilvl="0">
      <w:lvlJc w:val="left"/>
      <w:lvlText w:val="(%1)"/>
      <w:numFmt w:val="lowerLetter"/>
      <w:start w:val="2"/>
    </w:lvl>
    <w:lvl w:ilvl="1">
      <w:lvlJc w:val="left"/>
      <w:lvlText w:val="(%2)"/>
      <w:numFmt w:val="lowerRoman"/>
      <w:start w:val="1"/>
    </w:lvl>
  </w:abstractNum>
  <w:abstractNum w:abstractNumId="297">
    <w:nsid w:val="612DBDDD"/>
    <w:multiLevelType w:val="hybridMultilevel"/>
    <w:lvl w:ilvl="0">
      <w:lvlJc w:val="left"/>
      <w:lvlText w:val="(%1)"/>
      <w:numFmt w:val="lowerLetter"/>
      <w:start w:val="1"/>
    </w:lvl>
    <w:lvl w:ilvl="1">
      <w:lvlJc w:val="left"/>
      <w:lvlText w:val="(%2)"/>
      <w:numFmt w:val="lowerRoman"/>
      <w:start w:val="1"/>
    </w:lvl>
  </w:abstractNum>
  <w:abstractNum w:abstractNumId="298">
    <w:nsid w:val="2109CDA4"/>
    <w:multiLevelType w:val="hybridMultilevel"/>
    <w:lvl w:ilvl="0">
      <w:lvlJc w:val="left"/>
      <w:lvlText w:val="(%1)"/>
      <w:numFmt w:val="lowerLetter"/>
      <w:start w:val="1"/>
    </w:lvl>
  </w:abstractNum>
  <w:abstractNum w:abstractNumId="299">
    <w:nsid w:val="577F5A4D"/>
    <w:multiLevelType w:val="hybridMultilevel"/>
    <w:lvl w:ilvl="0">
      <w:lvlJc w:val="left"/>
      <w:lvlText w:val="6"/>
      <w:numFmt w:val="bullet"/>
      <w:start w:val="1"/>
    </w:lvl>
  </w:abstractNum>
  <w:abstractNum w:abstractNumId="300">
    <w:nsid w:val="2121A81"/>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301">
    <w:nsid w:val="6C2CFC88"/>
    <w:multiLevelType w:val="hybridMultilevel"/>
    <w:lvl w:ilvl="0">
      <w:lvlJc w:val="left"/>
      <w:lvlText w:val="(%1)"/>
      <w:numFmt w:val="lowerLetter"/>
      <w:start w:val="1"/>
    </w:lvl>
    <w:lvl w:ilvl="1">
      <w:lvlJc w:val="left"/>
      <w:lvlText w:val="(%2)"/>
      <w:numFmt w:val="lowerRoman"/>
      <w:start w:val="1"/>
    </w:lvl>
  </w:abstractNum>
  <w:abstractNum w:abstractNumId="302">
    <w:nsid w:val="6D1BCF1C"/>
    <w:multiLevelType w:val="hybridMultilevel"/>
    <w:lvl w:ilvl="0">
      <w:lvlJc w:val="left"/>
      <w:lvlText w:val="%1"/>
      <w:numFmt w:val="lowerLetter"/>
      <w:start w:val="1"/>
    </w:lvl>
    <w:lvl w:ilvl="1">
      <w:lvlJc w:val="left"/>
      <w:lvlText w:val="(%2)"/>
      <w:numFmt w:val="lowerLetter"/>
      <w:start w:val="35"/>
    </w:lvl>
    <w:lvl w:ilvl="2">
      <w:lvlJc w:val="left"/>
      <w:lvlText w:val="(%3)"/>
      <w:numFmt w:val="upperLetter"/>
      <w:start w:val="1"/>
    </w:lvl>
  </w:abstractNum>
  <w:abstractNum w:abstractNumId="303">
    <w:nsid w:val="4CE5CA53"/>
    <w:multiLevelType w:val="hybridMultilevel"/>
    <w:lvl w:ilvl="0">
      <w:lvlJc w:val="left"/>
      <w:lvlText w:val="(%1)"/>
      <w:numFmt w:val="lowerLetter"/>
      <w:start w:val="2"/>
    </w:lvl>
    <w:lvl w:ilvl="1">
      <w:lvlJc w:val="left"/>
      <w:lvlText w:val="%2"/>
      <w:numFmt w:val="lowerLetter"/>
      <w:start w:val="1"/>
    </w:lvl>
    <w:lvl w:ilvl="2">
      <w:lvlJc w:val="left"/>
      <w:lvlText w:val="%3"/>
      <w:numFmt w:val="upperLetter"/>
      <w:start w:val="1"/>
    </w:lvl>
  </w:abstractNum>
  <w:abstractNum w:abstractNumId="304">
    <w:nsid w:val="29262D1A"/>
    <w:multiLevelType w:val="hybridMultilevel"/>
    <w:lvl w:ilvl="0">
      <w:lvlJc w:val="left"/>
      <w:lvlText w:val="(%1)"/>
      <w:numFmt w:val="lowerLetter"/>
      <w:start w:val="1"/>
    </w:lvl>
  </w:abstractNum>
  <w:abstractNum w:abstractNumId="305">
    <w:nsid w:val="557FB7EE"/>
    <w:multiLevelType w:val="hybridMultilevel"/>
    <w:lvl w:ilvl="0">
      <w:lvlJc w:val="left"/>
      <w:lvlText w:val="(%1)"/>
      <w:numFmt w:val="lowerLetter"/>
      <w:start w:val="1"/>
    </w:lvl>
    <w:lvl w:ilvl="1">
      <w:lvlJc w:val="left"/>
      <w:lvlText w:val="(%2)"/>
      <w:numFmt w:val="lowerRoman"/>
      <w:start w:val="1"/>
    </w:lvl>
  </w:abstractNum>
  <w:abstractNum w:abstractNumId="306">
    <w:nsid w:val="436F2BEB"/>
    <w:multiLevelType w:val="hybridMultilevel"/>
    <w:lvl w:ilvl="0">
      <w:lvlJc w:val="left"/>
      <w:lvlText w:val="7"/>
      <w:numFmt w:val="bullet"/>
      <w:start w:val="1"/>
    </w:lvl>
  </w:abstractNum>
  <w:abstractNum w:abstractNumId="307">
    <w:nsid w:val="6C8B4466"/>
    <w:multiLevelType w:val="hybridMultilevel"/>
    <w:lvl w:ilvl="0">
      <w:lvlJc w:val="left"/>
      <w:lvlText w:val="(%1)"/>
      <w:numFmt w:val="lowerLetter"/>
      <w:start w:val="1"/>
    </w:lvl>
  </w:abstractNum>
  <w:abstractNum w:abstractNumId="308">
    <w:nsid w:val="2006E424"/>
    <w:multiLevelType w:val="hybridMultilevel"/>
    <w:lvl w:ilvl="0">
      <w:lvlJc w:val="left"/>
      <w:lvlText w:val="(%1)"/>
      <w:numFmt w:val="lowerLetter"/>
      <w:start w:val="1"/>
    </w:lvl>
  </w:abstractNum>
  <w:abstractNum w:abstractNumId="309">
    <w:nsid w:val="20CC134C"/>
    <w:multiLevelType w:val="hybridMultilevel"/>
    <w:lvl w:ilvl="0">
      <w:lvlJc w:val="left"/>
      <w:lvlText w:val="8"/>
      <w:numFmt w:val="bullet"/>
      <w:start w:val="1"/>
    </w:lvl>
  </w:abstractNum>
  <w:abstractNum w:abstractNumId="310">
    <w:nsid w:val="95FC93B"/>
    <w:multiLevelType w:val="hybridMultilevel"/>
    <w:lvl w:ilvl="0">
      <w:lvlJc w:val="left"/>
      <w:lvlText w:val="(%1)"/>
      <w:numFmt w:val="lowerLetter"/>
      <w:start w:val="1"/>
    </w:lvl>
  </w:abstractNum>
  <w:abstractNum w:abstractNumId="311">
    <w:nsid w:val="41D74679"/>
    <w:multiLevelType w:val="hybridMultilevel"/>
    <w:lvl w:ilvl="0">
      <w:lvlJc w:val="left"/>
      <w:lvlText w:val="(%1)"/>
      <w:numFmt w:val="lowerLetter"/>
      <w:start w:val="3"/>
    </w:lvl>
    <w:lvl w:ilvl="1">
      <w:lvlJc w:val="left"/>
      <w:lvlText w:val="(%2)"/>
      <w:numFmt w:val="lowerRoman"/>
      <w:start w:val="1"/>
    </w:lvl>
  </w:abstractNum>
  <w:abstractNum w:abstractNumId="312">
    <w:nsid w:val="71E5621E"/>
    <w:multiLevelType w:val="hybridMultilevel"/>
    <w:lvl w:ilvl="0">
      <w:lvlJc w:val="left"/>
      <w:lvlText w:val="(%1)"/>
      <w:numFmt w:val="lowerLetter"/>
      <w:start w:val="11"/>
    </w:lvl>
    <w:lvl w:ilvl="1">
      <w:lvlJc w:val="left"/>
      <w:lvlText w:val="(%2)"/>
      <w:numFmt w:val="lowerRoman"/>
      <w:start w:val="1"/>
    </w:lvl>
  </w:abstractNum>
  <w:abstractNum w:abstractNumId="313">
    <w:nsid w:val="4E42B6A8"/>
    <w:multiLevelType w:val="hybridMultilevel"/>
    <w:lvl w:ilvl="0">
      <w:lvlJc w:val="left"/>
      <w:lvlText w:val="(%1)"/>
      <w:numFmt w:val="lowerRoman"/>
      <w:start w:val="2"/>
    </w:lvl>
  </w:abstractNum>
  <w:abstractNum w:abstractNumId="314">
    <w:nsid w:val="43F8E1AC"/>
    <w:multiLevelType w:val="hybridMultilevel"/>
    <w:lvl w:ilvl="0">
      <w:lvlJc w:val="left"/>
      <w:lvlText w:val="%1"/>
      <w:numFmt w:val="lowerRoman"/>
      <w:start w:val="1"/>
    </w:lvl>
    <w:lvl w:ilvl="1">
      <w:lvlJc w:val="left"/>
      <w:lvlText w:val="(%2)"/>
      <w:numFmt w:val="upperLetter"/>
      <w:start w:val="2"/>
    </w:lvl>
  </w:abstractNum>
  <w:abstractNum w:abstractNumId="315">
    <w:nsid w:val="69215DFB"/>
    <w:multiLevelType w:val="hybridMultilevel"/>
    <w:lvl w:ilvl="0">
      <w:lvlJc w:val="left"/>
      <w:lvlText w:val="(%1)"/>
      <w:numFmt w:val="lowerRoman"/>
      <w:start w:val="7"/>
    </w:lvl>
    <w:lvl w:ilvl="1">
      <w:lvlJc w:val="left"/>
      <w:lvlText w:val="(%2)"/>
      <w:numFmt w:val="upperLetter"/>
      <w:start w:val="1"/>
    </w:lvl>
  </w:abstractNum>
  <w:abstractNum w:abstractNumId="316">
    <w:nsid w:val="7ABF196A"/>
    <w:multiLevelType w:val="hybridMultilevel"/>
    <w:lvl w:ilvl="0">
      <w:lvlJc w:val="left"/>
      <w:lvlText w:val="(%1)"/>
      <w:numFmt w:val="upperLetter"/>
      <w:start w:val="1"/>
    </w:lvl>
  </w:abstractNum>
  <w:abstractNum w:abstractNumId="317">
    <w:nsid w:val="5E4DB968"/>
    <w:multiLevelType w:val="hybridMultilevel"/>
    <w:lvl w:ilvl="0">
      <w:lvlJc w:val="left"/>
      <w:lvlText w:val="%1"/>
      <w:numFmt w:val="lowerLetter"/>
      <w:start w:val="1"/>
    </w:lvl>
    <w:lvl w:ilvl="1">
      <w:lvlJc w:val="left"/>
      <w:lvlText w:val="(%2)"/>
      <w:numFmt w:val="upperLetter"/>
      <w:start w:val="2"/>
    </w:lvl>
  </w:abstractNum>
  <w:abstractNum w:abstractNumId="318">
    <w:nsid w:val="2C06DCF3"/>
    <w:multiLevelType w:val="hybridMultilevel"/>
    <w:lvl w:ilvl="0">
      <w:lvlJc w:val="left"/>
      <w:lvlText w:val="(%1)"/>
      <w:numFmt w:val="lowerLetter"/>
      <w:start w:val="22"/>
    </w:lvl>
    <w:lvl w:ilvl="1">
      <w:lvlJc w:val="left"/>
      <w:lvlText w:val="%2"/>
      <w:numFmt w:val="upperLetter"/>
      <w:start w:val="1"/>
    </w:lvl>
  </w:abstractNum>
  <w:abstractNum w:abstractNumId="319">
    <w:nsid w:val="2E129658"/>
    <w:multiLevelType w:val="hybridMultilevel"/>
    <w:lvl w:ilvl="0">
      <w:lvlJc w:val="left"/>
      <w:lvlText w:val="(%1)"/>
      <w:numFmt w:val="lowerLetter"/>
      <w:start w:val="1"/>
    </w:lvl>
  </w:abstractNum>
  <w:abstractNum w:abstractNumId="320">
    <w:nsid w:val="59F0446"/>
    <w:multiLevelType w:val="hybridMultilevel"/>
    <w:lvl w:ilvl="0">
      <w:lvlJc w:val="left"/>
      <w:lvlText w:val="9"/>
      <w:numFmt w:val="bullet"/>
      <w:start w:val="1"/>
    </w:lvl>
  </w:abstractNum>
  <w:abstractNum w:abstractNumId="321">
    <w:nsid w:val="30DF306"/>
    <w:multiLevelType w:val="hybridMultilevel"/>
    <w:lvl w:ilvl="0">
      <w:lvlJc w:val="left"/>
      <w:lvlText w:val="(%1)"/>
      <w:numFmt w:val="lowerLetter"/>
      <w:start w:val="1"/>
    </w:lvl>
    <w:lvl w:ilvl="1">
      <w:lvlJc w:val="left"/>
      <w:lvlText w:val="(%2)"/>
      <w:numFmt w:val="lowerRoman"/>
      <w:start w:val="1"/>
    </w:lvl>
  </w:abstractNum>
  <w:abstractNum w:abstractNumId="322">
    <w:nsid w:val="A65647"/>
    <w:multiLevelType w:val="hybridMultilevel"/>
    <w:lvl w:ilvl="0">
      <w:lvlJc w:val="left"/>
      <w:lvlText w:val="(%1)"/>
      <w:numFmt w:val="lowerLetter"/>
      <w:start w:val="5"/>
    </w:lvl>
  </w:abstractNum>
  <w:abstractNum w:abstractNumId="323">
    <w:nsid w:val="3E5E582B"/>
    <w:multiLevelType w:val="hybridMultilevel"/>
    <w:lvl w:ilvl="0">
      <w:lvlJc w:val="left"/>
      <w:lvlText w:val="(%1)"/>
      <w:numFmt w:val="lowerLetter"/>
      <w:start w:val="6"/>
    </w:lvl>
  </w:abstractNum>
  <w:abstractNum w:abstractNumId="324">
    <w:nsid w:val="257D4626"/>
    <w:multiLevelType w:val="hybridMultilevel"/>
    <w:lvl w:ilvl="0">
      <w:lvlJc w:val="left"/>
      <w:lvlText w:val="(%1)"/>
      <w:numFmt w:val="lowerLetter"/>
      <w:start w:val="1"/>
    </w:lvl>
  </w:abstractNum>
  <w:abstractNum w:abstractNumId="325">
    <w:nsid w:val="5AA8580E"/>
    <w:multiLevelType w:val="hybridMultilevel"/>
    <w:lvl w:ilvl="0">
      <w:lvlJc w:val="left"/>
      <w:lvlText w:val="(%1)"/>
      <w:numFmt w:val="lowerLetter"/>
      <w:start w:val="1"/>
    </w:lvl>
  </w:abstractNum>
  <w:abstractNum w:abstractNumId="326">
    <w:nsid w:val="68FA8D0D"/>
    <w:multiLevelType w:val="hybridMultilevel"/>
    <w:lvl w:ilvl="0">
      <w:lvlJc w:val="left"/>
      <w:lvlText w:val="(%1)"/>
      <w:numFmt w:val="lowerLetter"/>
      <w:start w:val="6"/>
    </w:lvl>
  </w:abstractNum>
  <w:abstractNum w:abstractNumId="327">
    <w:nsid w:val="40F2CBD2"/>
    <w:multiLevelType w:val="hybridMultilevel"/>
    <w:lvl w:ilvl="0">
      <w:lvlJc w:val="left"/>
      <w:lvlText w:val="(%1)"/>
      <w:numFmt w:val="lowerLetter"/>
      <w:start w:val="1"/>
    </w:lvl>
    <w:lvl w:ilvl="1">
      <w:lvlJc w:val="left"/>
      <w:lvlText w:val="(%2)"/>
      <w:numFmt w:val="lowerRoman"/>
      <w:start w:val="1"/>
    </w:lvl>
  </w:abstractNum>
  <w:abstractNum w:abstractNumId="328">
    <w:nsid w:val="3BD615EB"/>
    <w:multiLevelType w:val="hybridMultilevel"/>
    <w:lvl w:ilvl="0">
      <w:lvlJc w:val="left"/>
      <w:lvlText w:val="%1"/>
      <w:numFmt w:val="lowerLetter"/>
      <w:start w:val="1"/>
    </w:lvl>
    <w:lvl w:ilvl="1">
      <w:lvlJc w:val="left"/>
      <w:lvlText w:val="(%2)"/>
      <w:numFmt w:val="lowerRoman"/>
      <w:start w:val="9"/>
    </w:lvl>
  </w:abstractNum>
  <w:abstractNum w:abstractNumId="329">
    <w:nsid w:val="A045AB2"/>
    <w:multiLevelType w:val="hybridMultilevel"/>
    <w:lvl w:ilvl="0">
      <w:lvlJc w:val="left"/>
      <w:lvlText w:val="(%1)"/>
      <w:numFmt w:val="lowerLetter"/>
      <w:start w:val="5"/>
    </w:lvl>
    <w:lvl w:ilvl="1">
      <w:lvlJc w:val="left"/>
      <w:lvlText w:val="%2"/>
      <w:numFmt w:val="lowerRoman"/>
      <w:start w:val="1"/>
    </w:lvl>
  </w:abstractNum>
  <w:abstractNum w:abstractNumId="330">
    <w:nsid w:val="1872261F"/>
    <w:multiLevelType w:val="hybridMultilevel"/>
    <w:lvl w:ilvl="0">
      <w:lvlJc w:val="left"/>
      <w:lvlText w:val="(%1)"/>
      <w:numFmt w:val="lowerLetter"/>
      <w:start w:val="7"/>
    </w:lvl>
  </w:abstractNum>
  <w:abstractNum w:abstractNumId="331">
    <w:nsid w:val="3DE8306C"/>
    <w:multiLevelType w:val="hybridMultilevel"/>
    <w:lvl w:ilvl="0">
      <w:lvlJc w:val="left"/>
      <w:lvlText w:val="(%1)"/>
      <w:numFmt w:val="lowerLetter"/>
      <w:start w:val="1"/>
    </w:lvl>
  </w:abstractNum>
  <w:abstractNum w:abstractNumId="332">
    <w:nsid w:val="7631573A"/>
    <w:multiLevelType w:val="hybridMultilevel"/>
    <w:lvl w:ilvl="0">
      <w:lvlJc w:val="left"/>
      <w:lvlText w:val="%1"/>
      <w:numFmt w:val="lowerLetter"/>
      <w:start w:val="1"/>
    </w:lvl>
    <w:lvl w:ilvl="1">
      <w:lvlJc w:val="left"/>
      <w:lvlText w:val="(%2)"/>
      <w:numFmt w:val="lowerLetter"/>
      <w:start w:val="35"/>
    </w:lvl>
  </w:abstractNum>
  <w:abstractNum w:abstractNumId="333">
    <w:nsid w:val="58DF53B"/>
    <w:multiLevelType w:val="hybridMultilevel"/>
    <w:lvl w:ilvl="0">
      <w:lvlJc w:val="left"/>
      <w:lvlText w:val="(%1)"/>
      <w:numFmt w:val="lowerLetter"/>
      <w:start w:val="3"/>
    </w:lvl>
    <w:lvl w:ilvl="1">
      <w:lvlJc w:val="left"/>
      <w:lvlText w:val="(%2)"/>
      <w:numFmt w:val="lowerLetter"/>
      <w:start w:val="9"/>
    </w:lvl>
  </w:abstractNum>
  <w:abstractNum w:abstractNumId="334">
    <w:nsid w:val="ACDFAC0"/>
    <w:multiLevelType w:val="hybridMultilevel"/>
    <w:lvl w:ilvl="0">
      <w:lvlJc w:val="left"/>
      <w:lvlText w:val="(%1)"/>
      <w:numFmt w:val="lowerRoman"/>
      <w:start w:val="2"/>
    </w:lvl>
  </w:abstractNum>
  <w:abstractNum w:abstractNumId="335">
    <w:nsid w:val="1F578454"/>
    <w:multiLevelType w:val="hybridMultilevel"/>
    <w:lvl w:ilvl="0">
      <w:lvlJc w:val="left"/>
      <w:lvlText w:val="(%1)"/>
      <w:numFmt w:val="lowerLetter"/>
      <w:start w:val="5"/>
    </w:lvl>
    <w:lvl w:ilvl="1">
      <w:lvlJc w:val="left"/>
      <w:lvlText w:val="(%2)"/>
      <w:numFmt w:val="lowerRoman"/>
      <w:start w:val="1"/>
    </w:lvl>
  </w:abstractNum>
  <w:abstractNum w:abstractNumId="336">
    <w:nsid w:val="5B0DAD2A"/>
    <w:multiLevelType w:val="hybridMultilevel"/>
    <w:lvl w:ilvl="0">
      <w:lvlJc w:val="left"/>
      <w:lvlText w:val="(%1)"/>
      <w:numFmt w:val="lowerLetter"/>
      <w:start w:val="6"/>
    </w:lvl>
    <w:lvl w:ilvl="1">
      <w:lvlJc w:val="left"/>
      <w:lvlText w:val="(%2)"/>
      <w:numFmt w:val="lowerRoman"/>
      <w:start w:val="1"/>
    </w:lvl>
  </w:abstractNum>
  <w:abstractNum w:abstractNumId="337">
    <w:nsid w:val="4E3D26AB"/>
    <w:multiLevelType w:val="hybridMultilevel"/>
    <w:lvl w:ilvl="0">
      <w:lvlJc w:val="left"/>
      <w:lvlText w:val="(%1)"/>
      <w:numFmt w:val="lowerRoman"/>
      <w:start w:val="4"/>
    </w:lvl>
  </w:abstractNum>
  <w:abstractNum w:abstractNumId="338">
    <w:nsid w:val="BE2C8BA"/>
    <w:multiLevelType w:val="hybridMultilevel"/>
    <w:lvl w:ilvl="0">
      <w:lvlJc w:val="left"/>
      <w:lvlText w:val="%1"/>
      <w:numFmt w:val="lowerLetter"/>
      <w:start w:val="1"/>
    </w:lvl>
    <w:lvl w:ilvl="1">
      <w:lvlJc w:val="left"/>
      <w:lvlText w:val="(%2)"/>
      <w:numFmt w:val="lowerRoman"/>
      <w:start w:val="1"/>
    </w:lvl>
  </w:abstractNum>
  <w:abstractNum w:abstractNumId="339">
    <w:nsid w:val="7B14914E"/>
    <w:multiLevelType w:val="hybridMultilevel"/>
    <w:lvl w:ilvl="0">
      <w:lvlJc w:val="left"/>
      <w:lvlText w:val="(%1)"/>
      <w:numFmt w:val="lowerLetter"/>
      <w:start w:val="8"/>
    </w:lvl>
    <w:lvl w:ilvl="1">
      <w:lvlJc w:val="left"/>
      <w:lvlText w:val="(%2)"/>
      <w:numFmt w:val="lowerRoman"/>
      <w:start w:val="1"/>
    </w:lvl>
  </w:abstractNum>
  <w:abstractNum w:abstractNumId="340">
    <w:nsid w:val="6F0939F8"/>
    <w:multiLevelType w:val="hybridMultilevel"/>
    <w:lvl w:ilvl="0">
      <w:lvlJc w:val="left"/>
      <w:lvlText w:val="(%1)"/>
      <w:numFmt w:val="lowerRoman"/>
      <w:start w:val="3"/>
    </w:lvl>
  </w:abstractNum>
  <w:abstractNum w:abstractNumId="341">
    <w:nsid w:val="154291F6"/>
    <w:multiLevelType w:val="hybridMultilevel"/>
    <w:lvl w:ilvl="0">
      <w:lvlJc w:val="left"/>
      <w:lvlText w:val="(%1)"/>
      <w:numFmt w:val="lowerRoman"/>
      <w:start w:val="1"/>
    </w:lvl>
  </w:abstractNum>
  <w:abstractNum w:abstractNumId="342">
    <w:nsid w:val="3CEBD7C7"/>
    <w:multiLevelType w:val="hybridMultilevel"/>
    <w:lvl w:ilvl="0">
      <w:lvlJc w:val="left"/>
      <w:lvlText w:val="%1"/>
      <w:numFmt w:val="lowerLetter"/>
      <w:start w:val="1"/>
    </w:lvl>
    <w:lvl w:ilvl="1">
      <w:lvlJc w:val="left"/>
      <w:lvlText w:val="(%2)"/>
      <w:numFmt w:val="lowerLetter"/>
      <w:start w:val="35"/>
    </w:lvl>
  </w:abstractNum>
  <w:abstractNum w:abstractNumId="343">
    <w:nsid w:val="60EE9C16"/>
    <w:multiLevelType w:val="hybridMultilevel"/>
    <w:lvl w:ilvl="0">
      <w:lvlJc w:val="left"/>
      <w:lvlText w:val="(%1)"/>
      <w:numFmt w:val="lowerLetter"/>
      <w:start w:val="10"/>
    </w:lvl>
    <w:lvl w:ilvl="1">
      <w:lvlJc w:val="left"/>
      <w:lvlText w:val="(%2)"/>
      <w:numFmt w:val="lowerLetter"/>
      <w:start w:val="9"/>
    </w:lvl>
  </w:abstractNum>
  <w:abstractNum w:abstractNumId="344">
    <w:nsid w:val="6385489E"/>
    <w:multiLevelType w:val="hybridMultilevel"/>
    <w:lvl w:ilvl="0">
      <w:lvlJc w:val="left"/>
      <w:lvlText w:val="%1"/>
      <w:numFmt w:val="lowerLetter"/>
      <w:start w:val="1"/>
    </w:lvl>
    <w:lvl w:ilvl="1">
      <w:lvlJc w:val="left"/>
      <w:lvlText w:val="(%2)"/>
      <w:numFmt w:val="lowerLetter"/>
      <w:start w:val="35"/>
    </w:lvl>
  </w:abstractNum>
  <w:abstractNum w:abstractNumId="345">
    <w:nsid w:val="E4B973"/>
    <w:multiLevelType w:val="hybridMultilevel"/>
    <w:lvl w:ilvl="0">
      <w:lvlJc w:val="left"/>
      <w:lvlText w:val="(%1)"/>
      <w:numFmt w:val="lowerLetter"/>
      <w:start w:val="11"/>
    </w:lvl>
    <w:lvl w:ilvl="1">
      <w:lvlJc w:val="left"/>
      <w:lvlText w:val="%2"/>
      <w:numFmt w:val="lowerLetter"/>
      <w:start w:val="1"/>
    </w:lvl>
  </w:abstractNum>
  <w:abstractNum w:abstractNumId="346">
    <w:nsid w:val="4A0FFA11"/>
    <w:multiLevelType w:val="hybridMultilevel"/>
    <w:lvl w:ilvl="0">
      <w:lvlJc w:val="left"/>
      <w:lvlText w:val="(%1)"/>
      <w:numFmt w:val="lowerLetter"/>
      <w:start w:val="12"/>
    </w:lvl>
  </w:abstractNum>
  <w:abstractNum w:abstractNumId="347">
    <w:nsid w:val="5E446208"/>
    <w:multiLevelType w:val="hybridMultilevel"/>
    <w:lvl w:ilvl="0">
      <w:lvlJc w:val="left"/>
      <w:lvlText w:val="%1"/>
      <w:numFmt w:val="lowerLetter"/>
      <w:start w:val="1"/>
    </w:lvl>
    <w:lvl w:ilvl="1">
      <w:lvlJc w:val="left"/>
      <w:lvlText w:val="(%2)"/>
      <w:numFmt w:val="lowerRoman"/>
      <w:start w:val="1"/>
    </w:lvl>
  </w:abstractNum>
  <w:abstractNum w:abstractNumId="348">
    <w:nsid w:val="5F3272DB"/>
    <w:multiLevelType w:val="hybridMultilevel"/>
    <w:lvl w:ilvl="0">
      <w:lvlJc w:val="left"/>
      <w:lvlText w:val="(%1)"/>
      <w:numFmt w:val="lowerLetter"/>
      <w:start w:val="13"/>
    </w:lvl>
    <w:lvl w:ilvl="1">
      <w:lvlJc w:val="left"/>
      <w:lvlText w:val="%2"/>
      <w:numFmt w:val="lowerRoman"/>
      <w:start w:val="1"/>
    </w:lvl>
  </w:abstractNum>
  <w:abstractNum w:abstractNumId="349">
    <w:nsid w:val="7616D704"/>
    <w:multiLevelType w:val="hybridMultilevel"/>
    <w:lvl w:ilvl="0">
      <w:lvlJc w:val="left"/>
      <w:lvlText w:val="(%1)"/>
      <w:numFmt w:val="lowerRoman"/>
      <w:start w:val="2"/>
    </w:lvl>
  </w:abstractNum>
  <w:abstractNum w:abstractNumId="350">
    <w:nsid w:val="C56F860"/>
    <w:multiLevelType w:val="hybridMultilevel"/>
    <w:lvl w:ilvl="0">
      <w:lvlJc w:val="left"/>
      <w:lvlText w:val="(%1)"/>
      <w:numFmt w:val="lowerLetter"/>
      <w:start w:val="1"/>
    </w:lvl>
    <w:lvl w:ilvl="1">
      <w:lvlJc w:val="left"/>
      <w:lvlText w:val="(%2)"/>
      <w:numFmt w:val="lowerRoman"/>
      <w:start w:val="1"/>
    </w:lvl>
  </w:abstractNum>
  <w:abstractNum w:abstractNumId="351">
    <w:nsid w:val="64D17722"/>
    <w:multiLevelType w:val="hybridMultilevel"/>
    <w:lvl w:ilvl="0">
      <w:lvlJc w:val="left"/>
      <w:lvlText w:val="(%1)"/>
      <w:numFmt w:val="lowerLetter"/>
      <w:start w:val="1"/>
    </w:lvl>
    <w:lvl w:ilvl="1">
      <w:lvlJc w:val="left"/>
      <w:lvlText w:val="(%2)"/>
      <w:numFmt w:val="lowerRoman"/>
      <w:start w:val="1"/>
    </w:lvl>
  </w:abstractNum>
  <w:abstractNum w:abstractNumId="352">
    <w:nsid w:val="7924CA0A"/>
    <w:multiLevelType w:val="hybridMultilevel"/>
    <w:lvl w:ilvl="0">
      <w:lvlJc w:val="left"/>
      <w:lvlText w:val="%1"/>
      <w:numFmt w:val="lowerLetter"/>
      <w:start w:val="1"/>
    </w:lvl>
    <w:lvl w:ilvl="1">
      <w:lvlJc w:val="left"/>
      <w:lvlText w:val="(%2)"/>
      <w:numFmt w:val="lowerLetter"/>
      <w:start w:val="61"/>
    </w:lvl>
  </w:abstractNum>
  <w:abstractNum w:abstractNumId="353">
    <w:nsid w:val="CFD4EA7"/>
    <w:multiLevelType w:val="hybridMultilevel"/>
    <w:lvl w:ilvl="0">
      <w:lvlJc w:val="left"/>
      <w:lvlText w:val="(%1)"/>
      <w:numFmt w:val="lowerLetter"/>
      <w:start w:val="2"/>
    </w:lvl>
    <w:lvl w:ilvl="1">
      <w:lvlJc w:val="left"/>
      <w:lvlText w:val="%2"/>
      <w:numFmt w:val="lowerLetter"/>
      <w:start w:val="1"/>
    </w:lvl>
  </w:abstractNum>
  <w:abstractNum w:abstractNumId="354">
    <w:nsid w:val="232FCF4D"/>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355">
    <w:nsid w:val="1EA21031"/>
    <w:multiLevelType w:val="hybridMultilevel"/>
    <w:lvl w:ilvl="0">
      <w:lvlJc w:val="left"/>
      <w:lvlText w:val="(%1)"/>
      <w:numFmt w:val="lowerRoman"/>
      <w:start w:val="4"/>
    </w:lvl>
    <w:lvl w:ilvl="1">
      <w:lvlJc w:val="left"/>
      <w:lvlText w:val="(%2)"/>
      <w:numFmt w:val="upperLetter"/>
      <w:start w:val="1"/>
    </w:lvl>
  </w:abstractNum>
  <w:abstractNum w:abstractNumId="356">
    <w:nsid w:val="67A5A6B5"/>
    <w:multiLevelType w:val="hybridMultilevel"/>
    <w:lvl w:ilvl="0">
      <w:lvlJc w:val="left"/>
      <w:lvlText w:val="%1"/>
      <w:numFmt w:val="lowerLetter"/>
      <w:start w:val="1"/>
    </w:lvl>
    <w:lvl w:ilvl="1">
      <w:lvlJc w:val="left"/>
      <w:lvlText w:val="(%2)"/>
      <w:numFmt w:val="upperLetter"/>
      <w:start w:val="2"/>
    </w:lvl>
  </w:abstractNum>
  <w:abstractNum w:abstractNumId="357">
    <w:nsid w:val="C2A5C5B"/>
    <w:multiLevelType w:val="hybridMultilevel"/>
    <w:lvl w:ilvl="0">
      <w:lvlJc w:val="left"/>
      <w:lvlText w:val="(%1)"/>
      <w:numFmt w:val="lowerLetter"/>
      <w:start w:val="2"/>
    </w:lvl>
    <w:lvl w:ilvl="1">
      <w:lvlJc w:val="left"/>
      <w:lvlText w:val="%2"/>
      <w:numFmt w:val="upperLetter"/>
      <w:start w:val="1"/>
    </w:lvl>
  </w:abstractNum>
  <w:abstractNum w:abstractNumId="358">
    <w:nsid w:val="5F94DC03"/>
    <w:multiLevelType w:val="hybridMultilevel"/>
    <w:lvl w:ilvl="0">
      <w:lvlJc w:val="left"/>
      <w:lvlText w:val="(%1)"/>
      <w:numFmt w:val="lowerLetter"/>
      <w:start w:val="4"/>
    </w:lvl>
    <w:lvl w:ilvl="1">
      <w:lvlJc w:val="left"/>
      <w:lvlText w:val="(%2)"/>
      <w:numFmt w:val="lowerRoman"/>
      <w:start w:val="1"/>
    </w:lvl>
  </w:abstractNum>
  <w:abstractNum w:abstractNumId="359">
    <w:nsid w:val="237BBCA0"/>
    <w:multiLevelType w:val="hybridMultilevel"/>
    <w:lvl w:ilvl="0">
      <w:lvlJc w:val="left"/>
      <w:lvlText w:val="(%1)"/>
      <w:numFmt w:val="upperLetter"/>
      <w:start w:val="1"/>
    </w:lvl>
  </w:abstractNum>
  <w:abstractNum w:abstractNumId="360">
    <w:nsid w:val="162EB70D"/>
    <w:multiLevelType w:val="hybridMultilevel"/>
    <w:lvl w:ilvl="0">
      <w:lvlJc w:val="left"/>
      <w:lvlText w:val="(%1)"/>
      <w:numFmt w:val="lowerLetter"/>
      <w:start w:val="6"/>
    </w:lvl>
    <w:lvl w:ilvl="1">
      <w:lvlJc w:val="left"/>
      <w:lvlText w:val="(%2)"/>
      <w:numFmt w:val="lowerRoman"/>
      <w:start w:val="1"/>
    </w:lvl>
  </w:abstractNum>
  <w:abstractNum w:abstractNumId="361">
    <w:nsid w:val="78070222"/>
    <w:multiLevelType w:val="hybridMultilevel"/>
    <w:lvl w:ilvl="0">
      <w:lvlJc w:val="left"/>
      <w:lvlText w:val="%1"/>
      <w:numFmt w:val="lowerLetter"/>
      <w:start w:val="1"/>
    </w:lvl>
    <w:lvl w:ilvl="1">
      <w:lvlJc w:val="left"/>
      <w:lvlText w:val="(%2)"/>
      <w:numFmt w:val="lowerLetter"/>
      <w:start w:val="35"/>
    </w:lvl>
  </w:abstractNum>
  <w:abstractNum w:abstractNumId="362">
    <w:nsid w:val="6163ED0D"/>
    <w:multiLevelType w:val="hybridMultilevel"/>
    <w:lvl w:ilvl="0">
      <w:lvlJc w:val="left"/>
      <w:lvlText w:val="(%1)"/>
      <w:numFmt w:val="lowerLetter"/>
      <w:start w:val="7"/>
    </w:lvl>
    <w:lvl w:ilvl="1">
      <w:lvlJc w:val="left"/>
      <w:lvlText w:val="(%2)"/>
      <w:numFmt w:val="lowerLetter"/>
      <w:start w:val="9"/>
    </w:lvl>
  </w:abstractNum>
  <w:abstractNum w:abstractNumId="363">
    <w:nsid w:val="C600E47"/>
    <w:multiLevelType w:val="hybridMultilevel"/>
    <w:lvl w:ilvl="0">
      <w:lvlJc w:val="left"/>
      <w:lvlText w:val="(%1)"/>
      <w:numFmt w:val="lowerRoman"/>
      <w:start w:val="2"/>
    </w:lvl>
  </w:abstractNum>
  <w:abstractNum w:abstractNumId="364">
    <w:nsid w:val="7D94F75D"/>
    <w:multiLevelType w:val="hybridMultilevel"/>
    <w:lvl w:ilvl="0">
      <w:lvlJc w:val="left"/>
      <w:lvlText w:val="(%1)"/>
      <w:numFmt w:val="lowerLetter"/>
      <w:start w:val="2"/>
    </w:lvl>
    <w:lvl w:ilvl="1">
      <w:lvlJc w:val="left"/>
      <w:lvlText w:val="(%2)"/>
      <w:numFmt w:val="lowerRoman"/>
      <w:start w:val="1"/>
    </w:lvl>
  </w:abstractNum>
  <w:abstractNum w:abstractNumId="365">
    <w:nsid w:val="6C31E7CD"/>
    <w:multiLevelType w:val="hybridMultilevel"/>
    <w:lvl w:ilvl="0">
      <w:lvlJc w:val="left"/>
      <w:lvlText w:val="%1"/>
      <w:numFmt w:val="lowerLetter"/>
      <w:start w:val="1"/>
    </w:lvl>
    <w:lvl w:ilvl="1">
      <w:lvlJc w:val="left"/>
      <w:lvlText w:val="(%2)"/>
      <w:numFmt w:val="lowerRoman"/>
      <w:start w:val="5"/>
    </w:lvl>
  </w:abstractNum>
  <w:abstractNum w:abstractNumId="366">
    <w:nsid w:val="2BB7929B"/>
    <w:multiLevelType w:val="hybridMultilevel"/>
    <w:lvl w:ilvl="0">
      <w:lvlJc w:val="left"/>
      <w:lvlText w:val="(%1)"/>
      <w:numFmt w:val="lowerLetter"/>
      <w:start w:val="7"/>
    </w:lvl>
    <w:lvl w:ilvl="1">
      <w:lvlJc w:val="left"/>
      <w:lvlText w:val="%2"/>
      <w:numFmt w:val="lowerRoman"/>
      <w:start w:val="1"/>
    </w:lvl>
  </w:abstractNum>
  <w:abstractNum w:abstractNumId="367">
    <w:nsid w:val="58A2A487"/>
    <w:multiLevelType w:val="hybridMultilevel"/>
    <w:lvl w:ilvl="0">
      <w:lvlJc w:val="left"/>
      <w:lvlText w:val="(%1)"/>
      <w:numFmt w:val="lowerLetter"/>
      <w:start w:val="6"/>
    </w:lvl>
  </w:abstractNum>
  <w:abstractNum w:abstractNumId="368">
    <w:nsid w:val="3A6F0E78"/>
    <w:multiLevelType w:val="hybridMultilevel"/>
    <w:lvl w:ilvl="0">
      <w:lvlJc w:val="left"/>
      <w:lvlText w:val="(%1)"/>
      <w:numFmt w:val="lowerLetter"/>
      <w:start w:val="8"/>
    </w:lvl>
    <w:lvl w:ilvl="1">
      <w:lvlJc w:val="left"/>
      <w:lvlText w:val="(%2)"/>
      <w:numFmt w:val="lowerRoman"/>
      <w:start w:val="1"/>
    </w:lvl>
  </w:abstractNum>
  <w:abstractNum w:abstractNumId="369">
    <w:nsid w:val="379A5B56"/>
    <w:multiLevelType w:val="hybridMultilevel"/>
    <w:lvl w:ilvl="0">
      <w:lvlJc w:val="left"/>
      <w:lvlText w:val="(%1)"/>
      <w:numFmt w:val="lowerLetter"/>
      <w:start w:val="9"/>
    </w:lvl>
    <w:lvl w:ilvl="1">
      <w:lvlJc w:val="left"/>
      <w:lvlText w:val="(%2)"/>
      <w:numFmt w:val="lowerRoman"/>
      <w:start w:val="1"/>
    </w:lvl>
  </w:abstractNum>
  <w:abstractNum w:abstractNumId="370">
    <w:nsid w:val="53B735D5"/>
    <w:multiLevelType w:val="hybridMultilevel"/>
    <w:lvl w:ilvl="0">
      <w:lvlJc w:val="left"/>
      <w:lvlText w:val="(%1)"/>
      <w:numFmt w:val="lowerLetter"/>
      <w:start w:val="13"/>
    </w:lvl>
    <w:lvl w:ilvl="1">
      <w:lvlJc w:val="left"/>
      <w:lvlText w:val="(%2)"/>
      <w:numFmt w:val="lowerRoman"/>
      <w:start w:val="1"/>
    </w:lvl>
  </w:abstractNum>
  <w:abstractNum w:abstractNumId="371">
    <w:nsid w:val="29784870"/>
    <w:multiLevelType w:val="hybridMultilevel"/>
    <w:lvl w:ilvl="0">
      <w:lvlJc w:val="left"/>
      <w:lvlText w:val="(%1)"/>
      <w:numFmt w:val="upperLetter"/>
      <w:start w:val="1"/>
    </w:lvl>
  </w:abstractNum>
  <w:abstractNum w:abstractNumId="372">
    <w:nsid w:val="4CDCED4C"/>
    <w:multiLevelType w:val="hybridMultilevel"/>
    <w:lvl w:ilvl="0">
      <w:lvlJc w:val="left"/>
      <w:lvlText w:val="(%1)"/>
      <w:numFmt w:val="lowerLetter"/>
      <w:start w:val="15"/>
    </w:lvl>
    <w:lvl w:ilvl="1">
      <w:lvlJc w:val="left"/>
      <w:lvlText w:val="(%2)"/>
      <w:numFmt w:val="lowerRoman"/>
      <w:start w:val="1"/>
    </w:lvl>
    <w:lvl w:ilvl="2">
      <w:lvlJc w:val="left"/>
      <w:lvlText w:val="(%3)"/>
      <w:numFmt w:val="upperLetter"/>
      <w:start w:val="1"/>
    </w:lvl>
  </w:abstractNum>
  <w:abstractNum w:abstractNumId="373">
    <w:nsid w:val="10A30D9C"/>
    <w:multiLevelType w:val="hybridMultilevel"/>
    <w:lvl w:ilvl="0">
      <w:lvlJc w:val="left"/>
      <w:lvlText w:val="%1"/>
      <w:numFmt w:val="lowerRoman"/>
      <w:start w:val="1"/>
    </w:lvl>
    <w:lvl w:ilvl="1">
      <w:lvlJc w:val="left"/>
      <w:lvlText w:val="(%2)"/>
      <w:numFmt w:val="upperLetter"/>
      <w:start w:val="2"/>
    </w:lvl>
  </w:abstractNum>
  <w:abstractNum w:abstractNumId="374">
    <w:nsid w:val="A66E486"/>
    <w:multiLevelType w:val="hybridMultilevel"/>
    <w:lvl w:ilvl="0">
      <w:lvlJc w:val="left"/>
      <w:lvlText w:val="(%1)"/>
      <w:numFmt w:val="lowerRoman"/>
      <w:start w:val="3"/>
    </w:lvl>
    <w:lvl w:ilvl="1">
      <w:lvlJc w:val="left"/>
      <w:lvlText w:val="%2"/>
      <w:numFmt w:val="upperLetter"/>
      <w:start w:val="1"/>
    </w:lvl>
  </w:abstractNum>
  <w:abstractNum w:abstractNumId="375">
    <w:nsid w:val="306235EA"/>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376">
    <w:nsid w:val="1187C70F"/>
    <w:multiLevelType w:val="hybridMultilevel"/>
    <w:lvl w:ilvl="0">
      <w:lvlJc w:val="left"/>
      <w:lvlText w:val="(%1)"/>
      <w:numFmt w:val="lowerRoman"/>
      <w:start w:val="4"/>
    </w:lvl>
  </w:abstractNum>
  <w:abstractNum w:abstractNumId="377">
    <w:nsid w:val="5476DE98"/>
    <w:multiLevelType w:val="hybridMultilevel"/>
    <w:lvl w:ilvl="0">
      <w:lvlJc w:val="left"/>
      <w:lvlText w:val="(%1)"/>
      <w:numFmt w:val="upperLetter"/>
      <w:start w:val="1"/>
    </w:lvl>
  </w:abstractNum>
  <w:abstractNum w:abstractNumId="378">
    <w:nsid w:val="EA697F2"/>
    <w:multiLevelType w:val="hybridMultilevel"/>
    <w:lvl w:ilvl="0">
      <w:lvlJc w:val="left"/>
      <w:lvlText w:val="%1"/>
      <w:numFmt w:val="lowerRoman"/>
      <w:start w:val="1"/>
    </w:lvl>
    <w:lvl w:ilvl="1">
      <w:lvlJc w:val="left"/>
      <w:lvlText w:val="(%2)"/>
      <w:numFmt w:val="upperLetter"/>
      <w:start w:val="2"/>
    </w:lvl>
  </w:abstractNum>
  <w:abstractNum w:abstractNumId="379">
    <w:nsid w:val="70BA39EB"/>
    <w:multiLevelType w:val="hybridMultilevel"/>
    <w:lvl w:ilvl="0">
      <w:lvlJc w:val="left"/>
      <w:lvlText w:val="(%1)"/>
      <w:numFmt w:val="lowerRoman"/>
      <w:start w:val="5"/>
    </w:lvl>
    <w:lvl w:ilvl="1">
      <w:lvlJc w:val="left"/>
      <w:lvlText w:val="%2"/>
      <w:numFmt w:val="upperLetter"/>
      <w:start w:val="1"/>
    </w:lvl>
  </w:abstractNum>
  <w:abstractNum w:abstractNumId="380">
    <w:nsid w:val="4A8DB59C"/>
    <w:multiLevelType w:val="hybridMultilevel"/>
    <w:lvl w:ilvl="0">
      <w:lvlJc w:val="left"/>
      <w:lvlText w:val="(%1)"/>
      <w:numFmt w:val="lowerRoman"/>
      <w:start w:val="6"/>
    </w:lvl>
  </w:abstractNum>
  <w:abstractNum w:abstractNumId="381">
    <w:nsid w:val="1AFD9053"/>
    <w:multiLevelType w:val="hybridMultilevel"/>
    <w:lvl w:ilvl="0">
      <w:lvlJc w:val="left"/>
      <w:lvlText w:val="(%1)"/>
      <w:numFmt w:val="upperLetter"/>
      <w:start w:val="1"/>
    </w:lvl>
  </w:abstractNum>
  <w:abstractNum w:abstractNumId="382">
    <w:nsid w:val="558BB10D"/>
    <w:multiLevelType w:val="hybridMultilevel"/>
    <w:lvl w:ilvl="0">
      <w:lvlJc w:val="left"/>
      <w:lvlText w:val="%1"/>
      <w:numFmt w:val="lowerLetter"/>
      <w:start w:val="1"/>
    </w:lvl>
    <w:lvl w:ilvl="1">
      <w:lvlJc w:val="left"/>
      <w:lvlText w:val="(%2)"/>
      <w:numFmt w:val="upperLetter"/>
      <w:start w:val="2"/>
    </w:lvl>
  </w:abstractNum>
  <w:abstractNum w:abstractNumId="383">
    <w:nsid w:val="43B27FA7"/>
    <w:multiLevelType w:val="hybridMultilevel"/>
    <w:lvl w:ilvl="0">
      <w:lvlJc w:val="left"/>
      <w:lvlText w:val="(%1)"/>
      <w:numFmt w:val="lowerLetter"/>
      <w:start w:val="2"/>
    </w:lvl>
    <w:lvl w:ilvl="1">
      <w:lvlJc w:val="left"/>
      <w:lvlText w:val="%2"/>
      <w:numFmt w:val="upperLetter"/>
      <w:start w:val="1"/>
    </w:lvl>
  </w:abstractNum>
  <w:abstractNum w:abstractNumId="384">
    <w:nsid w:val="27FADEFA"/>
    <w:multiLevelType w:val="hybridMultilevel"/>
    <w:lvl w:ilvl="0">
      <w:lvlJc w:val="left"/>
      <w:lvlText w:val="(%1)"/>
      <w:numFmt w:val="lowerLetter"/>
      <w:start w:val="1"/>
    </w:lvl>
    <w:lvl w:ilvl="1">
      <w:lvlJc w:val="left"/>
      <w:lvlText w:val="(%2)"/>
      <w:numFmt w:val="lowerRoman"/>
      <w:start w:val="1"/>
    </w:lvl>
  </w:abstractNum>
  <w:abstractNum w:abstractNumId="385">
    <w:nsid w:val="78BB805A"/>
    <w:multiLevelType w:val="hybridMultilevel"/>
    <w:lvl w:ilvl="0">
      <w:lvlJc w:val="left"/>
      <w:lvlText w:val="(%1)"/>
      <w:numFmt w:val="lowerLetter"/>
      <w:start w:val="3"/>
    </w:lvl>
  </w:abstractNum>
  <w:abstractNum w:abstractNumId="386">
    <w:nsid w:val="62548FD8"/>
    <w:multiLevelType w:val="hybridMultilevel"/>
    <w:lvl w:ilvl="0">
      <w:lvlJc w:val="left"/>
      <w:lvlText w:val="(%1)"/>
      <w:numFmt w:val="lowerLetter"/>
      <w:start w:val="1"/>
    </w:lvl>
  </w:abstractNum>
  <w:abstractNum w:abstractNumId="387">
    <w:nsid w:val="FA085B0"/>
    <w:multiLevelType w:val="hybridMultilevel"/>
    <w:lvl w:ilvl="0">
      <w:lvlJc w:val="left"/>
      <w:lvlText w:val="(%1)"/>
      <w:numFmt w:val="lowerLetter"/>
      <w:start w:val="1"/>
    </w:lvl>
    <w:lvl w:ilvl="1">
      <w:lvlJc w:val="left"/>
      <w:lvlText w:val="(%2)"/>
      <w:numFmt w:val="lowerRoman"/>
      <w:start w:val="1"/>
    </w:lvl>
  </w:abstractNum>
  <w:abstractNum w:abstractNumId="388">
    <w:nsid w:val="4E5DCB5"/>
    <w:multiLevelType w:val="hybridMultilevel"/>
    <w:lvl w:ilvl="0">
      <w:lvlJc w:val="left"/>
      <w:lvlText w:val="(%1)"/>
      <w:numFmt w:val="lowerRoman"/>
      <w:start w:val="2"/>
    </w:lvl>
  </w:abstractNum>
  <w:abstractNum w:abstractNumId="389">
    <w:nsid w:val="41E96BDB"/>
    <w:multiLevelType w:val="hybridMultilevel"/>
    <w:lvl w:ilvl="0">
      <w:lvlJc w:val="left"/>
      <w:lvlText w:val="%1"/>
      <w:numFmt w:val="lowerLetter"/>
      <w:start w:val="1"/>
    </w:lvl>
    <w:lvl w:ilvl="1">
      <w:lvlJc w:val="left"/>
      <w:lvlText w:val="(%2)"/>
      <w:numFmt w:val="lowerRoman"/>
      <w:start w:val="6"/>
    </w:lvl>
  </w:abstractNum>
  <w:abstractNum w:abstractNumId="390">
    <w:nsid w:val="331C4250"/>
    <w:multiLevelType w:val="hybridMultilevel"/>
    <w:lvl w:ilvl="0">
      <w:lvlJc w:val="left"/>
      <w:lvlText w:val="(%1)"/>
      <w:numFmt w:val="lowerLetter"/>
      <w:start w:val="2"/>
    </w:lvl>
    <w:lvl w:ilvl="1">
      <w:lvlJc w:val="left"/>
      <w:lvlText w:val="%2"/>
      <w:numFmt w:val="lowerRoman"/>
      <w:start w:val="1"/>
    </w:lvl>
  </w:abstractNum>
  <w:abstractNum w:abstractNumId="391">
    <w:nsid w:val="1B1493C2"/>
    <w:multiLevelType w:val="hybridMultilevel"/>
    <w:lvl w:ilvl="0">
      <w:lvlJc w:val="left"/>
      <w:lvlText w:val="(%1)"/>
      <w:numFmt w:val="lowerLetter"/>
      <w:start w:val="1"/>
    </w:lvl>
  </w:abstractNum>
  <w:abstractNum w:abstractNumId="392">
    <w:nsid w:val="39F06DFD"/>
    <w:multiLevelType w:val="hybridMultilevel"/>
    <w:lvl w:ilvl="0">
      <w:lvlJc w:val="left"/>
      <w:lvlText w:val="(%1)"/>
      <w:numFmt w:val="lowerLetter"/>
      <w:start w:val="1"/>
    </w:lvl>
  </w:abstractNum>
  <w:abstractNum w:abstractNumId="393">
    <w:nsid w:val="14802F5D"/>
    <w:multiLevelType w:val="hybridMultilevel"/>
    <w:lvl w:ilvl="0">
      <w:lvlJc w:val="left"/>
      <w:lvlText w:val="(%1)"/>
      <w:numFmt w:val="lowerLetter"/>
      <w:start w:val="1"/>
    </w:lvl>
    <w:lvl w:ilvl="1">
      <w:lvlJc w:val="left"/>
      <w:lvlText w:val="(%2)"/>
      <w:numFmt w:val="lowerRoman"/>
      <w:start w:val="1"/>
    </w:lvl>
  </w:abstractNum>
  <w:abstractNum w:abstractNumId="394">
    <w:nsid w:val="2774A209"/>
    <w:multiLevelType w:val="hybridMultilevel"/>
    <w:lvl w:ilvl="0">
      <w:lvlJc w:val="left"/>
      <w:lvlText w:val="%1"/>
      <w:numFmt w:val="lowerLetter"/>
      <w:start w:val="1"/>
    </w:lvl>
    <w:lvl w:ilvl="1">
      <w:lvlJc w:val="left"/>
      <w:lvlText w:val="(%2)"/>
      <w:numFmt w:val="lowerRoman"/>
      <w:start w:val="2"/>
    </w:lvl>
  </w:abstractNum>
  <w:abstractNum w:abstractNumId="395">
    <w:nsid w:val="3785655A"/>
    <w:multiLevelType w:val="hybridMultilevel"/>
    <w:lvl w:ilvl="0">
      <w:lvlJc w:val="left"/>
      <w:lvlText w:val="(%1)"/>
      <w:numFmt w:val="lowerLetter"/>
      <w:start w:val="5"/>
    </w:lvl>
    <w:lvl w:ilvl="1">
      <w:lvlJc w:val="left"/>
      <w:lvlText w:val="%2"/>
      <w:numFmt w:val="lowerRoman"/>
      <w:start w:val="1"/>
    </w:lvl>
  </w:abstractNum>
  <w:abstractNum w:abstractNumId="396">
    <w:nsid w:val="B2172A"/>
    <w:multiLevelType w:val="hybridMultilevel"/>
    <w:lvl w:ilvl="0">
      <w:lvlJc w:val="left"/>
      <w:lvlText w:val="(%1)"/>
      <w:numFmt w:val="lowerLetter"/>
      <w:start w:val="1"/>
    </w:lvl>
    <w:lvl w:ilvl="1">
      <w:lvlJc w:val="left"/>
      <w:lvlText w:val="(%2)"/>
      <w:numFmt w:val="lowerRoman"/>
      <w:start w:val="1"/>
    </w:lvl>
  </w:abstractNum>
  <w:abstractNum w:abstractNumId="397">
    <w:nsid w:val="532C34A5"/>
    <w:multiLevelType w:val="hybridMultilevel"/>
    <w:lvl w:ilvl="0">
      <w:lvlJc w:val="left"/>
      <w:lvlText w:val="(%1)"/>
      <w:numFmt w:val="lowerLetter"/>
      <w:start w:val="1"/>
    </w:lvl>
  </w:abstractNum>
  <w:abstractNum w:abstractNumId="398">
    <w:nsid w:val="102809E2"/>
    <w:multiLevelType w:val="hybridMultilevel"/>
    <w:lvl w:ilvl="0">
      <w:lvlJc w:val="left"/>
      <w:lvlText w:val="(%1)"/>
      <w:numFmt w:val="lowerLetter"/>
      <w:start w:val="2"/>
    </w:lvl>
  </w:abstractNum>
  <w:abstractNum w:abstractNumId="399">
    <w:nsid w:val="3B2125A3"/>
    <w:multiLevelType w:val="hybridMultilevel"/>
    <w:lvl w:ilvl="0">
      <w:lvlJc w:val="left"/>
      <w:lvlText w:val="(%1)"/>
      <w:numFmt w:val="lowerLetter"/>
      <w:start w:val="1"/>
    </w:lvl>
  </w:abstractNum>
  <w:abstractNum w:abstractNumId="400">
    <w:nsid w:val="AC68FFB"/>
    <w:multiLevelType w:val="hybridMultilevel"/>
    <w:lvl w:ilvl="0">
      <w:lvlJc w:val="left"/>
      <w:lvlText w:val="(%1)"/>
      <w:numFmt w:val="lowerLetter"/>
      <w:start w:val="1"/>
    </w:lvl>
  </w:abstractNum>
  <w:abstractNum w:abstractNumId="401">
    <w:nsid w:val="63DF3FB7"/>
    <w:multiLevelType w:val="hybridMultilevel"/>
    <w:lvl w:ilvl="0">
      <w:lvlJc w:val="left"/>
      <w:lvlText w:val="(%1)"/>
      <w:numFmt w:val="lowerLetter"/>
      <w:start w:val="5"/>
    </w:lvl>
  </w:abstractNum>
  <w:abstractNum w:abstractNumId="402">
    <w:nsid w:val="64996E13"/>
    <w:multiLevelType w:val="hybridMultilevel"/>
    <w:lvl w:ilvl="0">
      <w:lvlJc w:val="left"/>
      <w:lvlText w:val="(%1)"/>
      <w:numFmt w:val="lowerLetter"/>
      <w:start w:val="6"/>
    </w:lvl>
  </w:abstractNum>
  <w:abstractNum w:abstractNumId="403">
    <w:nsid w:val="57A37D47"/>
    <w:multiLevelType w:val="hybridMultilevel"/>
    <w:lvl w:ilvl="0">
      <w:lvlJc w:val="left"/>
      <w:lvlText w:val="(%1)"/>
      <w:numFmt w:val="lowerLetter"/>
      <w:start w:val="1"/>
    </w:lvl>
  </w:abstractNum>
  <w:abstractNum w:abstractNumId="404">
    <w:nsid w:val="74824D54"/>
    <w:multiLevelType w:val="hybridMultilevel"/>
    <w:lvl w:ilvl="0">
      <w:lvlJc w:val="left"/>
      <w:lvlText w:val="(%1)"/>
      <w:numFmt w:val="lowerLetter"/>
      <w:start w:val="1"/>
    </w:lvl>
  </w:abstractNum>
  <w:abstractNum w:abstractNumId="405">
    <w:nsid w:val="6F00529A"/>
    <w:multiLevelType w:val="hybridMultilevel"/>
    <w:lvl w:ilvl="0">
      <w:lvlJc w:val="left"/>
      <w:lvlText w:val="(%1)"/>
      <w:numFmt w:val="lowerLetter"/>
      <w:start w:val="1"/>
    </w:lvl>
  </w:abstractNum>
  <w:abstractNum w:abstractNumId="406">
    <w:nsid w:val="805B331"/>
    <w:multiLevelType w:val="hybridMultilevel"/>
    <w:lvl w:ilvl="0">
      <w:lvlJc w:val="left"/>
      <w:lvlText w:val="(%1)"/>
      <w:numFmt w:val="lowerLetter"/>
      <w:start w:val="1"/>
    </w:lvl>
    <w:lvl w:ilvl="1">
      <w:lvlJc w:val="left"/>
      <w:lvlText w:val="(%2)"/>
      <w:numFmt w:val="lowerRoman"/>
      <w:start w:val="1"/>
    </w:lvl>
  </w:abstractNum>
  <w:abstractNum w:abstractNumId="407">
    <w:nsid w:val="60A1463"/>
    <w:multiLevelType w:val="hybridMultilevel"/>
    <w:lvl w:ilvl="0">
      <w:lvlJc w:val="left"/>
      <w:lvlText w:val="%1"/>
      <w:numFmt w:val="lowerLetter"/>
      <w:start w:val="1"/>
    </w:lvl>
    <w:lvl w:ilvl="1">
      <w:lvlJc w:val="left"/>
      <w:lvlText w:val="(%2)"/>
      <w:numFmt w:val="lowerRoman"/>
      <w:start w:val="3"/>
    </w:lvl>
  </w:abstractNum>
  <w:abstractNum w:abstractNumId="408">
    <w:nsid w:val="43773132"/>
    <w:multiLevelType w:val="hybridMultilevel"/>
    <w:lvl w:ilvl="0">
      <w:lvlJc w:val="left"/>
      <w:lvlText w:val="(%1)"/>
      <w:numFmt w:val="lowerLetter"/>
      <w:start w:val="2"/>
    </w:lvl>
    <w:lvl w:ilvl="1">
      <w:lvlJc w:val="left"/>
      <w:lvlText w:val="%2"/>
      <w:numFmt w:val="lowerRoman"/>
      <w:start w:val="1"/>
    </w:lvl>
  </w:abstractNum>
  <w:abstractNum w:abstractNumId="409">
    <w:nsid w:val="16AC4B23"/>
    <w:multiLevelType w:val="hybridMultilevel"/>
    <w:lvl w:ilvl="0">
      <w:lvlJc w:val="left"/>
      <w:lvlText w:val="(%1)"/>
      <w:numFmt w:val="lowerLetter"/>
      <w:start w:val="1"/>
    </w:lvl>
    <w:lvl w:ilvl="1">
      <w:lvlJc w:val="left"/>
      <w:lvlText w:val="(%2)"/>
      <w:numFmt w:val="lowerRoman"/>
      <w:start w:val="1"/>
    </w:lvl>
  </w:abstractNum>
  <w:abstractNum w:abstractNumId="410">
    <w:nsid w:val="76C44E4E"/>
    <w:multiLevelType w:val="hybridMultilevel"/>
    <w:lvl w:ilvl="0">
      <w:lvlJc w:val="left"/>
      <w:lvlText w:val="(%1)"/>
      <w:numFmt w:val="lowerLetter"/>
      <w:start w:val="1"/>
    </w:lvl>
  </w:abstractNum>
  <w:abstractNum w:abstractNumId="411">
    <w:nsid w:val="E04E6CE"/>
    <w:multiLevelType w:val="hybridMultilevel"/>
    <w:lvl w:ilvl="0">
      <w:lvlJc w:val="left"/>
      <w:lvlText w:val="(%1)"/>
      <w:numFmt w:val="lowerLetter"/>
      <w:start w:val="5"/>
    </w:lvl>
  </w:abstractNum>
  <w:abstractNum w:abstractNumId="412">
    <w:nsid w:val="31A9DB76"/>
    <w:multiLevelType w:val="hybridMultilevel"/>
    <w:lvl w:ilvl="0">
      <w:lvlJc w:val="left"/>
      <w:lvlText w:val="(%1)"/>
      <w:numFmt w:val="lowerLetter"/>
      <w:start w:val="1"/>
    </w:lvl>
    <w:lvl w:ilvl="1">
      <w:lvlJc w:val="left"/>
      <w:lvlText w:val="(%2)"/>
      <w:numFmt w:val="lowerRoman"/>
      <w:start w:val="1"/>
    </w:lvl>
  </w:abstractNum>
  <w:abstractNum w:abstractNumId="413">
    <w:nsid w:val="4C4FFF5B"/>
    <w:multiLevelType w:val="hybridMultilevel"/>
    <w:lvl w:ilvl="0">
      <w:lvlJc w:val="left"/>
      <w:lvlText w:val="(%1)"/>
      <w:numFmt w:val="lowerLetter"/>
      <w:start w:val="1"/>
    </w:lvl>
  </w:abstractNum>
  <w:abstractNum w:abstractNumId="414">
    <w:nsid w:val="51B76675"/>
    <w:multiLevelType w:val="hybridMultilevel"/>
    <w:lvl w:ilvl="0">
      <w:lvlJc w:val="left"/>
      <w:lvlText w:val="(%1)"/>
      <w:numFmt w:val="lowerLetter"/>
      <w:start w:val="1"/>
    </w:lvl>
  </w:abstractNum>
  <w:abstractNum w:abstractNumId="415">
    <w:nsid w:val="59A4BA71"/>
    <w:multiLevelType w:val="hybridMultilevel"/>
    <w:lvl w:ilvl="0">
      <w:lvlJc w:val="left"/>
      <w:lvlText w:val="(%1)"/>
      <w:numFmt w:val="lowerRoman"/>
      <w:start w:val="1"/>
    </w:lvl>
  </w:abstractNum>
  <w:abstractNum w:abstractNumId="416">
    <w:nsid w:val="450B7FB6"/>
    <w:multiLevelType w:val="hybridMultilevel"/>
    <w:lvl w:ilvl="0">
      <w:lvlJc w:val="left"/>
      <w:lvlText w:val="%1"/>
      <w:numFmt w:val="lowerLetter"/>
      <w:start w:val="1"/>
    </w:lvl>
    <w:lvl w:ilvl="1">
      <w:lvlJc w:val="left"/>
      <w:lvlText w:val="(%2)"/>
      <w:numFmt w:val="lowerLetter"/>
      <w:start w:val="61"/>
    </w:lvl>
  </w:abstractNum>
  <w:abstractNum w:abstractNumId="417">
    <w:nsid w:val="340BF64D"/>
    <w:multiLevelType w:val="hybridMultilevel"/>
    <w:lvl w:ilvl="0">
      <w:lvlJc w:val="left"/>
      <w:lvlText w:val="(%1)"/>
      <w:numFmt w:val="lowerLetter"/>
      <w:start w:val="3"/>
    </w:lvl>
    <w:lvl w:ilvl="1">
      <w:lvlJc w:val="left"/>
      <w:lvlText w:val="%2"/>
      <w:numFmt w:val="lowerLetter"/>
      <w:start w:val="1"/>
    </w:lvl>
  </w:abstractNum>
  <w:abstractNum w:abstractNumId="418">
    <w:nsid w:val="69454021"/>
    <w:multiLevelType w:val="hybridMultilevel"/>
    <w:lvl w:ilvl="0">
      <w:lvlJc w:val="left"/>
      <w:lvlText w:val="(%1)"/>
      <w:numFmt w:val="lowerLetter"/>
      <w:start w:val="2"/>
    </w:lvl>
  </w:abstractNum>
  <w:abstractNum w:abstractNumId="419">
    <w:nsid w:val="49F15C6B"/>
    <w:multiLevelType w:val="hybridMultilevel"/>
    <w:lvl w:ilvl="0">
      <w:lvlJc w:val="left"/>
      <w:lvlText w:val="(%1)"/>
      <w:numFmt w:val="lowerRoman"/>
      <w:start w:val="1"/>
    </w:lvl>
  </w:abstractNum>
  <w:abstractNum w:abstractNumId="420">
    <w:nsid w:val="75F56228"/>
    <w:multiLevelType w:val="hybridMultilevel"/>
    <w:lvl w:ilvl="0">
      <w:lvlJc w:val="left"/>
      <w:lvlText w:val="%1"/>
      <w:numFmt w:val="lowerLetter"/>
      <w:start w:val="1"/>
    </w:lvl>
    <w:lvl w:ilvl="1">
      <w:lvlJc w:val="left"/>
      <w:lvlText w:val="(%2)"/>
      <w:numFmt w:val="lowerRoman"/>
      <w:start w:val="3"/>
    </w:lvl>
  </w:abstractNum>
  <w:abstractNum w:abstractNumId="421">
    <w:nsid w:val="1C618271"/>
    <w:multiLevelType w:val="hybridMultilevel"/>
    <w:lvl w:ilvl="0">
      <w:lvlJc w:val="left"/>
      <w:lvlText w:val="(%1)"/>
      <w:numFmt w:val="lowerLetter"/>
      <w:start w:val="2"/>
    </w:lvl>
    <w:lvl w:ilvl="1">
      <w:lvlJc w:val="left"/>
      <w:lvlText w:val="%2"/>
      <w:numFmt w:val="lowerRoman"/>
      <w:start w:val="1"/>
    </w:lvl>
  </w:abstractNum>
  <w:abstractNum w:abstractNumId="422">
    <w:nsid w:val="6505F02E"/>
    <w:multiLevelType w:val="hybridMultilevel"/>
    <w:lvl w:ilvl="0">
      <w:lvlJc w:val="left"/>
      <w:lvlText w:val="(%1)"/>
      <w:numFmt w:val="lowerLetter"/>
      <w:start w:val="1"/>
    </w:lvl>
    <w:lvl w:ilvl="1">
      <w:lvlJc w:val="left"/>
      <w:lvlText w:val="(%2)"/>
      <w:numFmt w:val="lowerRoman"/>
      <w:start w:val="1"/>
    </w:lvl>
  </w:abstractNum>
  <w:abstractNum w:abstractNumId="423">
    <w:nsid w:val="2FE5D025"/>
    <w:multiLevelType w:val="hybridMultilevel"/>
    <w:lvl w:ilvl="0">
      <w:lvlJc w:val="left"/>
      <w:lvlText w:val="(%1)"/>
      <w:numFmt w:val="lowerLetter"/>
      <w:start w:val="1"/>
    </w:lvl>
  </w:abstractNum>
  <w:abstractNum w:abstractNumId="424">
    <w:nsid w:val="30E1B1CF"/>
    <w:multiLevelType w:val="hybridMultilevel"/>
    <w:lvl w:ilvl="0">
      <w:lvlJc w:val="left"/>
      <w:lvlText w:val="(%1)"/>
      <w:numFmt w:val="lowerLetter"/>
      <w:start w:val="3"/>
    </w:lvl>
    <w:lvl w:ilvl="1">
      <w:lvlJc w:val="left"/>
      <w:lvlText w:val="(%2)"/>
      <w:numFmt w:val="lowerRoman"/>
      <w:start w:val="1"/>
    </w:lvl>
  </w:abstractNum>
  <w:abstractNum w:abstractNumId="425">
    <w:nsid w:val="C7A9237"/>
    <w:multiLevelType w:val="hybridMultilevel"/>
    <w:lvl w:ilvl="0">
      <w:lvlJc w:val="left"/>
      <w:lvlText w:val="(%1)"/>
      <w:numFmt w:val="lowerLetter"/>
      <w:start w:val="1"/>
    </w:lvl>
    <w:lvl w:ilvl="1">
      <w:lvlJc w:val="left"/>
      <w:lvlText w:val="(%2)"/>
      <w:numFmt w:val="lowerRoman"/>
      <w:start w:val="1"/>
    </w:lvl>
  </w:abstractNum>
  <w:abstractNum w:abstractNumId="426">
    <w:nsid w:val="676B3580"/>
    <w:multiLevelType w:val="hybridMultilevel"/>
    <w:lvl w:ilvl="0">
      <w:lvlJc w:val="left"/>
      <w:lvlText w:val="%1"/>
      <w:numFmt w:val="lowerLetter"/>
      <w:start w:val="1"/>
    </w:lvl>
    <w:lvl w:ilvl="1">
      <w:lvlJc w:val="left"/>
      <w:lvlText w:val="(%2)"/>
      <w:numFmt w:val="lowerRoman"/>
      <w:start w:val="2"/>
    </w:lvl>
  </w:abstractNum>
  <w:abstractNum w:abstractNumId="427">
    <w:nsid w:val="3193C8F9"/>
    <w:multiLevelType w:val="hybridMultilevel"/>
    <w:lvl w:ilvl="0">
      <w:lvlJc w:val="left"/>
      <w:lvlText w:val="(%1)"/>
      <w:numFmt w:val="lowerLetter"/>
      <w:start w:val="4"/>
    </w:lvl>
    <w:lvl w:ilvl="1">
      <w:lvlJc w:val="left"/>
      <w:lvlText w:val="(%2)"/>
      <w:numFmt w:val="lowerRoman"/>
      <w:start w:val="1"/>
    </w:lvl>
  </w:abstractNum>
  <w:abstractNum w:abstractNumId="428">
    <w:nsid w:val="5FA6C6DC"/>
    <w:multiLevelType w:val="hybridMultilevel"/>
    <w:lvl w:ilvl="0">
      <w:lvlJc w:val="left"/>
      <w:lvlText w:val="(%1)"/>
      <w:numFmt w:val="lowerLetter"/>
      <w:start w:val="1"/>
    </w:lvl>
  </w:abstractNum>
  <w:abstractNum w:abstractNumId="429">
    <w:nsid w:val="77933F62"/>
    <w:multiLevelType w:val="hybridMultilevel"/>
    <w:lvl w:ilvl="0">
      <w:lvlJc w:val="left"/>
      <w:lvlText w:val="(%1)"/>
      <w:numFmt w:val="lowerLetter"/>
      <w:start w:val="3"/>
    </w:lvl>
  </w:abstractNum>
  <w:abstractNum w:abstractNumId="430">
    <w:nsid w:val="6CB4EE9C"/>
    <w:multiLevelType w:val="hybridMultilevel"/>
    <w:lvl w:ilvl="0">
      <w:lvlJc w:val="left"/>
      <w:lvlText w:val="(%1)"/>
      <w:numFmt w:val="lowerLetter"/>
      <w:start w:val="1"/>
    </w:lvl>
  </w:abstractNum>
  <w:abstractNum w:abstractNumId="431">
    <w:nsid w:val="6A6D56D7"/>
    <w:multiLevelType w:val="hybridMultilevel"/>
    <w:lvl w:ilvl="0">
      <w:lvlJc w:val="left"/>
      <w:lvlText w:val="(%1)"/>
      <w:numFmt w:val="lowerLetter"/>
      <w:start w:val="1"/>
    </w:lvl>
  </w:abstractNum>
  <w:abstractNum w:abstractNumId="432">
    <w:nsid w:val="5B727F19"/>
    <w:multiLevelType w:val="hybridMultilevel"/>
    <w:lvl w:ilvl="0">
      <w:lvlJc w:val="left"/>
      <w:lvlText w:val="(%1)"/>
      <w:numFmt w:val="lowerLetter"/>
      <w:start w:val="2"/>
    </w:lvl>
    <w:lvl w:ilvl="1">
      <w:lvlJc w:val="left"/>
      <w:lvlText w:val="(%2)"/>
      <w:numFmt w:val="lowerRoman"/>
      <w:start w:val="1"/>
    </w:lvl>
  </w:abstractNum>
  <w:abstractNum w:abstractNumId="433">
    <w:nsid w:val="514E5CB0"/>
    <w:multiLevelType w:val="hybridMultilevel"/>
    <w:lvl w:ilvl="0">
      <w:lvlJc w:val="left"/>
      <w:lvlText w:val="(%1)"/>
      <w:numFmt w:val="lowerLetter"/>
      <w:start w:val="2"/>
    </w:lvl>
  </w:abstractNum>
  <w:abstractNum w:abstractNumId="434">
    <w:nsid w:val="4210D41E"/>
    <w:multiLevelType w:val="hybridMultilevel"/>
    <w:lvl w:ilvl="0">
      <w:lvlJc w:val="left"/>
      <w:lvlText w:val="(%1)"/>
      <w:numFmt w:val="lowerLetter"/>
      <w:start w:val="1"/>
    </w:lvl>
  </w:abstractNum>
  <w:abstractNum w:abstractNumId="435">
    <w:nsid w:val="4FF4CC6D"/>
    <w:multiLevelType w:val="hybridMultilevel"/>
    <w:lvl w:ilvl="0">
      <w:lvlJc w:val="left"/>
      <w:lvlText w:val="(%1)"/>
      <w:numFmt w:val="lowerLetter"/>
      <w:start w:val="1"/>
    </w:lvl>
  </w:abstractNum>
  <w:abstractNum w:abstractNumId="436">
    <w:nsid w:val="404EAF4A"/>
    <w:multiLevelType w:val="hybridMultilevel"/>
    <w:lvl w:ilvl="0">
      <w:lvlJc w:val="left"/>
      <w:lvlText w:val="(%1)"/>
      <w:numFmt w:val="lowerLetter"/>
      <w:start w:val="1"/>
    </w:lvl>
  </w:abstractNum>
  <w:abstractNum w:abstractNumId="437">
    <w:nsid w:val="4A16874F"/>
    <w:multiLevelType w:val="hybridMultilevel"/>
    <w:lvl w:ilvl="0">
      <w:lvlJc w:val="left"/>
      <w:lvlText w:val="(%1)"/>
      <w:numFmt w:val="lowerLetter"/>
      <w:start w:val="1"/>
    </w:lvl>
  </w:abstractNum>
  <w:abstractNum w:abstractNumId="438">
    <w:nsid w:val="55FEE0D1"/>
    <w:multiLevelType w:val="hybridMultilevel"/>
    <w:lvl w:ilvl="0">
      <w:lvlJc w:val="left"/>
      <w:lvlText w:val="(%1)"/>
      <w:numFmt w:val="lowerLetter"/>
      <w:start w:val="1"/>
    </w:lvl>
  </w:abstractNum>
  <w:abstractNum w:abstractNumId="439">
    <w:nsid w:val="3C5E07C"/>
    <w:multiLevelType w:val="hybridMultilevel"/>
    <w:lvl w:ilvl="0">
      <w:lvlJc w:val="left"/>
      <w:lvlText w:val="(%1)"/>
      <w:numFmt w:val="lowerLetter"/>
      <w:start w:val="1"/>
    </w:lvl>
  </w:abstractNum>
  <w:abstractNum w:abstractNumId="440">
    <w:nsid w:val="60C2D273"/>
    <w:multiLevelType w:val="hybridMultilevel"/>
    <w:lvl w:ilvl="0">
      <w:lvlJc w:val="left"/>
      <w:lvlText w:val="(%1)"/>
      <w:numFmt w:val="lowerLetter"/>
      <w:start w:val="1"/>
    </w:lvl>
  </w:abstractNum>
  <w:abstractNum w:abstractNumId="441">
    <w:nsid w:val="4CC32F1F"/>
    <w:multiLevelType w:val="hybridMultilevel"/>
    <w:lvl w:ilvl="0">
      <w:lvlJc w:val="left"/>
      <w:lvlText w:val="(%1)"/>
      <w:numFmt w:val="lowerLetter"/>
      <w:start w:val="2"/>
    </w:lvl>
  </w:abstractNum>
  <w:abstractNum w:abstractNumId="442">
    <w:nsid w:val="11CAC74A"/>
    <w:multiLevelType w:val="hybridMultilevel"/>
    <w:lvl w:ilvl="0">
      <w:lvlJc w:val="left"/>
      <w:lvlText w:val="(%1)"/>
      <w:numFmt w:val="lowerLetter"/>
      <w:start w:val="2"/>
    </w:lvl>
  </w:abstractNum>
  <w:abstractNum w:abstractNumId="443">
    <w:nsid w:val="126CADE9"/>
    <w:multiLevelType w:val="hybridMultilevel"/>
    <w:lvl w:ilvl="0">
      <w:lvlJc w:val="left"/>
      <w:lvlText w:val="(%1)"/>
      <w:numFmt w:val="lowerLetter"/>
      <w:start w:val="1"/>
    </w:lvl>
  </w:abstractNum>
  <w:abstractNum w:abstractNumId="444">
    <w:nsid w:val="19132E7B"/>
    <w:multiLevelType w:val="hybridMultilevel"/>
    <w:lvl w:ilvl="0">
      <w:lvlJc w:val="left"/>
      <w:lvlText w:val="%1)"/>
      <w:numFmt w:val="decimal"/>
      <w:start w:val="1"/>
    </w:lvl>
  </w:abstractNum>
  <w:abstractNum w:abstractNumId="445">
    <w:nsid w:val="63822DC0"/>
    <w:multiLevelType w:val="hybridMultilevel"/>
    <w:lvl w:ilvl="0">
      <w:lvlJc w:val="left"/>
      <w:lvlText w:val="%1)"/>
      <w:numFmt w:val="decimal"/>
      <w:start w:val="5"/>
    </w:lvl>
  </w:abstractNum>
  <w:abstractNum w:abstractNumId="446">
    <w:nsid w:val="6C11685A"/>
    <w:multiLevelType w:val="hybridMultilevel"/>
    <w:lvl w:ilvl="0">
      <w:lvlJc w:val="left"/>
      <w:lvlText w:val="%1)"/>
      <w:numFmt w:val="decimal"/>
      <w:start w:val="1"/>
    </w:lvl>
  </w:abstractNum>
  <w:abstractNum w:abstractNumId="447">
    <w:nsid w:val="5E1EAE31"/>
    <w:multiLevelType w:val="hybridMultilevel"/>
    <w:lvl w:ilvl="0">
      <w:lvlJc w:val="left"/>
      <w:lvlText w:val="%1)"/>
      <w:numFmt w:val="decimal"/>
      <w:start w:val="5"/>
    </w:lvl>
  </w:abstractNum>
  <w:abstractNum w:abstractNumId="448">
    <w:nsid w:val="178E240D"/>
    <w:multiLevelType w:val="hybridMultilevel"/>
    <w:lvl w:ilvl="0">
      <w:lvlJc w:val="left"/>
      <w:lvlText w:val="%1."/>
      <w:numFmt w:val="decimal"/>
      <w:start w:val="1"/>
    </w:lvl>
  </w:abstractNum>
  <w:abstractNum w:abstractNumId="449">
    <w:nsid w:val="5556A87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jpe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jpeg"/><Relationship Id="rId239" Type="http://schemas.openxmlformats.org/officeDocument/2006/relationships/image" Target="media/image232.png"/><Relationship Id="rId240" Type="http://schemas.openxmlformats.org/officeDocument/2006/relationships/image" Target="media/image233.jpe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jpe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2020-01-20T08:01:50Z</dcterms:created>
  <dcterms:modified xsi:type="dcterms:W3CDTF">2020-01-20T08:01:50Z</dcterms:modified>
</cp:coreProperties>
</file>